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lang w:val="en-US" w:eastAsia="zh-CN"/>
        </w:rPr>
      </w:pPr>
    </w:p>
    <w:p>
      <w:pPr>
        <w:spacing w:line="360" w:lineRule="auto"/>
        <w:rPr>
          <w:rFonts w:hint="default" w:ascii="宋体" w:hAnsi="宋体" w:eastAsia="宋体" w:cs="宋体"/>
          <w:b/>
          <w:bCs/>
          <w:spacing w:val="20"/>
          <w:kern w:val="0"/>
          <w:sz w:val="84"/>
          <w:szCs w:val="84"/>
          <w:lang w:val="en-US" w:eastAsia="zh-CN"/>
        </w:rPr>
      </w:pPr>
      <w:r>
        <w:rPr>
          <w:rFonts w:hint="eastAsia" w:ascii="宋体" w:hAnsi="宋体" w:cs="宋体"/>
          <w:b/>
          <w:sz w:val="36"/>
          <w:szCs w:val="36"/>
        </w:rPr>
        <w:t>项目编号:</w:t>
      </w:r>
      <w:r>
        <w:rPr>
          <w:rFonts w:hint="eastAsia" w:ascii="宋体" w:hAnsi="宋体" w:cs="宋体"/>
        </w:rPr>
        <w:t xml:space="preserve"> </w:t>
      </w:r>
      <w:r>
        <w:rPr>
          <w:rFonts w:hint="eastAsia" w:ascii="宋体" w:hAnsi="宋体" w:cs="宋体"/>
          <w:b/>
          <w:sz w:val="36"/>
          <w:szCs w:val="36"/>
          <w:lang w:eastAsia="zh-CN"/>
        </w:rPr>
        <w:t>ZHZB-2022（FW）</w:t>
      </w:r>
      <w:r>
        <w:rPr>
          <w:rFonts w:hint="eastAsia" w:ascii="宋体" w:hAnsi="宋体" w:cs="宋体"/>
          <w:b/>
          <w:sz w:val="36"/>
          <w:szCs w:val="36"/>
          <w:lang w:val="en-US" w:eastAsia="zh-CN"/>
        </w:rPr>
        <w:t>045</w:t>
      </w:r>
    </w:p>
    <w:p>
      <w:pPr>
        <w:widowControl/>
        <w:spacing w:line="360" w:lineRule="auto"/>
        <w:jc w:val="center"/>
        <w:rPr>
          <w:rFonts w:ascii="宋体" w:hAnsi="宋体" w:cs="宋体"/>
          <w:b/>
          <w:sz w:val="52"/>
          <w:szCs w:val="52"/>
        </w:rPr>
      </w:pPr>
    </w:p>
    <w:p>
      <w:pPr>
        <w:pStyle w:val="18"/>
        <w:ind w:left="0" w:leftChars="0" w:firstLine="0" w:firstLineChars="0"/>
        <w:jc w:val="center"/>
        <w:rPr>
          <w:rFonts w:ascii="宋体" w:hAnsi="宋体" w:cs="宋体"/>
          <w:b/>
          <w:sz w:val="48"/>
          <w:szCs w:val="48"/>
          <w:shd w:val="clear" w:color="auto" w:fill="FFFFFF"/>
        </w:rPr>
      </w:pPr>
      <w:r>
        <w:rPr>
          <w:rFonts w:hint="eastAsia" w:ascii="宋体" w:hAnsi="宋体" w:cs="宋体"/>
          <w:b/>
          <w:sz w:val="48"/>
          <w:szCs w:val="48"/>
          <w:shd w:val="clear" w:color="auto" w:fill="FFFFFF"/>
          <w:lang w:val="en-US" w:eastAsia="zh-CN"/>
        </w:rPr>
        <w:t>富平县妇女儿童医院购置移动护士站综合服务采购项目</w:t>
      </w:r>
    </w:p>
    <w:p>
      <w:pPr>
        <w:pStyle w:val="18"/>
        <w:ind w:firstLine="321"/>
        <w:rPr>
          <w:rFonts w:ascii="宋体" w:hAnsi="宋体" w:cs="宋体"/>
          <w:b/>
          <w:sz w:val="32"/>
          <w:szCs w:val="32"/>
          <w:shd w:val="clear" w:color="auto" w:fill="FFFFFF"/>
        </w:rPr>
      </w:pPr>
    </w:p>
    <w:p>
      <w:pPr>
        <w:pStyle w:val="9"/>
        <w:rPr>
          <w:rFonts w:ascii="宋体" w:hAnsi="宋体" w:cs="宋体"/>
          <w:b/>
          <w:sz w:val="32"/>
          <w:szCs w:val="32"/>
          <w:shd w:val="clear" w:color="auto" w:fill="FFFFFF"/>
        </w:rPr>
      </w:pPr>
    </w:p>
    <w:p/>
    <w:p>
      <w:pPr>
        <w:spacing w:line="360" w:lineRule="auto"/>
        <w:jc w:val="center"/>
        <w:rPr>
          <w:rFonts w:ascii="宋体" w:hAnsi="宋体" w:cs="宋体"/>
          <w:b/>
          <w:sz w:val="72"/>
          <w:szCs w:val="72"/>
        </w:rPr>
      </w:pPr>
      <w:r>
        <w:rPr>
          <w:rFonts w:hint="eastAsia" w:ascii="宋体" w:hAnsi="宋体" w:cs="宋体"/>
          <w:b/>
          <w:sz w:val="72"/>
          <w:szCs w:val="72"/>
        </w:rPr>
        <w:t>竞争性磋商文件</w:t>
      </w:r>
    </w:p>
    <w:p>
      <w:pPr>
        <w:spacing w:line="360" w:lineRule="auto"/>
        <w:rPr>
          <w:rFonts w:ascii="宋体" w:hAnsi="宋体" w:cs="宋体"/>
          <w:sz w:val="32"/>
        </w:rPr>
      </w:pPr>
    </w:p>
    <w:p>
      <w:pPr>
        <w:spacing w:line="360" w:lineRule="auto"/>
        <w:rPr>
          <w:rFonts w:ascii="宋体" w:hAnsi="宋体" w:cs="宋体"/>
          <w:sz w:val="32"/>
        </w:rPr>
      </w:pPr>
    </w:p>
    <w:p>
      <w:pPr>
        <w:spacing w:line="360" w:lineRule="auto"/>
        <w:rPr>
          <w:rFonts w:ascii="宋体" w:hAnsi="宋体" w:cs="宋体"/>
          <w:sz w:val="32"/>
        </w:rPr>
      </w:pPr>
    </w:p>
    <w:p>
      <w:pPr>
        <w:spacing w:line="360" w:lineRule="auto"/>
        <w:rPr>
          <w:rFonts w:ascii="宋体" w:hAnsi="宋体" w:cs="宋体"/>
          <w:sz w:val="32"/>
        </w:rPr>
      </w:pPr>
    </w:p>
    <w:p>
      <w:pPr>
        <w:pStyle w:val="7"/>
        <w:spacing w:line="360" w:lineRule="auto"/>
        <w:rPr>
          <w:rFonts w:ascii="宋体" w:hAnsi="宋体" w:cs="宋体"/>
        </w:rPr>
      </w:pPr>
    </w:p>
    <w:p>
      <w:pPr>
        <w:pStyle w:val="7"/>
        <w:spacing w:line="360" w:lineRule="auto"/>
        <w:rPr>
          <w:rFonts w:ascii="宋体" w:hAnsi="宋体" w:cs="宋体"/>
        </w:rPr>
      </w:pPr>
    </w:p>
    <w:p>
      <w:pPr>
        <w:spacing w:line="360" w:lineRule="auto"/>
        <w:rPr>
          <w:rFonts w:ascii="宋体" w:hAnsi="宋体" w:cs="宋体"/>
          <w:sz w:val="32"/>
        </w:rPr>
      </w:pPr>
    </w:p>
    <w:p>
      <w:pPr>
        <w:spacing w:line="360" w:lineRule="auto"/>
        <w:jc w:val="center"/>
        <w:rPr>
          <w:rFonts w:ascii="宋体" w:hAnsi="宋体" w:cs="宋体"/>
          <w:b/>
          <w:sz w:val="36"/>
          <w:szCs w:val="36"/>
        </w:rPr>
      </w:pPr>
    </w:p>
    <w:p>
      <w:pPr>
        <w:tabs>
          <w:tab w:val="left" w:pos="2775"/>
        </w:tabs>
        <w:spacing w:line="360" w:lineRule="auto"/>
        <w:jc w:val="center"/>
        <w:rPr>
          <w:rFonts w:ascii="宋体" w:hAnsi="宋体" w:cs="宋体"/>
          <w:b/>
          <w:sz w:val="32"/>
          <w:szCs w:val="32"/>
        </w:rPr>
      </w:pPr>
      <w:r>
        <w:rPr>
          <w:rFonts w:hint="eastAsia" w:ascii="宋体" w:hAnsi="宋体" w:cs="宋体"/>
          <w:b/>
          <w:sz w:val="32"/>
          <w:szCs w:val="32"/>
        </w:rPr>
        <w:t>陕西致恒招标代理有限公司</w:t>
      </w:r>
    </w:p>
    <w:p>
      <w:pPr>
        <w:tabs>
          <w:tab w:val="left" w:pos="2775"/>
        </w:tabs>
        <w:spacing w:line="360" w:lineRule="auto"/>
        <w:jc w:val="center"/>
        <w:rPr>
          <w:rFonts w:ascii="宋体" w:hAnsi="宋体" w:cs="宋体"/>
        </w:rPr>
      </w:pPr>
      <w:r>
        <w:rPr>
          <w:rFonts w:hint="eastAsia" w:ascii="宋体" w:hAnsi="宋体" w:cs="宋体"/>
          <w:b/>
          <w:sz w:val="32"/>
          <w:szCs w:val="32"/>
        </w:rPr>
        <w:t>二〇二</w:t>
      </w:r>
      <w:r>
        <w:rPr>
          <w:rFonts w:hint="eastAsia" w:ascii="宋体" w:hAnsi="宋体" w:cs="宋体"/>
          <w:b/>
          <w:sz w:val="32"/>
          <w:szCs w:val="32"/>
          <w:lang w:val="en-US" w:eastAsia="zh-CN"/>
        </w:rPr>
        <w:t>二</w:t>
      </w:r>
      <w:r>
        <w:rPr>
          <w:rFonts w:hint="eastAsia" w:ascii="宋体" w:hAnsi="宋体" w:cs="宋体"/>
          <w:b/>
          <w:sz w:val="32"/>
          <w:szCs w:val="32"/>
        </w:rPr>
        <w:t>年</w:t>
      </w:r>
      <w:r>
        <w:rPr>
          <w:rFonts w:hint="eastAsia" w:ascii="宋体" w:hAnsi="宋体" w:cs="宋体"/>
          <w:b/>
          <w:sz w:val="32"/>
          <w:szCs w:val="32"/>
          <w:lang w:val="en-US" w:eastAsia="zh-CN"/>
        </w:rPr>
        <w:t>十二</w:t>
      </w:r>
      <w:r>
        <w:rPr>
          <w:rFonts w:hint="eastAsia" w:ascii="宋体" w:hAnsi="宋体" w:cs="宋体"/>
          <w:b/>
          <w:sz w:val="32"/>
          <w:szCs w:val="32"/>
        </w:rPr>
        <w:t>月</w:t>
      </w:r>
    </w:p>
    <w:p>
      <w:pPr>
        <w:spacing w:line="360" w:lineRule="auto"/>
        <w:rPr>
          <w:rFonts w:ascii="宋体" w:hAnsi="宋体" w:cs="宋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18" w:right="828" w:bottom="1418" w:left="1218" w:header="851" w:footer="992" w:gutter="0"/>
          <w:pgNumType w:start="1"/>
          <w:cols w:space="720" w:num="1"/>
          <w:titlePg/>
          <w:docGrid w:linePitch="312" w:charSpace="0"/>
        </w:sectPr>
      </w:pPr>
    </w:p>
    <w:p>
      <w:pPr>
        <w:pStyle w:val="30"/>
        <w:spacing w:before="0" w:line="500" w:lineRule="exact"/>
        <w:jc w:val="center"/>
        <w:rPr>
          <w:rFonts w:ascii="宋体" w:hAnsi="宋体" w:cs="宋体"/>
          <w:color w:val="auto"/>
          <w:sz w:val="48"/>
          <w:szCs w:val="48"/>
          <w:lang w:val="zh-CN"/>
        </w:rPr>
      </w:pPr>
      <w:r>
        <w:rPr>
          <w:rFonts w:hint="eastAsia" w:ascii="宋体" w:hAnsi="宋体" w:cs="宋体"/>
          <w:color w:val="auto"/>
          <w:sz w:val="48"/>
          <w:szCs w:val="48"/>
          <w:lang w:val="zh-CN"/>
        </w:rPr>
        <w:t>目 录</w:t>
      </w:r>
    </w:p>
    <w:p>
      <w:pPr>
        <w:pStyle w:val="15"/>
        <w:tabs>
          <w:tab w:val="right" w:leader="dot" w:pos="9049"/>
        </w:tabs>
        <w:spacing w:line="360" w:lineRule="auto"/>
        <w:rPr>
          <w:sz w:val="24"/>
        </w:rPr>
      </w:pPr>
      <w:r>
        <w:rPr>
          <w:rFonts w:hint="eastAsia" w:ascii="宋体" w:hAnsi="宋体" w:cs="宋体"/>
          <w:sz w:val="24"/>
        </w:rPr>
        <w:fldChar w:fldCharType="begin"/>
      </w:r>
      <w:r>
        <w:rPr>
          <w:rFonts w:hint="eastAsia" w:ascii="宋体" w:hAnsi="宋体" w:cs="宋体"/>
          <w:sz w:val="24"/>
        </w:rPr>
        <w:instrText xml:space="preserve"> TOC \o "1-3" \h \z \u </w:instrText>
      </w:r>
      <w:r>
        <w:rPr>
          <w:rFonts w:hint="eastAsia" w:ascii="宋体" w:hAnsi="宋体" w:cs="宋体"/>
          <w:sz w:val="24"/>
        </w:rPr>
        <w:fldChar w:fldCharType="separate"/>
      </w:r>
      <w:r>
        <w:fldChar w:fldCharType="begin"/>
      </w:r>
      <w:r>
        <w:instrText xml:space="preserve"> HYPERLINK \l "_Toc3397" </w:instrText>
      </w:r>
      <w:r>
        <w:fldChar w:fldCharType="separate"/>
      </w:r>
      <w:r>
        <w:rPr>
          <w:rFonts w:hint="eastAsia" w:ascii="宋体" w:hAnsi="宋体" w:cs="宋体"/>
          <w:sz w:val="24"/>
        </w:rPr>
        <w:t>第一章 竞争性磋商公告</w:t>
      </w:r>
      <w:r>
        <w:rPr>
          <w:sz w:val="24"/>
        </w:rPr>
        <w:tab/>
      </w:r>
      <w:r>
        <w:rPr>
          <w:sz w:val="24"/>
        </w:rPr>
        <w:fldChar w:fldCharType="begin"/>
      </w:r>
      <w:r>
        <w:rPr>
          <w:sz w:val="24"/>
        </w:rPr>
        <w:instrText xml:space="preserve"> PAGEREF _Toc3397 \h </w:instrText>
      </w:r>
      <w:r>
        <w:rPr>
          <w:sz w:val="24"/>
        </w:rPr>
        <w:fldChar w:fldCharType="separate"/>
      </w:r>
      <w:r>
        <w:rPr>
          <w:sz w:val="24"/>
        </w:rPr>
        <w:t>3</w:t>
      </w:r>
      <w:r>
        <w:rPr>
          <w:sz w:val="24"/>
        </w:rPr>
        <w:fldChar w:fldCharType="end"/>
      </w:r>
      <w:r>
        <w:rPr>
          <w:sz w:val="24"/>
        </w:rPr>
        <w:fldChar w:fldCharType="end"/>
      </w:r>
    </w:p>
    <w:p>
      <w:pPr>
        <w:pStyle w:val="15"/>
        <w:tabs>
          <w:tab w:val="right" w:leader="dot" w:pos="9049"/>
        </w:tabs>
        <w:spacing w:line="360" w:lineRule="auto"/>
        <w:rPr>
          <w:sz w:val="24"/>
        </w:rPr>
      </w:pPr>
      <w:r>
        <w:fldChar w:fldCharType="begin"/>
      </w:r>
      <w:r>
        <w:instrText xml:space="preserve"> HYPERLINK \l "_Toc30432" </w:instrText>
      </w:r>
      <w:r>
        <w:fldChar w:fldCharType="separate"/>
      </w:r>
      <w:r>
        <w:rPr>
          <w:rFonts w:hint="eastAsia" w:ascii="宋体" w:hAnsi="宋体" w:cs="宋体"/>
          <w:sz w:val="24"/>
        </w:rPr>
        <w:t>第二章 供应商须知</w:t>
      </w:r>
      <w:r>
        <w:rPr>
          <w:sz w:val="24"/>
        </w:rPr>
        <w:tab/>
      </w:r>
      <w:r>
        <w:rPr>
          <w:sz w:val="24"/>
        </w:rPr>
        <w:fldChar w:fldCharType="begin"/>
      </w:r>
      <w:r>
        <w:rPr>
          <w:sz w:val="24"/>
        </w:rPr>
        <w:instrText xml:space="preserve"> PAGEREF _Toc30432 \h </w:instrText>
      </w:r>
      <w:r>
        <w:rPr>
          <w:sz w:val="24"/>
        </w:rPr>
        <w:fldChar w:fldCharType="separate"/>
      </w:r>
      <w:r>
        <w:rPr>
          <w:sz w:val="24"/>
        </w:rPr>
        <w:t>7</w:t>
      </w:r>
      <w:r>
        <w:rPr>
          <w:sz w:val="24"/>
        </w:rPr>
        <w:fldChar w:fldCharType="end"/>
      </w:r>
      <w:r>
        <w:rPr>
          <w:sz w:val="24"/>
        </w:rPr>
        <w:fldChar w:fldCharType="end"/>
      </w:r>
    </w:p>
    <w:p>
      <w:pPr>
        <w:pStyle w:val="15"/>
        <w:tabs>
          <w:tab w:val="right" w:leader="dot" w:pos="9049"/>
        </w:tabs>
        <w:spacing w:line="360" w:lineRule="auto"/>
        <w:rPr>
          <w:sz w:val="24"/>
        </w:rPr>
      </w:pPr>
      <w:r>
        <w:fldChar w:fldCharType="begin"/>
      </w:r>
      <w:r>
        <w:instrText xml:space="preserve"> HYPERLINK \l "_Toc10268" </w:instrText>
      </w:r>
      <w:r>
        <w:fldChar w:fldCharType="separate"/>
      </w:r>
      <w:r>
        <w:rPr>
          <w:rFonts w:hint="eastAsia" w:ascii="宋体" w:hAnsi="宋体" w:cs="宋体"/>
          <w:bCs/>
          <w:kern w:val="44"/>
          <w:sz w:val="24"/>
        </w:rPr>
        <w:t>第三章 商务要求</w:t>
      </w:r>
      <w:r>
        <w:rPr>
          <w:sz w:val="24"/>
        </w:rPr>
        <w:tab/>
      </w:r>
      <w:r>
        <w:rPr>
          <w:sz w:val="24"/>
        </w:rPr>
        <w:fldChar w:fldCharType="begin"/>
      </w:r>
      <w:r>
        <w:rPr>
          <w:sz w:val="24"/>
        </w:rPr>
        <w:instrText xml:space="preserve"> PAGEREF _Toc10268 \h </w:instrText>
      </w:r>
      <w:r>
        <w:rPr>
          <w:sz w:val="24"/>
        </w:rPr>
        <w:fldChar w:fldCharType="separate"/>
      </w:r>
      <w:r>
        <w:rPr>
          <w:sz w:val="24"/>
        </w:rPr>
        <w:t>29</w:t>
      </w:r>
      <w:r>
        <w:rPr>
          <w:sz w:val="24"/>
        </w:rPr>
        <w:fldChar w:fldCharType="end"/>
      </w:r>
      <w:r>
        <w:rPr>
          <w:sz w:val="24"/>
        </w:rPr>
        <w:fldChar w:fldCharType="end"/>
      </w:r>
    </w:p>
    <w:p>
      <w:pPr>
        <w:pStyle w:val="15"/>
        <w:tabs>
          <w:tab w:val="right" w:leader="dot" w:pos="9049"/>
        </w:tabs>
        <w:spacing w:line="360" w:lineRule="auto"/>
        <w:rPr>
          <w:sz w:val="24"/>
        </w:rPr>
      </w:pPr>
      <w:r>
        <w:fldChar w:fldCharType="begin"/>
      </w:r>
      <w:r>
        <w:instrText xml:space="preserve"> HYPERLINK \l "_Toc12153" </w:instrText>
      </w:r>
      <w:r>
        <w:fldChar w:fldCharType="separate"/>
      </w:r>
      <w:r>
        <w:rPr>
          <w:rFonts w:hint="eastAsia" w:ascii="宋体" w:hAnsi="宋体" w:cs="宋体"/>
          <w:sz w:val="24"/>
        </w:rPr>
        <w:t>第四章 合同条款及格式</w:t>
      </w:r>
      <w:r>
        <w:rPr>
          <w:sz w:val="24"/>
        </w:rPr>
        <w:tab/>
      </w:r>
      <w:r>
        <w:rPr>
          <w:sz w:val="24"/>
        </w:rPr>
        <w:fldChar w:fldCharType="begin"/>
      </w:r>
      <w:r>
        <w:rPr>
          <w:sz w:val="24"/>
        </w:rPr>
        <w:instrText xml:space="preserve"> PAGEREF _Toc12153 \h </w:instrText>
      </w:r>
      <w:r>
        <w:rPr>
          <w:sz w:val="24"/>
        </w:rPr>
        <w:fldChar w:fldCharType="separate"/>
      </w:r>
      <w:r>
        <w:rPr>
          <w:sz w:val="24"/>
        </w:rPr>
        <w:t>30</w:t>
      </w:r>
      <w:r>
        <w:rPr>
          <w:sz w:val="24"/>
        </w:rPr>
        <w:fldChar w:fldCharType="end"/>
      </w:r>
      <w:r>
        <w:rPr>
          <w:sz w:val="24"/>
        </w:rPr>
        <w:fldChar w:fldCharType="end"/>
      </w:r>
    </w:p>
    <w:p>
      <w:pPr>
        <w:pStyle w:val="15"/>
        <w:tabs>
          <w:tab w:val="right" w:leader="dot" w:pos="9049"/>
        </w:tabs>
        <w:spacing w:line="360" w:lineRule="auto"/>
        <w:rPr>
          <w:sz w:val="24"/>
        </w:rPr>
      </w:pPr>
      <w:r>
        <w:fldChar w:fldCharType="begin"/>
      </w:r>
      <w:r>
        <w:instrText xml:space="preserve"> HYPERLINK \l "_Toc14015" </w:instrText>
      </w:r>
      <w:r>
        <w:fldChar w:fldCharType="separate"/>
      </w:r>
      <w:r>
        <w:rPr>
          <w:rFonts w:hint="eastAsia" w:ascii="宋体" w:hAnsi="宋体" w:cs="宋体"/>
          <w:sz w:val="24"/>
        </w:rPr>
        <w:t>第五章 采购内容及技术要求</w:t>
      </w:r>
      <w:r>
        <w:rPr>
          <w:sz w:val="24"/>
        </w:rPr>
        <w:tab/>
      </w:r>
      <w:r>
        <w:rPr>
          <w:sz w:val="24"/>
        </w:rPr>
        <w:fldChar w:fldCharType="begin"/>
      </w:r>
      <w:r>
        <w:rPr>
          <w:sz w:val="24"/>
        </w:rPr>
        <w:instrText xml:space="preserve"> PAGEREF _Toc14015 \h </w:instrText>
      </w:r>
      <w:r>
        <w:rPr>
          <w:sz w:val="24"/>
        </w:rPr>
        <w:fldChar w:fldCharType="separate"/>
      </w:r>
      <w:r>
        <w:rPr>
          <w:sz w:val="24"/>
        </w:rPr>
        <w:t>32</w:t>
      </w:r>
      <w:r>
        <w:rPr>
          <w:sz w:val="24"/>
        </w:rPr>
        <w:fldChar w:fldCharType="end"/>
      </w:r>
      <w:r>
        <w:rPr>
          <w:sz w:val="24"/>
        </w:rPr>
        <w:fldChar w:fldCharType="end"/>
      </w:r>
    </w:p>
    <w:p>
      <w:pPr>
        <w:pStyle w:val="15"/>
        <w:tabs>
          <w:tab w:val="right" w:leader="dot" w:pos="9049"/>
        </w:tabs>
        <w:spacing w:line="360" w:lineRule="auto"/>
        <w:rPr>
          <w:sz w:val="24"/>
        </w:rPr>
      </w:pPr>
      <w:r>
        <w:fldChar w:fldCharType="begin"/>
      </w:r>
      <w:r>
        <w:instrText xml:space="preserve"> HYPERLINK \l "_Toc31945" </w:instrText>
      </w:r>
      <w:r>
        <w:fldChar w:fldCharType="separate"/>
      </w:r>
      <w:r>
        <w:rPr>
          <w:rFonts w:hint="eastAsia" w:ascii="宋体" w:hAnsi="宋体" w:cs="宋体"/>
          <w:sz w:val="24"/>
        </w:rPr>
        <w:t>第六章 响应文件格式</w:t>
      </w:r>
      <w:r>
        <w:rPr>
          <w:sz w:val="24"/>
        </w:rPr>
        <w:tab/>
      </w:r>
      <w:r>
        <w:rPr>
          <w:sz w:val="24"/>
        </w:rPr>
        <w:fldChar w:fldCharType="begin"/>
      </w:r>
      <w:r>
        <w:rPr>
          <w:sz w:val="24"/>
        </w:rPr>
        <w:instrText xml:space="preserve"> PAGEREF _Toc31945 \h </w:instrText>
      </w:r>
      <w:r>
        <w:rPr>
          <w:sz w:val="24"/>
        </w:rPr>
        <w:fldChar w:fldCharType="separate"/>
      </w:r>
      <w:r>
        <w:rPr>
          <w:sz w:val="24"/>
        </w:rPr>
        <w:t>32</w:t>
      </w:r>
      <w:r>
        <w:rPr>
          <w:sz w:val="24"/>
        </w:rPr>
        <w:fldChar w:fldCharType="end"/>
      </w:r>
      <w:r>
        <w:rPr>
          <w:sz w:val="24"/>
        </w:rPr>
        <w:fldChar w:fldCharType="end"/>
      </w:r>
    </w:p>
    <w:p>
      <w:pPr>
        <w:pStyle w:val="3"/>
        <w:rPr>
          <w:rFonts w:ascii="宋体" w:hAnsi="宋体" w:cs="宋体"/>
          <w:sz w:val="24"/>
          <w:szCs w:val="24"/>
        </w:rPr>
      </w:pPr>
      <w:r>
        <w:rPr>
          <w:rFonts w:hint="eastAsia" w:ascii="宋体" w:hAnsi="宋体" w:cs="宋体"/>
          <w:sz w:val="24"/>
          <w:szCs w:val="24"/>
        </w:rPr>
        <w:fldChar w:fldCharType="end"/>
      </w:r>
      <w:bookmarkStart w:id="0" w:name="_Toc458617452"/>
      <w:bookmarkStart w:id="1" w:name="_Toc19866"/>
      <w:bookmarkStart w:id="2" w:name="_Toc30185"/>
      <w:bookmarkStart w:id="3" w:name="_Toc28682"/>
      <w:bookmarkStart w:id="4" w:name="_Toc458617729"/>
      <w:bookmarkStart w:id="5" w:name="_Toc3397"/>
    </w:p>
    <w:p>
      <w:pPr>
        <w:rPr>
          <w:rFonts w:ascii="宋体" w:hAnsi="宋体" w:cs="宋体"/>
          <w:szCs w:val="24"/>
        </w:rPr>
      </w:pPr>
      <w:r>
        <w:rPr>
          <w:rFonts w:hint="eastAsia" w:ascii="宋体" w:hAnsi="宋体" w:cs="宋体"/>
          <w:szCs w:val="24"/>
        </w:rPr>
        <w:br w:type="page"/>
      </w:r>
    </w:p>
    <w:p>
      <w:pPr>
        <w:pStyle w:val="3"/>
        <w:rPr>
          <w:rFonts w:ascii="宋体" w:hAnsi="宋体" w:cs="宋体"/>
        </w:rPr>
      </w:pPr>
      <w:r>
        <w:rPr>
          <w:rFonts w:hint="eastAsia" w:ascii="宋体" w:hAnsi="宋体" w:cs="宋体"/>
        </w:rPr>
        <w:t>第一章 竞争性磋商公告</w:t>
      </w:r>
      <w:bookmarkEnd w:id="0"/>
      <w:bookmarkEnd w:id="1"/>
      <w:bookmarkEnd w:id="2"/>
      <w:bookmarkEnd w:id="3"/>
      <w:bookmarkEnd w:id="4"/>
      <w:bookmarkEnd w:id="5"/>
      <w:bookmarkStart w:id="6" w:name="_Hlk45527469"/>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cs="宋体"/>
          <w:i w:val="0"/>
          <w:iCs w:val="0"/>
          <w:caps w:val="0"/>
          <w:color w:val="333333"/>
          <w:spacing w:val="0"/>
          <w:sz w:val="24"/>
          <w:szCs w:val="24"/>
          <w:shd w:val="clear" w:fill="FFFFFF"/>
          <w:vertAlign w:val="baseline"/>
          <w:lang w:val="en-US" w:eastAsia="zh-CN"/>
        </w:rPr>
        <w:t>富平县妇女儿童医院购置移动护士站综合服务采购项目</w:t>
      </w:r>
      <w:r>
        <w:rPr>
          <w:rFonts w:hint="eastAsia" w:ascii="宋体" w:hAnsi="宋体" w:eastAsia="宋体" w:cs="宋体"/>
          <w:i w:val="0"/>
          <w:iCs w:val="0"/>
          <w:caps w:val="0"/>
          <w:color w:val="333333"/>
          <w:spacing w:val="0"/>
          <w:sz w:val="24"/>
          <w:szCs w:val="24"/>
          <w:shd w:val="clear" w:fill="FFFFFF"/>
          <w:vertAlign w:val="baseline"/>
        </w:rPr>
        <w:t>的潜在供应商应在西安市未央区北二环大明宫立交桥百寰国际2704室获取采购文件，并于2022年12月</w:t>
      </w:r>
      <w:r>
        <w:rPr>
          <w:rFonts w:hint="eastAsia" w:ascii="宋体" w:hAnsi="宋体" w:cs="宋体"/>
          <w:i w:val="0"/>
          <w:iCs w:val="0"/>
          <w:caps w:val="0"/>
          <w:color w:val="333333"/>
          <w:spacing w:val="0"/>
          <w:sz w:val="24"/>
          <w:szCs w:val="24"/>
          <w:shd w:val="clear" w:fill="FFFFFF"/>
          <w:vertAlign w:val="baseline"/>
          <w:lang w:val="en-US" w:eastAsia="zh-CN"/>
        </w:rPr>
        <w:t>19</w:t>
      </w:r>
      <w:r>
        <w:rPr>
          <w:rFonts w:hint="eastAsia" w:ascii="宋体" w:hAnsi="宋体" w:eastAsia="宋体" w:cs="宋体"/>
          <w:i w:val="0"/>
          <w:iCs w:val="0"/>
          <w:caps w:val="0"/>
          <w:color w:val="333333"/>
          <w:spacing w:val="0"/>
          <w:sz w:val="24"/>
          <w:szCs w:val="24"/>
          <w:shd w:val="clear" w:fill="FFFFFF"/>
          <w:vertAlign w:val="baseline"/>
        </w:rPr>
        <w:t>日 14时30分 （北京时间）前提交响应文件。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项目编号：ZHZB-2022（FW）04</w:t>
      </w:r>
      <w:r>
        <w:rPr>
          <w:rFonts w:hint="eastAsia" w:ascii="宋体" w:hAnsi="宋体" w:cs="宋体"/>
          <w:i w:val="0"/>
          <w:iCs w:val="0"/>
          <w:caps w:val="0"/>
          <w:color w:val="333333"/>
          <w:spacing w:val="0"/>
          <w:sz w:val="24"/>
          <w:szCs w:val="24"/>
          <w:shd w:val="clear" w:fill="FFFFFF"/>
          <w:vertAlign w:val="baseline"/>
          <w:lang w:val="en-US" w:eastAsia="zh-CN"/>
        </w:rPr>
        <w:t>5</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ascii="宋体" w:hAnsi="宋体" w:cs="宋体"/>
          <w:i w:val="0"/>
          <w:iCs w:val="0"/>
          <w:caps w:val="0"/>
          <w:color w:val="333333"/>
          <w:spacing w:val="0"/>
          <w:sz w:val="24"/>
          <w:szCs w:val="24"/>
          <w:shd w:val="clear" w:fill="FFFFFF"/>
          <w:vertAlign w:val="baseline"/>
          <w:lang w:val="en-US" w:eastAsia="zh-CN"/>
        </w:rPr>
        <w:t>富平县妇女儿童医院购置移动护士站综合服务采购项目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cs="宋体"/>
          <w:i w:val="0"/>
          <w:iCs w:val="0"/>
          <w:caps w:val="0"/>
          <w:color w:val="333333"/>
          <w:spacing w:val="0"/>
          <w:sz w:val="24"/>
          <w:szCs w:val="24"/>
          <w:shd w:val="clear" w:fill="FFFFFF"/>
          <w:vertAlign w:val="baseline"/>
          <w:lang w:val="en-US" w:eastAsia="zh-CN"/>
        </w:rPr>
        <w:t>60</w:t>
      </w:r>
      <w:r>
        <w:rPr>
          <w:rFonts w:hint="eastAsia" w:ascii="宋体" w:hAnsi="宋体" w:eastAsia="宋体" w:cs="宋体"/>
          <w:i w:val="0"/>
          <w:iCs w:val="0"/>
          <w:caps w:val="0"/>
          <w:color w:val="333333"/>
          <w:spacing w:val="0"/>
          <w:sz w:val="24"/>
          <w:szCs w:val="24"/>
          <w:shd w:val="clear" w:fill="FFFFFF"/>
          <w:vertAlign w:val="baseline"/>
        </w:rPr>
        <w:t>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val="en-US" w:eastAsia="zh-CN"/>
        </w:rPr>
        <w:t>富平县妇女儿童医院购置移动护士站综合服务采购项目</w:t>
      </w:r>
      <w:r>
        <w:rPr>
          <w:rFonts w:hint="eastAsia" w:ascii="宋体" w:hAnsi="宋体" w:eastAsia="宋体" w:cs="宋体"/>
          <w:i w:val="0"/>
          <w:iCs w:val="0"/>
          <w:caps w:val="0"/>
          <w:color w:val="333333"/>
          <w:spacing w:val="0"/>
          <w:sz w:val="24"/>
          <w:szCs w:val="24"/>
          <w:shd w:val="clear" w:fill="FFFFFF"/>
          <w:vertAlign w:val="baseline"/>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ascii="宋体" w:hAnsi="宋体" w:cs="宋体"/>
          <w:i w:val="0"/>
          <w:iCs w:val="0"/>
          <w:caps w:val="0"/>
          <w:color w:val="333333"/>
          <w:spacing w:val="0"/>
          <w:sz w:val="24"/>
          <w:szCs w:val="24"/>
          <w:shd w:val="clear" w:fill="FFFFFF"/>
          <w:vertAlign w:val="baseline"/>
          <w:lang w:val="en-US" w:eastAsia="zh-CN"/>
        </w:rPr>
        <w:t>60</w:t>
      </w:r>
      <w:r>
        <w:rPr>
          <w:rFonts w:hint="eastAsia" w:ascii="宋体" w:hAnsi="宋体" w:eastAsia="宋体" w:cs="宋体"/>
          <w:i w:val="0"/>
          <w:iCs w:val="0"/>
          <w:caps w:val="0"/>
          <w:color w:val="333333"/>
          <w:spacing w:val="0"/>
          <w:sz w:val="24"/>
          <w:szCs w:val="24"/>
          <w:shd w:val="clear" w:fill="FFFFFF"/>
          <w:vertAlign w:val="baseline"/>
        </w:rPr>
        <w:t>0,000.00元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合同包最高限价：600,000.00元</w:t>
      </w:r>
    </w:p>
    <w:tbl>
      <w:tblPr>
        <w:tblStyle w:val="20"/>
        <w:tblW w:w="9135"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8"/>
        <w:gridCol w:w="1203"/>
        <w:gridCol w:w="1537"/>
        <w:gridCol w:w="1041"/>
        <w:gridCol w:w="1524"/>
        <w:gridCol w:w="1652"/>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7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6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0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6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0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7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2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计算机设备和软件租赁服务</w:t>
            </w:r>
          </w:p>
        </w:tc>
        <w:tc>
          <w:tcPr>
            <w:tcW w:w="167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移动护士站综合服务</w:t>
            </w:r>
          </w:p>
        </w:tc>
        <w:tc>
          <w:tcPr>
            <w:tcW w:w="10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cs="宋体"/>
                <w:kern w:val="0"/>
                <w:sz w:val="24"/>
                <w:szCs w:val="24"/>
                <w:lang w:val="en-US" w:eastAsia="zh-CN" w:bidi="ar"/>
              </w:rPr>
              <w:t>1</w:t>
            </w: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项</w:t>
            </w:r>
            <w:r>
              <w:rPr>
                <w:rFonts w:hint="eastAsia" w:ascii="宋体" w:hAnsi="宋体" w:eastAsia="宋体" w:cs="宋体"/>
                <w:kern w:val="0"/>
                <w:sz w:val="24"/>
                <w:szCs w:val="24"/>
                <w:lang w:val="en-US" w:eastAsia="zh-CN" w:bidi="ar"/>
              </w:rPr>
              <w:t>)</w:t>
            </w:r>
          </w:p>
        </w:tc>
        <w:tc>
          <w:tcPr>
            <w:tcW w:w="16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sz w:val="24"/>
                <w:szCs w:val="24"/>
              </w:rPr>
            </w:pPr>
            <w:r>
              <w:rPr>
                <w:rFonts w:hint="eastAsia" w:ascii="宋体" w:hAnsi="宋体" w:cs="宋体"/>
                <w:kern w:val="0"/>
                <w:sz w:val="24"/>
                <w:szCs w:val="24"/>
                <w:vertAlign w:val="baseline"/>
                <w:lang w:val="en-US" w:eastAsia="zh-CN" w:bidi="ar"/>
              </w:rPr>
              <w:t>60</w:t>
            </w:r>
            <w:r>
              <w:rPr>
                <w:rFonts w:hint="eastAsia" w:ascii="宋体" w:hAnsi="宋体" w:eastAsia="宋体" w:cs="宋体"/>
                <w:kern w:val="0"/>
                <w:sz w:val="24"/>
                <w:szCs w:val="24"/>
                <w:vertAlign w:val="baseline"/>
                <w:lang w:val="en-US" w:eastAsia="zh-CN" w:bidi="ar"/>
              </w:rPr>
              <w:t>0,000.00</w:t>
            </w:r>
          </w:p>
        </w:tc>
        <w:tc>
          <w:tcPr>
            <w:tcW w:w="10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sz w:val="24"/>
                <w:szCs w:val="24"/>
              </w:rPr>
              <w:t>600,000.00</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w:t>
      </w:r>
      <w:r>
        <w:rPr>
          <w:rFonts w:hint="eastAsia" w:ascii="宋体" w:hAnsi="宋体" w:eastAsia="宋体" w:cs="宋体"/>
          <w:i w:val="0"/>
          <w:iCs w:val="0"/>
          <w:caps w:val="0"/>
          <w:color w:val="333333"/>
          <w:spacing w:val="0"/>
          <w:sz w:val="24"/>
          <w:szCs w:val="24"/>
          <w:highlight w:val="none"/>
          <w:shd w:val="clear" w:fill="FFFFFF"/>
          <w:vertAlign w:val="baseline"/>
        </w:rPr>
        <w:t>期限：自合同签订之日起</w:t>
      </w:r>
      <w:r>
        <w:rPr>
          <w:rFonts w:hint="eastAsia" w:ascii="宋体" w:hAnsi="宋体"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val="en-US" w:eastAsia="zh-CN"/>
        </w:rPr>
        <w:t>富平县妇女儿童医院购置移动护士站综合服务采购项目</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本项目非专门面向中小企业采购。</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依据有关规定，须落实以下政府采购政策：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2-1.《政府采购促进中小企业发展管理办法》的通知-财库〔2020〕46 号；2-2.《关于进一步加大政府采购支持中小企业力度的通知》（财库〔2022〕19号）；2-3.《财政部司法部关于政府采购支持监狱企业发展有关问题的通知》-财库〔2014〕68号； 2-4.《国务院办公厅关于建立政府强制采购节能产品制度的通知》-国办发〔2007〕51号； 2-5.《节能产品政府采购实施意见》-（财库[2004]185号）；2-6.《环境标志产品政府采购实施的意见》-财库[2006]90号；2-7.《三部门联合发布关于促进残疾人就业政府采购政策的通知》-财库〔2017〕141号；2-8.《财政部 发展改革委 生态环境部 市场监管总局关于调整优化节能产品、环境标志产品政府采购执行机制的通知》-（财库〔2019〕9号）；2-9.《财政部 农业农村部 国家乡村振兴局关于运用财政采购政策支持乡村产业振兴的通知》-（财库〔2021〕19号）；2-10.陕西省财政厅关于印发《陕西省中小企业政府采购信用融资办法》（陕财办采〔2018〕23号）；2-11.《陕西省财政厅关于加快推进我省中小企业政府采购信用融资工作的通知》（陕财办采〔2020〕15 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val="en-US" w:eastAsia="zh-CN"/>
        </w:rPr>
        <w:t>富平县妇女儿童医院购置移动护士站综合服务采购项目</w:t>
      </w:r>
      <w:r>
        <w:rPr>
          <w:rFonts w:hint="eastAsia" w:ascii="宋体" w:hAnsi="宋体" w:eastAsia="宋体" w:cs="宋体"/>
          <w:i w:val="0"/>
          <w:iCs w:val="0"/>
          <w:caps w:val="0"/>
          <w:color w:val="333333"/>
          <w:spacing w:val="0"/>
          <w:sz w:val="24"/>
          <w:szCs w:val="24"/>
          <w:shd w:val="clear" w:fill="FFFFFF"/>
          <w:vertAlign w:val="baseline"/>
        </w:rPr>
        <w:t>)特定资格要求如下: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48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3-1、独立承担民事责任的能力：合法注册的法人应提供营业执照（或事业法人证）、组织机构代码证、税务登记证或统一社会信用代码的营业执照或其他组织应提供合法证明文件或自然人提供身份证件；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-2、良好的商业信誉和健全的财务会计制度：2021年度经审计的财务报告或在2022年5月1日至今其基本开户银行出具的资信证明或财政部门认可的政府采购专业担保机构出具的投标担保函（以上三种形式的资料提供任何一种即可）；</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3-3、有依法缴纳税收和社会保障资金的良好记录：提供2022年</w:t>
      </w:r>
      <w:r>
        <w:rPr>
          <w:rFonts w:hint="eastAsia" w:ascii="宋体" w:hAnsi="宋体" w:cs="宋体"/>
          <w:i w:val="0"/>
          <w:iCs w:val="0"/>
          <w:caps w:val="0"/>
          <w:color w:val="333333"/>
          <w:spacing w:val="0"/>
          <w:sz w:val="24"/>
          <w:szCs w:val="24"/>
          <w:shd w:val="clear" w:fill="FFFFFF"/>
          <w:vertAlign w:val="baseline"/>
          <w:lang w:val="en-US" w:eastAsia="zh-CN"/>
        </w:rPr>
        <w:t>1</w:t>
      </w:r>
      <w:r>
        <w:rPr>
          <w:rFonts w:hint="eastAsia" w:ascii="宋体" w:hAnsi="宋体" w:eastAsia="宋体" w:cs="宋体"/>
          <w:i w:val="0"/>
          <w:iCs w:val="0"/>
          <w:caps w:val="0"/>
          <w:color w:val="333333"/>
          <w:spacing w:val="0"/>
          <w:sz w:val="24"/>
          <w:szCs w:val="24"/>
          <w:shd w:val="clear" w:fill="FFFFFF"/>
          <w:vertAlign w:val="baseline"/>
        </w:rPr>
        <w:t>月1日至今任意时段的缴纳证明，依法免税的单位应提供相关证明材料；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-4、书面声明：（1）参加本次政府采购活动前三年内在经营活动中没有重大违纪，以及未被列入失信被执行人、重大税收违法失信主体、政府采购严重违法失信行为记录名单的书面声明；（2）提供具有履行本合同所必需的设备和专业技术能力的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-5、法律、行政法规规定的其他条件：法定代表人直接参加投标的，须提供法定代表人身份证明(法人身份证原件备查）；法定代表人授权代表参加投标的，须提供法定代表人授权委托书(授权代表身份证原件备查）；</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3-6、供应商企业关系关联及联合体说明：本项目不接受联合体磋商，单位负责人为同一人或者存在直接控股、管理关系的不同供应商，不得参加同一合同项下的政府采购活动。</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备注：（1）以上为投标人必备资格要求，资格证明文件无效或缺项投标文件按无效文件处理。（2）分支机构参与投标时，须提供分支机构符合资格要求的证明文件。（3）书面声明、法定代表人身份证明和法定代表人授权委托书应按招标文件的要求填写，投标文件中必须附原件，其他资格证明文件提供复印件并加盖投标人公章。（4）依法免税或不需要缴纳社会保障资金的投标人须提供相应证明文件；事业单位法人可不提供财务状况报告和社会保障资金缴纳证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三、获取招标文件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时间：2022年</w:t>
      </w:r>
      <w:r>
        <w:rPr>
          <w:rFonts w:hint="eastAsia" w:ascii="宋体" w:hAnsi="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cs="宋体"/>
          <w:i w:val="0"/>
          <w:iCs w:val="0"/>
          <w:caps w:val="0"/>
          <w:color w:val="333333"/>
          <w:spacing w:val="0"/>
          <w:sz w:val="24"/>
          <w:szCs w:val="24"/>
          <w:shd w:val="clear" w:fill="FFFFFF"/>
          <w:vertAlign w:val="baseline"/>
          <w:lang w:val="en-US" w:eastAsia="zh-CN"/>
        </w:rPr>
        <w:t>09</w:t>
      </w:r>
      <w:r>
        <w:rPr>
          <w:rFonts w:hint="eastAsia" w:ascii="宋体" w:hAnsi="宋体" w:eastAsia="宋体" w:cs="宋体"/>
          <w:i w:val="0"/>
          <w:iCs w:val="0"/>
          <w:caps w:val="0"/>
          <w:color w:val="333333"/>
          <w:spacing w:val="0"/>
          <w:sz w:val="24"/>
          <w:szCs w:val="24"/>
          <w:shd w:val="clear" w:fill="FFFFFF"/>
          <w:vertAlign w:val="baseline"/>
        </w:rPr>
        <w:t>日至2022年12月</w:t>
      </w:r>
      <w:r>
        <w:rPr>
          <w:rFonts w:hint="eastAsia" w:ascii="宋体" w:hAnsi="宋体" w:cs="宋体"/>
          <w:i w:val="0"/>
          <w:iCs w:val="0"/>
          <w:caps w:val="0"/>
          <w:color w:val="333333"/>
          <w:spacing w:val="0"/>
          <w:sz w:val="24"/>
          <w:szCs w:val="24"/>
          <w:shd w:val="clear" w:fill="FFFFFF"/>
          <w:vertAlign w:val="baseline"/>
          <w:lang w:val="en-US" w:eastAsia="zh-CN"/>
        </w:rPr>
        <w:t>16</w:t>
      </w:r>
      <w:r>
        <w:rPr>
          <w:rFonts w:hint="eastAsia" w:ascii="宋体" w:hAnsi="宋体" w:eastAsia="宋体" w:cs="宋体"/>
          <w:i w:val="0"/>
          <w:iCs w:val="0"/>
          <w:caps w:val="0"/>
          <w:color w:val="333333"/>
          <w:spacing w:val="0"/>
          <w:sz w:val="24"/>
          <w:szCs w:val="24"/>
          <w:shd w:val="clear" w:fill="FFFFFF"/>
          <w:vertAlign w:val="baseline"/>
        </w:rPr>
        <w:t>日，每天上午09:00:00至11:30:00，下午14:00:00至17:00:00（北京时间）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途径：西安市未央区北二环大明宫立交桥百寰国际2704室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时间：2022年12月</w:t>
      </w:r>
      <w:r>
        <w:rPr>
          <w:rFonts w:hint="eastAsia" w:ascii="宋体" w:hAnsi="宋体" w:cs="宋体"/>
          <w:i w:val="0"/>
          <w:iCs w:val="0"/>
          <w:caps w:val="0"/>
          <w:color w:val="333333"/>
          <w:spacing w:val="0"/>
          <w:sz w:val="24"/>
          <w:szCs w:val="24"/>
          <w:shd w:val="clear" w:fill="FFFFFF"/>
          <w:vertAlign w:val="baseline"/>
          <w:lang w:val="en-US" w:eastAsia="zh-CN"/>
        </w:rPr>
        <w:t>20</w:t>
      </w:r>
      <w:r>
        <w:rPr>
          <w:rFonts w:hint="eastAsia" w:ascii="宋体" w:hAnsi="宋体" w:eastAsia="宋体" w:cs="宋体"/>
          <w:i w:val="0"/>
          <w:iCs w:val="0"/>
          <w:caps w:val="0"/>
          <w:color w:val="333333"/>
          <w:spacing w:val="0"/>
          <w:sz w:val="24"/>
          <w:szCs w:val="24"/>
          <w:shd w:val="clear" w:fill="FFFFFF"/>
          <w:vertAlign w:val="baseline"/>
        </w:rPr>
        <w:t>日 14时30分00秒 （北京时间）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提交投标文件地点：西安市未央区北二环大明宫立交桥百寰国际2704室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开标地点：西安市未央区北二环大明宫立交桥百寰国际2704室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五、公告期限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Style w:val="23"/>
          <w:rFonts w:hint="eastAsia" w:ascii="宋体" w:hAnsi="宋体" w:eastAsia="宋体" w:cs="宋体"/>
          <w:b/>
          <w:bCs/>
          <w:i w:val="0"/>
          <w:iCs w:val="0"/>
          <w:caps w:val="0"/>
          <w:color w:val="333333"/>
          <w:spacing w:val="0"/>
          <w:sz w:val="24"/>
          <w:szCs w:val="24"/>
          <w:shd w:val="clear" w:fill="FFFFFF"/>
          <w:vertAlign w:val="baseline"/>
        </w:rPr>
      </w:pPr>
      <w:r>
        <w:rPr>
          <w:rStyle w:val="23"/>
          <w:rFonts w:hint="eastAsia" w:ascii="宋体" w:hAnsi="宋体" w:eastAsia="宋体" w:cs="宋体"/>
          <w:b/>
          <w:bCs/>
          <w:i w:val="0"/>
          <w:iCs w:val="0"/>
          <w:caps w:val="0"/>
          <w:color w:val="333333"/>
          <w:spacing w:val="0"/>
          <w:sz w:val="24"/>
          <w:szCs w:val="24"/>
          <w:shd w:val="clear" w:fill="FFFFFF"/>
          <w:vertAlign w:val="baseline"/>
        </w:rPr>
        <w:t>其他补充事宜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val="0"/>
        <w:snapToGrid w:val="0"/>
        <w:spacing w:before="0" w:beforeAutospacing="0" w:after="0" w:afterAutospacing="0" w:line="360" w:lineRule="auto"/>
        <w:ind w:left="0" w:right="0" w:firstLine="480"/>
        <w:jc w:val="left"/>
        <w:textAlignment w:val="baseline"/>
        <w:rPr>
          <w:rFonts w:hint="eastAsia"/>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本项目开标地点：西安市未央区北二环大明宫立交桥百寰国际2704室会议室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cs="宋体"/>
          <w:i w:val="0"/>
          <w:iCs w:val="0"/>
          <w:caps w:val="0"/>
          <w:color w:val="333333"/>
          <w:spacing w:val="0"/>
          <w:kern w:val="0"/>
          <w:sz w:val="24"/>
          <w:szCs w:val="24"/>
          <w:shd w:val="clear" w:fill="FFFFFF"/>
          <w:vertAlign w:val="baseline"/>
          <w:lang w:val="en-US" w:eastAsia="zh-CN" w:bidi="ar"/>
        </w:rPr>
        <w:t>1</w:t>
      </w: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、获取时间：即日起至2022年12月</w:t>
      </w:r>
      <w:r>
        <w:rPr>
          <w:rFonts w:hint="eastAsia" w:ascii="宋体" w:hAnsi="宋体" w:cs="宋体"/>
          <w:i w:val="0"/>
          <w:iCs w:val="0"/>
          <w:caps w:val="0"/>
          <w:color w:val="333333"/>
          <w:spacing w:val="0"/>
          <w:kern w:val="0"/>
          <w:sz w:val="24"/>
          <w:szCs w:val="24"/>
          <w:shd w:val="clear" w:fill="FFFFFF"/>
          <w:vertAlign w:val="baseline"/>
          <w:lang w:val="en-US" w:eastAsia="zh-CN" w:bidi="ar"/>
        </w:rPr>
        <w:t>16</w:t>
      </w: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日（上午9：00-11：30，下午2：00-5：00，节假日除外）。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cs="宋体"/>
          <w:i w:val="0"/>
          <w:iCs w:val="0"/>
          <w:caps w:val="0"/>
          <w:color w:val="333333"/>
          <w:spacing w:val="0"/>
          <w:kern w:val="0"/>
          <w:sz w:val="24"/>
          <w:szCs w:val="24"/>
          <w:shd w:val="clear" w:fill="FFFFFF"/>
          <w:vertAlign w:val="baseline"/>
          <w:lang w:val="en-US" w:eastAsia="zh-CN" w:bidi="ar"/>
        </w:rPr>
        <w:t>2</w:t>
      </w: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、获取地点：西安市未央区北二环大明宫立交桥百寰国际2704室；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cs="宋体"/>
          <w:i w:val="0"/>
          <w:iCs w:val="0"/>
          <w:caps w:val="0"/>
          <w:color w:val="333333"/>
          <w:spacing w:val="0"/>
          <w:kern w:val="0"/>
          <w:sz w:val="24"/>
          <w:szCs w:val="24"/>
          <w:shd w:val="clear" w:fill="FFFFFF"/>
          <w:vertAlign w:val="baseline"/>
          <w:lang w:val="en-US" w:eastAsia="zh-CN" w:bidi="ar"/>
        </w:rPr>
        <w:t>3</w:t>
      </w: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线上获取磋商文件：将单位介绍信、经办人身份证复印件、发售登记表（详见附件）均加盖单位公章彩色扫描后发送至3146086008@qq.com，及时联系采购代理机构确认报名成功。线下获取获取磋商文件：携带单位介绍信、经办人身份证原件及加盖鲜章的复印件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cs="宋体"/>
          <w:i w:val="0"/>
          <w:iCs w:val="0"/>
          <w:caps w:val="0"/>
          <w:color w:val="333333"/>
          <w:spacing w:val="0"/>
          <w:kern w:val="0"/>
          <w:sz w:val="24"/>
          <w:szCs w:val="24"/>
          <w:shd w:val="clear" w:fill="FFFFFF"/>
          <w:vertAlign w:val="baseline"/>
          <w:lang w:val="en-US" w:eastAsia="zh-CN" w:bidi="ar"/>
        </w:rPr>
        <w:t>4</w:t>
      </w:r>
      <w:r>
        <w:rPr>
          <w:rFonts w:hint="eastAsia" w:ascii="宋体" w:hAnsi="宋体" w:eastAsia="宋体" w:cs="宋体"/>
          <w:i w:val="0"/>
          <w:iCs w:val="0"/>
          <w:caps w:val="0"/>
          <w:color w:val="333333"/>
          <w:spacing w:val="0"/>
          <w:kern w:val="0"/>
          <w:sz w:val="24"/>
          <w:szCs w:val="24"/>
          <w:shd w:val="clear" w:fill="FFFFFF"/>
          <w:vertAlign w:val="baseline"/>
          <w:lang w:val="en-US" w:eastAsia="zh-CN" w:bidi="ar"/>
        </w:rPr>
        <w:t>、提示：请供应商按照陕西省财政厅关于政府采购供应商注册登记有关事项的通知中的要求，通过陕西省政府采购网（http://www.ccgp-shaanxi.gov.cn/）注册登记加入陕西省政府采购供应商库。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3"/>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名称：富平县妇幼保健计划生育服务中心（富平县妇女儿童医院）</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地址：富平县城区富昌大道与来富大街交叉口</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cs="宋体"/>
          <w:i w:val="0"/>
          <w:iCs w:val="0"/>
          <w:caps w:val="0"/>
          <w:color w:val="333333"/>
          <w:spacing w:val="0"/>
          <w:sz w:val="24"/>
          <w:szCs w:val="24"/>
          <w:shd w:val="clear" w:fill="FFFFFF"/>
          <w:vertAlign w:val="baseline"/>
          <w:lang w:val="en-US" w:eastAsia="zh-CN"/>
        </w:rPr>
        <w:t>13892523886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名称：陕西致恒招标代理有限公司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地址：西安市未央区北二环大明宫立交桥百寰国际2704室</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联系方式：13289892509</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项目联系人：屈工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电话：13289892509</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陕西致恒招标代理有限公司</w:t>
      </w:r>
    </w:p>
    <w:p>
      <w:pPr>
        <w:pStyle w:val="17"/>
        <w:keepNext w:val="0"/>
        <w:keepLines w:val="0"/>
        <w:pageBreakBefore w:val="0"/>
        <w:widowControl/>
        <w:kinsoku/>
        <w:overflowPunct/>
        <w:topLinePunct w:val="0"/>
        <w:autoSpaceDE/>
        <w:autoSpaceDN/>
        <w:bidi w:val="0"/>
        <w:adjustRightInd/>
        <w:snapToGrid/>
        <w:spacing w:line="360" w:lineRule="auto"/>
        <w:ind w:firstLine="420"/>
      </w:pPr>
    </w:p>
    <w:p>
      <w:pPr>
        <w:pStyle w:val="17"/>
        <w:widowControl/>
        <w:spacing w:line="360" w:lineRule="auto"/>
        <w:ind w:firstLine="420"/>
      </w:pPr>
    </w:p>
    <w:p>
      <w:pPr>
        <w:pStyle w:val="17"/>
        <w:widowControl/>
        <w:spacing w:line="360" w:lineRule="auto"/>
        <w:ind w:firstLine="420"/>
      </w:pPr>
      <w:r>
        <w:rPr>
          <w:rFonts w:ascii="宋体" w:hAnsi="宋体" w:cs="宋体"/>
        </w:rPr>
        <mc:AlternateContent>
          <mc:Choice Requires="wps">
            <w:drawing>
              <wp:anchor distT="0" distB="0" distL="114300" distR="114300" simplePos="0" relativeHeight="251667456" behindDoc="0" locked="0" layoutInCell="1" allowOverlap="1">
                <wp:simplePos x="0" y="0"/>
                <wp:positionH relativeFrom="column">
                  <wp:posOffset>-81280</wp:posOffset>
                </wp:positionH>
                <wp:positionV relativeFrom="paragraph">
                  <wp:posOffset>93980</wp:posOffset>
                </wp:positionV>
                <wp:extent cx="5723255" cy="943610"/>
                <wp:effectExtent l="4445" t="5080" r="6350" b="22860"/>
                <wp:wrapSquare wrapText="bothSides"/>
                <wp:docPr id="11" name="文本框 11"/>
                <wp:cNvGraphicFramePr/>
                <a:graphic xmlns:a="http://schemas.openxmlformats.org/drawingml/2006/main">
                  <a:graphicData uri="http://schemas.microsoft.com/office/word/2010/wordprocessingShape">
                    <wps:wsp>
                      <wps:cNvSpPr txBox="1"/>
                      <wps:spPr>
                        <a:xfrm>
                          <a:off x="0" y="0"/>
                          <a:ext cx="5723255" cy="9436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520" w:lineRule="exact"/>
                              <w:rPr>
                                <w:rFonts w:ascii="宋体" w:hAnsi="宋体"/>
                                <w:b/>
                                <w:szCs w:val="24"/>
                              </w:rPr>
                            </w:pPr>
                            <w:r>
                              <w:rPr>
                                <w:rFonts w:hint="eastAsia" w:ascii="宋体" w:hAnsi="宋体"/>
                                <w:b/>
                                <w:szCs w:val="24"/>
                              </w:rPr>
                              <w:t>温馨提示：获取磋商文件后，请仔细阅读，特别注意粗体及划线部分，如有疑问请来电咨询。</w:t>
                            </w:r>
                          </w:p>
                        </w:txbxContent>
                      </wps:txbx>
                      <wps:bodyPr wrap="none" upright="1"/>
                    </wps:wsp>
                  </a:graphicData>
                </a:graphic>
              </wp:anchor>
            </w:drawing>
          </mc:Choice>
          <mc:Fallback>
            <w:pict>
              <v:shape id="_x0000_s1026" o:spid="_x0000_s1026" o:spt="202" type="#_x0000_t202" style="position:absolute;left:0pt;margin-left:-6.4pt;margin-top:7.4pt;height:74.3pt;width:450.65pt;mso-wrap-distance-bottom:0pt;mso-wrap-distance-left:9pt;mso-wrap-distance-right:9pt;mso-wrap-distance-top:0pt;mso-wrap-style:none;z-index:251667456;mso-width-relative:page;mso-height-relative:page;" fillcolor="#FFFFFF" filled="t" stroked="t" coordsize="21600,21600" o:gfxdata="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0jd/aAAAACgEA&#10;AA8AAAAAAAAAAQAgAAAAIgAAAGRycy9kb3ducmV2LnhtbFBLAQIUABQAAAAIAIdO4kBIfn0LGAIA&#10;AFIEAAAOAAAAAAAAAAEAIAAAACkBAABkcnMvZTJvRG9jLnhtbFBLBQYAAAAABgAGAFkBAACzBQAA&#10;AAA=&#10;">
                <v:fill on="t" focussize="0,0"/>
                <v:stroke color="#000000" joinstyle="miter"/>
                <v:imagedata o:title=""/>
                <o:lock v:ext="edit" aspectratio="f"/>
                <v:textbox>
                  <w:txbxContent>
                    <w:p>
                      <w:pPr>
                        <w:spacing w:line="520" w:lineRule="exact"/>
                        <w:rPr>
                          <w:rFonts w:ascii="宋体" w:hAnsi="宋体"/>
                          <w:b/>
                          <w:szCs w:val="24"/>
                        </w:rPr>
                      </w:pPr>
                      <w:r>
                        <w:rPr>
                          <w:rFonts w:hint="eastAsia" w:ascii="宋体" w:hAnsi="宋体"/>
                          <w:b/>
                          <w:szCs w:val="24"/>
                        </w:rPr>
                        <w:t>温馨提示：获取磋商文件后，请仔细阅读，特别注意粗体及划线部分，如有疑问请来电咨询。</w:t>
                      </w:r>
                    </w:p>
                  </w:txbxContent>
                </v:textbox>
                <w10:wrap type="square"/>
              </v:shape>
            </w:pict>
          </mc:Fallback>
        </mc:AlternateContent>
      </w:r>
    </w:p>
    <w:p>
      <w:pPr>
        <w:pStyle w:val="17"/>
        <w:widowControl/>
        <w:spacing w:line="360" w:lineRule="auto"/>
        <w:ind w:firstLine="420"/>
      </w:pPr>
    </w:p>
    <w:p>
      <w:pPr>
        <w:pStyle w:val="17"/>
        <w:widowControl/>
        <w:spacing w:line="360" w:lineRule="auto"/>
        <w:ind w:firstLine="420"/>
      </w:pPr>
    </w:p>
    <w:p>
      <w:pPr>
        <w:pStyle w:val="17"/>
        <w:widowControl/>
        <w:spacing w:line="360" w:lineRule="auto"/>
        <w:ind w:firstLine="420"/>
      </w:pPr>
    </w:p>
    <w:p>
      <w:pPr>
        <w:pStyle w:val="17"/>
        <w:widowControl/>
        <w:spacing w:line="360" w:lineRule="auto"/>
        <w:ind w:firstLine="420"/>
      </w:pPr>
    </w:p>
    <w:p>
      <w:pPr>
        <w:pStyle w:val="17"/>
        <w:widowControl/>
        <w:spacing w:line="360" w:lineRule="auto"/>
        <w:ind w:firstLine="420"/>
      </w:pPr>
    </w:p>
    <w:p>
      <w:pPr>
        <w:pStyle w:val="17"/>
        <w:widowControl/>
        <w:spacing w:line="360" w:lineRule="auto"/>
        <w:ind w:firstLine="420"/>
      </w:pPr>
    </w:p>
    <w:p>
      <w:pPr>
        <w:pStyle w:val="17"/>
        <w:widowControl/>
        <w:spacing w:line="360" w:lineRule="auto"/>
        <w:ind w:firstLine="420"/>
      </w:pPr>
    </w:p>
    <w:bookmarkEnd w:id="6"/>
    <w:p>
      <w:pPr>
        <w:pStyle w:val="3"/>
        <w:numPr>
          <w:ilvl w:val="0"/>
          <w:numId w:val="2"/>
        </w:numPr>
        <w:spacing w:before="0" w:after="0" w:line="360" w:lineRule="auto"/>
        <w:rPr>
          <w:rFonts w:ascii="宋体" w:hAnsi="宋体" w:cs="宋体"/>
        </w:rPr>
      </w:pPr>
      <w:bookmarkStart w:id="7" w:name="_Toc30432"/>
      <w:bookmarkStart w:id="8" w:name="_Toc27526"/>
      <w:bookmarkStart w:id="9" w:name="_Toc13986"/>
      <w:r>
        <w:rPr>
          <w:rFonts w:hint="eastAsia" w:ascii="宋体" w:hAnsi="宋体" w:cs="宋体"/>
        </w:rPr>
        <w:t>供应商须知</w:t>
      </w:r>
      <w:bookmarkEnd w:id="7"/>
      <w:bookmarkEnd w:id="8"/>
      <w:bookmarkEnd w:id="9"/>
    </w:p>
    <w:p>
      <w:pPr>
        <w:pStyle w:val="4"/>
        <w:pageBreakBefore w:val="0"/>
        <w:kinsoku/>
        <w:wordWrap/>
        <w:overflowPunct/>
        <w:topLinePunct w:val="0"/>
        <w:autoSpaceDE/>
        <w:autoSpaceDN/>
        <w:bidi w:val="0"/>
        <w:adjustRightInd w:val="0"/>
        <w:snapToGrid w:val="0"/>
        <w:spacing w:line="360" w:lineRule="auto"/>
        <w:textAlignment w:val="auto"/>
        <w:rPr>
          <w:rFonts w:ascii="宋体" w:hAnsi="宋体" w:cs="宋体"/>
          <w:sz w:val="28"/>
          <w:szCs w:val="28"/>
        </w:rPr>
      </w:pPr>
      <w:bookmarkStart w:id="10" w:name="_Toc3650"/>
      <w:bookmarkStart w:id="11" w:name="_Toc22729"/>
      <w:bookmarkStart w:id="12" w:name="_Toc32284"/>
      <w:bookmarkStart w:id="13" w:name="_Toc7032"/>
      <w:bookmarkStart w:id="14" w:name="_Toc30624"/>
      <w:bookmarkStart w:id="15" w:name="_Toc27023"/>
      <w:r>
        <w:rPr>
          <w:rFonts w:hint="eastAsia" w:ascii="宋体" w:hAnsi="宋体" w:cs="宋体"/>
          <w:sz w:val="28"/>
          <w:szCs w:val="28"/>
        </w:rPr>
        <w:t>供应商须知前附表</w:t>
      </w:r>
      <w:bookmarkEnd w:id="10"/>
      <w:bookmarkEnd w:id="11"/>
      <w:bookmarkEnd w:id="12"/>
      <w:bookmarkEnd w:id="13"/>
      <w:bookmarkEnd w:id="14"/>
      <w:bookmarkEnd w:id="15"/>
    </w:p>
    <w:tbl>
      <w:tblPr>
        <w:tblStyle w:val="20"/>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5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b/>
                <w:szCs w:val="24"/>
              </w:rPr>
            </w:pPr>
            <w:r>
              <w:rPr>
                <w:rFonts w:hint="eastAsia" w:ascii="宋体" w:hAnsi="宋体" w:cs="宋体"/>
                <w:b/>
                <w:szCs w:val="24"/>
              </w:rPr>
              <w:t>序号</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b/>
                <w:szCs w:val="24"/>
              </w:rPr>
            </w:pPr>
            <w:r>
              <w:rPr>
                <w:rFonts w:hint="eastAsia" w:ascii="宋体" w:hAnsi="宋体" w:cs="宋体"/>
                <w:b/>
                <w:szCs w:val="24"/>
              </w:rPr>
              <w:t>条款名称</w:t>
            </w:r>
          </w:p>
        </w:tc>
        <w:tc>
          <w:tcPr>
            <w:tcW w:w="5694"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b/>
                <w:szCs w:val="24"/>
              </w:rPr>
            </w:pPr>
            <w:r>
              <w:rPr>
                <w:rFonts w:hint="eastAsia" w:ascii="宋体" w:hAnsi="宋体" w:cs="宋体"/>
                <w:b/>
                <w:szCs w:val="24"/>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1</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采购人</w:t>
            </w:r>
          </w:p>
        </w:tc>
        <w:tc>
          <w:tcPr>
            <w:tcW w:w="5694" w:type="dxa"/>
          </w:tcPr>
          <w:p>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Cs w:val="24"/>
                <w:lang w:eastAsia="zh-CN"/>
              </w:rPr>
            </w:pPr>
            <w:r>
              <w:rPr>
                <w:rFonts w:hint="eastAsia" w:ascii="宋体" w:hAnsi="宋体" w:cs="宋体"/>
                <w:szCs w:val="24"/>
              </w:rPr>
              <w:t>名称</w:t>
            </w:r>
            <w:r>
              <w:rPr>
                <w:rFonts w:hint="eastAsia" w:ascii="宋体" w:hAnsi="宋体" w:cs="宋体"/>
                <w:szCs w:val="24"/>
                <w:lang w:eastAsia="zh-CN"/>
              </w:rPr>
              <w:t>：</w:t>
            </w:r>
            <w:r>
              <w:rPr>
                <w:rFonts w:hint="eastAsia" w:ascii="宋体" w:hAnsi="宋体" w:eastAsia="宋体" w:cs="宋体"/>
                <w:i w:val="0"/>
                <w:iCs w:val="0"/>
                <w:caps w:val="0"/>
                <w:color w:val="333333"/>
                <w:spacing w:val="0"/>
                <w:sz w:val="24"/>
                <w:szCs w:val="24"/>
                <w:shd w:val="clear" w:fill="FFFFFF"/>
                <w:vertAlign w:val="baseline"/>
              </w:rPr>
              <w:t>富平县</w:t>
            </w:r>
            <w:r>
              <w:rPr>
                <w:rFonts w:hint="eastAsia" w:ascii="宋体" w:hAnsi="宋体" w:cs="宋体"/>
                <w:i w:val="0"/>
                <w:iCs w:val="0"/>
                <w:caps w:val="0"/>
                <w:color w:val="333333"/>
                <w:spacing w:val="0"/>
                <w:sz w:val="24"/>
                <w:szCs w:val="24"/>
                <w:shd w:val="clear" w:fill="FFFFFF"/>
                <w:vertAlign w:val="baseline"/>
                <w:lang w:val="en-US" w:eastAsia="zh-CN"/>
              </w:rPr>
              <w:t>妇女儿童医院</w:t>
            </w:r>
          </w:p>
          <w:p>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Cs w:val="24"/>
                <w:lang w:eastAsia="zh-CN"/>
              </w:rPr>
            </w:pPr>
            <w:r>
              <w:rPr>
                <w:rFonts w:hint="eastAsia" w:ascii="宋体" w:hAnsi="宋体" w:cs="宋体"/>
                <w:szCs w:val="24"/>
              </w:rPr>
              <w:t>地址：</w:t>
            </w:r>
            <w:r>
              <w:rPr>
                <w:rFonts w:hint="eastAsia" w:ascii="宋体" w:hAnsi="宋体" w:cs="宋体"/>
                <w:i w:val="0"/>
                <w:iCs w:val="0"/>
                <w:caps w:val="0"/>
                <w:color w:val="333333"/>
                <w:spacing w:val="0"/>
                <w:sz w:val="24"/>
                <w:szCs w:val="24"/>
                <w:shd w:val="clear" w:fill="FFFFFF"/>
                <w:vertAlign w:val="baseline"/>
                <w:lang w:val="en-US" w:eastAsia="zh-CN"/>
              </w:rPr>
              <w:t>渭南市富平县富昌大道</w:t>
            </w:r>
          </w:p>
          <w:p>
            <w:pPr>
              <w:pageBreakBefore w:val="0"/>
              <w:kinsoku/>
              <w:wordWrap/>
              <w:overflowPunct/>
              <w:topLinePunct w:val="0"/>
              <w:autoSpaceDE/>
              <w:autoSpaceDN/>
              <w:bidi w:val="0"/>
              <w:adjustRightInd w:val="0"/>
              <w:snapToGrid w:val="0"/>
              <w:spacing w:line="360" w:lineRule="auto"/>
              <w:textAlignment w:val="auto"/>
              <w:rPr>
                <w:rFonts w:ascii="宋体" w:hAnsi="宋体" w:cs="宋体"/>
                <w:szCs w:val="24"/>
              </w:rPr>
            </w:pPr>
            <w:r>
              <w:rPr>
                <w:rFonts w:hint="eastAsia" w:ascii="宋体" w:hAnsi="宋体" w:cs="宋体"/>
                <w:szCs w:val="24"/>
              </w:rPr>
              <w:t>联系方式：</w:t>
            </w:r>
            <w:r>
              <w:rPr>
                <w:rFonts w:hint="eastAsia" w:ascii="宋体" w:hAnsi="宋体" w:cs="宋体"/>
                <w:szCs w:val="24"/>
                <w:lang w:val="en-US" w:eastAsia="zh-CN"/>
              </w:rPr>
              <w:t xml:space="preserve">范女士  </w:t>
            </w:r>
            <w:r>
              <w:rPr>
                <w:rFonts w:hint="eastAsia" w:ascii="宋体" w:hAnsi="宋体" w:cs="宋体"/>
                <w:i w:val="0"/>
                <w:iCs w:val="0"/>
                <w:caps w:val="0"/>
                <w:color w:val="333333"/>
                <w:spacing w:val="0"/>
                <w:sz w:val="24"/>
                <w:szCs w:val="24"/>
                <w:shd w:val="clear" w:fill="FFFFFF"/>
                <w:vertAlign w:val="baseline"/>
                <w:lang w:val="en-US" w:eastAsia="zh-CN"/>
              </w:rPr>
              <w:t>13892523886</w:t>
            </w:r>
            <w:r>
              <w:rPr>
                <w:rFonts w:hint="eastAsia" w:ascii="宋体" w:hAnsi="宋体" w:eastAsia="宋体" w:cs="宋体"/>
                <w:color w:val="auto"/>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2</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采购代理机构</w:t>
            </w:r>
          </w:p>
        </w:tc>
        <w:tc>
          <w:tcPr>
            <w:tcW w:w="5694" w:type="dxa"/>
          </w:tcPr>
          <w:p>
            <w:pPr>
              <w:pageBreakBefore w:val="0"/>
              <w:kinsoku/>
              <w:wordWrap/>
              <w:overflowPunct/>
              <w:topLinePunct w:val="0"/>
              <w:autoSpaceDE/>
              <w:autoSpaceDN/>
              <w:bidi w:val="0"/>
              <w:adjustRightInd w:val="0"/>
              <w:snapToGrid w:val="0"/>
              <w:spacing w:line="360" w:lineRule="auto"/>
              <w:textAlignment w:val="auto"/>
              <w:rPr>
                <w:rFonts w:ascii="宋体" w:hAnsi="宋体" w:cs="宋体"/>
                <w:szCs w:val="24"/>
              </w:rPr>
            </w:pPr>
            <w:r>
              <w:rPr>
                <w:rFonts w:hint="eastAsia" w:ascii="宋体" w:hAnsi="宋体" w:cs="宋体"/>
                <w:szCs w:val="24"/>
              </w:rPr>
              <w:t>名称：陕西致恒招标代理有限公司</w:t>
            </w:r>
          </w:p>
          <w:p>
            <w:pPr>
              <w:pageBreakBefore w:val="0"/>
              <w:kinsoku/>
              <w:wordWrap/>
              <w:overflowPunct/>
              <w:topLinePunct w:val="0"/>
              <w:autoSpaceDE/>
              <w:autoSpaceDN/>
              <w:bidi w:val="0"/>
              <w:adjustRightInd w:val="0"/>
              <w:snapToGrid w:val="0"/>
              <w:spacing w:line="360" w:lineRule="auto"/>
              <w:textAlignment w:val="auto"/>
              <w:rPr>
                <w:rFonts w:ascii="宋体" w:hAnsi="宋体" w:cs="宋体"/>
                <w:szCs w:val="24"/>
              </w:rPr>
            </w:pPr>
            <w:r>
              <w:rPr>
                <w:rFonts w:hint="eastAsia" w:ascii="宋体" w:hAnsi="宋体" w:cs="宋体"/>
                <w:szCs w:val="24"/>
              </w:rPr>
              <w:t>地址：</w:t>
            </w:r>
            <w:r>
              <w:rPr>
                <w:rFonts w:hint="eastAsia" w:ascii="宋体" w:hAnsi="宋体" w:cs="宋体"/>
              </w:rPr>
              <w:t>西安市未央区北二环大明宫立交桥百寰国际2704室</w:t>
            </w:r>
          </w:p>
          <w:p>
            <w:pPr>
              <w:pageBreakBefore w:val="0"/>
              <w:kinsoku/>
              <w:wordWrap/>
              <w:overflowPunct/>
              <w:topLinePunct w:val="0"/>
              <w:autoSpaceDE/>
              <w:autoSpaceDN/>
              <w:bidi w:val="0"/>
              <w:adjustRightInd w:val="0"/>
              <w:snapToGrid w:val="0"/>
              <w:spacing w:line="360" w:lineRule="auto"/>
              <w:textAlignment w:val="auto"/>
              <w:rPr>
                <w:rFonts w:ascii="宋体" w:hAnsi="宋体" w:cs="宋体"/>
                <w:szCs w:val="24"/>
              </w:rPr>
            </w:pPr>
            <w:r>
              <w:rPr>
                <w:rFonts w:hint="eastAsia" w:ascii="宋体" w:hAnsi="宋体" w:cs="宋体"/>
                <w:szCs w:val="24"/>
              </w:rPr>
              <w:t>联系人：屈工</w:t>
            </w:r>
          </w:p>
          <w:p>
            <w:pPr>
              <w:pageBreakBefore w:val="0"/>
              <w:kinsoku/>
              <w:wordWrap/>
              <w:overflowPunct/>
              <w:topLinePunct w:val="0"/>
              <w:autoSpaceDE/>
              <w:autoSpaceDN/>
              <w:bidi w:val="0"/>
              <w:adjustRightInd w:val="0"/>
              <w:snapToGrid w:val="0"/>
              <w:spacing w:line="360" w:lineRule="auto"/>
              <w:textAlignment w:val="auto"/>
              <w:rPr>
                <w:rFonts w:ascii="宋体" w:hAnsi="宋体" w:cs="宋体"/>
                <w:szCs w:val="24"/>
              </w:rPr>
            </w:pPr>
            <w:r>
              <w:rPr>
                <w:rFonts w:hint="eastAsia" w:ascii="宋体" w:hAnsi="宋体" w:cs="宋体"/>
                <w:szCs w:val="24"/>
              </w:rPr>
              <w:t>电话：13289892509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3</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监督管理机构</w:t>
            </w:r>
          </w:p>
        </w:tc>
        <w:tc>
          <w:tcPr>
            <w:tcW w:w="5694" w:type="dxa"/>
          </w:tcPr>
          <w:p>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Cs w:val="24"/>
                <w:lang w:eastAsia="zh-CN"/>
              </w:rPr>
            </w:pPr>
            <w:r>
              <w:rPr>
                <w:rFonts w:hint="eastAsia" w:ascii="宋体" w:hAnsi="宋体" w:eastAsia="宋体" w:cs="宋体"/>
                <w:szCs w:val="24"/>
                <w:lang w:val="en-US" w:eastAsia="zh-CN"/>
              </w:rPr>
              <w:t>富平县财政局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4</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项目名称</w:t>
            </w:r>
          </w:p>
        </w:tc>
        <w:tc>
          <w:tcPr>
            <w:tcW w:w="5694" w:type="dxa"/>
          </w:tcPr>
          <w:p>
            <w:pPr>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Cs w:val="24"/>
                <w:lang w:eastAsia="zh-CN"/>
              </w:rPr>
            </w:pPr>
            <w:r>
              <w:rPr>
                <w:rFonts w:hint="eastAsia" w:ascii="宋体" w:hAnsi="宋体" w:cs="宋体"/>
                <w:szCs w:val="24"/>
                <w:lang w:val="en-US" w:eastAsia="zh-CN"/>
              </w:rPr>
              <w:t>富平县妇女儿童医院购置移动护士站综合服务采购项目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5</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项目编号</w:t>
            </w:r>
          </w:p>
        </w:tc>
        <w:tc>
          <w:tcPr>
            <w:tcW w:w="5694" w:type="dxa"/>
          </w:tcPr>
          <w:p>
            <w:pPr>
              <w:pageBreakBefore w:val="0"/>
              <w:kinsoku/>
              <w:wordWrap/>
              <w:overflowPunct/>
              <w:topLinePunct w:val="0"/>
              <w:autoSpaceDE/>
              <w:autoSpaceDN/>
              <w:bidi w:val="0"/>
              <w:adjustRightInd w:val="0"/>
              <w:snapToGrid w:val="0"/>
              <w:spacing w:line="360" w:lineRule="auto"/>
              <w:textAlignment w:val="auto"/>
              <w:rPr>
                <w:rFonts w:hint="default" w:ascii="宋体" w:hAnsi="宋体" w:eastAsia="宋体" w:cs="宋体"/>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ZHZB-2022（FW）0</w:t>
            </w:r>
            <w:r>
              <w:rPr>
                <w:rFonts w:hint="eastAsia" w:ascii="宋体" w:hAnsi="宋体" w:cs="宋体"/>
                <w:i w:val="0"/>
                <w:iCs w:val="0"/>
                <w:caps w:val="0"/>
                <w:color w:val="333333"/>
                <w:spacing w:val="0"/>
                <w:sz w:val="24"/>
                <w:szCs w:val="24"/>
                <w:shd w:val="clear" w:fill="FFFFFF"/>
                <w:vertAlign w:val="baseli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6</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highlight w:val="none"/>
              </w:rPr>
            </w:pPr>
            <w:r>
              <w:rPr>
                <w:rFonts w:hint="eastAsia" w:ascii="宋体" w:hAnsi="宋体" w:cs="宋体"/>
                <w:szCs w:val="24"/>
                <w:highlight w:val="none"/>
              </w:rPr>
              <w:t>项目性质</w:t>
            </w:r>
          </w:p>
        </w:tc>
        <w:tc>
          <w:tcPr>
            <w:tcW w:w="5694" w:type="dxa"/>
          </w:tcPr>
          <w:p>
            <w:pPr>
              <w:pageBreakBefore w:val="0"/>
              <w:kinsoku/>
              <w:wordWrap/>
              <w:overflowPunct/>
              <w:topLinePunct w:val="0"/>
              <w:autoSpaceDE/>
              <w:autoSpaceDN/>
              <w:bidi w:val="0"/>
              <w:adjustRightInd w:val="0"/>
              <w:snapToGrid w:val="0"/>
              <w:spacing w:line="360" w:lineRule="auto"/>
              <w:textAlignment w:val="auto"/>
              <w:rPr>
                <w:rFonts w:ascii="宋体" w:hAnsi="宋体" w:cs="宋体"/>
                <w:szCs w:val="24"/>
                <w:highlight w:val="none"/>
              </w:rPr>
            </w:pPr>
            <w:r>
              <w:rPr>
                <w:rFonts w:hint="eastAsia" w:ascii="宋体" w:hAnsi="宋体" w:cs="宋体"/>
                <w:highlight w:val="none"/>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7</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项目预算</w:t>
            </w:r>
          </w:p>
        </w:tc>
        <w:tc>
          <w:tcPr>
            <w:tcW w:w="5694" w:type="dxa"/>
          </w:tcPr>
          <w:p>
            <w:pPr>
              <w:pageBreakBefore w:val="0"/>
              <w:kinsoku/>
              <w:wordWrap/>
              <w:overflowPunct/>
              <w:topLinePunct w:val="0"/>
              <w:autoSpaceDE/>
              <w:autoSpaceDN/>
              <w:bidi w:val="0"/>
              <w:adjustRightInd w:val="0"/>
              <w:snapToGrid w:val="0"/>
              <w:spacing w:line="360" w:lineRule="auto"/>
              <w:textAlignment w:val="auto"/>
              <w:rPr>
                <w:rFonts w:hint="default"/>
                <w:lang w:val="en-US" w:eastAsia="zh-CN"/>
              </w:rPr>
            </w:pPr>
            <w:r>
              <w:rPr>
                <w:rFonts w:hint="eastAsia"/>
                <w:lang w:val="en-US" w:eastAsia="zh-CN"/>
              </w:rPr>
              <w:t>人民币陆拾万元整（¥600,000.00元）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8</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项目用途</w:t>
            </w:r>
          </w:p>
        </w:tc>
        <w:tc>
          <w:tcPr>
            <w:tcW w:w="5694" w:type="dxa"/>
          </w:tcPr>
          <w:p>
            <w:pPr>
              <w:pageBreakBefore w:val="0"/>
              <w:kinsoku/>
              <w:wordWrap/>
              <w:overflowPunct/>
              <w:topLinePunct w:val="0"/>
              <w:autoSpaceDE/>
              <w:autoSpaceDN/>
              <w:bidi w:val="0"/>
              <w:adjustRightInd w:val="0"/>
              <w:snapToGrid w:val="0"/>
              <w:spacing w:line="360" w:lineRule="auto"/>
              <w:textAlignment w:val="auto"/>
              <w:rPr>
                <w:rFonts w:ascii="宋体" w:hAnsi="宋体" w:cs="宋体"/>
              </w:rPr>
            </w:pPr>
            <w:r>
              <w:rPr>
                <w:rFonts w:hint="eastAsia" w:ascii="宋体" w:hAnsi="宋体" w:cs="宋体"/>
              </w:rPr>
              <w:t>自用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9</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采购内容和要求</w:t>
            </w:r>
          </w:p>
        </w:tc>
        <w:tc>
          <w:tcPr>
            <w:tcW w:w="5694" w:type="dxa"/>
          </w:tcPr>
          <w:p>
            <w:pPr>
              <w:pageBreakBefore w:val="0"/>
              <w:kinsoku/>
              <w:wordWrap/>
              <w:overflowPunct/>
              <w:topLinePunct w:val="0"/>
              <w:autoSpaceDE/>
              <w:autoSpaceDN/>
              <w:bidi w:val="0"/>
              <w:adjustRightInd w:val="0"/>
              <w:snapToGrid w:val="0"/>
              <w:spacing w:line="360" w:lineRule="auto"/>
              <w:textAlignment w:val="auto"/>
              <w:rPr>
                <w:rFonts w:ascii="宋体" w:hAnsi="宋体" w:cs="宋体"/>
              </w:rPr>
            </w:pPr>
            <w:r>
              <w:rPr>
                <w:rFonts w:hint="eastAsia" w:ascii="宋体" w:hAnsi="宋体" w:cs="宋体"/>
                <w:color w:val="auto"/>
                <w:highlight w:val="none"/>
                <w:lang w:val="en-US" w:eastAsia="zh-CN"/>
              </w:rPr>
              <w:t>购置</w:t>
            </w:r>
            <w:r>
              <w:rPr>
                <w:rFonts w:hint="eastAsia" w:ascii="宋体" w:hAnsi="宋体" w:eastAsia="宋体" w:cs="宋体"/>
                <w:color w:val="auto"/>
                <w:highlight w:val="none"/>
                <w:lang w:val="en-US" w:eastAsia="zh-CN"/>
              </w:rPr>
              <w:t>医院移动护士站综合服务（具体详见竞争性磋商文件采购内容要求）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10</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供应商</w:t>
            </w:r>
          </w:p>
        </w:tc>
        <w:tc>
          <w:tcPr>
            <w:tcW w:w="5694" w:type="dxa"/>
          </w:tcPr>
          <w:p>
            <w:pPr>
              <w:pageBreakBefore w:val="0"/>
              <w:kinsoku/>
              <w:wordWrap/>
              <w:overflowPunct/>
              <w:topLinePunct w:val="0"/>
              <w:autoSpaceDE/>
              <w:autoSpaceDN/>
              <w:bidi w:val="0"/>
              <w:adjustRightInd w:val="0"/>
              <w:snapToGrid w:val="0"/>
              <w:spacing w:line="360" w:lineRule="auto"/>
              <w:textAlignment w:val="auto"/>
              <w:rPr>
                <w:rFonts w:ascii="宋体" w:hAnsi="宋体" w:cs="宋体"/>
                <w:szCs w:val="24"/>
              </w:rPr>
            </w:pPr>
            <w:r>
              <w:rPr>
                <w:rFonts w:hint="eastAsia" w:ascii="宋体" w:hAnsi="宋体" w:cs="宋体"/>
                <w:szCs w:val="24"/>
              </w:rPr>
              <w:t>响应</w:t>
            </w:r>
            <w:r>
              <w:fldChar w:fldCharType="begin"/>
            </w:r>
            <w:r>
              <w:instrText xml:space="preserve"> HYPERLINK "http://baike.baidu.com/view/8707.htm" \t "_blank" </w:instrText>
            </w:r>
            <w:r>
              <w:fldChar w:fldCharType="separate"/>
            </w:r>
            <w:r>
              <w:rPr>
                <w:rFonts w:hint="eastAsia" w:ascii="宋体" w:hAnsi="宋体" w:cs="宋体"/>
                <w:szCs w:val="24"/>
              </w:rPr>
              <w:t>招标</w:t>
            </w:r>
            <w:r>
              <w:rPr>
                <w:rFonts w:hint="eastAsia" w:ascii="宋体" w:hAnsi="宋体" w:cs="宋体"/>
                <w:szCs w:val="24"/>
              </w:rPr>
              <w:fldChar w:fldCharType="end"/>
            </w:r>
            <w:r>
              <w:rPr>
                <w:rFonts w:hint="eastAsia" w:ascii="宋体" w:hAnsi="宋体" w:cs="宋体"/>
                <w:szCs w:val="24"/>
              </w:rPr>
              <w:t>并且符合竞争性磋商文件规定资格条件和参加投标竞争的法人或其他组织。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11</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Cs w:val="24"/>
                <w:lang w:val="en-US" w:eastAsia="zh-CN"/>
              </w:rPr>
            </w:pPr>
            <w:r>
              <w:rPr>
                <w:rFonts w:hint="eastAsia" w:ascii="宋体" w:hAnsi="宋体" w:cs="宋体"/>
                <w:szCs w:val="24"/>
              </w:rPr>
              <w:t>供应商</w:t>
            </w:r>
            <w:r>
              <w:rPr>
                <w:rFonts w:hint="eastAsia" w:ascii="宋体" w:hAnsi="宋体" w:cs="宋体"/>
                <w:szCs w:val="24"/>
                <w:lang w:val="en-US" w:eastAsia="zh-CN"/>
              </w:rPr>
              <w:t>资格要求</w:t>
            </w:r>
          </w:p>
        </w:tc>
        <w:tc>
          <w:tcPr>
            <w:tcW w:w="5694" w:type="dxa"/>
          </w:tcPr>
          <w:p>
            <w:pPr>
              <w:pageBreakBefore w:val="0"/>
              <w:kinsoku/>
              <w:wordWrap/>
              <w:overflowPunct/>
              <w:topLinePunct w:val="0"/>
              <w:autoSpaceDE/>
              <w:autoSpaceDN/>
              <w:bidi w:val="0"/>
              <w:adjustRightInd w:val="0"/>
              <w:snapToGrid w:val="0"/>
              <w:spacing w:line="360" w:lineRule="auto"/>
              <w:textAlignment w:val="auto"/>
              <w:rPr>
                <w:rFonts w:ascii="宋体" w:hAnsi="宋体" w:cs="宋体"/>
                <w:szCs w:val="24"/>
              </w:rPr>
            </w:pPr>
            <w:r>
              <w:rPr>
                <w:rFonts w:hint="eastAsia" w:ascii="宋体" w:hAnsi="宋体" w:cs="宋体"/>
                <w:szCs w:val="24"/>
              </w:rPr>
              <w:t>详见竞争性磋商公告“二、 响应供应商的资格要求”。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09" w:type="dxa"/>
            <w:shd w:val="clear" w:color="auto" w:fill="auto"/>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12</w:t>
            </w:r>
          </w:p>
        </w:tc>
        <w:tc>
          <w:tcPr>
            <w:tcW w:w="2552" w:type="dxa"/>
            <w:shd w:val="clear" w:color="auto" w:fill="auto"/>
            <w:vAlign w:val="center"/>
          </w:tcPr>
          <w:p>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szCs w:val="24"/>
              </w:rPr>
            </w:pPr>
            <w:r>
              <w:rPr>
                <w:rFonts w:hint="eastAsia" w:ascii="宋体" w:hAnsi="宋体" w:cs="宋体"/>
                <w:szCs w:val="24"/>
              </w:rPr>
              <w:t>服务期、服务地点</w:t>
            </w:r>
          </w:p>
        </w:tc>
        <w:tc>
          <w:tcPr>
            <w:tcW w:w="5694" w:type="dxa"/>
            <w:shd w:val="clear" w:color="auto" w:fill="auto"/>
          </w:tcPr>
          <w:p>
            <w:pPr>
              <w:pageBreakBefore w:val="0"/>
              <w:kinsoku/>
              <w:wordWrap/>
              <w:overflowPunct/>
              <w:topLinePunct w:val="0"/>
              <w:autoSpaceDE/>
              <w:autoSpaceDN/>
              <w:bidi w:val="0"/>
              <w:adjustRightInd w:val="0"/>
              <w:snapToGrid w:val="0"/>
              <w:spacing w:line="360" w:lineRule="auto"/>
              <w:textAlignment w:val="auto"/>
              <w:rPr>
                <w:rFonts w:hint="default" w:ascii="宋体" w:hAnsi="宋体" w:cs="宋体"/>
                <w:szCs w:val="24"/>
                <w:lang w:val="en-US" w:eastAsia="zh-CN"/>
              </w:rPr>
            </w:pPr>
            <w:r>
              <w:rPr>
                <w:rFonts w:hint="eastAsia" w:ascii="宋体" w:hAnsi="宋体" w:cs="宋体"/>
                <w:szCs w:val="24"/>
                <w:highlight w:val="none"/>
              </w:rPr>
              <w:t>服务期：</w:t>
            </w:r>
            <w:r>
              <w:rPr>
                <w:rFonts w:hint="eastAsia" w:ascii="宋体" w:hAnsi="宋体" w:eastAsia="宋体" w:cs="宋体"/>
                <w:i w:val="0"/>
                <w:iCs w:val="0"/>
                <w:caps w:val="0"/>
                <w:color w:val="333333"/>
                <w:spacing w:val="0"/>
                <w:sz w:val="24"/>
                <w:szCs w:val="24"/>
                <w:highlight w:val="none"/>
                <w:shd w:val="clear" w:fill="FFFFFF"/>
                <w:vertAlign w:val="baseline"/>
              </w:rPr>
              <w:t>自合同签订之日起</w:t>
            </w:r>
            <w:r>
              <w:rPr>
                <w:rFonts w:hint="eastAsia" w:ascii="宋体" w:hAnsi="宋体" w:cs="宋体"/>
                <w:i w:val="0"/>
                <w:iCs w:val="0"/>
                <w:caps w:val="0"/>
                <w:color w:val="333333"/>
                <w:spacing w:val="0"/>
                <w:sz w:val="24"/>
                <w:szCs w:val="24"/>
                <w:highlight w:val="none"/>
                <w:shd w:val="clear" w:fill="FFFFFF"/>
                <w:vertAlign w:val="baseli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年</w:t>
            </w:r>
            <w:r>
              <w:rPr>
                <w:rFonts w:hint="eastAsia" w:ascii="宋体" w:hAnsi="宋体" w:cs="宋体"/>
                <w:szCs w:val="24"/>
                <w:highlight w:val="none"/>
                <w:lang w:val="en-US" w:eastAsia="zh-CN"/>
              </w:rPr>
              <w:t xml:space="preserve"> </w:t>
            </w:r>
          </w:p>
          <w:p>
            <w:pPr>
              <w:pageBreakBefore w:val="0"/>
              <w:kinsoku/>
              <w:wordWrap/>
              <w:overflowPunct/>
              <w:topLinePunct w:val="0"/>
              <w:autoSpaceDE/>
              <w:autoSpaceDN/>
              <w:bidi w:val="0"/>
              <w:adjustRightInd w:val="0"/>
              <w:snapToGrid w:val="0"/>
              <w:spacing w:line="360" w:lineRule="auto"/>
              <w:textAlignment w:val="auto"/>
              <w:rPr>
                <w:rFonts w:hint="default" w:ascii="宋体" w:hAnsi="宋体" w:cs="宋体"/>
                <w:szCs w:val="24"/>
                <w:lang w:val="en-US" w:eastAsia="zh-CN"/>
              </w:rPr>
            </w:pPr>
            <w:r>
              <w:rPr>
                <w:rFonts w:hint="eastAsia" w:ascii="宋体" w:hAnsi="宋体" w:cs="宋体"/>
                <w:szCs w:val="24"/>
              </w:rPr>
              <w:t>服务地点：</w:t>
            </w:r>
            <w:r>
              <w:rPr>
                <w:rFonts w:hint="eastAsia" w:ascii="宋体" w:hAnsi="宋体" w:cs="宋体"/>
                <w:szCs w:val="24"/>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13</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磋商文件发售</w:t>
            </w:r>
          </w:p>
        </w:tc>
        <w:tc>
          <w:tcPr>
            <w:tcW w:w="5694" w:type="dxa"/>
          </w:tcPr>
          <w:p>
            <w:pPr>
              <w:pStyle w:val="31"/>
              <w:pageBreakBefore w:val="0"/>
              <w:kinsoku/>
              <w:wordWrap/>
              <w:overflowPunct/>
              <w:topLinePunct w:val="0"/>
              <w:autoSpaceDE/>
              <w:autoSpaceDN/>
              <w:bidi w:val="0"/>
              <w:adjustRightInd w:val="0"/>
              <w:snapToGrid w:val="0"/>
              <w:spacing w:line="360" w:lineRule="auto"/>
              <w:textAlignment w:val="auto"/>
              <w:rPr>
                <w:rFonts w:ascii="宋体" w:hAnsi="宋体" w:cs="宋体"/>
                <w:sz w:val="24"/>
                <w:szCs w:val="24"/>
              </w:rPr>
            </w:pPr>
            <w:r>
              <w:rPr>
                <w:rFonts w:hint="eastAsia" w:ascii="宋体" w:hAnsi="宋体" w:cs="宋体"/>
                <w:sz w:val="24"/>
                <w:szCs w:val="24"/>
              </w:rPr>
              <w:t>发售时间：202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09</w:t>
            </w:r>
            <w:r>
              <w:rPr>
                <w:rFonts w:hint="eastAsia" w:ascii="宋体" w:hAnsi="宋体" w:cs="宋体"/>
                <w:sz w:val="24"/>
                <w:szCs w:val="24"/>
              </w:rPr>
              <w:t>日-202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16</w:t>
            </w:r>
            <w:r>
              <w:rPr>
                <w:rFonts w:hint="eastAsia" w:ascii="宋体" w:hAnsi="宋体" w:cs="宋体"/>
                <w:sz w:val="24"/>
                <w:szCs w:val="24"/>
              </w:rPr>
              <w:t>日（上午9：00-11：30，下午2：00-5：00，节假日除外）</w:t>
            </w:r>
            <w:r>
              <w:rPr>
                <w:rFonts w:hint="eastAsia" w:ascii="宋体" w:hAnsi="宋体" w:cs="宋体"/>
                <w:sz w:val="32"/>
                <w:szCs w:val="32"/>
              </w:rPr>
              <w:t>。</w:t>
            </w:r>
          </w:p>
          <w:p>
            <w:pPr>
              <w:pStyle w:val="31"/>
              <w:pageBreakBefore w:val="0"/>
              <w:kinsoku/>
              <w:wordWrap/>
              <w:overflowPunct/>
              <w:topLinePunct w:val="0"/>
              <w:autoSpaceDE/>
              <w:autoSpaceDN/>
              <w:bidi w:val="0"/>
              <w:adjustRightInd w:val="0"/>
              <w:snapToGrid w:val="0"/>
              <w:spacing w:line="360" w:lineRule="auto"/>
              <w:textAlignment w:val="auto"/>
              <w:rPr>
                <w:rFonts w:ascii="宋体" w:hAnsi="宋体" w:cs="宋体"/>
                <w:sz w:val="24"/>
                <w:szCs w:val="24"/>
              </w:rPr>
            </w:pPr>
            <w:r>
              <w:rPr>
                <w:rFonts w:hint="eastAsia" w:ascii="宋体" w:hAnsi="宋体" w:cs="宋体"/>
                <w:sz w:val="24"/>
                <w:szCs w:val="24"/>
              </w:rPr>
              <w:t>发售地点：西安市未央区北二环大明宫立交桥百寰国际2704室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14</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联合体投标</w:t>
            </w:r>
          </w:p>
        </w:tc>
        <w:tc>
          <w:tcPr>
            <w:tcW w:w="5694" w:type="dxa"/>
          </w:tcPr>
          <w:p>
            <w:pPr>
              <w:pageBreakBefore w:val="0"/>
              <w:kinsoku/>
              <w:wordWrap/>
              <w:overflowPunct/>
              <w:topLinePunct w:val="0"/>
              <w:autoSpaceDE/>
              <w:autoSpaceDN/>
              <w:bidi w:val="0"/>
              <w:adjustRightInd w:val="0"/>
              <w:snapToGrid w:val="0"/>
              <w:spacing w:line="360" w:lineRule="auto"/>
              <w:textAlignment w:val="auto"/>
              <w:rPr>
                <w:rFonts w:ascii="宋体" w:hAnsi="宋体" w:cs="宋体"/>
                <w:szCs w:val="24"/>
              </w:rPr>
            </w:pPr>
            <w:r>
              <w:rPr>
                <w:rFonts w:hint="eastAsia" w:ascii="宋体" w:hAnsi="宋体" w:cs="宋体"/>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15</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现场勘查、标前答疑会</w:t>
            </w:r>
          </w:p>
        </w:tc>
        <w:tc>
          <w:tcPr>
            <w:tcW w:w="5694" w:type="dxa"/>
            <w:vAlign w:val="center"/>
          </w:tcPr>
          <w:p>
            <w:pPr>
              <w:pageBreakBefore w:val="0"/>
              <w:kinsoku/>
              <w:wordWrap/>
              <w:overflowPunct/>
              <w:topLinePunct w:val="0"/>
              <w:autoSpaceDE/>
              <w:autoSpaceDN/>
              <w:bidi w:val="0"/>
              <w:adjustRightInd w:val="0"/>
              <w:snapToGrid w:val="0"/>
              <w:spacing w:line="360" w:lineRule="auto"/>
              <w:textAlignment w:val="auto"/>
              <w:rPr>
                <w:rFonts w:ascii="宋体" w:hAnsi="宋体" w:cs="宋体"/>
                <w:szCs w:val="24"/>
              </w:rPr>
            </w:pPr>
            <w:r>
              <w:rPr>
                <w:rFonts w:hint="eastAsia" w:ascii="宋体" w:hAnsi="宋体" w:cs="宋体"/>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16</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供应商对竞争性磋商文件提出质疑的时间</w:t>
            </w:r>
          </w:p>
        </w:tc>
        <w:tc>
          <w:tcPr>
            <w:tcW w:w="5694" w:type="dxa"/>
          </w:tcPr>
          <w:p>
            <w:pPr>
              <w:pageBreakBefore w:val="0"/>
              <w:kinsoku/>
              <w:wordWrap/>
              <w:overflowPunct/>
              <w:topLinePunct w:val="0"/>
              <w:autoSpaceDE/>
              <w:autoSpaceDN/>
              <w:bidi w:val="0"/>
              <w:adjustRightInd w:val="0"/>
              <w:snapToGrid w:val="0"/>
              <w:spacing w:line="360" w:lineRule="auto"/>
              <w:textAlignment w:val="auto"/>
              <w:rPr>
                <w:rFonts w:ascii="宋体" w:hAnsi="宋体" w:cs="宋体"/>
                <w:szCs w:val="24"/>
              </w:rPr>
            </w:pPr>
            <w:r>
              <w:rPr>
                <w:rFonts w:hint="eastAsia" w:ascii="宋体" w:hAnsi="宋体" w:cs="宋体"/>
                <w:szCs w:val="24"/>
              </w:rPr>
              <w:t>供应商认为竞争性磋商文件使自己的权益受到损害的，在收到竞争性磋商文件之日起七个工作日内，以书面形式向采购代理机构提出质疑，逾期提出的无效，因此带来的一切不利后果由供应商自负。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17</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构成竞争性磋商文件的其他文件</w:t>
            </w:r>
          </w:p>
        </w:tc>
        <w:tc>
          <w:tcPr>
            <w:tcW w:w="5694" w:type="dxa"/>
          </w:tcPr>
          <w:p>
            <w:pPr>
              <w:pageBreakBefore w:val="0"/>
              <w:kinsoku/>
              <w:wordWrap/>
              <w:overflowPunct/>
              <w:topLinePunct w:val="0"/>
              <w:autoSpaceDE/>
              <w:autoSpaceDN/>
              <w:bidi w:val="0"/>
              <w:adjustRightInd w:val="0"/>
              <w:snapToGrid w:val="0"/>
              <w:spacing w:line="360" w:lineRule="auto"/>
              <w:textAlignment w:val="auto"/>
              <w:rPr>
                <w:rFonts w:ascii="宋体" w:hAnsi="宋体" w:cs="宋体"/>
                <w:szCs w:val="24"/>
              </w:rPr>
            </w:pPr>
            <w:r>
              <w:rPr>
                <w:rFonts w:hint="eastAsia" w:ascii="宋体" w:hAnsi="宋体" w:cs="宋体"/>
                <w:szCs w:val="24"/>
              </w:rPr>
              <w:t>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18</w:t>
            </w:r>
          </w:p>
        </w:tc>
        <w:tc>
          <w:tcPr>
            <w:tcW w:w="2552" w:type="dxa"/>
            <w:vAlign w:val="center"/>
          </w:tcPr>
          <w:p>
            <w:pPr>
              <w:pStyle w:val="31"/>
              <w:pageBreakBefore w:val="0"/>
              <w:kinsoku/>
              <w:wordWrap/>
              <w:overflowPunct/>
              <w:topLinePunct w:val="0"/>
              <w:autoSpaceDE/>
              <w:autoSpaceDN/>
              <w:bidi w:val="0"/>
              <w:adjustRightInd w:val="0"/>
              <w:snapToGrid w:val="0"/>
              <w:spacing w:line="360" w:lineRule="auto"/>
              <w:textAlignment w:val="auto"/>
              <w:rPr>
                <w:rFonts w:ascii="宋体" w:hAnsi="宋体" w:cs="宋体"/>
                <w:sz w:val="24"/>
                <w:szCs w:val="24"/>
              </w:rPr>
            </w:pPr>
            <w:r>
              <w:rPr>
                <w:rFonts w:hint="eastAsia" w:ascii="宋体" w:hAnsi="宋体" w:cs="宋体"/>
                <w:sz w:val="24"/>
                <w:szCs w:val="24"/>
              </w:rPr>
              <w:t>响应文件递交截止时间、开标时间和地点</w:t>
            </w:r>
          </w:p>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p>
        </w:tc>
        <w:tc>
          <w:tcPr>
            <w:tcW w:w="5694" w:type="dxa"/>
          </w:tcPr>
          <w:p>
            <w:pPr>
              <w:pStyle w:val="31"/>
              <w:pageBreakBefore w:val="0"/>
              <w:kinsoku/>
              <w:wordWrap/>
              <w:overflowPunct/>
              <w:topLinePunct w:val="0"/>
              <w:autoSpaceDE/>
              <w:autoSpaceDN/>
              <w:bidi w:val="0"/>
              <w:adjustRightInd w:val="0"/>
              <w:snapToGrid w:val="0"/>
              <w:spacing w:line="360" w:lineRule="auto"/>
              <w:textAlignment w:val="auto"/>
              <w:rPr>
                <w:rFonts w:ascii="宋体" w:hAnsi="宋体" w:cs="宋体"/>
                <w:sz w:val="24"/>
                <w:szCs w:val="24"/>
              </w:rPr>
            </w:pPr>
            <w:r>
              <w:rPr>
                <w:rFonts w:hint="eastAsia" w:ascii="宋体" w:hAnsi="宋体" w:cs="宋体"/>
                <w:sz w:val="24"/>
                <w:szCs w:val="24"/>
              </w:rPr>
              <w:t>1、响应文件递交截止时间：202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20</w:t>
            </w:r>
            <w:r>
              <w:rPr>
                <w:rFonts w:hint="eastAsia" w:ascii="宋体" w:hAnsi="宋体" w:cs="宋体"/>
                <w:sz w:val="24"/>
                <w:szCs w:val="24"/>
              </w:rPr>
              <w:t>日</w:t>
            </w:r>
            <w:r>
              <w:rPr>
                <w:rFonts w:hint="eastAsia" w:ascii="宋体" w:hAnsi="宋体" w:cs="宋体"/>
                <w:sz w:val="24"/>
                <w:szCs w:val="24"/>
                <w:lang w:val="en-US" w:eastAsia="zh-CN"/>
              </w:rPr>
              <w:t>14</w:t>
            </w:r>
            <w:r>
              <w:rPr>
                <w:rFonts w:hint="eastAsia" w:ascii="宋体" w:hAnsi="宋体" w:cs="宋体"/>
                <w:sz w:val="24"/>
                <w:szCs w:val="24"/>
              </w:rPr>
              <w:t>:</w:t>
            </w:r>
            <w:r>
              <w:rPr>
                <w:rFonts w:hint="eastAsia" w:ascii="宋体" w:hAnsi="宋体" w:cs="宋体"/>
                <w:sz w:val="24"/>
                <w:szCs w:val="24"/>
                <w:lang w:val="en-US" w:eastAsia="zh-CN"/>
              </w:rPr>
              <w:t>30</w:t>
            </w:r>
            <w:r>
              <w:rPr>
                <w:rFonts w:hint="eastAsia" w:ascii="宋体" w:hAnsi="宋体" w:cs="宋体"/>
                <w:sz w:val="24"/>
                <w:szCs w:val="24"/>
              </w:rPr>
              <w:t>前</w:t>
            </w:r>
          </w:p>
          <w:p>
            <w:pPr>
              <w:pStyle w:val="31"/>
              <w:pageBreakBefore w:val="0"/>
              <w:kinsoku/>
              <w:wordWrap/>
              <w:overflowPunct/>
              <w:topLinePunct w:val="0"/>
              <w:autoSpaceDE/>
              <w:autoSpaceDN/>
              <w:bidi w:val="0"/>
              <w:adjustRightInd w:val="0"/>
              <w:snapToGrid w:val="0"/>
              <w:spacing w:line="360" w:lineRule="auto"/>
              <w:textAlignment w:val="auto"/>
              <w:rPr>
                <w:rFonts w:ascii="宋体" w:hAnsi="宋体" w:cs="宋体"/>
                <w:sz w:val="24"/>
                <w:szCs w:val="24"/>
              </w:rPr>
            </w:pPr>
            <w:r>
              <w:rPr>
                <w:rFonts w:hint="eastAsia" w:ascii="宋体" w:hAnsi="宋体" w:cs="宋体"/>
                <w:sz w:val="24"/>
                <w:szCs w:val="24"/>
              </w:rPr>
              <w:t>2、开标时间：202</w:t>
            </w:r>
            <w:r>
              <w:rPr>
                <w:rFonts w:hint="eastAsia" w:ascii="宋体" w:hAnsi="宋体" w:cs="宋体"/>
                <w:sz w:val="24"/>
                <w:szCs w:val="24"/>
                <w:lang w:val="en-US" w:eastAsia="zh-CN"/>
              </w:rPr>
              <w:t>2</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20</w:t>
            </w:r>
            <w:r>
              <w:rPr>
                <w:rFonts w:hint="eastAsia" w:ascii="宋体" w:hAnsi="宋体" w:cs="宋体"/>
                <w:sz w:val="24"/>
                <w:szCs w:val="24"/>
              </w:rPr>
              <w:t>日</w:t>
            </w:r>
            <w:r>
              <w:rPr>
                <w:rFonts w:hint="eastAsia" w:ascii="宋体" w:hAnsi="宋体" w:cs="宋体"/>
                <w:sz w:val="24"/>
                <w:szCs w:val="24"/>
                <w:lang w:val="en-US" w:eastAsia="zh-CN"/>
              </w:rPr>
              <w:t>14</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0</w:t>
            </w:r>
          </w:p>
          <w:p>
            <w:pPr>
              <w:pStyle w:val="31"/>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eastAsia="zh-CN"/>
              </w:rPr>
            </w:pPr>
            <w:r>
              <w:rPr>
                <w:rFonts w:hint="eastAsia" w:ascii="宋体" w:hAnsi="宋体" w:cs="宋体"/>
                <w:sz w:val="24"/>
                <w:szCs w:val="24"/>
              </w:rPr>
              <w:t>3、投标、开标地点：</w:t>
            </w:r>
            <w:r>
              <w:rPr>
                <w:rFonts w:hint="eastAsia" w:ascii="宋体" w:hAnsi="宋体" w:cs="宋体"/>
                <w:sz w:val="24"/>
                <w:szCs w:val="24"/>
                <w:lang w:eastAsia="zh-CN"/>
              </w:rPr>
              <w:t>西安市未央区北二环大明宫立交桥百寰国际2704室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19</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投标有效期</w:t>
            </w:r>
          </w:p>
        </w:tc>
        <w:tc>
          <w:tcPr>
            <w:tcW w:w="5694" w:type="dxa"/>
          </w:tcPr>
          <w:p>
            <w:pPr>
              <w:pageBreakBefore w:val="0"/>
              <w:kinsoku/>
              <w:wordWrap/>
              <w:overflowPunct/>
              <w:topLinePunct w:val="0"/>
              <w:autoSpaceDE/>
              <w:autoSpaceDN/>
              <w:bidi w:val="0"/>
              <w:adjustRightInd w:val="0"/>
              <w:snapToGrid w:val="0"/>
              <w:spacing w:line="360" w:lineRule="auto"/>
              <w:jc w:val="left"/>
              <w:textAlignment w:val="auto"/>
              <w:rPr>
                <w:rFonts w:hint="eastAsia" w:ascii="宋体" w:hAnsi="宋体" w:cs="宋体"/>
                <w:szCs w:val="24"/>
              </w:rPr>
            </w:pPr>
            <w:r>
              <w:rPr>
                <w:rFonts w:hint="eastAsia" w:ascii="宋体" w:hAnsi="宋体" w:cs="宋体"/>
                <w:szCs w:val="24"/>
              </w:rPr>
              <w:t>自提交响应文件的截止之日起90个日历日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20</w:t>
            </w:r>
          </w:p>
        </w:tc>
        <w:tc>
          <w:tcPr>
            <w:tcW w:w="255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投标担保</w:t>
            </w:r>
          </w:p>
        </w:tc>
        <w:tc>
          <w:tcPr>
            <w:tcW w:w="5694" w:type="dxa"/>
          </w:tcPr>
          <w:p>
            <w:pPr>
              <w:keepNext w:val="0"/>
              <w:keepLines w:val="0"/>
              <w:pageBreakBefore w:val="0"/>
              <w:widowControl w:val="0"/>
              <w:tabs>
                <w:tab w:val="left" w:pos="7013"/>
              </w:tabs>
              <w:kinsoku/>
              <w:wordWrap/>
              <w:overflowPunct/>
              <w:topLinePunct w:val="0"/>
              <w:autoSpaceDE/>
              <w:autoSpaceDN/>
              <w:bidi w:val="0"/>
              <w:adjustRightInd w:val="0"/>
              <w:snapToGrid w:val="0"/>
              <w:spacing w:line="360" w:lineRule="auto"/>
              <w:textAlignment w:val="auto"/>
              <w:rPr>
                <w:rFonts w:ascii="宋体" w:hAnsi="宋体"/>
                <w:szCs w:val="24"/>
                <w:highlight w:val="none"/>
              </w:rPr>
            </w:pPr>
            <w:r>
              <w:rPr>
                <w:rFonts w:hint="eastAsia" w:ascii="宋体" w:hAnsi="宋体"/>
                <w:szCs w:val="24"/>
                <w:highlight w:val="none"/>
              </w:rPr>
              <w:t>1、担保方式：(任选其一)</w:t>
            </w:r>
            <w:r>
              <w:rPr>
                <w:rFonts w:ascii="宋体" w:hAnsi="宋体"/>
                <w:szCs w:val="24"/>
                <w:highlight w:val="none"/>
              </w:rPr>
              <w:tab/>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szCs w:val="24"/>
                <w:highlight w:val="none"/>
              </w:rPr>
            </w:pPr>
            <w:r>
              <w:rPr>
                <w:rFonts w:hint="eastAsia" w:ascii="宋体" w:hAnsi="宋体"/>
                <w:szCs w:val="24"/>
                <w:highlight w:val="none"/>
              </w:rPr>
              <w:t>（1）投标保证金</w:t>
            </w:r>
            <w:r>
              <w:rPr>
                <w:rFonts w:hint="eastAsia" w:ascii="宋体" w:hAnsi="宋体"/>
                <w:b/>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szCs w:val="24"/>
                <w:highlight w:val="none"/>
              </w:rPr>
            </w:pPr>
            <w:r>
              <w:rPr>
                <w:rFonts w:hint="eastAsia" w:ascii="宋体" w:hAnsi="宋体"/>
                <w:b/>
                <w:szCs w:val="24"/>
                <w:highlight w:val="none"/>
              </w:rPr>
              <w:t>人民币</w:t>
            </w:r>
            <w:r>
              <w:rPr>
                <w:rFonts w:hint="eastAsia" w:ascii="宋体" w:hAnsi="宋体"/>
                <w:b/>
                <w:szCs w:val="24"/>
                <w:highlight w:val="none"/>
                <w:lang w:val="en-US" w:eastAsia="zh-CN"/>
              </w:rPr>
              <w:t>壹万</w:t>
            </w:r>
            <w:r>
              <w:rPr>
                <w:rFonts w:hint="eastAsia" w:ascii="宋体" w:hAnsi="宋体"/>
                <w:b/>
                <w:szCs w:val="24"/>
                <w:highlight w:val="none"/>
              </w:rPr>
              <w:t>元整。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Cs w:val="24"/>
                <w:highlight w:val="none"/>
              </w:rPr>
            </w:pPr>
            <w:r>
              <w:rPr>
                <w:rFonts w:hint="eastAsia" w:ascii="宋体" w:hAnsi="宋体"/>
                <w:szCs w:val="24"/>
                <w:highlight w:val="none"/>
              </w:rPr>
              <w:t>（2）担保函（专业担保机构开具的投标担保函）。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szCs w:val="24"/>
                <w:highlight w:val="none"/>
              </w:rPr>
              <w:t>2、投标担保递交截止时间：</w:t>
            </w:r>
            <w:r>
              <w:rPr>
                <w:rFonts w:hint="eastAsia" w:ascii="宋体" w:hAnsi="宋体"/>
                <w:b/>
                <w:bCs/>
                <w:szCs w:val="24"/>
                <w:highlight w:val="none"/>
              </w:rPr>
              <w:t>同响应文件递交截止时间</w:t>
            </w:r>
            <w:r>
              <w:rPr>
                <w:rFonts w:hint="eastAsia" w:asciiTheme="minorEastAsia" w:hAnsiTheme="minorEastAsia" w:eastAsiaTheme="minorEastAsia" w:cstheme="minorEastAsia"/>
                <w:b/>
                <w:bCs/>
                <w:szCs w:val="24"/>
                <w:highlight w:val="none"/>
              </w:rPr>
              <w:t>，</w:t>
            </w:r>
            <w:r>
              <w:rPr>
                <w:rFonts w:hint="eastAsia" w:asciiTheme="minorEastAsia" w:hAnsiTheme="minorEastAsia" w:eastAsiaTheme="minorEastAsia" w:cstheme="minorEastAsia"/>
                <w:szCs w:val="24"/>
                <w:highlight w:val="none"/>
              </w:rPr>
              <w:t>若采购代理机构未在投标担保递交截止时间收到足额投标保证金或者有效投标担保函的，其投标将被拒绝。</w:t>
            </w:r>
            <w:r>
              <w:rPr>
                <w:rFonts w:hint="eastAsia" w:asciiTheme="minorEastAsia" w:hAnsiTheme="minorEastAsia" w:eastAsiaTheme="minorEastAsia" w:cstheme="minorEastAsia"/>
                <w:b/>
                <w:bCs/>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szCs w:val="24"/>
                <w:highlight w:val="none"/>
              </w:rPr>
            </w:pPr>
            <w:r>
              <w:rPr>
                <w:rFonts w:hint="eastAsia" w:asciiTheme="minorEastAsia" w:hAnsiTheme="minorEastAsia" w:eastAsiaTheme="minorEastAsia" w:cstheme="minorEastAsia"/>
                <w:b/>
                <w:bCs/>
                <w:szCs w:val="24"/>
                <w:highlight w:val="none"/>
                <w:lang w:val="en-US" w:eastAsia="zh-CN"/>
              </w:rPr>
              <w:t>3、</w:t>
            </w:r>
            <w:r>
              <w:rPr>
                <w:rFonts w:hint="eastAsia" w:asciiTheme="minorEastAsia" w:hAnsiTheme="minorEastAsia" w:eastAsiaTheme="minorEastAsia" w:cstheme="minorEastAsia"/>
                <w:b/>
                <w:bCs/>
                <w:szCs w:val="24"/>
                <w:highlight w:val="none"/>
              </w:rPr>
              <w:t>转账事由：*****项目或项目编号保证金。</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szCs w:val="24"/>
              </w:rPr>
            </w:pPr>
            <w:r>
              <w:rPr>
                <w:rFonts w:hint="eastAsia" w:asciiTheme="minorEastAsia" w:hAnsiTheme="minorEastAsia" w:eastAsiaTheme="minorEastAsia" w:cstheme="minorEastAsia"/>
                <w:bCs/>
                <w:szCs w:val="24"/>
                <w:highlight w:val="none"/>
                <w:lang w:val="en-US" w:eastAsia="zh-CN"/>
              </w:rPr>
              <w:t>4</w:t>
            </w:r>
            <w:r>
              <w:rPr>
                <w:rFonts w:hint="eastAsia" w:asciiTheme="minorEastAsia" w:hAnsiTheme="minorEastAsia" w:eastAsiaTheme="minorEastAsia" w:cstheme="minorEastAsia"/>
                <w:bCs/>
                <w:szCs w:val="24"/>
                <w:highlight w:val="none"/>
              </w:rPr>
              <w:t>、</w:t>
            </w:r>
            <w:r>
              <w:rPr>
                <w:rFonts w:hint="eastAsia" w:asciiTheme="minorEastAsia" w:hAnsiTheme="minorEastAsia" w:eastAsiaTheme="minorEastAsia" w:cstheme="minorEastAsia"/>
                <w:szCs w:val="24"/>
                <w:highlight w:val="none"/>
              </w:rPr>
              <w:t>采用投标保证金方式的供应商，</w:t>
            </w:r>
            <w:r>
              <w:rPr>
                <w:rFonts w:hint="eastAsia" w:asciiTheme="minorEastAsia" w:hAnsiTheme="minorEastAsia" w:eastAsiaTheme="minorEastAsia" w:cstheme="minorEastAsia"/>
                <w:b/>
                <w:szCs w:val="24"/>
                <w:highlight w:val="none"/>
              </w:rPr>
              <w:t>投标保证金仅限于通过对公账户以转账形式交纳，</w:t>
            </w:r>
            <w:r>
              <w:rPr>
                <w:rFonts w:hint="eastAsia" w:asciiTheme="minorEastAsia" w:hAnsiTheme="minorEastAsia" w:eastAsiaTheme="minorEastAsia" w:cstheme="minorEastAsia"/>
                <w:szCs w:val="24"/>
                <w:highlight w:val="none"/>
                <w:lang w:val="en-US" w:eastAsia="zh-CN"/>
              </w:rPr>
              <w:t>磋商</w:t>
            </w:r>
            <w:r>
              <w:rPr>
                <w:rFonts w:hint="eastAsia" w:asciiTheme="minorEastAsia" w:hAnsiTheme="minorEastAsia" w:eastAsiaTheme="minorEastAsia" w:cstheme="minorEastAsia"/>
                <w:szCs w:val="24"/>
                <w:highlight w:val="none"/>
              </w:rPr>
              <w:t>结束后以转账形式退至供应商对公账户内。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21</w:t>
            </w:r>
          </w:p>
        </w:tc>
        <w:tc>
          <w:tcPr>
            <w:tcW w:w="255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汇款账户</w:t>
            </w:r>
          </w:p>
        </w:tc>
        <w:tc>
          <w:tcPr>
            <w:tcW w:w="5694" w:type="dxa"/>
          </w:tcPr>
          <w:p>
            <w:pPr>
              <w:pStyle w:val="32"/>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ascii="宋体"/>
                <w:b/>
                <w:sz w:val="24"/>
                <w:szCs w:val="24"/>
              </w:rPr>
            </w:pPr>
            <w:r>
              <w:rPr>
                <w:rFonts w:hint="eastAsia" w:ascii="宋体" w:hAnsi="宋体"/>
                <w:b/>
                <w:sz w:val="24"/>
                <w:szCs w:val="24"/>
              </w:rPr>
              <w:t>1、开户行名称：陕西致恒招标代理有限公司</w:t>
            </w:r>
          </w:p>
          <w:p>
            <w:pPr>
              <w:pStyle w:val="32"/>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ascii="宋体" w:hAnsi="宋体"/>
                <w:b/>
                <w:sz w:val="24"/>
                <w:szCs w:val="24"/>
              </w:rPr>
            </w:pPr>
            <w:r>
              <w:rPr>
                <w:rFonts w:ascii="宋体" w:hAnsi="宋体"/>
                <w:b/>
                <w:sz w:val="24"/>
                <w:szCs w:val="24"/>
              </w:rPr>
              <w:t>2</w:t>
            </w:r>
            <w:r>
              <w:rPr>
                <w:rFonts w:hint="eastAsia" w:ascii="宋体" w:hAnsi="宋体"/>
                <w:b/>
                <w:sz w:val="24"/>
                <w:szCs w:val="24"/>
              </w:rPr>
              <w:t>、开</w:t>
            </w:r>
            <w:r>
              <w:rPr>
                <w:rFonts w:ascii="宋体" w:hAnsi="宋体"/>
                <w:b/>
                <w:sz w:val="24"/>
                <w:szCs w:val="24"/>
              </w:rPr>
              <w:t xml:space="preserve">  </w:t>
            </w:r>
            <w:r>
              <w:rPr>
                <w:rFonts w:hint="eastAsia" w:ascii="宋体" w:hAnsi="宋体"/>
                <w:b/>
                <w:sz w:val="24"/>
                <w:szCs w:val="24"/>
              </w:rPr>
              <w:t>户</w:t>
            </w:r>
            <w:r>
              <w:rPr>
                <w:rFonts w:ascii="宋体" w:hAnsi="宋体"/>
                <w:b/>
                <w:sz w:val="24"/>
                <w:szCs w:val="24"/>
              </w:rPr>
              <w:t xml:space="preserve">  </w:t>
            </w:r>
            <w:r>
              <w:rPr>
                <w:rFonts w:hint="eastAsia" w:ascii="宋体" w:hAnsi="宋体"/>
                <w:b/>
                <w:sz w:val="24"/>
                <w:szCs w:val="24"/>
              </w:rPr>
              <w:t>行：中国建设银行股份有限公司西安太华北路支行</w:t>
            </w:r>
          </w:p>
          <w:p>
            <w:pPr>
              <w:pStyle w:val="32"/>
              <w:keepNext w:val="0"/>
              <w:keepLines w:val="0"/>
              <w:pageBreakBefore w:val="0"/>
              <w:kinsoku/>
              <w:wordWrap/>
              <w:overflowPunct/>
              <w:topLinePunct w:val="0"/>
              <w:autoSpaceDE/>
              <w:autoSpaceDN/>
              <w:bidi w:val="0"/>
              <w:adjustRightInd w:val="0"/>
              <w:snapToGrid w:val="0"/>
              <w:spacing w:line="360" w:lineRule="auto"/>
              <w:ind w:firstLine="0" w:firstLineChars="0"/>
              <w:textAlignment w:val="auto"/>
              <w:rPr>
                <w:rFonts w:ascii="宋体" w:hAnsi="宋体" w:cs="宋体"/>
                <w:b/>
                <w:sz w:val="24"/>
                <w:szCs w:val="24"/>
              </w:rPr>
            </w:pPr>
            <w:r>
              <w:rPr>
                <w:rFonts w:ascii="宋体" w:hAnsi="宋体"/>
                <w:b/>
                <w:sz w:val="24"/>
                <w:szCs w:val="24"/>
              </w:rPr>
              <w:t>3</w:t>
            </w:r>
            <w:r>
              <w:rPr>
                <w:rFonts w:hint="eastAsia" w:ascii="宋体" w:hAnsi="宋体"/>
                <w:b/>
                <w:sz w:val="24"/>
                <w:szCs w:val="24"/>
              </w:rPr>
              <w:t>、帐</w:t>
            </w:r>
            <w:r>
              <w:rPr>
                <w:rFonts w:ascii="宋体" w:hAnsi="宋体"/>
                <w:b/>
                <w:sz w:val="24"/>
                <w:szCs w:val="24"/>
              </w:rPr>
              <w:t xml:space="preserve">      </w:t>
            </w:r>
            <w:r>
              <w:rPr>
                <w:rFonts w:hint="eastAsia" w:ascii="宋体" w:hAnsi="宋体"/>
                <w:b/>
                <w:sz w:val="24"/>
                <w:szCs w:val="24"/>
              </w:rPr>
              <w:t>号：61050110629600000259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22</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备选投标方案</w:t>
            </w:r>
          </w:p>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和报价</w:t>
            </w:r>
          </w:p>
        </w:tc>
        <w:tc>
          <w:tcPr>
            <w:tcW w:w="5694" w:type="dxa"/>
            <w:vAlign w:val="center"/>
          </w:tcPr>
          <w:p>
            <w:pPr>
              <w:pageBreakBefore w:val="0"/>
              <w:tabs>
                <w:tab w:val="left" w:pos="7013"/>
              </w:tabs>
              <w:kinsoku/>
              <w:wordWrap/>
              <w:overflowPunct/>
              <w:topLinePunct w:val="0"/>
              <w:autoSpaceDE/>
              <w:autoSpaceDN/>
              <w:bidi w:val="0"/>
              <w:adjustRightInd w:val="0"/>
              <w:snapToGrid w:val="0"/>
              <w:spacing w:line="360" w:lineRule="auto"/>
              <w:textAlignment w:val="auto"/>
              <w:rPr>
                <w:rFonts w:ascii="宋体" w:hAnsi="宋体" w:cs="宋体"/>
                <w:szCs w:val="24"/>
              </w:rPr>
            </w:pPr>
            <w:r>
              <w:rPr>
                <w:rFonts w:hint="eastAsia" w:ascii="宋体" w:hAnsi="宋体" w:cs="宋体"/>
                <w:szCs w:val="24"/>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23</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盖章签字</w:t>
            </w:r>
          </w:p>
        </w:tc>
        <w:tc>
          <w:tcPr>
            <w:tcW w:w="5694" w:type="dxa"/>
            <w:vAlign w:val="center"/>
          </w:tcPr>
          <w:p>
            <w:pPr>
              <w:pageBreakBefore w:val="0"/>
              <w:tabs>
                <w:tab w:val="left" w:pos="7013"/>
              </w:tabs>
              <w:kinsoku/>
              <w:wordWrap/>
              <w:overflowPunct/>
              <w:topLinePunct w:val="0"/>
              <w:autoSpaceDE/>
              <w:autoSpaceDN/>
              <w:bidi w:val="0"/>
              <w:adjustRightInd w:val="0"/>
              <w:snapToGrid w:val="0"/>
              <w:spacing w:line="360" w:lineRule="auto"/>
              <w:textAlignment w:val="auto"/>
              <w:rPr>
                <w:rFonts w:ascii="宋体" w:hAnsi="宋体" w:cs="宋体"/>
                <w:szCs w:val="24"/>
              </w:rPr>
            </w:pPr>
            <w:r>
              <w:rPr>
                <w:rFonts w:hint="eastAsia" w:ascii="宋体" w:hAnsi="宋体" w:cs="宋体"/>
                <w:szCs w:val="24"/>
              </w:rPr>
              <w:t>供应商必须按照竞争性磋商文件的规定和要求</w:t>
            </w:r>
            <w:bookmarkStart w:id="16" w:name="OLE_LINK5"/>
            <w:r>
              <w:rPr>
                <w:rFonts w:hint="eastAsia" w:ascii="宋体" w:hAnsi="宋体" w:cs="宋体"/>
                <w:szCs w:val="24"/>
              </w:rPr>
              <w:t>由法定代表人或被授权人签字（或盖章），并加盖供应商公章（正本为鲜章），正本所有复印件或扫描件需加盖鲜章。</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24</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响应文件数量、装订</w:t>
            </w:r>
          </w:p>
        </w:tc>
        <w:tc>
          <w:tcPr>
            <w:tcW w:w="5694" w:type="dxa"/>
            <w:vAlign w:val="center"/>
          </w:tcPr>
          <w:p>
            <w:pPr>
              <w:pStyle w:val="7"/>
              <w:pageBreakBefore w:val="0"/>
              <w:kinsoku/>
              <w:wordWrap/>
              <w:overflowPunct/>
              <w:topLinePunct w:val="0"/>
              <w:autoSpaceDE/>
              <w:autoSpaceDN/>
              <w:bidi w:val="0"/>
              <w:adjustRightInd w:val="0"/>
              <w:snapToGrid w:val="0"/>
              <w:spacing w:line="360" w:lineRule="auto"/>
              <w:ind w:firstLine="0"/>
              <w:textAlignment w:val="auto"/>
              <w:rPr>
                <w:rFonts w:ascii="宋体" w:hAnsi="宋体" w:cs="宋体"/>
                <w:b/>
                <w:sz w:val="24"/>
                <w:szCs w:val="24"/>
              </w:rPr>
            </w:pPr>
            <w:r>
              <w:rPr>
                <w:rFonts w:hint="eastAsia" w:ascii="宋体" w:hAnsi="宋体"/>
                <w:b/>
                <w:sz w:val="24"/>
                <w:szCs w:val="24"/>
                <w:highlight w:val="none"/>
              </w:rPr>
              <w:t>响应文件一正三副，</w:t>
            </w:r>
            <w:r>
              <w:rPr>
                <w:rFonts w:hint="eastAsia" w:ascii="宋体" w:hAnsi="宋体"/>
                <w:b/>
                <w:sz w:val="24"/>
                <w:szCs w:val="24"/>
                <w:highlight w:val="none"/>
                <w:lang w:val="en-US" w:eastAsia="zh-CN"/>
              </w:rPr>
              <w:t>电子版U盘一份，</w:t>
            </w:r>
            <w:r>
              <w:rPr>
                <w:rFonts w:hint="eastAsia" w:ascii="宋体" w:hAnsi="宋体"/>
                <w:b/>
                <w:sz w:val="24"/>
                <w:szCs w:val="24"/>
                <w:highlight w:val="none"/>
                <w:lang w:eastAsia="zh-CN"/>
              </w:rPr>
              <w:t>供应商</w:t>
            </w:r>
            <w:r>
              <w:rPr>
                <w:rFonts w:hint="eastAsia" w:ascii="宋体" w:hAnsi="宋体"/>
                <w:b/>
                <w:sz w:val="24"/>
                <w:szCs w:val="24"/>
                <w:highlight w:val="none"/>
              </w:rPr>
              <w:t>应将响应文件正本单独密封在一个标袋中，所有副本单独密封在标袋中</w:t>
            </w:r>
            <w:r>
              <w:rPr>
                <w:rFonts w:hint="eastAsia" w:ascii="宋体" w:hAnsi="宋体"/>
                <w:b/>
                <w:sz w:val="24"/>
                <w:szCs w:val="24"/>
                <w:highlight w:val="none"/>
                <w:lang w:val="en-US" w:eastAsia="zh-CN"/>
              </w:rPr>
              <w:t>或密封在一个标袋中</w:t>
            </w:r>
            <w:r>
              <w:rPr>
                <w:rFonts w:hint="eastAsia" w:ascii="宋体" w:hAnsi="宋体"/>
                <w:b/>
                <w:sz w:val="24"/>
                <w:szCs w:val="24"/>
                <w:highlight w:val="none"/>
              </w:rPr>
              <w:t>，电子版放置“正本”标袋内（封袋不得有破损），在封袋上标明“正本”、“副本”字样，封袋正面要粘贴标识并加盖</w:t>
            </w:r>
            <w:r>
              <w:rPr>
                <w:rFonts w:hint="eastAsia" w:ascii="宋体" w:hAnsi="宋体"/>
                <w:b/>
                <w:sz w:val="24"/>
                <w:szCs w:val="24"/>
                <w:highlight w:val="none"/>
                <w:lang w:val="en-US" w:eastAsia="zh-CN"/>
              </w:rPr>
              <w:t>供应商</w:t>
            </w:r>
            <w:r>
              <w:rPr>
                <w:rFonts w:hint="eastAsia" w:ascii="宋体" w:hAnsi="宋体"/>
                <w:b/>
                <w:sz w:val="24"/>
                <w:szCs w:val="24"/>
                <w:highlight w:val="none"/>
              </w:rPr>
              <w:t>单位公章；响应文件正本中的法人授权书须为原件。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25</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highlight w:val="none"/>
              </w:rPr>
              <w:t>磋商报价</w:t>
            </w:r>
          </w:p>
        </w:tc>
        <w:tc>
          <w:tcPr>
            <w:tcW w:w="5694" w:type="dxa"/>
            <w:vAlign w:val="center"/>
          </w:tcPr>
          <w:p>
            <w:pPr>
              <w:pStyle w:val="31"/>
              <w:spacing w:line="360" w:lineRule="auto"/>
              <w:rPr>
                <w:rFonts w:ascii="宋体" w:hAnsi="宋体" w:cs="宋体"/>
                <w:b/>
                <w:sz w:val="24"/>
                <w:szCs w:val="24"/>
              </w:rPr>
            </w:pPr>
            <w:r>
              <w:rPr>
                <w:rFonts w:hint="eastAsia" w:ascii="宋体" w:hAnsi="宋体" w:cs="宋体"/>
                <w:sz w:val="24"/>
                <w:szCs w:val="24"/>
              </w:rPr>
              <w:t>报价应包括但不限于：本项目的工作以及相关的义务，直到项目全部验收完毕的全阶段的所有费用。一旦成交，投标报价将不会因国家政策调整及市场变化因素而得到调整。</w:t>
            </w:r>
          </w:p>
          <w:p>
            <w:pPr>
              <w:pStyle w:val="31"/>
              <w:pageBreakBefore w:val="0"/>
              <w:kinsoku/>
              <w:wordWrap/>
              <w:overflowPunct/>
              <w:topLinePunct w:val="0"/>
              <w:autoSpaceDE/>
              <w:autoSpaceDN/>
              <w:bidi w:val="0"/>
              <w:adjustRightInd w:val="0"/>
              <w:snapToGrid w:val="0"/>
              <w:spacing w:line="360" w:lineRule="auto"/>
              <w:textAlignment w:val="auto"/>
              <w:rPr>
                <w:rFonts w:ascii="宋体" w:hAnsi="宋体" w:cs="宋体"/>
                <w:sz w:val="24"/>
                <w:szCs w:val="24"/>
              </w:rPr>
            </w:pPr>
            <w:r>
              <w:rPr>
                <w:rFonts w:hint="eastAsia" w:ascii="宋体" w:hAnsi="宋体" w:cs="宋体"/>
                <w:b/>
                <w:sz w:val="24"/>
                <w:szCs w:val="24"/>
              </w:rPr>
              <w:t>注：磋商报价超过采购预算的，投标无效。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26</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评标办法及标准</w:t>
            </w:r>
          </w:p>
        </w:tc>
        <w:tc>
          <w:tcPr>
            <w:tcW w:w="5694" w:type="dxa"/>
            <w:vAlign w:val="center"/>
          </w:tcPr>
          <w:p>
            <w:pPr>
              <w:pStyle w:val="31"/>
              <w:pageBreakBefore w:val="0"/>
              <w:kinsoku/>
              <w:wordWrap/>
              <w:overflowPunct/>
              <w:topLinePunct w:val="0"/>
              <w:autoSpaceDE/>
              <w:autoSpaceDN/>
              <w:bidi w:val="0"/>
              <w:adjustRightInd w:val="0"/>
              <w:snapToGrid w:val="0"/>
              <w:spacing w:line="360" w:lineRule="auto"/>
              <w:textAlignment w:val="auto"/>
              <w:rPr>
                <w:rFonts w:ascii="宋体" w:hAnsi="宋体" w:cs="宋体"/>
                <w:sz w:val="24"/>
                <w:szCs w:val="24"/>
              </w:rPr>
            </w:pPr>
            <w:r>
              <w:rPr>
                <w:rFonts w:hint="eastAsia" w:ascii="宋体" w:hAnsi="宋体" w:cs="宋体"/>
                <w:sz w:val="24"/>
                <w:szCs w:val="24"/>
              </w:rPr>
              <w:t>详见本章第（七）项评分内容和评分方式。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27</w:t>
            </w:r>
          </w:p>
        </w:tc>
        <w:tc>
          <w:tcPr>
            <w:tcW w:w="2552" w:type="dxa"/>
            <w:vAlign w:val="center"/>
          </w:tcPr>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szCs w:val="24"/>
              </w:rPr>
            </w:pPr>
            <w:r>
              <w:rPr>
                <w:rFonts w:hint="eastAsia" w:ascii="宋体" w:hAnsi="宋体" w:cs="宋体"/>
                <w:szCs w:val="24"/>
              </w:rPr>
              <w:t>其它事项</w:t>
            </w:r>
          </w:p>
        </w:tc>
        <w:tc>
          <w:tcPr>
            <w:tcW w:w="5694" w:type="dxa"/>
            <w:vAlign w:val="center"/>
          </w:tcPr>
          <w:p>
            <w:pPr>
              <w:pageBreakBefore w:val="0"/>
              <w:kinsoku/>
              <w:wordWrap/>
              <w:overflowPunct/>
              <w:topLinePunct w:val="0"/>
              <w:autoSpaceDE/>
              <w:autoSpaceDN/>
              <w:bidi w:val="0"/>
              <w:adjustRightInd w:val="0"/>
              <w:snapToGrid w:val="0"/>
              <w:spacing w:line="360" w:lineRule="auto"/>
              <w:textAlignment w:val="auto"/>
              <w:rPr>
                <w:rFonts w:ascii="宋体" w:hAnsi="宋体" w:cs="宋体"/>
                <w:szCs w:val="24"/>
              </w:rPr>
            </w:pPr>
            <w:r>
              <w:rPr>
                <w:rFonts w:hint="eastAsia" w:ascii="宋体" w:hAnsi="宋体" w:cs="宋体"/>
                <w:szCs w:val="24"/>
              </w:rPr>
              <w:t>本次采购、磋商报价、评审和合同授予均以项目为单位，投标供应商必须就一个完整项目进行响应。成交供应商与采购人在成交通知书发出30天内签订合同，不及时签订视为自动放弃。非经采购人同意，本项目不允许成交后另行转包或者分包。</w:t>
            </w:r>
            <w:r>
              <w:rPr>
                <w:rFonts w:hint="eastAsia" w:ascii="宋体" w:hAnsi="宋体" w:cs="宋体"/>
                <w:kern w:val="0"/>
                <w:szCs w:val="24"/>
              </w:rPr>
              <w:t>成交人无正当理由不得放弃</w:t>
            </w:r>
            <w:r>
              <w:rPr>
                <w:rFonts w:hint="eastAsia" w:ascii="宋体" w:hAnsi="宋体" w:cs="宋体"/>
                <w:szCs w:val="24"/>
              </w:rPr>
              <w:t>成交</w:t>
            </w:r>
            <w:r>
              <w:rPr>
                <w:rFonts w:hint="eastAsia" w:ascii="宋体" w:hAnsi="宋体" w:cs="宋体"/>
                <w:kern w:val="0"/>
                <w:szCs w:val="24"/>
              </w:rPr>
              <w:t>。</w:t>
            </w:r>
            <w:r>
              <w:rPr>
                <w:rFonts w:hint="eastAsia" w:ascii="宋体" w:hAnsi="宋体" w:cs="宋体"/>
                <w:szCs w:val="24"/>
              </w:rPr>
              <w:t>因自身原因拒绝签订政府采购合同的或者未按合同约定进行履约的，成交人不得参加对该项目重新开展的招标活动。</w:t>
            </w:r>
          </w:p>
        </w:tc>
      </w:tr>
    </w:tbl>
    <w:p>
      <w:pPr>
        <w:pageBreakBefore w:val="0"/>
        <w:widowControl/>
        <w:kinsoku/>
        <w:wordWrap/>
        <w:overflowPunct/>
        <w:topLinePunct w:val="0"/>
        <w:autoSpaceDE/>
        <w:autoSpaceDN/>
        <w:bidi w:val="0"/>
        <w:adjustRightInd w:val="0"/>
        <w:snapToGrid w:val="0"/>
        <w:spacing w:line="360" w:lineRule="auto"/>
        <w:jc w:val="left"/>
        <w:textAlignment w:val="auto"/>
        <w:rPr>
          <w:rFonts w:ascii="宋体" w:hAnsi="宋体" w:cs="宋体"/>
          <w:szCs w:val="24"/>
        </w:rPr>
      </w:pPr>
      <w:r>
        <w:rPr>
          <w:rFonts w:hint="eastAsia" w:ascii="宋体" w:hAnsi="宋体" w:cs="宋体"/>
          <w:szCs w:val="24"/>
        </w:rPr>
        <w:t>本项目招标依据《中华人民共和国政府采购法》等有关法律法规及规定。</w:t>
      </w:r>
    </w:p>
    <w:p>
      <w:pPr>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cs="宋体"/>
          <w:b/>
          <w:szCs w:val="24"/>
        </w:rPr>
      </w:pPr>
    </w:p>
    <w:p>
      <w:pPr>
        <w:pageBreakBefore w:val="0"/>
        <w:kinsoku/>
        <w:wordWrap/>
        <w:overflowPunct/>
        <w:topLinePunct w:val="0"/>
        <w:autoSpaceDE/>
        <w:autoSpaceDN/>
        <w:bidi w:val="0"/>
        <w:adjustRightInd w:val="0"/>
        <w:snapToGrid w:val="0"/>
        <w:spacing w:line="360" w:lineRule="auto"/>
        <w:jc w:val="center"/>
        <w:textAlignment w:val="auto"/>
        <w:rPr>
          <w:rFonts w:ascii="宋体" w:hAnsi="宋体" w:cs="宋体"/>
          <w:b/>
          <w:szCs w:val="24"/>
        </w:rPr>
      </w:pPr>
      <w:r>
        <w:rPr>
          <w:rFonts w:hint="eastAsia" w:ascii="宋体" w:hAnsi="宋体" w:cs="宋体"/>
          <w:b/>
          <w:szCs w:val="24"/>
        </w:rPr>
        <w:t>（一）总则</w:t>
      </w:r>
    </w:p>
    <w:p>
      <w:pPr>
        <w:spacing w:line="360" w:lineRule="auto"/>
        <w:rPr>
          <w:rFonts w:ascii="宋体" w:hAnsi="宋体" w:cs="宋体"/>
          <w:szCs w:val="24"/>
        </w:rPr>
      </w:pPr>
      <w:r>
        <w:rPr>
          <w:rFonts w:hint="eastAsia" w:ascii="宋体" w:hAnsi="宋体" w:cs="宋体"/>
          <w:szCs w:val="24"/>
        </w:rPr>
        <w:t>1、适用范围：本竞争性磋商文件仅适用于</w:t>
      </w:r>
      <w:r>
        <w:rPr>
          <w:rFonts w:hint="eastAsia" w:ascii="宋体" w:hAnsi="宋体" w:cs="宋体"/>
          <w:szCs w:val="24"/>
          <w:lang w:val="en-US" w:eastAsia="zh-CN"/>
        </w:rPr>
        <w:t>富平县妇女儿童医院购置移动护士站综合服务采购项目</w:t>
      </w:r>
      <w:r>
        <w:rPr>
          <w:rFonts w:hint="eastAsia" w:ascii="宋体" w:hAnsi="宋体" w:cs="宋体"/>
          <w:szCs w:val="24"/>
        </w:rPr>
        <w:t>的招标。</w:t>
      </w:r>
    </w:p>
    <w:p>
      <w:pPr>
        <w:spacing w:line="360" w:lineRule="auto"/>
        <w:rPr>
          <w:rFonts w:ascii="宋体" w:hAnsi="宋体" w:cs="宋体"/>
          <w:szCs w:val="24"/>
        </w:rPr>
      </w:pPr>
      <w:r>
        <w:rPr>
          <w:rFonts w:hint="eastAsia" w:ascii="宋体" w:hAnsi="宋体" w:cs="宋体"/>
          <w:szCs w:val="24"/>
        </w:rPr>
        <w:t>2、名词解释：</w:t>
      </w:r>
    </w:p>
    <w:p>
      <w:pPr>
        <w:spacing w:line="360" w:lineRule="auto"/>
        <w:ind w:firstLine="480" w:firstLineChars="200"/>
        <w:rPr>
          <w:rFonts w:hint="default" w:ascii="宋体" w:hAnsi="宋体" w:eastAsia="宋体" w:cs="宋体"/>
          <w:szCs w:val="24"/>
          <w:lang w:val="en-US" w:eastAsia="zh-CN"/>
        </w:rPr>
      </w:pPr>
      <w:r>
        <w:rPr>
          <w:rFonts w:hint="eastAsia" w:ascii="宋体" w:hAnsi="宋体" w:cs="宋体"/>
          <w:szCs w:val="24"/>
        </w:rPr>
        <w:t>2.1采购人：富平县</w:t>
      </w:r>
      <w:r>
        <w:rPr>
          <w:rFonts w:hint="eastAsia" w:ascii="宋体" w:hAnsi="宋体" w:cs="宋体"/>
          <w:szCs w:val="24"/>
          <w:lang w:val="en-US" w:eastAsia="zh-CN"/>
        </w:rPr>
        <w:t>妇女儿童医院</w:t>
      </w:r>
    </w:p>
    <w:p>
      <w:pPr>
        <w:spacing w:line="360" w:lineRule="auto"/>
        <w:ind w:firstLine="480" w:firstLineChars="200"/>
        <w:rPr>
          <w:rFonts w:hint="eastAsia" w:ascii="宋体" w:hAnsi="宋体" w:eastAsia="宋体" w:cs="宋体"/>
          <w:szCs w:val="24"/>
          <w:lang w:eastAsia="zh-CN"/>
        </w:rPr>
      </w:pPr>
      <w:r>
        <w:rPr>
          <w:rFonts w:hint="eastAsia" w:ascii="宋体" w:hAnsi="宋体" w:cs="宋体"/>
          <w:szCs w:val="24"/>
        </w:rPr>
        <w:t>2.2监督机构：</w:t>
      </w:r>
      <w:r>
        <w:rPr>
          <w:rFonts w:hint="eastAsia" w:ascii="宋体" w:hAnsi="宋体" w:cs="宋体"/>
          <w:szCs w:val="24"/>
          <w:lang w:val="en-US" w:eastAsia="zh-CN"/>
        </w:rPr>
        <w:t>富平县财政局</w:t>
      </w:r>
    </w:p>
    <w:p>
      <w:pPr>
        <w:spacing w:line="360" w:lineRule="auto"/>
        <w:ind w:firstLine="480" w:firstLineChars="200"/>
        <w:rPr>
          <w:rFonts w:ascii="宋体" w:hAnsi="宋体" w:cs="宋体"/>
          <w:szCs w:val="24"/>
        </w:rPr>
      </w:pPr>
      <w:r>
        <w:rPr>
          <w:rFonts w:hint="eastAsia" w:ascii="宋体" w:hAnsi="宋体" w:cs="宋体"/>
          <w:szCs w:val="24"/>
        </w:rPr>
        <w:t>2.3采购代理机构：陕西致恒招标代理有限公司</w:t>
      </w:r>
    </w:p>
    <w:p>
      <w:pPr>
        <w:spacing w:line="360" w:lineRule="auto"/>
        <w:ind w:firstLine="480" w:firstLineChars="200"/>
        <w:rPr>
          <w:rFonts w:ascii="宋体" w:hAnsi="宋体" w:cs="宋体"/>
          <w:szCs w:val="24"/>
        </w:rPr>
      </w:pPr>
      <w:r>
        <w:rPr>
          <w:rFonts w:hint="eastAsia" w:ascii="宋体" w:hAnsi="宋体" w:cs="宋体"/>
          <w:szCs w:val="24"/>
        </w:rPr>
        <w:t>2.4供应商：响应招标并且符合磋商文件规定资格条件和参加竞争的供应商</w:t>
      </w:r>
    </w:p>
    <w:p>
      <w:pPr>
        <w:spacing w:line="360" w:lineRule="auto"/>
        <w:ind w:firstLine="480" w:firstLineChars="200"/>
        <w:rPr>
          <w:rFonts w:ascii="宋体" w:hAnsi="宋体" w:cs="宋体"/>
          <w:szCs w:val="24"/>
        </w:rPr>
      </w:pPr>
      <w:r>
        <w:rPr>
          <w:rFonts w:hint="eastAsia" w:ascii="宋体" w:hAnsi="宋体" w:cs="宋体"/>
          <w:szCs w:val="24"/>
        </w:rPr>
        <w:t>2.5项目：指磋商文件规定供应商须承担的</w:t>
      </w:r>
      <w:r>
        <w:rPr>
          <w:rFonts w:hint="eastAsia" w:ascii="宋体" w:hAnsi="宋体" w:cs="宋体"/>
          <w:szCs w:val="24"/>
          <w:lang w:val="en-US" w:eastAsia="zh-CN"/>
        </w:rPr>
        <w:t>富平县妇女儿童医院购置移动护士站综合服务采购项目</w:t>
      </w:r>
      <w:r>
        <w:rPr>
          <w:rFonts w:hint="eastAsia" w:ascii="宋体" w:hAnsi="宋体" w:cs="宋体"/>
          <w:szCs w:val="24"/>
        </w:rPr>
        <w:t>的相关工作。</w:t>
      </w:r>
    </w:p>
    <w:p>
      <w:pPr>
        <w:spacing w:line="360" w:lineRule="auto"/>
        <w:rPr>
          <w:rFonts w:ascii="宋体" w:hAnsi="宋体" w:cs="宋体"/>
          <w:szCs w:val="24"/>
        </w:rPr>
      </w:pPr>
      <w:r>
        <w:rPr>
          <w:rFonts w:hint="eastAsia" w:ascii="宋体" w:hAnsi="宋体" w:cs="宋体"/>
          <w:szCs w:val="24"/>
        </w:rPr>
        <w:t>3、合格的供应商</w:t>
      </w:r>
    </w:p>
    <w:p>
      <w:pPr>
        <w:spacing w:line="360" w:lineRule="auto"/>
        <w:ind w:firstLine="480" w:firstLineChars="200"/>
        <w:rPr>
          <w:rFonts w:ascii="宋体" w:hAnsi="宋体" w:cs="宋体"/>
          <w:szCs w:val="24"/>
        </w:rPr>
      </w:pPr>
      <w:r>
        <w:rPr>
          <w:rFonts w:hint="eastAsia" w:ascii="宋体" w:hAnsi="宋体" w:cs="宋体"/>
          <w:szCs w:val="24"/>
        </w:rPr>
        <w:t>3.1满足磋商中对供应商所提出的全部要求。</w:t>
      </w:r>
    </w:p>
    <w:p>
      <w:pPr>
        <w:spacing w:line="360" w:lineRule="auto"/>
        <w:ind w:firstLine="480" w:firstLineChars="200"/>
        <w:rPr>
          <w:rFonts w:ascii="宋体" w:hAnsi="宋体" w:cs="宋体"/>
          <w:szCs w:val="24"/>
        </w:rPr>
      </w:pPr>
      <w:r>
        <w:rPr>
          <w:rFonts w:hint="eastAsia" w:ascii="宋体" w:hAnsi="宋体" w:cs="宋体"/>
          <w:szCs w:val="24"/>
        </w:rPr>
        <w:t>3.2供应商应从采购代理机构购买磋商文件，其他未购买磋商文件的潜在供应商均无资格参加本次磋商。</w:t>
      </w:r>
    </w:p>
    <w:p>
      <w:pPr>
        <w:spacing w:line="360" w:lineRule="auto"/>
        <w:rPr>
          <w:rFonts w:ascii="宋体" w:hAnsi="宋体" w:cs="宋体"/>
          <w:szCs w:val="24"/>
        </w:rPr>
      </w:pPr>
      <w:r>
        <w:rPr>
          <w:rFonts w:hint="eastAsia" w:ascii="宋体" w:hAnsi="宋体" w:cs="宋体"/>
          <w:szCs w:val="24"/>
        </w:rPr>
        <w:t>4、保密</w:t>
      </w:r>
    </w:p>
    <w:p>
      <w:pPr>
        <w:spacing w:line="360" w:lineRule="auto"/>
        <w:ind w:firstLine="480" w:firstLineChars="200"/>
        <w:rPr>
          <w:rFonts w:ascii="宋体" w:hAnsi="宋体" w:cs="宋体"/>
          <w:szCs w:val="24"/>
        </w:rPr>
      </w:pPr>
      <w:r>
        <w:rPr>
          <w:rFonts w:hint="eastAsia" w:ascii="宋体" w:hAnsi="宋体" w:cs="宋体"/>
          <w:szCs w:val="24"/>
        </w:rPr>
        <w:t xml:space="preserve">参与磋商活动的各方应对磋商文件和响应文件中的商业和技术等秘密保密，违者应对由此造成的后果承担法律责任。 </w:t>
      </w:r>
    </w:p>
    <w:p>
      <w:pPr>
        <w:spacing w:line="360" w:lineRule="auto"/>
        <w:rPr>
          <w:rFonts w:ascii="宋体" w:hAnsi="宋体" w:cs="宋体"/>
          <w:szCs w:val="24"/>
        </w:rPr>
      </w:pPr>
      <w:bookmarkStart w:id="17" w:name="_Toc394934414"/>
      <w:bookmarkStart w:id="18" w:name="_Toc246928899"/>
      <w:r>
        <w:rPr>
          <w:rFonts w:hint="eastAsia" w:ascii="宋体" w:hAnsi="宋体" w:cs="宋体"/>
          <w:szCs w:val="24"/>
        </w:rPr>
        <w:t>5、费用</w:t>
      </w:r>
      <w:bookmarkEnd w:id="17"/>
      <w:bookmarkEnd w:id="18"/>
    </w:p>
    <w:p>
      <w:pPr>
        <w:spacing w:line="360" w:lineRule="auto"/>
        <w:ind w:firstLine="480" w:firstLineChars="200"/>
        <w:rPr>
          <w:rFonts w:ascii="宋体" w:hAnsi="宋体" w:cs="宋体"/>
          <w:szCs w:val="24"/>
        </w:rPr>
      </w:pPr>
      <w:r>
        <w:rPr>
          <w:rFonts w:hint="eastAsia" w:ascii="宋体" w:hAnsi="宋体" w:cs="宋体"/>
          <w:szCs w:val="24"/>
        </w:rPr>
        <w:t>供应商应承担所有与编写和提交响应文件有关的费用，无论磋商过程中的做法和结果如何，采购人在任何情况下均无义务和责任承担这些费用。</w:t>
      </w:r>
    </w:p>
    <w:p>
      <w:pPr>
        <w:spacing w:line="360" w:lineRule="auto"/>
        <w:jc w:val="center"/>
        <w:rPr>
          <w:rFonts w:ascii="宋体" w:hAnsi="宋体" w:cs="宋体"/>
          <w:b/>
          <w:szCs w:val="24"/>
        </w:rPr>
      </w:pPr>
      <w:r>
        <w:rPr>
          <w:rFonts w:hint="eastAsia" w:ascii="宋体" w:hAnsi="宋体" w:cs="宋体"/>
          <w:b/>
          <w:szCs w:val="24"/>
        </w:rPr>
        <w:t>（二）磋商文件说明</w:t>
      </w:r>
    </w:p>
    <w:p>
      <w:pPr>
        <w:spacing w:line="360" w:lineRule="auto"/>
        <w:rPr>
          <w:rFonts w:ascii="宋体" w:hAnsi="宋体" w:cs="宋体"/>
          <w:szCs w:val="24"/>
        </w:rPr>
      </w:pPr>
      <w:r>
        <w:rPr>
          <w:rFonts w:hint="eastAsia" w:ascii="宋体" w:hAnsi="宋体" w:cs="宋体"/>
          <w:szCs w:val="24"/>
        </w:rPr>
        <w:t>6、磋商文件的组成</w:t>
      </w:r>
    </w:p>
    <w:p>
      <w:pPr>
        <w:spacing w:line="360" w:lineRule="auto"/>
        <w:rPr>
          <w:rFonts w:ascii="宋体" w:hAnsi="宋体" w:cs="宋体"/>
          <w:szCs w:val="24"/>
        </w:rPr>
      </w:pPr>
      <w:r>
        <w:rPr>
          <w:rFonts w:hint="eastAsia" w:ascii="宋体" w:hAnsi="宋体" w:cs="宋体"/>
          <w:szCs w:val="24"/>
        </w:rPr>
        <w:t>6.1磋商文件依据本项目的特点及需求编制，具体包括以下内容：</w:t>
      </w:r>
    </w:p>
    <w:p>
      <w:pPr>
        <w:spacing w:line="360" w:lineRule="auto"/>
        <w:rPr>
          <w:rFonts w:ascii="宋体" w:hAnsi="宋体" w:cs="宋体"/>
          <w:szCs w:val="24"/>
        </w:rPr>
      </w:pPr>
      <w:r>
        <w:rPr>
          <w:rFonts w:hint="eastAsia" w:ascii="宋体" w:hAnsi="宋体" w:cs="宋体"/>
          <w:szCs w:val="24"/>
        </w:rPr>
        <w:t>（1）竞争性磋商公告</w:t>
      </w:r>
    </w:p>
    <w:p>
      <w:pPr>
        <w:spacing w:line="360" w:lineRule="auto"/>
        <w:rPr>
          <w:rFonts w:ascii="宋体" w:hAnsi="宋体" w:cs="宋体"/>
          <w:szCs w:val="24"/>
        </w:rPr>
      </w:pPr>
      <w:r>
        <w:rPr>
          <w:rFonts w:hint="eastAsia" w:ascii="宋体" w:hAnsi="宋体" w:cs="宋体"/>
          <w:szCs w:val="24"/>
        </w:rPr>
        <w:t>（2）供应商须知</w:t>
      </w:r>
    </w:p>
    <w:p>
      <w:pPr>
        <w:spacing w:line="360" w:lineRule="auto"/>
        <w:rPr>
          <w:rFonts w:ascii="宋体" w:hAnsi="宋体" w:cs="宋体"/>
          <w:szCs w:val="24"/>
        </w:rPr>
      </w:pPr>
      <w:r>
        <w:rPr>
          <w:rFonts w:hint="eastAsia" w:ascii="宋体" w:hAnsi="宋体" w:cs="宋体"/>
          <w:szCs w:val="24"/>
        </w:rPr>
        <w:t>（3）合同条款及格式</w:t>
      </w:r>
    </w:p>
    <w:p>
      <w:pPr>
        <w:spacing w:line="360" w:lineRule="auto"/>
        <w:rPr>
          <w:rFonts w:ascii="宋体" w:hAnsi="宋体" w:cs="宋体"/>
          <w:szCs w:val="32"/>
        </w:rPr>
      </w:pPr>
      <w:r>
        <w:rPr>
          <w:rFonts w:hint="eastAsia" w:ascii="宋体" w:hAnsi="宋体" w:cs="宋体"/>
          <w:szCs w:val="24"/>
        </w:rPr>
        <w:t>（4）</w:t>
      </w:r>
      <w:r>
        <w:rPr>
          <w:rFonts w:hint="eastAsia" w:ascii="宋体" w:hAnsi="宋体" w:cs="宋体"/>
          <w:szCs w:val="32"/>
        </w:rPr>
        <w:t>采购内容及技术要求</w:t>
      </w:r>
    </w:p>
    <w:p>
      <w:pPr>
        <w:spacing w:line="360" w:lineRule="auto"/>
        <w:rPr>
          <w:rFonts w:ascii="宋体" w:hAnsi="宋体" w:cs="宋体"/>
          <w:szCs w:val="24"/>
        </w:rPr>
      </w:pPr>
      <w:r>
        <w:rPr>
          <w:rFonts w:hint="eastAsia" w:ascii="宋体" w:hAnsi="宋体" w:cs="宋体"/>
          <w:szCs w:val="24"/>
        </w:rPr>
        <w:t>（5）响应文件格式</w:t>
      </w:r>
    </w:p>
    <w:p>
      <w:pPr>
        <w:spacing w:line="360" w:lineRule="auto"/>
        <w:rPr>
          <w:rFonts w:ascii="宋体" w:hAnsi="宋体" w:cs="宋体"/>
          <w:szCs w:val="24"/>
        </w:rPr>
      </w:pPr>
      <w:r>
        <w:rPr>
          <w:rFonts w:hint="eastAsia" w:ascii="宋体" w:hAnsi="宋体" w:cs="宋体"/>
          <w:szCs w:val="24"/>
        </w:rPr>
        <w:t>7、磋商文件的澄清及修改</w:t>
      </w:r>
    </w:p>
    <w:p>
      <w:pPr>
        <w:spacing w:line="360" w:lineRule="auto"/>
        <w:ind w:firstLine="480" w:firstLineChars="200"/>
        <w:rPr>
          <w:rFonts w:ascii="宋体" w:hAnsi="宋体" w:cs="宋体"/>
          <w:b/>
          <w:szCs w:val="24"/>
          <w:bdr w:val="single" w:color="auto" w:sz="4" w:space="0"/>
        </w:rPr>
      </w:pPr>
      <w:r>
        <w:rPr>
          <w:rFonts w:hint="eastAsia" w:ascii="宋体" w:hAnsi="宋体" w:cs="宋体"/>
          <w:szCs w:val="24"/>
        </w:rPr>
        <w:t>7.1任何要求对磋商文件进行澄清的供应商，均应在投标截止期五日前按磋商文件中的通讯地址以书面形式通知采购代理机构，采购代理机构对收到的书面澄清将以书面形式在投标截止期三日前予以答复，并通知其它购买磋商文件的供应商。</w:t>
      </w:r>
      <w:r>
        <w:rPr>
          <w:rFonts w:hint="eastAsia" w:ascii="宋体" w:hAnsi="宋体" w:cs="宋体"/>
          <w:b/>
          <w:szCs w:val="24"/>
          <w:bdr w:val="single" w:color="auto" w:sz="4" w:space="0"/>
        </w:rPr>
        <w:t>对磋商文件中有难以理解或有疑义的内容，须在规定时间内提交书面资料，否则视为对磋商文件再无疑义，因此带来的一切不利后果由供应商自负。</w:t>
      </w:r>
    </w:p>
    <w:p>
      <w:pPr>
        <w:spacing w:line="360" w:lineRule="auto"/>
        <w:ind w:firstLine="480" w:firstLineChars="200"/>
        <w:rPr>
          <w:rFonts w:ascii="宋体" w:hAnsi="宋体" w:cs="宋体"/>
          <w:szCs w:val="24"/>
        </w:rPr>
      </w:pPr>
      <w:r>
        <w:rPr>
          <w:rFonts w:hint="eastAsia" w:ascii="宋体" w:hAnsi="宋体" w:cs="宋体"/>
          <w:szCs w:val="24"/>
        </w:rPr>
        <w:t>7.2采购代理机构对已发出的磋商文件进行必要澄清或者修改的，在磋商文件要求提交响应文件截止时间五日前，以书面形式通知所有购买磋商文件的供应商，该澄清或者修改的内容作为磋商文件的组成部分，与其具有同等法律效力；</w:t>
      </w:r>
    </w:p>
    <w:p>
      <w:pPr>
        <w:spacing w:line="360" w:lineRule="auto"/>
        <w:ind w:firstLine="480" w:firstLineChars="200"/>
        <w:rPr>
          <w:rFonts w:ascii="宋体" w:hAnsi="宋体" w:cs="宋体"/>
          <w:szCs w:val="24"/>
        </w:rPr>
      </w:pPr>
      <w:r>
        <w:rPr>
          <w:rFonts w:hint="eastAsia" w:ascii="宋体" w:hAnsi="宋体" w:cs="宋体"/>
          <w:szCs w:val="24"/>
        </w:rPr>
        <w:t>7.3为方便供应商对磋商文件修改或澄清内容有充分的时间进行补充修改，采购代理机构可延长投标截止时间和开标时间，均应在磋商文件要求提交响应文件的截止时间五日前，将变更时间书面通知所有购买磋商文件的投标单位。</w:t>
      </w:r>
    </w:p>
    <w:p>
      <w:pPr>
        <w:pStyle w:val="18"/>
        <w:ind w:firstLine="480" w:firstLineChars="200"/>
        <w:rPr>
          <w:rFonts w:ascii="宋体" w:hAnsi="宋体" w:cs="宋体"/>
          <w:sz w:val="24"/>
          <w:szCs w:val="24"/>
        </w:rPr>
      </w:pPr>
      <w:r>
        <w:rPr>
          <w:rFonts w:hint="eastAsia" w:ascii="宋体" w:hAnsi="宋体" w:cs="宋体"/>
          <w:sz w:val="24"/>
          <w:szCs w:val="24"/>
        </w:rPr>
        <w:t>8、信用信息查询及落实政策需求：</w:t>
      </w:r>
    </w:p>
    <w:p>
      <w:pPr>
        <w:spacing w:line="360" w:lineRule="auto"/>
        <w:ind w:firstLine="480" w:firstLineChars="200"/>
        <w:rPr>
          <w:rFonts w:ascii="宋体" w:hAnsi="宋体" w:cs="宋体"/>
          <w:szCs w:val="24"/>
        </w:rPr>
      </w:pPr>
      <w:r>
        <w:rPr>
          <w:rFonts w:hint="eastAsia" w:ascii="宋体" w:hAnsi="宋体" w:cs="宋体"/>
          <w:szCs w:val="24"/>
        </w:rPr>
        <w:t>8.1对列入“中华人民共和国最高人民法院”网站（www.court.gov.cn）被失信被执行人名单的供应商，“信用中国”网站（www.creditchina.gov.cn）</w:t>
      </w:r>
      <w:r>
        <w:rPr>
          <w:rFonts w:hint="eastAsia" w:ascii="宋体" w:hAnsi="宋体" w:eastAsia="宋体" w:cs="宋体"/>
          <w:i w:val="0"/>
          <w:iCs w:val="0"/>
          <w:caps w:val="0"/>
          <w:color w:val="auto"/>
          <w:spacing w:val="0"/>
          <w:sz w:val="24"/>
          <w:szCs w:val="24"/>
          <w:highlight w:val="none"/>
          <w:shd w:val="clear" w:fill="FFFFFF"/>
        </w:rPr>
        <w:t>重大税收违法</w:t>
      </w:r>
      <w:r>
        <w:rPr>
          <w:rFonts w:hint="eastAsia" w:ascii="宋体" w:hAnsi="宋体" w:cs="宋体"/>
          <w:i w:val="0"/>
          <w:iCs w:val="0"/>
          <w:caps w:val="0"/>
          <w:color w:val="auto"/>
          <w:spacing w:val="0"/>
          <w:sz w:val="24"/>
          <w:szCs w:val="24"/>
          <w:highlight w:val="none"/>
          <w:shd w:val="clear" w:fill="FFFFFF"/>
          <w:lang w:val="en-US" w:eastAsia="zh-CN"/>
        </w:rPr>
        <w:t>失信主体</w:t>
      </w:r>
      <w:r>
        <w:rPr>
          <w:rFonts w:hint="eastAsia" w:ascii="宋体" w:hAnsi="宋体" w:cs="宋体"/>
          <w:szCs w:val="24"/>
        </w:rPr>
        <w:t>的供应商，“中国政府采购网”（www.ccgp.gov.cn）政府采购严重违法失信行为记录的应当拒绝参与政府采购活动，采购代理机构于投标截止日当天在网站查询结果为准，如相关失信记录已失效，需提供相关证明资料；</w:t>
      </w:r>
    </w:p>
    <w:p>
      <w:pPr>
        <w:spacing w:line="360" w:lineRule="auto"/>
        <w:ind w:firstLine="480" w:firstLineChars="200"/>
        <w:rPr>
          <w:rFonts w:ascii="宋体" w:hAnsi="宋体" w:cs="宋体"/>
          <w:szCs w:val="24"/>
        </w:rPr>
      </w:pPr>
      <w:r>
        <w:rPr>
          <w:rFonts w:hint="eastAsia" w:ascii="宋体" w:hAnsi="宋体" w:cs="宋体"/>
          <w:szCs w:val="24"/>
        </w:rPr>
        <w:t xml:space="preserve">8.2采购项目需要落实的政府采购政策：依据《中华人民共和国政府采购法》和《中华人民共和国政府采购实施条例》的有关规定，落实政府采购政策及公告中要求： </w:t>
      </w:r>
    </w:p>
    <w:p>
      <w:pPr>
        <w:spacing w:line="360" w:lineRule="auto"/>
        <w:ind w:firstLine="480" w:firstLineChars="200"/>
        <w:rPr>
          <w:rFonts w:ascii="宋体" w:hAnsi="宋体" w:cs="宋体"/>
          <w:szCs w:val="24"/>
        </w:rPr>
      </w:pPr>
      <w:r>
        <w:rPr>
          <w:rFonts w:hint="eastAsia" w:ascii="宋体" w:hAnsi="宋体" w:cs="宋体"/>
          <w:szCs w:val="24"/>
        </w:rPr>
        <w:t xml:space="preserve">8.2.1、《政府采购促进中小企业发展管理办法》 </w:t>
      </w:r>
    </w:p>
    <w:p>
      <w:pPr>
        <w:spacing w:line="360" w:lineRule="auto"/>
        <w:ind w:firstLine="480" w:firstLineChars="200"/>
        <w:rPr>
          <w:rFonts w:ascii="宋体" w:hAnsi="宋体" w:cs="宋体"/>
          <w:szCs w:val="24"/>
        </w:rPr>
      </w:pPr>
      <w:r>
        <w:rPr>
          <w:rFonts w:hint="eastAsia" w:ascii="宋体" w:hAnsi="宋体" w:cs="宋体"/>
          <w:szCs w:val="24"/>
        </w:rPr>
        <w:t xml:space="preserve">8.2.2、《财政部 司法部关于政府采购支持监狱企业发展有关问题的通知》 </w:t>
      </w:r>
    </w:p>
    <w:p>
      <w:pPr>
        <w:spacing w:line="360" w:lineRule="auto"/>
        <w:ind w:firstLine="480" w:firstLineChars="200"/>
        <w:rPr>
          <w:rFonts w:ascii="宋体" w:hAnsi="宋体" w:cs="宋体"/>
          <w:szCs w:val="24"/>
        </w:rPr>
      </w:pPr>
      <w:r>
        <w:rPr>
          <w:rFonts w:hint="eastAsia" w:ascii="宋体" w:hAnsi="宋体" w:cs="宋体"/>
          <w:szCs w:val="24"/>
        </w:rPr>
        <w:t>8.2.3、《国务院办公厅关于建立政府强制采购节能产品制度的通知》</w:t>
      </w:r>
    </w:p>
    <w:p>
      <w:pPr>
        <w:spacing w:line="360" w:lineRule="auto"/>
        <w:ind w:firstLine="480" w:firstLineChars="200"/>
        <w:rPr>
          <w:rFonts w:ascii="宋体" w:hAnsi="宋体" w:cs="宋体"/>
          <w:szCs w:val="24"/>
        </w:rPr>
      </w:pPr>
      <w:r>
        <w:rPr>
          <w:rFonts w:hint="eastAsia" w:ascii="宋体" w:hAnsi="宋体" w:cs="宋体"/>
          <w:szCs w:val="24"/>
        </w:rPr>
        <w:t>8.2.4、《环境标志产品政府采购实施的意见》</w:t>
      </w:r>
    </w:p>
    <w:p>
      <w:pPr>
        <w:spacing w:line="360" w:lineRule="auto"/>
        <w:ind w:firstLine="480" w:firstLineChars="200"/>
        <w:rPr>
          <w:rFonts w:ascii="宋体" w:hAnsi="宋体" w:cs="宋体"/>
          <w:szCs w:val="24"/>
        </w:rPr>
      </w:pPr>
      <w:r>
        <w:rPr>
          <w:rFonts w:hint="eastAsia" w:ascii="宋体" w:hAnsi="宋体" w:cs="宋体"/>
          <w:szCs w:val="24"/>
        </w:rPr>
        <w:t>8.2.5、</w:t>
      </w:r>
      <w:r>
        <w:rPr>
          <w:rFonts w:hint="eastAsia" w:ascii="宋体" w:hAnsi="宋体" w:cs="宋体"/>
          <w:szCs w:val="24"/>
          <w:lang w:val="en-US" w:eastAsia="zh-CN"/>
        </w:rPr>
        <w:t>《陕西省财政厅关于印发&lt;陕西省中小企业政府采购信用融资办法&gt;的通知》（陕财办采〔2018〕23号）相关政策、业务流程、办理平台（http://www.ccgp-shaanxi.gov.cn/zcdservice/zcd/shanxi/）；</w:t>
      </w:r>
    </w:p>
    <w:p>
      <w:pPr>
        <w:spacing w:line="360" w:lineRule="auto"/>
        <w:ind w:firstLine="480" w:firstLineChars="200"/>
        <w:rPr>
          <w:rFonts w:ascii="宋体" w:hAnsi="宋体" w:cs="宋体"/>
          <w:szCs w:val="24"/>
        </w:rPr>
      </w:pPr>
      <w:r>
        <w:rPr>
          <w:rFonts w:hint="eastAsia" w:ascii="宋体" w:hAnsi="宋体" w:cs="宋体"/>
          <w:szCs w:val="24"/>
        </w:rPr>
        <w:t>8.2.6、关于小微企业、监狱企业、福利性企业的说明：</w:t>
      </w:r>
    </w:p>
    <w:p>
      <w:pPr>
        <w:spacing w:line="360" w:lineRule="auto"/>
        <w:ind w:firstLine="480" w:firstLineChars="200"/>
        <w:rPr>
          <w:rFonts w:ascii="宋体" w:hAnsi="宋体" w:cs="宋体"/>
          <w:szCs w:val="24"/>
        </w:rPr>
      </w:pPr>
      <w:r>
        <w:rPr>
          <w:rFonts w:hint="eastAsia" w:ascii="宋体" w:hAnsi="宋体" w:cs="宋体"/>
          <w:szCs w:val="24"/>
        </w:rPr>
        <w:t>根据《工业和信息化部、国家统计局、国家发展和改革委员会、财政部关于印发中小企业划型标准规定的通知》（工信部联企业[2011]300号）规定的划分标准：</w:t>
      </w:r>
    </w:p>
    <w:p>
      <w:pPr>
        <w:spacing w:line="360" w:lineRule="auto"/>
        <w:ind w:firstLine="480" w:firstLineChars="200"/>
        <w:rPr>
          <w:rFonts w:ascii="宋体" w:hAnsi="宋体" w:cs="宋体"/>
          <w:szCs w:val="24"/>
        </w:rPr>
      </w:pPr>
      <w:r>
        <w:rPr>
          <w:rFonts w:hint="eastAsia" w:ascii="宋体" w:hAnsi="宋体" w:cs="宋体"/>
          <w:szCs w:val="24"/>
        </w:rPr>
        <w:t>a.如投标单位为小型、微型企业，对其所投货物（或服务）为小型和微型企业产品的价格</w:t>
      </w:r>
      <w:r>
        <w:rPr>
          <w:rFonts w:hint="eastAsia" w:ascii="宋体" w:hAnsi="宋体" w:cs="宋体"/>
          <w:szCs w:val="24"/>
          <w:highlight w:val="none"/>
        </w:rPr>
        <w:t>给予</w:t>
      </w:r>
      <w:r>
        <w:rPr>
          <w:rFonts w:hint="eastAsia" w:ascii="宋体" w:hAnsi="宋体" w:cs="宋体"/>
          <w:szCs w:val="24"/>
          <w:highlight w:val="none"/>
          <w:lang w:val="en-US" w:eastAsia="zh-CN"/>
        </w:rPr>
        <w:t>10</w:t>
      </w:r>
      <w:r>
        <w:rPr>
          <w:rFonts w:hint="eastAsia" w:ascii="宋体" w:hAnsi="宋体" w:cs="宋体"/>
          <w:szCs w:val="24"/>
          <w:highlight w:val="none"/>
        </w:rPr>
        <w:t>%的扣</w:t>
      </w:r>
      <w:r>
        <w:rPr>
          <w:rFonts w:hint="eastAsia" w:ascii="宋体" w:hAnsi="宋体" w:cs="宋体"/>
          <w:szCs w:val="24"/>
        </w:rPr>
        <w:t>除，扣除后的价格为其评标价；</w:t>
      </w:r>
    </w:p>
    <w:p>
      <w:pPr>
        <w:spacing w:line="360" w:lineRule="auto"/>
        <w:ind w:firstLine="480" w:firstLineChars="200"/>
        <w:rPr>
          <w:rFonts w:ascii="宋体" w:hAnsi="宋体" w:cs="宋体"/>
          <w:szCs w:val="24"/>
        </w:rPr>
      </w:pPr>
      <w:r>
        <w:rPr>
          <w:rFonts w:hint="eastAsia" w:ascii="宋体" w:hAnsi="宋体" w:cs="宋体"/>
          <w:szCs w:val="24"/>
        </w:rPr>
        <w:t>b.关于监狱企业、福利企业：视同小微企业；</w:t>
      </w:r>
    </w:p>
    <w:p>
      <w:pPr>
        <w:spacing w:line="360" w:lineRule="auto"/>
        <w:jc w:val="center"/>
        <w:rPr>
          <w:rFonts w:ascii="宋体" w:hAnsi="宋体" w:cs="宋体"/>
          <w:b/>
          <w:szCs w:val="24"/>
        </w:rPr>
      </w:pPr>
      <w:r>
        <w:rPr>
          <w:rFonts w:hint="eastAsia" w:ascii="宋体" w:hAnsi="宋体" w:cs="宋体"/>
          <w:b/>
          <w:szCs w:val="24"/>
        </w:rPr>
        <w:t>（三）竞争性磋商响应文件的编写</w:t>
      </w:r>
    </w:p>
    <w:p>
      <w:pPr>
        <w:spacing w:line="360" w:lineRule="auto"/>
        <w:rPr>
          <w:rFonts w:ascii="宋体" w:hAnsi="宋体" w:cs="宋体"/>
          <w:szCs w:val="24"/>
        </w:rPr>
      </w:pPr>
      <w:r>
        <w:rPr>
          <w:rFonts w:hint="eastAsia" w:ascii="宋体" w:hAnsi="宋体" w:cs="宋体"/>
          <w:szCs w:val="24"/>
        </w:rPr>
        <w:t>9、响应文件的构成</w:t>
      </w:r>
    </w:p>
    <w:p>
      <w:pPr>
        <w:spacing w:line="360" w:lineRule="auto"/>
        <w:ind w:firstLine="480" w:firstLineChars="200"/>
        <w:rPr>
          <w:rFonts w:ascii="宋体" w:hAnsi="宋体" w:cs="宋体"/>
          <w:szCs w:val="24"/>
        </w:rPr>
      </w:pPr>
      <w:r>
        <w:rPr>
          <w:rFonts w:hint="eastAsia" w:ascii="宋体" w:hAnsi="宋体" w:cs="宋体"/>
          <w:szCs w:val="24"/>
        </w:rPr>
        <w:t>详见磋商文件中第六章“响应文件格式”及磋商文件要求提供的资格证书原件。</w:t>
      </w:r>
    </w:p>
    <w:p>
      <w:pPr>
        <w:spacing w:line="360" w:lineRule="auto"/>
        <w:rPr>
          <w:rFonts w:ascii="宋体" w:hAnsi="宋体" w:cs="宋体"/>
          <w:szCs w:val="24"/>
        </w:rPr>
      </w:pPr>
      <w:r>
        <w:rPr>
          <w:rFonts w:hint="eastAsia" w:ascii="宋体" w:hAnsi="宋体" w:cs="宋体"/>
          <w:szCs w:val="24"/>
        </w:rPr>
        <w:t>10、磋商报价</w:t>
      </w:r>
    </w:p>
    <w:p>
      <w:pPr>
        <w:spacing w:line="360" w:lineRule="auto"/>
        <w:ind w:firstLine="480" w:firstLineChars="200"/>
        <w:rPr>
          <w:rFonts w:ascii="宋体" w:hAnsi="宋体" w:cs="宋体"/>
          <w:b/>
          <w:szCs w:val="24"/>
        </w:rPr>
      </w:pPr>
      <w:r>
        <w:rPr>
          <w:rFonts w:hint="eastAsia" w:ascii="宋体" w:hAnsi="宋体" w:cs="宋体"/>
          <w:szCs w:val="24"/>
        </w:rPr>
        <w:t>10.1 所有磋商报价均以人民币报价。单位为元，精确到分。</w:t>
      </w:r>
      <w:r>
        <w:rPr>
          <w:rFonts w:hint="eastAsia" w:ascii="宋体" w:hAnsi="宋体" w:cs="宋体"/>
          <w:b/>
          <w:szCs w:val="24"/>
        </w:rPr>
        <w:t>报价大于预算价时，按无效报价处理，且不进第二轮报价。本项目不公开唱价。</w:t>
      </w:r>
    </w:p>
    <w:p>
      <w:pPr>
        <w:spacing w:line="360" w:lineRule="auto"/>
        <w:ind w:firstLine="480" w:firstLineChars="200"/>
        <w:rPr>
          <w:rFonts w:ascii="宋体" w:hAnsi="宋体" w:cs="宋体"/>
          <w:szCs w:val="24"/>
        </w:rPr>
      </w:pPr>
      <w:r>
        <w:rPr>
          <w:rFonts w:hint="eastAsia" w:ascii="宋体" w:hAnsi="宋体" w:cs="宋体"/>
          <w:szCs w:val="24"/>
        </w:rPr>
        <w:t>10.2供应商依据磋商文件提供的商务技术要求等资料并自行考虑风险因素计算磋商报价，磋商报价应包括但不限于：</w:t>
      </w:r>
      <w:r>
        <w:rPr>
          <w:rFonts w:hint="eastAsia" w:ascii="宋体" w:hAnsi="宋体" w:cs="宋体"/>
          <w:szCs w:val="24"/>
          <w:shd w:val="clear" w:color="auto" w:fill="FFFFFF"/>
          <w:lang w:val="en-US" w:eastAsia="zh-CN"/>
        </w:rPr>
        <w:t>本</w:t>
      </w:r>
      <w:r>
        <w:rPr>
          <w:rFonts w:hint="eastAsia" w:ascii="宋体" w:hAnsi="宋体" w:cs="宋体"/>
          <w:szCs w:val="24"/>
          <w:shd w:val="clear" w:color="auto" w:fill="FFFFFF"/>
        </w:rPr>
        <w:t>项目</w:t>
      </w:r>
      <w:r>
        <w:rPr>
          <w:rFonts w:hint="eastAsia" w:ascii="宋体" w:hAnsi="宋体" w:cs="宋体"/>
          <w:szCs w:val="24"/>
        </w:rPr>
        <w:t>的工作以及相关的义务的所有费用。一旦成交，磋商报价将不会因国家政策调整及市场变化因素而得到调整。</w:t>
      </w:r>
    </w:p>
    <w:p>
      <w:pPr>
        <w:spacing w:line="360" w:lineRule="auto"/>
        <w:ind w:firstLine="480" w:firstLineChars="200"/>
        <w:rPr>
          <w:rFonts w:ascii="宋体" w:hAnsi="宋体" w:cs="宋体"/>
          <w:szCs w:val="24"/>
        </w:rPr>
      </w:pPr>
      <w:r>
        <w:rPr>
          <w:rFonts w:hint="eastAsia" w:ascii="宋体" w:hAnsi="宋体" w:cs="宋体"/>
          <w:szCs w:val="24"/>
        </w:rPr>
        <w:t>10.3供应商必须就整个项目进行响应，不得将整个项目中的内容拆开响应。拆开响应的，按无效响应文件处理。</w:t>
      </w:r>
    </w:p>
    <w:p>
      <w:pPr>
        <w:spacing w:line="360" w:lineRule="auto"/>
        <w:ind w:firstLine="480" w:firstLineChars="200"/>
        <w:rPr>
          <w:rFonts w:ascii="宋体" w:hAnsi="宋体" w:cs="宋体"/>
          <w:szCs w:val="24"/>
        </w:rPr>
      </w:pPr>
      <w:r>
        <w:rPr>
          <w:rFonts w:hint="eastAsia" w:ascii="宋体" w:hAnsi="宋体" w:cs="宋体"/>
          <w:szCs w:val="24"/>
        </w:rPr>
        <w:t>10.4凡因供应商对磋商文件阅读不深、理解不透、误解、疏漏、或因市场行情了解不清造成的后果和风险均由磋商供应商自负。磋商响应过程中所产生的一切费用由磋商供应商自行承担。</w:t>
      </w:r>
    </w:p>
    <w:p>
      <w:pPr>
        <w:spacing w:line="360" w:lineRule="auto"/>
        <w:rPr>
          <w:rFonts w:ascii="宋体" w:hAnsi="宋体" w:cs="宋体"/>
          <w:szCs w:val="24"/>
        </w:rPr>
      </w:pPr>
      <w:r>
        <w:rPr>
          <w:rFonts w:hint="eastAsia" w:ascii="宋体" w:hAnsi="宋体" w:cs="宋体"/>
          <w:szCs w:val="24"/>
        </w:rPr>
        <w:t>11、响应文件的编制</w:t>
      </w:r>
    </w:p>
    <w:p>
      <w:pPr>
        <w:spacing w:line="360" w:lineRule="auto"/>
        <w:ind w:firstLine="480" w:firstLineChars="200"/>
        <w:rPr>
          <w:rFonts w:ascii="宋体" w:hAnsi="宋体" w:cs="宋体"/>
          <w:szCs w:val="24"/>
        </w:rPr>
      </w:pPr>
      <w:r>
        <w:rPr>
          <w:rFonts w:hint="eastAsia" w:ascii="宋体" w:hAnsi="宋体" w:cs="宋体"/>
          <w:szCs w:val="24"/>
        </w:rPr>
        <w:t>11.1响应文件应按第六章“响应文件格式”所要求的全部内容编制。</w:t>
      </w:r>
    </w:p>
    <w:p>
      <w:pPr>
        <w:spacing w:line="360" w:lineRule="auto"/>
        <w:ind w:firstLine="480" w:firstLineChars="200"/>
        <w:rPr>
          <w:rFonts w:ascii="宋体" w:hAnsi="宋体" w:cs="宋体"/>
          <w:szCs w:val="24"/>
        </w:rPr>
      </w:pPr>
      <w:bookmarkStart w:id="19" w:name="_Toc246928911"/>
      <w:bookmarkStart w:id="20" w:name="_Toc394934424"/>
      <w:bookmarkStart w:id="21" w:name="_Toc317248152"/>
      <w:r>
        <w:rPr>
          <w:rFonts w:hint="eastAsia" w:ascii="宋体" w:hAnsi="宋体" w:cs="宋体"/>
          <w:szCs w:val="24"/>
        </w:rPr>
        <w:t>11.2响应文件应用不褪色的材料书写或打印，并由供应商的法人代表或法定代表授权人在响应文件上签字并加盖单位公章。授权委托代理人签字或盖章的，响应文件应附法定代表人签署的授权委托书，并将其附在响应文件中。响应文件应尽量避免涂改、行间插字或删除。如果出现上述情况，改动之处应加盖公章并由供应商的法定代表人或其授权委托人签字或盖章确认。未按本条规定办理的，视同签字、盖章不全。</w:t>
      </w:r>
    </w:p>
    <w:p>
      <w:pPr>
        <w:spacing w:line="360" w:lineRule="auto"/>
        <w:ind w:firstLine="480" w:firstLineChars="200"/>
        <w:rPr>
          <w:rFonts w:ascii="宋体" w:hAnsi="宋体" w:cs="宋体"/>
          <w:szCs w:val="24"/>
        </w:rPr>
      </w:pPr>
      <w:r>
        <w:rPr>
          <w:rFonts w:hint="eastAsia" w:ascii="宋体" w:hAnsi="宋体" w:cs="宋体"/>
          <w:szCs w:val="24"/>
        </w:rPr>
        <w:t>11.3响应文件必须用A4幅面纸打印或用不褪色蓝（黑）墨水（汁）书写，编制目录及页码并胶装成册。响应文件应按磋商文件规定的格式填写、签署和盖章。</w:t>
      </w:r>
    </w:p>
    <w:p>
      <w:pPr>
        <w:spacing w:line="360" w:lineRule="auto"/>
        <w:ind w:firstLine="480" w:firstLineChars="200"/>
        <w:rPr>
          <w:rFonts w:ascii="宋体" w:hAnsi="宋体" w:cs="宋体"/>
          <w:szCs w:val="24"/>
        </w:rPr>
      </w:pPr>
      <w:r>
        <w:rPr>
          <w:rFonts w:hint="eastAsia" w:ascii="宋体" w:hAnsi="宋体" w:cs="宋体"/>
          <w:szCs w:val="24"/>
        </w:rPr>
        <w:t>11.4响应文件正本壹份, 副本叁份，电子版一份(U盘或光盘，应包含所有响应文件内容,Word或PDF版本)装入标书正本袋内，随响应文件一同递交。正本和副本的封面上应清楚地标记“正本”或“副本”的字样。当副本和正本不一致时，以正本为准。</w:t>
      </w:r>
    </w:p>
    <w:p>
      <w:pPr>
        <w:spacing w:line="360" w:lineRule="auto"/>
        <w:rPr>
          <w:rFonts w:ascii="宋体" w:hAnsi="宋体" w:cs="宋体"/>
          <w:szCs w:val="24"/>
        </w:rPr>
      </w:pPr>
      <w:r>
        <w:rPr>
          <w:rFonts w:hint="eastAsia" w:ascii="宋体" w:hAnsi="宋体" w:cs="宋体"/>
          <w:szCs w:val="24"/>
        </w:rPr>
        <w:t>12、磋商有效期</w:t>
      </w:r>
    </w:p>
    <w:p>
      <w:pPr>
        <w:spacing w:line="360" w:lineRule="auto"/>
        <w:ind w:firstLine="480" w:firstLineChars="200"/>
        <w:rPr>
          <w:rFonts w:ascii="宋体" w:hAnsi="宋体" w:cs="宋体"/>
          <w:szCs w:val="24"/>
        </w:rPr>
      </w:pPr>
      <w:r>
        <w:rPr>
          <w:rFonts w:hint="eastAsia" w:ascii="宋体" w:hAnsi="宋体" w:cs="宋体"/>
          <w:szCs w:val="24"/>
        </w:rPr>
        <w:t xml:space="preserve">12.1响应文件从磋商之日起，磋商有效期为90日历天。响应文件中所有要求的证明文件的有效期比本须知规定的有效期短的，将被视为非响应磋商，采购人有权拒绝。 </w:t>
      </w:r>
    </w:p>
    <w:p>
      <w:pPr>
        <w:spacing w:line="360" w:lineRule="auto"/>
        <w:ind w:firstLine="480" w:firstLineChars="200"/>
        <w:rPr>
          <w:rFonts w:ascii="宋体" w:hAnsi="宋体" w:cs="宋体"/>
          <w:szCs w:val="24"/>
        </w:rPr>
      </w:pPr>
      <w:r>
        <w:rPr>
          <w:rFonts w:hint="eastAsia" w:ascii="宋体" w:hAnsi="宋体" w:cs="宋体"/>
          <w:szCs w:val="24"/>
        </w:rPr>
        <w:t>12.2特殊情况下，采购人可于磋商有效期满之前要求供应商同意延长有效期，要求与答复均应为书面形式。供应商可以拒绝上述要求，其保证金不被没收。对于同意该要求的供应商，既不要求也不允许其修改响应文件，但将要求其相应延长保证金的有效期，有关退还和没收保证金的规定在磋商有效期的延长期内继续有效。</w:t>
      </w:r>
    </w:p>
    <w:bookmarkEnd w:id="19"/>
    <w:bookmarkEnd w:id="20"/>
    <w:bookmarkEnd w:id="21"/>
    <w:p>
      <w:pPr>
        <w:spacing w:line="360" w:lineRule="auto"/>
        <w:rPr>
          <w:rFonts w:ascii="宋体" w:hAnsi="宋体" w:cs="宋体"/>
          <w:szCs w:val="24"/>
        </w:rPr>
      </w:pPr>
      <w:r>
        <w:rPr>
          <w:rFonts w:hint="eastAsia" w:ascii="宋体" w:hAnsi="宋体" w:cs="宋体"/>
          <w:szCs w:val="24"/>
        </w:rPr>
        <w:t>13、磋商保证金：</w:t>
      </w:r>
    </w:p>
    <w:p>
      <w:pPr>
        <w:spacing w:line="360" w:lineRule="auto"/>
        <w:ind w:firstLine="480" w:firstLineChars="200"/>
        <w:rPr>
          <w:rFonts w:ascii="宋体" w:hAnsi="宋体" w:cs="宋体"/>
          <w:szCs w:val="24"/>
        </w:rPr>
      </w:pPr>
      <w:r>
        <w:rPr>
          <w:rFonts w:hint="eastAsia" w:ascii="宋体" w:hAnsi="宋体" w:cs="宋体"/>
          <w:szCs w:val="24"/>
        </w:rPr>
        <w:t>13.1磋商保证金：</w:t>
      </w:r>
    </w:p>
    <w:p>
      <w:pPr>
        <w:spacing w:line="360" w:lineRule="auto"/>
        <w:ind w:firstLine="482" w:firstLineChars="200"/>
        <w:rPr>
          <w:rFonts w:hint="eastAsia" w:ascii="宋体" w:hAnsi="宋体" w:cs="宋体"/>
          <w:b/>
          <w:bCs/>
          <w:szCs w:val="24"/>
        </w:rPr>
      </w:pPr>
      <w:r>
        <w:rPr>
          <w:rFonts w:hint="eastAsia" w:ascii="宋体" w:hAnsi="宋体" w:cs="宋体"/>
          <w:b/>
          <w:bCs/>
          <w:szCs w:val="24"/>
        </w:rPr>
        <w:t>人民币</w:t>
      </w:r>
      <w:r>
        <w:rPr>
          <w:rFonts w:hint="eastAsia" w:ascii="宋体" w:hAnsi="宋体" w:cs="宋体"/>
          <w:b/>
          <w:bCs/>
          <w:szCs w:val="24"/>
          <w:lang w:val="en-US" w:eastAsia="zh-CN"/>
        </w:rPr>
        <w:t>壹</w:t>
      </w:r>
      <w:r>
        <w:rPr>
          <w:rFonts w:hint="eastAsia" w:ascii="宋体" w:hAnsi="宋体" w:cs="宋体"/>
          <w:b/>
          <w:bCs/>
          <w:szCs w:val="24"/>
        </w:rPr>
        <w:t>万元整（¥</w:t>
      </w:r>
      <w:r>
        <w:rPr>
          <w:rFonts w:hint="eastAsia" w:ascii="宋体" w:hAnsi="宋体" w:cs="宋体"/>
          <w:b/>
          <w:bCs/>
          <w:szCs w:val="24"/>
          <w:lang w:val="en-US" w:eastAsia="zh-CN"/>
        </w:rPr>
        <w:t>1</w:t>
      </w:r>
      <w:r>
        <w:rPr>
          <w:rFonts w:hint="eastAsia" w:ascii="宋体" w:hAnsi="宋体" w:cs="宋体"/>
          <w:b/>
          <w:bCs/>
          <w:szCs w:val="24"/>
        </w:rPr>
        <w:t>0000.00元）</w:t>
      </w:r>
    </w:p>
    <w:p>
      <w:pPr>
        <w:spacing w:line="360" w:lineRule="auto"/>
        <w:ind w:firstLine="480" w:firstLineChars="200"/>
        <w:rPr>
          <w:rFonts w:ascii="宋体" w:hAnsi="宋体" w:cs="宋体"/>
          <w:szCs w:val="24"/>
        </w:rPr>
      </w:pPr>
      <w:r>
        <w:rPr>
          <w:rFonts w:hint="eastAsia" w:ascii="宋体" w:hAnsi="宋体" w:cs="宋体"/>
          <w:szCs w:val="24"/>
        </w:rPr>
        <w:t>13.2磋商保证金的缴纳形式：转账、电汇、担保机构保函</w:t>
      </w:r>
    </w:p>
    <w:p>
      <w:pPr>
        <w:spacing w:line="360" w:lineRule="auto"/>
        <w:ind w:firstLine="480" w:firstLineChars="200"/>
        <w:rPr>
          <w:rFonts w:ascii="宋体" w:hAnsi="宋体" w:cs="宋体"/>
          <w:b/>
          <w:szCs w:val="24"/>
        </w:rPr>
      </w:pPr>
      <w:r>
        <w:rPr>
          <w:rFonts w:hint="eastAsia" w:ascii="宋体" w:hAnsi="宋体" w:cs="宋体"/>
          <w:szCs w:val="24"/>
        </w:rPr>
        <w:t>13.3供应商以银行转账、电汇形式缴纳磋商保证金的，采购结束之后以转账形式退到供应商的账户。</w:t>
      </w:r>
      <w:r>
        <w:rPr>
          <w:rFonts w:hint="eastAsia" w:ascii="宋体" w:hAnsi="宋体" w:cs="宋体"/>
          <w:b/>
          <w:szCs w:val="24"/>
        </w:rPr>
        <w:t>供应商以担保机构保函形式缴纳磋商保证金的，在开标前将担保机构保函原件单独密封提交，采购结束之后将担保机构保函原件退回。</w:t>
      </w:r>
    </w:p>
    <w:p>
      <w:pPr>
        <w:spacing w:line="360" w:lineRule="auto"/>
        <w:ind w:firstLine="480" w:firstLineChars="200"/>
        <w:jc w:val="left"/>
        <w:rPr>
          <w:rFonts w:ascii="宋体" w:hAnsi="宋体" w:cs="宋体"/>
          <w:szCs w:val="24"/>
        </w:rPr>
      </w:pPr>
      <w:r>
        <w:rPr>
          <w:rFonts w:hint="eastAsia" w:ascii="宋体" w:hAnsi="宋体" w:cs="宋体"/>
          <w:szCs w:val="24"/>
        </w:rPr>
        <w:t>投标供应商可以自愿选择是否采取投标担保函的形式交纳投标保证金。联系方式如下：《2017年西安市政府采购信用担保及信用融资合作机构联系名单》。现阶段，供应商提交的保函应当由名单中的信用担保机构开具。供应商违约，开具保函单位承担连带责任。《合作机构联系名单》链接地址：</w:t>
      </w:r>
      <w:r>
        <w:rPr>
          <w:rFonts w:hint="eastAsia" w:ascii="宋体" w:hAnsi="宋体"/>
          <w:bCs/>
          <w:szCs w:val="24"/>
          <w:highlight w:val="none"/>
        </w:rPr>
        <w:fldChar w:fldCharType="begin"/>
      </w:r>
      <w:r>
        <w:rPr>
          <w:rFonts w:hint="eastAsia" w:ascii="宋体" w:hAnsi="宋体"/>
          <w:bCs/>
          <w:szCs w:val="24"/>
          <w:highlight w:val="none"/>
        </w:rPr>
        <w:instrText xml:space="preserve"> HYPERLINK "http://xaczj.xa.gov.cn/zfcg/cgfg/5db9054565cbd804f69e97e0.html" </w:instrText>
      </w:r>
      <w:r>
        <w:rPr>
          <w:rFonts w:hint="eastAsia" w:ascii="宋体" w:hAnsi="宋体"/>
          <w:bCs/>
          <w:szCs w:val="24"/>
          <w:highlight w:val="none"/>
        </w:rPr>
        <w:fldChar w:fldCharType="separate"/>
      </w:r>
      <w:r>
        <w:rPr>
          <w:rStyle w:val="25"/>
          <w:rFonts w:hint="eastAsia" w:ascii="宋体" w:hAnsi="宋体"/>
          <w:bCs/>
          <w:szCs w:val="24"/>
          <w:highlight w:val="none"/>
        </w:rPr>
        <w:t>http://xaczj.xa.gov.cn/zfcg/cgfg/5db9054565cbd804f69e97e0.html</w:t>
      </w:r>
      <w:r>
        <w:rPr>
          <w:rFonts w:hint="eastAsia" w:ascii="宋体" w:hAnsi="宋体"/>
          <w:bCs/>
          <w:szCs w:val="24"/>
          <w:highlight w:val="none"/>
        </w:rPr>
        <w:fldChar w:fldCharType="end"/>
      </w:r>
    </w:p>
    <w:p>
      <w:pPr>
        <w:spacing w:line="360" w:lineRule="auto"/>
        <w:ind w:firstLine="480" w:firstLineChars="200"/>
        <w:rPr>
          <w:rFonts w:hint="eastAsia" w:ascii="宋体" w:hAnsi="宋体" w:cs="宋体"/>
          <w:szCs w:val="24"/>
        </w:rPr>
      </w:pPr>
      <w:r>
        <w:rPr>
          <w:rFonts w:hint="eastAsia" w:ascii="宋体" w:hAnsi="宋体" w:cs="宋体"/>
          <w:szCs w:val="24"/>
        </w:rPr>
        <w:t>13.4供应商以银行转账、电汇形式缴纳磋商保证金的，请将保证金转入以下账户：</w:t>
      </w:r>
    </w:p>
    <w:p>
      <w:pPr>
        <w:spacing w:line="360" w:lineRule="auto"/>
        <w:ind w:firstLine="480" w:firstLineChars="200"/>
        <w:rPr>
          <w:rFonts w:hint="eastAsia" w:ascii="宋体" w:hAnsi="宋体" w:cs="宋体"/>
          <w:szCs w:val="24"/>
        </w:rPr>
      </w:pPr>
      <w:r>
        <w:rPr>
          <w:rFonts w:hint="eastAsia" w:ascii="宋体" w:hAnsi="宋体" w:cs="宋体"/>
          <w:szCs w:val="24"/>
        </w:rPr>
        <w:t>收款单位：陕西致恒招标代理有限公司</w:t>
      </w:r>
    </w:p>
    <w:p>
      <w:pPr>
        <w:spacing w:line="360" w:lineRule="auto"/>
        <w:ind w:firstLine="480" w:firstLineChars="200"/>
        <w:rPr>
          <w:rFonts w:hint="eastAsia" w:ascii="宋体" w:hAnsi="宋体" w:cs="宋体"/>
          <w:szCs w:val="24"/>
        </w:rPr>
      </w:pPr>
      <w:r>
        <w:rPr>
          <w:rFonts w:hint="eastAsia" w:ascii="宋体" w:hAnsi="宋体" w:cs="宋体"/>
          <w:szCs w:val="24"/>
        </w:rPr>
        <w:t>开户行名称: 中国建设银行股份有限公司西安太华北路支行</w:t>
      </w:r>
    </w:p>
    <w:p>
      <w:pPr>
        <w:spacing w:line="360" w:lineRule="auto"/>
        <w:ind w:firstLine="480" w:firstLineChars="200"/>
        <w:rPr>
          <w:rFonts w:hint="eastAsia" w:ascii="宋体" w:hAnsi="宋体" w:cs="宋体"/>
          <w:szCs w:val="24"/>
        </w:rPr>
      </w:pPr>
      <w:r>
        <w:rPr>
          <w:rFonts w:hint="eastAsia" w:ascii="宋体" w:hAnsi="宋体" w:cs="宋体"/>
          <w:szCs w:val="24"/>
        </w:rPr>
        <w:t>账    号：61050110629600000259</w:t>
      </w:r>
    </w:p>
    <w:p>
      <w:pPr>
        <w:spacing w:line="360" w:lineRule="auto"/>
        <w:ind w:firstLine="480" w:firstLineChars="200"/>
        <w:rPr>
          <w:rFonts w:hint="eastAsia" w:ascii="宋体" w:hAnsi="宋体" w:cs="宋体"/>
          <w:szCs w:val="24"/>
        </w:rPr>
      </w:pPr>
      <w:r>
        <w:rPr>
          <w:rFonts w:hint="eastAsia" w:ascii="宋体" w:hAnsi="宋体" w:cs="宋体"/>
          <w:szCs w:val="24"/>
        </w:rPr>
        <w:t>转账事由：*****项目或项目编号保证金。</w:t>
      </w:r>
    </w:p>
    <w:p>
      <w:pPr>
        <w:spacing w:line="360" w:lineRule="auto"/>
        <w:ind w:firstLine="480" w:firstLineChars="200"/>
        <w:rPr>
          <w:rFonts w:hint="eastAsia" w:ascii="宋体" w:hAnsi="宋体" w:cs="宋体"/>
          <w:szCs w:val="24"/>
        </w:rPr>
      </w:pPr>
      <w:r>
        <w:rPr>
          <w:rFonts w:hint="eastAsia" w:ascii="宋体" w:hAnsi="宋体" w:cs="宋体"/>
          <w:szCs w:val="24"/>
        </w:rPr>
        <w:t>交款截止时间：同响应文件递交截止时间。</w:t>
      </w:r>
    </w:p>
    <w:p>
      <w:pPr>
        <w:spacing w:line="360" w:lineRule="auto"/>
        <w:ind w:firstLine="480" w:firstLineChars="200"/>
        <w:rPr>
          <w:rFonts w:hint="eastAsia" w:ascii="宋体" w:hAnsi="宋体" w:cs="宋体"/>
          <w:szCs w:val="24"/>
        </w:rPr>
      </w:pPr>
      <w:r>
        <w:rPr>
          <w:rFonts w:hint="eastAsia" w:ascii="宋体" w:hAnsi="宋体" w:cs="宋体"/>
          <w:szCs w:val="24"/>
        </w:rPr>
        <w:t>注：1.若因转账事由未标注清晰而引起的任何后果由供应商自行承担。</w:t>
      </w:r>
    </w:p>
    <w:p>
      <w:pPr>
        <w:spacing w:line="360" w:lineRule="auto"/>
        <w:ind w:firstLine="964" w:firstLineChars="400"/>
        <w:rPr>
          <w:rFonts w:ascii="宋体" w:hAnsi="宋体" w:cs="宋体"/>
          <w:b/>
          <w:szCs w:val="24"/>
        </w:rPr>
      </w:pPr>
      <w:r>
        <w:rPr>
          <w:rFonts w:hint="eastAsia" w:ascii="宋体" w:hAnsi="宋体" w:cs="宋体"/>
          <w:b/>
          <w:szCs w:val="24"/>
        </w:rPr>
        <w:t>2.磋商保证金须从供应商对公账户转出。</w:t>
      </w:r>
    </w:p>
    <w:p>
      <w:pPr>
        <w:spacing w:line="360" w:lineRule="auto"/>
        <w:ind w:firstLine="480" w:firstLineChars="200"/>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5</w:t>
      </w:r>
      <w:r>
        <w:rPr>
          <w:rFonts w:hint="eastAsia" w:ascii="宋体" w:hAnsi="宋体" w:cs="宋体"/>
          <w:szCs w:val="24"/>
        </w:rPr>
        <w:t>磋商保证金到达采购代理机构指定账户后，供应商须与采购代理公司联系确认到帐，同时请将转款凭证复印件或担保机构出具的保函复印件按照竞争性磋商文件要求编辑在响应文件中。</w:t>
      </w:r>
    </w:p>
    <w:p>
      <w:pPr>
        <w:spacing w:line="360" w:lineRule="auto"/>
        <w:ind w:firstLine="482" w:firstLineChars="200"/>
        <w:rPr>
          <w:rFonts w:ascii="宋体" w:hAnsi="宋体" w:cs="宋体"/>
          <w:b/>
          <w:szCs w:val="24"/>
        </w:rPr>
      </w:pPr>
      <w:r>
        <w:rPr>
          <w:rFonts w:hint="eastAsia" w:ascii="宋体" w:hAnsi="宋体" w:cs="宋体"/>
          <w:b/>
          <w:szCs w:val="24"/>
        </w:rPr>
        <w:t>13.</w:t>
      </w:r>
      <w:r>
        <w:rPr>
          <w:rFonts w:hint="eastAsia" w:ascii="宋体" w:hAnsi="宋体" w:cs="宋体"/>
          <w:b/>
          <w:szCs w:val="24"/>
          <w:lang w:val="en-US" w:eastAsia="zh-CN"/>
        </w:rPr>
        <w:t>6</w:t>
      </w:r>
      <w:r>
        <w:rPr>
          <w:rFonts w:hint="eastAsia" w:ascii="宋体" w:hAnsi="宋体" w:cs="宋体"/>
          <w:b/>
          <w:szCs w:val="24"/>
        </w:rPr>
        <w:t>磋商保证金必须在规定的截止日期前到帐。到期未交、逾期到账或磋商保证金转出账户信息与供应商信息不符，视为放弃此次磋商。</w:t>
      </w:r>
    </w:p>
    <w:p>
      <w:pPr>
        <w:spacing w:line="360" w:lineRule="auto"/>
        <w:ind w:firstLine="480" w:firstLineChars="200"/>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7</w:t>
      </w:r>
      <w:r>
        <w:rPr>
          <w:rFonts w:hint="eastAsia" w:ascii="宋体" w:hAnsi="宋体" w:cs="宋体"/>
          <w:szCs w:val="24"/>
        </w:rPr>
        <w:t>凡没有随附保证金的磋商，视为非响应性磋商，其标书将被拒绝。</w:t>
      </w:r>
    </w:p>
    <w:p>
      <w:pPr>
        <w:spacing w:line="360" w:lineRule="auto"/>
        <w:ind w:firstLine="480" w:firstLineChars="200"/>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8</w:t>
      </w:r>
      <w:r>
        <w:rPr>
          <w:rFonts w:hint="eastAsia" w:ascii="宋体" w:hAnsi="宋体" w:cs="宋体"/>
          <w:szCs w:val="24"/>
        </w:rPr>
        <w:t>未成交人的磋商保证金，在成交通知书发出后五个工作日内退还；成交人的磋商保证金在与采购人签订了正式合同并提交了招标代理服务费后五个工作日内退还。</w:t>
      </w:r>
    </w:p>
    <w:p>
      <w:pPr>
        <w:spacing w:line="360" w:lineRule="auto"/>
        <w:ind w:firstLine="480" w:firstLineChars="200"/>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9</w:t>
      </w:r>
      <w:r>
        <w:rPr>
          <w:rFonts w:hint="eastAsia" w:ascii="宋体" w:hAnsi="宋体" w:cs="宋体"/>
          <w:szCs w:val="24"/>
        </w:rPr>
        <w:t>发生下列情况之一，保证金将不予退还：</w:t>
      </w:r>
    </w:p>
    <w:p>
      <w:pPr>
        <w:spacing w:line="360" w:lineRule="auto"/>
        <w:ind w:firstLine="480" w:firstLineChars="200"/>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9</w:t>
      </w:r>
      <w:r>
        <w:rPr>
          <w:rFonts w:hint="eastAsia" w:ascii="宋体" w:hAnsi="宋体" w:cs="宋体"/>
          <w:szCs w:val="24"/>
        </w:rPr>
        <w:t>.1磋商后在磋商有效期间内，供应商撤回其响应文件；</w:t>
      </w:r>
    </w:p>
    <w:p>
      <w:pPr>
        <w:spacing w:line="360" w:lineRule="auto"/>
        <w:ind w:firstLine="480" w:firstLineChars="200"/>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9</w:t>
      </w:r>
      <w:r>
        <w:rPr>
          <w:rFonts w:hint="eastAsia" w:ascii="宋体" w:hAnsi="宋体" w:cs="宋体"/>
          <w:szCs w:val="24"/>
        </w:rPr>
        <w:t>.2将成交项目转让给他人，或者在响应文件中未说明且未经采购人同意将成交项目分包他人的；</w:t>
      </w:r>
    </w:p>
    <w:p>
      <w:pPr>
        <w:spacing w:line="360" w:lineRule="auto"/>
        <w:ind w:firstLine="480" w:firstLineChars="200"/>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9</w:t>
      </w:r>
      <w:r>
        <w:rPr>
          <w:rFonts w:hint="eastAsia" w:ascii="宋体" w:hAnsi="宋体" w:cs="宋体"/>
          <w:szCs w:val="24"/>
        </w:rPr>
        <w:t>.3成交人不按本须知规定签订合同；</w:t>
      </w:r>
    </w:p>
    <w:p>
      <w:pPr>
        <w:spacing w:line="360" w:lineRule="auto"/>
        <w:ind w:firstLine="480" w:firstLineChars="200"/>
        <w:rPr>
          <w:rFonts w:ascii="宋体" w:hAnsi="宋体" w:cs="宋体"/>
          <w:szCs w:val="24"/>
        </w:rPr>
      </w:pPr>
      <w:r>
        <w:rPr>
          <w:rFonts w:hint="eastAsia" w:ascii="宋体" w:hAnsi="宋体" w:cs="宋体"/>
          <w:szCs w:val="24"/>
        </w:rPr>
        <w:t>13.</w:t>
      </w:r>
      <w:r>
        <w:rPr>
          <w:rFonts w:hint="eastAsia" w:ascii="宋体" w:hAnsi="宋体" w:cs="宋体"/>
          <w:szCs w:val="24"/>
          <w:lang w:val="en-US" w:eastAsia="zh-CN"/>
        </w:rPr>
        <w:t>9</w:t>
      </w:r>
      <w:r>
        <w:rPr>
          <w:rFonts w:hint="eastAsia" w:ascii="宋体" w:hAnsi="宋体" w:cs="宋体"/>
          <w:szCs w:val="24"/>
        </w:rPr>
        <w:t>.4成交人不按本须知规定交付招标代理服务费。</w:t>
      </w:r>
    </w:p>
    <w:p>
      <w:pPr>
        <w:spacing w:line="360" w:lineRule="auto"/>
        <w:jc w:val="center"/>
        <w:rPr>
          <w:rFonts w:ascii="宋体" w:hAnsi="宋体" w:cs="宋体"/>
          <w:b/>
          <w:szCs w:val="24"/>
        </w:rPr>
      </w:pPr>
      <w:r>
        <w:rPr>
          <w:rFonts w:hint="eastAsia" w:ascii="宋体" w:hAnsi="宋体" w:cs="宋体"/>
          <w:b/>
          <w:szCs w:val="24"/>
        </w:rPr>
        <w:t>（四） 响应文件的提交</w:t>
      </w:r>
    </w:p>
    <w:p>
      <w:pPr>
        <w:spacing w:line="360" w:lineRule="auto"/>
        <w:rPr>
          <w:rFonts w:ascii="宋体" w:hAnsi="宋体" w:cs="宋体"/>
          <w:szCs w:val="24"/>
        </w:rPr>
      </w:pPr>
      <w:bookmarkStart w:id="22" w:name="_Toc394934430"/>
      <w:bookmarkStart w:id="23" w:name="_Toc246928917"/>
      <w:r>
        <w:rPr>
          <w:rFonts w:hint="eastAsia" w:ascii="宋体" w:hAnsi="宋体" w:cs="宋体"/>
          <w:szCs w:val="24"/>
        </w:rPr>
        <w:t>14.响应文件的密封和标记</w:t>
      </w:r>
      <w:bookmarkEnd w:id="22"/>
      <w:bookmarkEnd w:id="23"/>
    </w:p>
    <w:p>
      <w:pPr>
        <w:spacing w:line="360" w:lineRule="auto"/>
        <w:ind w:firstLine="480" w:firstLineChars="200"/>
        <w:rPr>
          <w:rFonts w:ascii="宋体" w:hAnsi="宋体" w:cs="宋体"/>
          <w:szCs w:val="24"/>
        </w:rPr>
      </w:pPr>
      <w:r>
        <w:rPr>
          <w:rFonts w:hint="eastAsia" w:ascii="宋体" w:hAnsi="宋体" w:cs="宋体"/>
          <w:szCs w:val="24"/>
        </w:rPr>
        <w:t>14.1投标单位应将响应文件的正本、副本，用单独的封袋分装密封（封袋不得有破损），在封袋上标明“正本”、“副本”字样，封袋正面要粘贴标识并加盖投标单位公章。响应文件正本中的法人授权书须为原件，其它资质证明文件为复印件加盖投标单位鲜章；</w:t>
      </w:r>
      <w:r>
        <w:rPr>
          <w:rFonts w:hint="eastAsia" w:ascii="宋体" w:hAnsi="宋体" w:cs="宋体"/>
          <w:b/>
          <w:szCs w:val="24"/>
        </w:rPr>
        <w:t xml:space="preserve">如有与投标须知前附表不一致的以投标须知前附表为准。 </w:t>
      </w:r>
    </w:p>
    <w:p>
      <w:pPr>
        <w:spacing w:line="360" w:lineRule="auto"/>
        <w:ind w:firstLine="480" w:firstLineChars="200"/>
        <w:rPr>
          <w:rFonts w:ascii="宋体" w:hAnsi="宋体" w:cs="宋体"/>
          <w:szCs w:val="24"/>
        </w:rPr>
      </w:pPr>
      <w:r>
        <w:rPr>
          <w:rFonts w:hint="eastAsia" w:ascii="宋体" w:hAnsi="宋体" w:cs="宋体"/>
          <w:szCs w:val="24"/>
        </w:rPr>
        <w:t>14.2封袋正面标识式样（参见后附格式）。</w:t>
      </w:r>
    </w:p>
    <w:p>
      <w:pPr>
        <w:spacing w:line="360" w:lineRule="auto"/>
        <w:ind w:firstLine="480" w:firstLineChars="200"/>
        <w:rPr>
          <w:rFonts w:ascii="宋体" w:hAnsi="宋体" w:cs="宋体"/>
          <w:szCs w:val="24"/>
        </w:rPr>
      </w:pPr>
      <w:r>
        <w:rPr>
          <w:rFonts w:hint="eastAsia" w:ascii="宋体" w:hAnsi="宋体" w:cs="宋体"/>
          <w:szCs w:val="24"/>
        </w:rPr>
        <w:t>14.3如果投标单位未按上述要求密封及加写标记的响应文件、误投或过早启封的响应文件，采购代理机构将拒绝接收，并退回供应商。采购代理机构对响应文件的误投和提前启封概不负责。</w:t>
      </w:r>
    </w:p>
    <w:p>
      <w:pPr>
        <w:spacing w:line="360" w:lineRule="auto"/>
        <w:rPr>
          <w:rFonts w:ascii="宋体" w:hAnsi="宋体" w:cs="宋体"/>
          <w:szCs w:val="24"/>
        </w:rPr>
      </w:pPr>
      <w:r>
        <w:rPr>
          <w:rFonts w:hint="eastAsia" w:ascii="宋体" w:hAnsi="宋体" w:cs="宋体"/>
          <w:szCs w:val="24"/>
        </w:rPr>
        <w:t>15、响应文件的提交</w:t>
      </w:r>
    </w:p>
    <w:p>
      <w:pPr>
        <w:spacing w:line="360" w:lineRule="auto"/>
        <w:ind w:firstLine="480" w:firstLineChars="200"/>
        <w:rPr>
          <w:rFonts w:ascii="宋体" w:hAnsi="宋体" w:cs="宋体"/>
          <w:szCs w:val="24"/>
        </w:rPr>
      </w:pPr>
      <w:r>
        <w:rPr>
          <w:rFonts w:hint="eastAsia" w:ascii="宋体" w:hAnsi="宋体" w:cs="宋体"/>
          <w:szCs w:val="24"/>
        </w:rPr>
        <w:t>15.1供应商应在磋商截止时间前将密封的响应文件，递交至磋商地点。</w:t>
      </w:r>
    </w:p>
    <w:p>
      <w:pPr>
        <w:spacing w:line="360" w:lineRule="auto"/>
        <w:ind w:firstLine="480" w:firstLineChars="200"/>
        <w:rPr>
          <w:rFonts w:ascii="宋体" w:hAnsi="宋体" w:cs="宋体"/>
          <w:szCs w:val="24"/>
        </w:rPr>
      </w:pPr>
      <w:r>
        <w:rPr>
          <w:rFonts w:hint="eastAsia" w:ascii="宋体" w:hAnsi="宋体" w:cs="宋体"/>
          <w:szCs w:val="24"/>
        </w:rPr>
        <w:t>15.2逾期送达的或者未送达指定地点的响应文件，为无效标，采购代理机构将不予受理。</w:t>
      </w:r>
    </w:p>
    <w:p>
      <w:pPr>
        <w:spacing w:line="360" w:lineRule="auto"/>
        <w:jc w:val="center"/>
        <w:rPr>
          <w:rFonts w:ascii="宋体" w:hAnsi="宋体" w:cs="宋体"/>
          <w:b/>
          <w:szCs w:val="24"/>
        </w:rPr>
      </w:pPr>
      <w:r>
        <w:rPr>
          <w:rFonts w:hint="eastAsia" w:ascii="宋体" w:hAnsi="宋体" w:cs="宋体"/>
          <w:b/>
          <w:szCs w:val="24"/>
        </w:rPr>
        <w:t>（五）开 标</w:t>
      </w:r>
    </w:p>
    <w:p>
      <w:pPr>
        <w:spacing w:line="360" w:lineRule="auto"/>
        <w:rPr>
          <w:rFonts w:ascii="宋体" w:hAnsi="宋体" w:cs="宋体"/>
          <w:szCs w:val="24"/>
        </w:rPr>
      </w:pPr>
      <w:bookmarkStart w:id="24" w:name="_Toc394934434"/>
      <w:bookmarkStart w:id="25" w:name="_Toc246928924"/>
      <w:bookmarkStart w:id="26" w:name="_Toc394934436"/>
      <w:r>
        <w:rPr>
          <w:rFonts w:hint="eastAsia" w:ascii="宋体" w:hAnsi="宋体" w:cs="宋体"/>
          <w:szCs w:val="24"/>
        </w:rPr>
        <w:t>16、</w:t>
      </w:r>
      <w:bookmarkEnd w:id="24"/>
      <w:r>
        <w:rPr>
          <w:rFonts w:hint="eastAsia" w:ascii="宋体" w:hAnsi="宋体" w:cs="宋体"/>
          <w:szCs w:val="24"/>
        </w:rPr>
        <w:t>磋商</w:t>
      </w:r>
    </w:p>
    <w:p>
      <w:pPr>
        <w:spacing w:line="360" w:lineRule="auto"/>
        <w:ind w:firstLine="480" w:firstLineChars="200"/>
        <w:rPr>
          <w:rFonts w:ascii="宋体" w:hAnsi="宋体" w:cs="宋体"/>
          <w:szCs w:val="24"/>
        </w:rPr>
      </w:pPr>
      <w:r>
        <w:rPr>
          <w:rFonts w:hint="eastAsia" w:ascii="宋体" w:hAnsi="宋体" w:cs="宋体"/>
          <w:szCs w:val="24"/>
        </w:rPr>
        <w:t>16.1 采购代理机构按磋商公告中规定的时间和地点接受供应商递交的磋商响应文件。供应商应派代表签到，并参加磋商。</w:t>
      </w:r>
    </w:p>
    <w:p>
      <w:pPr>
        <w:spacing w:line="360" w:lineRule="auto"/>
        <w:ind w:firstLine="480" w:firstLineChars="200"/>
        <w:rPr>
          <w:rFonts w:ascii="宋体" w:hAnsi="宋体" w:cs="宋体"/>
          <w:szCs w:val="24"/>
        </w:rPr>
      </w:pPr>
      <w:r>
        <w:rPr>
          <w:rFonts w:hint="eastAsia" w:ascii="宋体" w:hAnsi="宋体" w:cs="宋体"/>
          <w:szCs w:val="24"/>
        </w:rPr>
        <w:t>16.2 磋商时，由供应商或者其推选的代表与监标人检查响应文件的密封情况，经确认无误后签字认可。由采购代理机构工作人员当众拆封并宣读供应商名称、响应文件份数。对于供应商在磋商截止时间前递交的磋商声明，在磋商时当众宣读，评审时有效。</w:t>
      </w:r>
    </w:p>
    <w:p>
      <w:pPr>
        <w:spacing w:line="360" w:lineRule="auto"/>
        <w:ind w:firstLine="480" w:firstLineChars="200"/>
        <w:rPr>
          <w:rFonts w:ascii="宋体" w:hAnsi="宋体" w:cs="宋体"/>
          <w:szCs w:val="24"/>
        </w:rPr>
      </w:pPr>
      <w:r>
        <w:rPr>
          <w:rFonts w:hint="eastAsia" w:ascii="宋体" w:hAnsi="宋体" w:cs="宋体"/>
          <w:szCs w:val="24"/>
        </w:rPr>
        <w:t>16.3 采购代理机构将对磋商过程做记录，由供应商授权代表签字确认。</w:t>
      </w:r>
    </w:p>
    <w:p>
      <w:pPr>
        <w:spacing w:line="360" w:lineRule="auto"/>
        <w:rPr>
          <w:rFonts w:ascii="宋体" w:hAnsi="宋体" w:cs="宋体"/>
          <w:szCs w:val="24"/>
        </w:rPr>
      </w:pPr>
      <w:bookmarkStart w:id="27" w:name="_Toc394934435"/>
      <w:bookmarkStart w:id="28" w:name="_Toc246928921"/>
      <w:r>
        <w:rPr>
          <w:rFonts w:hint="eastAsia" w:ascii="宋体" w:hAnsi="宋体" w:cs="宋体"/>
          <w:szCs w:val="24"/>
        </w:rPr>
        <w:t>17、磋商小组</w:t>
      </w:r>
      <w:bookmarkEnd w:id="27"/>
      <w:bookmarkEnd w:id="28"/>
    </w:p>
    <w:p>
      <w:pPr>
        <w:spacing w:line="360" w:lineRule="auto"/>
        <w:ind w:firstLine="480" w:firstLineChars="200"/>
        <w:rPr>
          <w:rFonts w:ascii="宋体" w:hAnsi="宋体" w:cs="宋体"/>
          <w:szCs w:val="24"/>
        </w:rPr>
      </w:pPr>
      <w:r>
        <w:rPr>
          <w:rFonts w:hint="eastAsia" w:ascii="宋体" w:hAnsi="宋体" w:cs="宋体"/>
          <w:szCs w:val="24"/>
        </w:rPr>
        <w:t>17.1 根据本次招标项目的特点，参照《中华人民共和国政府采购法》等有关规定组建磋商小组。</w:t>
      </w:r>
    </w:p>
    <w:p>
      <w:pPr>
        <w:spacing w:line="360" w:lineRule="auto"/>
        <w:ind w:firstLine="480" w:firstLineChars="200"/>
        <w:rPr>
          <w:rFonts w:ascii="宋体" w:hAnsi="宋体" w:cs="宋体"/>
          <w:szCs w:val="24"/>
        </w:rPr>
      </w:pPr>
      <w:r>
        <w:rPr>
          <w:rFonts w:hint="eastAsia" w:ascii="宋体" w:hAnsi="宋体" w:cs="宋体"/>
          <w:szCs w:val="24"/>
        </w:rPr>
        <w:t>17.2本项目磋商小组专家的产生方式符合国家和地方有关评审专家产生方式的规定。</w:t>
      </w:r>
    </w:p>
    <w:p>
      <w:pPr>
        <w:spacing w:line="360" w:lineRule="auto"/>
        <w:ind w:firstLine="480" w:firstLineChars="200"/>
        <w:rPr>
          <w:rFonts w:ascii="宋体" w:hAnsi="宋体" w:cs="宋体"/>
          <w:szCs w:val="24"/>
        </w:rPr>
      </w:pPr>
      <w:r>
        <w:rPr>
          <w:rFonts w:hint="eastAsia" w:ascii="宋体" w:hAnsi="宋体" w:cs="宋体"/>
          <w:szCs w:val="24"/>
        </w:rPr>
        <w:t>17.3 磋商小组成员对各供应商磋商响应文件进行审查、质疑、评估和比较，并推荐成交候选供应商。</w:t>
      </w:r>
    </w:p>
    <w:p>
      <w:pPr>
        <w:spacing w:line="360" w:lineRule="auto"/>
        <w:jc w:val="center"/>
        <w:rPr>
          <w:rFonts w:ascii="宋体" w:hAnsi="宋体" w:cs="宋体"/>
          <w:b/>
          <w:szCs w:val="24"/>
        </w:rPr>
      </w:pPr>
      <w:r>
        <w:rPr>
          <w:rFonts w:hint="eastAsia" w:ascii="宋体" w:hAnsi="宋体" w:cs="宋体"/>
          <w:b/>
          <w:szCs w:val="24"/>
        </w:rPr>
        <w:t>（六）评 审</w:t>
      </w:r>
    </w:p>
    <w:bookmarkEnd w:id="25"/>
    <w:bookmarkEnd w:id="26"/>
    <w:p>
      <w:pPr>
        <w:spacing w:line="360" w:lineRule="auto"/>
        <w:rPr>
          <w:rFonts w:ascii="宋体" w:hAnsi="宋体" w:cs="宋体"/>
          <w:szCs w:val="24"/>
        </w:rPr>
      </w:pPr>
      <w:bookmarkStart w:id="29" w:name="_Toc394934437"/>
      <w:r>
        <w:rPr>
          <w:rFonts w:hint="eastAsia" w:ascii="宋体" w:hAnsi="宋体" w:cs="宋体"/>
          <w:szCs w:val="24"/>
        </w:rPr>
        <w:t>18、评审</w:t>
      </w:r>
    </w:p>
    <w:p>
      <w:pPr>
        <w:spacing w:line="360" w:lineRule="auto"/>
        <w:ind w:firstLine="480" w:firstLineChars="200"/>
        <w:rPr>
          <w:rFonts w:ascii="宋体" w:hAnsi="宋体" w:cs="宋体"/>
          <w:szCs w:val="24"/>
        </w:rPr>
      </w:pPr>
      <w:r>
        <w:rPr>
          <w:rFonts w:hint="eastAsia" w:ascii="宋体" w:hAnsi="宋体" w:cs="宋体"/>
          <w:szCs w:val="24"/>
        </w:rPr>
        <w:t>18.1 磋商小组将遵循公开、公平、公正和择优的原则，对所有供应商的磋商响应文件评审，都采用相同的程序和标准。</w:t>
      </w:r>
    </w:p>
    <w:p>
      <w:pPr>
        <w:spacing w:line="360" w:lineRule="auto"/>
        <w:ind w:firstLine="480" w:firstLineChars="200"/>
        <w:rPr>
          <w:rFonts w:ascii="宋体" w:hAnsi="宋体" w:cs="宋体"/>
          <w:szCs w:val="24"/>
        </w:rPr>
      </w:pPr>
      <w:r>
        <w:rPr>
          <w:rFonts w:hint="eastAsia" w:ascii="宋体" w:hAnsi="宋体" w:cs="宋体"/>
          <w:szCs w:val="24"/>
        </w:rPr>
        <w:t>18.2 评审过程的保密：评审应在严格保密的状态下进行，在响应文件的评审、比较、成交候选供应商推荐以及授予合同的过程中，供应商向采购人和磋商小组施加影响的任何行为，都将会导致其报价被拒绝；成交供应商确定后，采购人不对未成交供应商就评审过程以及未能成交原因做出任何解释。未成交供应商不得向磋商小组成员或其他相关人员索问评审过程的情况和材料。</w:t>
      </w:r>
    </w:p>
    <w:p>
      <w:pPr>
        <w:spacing w:line="360" w:lineRule="auto"/>
        <w:ind w:firstLine="480" w:firstLineChars="200"/>
        <w:rPr>
          <w:rFonts w:ascii="宋体" w:hAnsi="宋体" w:cs="宋体"/>
          <w:szCs w:val="24"/>
        </w:rPr>
      </w:pPr>
      <w:r>
        <w:rPr>
          <w:rFonts w:hint="eastAsia" w:ascii="宋体" w:hAnsi="宋体" w:cs="宋体"/>
          <w:szCs w:val="24"/>
        </w:rPr>
        <w:t>18.3 供应商或磋商响应文件出现的下列情形将按照无效响应文件处理，由磋商小组否决其磋商：</w:t>
      </w:r>
    </w:p>
    <w:p>
      <w:pPr>
        <w:spacing w:line="360" w:lineRule="auto"/>
        <w:ind w:firstLine="480" w:firstLineChars="200"/>
        <w:rPr>
          <w:rFonts w:ascii="宋体" w:hAnsi="宋体" w:cs="宋体"/>
          <w:szCs w:val="24"/>
        </w:rPr>
      </w:pPr>
      <w:r>
        <w:rPr>
          <w:rFonts w:hint="eastAsia" w:ascii="宋体" w:hAnsi="宋体" w:cs="宋体"/>
          <w:szCs w:val="24"/>
        </w:rPr>
        <w:t>18.3.1 未按磋商文件规定要求密封、签署、盖章；</w:t>
      </w:r>
    </w:p>
    <w:p>
      <w:pPr>
        <w:spacing w:line="360" w:lineRule="auto"/>
        <w:ind w:firstLine="480" w:firstLineChars="200"/>
        <w:rPr>
          <w:rFonts w:ascii="宋体" w:hAnsi="宋体" w:cs="宋体"/>
          <w:szCs w:val="24"/>
        </w:rPr>
      </w:pPr>
      <w:r>
        <w:rPr>
          <w:rFonts w:hint="eastAsia" w:ascii="宋体" w:hAnsi="宋体" w:cs="宋体"/>
          <w:szCs w:val="24"/>
        </w:rPr>
        <w:t>18.3.2不具备磋商文件规定资格条件的或响应文件中提供的资格证明文件不全的；</w:t>
      </w:r>
    </w:p>
    <w:p>
      <w:pPr>
        <w:spacing w:line="360" w:lineRule="auto"/>
        <w:ind w:firstLine="480" w:firstLineChars="200"/>
        <w:rPr>
          <w:rFonts w:ascii="宋体" w:hAnsi="宋体" w:cs="宋体"/>
          <w:szCs w:val="24"/>
        </w:rPr>
      </w:pPr>
      <w:r>
        <w:rPr>
          <w:rFonts w:hint="eastAsia" w:ascii="宋体" w:hAnsi="宋体" w:cs="宋体"/>
          <w:szCs w:val="24"/>
        </w:rPr>
        <w:t>18.3.3响应文件内容不全或字迹模糊辨认不清导致磋商响应文件不满足磋商文件实质性要求的；</w:t>
      </w:r>
    </w:p>
    <w:p>
      <w:pPr>
        <w:spacing w:line="360" w:lineRule="auto"/>
        <w:ind w:firstLine="480" w:firstLineChars="200"/>
        <w:rPr>
          <w:rFonts w:ascii="宋体" w:hAnsi="宋体" w:cs="宋体"/>
          <w:szCs w:val="24"/>
        </w:rPr>
      </w:pPr>
      <w:r>
        <w:rPr>
          <w:rFonts w:hint="eastAsia" w:ascii="宋体" w:hAnsi="宋体" w:cs="宋体"/>
          <w:szCs w:val="24"/>
        </w:rPr>
        <w:t>18.3.4 报价超过采购预算的；</w:t>
      </w:r>
    </w:p>
    <w:p>
      <w:pPr>
        <w:spacing w:line="360" w:lineRule="auto"/>
        <w:ind w:firstLine="480" w:firstLineChars="200"/>
        <w:rPr>
          <w:rFonts w:ascii="宋体" w:hAnsi="宋体" w:cs="宋体"/>
          <w:b/>
          <w:bCs/>
          <w:szCs w:val="24"/>
        </w:rPr>
      </w:pPr>
      <w:r>
        <w:rPr>
          <w:rFonts w:hint="eastAsia" w:ascii="宋体" w:hAnsi="宋体" w:cs="宋体"/>
          <w:szCs w:val="24"/>
        </w:rPr>
        <w:t>18.3.5</w:t>
      </w:r>
      <w:r>
        <w:rPr>
          <w:rFonts w:hint="eastAsia" w:ascii="宋体" w:hAnsi="宋体" w:cs="宋体"/>
          <w:b/>
          <w:bCs/>
          <w:szCs w:val="24"/>
        </w:rPr>
        <w:t>付款方式不满足竞争性磋商文件要求的；</w:t>
      </w:r>
    </w:p>
    <w:p>
      <w:pPr>
        <w:spacing w:line="360" w:lineRule="auto"/>
        <w:ind w:firstLine="480" w:firstLineChars="200"/>
        <w:rPr>
          <w:rFonts w:ascii="宋体" w:hAnsi="宋体" w:cs="宋体"/>
          <w:szCs w:val="24"/>
        </w:rPr>
      </w:pPr>
      <w:r>
        <w:rPr>
          <w:rFonts w:hint="eastAsia" w:ascii="宋体" w:hAnsi="宋体" w:cs="宋体"/>
          <w:szCs w:val="24"/>
        </w:rPr>
        <w:t>18.3.6 属于磋商文件中所列无效响应情形的；</w:t>
      </w:r>
    </w:p>
    <w:p>
      <w:pPr>
        <w:spacing w:line="360" w:lineRule="auto"/>
        <w:ind w:firstLine="480" w:firstLineChars="200"/>
        <w:rPr>
          <w:rFonts w:ascii="宋体" w:hAnsi="宋体" w:cs="宋体"/>
          <w:szCs w:val="24"/>
        </w:rPr>
      </w:pPr>
      <w:r>
        <w:rPr>
          <w:rFonts w:hint="eastAsia" w:ascii="宋体" w:hAnsi="宋体" w:cs="宋体"/>
          <w:szCs w:val="24"/>
        </w:rPr>
        <w:t>18.3.7 与磋商文件要求条款有重大偏离的；</w:t>
      </w:r>
    </w:p>
    <w:p>
      <w:pPr>
        <w:spacing w:line="360" w:lineRule="auto"/>
        <w:ind w:firstLine="480" w:firstLineChars="200"/>
        <w:rPr>
          <w:rFonts w:ascii="宋体" w:hAnsi="宋体" w:cs="宋体"/>
          <w:szCs w:val="24"/>
        </w:rPr>
      </w:pPr>
      <w:r>
        <w:rPr>
          <w:rFonts w:hint="eastAsia" w:ascii="宋体" w:hAnsi="宋体" w:cs="宋体"/>
          <w:szCs w:val="24"/>
        </w:rPr>
        <w:t>18.3.8 不符合法律、法规和磋商文件中规定的其他实质性要求的。</w:t>
      </w:r>
    </w:p>
    <w:p>
      <w:pPr>
        <w:spacing w:line="360" w:lineRule="auto"/>
        <w:rPr>
          <w:rFonts w:ascii="宋体" w:hAnsi="宋体" w:cs="宋体"/>
          <w:szCs w:val="24"/>
        </w:rPr>
      </w:pPr>
      <w:r>
        <w:rPr>
          <w:rFonts w:hint="eastAsia" w:ascii="宋体" w:hAnsi="宋体" w:cs="宋体"/>
          <w:szCs w:val="24"/>
        </w:rPr>
        <w:t>19、评审程序及办法</w:t>
      </w:r>
    </w:p>
    <w:p>
      <w:pPr>
        <w:spacing w:line="360" w:lineRule="auto"/>
        <w:ind w:firstLine="480" w:firstLineChars="200"/>
        <w:rPr>
          <w:rFonts w:ascii="宋体" w:hAnsi="宋体" w:cs="宋体"/>
          <w:szCs w:val="24"/>
        </w:rPr>
      </w:pPr>
      <w:r>
        <w:rPr>
          <w:rFonts w:hint="eastAsia" w:ascii="宋体" w:hAnsi="宋体" w:cs="宋体"/>
          <w:szCs w:val="24"/>
        </w:rPr>
        <w:t>19.1采购人对于各个供应商的响应文件先进行资格审查，对资格审查合格的供应商由磋商小组再进行符合性审查，审查全都合格的供应商才有参加磋商与承诺的资格。</w:t>
      </w:r>
    </w:p>
    <w:p>
      <w:pPr>
        <w:spacing w:line="360" w:lineRule="auto"/>
        <w:ind w:firstLine="482" w:firstLineChars="200"/>
        <w:rPr>
          <w:rFonts w:ascii="宋体" w:hAnsi="宋体" w:cs="宋体"/>
          <w:b/>
          <w:szCs w:val="24"/>
        </w:rPr>
      </w:pPr>
      <w:r>
        <w:rPr>
          <w:rFonts w:hint="eastAsia" w:ascii="宋体" w:hAnsi="宋体" w:cs="宋体"/>
          <w:b/>
          <w:szCs w:val="24"/>
        </w:rPr>
        <w:t>19.1.1资格审查：</w:t>
      </w:r>
    </w:p>
    <w:tbl>
      <w:tblPr>
        <w:tblStyle w:val="20"/>
        <w:tblW w:w="0" w:type="auto"/>
        <w:jc w:val="center"/>
        <w:tblLayout w:type="fixed"/>
        <w:tblCellMar>
          <w:top w:w="0" w:type="dxa"/>
          <w:left w:w="108" w:type="dxa"/>
          <w:bottom w:w="0" w:type="dxa"/>
          <w:right w:w="108" w:type="dxa"/>
        </w:tblCellMar>
      </w:tblPr>
      <w:tblGrid>
        <w:gridCol w:w="881"/>
        <w:gridCol w:w="1933"/>
        <w:gridCol w:w="4133"/>
        <w:gridCol w:w="827"/>
        <w:gridCol w:w="973"/>
      </w:tblGrid>
      <w:tr>
        <w:tblPrEx>
          <w:tblCellMar>
            <w:top w:w="0" w:type="dxa"/>
            <w:left w:w="108" w:type="dxa"/>
            <w:bottom w:w="0" w:type="dxa"/>
            <w:right w:w="108" w:type="dxa"/>
          </w:tblCellMar>
        </w:tblPrEx>
        <w:trPr>
          <w:trHeight w:val="582"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kern w:val="0"/>
                <w:szCs w:val="24"/>
              </w:rPr>
            </w:pPr>
            <w:r>
              <w:rPr>
                <w:rFonts w:hint="eastAsia" w:ascii="宋体" w:hAnsi="宋体" w:cs="宋体"/>
                <w:b/>
                <w:bCs/>
                <w:kern w:val="0"/>
                <w:szCs w:val="24"/>
              </w:rPr>
              <w:t>序号</w:t>
            </w:r>
          </w:p>
        </w:tc>
        <w:tc>
          <w:tcPr>
            <w:tcW w:w="19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Cs w:val="24"/>
              </w:rPr>
            </w:pPr>
            <w:r>
              <w:rPr>
                <w:rFonts w:hint="eastAsia" w:ascii="宋体" w:hAnsi="宋体" w:cs="宋体"/>
                <w:b/>
                <w:bCs/>
                <w:kern w:val="0"/>
                <w:szCs w:val="24"/>
              </w:rPr>
              <w:t>资格审查项</w:t>
            </w:r>
          </w:p>
        </w:tc>
        <w:tc>
          <w:tcPr>
            <w:tcW w:w="41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Cs w:val="24"/>
              </w:rPr>
            </w:pPr>
            <w:r>
              <w:rPr>
                <w:rFonts w:hint="eastAsia" w:ascii="宋体" w:hAnsi="宋体" w:cs="宋体"/>
                <w:b/>
                <w:bCs/>
                <w:kern w:val="0"/>
                <w:szCs w:val="24"/>
              </w:rPr>
              <w:t>通过条件</w:t>
            </w:r>
          </w:p>
        </w:tc>
        <w:tc>
          <w:tcPr>
            <w:tcW w:w="8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Cs w:val="24"/>
              </w:rPr>
            </w:pPr>
            <w:r>
              <w:rPr>
                <w:rFonts w:hint="eastAsia" w:ascii="宋体" w:hAnsi="宋体" w:cs="宋体"/>
                <w:b/>
                <w:bCs/>
                <w:kern w:val="0"/>
                <w:szCs w:val="24"/>
              </w:rPr>
              <w:t>结论</w:t>
            </w:r>
          </w:p>
        </w:tc>
        <w:tc>
          <w:tcPr>
            <w:tcW w:w="9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kern w:val="0"/>
                <w:szCs w:val="24"/>
              </w:rPr>
            </w:pPr>
            <w:r>
              <w:rPr>
                <w:rFonts w:hint="eastAsia" w:ascii="宋体" w:hAnsi="宋体" w:cs="宋体"/>
                <w:b/>
                <w:bCs/>
                <w:kern w:val="0"/>
                <w:szCs w:val="24"/>
              </w:rPr>
              <w:t>不通过原因</w:t>
            </w:r>
          </w:p>
        </w:tc>
      </w:tr>
      <w:tr>
        <w:tblPrEx>
          <w:tblCellMar>
            <w:top w:w="0" w:type="dxa"/>
            <w:left w:w="108" w:type="dxa"/>
            <w:bottom w:w="0" w:type="dxa"/>
            <w:right w:w="108" w:type="dxa"/>
          </w:tblCellMar>
        </w:tblPrEx>
        <w:trPr>
          <w:trHeight w:val="945"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cs="宋体"/>
                <w:szCs w:val="24"/>
              </w:rPr>
              <w:t>1</w:t>
            </w:r>
          </w:p>
        </w:tc>
        <w:tc>
          <w:tcPr>
            <w:tcW w:w="193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eastAsia="宋体" w:cs="宋体"/>
                <w:i w:val="0"/>
                <w:caps w:val="0"/>
                <w:color w:val="333333"/>
                <w:spacing w:val="0"/>
                <w:sz w:val="24"/>
                <w:szCs w:val="24"/>
                <w:highlight w:val="none"/>
                <w:shd w:val="clear" w:fill="FFFFFF"/>
              </w:rPr>
              <w:t>独立承担民事责任的能力</w:t>
            </w:r>
          </w:p>
        </w:tc>
        <w:tc>
          <w:tcPr>
            <w:tcW w:w="413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r>
              <w:rPr>
                <w:rFonts w:hint="eastAsia" w:ascii="宋体" w:hAnsi="宋体" w:eastAsia="宋体" w:cs="宋体"/>
                <w:i w:val="0"/>
                <w:caps w:val="0"/>
                <w:color w:val="333333"/>
                <w:spacing w:val="0"/>
                <w:sz w:val="24"/>
                <w:szCs w:val="24"/>
                <w:highlight w:val="none"/>
                <w:shd w:val="clear" w:fill="FFFFFF"/>
              </w:rPr>
              <w:t>合法注册的法人应提供营业执照（或事业法人证）、组织机构代码证、税务登记证或统一社会信用代码的营业执照或其他组织应提供合法证明文件或自然人提供身份证件</w:t>
            </w:r>
            <w:r>
              <w:rPr>
                <w:rFonts w:hint="eastAsia" w:ascii="宋体" w:hAnsi="宋体" w:eastAsia="宋体" w:cs="宋体"/>
                <w:i w:val="0"/>
                <w:caps w:val="0"/>
                <w:color w:val="333333"/>
                <w:spacing w:val="0"/>
                <w:sz w:val="24"/>
                <w:szCs w:val="24"/>
                <w:highlight w:val="none"/>
                <w:shd w:val="clear" w:fill="FFFFFF"/>
                <w:lang w:eastAsia="zh-CN"/>
              </w:rPr>
              <w:t>；</w:t>
            </w:r>
          </w:p>
        </w:tc>
        <w:tc>
          <w:tcPr>
            <w:tcW w:w="82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rPr>
            </w:pPr>
          </w:p>
        </w:tc>
        <w:tc>
          <w:tcPr>
            <w:tcW w:w="97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rPr>
            </w:pPr>
          </w:p>
        </w:tc>
      </w:tr>
      <w:tr>
        <w:tblPrEx>
          <w:tblCellMar>
            <w:top w:w="0" w:type="dxa"/>
            <w:left w:w="108" w:type="dxa"/>
            <w:bottom w:w="0" w:type="dxa"/>
            <w:right w:w="108" w:type="dxa"/>
          </w:tblCellMar>
        </w:tblPrEx>
        <w:trPr>
          <w:trHeight w:val="1462"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cs="宋体"/>
                <w:szCs w:val="24"/>
              </w:rPr>
              <w:t>2</w:t>
            </w:r>
          </w:p>
        </w:tc>
        <w:tc>
          <w:tcPr>
            <w:tcW w:w="193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eastAsia="宋体" w:cs="宋体"/>
                <w:i w:val="0"/>
                <w:caps w:val="0"/>
                <w:color w:val="333333"/>
                <w:spacing w:val="0"/>
                <w:sz w:val="24"/>
                <w:szCs w:val="24"/>
                <w:highlight w:val="none"/>
                <w:shd w:val="clear" w:fill="FFFFFF"/>
                <w:lang w:eastAsia="zh-CN"/>
              </w:rPr>
              <w:t>良好的商业信誉和健全的财务会计制度</w:t>
            </w:r>
          </w:p>
        </w:tc>
        <w:tc>
          <w:tcPr>
            <w:tcW w:w="4133"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4"/>
              </w:rPr>
            </w:pPr>
            <w:r>
              <w:rPr>
                <w:rFonts w:hint="eastAsia" w:ascii="宋体" w:hAnsi="宋体" w:eastAsia="宋体" w:cs="宋体"/>
                <w:i w:val="0"/>
                <w:iCs w:val="0"/>
                <w:caps w:val="0"/>
                <w:color w:val="auto"/>
                <w:spacing w:val="0"/>
                <w:sz w:val="24"/>
                <w:szCs w:val="24"/>
                <w:shd w:val="clear" w:fill="FFFFFF"/>
              </w:rPr>
              <w:t>2021年度经审计的财务报告或在</w:t>
            </w:r>
            <w:r>
              <w:rPr>
                <w:rFonts w:hint="eastAsia" w:ascii="宋体" w:hAnsi="宋体" w:cs="宋体"/>
                <w:i w:val="0"/>
                <w:iCs w:val="0"/>
                <w:caps w:val="0"/>
                <w:color w:val="auto"/>
                <w:spacing w:val="0"/>
                <w:sz w:val="24"/>
                <w:szCs w:val="24"/>
                <w:shd w:val="clear" w:fill="FFFFFF"/>
                <w:lang w:eastAsia="zh-CN"/>
              </w:rPr>
              <w:t>2022年</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cs="宋体"/>
                <w:i w:val="0"/>
                <w:iCs w:val="0"/>
                <w:caps w:val="0"/>
                <w:color w:val="auto"/>
                <w:spacing w:val="0"/>
                <w:sz w:val="24"/>
                <w:szCs w:val="24"/>
                <w:shd w:val="clear" w:fill="FFFFFF"/>
                <w:lang w:eastAsia="zh-CN"/>
              </w:rPr>
              <w:t>月1日至今</w:t>
            </w:r>
            <w:r>
              <w:rPr>
                <w:rFonts w:hint="eastAsia" w:ascii="宋体" w:hAnsi="宋体" w:eastAsia="宋体" w:cs="宋体"/>
                <w:i w:val="0"/>
                <w:iCs w:val="0"/>
                <w:caps w:val="0"/>
                <w:color w:val="auto"/>
                <w:spacing w:val="0"/>
                <w:sz w:val="24"/>
                <w:szCs w:val="24"/>
                <w:shd w:val="clear" w:fill="FFFFFF"/>
              </w:rPr>
              <w:t>其基本开户银行出具的资信证明或财政部门认可的政府采购专业担保机构出具的投标担保函（以上三种形式的资料提供任何一种即可）</w:t>
            </w:r>
          </w:p>
        </w:tc>
        <w:tc>
          <w:tcPr>
            <w:tcW w:w="827"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4"/>
              </w:rPr>
            </w:pPr>
          </w:p>
        </w:tc>
        <w:tc>
          <w:tcPr>
            <w:tcW w:w="973"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4"/>
              </w:rPr>
            </w:pPr>
          </w:p>
        </w:tc>
      </w:tr>
      <w:tr>
        <w:tblPrEx>
          <w:tblCellMar>
            <w:top w:w="0" w:type="dxa"/>
            <w:left w:w="108" w:type="dxa"/>
            <w:bottom w:w="0" w:type="dxa"/>
            <w:right w:w="108" w:type="dxa"/>
          </w:tblCellMar>
        </w:tblPrEx>
        <w:trPr>
          <w:trHeight w:val="90"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cs="宋体"/>
                <w:szCs w:val="24"/>
              </w:rPr>
              <w:t>3</w:t>
            </w:r>
          </w:p>
        </w:tc>
        <w:tc>
          <w:tcPr>
            <w:tcW w:w="193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eastAsia="宋体" w:cs="宋体"/>
                <w:i w:val="0"/>
                <w:caps w:val="0"/>
                <w:color w:val="333333"/>
                <w:spacing w:val="0"/>
                <w:sz w:val="24"/>
                <w:szCs w:val="24"/>
                <w:highlight w:val="none"/>
                <w:shd w:val="clear" w:fill="FFFFFF"/>
                <w:lang w:eastAsia="zh-CN"/>
              </w:rPr>
              <w:t>有依法缴纳税收和社会保障资金的良好记录</w:t>
            </w:r>
          </w:p>
        </w:tc>
        <w:tc>
          <w:tcPr>
            <w:tcW w:w="413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r>
              <w:rPr>
                <w:rFonts w:hint="eastAsia" w:ascii="宋体" w:hAnsi="宋体" w:eastAsia="宋体" w:cs="宋体"/>
                <w:i w:val="0"/>
                <w:iCs w:val="0"/>
                <w:caps w:val="0"/>
                <w:color w:val="auto"/>
                <w:spacing w:val="0"/>
                <w:sz w:val="24"/>
                <w:szCs w:val="24"/>
                <w:shd w:val="clear" w:fill="FFFFFF"/>
              </w:rPr>
              <w:t>提供</w:t>
            </w:r>
            <w:r>
              <w:rPr>
                <w:rFonts w:hint="eastAsia" w:ascii="宋体" w:hAnsi="宋体" w:cs="宋体"/>
                <w:i w:val="0"/>
                <w:iCs w:val="0"/>
                <w:caps w:val="0"/>
                <w:color w:val="auto"/>
                <w:spacing w:val="0"/>
                <w:sz w:val="24"/>
                <w:szCs w:val="24"/>
                <w:shd w:val="clear" w:fill="FFFFFF"/>
                <w:lang w:eastAsia="zh-CN"/>
              </w:rPr>
              <w:t>2022年</w:t>
            </w:r>
            <w:r>
              <w:rPr>
                <w:rFonts w:hint="eastAsia" w:ascii="宋体" w:hAnsi="宋体" w:cs="宋体"/>
                <w:i w:val="0"/>
                <w:iCs w:val="0"/>
                <w:caps w:val="0"/>
                <w:color w:val="auto"/>
                <w:spacing w:val="0"/>
                <w:sz w:val="24"/>
                <w:szCs w:val="24"/>
                <w:shd w:val="clear" w:fill="FFFFFF"/>
                <w:lang w:val="en-US" w:eastAsia="zh-CN"/>
              </w:rPr>
              <w:t>1</w:t>
            </w:r>
            <w:r>
              <w:rPr>
                <w:rFonts w:hint="eastAsia" w:ascii="宋体" w:hAnsi="宋体" w:cs="宋体"/>
                <w:i w:val="0"/>
                <w:iCs w:val="0"/>
                <w:caps w:val="0"/>
                <w:color w:val="auto"/>
                <w:spacing w:val="0"/>
                <w:sz w:val="24"/>
                <w:szCs w:val="24"/>
                <w:shd w:val="clear" w:fill="FFFFFF"/>
                <w:lang w:eastAsia="zh-CN"/>
              </w:rPr>
              <w:t>月1日至今任意时段的</w:t>
            </w:r>
            <w:r>
              <w:rPr>
                <w:rFonts w:hint="eastAsia" w:ascii="宋体" w:hAnsi="宋体" w:eastAsia="宋体" w:cs="宋体"/>
                <w:i w:val="0"/>
                <w:iCs w:val="0"/>
                <w:caps w:val="0"/>
                <w:color w:val="auto"/>
                <w:spacing w:val="0"/>
                <w:sz w:val="24"/>
                <w:szCs w:val="24"/>
                <w:shd w:val="clear" w:fill="FFFFFF"/>
              </w:rPr>
              <w:t>缴纳证明，依法免税的单位应提供相关证明材料</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82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p>
        </w:tc>
        <w:tc>
          <w:tcPr>
            <w:tcW w:w="97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p>
        </w:tc>
      </w:tr>
      <w:tr>
        <w:tblPrEx>
          <w:tblCellMar>
            <w:top w:w="0" w:type="dxa"/>
            <w:left w:w="108" w:type="dxa"/>
            <w:bottom w:w="0" w:type="dxa"/>
            <w:right w:w="108" w:type="dxa"/>
          </w:tblCellMar>
        </w:tblPrEx>
        <w:trPr>
          <w:trHeight w:val="374"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cs="宋体"/>
                <w:szCs w:val="24"/>
              </w:rPr>
              <w:t>4</w:t>
            </w:r>
          </w:p>
        </w:tc>
        <w:tc>
          <w:tcPr>
            <w:tcW w:w="193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eastAsia="宋体" w:cs="宋体"/>
                <w:i w:val="0"/>
                <w:caps w:val="0"/>
                <w:color w:val="333333"/>
                <w:spacing w:val="0"/>
                <w:sz w:val="24"/>
                <w:szCs w:val="24"/>
                <w:highlight w:val="none"/>
                <w:shd w:val="clear" w:fill="FFFFFF"/>
                <w:lang w:eastAsia="zh-CN"/>
              </w:rPr>
              <w:t>书面声明</w:t>
            </w:r>
          </w:p>
        </w:tc>
        <w:tc>
          <w:tcPr>
            <w:tcW w:w="413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r>
              <w:rPr>
                <w:rFonts w:hint="eastAsia" w:ascii="宋体" w:hAnsi="宋体" w:eastAsia="宋体" w:cs="宋体"/>
                <w:i w:val="0"/>
                <w:iCs w:val="0"/>
                <w:caps w:val="0"/>
                <w:color w:val="auto"/>
                <w:spacing w:val="0"/>
                <w:sz w:val="24"/>
                <w:szCs w:val="24"/>
                <w:shd w:val="clear" w:fill="FFFFFF"/>
              </w:rPr>
              <w:t>（1）参加本次政府采购活动前三年内在经营活动中没有重大违纪，以及未被列入失信被执行人、</w:t>
            </w:r>
            <w:r>
              <w:rPr>
                <w:rFonts w:hint="eastAsia" w:ascii="宋体" w:hAnsi="宋体" w:eastAsia="宋体" w:cs="宋体"/>
                <w:i w:val="0"/>
                <w:iCs w:val="0"/>
                <w:caps w:val="0"/>
                <w:color w:val="auto"/>
                <w:spacing w:val="0"/>
                <w:sz w:val="24"/>
                <w:szCs w:val="24"/>
                <w:highlight w:val="none"/>
                <w:shd w:val="clear" w:fill="FFFFFF"/>
              </w:rPr>
              <w:t>重大税收违法</w:t>
            </w:r>
            <w:r>
              <w:rPr>
                <w:rFonts w:hint="eastAsia" w:ascii="宋体" w:hAnsi="宋体" w:cs="宋体"/>
                <w:i w:val="0"/>
                <w:iCs w:val="0"/>
                <w:caps w:val="0"/>
                <w:color w:val="auto"/>
                <w:spacing w:val="0"/>
                <w:sz w:val="24"/>
                <w:szCs w:val="24"/>
                <w:highlight w:val="none"/>
                <w:shd w:val="clear" w:fill="FFFFFF"/>
                <w:lang w:val="en-US" w:eastAsia="zh-CN"/>
              </w:rPr>
              <w:t>失信主体</w:t>
            </w:r>
            <w:r>
              <w:rPr>
                <w:rFonts w:hint="eastAsia" w:ascii="宋体" w:hAnsi="宋体" w:eastAsia="宋体" w:cs="宋体"/>
                <w:i w:val="0"/>
                <w:iCs w:val="0"/>
                <w:caps w:val="0"/>
                <w:color w:val="auto"/>
                <w:spacing w:val="0"/>
                <w:sz w:val="24"/>
                <w:szCs w:val="24"/>
                <w:shd w:val="clear" w:fill="FFFFFF"/>
              </w:rPr>
              <w:t>、政府采购严重违法失信行为记录名单的书面声明；（2）提供具有履行本合同所必需的设备和专业技术能力的声明</w:t>
            </w:r>
          </w:p>
        </w:tc>
        <w:tc>
          <w:tcPr>
            <w:tcW w:w="82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p>
        </w:tc>
        <w:tc>
          <w:tcPr>
            <w:tcW w:w="97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p>
        </w:tc>
      </w:tr>
      <w:tr>
        <w:tblPrEx>
          <w:tblCellMar>
            <w:top w:w="0" w:type="dxa"/>
            <w:left w:w="108" w:type="dxa"/>
            <w:bottom w:w="0" w:type="dxa"/>
            <w:right w:w="108" w:type="dxa"/>
          </w:tblCellMar>
        </w:tblPrEx>
        <w:trPr>
          <w:trHeight w:val="303"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4"/>
              </w:rPr>
            </w:pPr>
            <w:r>
              <w:rPr>
                <w:rFonts w:hint="eastAsia" w:ascii="宋体" w:hAnsi="宋体" w:cs="宋体"/>
                <w:szCs w:val="24"/>
              </w:rPr>
              <w:t>5</w:t>
            </w:r>
          </w:p>
        </w:tc>
        <w:tc>
          <w:tcPr>
            <w:tcW w:w="1933" w:type="dxa"/>
            <w:tcBorders>
              <w:top w:val="single" w:color="auto" w:sz="4" w:space="0"/>
              <w:left w:val="nil"/>
              <w:bottom w:val="single" w:color="auto" w:sz="4" w:space="0"/>
              <w:right w:val="single" w:color="auto" w:sz="4" w:space="0"/>
            </w:tcBorders>
            <w:vAlign w:val="center"/>
          </w:tcPr>
          <w:p>
            <w:pPr>
              <w:spacing w:line="360" w:lineRule="auto"/>
              <w:jc w:val="both"/>
              <w:rPr>
                <w:rFonts w:ascii="宋体" w:hAnsi="宋体" w:cs="宋体"/>
                <w:szCs w:val="24"/>
              </w:rPr>
            </w:pPr>
            <w:r>
              <w:rPr>
                <w:rFonts w:hint="eastAsia" w:ascii="宋体" w:hAnsi="宋体" w:cs="宋体"/>
                <w:szCs w:val="24"/>
              </w:rPr>
              <w:t>法律、行政法规规定的其他条件</w:t>
            </w:r>
          </w:p>
        </w:tc>
        <w:tc>
          <w:tcPr>
            <w:tcW w:w="413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rPr>
            </w:pPr>
            <w:r>
              <w:rPr>
                <w:rFonts w:hint="eastAsia" w:ascii="宋体" w:hAnsi="宋体" w:cs="宋体"/>
                <w:szCs w:val="24"/>
              </w:rPr>
              <w:t>法定代表人直接参加投标的，须提供法定代表人身份证明(法人身份证原件备查）；法定代表人授权代表参加投标的，须提供法定代表人授权委托书(授权代表身份证原件备查）；</w:t>
            </w:r>
          </w:p>
        </w:tc>
        <w:tc>
          <w:tcPr>
            <w:tcW w:w="82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p>
        </w:tc>
        <w:tc>
          <w:tcPr>
            <w:tcW w:w="97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p>
        </w:tc>
      </w:tr>
      <w:tr>
        <w:tblPrEx>
          <w:tblCellMar>
            <w:top w:w="0" w:type="dxa"/>
            <w:left w:w="108" w:type="dxa"/>
            <w:bottom w:w="0" w:type="dxa"/>
            <w:right w:w="108" w:type="dxa"/>
          </w:tblCellMar>
        </w:tblPrEx>
        <w:trPr>
          <w:trHeight w:val="746" w:hRule="atLeast"/>
          <w:jc w:val="center"/>
        </w:trPr>
        <w:tc>
          <w:tcPr>
            <w:tcW w:w="8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Cs w:val="24"/>
                <w:lang w:eastAsia="zh-CN"/>
              </w:rPr>
            </w:pPr>
            <w:r>
              <w:rPr>
                <w:rFonts w:hint="eastAsia" w:ascii="宋体" w:hAnsi="宋体" w:cs="宋体"/>
                <w:szCs w:val="24"/>
                <w:lang w:val="en-US" w:eastAsia="zh-CN"/>
              </w:rPr>
              <w:t>6</w:t>
            </w:r>
          </w:p>
        </w:tc>
        <w:tc>
          <w:tcPr>
            <w:tcW w:w="193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rPr>
            </w:pPr>
            <w:r>
              <w:rPr>
                <w:rFonts w:hint="eastAsia" w:ascii="宋体" w:hAnsi="宋体" w:cs="宋体"/>
                <w:szCs w:val="24"/>
              </w:rPr>
              <w:t>供应商企业关系关联及联合体说明</w:t>
            </w:r>
          </w:p>
        </w:tc>
        <w:tc>
          <w:tcPr>
            <w:tcW w:w="413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shd w:val="clear" w:color="auto" w:fill="FFFFFF"/>
              </w:rPr>
            </w:pPr>
            <w:r>
              <w:rPr>
                <w:rFonts w:hint="eastAsia" w:ascii="宋体" w:hAnsi="宋体" w:cs="宋体"/>
                <w:szCs w:val="24"/>
                <w:shd w:val="clear" w:color="auto" w:fill="FFFFFF"/>
              </w:rPr>
              <w:t>本项目不接受联合体投标，单位负责人为同一人或者存在直接控股、管理关系的不同供应商，不得参加同一合同项下的政府采购活动；</w:t>
            </w:r>
          </w:p>
        </w:tc>
        <w:tc>
          <w:tcPr>
            <w:tcW w:w="827"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p>
        </w:tc>
        <w:tc>
          <w:tcPr>
            <w:tcW w:w="97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szCs w:val="24"/>
              </w:rPr>
            </w:pPr>
          </w:p>
        </w:tc>
      </w:tr>
      <w:tr>
        <w:tblPrEx>
          <w:tblCellMar>
            <w:top w:w="0" w:type="dxa"/>
            <w:left w:w="108" w:type="dxa"/>
            <w:bottom w:w="0" w:type="dxa"/>
            <w:right w:w="108" w:type="dxa"/>
          </w:tblCellMar>
        </w:tblPrEx>
        <w:trPr>
          <w:trHeight w:val="760" w:hRule="atLeast"/>
          <w:jc w:val="center"/>
        </w:trPr>
        <w:tc>
          <w:tcPr>
            <w:tcW w:w="8747"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rPr>
            </w:pPr>
            <w:r>
              <w:rPr>
                <w:rFonts w:hint="eastAsia" w:ascii="宋体" w:hAnsi="宋体" w:cs="宋体"/>
              </w:rPr>
              <w:t>审查小组成员（签字）：</w:t>
            </w:r>
          </w:p>
        </w:tc>
      </w:tr>
      <w:bookmarkEnd w:id="29"/>
    </w:tbl>
    <w:p>
      <w:pPr>
        <w:pageBreakBefore w:val="0"/>
        <w:kinsoku/>
        <w:wordWrap/>
        <w:overflowPunct/>
        <w:topLinePunct w:val="0"/>
        <w:bidi w:val="0"/>
        <w:spacing w:line="360" w:lineRule="auto"/>
        <w:ind w:firstLine="482" w:firstLineChars="200"/>
        <w:rPr>
          <w:rFonts w:hint="eastAsia" w:ascii="宋体" w:hAnsi="宋体" w:eastAsia="宋体" w:cs="宋体"/>
          <w:b/>
          <w:color w:val="auto"/>
          <w:szCs w:val="24"/>
          <w:highlight w:val="none"/>
        </w:rPr>
      </w:pPr>
      <w:r>
        <w:rPr>
          <w:rFonts w:hint="eastAsia" w:ascii="宋体" w:hAnsi="宋体" w:cs="宋体"/>
          <w:b/>
          <w:color w:val="auto"/>
          <w:szCs w:val="24"/>
          <w:highlight w:val="none"/>
          <w:lang w:val="en-US" w:eastAsia="zh-CN"/>
        </w:rPr>
        <w:t>以上</w:t>
      </w:r>
      <w:r>
        <w:rPr>
          <w:rFonts w:hint="eastAsia" w:ascii="宋体" w:hAnsi="宋体" w:eastAsia="宋体" w:cs="宋体"/>
          <w:b/>
          <w:color w:val="auto"/>
          <w:szCs w:val="24"/>
          <w:highlight w:val="none"/>
        </w:rPr>
        <w:t>资格证明文件为供应商的必备文件，开标当天，请</w:t>
      </w:r>
      <w:r>
        <w:rPr>
          <w:rFonts w:hint="eastAsia" w:ascii="宋体" w:hAnsi="宋体" w:cs="宋体"/>
          <w:b/>
          <w:color w:val="auto"/>
          <w:szCs w:val="24"/>
          <w:highlight w:val="none"/>
          <w:lang w:val="en-US" w:eastAsia="zh-CN"/>
        </w:rPr>
        <w:t>提供上</w:t>
      </w:r>
      <w:r>
        <w:rPr>
          <w:rFonts w:hint="eastAsia" w:ascii="宋体" w:hAnsi="宋体" w:eastAsia="宋体" w:cs="宋体"/>
          <w:b/>
          <w:color w:val="auto"/>
          <w:szCs w:val="24"/>
          <w:highlight w:val="none"/>
        </w:rPr>
        <w:t>述资格证明文件</w:t>
      </w:r>
      <w:r>
        <w:rPr>
          <w:rFonts w:hint="eastAsia" w:ascii="宋体" w:hAnsi="宋体" w:cs="宋体"/>
          <w:b/>
          <w:color w:val="auto"/>
          <w:szCs w:val="24"/>
          <w:highlight w:val="none"/>
          <w:lang w:val="en-US" w:eastAsia="zh-CN"/>
        </w:rPr>
        <w:t>复印件加盖公章一套</w:t>
      </w:r>
      <w:r>
        <w:rPr>
          <w:rFonts w:hint="eastAsia" w:ascii="宋体" w:hAnsi="宋体" w:eastAsia="宋体" w:cs="宋体"/>
          <w:b/>
          <w:color w:val="auto"/>
          <w:szCs w:val="24"/>
          <w:highlight w:val="none"/>
        </w:rPr>
        <w:t>单独密封，同</w:t>
      </w:r>
      <w:r>
        <w:rPr>
          <w:rFonts w:hint="eastAsia" w:ascii="宋体" w:hAnsi="宋体" w:cs="宋体"/>
          <w:b/>
          <w:color w:val="auto"/>
          <w:szCs w:val="24"/>
          <w:highlight w:val="none"/>
          <w:lang w:val="en-US" w:eastAsia="zh-CN"/>
        </w:rPr>
        <w:t>投标</w:t>
      </w:r>
      <w:r>
        <w:rPr>
          <w:rFonts w:hint="eastAsia" w:ascii="宋体" w:hAnsi="宋体" w:eastAsia="宋体" w:cs="宋体"/>
          <w:b/>
          <w:color w:val="auto"/>
          <w:szCs w:val="24"/>
          <w:highlight w:val="none"/>
        </w:rPr>
        <w:t>文件一起递交（</w:t>
      </w:r>
      <w:r>
        <w:rPr>
          <w:rFonts w:hint="eastAsia" w:ascii="宋体" w:hAnsi="宋体" w:cs="宋体"/>
          <w:b/>
          <w:color w:val="auto"/>
          <w:szCs w:val="24"/>
          <w:highlight w:val="none"/>
          <w:lang w:val="en-US" w:eastAsia="zh-CN"/>
        </w:rPr>
        <w:t>注：1.资格证明文件复印件须清晰，如模糊辨别不清，</w:t>
      </w:r>
      <w:r>
        <w:rPr>
          <w:rFonts w:hint="eastAsia" w:ascii="宋体" w:hAnsi="宋体"/>
          <w:b/>
          <w:szCs w:val="22"/>
          <w:highlight w:val="none"/>
        </w:rPr>
        <w:t>按无效投标处理</w:t>
      </w:r>
      <w:r>
        <w:rPr>
          <w:rFonts w:hint="eastAsia" w:ascii="宋体" w:hAnsi="宋体" w:cs="宋体"/>
          <w:b/>
          <w:color w:val="auto"/>
          <w:szCs w:val="24"/>
          <w:highlight w:val="none"/>
          <w:lang w:val="en-US" w:eastAsia="zh-CN"/>
        </w:rPr>
        <w:t>；2.</w:t>
      </w:r>
      <w:r>
        <w:rPr>
          <w:rFonts w:hint="eastAsia" w:ascii="宋体" w:hAnsi="宋体"/>
          <w:b/>
          <w:szCs w:val="22"/>
          <w:highlight w:val="none"/>
        </w:rPr>
        <w:t>缺一项或某项达不到要求，按无效投标处理</w:t>
      </w:r>
      <w:r>
        <w:rPr>
          <w:rFonts w:hint="eastAsia" w:ascii="宋体" w:hAnsi="宋体" w:eastAsia="宋体" w:cs="宋体"/>
          <w:b/>
          <w:color w:val="auto"/>
          <w:szCs w:val="24"/>
          <w:highlight w:val="none"/>
        </w:rPr>
        <w:t>）。</w:t>
      </w:r>
    </w:p>
    <w:p>
      <w:pPr>
        <w:spacing w:line="360" w:lineRule="auto"/>
        <w:ind w:firstLine="482" w:firstLineChars="200"/>
        <w:rPr>
          <w:rFonts w:ascii="宋体" w:hAnsi="宋体" w:cs="宋体"/>
          <w:b/>
          <w:szCs w:val="24"/>
        </w:rPr>
      </w:pPr>
      <w:r>
        <w:rPr>
          <w:rFonts w:hint="eastAsia" w:ascii="宋体" w:hAnsi="宋体" w:cs="宋体"/>
          <w:b/>
          <w:lang w:val="zh-CN"/>
        </w:rPr>
        <w:t>19.1.2符合性</w:t>
      </w:r>
      <w:r>
        <w:rPr>
          <w:rFonts w:hint="eastAsia" w:ascii="宋体" w:hAnsi="宋体" w:cs="宋体"/>
          <w:b/>
          <w:szCs w:val="24"/>
        </w:rPr>
        <w:t>审查内容为：</w:t>
      </w:r>
    </w:p>
    <w:tbl>
      <w:tblPr>
        <w:tblStyle w:val="2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2433"/>
        <w:gridCol w:w="3998"/>
        <w:gridCol w:w="950"/>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auto" w:fill="D9D9D9"/>
            <w:vAlign w:val="center"/>
          </w:tcPr>
          <w:p>
            <w:pPr>
              <w:spacing w:line="360" w:lineRule="auto"/>
              <w:jc w:val="center"/>
              <w:rPr>
                <w:rFonts w:ascii="宋体" w:hAnsi="宋体" w:cs="宋体"/>
                <w:b/>
                <w:bCs/>
                <w:kern w:val="0"/>
                <w:szCs w:val="24"/>
              </w:rPr>
            </w:pPr>
            <w:r>
              <w:rPr>
                <w:rFonts w:hint="eastAsia" w:ascii="宋体" w:hAnsi="宋体" w:cs="宋体"/>
                <w:b/>
                <w:bCs/>
                <w:kern w:val="0"/>
                <w:szCs w:val="24"/>
              </w:rPr>
              <w:t>序号</w:t>
            </w:r>
          </w:p>
        </w:tc>
        <w:tc>
          <w:tcPr>
            <w:tcW w:w="1314" w:type="pct"/>
            <w:shd w:val="clear" w:color="auto" w:fill="D9D9D9"/>
            <w:vAlign w:val="center"/>
          </w:tcPr>
          <w:p>
            <w:pPr>
              <w:spacing w:line="360" w:lineRule="auto"/>
              <w:jc w:val="center"/>
              <w:rPr>
                <w:rFonts w:ascii="宋体" w:hAnsi="宋体" w:cs="宋体"/>
                <w:b/>
                <w:bCs/>
                <w:kern w:val="0"/>
                <w:szCs w:val="24"/>
              </w:rPr>
            </w:pPr>
            <w:r>
              <w:rPr>
                <w:rFonts w:hint="eastAsia" w:ascii="宋体" w:hAnsi="宋体" w:cs="宋体"/>
                <w:b/>
                <w:bCs/>
                <w:kern w:val="0"/>
                <w:szCs w:val="24"/>
              </w:rPr>
              <w:t>符合性审查项</w:t>
            </w:r>
          </w:p>
        </w:tc>
        <w:tc>
          <w:tcPr>
            <w:tcW w:w="2159" w:type="pct"/>
            <w:shd w:val="clear" w:color="auto" w:fill="D9D9D9"/>
            <w:vAlign w:val="center"/>
          </w:tcPr>
          <w:p>
            <w:pPr>
              <w:spacing w:line="360" w:lineRule="auto"/>
              <w:jc w:val="center"/>
              <w:rPr>
                <w:rFonts w:ascii="宋体" w:hAnsi="宋体" w:cs="宋体"/>
                <w:b/>
                <w:bCs/>
                <w:kern w:val="0"/>
                <w:szCs w:val="24"/>
              </w:rPr>
            </w:pPr>
            <w:r>
              <w:rPr>
                <w:rFonts w:hint="eastAsia" w:ascii="宋体" w:hAnsi="宋体" w:cs="宋体"/>
                <w:b/>
                <w:bCs/>
                <w:kern w:val="0"/>
                <w:szCs w:val="24"/>
              </w:rPr>
              <w:t>通过条件</w:t>
            </w:r>
          </w:p>
        </w:tc>
        <w:tc>
          <w:tcPr>
            <w:tcW w:w="513" w:type="pct"/>
            <w:shd w:val="clear" w:color="auto" w:fill="D9D9D9"/>
            <w:vAlign w:val="center"/>
          </w:tcPr>
          <w:p>
            <w:pPr>
              <w:spacing w:line="360" w:lineRule="auto"/>
              <w:jc w:val="center"/>
              <w:rPr>
                <w:rFonts w:ascii="宋体" w:hAnsi="宋体" w:cs="宋体"/>
                <w:b/>
                <w:bCs/>
                <w:kern w:val="0"/>
                <w:szCs w:val="24"/>
              </w:rPr>
            </w:pPr>
            <w:r>
              <w:rPr>
                <w:rFonts w:hint="eastAsia" w:ascii="宋体" w:hAnsi="宋体" w:cs="宋体"/>
                <w:b/>
                <w:bCs/>
                <w:kern w:val="0"/>
                <w:szCs w:val="24"/>
              </w:rPr>
              <w:t>结论</w:t>
            </w:r>
          </w:p>
        </w:tc>
        <w:tc>
          <w:tcPr>
            <w:tcW w:w="610" w:type="pct"/>
            <w:shd w:val="clear" w:color="auto" w:fill="D9D9D9"/>
            <w:vAlign w:val="center"/>
          </w:tcPr>
          <w:p>
            <w:pPr>
              <w:spacing w:line="360" w:lineRule="auto"/>
              <w:jc w:val="center"/>
              <w:rPr>
                <w:rFonts w:ascii="宋体" w:hAnsi="宋体" w:cs="宋体"/>
                <w:b/>
                <w:bCs/>
                <w:kern w:val="0"/>
                <w:szCs w:val="24"/>
              </w:rPr>
            </w:pPr>
            <w:r>
              <w:rPr>
                <w:rFonts w:hint="eastAsia" w:ascii="宋体" w:hAnsi="宋体" w:cs="宋体"/>
                <w:b/>
                <w:bCs/>
                <w:kern w:val="0"/>
                <w:szCs w:val="24"/>
              </w:rPr>
              <w:t>未通过原因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402"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1</w:t>
            </w:r>
          </w:p>
        </w:tc>
        <w:tc>
          <w:tcPr>
            <w:tcW w:w="1314"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响应文件语言及有效期</w:t>
            </w:r>
          </w:p>
        </w:tc>
        <w:tc>
          <w:tcPr>
            <w:tcW w:w="2159" w:type="pct"/>
            <w:vAlign w:val="center"/>
          </w:tcPr>
          <w:p>
            <w:pPr>
              <w:spacing w:line="360" w:lineRule="auto"/>
              <w:jc w:val="left"/>
              <w:rPr>
                <w:rFonts w:ascii="宋体" w:hAnsi="宋体" w:cs="宋体"/>
                <w:szCs w:val="24"/>
              </w:rPr>
            </w:pPr>
            <w:r>
              <w:rPr>
                <w:rFonts w:hint="eastAsia" w:ascii="宋体" w:hAnsi="宋体" w:cs="宋体"/>
                <w:szCs w:val="24"/>
              </w:rPr>
              <w:t>响应文件语言及有效期符合磋商文件要求</w:t>
            </w:r>
          </w:p>
        </w:tc>
        <w:tc>
          <w:tcPr>
            <w:tcW w:w="513" w:type="pct"/>
            <w:vAlign w:val="center"/>
          </w:tcPr>
          <w:p>
            <w:pPr>
              <w:spacing w:line="360" w:lineRule="auto"/>
              <w:jc w:val="center"/>
              <w:rPr>
                <w:rFonts w:ascii="宋体" w:hAnsi="宋体" w:cs="宋体"/>
                <w:b/>
                <w:bCs/>
                <w:kern w:val="0"/>
                <w:szCs w:val="24"/>
              </w:rPr>
            </w:pPr>
          </w:p>
        </w:tc>
        <w:tc>
          <w:tcPr>
            <w:tcW w:w="610" w:type="pct"/>
            <w:vAlign w:val="center"/>
          </w:tcPr>
          <w:p>
            <w:pPr>
              <w:spacing w:line="360" w:lineRule="auto"/>
              <w:jc w:val="center"/>
              <w:rPr>
                <w:rFonts w:ascii="宋体" w:hAnsi="宋体" w:cs="宋体"/>
                <w:b/>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02"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2</w:t>
            </w:r>
          </w:p>
        </w:tc>
        <w:tc>
          <w:tcPr>
            <w:tcW w:w="1314"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供应商名称</w:t>
            </w:r>
          </w:p>
        </w:tc>
        <w:tc>
          <w:tcPr>
            <w:tcW w:w="2159" w:type="pct"/>
            <w:vAlign w:val="center"/>
          </w:tcPr>
          <w:p>
            <w:pPr>
              <w:spacing w:line="360" w:lineRule="auto"/>
              <w:jc w:val="left"/>
              <w:rPr>
                <w:rFonts w:ascii="宋体" w:hAnsi="宋体" w:cs="宋体"/>
                <w:bCs/>
                <w:kern w:val="0"/>
                <w:szCs w:val="24"/>
              </w:rPr>
            </w:pPr>
            <w:r>
              <w:rPr>
                <w:rFonts w:hint="eastAsia" w:ascii="宋体" w:hAnsi="宋体" w:cs="宋体"/>
                <w:bCs/>
                <w:kern w:val="0"/>
                <w:szCs w:val="24"/>
              </w:rPr>
              <w:t>供应商名称是否与购买磋商文件的单位名称一致</w:t>
            </w:r>
          </w:p>
        </w:tc>
        <w:tc>
          <w:tcPr>
            <w:tcW w:w="513" w:type="pct"/>
            <w:vAlign w:val="center"/>
          </w:tcPr>
          <w:p>
            <w:pPr>
              <w:spacing w:line="360" w:lineRule="auto"/>
              <w:jc w:val="center"/>
              <w:rPr>
                <w:rFonts w:ascii="宋体" w:hAnsi="宋体" w:cs="宋体"/>
                <w:b/>
                <w:bCs/>
                <w:kern w:val="0"/>
                <w:szCs w:val="24"/>
              </w:rPr>
            </w:pPr>
          </w:p>
        </w:tc>
        <w:tc>
          <w:tcPr>
            <w:tcW w:w="610" w:type="pct"/>
            <w:vAlign w:val="center"/>
          </w:tcPr>
          <w:p>
            <w:pPr>
              <w:spacing w:line="360" w:lineRule="auto"/>
              <w:jc w:val="center"/>
              <w:rPr>
                <w:rFonts w:ascii="宋体" w:hAnsi="宋体" w:cs="宋体"/>
                <w:b/>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3</w:t>
            </w:r>
          </w:p>
        </w:tc>
        <w:tc>
          <w:tcPr>
            <w:tcW w:w="1314"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响应文件签署、盖章</w:t>
            </w:r>
          </w:p>
        </w:tc>
        <w:tc>
          <w:tcPr>
            <w:tcW w:w="2159" w:type="pct"/>
            <w:vAlign w:val="center"/>
          </w:tcPr>
          <w:p>
            <w:pPr>
              <w:spacing w:line="360" w:lineRule="auto"/>
              <w:jc w:val="left"/>
              <w:rPr>
                <w:rFonts w:ascii="宋体" w:hAnsi="宋体" w:cs="宋体"/>
                <w:szCs w:val="24"/>
              </w:rPr>
            </w:pPr>
            <w:r>
              <w:rPr>
                <w:rFonts w:hint="eastAsia" w:ascii="宋体" w:hAnsi="宋体" w:cs="宋体"/>
                <w:szCs w:val="24"/>
              </w:rPr>
              <w:t>符合磋商文件签字、盖章要求</w:t>
            </w:r>
          </w:p>
        </w:tc>
        <w:tc>
          <w:tcPr>
            <w:tcW w:w="513" w:type="pct"/>
            <w:vAlign w:val="center"/>
          </w:tcPr>
          <w:p>
            <w:pPr>
              <w:spacing w:line="360" w:lineRule="auto"/>
              <w:jc w:val="center"/>
              <w:rPr>
                <w:rFonts w:ascii="宋体" w:hAnsi="宋体" w:cs="宋体"/>
                <w:b/>
                <w:bCs/>
                <w:kern w:val="0"/>
                <w:szCs w:val="24"/>
              </w:rPr>
            </w:pPr>
          </w:p>
        </w:tc>
        <w:tc>
          <w:tcPr>
            <w:tcW w:w="610" w:type="pct"/>
            <w:vAlign w:val="center"/>
          </w:tcPr>
          <w:p>
            <w:pPr>
              <w:spacing w:line="360" w:lineRule="auto"/>
              <w:jc w:val="center"/>
              <w:rPr>
                <w:rFonts w:ascii="宋体" w:hAnsi="宋体" w:cs="宋体"/>
                <w:b/>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4</w:t>
            </w:r>
          </w:p>
        </w:tc>
        <w:tc>
          <w:tcPr>
            <w:tcW w:w="1314"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响应文件数量</w:t>
            </w:r>
          </w:p>
        </w:tc>
        <w:tc>
          <w:tcPr>
            <w:tcW w:w="2159" w:type="pct"/>
            <w:vAlign w:val="center"/>
          </w:tcPr>
          <w:p>
            <w:pPr>
              <w:spacing w:line="360" w:lineRule="auto"/>
              <w:jc w:val="left"/>
              <w:rPr>
                <w:rFonts w:ascii="宋体" w:hAnsi="宋体" w:cs="宋体"/>
                <w:szCs w:val="24"/>
              </w:rPr>
            </w:pPr>
            <w:r>
              <w:rPr>
                <w:rFonts w:hint="eastAsia" w:ascii="宋体" w:hAnsi="宋体" w:cs="宋体"/>
                <w:szCs w:val="24"/>
              </w:rPr>
              <w:t>响应文件是否符合磋商文件要求的数量</w:t>
            </w:r>
          </w:p>
        </w:tc>
        <w:tc>
          <w:tcPr>
            <w:tcW w:w="513" w:type="pct"/>
            <w:vAlign w:val="center"/>
          </w:tcPr>
          <w:p>
            <w:pPr>
              <w:spacing w:line="360" w:lineRule="auto"/>
              <w:jc w:val="center"/>
              <w:rPr>
                <w:rFonts w:ascii="宋体" w:hAnsi="宋体" w:cs="宋体"/>
                <w:b/>
                <w:bCs/>
                <w:kern w:val="0"/>
                <w:szCs w:val="24"/>
              </w:rPr>
            </w:pPr>
          </w:p>
        </w:tc>
        <w:tc>
          <w:tcPr>
            <w:tcW w:w="610" w:type="pct"/>
            <w:vAlign w:val="center"/>
          </w:tcPr>
          <w:p>
            <w:pPr>
              <w:spacing w:line="360" w:lineRule="auto"/>
              <w:jc w:val="center"/>
              <w:rPr>
                <w:rFonts w:ascii="宋体" w:hAnsi="宋体" w:cs="宋体"/>
                <w:b/>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5</w:t>
            </w:r>
          </w:p>
        </w:tc>
        <w:tc>
          <w:tcPr>
            <w:tcW w:w="1314" w:type="pct"/>
            <w:vAlign w:val="center"/>
          </w:tcPr>
          <w:p>
            <w:pPr>
              <w:spacing w:line="360" w:lineRule="auto"/>
              <w:jc w:val="center"/>
              <w:rPr>
                <w:rFonts w:ascii="宋体" w:hAnsi="宋体" w:cs="宋体"/>
                <w:bCs/>
                <w:kern w:val="0"/>
                <w:szCs w:val="24"/>
              </w:rPr>
            </w:pPr>
            <w:r>
              <w:rPr>
                <w:rFonts w:hint="eastAsia" w:ascii="宋体" w:hAnsi="宋体" w:cs="宋体"/>
                <w:szCs w:val="24"/>
              </w:rPr>
              <w:t>保证金缴纳凭证</w:t>
            </w:r>
          </w:p>
        </w:tc>
        <w:tc>
          <w:tcPr>
            <w:tcW w:w="2159" w:type="pct"/>
            <w:vAlign w:val="center"/>
          </w:tcPr>
          <w:p>
            <w:pPr>
              <w:spacing w:line="360" w:lineRule="auto"/>
              <w:jc w:val="left"/>
              <w:rPr>
                <w:rFonts w:ascii="宋体" w:hAnsi="宋体" w:cs="宋体"/>
                <w:szCs w:val="24"/>
              </w:rPr>
            </w:pPr>
            <w:r>
              <w:rPr>
                <w:rFonts w:hint="eastAsia" w:ascii="宋体" w:hAnsi="宋体" w:cs="宋体"/>
                <w:szCs w:val="24"/>
              </w:rPr>
              <w:t>提供保证金转账凭证或担保机构出具的保函是否符合磋商问价要求</w:t>
            </w:r>
          </w:p>
        </w:tc>
        <w:tc>
          <w:tcPr>
            <w:tcW w:w="513" w:type="pct"/>
            <w:vAlign w:val="center"/>
          </w:tcPr>
          <w:p>
            <w:pPr>
              <w:spacing w:line="360" w:lineRule="auto"/>
              <w:jc w:val="center"/>
              <w:rPr>
                <w:rFonts w:ascii="宋体" w:hAnsi="宋体" w:cs="宋体"/>
                <w:b/>
                <w:bCs/>
                <w:kern w:val="0"/>
                <w:szCs w:val="24"/>
              </w:rPr>
            </w:pPr>
          </w:p>
        </w:tc>
        <w:tc>
          <w:tcPr>
            <w:tcW w:w="610" w:type="pct"/>
            <w:vAlign w:val="center"/>
          </w:tcPr>
          <w:p>
            <w:pPr>
              <w:spacing w:line="360" w:lineRule="auto"/>
              <w:jc w:val="center"/>
              <w:rPr>
                <w:rFonts w:ascii="宋体" w:hAnsi="宋体" w:cs="宋体"/>
                <w:b/>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402"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6</w:t>
            </w:r>
          </w:p>
        </w:tc>
        <w:tc>
          <w:tcPr>
            <w:tcW w:w="1314"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磋商报价</w:t>
            </w:r>
          </w:p>
        </w:tc>
        <w:tc>
          <w:tcPr>
            <w:tcW w:w="2159" w:type="pct"/>
            <w:vAlign w:val="center"/>
          </w:tcPr>
          <w:p>
            <w:pPr>
              <w:spacing w:line="360" w:lineRule="auto"/>
              <w:rPr>
                <w:rFonts w:ascii="宋体" w:hAnsi="宋体" w:cs="宋体"/>
                <w:szCs w:val="24"/>
              </w:rPr>
            </w:pPr>
            <w:r>
              <w:rPr>
                <w:rFonts w:hint="eastAsia" w:ascii="宋体" w:hAnsi="宋体" w:cs="宋体"/>
                <w:szCs w:val="24"/>
              </w:rPr>
              <w:t>（1）磋商报价符合唯一性要求：</w:t>
            </w:r>
          </w:p>
          <w:p>
            <w:pPr>
              <w:spacing w:line="360" w:lineRule="auto"/>
              <w:rPr>
                <w:rFonts w:ascii="宋体" w:hAnsi="宋体" w:cs="宋体"/>
                <w:szCs w:val="24"/>
              </w:rPr>
            </w:pPr>
            <w:r>
              <w:rPr>
                <w:rFonts w:hint="eastAsia" w:ascii="宋体" w:hAnsi="宋体" w:cs="宋体"/>
                <w:szCs w:val="24"/>
              </w:rPr>
              <w:t>（2）磋商一览表填写符合要求；</w:t>
            </w:r>
          </w:p>
          <w:p>
            <w:pPr>
              <w:spacing w:line="360" w:lineRule="auto"/>
              <w:rPr>
                <w:rFonts w:ascii="宋体" w:hAnsi="宋体" w:cs="宋体"/>
                <w:szCs w:val="24"/>
              </w:rPr>
            </w:pPr>
            <w:r>
              <w:rPr>
                <w:rFonts w:hint="eastAsia" w:ascii="宋体" w:hAnsi="宋体" w:cs="宋体"/>
                <w:szCs w:val="24"/>
              </w:rPr>
              <w:t>（3）计量单位、报价货币均符合磋商文件要求；</w:t>
            </w:r>
          </w:p>
          <w:p>
            <w:pPr>
              <w:spacing w:line="360" w:lineRule="auto"/>
              <w:rPr>
                <w:rFonts w:ascii="宋体" w:hAnsi="宋体" w:cs="宋体"/>
                <w:szCs w:val="24"/>
              </w:rPr>
            </w:pPr>
            <w:r>
              <w:rPr>
                <w:rFonts w:hint="eastAsia" w:ascii="宋体" w:hAnsi="宋体" w:cs="宋体"/>
                <w:szCs w:val="24"/>
              </w:rPr>
              <w:t>（4）未超出采购预算或磋商文件规定的最高限价。</w:t>
            </w:r>
          </w:p>
        </w:tc>
        <w:tc>
          <w:tcPr>
            <w:tcW w:w="513" w:type="pct"/>
            <w:vAlign w:val="center"/>
          </w:tcPr>
          <w:p>
            <w:pPr>
              <w:spacing w:line="360" w:lineRule="auto"/>
              <w:jc w:val="center"/>
              <w:rPr>
                <w:rFonts w:ascii="宋体" w:hAnsi="宋体" w:cs="宋体"/>
                <w:b/>
                <w:bCs/>
                <w:kern w:val="0"/>
                <w:szCs w:val="24"/>
              </w:rPr>
            </w:pPr>
          </w:p>
        </w:tc>
        <w:tc>
          <w:tcPr>
            <w:tcW w:w="610" w:type="pct"/>
            <w:vAlign w:val="center"/>
          </w:tcPr>
          <w:p>
            <w:pPr>
              <w:spacing w:line="360" w:lineRule="auto"/>
              <w:jc w:val="center"/>
              <w:rPr>
                <w:rFonts w:ascii="宋体" w:hAnsi="宋体" w:cs="宋体"/>
                <w:b/>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vAlign w:val="center"/>
          </w:tcPr>
          <w:p>
            <w:pPr>
              <w:spacing w:line="360" w:lineRule="auto"/>
              <w:jc w:val="center"/>
              <w:rPr>
                <w:rFonts w:ascii="宋体" w:hAnsi="宋体" w:cs="宋体"/>
                <w:bCs/>
                <w:kern w:val="0"/>
                <w:szCs w:val="24"/>
              </w:rPr>
            </w:pPr>
            <w:r>
              <w:rPr>
                <w:rFonts w:hint="eastAsia" w:ascii="宋体" w:hAnsi="宋体" w:cs="宋体"/>
                <w:bCs/>
                <w:kern w:val="0"/>
                <w:szCs w:val="24"/>
              </w:rPr>
              <w:t>7</w:t>
            </w:r>
          </w:p>
        </w:tc>
        <w:tc>
          <w:tcPr>
            <w:tcW w:w="1314" w:type="pct"/>
            <w:vAlign w:val="center"/>
          </w:tcPr>
          <w:p>
            <w:pPr>
              <w:spacing w:line="360" w:lineRule="auto"/>
              <w:jc w:val="center"/>
              <w:rPr>
                <w:rFonts w:ascii="宋体" w:hAnsi="宋体" w:cs="宋体"/>
                <w:bCs/>
                <w:kern w:val="0"/>
                <w:szCs w:val="24"/>
              </w:rPr>
            </w:pPr>
            <w:r>
              <w:rPr>
                <w:rFonts w:hint="eastAsia" w:ascii="宋体" w:hAnsi="宋体" w:cs="宋体"/>
                <w:szCs w:val="24"/>
              </w:rPr>
              <w:t>无其他磋商文件或法规明确规定响应无效的事项</w:t>
            </w:r>
          </w:p>
        </w:tc>
        <w:tc>
          <w:tcPr>
            <w:tcW w:w="2159" w:type="pct"/>
            <w:vAlign w:val="center"/>
          </w:tcPr>
          <w:p>
            <w:pPr>
              <w:spacing w:line="360" w:lineRule="auto"/>
              <w:jc w:val="left"/>
              <w:rPr>
                <w:rFonts w:ascii="宋体" w:hAnsi="宋体" w:cs="宋体"/>
                <w:bCs/>
                <w:kern w:val="0"/>
                <w:szCs w:val="24"/>
              </w:rPr>
            </w:pPr>
            <w:r>
              <w:rPr>
                <w:rFonts w:hint="eastAsia" w:ascii="宋体" w:hAnsi="宋体" w:cs="宋体"/>
                <w:szCs w:val="24"/>
              </w:rPr>
              <w:t>没有不符合磋商文件规定的被视为无效响应的其他条款</w:t>
            </w:r>
          </w:p>
        </w:tc>
        <w:tc>
          <w:tcPr>
            <w:tcW w:w="513" w:type="pct"/>
            <w:vAlign w:val="center"/>
          </w:tcPr>
          <w:p>
            <w:pPr>
              <w:spacing w:line="360" w:lineRule="auto"/>
              <w:jc w:val="center"/>
              <w:rPr>
                <w:rFonts w:ascii="宋体" w:hAnsi="宋体" w:cs="宋体"/>
                <w:b/>
                <w:bCs/>
                <w:kern w:val="0"/>
                <w:szCs w:val="24"/>
              </w:rPr>
            </w:pPr>
          </w:p>
        </w:tc>
        <w:tc>
          <w:tcPr>
            <w:tcW w:w="610" w:type="pct"/>
            <w:vAlign w:val="center"/>
          </w:tcPr>
          <w:p>
            <w:pPr>
              <w:spacing w:line="360" w:lineRule="auto"/>
              <w:jc w:val="center"/>
              <w:rPr>
                <w:rFonts w:ascii="宋体" w:hAnsi="宋体" w:cs="宋体"/>
                <w:b/>
                <w:bCs/>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000" w:type="pct"/>
            <w:gridSpan w:val="5"/>
            <w:vAlign w:val="center"/>
          </w:tcPr>
          <w:p>
            <w:pPr>
              <w:spacing w:line="360" w:lineRule="auto"/>
              <w:rPr>
                <w:rFonts w:ascii="宋体" w:hAnsi="宋体" w:cs="宋体"/>
                <w:b/>
                <w:bCs/>
                <w:kern w:val="0"/>
                <w:szCs w:val="24"/>
              </w:rPr>
            </w:pPr>
            <w:r>
              <w:rPr>
                <w:rFonts w:hint="eastAsia" w:ascii="宋体" w:hAnsi="宋体" w:cs="宋体"/>
                <w:b/>
                <w:bCs/>
                <w:kern w:val="0"/>
                <w:szCs w:val="24"/>
              </w:rPr>
              <w:t>磋商小组成员（签字）：</w:t>
            </w:r>
          </w:p>
        </w:tc>
      </w:tr>
    </w:tbl>
    <w:p>
      <w:pPr>
        <w:spacing w:line="360" w:lineRule="auto"/>
        <w:ind w:firstLine="480" w:firstLineChars="200"/>
        <w:rPr>
          <w:rFonts w:ascii="宋体" w:hAnsi="宋体" w:cs="宋体"/>
          <w:szCs w:val="24"/>
        </w:rPr>
      </w:pPr>
      <w:r>
        <w:rPr>
          <w:rFonts w:hint="eastAsia" w:ascii="宋体" w:hAnsi="宋体" w:cs="宋体"/>
          <w:szCs w:val="24"/>
        </w:rPr>
        <w:t>19.1.2.6磋商文件规定的其他要求。</w:t>
      </w:r>
    </w:p>
    <w:p>
      <w:pPr>
        <w:spacing w:line="360" w:lineRule="auto"/>
        <w:ind w:firstLine="480" w:firstLineChars="200"/>
        <w:rPr>
          <w:rFonts w:ascii="宋体" w:hAnsi="宋体" w:cs="宋体"/>
          <w:szCs w:val="24"/>
        </w:rPr>
      </w:pPr>
      <w:r>
        <w:rPr>
          <w:rFonts w:hint="eastAsia" w:ascii="宋体" w:hAnsi="宋体" w:cs="宋体"/>
          <w:szCs w:val="24"/>
        </w:rPr>
        <w:t>19.2 对响应文件含义不明确、同类问题表述不一致或者有明显文字和计算错误的内容，磋商小组可以要求供应商在规定的时间内做出必要的澄清、说明或者纠正。供应商的澄清、说明或者补正应当采用书面形式，有其授权的代表签字，并不得超出磋商响应文件的范围或者改变响应文件的实质性内容。</w:t>
      </w:r>
    </w:p>
    <w:p>
      <w:pPr>
        <w:spacing w:line="360" w:lineRule="auto"/>
        <w:ind w:firstLine="480" w:firstLineChars="200"/>
        <w:rPr>
          <w:rFonts w:ascii="宋体" w:hAnsi="宋体" w:cs="宋体"/>
          <w:szCs w:val="24"/>
        </w:rPr>
      </w:pPr>
      <w:r>
        <w:rPr>
          <w:rFonts w:hint="eastAsia" w:ascii="宋体" w:hAnsi="宋体" w:cs="宋体"/>
          <w:szCs w:val="24"/>
        </w:rPr>
        <w:t>19.2.1 澄清文件将作为响应文件的一部分。</w:t>
      </w:r>
    </w:p>
    <w:p>
      <w:pPr>
        <w:spacing w:line="360" w:lineRule="auto"/>
        <w:ind w:firstLine="480" w:firstLineChars="200"/>
        <w:rPr>
          <w:rFonts w:ascii="宋体" w:hAnsi="宋体" w:cs="宋体"/>
          <w:szCs w:val="24"/>
        </w:rPr>
      </w:pPr>
      <w:r>
        <w:rPr>
          <w:rFonts w:hint="eastAsia" w:ascii="宋体" w:hAnsi="宋体" w:cs="宋体"/>
          <w:szCs w:val="24"/>
        </w:rPr>
        <w:t>19.2.2 算术错误将按以下方法更正：</w:t>
      </w:r>
    </w:p>
    <w:p>
      <w:pPr>
        <w:spacing w:line="360" w:lineRule="auto"/>
        <w:ind w:firstLine="480" w:firstLineChars="200"/>
        <w:rPr>
          <w:rFonts w:ascii="宋体" w:hAnsi="宋体" w:cs="宋体"/>
          <w:szCs w:val="24"/>
        </w:rPr>
      </w:pPr>
      <w:r>
        <w:rPr>
          <w:rFonts w:hint="eastAsia" w:ascii="宋体" w:hAnsi="宋体" w:cs="宋体"/>
          <w:szCs w:val="24"/>
        </w:rPr>
        <w:t>19.2.2.1响应文件的大写金额和小写金额不一致的，以大写金额为准；</w:t>
      </w:r>
    </w:p>
    <w:p>
      <w:pPr>
        <w:spacing w:line="360" w:lineRule="auto"/>
        <w:ind w:firstLine="480" w:firstLineChars="200"/>
        <w:rPr>
          <w:rFonts w:ascii="宋体" w:hAnsi="宋体" w:cs="宋体"/>
          <w:szCs w:val="24"/>
        </w:rPr>
      </w:pPr>
      <w:r>
        <w:rPr>
          <w:rFonts w:hint="eastAsia" w:ascii="宋体" w:hAnsi="宋体" w:cs="宋体"/>
          <w:szCs w:val="24"/>
        </w:rPr>
        <w:t>19.2.2.2 总价金额与按单价汇总金额不一致的，以单价金额计算结果为准；</w:t>
      </w:r>
    </w:p>
    <w:p>
      <w:pPr>
        <w:spacing w:line="360" w:lineRule="auto"/>
        <w:ind w:firstLine="480" w:firstLineChars="200"/>
        <w:rPr>
          <w:rFonts w:ascii="宋体" w:hAnsi="宋体" w:cs="宋体"/>
          <w:szCs w:val="24"/>
        </w:rPr>
      </w:pPr>
      <w:r>
        <w:rPr>
          <w:rFonts w:hint="eastAsia" w:ascii="宋体" w:hAnsi="宋体" w:cs="宋体"/>
          <w:szCs w:val="24"/>
        </w:rPr>
        <w:t>19.2.2.3 单价金额小数点有明显错位的，应当以总价为准，并修改单价；</w:t>
      </w:r>
    </w:p>
    <w:p>
      <w:pPr>
        <w:spacing w:line="360" w:lineRule="auto"/>
        <w:ind w:firstLine="480" w:firstLineChars="200"/>
        <w:rPr>
          <w:rFonts w:ascii="宋体" w:hAnsi="宋体" w:cs="宋体"/>
          <w:szCs w:val="24"/>
        </w:rPr>
      </w:pPr>
      <w:r>
        <w:rPr>
          <w:rFonts w:hint="eastAsia" w:ascii="宋体" w:hAnsi="宋体" w:cs="宋体"/>
          <w:szCs w:val="24"/>
        </w:rPr>
        <w:t>19.2.2.4 对不同文字文本磋商响应文件的解释发生异议的，以中文文本为准；</w:t>
      </w:r>
    </w:p>
    <w:p>
      <w:pPr>
        <w:spacing w:line="360" w:lineRule="auto"/>
        <w:ind w:firstLine="480" w:firstLineChars="200"/>
        <w:rPr>
          <w:rFonts w:ascii="宋体" w:hAnsi="宋体" w:cs="宋体"/>
          <w:szCs w:val="24"/>
        </w:rPr>
      </w:pPr>
      <w:r>
        <w:rPr>
          <w:rFonts w:hint="eastAsia" w:ascii="宋体" w:hAnsi="宋体" w:cs="宋体"/>
          <w:szCs w:val="24"/>
        </w:rPr>
        <w:t>19.2.2.5 对于供应商不接受对其错误的更改，其磋商属于无效磋商情形。</w:t>
      </w:r>
    </w:p>
    <w:p>
      <w:pPr>
        <w:spacing w:line="360" w:lineRule="auto"/>
        <w:rPr>
          <w:rFonts w:ascii="宋体" w:hAnsi="宋体" w:cs="宋体"/>
          <w:szCs w:val="24"/>
        </w:rPr>
      </w:pPr>
      <w:r>
        <w:rPr>
          <w:rFonts w:hint="eastAsia" w:ascii="宋体" w:hAnsi="宋体" w:cs="宋体"/>
          <w:szCs w:val="24"/>
        </w:rPr>
        <w:t>20、磋商</w:t>
      </w:r>
    </w:p>
    <w:p>
      <w:pPr>
        <w:spacing w:line="360" w:lineRule="auto"/>
        <w:ind w:firstLine="480" w:firstLineChars="200"/>
        <w:rPr>
          <w:rFonts w:ascii="宋体" w:hAnsi="宋体" w:cs="宋体"/>
          <w:szCs w:val="24"/>
        </w:rPr>
      </w:pPr>
      <w:r>
        <w:rPr>
          <w:rFonts w:hint="eastAsia" w:ascii="宋体" w:hAnsi="宋体" w:cs="宋体"/>
          <w:szCs w:val="24"/>
        </w:rPr>
        <w:t>20.1磋商小组根据各磋商供应商响应文件响应情况决定是否与各供应商进行磋商，磋商方式为磋商小组所有成员集中与单一供应商分别进行磋商，并给与参加磋商的供应商平等的磋商机会。</w:t>
      </w:r>
    </w:p>
    <w:p>
      <w:pPr>
        <w:spacing w:line="360" w:lineRule="auto"/>
        <w:ind w:firstLine="480" w:firstLineChars="200"/>
        <w:rPr>
          <w:rFonts w:ascii="宋体" w:hAnsi="宋体" w:cs="宋体"/>
          <w:szCs w:val="24"/>
        </w:rPr>
      </w:pPr>
      <w:r>
        <w:rPr>
          <w:rFonts w:hint="eastAsia" w:ascii="宋体" w:hAnsi="宋体" w:cs="宋体"/>
          <w:szCs w:val="24"/>
        </w:rPr>
        <w:t>20.2经磋商小组评审，质量和服务均能满足磋商文件实质性响应要求的供应商才具有最后报价的机会。供应商应按磋商小组规定的时间进行最后报价，并由法定代表人或其授权人签字，最后报价现场不公布。该磋商报价为不可更改价格，作为磋商小组推荐成交候选人的依据。</w:t>
      </w:r>
    </w:p>
    <w:p>
      <w:pPr>
        <w:spacing w:line="360" w:lineRule="auto"/>
        <w:ind w:firstLine="480" w:firstLineChars="200"/>
        <w:rPr>
          <w:rFonts w:ascii="宋体" w:hAnsi="宋体" w:cs="宋体"/>
          <w:szCs w:val="24"/>
        </w:rPr>
      </w:pPr>
      <w:r>
        <w:rPr>
          <w:rFonts w:hint="eastAsia" w:ascii="宋体" w:hAnsi="宋体" w:cs="宋体"/>
          <w:szCs w:val="24"/>
        </w:rPr>
        <w:t>20.3磋商小组认为供应商的最后报价明显不合理或者低于成本，有可能影响质量和不能诚信履约的，要求其在磋商小组规定的期限内提供书面文件予以解释说明，并提交相关证明材料；如果其不能在磋商小组规定时间内够提供相关材料证明其报价的合理性，其最后报价为无效报价。</w:t>
      </w:r>
    </w:p>
    <w:p>
      <w:pPr>
        <w:spacing w:line="360" w:lineRule="auto"/>
        <w:rPr>
          <w:rFonts w:ascii="宋体" w:hAnsi="宋体" w:cs="宋体"/>
          <w:szCs w:val="24"/>
        </w:rPr>
      </w:pPr>
      <w:r>
        <w:rPr>
          <w:rFonts w:hint="eastAsia" w:ascii="宋体" w:hAnsi="宋体" w:cs="宋体"/>
          <w:szCs w:val="24"/>
        </w:rPr>
        <w:t>21、评审方法</w:t>
      </w:r>
      <w:bookmarkStart w:id="184" w:name="_GoBack"/>
      <w:bookmarkEnd w:id="184"/>
    </w:p>
    <w:p>
      <w:pPr>
        <w:spacing w:line="360" w:lineRule="auto"/>
        <w:ind w:firstLine="480" w:firstLineChars="200"/>
        <w:jc w:val="left"/>
        <w:rPr>
          <w:rFonts w:ascii="宋体" w:hAnsi="宋体" w:cs="宋体"/>
          <w:szCs w:val="24"/>
        </w:rPr>
      </w:pPr>
      <w:r>
        <w:rPr>
          <w:rFonts w:hint="eastAsia" w:ascii="宋体" w:hAnsi="宋体" w:cs="宋体"/>
          <w:szCs w:val="24"/>
        </w:rPr>
        <w:t>21.1评审方法：磋商小组从质量和服务均能满足磋商文件实质性响应要求的供应商中，按照最后得分由高到低的顺序提出成交候选人。</w:t>
      </w:r>
    </w:p>
    <w:p>
      <w:pPr>
        <w:spacing w:line="360" w:lineRule="auto"/>
        <w:jc w:val="center"/>
        <w:rPr>
          <w:rFonts w:ascii="宋体" w:hAnsi="宋体" w:cs="宋体"/>
          <w:b/>
          <w:snapToGrid w:val="0"/>
          <w:szCs w:val="24"/>
        </w:rPr>
      </w:pPr>
      <w:r>
        <w:rPr>
          <w:rFonts w:hint="eastAsia" w:ascii="宋体" w:hAnsi="宋体" w:cs="宋体"/>
          <w:b/>
          <w:snapToGrid w:val="0"/>
          <w:szCs w:val="24"/>
        </w:rPr>
        <w:t>（七）评分内容和评分方式</w:t>
      </w:r>
    </w:p>
    <w:p>
      <w:pPr>
        <w:spacing w:line="360" w:lineRule="auto"/>
        <w:ind w:firstLine="240" w:firstLineChars="100"/>
        <w:rPr>
          <w:rFonts w:ascii="宋体" w:hAnsi="宋体" w:cs="宋体"/>
          <w:szCs w:val="24"/>
        </w:rPr>
      </w:pPr>
      <w:r>
        <w:rPr>
          <w:rFonts w:hint="eastAsia" w:ascii="宋体" w:hAnsi="宋体" w:cs="宋体"/>
          <w:szCs w:val="24"/>
        </w:rPr>
        <w:t>总分100分，每个供应商每项评分因素得分汇总即为最后得分，各项评分因素具体内容及打分标准如下：</w:t>
      </w:r>
    </w:p>
    <w:p>
      <w:pPr>
        <w:spacing w:line="360" w:lineRule="auto"/>
        <w:ind w:firstLine="482" w:firstLineChars="200"/>
        <w:jc w:val="center"/>
        <w:rPr>
          <w:rFonts w:ascii="宋体" w:hAnsi="宋体" w:cs="宋体"/>
          <w:b/>
          <w:bCs/>
          <w:szCs w:val="24"/>
        </w:rPr>
      </w:pPr>
      <w:bookmarkStart w:id="30" w:name="_Hlk48766848"/>
      <w:r>
        <w:rPr>
          <w:rFonts w:hint="eastAsia" w:ascii="宋体" w:hAnsi="宋体" w:cs="宋体"/>
          <w:b/>
          <w:bCs/>
          <w:szCs w:val="24"/>
        </w:rPr>
        <w:t>《评审要素和分值分解表》</w:t>
      </w:r>
    </w:p>
    <w:tbl>
      <w:tblPr>
        <w:tblStyle w:val="20"/>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795"/>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3" w:hRule="atLeast"/>
        </w:trPr>
        <w:tc>
          <w:tcPr>
            <w:tcW w:w="1191" w:type="dxa"/>
            <w:vAlign w:val="center"/>
          </w:tcPr>
          <w:p>
            <w:pPr>
              <w:spacing w:line="360" w:lineRule="auto"/>
              <w:ind w:right="-108" w:rightChars="-45"/>
              <w:jc w:val="center"/>
              <w:rPr>
                <w:rFonts w:ascii="宋体" w:hAnsi="宋体" w:cs="宋体"/>
                <w:szCs w:val="24"/>
              </w:rPr>
            </w:pPr>
            <w:r>
              <w:rPr>
                <w:rFonts w:hint="eastAsia" w:ascii="宋体" w:hAnsi="宋体" w:cs="宋体"/>
                <w:szCs w:val="24"/>
              </w:rPr>
              <w:t>磋商报价</w:t>
            </w:r>
          </w:p>
        </w:tc>
        <w:tc>
          <w:tcPr>
            <w:tcW w:w="795" w:type="dxa"/>
            <w:vAlign w:val="center"/>
          </w:tcPr>
          <w:p>
            <w:pPr>
              <w:spacing w:line="360" w:lineRule="auto"/>
              <w:ind w:left="-134" w:leftChars="-56" w:right="-108" w:rightChars="-45"/>
              <w:jc w:val="center"/>
              <w:rPr>
                <w:rFonts w:ascii="宋体" w:hAnsi="宋体" w:cs="宋体"/>
                <w:szCs w:val="24"/>
              </w:rPr>
            </w:pPr>
            <w:r>
              <w:rPr>
                <w:rFonts w:hint="eastAsia" w:ascii="宋体" w:hAnsi="宋体" w:cs="宋体"/>
                <w:szCs w:val="24"/>
              </w:rPr>
              <w:t>1</w:t>
            </w:r>
            <w:r>
              <w:rPr>
                <w:rFonts w:hint="eastAsia" w:ascii="宋体" w:hAnsi="宋体" w:cs="宋体"/>
                <w:szCs w:val="24"/>
                <w:lang w:val="en-US" w:eastAsia="zh-CN"/>
              </w:rPr>
              <w:t>0</w:t>
            </w:r>
            <w:r>
              <w:rPr>
                <w:rFonts w:hint="eastAsia" w:ascii="宋体" w:hAnsi="宋体" w:cs="宋体"/>
                <w:szCs w:val="24"/>
              </w:rPr>
              <w:t>分</w:t>
            </w:r>
          </w:p>
        </w:tc>
        <w:tc>
          <w:tcPr>
            <w:tcW w:w="7654" w:type="dxa"/>
            <w:vAlign w:val="center"/>
          </w:tcPr>
          <w:p>
            <w:pPr>
              <w:widowControl/>
              <w:spacing w:line="360" w:lineRule="auto"/>
              <w:rPr>
                <w:rFonts w:ascii="宋体" w:hAnsi="宋体" w:cs="宋体"/>
                <w:kern w:val="0"/>
                <w:szCs w:val="24"/>
              </w:rPr>
            </w:pPr>
            <w:r>
              <w:rPr>
                <w:rFonts w:hint="eastAsia" w:ascii="宋体" w:hAnsi="宋体" w:cs="宋体"/>
                <w:kern w:val="0"/>
                <w:szCs w:val="24"/>
              </w:rPr>
              <w:t>价格分采用低价优先法计算，即满足竞争性磋商文件要求且报价最低的磋商报价为评标基准价，其价格分为满分。其他供应商的价格分统一按照下列公式计算：</w:t>
            </w:r>
          </w:p>
          <w:p>
            <w:pPr>
              <w:widowControl/>
              <w:spacing w:line="360" w:lineRule="auto"/>
              <w:rPr>
                <w:rFonts w:hint="eastAsia" w:ascii="宋体" w:hAnsi="宋体" w:eastAsia="宋体" w:cs="宋体"/>
                <w:kern w:val="0"/>
                <w:szCs w:val="24"/>
                <w:lang w:eastAsia="zh-CN"/>
              </w:rPr>
            </w:pPr>
            <w:r>
              <w:rPr>
                <w:rFonts w:hint="eastAsia" w:ascii="宋体" w:hAnsi="宋体" w:cs="宋体"/>
                <w:kern w:val="0"/>
                <w:szCs w:val="24"/>
              </w:rPr>
              <w:t>磋商报价得分=（评标基准价/磋商报价）×1</w:t>
            </w:r>
            <w:r>
              <w:rPr>
                <w:rFonts w:hint="eastAsia" w:ascii="宋体" w:hAnsi="宋体" w:cs="宋体"/>
                <w:kern w:val="0"/>
                <w:szCs w:val="24"/>
                <w:lang w:val="en-US" w:eastAsia="zh-CN"/>
              </w:rPr>
              <w:t>0</w:t>
            </w:r>
          </w:p>
          <w:p>
            <w:pPr>
              <w:widowControl/>
              <w:spacing w:line="360" w:lineRule="auto"/>
              <w:jc w:val="left"/>
              <w:rPr>
                <w:rFonts w:ascii="宋体" w:hAnsi="宋体" w:cs="宋体"/>
                <w:szCs w:val="24"/>
              </w:rPr>
            </w:pPr>
            <w:r>
              <w:rPr>
                <w:rFonts w:hint="eastAsia" w:ascii="宋体" w:hAnsi="宋体" w:cs="宋体"/>
                <w:kern w:val="0"/>
                <w:szCs w:val="24"/>
              </w:rPr>
              <w:t>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dxa"/>
            <w:vAlign w:val="center"/>
          </w:tcPr>
          <w:p>
            <w:pPr>
              <w:widowControl/>
              <w:spacing w:line="360" w:lineRule="auto"/>
              <w:jc w:val="center"/>
              <w:rPr>
                <w:rFonts w:ascii="宋体" w:hAnsi="宋体" w:cs="宋体"/>
                <w:szCs w:val="24"/>
              </w:rPr>
            </w:pPr>
            <w:r>
              <w:rPr>
                <w:rFonts w:hint="eastAsia" w:ascii="宋体" w:hAnsi="宋体" w:cs="宋体"/>
                <w:szCs w:val="24"/>
                <w:lang w:val="en-US" w:eastAsia="zh-CN"/>
              </w:rPr>
              <w:t>租赁</w:t>
            </w:r>
            <w:r>
              <w:rPr>
                <w:rFonts w:hint="eastAsia" w:ascii="宋体" w:hAnsi="宋体" w:cs="宋体"/>
                <w:szCs w:val="24"/>
              </w:rPr>
              <w:t>服务方案</w:t>
            </w:r>
          </w:p>
        </w:tc>
        <w:tc>
          <w:tcPr>
            <w:tcW w:w="795" w:type="dxa"/>
            <w:vAlign w:val="center"/>
          </w:tcPr>
          <w:p>
            <w:pPr>
              <w:widowControl/>
              <w:spacing w:line="360" w:lineRule="auto"/>
              <w:jc w:val="left"/>
              <w:rPr>
                <w:rFonts w:ascii="宋体" w:hAnsi="宋体" w:cs="宋体"/>
                <w:kern w:val="0"/>
                <w:szCs w:val="24"/>
              </w:rPr>
            </w:pPr>
            <w:r>
              <w:rPr>
                <w:rFonts w:hint="eastAsia" w:ascii="宋体" w:hAnsi="宋体" w:cs="宋体"/>
                <w:kern w:val="0"/>
                <w:szCs w:val="24"/>
                <w:lang w:val="en-US" w:eastAsia="zh-CN"/>
              </w:rPr>
              <w:t>27</w:t>
            </w:r>
            <w:r>
              <w:rPr>
                <w:rFonts w:hint="eastAsia" w:ascii="宋体" w:hAnsi="宋体" w:cs="宋体"/>
                <w:kern w:val="0"/>
                <w:szCs w:val="24"/>
              </w:rPr>
              <w:t>分</w:t>
            </w:r>
          </w:p>
        </w:tc>
        <w:tc>
          <w:tcPr>
            <w:tcW w:w="7654" w:type="dxa"/>
            <w:vAlign w:val="center"/>
          </w:tcPr>
          <w:p>
            <w:pPr>
              <w:widowControl/>
              <w:numPr>
                <w:ilvl w:val="0"/>
                <w:numId w:val="3"/>
              </w:numPr>
              <w:spacing w:line="360" w:lineRule="auto"/>
              <w:jc w:val="left"/>
            </w:pPr>
            <w:r>
              <w:rPr>
                <w:rFonts w:hint="eastAsia"/>
              </w:rPr>
              <w:t>对</w:t>
            </w:r>
            <w:r>
              <w:rPr>
                <w:rFonts w:hint="eastAsia"/>
                <w:lang w:val="en-US" w:eastAsia="zh-CN"/>
              </w:rPr>
              <w:t>租赁</w:t>
            </w:r>
            <w:r>
              <w:rPr>
                <w:rFonts w:hint="eastAsia"/>
              </w:rPr>
              <w:t>设备的熟悉程度，提供合理、完善、详细、具体、明确的</w:t>
            </w:r>
            <w:r>
              <w:rPr>
                <w:rFonts w:hint="eastAsia"/>
                <w:lang w:val="en-US" w:eastAsia="zh-CN"/>
              </w:rPr>
              <w:t>技术支持及维护</w:t>
            </w:r>
            <w:r>
              <w:rPr>
                <w:rFonts w:hint="eastAsia"/>
              </w:rPr>
              <w:t>方案（0-</w:t>
            </w:r>
            <w:r>
              <w:rPr>
                <w:rFonts w:hint="eastAsia"/>
                <w:lang w:val="en-US" w:eastAsia="zh-CN"/>
              </w:rPr>
              <w:t>15</w:t>
            </w:r>
            <w:r>
              <w:rPr>
                <w:rFonts w:hint="eastAsia"/>
              </w:rPr>
              <w:t>分）。</w:t>
            </w:r>
          </w:p>
          <w:p>
            <w:pPr>
              <w:spacing w:line="360" w:lineRule="auto"/>
              <w:jc w:val="left"/>
            </w:pPr>
            <w:r>
              <w:rPr>
                <w:rFonts w:hint="eastAsia"/>
              </w:rPr>
              <w:t>方案合理、完善、详细、具体、明确的、切实可行，得</w:t>
            </w:r>
            <w:r>
              <w:rPr>
                <w:rFonts w:hint="eastAsia"/>
                <w:lang w:val="en-US" w:eastAsia="zh-CN"/>
              </w:rPr>
              <w:t>8</w:t>
            </w:r>
            <w:r>
              <w:rPr>
                <w:rFonts w:hint="eastAsia"/>
              </w:rPr>
              <w:t>.01-</w:t>
            </w:r>
            <w:r>
              <w:rPr>
                <w:rFonts w:hint="eastAsia"/>
                <w:lang w:val="en-US" w:eastAsia="zh-CN"/>
              </w:rPr>
              <w:t>15</w:t>
            </w:r>
            <w:r>
              <w:rPr>
                <w:rFonts w:hint="eastAsia"/>
              </w:rPr>
              <w:t>分；</w:t>
            </w:r>
          </w:p>
          <w:p>
            <w:pPr>
              <w:spacing w:line="360" w:lineRule="auto"/>
              <w:jc w:val="left"/>
            </w:pPr>
            <w:r>
              <w:rPr>
                <w:rFonts w:hint="eastAsia"/>
              </w:rPr>
              <w:t>方案不够具体、全面，相应方案基本合理，得</w:t>
            </w:r>
            <w:r>
              <w:rPr>
                <w:rFonts w:hint="eastAsia"/>
                <w:lang w:val="en-US" w:eastAsia="zh-CN"/>
              </w:rPr>
              <w:t>5</w:t>
            </w:r>
            <w:r>
              <w:rPr>
                <w:rFonts w:hint="eastAsia"/>
              </w:rPr>
              <w:t>.01-</w:t>
            </w:r>
            <w:r>
              <w:rPr>
                <w:rFonts w:hint="eastAsia"/>
                <w:lang w:val="en-US" w:eastAsia="zh-CN"/>
              </w:rPr>
              <w:t>8</w:t>
            </w:r>
            <w:r>
              <w:rPr>
                <w:rFonts w:hint="eastAsia"/>
              </w:rPr>
              <w:t>分；</w:t>
            </w:r>
          </w:p>
          <w:p>
            <w:pPr>
              <w:spacing w:line="360" w:lineRule="auto"/>
              <w:jc w:val="left"/>
            </w:pPr>
            <w:r>
              <w:rPr>
                <w:rFonts w:hint="eastAsia"/>
              </w:rPr>
              <w:t>方案不够清晰，相应方案</w:t>
            </w:r>
            <w:r>
              <w:rPr>
                <w:rFonts w:hint="eastAsia"/>
                <w:lang w:val="en-US" w:eastAsia="zh-CN"/>
              </w:rPr>
              <w:t>差</w:t>
            </w:r>
            <w:r>
              <w:rPr>
                <w:rFonts w:hint="eastAsia"/>
              </w:rPr>
              <w:t>，得0-</w:t>
            </w:r>
            <w:r>
              <w:rPr>
                <w:rFonts w:hint="eastAsia"/>
                <w:lang w:val="en-US" w:eastAsia="zh-CN"/>
              </w:rPr>
              <w:t>5</w:t>
            </w:r>
            <w:r>
              <w:rPr>
                <w:rFonts w:hint="eastAsia"/>
              </w:rPr>
              <w:t xml:space="preserve">分。 </w:t>
            </w:r>
          </w:p>
          <w:p>
            <w:pPr>
              <w:widowControl/>
              <w:numPr>
                <w:ilvl w:val="0"/>
                <w:numId w:val="3"/>
              </w:numPr>
              <w:spacing w:line="360" w:lineRule="auto"/>
              <w:jc w:val="left"/>
            </w:pPr>
            <w:r>
              <w:rPr>
                <w:rFonts w:hint="eastAsia"/>
              </w:rPr>
              <w:t>供应商针对本次采购任务拟投入本项目的人员配置及责任制度，根据响应情况计（0-</w:t>
            </w:r>
            <w:r>
              <w:rPr>
                <w:rFonts w:hint="eastAsia"/>
                <w:lang w:val="en-US" w:eastAsia="zh-CN"/>
              </w:rPr>
              <w:t>12</w:t>
            </w:r>
            <w:r>
              <w:rPr>
                <w:rFonts w:hint="eastAsia"/>
              </w:rPr>
              <w:t>分）。</w:t>
            </w:r>
          </w:p>
          <w:p>
            <w:pPr>
              <w:widowControl/>
              <w:spacing w:line="360" w:lineRule="auto"/>
              <w:jc w:val="left"/>
            </w:pPr>
            <w:r>
              <w:rPr>
                <w:rFonts w:hint="eastAsia"/>
              </w:rPr>
              <w:t>人员配备齐全、责任制度清晰、职责划分明确，得</w:t>
            </w:r>
            <w:r>
              <w:rPr>
                <w:rFonts w:hint="eastAsia"/>
                <w:lang w:val="en-US" w:eastAsia="zh-CN"/>
              </w:rPr>
              <w:t>8</w:t>
            </w:r>
            <w:r>
              <w:rPr>
                <w:rFonts w:hint="eastAsia"/>
              </w:rPr>
              <w:t>.01-</w:t>
            </w:r>
            <w:r>
              <w:rPr>
                <w:rFonts w:hint="eastAsia"/>
                <w:lang w:val="en-US" w:eastAsia="zh-CN"/>
              </w:rPr>
              <w:t>12</w:t>
            </w:r>
            <w:r>
              <w:rPr>
                <w:rFonts w:hint="eastAsia"/>
              </w:rPr>
              <w:t>分；</w:t>
            </w:r>
          </w:p>
          <w:p>
            <w:pPr>
              <w:widowControl/>
              <w:spacing w:line="360" w:lineRule="auto"/>
              <w:jc w:val="left"/>
            </w:pPr>
            <w:r>
              <w:rPr>
                <w:rFonts w:hint="eastAsia"/>
              </w:rPr>
              <w:t>人员配备较齐全、责任制度较清晰、职责划分较为明确，得4.01-</w:t>
            </w:r>
            <w:r>
              <w:rPr>
                <w:rFonts w:hint="eastAsia"/>
                <w:lang w:val="en-US" w:eastAsia="zh-CN"/>
              </w:rPr>
              <w:t>8</w:t>
            </w:r>
            <w:r>
              <w:rPr>
                <w:rFonts w:hint="eastAsia"/>
              </w:rPr>
              <w:t>分；</w:t>
            </w:r>
          </w:p>
          <w:p>
            <w:pPr>
              <w:widowControl/>
              <w:spacing w:line="360" w:lineRule="auto"/>
              <w:jc w:val="left"/>
            </w:pPr>
            <w:r>
              <w:rPr>
                <w:rFonts w:hint="eastAsia"/>
              </w:rPr>
              <w:t>人员配备不够齐全、职责划分不够明确，得0-4分。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dxa"/>
            <w:vAlign w:val="center"/>
          </w:tcPr>
          <w:p>
            <w:pPr>
              <w:spacing w:line="360" w:lineRule="auto"/>
              <w:ind w:right="-108" w:rightChars="-45"/>
              <w:jc w:val="center"/>
              <w:rPr>
                <w:rFonts w:ascii="宋体" w:hAnsi="宋体" w:cs="宋体"/>
                <w:szCs w:val="24"/>
              </w:rPr>
            </w:pPr>
            <w:r>
              <w:rPr>
                <w:rFonts w:hint="eastAsia" w:ascii="宋体" w:hAnsi="宋体" w:cs="宋体"/>
                <w:szCs w:val="24"/>
              </w:rPr>
              <w:t>质量保证</w:t>
            </w:r>
          </w:p>
        </w:tc>
        <w:tc>
          <w:tcPr>
            <w:tcW w:w="795" w:type="dxa"/>
            <w:vAlign w:val="center"/>
          </w:tcPr>
          <w:p>
            <w:pPr>
              <w:widowControl/>
              <w:spacing w:line="360" w:lineRule="auto"/>
              <w:jc w:val="left"/>
              <w:rPr>
                <w:rFonts w:ascii="宋体" w:hAnsi="宋体" w:cs="宋体"/>
                <w:kern w:val="0"/>
                <w:szCs w:val="24"/>
              </w:rPr>
            </w:pPr>
            <w:r>
              <w:rPr>
                <w:rFonts w:hint="eastAsia" w:ascii="宋体" w:hAnsi="宋体" w:cs="宋体"/>
                <w:kern w:val="0"/>
                <w:szCs w:val="24"/>
                <w:lang w:val="en-US" w:eastAsia="zh-CN"/>
              </w:rPr>
              <w:t>15</w:t>
            </w:r>
            <w:r>
              <w:rPr>
                <w:rFonts w:hint="eastAsia" w:ascii="宋体" w:hAnsi="宋体" w:cs="宋体"/>
                <w:kern w:val="0"/>
                <w:szCs w:val="24"/>
              </w:rPr>
              <w:t>分</w:t>
            </w:r>
          </w:p>
        </w:tc>
        <w:tc>
          <w:tcPr>
            <w:tcW w:w="7654" w:type="dxa"/>
            <w:vAlign w:val="center"/>
          </w:tcPr>
          <w:p>
            <w:pPr>
              <w:widowControl/>
              <w:numPr>
                <w:ilvl w:val="0"/>
                <w:numId w:val="0"/>
              </w:numPr>
              <w:spacing w:line="360" w:lineRule="auto"/>
              <w:jc w:val="left"/>
            </w:pPr>
            <w:r>
              <w:rPr>
                <w:rFonts w:hint="eastAsia" w:hAnsi="宋体" w:cs="宋体"/>
                <w:lang w:val="en-US" w:eastAsia="zh-CN"/>
              </w:rPr>
              <w:t>1.所提供移动护士站及</w:t>
            </w:r>
            <w:r>
              <w:rPr>
                <w:rFonts w:hint="eastAsia" w:ascii="宋体" w:hAnsi="宋体" w:eastAsia="宋体" w:cs="宋体"/>
                <w:sz w:val="24"/>
                <w:szCs w:val="24"/>
              </w:rPr>
              <w:t>NSIS智慧护理业务系统</w:t>
            </w:r>
            <w:r>
              <w:rPr>
                <w:rFonts w:hint="eastAsia" w:ascii="Times New Roman" w:hAnsi="宋体" w:eastAsia="宋体" w:cs="宋体"/>
                <w:lang w:val="zh-CN"/>
              </w:rPr>
              <w:t>技术参数明确、满足</w:t>
            </w:r>
            <w:r>
              <w:rPr>
                <w:rFonts w:hint="eastAsia" w:hAnsi="宋体" w:cs="宋体"/>
                <w:lang w:val="en-US" w:eastAsia="zh-CN"/>
              </w:rPr>
              <w:t>采购文件</w:t>
            </w:r>
            <w:r>
              <w:rPr>
                <w:rFonts w:hint="eastAsia" w:ascii="Times New Roman" w:hAnsi="宋体" w:eastAsia="宋体" w:cs="宋体"/>
                <w:lang w:val="zh-CN"/>
              </w:rPr>
              <w:t>要求，对产品</w:t>
            </w:r>
            <w:r>
              <w:rPr>
                <w:rFonts w:hint="eastAsia" w:hAnsi="宋体" w:cs="宋体"/>
                <w:lang w:val="en-US" w:eastAsia="zh-CN"/>
              </w:rPr>
              <w:t>参数</w:t>
            </w:r>
            <w:r>
              <w:rPr>
                <w:rFonts w:hint="eastAsia" w:ascii="Times New Roman" w:hAnsi="宋体" w:eastAsia="宋体" w:cs="宋体"/>
                <w:lang w:val="zh-CN"/>
              </w:rPr>
              <w:t>逐条进行明确响应，并提供相关证</w:t>
            </w:r>
            <w:r>
              <w:rPr>
                <w:rFonts w:hint="eastAsia" w:ascii="Times New Roman" w:hAnsi="宋体" w:eastAsia="宋体" w:cs="宋体"/>
                <w:highlight w:val="none"/>
                <w:lang w:val="zh-CN"/>
              </w:rPr>
              <w:t>明材料（包括但不限于第三方检测报告、</w:t>
            </w:r>
            <w:r>
              <w:rPr>
                <w:rFonts w:hint="eastAsia" w:hAnsi="宋体" w:cs="宋体"/>
                <w:highlight w:val="none"/>
                <w:lang w:val="en-US" w:eastAsia="zh-CN"/>
              </w:rPr>
              <w:t>彩页</w:t>
            </w:r>
            <w:r>
              <w:rPr>
                <w:rFonts w:hint="eastAsia" w:hAnsi="宋体" w:cs="宋体"/>
                <w:lang w:val="en-US" w:eastAsia="zh-CN"/>
              </w:rPr>
              <w:t>、</w:t>
            </w:r>
            <w:r>
              <w:rPr>
                <w:rFonts w:hint="eastAsia" w:ascii="Times New Roman" w:hAnsi="宋体" w:eastAsia="宋体" w:cs="宋体"/>
                <w:lang w:val="zh-CN"/>
              </w:rPr>
              <w:t>官网功能截图等</w:t>
            </w:r>
            <w:r>
              <w:rPr>
                <w:rFonts w:hint="eastAsia" w:hAnsi="宋体" w:cs="宋体"/>
                <w:lang w:val="en-US" w:eastAsia="zh-CN"/>
              </w:rPr>
              <w:t>证明</w:t>
            </w:r>
            <w:r>
              <w:rPr>
                <w:rFonts w:hint="eastAsia" w:ascii="Times New Roman" w:hAnsi="宋体" w:eastAsia="宋体" w:cs="宋体"/>
                <w:lang w:val="zh-CN"/>
              </w:rPr>
              <w:t>文件，未提供相关证明材料不得分）。其中：技术指标响应全部满足得基础分</w:t>
            </w:r>
            <w:r>
              <w:rPr>
                <w:rFonts w:hint="eastAsia" w:hAnsi="宋体" w:cs="宋体"/>
                <w:lang w:val="en-US" w:eastAsia="zh-CN"/>
              </w:rPr>
              <w:t>10</w:t>
            </w:r>
            <w:r>
              <w:rPr>
                <w:rFonts w:hint="eastAsia" w:ascii="Times New Roman" w:hAnsi="宋体" w:eastAsia="宋体" w:cs="宋体"/>
                <w:lang w:val="zh-CN"/>
              </w:rPr>
              <w:t>分，每出现一项负偏离扣1分，扣完为止；</w:t>
            </w:r>
          </w:p>
          <w:p>
            <w:pPr>
              <w:widowControl/>
              <w:numPr>
                <w:ilvl w:val="0"/>
                <w:numId w:val="0"/>
              </w:numPr>
              <w:spacing w:line="360" w:lineRule="auto"/>
              <w:jc w:val="left"/>
            </w:pPr>
            <w:r>
              <w:rPr>
                <w:rFonts w:hint="eastAsia"/>
              </w:rPr>
              <w:t>2、供应商提供详细的质量管理、质量控制方案，质量管理体系科学、完善，质量保证措施得力，能有效地保障项目实施过程的衔接、保证项目质量；评标委员会根据各供应商的方案进行综合评审</w:t>
            </w:r>
            <w:r>
              <w:rPr>
                <w:rFonts w:hint="eastAsia"/>
                <w:lang w:eastAsia="zh-CN"/>
              </w:rPr>
              <w:t>，</w:t>
            </w:r>
            <w:r>
              <w:rPr>
                <w:rFonts w:hint="eastAsia"/>
              </w:rPr>
              <w:t>得0</w:t>
            </w:r>
            <w:r>
              <w:rPr>
                <w:rFonts w:hint="eastAsia"/>
                <w:lang w:val="en-US" w:eastAsia="zh-CN"/>
              </w:rPr>
              <w:t>-5</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dxa"/>
            <w:vAlign w:val="center"/>
          </w:tcPr>
          <w:p>
            <w:pPr>
              <w:widowControl/>
              <w:spacing w:line="360" w:lineRule="auto"/>
              <w:jc w:val="left"/>
              <w:rPr>
                <w:rFonts w:ascii="宋体" w:hAnsi="宋体" w:cs="宋体"/>
                <w:szCs w:val="24"/>
              </w:rPr>
            </w:pPr>
            <w:r>
              <w:rPr>
                <w:rFonts w:hint="eastAsia" w:ascii="宋体" w:hAnsi="宋体" w:cs="宋体"/>
                <w:kern w:val="0"/>
                <w:szCs w:val="24"/>
              </w:rPr>
              <w:t>应急方案</w:t>
            </w:r>
          </w:p>
        </w:tc>
        <w:tc>
          <w:tcPr>
            <w:tcW w:w="795" w:type="dxa"/>
            <w:vAlign w:val="center"/>
          </w:tcPr>
          <w:p>
            <w:pPr>
              <w:widowControl/>
              <w:spacing w:line="360" w:lineRule="auto"/>
              <w:jc w:val="left"/>
              <w:rPr>
                <w:rFonts w:ascii="宋体" w:hAnsi="宋体" w:cs="宋体"/>
                <w:kern w:val="0"/>
                <w:szCs w:val="24"/>
              </w:rPr>
            </w:pPr>
            <w:r>
              <w:rPr>
                <w:rFonts w:hint="eastAsia" w:ascii="宋体" w:hAnsi="宋体" w:cs="宋体"/>
                <w:kern w:val="0"/>
                <w:szCs w:val="24"/>
                <w:lang w:val="en-US" w:eastAsia="zh-CN"/>
              </w:rPr>
              <w:t>20</w:t>
            </w:r>
            <w:r>
              <w:rPr>
                <w:rFonts w:hint="eastAsia" w:ascii="宋体" w:hAnsi="宋体" w:cs="宋体"/>
                <w:kern w:val="0"/>
                <w:szCs w:val="24"/>
              </w:rPr>
              <w:t>分</w:t>
            </w:r>
          </w:p>
        </w:tc>
        <w:tc>
          <w:tcPr>
            <w:tcW w:w="7654" w:type="dxa"/>
            <w:vAlign w:val="center"/>
          </w:tcPr>
          <w:p>
            <w:pPr>
              <w:widowControl/>
              <w:spacing w:line="360" w:lineRule="auto"/>
              <w:jc w:val="left"/>
            </w:pPr>
            <w:r>
              <w:rPr>
                <w:rFonts w:hint="eastAsia"/>
              </w:rPr>
              <w:t>1、根据设备运作中可能出现的突发事件，应具有安全、高效的应急处理预案及故障处理响应时间。投标人提供的应急方案科学合理，安全有效，可行性高的方案。（0-1</w:t>
            </w:r>
            <w:r>
              <w:rPr>
                <w:rFonts w:hint="eastAsia"/>
                <w:lang w:val="en-US" w:eastAsia="zh-CN"/>
              </w:rPr>
              <w:t>2</w:t>
            </w:r>
            <w:r>
              <w:rPr>
                <w:rFonts w:hint="eastAsia"/>
              </w:rPr>
              <w:t>分）。</w:t>
            </w:r>
          </w:p>
          <w:p>
            <w:pPr>
              <w:widowControl/>
              <w:spacing w:line="360" w:lineRule="auto"/>
              <w:jc w:val="left"/>
            </w:pPr>
            <w:r>
              <w:rPr>
                <w:rFonts w:hint="eastAsia"/>
              </w:rPr>
              <w:t>应急方案针对性强，措施合理、可行性强，得</w:t>
            </w:r>
            <w:r>
              <w:rPr>
                <w:rFonts w:hint="eastAsia"/>
                <w:lang w:val="en-US" w:eastAsia="zh-CN"/>
              </w:rPr>
              <w:t>8</w:t>
            </w:r>
            <w:r>
              <w:rPr>
                <w:rFonts w:hint="eastAsia"/>
              </w:rPr>
              <w:t>.01-1</w:t>
            </w:r>
            <w:r>
              <w:rPr>
                <w:rFonts w:hint="eastAsia"/>
                <w:lang w:val="en-US" w:eastAsia="zh-CN"/>
              </w:rPr>
              <w:t>2</w:t>
            </w:r>
            <w:r>
              <w:rPr>
                <w:rFonts w:hint="eastAsia"/>
              </w:rPr>
              <w:t>分；</w:t>
            </w:r>
          </w:p>
          <w:p>
            <w:pPr>
              <w:widowControl/>
              <w:spacing w:line="360" w:lineRule="auto"/>
              <w:jc w:val="left"/>
            </w:pPr>
            <w:r>
              <w:rPr>
                <w:rFonts w:hint="eastAsia"/>
              </w:rPr>
              <w:t>应急方案较合理、可行性较强，得</w:t>
            </w:r>
            <w:r>
              <w:rPr>
                <w:rFonts w:hint="eastAsia"/>
                <w:lang w:val="en-US" w:eastAsia="zh-CN"/>
              </w:rPr>
              <w:t>4</w:t>
            </w:r>
            <w:r>
              <w:rPr>
                <w:rFonts w:hint="eastAsia"/>
              </w:rPr>
              <w:t>.01-</w:t>
            </w:r>
            <w:r>
              <w:rPr>
                <w:rFonts w:hint="eastAsia"/>
                <w:lang w:val="en-US" w:eastAsia="zh-CN"/>
              </w:rPr>
              <w:t>8</w:t>
            </w:r>
            <w:r>
              <w:rPr>
                <w:rFonts w:hint="eastAsia"/>
              </w:rPr>
              <w:t>分；</w:t>
            </w:r>
          </w:p>
          <w:p>
            <w:pPr>
              <w:widowControl/>
              <w:spacing w:line="360" w:lineRule="auto"/>
              <w:jc w:val="left"/>
            </w:pPr>
            <w:r>
              <w:rPr>
                <w:rFonts w:hint="eastAsia"/>
              </w:rPr>
              <w:t>应急方案不够合理，可行性不强，得0-</w:t>
            </w:r>
            <w:r>
              <w:rPr>
                <w:rFonts w:hint="eastAsia"/>
                <w:lang w:val="en-US" w:eastAsia="zh-CN"/>
              </w:rPr>
              <w:t>4</w:t>
            </w:r>
            <w:r>
              <w:rPr>
                <w:rFonts w:hint="eastAsia"/>
              </w:rPr>
              <w:t>分。</w:t>
            </w:r>
          </w:p>
          <w:p>
            <w:pPr>
              <w:widowControl/>
              <w:spacing w:line="360" w:lineRule="auto"/>
              <w:jc w:val="left"/>
            </w:pPr>
            <w:r>
              <w:rPr>
                <w:rFonts w:hint="eastAsia"/>
              </w:rPr>
              <w:t>2、疫情期间</w:t>
            </w:r>
            <w:r>
              <w:rPr>
                <w:rFonts w:hint="eastAsia"/>
                <w:lang w:val="en-US" w:eastAsia="zh-CN"/>
              </w:rPr>
              <w:t>设备</w:t>
            </w:r>
            <w:r>
              <w:rPr>
                <w:rFonts w:hint="eastAsia"/>
              </w:rPr>
              <w:t>维保的</w:t>
            </w:r>
            <w:r>
              <w:rPr>
                <w:rFonts w:hint="eastAsia"/>
                <w:lang w:val="en-US" w:eastAsia="zh-CN"/>
              </w:rPr>
              <w:t>时效性、安全性保障</w:t>
            </w:r>
            <w:r>
              <w:rPr>
                <w:rFonts w:hint="eastAsia"/>
              </w:rPr>
              <w:t>方案（0-8分）。</w:t>
            </w:r>
          </w:p>
          <w:p>
            <w:pPr>
              <w:widowControl/>
              <w:spacing w:line="360" w:lineRule="auto"/>
              <w:jc w:val="left"/>
            </w:pPr>
            <w:r>
              <w:rPr>
                <w:rFonts w:hint="eastAsia"/>
              </w:rPr>
              <w:t>方案针对性强，措施合理、可行性强，得6.01-8分；</w:t>
            </w:r>
          </w:p>
          <w:p>
            <w:pPr>
              <w:widowControl/>
              <w:spacing w:line="360" w:lineRule="auto"/>
              <w:jc w:val="left"/>
            </w:pPr>
            <w:r>
              <w:rPr>
                <w:rFonts w:hint="eastAsia"/>
              </w:rPr>
              <w:t>方案较合理、可行性较强，得3.01-6分；</w:t>
            </w:r>
          </w:p>
          <w:p>
            <w:pPr>
              <w:widowControl/>
              <w:spacing w:line="360" w:lineRule="auto"/>
              <w:jc w:val="left"/>
            </w:pPr>
            <w:r>
              <w:rPr>
                <w:rFonts w:hint="eastAsia"/>
              </w:rPr>
              <w:t>方案不够合理、可能性不强，得0-3分。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1" w:type="dxa"/>
            <w:vAlign w:val="center"/>
          </w:tcPr>
          <w:p>
            <w:pPr>
              <w:widowControl/>
              <w:spacing w:line="360" w:lineRule="auto"/>
              <w:jc w:val="left"/>
              <w:rPr>
                <w:rFonts w:ascii="宋体" w:hAnsi="宋体" w:cs="宋体"/>
                <w:szCs w:val="24"/>
              </w:rPr>
            </w:pPr>
            <w:r>
              <w:rPr>
                <w:rFonts w:hint="eastAsia" w:ascii="宋体" w:hAnsi="宋体" w:cs="宋体"/>
                <w:kern w:val="0"/>
                <w:szCs w:val="24"/>
              </w:rPr>
              <w:t>售后服务及承诺</w:t>
            </w:r>
          </w:p>
        </w:tc>
        <w:tc>
          <w:tcPr>
            <w:tcW w:w="795" w:type="dxa"/>
            <w:vAlign w:val="center"/>
          </w:tcPr>
          <w:p>
            <w:pPr>
              <w:spacing w:line="360" w:lineRule="auto"/>
            </w:pPr>
            <w:r>
              <w:rPr>
                <w:rFonts w:hint="eastAsia"/>
                <w:lang w:val="en-US" w:eastAsia="zh-CN"/>
              </w:rPr>
              <w:t>18</w:t>
            </w:r>
            <w:r>
              <w:rPr>
                <w:rFonts w:hint="eastAsia"/>
              </w:rPr>
              <w:t>分</w:t>
            </w:r>
          </w:p>
        </w:tc>
        <w:tc>
          <w:tcPr>
            <w:tcW w:w="7654" w:type="dxa"/>
            <w:vAlign w:val="center"/>
          </w:tcPr>
          <w:p>
            <w:pPr>
              <w:widowControl/>
              <w:spacing w:line="360" w:lineRule="auto"/>
              <w:jc w:val="left"/>
              <w:rPr>
                <w:rFonts w:hint="eastAsia" w:ascii="Times New Roman" w:hAnsi="Times New Roman" w:cs="Times New Roman"/>
              </w:rPr>
            </w:pPr>
            <w:r>
              <w:rPr>
                <w:rFonts w:hint="eastAsia" w:ascii="Times New Roman" w:hAnsi="Times New Roman" w:cs="Times New Roman"/>
                <w:lang w:val="en-US" w:eastAsia="zh-CN"/>
              </w:rPr>
              <w:t>1.</w:t>
            </w:r>
            <w:r>
              <w:rPr>
                <w:rFonts w:hint="eastAsia" w:ascii="Times New Roman" w:hAnsi="Times New Roman" w:cs="Times New Roman"/>
              </w:rPr>
              <w:t>售后服务机构健全，针对本次采购任务提供详细、具体、可行的售后服务方案（包括用户</w:t>
            </w:r>
            <w:r>
              <w:rPr>
                <w:rFonts w:hint="eastAsia" w:cs="Times New Roman"/>
                <w:lang w:val="en-US" w:eastAsia="zh-CN"/>
              </w:rPr>
              <w:t>使用中</w:t>
            </w:r>
            <w:r>
              <w:rPr>
                <w:rFonts w:hint="eastAsia" w:ascii="Times New Roman" w:hAnsi="Times New Roman" w:cs="Times New Roman"/>
              </w:rPr>
              <w:t>出现问题后的响应时间/服务人员配置/保证措施情况等）（0-</w:t>
            </w:r>
            <w:r>
              <w:rPr>
                <w:rFonts w:hint="eastAsia" w:ascii="Times New Roman" w:hAnsi="Times New Roman" w:cs="Times New Roman"/>
                <w:lang w:val="en-US" w:eastAsia="zh-CN"/>
              </w:rPr>
              <w:t>10</w:t>
            </w:r>
            <w:r>
              <w:rPr>
                <w:rFonts w:hint="eastAsia" w:ascii="Times New Roman" w:hAnsi="Times New Roman" w:cs="Times New Roman"/>
              </w:rPr>
              <w:t>分）；</w:t>
            </w:r>
          </w:p>
          <w:p>
            <w:pPr>
              <w:widowControl/>
              <w:spacing w:line="360" w:lineRule="auto"/>
              <w:jc w:val="left"/>
              <w:rPr>
                <w:rFonts w:hint="eastAsia" w:ascii="Times New Roman" w:hAnsi="Times New Roman" w:cs="Times New Roman"/>
              </w:rPr>
            </w:pPr>
            <w:r>
              <w:rPr>
                <w:rFonts w:hint="eastAsia" w:ascii="Times New Roman" w:hAnsi="Times New Roman" w:cs="Times New Roman"/>
              </w:rPr>
              <w:t>售后服务方案全面、具体，符合项目需求、切实可行，得</w:t>
            </w:r>
            <w:r>
              <w:rPr>
                <w:rFonts w:hint="eastAsia" w:ascii="Times New Roman" w:hAnsi="Times New Roman" w:cs="Times New Roman"/>
                <w:lang w:val="en-US" w:eastAsia="zh-CN"/>
              </w:rPr>
              <w:t>6</w:t>
            </w:r>
            <w:r>
              <w:rPr>
                <w:rFonts w:hint="eastAsia" w:ascii="Times New Roman" w:hAnsi="Times New Roman" w:cs="Times New Roman"/>
              </w:rPr>
              <w:t>.01-1</w:t>
            </w:r>
            <w:r>
              <w:rPr>
                <w:rFonts w:hint="eastAsia" w:ascii="Times New Roman" w:hAnsi="Times New Roman" w:cs="Times New Roman"/>
                <w:lang w:val="en-US" w:eastAsia="zh-CN"/>
              </w:rPr>
              <w:t>0</w:t>
            </w:r>
            <w:r>
              <w:rPr>
                <w:rFonts w:hint="eastAsia" w:ascii="Times New Roman" w:hAnsi="Times New Roman" w:cs="Times New Roman"/>
              </w:rPr>
              <w:t>分；</w:t>
            </w:r>
          </w:p>
          <w:p>
            <w:pPr>
              <w:widowControl/>
              <w:spacing w:line="360" w:lineRule="auto"/>
              <w:jc w:val="left"/>
              <w:rPr>
                <w:rFonts w:hint="eastAsia" w:ascii="Times New Roman" w:hAnsi="Times New Roman" w:cs="Times New Roman"/>
              </w:rPr>
            </w:pPr>
            <w:r>
              <w:rPr>
                <w:rFonts w:hint="eastAsia" w:ascii="Times New Roman" w:hAnsi="Times New Roman" w:cs="Times New Roman"/>
              </w:rPr>
              <w:t>售后服务方案可行但不够全面，基本符合项目需求，得</w:t>
            </w:r>
            <w:r>
              <w:rPr>
                <w:rFonts w:hint="eastAsia" w:ascii="Times New Roman" w:hAnsi="Times New Roman" w:cs="Times New Roman"/>
                <w:lang w:val="en-US" w:eastAsia="zh-CN"/>
              </w:rPr>
              <w:t>3</w:t>
            </w:r>
            <w:r>
              <w:rPr>
                <w:rFonts w:hint="eastAsia" w:ascii="Times New Roman" w:hAnsi="Times New Roman" w:cs="Times New Roman"/>
              </w:rPr>
              <w:t>.01-</w:t>
            </w:r>
            <w:r>
              <w:rPr>
                <w:rFonts w:hint="eastAsia" w:ascii="Times New Roman" w:hAnsi="Times New Roman" w:cs="Times New Roman"/>
                <w:lang w:val="en-US" w:eastAsia="zh-CN"/>
              </w:rPr>
              <w:t>6</w:t>
            </w:r>
            <w:r>
              <w:rPr>
                <w:rFonts w:hint="eastAsia" w:ascii="Times New Roman" w:hAnsi="Times New Roman" w:cs="Times New Roman"/>
              </w:rPr>
              <w:t>分；</w:t>
            </w:r>
          </w:p>
          <w:p>
            <w:pPr>
              <w:widowControl/>
              <w:spacing w:line="360" w:lineRule="auto"/>
              <w:jc w:val="left"/>
              <w:rPr>
                <w:rFonts w:hint="eastAsia"/>
              </w:rPr>
            </w:pPr>
            <w:r>
              <w:rPr>
                <w:rFonts w:hint="eastAsia" w:ascii="Times New Roman" w:hAnsi="Times New Roman" w:cs="Times New Roman"/>
              </w:rPr>
              <w:t>售后服务方</w:t>
            </w:r>
            <w:r>
              <w:rPr>
                <w:rFonts w:hint="eastAsia"/>
              </w:rPr>
              <w:t>案可行性不高，不符合项目需求，得0-</w:t>
            </w:r>
            <w:r>
              <w:rPr>
                <w:rFonts w:hint="eastAsia"/>
                <w:lang w:val="en-US" w:eastAsia="zh-CN"/>
              </w:rPr>
              <w:t>3</w:t>
            </w:r>
            <w:r>
              <w:rPr>
                <w:rFonts w:hint="eastAsia"/>
              </w:rPr>
              <w:t>分。</w:t>
            </w:r>
          </w:p>
          <w:p>
            <w:pPr>
              <w:widowControl/>
              <w:spacing w:line="36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2.针对本项目有切实可行的服务承诺（包括但不限于出现故障的响应时间、设备维保的质量保证等）（0-</w:t>
            </w:r>
            <w:r>
              <w:rPr>
                <w:rFonts w:hint="eastAsia" w:cs="Times New Roman"/>
                <w:lang w:val="en-US" w:eastAsia="zh-CN"/>
              </w:rPr>
              <w:t>8</w:t>
            </w:r>
            <w:r>
              <w:rPr>
                <w:rFonts w:hint="eastAsia" w:ascii="Times New Roman" w:hAnsi="Times New Roman" w:cs="Times New Roman"/>
                <w:lang w:val="en-US" w:eastAsia="zh-CN"/>
              </w:rPr>
              <w:t>分）</w:t>
            </w:r>
          </w:p>
          <w:p>
            <w:pPr>
              <w:widowControl/>
              <w:spacing w:line="360" w:lineRule="auto"/>
              <w:jc w:val="left"/>
              <w:rPr>
                <w:rFonts w:hint="eastAsia" w:ascii="Times New Roman" w:hAnsi="Times New Roman" w:cs="Times New Roman"/>
                <w:lang w:val="en-US" w:eastAsia="zh-CN"/>
              </w:rPr>
            </w:pPr>
            <w:r>
              <w:rPr>
                <w:rFonts w:hint="eastAsia" w:ascii="Times New Roman" w:hAnsi="Times New Roman" w:cs="Times New Roman"/>
                <w:lang w:val="en-US" w:eastAsia="zh-CN"/>
              </w:rPr>
              <w:t>所做承诺符合项目实际需求，切实可行，计</w:t>
            </w:r>
            <w:r>
              <w:rPr>
                <w:rFonts w:hint="eastAsia" w:cs="Times New Roman"/>
                <w:lang w:val="en-US" w:eastAsia="zh-CN"/>
              </w:rPr>
              <w:t>4</w:t>
            </w:r>
            <w:r>
              <w:rPr>
                <w:rFonts w:hint="eastAsia" w:ascii="Times New Roman" w:hAnsi="Times New Roman" w:cs="Times New Roman"/>
                <w:lang w:val="en-US" w:eastAsia="zh-CN"/>
              </w:rPr>
              <w:t>.01-</w:t>
            </w:r>
            <w:r>
              <w:rPr>
                <w:rFonts w:hint="eastAsia" w:cs="Times New Roman"/>
                <w:lang w:val="en-US" w:eastAsia="zh-CN"/>
              </w:rPr>
              <w:t>8</w:t>
            </w:r>
            <w:r>
              <w:rPr>
                <w:rFonts w:hint="eastAsia" w:ascii="Times New Roman" w:hAnsi="Times New Roman" w:cs="Times New Roman"/>
                <w:lang w:val="en-US" w:eastAsia="zh-CN"/>
              </w:rPr>
              <w:t>分；</w:t>
            </w:r>
          </w:p>
          <w:p>
            <w:pPr>
              <w:widowControl/>
              <w:spacing w:line="360" w:lineRule="auto"/>
              <w:jc w:val="left"/>
              <w:rPr>
                <w:rFonts w:hint="default" w:ascii="Times New Roman" w:hAnsi="Times New Roman" w:eastAsia="宋体" w:cs="Times New Roman"/>
                <w:kern w:val="2"/>
                <w:sz w:val="24"/>
                <w:szCs w:val="20"/>
                <w:lang w:val="en-US" w:eastAsia="zh-CN" w:bidi="ar-SA"/>
              </w:rPr>
            </w:pPr>
            <w:r>
              <w:rPr>
                <w:rFonts w:hint="eastAsia" w:ascii="Times New Roman" w:hAnsi="Times New Roman" w:cs="Times New Roman"/>
                <w:lang w:val="en-US" w:eastAsia="zh-CN"/>
              </w:rPr>
              <w:t>所做承诺基本符合项目需求，可行性一般，计0-</w:t>
            </w:r>
            <w:r>
              <w:rPr>
                <w:rFonts w:hint="eastAsia" w:cs="Times New Roman"/>
                <w:lang w:val="en-US" w:eastAsia="zh-CN"/>
              </w:rPr>
              <w:t>4</w:t>
            </w:r>
            <w:r>
              <w:rPr>
                <w:rFonts w:hint="eastAsia" w:ascii="Times New Roman" w:hAnsi="Times New Roman" w:cs="Times New Roman"/>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191" w:type="dxa"/>
            <w:vAlign w:val="center"/>
          </w:tcPr>
          <w:p>
            <w:pPr>
              <w:widowControl/>
              <w:spacing w:line="360" w:lineRule="auto"/>
              <w:ind w:firstLine="240" w:firstLineChars="100"/>
              <w:jc w:val="left"/>
              <w:rPr>
                <w:rFonts w:ascii="宋体" w:hAnsi="宋体" w:cs="宋体"/>
              </w:rPr>
            </w:pPr>
            <w:r>
              <w:rPr>
                <w:rFonts w:hint="eastAsia" w:ascii="宋体" w:hAnsi="宋体" w:cs="宋体"/>
                <w:kern w:val="0"/>
                <w:szCs w:val="24"/>
              </w:rPr>
              <w:t>业绩</w:t>
            </w:r>
          </w:p>
        </w:tc>
        <w:tc>
          <w:tcPr>
            <w:tcW w:w="795" w:type="dxa"/>
            <w:vAlign w:val="center"/>
          </w:tcPr>
          <w:p>
            <w:pPr>
              <w:widowControl/>
              <w:spacing w:line="360" w:lineRule="auto"/>
              <w:jc w:val="left"/>
              <w:rPr>
                <w:rFonts w:ascii="宋体" w:hAnsi="宋体" w:cs="宋体"/>
                <w:kern w:val="0"/>
                <w:szCs w:val="24"/>
              </w:rPr>
            </w:pPr>
            <w:r>
              <w:rPr>
                <w:rFonts w:hint="eastAsia" w:ascii="宋体" w:hAnsi="宋体" w:cs="宋体"/>
                <w:kern w:val="0"/>
                <w:szCs w:val="24"/>
              </w:rPr>
              <w:t>10分</w:t>
            </w:r>
          </w:p>
        </w:tc>
        <w:tc>
          <w:tcPr>
            <w:tcW w:w="7654" w:type="dxa"/>
            <w:vAlign w:val="center"/>
          </w:tcPr>
          <w:p>
            <w:pPr>
              <w:widowControl/>
              <w:spacing w:line="360" w:lineRule="auto"/>
              <w:jc w:val="left"/>
              <w:rPr>
                <w:rFonts w:ascii="宋体" w:hAnsi="宋体" w:cs="宋体"/>
                <w:kern w:val="0"/>
                <w:szCs w:val="24"/>
              </w:rPr>
            </w:pPr>
            <w:r>
              <w:rPr>
                <w:rFonts w:hint="eastAsia" w:ascii="宋体" w:hAnsi="宋体" w:cs="宋体"/>
                <w:kern w:val="0"/>
                <w:szCs w:val="24"/>
              </w:rPr>
              <w:t>根据各供应商提供201</w:t>
            </w:r>
            <w:r>
              <w:rPr>
                <w:rFonts w:hint="eastAsia" w:ascii="宋体" w:hAnsi="宋体" w:cs="宋体"/>
                <w:kern w:val="0"/>
                <w:szCs w:val="24"/>
                <w:lang w:val="en-US" w:eastAsia="zh-CN"/>
              </w:rPr>
              <w:t>9</w:t>
            </w:r>
            <w:r>
              <w:rPr>
                <w:rFonts w:hint="eastAsia" w:ascii="宋体" w:hAnsi="宋体" w:cs="宋体"/>
                <w:kern w:val="0"/>
                <w:szCs w:val="24"/>
              </w:rPr>
              <w:t>年1月1日至今</w:t>
            </w:r>
            <w:r>
              <w:rPr>
                <w:rFonts w:hint="eastAsia" w:ascii="宋体" w:hAnsi="宋体" w:cs="宋体"/>
                <w:kern w:val="0"/>
                <w:szCs w:val="24"/>
                <w:lang w:val="en-US" w:eastAsia="zh-CN"/>
              </w:rPr>
              <w:t>类似</w:t>
            </w:r>
            <w:r>
              <w:rPr>
                <w:rFonts w:hint="eastAsia" w:ascii="宋体" w:hAnsi="宋体" w:cs="宋体"/>
                <w:kern w:val="0"/>
                <w:szCs w:val="24"/>
              </w:rPr>
              <w:t>项目业绩，每个业绩得2分，满分10分。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986" w:type="dxa"/>
            <w:gridSpan w:val="2"/>
            <w:vAlign w:val="center"/>
          </w:tcPr>
          <w:p>
            <w:pPr>
              <w:spacing w:line="360" w:lineRule="auto"/>
              <w:jc w:val="center"/>
              <w:rPr>
                <w:rFonts w:ascii="宋体" w:hAnsi="宋体" w:cs="宋体"/>
                <w:szCs w:val="24"/>
              </w:rPr>
            </w:pPr>
          </w:p>
          <w:p>
            <w:pPr>
              <w:spacing w:line="360" w:lineRule="auto"/>
              <w:jc w:val="center"/>
              <w:rPr>
                <w:rFonts w:ascii="宋体" w:hAnsi="宋体" w:cs="宋体"/>
                <w:szCs w:val="24"/>
              </w:rPr>
            </w:pPr>
          </w:p>
          <w:p>
            <w:pPr>
              <w:spacing w:line="360" w:lineRule="auto"/>
              <w:jc w:val="center"/>
              <w:rPr>
                <w:rFonts w:ascii="宋体" w:hAnsi="宋体" w:cs="宋体"/>
                <w:szCs w:val="24"/>
              </w:rPr>
            </w:pPr>
          </w:p>
          <w:p>
            <w:pPr>
              <w:spacing w:line="360" w:lineRule="auto"/>
              <w:jc w:val="center"/>
              <w:rPr>
                <w:rFonts w:ascii="宋体" w:hAnsi="宋体" w:cs="宋体"/>
                <w:szCs w:val="24"/>
              </w:rPr>
            </w:pPr>
          </w:p>
          <w:p>
            <w:pPr>
              <w:spacing w:line="360" w:lineRule="auto"/>
              <w:jc w:val="center"/>
              <w:rPr>
                <w:rFonts w:ascii="宋体" w:hAnsi="宋体" w:cs="宋体"/>
                <w:szCs w:val="24"/>
              </w:rPr>
            </w:pPr>
          </w:p>
          <w:p>
            <w:pPr>
              <w:spacing w:line="360" w:lineRule="auto"/>
              <w:jc w:val="center"/>
              <w:rPr>
                <w:rFonts w:ascii="宋体" w:hAnsi="宋体" w:cs="宋体"/>
              </w:rPr>
            </w:pPr>
            <w:r>
              <w:rPr>
                <w:rFonts w:hint="eastAsia" w:ascii="宋体" w:hAnsi="宋体" w:cs="宋体"/>
                <w:szCs w:val="24"/>
              </w:rPr>
              <w:t>备注</w:t>
            </w:r>
          </w:p>
        </w:tc>
        <w:tc>
          <w:tcPr>
            <w:tcW w:w="7654" w:type="dxa"/>
            <w:vAlign w:val="center"/>
          </w:tcPr>
          <w:p>
            <w:pPr>
              <w:spacing w:line="360" w:lineRule="auto"/>
              <w:ind w:left="360" w:hanging="360" w:hangingChars="150"/>
              <w:rPr>
                <w:rFonts w:ascii="宋体" w:hAnsi="宋体" w:cs="宋体"/>
                <w:szCs w:val="24"/>
              </w:rPr>
            </w:pPr>
            <w:r>
              <w:rPr>
                <w:rFonts w:hint="eastAsia" w:ascii="宋体" w:hAnsi="宋体" w:cs="宋体"/>
                <w:szCs w:val="24"/>
              </w:rPr>
              <w:t>1、若出现综合得分并列时，比较最后报价得分，此分项得分高者排序在先；评审得分且最后报价相同的，按照技术指标优劣进行排序，如果还相同，则由全体磋商小组成员无记名投票，以得票高者排序在先。</w:t>
            </w:r>
          </w:p>
          <w:p>
            <w:pPr>
              <w:spacing w:line="360" w:lineRule="auto"/>
              <w:ind w:left="297" w:leftChars="-67" w:hanging="458" w:hangingChars="191"/>
              <w:rPr>
                <w:rFonts w:ascii="宋体" w:hAnsi="宋体" w:cs="宋体"/>
                <w:szCs w:val="24"/>
              </w:rPr>
            </w:pPr>
            <w:r>
              <w:rPr>
                <w:rFonts w:hint="eastAsia" w:ascii="宋体" w:hAnsi="宋体" w:cs="宋体"/>
                <w:szCs w:val="24"/>
              </w:rPr>
              <w:t xml:space="preserve"> 2、磋商小组打分超过得分界限或未按本方法赋分时，该磋商小组的打分按作废处理。</w:t>
            </w:r>
          </w:p>
          <w:p>
            <w:pPr>
              <w:spacing w:line="360" w:lineRule="auto"/>
              <w:ind w:left="360" w:hanging="360" w:hangingChars="150"/>
              <w:rPr>
                <w:rFonts w:ascii="宋体" w:hAnsi="宋体" w:cs="宋体"/>
                <w:szCs w:val="24"/>
              </w:rPr>
            </w:pPr>
            <w:r>
              <w:rPr>
                <w:rFonts w:hint="eastAsia" w:ascii="宋体" w:hAnsi="宋体" w:cs="宋体"/>
                <w:szCs w:val="24"/>
              </w:rPr>
              <w:t>3、磋商小组会二分之一以上人员认为有串标、弄虚作假嫌疑或严重脱离市场价的磋商，该供应商不得作为成交候选人。</w:t>
            </w:r>
          </w:p>
          <w:p>
            <w:pPr>
              <w:spacing w:line="360" w:lineRule="auto"/>
              <w:rPr>
                <w:rFonts w:ascii="宋体" w:hAnsi="宋体" w:cs="宋体"/>
                <w:szCs w:val="24"/>
              </w:rPr>
            </w:pPr>
            <w:r>
              <w:rPr>
                <w:rFonts w:hint="eastAsia" w:ascii="宋体" w:hAnsi="宋体" w:cs="宋体"/>
                <w:szCs w:val="24"/>
              </w:rPr>
              <w:t>4、由于磋商文件有矛盾，造成对供应商不利的评标结果，由供应商自负。</w:t>
            </w:r>
          </w:p>
          <w:p>
            <w:pPr>
              <w:spacing w:line="360" w:lineRule="auto"/>
              <w:ind w:left="360" w:hanging="360" w:hangingChars="150"/>
              <w:rPr>
                <w:rFonts w:ascii="宋体" w:hAnsi="宋体" w:cs="宋体"/>
                <w:szCs w:val="24"/>
              </w:rPr>
            </w:pPr>
            <w:r>
              <w:rPr>
                <w:rFonts w:hint="eastAsia" w:ascii="宋体" w:hAnsi="宋体" w:cs="宋体"/>
                <w:szCs w:val="24"/>
              </w:rPr>
              <w:t>5、评审过程中，若出现特殊情况时，将暂停评标，有关情况的处理待磋商小组确认后，再行评定。</w:t>
            </w:r>
          </w:p>
          <w:p>
            <w:pPr>
              <w:spacing w:line="360" w:lineRule="auto"/>
              <w:rPr>
                <w:rFonts w:ascii="宋体" w:hAnsi="宋体" w:cs="宋体"/>
                <w:kern w:val="0"/>
                <w:szCs w:val="24"/>
              </w:rPr>
            </w:pPr>
            <w:r>
              <w:rPr>
                <w:rFonts w:hint="eastAsia" w:ascii="宋体" w:hAnsi="宋体" w:cs="宋体"/>
                <w:szCs w:val="24"/>
              </w:rPr>
              <w:t>6、各种计算采用插入法，数字均保留两位小数，第三位“四舍五入”。</w:t>
            </w:r>
          </w:p>
        </w:tc>
      </w:tr>
    </w:tbl>
    <w:p>
      <w:pPr>
        <w:pStyle w:val="16"/>
        <w:spacing w:line="360" w:lineRule="auto"/>
        <w:rPr>
          <w:rFonts w:ascii="宋体" w:hAnsi="宋体" w:cs="宋体"/>
        </w:rPr>
      </w:pPr>
    </w:p>
    <w:bookmarkEnd w:id="30"/>
    <w:p>
      <w:pPr>
        <w:pStyle w:val="33"/>
        <w:spacing w:line="360" w:lineRule="auto"/>
        <w:ind w:left="0" w:leftChars="0" w:firstLine="0" w:firstLineChars="0"/>
        <w:rPr>
          <w:rFonts w:ascii="宋体" w:hAnsi="宋体" w:cs="宋体"/>
          <w:szCs w:val="24"/>
        </w:rPr>
      </w:pPr>
      <w:r>
        <w:rPr>
          <w:rFonts w:hint="eastAsia" w:ascii="宋体" w:hAnsi="宋体" w:cs="宋体"/>
          <w:b/>
          <w:bCs/>
          <w:szCs w:val="24"/>
        </w:rPr>
        <w:t>特殊情况处理</w:t>
      </w:r>
      <w:r>
        <w:rPr>
          <w:rFonts w:hint="eastAsia" w:ascii="宋体" w:hAnsi="宋体" w:cs="宋体"/>
          <w:szCs w:val="24"/>
        </w:rPr>
        <w:t>：</w:t>
      </w:r>
    </w:p>
    <w:p>
      <w:pPr>
        <w:spacing w:line="360" w:lineRule="auto"/>
        <w:ind w:firstLine="600" w:firstLineChars="250"/>
        <w:rPr>
          <w:rFonts w:ascii="宋体" w:hAnsi="宋体" w:cs="宋体"/>
          <w:szCs w:val="24"/>
        </w:rPr>
      </w:pPr>
      <w:r>
        <w:rPr>
          <w:rFonts w:hint="eastAsia" w:ascii="宋体" w:hAnsi="宋体" w:cs="宋体"/>
          <w:szCs w:val="24"/>
        </w:rPr>
        <w:t>a、当供应商某评分项出现未报、漏报或零报价时，该分项得零分，并不参与投标报价分的计算。</w:t>
      </w:r>
    </w:p>
    <w:p>
      <w:pPr>
        <w:pStyle w:val="33"/>
        <w:spacing w:line="360" w:lineRule="auto"/>
        <w:ind w:left="420" w:firstLine="120" w:firstLineChars="50"/>
        <w:rPr>
          <w:rFonts w:ascii="宋体" w:hAnsi="宋体" w:cs="宋体"/>
          <w:szCs w:val="24"/>
        </w:rPr>
      </w:pPr>
      <w:r>
        <w:rPr>
          <w:rFonts w:hint="eastAsia" w:ascii="宋体" w:hAnsi="宋体" w:cs="宋体"/>
          <w:szCs w:val="24"/>
        </w:rPr>
        <w:t>b、相同品牌产品</w:t>
      </w:r>
    </w:p>
    <w:p>
      <w:pPr>
        <w:spacing w:line="360" w:lineRule="auto"/>
        <w:ind w:firstLine="480" w:firstLineChars="200"/>
        <w:rPr>
          <w:rFonts w:ascii="宋体" w:hAnsi="宋体" w:cs="宋体"/>
          <w:szCs w:val="24"/>
        </w:rPr>
      </w:pPr>
      <w:r>
        <w:rPr>
          <w:rFonts w:hint="eastAsia" w:ascii="宋体" w:hAnsi="宋体" w:cs="宋体"/>
          <w:szCs w:val="24"/>
        </w:rPr>
        <w:t>1、单一产品采购项目中，提供相同品牌的产品的不同供应商参加同一合同项下投标的，提供相同品牌产品且通过资格审查、符合性审查的不同供应商，按一家供应商计算，评审后得分最高的同品牌供应商获得成交供应商推荐资格；评审得分相同的，由磋商小组按照投标报价最低的方式确定一个获得成交供应商推荐资格，其他同品牌供应商不作为成交候选人。</w:t>
      </w:r>
    </w:p>
    <w:p>
      <w:pPr>
        <w:spacing w:line="360" w:lineRule="auto"/>
        <w:ind w:firstLine="480" w:firstLineChars="200"/>
        <w:rPr>
          <w:rFonts w:ascii="宋体" w:hAnsi="宋体" w:cs="宋体"/>
          <w:szCs w:val="24"/>
        </w:rPr>
      </w:pPr>
      <w:r>
        <w:rPr>
          <w:rFonts w:hint="eastAsia" w:ascii="宋体" w:hAnsi="宋体" w:cs="宋体"/>
          <w:szCs w:val="24"/>
        </w:rPr>
        <w:t>2、非单一产品采购项目，采购人将根据采购项目技术构成、产品价格比重等因素确定核心产品（可能不止一种），并在磋商文件中载明。提供相同品牌的核心产品且通过资格审查、符合性审查的不同供应商参加同一合同项下投标的，按一家供应商计算，评审后得分最高的同品牌供应商获得成交供应商推荐资格；评审得分相同的，由磋商小组按照投标报价最低的方式确定一个获得成交供应商推荐资格，其他同品牌供应商不作为成交候选人。</w:t>
      </w:r>
    </w:p>
    <w:p>
      <w:pPr>
        <w:spacing w:line="360" w:lineRule="auto"/>
        <w:ind w:firstLine="480" w:firstLineChars="200"/>
        <w:rPr>
          <w:rFonts w:ascii="宋体" w:hAnsi="宋体" w:cs="宋体"/>
          <w:szCs w:val="24"/>
        </w:rPr>
      </w:pPr>
      <w:r>
        <w:rPr>
          <w:rFonts w:hint="eastAsia" w:ascii="宋体" w:hAnsi="宋体" w:cs="宋体"/>
          <w:szCs w:val="24"/>
        </w:rPr>
        <w:t>3、核心产品为两个以上时，多家供应商提供的核心产品有部分采用或全部采用相同品牌的，按一家供应商计算。</w:t>
      </w:r>
    </w:p>
    <w:p>
      <w:pPr>
        <w:spacing w:line="360" w:lineRule="auto"/>
        <w:ind w:firstLine="480" w:firstLineChars="200"/>
        <w:rPr>
          <w:rFonts w:ascii="宋体" w:hAnsi="宋体" w:cs="宋体"/>
          <w:szCs w:val="24"/>
        </w:rPr>
      </w:pPr>
      <w:r>
        <w:rPr>
          <w:rFonts w:hint="eastAsia" w:ascii="宋体" w:hAnsi="宋体" w:cs="宋体"/>
          <w:szCs w:val="24"/>
        </w:rPr>
        <w:t>c、若出现综合得分相同时，按</w:t>
      </w:r>
      <w:r>
        <w:rPr>
          <w:rFonts w:hint="eastAsia" w:ascii="宋体" w:hAnsi="宋体" w:cs="宋体"/>
          <w:szCs w:val="24"/>
          <w:lang w:val="en-US" w:eastAsia="zh-CN"/>
        </w:rPr>
        <w:t>磋商</w:t>
      </w:r>
      <w:r>
        <w:rPr>
          <w:rFonts w:hint="eastAsia" w:ascii="宋体" w:hAnsi="宋体" w:cs="宋体"/>
          <w:szCs w:val="24"/>
        </w:rPr>
        <w:t>报价由低到高顺序排列。得分且</w:t>
      </w:r>
      <w:r>
        <w:rPr>
          <w:rFonts w:hint="eastAsia" w:ascii="宋体" w:hAnsi="宋体" w:cs="宋体"/>
          <w:szCs w:val="24"/>
          <w:lang w:val="en-US" w:eastAsia="zh-CN"/>
        </w:rPr>
        <w:t>磋商</w:t>
      </w:r>
      <w:r>
        <w:rPr>
          <w:rFonts w:hint="eastAsia" w:ascii="宋体" w:hAnsi="宋体" w:cs="宋体"/>
          <w:szCs w:val="24"/>
        </w:rPr>
        <w:t>报价相同的并列。</w:t>
      </w:r>
      <w:r>
        <w:rPr>
          <w:rFonts w:hint="eastAsia" w:ascii="宋体" w:hAnsi="宋体" w:cs="宋体"/>
          <w:szCs w:val="24"/>
          <w:lang w:val="en-US" w:eastAsia="zh-CN"/>
        </w:rPr>
        <w:t>响应</w:t>
      </w:r>
      <w:r>
        <w:rPr>
          <w:rFonts w:hint="eastAsia" w:ascii="宋体" w:hAnsi="宋体" w:cs="宋体"/>
          <w:szCs w:val="24"/>
        </w:rPr>
        <w:t>文件满足</w:t>
      </w:r>
      <w:r>
        <w:rPr>
          <w:rFonts w:hint="eastAsia" w:ascii="宋体" w:hAnsi="宋体" w:cs="宋体"/>
          <w:szCs w:val="24"/>
          <w:lang w:val="en-US" w:eastAsia="zh-CN"/>
        </w:rPr>
        <w:t>竞争性磋商</w:t>
      </w:r>
      <w:r>
        <w:rPr>
          <w:rFonts w:hint="eastAsia" w:ascii="宋体" w:hAnsi="宋体" w:cs="宋体"/>
          <w:szCs w:val="24"/>
        </w:rPr>
        <w:t>文件全部实质性要求，且按照评审因素的量化指标评审得分最高的</w:t>
      </w:r>
      <w:r>
        <w:rPr>
          <w:rFonts w:hint="eastAsia" w:ascii="宋体" w:hAnsi="宋体" w:cs="宋体"/>
          <w:szCs w:val="24"/>
          <w:lang w:val="en-US" w:eastAsia="zh-CN"/>
        </w:rPr>
        <w:t>供应商</w:t>
      </w:r>
      <w:r>
        <w:rPr>
          <w:rFonts w:hint="eastAsia" w:ascii="宋体" w:hAnsi="宋体" w:cs="宋体"/>
          <w:szCs w:val="24"/>
        </w:rPr>
        <w:t>为排名第一的</w:t>
      </w:r>
      <w:r>
        <w:rPr>
          <w:rFonts w:hint="eastAsia" w:ascii="宋体" w:hAnsi="宋体" w:cs="宋体"/>
          <w:szCs w:val="24"/>
          <w:lang w:val="en-US" w:eastAsia="zh-CN"/>
        </w:rPr>
        <w:t>成交</w:t>
      </w:r>
      <w:r>
        <w:rPr>
          <w:rFonts w:hint="eastAsia" w:ascii="宋体" w:hAnsi="宋体" w:cs="宋体"/>
          <w:szCs w:val="24"/>
        </w:rPr>
        <w:t>候选人。</w:t>
      </w:r>
    </w:p>
    <w:p>
      <w:pPr>
        <w:spacing w:line="360" w:lineRule="auto"/>
        <w:ind w:firstLine="480" w:firstLineChars="200"/>
        <w:rPr>
          <w:rFonts w:ascii="宋体" w:hAnsi="宋体" w:cs="宋体"/>
          <w:szCs w:val="24"/>
        </w:rPr>
      </w:pPr>
      <w:r>
        <w:rPr>
          <w:rFonts w:hint="eastAsia" w:ascii="宋体" w:hAnsi="宋体" w:cs="宋体"/>
          <w:szCs w:val="24"/>
        </w:rPr>
        <w:t>d、评标过程中，若出现本评标方法以外的特殊情况时，将暂停评标，待磋商小组商榷后再进行复会。</w:t>
      </w:r>
    </w:p>
    <w:p>
      <w:pPr>
        <w:spacing w:line="360" w:lineRule="auto"/>
        <w:ind w:firstLine="600" w:firstLineChars="249"/>
        <w:rPr>
          <w:rFonts w:ascii="宋体" w:hAnsi="宋体" w:cs="宋体"/>
          <w:b/>
          <w:bCs/>
          <w:szCs w:val="24"/>
        </w:rPr>
      </w:pPr>
      <w:r>
        <w:rPr>
          <w:rFonts w:hint="eastAsia" w:ascii="宋体" w:hAnsi="宋体" w:cs="宋体"/>
          <w:b/>
          <w:bCs/>
          <w:szCs w:val="24"/>
        </w:rPr>
        <w:t>3-7、政府采购政策评分标准</w:t>
      </w:r>
    </w:p>
    <w:p>
      <w:pPr>
        <w:spacing w:line="360" w:lineRule="auto"/>
        <w:ind w:firstLine="597" w:firstLineChars="249"/>
        <w:rPr>
          <w:rFonts w:ascii="宋体" w:hAnsi="宋体" w:cs="宋体"/>
          <w:szCs w:val="24"/>
        </w:rPr>
      </w:pPr>
      <w:r>
        <w:rPr>
          <w:rFonts w:hint="eastAsia" w:ascii="宋体" w:hAnsi="宋体" w:cs="宋体"/>
          <w:szCs w:val="24"/>
        </w:rPr>
        <w:t>3-7-1、小微企业的价格评分标准</w:t>
      </w:r>
    </w:p>
    <w:p>
      <w:pPr>
        <w:spacing w:line="360" w:lineRule="auto"/>
        <w:ind w:firstLine="480" w:firstLineChars="200"/>
        <w:rPr>
          <w:rFonts w:ascii="宋体" w:hAnsi="宋体" w:cs="宋体"/>
          <w:szCs w:val="24"/>
        </w:rPr>
      </w:pPr>
      <w:r>
        <w:rPr>
          <w:rFonts w:hint="eastAsia" w:ascii="宋体" w:hAnsi="宋体" w:cs="宋体"/>
          <w:szCs w:val="24"/>
        </w:rPr>
        <w:t>（1）对小型、微型企业产品的价格给予</w:t>
      </w:r>
      <w:r>
        <w:rPr>
          <w:rFonts w:hint="eastAsia" w:ascii="宋体" w:hAnsi="宋体" w:cs="宋体"/>
          <w:szCs w:val="24"/>
          <w:lang w:val="en-US" w:eastAsia="zh-CN"/>
        </w:rPr>
        <w:t>10</w:t>
      </w:r>
      <w:r>
        <w:rPr>
          <w:rFonts w:hint="eastAsia" w:ascii="宋体" w:hAnsi="宋体" w:cs="宋体"/>
          <w:szCs w:val="24"/>
        </w:rPr>
        <w:t>%的扣除，用扣除后的价格参与评审，其评标价=投标报价（1-</w:t>
      </w:r>
      <w:r>
        <w:rPr>
          <w:rFonts w:hint="eastAsia" w:ascii="宋体" w:hAnsi="宋体" w:cs="宋体"/>
          <w:szCs w:val="24"/>
          <w:lang w:val="en-US" w:eastAsia="zh-CN"/>
        </w:rPr>
        <w:t>10</w:t>
      </w:r>
      <w:r>
        <w:rPr>
          <w:rFonts w:hint="eastAsia" w:ascii="宋体" w:hAnsi="宋体" w:cs="宋体"/>
          <w:szCs w:val="24"/>
        </w:rPr>
        <w:t>%）。</w:t>
      </w:r>
    </w:p>
    <w:p>
      <w:pPr>
        <w:spacing w:line="360" w:lineRule="auto"/>
        <w:ind w:firstLine="480" w:firstLineChars="200"/>
        <w:rPr>
          <w:rFonts w:ascii="宋体" w:hAnsi="宋体" w:cs="宋体"/>
          <w:szCs w:val="24"/>
        </w:rPr>
      </w:pPr>
      <w:r>
        <w:rPr>
          <w:rFonts w:hint="eastAsia" w:ascii="宋体" w:hAnsi="宋体" w:cs="宋体"/>
          <w:szCs w:val="24"/>
        </w:rPr>
        <w:t>（2）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劳动合同法》订立劳动合同的从业人员，则参与政府采购活动时，享受中小企业扶持政策。</w:t>
      </w:r>
    </w:p>
    <w:p>
      <w:pPr>
        <w:spacing w:line="360" w:lineRule="auto"/>
        <w:ind w:firstLine="480" w:firstLineChars="200"/>
        <w:rPr>
          <w:rFonts w:ascii="宋体" w:hAnsi="宋体" w:cs="宋体"/>
          <w:szCs w:val="24"/>
        </w:rPr>
      </w:pPr>
      <w:r>
        <w:rPr>
          <w:rFonts w:hint="eastAsia" w:ascii="宋体" w:hAnsi="宋体" w:cs="宋体"/>
          <w:szCs w:val="24"/>
        </w:rPr>
        <w:t xml:space="preserve">在货物采购项目中，供应商提供的货物既有中小企业制造货物，也有大型企业制造货物的，不享受本办法规定的中小企业扶持政策。 </w:t>
      </w:r>
    </w:p>
    <w:p>
      <w:pPr>
        <w:spacing w:line="360" w:lineRule="auto"/>
        <w:ind w:firstLine="480" w:firstLineChars="200"/>
        <w:rPr>
          <w:rFonts w:ascii="宋体" w:hAnsi="宋体" w:cs="宋体"/>
          <w:szCs w:val="24"/>
        </w:rPr>
      </w:pPr>
      <w:r>
        <w:rPr>
          <w:rFonts w:hint="eastAsia" w:ascii="宋体" w:hAnsi="宋体" w:cs="宋体"/>
          <w:szCs w:val="24"/>
        </w:rPr>
        <w:t>关于中小企业的判定，在货物采购项目中，不对其中涉及的服务的承接商作出要求；在工程采购项目中，不对其中涉及的货物的制造商和服务的承接商作出要求；在服务采购项目中，不对其中涉及的货物的制造商作出要求。</w:t>
      </w:r>
    </w:p>
    <w:p>
      <w:pPr>
        <w:spacing w:line="360" w:lineRule="auto"/>
        <w:ind w:firstLine="482" w:firstLineChars="200"/>
        <w:rPr>
          <w:rFonts w:hint="eastAsia" w:ascii="宋体" w:hAnsi="宋体" w:cs="宋体"/>
          <w:b/>
          <w:bCs/>
          <w:szCs w:val="24"/>
        </w:rPr>
      </w:pPr>
      <w:r>
        <w:rPr>
          <w:rFonts w:hint="eastAsia" w:ascii="宋体" w:hAnsi="宋体" w:cs="宋体"/>
          <w:b/>
          <w:bCs/>
          <w:szCs w:val="24"/>
        </w:rPr>
        <w:t>参加本项目的小微企业须提供《小微企业声明函》（附件），未提供的不视为小微企业。供应商须做出承诺，保证真实性，如有虚假，将依法承担相应责任。</w:t>
      </w:r>
    </w:p>
    <w:p>
      <w:pPr>
        <w:spacing w:line="360" w:lineRule="auto"/>
        <w:ind w:firstLine="480" w:firstLineChars="200"/>
        <w:rPr>
          <w:rFonts w:ascii="宋体" w:hAnsi="宋体" w:cs="宋体"/>
          <w:szCs w:val="24"/>
        </w:rPr>
      </w:pPr>
      <w:r>
        <w:rPr>
          <w:rFonts w:hint="eastAsia" w:ascii="宋体" w:hAnsi="宋体" w:cs="宋体"/>
          <w:szCs w:val="24"/>
        </w:rPr>
        <w:t>（3）小微企业按《政府采购促进中小企业发展管理办法》（财库﹝2020﹞46 号）和《工业和信息化部、国家统计局、国家发展和改革委员会、财政部关于印发&lt;中小企业划型标准规定&gt;的通知》（工信部联企业【2011】300号）文件规定标准确认。</w:t>
      </w:r>
    </w:p>
    <w:p>
      <w:pPr>
        <w:spacing w:line="360" w:lineRule="auto"/>
        <w:ind w:firstLine="480" w:firstLineChars="200"/>
        <w:rPr>
          <w:rFonts w:ascii="宋体" w:hAnsi="宋体" w:cs="宋体"/>
          <w:szCs w:val="24"/>
        </w:rPr>
      </w:pPr>
      <w:r>
        <w:rPr>
          <w:rFonts w:hint="eastAsia" w:ascii="宋体" w:hAnsi="宋体" w:cs="宋体"/>
          <w:szCs w:val="24"/>
        </w:rPr>
        <w:t>3-7-2、监狱企业的价格评分标准</w:t>
      </w:r>
    </w:p>
    <w:p>
      <w:pPr>
        <w:spacing w:line="360" w:lineRule="auto"/>
        <w:ind w:firstLine="480" w:firstLineChars="200"/>
        <w:rPr>
          <w:rFonts w:ascii="宋体" w:hAnsi="宋体" w:cs="宋体"/>
          <w:szCs w:val="24"/>
        </w:rPr>
      </w:pPr>
      <w:r>
        <w:rPr>
          <w:rFonts w:hint="eastAsia" w:ascii="宋体" w:hAnsi="宋体" w:cs="宋体"/>
          <w:szCs w:val="24"/>
        </w:rPr>
        <w:t>（1）在政府采购活动中，监狱企业视同小型、微型企业，享受预留份额、评审中价格扣除等政府采购促进中小企业发展的政府采购政策。对监狱企业产品的价格给予</w:t>
      </w:r>
      <w:r>
        <w:rPr>
          <w:rFonts w:hint="eastAsia" w:ascii="宋体" w:hAnsi="宋体" w:cs="宋体"/>
          <w:szCs w:val="24"/>
          <w:lang w:val="en-US" w:eastAsia="zh-CN"/>
        </w:rPr>
        <w:t>10</w:t>
      </w:r>
      <w:r>
        <w:rPr>
          <w:rFonts w:hint="eastAsia" w:ascii="宋体" w:hAnsi="宋体" w:cs="宋体"/>
          <w:szCs w:val="24"/>
        </w:rPr>
        <w:t>%的扣除，用扣除后的价格参与评审，其评标价=投标报价×（1-</w:t>
      </w:r>
      <w:r>
        <w:rPr>
          <w:rFonts w:hint="eastAsia" w:ascii="宋体" w:hAnsi="宋体" w:cs="宋体"/>
          <w:szCs w:val="24"/>
          <w:lang w:val="en-US" w:eastAsia="zh-CN"/>
        </w:rPr>
        <w:t>10</w:t>
      </w:r>
      <w:r>
        <w:rPr>
          <w:rFonts w:hint="eastAsia" w:ascii="宋体" w:hAnsi="宋体" w:cs="宋体"/>
          <w:szCs w:val="24"/>
        </w:rPr>
        <w:t>%）。</w:t>
      </w:r>
    </w:p>
    <w:p>
      <w:pPr>
        <w:spacing w:line="360" w:lineRule="auto"/>
        <w:ind w:firstLine="480" w:firstLineChars="200"/>
        <w:rPr>
          <w:rFonts w:ascii="宋体" w:hAnsi="宋体" w:cs="宋体"/>
          <w:kern w:val="0"/>
          <w:szCs w:val="24"/>
        </w:rPr>
      </w:pPr>
      <w:r>
        <w:rPr>
          <w:rFonts w:hint="eastAsia" w:ascii="宋体" w:hAnsi="宋体" w:cs="宋体"/>
          <w:szCs w:val="24"/>
        </w:rPr>
        <w:t>（2）监狱企业</w:t>
      </w:r>
      <w:r>
        <w:rPr>
          <w:rFonts w:hint="eastAsia" w:ascii="宋体" w:hAnsi="宋体" w:cs="宋体"/>
          <w:kern w:val="0"/>
          <w:szCs w:val="24"/>
        </w:rPr>
        <w:t xml:space="preserve">属于小型、微型企业的，不重复享受政策。 </w:t>
      </w:r>
    </w:p>
    <w:p>
      <w:pPr>
        <w:spacing w:line="360" w:lineRule="auto"/>
        <w:ind w:firstLine="480" w:firstLineChars="200"/>
        <w:rPr>
          <w:rFonts w:ascii="宋体" w:hAnsi="宋体" w:cs="宋体"/>
          <w:szCs w:val="24"/>
        </w:rPr>
      </w:pPr>
      <w:r>
        <w:rPr>
          <w:rFonts w:hint="eastAsia" w:ascii="宋体" w:hAnsi="宋体" w:cs="宋体"/>
          <w:szCs w:val="24"/>
        </w:rPr>
        <w:t>（3）监狱企业参加政府采购活动时，应当提供由省级以上监狱管理局、戒毒管理局（含新疆生产建设兵团）出具的属于监狱企业的证明文件。</w:t>
      </w:r>
    </w:p>
    <w:p>
      <w:pPr>
        <w:spacing w:line="360" w:lineRule="auto"/>
        <w:ind w:firstLine="480" w:firstLineChars="200"/>
        <w:rPr>
          <w:rFonts w:ascii="宋体" w:hAnsi="宋体" w:cs="宋体"/>
          <w:szCs w:val="24"/>
        </w:rPr>
      </w:pPr>
      <w:r>
        <w:rPr>
          <w:rFonts w:hint="eastAsia" w:ascii="宋体" w:hAnsi="宋体" w:cs="宋体"/>
          <w:szCs w:val="24"/>
        </w:rPr>
        <w:t>（4）监狱企业按《财政部、司法部关于政府采购支持监狱企业发展有关问题的通知》（财库〔2014〕68号）文件规定标准执行。</w:t>
      </w:r>
    </w:p>
    <w:p>
      <w:pPr>
        <w:spacing w:line="360" w:lineRule="auto"/>
        <w:ind w:firstLine="600" w:firstLineChars="250"/>
        <w:rPr>
          <w:rFonts w:ascii="宋体" w:hAnsi="宋体" w:cs="宋体"/>
          <w:szCs w:val="24"/>
        </w:rPr>
      </w:pPr>
      <w:r>
        <w:rPr>
          <w:rFonts w:hint="eastAsia" w:ascii="宋体" w:hAnsi="宋体" w:cs="宋体"/>
          <w:szCs w:val="24"/>
        </w:rPr>
        <w:t>3-7-3、残疾人福利性单位的价格评分标准</w:t>
      </w:r>
    </w:p>
    <w:p>
      <w:pPr>
        <w:spacing w:line="360" w:lineRule="auto"/>
        <w:ind w:firstLine="600" w:firstLineChars="250"/>
        <w:rPr>
          <w:rFonts w:ascii="宋体" w:hAnsi="宋体" w:cs="宋体"/>
          <w:szCs w:val="24"/>
        </w:rPr>
      </w:pPr>
      <w:r>
        <w:rPr>
          <w:rFonts w:hint="eastAsia" w:ascii="宋体" w:hAnsi="宋体" w:cs="宋体"/>
          <w:szCs w:val="24"/>
        </w:rPr>
        <w:t>（1）在政府采购活动中，残疾人福利性单位视同小型、微型企业，享受预留份额、评审中价格扣除等政府采购促进中小企业发展的政府采购政策。对残疾人福利性单位产品的价格给予</w:t>
      </w:r>
      <w:r>
        <w:rPr>
          <w:rFonts w:hint="eastAsia" w:ascii="宋体" w:hAnsi="宋体" w:cs="宋体"/>
          <w:szCs w:val="24"/>
          <w:lang w:val="en-US" w:eastAsia="zh-CN"/>
        </w:rPr>
        <w:t>10</w:t>
      </w:r>
      <w:r>
        <w:rPr>
          <w:rFonts w:hint="eastAsia" w:ascii="宋体" w:hAnsi="宋体" w:cs="宋体"/>
          <w:szCs w:val="24"/>
        </w:rPr>
        <w:t>%的扣除，用扣除后的价格参与评审，其评标价=投标报价×（1-</w:t>
      </w:r>
      <w:r>
        <w:rPr>
          <w:rFonts w:hint="eastAsia" w:ascii="宋体" w:hAnsi="宋体" w:cs="宋体"/>
          <w:szCs w:val="24"/>
          <w:lang w:val="en-US" w:eastAsia="zh-CN"/>
        </w:rPr>
        <w:t>10</w:t>
      </w:r>
      <w:r>
        <w:rPr>
          <w:rFonts w:hint="eastAsia" w:ascii="宋体" w:hAnsi="宋体" w:cs="宋体"/>
          <w:szCs w:val="24"/>
        </w:rPr>
        <w:t>%）。</w:t>
      </w:r>
    </w:p>
    <w:p>
      <w:pPr>
        <w:spacing w:line="360" w:lineRule="auto"/>
        <w:ind w:firstLine="480" w:firstLineChars="200"/>
        <w:rPr>
          <w:rFonts w:ascii="宋体" w:hAnsi="宋体" w:cs="宋体"/>
          <w:kern w:val="0"/>
          <w:szCs w:val="24"/>
        </w:rPr>
      </w:pPr>
      <w:r>
        <w:rPr>
          <w:rFonts w:hint="eastAsia" w:ascii="宋体" w:hAnsi="宋体" w:cs="宋体"/>
          <w:szCs w:val="24"/>
        </w:rPr>
        <w:t>（2）</w:t>
      </w:r>
      <w:r>
        <w:rPr>
          <w:rFonts w:hint="eastAsia" w:ascii="宋体" w:hAnsi="宋体" w:cs="宋体"/>
          <w:kern w:val="0"/>
          <w:szCs w:val="24"/>
        </w:rPr>
        <w:t>残疾人福利性单位属于小型、微型企业的，不重复享受政策。</w:t>
      </w:r>
    </w:p>
    <w:p>
      <w:pPr>
        <w:spacing w:line="360" w:lineRule="auto"/>
        <w:ind w:firstLine="480" w:firstLineChars="200"/>
        <w:rPr>
          <w:rFonts w:ascii="宋体" w:hAnsi="宋体" w:cs="宋体"/>
          <w:kern w:val="0"/>
          <w:szCs w:val="24"/>
        </w:rPr>
      </w:pPr>
      <w:r>
        <w:rPr>
          <w:rFonts w:hint="eastAsia" w:ascii="宋体" w:hAnsi="宋体" w:cs="宋体"/>
          <w:szCs w:val="24"/>
        </w:rPr>
        <w:t>（3）</w:t>
      </w:r>
      <w:r>
        <w:rPr>
          <w:rFonts w:hint="eastAsia" w:ascii="宋体" w:hAnsi="宋体" w:cs="宋体"/>
          <w:kern w:val="0"/>
          <w:szCs w:val="24"/>
        </w:rPr>
        <w:t>符合条件的残疾人福利性单位在参加政府采购活动时，应当提供本通知规定的《残疾人福利性单位声明函》（见附件），并对声明的真实性负责，</w:t>
      </w:r>
      <w:r>
        <w:rPr>
          <w:rFonts w:hint="eastAsia" w:ascii="宋体" w:hAnsi="宋体" w:cs="宋体"/>
          <w:szCs w:val="24"/>
        </w:rPr>
        <w:t>未提供的不视为</w:t>
      </w:r>
      <w:r>
        <w:rPr>
          <w:rFonts w:hint="eastAsia" w:ascii="宋体" w:hAnsi="宋体" w:cs="宋体"/>
          <w:kern w:val="0"/>
          <w:szCs w:val="24"/>
        </w:rPr>
        <w:t xml:space="preserve">残疾人福利性单位。 </w:t>
      </w:r>
    </w:p>
    <w:p>
      <w:pPr>
        <w:spacing w:line="360" w:lineRule="auto"/>
        <w:ind w:firstLine="597" w:firstLineChars="249"/>
        <w:rPr>
          <w:rFonts w:ascii="宋体" w:hAnsi="宋体" w:cs="宋体"/>
          <w:szCs w:val="24"/>
        </w:rPr>
      </w:pPr>
      <w:r>
        <w:rPr>
          <w:rFonts w:hint="eastAsia" w:ascii="宋体" w:hAnsi="宋体" w:cs="宋体"/>
          <w:szCs w:val="24"/>
        </w:rPr>
        <w:t>3-7-4、节能产品、环境标志产品政策</w:t>
      </w:r>
    </w:p>
    <w:p>
      <w:pPr>
        <w:autoSpaceDE w:val="0"/>
        <w:autoSpaceDN w:val="0"/>
        <w:adjustRightInd w:val="0"/>
        <w:spacing w:line="480" w:lineRule="exact"/>
        <w:ind w:firstLine="480" w:firstLineChars="200"/>
        <w:rPr>
          <w:rFonts w:ascii="宋体" w:hAnsi="宋体"/>
          <w:bCs/>
        </w:rPr>
      </w:pPr>
      <w:r>
        <w:rPr>
          <w:rFonts w:hint="eastAsia" w:ascii="宋体" w:hAnsi="宋体"/>
          <w:bCs/>
        </w:rPr>
        <w:t>（1）根据《关于调整优化节能产品、环境标志产品政府采购执行机制的通知》（财库〔2019〕9号）的规定，投标人为提供服务所伴随的货物属于节能产品、环境标志产品品目清单范围内，且投标人所投产品具有有效期内的产品认证证书，在评标时予以优先采购，具体见评审因素和指标内容。</w:t>
      </w:r>
    </w:p>
    <w:p>
      <w:pPr>
        <w:autoSpaceDE w:val="0"/>
        <w:autoSpaceDN w:val="0"/>
        <w:adjustRightInd w:val="0"/>
        <w:spacing w:line="480" w:lineRule="exact"/>
        <w:ind w:firstLine="480" w:firstLineChars="200"/>
        <w:rPr>
          <w:rFonts w:ascii="宋体" w:hAnsi="宋体"/>
          <w:bCs/>
        </w:rPr>
      </w:pPr>
      <w:r>
        <w:rPr>
          <w:rFonts w:hint="eastAsia" w:ascii="宋体" w:hAnsi="宋体"/>
          <w:bCs/>
        </w:rPr>
        <w:t>（2）如投标人为提供服务所伴随的货物为政府强制采购的节能产品，投标人所投产品的品牌及型号必须为清单中有效期内产品并提供证明文件，否则其投标将作为无效投标被拒绝。</w:t>
      </w:r>
    </w:p>
    <w:p>
      <w:pPr>
        <w:autoSpaceDE w:val="0"/>
        <w:autoSpaceDN w:val="0"/>
        <w:adjustRightInd w:val="0"/>
        <w:spacing w:line="480" w:lineRule="exact"/>
        <w:ind w:firstLine="480" w:firstLineChars="200"/>
        <w:rPr>
          <w:rFonts w:ascii="宋体" w:hAnsi="宋体"/>
          <w:bCs/>
        </w:rPr>
      </w:pPr>
      <w:r>
        <w:rPr>
          <w:rFonts w:hint="eastAsia" w:ascii="宋体" w:hAnsi="宋体"/>
          <w:bCs/>
        </w:rPr>
        <w:t>（3）若节能、环境标志清单内的产品仅是构成投标产品的部件、组件或零件的，则该投标产品不享受鼓励优惠政策。</w:t>
      </w:r>
    </w:p>
    <w:p>
      <w:pPr>
        <w:autoSpaceDE w:val="0"/>
        <w:autoSpaceDN w:val="0"/>
        <w:adjustRightInd w:val="0"/>
        <w:spacing w:line="480" w:lineRule="exact"/>
        <w:ind w:firstLine="480" w:firstLineChars="200"/>
        <w:rPr>
          <w:rFonts w:ascii="宋体" w:hAnsi="宋体"/>
          <w:bCs/>
        </w:rPr>
      </w:pPr>
      <w:r>
        <w:rPr>
          <w:rFonts w:hint="eastAsia" w:ascii="宋体" w:hAnsi="宋体"/>
          <w:bCs/>
        </w:rPr>
        <w:t>（4）对于同时列入环保清单和节能产品政府采购清单的产品，应当优先于只列入其中一个清单的产品。</w:t>
      </w:r>
    </w:p>
    <w:p>
      <w:pPr>
        <w:autoSpaceDE w:val="0"/>
        <w:autoSpaceDN w:val="0"/>
        <w:adjustRightInd w:val="0"/>
        <w:spacing w:line="480" w:lineRule="exact"/>
        <w:ind w:firstLine="480" w:firstLineChars="200"/>
        <w:rPr>
          <w:rFonts w:ascii="宋体" w:hAnsi="宋体"/>
          <w:bCs/>
        </w:rPr>
      </w:pPr>
      <w:r>
        <w:rPr>
          <w:rFonts w:hint="eastAsia" w:ascii="宋体" w:hAnsi="宋体"/>
          <w:bCs/>
        </w:rPr>
        <w:t>（5）获得上述认证的产品在投标时应提供有效证明材料。以上所有证明文件复印件须加盖供应商公章并注明“与原件一致”，否则不予计分。</w:t>
      </w:r>
    </w:p>
    <w:p>
      <w:pPr>
        <w:spacing w:line="360" w:lineRule="auto"/>
        <w:ind w:firstLine="482" w:firstLineChars="200"/>
        <w:rPr>
          <w:rFonts w:ascii="宋体" w:hAnsi="宋体" w:cs="宋体"/>
          <w:b/>
          <w:szCs w:val="24"/>
        </w:rPr>
      </w:pPr>
      <w:r>
        <w:rPr>
          <w:rFonts w:hint="eastAsia" w:ascii="宋体" w:hAnsi="宋体" w:cs="宋体"/>
          <w:b/>
          <w:szCs w:val="24"/>
        </w:rPr>
        <w:t>4、</w:t>
      </w:r>
      <w:r>
        <w:rPr>
          <w:rFonts w:hint="eastAsia" w:ascii="宋体" w:hAnsi="宋体" w:cs="宋体"/>
          <w:b/>
          <w:bCs/>
          <w:szCs w:val="24"/>
        </w:rPr>
        <w:t>定标</w:t>
      </w:r>
    </w:p>
    <w:p>
      <w:pPr>
        <w:spacing w:line="360" w:lineRule="auto"/>
        <w:ind w:firstLine="480" w:firstLineChars="200"/>
        <w:rPr>
          <w:rFonts w:ascii="宋体" w:hAnsi="宋体" w:cs="宋体"/>
          <w:szCs w:val="24"/>
        </w:rPr>
      </w:pPr>
      <w:r>
        <w:rPr>
          <w:rFonts w:hint="eastAsia" w:ascii="宋体" w:hAnsi="宋体" w:cs="宋体"/>
          <w:szCs w:val="24"/>
        </w:rPr>
        <w:t>4-1、定标程序</w:t>
      </w:r>
    </w:p>
    <w:p>
      <w:pPr>
        <w:numPr>
          <w:ilvl w:val="0"/>
          <w:numId w:val="4"/>
        </w:numPr>
        <w:spacing w:line="360" w:lineRule="auto"/>
        <w:ind w:firstLine="480" w:firstLineChars="200"/>
        <w:rPr>
          <w:rFonts w:ascii="宋体" w:hAnsi="宋体" w:cs="宋体"/>
          <w:kern w:val="0"/>
          <w:szCs w:val="24"/>
        </w:rPr>
      </w:pPr>
      <w:r>
        <w:rPr>
          <w:rFonts w:hint="eastAsia" w:ascii="宋体" w:hAnsi="宋体" w:cs="宋体"/>
          <w:szCs w:val="24"/>
        </w:rPr>
        <w:t>磋商小组依据评标办法，经过符合性审查、澄清、比较与评价等程序后，在最大限度满足磋商文件实质性要求前提下进行综合评审，以评标总得分最高到低的顺序推荐3名以上成交候选人，并编写</w:t>
      </w:r>
      <w:bookmarkStart w:id="31" w:name="OLE_LINK4"/>
      <w:r>
        <w:rPr>
          <w:rFonts w:hint="eastAsia" w:ascii="宋体" w:hAnsi="宋体" w:cs="宋体"/>
          <w:szCs w:val="24"/>
        </w:rPr>
        <w:t>评标</w:t>
      </w:r>
      <w:bookmarkEnd w:id="31"/>
      <w:r>
        <w:rPr>
          <w:rFonts w:hint="eastAsia" w:ascii="宋体" w:hAnsi="宋体" w:cs="宋体"/>
          <w:szCs w:val="24"/>
        </w:rPr>
        <w:t>报告。</w:t>
      </w:r>
      <w:r>
        <w:rPr>
          <w:rFonts w:hint="eastAsia" w:ascii="宋体" w:hAnsi="宋体" w:cs="宋体"/>
          <w:kern w:val="0"/>
          <w:szCs w:val="24"/>
        </w:rPr>
        <w:t>　</w:t>
      </w:r>
    </w:p>
    <w:p>
      <w:pPr>
        <w:numPr>
          <w:ilvl w:val="0"/>
          <w:numId w:val="4"/>
        </w:numPr>
        <w:spacing w:line="360" w:lineRule="auto"/>
        <w:ind w:firstLine="480" w:firstLineChars="200"/>
        <w:rPr>
          <w:rFonts w:ascii="宋体" w:hAnsi="宋体" w:cs="宋体"/>
          <w:szCs w:val="24"/>
        </w:rPr>
      </w:pPr>
      <w:bookmarkStart w:id="32" w:name="OLE_LINK18"/>
      <w:r>
        <w:rPr>
          <w:rFonts w:hint="eastAsia" w:ascii="宋体" w:hAnsi="宋体" w:cs="宋体"/>
          <w:szCs w:val="24"/>
        </w:rPr>
        <w:t>磋商小组应当在评标报告上签字，对自己的评审意见承担法律责任。磋商小组</w:t>
      </w:r>
      <w:r>
        <w:rPr>
          <w:rFonts w:hint="eastAsia" w:ascii="宋体" w:hAnsi="宋体" w:cs="宋体"/>
        </w:rPr>
        <w:t>成员对需要共同认定的事项存在争议的，应当按照少数服从多数的原则作出结论。持不同意见的</w:t>
      </w:r>
      <w:r>
        <w:rPr>
          <w:rFonts w:hint="eastAsia" w:ascii="宋体" w:hAnsi="宋体" w:cs="宋体"/>
          <w:szCs w:val="24"/>
        </w:rPr>
        <w:t>磋商小组</w:t>
      </w:r>
      <w:r>
        <w:rPr>
          <w:rFonts w:hint="eastAsia" w:ascii="宋体" w:hAnsi="宋体" w:cs="宋体"/>
        </w:rPr>
        <w:t>成员应当在评标报告上签署不同意见及理由，否则视为同意评标报告。</w:t>
      </w:r>
    </w:p>
    <w:bookmarkEnd w:id="32"/>
    <w:p>
      <w:pPr>
        <w:numPr>
          <w:ilvl w:val="0"/>
          <w:numId w:val="4"/>
        </w:numPr>
        <w:adjustRightInd w:val="0"/>
        <w:snapToGrid w:val="0"/>
        <w:spacing w:line="360" w:lineRule="auto"/>
        <w:ind w:firstLine="480" w:firstLineChars="200"/>
        <w:rPr>
          <w:rFonts w:ascii="宋体" w:hAnsi="宋体" w:cs="宋体"/>
          <w:szCs w:val="24"/>
        </w:rPr>
      </w:pPr>
      <w:r>
        <w:rPr>
          <w:rFonts w:hint="eastAsia" w:ascii="宋体" w:hAnsi="宋体" w:cs="宋体"/>
          <w:szCs w:val="24"/>
        </w:rPr>
        <w:t>采购代理机构应当自评审结束之日起2个工作日内将评标报告送交采购人。采购人在收到评审报告5个工作日内，从评审报告推荐的成交候选人中，按顺序确定成交人。成交候选人并列的，投标报价得分高者成为成交人，若投标报价得分相同，技术得分高者成为成交人。确定结果后，采购人向采购代理机构出具《定标复函》。采购人逾期未按评标报告推荐的成交候选人顺序确定成交人，又不能说明合法理由的，视同按评标报告推荐的顺序确定排名第一的成交候选人为成交人。</w:t>
      </w:r>
    </w:p>
    <w:p>
      <w:pPr>
        <w:numPr>
          <w:ilvl w:val="0"/>
          <w:numId w:val="4"/>
        </w:numPr>
        <w:adjustRightInd w:val="0"/>
        <w:snapToGrid w:val="0"/>
        <w:spacing w:line="360" w:lineRule="auto"/>
        <w:ind w:firstLine="480" w:firstLineChars="200"/>
        <w:rPr>
          <w:rFonts w:ascii="宋体" w:hAnsi="宋体" w:cs="宋体"/>
          <w:szCs w:val="24"/>
        </w:rPr>
      </w:pPr>
      <w:r>
        <w:rPr>
          <w:rFonts w:hint="eastAsia" w:ascii="宋体" w:hAnsi="宋体" w:cs="宋体"/>
          <w:szCs w:val="24"/>
        </w:rPr>
        <w:t>采购代理机构接到采购人的《成交复函》后，在2个工作日内，将成交结果在陕西省政府采购网上进行公告。公告发布1个工作日，其他供应商若有异议，按《政府采购法》第52条执行。</w:t>
      </w:r>
    </w:p>
    <w:p>
      <w:pPr>
        <w:spacing w:line="360" w:lineRule="auto"/>
        <w:ind w:firstLine="600" w:firstLineChars="250"/>
        <w:rPr>
          <w:rFonts w:ascii="宋体" w:hAnsi="宋体" w:cs="宋体"/>
          <w:szCs w:val="24"/>
        </w:rPr>
      </w:pPr>
      <w:r>
        <w:rPr>
          <w:rFonts w:hint="eastAsia" w:ascii="宋体" w:hAnsi="宋体" w:cs="宋体"/>
          <w:szCs w:val="24"/>
        </w:rPr>
        <w:t>4-2、成交人确定后，采购人和采购代理机构对未成交原因不作任何解释，响应文件不予退还（含纸质及电子版文件）。</w:t>
      </w:r>
    </w:p>
    <w:p>
      <w:pPr>
        <w:adjustRightInd w:val="0"/>
        <w:snapToGrid w:val="0"/>
        <w:spacing w:line="360" w:lineRule="auto"/>
        <w:ind w:firstLine="482" w:firstLineChars="200"/>
        <w:rPr>
          <w:rFonts w:ascii="宋体" w:hAnsi="宋体" w:cs="宋体"/>
          <w:szCs w:val="24"/>
        </w:rPr>
      </w:pPr>
      <w:bookmarkStart w:id="33" w:name="_Toc458617738"/>
      <w:bookmarkStart w:id="34" w:name="_Toc458617461"/>
      <w:r>
        <w:rPr>
          <w:rFonts w:hint="eastAsia" w:ascii="宋体" w:hAnsi="宋体" w:cs="宋体"/>
          <w:b/>
          <w:szCs w:val="24"/>
        </w:rPr>
        <w:t>5、投标无效的情形：</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5-1、未按照磋商文件的规定提交投标保证金的；</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5-2、响应文件未按磋商文件要求签署、盖章的；</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5-3、不具备磋商文件中规定的资格要求的；</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5-4、报价超过磋商文件中规定的预算金额的；</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5-5、响应文件含有采购人不能接受的附加条件的；</w:t>
      </w:r>
    </w:p>
    <w:p>
      <w:pPr>
        <w:adjustRightInd w:val="0"/>
        <w:snapToGrid w:val="0"/>
        <w:spacing w:line="360" w:lineRule="auto"/>
        <w:ind w:firstLine="480" w:firstLineChars="200"/>
        <w:rPr>
          <w:rFonts w:ascii="宋体" w:hAnsi="宋体" w:cs="宋体"/>
          <w:kern w:val="0"/>
          <w:szCs w:val="24"/>
        </w:rPr>
      </w:pPr>
      <w:r>
        <w:rPr>
          <w:rFonts w:hint="eastAsia" w:ascii="宋体" w:hAnsi="宋体" w:cs="宋体"/>
          <w:szCs w:val="24"/>
        </w:rPr>
        <w:t>5-6、</w:t>
      </w:r>
      <w:r>
        <w:rPr>
          <w:rFonts w:hint="eastAsia" w:ascii="宋体" w:hAnsi="宋体" w:cs="宋体"/>
          <w:kern w:val="0"/>
          <w:szCs w:val="24"/>
        </w:rPr>
        <w:t>提供虚假材料谋取中标的；</w:t>
      </w:r>
    </w:p>
    <w:p>
      <w:pPr>
        <w:adjustRightInd w:val="0"/>
        <w:snapToGrid w:val="0"/>
        <w:spacing w:line="360" w:lineRule="auto"/>
        <w:ind w:firstLine="480" w:firstLineChars="200"/>
        <w:rPr>
          <w:rFonts w:ascii="宋体" w:hAnsi="宋体" w:cs="宋体"/>
          <w:kern w:val="0"/>
          <w:szCs w:val="24"/>
        </w:rPr>
      </w:pPr>
      <w:r>
        <w:rPr>
          <w:rFonts w:hint="eastAsia" w:ascii="宋体" w:hAnsi="宋体" w:cs="宋体"/>
          <w:kern w:val="0"/>
          <w:szCs w:val="24"/>
        </w:rPr>
        <w:t>5-7、采取不正当手段诋毁、排挤其他投标人的；</w:t>
      </w:r>
    </w:p>
    <w:p>
      <w:pPr>
        <w:adjustRightInd w:val="0"/>
        <w:snapToGrid w:val="0"/>
        <w:spacing w:line="360" w:lineRule="auto"/>
        <w:ind w:firstLine="480" w:firstLineChars="200"/>
        <w:rPr>
          <w:rFonts w:ascii="宋体" w:hAnsi="宋体" w:cs="宋体"/>
          <w:szCs w:val="24"/>
        </w:rPr>
      </w:pPr>
      <w:r>
        <w:rPr>
          <w:rFonts w:hint="eastAsia" w:ascii="宋体" w:hAnsi="宋体" w:cs="宋体"/>
          <w:kern w:val="0"/>
          <w:szCs w:val="24"/>
        </w:rPr>
        <w:t>5-8、</w:t>
      </w:r>
      <w:r>
        <w:rPr>
          <w:rFonts w:hint="eastAsia" w:ascii="宋体" w:hAnsi="宋体" w:cs="宋体"/>
          <w:szCs w:val="24"/>
        </w:rPr>
        <w:t>法律、法规和磋商文件规定的其他无效情形。</w:t>
      </w:r>
    </w:p>
    <w:p>
      <w:pPr>
        <w:spacing w:line="360" w:lineRule="auto"/>
        <w:ind w:firstLine="472" w:firstLineChars="196"/>
        <w:rPr>
          <w:rFonts w:ascii="宋体" w:hAnsi="宋体" w:cs="宋体"/>
          <w:b/>
          <w:szCs w:val="24"/>
        </w:rPr>
      </w:pPr>
      <w:r>
        <w:rPr>
          <w:rFonts w:hint="eastAsia" w:ascii="宋体" w:hAnsi="宋体" w:cs="宋体"/>
          <w:b/>
          <w:szCs w:val="24"/>
        </w:rPr>
        <w:t>6、成交通知</w:t>
      </w:r>
      <w:bookmarkEnd w:id="33"/>
      <w:bookmarkEnd w:id="34"/>
      <w:r>
        <w:rPr>
          <w:rFonts w:hint="eastAsia" w:ascii="宋体" w:hAnsi="宋体" w:cs="宋体"/>
          <w:b/>
          <w:szCs w:val="24"/>
        </w:rPr>
        <w:t>书及未成交通知书</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6-1、成交通知书及未成交通知书将在成交公告发布的同时由采购代理机构发出。</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6-2、成交人应在接到采购代理机构通知之日起七日内领取成交通知书。未在规定时间内领取成交通知书的，投标保证金不予退还。提供投标担保的供应商将由专业担保机构先行偿付采购人损失。</w:t>
      </w:r>
    </w:p>
    <w:p>
      <w:pPr>
        <w:adjustRightInd w:val="0"/>
        <w:snapToGrid w:val="0"/>
        <w:spacing w:line="360" w:lineRule="auto"/>
        <w:ind w:firstLine="480" w:firstLineChars="200"/>
        <w:rPr>
          <w:rFonts w:ascii="宋体" w:hAnsi="宋体" w:cs="宋体"/>
          <w:b/>
          <w:snapToGrid w:val="0"/>
          <w:szCs w:val="24"/>
        </w:rPr>
      </w:pPr>
      <w:r>
        <w:rPr>
          <w:rFonts w:hint="eastAsia" w:ascii="宋体" w:hAnsi="宋体" w:cs="宋体"/>
          <w:szCs w:val="24"/>
        </w:rPr>
        <w:t>6-3、</w:t>
      </w:r>
      <w:r>
        <w:rPr>
          <w:rFonts w:hint="eastAsia" w:ascii="宋体" w:hAnsi="宋体" w:cs="宋体"/>
          <w:kern w:val="0"/>
          <w:szCs w:val="24"/>
        </w:rPr>
        <w:t>成交通知书发出后，采购人不得违法改变成交结果，成交人无正当理由不得弃中标。</w:t>
      </w:r>
    </w:p>
    <w:p>
      <w:pPr>
        <w:spacing w:line="360" w:lineRule="auto"/>
        <w:jc w:val="center"/>
        <w:rPr>
          <w:rFonts w:ascii="宋体" w:hAnsi="宋体" w:cs="宋体"/>
          <w:b/>
          <w:snapToGrid w:val="0"/>
          <w:szCs w:val="24"/>
        </w:rPr>
      </w:pPr>
      <w:r>
        <w:rPr>
          <w:rFonts w:hint="eastAsia" w:ascii="宋体" w:hAnsi="宋体" w:cs="宋体"/>
          <w:b/>
          <w:snapToGrid w:val="0"/>
          <w:szCs w:val="24"/>
        </w:rPr>
        <w:t>（八） 授予合同</w:t>
      </w:r>
    </w:p>
    <w:p>
      <w:pPr>
        <w:spacing w:line="360" w:lineRule="auto"/>
        <w:ind w:firstLine="480" w:firstLineChars="200"/>
        <w:rPr>
          <w:rFonts w:ascii="宋体" w:hAnsi="宋体" w:cs="宋体"/>
          <w:szCs w:val="24"/>
        </w:rPr>
      </w:pPr>
      <w:bookmarkStart w:id="35" w:name="_Toc7215"/>
      <w:r>
        <w:rPr>
          <w:rFonts w:hint="eastAsia" w:ascii="宋体" w:hAnsi="宋体" w:cs="宋体"/>
          <w:szCs w:val="24"/>
        </w:rPr>
        <w:t>1、成交人在收到成交通知书后三十（30）个日历日内，应按磋商文件的要求与采购人签订合同。</w:t>
      </w:r>
    </w:p>
    <w:p>
      <w:pPr>
        <w:spacing w:line="360" w:lineRule="auto"/>
        <w:ind w:firstLine="480" w:firstLineChars="200"/>
        <w:rPr>
          <w:rFonts w:ascii="宋体" w:hAnsi="宋体" w:cs="宋体"/>
          <w:szCs w:val="24"/>
        </w:rPr>
      </w:pPr>
      <w:r>
        <w:rPr>
          <w:rFonts w:hint="eastAsia" w:ascii="宋体" w:hAnsi="宋体" w:cs="宋体"/>
          <w:szCs w:val="24"/>
        </w:rPr>
        <w:t>2、成交人因自身原因不按规定与采购人签订服务合同或者拒绝与采购人签订合同的，则采购人将废除授标，投标保证金不予退还。给采购人造成损失超过投标保证金额的，还应当对超过部分予以赔偿，并依法承担相应法律责任。</w:t>
      </w:r>
      <w:r>
        <w:rPr>
          <w:rFonts w:hint="eastAsia" w:ascii="宋体" w:hAnsi="宋体" w:cs="宋体"/>
        </w:rPr>
        <w:t>同时，采购人可以按照评审报告推荐的成交候选人名单排序，确定下一候选人为</w:t>
      </w:r>
      <w:r>
        <w:rPr>
          <w:rFonts w:hint="eastAsia" w:ascii="宋体" w:hAnsi="宋体" w:cs="宋体"/>
          <w:szCs w:val="24"/>
        </w:rPr>
        <w:t>成交</w:t>
      </w:r>
      <w:r>
        <w:rPr>
          <w:rFonts w:hint="eastAsia" w:ascii="宋体" w:hAnsi="宋体" w:cs="宋体"/>
        </w:rPr>
        <w:t>人，</w:t>
      </w:r>
      <w:r>
        <w:rPr>
          <w:rFonts w:hint="eastAsia" w:ascii="宋体" w:hAnsi="宋体" w:cs="宋体"/>
          <w:szCs w:val="24"/>
        </w:rPr>
        <w:t>以此类推，</w:t>
      </w:r>
      <w:r>
        <w:rPr>
          <w:rFonts w:hint="eastAsia" w:ascii="宋体" w:hAnsi="宋体" w:cs="宋体"/>
        </w:rPr>
        <w:t>也可以重新开展政府采购活动。</w:t>
      </w:r>
      <w:r>
        <w:rPr>
          <w:rFonts w:hint="eastAsia" w:ascii="宋体" w:hAnsi="宋体" w:cs="宋体"/>
          <w:szCs w:val="24"/>
        </w:rPr>
        <w:t>因自身原因拒绝签订政府采购合同的或者未按合同约定进行履约的，成交人不得参加对该项目重新开展的招标活动。</w:t>
      </w:r>
    </w:p>
    <w:p>
      <w:pPr>
        <w:spacing w:line="360" w:lineRule="auto"/>
        <w:ind w:firstLine="480" w:firstLineChars="200"/>
        <w:rPr>
          <w:rFonts w:ascii="宋体" w:hAnsi="宋体" w:cs="宋体"/>
          <w:szCs w:val="24"/>
        </w:rPr>
      </w:pPr>
      <w:r>
        <w:rPr>
          <w:rFonts w:hint="eastAsia" w:ascii="宋体" w:hAnsi="宋体" w:cs="宋体"/>
          <w:szCs w:val="24"/>
        </w:rPr>
        <w:t>3、成交通知书将是合同的重要组成部分。磋商文件、成交人的响应文件及评议过程中有关的澄清文件均作为合同附件。</w:t>
      </w:r>
    </w:p>
    <w:p>
      <w:pPr>
        <w:spacing w:line="360" w:lineRule="auto"/>
        <w:ind w:firstLine="480" w:firstLineChars="200"/>
        <w:rPr>
          <w:rFonts w:ascii="宋体" w:hAnsi="宋体" w:cs="宋体"/>
          <w:szCs w:val="24"/>
        </w:rPr>
      </w:pPr>
      <w:r>
        <w:rPr>
          <w:rFonts w:hint="eastAsia" w:ascii="宋体" w:hAnsi="宋体" w:cs="宋体"/>
          <w:szCs w:val="24"/>
        </w:rPr>
        <w:t>4、成交后，成交人应按照合同约定履行义务，完成招标项目的工作，经采购人同意，成交人可以依法采取分包方式履行合同。分包部分为成交项目的部分非主体、非关键性工作。接受分包的投标人应当具备相应的资格条件，并不得再次分包。分包履行的，成交人就采购项目和分包项目向采购人负责，分包投标人就分包项目承担责任。中小企业根据《政府采购促进中小企业发展管理办法》（财库﹝2020﹞46 号）的政策获取政府采购合同后，小型、微型企业不得分包或转包给大型、中型企业，中型企业不得分包或转包给大型企业。</w:t>
      </w:r>
    </w:p>
    <w:p>
      <w:pPr>
        <w:spacing w:line="360" w:lineRule="auto"/>
        <w:ind w:left="480" w:leftChars="200"/>
        <w:rPr>
          <w:rFonts w:ascii="宋体" w:hAnsi="宋体" w:cs="宋体"/>
          <w:szCs w:val="24"/>
        </w:rPr>
      </w:pPr>
      <w:r>
        <w:rPr>
          <w:rFonts w:hint="eastAsia" w:ascii="宋体" w:hAnsi="宋体" w:cs="宋体"/>
          <w:szCs w:val="24"/>
        </w:rPr>
        <w:t>5、所签订的合同不得对磋商文件确定的事项和成交人响应文件作实质性修改。</w:t>
      </w:r>
    </w:p>
    <w:p>
      <w:pPr>
        <w:spacing w:line="360" w:lineRule="auto"/>
        <w:ind w:firstLine="480" w:firstLineChars="200"/>
        <w:rPr>
          <w:rFonts w:ascii="宋体" w:hAnsi="宋体" w:cs="宋体"/>
          <w:szCs w:val="24"/>
        </w:rPr>
      </w:pPr>
      <w:r>
        <w:rPr>
          <w:rFonts w:hint="eastAsia" w:ascii="宋体" w:hAnsi="宋体" w:cs="宋体"/>
          <w:szCs w:val="24"/>
        </w:rPr>
        <w:t>6、采购人需追加与合同标的相同的货物、工程或服务的，在不改变合同其他条款的前提下，可以与成交人协商签订补充合同，但所有补充合同的采购金额不得超过原合同采购金额的百分之十。</w:t>
      </w:r>
    </w:p>
    <w:p>
      <w:pPr>
        <w:spacing w:line="360" w:lineRule="auto"/>
        <w:jc w:val="center"/>
        <w:rPr>
          <w:rFonts w:ascii="宋体" w:hAnsi="宋体" w:cs="宋体"/>
          <w:b/>
          <w:snapToGrid w:val="0"/>
          <w:szCs w:val="24"/>
        </w:rPr>
      </w:pPr>
      <w:r>
        <w:rPr>
          <w:rFonts w:hint="eastAsia" w:ascii="宋体" w:hAnsi="宋体" w:cs="宋体"/>
          <w:b/>
          <w:snapToGrid w:val="0"/>
          <w:szCs w:val="24"/>
        </w:rPr>
        <w:t>（九）合同的履约验收</w:t>
      </w:r>
      <w:bookmarkEnd w:id="35"/>
    </w:p>
    <w:p>
      <w:pPr>
        <w:spacing w:line="360" w:lineRule="auto"/>
        <w:jc w:val="center"/>
        <w:rPr>
          <w:rFonts w:ascii="宋体" w:hAnsi="宋体" w:cs="宋体"/>
          <w:szCs w:val="24"/>
        </w:rPr>
      </w:pPr>
      <w:r>
        <w:rPr>
          <w:rFonts w:hint="eastAsia" w:ascii="宋体" w:hAnsi="宋体" w:cs="宋体"/>
        </w:rPr>
        <w:t xml:space="preserve">     </w:t>
      </w:r>
      <w:r>
        <w:rPr>
          <w:rFonts w:hint="eastAsia" w:ascii="宋体" w:hAnsi="宋体" w:cs="宋体"/>
          <w:szCs w:val="24"/>
        </w:rPr>
        <w:t>采购人应按照政府采购合同约定的技术、服务、安全标准组织对供应商每一项技</w:t>
      </w:r>
    </w:p>
    <w:p>
      <w:pPr>
        <w:spacing w:line="360" w:lineRule="auto"/>
        <w:rPr>
          <w:rFonts w:ascii="宋体" w:hAnsi="宋体" w:cs="宋体"/>
          <w:b/>
          <w:snapToGrid w:val="0"/>
          <w:szCs w:val="24"/>
        </w:rPr>
      </w:pPr>
      <w:r>
        <w:rPr>
          <w:rFonts w:hint="eastAsia" w:ascii="宋体" w:hAnsi="宋体" w:cs="宋体"/>
          <w:szCs w:val="24"/>
        </w:rPr>
        <w:t>术、服务、安全标准的履约情况进行验收，并出具验收书。</w:t>
      </w:r>
    </w:p>
    <w:p>
      <w:pPr>
        <w:spacing w:line="360" w:lineRule="auto"/>
        <w:jc w:val="center"/>
        <w:rPr>
          <w:rFonts w:ascii="宋体" w:hAnsi="宋体" w:cs="宋体"/>
          <w:b/>
          <w:snapToGrid w:val="0"/>
          <w:szCs w:val="24"/>
        </w:rPr>
      </w:pPr>
      <w:bookmarkStart w:id="36" w:name="_Toc15528"/>
      <w:r>
        <w:rPr>
          <w:rFonts w:hint="eastAsia" w:ascii="宋体" w:hAnsi="宋体" w:cs="宋体"/>
          <w:b/>
          <w:snapToGrid w:val="0"/>
          <w:szCs w:val="24"/>
        </w:rPr>
        <w:t>（十）招标服务费</w:t>
      </w:r>
      <w:bookmarkEnd w:id="36"/>
    </w:p>
    <w:p>
      <w:pPr>
        <w:spacing w:line="360" w:lineRule="auto"/>
        <w:ind w:firstLine="480" w:firstLineChars="200"/>
        <w:jc w:val="left"/>
        <w:rPr>
          <w:rFonts w:ascii="宋体" w:hAnsi="宋体" w:cs="宋体"/>
          <w:szCs w:val="24"/>
        </w:rPr>
      </w:pPr>
      <w:r>
        <w:rPr>
          <w:rFonts w:hint="eastAsia" w:ascii="宋体" w:hAnsi="宋体" w:cs="宋体"/>
          <w:szCs w:val="24"/>
        </w:rPr>
        <w:t>1.成交单位依据《国家计委关于印发&lt;招标代理服务收费管理暂行办法&gt;的通知》(计价格〔2002〕1980号)、《国家发展改革委员会办公厅关于招标代理服务收费有关问题的通知》（发改办价格〔2003〕857号）以及《国家发展改革委关于降低部分建设项目收费标准规范收费行为等有关问题的通知》(发改价格〔2011〕534号)，以服务收费标准向陕西致恒招标代理有限公司交纳招标服务费。</w:t>
      </w:r>
    </w:p>
    <w:p>
      <w:pPr>
        <w:spacing w:line="360" w:lineRule="auto"/>
        <w:ind w:firstLine="480" w:firstLineChars="200"/>
        <w:rPr>
          <w:rFonts w:ascii="宋体" w:hAnsi="宋体" w:cs="宋体"/>
          <w:szCs w:val="24"/>
        </w:rPr>
      </w:pPr>
      <w:bookmarkStart w:id="37" w:name="_Toc193187089"/>
      <w:bookmarkStart w:id="38" w:name="_Toc193126874"/>
      <w:bookmarkStart w:id="39" w:name="_Toc188808820"/>
      <w:bookmarkStart w:id="40" w:name="_Toc194663910"/>
      <w:r>
        <w:rPr>
          <w:rFonts w:hint="eastAsia" w:ascii="宋体" w:hAnsi="宋体" w:cs="宋体"/>
          <w:szCs w:val="24"/>
        </w:rPr>
        <w:t>2、招标服务费应采用现金形式缴纳，不得用投标保证金冲抵。</w:t>
      </w:r>
    </w:p>
    <w:p>
      <w:pPr>
        <w:spacing w:line="360" w:lineRule="auto"/>
        <w:ind w:firstLine="482" w:firstLineChars="200"/>
        <w:rPr>
          <w:rFonts w:ascii="宋体" w:hAnsi="宋体"/>
          <w:b/>
          <w:bCs/>
          <w:szCs w:val="24"/>
        </w:rPr>
      </w:pPr>
      <w:r>
        <w:rPr>
          <w:rFonts w:hint="eastAsia" w:ascii="宋体" w:hAnsi="宋体"/>
          <w:b/>
          <w:bCs/>
          <w:szCs w:val="24"/>
        </w:rPr>
        <w:t>招标代理服务费汇款账户：</w:t>
      </w:r>
    </w:p>
    <w:p>
      <w:pPr>
        <w:pStyle w:val="32"/>
        <w:spacing w:line="360" w:lineRule="auto"/>
        <w:ind w:firstLine="482"/>
        <w:rPr>
          <w:rFonts w:ascii="宋体"/>
          <w:b/>
          <w:sz w:val="24"/>
          <w:szCs w:val="24"/>
        </w:rPr>
      </w:pPr>
      <w:r>
        <w:rPr>
          <w:rFonts w:hint="eastAsia" w:ascii="宋体" w:hAnsi="宋体"/>
          <w:b/>
          <w:sz w:val="24"/>
          <w:szCs w:val="24"/>
        </w:rPr>
        <w:t>开户行名称：陕西致恒招标代理有限公司</w:t>
      </w:r>
    </w:p>
    <w:p>
      <w:pPr>
        <w:pStyle w:val="32"/>
        <w:spacing w:line="360" w:lineRule="auto"/>
        <w:ind w:firstLine="482"/>
        <w:rPr>
          <w:rFonts w:ascii="宋体"/>
          <w:b/>
          <w:sz w:val="24"/>
          <w:szCs w:val="24"/>
        </w:rPr>
      </w:pPr>
      <w:r>
        <w:rPr>
          <w:rFonts w:hint="eastAsia" w:ascii="宋体" w:hAnsi="宋体"/>
          <w:b/>
          <w:sz w:val="24"/>
          <w:szCs w:val="24"/>
        </w:rPr>
        <w:t>开</w:t>
      </w:r>
      <w:r>
        <w:rPr>
          <w:rFonts w:ascii="宋体" w:hAnsi="宋体"/>
          <w:b/>
          <w:sz w:val="24"/>
          <w:szCs w:val="24"/>
        </w:rPr>
        <w:t xml:space="preserve">  </w:t>
      </w:r>
      <w:r>
        <w:rPr>
          <w:rFonts w:hint="eastAsia" w:ascii="宋体" w:hAnsi="宋体"/>
          <w:b/>
          <w:sz w:val="24"/>
          <w:szCs w:val="24"/>
        </w:rPr>
        <w:t>户</w:t>
      </w:r>
      <w:r>
        <w:rPr>
          <w:rFonts w:ascii="宋体" w:hAnsi="宋体"/>
          <w:b/>
          <w:sz w:val="24"/>
          <w:szCs w:val="24"/>
        </w:rPr>
        <w:t xml:space="preserve">  </w:t>
      </w:r>
      <w:r>
        <w:rPr>
          <w:rFonts w:hint="eastAsia" w:ascii="宋体" w:hAnsi="宋体"/>
          <w:b/>
          <w:sz w:val="24"/>
          <w:szCs w:val="24"/>
        </w:rPr>
        <w:t>行：中国民生银行股份有限公司西安高新开发区支行</w:t>
      </w:r>
    </w:p>
    <w:p>
      <w:pPr>
        <w:pStyle w:val="16"/>
        <w:spacing w:line="360" w:lineRule="auto"/>
        <w:ind w:firstLine="482" w:firstLineChars="200"/>
        <w:rPr>
          <w:b/>
        </w:rPr>
      </w:pPr>
      <w:r>
        <w:rPr>
          <w:rFonts w:hint="eastAsia" w:ascii="宋体" w:hAnsi="宋体"/>
          <w:b/>
          <w:szCs w:val="24"/>
        </w:rPr>
        <w:t>帐</w:t>
      </w:r>
      <w:r>
        <w:rPr>
          <w:rFonts w:ascii="宋体" w:hAnsi="宋体"/>
          <w:b/>
          <w:szCs w:val="24"/>
        </w:rPr>
        <w:t xml:space="preserve">      </w:t>
      </w:r>
      <w:r>
        <w:rPr>
          <w:rFonts w:hint="eastAsia" w:ascii="宋体" w:hAnsi="宋体"/>
          <w:b/>
          <w:szCs w:val="24"/>
        </w:rPr>
        <w:t>号：159322825</w:t>
      </w:r>
    </w:p>
    <w:p>
      <w:pPr>
        <w:spacing w:line="360" w:lineRule="auto"/>
        <w:ind w:firstLine="480" w:firstLineChars="200"/>
        <w:rPr>
          <w:rFonts w:ascii="宋体" w:hAnsi="宋体" w:cs="宋体"/>
          <w:szCs w:val="24"/>
        </w:rPr>
      </w:pPr>
      <w:r>
        <w:rPr>
          <w:rFonts w:hint="eastAsia" w:ascii="宋体" w:hAnsi="宋体" w:cs="宋体"/>
          <w:szCs w:val="24"/>
        </w:rPr>
        <w:t>3、成交人如未按上述第1条规定办理，采购代理机构将没收其投标保证金。提供投标担保的投标人将由专业担保机构先行偿付采购代理机构损失。</w:t>
      </w:r>
      <w:bookmarkStart w:id="41" w:name="_Toc458617741"/>
      <w:bookmarkStart w:id="42" w:name="_Toc458617464"/>
    </w:p>
    <w:bookmarkEnd w:id="37"/>
    <w:bookmarkEnd w:id="38"/>
    <w:bookmarkEnd w:id="39"/>
    <w:bookmarkEnd w:id="40"/>
    <w:bookmarkEnd w:id="41"/>
    <w:bookmarkEnd w:id="42"/>
    <w:p>
      <w:pPr>
        <w:pStyle w:val="4"/>
        <w:rPr>
          <w:rFonts w:ascii="宋体" w:hAnsi="宋体" w:cs="宋体"/>
          <w:bCs w:val="0"/>
          <w:snapToGrid w:val="0"/>
          <w:sz w:val="24"/>
          <w:szCs w:val="24"/>
        </w:rPr>
      </w:pPr>
      <w:bookmarkStart w:id="43" w:name="_Toc12257"/>
      <w:bookmarkStart w:id="44" w:name="_Toc113"/>
      <w:bookmarkStart w:id="45" w:name="_Toc20748"/>
      <w:bookmarkStart w:id="46" w:name="_Toc25370"/>
      <w:bookmarkStart w:id="47" w:name="_Toc20486"/>
      <w:bookmarkStart w:id="48" w:name="_Toc31556"/>
      <w:bookmarkStart w:id="49" w:name="_Toc458617743"/>
      <w:bookmarkStart w:id="50" w:name="_Toc458617466"/>
      <w:r>
        <w:rPr>
          <w:rFonts w:hint="eastAsia" w:ascii="宋体" w:hAnsi="宋体" w:cs="宋体"/>
          <w:bCs w:val="0"/>
          <w:snapToGrid w:val="0"/>
          <w:sz w:val="24"/>
          <w:szCs w:val="24"/>
        </w:rPr>
        <w:t>（十一）重新组织采购活动</w:t>
      </w:r>
      <w:bookmarkEnd w:id="43"/>
      <w:bookmarkEnd w:id="44"/>
      <w:bookmarkEnd w:id="45"/>
      <w:bookmarkEnd w:id="46"/>
      <w:bookmarkEnd w:id="47"/>
    </w:p>
    <w:p>
      <w:pPr>
        <w:spacing w:line="360" w:lineRule="auto"/>
        <w:ind w:firstLine="480" w:firstLineChars="200"/>
        <w:rPr>
          <w:rFonts w:ascii="宋体" w:hAnsi="宋体" w:cs="宋体"/>
          <w:szCs w:val="24"/>
        </w:rPr>
      </w:pPr>
      <w:r>
        <w:rPr>
          <w:rFonts w:hint="eastAsia" w:ascii="宋体" w:hAnsi="宋体" w:cs="宋体"/>
          <w:szCs w:val="24"/>
        </w:rPr>
        <w:t>如果发生下列情况之一，采购人和采购代理机构将按《政府采购法》、《政府采购货物和服务招标投标管理办法》（财政部第87号）等有关规定重新组织采购活动：</w:t>
      </w:r>
    </w:p>
    <w:p>
      <w:pPr>
        <w:spacing w:line="360" w:lineRule="auto"/>
        <w:rPr>
          <w:rFonts w:ascii="宋体" w:hAnsi="宋体" w:cs="宋体"/>
          <w:kern w:val="96"/>
          <w:szCs w:val="24"/>
        </w:rPr>
      </w:pPr>
      <w:r>
        <w:rPr>
          <w:rFonts w:hint="eastAsia" w:ascii="宋体" w:hAnsi="宋体" w:cs="宋体"/>
          <w:kern w:val="96"/>
          <w:szCs w:val="24"/>
        </w:rPr>
        <w:t xml:space="preserve">    （1）因重大变故，采购任务取消的；</w:t>
      </w:r>
    </w:p>
    <w:p>
      <w:pPr>
        <w:spacing w:line="360" w:lineRule="auto"/>
        <w:ind w:firstLine="480" w:firstLineChars="200"/>
        <w:rPr>
          <w:rFonts w:ascii="宋体" w:hAnsi="宋体" w:cs="宋体"/>
          <w:kern w:val="96"/>
          <w:szCs w:val="24"/>
        </w:rPr>
      </w:pPr>
      <w:r>
        <w:rPr>
          <w:rFonts w:hint="eastAsia" w:ascii="宋体" w:hAnsi="宋体" w:cs="宋体"/>
          <w:kern w:val="96"/>
          <w:szCs w:val="24"/>
        </w:rPr>
        <w:t>（2）磋商文件存在不合理条款或者招标程序不符合规定的；</w:t>
      </w:r>
    </w:p>
    <w:p>
      <w:pPr>
        <w:spacing w:line="360" w:lineRule="auto"/>
        <w:ind w:firstLine="480" w:firstLineChars="200"/>
        <w:rPr>
          <w:rFonts w:ascii="宋体" w:hAnsi="宋体" w:cs="宋体"/>
          <w:szCs w:val="24"/>
        </w:rPr>
      </w:pPr>
      <w:r>
        <w:rPr>
          <w:rFonts w:hint="eastAsia" w:ascii="宋体" w:hAnsi="宋体" w:cs="宋体"/>
          <w:kern w:val="96"/>
          <w:szCs w:val="24"/>
        </w:rPr>
        <w:t>（3）</w:t>
      </w:r>
      <w:r>
        <w:rPr>
          <w:rFonts w:hint="eastAsia" w:ascii="宋体" w:hAnsi="宋体" w:cs="宋体"/>
          <w:szCs w:val="24"/>
        </w:rPr>
        <w:t>出现影响采购公正的违法、违规行为的；</w:t>
      </w:r>
    </w:p>
    <w:p>
      <w:pPr>
        <w:spacing w:line="360" w:lineRule="auto"/>
        <w:ind w:firstLine="480" w:firstLineChars="200"/>
        <w:rPr>
          <w:rFonts w:ascii="宋体" w:hAnsi="宋体" w:cs="宋体"/>
          <w:kern w:val="96"/>
          <w:szCs w:val="24"/>
        </w:rPr>
      </w:pPr>
      <w:r>
        <w:rPr>
          <w:rFonts w:hint="eastAsia" w:ascii="宋体" w:hAnsi="宋体" w:cs="宋体"/>
          <w:szCs w:val="24"/>
        </w:rPr>
        <w:t>（4）投标截止后供应商不足3家或者通过资格审查或符合性审查的供应商不足3家的；</w:t>
      </w:r>
    </w:p>
    <w:p>
      <w:pPr>
        <w:spacing w:line="360" w:lineRule="auto"/>
        <w:ind w:firstLine="480" w:firstLineChars="200"/>
        <w:rPr>
          <w:rFonts w:ascii="宋体" w:hAnsi="宋体" w:cs="宋体"/>
          <w:szCs w:val="24"/>
        </w:rPr>
      </w:pPr>
      <w:r>
        <w:rPr>
          <w:rFonts w:hint="eastAsia" w:ascii="宋体" w:hAnsi="宋体" w:cs="宋体"/>
          <w:szCs w:val="24"/>
        </w:rPr>
        <w:t>（5）所有供应商的报价均超出采购预算，采购人不能支付的；</w:t>
      </w:r>
    </w:p>
    <w:p>
      <w:pPr>
        <w:pStyle w:val="4"/>
        <w:rPr>
          <w:rFonts w:ascii="宋体" w:hAnsi="宋体" w:cs="宋体"/>
          <w:bCs w:val="0"/>
          <w:snapToGrid w:val="0"/>
          <w:sz w:val="24"/>
          <w:szCs w:val="24"/>
        </w:rPr>
      </w:pPr>
      <w:bookmarkStart w:id="51" w:name="_Toc506109947"/>
      <w:bookmarkStart w:id="52" w:name="_Toc3854"/>
      <w:bookmarkStart w:id="53" w:name="_Toc1956"/>
      <w:bookmarkStart w:id="54" w:name="_Toc506112137"/>
      <w:bookmarkStart w:id="55" w:name="_Toc14358"/>
      <w:bookmarkStart w:id="56" w:name="_Toc14000"/>
      <w:bookmarkStart w:id="57" w:name="_Toc10030"/>
      <w:bookmarkStart w:id="58" w:name="_Toc6734"/>
      <w:bookmarkStart w:id="59" w:name="_Toc19026"/>
      <w:r>
        <w:rPr>
          <w:rFonts w:hint="eastAsia" w:ascii="宋体" w:hAnsi="宋体" w:cs="宋体"/>
          <w:bCs w:val="0"/>
          <w:snapToGrid w:val="0"/>
          <w:sz w:val="24"/>
          <w:szCs w:val="24"/>
        </w:rPr>
        <w:t>（十二）特殊情况处理</w:t>
      </w:r>
      <w:bookmarkEnd w:id="51"/>
      <w:bookmarkEnd w:id="52"/>
      <w:bookmarkEnd w:id="53"/>
      <w:bookmarkEnd w:id="54"/>
      <w:bookmarkEnd w:id="55"/>
      <w:bookmarkEnd w:id="56"/>
      <w:bookmarkEnd w:id="57"/>
      <w:bookmarkEnd w:id="58"/>
      <w:bookmarkEnd w:id="59"/>
    </w:p>
    <w:p>
      <w:pPr>
        <w:spacing w:line="360" w:lineRule="auto"/>
        <w:ind w:firstLine="480" w:firstLineChars="200"/>
        <w:rPr>
          <w:rFonts w:ascii="宋体" w:hAnsi="宋体" w:cs="宋体"/>
          <w:szCs w:val="24"/>
        </w:rPr>
      </w:pPr>
      <w:r>
        <w:rPr>
          <w:rFonts w:hint="eastAsia" w:ascii="宋体" w:hAnsi="宋体" w:cs="宋体"/>
        </w:rPr>
        <w:t>根据陕西省财政厅关于政府采购信息公告有关事项的通知（陕财办采资〔2018〕26号），公开招标数额标准以上的政府采购项目，公开招标后参加投标或实质响应竞争性磋商的供应商只有一家，经财政部门审批同意采用单一来源方式采购的，其公示内容和期限按照财政部《政府采购非招标采购方式管理办法》第三十八条规定办理。</w:t>
      </w:r>
    </w:p>
    <w:p>
      <w:pPr>
        <w:spacing w:line="360" w:lineRule="auto"/>
        <w:jc w:val="center"/>
        <w:rPr>
          <w:rFonts w:ascii="宋体" w:hAnsi="宋体" w:cs="宋体"/>
          <w:b/>
          <w:snapToGrid w:val="0"/>
          <w:szCs w:val="24"/>
        </w:rPr>
      </w:pPr>
      <w:r>
        <w:rPr>
          <w:rFonts w:hint="eastAsia" w:ascii="宋体" w:hAnsi="宋体" w:cs="宋体"/>
          <w:b/>
          <w:snapToGrid w:val="0"/>
          <w:szCs w:val="24"/>
        </w:rPr>
        <w:t>（十三）询问、质疑与投诉(按照中华人民共和国财政部令第94号执行)</w:t>
      </w:r>
      <w:bookmarkEnd w:id="48"/>
    </w:p>
    <w:p>
      <w:pPr>
        <w:spacing w:line="360" w:lineRule="auto"/>
        <w:ind w:firstLine="480" w:firstLineChars="200"/>
        <w:rPr>
          <w:rFonts w:ascii="宋体" w:hAnsi="宋体" w:cs="宋体"/>
          <w:szCs w:val="24"/>
        </w:rPr>
      </w:pPr>
      <w:r>
        <w:rPr>
          <w:rFonts w:hint="eastAsia" w:ascii="宋体" w:hAnsi="宋体" w:cs="宋体"/>
          <w:szCs w:val="24"/>
        </w:rPr>
        <w:t>1、询问</w:t>
      </w:r>
    </w:p>
    <w:p>
      <w:pPr>
        <w:spacing w:line="360" w:lineRule="auto"/>
        <w:ind w:firstLine="480" w:firstLineChars="200"/>
        <w:rPr>
          <w:rFonts w:ascii="宋体" w:hAnsi="宋体" w:cs="宋体"/>
          <w:kern w:val="0"/>
          <w:szCs w:val="24"/>
        </w:rPr>
      </w:pPr>
      <w:r>
        <w:rPr>
          <w:rFonts w:hint="eastAsia" w:ascii="宋体" w:hAnsi="宋体" w:cs="宋体"/>
          <w:kern w:val="0"/>
          <w:szCs w:val="24"/>
        </w:rPr>
        <w:t>供应商对政府采购活动事项有疑问的，可以向采购人、采购代理机构提出询问。</w:t>
      </w:r>
    </w:p>
    <w:p>
      <w:pPr>
        <w:spacing w:line="360" w:lineRule="auto"/>
        <w:ind w:firstLine="480" w:firstLineChars="200"/>
        <w:rPr>
          <w:rFonts w:ascii="宋体" w:hAnsi="宋体" w:cs="宋体"/>
          <w:kern w:val="0"/>
          <w:szCs w:val="24"/>
        </w:rPr>
      </w:pPr>
      <w:r>
        <w:rPr>
          <w:rFonts w:hint="eastAsia" w:ascii="宋体" w:hAnsi="宋体" w:cs="宋体"/>
          <w:kern w:val="0"/>
          <w:szCs w:val="24"/>
        </w:rPr>
        <w:t>2、质疑</w:t>
      </w:r>
    </w:p>
    <w:p>
      <w:pPr>
        <w:spacing w:line="360" w:lineRule="auto"/>
        <w:ind w:firstLine="480" w:firstLineChars="200"/>
        <w:rPr>
          <w:rFonts w:ascii="宋体" w:hAnsi="宋体" w:cs="宋体"/>
        </w:rPr>
      </w:pPr>
      <w:r>
        <w:rPr>
          <w:rFonts w:hint="eastAsia" w:ascii="宋体" w:hAnsi="宋体" w:cs="宋体"/>
        </w:rPr>
        <w:t>2-1、</w:t>
      </w:r>
      <w:r>
        <w:rPr>
          <w:rFonts w:hint="eastAsia" w:ascii="宋体" w:hAnsi="宋体" w:cs="宋体"/>
          <w:szCs w:val="24"/>
        </w:rPr>
        <w:t>供应商认为采购文件、采购过程、中标或者成交结果使自己的权益受到损害的，可以再知道或者应知其权益受到损害之日起7个工作日内，以书面形式向采购人、采购代理机构提出质疑。</w:t>
      </w:r>
    </w:p>
    <w:p>
      <w:pPr>
        <w:spacing w:line="360" w:lineRule="auto"/>
        <w:ind w:firstLine="480" w:firstLineChars="200"/>
        <w:rPr>
          <w:rFonts w:ascii="宋体" w:hAnsi="宋体" w:cs="宋体"/>
          <w:szCs w:val="24"/>
        </w:rPr>
      </w:pPr>
      <w:r>
        <w:rPr>
          <w:rFonts w:hint="eastAsia" w:ascii="宋体" w:hAnsi="宋体" w:cs="宋体"/>
          <w:szCs w:val="24"/>
        </w:rPr>
        <w:t>2-2、供应商须在法定质疑期内一次性提出针对同一采购程序环节的质疑。</w:t>
      </w:r>
    </w:p>
    <w:p>
      <w:pPr>
        <w:spacing w:line="360" w:lineRule="auto"/>
        <w:ind w:firstLine="480" w:firstLineChars="200"/>
        <w:rPr>
          <w:rFonts w:ascii="宋体" w:hAnsi="宋体" w:cs="宋体"/>
        </w:rPr>
      </w:pPr>
      <w:r>
        <w:rPr>
          <w:rFonts w:hint="eastAsia" w:ascii="宋体" w:hAnsi="宋体" w:cs="宋体"/>
        </w:rPr>
        <w:t>2-3、</w:t>
      </w:r>
      <w:r>
        <w:rPr>
          <w:rFonts w:hint="eastAsia" w:ascii="宋体" w:hAnsi="宋体" w:cs="宋体"/>
          <w:szCs w:val="24"/>
        </w:rPr>
        <w:t>供应商</w:t>
      </w:r>
      <w:r>
        <w:rPr>
          <w:rFonts w:hint="eastAsia" w:ascii="宋体" w:hAnsi="宋体" w:cs="宋体"/>
        </w:rPr>
        <w:t>必须按照财政部发布的《政府采购供应商质疑函范本》及其制作说明提出质疑。</w:t>
      </w:r>
    </w:p>
    <w:p>
      <w:pPr>
        <w:spacing w:line="360" w:lineRule="auto"/>
        <w:ind w:firstLine="480" w:firstLineChars="200"/>
        <w:rPr>
          <w:rFonts w:ascii="宋体" w:hAnsi="宋体" w:cs="宋体"/>
          <w:szCs w:val="24"/>
        </w:rPr>
      </w:pPr>
      <w:r>
        <w:rPr>
          <w:rFonts w:hint="eastAsia" w:ascii="宋体" w:hAnsi="宋体" w:cs="宋体"/>
          <w:szCs w:val="24"/>
        </w:rPr>
        <w:t>2-4、供应商应在法定期限内以书面形式提出质疑，联系人：屈工，联系方式：13289892509，地址：西安市未央区北二环大明宫立交桥百寰国际2704室。</w:t>
      </w:r>
    </w:p>
    <w:p>
      <w:pPr>
        <w:spacing w:line="360" w:lineRule="auto"/>
        <w:ind w:firstLine="480" w:firstLineChars="200"/>
        <w:rPr>
          <w:rFonts w:ascii="宋体" w:hAnsi="宋体" w:cs="宋体"/>
          <w:szCs w:val="24"/>
        </w:rPr>
      </w:pPr>
      <w:r>
        <w:rPr>
          <w:rFonts w:hint="eastAsia" w:ascii="宋体" w:hAnsi="宋体" w:cs="宋体"/>
          <w:szCs w:val="24"/>
        </w:rPr>
        <w:t>2-5、供应商提出质疑应当提交质疑函和必要的证明材料。质疑函应当包括下列内容：</w:t>
      </w:r>
    </w:p>
    <w:p>
      <w:pPr>
        <w:spacing w:line="360" w:lineRule="auto"/>
        <w:ind w:firstLine="480" w:firstLineChars="200"/>
        <w:rPr>
          <w:rFonts w:ascii="宋体" w:hAnsi="宋体" w:cs="宋体"/>
          <w:szCs w:val="24"/>
        </w:rPr>
      </w:pPr>
      <w:r>
        <w:rPr>
          <w:rFonts w:hint="eastAsia" w:ascii="宋体" w:hAnsi="宋体" w:cs="宋体"/>
          <w:szCs w:val="24"/>
        </w:rPr>
        <w:t>（1）供应商的姓名或者名称、地址、邮编、联系人及联系电话；</w:t>
      </w:r>
    </w:p>
    <w:p>
      <w:pPr>
        <w:spacing w:line="360" w:lineRule="auto"/>
        <w:ind w:firstLine="480" w:firstLineChars="200"/>
        <w:rPr>
          <w:rFonts w:ascii="宋体" w:hAnsi="宋体" w:cs="宋体"/>
          <w:szCs w:val="24"/>
        </w:rPr>
      </w:pPr>
      <w:r>
        <w:rPr>
          <w:rFonts w:hint="eastAsia" w:ascii="宋体" w:hAnsi="宋体" w:cs="宋体"/>
          <w:szCs w:val="24"/>
        </w:rPr>
        <w:t>（2）质疑项目的名称、编号；</w:t>
      </w:r>
    </w:p>
    <w:p>
      <w:pPr>
        <w:spacing w:line="360" w:lineRule="auto"/>
        <w:ind w:firstLine="480" w:firstLineChars="200"/>
        <w:rPr>
          <w:rFonts w:ascii="宋体" w:hAnsi="宋体" w:cs="宋体"/>
          <w:szCs w:val="24"/>
        </w:rPr>
      </w:pPr>
      <w:r>
        <w:rPr>
          <w:rFonts w:hint="eastAsia" w:ascii="宋体" w:hAnsi="宋体" w:cs="宋体"/>
          <w:szCs w:val="24"/>
        </w:rPr>
        <w:t>（3）具体、明确的质疑事项和与质疑事项相关的请求；</w:t>
      </w:r>
    </w:p>
    <w:p>
      <w:pPr>
        <w:spacing w:line="360" w:lineRule="auto"/>
        <w:ind w:firstLine="480" w:firstLineChars="200"/>
        <w:rPr>
          <w:rFonts w:ascii="宋体" w:hAnsi="宋体" w:cs="宋体"/>
          <w:szCs w:val="24"/>
        </w:rPr>
      </w:pPr>
      <w:r>
        <w:rPr>
          <w:rFonts w:hint="eastAsia" w:ascii="宋体" w:hAnsi="宋体" w:cs="宋体"/>
          <w:szCs w:val="24"/>
        </w:rPr>
        <w:t>（4）事实依据；</w:t>
      </w:r>
    </w:p>
    <w:p>
      <w:pPr>
        <w:spacing w:line="360" w:lineRule="auto"/>
        <w:ind w:firstLine="480" w:firstLineChars="200"/>
        <w:rPr>
          <w:rFonts w:ascii="宋体" w:hAnsi="宋体" w:cs="宋体"/>
          <w:szCs w:val="24"/>
        </w:rPr>
      </w:pPr>
      <w:r>
        <w:rPr>
          <w:rFonts w:hint="eastAsia" w:ascii="宋体" w:hAnsi="宋体" w:cs="宋体"/>
          <w:szCs w:val="24"/>
        </w:rPr>
        <w:t>（5）必要的法律依据；</w:t>
      </w:r>
    </w:p>
    <w:p>
      <w:pPr>
        <w:spacing w:line="360" w:lineRule="auto"/>
        <w:ind w:firstLine="480" w:firstLineChars="200"/>
        <w:rPr>
          <w:rFonts w:ascii="宋体" w:hAnsi="宋体" w:cs="宋体"/>
          <w:szCs w:val="24"/>
        </w:rPr>
      </w:pPr>
      <w:r>
        <w:rPr>
          <w:rFonts w:hint="eastAsia" w:ascii="宋体" w:hAnsi="宋体" w:cs="宋体"/>
          <w:szCs w:val="24"/>
        </w:rPr>
        <w:t>（6）提出质疑的日期。</w:t>
      </w:r>
    </w:p>
    <w:p>
      <w:pPr>
        <w:spacing w:line="360" w:lineRule="auto"/>
        <w:ind w:firstLine="480" w:firstLineChars="200"/>
        <w:rPr>
          <w:rFonts w:ascii="宋体" w:hAnsi="宋体" w:cs="宋体"/>
          <w:szCs w:val="24"/>
        </w:rPr>
      </w:pPr>
      <w:r>
        <w:rPr>
          <w:rFonts w:hint="eastAsia" w:ascii="宋体" w:hAnsi="宋体" w:cs="宋体"/>
          <w:szCs w:val="24"/>
        </w:rPr>
        <w:t>3、有下列情形之一的，属于无效质疑，陕西致恒招标代理有限公司和采购人不予受理：</w:t>
      </w:r>
    </w:p>
    <w:p>
      <w:pPr>
        <w:spacing w:line="360" w:lineRule="auto"/>
        <w:ind w:firstLine="480" w:firstLineChars="200"/>
        <w:rPr>
          <w:rFonts w:ascii="宋体" w:hAnsi="宋体" w:cs="宋体"/>
          <w:szCs w:val="24"/>
        </w:rPr>
      </w:pPr>
      <w:r>
        <w:rPr>
          <w:rFonts w:hint="eastAsia" w:ascii="宋体" w:hAnsi="宋体" w:cs="宋体"/>
          <w:szCs w:val="24"/>
        </w:rPr>
        <w:t>（1）质疑人不是参与本次政府采购项目的供应商或潜在供应商；</w:t>
      </w:r>
    </w:p>
    <w:p>
      <w:pPr>
        <w:spacing w:line="360" w:lineRule="auto"/>
        <w:ind w:firstLine="480" w:firstLineChars="200"/>
        <w:rPr>
          <w:rFonts w:ascii="宋体" w:hAnsi="宋体" w:cs="宋体"/>
          <w:szCs w:val="24"/>
        </w:rPr>
      </w:pPr>
      <w:r>
        <w:rPr>
          <w:rFonts w:hint="eastAsia" w:ascii="宋体" w:hAnsi="宋体" w:cs="宋体"/>
          <w:szCs w:val="24"/>
        </w:rPr>
        <w:t>（2）质疑人与质疑事项不存在利害关系的；</w:t>
      </w:r>
    </w:p>
    <w:p>
      <w:pPr>
        <w:spacing w:line="360" w:lineRule="auto"/>
        <w:ind w:firstLine="480" w:firstLineChars="200"/>
        <w:rPr>
          <w:rFonts w:ascii="宋体" w:hAnsi="宋体" w:cs="宋体"/>
          <w:szCs w:val="24"/>
        </w:rPr>
      </w:pPr>
      <w:r>
        <w:rPr>
          <w:rFonts w:hint="eastAsia" w:ascii="宋体" w:hAnsi="宋体" w:cs="宋体"/>
          <w:szCs w:val="24"/>
        </w:rPr>
        <w:t>（3）未在法定期限内提出质疑的；</w:t>
      </w:r>
    </w:p>
    <w:p>
      <w:pPr>
        <w:spacing w:line="360" w:lineRule="auto"/>
        <w:ind w:firstLine="480" w:firstLineChars="200"/>
        <w:rPr>
          <w:rFonts w:ascii="宋体" w:hAnsi="宋体" w:cs="宋体"/>
          <w:szCs w:val="24"/>
        </w:rPr>
      </w:pPr>
      <w:r>
        <w:rPr>
          <w:rFonts w:hint="eastAsia" w:ascii="宋体" w:hAnsi="宋体" w:cs="宋体"/>
          <w:szCs w:val="24"/>
        </w:rPr>
        <w:t>（4）质疑未以书面形式提出，或质疑函主要内容构成不完整的，或缺乏必要的证明材料及证明材料不完整的；</w:t>
      </w:r>
    </w:p>
    <w:p>
      <w:pPr>
        <w:spacing w:line="360" w:lineRule="auto"/>
        <w:ind w:firstLine="480" w:firstLineChars="200"/>
        <w:rPr>
          <w:rFonts w:ascii="宋体" w:hAnsi="宋体" w:cs="宋体"/>
          <w:szCs w:val="24"/>
        </w:rPr>
      </w:pPr>
      <w:r>
        <w:rPr>
          <w:rFonts w:hint="eastAsia" w:ascii="宋体" w:hAnsi="宋体" w:cs="宋体"/>
          <w:szCs w:val="24"/>
        </w:rPr>
        <w:t>（5）质疑函没有合法有效的签字、盖章或授权的；</w:t>
      </w:r>
    </w:p>
    <w:p>
      <w:pPr>
        <w:spacing w:line="360" w:lineRule="auto"/>
        <w:ind w:firstLine="480" w:firstLineChars="200"/>
        <w:rPr>
          <w:rFonts w:ascii="宋体" w:hAnsi="宋体" w:cs="宋体"/>
          <w:szCs w:val="24"/>
        </w:rPr>
      </w:pPr>
      <w:r>
        <w:rPr>
          <w:rFonts w:hint="eastAsia" w:ascii="宋体" w:hAnsi="宋体" w:cs="宋体"/>
          <w:szCs w:val="24"/>
        </w:rPr>
        <w:t>（6）以非法手段取得证据、材料的；</w:t>
      </w:r>
    </w:p>
    <w:p>
      <w:pPr>
        <w:spacing w:line="360" w:lineRule="auto"/>
        <w:ind w:firstLine="480" w:firstLineChars="200"/>
        <w:rPr>
          <w:rFonts w:ascii="宋体" w:hAnsi="宋体" w:cs="宋体"/>
          <w:szCs w:val="24"/>
        </w:rPr>
      </w:pPr>
      <w:r>
        <w:rPr>
          <w:rFonts w:hint="eastAsia" w:ascii="宋体" w:hAnsi="宋体" w:cs="宋体"/>
          <w:szCs w:val="24"/>
        </w:rPr>
        <w:t>（7）质疑答复后，同一质疑人就同一事项再次提出质疑的；</w:t>
      </w:r>
    </w:p>
    <w:p>
      <w:pPr>
        <w:spacing w:line="360" w:lineRule="auto"/>
        <w:ind w:firstLine="480" w:firstLineChars="200"/>
        <w:rPr>
          <w:rFonts w:ascii="宋体" w:hAnsi="宋体" w:cs="宋体"/>
          <w:szCs w:val="24"/>
        </w:rPr>
      </w:pPr>
      <w:r>
        <w:rPr>
          <w:rFonts w:hint="eastAsia" w:ascii="宋体" w:hAnsi="宋体" w:cs="宋体"/>
          <w:szCs w:val="24"/>
        </w:rPr>
        <w:t>（8）不符合法律、法规、规章和政府采购监管机构规定的其他条件的。</w:t>
      </w:r>
    </w:p>
    <w:p>
      <w:pPr>
        <w:pStyle w:val="16"/>
        <w:spacing w:line="360" w:lineRule="auto"/>
        <w:ind w:firstLine="482" w:firstLineChars="200"/>
        <w:rPr>
          <w:rFonts w:ascii="宋体" w:hAnsi="宋体" w:cs="宋体"/>
          <w:b/>
          <w:bCs/>
          <w:szCs w:val="24"/>
        </w:rPr>
      </w:pPr>
      <w:r>
        <w:rPr>
          <w:rFonts w:hint="eastAsia" w:ascii="宋体" w:hAnsi="宋体" w:cs="宋体"/>
          <w:b/>
          <w:bCs/>
          <w:szCs w:val="24"/>
        </w:rPr>
        <w:t>4、供应商投诉的事项不得超出已质疑事项的范围。</w:t>
      </w:r>
    </w:p>
    <w:p>
      <w:pPr>
        <w:spacing w:line="360" w:lineRule="auto"/>
        <w:ind w:firstLine="482" w:firstLineChars="200"/>
        <w:rPr>
          <w:rFonts w:ascii="宋体" w:hAnsi="宋体" w:cs="宋体"/>
          <w:szCs w:val="24"/>
        </w:rPr>
      </w:pPr>
      <w:r>
        <w:rPr>
          <w:rFonts w:hint="eastAsia" w:ascii="宋体" w:hAnsi="宋体" w:cs="宋体"/>
          <w:b/>
          <w:bCs/>
          <w:szCs w:val="24"/>
        </w:rPr>
        <w:t>5、对捏造事实、提供虚假材料进行质疑、投诉的行为予以严肃处理：</w:t>
      </w:r>
    </w:p>
    <w:p>
      <w:pPr>
        <w:spacing w:line="360" w:lineRule="auto"/>
        <w:ind w:firstLine="480" w:firstLineChars="200"/>
        <w:rPr>
          <w:rFonts w:ascii="宋体" w:hAnsi="宋体" w:cs="宋体"/>
          <w:szCs w:val="24"/>
        </w:rPr>
      </w:pPr>
      <w:r>
        <w:rPr>
          <w:rFonts w:hint="eastAsia" w:ascii="宋体" w:hAnsi="宋体" w:cs="宋体"/>
          <w:szCs w:val="24"/>
        </w:rPr>
        <w:t>依据《中华人民共和国政府采购法》及其实施条例、《政府采购竞争性磋商采购方式管理暂行办法》及有关问题的补充通知、《政府采购质疑和投诉办法》等法律法规文件的规定，供应商质疑、投诉应当有明确的请求和必要的证明材料。</w:t>
      </w:r>
      <w:r>
        <w:rPr>
          <w:rFonts w:hint="eastAsia" w:ascii="宋体" w:hAnsi="宋体" w:cs="宋体"/>
          <w:b/>
          <w:bCs/>
          <w:szCs w:val="24"/>
        </w:rPr>
        <w:t>投诉人在全国范围内十二个月内三次以上投诉查无实据的，由财政部门列入不良行为记录名单。</w:t>
      </w:r>
      <w:r>
        <w:rPr>
          <w:rFonts w:hint="eastAsia" w:ascii="宋体" w:hAnsi="宋体" w:cs="宋体"/>
          <w:szCs w:val="24"/>
        </w:rPr>
        <w:t>对于捏造事实、提供虚假材料或者以非法手段取得证明材料进行投诉的，财政部门应当予以驳回，并将其列入不良行为记录名单，禁止其一至三年内参加政府采购活动。</w:t>
      </w:r>
    </w:p>
    <w:p>
      <w:pPr>
        <w:spacing w:line="360" w:lineRule="auto"/>
        <w:ind w:firstLine="482" w:firstLineChars="200"/>
        <w:rPr>
          <w:rFonts w:ascii="宋体" w:hAnsi="宋体" w:cs="宋体"/>
          <w:szCs w:val="24"/>
        </w:rPr>
      </w:pPr>
      <w:r>
        <w:rPr>
          <w:rFonts w:hint="eastAsia" w:ascii="宋体" w:hAnsi="宋体" w:cs="宋体"/>
          <w:b/>
          <w:bCs/>
          <w:szCs w:val="24"/>
        </w:rPr>
        <w:t>6、对捏造事实诬告陷害他人、诽谤他人的法律适用：</w:t>
      </w:r>
    </w:p>
    <w:p>
      <w:pPr>
        <w:spacing w:line="360" w:lineRule="auto"/>
        <w:ind w:firstLine="480" w:firstLineChars="200"/>
        <w:rPr>
          <w:rFonts w:ascii="宋体" w:hAnsi="宋体" w:cs="宋体"/>
          <w:szCs w:val="24"/>
        </w:rPr>
      </w:pPr>
      <w:r>
        <w:rPr>
          <w:rFonts w:hint="eastAsia" w:ascii="宋体" w:hAnsi="宋体" w:cs="宋体"/>
          <w:szCs w:val="24"/>
        </w:rPr>
        <w:t>《中华人民共和国刑法》第243条【诬告陷害罪】捏造事实诬告陷害他人，意图使他人受刑事追究，情节严重的，处三年以下有期徒刑、拘役或者管制；造成严重后果的，处三年以上十年以下有期徒刑。</w:t>
      </w:r>
    </w:p>
    <w:p>
      <w:pPr>
        <w:spacing w:line="360" w:lineRule="auto"/>
        <w:ind w:firstLine="480" w:firstLineChars="200"/>
        <w:rPr>
          <w:rFonts w:ascii="宋体" w:hAnsi="宋体" w:cs="宋体"/>
          <w:szCs w:val="24"/>
        </w:rPr>
      </w:pPr>
      <w:r>
        <w:rPr>
          <w:rFonts w:hint="eastAsia" w:ascii="宋体" w:hAnsi="宋体" w:cs="宋体"/>
          <w:szCs w:val="24"/>
        </w:rPr>
        <w:t>《中华人民共和国刑法》第246条【侮辱罪、诽谤罪】以暴力或者其他方法公然侮辱他人或者捏造事实诽谤他人，情节严重的，处三年以下有期徒刑、拘役、管制或者剥夺政治权利。</w:t>
      </w:r>
    </w:p>
    <w:p>
      <w:pPr>
        <w:spacing w:line="360" w:lineRule="auto"/>
        <w:ind w:firstLine="480" w:firstLineChars="200"/>
        <w:rPr>
          <w:rFonts w:ascii="宋体" w:hAnsi="宋体" w:cs="宋体"/>
          <w:szCs w:val="24"/>
        </w:rPr>
      </w:pPr>
      <w:r>
        <w:rPr>
          <w:rFonts w:hint="eastAsia" w:ascii="宋体" w:hAnsi="宋体" w:cs="宋体"/>
          <w:szCs w:val="24"/>
        </w:rPr>
        <w:t>7、投诉</w:t>
      </w:r>
    </w:p>
    <w:p>
      <w:pPr>
        <w:spacing w:line="360" w:lineRule="auto"/>
        <w:ind w:firstLine="480" w:firstLineChars="200"/>
        <w:rPr>
          <w:rFonts w:ascii="宋体" w:hAnsi="宋体" w:cs="宋体"/>
          <w:szCs w:val="24"/>
        </w:rPr>
      </w:pPr>
      <w:r>
        <w:rPr>
          <w:rFonts w:hint="eastAsia" w:ascii="宋体" w:hAnsi="宋体" w:cs="宋体"/>
          <w:szCs w:val="24"/>
        </w:rPr>
        <w:t>质疑供应商对采购人、采购代理机构的答复不满意或者采购人、采购代理机构未在规定的时间内作出答复的，可按《政府采购法》第55条和《政府采购质疑和投诉办法》（财政部令第94号）第17条等有关规定执行。</w:t>
      </w:r>
    </w:p>
    <w:p>
      <w:pPr>
        <w:spacing w:line="360" w:lineRule="auto"/>
        <w:jc w:val="center"/>
        <w:rPr>
          <w:rFonts w:ascii="宋体" w:hAnsi="宋体" w:cs="宋体"/>
          <w:b/>
          <w:snapToGrid w:val="0"/>
          <w:szCs w:val="24"/>
        </w:rPr>
      </w:pPr>
      <w:bookmarkStart w:id="60" w:name="_Toc16414"/>
      <w:r>
        <w:rPr>
          <w:rFonts w:hint="eastAsia" w:ascii="宋体" w:hAnsi="宋体" w:cs="宋体"/>
          <w:b/>
          <w:snapToGrid w:val="0"/>
          <w:szCs w:val="24"/>
        </w:rPr>
        <w:t>（十四）拒绝商业贿赂</w:t>
      </w:r>
      <w:bookmarkEnd w:id="49"/>
      <w:bookmarkEnd w:id="50"/>
      <w:bookmarkEnd w:id="60"/>
    </w:p>
    <w:p>
      <w:pPr>
        <w:spacing w:line="360" w:lineRule="auto"/>
        <w:ind w:firstLine="480" w:firstLineChars="200"/>
        <w:rPr>
          <w:rFonts w:ascii="宋体" w:hAnsi="宋体" w:cs="宋体"/>
          <w:szCs w:val="24"/>
        </w:rPr>
      </w:pPr>
      <w:r>
        <w:rPr>
          <w:rFonts w:hint="eastAsia" w:ascii="宋体" w:hAnsi="宋体" w:cs="宋体"/>
          <w:szCs w:val="24"/>
        </w:rPr>
        <w:t>1、遵照陕西省财政厅的规定，采购人、采购代理机构、供应商和评审专家在招投标活动中，都要签订相应的《拒绝政府采购领域商业贿赂承诺书》，并对违反承诺的行为承担全部责任。</w:t>
      </w:r>
    </w:p>
    <w:p>
      <w:pPr>
        <w:spacing w:line="360" w:lineRule="auto"/>
        <w:ind w:firstLine="480" w:firstLineChars="200"/>
        <w:rPr>
          <w:rFonts w:ascii="宋体" w:hAnsi="宋体" w:cs="宋体"/>
          <w:szCs w:val="24"/>
        </w:rPr>
      </w:pPr>
      <w:r>
        <w:rPr>
          <w:rFonts w:hint="eastAsia" w:ascii="宋体" w:hAnsi="宋体" w:cs="宋体"/>
          <w:szCs w:val="24"/>
        </w:rPr>
        <w:t>2、供应商必须填写《拒绝政府采购领域商业贿赂承诺书》（附件）并附在响应文件中，同时应保证响应文件正、副本中一致。</w:t>
      </w:r>
    </w:p>
    <w:p>
      <w:pPr>
        <w:spacing w:line="360" w:lineRule="auto"/>
        <w:jc w:val="center"/>
        <w:rPr>
          <w:rFonts w:ascii="宋体" w:hAnsi="宋体" w:cs="宋体"/>
          <w:b/>
          <w:snapToGrid w:val="0"/>
          <w:szCs w:val="24"/>
        </w:rPr>
      </w:pPr>
      <w:bookmarkStart w:id="61" w:name="_Toc10358"/>
      <w:bookmarkStart w:id="62" w:name="_Toc30141"/>
      <w:r>
        <w:rPr>
          <w:rFonts w:hint="eastAsia" w:ascii="宋体" w:hAnsi="宋体" w:cs="宋体"/>
          <w:b/>
          <w:snapToGrid w:val="0"/>
          <w:szCs w:val="24"/>
        </w:rPr>
        <w:t>（十五）其他</w:t>
      </w:r>
      <w:bookmarkEnd w:id="61"/>
      <w:bookmarkEnd w:id="62"/>
    </w:p>
    <w:p>
      <w:pPr>
        <w:spacing w:line="360" w:lineRule="auto"/>
        <w:ind w:firstLine="480" w:firstLineChars="200"/>
        <w:rPr>
          <w:rFonts w:ascii="宋体" w:hAnsi="宋体" w:cs="宋体"/>
          <w:szCs w:val="24"/>
        </w:rPr>
      </w:pPr>
      <w:r>
        <w:rPr>
          <w:rFonts w:hint="eastAsia" w:ascii="宋体" w:hAnsi="宋体" w:cs="宋体"/>
          <w:szCs w:val="24"/>
        </w:rPr>
        <w:t>1、本次项目的验收费用由成交单位承担。</w:t>
      </w:r>
    </w:p>
    <w:p>
      <w:pPr>
        <w:spacing w:line="360" w:lineRule="auto"/>
        <w:ind w:firstLine="480" w:firstLineChars="200"/>
        <w:outlineLvl w:val="0"/>
        <w:rPr>
          <w:rFonts w:ascii="宋体" w:hAnsi="宋体" w:cs="宋体"/>
        </w:rPr>
      </w:pPr>
      <w:bookmarkStart w:id="63" w:name="_Toc3122"/>
      <w:r>
        <w:rPr>
          <w:rFonts w:hint="eastAsia" w:ascii="宋体" w:hAnsi="宋体" w:cs="宋体"/>
          <w:szCs w:val="24"/>
        </w:rPr>
        <w:t>2、本磋商文件的解释权归采购人及采购代理机构所有。</w:t>
      </w:r>
      <w:bookmarkStart w:id="64" w:name="_Toc885"/>
      <w:r>
        <w:rPr>
          <w:rFonts w:hint="eastAsia" w:ascii="宋体" w:hAnsi="宋体" w:cs="宋体"/>
        </w:rPr>
        <w:br w:type="page"/>
      </w:r>
      <w:bookmarkEnd w:id="63"/>
      <w:bookmarkStart w:id="65" w:name="_Toc17748"/>
    </w:p>
    <w:bookmarkEnd w:id="64"/>
    <w:bookmarkEnd w:id="65"/>
    <w:p>
      <w:pPr>
        <w:pageBreakBefore w:val="0"/>
        <w:kinsoku/>
        <w:wordWrap/>
        <w:overflowPunct/>
        <w:topLinePunct w:val="0"/>
        <w:bidi w:val="0"/>
        <w:spacing w:line="360" w:lineRule="auto"/>
        <w:ind w:firstLine="723" w:firstLineChars="200"/>
        <w:jc w:val="center"/>
        <w:outlineLvl w:val="0"/>
        <w:rPr>
          <w:rFonts w:hint="eastAsia" w:ascii="宋体" w:hAnsi="宋体" w:eastAsia="宋体" w:cs="宋体"/>
          <w:color w:val="auto"/>
          <w:kern w:val="0"/>
          <w:highlight w:val="none"/>
        </w:rPr>
      </w:pPr>
      <w:bookmarkStart w:id="66" w:name="_Toc10268"/>
      <w:bookmarkStart w:id="67" w:name="_Toc32103"/>
      <w:bookmarkStart w:id="68" w:name="_Toc20180"/>
      <w:r>
        <w:rPr>
          <w:rFonts w:hint="eastAsia" w:ascii="宋体" w:hAnsi="宋体" w:eastAsia="宋体" w:cs="宋体"/>
          <w:b/>
          <w:bCs/>
          <w:color w:val="auto"/>
          <w:kern w:val="44"/>
          <w:sz w:val="36"/>
          <w:szCs w:val="44"/>
          <w:highlight w:val="none"/>
          <w:lang w:val="en-US" w:eastAsia="zh-CN" w:bidi="ar-SA"/>
        </w:rPr>
        <w:t>第三章  商务要求</w:t>
      </w:r>
      <w:bookmarkEnd w:id="66"/>
    </w:p>
    <w:p>
      <w:pPr>
        <w:pStyle w:val="7"/>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1、交付地点</w:t>
      </w:r>
      <w:r>
        <w:rPr>
          <w:rFonts w:hint="eastAsia" w:ascii="宋体" w:hAnsi="宋体" w:eastAsia="宋体" w:cs="宋体"/>
          <w:color w:val="auto"/>
          <w:sz w:val="24"/>
          <w:szCs w:val="24"/>
          <w:highlight w:val="none"/>
        </w:rPr>
        <w:t>：采购人指定地点。</w:t>
      </w:r>
    </w:p>
    <w:p>
      <w:pPr>
        <w:pStyle w:val="7"/>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2、交付期</w:t>
      </w:r>
      <w:r>
        <w:rPr>
          <w:rFonts w:hint="eastAsia" w:ascii="宋体" w:hAnsi="宋体" w:eastAsia="宋体" w:cs="宋体"/>
          <w:color w:val="auto"/>
          <w:sz w:val="24"/>
          <w:szCs w:val="24"/>
          <w:highlight w:val="none"/>
        </w:rPr>
        <w:t>：自合同签订后10个日历日内完成所有系统的上线运行，保证系统与HIS、LIS、电子病历等相关应用接口的连接顺畅。</w:t>
      </w:r>
    </w:p>
    <w:p>
      <w:pPr>
        <w:pStyle w:val="7"/>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cs="宋体"/>
          <w:b/>
          <w:bCs/>
          <w:color w:val="auto"/>
          <w:sz w:val="24"/>
          <w:szCs w:val="24"/>
          <w:highlight w:val="none"/>
          <w:lang w:val="en-US" w:eastAsia="zh-CN"/>
        </w:rPr>
        <w:t>租赁</w:t>
      </w:r>
      <w:r>
        <w:rPr>
          <w:rFonts w:hint="eastAsia" w:ascii="宋体" w:hAnsi="宋体" w:eastAsia="宋体" w:cs="宋体"/>
          <w:b/>
          <w:bCs/>
          <w:color w:val="auto"/>
          <w:sz w:val="24"/>
          <w:szCs w:val="24"/>
          <w:highlight w:val="none"/>
        </w:rPr>
        <w:t>期</w:t>
      </w:r>
      <w:r>
        <w:rPr>
          <w:rFonts w:hint="eastAsia" w:ascii="宋体" w:hAnsi="宋体" w:eastAsia="宋体" w:cs="宋体"/>
          <w:color w:val="auto"/>
          <w:sz w:val="24"/>
          <w:szCs w:val="24"/>
          <w:highlight w:val="none"/>
        </w:rPr>
        <w:t>：3年</w:t>
      </w:r>
    </w:p>
    <w:p>
      <w:pPr>
        <w:pStyle w:val="7"/>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设备出现问题及时维修或更换，若设备未能及时维修或更换的，需要及时更换成备用机，需要返回厂家或者存在质量问题，在</w:t>
      </w:r>
      <w:r>
        <w:rPr>
          <w:rFonts w:hint="eastAsia" w:ascii="宋体" w:hAnsi="宋体" w:cs="宋体"/>
          <w:color w:val="auto"/>
          <w:sz w:val="24"/>
          <w:szCs w:val="24"/>
          <w:highlight w:val="none"/>
          <w:lang w:val="en-US" w:eastAsia="zh-CN"/>
        </w:rPr>
        <w:t>租赁</w:t>
      </w:r>
      <w:r>
        <w:rPr>
          <w:rFonts w:hint="eastAsia" w:ascii="宋体" w:hAnsi="宋体" w:eastAsia="宋体" w:cs="宋体"/>
          <w:color w:val="auto"/>
          <w:sz w:val="24"/>
          <w:szCs w:val="24"/>
          <w:highlight w:val="none"/>
        </w:rPr>
        <w:t>期内更换，保证临床使用，若未能及时维修或更换产品所造成的所有责任及费用由中标单位自行承担。</w:t>
      </w:r>
    </w:p>
    <w:p>
      <w:pPr>
        <w:pStyle w:val="7"/>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4.付款方式</w:t>
      </w:r>
      <w:r>
        <w:rPr>
          <w:rFonts w:hint="eastAsia" w:ascii="宋体" w:hAnsi="宋体" w:eastAsia="宋体" w:cs="宋体"/>
          <w:color w:val="auto"/>
          <w:sz w:val="24"/>
          <w:szCs w:val="24"/>
          <w:highlight w:val="none"/>
        </w:rPr>
        <w:t>：</w:t>
      </w:r>
    </w:p>
    <w:p>
      <w:pPr>
        <w:pStyle w:val="7"/>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（1）终验合格后付合同金额的50%；合同满一年付合同金额的40%，剩余10%</w:t>
      </w:r>
      <w:r>
        <w:rPr>
          <w:rFonts w:hint="eastAsia" w:ascii="宋体" w:hAnsi="宋体" w:cs="宋体"/>
          <w:color w:val="auto"/>
          <w:sz w:val="24"/>
          <w:szCs w:val="24"/>
          <w:highlight w:val="none"/>
          <w:lang w:val="en-US" w:eastAsia="zh-CN"/>
        </w:rPr>
        <w:t>三年租赁期</w:t>
      </w:r>
      <w:r>
        <w:rPr>
          <w:rFonts w:hint="eastAsia" w:ascii="宋体" w:hAnsi="宋体" w:eastAsia="宋体" w:cs="宋体"/>
          <w:color w:val="auto"/>
          <w:sz w:val="24"/>
          <w:szCs w:val="24"/>
          <w:highlight w:val="none"/>
        </w:rPr>
        <w:t>结束后，一次性支付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rPr>
        <w:t>乙方提供正式发票。</w:t>
      </w:r>
    </w:p>
    <w:p>
      <w:pPr>
        <w:pStyle w:val="7"/>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（2）支付方式：银行转账。</w:t>
      </w:r>
    </w:p>
    <w:p>
      <w:pPr>
        <w:pStyle w:val="7"/>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5.知识产权</w:t>
      </w:r>
      <w:r>
        <w:rPr>
          <w:rFonts w:hint="eastAsia" w:ascii="宋体" w:hAnsi="宋体" w:eastAsia="宋体" w:cs="宋体"/>
          <w:color w:val="auto"/>
          <w:sz w:val="24"/>
          <w:szCs w:val="24"/>
          <w:highlight w:val="none"/>
        </w:rPr>
        <w:t>：采购人在中华人民共和国境内使用投标人提供的货物及服务时免受第三方提出的侵犯其专利权或其它知识产权的起诉。如果第三方提出侵权指控，投标人应承担由此而引起的一切法律责任和费用。</w:t>
      </w:r>
    </w:p>
    <w:p>
      <w:pPr>
        <w:pStyle w:val="7"/>
        <w:pageBreakBefore w:val="0"/>
        <w:kinsoku/>
        <w:wordWrap/>
        <w:overflowPunct/>
        <w:topLinePunct w:val="0"/>
        <w:bidi w:val="0"/>
        <w:spacing w:line="360" w:lineRule="auto"/>
        <w:rPr>
          <w:rFonts w:hint="eastAsia" w:ascii="宋体" w:hAnsi="宋体" w:eastAsia="宋体" w:cs="宋体"/>
          <w:color w:val="auto"/>
          <w:sz w:val="24"/>
          <w:szCs w:val="24"/>
          <w:highlight w:val="none"/>
        </w:rPr>
      </w:pPr>
    </w:p>
    <w:p>
      <w:pPr>
        <w:pageBreakBefore w:val="0"/>
        <w:widowControl/>
        <w:kinsoku/>
        <w:wordWrap/>
        <w:overflowPunct/>
        <w:topLinePunct w:val="0"/>
        <w:bidi w:val="0"/>
        <w:spacing w:line="360" w:lineRule="auto"/>
        <w:jc w:val="left"/>
        <w:rPr>
          <w:rFonts w:hint="eastAsia" w:ascii="宋体" w:hAnsi="宋体" w:eastAsia="宋体" w:cs="宋体"/>
          <w:b/>
          <w:bCs/>
          <w:color w:val="auto"/>
          <w:kern w:val="44"/>
          <w:sz w:val="24"/>
          <w:szCs w:val="24"/>
          <w:highlight w:val="none"/>
        </w:rPr>
      </w:pPr>
      <w:r>
        <w:rPr>
          <w:rFonts w:hint="eastAsia" w:ascii="宋体" w:hAnsi="宋体" w:eastAsia="宋体" w:cs="宋体"/>
          <w:color w:val="auto"/>
          <w:sz w:val="24"/>
          <w:szCs w:val="24"/>
          <w:highlight w:val="non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center"/>
        <w:textAlignment w:val="auto"/>
        <w:rPr>
          <w:rFonts w:hint="eastAsia" w:ascii="宋体" w:hAnsi="宋体" w:eastAsia="宋体" w:cs="宋体"/>
          <w:color w:val="auto"/>
          <w:highlight w:val="none"/>
        </w:rPr>
      </w:pPr>
      <w:bookmarkStart w:id="69" w:name="_Toc14552"/>
      <w:bookmarkStart w:id="70" w:name="_Toc12153"/>
      <w:r>
        <w:rPr>
          <w:rFonts w:hint="eastAsia" w:ascii="宋体" w:hAnsi="宋体" w:eastAsia="宋体" w:cs="宋体"/>
          <w:color w:val="auto"/>
          <w:highlight w:val="none"/>
          <w:lang w:val="en-US" w:eastAsia="zh-CN"/>
        </w:rPr>
        <w:t xml:space="preserve">第四章 </w:t>
      </w:r>
      <w:r>
        <w:rPr>
          <w:rFonts w:hint="eastAsia" w:ascii="宋体" w:hAnsi="宋体" w:eastAsia="宋体" w:cs="宋体"/>
          <w:color w:val="auto"/>
          <w:highlight w:val="none"/>
        </w:rPr>
        <w:t>合同条款及格式</w:t>
      </w:r>
      <w:bookmarkEnd w:id="69"/>
      <w:bookmarkEnd w:id="70"/>
    </w:p>
    <w:p>
      <w:pPr>
        <w:numPr>
          <w:ilvl w:val="0"/>
          <w:numId w:val="0"/>
        </w:numPr>
        <w:ind w:leftChars="0"/>
        <w:jc w:val="center"/>
        <w:rPr>
          <w:rFonts w:hint="eastAsia"/>
          <w:b/>
          <w:bCs w:val="0"/>
          <w:sz w:val="28"/>
          <w:szCs w:val="28"/>
          <w:highlight w:val="none"/>
        </w:rPr>
      </w:pPr>
      <w:r>
        <w:rPr>
          <w:rFonts w:hint="eastAsia" w:ascii="宋体" w:hAnsi="宋体"/>
          <w:b/>
          <w:bCs w:val="0"/>
          <w:sz w:val="28"/>
          <w:szCs w:val="28"/>
          <w:highlight w:val="none"/>
          <w:lang w:val="en-US" w:eastAsia="zh-CN"/>
        </w:rPr>
        <w:t xml:space="preserve"> </w:t>
      </w:r>
      <w:r>
        <w:rPr>
          <w:rFonts w:hint="eastAsia" w:ascii="Times New Roman" w:hAnsi="Times New Roman" w:eastAsia="宋体" w:cs="Times New Roman"/>
          <w:b/>
          <w:bCs w:val="0"/>
          <w:kern w:val="44"/>
          <w:sz w:val="28"/>
          <w:szCs w:val="28"/>
          <w:highlight w:val="none"/>
          <w:lang w:val="en-US" w:eastAsia="zh-CN" w:bidi="ar-SA"/>
        </w:rPr>
        <w:t>（此合同为参考合同，具体以甲乙双方协商为准）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Times New Roman"/>
          <w:color w:val="auto"/>
          <w:sz w:val="24"/>
          <w:highlight w:val="none"/>
          <w:u w:val="singl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olor w:val="auto"/>
          <w:sz w:val="24"/>
          <w:highlight w:val="none"/>
        </w:rPr>
      </w:pPr>
      <w:r>
        <w:rPr>
          <w:rFonts w:hint="eastAsia" w:ascii="宋体" w:hAnsi="宋体" w:eastAsia="宋体" w:cs="Times New Roman"/>
          <w:color w:val="auto"/>
          <w:sz w:val="24"/>
          <w:highlight w:val="none"/>
          <w:u w:val="single"/>
          <w:lang w:eastAsia="zh-CN"/>
        </w:rPr>
        <w:t>富平县</w:t>
      </w:r>
      <w:r>
        <w:rPr>
          <w:rFonts w:hint="eastAsia" w:ascii="宋体" w:hAnsi="宋体" w:eastAsia="宋体" w:cs="Times New Roman"/>
          <w:color w:val="auto"/>
          <w:sz w:val="24"/>
          <w:highlight w:val="none"/>
          <w:u w:val="single"/>
          <w:lang w:val="en-US" w:eastAsia="zh-CN"/>
        </w:rPr>
        <w:t>妇女儿童医院</w:t>
      </w:r>
      <w:r>
        <w:rPr>
          <w:rFonts w:hint="eastAsia" w:ascii="宋体" w:hAnsi="宋体" w:eastAsia="宋体" w:cs="Times New Roman"/>
          <w:color w:val="auto"/>
          <w:sz w:val="24"/>
          <w:highlight w:val="none"/>
          <w:u w:val="single"/>
          <w:lang w:eastAsia="zh-CN"/>
        </w:rPr>
        <w:t>（</w:t>
      </w:r>
      <w:r>
        <w:rPr>
          <w:rFonts w:hint="eastAsia" w:ascii="宋体" w:hAnsi="宋体"/>
          <w:color w:val="auto"/>
          <w:sz w:val="24"/>
          <w:highlight w:val="none"/>
        </w:rPr>
        <w:t>以下简称甲方）</w:t>
      </w:r>
      <w:r>
        <w:rPr>
          <w:rFonts w:hint="eastAsia" w:ascii="宋体" w:hAnsi="宋体"/>
          <w:color w:val="auto"/>
          <w:sz w:val="24"/>
          <w:highlight w:val="none"/>
          <w:u w:val="single"/>
          <w:lang w:val="en-US" w:eastAsia="zh-CN"/>
        </w:rPr>
        <w:t>富平县妇女儿童医院购置移动护士站综合服务采购项目</w:t>
      </w:r>
      <w:r>
        <w:rPr>
          <w:rFonts w:hint="eastAsia" w:ascii="宋体" w:hAnsi="宋体"/>
          <w:color w:val="auto"/>
          <w:sz w:val="24"/>
          <w:highlight w:val="none"/>
        </w:rPr>
        <w:t>，在</w:t>
      </w:r>
      <w:r>
        <w:rPr>
          <w:rFonts w:hint="eastAsia" w:ascii="宋体" w:hAnsi="宋体"/>
          <w:color w:val="auto"/>
          <w:sz w:val="24"/>
          <w:highlight w:val="none"/>
          <w:u w:val="single"/>
          <w:lang w:val="en-US" w:eastAsia="zh-CN"/>
        </w:rPr>
        <w:t xml:space="preserve">  富平县财政局 </w:t>
      </w:r>
      <w:r>
        <w:rPr>
          <w:rFonts w:hint="eastAsia" w:ascii="宋体" w:hAnsi="宋体"/>
          <w:color w:val="auto"/>
          <w:sz w:val="24"/>
          <w:highlight w:val="none"/>
        </w:rPr>
        <w:t>的监督管理下，由</w:t>
      </w:r>
      <w:r>
        <w:rPr>
          <w:rFonts w:hint="eastAsia" w:ascii="宋体" w:hAnsi="宋体"/>
          <w:color w:val="auto"/>
          <w:sz w:val="24"/>
          <w:highlight w:val="none"/>
          <w:u w:val="single"/>
          <w:lang w:val="en-US" w:eastAsia="zh-CN"/>
        </w:rPr>
        <w:t>陕西致恒招标代理有限公司</w:t>
      </w:r>
      <w:r>
        <w:rPr>
          <w:rFonts w:hint="eastAsia" w:ascii="宋体" w:hAnsi="宋体"/>
          <w:color w:val="auto"/>
          <w:sz w:val="24"/>
          <w:highlight w:val="none"/>
        </w:rPr>
        <w:t>组织采购，选定</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(以下简称乙方）</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为该项目成交供应商。依据《中华人民共和国</w:t>
      </w:r>
      <w:r>
        <w:rPr>
          <w:rFonts w:hint="eastAsia" w:ascii="宋体" w:hAnsi="宋体"/>
          <w:color w:val="auto"/>
          <w:sz w:val="24"/>
          <w:highlight w:val="none"/>
          <w:lang w:val="en-US" w:eastAsia="zh-CN"/>
        </w:rPr>
        <w:t>民法典</w:t>
      </w:r>
      <w:r>
        <w:rPr>
          <w:rFonts w:hint="eastAsia" w:ascii="宋体" w:hAnsi="宋体"/>
          <w:color w:val="auto"/>
          <w:sz w:val="24"/>
          <w:highlight w:val="none"/>
        </w:rPr>
        <w:t>》和《中华人民共和国政府采购法》，经甲、乙双方共同协商，按下述条款和条件签署本合同。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auto"/>
          <w:sz w:val="24"/>
          <w:highlight w:val="none"/>
        </w:rPr>
      </w:pPr>
      <w:r>
        <w:rPr>
          <w:rFonts w:hint="eastAsia" w:ascii="宋体" w:hAnsi="宋体"/>
          <w:b/>
          <w:color w:val="auto"/>
          <w:sz w:val="24"/>
          <w:highlight w:val="none"/>
        </w:rPr>
        <w:t>一、合同内容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乙方负责按照合同确定的项目名称、</w:t>
      </w:r>
      <w:r>
        <w:rPr>
          <w:rFonts w:hint="eastAsia" w:ascii="宋体" w:hAnsi="宋体"/>
          <w:color w:val="auto"/>
          <w:sz w:val="24"/>
          <w:highlight w:val="none"/>
          <w:lang w:val="en-US" w:eastAsia="zh-CN"/>
        </w:rPr>
        <w:t>租赁</w:t>
      </w:r>
      <w:r>
        <w:rPr>
          <w:rFonts w:hint="eastAsia" w:ascii="宋体" w:hAnsi="宋体"/>
          <w:color w:val="auto"/>
          <w:sz w:val="24"/>
          <w:highlight w:val="none"/>
        </w:rPr>
        <w:t>服务内容</w:t>
      </w:r>
      <w:r>
        <w:rPr>
          <w:rFonts w:ascii="宋体" w:hAnsi="宋体"/>
          <w:color w:val="auto"/>
          <w:sz w:val="24"/>
          <w:highlight w:val="none"/>
        </w:rPr>
        <w:t>、</w:t>
      </w:r>
      <w:r>
        <w:rPr>
          <w:rFonts w:hint="eastAsia" w:ascii="宋体" w:hAnsi="宋体"/>
          <w:color w:val="auto"/>
          <w:sz w:val="24"/>
          <w:highlight w:val="none"/>
          <w:lang w:val="en-US" w:eastAsia="zh-CN"/>
        </w:rPr>
        <w:t>技术服务</w:t>
      </w:r>
      <w:r>
        <w:rPr>
          <w:rFonts w:hint="eastAsia" w:ascii="宋体" w:hAnsi="宋体"/>
          <w:color w:val="auto"/>
          <w:sz w:val="24"/>
          <w:highlight w:val="none"/>
        </w:rPr>
        <w:t>标准组织服务，确保各项服务达到要求。</w:t>
      </w:r>
    </w:p>
    <w:p>
      <w:pPr>
        <w:pStyle w:val="26"/>
        <w:rPr>
          <w:rFonts w:hint="default" w:eastAsia="宋体"/>
          <w:highlight w:val="none"/>
          <w:u w:val="single"/>
          <w:lang w:val="en-US" w:eastAsia="zh-CN"/>
        </w:rPr>
      </w:pPr>
      <w:r>
        <w:rPr>
          <w:rFonts w:hint="eastAsia" w:ascii="宋体" w:hAnsi="宋体"/>
          <w:color w:val="auto"/>
          <w:sz w:val="24"/>
          <w:highlight w:val="none"/>
          <w:lang w:val="en-US" w:eastAsia="zh-CN"/>
        </w:rPr>
        <w:t>租赁期：</w:t>
      </w:r>
      <w:r>
        <w:rPr>
          <w:rFonts w:hint="eastAsia" w:ascii="宋体" w:hAnsi="宋体"/>
          <w:color w:val="auto"/>
          <w:sz w:val="24"/>
          <w:highlight w:val="none"/>
          <w:u w:val="single"/>
          <w:lang w:val="en-US" w:eastAsia="zh-CN"/>
        </w:rPr>
        <w:t>三年</w:t>
      </w:r>
      <w:r>
        <w:rPr>
          <w:rFonts w:hint="eastAsia" w:ascii="宋体" w:hAnsi="宋体"/>
          <w:color w:val="auto"/>
          <w:sz w:val="24"/>
          <w:highlight w:val="none"/>
          <w:u w:val="none"/>
          <w:lang w:val="en-US" w:eastAsia="zh-CN"/>
        </w:rPr>
        <w:t>，2022年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none"/>
          <w:lang w:val="en-US" w:eastAsia="zh-CN"/>
        </w:rPr>
        <w:t>月</w:t>
      </w:r>
      <w:r>
        <w:rPr>
          <w:rFonts w:hint="eastAsia" w:ascii="宋体" w:hAnsi="宋体" w:eastAsia="宋体" w:cs="Times New Roman"/>
          <w:color w:val="auto"/>
          <w:sz w:val="24"/>
          <w:highlight w:val="none"/>
          <w:u w:val="single"/>
          <w:lang w:val="en-US" w:eastAsia="zh-CN"/>
        </w:rPr>
        <w:t xml:space="preserve">  </w:t>
      </w:r>
      <w:r>
        <w:rPr>
          <w:rFonts w:hint="eastAsia" w:ascii="宋体" w:hAnsi="宋体"/>
          <w:color w:val="auto"/>
          <w:sz w:val="24"/>
          <w:highlight w:val="none"/>
          <w:u w:val="none"/>
          <w:lang w:val="en-US" w:eastAsia="zh-CN"/>
        </w:rPr>
        <w:t>日起-2025年</w:t>
      </w:r>
      <w:r>
        <w:rPr>
          <w:rFonts w:hint="eastAsia" w:ascii="宋体" w:hAnsi="宋体" w:eastAsia="宋体" w:cs="Times New Roman"/>
          <w:color w:val="auto"/>
          <w:sz w:val="24"/>
          <w:highlight w:val="none"/>
          <w:u w:val="single"/>
          <w:lang w:val="en-US" w:eastAsia="zh-CN"/>
        </w:rPr>
        <w:t xml:space="preserve">   </w:t>
      </w:r>
      <w:r>
        <w:rPr>
          <w:rFonts w:hint="eastAsia" w:ascii="宋体" w:hAnsi="宋体"/>
          <w:color w:val="auto"/>
          <w:sz w:val="24"/>
          <w:highlight w:val="none"/>
          <w:u w:val="none"/>
          <w:lang w:val="en-US" w:eastAsia="zh-CN"/>
        </w:rPr>
        <w:t>月</w:t>
      </w:r>
      <w:r>
        <w:rPr>
          <w:rFonts w:hint="eastAsia" w:ascii="宋体" w:hAnsi="宋体" w:eastAsia="宋体" w:cs="Times New Roman"/>
          <w:color w:val="auto"/>
          <w:sz w:val="24"/>
          <w:highlight w:val="none"/>
          <w:u w:val="single"/>
          <w:lang w:val="en-US" w:eastAsia="zh-CN"/>
        </w:rPr>
        <w:t xml:space="preserve">   </w:t>
      </w:r>
      <w:r>
        <w:rPr>
          <w:rFonts w:hint="eastAsia" w:ascii="宋体" w:hAnsi="宋体"/>
          <w:color w:val="auto"/>
          <w:sz w:val="24"/>
          <w:highlight w:val="none"/>
          <w:u w:val="none"/>
          <w:lang w:val="en-US" w:eastAsia="zh-CN"/>
        </w:rPr>
        <w:t>日止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auto"/>
          <w:sz w:val="24"/>
          <w:highlight w:val="none"/>
        </w:rPr>
      </w:pPr>
      <w:r>
        <w:rPr>
          <w:rFonts w:hint="eastAsia" w:ascii="宋体" w:hAnsi="宋体"/>
          <w:b/>
          <w:color w:val="auto"/>
          <w:sz w:val="24"/>
          <w:highlight w:val="none"/>
        </w:rPr>
        <w:t>二、合同价格</w:t>
      </w:r>
    </w:p>
    <w:p>
      <w:pPr>
        <w:keepNext w:val="0"/>
        <w:keepLines w:val="0"/>
        <w:pageBreakBefore w:val="0"/>
        <w:widowControl w:val="0"/>
        <w:kinsoku/>
        <w:wordWrap/>
        <w:overflowPunct/>
        <w:topLinePunct w:val="0"/>
        <w:autoSpaceDE/>
        <w:autoSpaceDN/>
        <w:bidi w:val="0"/>
        <w:adjustRightInd/>
        <w:snapToGrid/>
        <w:spacing w:line="360" w:lineRule="auto"/>
        <w:ind w:left="480" w:leftChars="200"/>
        <w:jc w:val="left"/>
        <w:textAlignment w:val="auto"/>
        <w:rPr>
          <w:rFonts w:hint="eastAsia" w:ascii="宋体" w:hAnsi="宋体"/>
          <w:color w:val="auto"/>
          <w:sz w:val="24"/>
          <w:highlight w:val="none"/>
        </w:rPr>
      </w:pPr>
      <w:r>
        <w:rPr>
          <w:rFonts w:hint="eastAsia" w:ascii="宋体" w:hAnsi="宋体"/>
          <w:color w:val="auto"/>
          <w:sz w:val="24"/>
          <w:highlight w:val="none"/>
        </w:rPr>
        <w:t>合同总价：</w:t>
      </w:r>
      <w:r>
        <w:rPr>
          <w:rFonts w:hint="eastAsia" w:ascii="宋体" w:hAnsi="宋体"/>
          <w:color w:val="auto"/>
          <w:sz w:val="24"/>
          <w:highlight w:val="none"/>
          <w:u w:val="single"/>
        </w:rPr>
        <w:t xml:space="preserve">人民币       元整（¥         元）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olor w:val="auto"/>
          <w:sz w:val="24"/>
          <w:highlight w:val="none"/>
        </w:rPr>
      </w:pPr>
      <w:r>
        <w:rPr>
          <w:rFonts w:hint="eastAsia" w:ascii="宋体" w:hAnsi="宋体"/>
          <w:color w:val="auto"/>
          <w:sz w:val="24"/>
          <w:highlight w:val="none"/>
        </w:rPr>
        <w:t>说明：</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合同总价包含项目报价</w:t>
      </w:r>
      <w:r>
        <w:rPr>
          <w:rFonts w:ascii="宋体" w:hAnsi="宋体"/>
          <w:color w:val="auto"/>
          <w:sz w:val="24"/>
          <w:highlight w:val="none"/>
        </w:rPr>
        <w:t>、其他费用</w:t>
      </w:r>
      <w:r>
        <w:rPr>
          <w:rFonts w:hint="eastAsia" w:ascii="宋体" w:hAnsi="宋体"/>
          <w:color w:val="auto"/>
          <w:sz w:val="24"/>
          <w:highlight w:val="none"/>
        </w:rPr>
        <w:t>及应缴纳的全部税款等费用。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auto"/>
          <w:sz w:val="24"/>
          <w:highlight w:val="none"/>
        </w:rPr>
      </w:pPr>
      <w:r>
        <w:rPr>
          <w:rFonts w:hint="eastAsia" w:ascii="宋体" w:hAnsi="宋体"/>
          <w:b/>
          <w:color w:val="auto"/>
          <w:sz w:val="24"/>
          <w:highlight w:val="none"/>
        </w:rPr>
        <w:t>三、合同款项支付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（一）结算单位：采购人结算，在付款前，必须开具全额或等额发票给采购人。</w:t>
      </w:r>
    </w:p>
    <w:p>
      <w:pPr>
        <w:pageBreakBefore w:val="0"/>
        <w:kinsoku/>
        <w:wordWrap/>
        <w:overflowPunct/>
        <w:topLinePunct w:val="0"/>
        <w:bidi w:val="0"/>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（二）付款方式：</w:t>
      </w:r>
    </w:p>
    <w:p>
      <w:pPr>
        <w:pageBreakBefore w:val="0"/>
        <w:kinsoku/>
        <w:wordWrap/>
        <w:overflowPunct/>
        <w:topLinePunct w:val="0"/>
        <w:bidi w:val="0"/>
        <w:adjustRightInd w:val="0"/>
        <w:spacing w:line="360" w:lineRule="auto"/>
        <w:ind w:firstLine="482" w:firstLineChars="200"/>
        <w:rPr>
          <w:rFonts w:hint="eastAsia" w:ascii="宋体" w:hAnsi="宋体" w:cs="宋体"/>
          <w:b/>
          <w:color w:val="auto"/>
          <w:szCs w:val="24"/>
          <w:highlight w:val="none"/>
          <w:lang w:val="en-US" w:eastAsia="zh-CN"/>
        </w:rPr>
      </w:pPr>
      <w:r>
        <w:rPr>
          <w:rFonts w:hint="eastAsia" w:ascii="宋体" w:hAnsi="宋体" w:cs="宋体"/>
          <w:b/>
          <w:color w:val="auto"/>
          <w:szCs w:val="24"/>
          <w:highlight w:val="none"/>
          <w:lang w:val="en-US" w:eastAsia="zh-CN"/>
        </w:rPr>
        <w:t>1.合同期内采购人按月平均向成交单位支付租赁服务费。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highlight w:val="none"/>
          <w:lang w:val="zh-CN"/>
        </w:rPr>
      </w:pPr>
      <w:r>
        <w:rPr>
          <w:rFonts w:hint="eastAsia" w:ascii="宋体" w:hAnsi="宋体"/>
          <w:b w:val="0"/>
          <w:bCs/>
          <w:color w:val="auto"/>
          <w:sz w:val="24"/>
          <w:highlight w:val="none"/>
        </w:rPr>
        <w:t>（1）终验合格后付合同金额的50%；合同满一年付合同金额的40%，</w:t>
      </w:r>
      <w:r>
        <w:rPr>
          <w:rFonts w:hint="eastAsia" w:ascii="宋体" w:hAnsi="宋体" w:eastAsia="宋体" w:cs="宋体"/>
          <w:color w:val="auto"/>
          <w:sz w:val="24"/>
          <w:szCs w:val="24"/>
          <w:highlight w:val="none"/>
        </w:rPr>
        <w:t>剩余10%</w:t>
      </w:r>
      <w:r>
        <w:rPr>
          <w:rFonts w:hint="eastAsia" w:ascii="宋体" w:hAnsi="宋体" w:cs="宋体"/>
          <w:color w:val="auto"/>
          <w:sz w:val="24"/>
          <w:szCs w:val="24"/>
          <w:highlight w:val="none"/>
          <w:lang w:val="en-US" w:eastAsia="zh-CN"/>
        </w:rPr>
        <w:t>三年租赁期</w:t>
      </w:r>
      <w:r>
        <w:rPr>
          <w:rFonts w:hint="eastAsia" w:ascii="宋体" w:hAnsi="宋体" w:eastAsia="宋体" w:cs="宋体"/>
          <w:color w:val="auto"/>
          <w:sz w:val="24"/>
          <w:szCs w:val="24"/>
          <w:highlight w:val="none"/>
        </w:rPr>
        <w:t>结束后</w:t>
      </w:r>
      <w:r>
        <w:rPr>
          <w:rFonts w:hint="eastAsia" w:ascii="宋体" w:hAnsi="宋体"/>
          <w:b w:val="0"/>
          <w:bCs/>
          <w:color w:val="auto"/>
          <w:sz w:val="24"/>
          <w:highlight w:val="none"/>
        </w:rPr>
        <w:t>，一次性支付</w:t>
      </w:r>
      <w:r>
        <w:rPr>
          <w:rFonts w:hint="eastAsia" w:ascii="宋体" w:hAnsi="宋体"/>
          <w:b w:val="0"/>
          <w:bCs/>
          <w:color w:val="auto"/>
          <w:sz w:val="24"/>
          <w:highlight w:val="none"/>
          <w:lang w:eastAsia="zh-CN"/>
        </w:rPr>
        <w:t>，</w:t>
      </w:r>
      <w:r>
        <w:rPr>
          <w:rFonts w:hint="eastAsia" w:ascii="宋体" w:hAnsi="宋体"/>
          <w:b w:val="0"/>
          <w:bCs/>
          <w:color w:val="auto"/>
          <w:sz w:val="24"/>
          <w:highlight w:val="none"/>
          <w:lang w:val="zh-CN"/>
        </w:rPr>
        <w:t>乙方提供正式发票。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（2）支付方式：银行转账。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以响应文件、澄清表（函）、合同和随服务的相关文件为准。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val="0"/>
          <w:bCs/>
          <w:color w:val="auto"/>
          <w:sz w:val="24"/>
        </w:rPr>
      </w:pPr>
      <w:r>
        <w:rPr>
          <w:rFonts w:hint="eastAsia" w:ascii="宋体" w:hAnsi="宋体"/>
          <w:b/>
          <w:color w:val="auto"/>
          <w:sz w:val="24"/>
        </w:rPr>
        <w:t>五、</w:t>
      </w:r>
      <w:r>
        <w:rPr>
          <w:rFonts w:hint="eastAsia" w:ascii="宋体" w:hAnsi="宋体"/>
          <w:b/>
          <w:color w:val="auto"/>
          <w:sz w:val="24"/>
          <w:lang w:val="en-US" w:eastAsia="zh-CN"/>
        </w:rPr>
        <w:t>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（一）按《</w:t>
      </w:r>
      <w:r>
        <w:rPr>
          <w:rFonts w:hint="eastAsia" w:ascii="宋体" w:hAnsi="宋体"/>
          <w:b w:val="0"/>
          <w:bCs/>
          <w:color w:val="auto"/>
          <w:sz w:val="24"/>
          <w:lang w:val="en-US" w:eastAsia="zh-CN"/>
        </w:rPr>
        <w:t>民法典</w:t>
      </w:r>
      <w:r>
        <w:rPr>
          <w:rFonts w:hint="eastAsia" w:ascii="宋体" w:hAnsi="宋体"/>
          <w:b w:val="0"/>
          <w:bCs/>
          <w:color w:val="auto"/>
          <w:sz w:val="24"/>
        </w:rPr>
        <w:t>》中的相关条款执行。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b w:val="0"/>
          <w:bCs/>
          <w:color w:val="auto"/>
          <w:sz w:val="24"/>
        </w:rPr>
      </w:pPr>
      <w:r>
        <w:rPr>
          <w:rFonts w:hint="eastAsia" w:ascii="宋体" w:hAnsi="宋体"/>
          <w:b w:val="0"/>
          <w:bCs/>
          <w:color w:val="auto"/>
          <w:sz w:val="24"/>
        </w:rPr>
        <w:t>（二）未按合同要求提供服务或服务质量不能满足合同要求，采购人有权依据《</w:t>
      </w:r>
      <w:r>
        <w:rPr>
          <w:rFonts w:hint="eastAsia" w:ascii="宋体" w:hAnsi="宋体"/>
          <w:b w:val="0"/>
          <w:bCs/>
          <w:color w:val="auto"/>
          <w:sz w:val="24"/>
          <w:lang w:val="en-US" w:eastAsia="zh-CN"/>
        </w:rPr>
        <w:t>民法典</w:t>
      </w:r>
      <w:r>
        <w:rPr>
          <w:rFonts w:hint="eastAsia" w:ascii="宋体" w:hAnsi="宋体"/>
          <w:b w:val="0"/>
          <w:bCs/>
          <w:color w:val="auto"/>
          <w:sz w:val="24"/>
        </w:rPr>
        <w:t>》有关条款及合同约定终止合同，并要求供应商承担违约责任。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auto"/>
          <w:sz w:val="24"/>
          <w:lang w:val="en-US" w:eastAsia="zh-CN"/>
        </w:rPr>
      </w:pPr>
      <w:r>
        <w:rPr>
          <w:rFonts w:hint="eastAsia" w:ascii="宋体" w:hAnsi="宋体"/>
          <w:b/>
          <w:color w:val="auto"/>
          <w:sz w:val="24"/>
        </w:rPr>
        <w:t>六、</w:t>
      </w:r>
      <w:r>
        <w:rPr>
          <w:rFonts w:hint="eastAsia" w:ascii="宋体" w:hAnsi="宋体"/>
          <w:b/>
          <w:color w:val="auto"/>
          <w:sz w:val="24"/>
          <w:lang w:val="en-US" w:eastAsia="zh-CN"/>
        </w:rPr>
        <w:t>争议解决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华文仿宋" w:hAnsi="华文仿宋" w:eastAsia="华文仿宋" w:cs="华文仿宋"/>
          <w:color w:val="auto"/>
        </w:rPr>
      </w:pPr>
      <w:r>
        <w:rPr>
          <w:rFonts w:hint="eastAsia" w:ascii="宋体" w:hAnsi="宋体"/>
          <w:b w:val="0"/>
          <w:bCs/>
          <w:color w:val="auto"/>
          <w:sz w:val="24"/>
        </w:rPr>
        <w:t>执行本合同中产生纠纷，由双方协商解决；协商不成，向有管辖权的人民法院提起诉讼。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b/>
          <w:color w:val="auto"/>
          <w:sz w:val="24"/>
        </w:rPr>
      </w:pPr>
      <w:r>
        <w:rPr>
          <w:rFonts w:hint="eastAsia" w:ascii="宋体" w:hAnsi="宋体"/>
          <w:b/>
          <w:color w:val="auto"/>
          <w:sz w:val="24"/>
          <w:lang w:val="en-US" w:eastAsia="zh-CN"/>
        </w:rPr>
        <w:t>七</w:t>
      </w:r>
      <w:r>
        <w:rPr>
          <w:rFonts w:hint="eastAsia" w:ascii="宋体" w:hAnsi="宋体"/>
          <w:b/>
          <w:color w:val="auto"/>
          <w:sz w:val="24"/>
        </w:rPr>
        <w:t>、其他事项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（一）在合同的履行期间以及履行期后，</w:t>
      </w:r>
      <w:r>
        <w:rPr>
          <w:rFonts w:hint="eastAsia" w:ascii="宋体" w:hAnsi="宋体"/>
          <w:color w:val="auto"/>
          <w:sz w:val="24"/>
          <w:lang w:val="en-US" w:eastAsia="zh-CN"/>
        </w:rPr>
        <w:t>甲方</w:t>
      </w:r>
      <w:r>
        <w:rPr>
          <w:rFonts w:hint="eastAsia" w:ascii="宋体" w:hAnsi="宋体"/>
          <w:color w:val="auto"/>
          <w:sz w:val="24"/>
        </w:rPr>
        <w:t>可以随时检查项目的执行情况，对</w:t>
      </w:r>
      <w:r>
        <w:rPr>
          <w:rFonts w:hint="eastAsia" w:ascii="宋体" w:hAnsi="宋体"/>
          <w:color w:val="auto"/>
          <w:sz w:val="24"/>
          <w:lang w:val="en-US" w:eastAsia="zh-CN"/>
        </w:rPr>
        <w:t>服务</w:t>
      </w:r>
      <w:r>
        <w:rPr>
          <w:rFonts w:hint="eastAsia" w:ascii="宋体" w:hAnsi="宋体"/>
          <w:color w:val="auto"/>
          <w:sz w:val="24"/>
        </w:rPr>
        <w:t>标准进行调查核实，并对发现的问题进行处理。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（二）本合同一式六份，甲方</w:t>
      </w:r>
      <w:r>
        <w:rPr>
          <w:rFonts w:hint="eastAsia" w:ascii="宋体" w:hAnsi="宋体"/>
          <w:color w:val="auto"/>
          <w:sz w:val="24"/>
          <w:u w:val="single"/>
        </w:rPr>
        <w:t xml:space="preserve">         </w:t>
      </w:r>
      <w:r>
        <w:rPr>
          <w:rFonts w:hint="eastAsia" w:ascii="宋体" w:hAnsi="宋体"/>
          <w:color w:val="auto"/>
          <w:sz w:val="24"/>
        </w:rPr>
        <w:t>四份，乙方</w:t>
      </w:r>
      <w:r>
        <w:rPr>
          <w:rFonts w:hint="eastAsia" w:ascii="宋体" w:hAnsi="宋体"/>
          <w:color w:val="auto"/>
          <w:sz w:val="24"/>
          <w:u w:val="single"/>
        </w:rPr>
        <w:t xml:space="preserve">         </w:t>
      </w:r>
      <w:r>
        <w:rPr>
          <w:rFonts w:hint="eastAsia" w:ascii="宋体" w:hAnsi="宋体"/>
          <w:color w:val="auto"/>
          <w:sz w:val="24"/>
        </w:rPr>
        <w:t>一份，采购代理机构一份，甲乙双方签字盖章后生效。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olor w:val="auto"/>
          <w:sz w:val="24"/>
        </w:rPr>
      </w:pPr>
      <w:r>
        <w:rPr>
          <w:rFonts w:hint="eastAsia" w:ascii="宋体" w:hAnsi="宋体"/>
          <w:color w:val="auto"/>
          <w:sz w:val="24"/>
        </w:rPr>
        <w:t>（三）</w:t>
      </w:r>
      <w:r>
        <w:rPr>
          <w:rFonts w:hint="eastAsia" w:ascii="宋体" w:hAnsi="宋体"/>
          <w:bCs/>
          <w:color w:val="auto"/>
          <w:sz w:val="24"/>
        </w:rPr>
        <w:t>磋商文件、响应文件也是合同的组成部分，合同中未约定的以磋商文件、响应文件为准。</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color w:val="auto"/>
          <w:sz w:val="24"/>
        </w:rPr>
      </w:pPr>
      <w:r>
        <w:rPr>
          <w:rFonts w:hint="eastAsia" w:ascii="宋体" w:hAnsi="宋体"/>
          <w:color w:val="auto"/>
          <w:sz w:val="24"/>
        </w:rPr>
        <w:t xml:space="preserve">合同签订地点：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color w:val="auto"/>
          <w:sz w:val="24"/>
        </w:rPr>
      </w:pPr>
      <w:r>
        <w:rPr>
          <w:rFonts w:hint="eastAsia" w:ascii="宋体" w:hAnsi="宋体"/>
          <w:color w:val="auto"/>
          <w:sz w:val="24"/>
        </w:rPr>
        <w:t>合同签订时间：    年   月    日</w:t>
      </w:r>
    </w:p>
    <w:p>
      <w:pPr>
        <w:spacing w:line="360" w:lineRule="auto"/>
        <w:jc w:val="left"/>
        <w:rPr>
          <w:rFonts w:hint="eastAsia" w:ascii="宋体" w:hAnsi="宋体"/>
          <w:color w:val="auto"/>
          <w:sz w:val="24"/>
        </w:rPr>
      </w:pPr>
    </w:p>
    <w:p>
      <w:pPr>
        <w:spacing w:line="360" w:lineRule="auto"/>
        <w:jc w:val="left"/>
        <w:rPr>
          <w:rFonts w:hint="eastAsia" w:ascii="宋体" w:hAnsi="宋体"/>
          <w:color w:val="auto"/>
          <w:sz w:val="24"/>
        </w:rPr>
      </w:pPr>
      <w:r>
        <w:rPr>
          <w:rFonts w:hint="eastAsia" w:ascii="宋体" w:hAnsi="宋体"/>
          <w:color w:val="auto"/>
          <w:sz w:val="24"/>
        </w:rPr>
        <w:t>甲    方                           乙    方</w:t>
      </w:r>
    </w:p>
    <w:p>
      <w:pPr>
        <w:spacing w:line="360" w:lineRule="auto"/>
        <w:jc w:val="left"/>
        <w:rPr>
          <w:rFonts w:hint="eastAsia" w:ascii="宋体" w:hAnsi="宋体"/>
          <w:color w:val="auto"/>
          <w:sz w:val="24"/>
        </w:rPr>
      </w:pPr>
      <w:r>
        <w:rPr>
          <w:rFonts w:hint="eastAsia" w:ascii="宋体" w:hAnsi="宋体"/>
          <w:color w:val="auto"/>
          <w:sz w:val="24"/>
        </w:rPr>
        <w:t xml:space="preserve">单位名称：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单位名称： </w:t>
      </w:r>
    </w:p>
    <w:p>
      <w:pPr>
        <w:spacing w:line="360" w:lineRule="auto"/>
        <w:jc w:val="left"/>
        <w:rPr>
          <w:rFonts w:hint="eastAsia" w:ascii="宋体" w:hAnsi="宋体"/>
          <w:color w:val="auto"/>
          <w:sz w:val="24"/>
        </w:rPr>
      </w:pPr>
      <w:r>
        <w:rPr>
          <w:rFonts w:hint="eastAsia" w:ascii="宋体" w:hAnsi="宋体"/>
          <w:color w:val="auto"/>
          <w:sz w:val="24"/>
        </w:rPr>
        <w:t xml:space="preserve">地   址：  </w:t>
      </w:r>
      <w:r>
        <w:rPr>
          <w:rFonts w:hint="eastAsia" w:ascii="宋体" w:hAnsi="宋体"/>
          <w:color w:val="auto"/>
          <w:sz w:val="24"/>
        </w:rPr>
        <w:tab/>
      </w:r>
      <w:r>
        <w:rPr>
          <w:rFonts w:hint="eastAsia" w:ascii="宋体" w:hAnsi="宋体"/>
          <w:color w:val="auto"/>
          <w:sz w:val="24"/>
        </w:rPr>
        <w:t xml:space="preserve">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地    址：</w:t>
      </w:r>
    </w:p>
    <w:p>
      <w:pPr>
        <w:spacing w:line="360" w:lineRule="auto"/>
        <w:jc w:val="left"/>
        <w:rPr>
          <w:rFonts w:hint="eastAsia" w:ascii="宋体" w:hAnsi="宋体"/>
          <w:color w:val="auto"/>
          <w:sz w:val="24"/>
        </w:rPr>
      </w:pPr>
      <w:r>
        <w:rPr>
          <w:rFonts w:hint="eastAsia" w:ascii="宋体" w:hAnsi="宋体"/>
          <w:color w:val="auto"/>
          <w:sz w:val="24"/>
        </w:rPr>
        <w:t xml:space="preserve">法人代表：                         法人代表： </w:t>
      </w:r>
    </w:p>
    <w:p>
      <w:pPr>
        <w:spacing w:line="360" w:lineRule="auto"/>
        <w:jc w:val="left"/>
        <w:rPr>
          <w:rFonts w:hint="eastAsia" w:ascii="宋体" w:hAnsi="宋体"/>
          <w:color w:val="auto"/>
          <w:sz w:val="24"/>
        </w:rPr>
      </w:pPr>
      <w:r>
        <w:rPr>
          <w:rFonts w:hint="eastAsia" w:ascii="宋体" w:hAnsi="宋体"/>
          <w:color w:val="auto"/>
          <w:sz w:val="24"/>
        </w:rPr>
        <w:t xml:space="preserve">联系电话：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联系电话： </w:t>
      </w:r>
    </w:p>
    <w:p>
      <w:pPr>
        <w:spacing w:line="360" w:lineRule="auto"/>
        <w:jc w:val="left"/>
        <w:rPr>
          <w:rFonts w:hint="eastAsia" w:ascii="宋体" w:hAnsi="宋体"/>
          <w:color w:val="auto"/>
          <w:sz w:val="24"/>
        </w:rPr>
      </w:pPr>
      <w:r>
        <w:rPr>
          <w:rFonts w:hint="eastAsia" w:ascii="宋体" w:hAnsi="宋体"/>
          <w:color w:val="auto"/>
          <w:sz w:val="24"/>
        </w:rPr>
        <w:t xml:space="preserve">开 户 行：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开 户 行： </w:t>
      </w:r>
    </w:p>
    <w:p>
      <w:pPr>
        <w:spacing w:line="360" w:lineRule="auto"/>
        <w:jc w:val="left"/>
        <w:rPr>
          <w:rFonts w:hint="eastAsia" w:ascii="宋体" w:hAnsi="宋体"/>
          <w:color w:val="auto"/>
          <w:sz w:val="24"/>
        </w:rPr>
      </w:pPr>
      <w:r>
        <w:rPr>
          <w:rFonts w:hint="eastAsia" w:ascii="宋体" w:hAnsi="宋体"/>
          <w:color w:val="auto"/>
          <w:sz w:val="24"/>
        </w:rPr>
        <w:t xml:space="preserve">账    号：             </w:t>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ab/>
      </w:r>
      <w:r>
        <w:rPr>
          <w:rFonts w:hint="eastAsia" w:ascii="宋体" w:hAnsi="宋体"/>
          <w:color w:val="auto"/>
          <w:sz w:val="24"/>
        </w:rPr>
        <w:t xml:space="preserve"> </w:t>
      </w:r>
      <w:r>
        <w:rPr>
          <w:rFonts w:hint="eastAsia" w:ascii="宋体" w:hAnsi="宋体"/>
          <w:color w:val="auto"/>
          <w:sz w:val="24"/>
        </w:rPr>
        <w:tab/>
      </w:r>
      <w:r>
        <w:rPr>
          <w:rFonts w:hint="eastAsia" w:ascii="宋体" w:hAnsi="宋体"/>
          <w:color w:val="auto"/>
          <w:sz w:val="24"/>
        </w:rPr>
        <w:t>账    号：</w:t>
      </w:r>
    </w:p>
    <w:p>
      <w:pPr>
        <w:spacing w:line="360" w:lineRule="auto"/>
        <w:jc w:val="center"/>
        <w:rPr>
          <w:rFonts w:hint="eastAsia" w:ascii="宋体" w:hAnsi="宋体"/>
          <w:color w:val="auto"/>
          <w:sz w:val="24"/>
        </w:rPr>
      </w:pPr>
      <w:r>
        <w:rPr>
          <w:rFonts w:hint="eastAsia" w:ascii="宋体" w:hAnsi="宋体"/>
          <w:bCs/>
          <w:color w:val="auto"/>
          <w:sz w:val="24"/>
        </w:rPr>
        <w:tab/>
      </w:r>
      <w:r>
        <w:rPr>
          <w:rFonts w:hint="eastAsia" w:ascii="宋体" w:hAnsi="宋体"/>
          <w:bCs/>
          <w:color w:val="auto"/>
          <w:sz w:val="24"/>
        </w:rPr>
        <w:tab/>
      </w:r>
      <w:r>
        <w:rPr>
          <w:rFonts w:hint="eastAsia" w:ascii="宋体" w:hAnsi="宋体"/>
          <w:bCs/>
          <w:color w:val="auto"/>
          <w:sz w:val="24"/>
        </w:rPr>
        <w:tab/>
      </w:r>
      <w:r>
        <w:rPr>
          <w:rFonts w:hint="eastAsia" w:ascii="宋体" w:hAnsi="宋体"/>
          <w:bCs/>
          <w:color w:val="auto"/>
          <w:sz w:val="24"/>
        </w:rPr>
        <w:tab/>
      </w:r>
      <w:r>
        <w:rPr>
          <w:rFonts w:hint="eastAsia" w:ascii="宋体" w:hAnsi="宋体"/>
          <w:bCs/>
          <w:color w:val="auto"/>
          <w:sz w:val="24"/>
        </w:rPr>
        <w:tab/>
      </w:r>
      <w:r>
        <w:rPr>
          <w:rFonts w:hint="eastAsia" w:ascii="宋体" w:hAnsi="宋体"/>
          <w:bCs/>
          <w:color w:val="auto"/>
          <w:sz w:val="24"/>
        </w:rPr>
        <w:tab/>
      </w:r>
      <w:r>
        <w:rPr>
          <w:rFonts w:hint="eastAsia" w:ascii="宋体" w:hAnsi="宋体"/>
          <w:bCs/>
          <w:color w:val="auto"/>
          <w:sz w:val="24"/>
        </w:rPr>
        <w:t>签订日期：</w:t>
      </w:r>
      <w:r>
        <w:rPr>
          <w:rFonts w:hint="eastAsia" w:ascii="宋体" w:hAnsi="宋体"/>
          <w:color w:val="auto"/>
          <w:sz w:val="24"/>
        </w:rPr>
        <w:t xml:space="preserve">   年   月   日</w:t>
      </w:r>
    </w:p>
    <w:p>
      <w:pPr>
        <w:spacing w:line="360" w:lineRule="auto"/>
        <w:jc w:val="center"/>
        <w:rPr>
          <w:rFonts w:hint="eastAsia" w:ascii="宋体" w:hAnsi="宋体"/>
          <w:color w:val="auto"/>
          <w:sz w:val="24"/>
        </w:rPr>
      </w:pPr>
    </w:p>
    <w:p>
      <w:pPr>
        <w:spacing w:line="360" w:lineRule="auto"/>
        <w:jc w:val="center"/>
        <w:rPr>
          <w:rFonts w:hint="eastAsia" w:ascii="宋体" w:hAnsi="宋体"/>
          <w:color w:val="auto"/>
          <w:sz w:val="24"/>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szCs w:val="24"/>
        </w:rPr>
      </w:pPr>
    </w:p>
    <w:p>
      <w:pPr>
        <w:spacing w:line="360" w:lineRule="auto"/>
        <w:jc w:val="both"/>
        <w:rPr>
          <w:rFonts w:hint="eastAsia" w:ascii="宋体" w:hAnsi="宋体"/>
          <w:color w:val="auto"/>
          <w:sz w:val="24"/>
        </w:rPr>
      </w:pPr>
    </w:p>
    <w:p>
      <w:pPr>
        <w:spacing w:line="360" w:lineRule="auto"/>
        <w:jc w:val="center"/>
        <w:rPr>
          <w:rFonts w:hint="eastAsia" w:ascii="宋体" w:hAnsi="宋体"/>
          <w:color w:val="auto"/>
          <w:sz w:val="24"/>
        </w:rPr>
      </w:pPr>
    </w:p>
    <w:p>
      <w:pPr>
        <w:spacing w:line="360" w:lineRule="auto"/>
        <w:jc w:val="center"/>
        <w:rPr>
          <w:color w:val="auto"/>
        </w:rPr>
      </w:pPr>
      <w:r>
        <w:rPr>
          <w:color w:val="auto"/>
        </w:rPr>
        <w:br w:type="page"/>
      </w:r>
    </w:p>
    <w:p>
      <w:pPr>
        <w:pStyle w:val="3"/>
        <w:keepNext/>
        <w:keepLines/>
        <w:pageBreakBefore w:val="0"/>
        <w:widowControl w:val="0"/>
        <w:numPr>
          <w:ilvl w:val="0"/>
          <w:numId w:val="6"/>
        </w:numPr>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71" w:name="_Toc27831"/>
      <w:bookmarkStart w:id="72" w:name="_Toc458617467"/>
      <w:bookmarkStart w:id="73" w:name="_Toc14015"/>
      <w:bookmarkStart w:id="74" w:name="_Toc458617744"/>
      <w:r>
        <w:rPr>
          <w:rFonts w:hint="eastAsia" w:ascii="宋体" w:hAnsi="宋体" w:eastAsia="宋体" w:cs="宋体"/>
          <w:color w:val="auto"/>
          <w:highlight w:val="none"/>
        </w:rPr>
        <w:t xml:space="preserve"> 采购内容及技术要求</w:t>
      </w:r>
      <w:bookmarkEnd w:id="71"/>
      <w:bookmarkEnd w:id="72"/>
      <w:bookmarkEnd w:id="73"/>
      <w:bookmarkEnd w:id="74"/>
    </w:p>
    <w:p>
      <w:pPr>
        <w:pageBreakBefore w:val="0"/>
        <w:numPr>
          <w:ilvl w:val="0"/>
          <w:numId w:val="7"/>
        </w:numPr>
        <w:kinsoku/>
        <w:wordWrap/>
        <w:overflowPunct/>
        <w:topLinePunct w:val="0"/>
        <w:autoSpaceDE/>
        <w:autoSpaceDN/>
        <w:bidi w:val="0"/>
        <w:adjustRightInd/>
        <w:snapToGrid/>
        <w:spacing w:line="360" w:lineRule="auto"/>
        <w:rPr>
          <w:rFonts w:hint="eastAsia" w:ascii="宋体" w:hAnsi="宋体" w:eastAsia="宋体" w:cs="宋体"/>
          <w:b/>
          <w:bCs/>
          <w:sz w:val="24"/>
          <w:szCs w:val="24"/>
        </w:rPr>
      </w:pPr>
      <w:bookmarkStart w:id="75" w:name="_Toc31945"/>
      <w:r>
        <w:rPr>
          <w:rFonts w:hint="eastAsia" w:ascii="宋体" w:hAnsi="宋体" w:eastAsia="宋体" w:cs="宋体"/>
          <w:b/>
          <w:bCs/>
          <w:sz w:val="24"/>
          <w:szCs w:val="24"/>
        </w:rPr>
        <w:t xml:space="preserve"> 采购内容</w:t>
      </w:r>
    </w:p>
    <w:p>
      <w:pPr>
        <w:pageBreakBefore w:val="0"/>
        <w:numPr>
          <w:ilvl w:val="0"/>
          <w:numId w:val="8"/>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移动护士站业务系统租用服务</w:t>
      </w:r>
    </w:p>
    <w:p>
      <w:pPr>
        <w:pageBreakBefore w:val="0"/>
        <w:numPr>
          <w:ilvl w:val="0"/>
          <w:numId w:val="8"/>
        </w:numPr>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NSIS智慧护理业务系统租用服务</w:t>
      </w:r>
    </w:p>
    <w:p>
      <w:pPr>
        <w:pageBreakBefore w:val="0"/>
        <w:numPr>
          <w:ilvl w:val="0"/>
          <w:numId w:val="7"/>
        </w:numPr>
        <w:kinsoku/>
        <w:wordWrap/>
        <w:overflowPunct/>
        <w:topLinePunct w:val="0"/>
        <w:autoSpaceDE/>
        <w:autoSpaceDN/>
        <w:bidi w:val="0"/>
        <w:adjustRightInd/>
        <w:snapToGrid/>
        <w:spacing w:line="360" w:lineRule="auto"/>
        <w:rPr>
          <w:rFonts w:hint="eastAsia" w:ascii="宋体" w:hAnsi="宋体" w:eastAsia="宋体" w:cs="宋体"/>
          <w:b/>
          <w:bCs/>
          <w:sz w:val="24"/>
          <w:szCs w:val="24"/>
        </w:rPr>
      </w:pPr>
      <w:r>
        <w:rPr>
          <w:rFonts w:hint="eastAsia" w:ascii="宋体" w:hAnsi="宋体" w:eastAsia="宋体" w:cs="宋体"/>
          <w:b/>
          <w:bCs/>
          <w:sz w:val="24"/>
          <w:szCs w:val="24"/>
        </w:rPr>
        <w:t>技术要求及功能定位</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（一）基本技术条件：</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1、移动护士工作站与手持均采用网络版，支持主流的网络协议（TCP/IP、IPX/SPX、NETBIOS及混合协议等）。</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2、移动护士工作站具有严格的权限管理，实现有限操作，保存痕迹。应用层与数据层有访问限制，保密信息与公开信息有严密隔离等安全管理体系。</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备科学、合理、先进的软件系统架构，并具有高度的灵活性和扩展性，充分考虑当医院业务高峰期数据库访问量巨大的情况下，整个业务系统的性能，并能满足未来五年的医院发展和信息技术发展的需要，满足医院可持续的流程优化和系统集成优化的需要。</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4、投标供应商推荐的配套硬件产品必须是当前市场的主流产品，在性能等各方面不得低于</w:t>
      </w:r>
      <w:r>
        <w:rPr>
          <w:rFonts w:hint="eastAsia" w:ascii="宋体" w:hAnsi="宋体" w:eastAsia="宋体" w:cs="宋体"/>
          <w:sz w:val="24"/>
          <w:szCs w:val="24"/>
          <w:lang w:val="en-US" w:eastAsia="zh-CN"/>
        </w:rPr>
        <w:t>竞争性磋商</w:t>
      </w:r>
      <w:r>
        <w:rPr>
          <w:rFonts w:hint="eastAsia" w:ascii="宋体" w:hAnsi="宋体" w:eastAsia="宋体" w:cs="宋体"/>
          <w:sz w:val="24"/>
          <w:szCs w:val="24"/>
        </w:rPr>
        <w:t>文件所要求的各项指标。同时移动护士工作站可以适应于满足技术指标的任一厂商和规格的移动终端，无需二次开发，保护医院投资长期有效。</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5、提供标准化接口，方便第三方厂商按照规范将LIS、PACS多种医疗结果在移动终端进行展现。</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6、除了本章各包的技术规格要求以外，投标响应的技术指标均应符合相应的国家标准或国际标准。</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7、与现有医院信息系统对接要求：与现行HIS、CIS、LIS、PACS系统能无缝对接，对现有系统性能和稳定性无任何影响。</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8、与HIS、LIS、PACS、电子病历、临床路径系统使用同类数据库。</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9、与护士工作站融合，不需要另外登录和切换。</w:t>
      </w:r>
    </w:p>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（二）功能及定位</w:t>
      </w:r>
    </w:p>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1.移动护士站系统：含软件系统一套及23部手持终端，涵盖6个病区，具体如下：</w:t>
      </w:r>
    </w:p>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①功能</w:t>
      </w:r>
    </w:p>
    <w:tbl>
      <w:tblPr>
        <w:tblStyle w:val="20"/>
        <w:tblW w:w="9059" w:type="dxa"/>
        <w:tblInd w:w="0" w:type="dxa"/>
        <w:tblLayout w:type="fixed"/>
        <w:tblCellMar>
          <w:top w:w="0" w:type="dxa"/>
          <w:left w:w="0" w:type="dxa"/>
          <w:bottom w:w="0" w:type="dxa"/>
          <w:right w:w="0" w:type="dxa"/>
        </w:tblCellMar>
      </w:tblPr>
      <w:tblGrid>
        <w:gridCol w:w="677"/>
        <w:gridCol w:w="1314"/>
        <w:gridCol w:w="7068"/>
      </w:tblGrid>
      <w:tr>
        <w:tblPrEx>
          <w:tblCellMar>
            <w:top w:w="0" w:type="dxa"/>
            <w:left w:w="0" w:type="dxa"/>
            <w:bottom w:w="0" w:type="dxa"/>
            <w:right w:w="0" w:type="dxa"/>
          </w:tblCellMar>
        </w:tblPrEx>
        <w:trPr>
          <w:trHeight w:val="357" w:hRule="atLeast"/>
        </w:trPr>
        <w:tc>
          <w:tcPr>
            <w:tcW w:w="677" w:type="dxa"/>
            <w:tcBorders>
              <w:top w:val="double" w:color="000000" w:sz="4" w:space="0"/>
              <w:left w:val="doub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序号</w:t>
            </w:r>
          </w:p>
        </w:tc>
        <w:tc>
          <w:tcPr>
            <w:tcW w:w="1314" w:type="dxa"/>
            <w:tcBorders>
              <w:top w:val="doub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功能模块</w:t>
            </w:r>
          </w:p>
        </w:tc>
        <w:tc>
          <w:tcPr>
            <w:tcW w:w="7068" w:type="dxa"/>
            <w:tcBorders>
              <w:top w:val="doub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功能说明</w:t>
            </w:r>
          </w:p>
        </w:tc>
      </w:tr>
      <w:tr>
        <w:tblPrEx>
          <w:tblCellMar>
            <w:top w:w="0" w:type="dxa"/>
            <w:left w:w="0" w:type="dxa"/>
            <w:bottom w:w="0" w:type="dxa"/>
            <w:right w:w="0" w:type="dxa"/>
          </w:tblCellMar>
        </w:tblPrEx>
        <w:trPr>
          <w:trHeight w:val="1502" w:hRule="atLeast"/>
        </w:trPr>
        <w:tc>
          <w:tcPr>
            <w:tcW w:w="677" w:type="dxa"/>
            <w:tcBorders>
              <w:top w:val="single" w:color="000000" w:sz="4" w:space="0"/>
              <w:left w:val="doub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配液核对</w:t>
            </w:r>
          </w:p>
        </w:tc>
        <w:tc>
          <w:tcPr>
            <w:tcW w:w="70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护士通过扫二维码对输液类医嘱进行配液核对；</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每次操作后系统记录操作人、操作时间；</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包含“待配液”、“已配液”、“已校对”三个选项；</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同步抓取静配中心数据，同步液体状态。</w:t>
            </w:r>
          </w:p>
        </w:tc>
      </w:tr>
      <w:tr>
        <w:tblPrEx>
          <w:tblCellMar>
            <w:top w:w="0" w:type="dxa"/>
            <w:left w:w="0" w:type="dxa"/>
            <w:bottom w:w="0" w:type="dxa"/>
            <w:right w:w="0" w:type="dxa"/>
          </w:tblCellMar>
        </w:tblPrEx>
        <w:trPr>
          <w:trHeight w:val="2010" w:hRule="atLeast"/>
        </w:trPr>
        <w:tc>
          <w:tcPr>
            <w:tcW w:w="677" w:type="dxa"/>
            <w:tcBorders>
              <w:top w:val="single" w:color="000000" w:sz="4" w:space="0"/>
              <w:left w:val="doub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标本检查</w:t>
            </w:r>
          </w:p>
        </w:tc>
        <w:tc>
          <w:tcPr>
            <w:tcW w:w="70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 xml:space="preserve"> 通过扫码实现临床送检物采集过程中身份信息核对</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 xml:space="preserve"> 每次扫码操作记录采集人、采集时间</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 xml:space="preserve"> 包含“未校对”、“已校对”两个选项；“未校对”选项显示新开检验医嘱信息，“已校对”选项显示已完成身份信息核对、送检物采集的医嘱</w:t>
            </w:r>
            <w:r>
              <w:rPr>
                <w:rFonts w:hint="eastAsia" w:ascii="宋体" w:hAnsi="宋体" w:eastAsia="宋体" w:cs="宋体"/>
                <w:color w:val="000000"/>
                <w:kern w:val="0"/>
                <w:sz w:val="24"/>
                <w:szCs w:val="24"/>
                <w:lang w:eastAsia="zh-CN" w:bidi="ar"/>
              </w:rPr>
              <w:t>。</w:t>
            </w:r>
          </w:p>
        </w:tc>
      </w:tr>
      <w:tr>
        <w:tblPrEx>
          <w:tblCellMar>
            <w:top w:w="0" w:type="dxa"/>
            <w:left w:w="0" w:type="dxa"/>
            <w:bottom w:w="0" w:type="dxa"/>
            <w:right w:w="0" w:type="dxa"/>
          </w:tblCellMar>
        </w:tblPrEx>
        <w:trPr>
          <w:trHeight w:val="2660" w:hRule="atLeast"/>
        </w:trPr>
        <w:tc>
          <w:tcPr>
            <w:tcW w:w="677" w:type="dxa"/>
            <w:tcBorders>
              <w:top w:val="single" w:color="000000" w:sz="4" w:space="0"/>
              <w:left w:val="doub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医嘱执行</w:t>
            </w:r>
          </w:p>
        </w:tc>
        <w:tc>
          <w:tcPr>
            <w:tcW w:w="70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 xml:space="preserve"> 通过扫描患者腕带、医嘱瓶签二维码比对医嘱是否正确</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 xml:space="preserve"> 医嘱分类：按用法分“输液”“注射”“口服”“护理”“雾化”“皮试”等类别</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 xml:space="preserve"> 操作状态分为“未执行”“暂停执行”“执行完毕”“其他操作”等</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 xml:space="preserve"> 每次操作记录操作人、操作时间</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 xml:space="preserve"> 可设置开始执行与执行结束时间间隔</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 xml:space="preserve"> 可设置执行下一组液体时是否自动结束上一组</w:t>
            </w:r>
            <w:r>
              <w:rPr>
                <w:rFonts w:hint="eastAsia" w:ascii="宋体" w:hAnsi="宋体" w:eastAsia="宋体" w:cs="宋体"/>
                <w:color w:val="000000"/>
                <w:kern w:val="0"/>
                <w:sz w:val="24"/>
                <w:szCs w:val="24"/>
                <w:lang w:eastAsia="zh-CN" w:bidi="ar"/>
              </w:rPr>
              <w:t>。</w:t>
            </w:r>
          </w:p>
        </w:tc>
      </w:tr>
      <w:tr>
        <w:tblPrEx>
          <w:tblCellMar>
            <w:top w:w="0" w:type="dxa"/>
            <w:left w:w="0" w:type="dxa"/>
            <w:bottom w:w="0" w:type="dxa"/>
            <w:right w:w="0" w:type="dxa"/>
          </w:tblCellMar>
        </w:tblPrEx>
        <w:trPr>
          <w:trHeight w:val="1921" w:hRule="atLeast"/>
        </w:trPr>
        <w:tc>
          <w:tcPr>
            <w:tcW w:w="677" w:type="dxa"/>
            <w:tcBorders>
              <w:top w:val="single" w:color="000000" w:sz="4" w:space="0"/>
              <w:left w:val="doub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体征录入</w:t>
            </w:r>
          </w:p>
        </w:tc>
        <w:tc>
          <w:tcPr>
            <w:tcW w:w="70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临床实时录入患者生命体征，体征自动汇入HIS体温单/三测单</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10</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 单人录入：单个病人，多项体征录入</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次序录入：单人录入后，点击“下一个”可以切换另一个病人进行录入</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 批量录入：单一体征多个病人批量录入</w:t>
            </w:r>
            <w:r>
              <w:rPr>
                <w:rFonts w:hint="eastAsia" w:ascii="宋体" w:hAnsi="宋体" w:eastAsia="宋体" w:cs="宋体"/>
                <w:color w:val="000000"/>
                <w:kern w:val="0"/>
                <w:sz w:val="24"/>
                <w:szCs w:val="24"/>
                <w:lang w:eastAsia="zh-CN" w:bidi="ar"/>
              </w:rPr>
              <w:t>。</w:t>
            </w:r>
          </w:p>
        </w:tc>
      </w:tr>
      <w:tr>
        <w:tblPrEx>
          <w:tblCellMar>
            <w:top w:w="0" w:type="dxa"/>
            <w:left w:w="0" w:type="dxa"/>
            <w:bottom w:w="0" w:type="dxa"/>
            <w:right w:w="0" w:type="dxa"/>
          </w:tblCellMar>
        </w:tblPrEx>
        <w:trPr>
          <w:trHeight w:val="422" w:hRule="atLeast"/>
        </w:trPr>
        <w:tc>
          <w:tcPr>
            <w:tcW w:w="677" w:type="dxa"/>
            <w:tcBorders>
              <w:top w:val="single" w:color="000000" w:sz="4" w:space="0"/>
              <w:left w:val="doub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护理记录</w:t>
            </w:r>
          </w:p>
        </w:tc>
        <w:tc>
          <w:tcPr>
            <w:tcW w:w="70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 xml:space="preserve"> 通过APP实现不同护理记录单在临床快速录入，数据自动推送HIS记录。可在后台查看、打印相关护理记录单</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 一般护理记录单</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 通用护理记录单</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 其他护理记录单</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Style w:val="38"/>
                <w:rFonts w:hint="eastAsia" w:ascii="宋体" w:hAnsi="宋体" w:eastAsia="宋体" w:cs="宋体"/>
                <w:sz w:val="24"/>
                <w:szCs w:val="24"/>
                <w:lang w:bidi="ar"/>
              </w:rPr>
              <w:t>注</w:t>
            </w:r>
            <w:r>
              <w:rPr>
                <w:rStyle w:val="39"/>
                <w:rFonts w:hint="eastAsia" w:ascii="宋体" w:hAnsi="宋体" w:eastAsia="宋体" w:cs="宋体"/>
                <w:sz w:val="24"/>
                <w:szCs w:val="24"/>
                <w:lang w:bidi="ar"/>
              </w:rPr>
              <w:t>：护理记录单分期实现，一期实现全院通用的护理记录单。</w:t>
            </w:r>
          </w:p>
        </w:tc>
      </w:tr>
      <w:tr>
        <w:tblPrEx>
          <w:tblCellMar>
            <w:top w:w="0" w:type="dxa"/>
            <w:left w:w="0" w:type="dxa"/>
            <w:bottom w:w="0" w:type="dxa"/>
            <w:right w:w="0" w:type="dxa"/>
          </w:tblCellMar>
        </w:tblPrEx>
        <w:trPr>
          <w:trHeight w:val="1287" w:hRule="atLeast"/>
        </w:trPr>
        <w:tc>
          <w:tcPr>
            <w:tcW w:w="677" w:type="dxa"/>
            <w:tcBorders>
              <w:top w:val="single" w:color="000000" w:sz="4" w:space="0"/>
              <w:left w:val="doub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患者巡视</w:t>
            </w:r>
          </w:p>
        </w:tc>
        <w:tc>
          <w:tcPr>
            <w:tcW w:w="70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 xml:space="preserve"> 通过扫码患者腕带、床头卡完成巡视</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 患者巡视：床前快速录入患者巡视信息</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 查看历史：查看历史巡视信息</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 巡视记录单查看、打印</w:t>
            </w:r>
            <w:r>
              <w:rPr>
                <w:rFonts w:hint="eastAsia" w:ascii="宋体" w:hAnsi="宋体" w:eastAsia="宋体" w:cs="宋体"/>
                <w:color w:val="000000"/>
                <w:kern w:val="0"/>
                <w:sz w:val="24"/>
                <w:szCs w:val="24"/>
                <w:lang w:eastAsia="zh-CN" w:bidi="ar"/>
              </w:rPr>
              <w:t>；</w:t>
            </w:r>
          </w:p>
        </w:tc>
      </w:tr>
      <w:tr>
        <w:tblPrEx>
          <w:tblCellMar>
            <w:top w:w="0" w:type="dxa"/>
            <w:left w:w="0" w:type="dxa"/>
            <w:bottom w:w="0" w:type="dxa"/>
            <w:right w:w="0" w:type="dxa"/>
          </w:tblCellMar>
        </w:tblPrEx>
        <w:trPr>
          <w:trHeight w:val="1921" w:hRule="atLeast"/>
        </w:trPr>
        <w:tc>
          <w:tcPr>
            <w:tcW w:w="677" w:type="dxa"/>
            <w:tcBorders>
              <w:top w:val="single" w:color="000000" w:sz="4" w:space="0"/>
              <w:left w:val="doub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1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患者信息</w:t>
            </w:r>
          </w:p>
        </w:tc>
        <w:tc>
          <w:tcPr>
            <w:tcW w:w="70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实时查看患者诊断、病历信息。可包含如下信息</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 患者基础信息：姓名、性别、年龄、床号、住院号、人员日期、家庭住址；</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 诊断信息</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 主治医师</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查看病历：含患者入院记录、病程等</w:t>
            </w:r>
            <w:r>
              <w:rPr>
                <w:rFonts w:hint="eastAsia" w:ascii="宋体" w:hAnsi="宋体" w:eastAsia="宋体" w:cs="宋体"/>
                <w:color w:val="000000"/>
                <w:kern w:val="0"/>
                <w:sz w:val="24"/>
                <w:szCs w:val="24"/>
                <w:lang w:eastAsia="zh-CN" w:bidi="ar"/>
              </w:rPr>
              <w:t>。</w:t>
            </w:r>
          </w:p>
        </w:tc>
      </w:tr>
      <w:tr>
        <w:tblPrEx>
          <w:tblCellMar>
            <w:top w:w="0" w:type="dxa"/>
            <w:left w:w="0" w:type="dxa"/>
            <w:bottom w:w="0" w:type="dxa"/>
            <w:right w:w="0" w:type="dxa"/>
          </w:tblCellMar>
        </w:tblPrEx>
        <w:trPr>
          <w:trHeight w:val="970" w:hRule="atLeast"/>
        </w:trPr>
        <w:tc>
          <w:tcPr>
            <w:tcW w:w="677" w:type="dxa"/>
            <w:tcBorders>
              <w:top w:val="single" w:color="000000" w:sz="4" w:space="0"/>
              <w:left w:val="doub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1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住院经费</w:t>
            </w:r>
          </w:p>
        </w:tc>
        <w:tc>
          <w:tcPr>
            <w:tcW w:w="70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 xml:space="preserve"> 实时查看患者住院经费</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bidi="ar"/>
              </w:rPr>
              <w:t>包含当前总费用、各项费用信息汇总、费用明细、缴费方式等</w:t>
            </w:r>
            <w:r>
              <w:rPr>
                <w:rFonts w:hint="eastAsia" w:ascii="宋体" w:hAnsi="宋体" w:eastAsia="宋体" w:cs="宋体"/>
                <w:color w:val="000000"/>
                <w:kern w:val="0"/>
                <w:sz w:val="24"/>
                <w:szCs w:val="24"/>
                <w:lang w:eastAsia="zh-CN" w:bidi="ar"/>
              </w:rPr>
              <w:t>。</w:t>
            </w:r>
          </w:p>
        </w:tc>
      </w:tr>
      <w:tr>
        <w:tblPrEx>
          <w:tblCellMar>
            <w:top w:w="0" w:type="dxa"/>
            <w:left w:w="0" w:type="dxa"/>
            <w:bottom w:w="0" w:type="dxa"/>
            <w:right w:w="0" w:type="dxa"/>
          </w:tblCellMar>
        </w:tblPrEx>
        <w:trPr>
          <w:trHeight w:val="2237" w:hRule="atLeast"/>
        </w:trPr>
        <w:tc>
          <w:tcPr>
            <w:tcW w:w="677" w:type="dxa"/>
            <w:tcBorders>
              <w:top w:val="single" w:color="000000" w:sz="4" w:space="0"/>
              <w:left w:val="doub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9</w:t>
            </w:r>
          </w:p>
        </w:tc>
        <w:tc>
          <w:tcPr>
            <w:tcW w:w="1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绩效统计</w:t>
            </w:r>
          </w:p>
        </w:tc>
        <w:tc>
          <w:tcPr>
            <w:tcW w:w="70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bidi="ar"/>
              </w:rPr>
              <w:t xml:space="preserve"> 查询护士工作量：含巡视、配液、医嘱执行、标本、体征采集等工作量</w:t>
            </w:r>
            <w:r>
              <w:rPr>
                <w:rFonts w:hint="eastAsia" w:ascii="宋体" w:hAnsi="宋体" w:eastAsia="宋体" w:cs="宋体"/>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 xml:space="preserve"> 按照护理部、护理部科室、科室护士长、普通护士分级别统计工作量，统计时间按照小时，天，周，月，年，可以设置；</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 xml:space="preserve"> 治疗类工作量统计、基础护理类工作量统计</w:t>
            </w:r>
            <w:r>
              <w:rPr>
                <w:rFonts w:hint="eastAsia" w:ascii="宋体" w:hAnsi="宋体" w:eastAsia="宋体" w:cs="宋体"/>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eastAsia="zh-CN"/>
              </w:rPr>
            </w:pPr>
            <w:r>
              <w:rPr>
                <w:rFonts w:hint="eastAsia" w:ascii="宋体" w:hAnsi="宋体" w:eastAsia="宋体" w:cs="宋体"/>
                <w:kern w:val="0"/>
                <w:sz w:val="24"/>
                <w:szCs w:val="24"/>
                <w:lang w:bidi="ar"/>
              </w:rPr>
              <w:t>注：一期统一上线标准功能</w:t>
            </w:r>
            <w:r>
              <w:rPr>
                <w:rFonts w:hint="eastAsia" w:ascii="宋体" w:hAnsi="宋体" w:eastAsia="宋体" w:cs="宋体"/>
                <w:kern w:val="0"/>
                <w:sz w:val="24"/>
                <w:szCs w:val="24"/>
                <w:lang w:eastAsia="zh-CN" w:bidi="ar"/>
              </w:rPr>
              <w:t>。</w:t>
            </w:r>
          </w:p>
        </w:tc>
      </w:tr>
      <w:tr>
        <w:tblPrEx>
          <w:tblCellMar>
            <w:top w:w="0" w:type="dxa"/>
            <w:left w:w="0" w:type="dxa"/>
            <w:bottom w:w="0" w:type="dxa"/>
            <w:right w:w="0" w:type="dxa"/>
          </w:tblCellMar>
        </w:tblPrEx>
        <w:trPr>
          <w:trHeight w:val="1604" w:hRule="atLeast"/>
        </w:trPr>
        <w:tc>
          <w:tcPr>
            <w:tcW w:w="677" w:type="dxa"/>
            <w:tcBorders>
              <w:top w:val="single" w:color="000000" w:sz="4" w:space="0"/>
              <w:left w:val="doub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10</w:t>
            </w:r>
          </w:p>
        </w:tc>
        <w:tc>
          <w:tcPr>
            <w:tcW w:w="1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护理操作</w:t>
            </w:r>
          </w:p>
        </w:tc>
        <w:tc>
          <w:tcPr>
            <w:tcW w:w="70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bidi="ar"/>
              </w:rPr>
              <w:t>基础护理、专科护理等模块的信息录入</w:t>
            </w:r>
            <w:r>
              <w:rPr>
                <w:rFonts w:hint="eastAsia" w:ascii="宋体" w:hAnsi="宋体" w:eastAsia="宋体" w:cs="宋体"/>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护理操作执行：基础护理（翻身、拍背）、护理治疗、护理监测、导管引流等执行</w:t>
            </w:r>
            <w:r>
              <w:rPr>
                <w:rFonts w:hint="eastAsia" w:ascii="宋体" w:hAnsi="宋体" w:eastAsia="宋体" w:cs="宋体"/>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操作历史查询：护理操作报表统计汇总</w:t>
            </w:r>
            <w:r>
              <w:rPr>
                <w:rFonts w:hint="eastAsia" w:ascii="宋体" w:hAnsi="宋体" w:eastAsia="宋体" w:cs="宋体"/>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eastAsia="zh-CN"/>
              </w:rPr>
            </w:pPr>
            <w:r>
              <w:rPr>
                <w:rStyle w:val="40"/>
                <w:rFonts w:hint="eastAsia" w:ascii="宋体" w:hAnsi="宋体" w:eastAsia="宋体" w:cs="宋体"/>
                <w:color w:val="auto"/>
                <w:sz w:val="24"/>
                <w:szCs w:val="24"/>
                <w:lang w:bidi="ar"/>
              </w:rPr>
              <w:t>注：</w:t>
            </w:r>
            <w:r>
              <w:rPr>
                <w:rStyle w:val="41"/>
                <w:rFonts w:hint="eastAsia" w:ascii="宋体" w:hAnsi="宋体" w:eastAsia="宋体" w:cs="宋体"/>
                <w:color w:val="auto"/>
                <w:sz w:val="24"/>
                <w:szCs w:val="24"/>
                <w:lang w:bidi="ar"/>
              </w:rPr>
              <w:t>护理操作项目可配置</w:t>
            </w:r>
            <w:r>
              <w:rPr>
                <w:rStyle w:val="41"/>
                <w:rFonts w:hint="eastAsia" w:ascii="宋体" w:hAnsi="宋体" w:eastAsia="宋体" w:cs="宋体"/>
                <w:color w:val="auto"/>
                <w:sz w:val="24"/>
                <w:szCs w:val="24"/>
                <w:lang w:eastAsia="zh-CN" w:bidi="ar"/>
              </w:rPr>
              <w:t>。</w:t>
            </w:r>
          </w:p>
        </w:tc>
      </w:tr>
      <w:tr>
        <w:tblPrEx>
          <w:tblCellMar>
            <w:top w:w="0" w:type="dxa"/>
            <w:left w:w="0" w:type="dxa"/>
            <w:bottom w:w="0" w:type="dxa"/>
            <w:right w:w="0" w:type="dxa"/>
          </w:tblCellMar>
        </w:tblPrEx>
        <w:trPr>
          <w:trHeight w:val="970" w:hRule="atLeast"/>
        </w:trPr>
        <w:tc>
          <w:tcPr>
            <w:tcW w:w="677" w:type="dxa"/>
            <w:tcBorders>
              <w:top w:val="single" w:color="000000" w:sz="4" w:space="0"/>
              <w:left w:val="doub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11</w:t>
            </w:r>
          </w:p>
        </w:tc>
        <w:tc>
          <w:tcPr>
            <w:tcW w:w="1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bidi="ar"/>
              </w:rPr>
              <w:t>不良事件</w:t>
            </w:r>
          </w:p>
        </w:tc>
        <w:tc>
          <w:tcPr>
            <w:tcW w:w="70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不良事件的信息录入：床前快速录入不良事件信息，快速上报</w:t>
            </w:r>
            <w:r>
              <w:rPr>
                <w:rFonts w:hint="eastAsia" w:ascii="宋体" w:hAnsi="宋体" w:eastAsia="宋体" w:cs="宋体"/>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eastAsia="zh-CN"/>
              </w:rPr>
            </w:pP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eastAsia="zh-CN" w:bidi="ar"/>
              </w:rPr>
              <w:t>）</w:t>
            </w:r>
            <w:r>
              <w:rPr>
                <w:rFonts w:hint="eastAsia" w:ascii="宋体" w:hAnsi="宋体" w:eastAsia="宋体" w:cs="宋体"/>
                <w:kern w:val="0"/>
                <w:sz w:val="24"/>
                <w:szCs w:val="24"/>
                <w:lang w:bidi="ar"/>
              </w:rPr>
              <w:t xml:space="preserve"> 不良事件历史查询：查看历史不良事件信息</w:t>
            </w:r>
            <w:r>
              <w:rPr>
                <w:rFonts w:hint="eastAsia" w:ascii="宋体" w:hAnsi="宋体" w:eastAsia="宋体" w:cs="宋体"/>
                <w:kern w:val="0"/>
                <w:sz w:val="24"/>
                <w:szCs w:val="24"/>
                <w:lang w:eastAsia="zh-CN" w:bidi="ar"/>
              </w:rPr>
              <w:t>。</w:t>
            </w:r>
          </w:p>
        </w:tc>
      </w:tr>
      <w:tr>
        <w:tblPrEx>
          <w:tblCellMar>
            <w:top w:w="0" w:type="dxa"/>
            <w:left w:w="0" w:type="dxa"/>
            <w:bottom w:w="0" w:type="dxa"/>
            <w:right w:w="0" w:type="dxa"/>
          </w:tblCellMar>
        </w:tblPrEx>
        <w:trPr>
          <w:trHeight w:val="469" w:hRule="atLeast"/>
        </w:trPr>
        <w:tc>
          <w:tcPr>
            <w:tcW w:w="677" w:type="dxa"/>
            <w:tcBorders>
              <w:top w:val="single" w:color="000000" w:sz="4" w:space="0"/>
              <w:left w:val="doub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131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护理记录</w:t>
            </w:r>
          </w:p>
        </w:tc>
        <w:tc>
          <w:tcPr>
            <w:tcW w:w="7068"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实现移动护理APP床前实时录入；</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 录入：入院评估单、血糖监测单、压疮监控单、压疮申请单、ICU特护单等</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 xml:space="preserve"> 查询：查看历史护理文书信息</w:t>
            </w:r>
            <w:r>
              <w:rPr>
                <w:rFonts w:hint="eastAsia" w:ascii="宋体" w:hAnsi="宋体" w:eastAsia="宋体" w:cs="宋体"/>
                <w:color w:val="000000"/>
                <w:kern w:val="0"/>
                <w:sz w:val="24"/>
                <w:szCs w:val="24"/>
                <w:lang w:eastAsia="zh-CN" w:bidi="ar"/>
              </w:rPr>
              <w:t>；</w:t>
            </w:r>
          </w:p>
          <w:p>
            <w:pPr>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4"/>
                <w:szCs w:val="24"/>
              </w:rPr>
            </w:pPr>
            <w:r>
              <w:rPr>
                <w:rStyle w:val="40"/>
                <w:rFonts w:hint="eastAsia" w:ascii="宋体" w:hAnsi="宋体" w:eastAsia="宋体" w:cs="宋体"/>
                <w:sz w:val="24"/>
                <w:szCs w:val="24"/>
                <w:lang w:bidi="ar"/>
              </w:rPr>
              <w:t>注：</w:t>
            </w:r>
            <w:r>
              <w:rPr>
                <w:rStyle w:val="41"/>
                <w:rFonts w:hint="eastAsia" w:ascii="宋体" w:hAnsi="宋体" w:eastAsia="宋体" w:cs="宋体"/>
                <w:sz w:val="24"/>
                <w:szCs w:val="24"/>
                <w:lang w:bidi="ar"/>
              </w:rPr>
              <w:t>由于各科室文书的差异性，建议二期实现。</w:t>
            </w:r>
          </w:p>
        </w:tc>
      </w:tr>
    </w:tbl>
    <w:p>
      <w:pPr>
        <w:pageBreakBefore w:val="0"/>
        <w:kinsoku/>
        <w:wordWrap/>
        <w:overflowPunct/>
        <w:topLinePunct w:val="0"/>
        <w:autoSpaceDE/>
        <w:autoSpaceDN/>
        <w:bidi w:val="0"/>
        <w:adjustRightInd/>
        <w:snapToGrid/>
        <w:spacing w:line="360" w:lineRule="auto"/>
        <w:outlineLvl w:val="0"/>
        <w:rPr>
          <w:rFonts w:hint="eastAsia" w:ascii="宋体" w:hAnsi="宋体" w:eastAsia="宋体" w:cs="宋体"/>
          <w:sz w:val="24"/>
          <w:szCs w:val="24"/>
        </w:rPr>
      </w:pPr>
      <w:r>
        <w:rPr>
          <w:rStyle w:val="23"/>
          <w:rFonts w:hint="eastAsia" w:ascii="宋体" w:hAnsi="宋体" w:eastAsia="宋体" w:cs="宋体"/>
          <w:caps/>
          <w:sz w:val="24"/>
          <w:szCs w:val="24"/>
        </w:rPr>
        <w:t>②.网络参数：</w:t>
      </w:r>
    </w:p>
    <w:tbl>
      <w:tblPr>
        <w:tblStyle w:val="20"/>
        <w:tblpPr w:leftFromText="180" w:rightFromText="180" w:vertAnchor="text" w:horzAnchor="page" w:tblpX="1612" w:tblpY="342"/>
        <w:tblOverlap w:val="never"/>
        <w:tblW w:w="87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28" w:type="dxa"/>
            <w:noWrap/>
            <w:vAlign w:val="center"/>
          </w:tcPr>
          <w:p>
            <w:pPr>
              <w:pageBreakBefore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sz w:val="24"/>
                <w:szCs w:val="24"/>
              </w:rPr>
            </w:pPr>
            <w:r>
              <w:rPr>
                <w:rFonts w:hint="eastAsia" w:ascii="宋体" w:hAnsi="宋体" w:eastAsia="宋体" w:cs="宋体"/>
                <w:b/>
                <w:sz w:val="24"/>
                <w:szCs w:val="24"/>
              </w:rPr>
              <w:t>名称</w:t>
            </w:r>
          </w:p>
        </w:tc>
        <w:tc>
          <w:tcPr>
            <w:tcW w:w="7800" w:type="dxa"/>
            <w:noWrap w:val="0"/>
            <w:vAlign w:val="center"/>
          </w:tcPr>
          <w:p>
            <w:pPr>
              <w:pageBreakBefore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sz w:val="24"/>
                <w:szCs w:val="24"/>
              </w:rPr>
            </w:pPr>
            <w:r>
              <w:rPr>
                <w:rFonts w:hint="eastAsia" w:ascii="宋体" w:hAnsi="宋体" w:eastAsia="宋体" w:cs="宋体"/>
                <w:b/>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928" w:type="dxa"/>
            <w:vMerge w:val="restart"/>
            <w:noWrap/>
            <w:vAlign w:val="center"/>
          </w:tcPr>
          <w:p>
            <w:pPr>
              <w:pageBreakBefore w:val="0"/>
              <w:kinsoku/>
              <w:wordWrap/>
              <w:overflowPunct/>
              <w:topLinePunct w:val="0"/>
              <w:autoSpaceDE/>
              <w:autoSpaceDN/>
              <w:bidi w:val="0"/>
              <w:adjustRightInd/>
              <w:snapToGrid/>
              <w:spacing w:line="360" w:lineRule="auto"/>
              <w:ind w:firstLine="120" w:firstLineChars="50"/>
              <w:rPr>
                <w:rFonts w:hint="eastAsia" w:ascii="宋体" w:hAnsi="宋体" w:eastAsia="宋体" w:cs="宋体"/>
                <w:b/>
                <w:sz w:val="24"/>
                <w:szCs w:val="24"/>
              </w:rPr>
            </w:pPr>
            <w:r>
              <w:rPr>
                <w:rFonts w:hint="eastAsia" w:ascii="宋体" w:hAnsi="宋体" w:eastAsia="宋体" w:cs="宋体"/>
                <w:b/>
                <w:sz w:val="24"/>
                <w:szCs w:val="24"/>
              </w:rPr>
              <w:t>网络</w:t>
            </w:r>
          </w:p>
        </w:tc>
        <w:tc>
          <w:tcPr>
            <w:tcW w:w="7800" w:type="dxa"/>
            <w:noWrap w:val="0"/>
            <w:vAlign w:val="top"/>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b/>
                <w:sz w:val="24"/>
                <w:szCs w:val="24"/>
              </w:rPr>
            </w:pPr>
            <w:r>
              <w:rPr>
                <w:rFonts w:hint="eastAsia" w:ascii="宋体" w:hAnsi="宋体" w:eastAsia="宋体" w:cs="宋体"/>
                <w:b/>
                <w:sz w:val="24"/>
                <w:szCs w:val="24"/>
              </w:rPr>
              <w:t>4G网络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28" w:type="dxa"/>
            <w:vMerge w:val="continue"/>
            <w:noWrap w:val="0"/>
            <w:vAlign w:val="center"/>
          </w:tcPr>
          <w:p>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p>
        </w:tc>
        <w:tc>
          <w:tcPr>
            <w:tcW w:w="7800" w:type="dxa"/>
            <w:noWrap w:val="0"/>
            <w:vAlign w:val="top"/>
          </w:tcPr>
          <w:p>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下载速度最高可达到100Mbps，上行速率≥30Mbps，4G+更可达到300Mbps的峰值速率。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Merge w:val="continue"/>
            <w:noWrap w:val="0"/>
            <w:vAlign w:val="center"/>
          </w:tcPr>
          <w:p>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p>
        </w:tc>
        <w:tc>
          <w:tcPr>
            <w:tcW w:w="7800" w:type="dxa"/>
            <w:noWrap w:val="0"/>
            <w:vAlign w:val="top"/>
          </w:tcPr>
          <w:p>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专用电路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Merge w:val="continue"/>
            <w:noWrap w:val="0"/>
            <w:vAlign w:val="center"/>
          </w:tcPr>
          <w:p>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p>
        </w:tc>
        <w:tc>
          <w:tcPr>
            <w:tcW w:w="7800" w:type="dxa"/>
            <w:noWrap w:val="0"/>
            <w:vAlign w:val="top"/>
          </w:tcPr>
          <w:p>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免费提供专用电路1条。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28" w:type="dxa"/>
            <w:vMerge w:val="continue"/>
            <w:noWrap w:val="0"/>
            <w:vAlign w:val="center"/>
          </w:tcPr>
          <w:p>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p>
        </w:tc>
        <w:tc>
          <w:tcPr>
            <w:tcW w:w="7800" w:type="dxa"/>
            <w:noWrap w:val="0"/>
            <w:vAlign w:val="top"/>
          </w:tcPr>
          <w:p>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响应机制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28" w:type="dxa"/>
            <w:vMerge w:val="continue"/>
            <w:noWrap w:val="0"/>
            <w:vAlign w:val="center"/>
          </w:tcPr>
          <w:p>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p>
        </w:tc>
        <w:tc>
          <w:tcPr>
            <w:tcW w:w="7800" w:type="dxa"/>
            <w:noWrap w:val="0"/>
            <w:vAlign w:val="top"/>
          </w:tcPr>
          <w:p>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实行7</w:t>
            </w:r>
            <w:r>
              <w:rPr>
                <w:rFonts w:hint="default" w:ascii="Arial" w:hAnsi="Arial" w:eastAsia="宋体" w:cs="Arial"/>
                <w:color w:val="000000"/>
                <w:kern w:val="0"/>
                <w:sz w:val="24"/>
                <w:szCs w:val="24"/>
              </w:rPr>
              <w:t>×</w:t>
            </w:r>
            <w:r>
              <w:rPr>
                <w:rFonts w:hint="eastAsia" w:ascii="宋体" w:hAnsi="宋体" w:eastAsia="宋体" w:cs="宋体"/>
                <w:color w:val="000000"/>
                <w:kern w:val="0"/>
                <w:sz w:val="24"/>
                <w:szCs w:val="24"/>
              </w:rPr>
              <w:t>24小时的免费技术支持，根据故障类型处理时限为2-24小时，配备一对一的客户经理上门服务。</w:t>
            </w:r>
          </w:p>
        </w:tc>
      </w:tr>
    </w:tbl>
    <w:p>
      <w:pPr>
        <w:pageBreakBefore w:val="0"/>
        <w:kinsoku/>
        <w:wordWrap/>
        <w:overflowPunct/>
        <w:topLinePunct w:val="0"/>
        <w:autoSpaceDE/>
        <w:autoSpaceDN/>
        <w:bidi w:val="0"/>
        <w:adjustRightInd/>
        <w:snapToGrid/>
        <w:spacing w:line="360" w:lineRule="auto"/>
        <w:outlineLvl w:val="0"/>
        <w:rPr>
          <w:rFonts w:hint="eastAsia" w:ascii="宋体" w:hAnsi="宋体" w:eastAsia="宋体" w:cs="宋体"/>
          <w:b/>
          <w:caps/>
          <w:sz w:val="24"/>
          <w:szCs w:val="24"/>
        </w:rPr>
      </w:pPr>
      <w:r>
        <w:rPr>
          <w:rStyle w:val="23"/>
          <w:rFonts w:hint="eastAsia" w:ascii="宋体" w:hAnsi="宋体" w:eastAsia="宋体" w:cs="宋体"/>
          <w:bCs w:val="0"/>
          <w:caps/>
          <w:sz w:val="24"/>
          <w:szCs w:val="24"/>
        </w:rPr>
        <w:t>③. 终端硬件详细参数</w:t>
      </w:r>
      <w:bookmarkStart w:id="76" w:name="_Toc323211187"/>
    </w:p>
    <w:bookmarkEnd w:id="76"/>
    <w:tbl>
      <w:tblPr>
        <w:tblStyle w:val="20"/>
        <w:tblW w:w="88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5"/>
        <w:gridCol w:w="6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技术规格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b/>
                <w:sz w:val="24"/>
                <w:szCs w:val="24"/>
              </w:rPr>
            </w:pPr>
            <w:r>
              <w:rPr>
                <w:rFonts w:hint="eastAsia" w:ascii="宋体" w:hAnsi="宋体" w:eastAsia="宋体" w:cs="宋体"/>
                <w:b/>
                <w:sz w:val="24"/>
                <w:szCs w:val="24"/>
              </w:rPr>
              <w:t>操作系统</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Android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b/>
                <w:sz w:val="24"/>
                <w:szCs w:val="24"/>
              </w:rPr>
            </w:pPr>
            <w:r>
              <w:rPr>
                <w:rFonts w:hint="eastAsia" w:ascii="宋体" w:hAnsi="宋体" w:eastAsia="宋体" w:cs="宋体"/>
                <w:b/>
                <w:sz w:val="24"/>
                <w:szCs w:val="24"/>
              </w:rPr>
              <w:t>硬件参数</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CPU品牌</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高通骁龙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CPU</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SM6350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运行内存</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4GB，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机身容量</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64GB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扩展卡</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Micro SD卡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电池类型</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可拆卸式电池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电池容量</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4000mAh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充电</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10W,无线座充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振动马达</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2035" w:type="dxa"/>
            <w:vMerge w:val="restart"/>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传感器　</w:t>
            </w:r>
          </w:p>
        </w:tc>
        <w:tc>
          <w:tcPr>
            <w:tcW w:w="6844" w:type="dxa"/>
            <w:vMerge w:val="restart"/>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重力感应,距离感应,光线感应,无线充电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2035" w:type="dxa"/>
            <w:vMerge w:val="continue"/>
            <w:tcBorders>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p>
        </w:tc>
        <w:tc>
          <w:tcPr>
            <w:tcW w:w="6844" w:type="dxa"/>
            <w:vMerge w:val="continue"/>
            <w:tcBorders>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二维码扫描  </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斑马 4720/霍尼韦尔6700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 xml:space="preserve">指示灯  </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R/G/B 三色灯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b/>
                <w:sz w:val="24"/>
                <w:szCs w:val="24"/>
              </w:rPr>
            </w:pPr>
            <w:r>
              <w:rPr>
                <w:rFonts w:hint="eastAsia" w:ascii="宋体" w:hAnsi="宋体" w:eastAsia="宋体" w:cs="宋体"/>
                <w:b/>
                <w:sz w:val="24"/>
                <w:szCs w:val="24"/>
              </w:rPr>
              <w:t>屏幕</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屏幕类型</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多点触摸,电容屏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屏幕大小</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6.088英寸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屏幕比例</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19.5:9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屏幕分辨率</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1560</w:t>
            </w:r>
            <w:r>
              <w:rPr>
                <w:rFonts w:hint="default" w:ascii="Arial" w:hAnsi="Arial" w:eastAsia="宋体" w:cs="Arial"/>
                <w:sz w:val="24"/>
                <w:szCs w:val="24"/>
              </w:rPr>
              <w:t>×</w:t>
            </w:r>
            <w:r>
              <w:rPr>
                <w:rFonts w:hint="eastAsia" w:ascii="宋体" w:hAnsi="宋体" w:eastAsia="宋体" w:cs="宋体"/>
                <w:sz w:val="24"/>
                <w:szCs w:val="24"/>
              </w:rPr>
              <w:t>720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屏幕材质</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LCD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其他屏幕参数</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康宁保护玻璃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b/>
                <w:sz w:val="24"/>
                <w:szCs w:val="24"/>
              </w:rPr>
            </w:pPr>
            <w:r>
              <w:rPr>
                <w:rFonts w:hint="eastAsia" w:ascii="宋体" w:hAnsi="宋体" w:eastAsia="宋体" w:cs="宋体"/>
                <w:b/>
                <w:sz w:val="24"/>
                <w:szCs w:val="24"/>
              </w:rPr>
              <w:t>摄像头</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后置摄像头</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16M像素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前置摄像头</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8M像素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闪光灯</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LED补光灯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b/>
                <w:sz w:val="24"/>
                <w:szCs w:val="24"/>
              </w:rPr>
            </w:pPr>
            <w:r>
              <w:rPr>
                <w:rFonts w:hint="eastAsia" w:ascii="宋体" w:hAnsi="宋体" w:eastAsia="宋体" w:cs="宋体"/>
                <w:b/>
                <w:sz w:val="24"/>
                <w:szCs w:val="24"/>
              </w:rPr>
              <w:t>网络与连接</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网络制式</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移动5G,联通5G,电信5G,移动4G,联通4G,电信4G,联通3G,移动2G,联通2G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trPr>
        <w:tc>
          <w:tcPr>
            <w:tcW w:w="2035" w:type="dxa"/>
            <w:vMerge w:val="restart"/>
            <w:tcBorders>
              <w:top w:val="single" w:color="000000" w:sz="4" w:space="0"/>
              <w:left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频段</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5G：N1、N3、N28、N41、N77、N78、N79(N1、N3频段需运营商现网支持后OTA升级)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trPr>
        <w:tc>
          <w:tcPr>
            <w:tcW w:w="2035" w:type="dxa"/>
            <w:vMerge w:val="continue"/>
            <w:tcBorders>
              <w:left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4G：FDD-LTE B1/B3/B5/B7/B8/B28，TDD-LTE B34/B38/B39/B40/B41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2035" w:type="dxa"/>
            <w:vMerge w:val="continue"/>
            <w:tcBorders>
              <w:left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3G：WCDMA：B1/B2/B5/B8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2035" w:type="dxa"/>
            <w:vMerge w:val="continue"/>
            <w:tcBorders>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2G: B2/3/5/8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SIM卡类型</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micro SIM卡,单卡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蓝牙</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支持蓝牙,蓝牙v5.1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WiFi(WLAN)</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支持WiFi,2.4G/5G双频,IEEE 802.11 a/b/g/n/ac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定位系统</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支持GPS,GLONASS,北斗,Galileo,支持A-GPS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b/>
                <w:sz w:val="24"/>
                <w:szCs w:val="24"/>
              </w:rPr>
            </w:pPr>
            <w:r>
              <w:rPr>
                <w:rFonts w:hint="eastAsia" w:ascii="宋体" w:hAnsi="宋体" w:eastAsia="宋体" w:cs="宋体"/>
                <w:b/>
                <w:sz w:val="24"/>
                <w:szCs w:val="24"/>
              </w:rPr>
              <w:t>外观</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手机外形</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直板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vMerge w:val="restart"/>
            <w:tcBorders>
              <w:left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按键</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左侧：音量键(+/-)及功能侧键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vMerge w:val="continue"/>
            <w:tcBorders>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右侧：开机键及功能侧键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数据接口</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USB Type C接口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手机颜色</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白色+蓝色双色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挂绳</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右下角挂绳孔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尺寸</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长163.5mm,宽75.1mm,厚17.8mm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重量</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250g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b/>
                <w:sz w:val="24"/>
                <w:szCs w:val="24"/>
              </w:rPr>
            </w:pPr>
            <w:r>
              <w:rPr>
                <w:rFonts w:hint="eastAsia" w:ascii="宋体" w:hAnsi="宋体" w:eastAsia="宋体" w:cs="宋体"/>
                <w:b/>
                <w:sz w:val="24"/>
                <w:szCs w:val="24"/>
              </w:rPr>
              <w:t>多媒体功能</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MP3播放器</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支持MP3播放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视频播放</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支持视频播放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图形浏览</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支持JPEG,PNG,GIF,BMP等格式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b/>
                <w:sz w:val="24"/>
                <w:szCs w:val="24"/>
              </w:rPr>
            </w:pPr>
            <w:r>
              <w:rPr>
                <w:rFonts w:hint="eastAsia" w:ascii="宋体" w:hAnsi="宋体" w:eastAsia="宋体" w:cs="宋体"/>
                <w:b/>
                <w:sz w:val="24"/>
                <w:szCs w:val="24"/>
              </w:rPr>
              <w:t>基本功能</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输入法</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手写输入,英文输入法,中文输入法,第三方输入法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办公功能</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支持文档阅读,支持TXT,Office(word/excel/ppt),Adobe PDF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主要功能</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内置天线,时钟,内置震动,通话时间提示,免提通话,待机图片,来电铃声识别,录音功能,语音拨号,飞行模式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Style w:val="42"/>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附加功能</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闹钟,日历,计算器,记事本,备忘录,世界时钟,定时器,秒表,自动开关机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b/>
                <w:sz w:val="24"/>
                <w:szCs w:val="24"/>
              </w:rPr>
            </w:pPr>
            <w:r>
              <w:rPr>
                <w:rFonts w:hint="eastAsia" w:ascii="宋体" w:hAnsi="宋体" w:eastAsia="宋体" w:cs="宋体"/>
                <w:b/>
                <w:sz w:val="24"/>
                <w:szCs w:val="24"/>
              </w:rPr>
              <w:t>可靠性</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防尘防水要求</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IP65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防摔要求</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1.5米水泥地跌落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EMC</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ESD接触放电10KV，空气放电15KV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工作温度</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工作温度-10~50℃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2035"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工作湿度</w:t>
            </w:r>
          </w:p>
        </w:tc>
        <w:tc>
          <w:tcPr>
            <w:tcW w:w="6844" w:type="dxa"/>
            <w:tcBorders>
              <w:top w:val="single" w:color="000000" w:sz="4" w:space="0"/>
              <w:left w:val="single" w:color="000000" w:sz="4" w:space="0"/>
              <w:bottom w:val="single" w:color="000000"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工作湿度10%-95%RH</w:t>
            </w:r>
          </w:p>
        </w:tc>
      </w:tr>
    </w:tbl>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2.智慧护理业务：含软件系统一套及6台显示设备，涵盖6个病区，具体如下：</w:t>
      </w:r>
    </w:p>
    <w:tbl>
      <w:tblPr>
        <w:tblStyle w:val="20"/>
        <w:tblW w:w="8999" w:type="dxa"/>
        <w:tblInd w:w="25" w:type="dxa"/>
        <w:tblLayout w:type="fixed"/>
        <w:tblCellMar>
          <w:top w:w="15" w:type="dxa"/>
          <w:left w:w="15" w:type="dxa"/>
          <w:bottom w:w="15" w:type="dxa"/>
          <w:right w:w="15" w:type="dxa"/>
        </w:tblCellMar>
      </w:tblPr>
      <w:tblGrid>
        <w:gridCol w:w="985"/>
        <w:gridCol w:w="1693"/>
        <w:gridCol w:w="6321"/>
      </w:tblGrid>
      <w:tr>
        <w:tblPrEx>
          <w:tblCellMar>
            <w:top w:w="15" w:type="dxa"/>
            <w:left w:w="15" w:type="dxa"/>
            <w:bottom w:w="15" w:type="dxa"/>
            <w:right w:w="15" w:type="dxa"/>
          </w:tblCellMar>
        </w:tblPrEx>
        <w:trPr>
          <w:trHeight w:val="502" w:hRule="atLeast"/>
        </w:trPr>
        <w:tc>
          <w:tcPr>
            <w:tcW w:w="98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序号</w:t>
            </w:r>
          </w:p>
        </w:tc>
        <w:tc>
          <w:tcPr>
            <w:tcW w:w="169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功能模块</w:t>
            </w:r>
          </w:p>
        </w:tc>
        <w:tc>
          <w:tcPr>
            <w:tcW w:w="6321"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功能简述</w:t>
            </w:r>
          </w:p>
        </w:tc>
      </w:tr>
      <w:tr>
        <w:tblPrEx>
          <w:tblCellMar>
            <w:top w:w="15" w:type="dxa"/>
            <w:left w:w="15" w:type="dxa"/>
            <w:bottom w:w="15" w:type="dxa"/>
            <w:right w:w="15" w:type="dxa"/>
          </w:tblCellMar>
        </w:tblPrEx>
        <w:trPr>
          <w:trHeight w:val="1220"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护理项目显示模块</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显示临床重点项目中的医嘱信息和执行情况，不同科室可进行自定义配置。</w:t>
            </w:r>
          </w:p>
        </w:tc>
      </w:tr>
      <w:tr>
        <w:tblPrEx>
          <w:tblCellMar>
            <w:top w:w="15" w:type="dxa"/>
            <w:left w:w="15" w:type="dxa"/>
            <w:bottom w:w="15" w:type="dxa"/>
            <w:right w:w="15" w:type="dxa"/>
          </w:tblCellMar>
        </w:tblPrEx>
        <w:trPr>
          <w:trHeight w:val="965"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重点项目打印</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根据科室配置，可将高频次和多病人执行的医嘱打印出来。</w:t>
            </w:r>
          </w:p>
        </w:tc>
      </w:tr>
      <w:tr>
        <w:tblPrEx>
          <w:tblCellMar>
            <w:top w:w="15" w:type="dxa"/>
            <w:left w:w="15" w:type="dxa"/>
            <w:bottom w:w="15" w:type="dxa"/>
            <w:right w:w="15" w:type="dxa"/>
          </w:tblCellMar>
        </w:tblPrEx>
        <w:trPr>
          <w:trHeight w:val="670"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值班医生管理</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显示当日不同线级值班医生的信息。</w:t>
            </w:r>
          </w:p>
        </w:tc>
      </w:tr>
      <w:tr>
        <w:tblPrEx>
          <w:tblCellMar>
            <w:top w:w="15" w:type="dxa"/>
            <w:left w:w="15" w:type="dxa"/>
            <w:bottom w:w="15" w:type="dxa"/>
            <w:right w:w="15" w:type="dxa"/>
          </w:tblCellMar>
        </w:tblPrEx>
        <w:trPr>
          <w:trHeight w:val="610"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借出物管理</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科室物品借出与借入的快捷管理</w:t>
            </w:r>
          </w:p>
        </w:tc>
      </w:tr>
      <w:tr>
        <w:tblPrEx>
          <w:tblCellMar>
            <w:top w:w="15" w:type="dxa"/>
            <w:left w:w="15" w:type="dxa"/>
            <w:bottom w:w="15" w:type="dxa"/>
            <w:right w:w="15" w:type="dxa"/>
          </w:tblCellMar>
        </w:tblPrEx>
        <w:trPr>
          <w:trHeight w:val="965"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换床管理</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显示科室换床、加床及占床信息， 支持手动添加换床信息。</w:t>
            </w:r>
          </w:p>
        </w:tc>
      </w:tr>
      <w:tr>
        <w:tblPrEx>
          <w:tblCellMar>
            <w:top w:w="15" w:type="dxa"/>
            <w:left w:w="15" w:type="dxa"/>
            <w:bottom w:w="15" w:type="dxa"/>
            <w:right w:w="15" w:type="dxa"/>
          </w:tblCellMar>
        </w:tblPrEx>
        <w:trPr>
          <w:trHeight w:val="965"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6</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便签管理</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显示科室的部分提醒或通知内容，可多页并列显示，并支持手动拖动和缩放。</w:t>
            </w:r>
          </w:p>
        </w:tc>
      </w:tr>
      <w:tr>
        <w:tblPrEx>
          <w:tblCellMar>
            <w:top w:w="15" w:type="dxa"/>
            <w:left w:w="15" w:type="dxa"/>
            <w:bottom w:w="15" w:type="dxa"/>
            <w:right w:w="15" w:type="dxa"/>
          </w:tblCellMar>
        </w:tblPrEx>
        <w:trPr>
          <w:trHeight w:val="502"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护长便签</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护士长重要信息的展示与锁定，作为重点内容提醒。</w:t>
            </w:r>
          </w:p>
        </w:tc>
      </w:tr>
      <w:tr>
        <w:tblPrEx>
          <w:tblCellMar>
            <w:top w:w="15" w:type="dxa"/>
            <w:left w:w="15" w:type="dxa"/>
            <w:bottom w:w="15" w:type="dxa"/>
            <w:right w:w="15" w:type="dxa"/>
          </w:tblCellMar>
        </w:tblPrEx>
        <w:trPr>
          <w:trHeight w:val="965"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护理部通知消息</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解决了护理部下发的重要通知或护理培训信息快速广播的需求</w:t>
            </w:r>
          </w:p>
        </w:tc>
      </w:tr>
      <w:tr>
        <w:tblPrEx>
          <w:tblCellMar>
            <w:top w:w="15" w:type="dxa"/>
            <w:left w:w="15" w:type="dxa"/>
            <w:bottom w:w="15" w:type="dxa"/>
            <w:right w:w="15" w:type="dxa"/>
          </w:tblCellMar>
        </w:tblPrEx>
        <w:trPr>
          <w:trHeight w:val="965"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护长排班与留言</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展示每日护士的排班情况，护士可查看个人一周班次和交班人员，并且可相互留言。</w:t>
            </w:r>
          </w:p>
        </w:tc>
      </w:tr>
      <w:tr>
        <w:tblPrEx>
          <w:tblCellMar>
            <w:top w:w="15" w:type="dxa"/>
            <w:left w:w="15" w:type="dxa"/>
            <w:bottom w:w="15" w:type="dxa"/>
            <w:right w:w="15" w:type="dxa"/>
          </w:tblCellMar>
        </w:tblPrEx>
        <w:trPr>
          <w:trHeight w:val="1428"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10</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护士交班</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通过智能化的交班模板，让交班护士快速完成交班内容，并可在大屏显示，提高护士交班的工作效率和交班信息的准确度</w:t>
            </w:r>
            <w:r>
              <w:rPr>
                <w:rFonts w:hint="eastAsia" w:ascii="宋体" w:hAnsi="宋体" w:eastAsia="宋体" w:cs="宋体"/>
                <w:sz w:val="24"/>
                <w:szCs w:val="24"/>
              </w:rPr>
              <w:t>。</w:t>
            </w:r>
          </w:p>
        </w:tc>
      </w:tr>
      <w:tr>
        <w:tblPrEx>
          <w:tblCellMar>
            <w:top w:w="15" w:type="dxa"/>
            <w:left w:w="15" w:type="dxa"/>
            <w:bottom w:w="15" w:type="dxa"/>
            <w:right w:w="15" w:type="dxa"/>
          </w:tblCellMar>
        </w:tblPrEx>
        <w:trPr>
          <w:trHeight w:val="965"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11</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护士快速教育</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提供护士碎片时间学习的途径，科室可将积累的课件、文档、视频共享给护士学习。</w:t>
            </w:r>
          </w:p>
        </w:tc>
      </w:tr>
      <w:tr>
        <w:tblPrEx>
          <w:tblCellMar>
            <w:top w:w="15" w:type="dxa"/>
            <w:left w:w="15" w:type="dxa"/>
            <w:bottom w:w="15" w:type="dxa"/>
            <w:right w:w="15" w:type="dxa"/>
          </w:tblCellMar>
        </w:tblPrEx>
        <w:trPr>
          <w:trHeight w:val="965"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12</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电子床位一览卡</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科室所有床位病患基本信息显示；针对病情的严重程度和护理等级进行有效区分。</w:t>
            </w:r>
          </w:p>
        </w:tc>
      </w:tr>
      <w:tr>
        <w:tblPrEx>
          <w:tblCellMar>
            <w:top w:w="15" w:type="dxa"/>
            <w:left w:w="15" w:type="dxa"/>
            <w:bottom w:w="15" w:type="dxa"/>
            <w:right w:w="15" w:type="dxa"/>
          </w:tblCellMar>
        </w:tblPrEx>
        <w:trPr>
          <w:trHeight w:val="965"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13</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电子白板</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保留实物白板的功能，方便科室记录信息，并可将信息保存下来。</w:t>
            </w:r>
          </w:p>
        </w:tc>
      </w:tr>
      <w:tr>
        <w:tblPrEx>
          <w:tblCellMar>
            <w:top w:w="15" w:type="dxa"/>
            <w:left w:w="15" w:type="dxa"/>
            <w:bottom w:w="15" w:type="dxa"/>
            <w:right w:w="15" w:type="dxa"/>
          </w:tblCellMar>
        </w:tblPrEx>
        <w:trPr>
          <w:trHeight w:val="965"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14</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yellow"/>
                <w:shd w:val="clear" w:color="auto" w:fill="FFFFFF"/>
              </w:rPr>
            </w:pPr>
            <w:r>
              <w:rPr>
                <w:rFonts w:hint="eastAsia" w:ascii="宋体" w:hAnsi="宋体" w:eastAsia="宋体" w:cs="宋体"/>
                <w:sz w:val="24"/>
                <w:szCs w:val="24"/>
                <w:shd w:val="clear" w:color="auto" w:fill="FFFFFF"/>
              </w:rPr>
              <w:t>输入法</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yellow"/>
                <w:shd w:val="clear" w:color="auto" w:fill="FFFFFF"/>
              </w:rPr>
            </w:pPr>
            <w:r>
              <w:rPr>
                <w:rFonts w:hint="eastAsia" w:ascii="宋体" w:hAnsi="宋体" w:eastAsia="宋体" w:cs="宋体"/>
                <w:sz w:val="24"/>
                <w:szCs w:val="24"/>
                <w:shd w:val="clear" w:color="auto" w:fill="FFFFFF"/>
              </w:rPr>
              <w:t>支持大屏幕的手写输入、拼音输入、五笔输入，具备专业词库和词条的快捷输入方式。</w:t>
            </w:r>
          </w:p>
        </w:tc>
      </w:tr>
      <w:tr>
        <w:tblPrEx>
          <w:tblCellMar>
            <w:top w:w="15" w:type="dxa"/>
            <w:left w:w="15" w:type="dxa"/>
            <w:bottom w:w="15" w:type="dxa"/>
            <w:right w:w="15" w:type="dxa"/>
          </w:tblCellMar>
        </w:tblPrEx>
        <w:trPr>
          <w:trHeight w:val="502"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15</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yellow"/>
                <w:shd w:val="clear" w:color="auto" w:fill="FFFFFF"/>
              </w:rPr>
            </w:pPr>
            <w:r>
              <w:rPr>
                <w:rFonts w:hint="eastAsia" w:ascii="宋体" w:hAnsi="宋体" w:eastAsia="宋体" w:cs="宋体"/>
                <w:sz w:val="24"/>
                <w:szCs w:val="24"/>
                <w:shd w:val="clear" w:color="auto" w:fill="FFFFFF"/>
              </w:rPr>
              <w:t>综合管理后台</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yellow"/>
                <w:shd w:val="clear" w:color="auto" w:fill="FFFFFF"/>
              </w:rPr>
            </w:pPr>
            <w:r>
              <w:rPr>
                <w:rFonts w:hint="eastAsia" w:ascii="宋体" w:hAnsi="宋体" w:eastAsia="宋体" w:cs="宋体"/>
                <w:sz w:val="24"/>
                <w:szCs w:val="24"/>
                <w:shd w:val="clear" w:color="auto" w:fill="FFFFFF"/>
              </w:rPr>
              <w:t>与大屏对应的后台操作系统，包括护士排班、交班、护士档案、医生值班、管理系统等模块，可在后台进行相应模块的设置。</w:t>
            </w:r>
          </w:p>
        </w:tc>
      </w:tr>
      <w:tr>
        <w:tblPrEx>
          <w:tblCellMar>
            <w:top w:w="15" w:type="dxa"/>
            <w:left w:w="15" w:type="dxa"/>
            <w:bottom w:w="15" w:type="dxa"/>
            <w:right w:w="15" w:type="dxa"/>
          </w:tblCellMar>
        </w:tblPrEx>
        <w:trPr>
          <w:trHeight w:val="975" w:hRule="atLeast"/>
        </w:trPr>
        <w:tc>
          <w:tcPr>
            <w:tcW w:w="98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16</w:t>
            </w:r>
          </w:p>
        </w:tc>
        <w:tc>
          <w:tcPr>
            <w:tcW w:w="169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yellow"/>
                <w:shd w:val="clear" w:color="auto" w:fill="FFFFFF"/>
              </w:rPr>
            </w:pPr>
            <w:r>
              <w:rPr>
                <w:rFonts w:hint="eastAsia" w:ascii="宋体" w:hAnsi="宋体" w:eastAsia="宋体" w:cs="宋体"/>
                <w:sz w:val="24"/>
                <w:szCs w:val="24"/>
                <w:shd w:val="clear" w:color="auto" w:fill="FFFFFF"/>
              </w:rPr>
              <w:t>系统安全与数据维护功能</w:t>
            </w:r>
          </w:p>
        </w:tc>
        <w:tc>
          <w:tcPr>
            <w:tcW w:w="632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yellow"/>
                <w:shd w:val="clear" w:color="auto" w:fill="FFFFFF"/>
              </w:rPr>
            </w:pPr>
            <w:r>
              <w:rPr>
                <w:rFonts w:hint="eastAsia" w:ascii="宋体" w:hAnsi="宋体" w:eastAsia="宋体" w:cs="宋体"/>
                <w:sz w:val="24"/>
                <w:szCs w:val="24"/>
                <w:shd w:val="clear" w:color="auto" w:fill="FFFFFF"/>
              </w:rPr>
              <w:t>离线保存断网期间采集的体征数据；提供数据库备份机制。</w:t>
            </w:r>
          </w:p>
        </w:tc>
      </w:tr>
    </w:tbl>
    <w:p>
      <w:pPr>
        <w:pageBreakBefore w:val="0"/>
        <w:tabs>
          <w:tab w:val="left" w:pos="1378"/>
        </w:tabs>
        <w:kinsoku/>
        <w:wordWrap/>
        <w:overflowPunct/>
        <w:topLinePunct w:val="0"/>
        <w:autoSpaceDE/>
        <w:autoSpaceDN/>
        <w:bidi w:val="0"/>
        <w:adjustRightInd/>
        <w:snapToGrid/>
        <w:spacing w:line="360" w:lineRule="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②硬件参数：</w:t>
      </w:r>
    </w:p>
    <w:tbl>
      <w:tblPr>
        <w:tblStyle w:val="20"/>
        <w:tblW w:w="0" w:type="auto"/>
        <w:tblInd w:w="108" w:type="dxa"/>
        <w:tblLayout w:type="fixed"/>
        <w:tblCellMar>
          <w:top w:w="0" w:type="dxa"/>
          <w:left w:w="108" w:type="dxa"/>
          <w:bottom w:w="0" w:type="dxa"/>
          <w:right w:w="108" w:type="dxa"/>
        </w:tblCellMar>
      </w:tblPr>
      <w:tblGrid>
        <w:gridCol w:w="2896"/>
        <w:gridCol w:w="6164"/>
      </w:tblGrid>
      <w:tr>
        <w:tblPrEx>
          <w:tblCellMar>
            <w:top w:w="0" w:type="dxa"/>
            <w:left w:w="108" w:type="dxa"/>
            <w:bottom w:w="0" w:type="dxa"/>
            <w:right w:w="108" w:type="dxa"/>
          </w:tblCellMar>
        </w:tblPrEx>
        <w:trPr>
          <w:trHeight w:val="481" w:hRule="atLeast"/>
        </w:trPr>
        <w:tc>
          <w:tcPr>
            <w:tcW w:w="9060" w:type="dxa"/>
            <w:gridSpan w:val="2"/>
            <w:tcBorders>
              <w:top w:val="single" w:color="auto" w:sz="4" w:space="0"/>
              <w:left w:val="single" w:color="auto" w:sz="8"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护理智能交互平台参数要求：</w:t>
            </w:r>
          </w:p>
        </w:tc>
      </w:tr>
      <w:tr>
        <w:tblPrEx>
          <w:tblCellMar>
            <w:top w:w="0" w:type="dxa"/>
            <w:left w:w="108" w:type="dxa"/>
            <w:bottom w:w="0" w:type="dxa"/>
            <w:right w:w="108" w:type="dxa"/>
          </w:tblCellMar>
        </w:tblPrEx>
        <w:trPr>
          <w:trHeight w:val="481" w:hRule="atLeast"/>
        </w:trPr>
        <w:tc>
          <w:tcPr>
            <w:tcW w:w="2896" w:type="dxa"/>
            <w:tcBorders>
              <w:top w:val="single" w:color="auto" w:sz="4" w:space="0"/>
              <w:left w:val="single" w:color="auto" w:sz="8"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尺寸</w:t>
            </w:r>
          </w:p>
        </w:tc>
        <w:tc>
          <w:tcPr>
            <w:tcW w:w="6164" w:type="dxa"/>
            <w:tcBorders>
              <w:top w:val="single" w:color="auto" w:sz="4" w:space="0"/>
              <w:left w:val="nil"/>
              <w:bottom w:val="single" w:color="auto" w:sz="4" w:space="0"/>
              <w:right w:val="single" w:color="auto" w:sz="4" w:space="0"/>
            </w:tcBorders>
            <w:shd w:val="clear" w:color="auto" w:fill="FFFFFF"/>
            <w:noWrap w:val="0"/>
            <w:vAlign w:val="top"/>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65吋</w:t>
            </w:r>
          </w:p>
        </w:tc>
      </w:tr>
      <w:tr>
        <w:tblPrEx>
          <w:tblCellMar>
            <w:top w:w="0" w:type="dxa"/>
            <w:left w:w="108" w:type="dxa"/>
            <w:bottom w:w="0" w:type="dxa"/>
            <w:right w:w="108" w:type="dxa"/>
          </w:tblCellMar>
        </w:tblPrEx>
        <w:trPr>
          <w:trHeight w:val="481" w:hRule="atLeast"/>
        </w:trPr>
        <w:tc>
          <w:tcPr>
            <w:tcW w:w="2896" w:type="dxa"/>
            <w:tcBorders>
              <w:top w:val="single" w:color="auto" w:sz="4" w:space="0"/>
              <w:left w:val="single" w:color="auto" w:sz="8"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屏类型</w:t>
            </w:r>
          </w:p>
        </w:tc>
        <w:tc>
          <w:tcPr>
            <w:tcW w:w="6164" w:type="dxa"/>
            <w:tcBorders>
              <w:top w:val="single" w:color="auto" w:sz="4" w:space="0"/>
              <w:left w:val="nil"/>
              <w:bottom w:val="single" w:color="auto" w:sz="4" w:space="0"/>
              <w:right w:val="single" w:color="auto" w:sz="4" w:space="0"/>
            </w:tcBorders>
            <w:shd w:val="clear" w:color="auto" w:fill="FFFFFF"/>
            <w:noWrap w:val="0"/>
            <w:vAlign w:val="top"/>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LED</w:t>
            </w:r>
          </w:p>
        </w:tc>
      </w:tr>
      <w:tr>
        <w:tblPrEx>
          <w:tblCellMar>
            <w:top w:w="0" w:type="dxa"/>
            <w:left w:w="108" w:type="dxa"/>
            <w:bottom w:w="0" w:type="dxa"/>
            <w:right w:w="108" w:type="dxa"/>
          </w:tblCellMar>
        </w:tblPrEx>
        <w:trPr>
          <w:trHeight w:val="953" w:hRule="atLeast"/>
        </w:trPr>
        <w:tc>
          <w:tcPr>
            <w:tcW w:w="2896" w:type="dxa"/>
            <w:tcBorders>
              <w:top w:val="single" w:color="auto" w:sz="4" w:space="0"/>
              <w:left w:val="single" w:color="auto" w:sz="8"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最大显示尺寸</w:t>
            </w:r>
          </w:p>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（单位：mm）</w:t>
            </w:r>
          </w:p>
        </w:tc>
        <w:tc>
          <w:tcPr>
            <w:tcW w:w="6164" w:type="dxa"/>
            <w:tcBorders>
              <w:top w:val="single" w:color="auto" w:sz="4" w:space="0"/>
              <w:left w:val="nil"/>
              <w:bottom w:val="single" w:color="auto" w:sz="4" w:space="0"/>
              <w:right w:val="single" w:color="auto" w:sz="4" w:space="0"/>
            </w:tcBorders>
            <w:shd w:val="clear" w:color="auto" w:fill="FFFFFF"/>
            <w:noWrap w:val="0"/>
            <w:vAlign w:val="top"/>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1428.48(H)×803.52(V)</w:t>
            </w:r>
          </w:p>
        </w:tc>
      </w:tr>
      <w:tr>
        <w:tblPrEx>
          <w:tblCellMar>
            <w:top w:w="0" w:type="dxa"/>
            <w:left w:w="108" w:type="dxa"/>
            <w:bottom w:w="0" w:type="dxa"/>
            <w:right w:w="108" w:type="dxa"/>
          </w:tblCellMar>
        </w:tblPrEx>
        <w:trPr>
          <w:trHeight w:val="481" w:hRule="atLeast"/>
        </w:trPr>
        <w:tc>
          <w:tcPr>
            <w:tcW w:w="2896" w:type="dxa"/>
            <w:tcBorders>
              <w:top w:val="single" w:color="auto" w:sz="4" w:space="0"/>
              <w:left w:val="single" w:color="auto" w:sz="8"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分辨率</w:t>
            </w:r>
          </w:p>
        </w:tc>
        <w:tc>
          <w:tcPr>
            <w:tcW w:w="6164" w:type="dxa"/>
            <w:tcBorders>
              <w:top w:val="single" w:color="auto" w:sz="4" w:space="0"/>
              <w:left w:val="nil"/>
              <w:bottom w:val="single" w:color="auto" w:sz="4" w:space="0"/>
              <w:right w:val="single" w:color="auto" w:sz="4" w:space="0"/>
            </w:tcBorders>
            <w:shd w:val="clear" w:color="auto" w:fill="FFFFFF"/>
            <w:noWrap w:val="0"/>
            <w:vAlign w:val="top"/>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1920(H)×1080(V)</w:t>
            </w:r>
          </w:p>
        </w:tc>
      </w:tr>
      <w:tr>
        <w:tblPrEx>
          <w:tblCellMar>
            <w:top w:w="0" w:type="dxa"/>
            <w:left w:w="108" w:type="dxa"/>
            <w:bottom w:w="0" w:type="dxa"/>
            <w:right w:w="108" w:type="dxa"/>
          </w:tblCellMar>
        </w:tblPrEx>
        <w:trPr>
          <w:trHeight w:val="481" w:hRule="atLeast"/>
        </w:trPr>
        <w:tc>
          <w:tcPr>
            <w:tcW w:w="2896" w:type="dxa"/>
            <w:tcBorders>
              <w:top w:val="single" w:color="auto" w:sz="4" w:space="0"/>
              <w:left w:val="single" w:color="auto" w:sz="8"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亮度</w:t>
            </w:r>
          </w:p>
        </w:tc>
        <w:tc>
          <w:tcPr>
            <w:tcW w:w="6164" w:type="dxa"/>
            <w:tcBorders>
              <w:top w:val="single" w:color="auto" w:sz="4" w:space="0"/>
              <w:left w:val="nil"/>
              <w:bottom w:val="single" w:color="auto" w:sz="4" w:space="0"/>
              <w:right w:val="single" w:color="auto" w:sz="4" w:space="0"/>
            </w:tcBorders>
            <w:shd w:val="clear" w:color="auto" w:fill="FFFFFF"/>
            <w:noWrap w:val="0"/>
            <w:vAlign w:val="top"/>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350cd/m2</w:t>
            </w:r>
          </w:p>
        </w:tc>
      </w:tr>
      <w:tr>
        <w:tblPrEx>
          <w:tblCellMar>
            <w:top w:w="0" w:type="dxa"/>
            <w:left w:w="108" w:type="dxa"/>
            <w:bottom w:w="0" w:type="dxa"/>
            <w:right w:w="108" w:type="dxa"/>
          </w:tblCellMar>
        </w:tblPrEx>
        <w:trPr>
          <w:trHeight w:val="481" w:hRule="atLeast"/>
        </w:trPr>
        <w:tc>
          <w:tcPr>
            <w:tcW w:w="2896" w:type="dxa"/>
            <w:tcBorders>
              <w:top w:val="single" w:color="auto" w:sz="4" w:space="0"/>
              <w:left w:val="single" w:color="auto" w:sz="8"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对比度</w:t>
            </w:r>
          </w:p>
        </w:tc>
        <w:tc>
          <w:tcPr>
            <w:tcW w:w="6164" w:type="dxa"/>
            <w:tcBorders>
              <w:top w:val="single" w:color="auto" w:sz="4" w:space="0"/>
              <w:left w:val="nil"/>
              <w:bottom w:val="single" w:color="auto" w:sz="4" w:space="0"/>
              <w:right w:val="single" w:color="auto" w:sz="4" w:space="0"/>
            </w:tcBorders>
            <w:shd w:val="clear" w:color="auto" w:fill="FFFFFF"/>
            <w:noWrap w:val="0"/>
            <w:vAlign w:val="top"/>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4000:1</w:t>
            </w:r>
          </w:p>
        </w:tc>
      </w:tr>
      <w:tr>
        <w:tblPrEx>
          <w:tblCellMar>
            <w:top w:w="0" w:type="dxa"/>
            <w:left w:w="108" w:type="dxa"/>
            <w:bottom w:w="0" w:type="dxa"/>
            <w:right w:w="108" w:type="dxa"/>
          </w:tblCellMar>
        </w:tblPrEx>
        <w:trPr>
          <w:trHeight w:val="481" w:hRule="atLeast"/>
        </w:trPr>
        <w:tc>
          <w:tcPr>
            <w:tcW w:w="2896" w:type="dxa"/>
            <w:tcBorders>
              <w:top w:val="single" w:color="auto" w:sz="4" w:space="0"/>
              <w:left w:val="single" w:color="auto" w:sz="8"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可视角度</w:t>
            </w:r>
          </w:p>
        </w:tc>
        <w:tc>
          <w:tcPr>
            <w:tcW w:w="6164" w:type="dxa"/>
            <w:tcBorders>
              <w:top w:val="single" w:color="auto" w:sz="4" w:space="0"/>
              <w:left w:val="nil"/>
              <w:bottom w:val="single" w:color="auto" w:sz="4" w:space="0"/>
              <w:right w:val="single" w:color="auto" w:sz="4" w:space="0"/>
            </w:tcBorders>
            <w:shd w:val="clear" w:color="auto" w:fill="FFFFFF"/>
            <w:noWrap w:val="0"/>
            <w:vAlign w:val="top"/>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 xml:space="preserve">水平178度  垂直178度 </w:t>
            </w:r>
          </w:p>
        </w:tc>
      </w:tr>
      <w:tr>
        <w:tblPrEx>
          <w:tblCellMar>
            <w:top w:w="0" w:type="dxa"/>
            <w:left w:w="108" w:type="dxa"/>
            <w:bottom w:w="0" w:type="dxa"/>
            <w:right w:w="108" w:type="dxa"/>
          </w:tblCellMar>
        </w:tblPrEx>
        <w:trPr>
          <w:trHeight w:val="481" w:hRule="atLeast"/>
        </w:trPr>
        <w:tc>
          <w:tcPr>
            <w:tcW w:w="2896" w:type="dxa"/>
            <w:tcBorders>
              <w:top w:val="single" w:color="auto" w:sz="4" w:space="0"/>
              <w:left w:val="single" w:color="auto" w:sz="8"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寿命</w:t>
            </w:r>
          </w:p>
        </w:tc>
        <w:tc>
          <w:tcPr>
            <w:tcW w:w="6164" w:type="dxa"/>
            <w:tcBorders>
              <w:top w:val="single" w:color="auto" w:sz="4" w:space="0"/>
              <w:left w:val="nil"/>
              <w:bottom w:val="single" w:color="auto" w:sz="4" w:space="0"/>
              <w:right w:val="single" w:color="auto" w:sz="4" w:space="0"/>
            </w:tcBorders>
            <w:shd w:val="clear" w:color="auto" w:fill="FFFFFF"/>
            <w:noWrap w:val="0"/>
            <w:vAlign w:val="top"/>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＞30000小时</w:t>
            </w:r>
          </w:p>
        </w:tc>
      </w:tr>
      <w:tr>
        <w:tblPrEx>
          <w:tblCellMar>
            <w:top w:w="0" w:type="dxa"/>
            <w:left w:w="108" w:type="dxa"/>
            <w:bottom w:w="0" w:type="dxa"/>
            <w:right w:w="108" w:type="dxa"/>
          </w:tblCellMar>
        </w:tblPrEx>
        <w:trPr>
          <w:trHeight w:val="481" w:hRule="atLeast"/>
        </w:trPr>
        <w:tc>
          <w:tcPr>
            <w:tcW w:w="9060" w:type="dxa"/>
            <w:gridSpan w:val="2"/>
            <w:tcBorders>
              <w:top w:val="single" w:color="auto" w:sz="4" w:space="0"/>
              <w:left w:val="single" w:color="auto" w:sz="8"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触摸书写系统要求：</w:t>
            </w:r>
          </w:p>
        </w:tc>
      </w:tr>
      <w:tr>
        <w:tblPrEx>
          <w:tblCellMar>
            <w:top w:w="0" w:type="dxa"/>
            <w:left w:w="108" w:type="dxa"/>
            <w:bottom w:w="0" w:type="dxa"/>
            <w:right w:w="108" w:type="dxa"/>
          </w:tblCellMar>
        </w:tblPrEx>
        <w:trPr>
          <w:trHeight w:val="481" w:hRule="atLeast"/>
        </w:trPr>
        <w:tc>
          <w:tcPr>
            <w:tcW w:w="2896" w:type="dxa"/>
            <w:tcBorders>
              <w:top w:val="single" w:color="auto" w:sz="4" w:space="0"/>
              <w:left w:val="single" w:color="auto" w:sz="8"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识别原理</w:t>
            </w:r>
          </w:p>
        </w:tc>
        <w:tc>
          <w:tcPr>
            <w:tcW w:w="6164"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红外识别</w:t>
            </w:r>
          </w:p>
        </w:tc>
      </w:tr>
      <w:tr>
        <w:tblPrEx>
          <w:tblCellMar>
            <w:top w:w="0" w:type="dxa"/>
            <w:left w:w="108" w:type="dxa"/>
            <w:bottom w:w="0" w:type="dxa"/>
            <w:right w:w="108" w:type="dxa"/>
          </w:tblCellMar>
        </w:tblPrEx>
        <w:trPr>
          <w:trHeight w:val="481" w:hRule="atLeast"/>
        </w:trPr>
        <w:tc>
          <w:tcPr>
            <w:tcW w:w="2896" w:type="dxa"/>
            <w:tcBorders>
              <w:top w:val="single" w:color="auto" w:sz="4" w:space="0"/>
              <w:left w:val="single" w:color="auto" w:sz="8"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响应时间</w:t>
            </w:r>
          </w:p>
        </w:tc>
        <w:tc>
          <w:tcPr>
            <w:tcW w:w="6164"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＜15毫秒</w:t>
            </w:r>
          </w:p>
        </w:tc>
      </w:tr>
      <w:tr>
        <w:tblPrEx>
          <w:tblCellMar>
            <w:top w:w="0" w:type="dxa"/>
            <w:left w:w="108" w:type="dxa"/>
            <w:bottom w:w="0" w:type="dxa"/>
            <w:right w:w="108" w:type="dxa"/>
          </w:tblCellMar>
        </w:tblPrEx>
        <w:trPr>
          <w:trHeight w:val="481" w:hRule="atLeast"/>
        </w:trPr>
        <w:tc>
          <w:tcPr>
            <w:tcW w:w="2896" w:type="dxa"/>
            <w:tcBorders>
              <w:top w:val="single" w:color="auto" w:sz="4" w:space="0"/>
              <w:left w:val="single" w:color="auto" w:sz="8"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触摸有效识别</w:t>
            </w:r>
          </w:p>
        </w:tc>
        <w:tc>
          <w:tcPr>
            <w:tcW w:w="6164"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单点≥5毫米，多点≥8毫米（可支持10点触摸）</w:t>
            </w:r>
          </w:p>
        </w:tc>
      </w:tr>
      <w:tr>
        <w:tblPrEx>
          <w:tblCellMar>
            <w:top w:w="0" w:type="dxa"/>
            <w:left w:w="108" w:type="dxa"/>
            <w:bottom w:w="0" w:type="dxa"/>
            <w:right w:w="108" w:type="dxa"/>
          </w:tblCellMar>
        </w:tblPrEx>
        <w:trPr>
          <w:trHeight w:val="481" w:hRule="atLeast"/>
        </w:trPr>
        <w:tc>
          <w:tcPr>
            <w:tcW w:w="2896" w:type="dxa"/>
            <w:tcBorders>
              <w:top w:val="single" w:color="auto" w:sz="4" w:space="0"/>
              <w:left w:val="single" w:color="auto" w:sz="8"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通信方式</w:t>
            </w:r>
          </w:p>
        </w:tc>
        <w:tc>
          <w:tcPr>
            <w:tcW w:w="6164"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全速USB</w:t>
            </w:r>
          </w:p>
        </w:tc>
      </w:tr>
      <w:tr>
        <w:tblPrEx>
          <w:tblCellMar>
            <w:top w:w="0" w:type="dxa"/>
            <w:left w:w="108" w:type="dxa"/>
            <w:bottom w:w="0" w:type="dxa"/>
            <w:right w:w="108" w:type="dxa"/>
          </w:tblCellMar>
        </w:tblPrEx>
        <w:trPr>
          <w:trHeight w:val="481" w:hRule="atLeast"/>
        </w:trPr>
        <w:tc>
          <w:tcPr>
            <w:tcW w:w="2896" w:type="dxa"/>
            <w:tcBorders>
              <w:top w:val="single" w:color="auto" w:sz="4" w:space="0"/>
              <w:left w:val="single" w:color="auto" w:sz="8" w:space="0"/>
              <w:bottom w:val="single" w:color="auto" w:sz="4" w:space="0"/>
              <w:right w:val="single" w:color="auto" w:sz="4" w:space="0"/>
            </w:tcBorders>
            <w:shd w:val="clear" w:color="auto" w:fill="FFFFFF"/>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书写屏表面硬度</w:t>
            </w:r>
          </w:p>
        </w:tc>
        <w:tc>
          <w:tcPr>
            <w:tcW w:w="6164" w:type="dxa"/>
            <w:tcBorders>
              <w:top w:val="single" w:color="auto" w:sz="4" w:space="0"/>
              <w:left w:val="nil"/>
              <w:bottom w:val="single" w:color="auto" w:sz="4" w:space="0"/>
              <w:right w:val="single" w:color="auto"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物理钢化莫氏7级防爆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9060"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内置PC模块要求：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trPr>
        <w:tc>
          <w:tcPr>
            <w:tcW w:w="28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PC类型</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超薄插拔式Intel Core系列模块化电脑，智能英特尔酷睿处理器，双核四线程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28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CPU</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Intel Core I5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trPr>
        <w:tc>
          <w:tcPr>
            <w:tcW w:w="28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显卡</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集成 Intel</w:t>
            </w:r>
            <w:r>
              <w:rPr>
                <w:rFonts w:hint="eastAsia" w:ascii="宋体" w:hAnsi="宋体" w:eastAsia="宋体" w:cs="宋体"/>
                <w:sz w:val="24"/>
                <w:szCs w:val="24"/>
                <w:vertAlign w:val="superscript"/>
              </w:rPr>
              <w:t>®</w:t>
            </w:r>
            <w:r>
              <w:rPr>
                <w:rFonts w:hint="eastAsia" w:ascii="宋体" w:hAnsi="宋体" w:eastAsia="宋体" w:cs="宋体"/>
                <w:sz w:val="24"/>
                <w:szCs w:val="24"/>
              </w:rPr>
              <w:t xml:space="preserve"> HD Graphics/Independent Graphics GT730M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28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声卡</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集成高清晰立体音效声卡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28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rPr>
            </w:pPr>
            <w:r>
              <w:rPr>
                <w:rFonts w:hint="eastAsia" w:ascii="宋体" w:hAnsi="宋体" w:eastAsia="宋体" w:cs="宋体"/>
                <w:b/>
                <w:bCs/>
                <w:sz w:val="24"/>
                <w:szCs w:val="24"/>
              </w:rPr>
              <w:t>网卡</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集成10/100/1000M自适应网卡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28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rPr>
            </w:pPr>
            <w:r>
              <w:rPr>
                <w:rFonts w:hint="eastAsia" w:ascii="宋体" w:hAnsi="宋体" w:eastAsia="宋体" w:cs="宋体"/>
                <w:b/>
                <w:bCs/>
                <w:sz w:val="24"/>
                <w:szCs w:val="24"/>
              </w:rPr>
              <w:t>Wi-Fi</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集成无线网卡802.11a/b/g/n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28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rPr>
            </w:pPr>
            <w:r>
              <w:rPr>
                <w:rFonts w:hint="eastAsia" w:ascii="宋体" w:hAnsi="宋体" w:eastAsia="宋体" w:cs="宋体"/>
                <w:b/>
                <w:bCs/>
                <w:sz w:val="24"/>
                <w:szCs w:val="24"/>
              </w:rPr>
              <w:t>内存</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标配4G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28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rPr>
            </w:pPr>
            <w:r>
              <w:rPr>
                <w:rFonts w:hint="eastAsia" w:ascii="宋体" w:hAnsi="宋体" w:eastAsia="宋体" w:cs="宋体"/>
                <w:b/>
                <w:bCs/>
                <w:sz w:val="24"/>
                <w:szCs w:val="24"/>
              </w:rPr>
              <w:t>硬盘</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标配500G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28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rPr>
            </w:pPr>
            <w:r>
              <w:rPr>
                <w:rFonts w:hint="eastAsia" w:ascii="宋体" w:hAnsi="宋体" w:eastAsia="宋体" w:cs="宋体"/>
                <w:b/>
                <w:bCs/>
                <w:sz w:val="24"/>
                <w:szCs w:val="24"/>
              </w:rPr>
              <w:t>USB口</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6个口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28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rPr>
            </w:pPr>
            <w:r>
              <w:rPr>
                <w:rFonts w:hint="eastAsia" w:ascii="宋体" w:hAnsi="宋体" w:eastAsia="宋体" w:cs="宋体"/>
                <w:b/>
                <w:bCs/>
                <w:sz w:val="24"/>
                <w:szCs w:val="24"/>
              </w:rPr>
              <w:t>网络接口</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28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rPr>
            </w:pPr>
            <w:r>
              <w:rPr>
                <w:rFonts w:hint="eastAsia" w:ascii="宋体" w:hAnsi="宋体" w:eastAsia="宋体" w:cs="宋体"/>
                <w:b/>
                <w:bCs/>
                <w:sz w:val="24"/>
                <w:szCs w:val="24"/>
              </w:rPr>
              <w:t>VGA输出</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28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rPr>
            </w:pPr>
            <w:r>
              <w:rPr>
                <w:rFonts w:hint="eastAsia" w:ascii="宋体" w:hAnsi="宋体" w:eastAsia="宋体" w:cs="宋体"/>
                <w:b/>
                <w:bCs/>
                <w:sz w:val="24"/>
                <w:szCs w:val="24"/>
              </w:rPr>
              <w:t>耳机输出</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trPr>
        <w:tc>
          <w:tcPr>
            <w:tcW w:w="289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b/>
                <w:bCs/>
                <w:sz w:val="24"/>
                <w:szCs w:val="24"/>
              </w:rPr>
            </w:pPr>
            <w:r>
              <w:rPr>
                <w:rFonts w:hint="eastAsia" w:ascii="宋体" w:hAnsi="宋体" w:eastAsia="宋体" w:cs="宋体"/>
                <w:b/>
                <w:bCs/>
                <w:sz w:val="24"/>
                <w:szCs w:val="24"/>
              </w:rPr>
              <w:t>麦克风输入</w:t>
            </w:r>
          </w:p>
        </w:tc>
        <w:tc>
          <w:tcPr>
            <w:tcW w:w="616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sz w:val="24"/>
                <w:szCs w:val="24"/>
              </w:rPr>
              <w:t>1</w:t>
            </w:r>
          </w:p>
        </w:tc>
      </w:tr>
    </w:tbl>
    <w:p>
      <w:pPr>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rPr>
      </w:pPr>
      <w:r>
        <w:rPr>
          <w:rFonts w:hint="eastAsia" w:ascii="宋体" w:hAnsi="宋体" w:eastAsia="宋体" w:cs="宋体"/>
          <w:b/>
          <w:sz w:val="24"/>
          <w:szCs w:val="24"/>
        </w:rPr>
        <w:t>（三）无线网络</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color w:val="auto"/>
          <w:sz w:val="24"/>
          <w:szCs w:val="24"/>
        </w:rPr>
      </w:pPr>
      <w:r>
        <w:rPr>
          <w:rFonts w:hint="eastAsia" w:ascii="宋体" w:hAnsi="宋体" w:eastAsia="宋体" w:cs="宋体"/>
          <w:color w:val="auto"/>
          <w:sz w:val="24"/>
          <w:szCs w:val="24"/>
        </w:rPr>
        <w:t>1、采用电信5G网络，中标供应商承担自合同签订之日起所有手持终端三年的5G网络流量费用；</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color w:val="auto"/>
          <w:sz w:val="24"/>
          <w:szCs w:val="24"/>
        </w:rPr>
        <w:t>2、中标供应商承担自合同签订之日起三年的10兆有线专用通道</w:t>
      </w:r>
      <w:r>
        <w:rPr>
          <w:rFonts w:hint="eastAsia" w:ascii="宋体" w:hAnsi="宋体" w:eastAsia="宋体" w:cs="宋体"/>
          <w:sz w:val="24"/>
          <w:szCs w:val="24"/>
        </w:rPr>
        <w:t>专线费用。</w:t>
      </w:r>
    </w:p>
    <w:p>
      <w:pPr>
        <w:pStyle w:val="4"/>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rPr>
      </w:pPr>
      <w:r>
        <w:rPr>
          <w:rFonts w:hint="eastAsia" w:ascii="宋体" w:hAnsi="宋体" w:eastAsia="宋体" w:cs="宋体"/>
          <w:sz w:val="24"/>
          <w:szCs w:val="24"/>
        </w:rPr>
        <w:t>三、服务要求</w:t>
      </w:r>
    </w:p>
    <w:p>
      <w:pPr>
        <w:pageBreakBefore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(一)信息安全要求</w:t>
      </w:r>
    </w:p>
    <w:p>
      <w:pPr>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病人信息存储至本地服务器。</w:t>
      </w:r>
    </w:p>
    <w:p>
      <w:pPr>
        <w:pageBreakBefore w:val="0"/>
        <w:kinsoku/>
        <w:wordWrap/>
        <w:overflowPunct/>
        <w:topLinePunct w:val="0"/>
        <w:autoSpaceDE/>
        <w:autoSpaceDN/>
        <w:bidi w:val="0"/>
        <w:adjustRightInd/>
        <w:snapToGrid/>
        <w:spacing w:line="360" w:lineRule="auto"/>
        <w:ind w:firstLine="357" w:firstLineChars="148"/>
        <w:rPr>
          <w:rFonts w:hint="eastAsia" w:ascii="宋体" w:hAnsi="宋体" w:eastAsia="宋体" w:cs="宋体"/>
          <w:b/>
          <w:sz w:val="24"/>
          <w:szCs w:val="24"/>
        </w:rPr>
      </w:pPr>
      <w:r>
        <w:rPr>
          <w:rFonts w:hint="eastAsia" w:ascii="宋体" w:hAnsi="宋体" w:eastAsia="宋体" w:cs="宋体"/>
          <w:b/>
          <w:sz w:val="24"/>
          <w:szCs w:val="24"/>
        </w:rPr>
        <w:t>（二）技术支持与维护服务</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1、在项目的实施过程中提供以下软件支持的服务：</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（1）对影响到应用系统平稳作业的问题解答与分析，并提出解决方案；</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（2）数据库的管理；</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（3）定期进行程序错误的修改、维护、实施；</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（4）对所有的维护活动进行记录，并形成规范的文档，例如记录时间、地点、原因等，最后还要注明完成的时间和人员；</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（5）提供7</w:t>
      </w:r>
      <w:r>
        <w:rPr>
          <w:rFonts w:hint="default" w:ascii="Arial" w:hAnsi="Arial" w:eastAsia="宋体" w:cs="Arial"/>
          <w:sz w:val="24"/>
          <w:szCs w:val="24"/>
        </w:rPr>
        <w:t>×</w:t>
      </w:r>
      <w:r>
        <w:rPr>
          <w:rFonts w:hint="eastAsia" w:ascii="宋体" w:hAnsi="宋体" w:eastAsia="宋体" w:cs="宋体"/>
          <w:sz w:val="24"/>
          <w:szCs w:val="24"/>
        </w:rPr>
        <w:t>24小时的现场维护和故障解决；</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2、提供系统维护服务，维护服务包含但不局限与以下几点：</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（1）管理、维护、软硬件的技术以及其他系统的接口；</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（2）修正应用软件的错误；</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（3）问题解答、问题分析、与其他合作方的协作；</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（4）协助解决硬件和网络的故障；</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（5）维护和执行的服务必须满足系统的操作；</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（6）数据库的管理和性能调优必须达到规定标准；</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（7）对本院系统的每一次改变或是升级都必须对需求进行检查；</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（8）依据系统运行提出的修改建议，供应商也有责任和义务完成对所提出的建议进行系统改造；</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3、对供应商技术人员要求具备以下能力：</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（1）熟练操作系统；</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（2）熟悉系统的运行环境；</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（3）能够独立的处理整个系统的一般性问题，对所有问题能够进行有效的记录跟踪，并能在指定时间内改正；</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（4）系统管理员能够完成每日的系统备份，对系统性能进行实时监控，对系统的用户进行管理；</w:t>
      </w:r>
    </w:p>
    <w:p>
      <w:pPr>
        <w:pageBreakBefore w:val="0"/>
        <w:kinsoku/>
        <w:wordWrap/>
        <w:overflowPunct/>
        <w:topLinePunct w:val="0"/>
        <w:autoSpaceDE/>
        <w:autoSpaceDN/>
        <w:bidi w:val="0"/>
        <w:adjustRightInd/>
        <w:snapToGrid/>
        <w:spacing w:line="360" w:lineRule="auto"/>
        <w:ind w:firstLine="355" w:firstLineChars="148"/>
        <w:rPr>
          <w:rFonts w:hint="eastAsia" w:ascii="宋体" w:hAnsi="宋体" w:eastAsia="宋体" w:cs="宋体"/>
          <w:sz w:val="24"/>
          <w:szCs w:val="24"/>
        </w:rPr>
      </w:pPr>
      <w:r>
        <w:rPr>
          <w:rFonts w:hint="eastAsia" w:ascii="宋体" w:hAnsi="宋体" w:eastAsia="宋体" w:cs="宋体"/>
          <w:sz w:val="24"/>
          <w:szCs w:val="24"/>
        </w:rPr>
        <w:t>（5）对系统操作提出技术上的建议并提供支持。</w:t>
      </w:r>
    </w:p>
    <w:p>
      <w:pPr>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rPr>
      </w:pPr>
    </w:p>
    <w:p>
      <w:pPr>
        <w:pStyle w:val="26"/>
        <w:rPr>
          <w:rFonts w:hint="eastAsia" w:ascii="宋体" w:hAnsi="宋体" w:cs="宋体"/>
          <w:lang w:val="en-US" w:eastAsia="zh-CN"/>
        </w:rPr>
      </w:pPr>
      <w:r>
        <w:rPr>
          <w:rFonts w:hint="eastAsia" w:ascii="宋体" w:hAnsi="宋体" w:cs="宋体"/>
          <w:lang w:val="en-US" w:eastAsia="zh-CN"/>
        </w:rPr>
        <w:t>.</w:t>
      </w:r>
    </w:p>
    <w:p>
      <w:pPr>
        <w:pStyle w:val="26"/>
        <w:rPr>
          <w:rFonts w:hint="eastAsia" w:ascii="宋体" w:hAnsi="宋体" w:cs="宋体"/>
          <w:lang w:val="en-US" w:eastAsia="zh-CN"/>
        </w:rPr>
      </w:pPr>
    </w:p>
    <w:p>
      <w:pPr>
        <w:pStyle w:val="26"/>
        <w:rPr>
          <w:rFonts w:hint="eastAsia" w:ascii="宋体" w:hAnsi="宋体" w:cs="宋体"/>
          <w:lang w:val="en-US" w:eastAsia="zh-CN"/>
        </w:rPr>
      </w:pPr>
    </w:p>
    <w:p>
      <w:pPr>
        <w:pStyle w:val="26"/>
        <w:rPr>
          <w:rFonts w:hint="eastAsia" w:ascii="宋体" w:hAnsi="宋体" w:cs="宋体"/>
          <w:lang w:val="en-US" w:eastAsia="zh-CN"/>
        </w:rPr>
      </w:pPr>
    </w:p>
    <w:p>
      <w:pPr>
        <w:pStyle w:val="26"/>
        <w:rPr>
          <w:rFonts w:hint="eastAsia" w:ascii="宋体" w:hAnsi="宋体" w:cs="宋体"/>
          <w:lang w:val="en-US" w:eastAsia="zh-CN"/>
        </w:rPr>
      </w:pPr>
    </w:p>
    <w:p>
      <w:pPr>
        <w:pStyle w:val="26"/>
        <w:rPr>
          <w:rFonts w:hint="eastAsia" w:ascii="宋体" w:hAnsi="宋体" w:cs="宋体"/>
          <w:lang w:val="en-US" w:eastAsia="zh-CN"/>
        </w:rPr>
      </w:pPr>
    </w:p>
    <w:p>
      <w:pPr>
        <w:pStyle w:val="3"/>
        <w:spacing w:line="360" w:lineRule="auto"/>
        <w:ind w:firstLine="2891" w:firstLineChars="800"/>
        <w:jc w:val="both"/>
        <w:rPr>
          <w:rFonts w:hint="eastAsia" w:ascii="宋体" w:hAnsi="宋体" w:cs="宋体"/>
        </w:rPr>
      </w:pPr>
      <w:r>
        <w:rPr>
          <w:rFonts w:hint="eastAsia" w:ascii="宋体" w:hAnsi="宋体" w:cs="宋体"/>
        </w:rPr>
        <w:t>第六章 响应文件格式</w:t>
      </w:r>
      <w:bookmarkEnd w:id="67"/>
      <w:bookmarkEnd w:id="68"/>
      <w:bookmarkEnd w:id="75"/>
      <w:bookmarkStart w:id="77" w:name="_Toc257126854"/>
      <w:bookmarkStart w:id="78" w:name="_Toc184794035"/>
    </w:p>
    <w:p/>
    <w:p>
      <w:pPr>
        <w:pStyle w:val="18"/>
        <w:ind w:left="0" w:leftChars="0" w:firstLine="0" w:firstLineChars="0"/>
        <w:jc w:val="center"/>
        <w:rPr>
          <w:rFonts w:ascii="宋体" w:hAnsi="宋体" w:cs="宋体"/>
          <w:b/>
          <w:sz w:val="48"/>
          <w:szCs w:val="48"/>
          <w:shd w:val="clear" w:color="auto" w:fill="FFFFFF"/>
        </w:rPr>
      </w:pPr>
      <w:r>
        <w:rPr>
          <w:rFonts w:hint="eastAsia" w:ascii="宋体" w:hAnsi="宋体" w:cs="宋体"/>
          <w:b/>
          <w:sz w:val="48"/>
          <w:szCs w:val="48"/>
          <w:shd w:val="clear" w:color="auto" w:fill="FFFFFF"/>
          <w:lang w:val="en-US" w:eastAsia="zh-CN"/>
        </w:rPr>
        <w:t>富平县妇女儿童医院购置移动护士站综合服务采购项目</w:t>
      </w:r>
    </w:p>
    <w:p>
      <w:pPr>
        <w:pStyle w:val="7"/>
        <w:spacing w:line="360" w:lineRule="auto"/>
        <w:rPr>
          <w:rFonts w:ascii="宋体" w:hAnsi="宋体" w:cs="宋体"/>
        </w:rPr>
      </w:pPr>
    </w:p>
    <w:p>
      <w:pPr>
        <w:pStyle w:val="7"/>
        <w:spacing w:line="360" w:lineRule="auto"/>
        <w:rPr>
          <w:rFonts w:ascii="宋体" w:hAnsi="宋体" w:cs="宋体"/>
        </w:rPr>
      </w:pPr>
    </w:p>
    <w:p>
      <w:pPr>
        <w:pStyle w:val="7"/>
        <w:spacing w:line="360" w:lineRule="auto"/>
        <w:rPr>
          <w:rFonts w:ascii="宋体" w:hAnsi="宋体" w:cs="宋体"/>
        </w:rPr>
      </w:pPr>
    </w:p>
    <w:p>
      <w:pPr>
        <w:pStyle w:val="7"/>
        <w:spacing w:line="360" w:lineRule="auto"/>
        <w:rPr>
          <w:rFonts w:ascii="宋体" w:hAnsi="宋体" w:cs="宋体"/>
        </w:rPr>
      </w:pPr>
    </w:p>
    <w:p>
      <w:pPr>
        <w:pStyle w:val="7"/>
        <w:spacing w:line="360" w:lineRule="auto"/>
        <w:rPr>
          <w:rFonts w:ascii="宋体" w:hAnsi="宋体" w:cs="宋体"/>
        </w:rPr>
      </w:pPr>
    </w:p>
    <w:p>
      <w:pPr>
        <w:spacing w:line="360" w:lineRule="auto"/>
        <w:ind w:left="105"/>
        <w:jc w:val="center"/>
        <w:rPr>
          <w:rFonts w:ascii="宋体" w:hAnsi="宋体" w:cs="宋体"/>
          <w:b/>
          <w:bCs/>
          <w:sz w:val="72"/>
          <w:szCs w:val="72"/>
        </w:rPr>
      </w:pPr>
      <w:r>
        <w:rPr>
          <w:rFonts w:hint="eastAsia" w:ascii="宋体" w:hAnsi="宋体" w:cs="宋体"/>
          <w:b/>
          <w:bCs/>
          <w:sz w:val="72"/>
          <w:szCs w:val="72"/>
        </w:rPr>
        <w:t>响应文件</w:t>
      </w:r>
    </w:p>
    <w:p>
      <w:pPr>
        <w:spacing w:line="360" w:lineRule="auto"/>
        <w:ind w:left="105"/>
        <w:jc w:val="center"/>
        <w:rPr>
          <w:rFonts w:hint="default" w:ascii="宋体" w:hAnsi="宋体" w:eastAsia="宋体" w:cs="宋体"/>
          <w:b/>
          <w:bCs/>
          <w:sz w:val="28"/>
          <w:szCs w:val="28"/>
          <w:lang w:val="en-US" w:eastAsia="zh-CN"/>
        </w:rPr>
      </w:pPr>
      <w:r>
        <w:rPr>
          <w:rFonts w:hint="eastAsia" w:ascii="宋体" w:hAnsi="宋体" w:cs="宋体"/>
          <w:b/>
          <w:sz w:val="28"/>
          <w:szCs w:val="28"/>
        </w:rPr>
        <w:t>项目编号</w:t>
      </w:r>
      <w:r>
        <w:rPr>
          <w:rFonts w:hint="eastAsia" w:ascii="宋体" w:hAnsi="宋体" w:cs="宋体"/>
          <w:b/>
          <w:bCs/>
          <w:sz w:val="28"/>
          <w:szCs w:val="28"/>
        </w:rPr>
        <w:t>：</w:t>
      </w:r>
      <w:r>
        <w:rPr>
          <w:rFonts w:hint="eastAsia" w:ascii="宋体" w:hAnsi="宋体" w:cs="宋体"/>
          <w:b/>
          <w:bCs/>
          <w:sz w:val="28"/>
          <w:szCs w:val="28"/>
          <w:lang w:eastAsia="zh-CN"/>
        </w:rPr>
        <w:t>ZHZB-2022（FW）</w:t>
      </w:r>
      <w:r>
        <w:rPr>
          <w:rFonts w:hint="eastAsia" w:ascii="宋体" w:hAnsi="宋体" w:cs="宋体"/>
          <w:b/>
          <w:bCs/>
          <w:sz w:val="28"/>
          <w:szCs w:val="28"/>
          <w:lang w:val="en-US" w:eastAsia="zh-CN"/>
        </w:rPr>
        <w:t>045</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ind w:left="1296" w:leftChars="540"/>
        <w:rPr>
          <w:rFonts w:ascii="宋体" w:hAnsi="宋体" w:cs="宋体"/>
          <w:b/>
          <w:sz w:val="28"/>
          <w:szCs w:val="22"/>
        </w:rPr>
      </w:pPr>
      <w:r>
        <w:rPr>
          <w:rFonts w:hint="eastAsia" w:ascii="宋体" w:hAnsi="宋体" w:cs="宋体"/>
          <w:b/>
          <w:kern w:val="22"/>
          <w:sz w:val="28"/>
        </w:rPr>
        <w:t>供   应   商</w:t>
      </w:r>
      <w:r>
        <w:rPr>
          <w:rFonts w:hint="eastAsia" w:ascii="宋体" w:hAnsi="宋体" w:cs="宋体"/>
          <w:b/>
          <w:sz w:val="28"/>
        </w:rPr>
        <w:t>：</w:t>
      </w:r>
      <w:r>
        <w:rPr>
          <w:rFonts w:hint="eastAsia" w:ascii="宋体" w:hAnsi="宋体" w:cs="宋体"/>
          <w:b/>
          <w:sz w:val="28"/>
          <w:u w:val="single"/>
        </w:rPr>
        <w:t xml:space="preserve">                           （盖章）</w:t>
      </w:r>
    </w:p>
    <w:p>
      <w:pPr>
        <w:spacing w:line="360" w:lineRule="auto"/>
        <w:ind w:left="1296" w:leftChars="540"/>
        <w:rPr>
          <w:rFonts w:ascii="宋体" w:hAnsi="宋体" w:cs="宋体"/>
          <w:b/>
          <w:sz w:val="28"/>
        </w:rPr>
      </w:pPr>
      <w:r>
        <w:rPr>
          <w:rFonts w:hint="eastAsia" w:ascii="宋体" w:hAnsi="宋体" w:cs="宋体"/>
          <w:b/>
          <w:sz w:val="28"/>
        </w:rPr>
        <w:t>法人代表人或</w:t>
      </w:r>
    </w:p>
    <w:p>
      <w:pPr>
        <w:spacing w:line="360" w:lineRule="auto"/>
        <w:ind w:left="1296" w:leftChars="540"/>
        <w:rPr>
          <w:rFonts w:ascii="宋体" w:hAnsi="宋体" w:cs="宋体"/>
          <w:b/>
          <w:sz w:val="28"/>
        </w:rPr>
      </w:pPr>
      <w:r>
        <w:rPr>
          <w:rFonts w:hint="eastAsia" w:ascii="宋体" w:hAnsi="宋体" w:cs="宋体"/>
          <w:b/>
          <w:sz w:val="28"/>
        </w:rPr>
        <w:t>其委托代理人：</w:t>
      </w:r>
      <w:r>
        <w:rPr>
          <w:rFonts w:hint="eastAsia" w:ascii="宋体" w:hAnsi="宋体" w:cs="宋体"/>
          <w:b/>
          <w:sz w:val="28"/>
          <w:u w:val="single"/>
        </w:rPr>
        <w:t xml:space="preserve">                     （签字或盖章）</w:t>
      </w:r>
    </w:p>
    <w:p>
      <w:pPr>
        <w:spacing w:line="360" w:lineRule="auto"/>
        <w:ind w:left="1296" w:leftChars="540"/>
        <w:rPr>
          <w:rFonts w:hint="eastAsia" w:ascii="宋体" w:hAnsi="宋体" w:cs="宋体"/>
          <w:b/>
          <w:sz w:val="28"/>
        </w:rPr>
      </w:pPr>
    </w:p>
    <w:p>
      <w:pPr>
        <w:spacing w:line="360" w:lineRule="auto"/>
        <w:ind w:left="1296" w:leftChars="540"/>
        <w:rPr>
          <w:rFonts w:hint="eastAsia" w:ascii="宋体" w:hAnsi="宋体" w:cs="宋体"/>
          <w:b/>
          <w:sz w:val="28"/>
        </w:rPr>
      </w:pPr>
    </w:p>
    <w:p>
      <w:pPr>
        <w:spacing w:line="360" w:lineRule="auto"/>
        <w:ind w:left="1296" w:leftChars="540"/>
        <w:rPr>
          <w:rFonts w:ascii="宋体" w:hAnsi="宋体" w:cs="宋体"/>
          <w:b/>
          <w:sz w:val="36"/>
          <w:szCs w:val="36"/>
        </w:rPr>
      </w:pPr>
      <w:r>
        <w:rPr>
          <w:rFonts w:hint="eastAsia" w:ascii="宋体" w:hAnsi="宋体" w:cs="宋体"/>
          <w:b/>
          <w:sz w:val="28"/>
        </w:rPr>
        <w:t>日        期：           年   月   日</w:t>
      </w:r>
      <w:bookmarkEnd w:id="77"/>
      <w:bookmarkEnd w:id="78"/>
    </w:p>
    <w:p>
      <w:pPr>
        <w:widowControl/>
        <w:spacing w:line="360" w:lineRule="auto"/>
        <w:jc w:val="left"/>
        <w:rPr>
          <w:rFonts w:ascii="宋体" w:hAnsi="宋体" w:cs="宋体"/>
          <w:b/>
          <w:sz w:val="44"/>
          <w:szCs w:val="44"/>
        </w:rPr>
      </w:pPr>
      <w:r>
        <w:rPr>
          <w:rFonts w:hint="eastAsia" w:ascii="宋体" w:hAnsi="宋体" w:cs="宋体"/>
          <w:b/>
          <w:sz w:val="44"/>
          <w:szCs w:val="44"/>
        </w:rPr>
        <w:br w:type="page"/>
      </w:r>
    </w:p>
    <w:p>
      <w:pPr>
        <w:spacing w:line="360" w:lineRule="auto"/>
        <w:jc w:val="center"/>
        <w:rPr>
          <w:rFonts w:ascii="宋体" w:hAnsi="宋体" w:cs="宋体"/>
          <w:b/>
          <w:sz w:val="44"/>
          <w:szCs w:val="44"/>
        </w:rPr>
      </w:pPr>
      <w:r>
        <w:rPr>
          <w:rFonts w:hint="eastAsia" w:ascii="宋体" w:hAnsi="宋体" w:cs="宋体"/>
          <w:b/>
          <w:sz w:val="44"/>
          <w:szCs w:val="44"/>
        </w:rPr>
        <w:t>目 录</w:t>
      </w:r>
    </w:p>
    <w:p>
      <w:pPr>
        <w:spacing w:line="360" w:lineRule="auto"/>
        <w:jc w:val="left"/>
        <w:rPr>
          <w:rFonts w:ascii="宋体" w:hAnsi="宋体" w:cs="宋体"/>
          <w:b/>
          <w:szCs w:val="24"/>
        </w:rPr>
      </w:pPr>
      <w:r>
        <w:rPr>
          <w:rFonts w:hint="eastAsia" w:ascii="宋体" w:hAnsi="宋体" w:cs="宋体"/>
          <w:b/>
          <w:szCs w:val="24"/>
        </w:rPr>
        <w:t>第一部分 资格证明文件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Cs w:val="24"/>
        </w:rPr>
      </w:pPr>
      <w:r>
        <w:rPr>
          <w:rFonts w:hint="eastAsia" w:ascii="宋体" w:hAnsi="宋体" w:cs="宋体"/>
          <w:bCs/>
          <w:szCs w:val="24"/>
        </w:rPr>
        <w:t>一、独立承担民事责任的能力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Cs w:val="24"/>
        </w:rPr>
      </w:pPr>
      <w:r>
        <w:rPr>
          <w:rFonts w:hint="eastAsia" w:ascii="宋体" w:hAnsi="宋体" w:cs="宋体"/>
          <w:bCs/>
          <w:szCs w:val="24"/>
        </w:rPr>
        <w:t>二、良好的商业信誉和健全的财务会计制度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Cs w:val="24"/>
        </w:rPr>
      </w:pPr>
      <w:r>
        <w:rPr>
          <w:rFonts w:hint="eastAsia" w:ascii="宋体" w:hAnsi="宋体" w:cs="宋体"/>
          <w:bCs/>
          <w:szCs w:val="24"/>
        </w:rPr>
        <w:t>三、有依法缴纳税收和社会保障资金的良好记录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Cs w:val="24"/>
        </w:rPr>
      </w:pPr>
      <w:r>
        <w:rPr>
          <w:rFonts w:hint="eastAsia" w:ascii="宋体" w:hAnsi="宋体" w:cs="宋体"/>
          <w:bCs/>
          <w:szCs w:val="24"/>
        </w:rPr>
        <w:t>四、书面声明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Cs w:val="24"/>
        </w:rPr>
      </w:pPr>
      <w:r>
        <w:rPr>
          <w:rFonts w:hint="eastAsia" w:ascii="宋体" w:hAnsi="宋体" w:cs="宋体"/>
          <w:bCs/>
          <w:szCs w:val="24"/>
        </w:rPr>
        <w:t>五、法律、行政法规规定的其他条件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Cs w:val="24"/>
        </w:rPr>
      </w:pPr>
      <w:r>
        <w:rPr>
          <w:rFonts w:hint="eastAsia" w:ascii="宋体" w:hAnsi="宋体" w:cs="宋体"/>
          <w:bCs/>
          <w:szCs w:val="24"/>
        </w:rPr>
        <w:t>六、供应商企业关系关联及联合体说明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bCs/>
          <w:szCs w:val="24"/>
        </w:rPr>
      </w:pPr>
      <w:r>
        <w:rPr>
          <w:rFonts w:hint="eastAsia" w:ascii="宋体" w:hAnsi="宋体" w:cs="宋体"/>
          <w:bCs/>
          <w:szCs w:val="24"/>
        </w:rPr>
        <w:t>七、落实的政府政策要求</w:t>
      </w:r>
    </w:p>
    <w:p>
      <w:pPr>
        <w:spacing w:line="360" w:lineRule="auto"/>
        <w:jc w:val="left"/>
        <w:rPr>
          <w:rFonts w:ascii="宋体" w:hAnsi="宋体" w:cs="宋体"/>
          <w:b/>
          <w:szCs w:val="24"/>
        </w:rPr>
      </w:pPr>
      <w:r>
        <w:rPr>
          <w:rFonts w:hint="eastAsia" w:ascii="宋体" w:hAnsi="宋体" w:cs="宋体"/>
          <w:b/>
          <w:szCs w:val="24"/>
        </w:rPr>
        <w:t>第二部分  符合性证明文件</w:t>
      </w:r>
    </w:p>
    <w:p>
      <w:pPr>
        <w:spacing w:line="360" w:lineRule="auto"/>
        <w:ind w:firstLine="480" w:firstLineChars="200"/>
        <w:jc w:val="left"/>
        <w:rPr>
          <w:rFonts w:ascii="宋体" w:hAnsi="宋体" w:cs="宋体"/>
          <w:bCs/>
          <w:szCs w:val="24"/>
        </w:rPr>
      </w:pPr>
      <w:r>
        <w:rPr>
          <w:rFonts w:hint="eastAsia" w:ascii="宋体" w:hAnsi="宋体" w:cs="宋体"/>
          <w:bCs/>
          <w:szCs w:val="24"/>
        </w:rPr>
        <w:t>一、磋商函</w:t>
      </w:r>
    </w:p>
    <w:p>
      <w:pPr>
        <w:spacing w:line="360" w:lineRule="auto"/>
        <w:ind w:firstLine="480" w:firstLineChars="200"/>
        <w:jc w:val="left"/>
        <w:rPr>
          <w:rFonts w:ascii="宋体" w:hAnsi="宋体" w:cs="宋体"/>
          <w:bCs/>
          <w:szCs w:val="24"/>
        </w:rPr>
      </w:pPr>
      <w:r>
        <w:rPr>
          <w:rFonts w:hint="eastAsia" w:ascii="宋体" w:hAnsi="宋体" w:cs="宋体"/>
          <w:bCs/>
          <w:szCs w:val="24"/>
        </w:rPr>
        <w:t>二、磋商一览表</w:t>
      </w:r>
    </w:p>
    <w:p>
      <w:pPr>
        <w:spacing w:line="360" w:lineRule="auto"/>
        <w:ind w:firstLine="480" w:firstLineChars="200"/>
        <w:jc w:val="left"/>
        <w:rPr>
          <w:rFonts w:ascii="宋体" w:hAnsi="宋体" w:cs="宋体"/>
          <w:bCs/>
          <w:szCs w:val="24"/>
        </w:rPr>
      </w:pPr>
      <w:r>
        <w:rPr>
          <w:rFonts w:hint="eastAsia" w:ascii="宋体" w:hAnsi="宋体" w:cs="宋体"/>
          <w:bCs/>
          <w:szCs w:val="24"/>
        </w:rPr>
        <w:t>三、投标分项报价表</w:t>
      </w:r>
    </w:p>
    <w:p>
      <w:pPr>
        <w:spacing w:line="360" w:lineRule="auto"/>
        <w:ind w:firstLine="480" w:firstLineChars="200"/>
        <w:jc w:val="left"/>
        <w:rPr>
          <w:rFonts w:ascii="宋体" w:hAnsi="宋体" w:cs="宋体"/>
          <w:bCs/>
          <w:szCs w:val="24"/>
        </w:rPr>
      </w:pPr>
      <w:r>
        <w:rPr>
          <w:rFonts w:hint="eastAsia" w:ascii="宋体" w:hAnsi="宋体" w:cs="宋体"/>
          <w:bCs/>
          <w:szCs w:val="24"/>
        </w:rPr>
        <w:t>四、技术规格响应偏离表</w:t>
      </w:r>
    </w:p>
    <w:p>
      <w:pPr>
        <w:spacing w:line="360" w:lineRule="auto"/>
        <w:ind w:firstLine="480" w:firstLineChars="200"/>
        <w:jc w:val="left"/>
        <w:rPr>
          <w:rFonts w:ascii="宋体" w:hAnsi="宋体" w:cs="宋体"/>
          <w:bCs/>
          <w:szCs w:val="24"/>
        </w:rPr>
      </w:pPr>
      <w:r>
        <w:rPr>
          <w:rFonts w:hint="eastAsia" w:ascii="宋体" w:hAnsi="宋体" w:cs="宋体"/>
          <w:bCs/>
          <w:szCs w:val="24"/>
        </w:rPr>
        <w:t>五、商务条款响应偏离表</w:t>
      </w:r>
    </w:p>
    <w:p>
      <w:pPr>
        <w:spacing w:line="360" w:lineRule="auto"/>
        <w:ind w:firstLine="480" w:firstLineChars="200"/>
        <w:jc w:val="left"/>
        <w:rPr>
          <w:rFonts w:ascii="宋体" w:hAnsi="宋体" w:cs="宋体"/>
          <w:bCs/>
          <w:szCs w:val="24"/>
        </w:rPr>
      </w:pPr>
      <w:r>
        <w:rPr>
          <w:rFonts w:hint="eastAsia" w:ascii="宋体" w:hAnsi="宋体" w:cs="宋体"/>
          <w:bCs/>
          <w:szCs w:val="24"/>
        </w:rPr>
        <w:t>六、磋商保证金交纳凭证</w:t>
      </w:r>
    </w:p>
    <w:p>
      <w:pPr>
        <w:spacing w:line="360" w:lineRule="auto"/>
        <w:ind w:firstLine="480" w:firstLineChars="200"/>
        <w:jc w:val="left"/>
        <w:rPr>
          <w:rFonts w:ascii="宋体" w:hAnsi="宋体" w:cs="宋体"/>
          <w:bCs/>
          <w:szCs w:val="24"/>
        </w:rPr>
      </w:pPr>
      <w:r>
        <w:rPr>
          <w:rFonts w:hint="eastAsia" w:ascii="宋体" w:hAnsi="宋体" w:cs="宋体"/>
          <w:bCs/>
          <w:szCs w:val="24"/>
        </w:rPr>
        <w:t>七、供应商参加政府采购活动承诺书</w:t>
      </w:r>
    </w:p>
    <w:p>
      <w:pPr>
        <w:spacing w:line="360" w:lineRule="auto"/>
        <w:jc w:val="left"/>
        <w:rPr>
          <w:rFonts w:ascii="宋体" w:hAnsi="宋体" w:cs="宋体"/>
          <w:b/>
          <w:szCs w:val="24"/>
        </w:rPr>
      </w:pPr>
      <w:r>
        <w:rPr>
          <w:rFonts w:hint="eastAsia" w:ascii="宋体" w:hAnsi="宋体" w:cs="宋体"/>
          <w:b/>
          <w:szCs w:val="24"/>
        </w:rPr>
        <w:t>第三部分  响应方案</w:t>
      </w:r>
    </w:p>
    <w:p>
      <w:pPr>
        <w:spacing w:line="360" w:lineRule="auto"/>
        <w:ind w:firstLine="480" w:firstLineChars="200"/>
        <w:jc w:val="left"/>
        <w:rPr>
          <w:rFonts w:ascii="宋体" w:hAnsi="宋体" w:cs="宋体"/>
          <w:bCs/>
          <w:szCs w:val="24"/>
        </w:rPr>
      </w:pPr>
      <w:r>
        <w:rPr>
          <w:rFonts w:hint="eastAsia" w:ascii="宋体" w:hAnsi="宋体" w:cs="宋体"/>
          <w:bCs/>
          <w:szCs w:val="24"/>
        </w:rPr>
        <w:t>一、供应商概况</w:t>
      </w:r>
    </w:p>
    <w:p>
      <w:pPr>
        <w:spacing w:line="360" w:lineRule="auto"/>
        <w:ind w:firstLine="480" w:firstLineChars="200"/>
        <w:jc w:val="left"/>
        <w:rPr>
          <w:rFonts w:ascii="宋体" w:hAnsi="宋体" w:cs="宋体"/>
          <w:bCs/>
          <w:szCs w:val="24"/>
        </w:rPr>
      </w:pPr>
      <w:r>
        <w:rPr>
          <w:rFonts w:hint="eastAsia" w:ascii="宋体" w:hAnsi="宋体" w:cs="宋体"/>
          <w:bCs/>
          <w:szCs w:val="24"/>
        </w:rPr>
        <w:t>二、技术服务方案</w:t>
      </w:r>
    </w:p>
    <w:p>
      <w:pPr>
        <w:spacing w:line="360" w:lineRule="auto"/>
        <w:ind w:firstLine="480" w:firstLineChars="200"/>
        <w:jc w:val="left"/>
        <w:rPr>
          <w:rFonts w:ascii="宋体" w:hAnsi="宋体" w:cs="宋体"/>
          <w:bCs/>
          <w:szCs w:val="24"/>
        </w:rPr>
      </w:pPr>
      <w:r>
        <w:rPr>
          <w:rFonts w:hint="eastAsia" w:ascii="宋体" w:hAnsi="宋体" w:cs="宋体"/>
          <w:bCs/>
          <w:szCs w:val="24"/>
        </w:rPr>
        <w:t>三、参考样表</w:t>
      </w:r>
    </w:p>
    <w:p>
      <w:pPr>
        <w:spacing w:line="360" w:lineRule="auto"/>
        <w:ind w:firstLine="480" w:firstLineChars="200"/>
        <w:jc w:val="left"/>
        <w:rPr>
          <w:rStyle w:val="35"/>
          <w:rFonts w:ascii="宋体" w:hAnsi="宋体" w:cs="宋体"/>
          <w:b w:val="0"/>
          <w:bCs w:val="0"/>
        </w:rPr>
      </w:pPr>
      <w:r>
        <w:rPr>
          <w:rFonts w:hint="eastAsia" w:ascii="宋体" w:hAnsi="宋体" w:cs="宋体"/>
          <w:bCs/>
          <w:szCs w:val="24"/>
        </w:rPr>
        <w:t>四、供应商认为有利于成交的其他情况说明</w:t>
      </w:r>
      <w:bookmarkStart w:id="79" w:name="_Toc31057"/>
      <w:bookmarkStart w:id="80" w:name="_Toc1807"/>
      <w:r>
        <w:rPr>
          <w:rStyle w:val="35"/>
          <w:rFonts w:hint="eastAsia" w:ascii="宋体" w:hAnsi="宋体" w:cs="宋体"/>
          <w:b w:val="0"/>
          <w:bCs w:val="0"/>
        </w:rPr>
        <w:br w:type="page"/>
      </w:r>
    </w:p>
    <w:p>
      <w:pPr>
        <w:jc w:val="center"/>
        <w:outlineLvl w:val="1"/>
        <w:rPr>
          <w:rFonts w:ascii="宋体" w:hAnsi="宋体" w:cs="宋体"/>
        </w:rPr>
      </w:pPr>
      <w:bookmarkStart w:id="81" w:name="_Toc15177"/>
      <w:r>
        <w:rPr>
          <w:rStyle w:val="35"/>
          <w:rFonts w:hint="eastAsia" w:ascii="宋体" w:hAnsi="宋体" w:cs="宋体"/>
          <w:b w:val="0"/>
          <w:bCs w:val="0"/>
        </w:rPr>
        <w:t>第一部分  资格证明文件</w:t>
      </w:r>
      <w:bookmarkEnd w:id="79"/>
      <w:bookmarkEnd w:id="80"/>
      <w:bookmarkEnd w:id="81"/>
    </w:p>
    <w:p>
      <w:pPr>
        <w:spacing w:line="500" w:lineRule="exact"/>
        <w:ind w:firstLine="480" w:firstLineChars="200"/>
        <w:rPr>
          <w:rFonts w:ascii="宋体" w:hAnsi="宋体" w:cs="宋体"/>
          <w:szCs w:val="24"/>
        </w:rPr>
      </w:pPr>
      <w:r>
        <w:rPr>
          <w:rFonts w:hint="eastAsia" w:ascii="宋体" w:hAnsi="宋体" w:cs="宋体"/>
          <w:szCs w:val="24"/>
        </w:rPr>
        <w:t>供应商应按照磋商文件第一章第二条所列“响应供应商的资格要求”逐一提供全部资格证明文件。缺少其中任何一项，其响应文件将被视为无效文件。</w:t>
      </w:r>
    </w:p>
    <w:p>
      <w:pPr>
        <w:spacing w:line="500" w:lineRule="exact"/>
        <w:ind w:firstLine="562"/>
        <w:rPr>
          <w:rFonts w:ascii="宋体" w:hAnsi="宋体" w:cs="宋体"/>
          <w:szCs w:val="24"/>
        </w:rPr>
      </w:pPr>
      <w:r>
        <w:rPr>
          <w:rFonts w:hint="eastAsia" w:ascii="宋体" w:hAnsi="宋体" w:cs="宋体"/>
          <w:szCs w:val="24"/>
        </w:rPr>
        <w:t>其中，提供格式的须按下文给定格式填写，否则按无效处理。</w:t>
      </w:r>
    </w:p>
    <w:p>
      <w:pPr>
        <w:spacing w:line="500" w:lineRule="exact"/>
        <w:ind w:firstLine="562"/>
        <w:outlineLvl w:val="2"/>
        <w:rPr>
          <w:rFonts w:ascii="宋体" w:hAnsi="宋体" w:cs="宋体"/>
          <w:b/>
          <w:szCs w:val="24"/>
        </w:rPr>
      </w:pPr>
      <w:bookmarkStart w:id="82" w:name="_Toc8542"/>
      <w:r>
        <w:rPr>
          <w:rFonts w:hint="eastAsia" w:ascii="宋体" w:hAnsi="宋体" w:cs="宋体"/>
          <w:b/>
          <w:szCs w:val="24"/>
        </w:rPr>
        <w:t>一、</w:t>
      </w:r>
      <w:bookmarkEnd w:id="82"/>
      <w:r>
        <w:rPr>
          <w:rFonts w:hint="eastAsia" w:ascii="宋体" w:hAnsi="宋体" w:cs="宋体"/>
          <w:b/>
          <w:szCs w:val="24"/>
        </w:rPr>
        <w:t>独立承担民事责任的能力</w:t>
      </w:r>
    </w:p>
    <w:p>
      <w:pPr>
        <w:spacing w:line="500" w:lineRule="exact"/>
        <w:ind w:firstLine="562"/>
        <w:outlineLvl w:val="2"/>
        <w:rPr>
          <w:rFonts w:ascii="宋体" w:hAnsi="宋体" w:cs="宋体"/>
          <w:b/>
          <w:szCs w:val="24"/>
        </w:rPr>
      </w:pPr>
      <w:bookmarkStart w:id="83" w:name="_Toc20494"/>
      <w:r>
        <w:rPr>
          <w:rFonts w:hint="eastAsia" w:ascii="宋体" w:hAnsi="宋体" w:cs="宋体"/>
          <w:b/>
          <w:szCs w:val="24"/>
        </w:rPr>
        <w:t>二、</w:t>
      </w:r>
      <w:bookmarkEnd w:id="83"/>
      <w:r>
        <w:rPr>
          <w:rFonts w:hint="eastAsia" w:ascii="宋体" w:hAnsi="宋体" w:cs="宋体"/>
          <w:b/>
          <w:szCs w:val="24"/>
        </w:rPr>
        <w:t>良好的商业信誉和健全的财务会计制度</w:t>
      </w:r>
    </w:p>
    <w:p>
      <w:pPr>
        <w:spacing w:line="500" w:lineRule="exact"/>
        <w:ind w:firstLine="562"/>
        <w:outlineLvl w:val="2"/>
        <w:rPr>
          <w:rFonts w:ascii="宋体" w:hAnsi="宋体" w:cs="宋体"/>
          <w:b/>
          <w:szCs w:val="24"/>
        </w:rPr>
      </w:pPr>
      <w:bookmarkStart w:id="84" w:name="_Toc4130"/>
      <w:r>
        <w:rPr>
          <w:rFonts w:hint="eastAsia" w:ascii="宋体" w:hAnsi="宋体" w:cs="宋体"/>
          <w:b/>
          <w:szCs w:val="24"/>
        </w:rPr>
        <w:t>三、</w:t>
      </w:r>
      <w:bookmarkEnd w:id="84"/>
      <w:r>
        <w:rPr>
          <w:rFonts w:hint="eastAsia" w:ascii="宋体" w:hAnsi="宋体" w:cs="宋体"/>
          <w:b/>
          <w:szCs w:val="24"/>
        </w:rPr>
        <w:t>有依法缴纳税收和社会保障资金的良好记录</w:t>
      </w:r>
    </w:p>
    <w:p>
      <w:pPr>
        <w:spacing w:line="500" w:lineRule="exact"/>
        <w:ind w:firstLine="562"/>
        <w:outlineLvl w:val="2"/>
        <w:rPr>
          <w:rFonts w:ascii="宋体" w:hAnsi="宋体" w:cs="宋体"/>
          <w:b/>
          <w:szCs w:val="24"/>
        </w:rPr>
      </w:pPr>
      <w:bookmarkStart w:id="85" w:name="_Toc24237"/>
      <w:r>
        <w:rPr>
          <w:rFonts w:hint="eastAsia" w:ascii="宋体" w:hAnsi="宋体" w:cs="宋体"/>
          <w:b/>
          <w:szCs w:val="24"/>
        </w:rPr>
        <w:t>四、</w:t>
      </w:r>
      <w:bookmarkEnd w:id="85"/>
      <w:bookmarkStart w:id="86" w:name="_Toc11559"/>
      <w:r>
        <w:rPr>
          <w:rFonts w:hint="eastAsia" w:ascii="宋体" w:hAnsi="宋体" w:cs="宋体"/>
          <w:b/>
          <w:szCs w:val="24"/>
        </w:rPr>
        <w:t>书面声明（附件1）（附件2）</w:t>
      </w:r>
      <w:bookmarkEnd w:id="86"/>
    </w:p>
    <w:p>
      <w:pPr>
        <w:spacing w:line="500" w:lineRule="exact"/>
        <w:ind w:firstLine="562"/>
        <w:outlineLvl w:val="2"/>
        <w:rPr>
          <w:rFonts w:hint="eastAsia" w:ascii="宋体" w:hAnsi="宋体" w:cs="宋体"/>
          <w:b/>
          <w:szCs w:val="24"/>
        </w:rPr>
      </w:pPr>
      <w:bookmarkStart w:id="87" w:name="_Toc8215"/>
      <w:r>
        <w:rPr>
          <w:rFonts w:hint="eastAsia" w:ascii="宋体" w:hAnsi="宋体" w:cs="宋体"/>
          <w:b/>
          <w:szCs w:val="24"/>
          <w:lang w:val="en-US" w:eastAsia="zh-CN"/>
        </w:rPr>
        <w:t>五</w:t>
      </w:r>
      <w:r>
        <w:rPr>
          <w:rFonts w:hint="eastAsia" w:ascii="宋体" w:hAnsi="宋体" w:cs="宋体"/>
          <w:b/>
          <w:szCs w:val="24"/>
        </w:rPr>
        <w:t>、法律、行政法规规定的其他条件（附件4）</w:t>
      </w:r>
      <w:bookmarkEnd w:id="87"/>
    </w:p>
    <w:p>
      <w:pPr>
        <w:spacing w:line="500" w:lineRule="exact"/>
        <w:ind w:firstLine="562"/>
        <w:outlineLvl w:val="2"/>
        <w:rPr>
          <w:rFonts w:hint="eastAsia" w:ascii="宋体" w:hAnsi="宋体" w:eastAsia="宋体" w:cs="宋体"/>
          <w:b/>
          <w:szCs w:val="24"/>
        </w:rPr>
      </w:pPr>
      <w:bookmarkStart w:id="88" w:name="_Toc18864"/>
      <w:r>
        <w:rPr>
          <w:rFonts w:hint="eastAsia" w:ascii="宋体" w:hAnsi="宋体" w:cs="宋体"/>
          <w:b/>
          <w:szCs w:val="24"/>
          <w:lang w:val="en-US" w:eastAsia="zh-CN"/>
        </w:rPr>
        <w:t>六</w:t>
      </w:r>
      <w:r>
        <w:rPr>
          <w:rFonts w:hint="eastAsia" w:ascii="宋体" w:hAnsi="宋体" w:eastAsia="宋体" w:cs="宋体"/>
          <w:b/>
          <w:szCs w:val="24"/>
        </w:rPr>
        <w:t>、供应商企业关系关联及联合体说明（附件3）</w:t>
      </w:r>
      <w:bookmarkEnd w:id="88"/>
    </w:p>
    <w:p>
      <w:pPr>
        <w:spacing w:line="500" w:lineRule="exact"/>
        <w:ind w:firstLine="562"/>
        <w:outlineLvl w:val="2"/>
        <w:rPr>
          <w:rFonts w:ascii="宋体" w:hAnsi="宋体" w:cs="宋体"/>
          <w:b/>
          <w:szCs w:val="24"/>
        </w:rPr>
      </w:pPr>
      <w:bookmarkStart w:id="89" w:name="_Toc18283"/>
      <w:r>
        <w:rPr>
          <w:rFonts w:hint="eastAsia" w:ascii="宋体" w:hAnsi="宋体" w:cs="宋体"/>
          <w:b/>
          <w:szCs w:val="24"/>
          <w:lang w:val="en-US" w:eastAsia="zh-CN"/>
        </w:rPr>
        <w:t>七</w:t>
      </w:r>
      <w:r>
        <w:rPr>
          <w:rFonts w:hint="eastAsia" w:ascii="宋体" w:hAnsi="宋体" w:cs="宋体"/>
          <w:b/>
          <w:szCs w:val="24"/>
        </w:rPr>
        <w:t>、落实的政府政策要求（附件5）（附件6）（附件7）（附件8）</w:t>
      </w:r>
      <w:bookmarkEnd w:id="89"/>
    </w:p>
    <w:p>
      <w:pPr>
        <w:rPr>
          <w:rFonts w:ascii="宋体" w:hAnsi="宋体" w:cs="宋体"/>
          <w:b/>
          <w:szCs w:val="24"/>
        </w:rPr>
      </w:pPr>
      <w:r>
        <w:rPr>
          <w:rFonts w:hint="eastAsia" w:ascii="宋体" w:hAnsi="宋体" w:cs="宋体"/>
          <w:b/>
          <w:szCs w:val="24"/>
        </w:rPr>
        <w:br w:type="page"/>
      </w:r>
    </w:p>
    <w:p>
      <w:pPr>
        <w:adjustRightInd w:val="0"/>
        <w:snapToGrid w:val="0"/>
        <w:spacing w:line="360" w:lineRule="auto"/>
        <w:rPr>
          <w:rFonts w:ascii="宋体" w:hAnsi="宋体" w:cs="宋体"/>
          <w:b/>
          <w:sz w:val="28"/>
          <w:szCs w:val="28"/>
        </w:rPr>
      </w:pPr>
      <w:r>
        <w:rPr>
          <w:rFonts w:hint="eastAsia" w:ascii="宋体" w:hAnsi="宋体" w:cs="宋体"/>
          <w:b/>
          <w:sz w:val="28"/>
          <w:szCs w:val="28"/>
        </w:rPr>
        <w:t>附件1：</w:t>
      </w:r>
    </w:p>
    <w:p>
      <w:pPr>
        <w:autoSpaceDE w:val="0"/>
        <w:autoSpaceDN w:val="0"/>
        <w:adjustRightInd w:val="0"/>
        <w:spacing w:line="360" w:lineRule="auto"/>
        <w:jc w:val="center"/>
        <w:rPr>
          <w:rFonts w:ascii="宋体" w:hAnsi="宋体" w:cs="宋体"/>
          <w:b/>
          <w:sz w:val="28"/>
          <w:szCs w:val="28"/>
        </w:rPr>
      </w:pPr>
      <w:r>
        <w:rPr>
          <w:rFonts w:hint="eastAsia" w:ascii="宋体" w:hAnsi="宋体" w:cs="宋体"/>
          <w:b/>
          <w:spacing w:val="-6"/>
          <w:sz w:val="28"/>
          <w:szCs w:val="28"/>
        </w:rPr>
        <w:t>参加政府采购活动前三年内无重大违法记录的书面声明</w:t>
      </w:r>
    </w:p>
    <w:p>
      <w:pPr>
        <w:snapToGrid w:val="0"/>
        <w:spacing w:line="360" w:lineRule="auto"/>
        <w:ind w:firstLine="640" w:firstLineChars="200"/>
        <w:rPr>
          <w:rFonts w:ascii="宋体" w:hAnsi="宋体" w:cs="宋体"/>
          <w:sz w:val="32"/>
          <w:szCs w:val="32"/>
        </w:rPr>
      </w:pPr>
    </w:p>
    <w:p>
      <w:pPr>
        <w:snapToGrid w:val="0"/>
        <w:spacing w:line="360" w:lineRule="auto"/>
        <w:ind w:firstLine="640" w:firstLineChars="200"/>
        <w:rPr>
          <w:rFonts w:ascii="宋体" w:hAnsi="宋体" w:cs="宋体"/>
          <w:sz w:val="32"/>
          <w:szCs w:val="32"/>
        </w:rPr>
      </w:pPr>
    </w:p>
    <w:p>
      <w:pPr>
        <w:adjustRightInd w:val="0"/>
        <w:snapToGrid w:val="0"/>
        <w:spacing w:line="360" w:lineRule="auto"/>
        <w:rPr>
          <w:rFonts w:ascii="宋体" w:hAnsi="宋体" w:cs="宋体"/>
          <w:szCs w:val="24"/>
        </w:rPr>
      </w:pPr>
      <w:r>
        <w:rPr>
          <w:rFonts w:hint="eastAsia" w:ascii="宋体" w:hAnsi="宋体" w:cs="宋体"/>
          <w:spacing w:val="4"/>
          <w:szCs w:val="24"/>
          <w:u w:val="single"/>
        </w:rPr>
        <w:t xml:space="preserve">   （采购人名称）    ：</w:t>
      </w:r>
    </w:p>
    <w:p>
      <w:pPr>
        <w:autoSpaceDE w:val="0"/>
        <w:autoSpaceDN w:val="0"/>
        <w:adjustRightInd w:val="0"/>
        <w:spacing w:line="360" w:lineRule="auto"/>
        <w:ind w:firstLine="480" w:firstLineChars="200"/>
        <w:rPr>
          <w:rFonts w:ascii="宋体" w:hAnsi="宋体" w:cs="宋体"/>
          <w:szCs w:val="24"/>
        </w:rPr>
      </w:pP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我方</w:t>
      </w:r>
      <w:r>
        <w:rPr>
          <w:rFonts w:hint="eastAsia" w:ascii="宋体" w:hAnsi="宋体" w:cs="宋体"/>
          <w:szCs w:val="24"/>
          <w:u w:val="single"/>
        </w:rPr>
        <w:t xml:space="preserve">                    </w:t>
      </w:r>
      <w:r>
        <w:rPr>
          <w:rFonts w:hint="eastAsia" w:ascii="宋体" w:hAnsi="宋体" w:cs="宋体"/>
          <w:szCs w:val="24"/>
        </w:rPr>
        <w:t>（供应商名称）郑重声明在</w:t>
      </w:r>
      <w:r>
        <w:rPr>
          <w:rFonts w:hint="eastAsia" w:ascii="宋体" w:hAnsi="宋体" w:cs="宋体"/>
          <w:szCs w:val="22"/>
        </w:rPr>
        <w:t>参加本次政府采购活动前三年内在经营活动中没有重大违纪，以及未被列入失信被执行人、</w:t>
      </w:r>
      <w:r>
        <w:rPr>
          <w:rFonts w:hint="eastAsia" w:ascii="宋体" w:hAnsi="宋体" w:eastAsia="宋体" w:cs="宋体"/>
          <w:i w:val="0"/>
          <w:iCs w:val="0"/>
          <w:caps w:val="0"/>
          <w:color w:val="auto"/>
          <w:spacing w:val="0"/>
          <w:sz w:val="24"/>
          <w:szCs w:val="24"/>
          <w:highlight w:val="none"/>
          <w:shd w:val="clear" w:fill="FFFFFF"/>
        </w:rPr>
        <w:t>重大税收违法</w:t>
      </w:r>
      <w:r>
        <w:rPr>
          <w:rFonts w:hint="eastAsia" w:ascii="宋体" w:hAnsi="宋体" w:cs="宋体"/>
          <w:i w:val="0"/>
          <w:iCs w:val="0"/>
          <w:caps w:val="0"/>
          <w:color w:val="auto"/>
          <w:spacing w:val="0"/>
          <w:sz w:val="24"/>
          <w:szCs w:val="24"/>
          <w:highlight w:val="none"/>
          <w:shd w:val="clear" w:fill="FFFFFF"/>
          <w:lang w:val="en-US" w:eastAsia="zh-CN"/>
        </w:rPr>
        <w:t>失信主体</w:t>
      </w:r>
      <w:r>
        <w:rPr>
          <w:rFonts w:hint="eastAsia" w:ascii="宋体" w:hAnsi="宋体" w:cs="宋体"/>
          <w:szCs w:val="22"/>
        </w:rPr>
        <w:t>、政府采购严重违法失信行为记录名单</w:t>
      </w:r>
      <w:r>
        <w:rPr>
          <w:rFonts w:hint="eastAsia" w:ascii="宋体" w:hAnsi="宋体" w:cs="宋体"/>
          <w:szCs w:val="24"/>
        </w:rPr>
        <w:t>。如有不实，我方将无条件地退出本项目的采购活动，并遵照《政府采购法》有关"提供虚假材料的规定"接受处罚。</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特此声明。</w:t>
      </w:r>
    </w:p>
    <w:p>
      <w:pPr>
        <w:autoSpaceDE w:val="0"/>
        <w:autoSpaceDN w:val="0"/>
        <w:adjustRightInd w:val="0"/>
        <w:spacing w:line="360" w:lineRule="auto"/>
        <w:ind w:firstLine="480" w:firstLineChars="200"/>
        <w:rPr>
          <w:rFonts w:ascii="宋体" w:hAnsi="宋体" w:cs="宋体"/>
          <w:szCs w:val="24"/>
        </w:rPr>
      </w:pPr>
    </w:p>
    <w:p>
      <w:pPr>
        <w:autoSpaceDE w:val="0"/>
        <w:autoSpaceDN w:val="0"/>
        <w:adjustRightInd w:val="0"/>
        <w:spacing w:line="360" w:lineRule="auto"/>
        <w:ind w:firstLine="480" w:firstLineChars="200"/>
        <w:rPr>
          <w:rFonts w:ascii="宋体" w:hAnsi="宋体" w:cs="宋体"/>
          <w:szCs w:val="24"/>
        </w:rPr>
      </w:pPr>
    </w:p>
    <w:p>
      <w:pPr>
        <w:autoSpaceDE w:val="0"/>
        <w:autoSpaceDN w:val="0"/>
        <w:adjustRightInd w:val="0"/>
        <w:spacing w:line="360" w:lineRule="auto"/>
        <w:ind w:firstLine="480" w:firstLineChars="200"/>
        <w:rPr>
          <w:rFonts w:ascii="宋体" w:hAnsi="宋体" w:cs="宋体"/>
          <w:szCs w:val="24"/>
        </w:rPr>
      </w:pPr>
    </w:p>
    <w:p>
      <w:pPr>
        <w:spacing w:line="360" w:lineRule="auto"/>
        <w:ind w:firstLine="1920" w:firstLineChars="800"/>
        <w:rPr>
          <w:rFonts w:ascii="宋体" w:hAnsi="宋体" w:cs="宋体"/>
          <w:szCs w:val="24"/>
        </w:rPr>
      </w:pPr>
      <w:r>
        <w:rPr>
          <w:rFonts w:hint="eastAsia" w:ascii="宋体" w:hAnsi="宋体" w:cs="宋体"/>
          <w:szCs w:val="24"/>
        </w:rPr>
        <w:t>供应商（公章）：</w:t>
      </w:r>
      <w:r>
        <w:rPr>
          <w:rFonts w:hint="eastAsia" w:ascii="宋体" w:hAnsi="宋体" w:cs="宋体"/>
          <w:szCs w:val="24"/>
          <w:u w:val="single"/>
        </w:rPr>
        <w:t xml:space="preserve">                       </w:t>
      </w:r>
    </w:p>
    <w:p>
      <w:pPr>
        <w:spacing w:line="360" w:lineRule="auto"/>
        <w:ind w:firstLine="1920" w:firstLineChars="800"/>
        <w:rPr>
          <w:rFonts w:ascii="宋体" w:hAnsi="宋体" w:cs="宋体"/>
          <w:szCs w:val="24"/>
          <w:u w:val="single"/>
        </w:rPr>
      </w:pPr>
      <w:r>
        <w:rPr>
          <w:rFonts w:hint="eastAsia" w:ascii="宋体" w:hAnsi="宋体" w:cs="宋体"/>
          <w:szCs w:val="24"/>
        </w:rPr>
        <w:t>法定代表人（签字或盖章）：</w:t>
      </w:r>
      <w:r>
        <w:rPr>
          <w:rFonts w:hint="eastAsia" w:ascii="宋体" w:hAnsi="宋体" w:cs="宋体"/>
          <w:szCs w:val="24"/>
          <w:u w:val="single"/>
        </w:rPr>
        <w:t xml:space="preserve">             </w:t>
      </w:r>
    </w:p>
    <w:p>
      <w:pPr>
        <w:autoSpaceDE w:val="0"/>
        <w:autoSpaceDN w:val="0"/>
        <w:adjustRightInd w:val="0"/>
        <w:spacing w:line="360" w:lineRule="auto"/>
        <w:ind w:firstLine="1920" w:firstLineChars="800"/>
        <w:rPr>
          <w:rFonts w:ascii="宋体" w:hAnsi="宋体" w:cs="宋体"/>
          <w:szCs w:val="24"/>
          <w:u w:val="single"/>
        </w:rPr>
      </w:pPr>
      <w:r>
        <w:rPr>
          <w:rFonts w:hint="eastAsia" w:ascii="宋体" w:hAnsi="宋体" w:cs="宋体"/>
          <w:szCs w:val="24"/>
        </w:rPr>
        <w:t>日    期：</w:t>
      </w:r>
      <w:r>
        <w:rPr>
          <w:rFonts w:hint="eastAsia" w:ascii="宋体" w:hAnsi="宋体" w:cs="宋体"/>
          <w:szCs w:val="24"/>
          <w:u w:val="single"/>
        </w:rPr>
        <w:t xml:space="preserve">                             </w:t>
      </w:r>
    </w:p>
    <w:p>
      <w:pPr>
        <w:autoSpaceDE w:val="0"/>
        <w:autoSpaceDN w:val="0"/>
        <w:adjustRightInd w:val="0"/>
        <w:spacing w:line="360" w:lineRule="auto"/>
        <w:ind w:firstLine="1920" w:firstLineChars="800"/>
        <w:rPr>
          <w:rFonts w:ascii="宋体" w:hAnsi="宋体" w:cs="宋体"/>
          <w:szCs w:val="24"/>
          <w:u w:val="single"/>
        </w:rPr>
      </w:pPr>
    </w:p>
    <w:p>
      <w:pPr>
        <w:widowControl/>
        <w:spacing w:line="360" w:lineRule="auto"/>
        <w:jc w:val="left"/>
        <w:rPr>
          <w:rFonts w:ascii="宋体" w:hAnsi="宋体" w:cs="宋体"/>
          <w:kern w:val="0"/>
          <w:szCs w:val="24"/>
        </w:rPr>
      </w:pPr>
      <w:r>
        <w:rPr>
          <w:rFonts w:hint="eastAsia" w:ascii="宋体" w:hAnsi="宋体" w:cs="宋体"/>
          <w:kern w:val="0"/>
          <w:szCs w:val="24"/>
        </w:rPr>
        <w:br w:type="page"/>
      </w:r>
    </w:p>
    <w:p>
      <w:pPr>
        <w:autoSpaceDE w:val="0"/>
        <w:autoSpaceDN w:val="0"/>
        <w:adjustRightInd w:val="0"/>
        <w:spacing w:line="360" w:lineRule="auto"/>
        <w:rPr>
          <w:rFonts w:ascii="宋体" w:hAnsi="宋体" w:cs="宋体"/>
          <w:b/>
          <w:spacing w:val="-6"/>
          <w:sz w:val="28"/>
          <w:szCs w:val="28"/>
        </w:rPr>
      </w:pPr>
      <w:r>
        <w:rPr>
          <w:rFonts w:hint="eastAsia" w:ascii="宋体" w:hAnsi="宋体" w:cs="宋体"/>
          <w:b/>
          <w:sz w:val="28"/>
          <w:szCs w:val="28"/>
        </w:rPr>
        <w:t>附件2:</w:t>
      </w:r>
    </w:p>
    <w:p>
      <w:pPr>
        <w:pStyle w:val="12"/>
        <w:adjustRightInd w:val="0"/>
        <w:snapToGrid w:val="0"/>
        <w:spacing w:line="360" w:lineRule="auto"/>
        <w:jc w:val="center"/>
        <w:rPr>
          <w:rFonts w:hAnsi="宋体" w:cs="宋体"/>
          <w:b/>
          <w:spacing w:val="-6"/>
          <w:sz w:val="28"/>
          <w:szCs w:val="28"/>
        </w:rPr>
      </w:pPr>
      <w:r>
        <w:rPr>
          <w:rFonts w:hint="eastAsia" w:hAnsi="宋体" w:cs="宋体"/>
          <w:b/>
          <w:spacing w:val="-6"/>
          <w:sz w:val="28"/>
          <w:szCs w:val="28"/>
        </w:rPr>
        <w:t>履行合同所必需的设备和专业技术能力的书面声明</w:t>
      </w:r>
    </w:p>
    <w:p>
      <w:pPr>
        <w:pStyle w:val="12"/>
        <w:adjustRightInd w:val="0"/>
        <w:snapToGrid w:val="0"/>
        <w:spacing w:line="360" w:lineRule="auto"/>
        <w:jc w:val="center"/>
        <w:rPr>
          <w:rFonts w:hAnsi="宋体" w:cs="宋体"/>
          <w:b/>
          <w:sz w:val="44"/>
          <w:szCs w:val="44"/>
        </w:rPr>
      </w:pPr>
    </w:p>
    <w:p>
      <w:pPr>
        <w:spacing w:line="360" w:lineRule="auto"/>
        <w:rPr>
          <w:rFonts w:ascii="宋体" w:hAnsi="宋体" w:cs="宋体"/>
          <w:spacing w:val="4"/>
          <w:szCs w:val="24"/>
          <w:u w:val="single"/>
        </w:rPr>
      </w:pPr>
      <w:r>
        <w:rPr>
          <w:rFonts w:hint="eastAsia" w:ascii="宋体" w:hAnsi="宋体" w:cs="宋体"/>
          <w:spacing w:val="4"/>
          <w:szCs w:val="24"/>
          <w:u w:val="single"/>
        </w:rPr>
        <w:t xml:space="preserve">   （采购人名称）    ：</w:t>
      </w:r>
    </w:p>
    <w:p>
      <w:pPr>
        <w:pStyle w:val="12"/>
        <w:adjustRightInd w:val="0"/>
        <w:snapToGrid w:val="0"/>
        <w:spacing w:line="360" w:lineRule="auto"/>
        <w:ind w:firstLine="496" w:firstLineChars="200"/>
        <w:rPr>
          <w:rFonts w:hAnsi="宋体" w:cs="宋体"/>
          <w:spacing w:val="4"/>
          <w:sz w:val="24"/>
          <w:szCs w:val="24"/>
        </w:rPr>
      </w:pPr>
      <w:r>
        <w:rPr>
          <w:rFonts w:hint="eastAsia" w:hAnsi="宋体" w:cs="宋体"/>
          <w:spacing w:val="4"/>
          <w:sz w:val="24"/>
          <w:szCs w:val="24"/>
          <w:u w:val="single"/>
        </w:rPr>
        <w:t xml:space="preserve">   （供应商名称）    </w:t>
      </w:r>
      <w:r>
        <w:rPr>
          <w:rFonts w:hint="eastAsia" w:hAnsi="宋体" w:cs="宋体"/>
          <w:spacing w:val="4"/>
          <w:sz w:val="24"/>
          <w:szCs w:val="24"/>
        </w:rPr>
        <w:t xml:space="preserve"> 于</w:t>
      </w:r>
      <w:r>
        <w:rPr>
          <w:rFonts w:hint="eastAsia" w:hAnsi="宋体" w:cs="宋体"/>
          <w:spacing w:val="4"/>
          <w:sz w:val="24"/>
          <w:szCs w:val="24"/>
          <w:u w:val="single"/>
        </w:rPr>
        <w:t xml:space="preserve">     </w:t>
      </w:r>
      <w:r>
        <w:rPr>
          <w:rFonts w:hint="eastAsia" w:hAnsi="宋体" w:cs="宋体"/>
          <w:spacing w:val="4"/>
          <w:sz w:val="24"/>
          <w:szCs w:val="24"/>
        </w:rPr>
        <w:t>年</w:t>
      </w:r>
      <w:r>
        <w:rPr>
          <w:rFonts w:hint="eastAsia" w:hAnsi="宋体" w:cs="宋体"/>
          <w:spacing w:val="4"/>
          <w:sz w:val="24"/>
          <w:szCs w:val="24"/>
          <w:u w:val="single"/>
        </w:rPr>
        <w:t xml:space="preserve">    </w:t>
      </w:r>
      <w:r>
        <w:rPr>
          <w:rFonts w:hint="eastAsia" w:hAnsi="宋体" w:cs="宋体"/>
          <w:spacing w:val="4"/>
          <w:sz w:val="24"/>
          <w:szCs w:val="24"/>
        </w:rPr>
        <w:t>月</w:t>
      </w:r>
      <w:r>
        <w:rPr>
          <w:rFonts w:hint="eastAsia" w:hAnsi="宋体" w:cs="宋体"/>
          <w:spacing w:val="4"/>
          <w:sz w:val="24"/>
          <w:szCs w:val="24"/>
          <w:u w:val="single"/>
        </w:rPr>
        <w:t xml:space="preserve">   </w:t>
      </w:r>
      <w:r>
        <w:rPr>
          <w:rFonts w:hint="eastAsia" w:hAnsi="宋体" w:cs="宋体"/>
          <w:spacing w:val="4"/>
          <w:sz w:val="24"/>
          <w:szCs w:val="24"/>
        </w:rPr>
        <w:t>日在中华人民共和国境内</w:t>
      </w:r>
      <w:r>
        <w:rPr>
          <w:rFonts w:hint="eastAsia" w:hAnsi="宋体" w:cs="宋体"/>
          <w:spacing w:val="4"/>
          <w:sz w:val="24"/>
          <w:szCs w:val="24"/>
          <w:u w:val="single"/>
        </w:rPr>
        <w:t xml:space="preserve">               （详细注册地址）     </w:t>
      </w:r>
      <w:r>
        <w:rPr>
          <w:rFonts w:hint="eastAsia" w:hAnsi="宋体" w:cs="宋体"/>
          <w:spacing w:val="4"/>
          <w:sz w:val="24"/>
          <w:szCs w:val="24"/>
        </w:rPr>
        <w:t>合法注册并经营，公司主营业务为</w:t>
      </w:r>
      <w:r>
        <w:rPr>
          <w:rFonts w:hint="eastAsia" w:hAnsi="宋体" w:cs="宋体"/>
          <w:spacing w:val="4"/>
          <w:sz w:val="24"/>
          <w:szCs w:val="24"/>
          <w:u w:val="single"/>
        </w:rPr>
        <w:t xml:space="preserve">                          </w:t>
      </w:r>
      <w:r>
        <w:rPr>
          <w:rFonts w:hint="eastAsia" w:hAnsi="宋体" w:cs="宋体"/>
          <w:spacing w:val="4"/>
          <w:sz w:val="24"/>
          <w:szCs w:val="24"/>
        </w:rPr>
        <w:t>，营业（生产经营）面积为</w:t>
      </w:r>
      <w:r>
        <w:rPr>
          <w:rFonts w:hint="eastAsia" w:hAnsi="宋体" w:cs="宋体"/>
          <w:spacing w:val="4"/>
          <w:sz w:val="24"/>
          <w:szCs w:val="24"/>
          <w:u w:val="single"/>
        </w:rPr>
        <w:t xml:space="preserve">             </w:t>
      </w:r>
      <w:r>
        <w:rPr>
          <w:rFonts w:hint="eastAsia" w:hAnsi="宋体" w:cs="宋体"/>
          <w:spacing w:val="4"/>
          <w:sz w:val="24"/>
          <w:szCs w:val="24"/>
        </w:rPr>
        <w:t xml:space="preserve"> ，现有员工数量为</w:t>
      </w:r>
      <w:r>
        <w:rPr>
          <w:rFonts w:hint="eastAsia" w:hAnsi="宋体" w:cs="宋体"/>
          <w:spacing w:val="4"/>
          <w:sz w:val="24"/>
          <w:szCs w:val="24"/>
          <w:u w:val="single"/>
        </w:rPr>
        <w:t xml:space="preserve">         </w:t>
      </w:r>
      <w:r>
        <w:rPr>
          <w:rFonts w:hint="eastAsia" w:hAnsi="宋体" w:cs="宋体"/>
          <w:spacing w:val="4"/>
          <w:sz w:val="24"/>
          <w:szCs w:val="24"/>
        </w:rPr>
        <w:t>，其中与履行本合同相关的专业技术人员有（</w:t>
      </w:r>
      <w:r>
        <w:rPr>
          <w:rFonts w:hint="eastAsia" w:hAnsi="宋体" w:cs="宋体"/>
          <w:spacing w:val="4"/>
          <w:sz w:val="24"/>
          <w:szCs w:val="24"/>
          <w:u w:val="single"/>
        </w:rPr>
        <w:t xml:space="preserve">             专业能力、数量        </w:t>
      </w:r>
      <w:r>
        <w:rPr>
          <w:rFonts w:hint="eastAsia" w:hAnsi="宋体" w:cs="宋体"/>
          <w:spacing w:val="4"/>
          <w:sz w:val="24"/>
          <w:szCs w:val="24"/>
        </w:rPr>
        <w:t>），本公司郑重声明，具有履行本合同所必需的设备和专业技术能力。</w:t>
      </w:r>
      <w:r>
        <w:rPr>
          <w:rFonts w:hint="eastAsia" w:hAnsi="宋体" w:cs="宋体"/>
          <w:sz w:val="24"/>
          <w:szCs w:val="24"/>
        </w:rPr>
        <w:t>如有不实，我方将无条件地退出本项目的采购活动，并遵照《政府采购法》有关"提供虚假材料的规定"接受处罚。</w:t>
      </w:r>
    </w:p>
    <w:p>
      <w:pPr>
        <w:spacing w:beforeLines="100" w:afterLines="50" w:line="360" w:lineRule="auto"/>
        <w:ind w:firstLine="620" w:firstLineChars="250"/>
        <w:rPr>
          <w:rFonts w:ascii="宋体" w:hAnsi="宋体" w:cs="宋体"/>
          <w:spacing w:val="4"/>
          <w:szCs w:val="24"/>
        </w:rPr>
      </w:pPr>
    </w:p>
    <w:p>
      <w:pPr>
        <w:pStyle w:val="13"/>
        <w:spacing w:line="360" w:lineRule="auto"/>
        <w:rPr>
          <w:rFonts w:ascii="宋体" w:hAnsi="宋体" w:cs="宋体"/>
          <w:sz w:val="24"/>
          <w:szCs w:val="24"/>
        </w:rPr>
      </w:pPr>
    </w:p>
    <w:p>
      <w:pPr>
        <w:spacing w:line="360" w:lineRule="auto"/>
        <w:ind w:firstLine="1920" w:firstLineChars="800"/>
        <w:rPr>
          <w:rFonts w:ascii="宋体" w:hAnsi="宋体" w:cs="宋体"/>
          <w:szCs w:val="24"/>
        </w:rPr>
      </w:pPr>
      <w:r>
        <w:rPr>
          <w:rFonts w:hint="eastAsia" w:ascii="宋体" w:hAnsi="宋体" w:cs="宋体"/>
          <w:szCs w:val="24"/>
        </w:rPr>
        <w:t>供应商（公章）：</w:t>
      </w:r>
      <w:r>
        <w:rPr>
          <w:rFonts w:hint="eastAsia" w:ascii="宋体" w:hAnsi="宋体" w:cs="宋体"/>
          <w:szCs w:val="24"/>
          <w:u w:val="single"/>
        </w:rPr>
        <w:t xml:space="preserve">                        </w:t>
      </w:r>
    </w:p>
    <w:p>
      <w:pPr>
        <w:spacing w:line="360" w:lineRule="auto"/>
        <w:ind w:firstLine="1920" w:firstLineChars="800"/>
        <w:rPr>
          <w:rFonts w:ascii="宋体" w:hAnsi="宋体" w:cs="宋体"/>
          <w:szCs w:val="24"/>
          <w:u w:val="single"/>
        </w:rPr>
      </w:pPr>
      <w:r>
        <w:rPr>
          <w:rFonts w:hint="eastAsia" w:ascii="宋体" w:hAnsi="宋体" w:cs="宋体"/>
          <w:szCs w:val="24"/>
        </w:rPr>
        <w:t>法定代表人（签字或盖章）：</w:t>
      </w:r>
      <w:r>
        <w:rPr>
          <w:rFonts w:hint="eastAsia" w:ascii="宋体" w:hAnsi="宋体" w:cs="宋体"/>
          <w:szCs w:val="24"/>
          <w:u w:val="single"/>
        </w:rPr>
        <w:t xml:space="preserve">              </w:t>
      </w:r>
    </w:p>
    <w:p>
      <w:pPr>
        <w:autoSpaceDE w:val="0"/>
        <w:autoSpaceDN w:val="0"/>
        <w:adjustRightInd w:val="0"/>
        <w:spacing w:line="360" w:lineRule="auto"/>
        <w:ind w:firstLine="1920" w:firstLineChars="800"/>
        <w:rPr>
          <w:rFonts w:ascii="宋体" w:hAnsi="宋体" w:cs="宋体"/>
          <w:szCs w:val="24"/>
          <w:u w:val="single"/>
        </w:rPr>
      </w:pPr>
      <w:r>
        <w:rPr>
          <w:rFonts w:hint="eastAsia" w:ascii="宋体" w:hAnsi="宋体" w:cs="宋体"/>
          <w:szCs w:val="24"/>
        </w:rPr>
        <w:t>日    期：</w:t>
      </w:r>
      <w:r>
        <w:rPr>
          <w:rFonts w:hint="eastAsia" w:ascii="宋体" w:hAnsi="宋体" w:cs="宋体"/>
          <w:szCs w:val="24"/>
          <w:u w:val="single"/>
        </w:rPr>
        <w:t xml:space="preserve">                              </w:t>
      </w:r>
    </w:p>
    <w:p>
      <w:pPr>
        <w:adjustRightInd w:val="0"/>
        <w:snapToGrid w:val="0"/>
        <w:spacing w:line="360" w:lineRule="auto"/>
        <w:ind w:firstLine="1920" w:firstLineChars="800"/>
        <w:rPr>
          <w:rFonts w:ascii="宋体" w:hAnsi="宋体" w:cs="宋体"/>
          <w:szCs w:val="24"/>
          <w:lang w:val="zh-CN"/>
        </w:rPr>
      </w:pPr>
    </w:p>
    <w:p>
      <w:pPr>
        <w:adjustRightInd w:val="0"/>
        <w:snapToGrid w:val="0"/>
        <w:spacing w:line="360" w:lineRule="auto"/>
        <w:rPr>
          <w:rFonts w:ascii="宋体" w:hAnsi="宋体" w:cs="宋体"/>
          <w:sz w:val="32"/>
          <w:szCs w:val="32"/>
          <w:lang w:val="zh-CN"/>
        </w:rPr>
      </w:pPr>
    </w:p>
    <w:p>
      <w:pPr>
        <w:autoSpaceDE w:val="0"/>
        <w:autoSpaceDN w:val="0"/>
        <w:adjustRightInd w:val="0"/>
        <w:spacing w:line="360" w:lineRule="auto"/>
        <w:ind w:firstLine="2560" w:firstLineChars="800"/>
        <w:rPr>
          <w:rFonts w:ascii="宋体" w:hAnsi="宋体" w:cs="宋体"/>
          <w:kern w:val="0"/>
          <w:szCs w:val="24"/>
        </w:rPr>
      </w:pPr>
      <w:r>
        <w:rPr>
          <w:rFonts w:hint="eastAsia" w:ascii="宋体" w:hAnsi="宋体" w:cs="宋体"/>
          <w:sz w:val="32"/>
          <w:szCs w:val="32"/>
        </w:rPr>
        <w:br w:type="page"/>
      </w:r>
    </w:p>
    <w:p>
      <w:pPr>
        <w:autoSpaceDE w:val="0"/>
        <w:autoSpaceDN w:val="0"/>
        <w:adjustRightInd w:val="0"/>
        <w:snapToGrid w:val="0"/>
        <w:spacing w:line="360" w:lineRule="auto"/>
        <w:rPr>
          <w:rFonts w:ascii="宋体" w:hAnsi="宋体" w:cs="宋体"/>
          <w:b/>
          <w:bCs/>
          <w:sz w:val="28"/>
          <w:szCs w:val="28"/>
        </w:rPr>
      </w:pPr>
      <w:r>
        <w:rPr>
          <w:rFonts w:hint="eastAsia" w:ascii="宋体" w:hAnsi="宋体" w:cs="宋体"/>
          <w:b/>
          <w:bCs/>
          <w:sz w:val="28"/>
          <w:szCs w:val="28"/>
        </w:rPr>
        <w:t>附件3：</w:t>
      </w:r>
    </w:p>
    <w:p>
      <w:pPr>
        <w:autoSpaceDE w:val="0"/>
        <w:autoSpaceDN w:val="0"/>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供应商企业关系关联及联合体说明</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一、供应商在本项目磋商中，不存在与其它供应商负责人为同一人，有控股、管理等关联关系承诺。</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1.管理关系说明：</w:t>
      </w:r>
    </w:p>
    <w:p>
      <w:pPr>
        <w:autoSpaceDE w:val="0"/>
        <w:autoSpaceDN w:val="0"/>
        <w:adjustRightInd w:val="0"/>
        <w:spacing w:line="360" w:lineRule="auto"/>
        <w:ind w:firstLine="480" w:firstLineChars="200"/>
        <w:rPr>
          <w:rFonts w:ascii="宋体" w:hAnsi="宋体" w:cs="宋体"/>
          <w:szCs w:val="24"/>
          <w:u w:val="single"/>
        </w:rPr>
      </w:pPr>
      <w:r>
        <w:rPr>
          <w:rFonts w:hint="eastAsia" w:ascii="宋体" w:hAnsi="宋体" w:cs="宋体"/>
          <w:szCs w:val="24"/>
        </w:rPr>
        <w:t>我单位管理的具有独立法人的下属单位：</w:t>
      </w:r>
      <w:r>
        <w:rPr>
          <w:rFonts w:hint="eastAsia" w:ascii="宋体" w:hAnsi="宋体" w:cs="宋体"/>
          <w:szCs w:val="24"/>
          <w:u w:val="single"/>
        </w:rPr>
        <w:t xml:space="preserve">      </w:t>
      </w:r>
      <w:r>
        <w:rPr>
          <w:rFonts w:hint="eastAsia" w:ascii="宋体" w:hAnsi="宋体" w:cs="宋体"/>
          <w:szCs w:val="24"/>
        </w:rPr>
        <w:t>(没有填无)。</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 xml:space="preserve">我单位的上级管理单位 </w:t>
      </w:r>
      <w:r>
        <w:rPr>
          <w:rFonts w:hint="eastAsia" w:ascii="宋体" w:hAnsi="宋体" w:cs="宋体"/>
          <w:szCs w:val="24"/>
          <w:u w:val="single"/>
        </w:rPr>
        <w:t xml:space="preserve">            </w:t>
      </w:r>
      <w:r>
        <w:rPr>
          <w:rFonts w:hint="eastAsia" w:ascii="宋体" w:hAnsi="宋体" w:cs="宋体"/>
          <w:szCs w:val="24"/>
        </w:rPr>
        <w:t xml:space="preserve"> (没有填无)。</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2.股权关系说明：</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我单位控股的单位</w:t>
      </w:r>
      <w:r>
        <w:rPr>
          <w:rFonts w:hint="eastAsia" w:ascii="宋体" w:hAnsi="宋体" w:cs="宋体"/>
          <w:szCs w:val="24"/>
          <w:u w:val="single"/>
        </w:rPr>
        <w:t xml:space="preserve">          </w:t>
      </w:r>
      <w:r>
        <w:rPr>
          <w:rFonts w:hint="eastAsia" w:ascii="宋体" w:hAnsi="宋体" w:cs="宋体"/>
          <w:szCs w:val="24"/>
        </w:rPr>
        <w:t>(没有填无) 。</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我单位</w:t>
      </w:r>
      <w:r>
        <w:rPr>
          <w:rFonts w:hint="eastAsia" w:ascii="宋体" w:hAnsi="宋体" w:cs="宋体"/>
          <w:szCs w:val="24"/>
          <w:u w:val="single"/>
        </w:rPr>
        <w:t xml:space="preserve">      </w:t>
      </w:r>
      <w:r>
        <w:rPr>
          <w:rFonts w:hint="eastAsia" w:ascii="宋体" w:hAnsi="宋体" w:cs="宋体"/>
          <w:szCs w:val="24"/>
        </w:rPr>
        <w:t>(没有填无)被</w:t>
      </w:r>
      <w:r>
        <w:rPr>
          <w:rFonts w:hint="eastAsia" w:ascii="宋体" w:hAnsi="宋体" w:cs="宋体"/>
          <w:szCs w:val="24"/>
          <w:u w:val="single"/>
        </w:rPr>
        <w:t xml:space="preserve">   （控股单位全称）  </w:t>
      </w:r>
      <w:r>
        <w:rPr>
          <w:rFonts w:hint="eastAsia" w:ascii="宋体" w:hAnsi="宋体" w:cs="宋体"/>
          <w:szCs w:val="24"/>
        </w:rPr>
        <w:t>单位控股。</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3.单位负责人：</w:t>
      </w:r>
      <w:r>
        <w:rPr>
          <w:rFonts w:hint="eastAsia" w:ascii="宋体" w:hAnsi="宋体" w:cs="宋体"/>
          <w:szCs w:val="24"/>
          <w:u w:val="single"/>
        </w:rPr>
        <w:t xml:space="preserve">        </w:t>
      </w:r>
      <w:r>
        <w:rPr>
          <w:rFonts w:hint="eastAsia" w:ascii="宋体" w:hAnsi="宋体" w:cs="宋体"/>
          <w:szCs w:val="24"/>
        </w:rPr>
        <w:t xml:space="preserve"> (没有填无)。</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二、我单位</w:t>
      </w:r>
      <w:r>
        <w:rPr>
          <w:rFonts w:hint="eastAsia" w:ascii="宋体" w:hAnsi="宋体" w:cs="宋体"/>
          <w:szCs w:val="24"/>
          <w:u w:val="single"/>
        </w:rPr>
        <w:t xml:space="preserve">          </w:t>
      </w:r>
      <w:r>
        <w:rPr>
          <w:rFonts w:hint="eastAsia" w:ascii="宋体" w:hAnsi="宋体" w:cs="宋体"/>
          <w:szCs w:val="24"/>
        </w:rPr>
        <w:t>（是或否） 为本采购项目提供过整体设计、规范编制或者项目管理、监理、检测等服务的供应商。</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三、其他与本项目有关的利害关系说明</w:t>
      </w:r>
      <w:r>
        <w:rPr>
          <w:rFonts w:hint="eastAsia" w:ascii="宋体" w:hAnsi="宋体" w:cs="宋体"/>
          <w:szCs w:val="24"/>
          <w:u w:val="single"/>
        </w:rPr>
        <w:t xml:space="preserve">     </w:t>
      </w:r>
      <w:r>
        <w:rPr>
          <w:rFonts w:hint="eastAsia" w:ascii="宋体" w:hAnsi="宋体" w:cs="宋体"/>
          <w:szCs w:val="24"/>
        </w:rPr>
        <w:t>(没有填无)。</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四、是否为联合体磋商</w:t>
      </w:r>
      <w:r>
        <w:rPr>
          <w:rFonts w:hint="eastAsia" w:ascii="宋体" w:hAnsi="宋体" w:cs="宋体"/>
          <w:szCs w:val="24"/>
          <w:u w:val="single"/>
        </w:rPr>
        <w:t xml:space="preserve">         </w:t>
      </w:r>
      <w:r>
        <w:rPr>
          <w:rFonts w:hint="eastAsia" w:ascii="宋体" w:hAnsi="宋体" w:cs="宋体"/>
          <w:szCs w:val="24"/>
        </w:rPr>
        <w:t>（是或否）。</w:t>
      </w:r>
    </w:p>
    <w:p>
      <w:pPr>
        <w:autoSpaceDE w:val="0"/>
        <w:autoSpaceDN w:val="0"/>
        <w:adjustRightInd w:val="0"/>
        <w:spacing w:line="360" w:lineRule="auto"/>
        <w:ind w:firstLine="480" w:firstLineChars="200"/>
        <w:rPr>
          <w:rFonts w:ascii="宋体" w:hAnsi="宋体" w:cs="宋体"/>
          <w:szCs w:val="24"/>
        </w:rPr>
      </w:pPr>
      <w:r>
        <w:rPr>
          <w:rFonts w:hint="eastAsia" w:ascii="宋体" w:hAnsi="宋体" w:cs="宋体"/>
          <w:szCs w:val="24"/>
        </w:rPr>
        <w:t>我单位承诺以上说明真实有效，无虚假内容或隐瞒。</w:t>
      </w:r>
    </w:p>
    <w:p>
      <w:pPr>
        <w:spacing w:line="360" w:lineRule="auto"/>
        <w:ind w:firstLine="1920" w:firstLineChars="800"/>
        <w:rPr>
          <w:rFonts w:ascii="宋体" w:hAnsi="宋体" w:cs="宋体"/>
          <w:szCs w:val="24"/>
        </w:rPr>
      </w:pPr>
    </w:p>
    <w:p>
      <w:pPr>
        <w:spacing w:line="360" w:lineRule="auto"/>
        <w:ind w:firstLine="1920" w:firstLineChars="800"/>
        <w:rPr>
          <w:rFonts w:ascii="宋体" w:hAnsi="宋体" w:cs="宋体"/>
          <w:szCs w:val="24"/>
          <w:u w:val="single"/>
        </w:rPr>
      </w:pPr>
      <w:r>
        <w:rPr>
          <w:rFonts w:hint="eastAsia" w:ascii="宋体" w:hAnsi="宋体" w:cs="宋体"/>
          <w:szCs w:val="24"/>
        </w:rPr>
        <w:t xml:space="preserve">供应商（公章）： </w:t>
      </w:r>
      <w:r>
        <w:rPr>
          <w:rFonts w:hint="eastAsia" w:ascii="宋体" w:hAnsi="宋体" w:cs="宋体"/>
          <w:szCs w:val="24"/>
          <w:u w:val="single"/>
        </w:rPr>
        <w:t xml:space="preserve">                      </w:t>
      </w:r>
    </w:p>
    <w:p>
      <w:pPr>
        <w:spacing w:line="360" w:lineRule="auto"/>
        <w:ind w:firstLine="1920" w:firstLineChars="800"/>
        <w:rPr>
          <w:rFonts w:ascii="宋体" w:hAnsi="宋体" w:cs="宋体"/>
          <w:szCs w:val="24"/>
          <w:u w:val="single"/>
        </w:rPr>
      </w:pPr>
      <w:r>
        <w:rPr>
          <w:rFonts w:hint="eastAsia" w:ascii="宋体" w:hAnsi="宋体" w:cs="宋体"/>
          <w:szCs w:val="24"/>
        </w:rPr>
        <w:t>法定代表人（签字或盖章）：</w:t>
      </w:r>
      <w:r>
        <w:rPr>
          <w:rFonts w:hint="eastAsia" w:ascii="宋体" w:hAnsi="宋体" w:cs="宋体"/>
          <w:szCs w:val="24"/>
          <w:u w:val="single"/>
        </w:rPr>
        <w:t xml:space="preserve">             </w:t>
      </w:r>
    </w:p>
    <w:p>
      <w:pPr>
        <w:spacing w:line="360" w:lineRule="auto"/>
        <w:ind w:firstLine="1920" w:firstLineChars="800"/>
        <w:rPr>
          <w:rFonts w:ascii="宋体" w:hAnsi="宋体" w:cs="宋体"/>
          <w:szCs w:val="24"/>
          <w:u w:val="single"/>
        </w:rPr>
        <w:sectPr>
          <w:headerReference r:id="rId10" w:type="first"/>
          <w:footerReference r:id="rId12" w:type="first"/>
          <w:headerReference r:id="rId9" w:type="default"/>
          <w:footerReference r:id="rId11" w:type="default"/>
          <w:pgSz w:w="11907" w:h="16840"/>
          <w:pgMar w:top="1418" w:right="1440" w:bottom="1418" w:left="1418" w:header="851" w:footer="1021" w:gutter="0"/>
          <w:cols w:space="720" w:num="1"/>
          <w:titlePg/>
          <w:docGrid w:linePitch="312" w:charSpace="0"/>
        </w:sectPr>
      </w:pPr>
      <w:r>
        <w:rPr>
          <w:rFonts w:hint="eastAsia" w:ascii="宋体" w:hAnsi="宋体" w:cs="宋体"/>
          <w:szCs w:val="24"/>
        </w:rPr>
        <w:t>日    期：</w:t>
      </w:r>
      <w:r>
        <w:rPr>
          <w:rFonts w:hint="eastAsia" w:ascii="宋体" w:hAnsi="宋体" w:cs="宋体"/>
          <w:szCs w:val="24"/>
          <w:u w:val="single"/>
        </w:rPr>
        <w:t xml:space="preserve">                             </w:t>
      </w:r>
    </w:p>
    <w:p>
      <w:pPr>
        <w:autoSpaceDE w:val="0"/>
        <w:autoSpaceDN w:val="0"/>
        <w:adjustRightInd w:val="0"/>
        <w:snapToGrid w:val="0"/>
        <w:spacing w:line="360" w:lineRule="auto"/>
        <w:rPr>
          <w:rFonts w:ascii="宋体" w:hAnsi="宋体" w:cs="宋体"/>
          <w:b/>
          <w:bCs/>
          <w:sz w:val="28"/>
          <w:szCs w:val="28"/>
        </w:rPr>
      </w:pPr>
      <w:r>
        <w:rPr>
          <w:rFonts w:hint="eastAsia" w:ascii="宋体" w:hAnsi="宋体" w:cs="宋体"/>
          <w:b/>
          <w:bCs/>
          <w:sz w:val="28"/>
          <w:szCs w:val="28"/>
        </w:rPr>
        <w:t>附件4：</w:t>
      </w:r>
    </w:p>
    <w:p>
      <w:pPr>
        <w:autoSpaceDE w:val="0"/>
        <w:autoSpaceDN w:val="0"/>
        <w:adjustRightInd w:val="0"/>
        <w:snapToGrid w:val="0"/>
        <w:spacing w:line="360" w:lineRule="auto"/>
        <w:jc w:val="center"/>
        <w:rPr>
          <w:rFonts w:ascii="宋体" w:hAnsi="宋体" w:cs="宋体"/>
          <w:b/>
          <w:bCs/>
          <w:sz w:val="28"/>
          <w:szCs w:val="28"/>
        </w:rPr>
      </w:pPr>
      <w:bookmarkStart w:id="90" w:name="_Hlk48767478"/>
      <w:bookmarkStart w:id="91" w:name="_Toc18209"/>
      <w:bookmarkStart w:id="92" w:name="_Toc3725"/>
      <w:r>
        <w:rPr>
          <w:rFonts w:hint="eastAsia" w:ascii="宋体" w:hAnsi="宋体" w:cs="宋体"/>
          <w:b/>
          <w:bCs/>
          <w:sz w:val="28"/>
          <w:szCs w:val="28"/>
        </w:rPr>
        <w:t>法定代表人资格证明书及法定代表人授权委托书</w:t>
      </w:r>
      <w:bookmarkEnd w:id="90"/>
      <w:r>
        <w:rPr>
          <w:rFonts w:hint="eastAsia" w:ascii="宋体" w:hAnsi="宋体" w:cs="宋体"/>
          <w:b/>
          <w:bCs/>
          <w:sz w:val="28"/>
          <w:szCs w:val="28"/>
        </w:rPr>
        <w:t>（格式，法定代表人投标时提供4-1、被授权人投标时提供4-1及4-2）</w:t>
      </w:r>
      <w:bookmarkEnd w:id="91"/>
      <w:bookmarkEnd w:id="92"/>
    </w:p>
    <w:p>
      <w:pPr>
        <w:spacing w:line="360" w:lineRule="auto"/>
        <w:ind w:left="240" w:leftChars="100"/>
        <w:jc w:val="center"/>
        <w:rPr>
          <w:rFonts w:ascii="宋体" w:hAnsi="宋体" w:cs="宋体"/>
          <w:b/>
          <w:bCs/>
          <w:szCs w:val="24"/>
        </w:rPr>
      </w:pPr>
      <w:bookmarkStart w:id="93" w:name="_Toc48791236"/>
      <w:bookmarkStart w:id="94" w:name="_Toc48995852"/>
      <w:bookmarkStart w:id="95" w:name="_Toc47261886"/>
      <w:bookmarkStart w:id="96" w:name="_Toc47418939"/>
      <w:bookmarkStart w:id="97" w:name="_Toc49019498"/>
      <w:bookmarkStart w:id="98" w:name="_Toc47262070"/>
      <w:bookmarkStart w:id="99" w:name="_Toc47261691"/>
      <w:bookmarkStart w:id="100" w:name="_Toc49019237"/>
      <w:bookmarkStart w:id="101" w:name="_Toc47418732"/>
      <w:bookmarkStart w:id="102" w:name="_Toc47418256"/>
      <w:r>
        <w:rPr>
          <w:rFonts w:hint="eastAsia" w:ascii="宋体" w:hAnsi="宋体" w:cs="宋体"/>
          <w:b/>
          <w:bCs/>
          <w:szCs w:val="24"/>
        </w:rPr>
        <w:t>4-1、法定代表人资格证明书</w:t>
      </w:r>
    </w:p>
    <w:tbl>
      <w:tblPr>
        <w:tblStyle w:val="2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9"/>
        <w:gridCol w:w="2200"/>
        <w:gridCol w:w="1857"/>
        <w:gridCol w:w="1336"/>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gridSpan w:val="5"/>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致：陕西致恒招标代理有限公司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center"/>
          </w:tcPr>
          <w:p>
            <w:pPr>
              <w:tabs>
                <w:tab w:val="right" w:leader="dot" w:pos="9022"/>
              </w:tabs>
              <w:autoSpaceDE w:val="0"/>
              <w:autoSpaceDN w:val="0"/>
              <w:adjustRightInd w:val="0"/>
              <w:spacing w:line="360" w:lineRule="auto"/>
              <w:jc w:val="center"/>
              <w:rPr>
                <w:rFonts w:hint="default" w:ascii="宋体" w:hAnsi="宋体" w:eastAsia="宋体" w:cs="宋体"/>
                <w:bCs/>
                <w:caps/>
                <w:szCs w:val="24"/>
                <w:lang w:val="en-US" w:eastAsia="zh-CN"/>
              </w:rPr>
            </w:pPr>
            <w:r>
              <w:rPr>
                <w:rFonts w:hint="eastAsia" w:ascii="宋体" w:hAnsi="宋体" w:cs="宋体"/>
                <w:bCs/>
                <w:caps/>
                <w:szCs w:val="24"/>
              </w:rPr>
              <w:t>项目名称</w:t>
            </w:r>
          </w:p>
        </w:tc>
        <w:tc>
          <w:tcPr>
            <w:tcW w:w="7181" w:type="dxa"/>
            <w:gridSpan w:val="4"/>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文件编号</w:t>
            </w:r>
          </w:p>
        </w:tc>
        <w:tc>
          <w:tcPr>
            <w:tcW w:w="7181" w:type="dxa"/>
            <w:gridSpan w:val="4"/>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权   限</w:t>
            </w:r>
          </w:p>
        </w:tc>
        <w:tc>
          <w:tcPr>
            <w:tcW w:w="7181" w:type="dxa"/>
            <w:gridSpan w:val="4"/>
            <w:vAlign w:val="center"/>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有效期</w:t>
            </w:r>
          </w:p>
        </w:tc>
        <w:tc>
          <w:tcPr>
            <w:tcW w:w="7181" w:type="dxa"/>
            <w:gridSpan w:val="4"/>
            <w:vAlign w:val="center"/>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szCs w:val="24"/>
              </w:rPr>
              <w:t>自提交响应文件的截止之日起</w:t>
            </w:r>
            <w:r>
              <w:rPr>
                <w:rFonts w:hint="eastAsia" w:ascii="宋体" w:hAnsi="宋体" w:cs="宋体"/>
                <w:szCs w:val="24"/>
                <w:u w:val="single"/>
              </w:rPr>
              <w:t xml:space="preserve">     </w:t>
            </w:r>
            <w:r>
              <w:rPr>
                <w:rFonts w:hint="eastAsia" w:ascii="宋体" w:hAnsi="宋体" w:cs="宋体"/>
                <w:szCs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Merge w:val="restart"/>
            <w:vAlign w:val="center"/>
          </w:tcPr>
          <w:p>
            <w:pPr>
              <w:tabs>
                <w:tab w:val="right" w:leader="dot" w:pos="9022"/>
              </w:tabs>
              <w:autoSpaceDE w:val="0"/>
              <w:autoSpaceDN w:val="0"/>
              <w:adjustRightInd w:val="0"/>
              <w:spacing w:line="360" w:lineRule="auto"/>
              <w:ind w:firstLine="240" w:firstLineChars="100"/>
              <w:rPr>
                <w:rFonts w:ascii="宋体" w:hAnsi="宋体" w:cs="宋体"/>
                <w:bCs/>
                <w:caps/>
                <w:szCs w:val="24"/>
              </w:rPr>
            </w:pPr>
            <w:r>
              <w:rPr>
                <w:rFonts w:hint="eastAsia" w:ascii="宋体" w:hAnsi="宋体" w:cs="宋体"/>
                <w:bCs/>
                <w:caps/>
                <w:szCs w:val="24"/>
              </w:rPr>
              <w:t>企业</w:t>
            </w:r>
          </w:p>
          <w:p>
            <w:pPr>
              <w:tabs>
                <w:tab w:val="right" w:leader="dot" w:pos="9022"/>
              </w:tabs>
              <w:autoSpaceDE w:val="0"/>
              <w:autoSpaceDN w:val="0"/>
              <w:adjustRightInd w:val="0"/>
              <w:spacing w:line="360" w:lineRule="auto"/>
              <w:ind w:firstLine="240" w:firstLineChars="100"/>
              <w:rPr>
                <w:rFonts w:ascii="宋体" w:hAnsi="宋体" w:cs="宋体"/>
                <w:bCs/>
                <w:caps/>
                <w:szCs w:val="24"/>
              </w:rPr>
            </w:pPr>
            <w:r>
              <w:rPr>
                <w:rFonts w:hint="eastAsia" w:ascii="宋体" w:hAnsi="宋体" w:cs="宋体"/>
                <w:bCs/>
                <w:caps/>
                <w:szCs w:val="24"/>
              </w:rPr>
              <w:t>信息</w:t>
            </w:r>
          </w:p>
        </w:tc>
        <w:tc>
          <w:tcPr>
            <w:tcW w:w="2200" w:type="dxa"/>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 xml:space="preserve">企 业 名 称 </w:t>
            </w:r>
          </w:p>
        </w:tc>
        <w:tc>
          <w:tcPr>
            <w:tcW w:w="4981" w:type="dxa"/>
            <w:gridSpan w:val="3"/>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Merge w:val="continue"/>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2200" w:type="dxa"/>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法 定 地 址</w:t>
            </w:r>
          </w:p>
        </w:tc>
        <w:tc>
          <w:tcPr>
            <w:tcW w:w="4981" w:type="dxa"/>
            <w:gridSpan w:val="3"/>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Merge w:val="continue"/>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2200" w:type="dxa"/>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营业执照注册证号</w:t>
            </w:r>
          </w:p>
        </w:tc>
        <w:tc>
          <w:tcPr>
            <w:tcW w:w="4981" w:type="dxa"/>
            <w:gridSpan w:val="3"/>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Merge w:val="continue"/>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2200" w:type="dxa"/>
          </w:tcPr>
          <w:p>
            <w:pPr>
              <w:tabs>
                <w:tab w:val="right" w:leader="dot" w:pos="9022"/>
              </w:tabs>
              <w:spacing w:line="360" w:lineRule="auto"/>
              <w:rPr>
                <w:rFonts w:ascii="宋体" w:hAnsi="宋体" w:cs="宋体"/>
                <w:bCs/>
                <w:caps/>
                <w:szCs w:val="24"/>
              </w:rPr>
            </w:pPr>
            <w:r>
              <w:rPr>
                <w:rFonts w:hint="eastAsia" w:ascii="宋体" w:hAnsi="宋体" w:cs="宋体"/>
                <w:bCs/>
                <w:caps/>
                <w:szCs w:val="24"/>
              </w:rPr>
              <w:t>工商登记机关</w:t>
            </w:r>
          </w:p>
        </w:tc>
        <w:tc>
          <w:tcPr>
            <w:tcW w:w="4981" w:type="dxa"/>
            <w:gridSpan w:val="3"/>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Merge w:val="continue"/>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2200" w:type="dxa"/>
          </w:tcPr>
          <w:p>
            <w:pPr>
              <w:tabs>
                <w:tab w:val="right" w:leader="dot" w:pos="9022"/>
              </w:tabs>
              <w:spacing w:line="360" w:lineRule="auto"/>
              <w:rPr>
                <w:rFonts w:ascii="宋体" w:hAnsi="宋体" w:cs="宋体"/>
                <w:bCs/>
                <w:caps/>
                <w:szCs w:val="24"/>
              </w:rPr>
            </w:pPr>
            <w:r>
              <w:rPr>
                <w:rFonts w:hint="eastAsia" w:ascii="宋体" w:hAnsi="宋体" w:cs="宋体"/>
                <w:bCs/>
                <w:caps/>
                <w:szCs w:val="24"/>
              </w:rPr>
              <w:t>网        址</w:t>
            </w:r>
          </w:p>
        </w:tc>
        <w:tc>
          <w:tcPr>
            <w:tcW w:w="4981" w:type="dxa"/>
            <w:gridSpan w:val="3"/>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Merge w:val="restart"/>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法定代</w:t>
            </w: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表人</w:t>
            </w:r>
          </w:p>
        </w:tc>
        <w:tc>
          <w:tcPr>
            <w:tcW w:w="2200" w:type="dxa"/>
          </w:tcPr>
          <w:p>
            <w:pPr>
              <w:tabs>
                <w:tab w:val="right" w:leader="dot" w:pos="9022"/>
              </w:tabs>
              <w:autoSpaceDE w:val="0"/>
              <w:autoSpaceDN w:val="0"/>
              <w:adjustRightInd w:val="0"/>
              <w:spacing w:line="360" w:lineRule="auto"/>
              <w:ind w:firstLine="240" w:firstLineChars="100"/>
              <w:jc w:val="left"/>
              <w:rPr>
                <w:rFonts w:ascii="宋体" w:hAnsi="宋体" w:cs="宋体"/>
                <w:bCs/>
                <w:caps/>
                <w:szCs w:val="24"/>
              </w:rPr>
            </w:pPr>
            <w:r>
              <w:rPr>
                <w:rFonts w:hint="eastAsia" w:ascii="宋体" w:hAnsi="宋体" w:cs="宋体"/>
                <w:bCs/>
                <w:caps/>
                <w:szCs w:val="24"/>
              </w:rPr>
              <w:t>姓    名</w:t>
            </w:r>
          </w:p>
        </w:tc>
        <w:tc>
          <w:tcPr>
            <w:tcW w:w="1857" w:type="dxa"/>
          </w:tcPr>
          <w:p>
            <w:pPr>
              <w:tabs>
                <w:tab w:val="right" w:leader="dot" w:pos="9022"/>
              </w:tabs>
              <w:autoSpaceDE w:val="0"/>
              <w:autoSpaceDN w:val="0"/>
              <w:adjustRightInd w:val="0"/>
              <w:spacing w:line="360" w:lineRule="auto"/>
              <w:jc w:val="left"/>
              <w:rPr>
                <w:rFonts w:ascii="宋体" w:hAnsi="宋体" w:cs="宋体"/>
                <w:bCs/>
                <w:caps/>
                <w:szCs w:val="24"/>
              </w:rPr>
            </w:pPr>
          </w:p>
        </w:tc>
        <w:tc>
          <w:tcPr>
            <w:tcW w:w="1336" w:type="dxa"/>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性    别</w:t>
            </w:r>
          </w:p>
        </w:tc>
        <w:tc>
          <w:tcPr>
            <w:tcW w:w="1788" w:type="dxa"/>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Merge w:val="continue"/>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2200" w:type="dxa"/>
          </w:tcPr>
          <w:p>
            <w:pPr>
              <w:tabs>
                <w:tab w:val="right" w:leader="dot" w:pos="9022"/>
              </w:tabs>
              <w:autoSpaceDE w:val="0"/>
              <w:autoSpaceDN w:val="0"/>
              <w:adjustRightInd w:val="0"/>
              <w:spacing w:line="360" w:lineRule="auto"/>
              <w:ind w:firstLine="240" w:firstLineChars="100"/>
              <w:jc w:val="left"/>
              <w:rPr>
                <w:rFonts w:ascii="宋体" w:hAnsi="宋体" w:cs="宋体"/>
                <w:bCs/>
                <w:caps/>
                <w:szCs w:val="24"/>
              </w:rPr>
            </w:pPr>
            <w:r>
              <w:rPr>
                <w:rFonts w:hint="eastAsia" w:ascii="宋体" w:hAnsi="宋体" w:cs="宋体"/>
                <w:bCs/>
                <w:caps/>
                <w:szCs w:val="24"/>
              </w:rPr>
              <w:t>职    务</w:t>
            </w:r>
          </w:p>
        </w:tc>
        <w:tc>
          <w:tcPr>
            <w:tcW w:w="1857" w:type="dxa"/>
          </w:tcPr>
          <w:p>
            <w:pPr>
              <w:tabs>
                <w:tab w:val="right" w:leader="dot" w:pos="9022"/>
              </w:tabs>
              <w:autoSpaceDE w:val="0"/>
              <w:autoSpaceDN w:val="0"/>
              <w:adjustRightInd w:val="0"/>
              <w:spacing w:line="360" w:lineRule="auto"/>
              <w:jc w:val="left"/>
              <w:rPr>
                <w:rFonts w:ascii="宋体" w:hAnsi="宋体" w:cs="宋体"/>
                <w:bCs/>
                <w:caps/>
                <w:szCs w:val="24"/>
              </w:rPr>
            </w:pPr>
          </w:p>
        </w:tc>
        <w:tc>
          <w:tcPr>
            <w:tcW w:w="1336" w:type="dxa"/>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联系电话</w:t>
            </w:r>
          </w:p>
        </w:tc>
        <w:tc>
          <w:tcPr>
            <w:tcW w:w="1788" w:type="dxa"/>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99" w:type="dxa"/>
            <w:vMerge w:val="continue"/>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2200" w:type="dxa"/>
          </w:tcPr>
          <w:p>
            <w:pPr>
              <w:tabs>
                <w:tab w:val="right" w:leader="dot" w:pos="9022"/>
              </w:tabs>
              <w:autoSpaceDE w:val="0"/>
              <w:autoSpaceDN w:val="0"/>
              <w:adjustRightInd w:val="0"/>
              <w:spacing w:line="360" w:lineRule="auto"/>
              <w:ind w:firstLine="240" w:firstLineChars="100"/>
              <w:jc w:val="left"/>
              <w:rPr>
                <w:rFonts w:ascii="宋体" w:hAnsi="宋体" w:cs="宋体"/>
                <w:bCs/>
                <w:caps/>
                <w:szCs w:val="24"/>
              </w:rPr>
            </w:pPr>
            <w:r>
              <w:rPr>
                <w:rFonts w:hint="eastAsia" w:ascii="宋体" w:hAnsi="宋体" w:cs="宋体"/>
                <w:bCs/>
                <w:caps/>
                <w:szCs w:val="24"/>
              </w:rPr>
              <w:t>传    真</w:t>
            </w:r>
          </w:p>
        </w:tc>
        <w:tc>
          <w:tcPr>
            <w:tcW w:w="4981" w:type="dxa"/>
            <w:gridSpan w:val="3"/>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99" w:type="dxa"/>
            <w:vMerge w:val="continue"/>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2200" w:type="dxa"/>
          </w:tcPr>
          <w:p>
            <w:pPr>
              <w:tabs>
                <w:tab w:val="right" w:leader="dot" w:pos="9022"/>
              </w:tabs>
              <w:autoSpaceDE w:val="0"/>
              <w:autoSpaceDN w:val="0"/>
              <w:adjustRightInd w:val="0"/>
              <w:spacing w:line="360" w:lineRule="auto"/>
              <w:ind w:firstLine="240" w:firstLineChars="100"/>
              <w:jc w:val="left"/>
              <w:rPr>
                <w:rFonts w:ascii="宋体" w:hAnsi="宋体" w:cs="宋体"/>
                <w:bCs/>
                <w:caps/>
                <w:szCs w:val="24"/>
              </w:rPr>
            </w:pPr>
            <w:r>
              <w:rPr>
                <w:rFonts w:hint="eastAsia" w:ascii="宋体" w:hAnsi="宋体" w:cs="宋体"/>
                <w:bCs/>
                <w:caps/>
                <w:szCs w:val="24"/>
              </w:rPr>
              <w:t>通讯地址</w:t>
            </w:r>
          </w:p>
        </w:tc>
        <w:tc>
          <w:tcPr>
            <w:tcW w:w="4981" w:type="dxa"/>
            <w:gridSpan w:val="3"/>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4" w:hRule="atLeast"/>
        </w:trPr>
        <w:tc>
          <w:tcPr>
            <w:tcW w:w="9180" w:type="dxa"/>
            <w:gridSpan w:val="5"/>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法定代表人身份证复印件</w:t>
            </w: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spacing w:val="-4"/>
                <w:szCs w:val="24"/>
              </w:rPr>
              <w:t>二代身份证两面都需复印</w:t>
            </w: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9180" w:type="dxa"/>
            <w:gridSpan w:val="5"/>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法定代表人签字或盖章：</w:t>
            </w:r>
          </w:p>
        </w:tc>
      </w:tr>
    </w:tbl>
    <w:p>
      <w:pPr>
        <w:spacing w:line="360" w:lineRule="auto"/>
        <w:rPr>
          <w:rFonts w:ascii="宋体" w:hAnsi="宋体" w:cs="宋体"/>
          <w:b/>
          <w:bCs/>
          <w:szCs w:val="24"/>
        </w:rPr>
      </w:pPr>
      <w:r>
        <w:rPr>
          <w:rFonts w:hint="eastAsia" w:ascii="宋体" w:hAnsi="宋体" w:cs="宋体"/>
          <w:szCs w:val="24"/>
        </w:rPr>
        <w:t>供应商名称：</w:t>
      </w:r>
      <w:r>
        <w:rPr>
          <w:rFonts w:hint="eastAsia" w:ascii="宋体" w:hAnsi="宋体" w:cs="宋体"/>
          <w:szCs w:val="24"/>
          <w:u w:val="single"/>
        </w:rPr>
        <w:t xml:space="preserve">                        </w:t>
      </w:r>
      <w:r>
        <w:rPr>
          <w:rFonts w:hint="eastAsia" w:ascii="宋体" w:hAnsi="宋体" w:cs="宋体"/>
          <w:szCs w:val="24"/>
        </w:rPr>
        <w:t>（公章）   日 期：   年  月  日</w:t>
      </w:r>
    </w:p>
    <w:p>
      <w:pPr>
        <w:rPr>
          <w:rFonts w:ascii="宋体" w:hAnsi="宋体" w:cs="宋体"/>
          <w:b/>
          <w:bCs/>
          <w:szCs w:val="24"/>
        </w:rPr>
      </w:pPr>
      <w:r>
        <w:rPr>
          <w:rFonts w:hint="eastAsia" w:ascii="宋体" w:hAnsi="宋体" w:cs="宋体"/>
          <w:b/>
          <w:bCs/>
          <w:szCs w:val="24"/>
        </w:rPr>
        <w:br w:type="page"/>
      </w:r>
    </w:p>
    <w:p>
      <w:pPr>
        <w:spacing w:line="360" w:lineRule="auto"/>
        <w:ind w:left="240" w:leftChars="100"/>
        <w:jc w:val="center"/>
        <w:rPr>
          <w:rFonts w:ascii="宋体" w:hAnsi="宋体" w:cs="宋体"/>
          <w:b/>
          <w:bCs/>
          <w:szCs w:val="24"/>
        </w:rPr>
      </w:pPr>
      <w:r>
        <w:rPr>
          <w:rFonts w:hint="eastAsia" w:ascii="宋体" w:hAnsi="宋体" w:cs="宋体"/>
          <w:b/>
          <w:bCs/>
          <w:szCs w:val="24"/>
        </w:rPr>
        <w:t>4-2、法定代表人授权委托书</w:t>
      </w:r>
    </w:p>
    <w:tbl>
      <w:tblPr>
        <w:tblStyle w:val="20"/>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926"/>
        <w:gridCol w:w="563"/>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致：陕西致恒招标代理有限公司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被授</w:t>
            </w: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权项</w:t>
            </w: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目与</w:t>
            </w: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内容</w:t>
            </w:r>
          </w:p>
        </w:tc>
        <w:tc>
          <w:tcPr>
            <w:tcW w:w="1926" w:type="dxa"/>
          </w:tcPr>
          <w:p>
            <w:pPr>
              <w:tabs>
                <w:tab w:val="right" w:leader="dot" w:pos="9022"/>
              </w:tabs>
              <w:autoSpaceDE w:val="0"/>
              <w:autoSpaceDN w:val="0"/>
              <w:adjustRightInd w:val="0"/>
              <w:spacing w:line="360" w:lineRule="auto"/>
              <w:jc w:val="center"/>
              <w:rPr>
                <w:rFonts w:hint="default" w:ascii="宋体" w:hAnsi="宋体" w:eastAsia="宋体" w:cs="宋体"/>
                <w:bCs/>
                <w:caps/>
                <w:szCs w:val="24"/>
                <w:lang w:val="en-US" w:eastAsia="zh-CN"/>
              </w:rPr>
            </w:pPr>
            <w:r>
              <w:rPr>
                <w:rFonts w:hint="eastAsia" w:ascii="宋体" w:hAnsi="宋体" w:cs="宋体"/>
                <w:bCs/>
                <w:caps/>
                <w:szCs w:val="24"/>
              </w:rPr>
              <w:t>项目名称</w:t>
            </w:r>
          </w:p>
        </w:tc>
        <w:tc>
          <w:tcPr>
            <w:tcW w:w="6567" w:type="dxa"/>
            <w:gridSpan w:val="5"/>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宋体" w:hAnsi="宋体" w:cs="宋体"/>
                <w:bCs/>
                <w:caps/>
                <w:szCs w:val="24"/>
              </w:rPr>
            </w:pPr>
          </w:p>
        </w:tc>
        <w:tc>
          <w:tcPr>
            <w:tcW w:w="1926" w:type="dxa"/>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文件编号</w:t>
            </w:r>
          </w:p>
        </w:tc>
        <w:tc>
          <w:tcPr>
            <w:tcW w:w="6567" w:type="dxa"/>
            <w:gridSpan w:val="5"/>
          </w:tcPr>
          <w:p>
            <w:pPr>
              <w:tabs>
                <w:tab w:val="right" w:leader="dot" w:pos="9022"/>
              </w:tabs>
              <w:autoSpaceDE w:val="0"/>
              <w:autoSpaceDN w:val="0"/>
              <w:adjustRightInd w:val="0"/>
              <w:spacing w:line="360" w:lineRule="auto"/>
              <w:ind w:firstLine="1200" w:firstLineChars="500"/>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宋体" w:hAnsi="宋体" w:cs="宋体"/>
                <w:bCs/>
                <w:caps/>
                <w:szCs w:val="24"/>
              </w:rPr>
            </w:pPr>
          </w:p>
        </w:tc>
        <w:tc>
          <w:tcPr>
            <w:tcW w:w="1926"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授权范围</w:t>
            </w:r>
          </w:p>
        </w:tc>
        <w:tc>
          <w:tcPr>
            <w:tcW w:w="6567" w:type="dxa"/>
            <w:gridSpan w:val="5"/>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宋体" w:hAnsi="宋体" w:cs="宋体"/>
                <w:bCs/>
                <w:caps/>
                <w:szCs w:val="24"/>
              </w:rPr>
            </w:pPr>
          </w:p>
        </w:tc>
        <w:tc>
          <w:tcPr>
            <w:tcW w:w="1926" w:type="dxa"/>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法律责任</w:t>
            </w:r>
          </w:p>
        </w:tc>
        <w:tc>
          <w:tcPr>
            <w:tcW w:w="6567" w:type="dxa"/>
            <w:gridSpan w:val="5"/>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宋体" w:hAnsi="宋体" w:cs="宋体"/>
                <w:bCs/>
                <w:caps/>
                <w:szCs w:val="24"/>
              </w:rPr>
            </w:pPr>
          </w:p>
        </w:tc>
        <w:tc>
          <w:tcPr>
            <w:tcW w:w="1926"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授权期限</w:t>
            </w:r>
          </w:p>
        </w:tc>
        <w:tc>
          <w:tcPr>
            <w:tcW w:w="6567" w:type="dxa"/>
            <w:gridSpan w:val="5"/>
            <w:vAlign w:val="center"/>
          </w:tcPr>
          <w:p>
            <w:pPr>
              <w:tabs>
                <w:tab w:val="right" w:leader="dot" w:pos="9022"/>
              </w:tabs>
              <w:autoSpaceDE w:val="0"/>
              <w:autoSpaceDN w:val="0"/>
              <w:adjustRightInd w:val="0"/>
              <w:spacing w:line="360" w:lineRule="auto"/>
              <w:rPr>
                <w:rFonts w:ascii="宋体" w:hAnsi="宋体" w:cs="宋体"/>
                <w:bCs/>
                <w:caps/>
                <w:szCs w:val="24"/>
              </w:rPr>
            </w:pPr>
            <w:r>
              <w:rPr>
                <w:rFonts w:hint="eastAsia" w:ascii="宋体" w:hAnsi="宋体" w:cs="宋体"/>
                <w:bCs/>
                <w:caps/>
                <w:szCs w:val="24"/>
              </w:rPr>
              <w:t>本授权书</w:t>
            </w:r>
            <w:r>
              <w:rPr>
                <w:rFonts w:hint="eastAsia" w:ascii="宋体" w:hAnsi="宋体" w:cs="宋体"/>
                <w:szCs w:val="24"/>
              </w:rPr>
              <w:t>自提交响应文件的截止之日起</w:t>
            </w:r>
            <w:r>
              <w:rPr>
                <w:rFonts w:hint="eastAsia" w:ascii="宋体" w:hAnsi="宋体" w:cs="宋体"/>
                <w:szCs w:val="24"/>
                <w:u w:val="single"/>
              </w:rPr>
              <w:t xml:space="preserve">     </w:t>
            </w:r>
            <w:r>
              <w:rPr>
                <w:rFonts w:hint="eastAsia" w:ascii="宋体" w:hAnsi="宋体" w:cs="宋体"/>
                <w:szCs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企业信息</w:t>
            </w:r>
          </w:p>
        </w:tc>
        <w:tc>
          <w:tcPr>
            <w:tcW w:w="2489" w:type="dxa"/>
            <w:gridSpan w:val="2"/>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企 业 名 称</w:t>
            </w:r>
          </w:p>
        </w:tc>
        <w:tc>
          <w:tcPr>
            <w:tcW w:w="6004" w:type="dxa"/>
            <w:gridSpan w:val="4"/>
            <w:vAlign w:val="center"/>
          </w:tcPr>
          <w:p>
            <w:pPr>
              <w:tabs>
                <w:tab w:val="right" w:leader="dot" w:pos="9022"/>
              </w:tabs>
              <w:autoSpaceDE w:val="0"/>
              <w:autoSpaceDN w:val="0"/>
              <w:adjustRightInd w:val="0"/>
              <w:spacing w:line="360" w:lineRule="auto"/>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宋体" w:hAnsi="宋体" w:cs="宋体"/>
                <w:bCs/>
                <w:caps/>
                <w:szCs w:val="24"/>
              </w:rPr>
            </w:pPr>
          </w:p>
        </w:tc>
        <w:tc>
          <w:tcPr>
            <w:tcW w:w="2489" w:type="dxa"/>
            <w:gridSpan w:val="2"/>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法 定 地 址</w:t>
            </w:r>
          </w:p>
        </w:tc>
        <w:tc>
          <w:tcPr>
            <w:tcW w:w="6004" w:type="dxa"/>
            <w:gridSpan w:val="4"/>
            <w:vAlign w:val="center"/>
          </w:tcPr>
          <w:p>
            <w:pPr>
              <w:tabs>
                <w:tab w:val="right" w:leader="dot" w:pos="9022"/>
              </w:tabs>
              <w:autoSpaceDE w:val="0"/>
              <w:autoSpaceDN w:val="0"/>
              <w:adjustRightInd w:val="0"/>
              <w:spacing w:line="360" w:lineRule="auto"/>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宋体" w:hAnsi="宋体" w:cs="宋体"/>
                <w:bCs/>
                <w:caps/>
                <w:szCs w:val="24"/>
              </w:rPr>
            </w:pPr>
          </w:p>
        </w:tc>
        <w:tc>
          <w:tcPr>
            <w:tcW w:w="2489" w:type="dxa"/>
            <w:gridSpan w:val="2"/>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营业执照注册证号</w:t>
            </w:r>
          </w:p>
        </w:tc>
        <w:tc>
          <w:tcPr>
            <w:tcW w:w="6004" w:type="dxa"/>
            <w:gridSpan w:val="4"/>
            <w:vAlign w:val="center"/>
          </w:tcPr>
          <w:p>
            <w:pPr>
              <w:tabs>
                <w:tab w:val="right" w:leader="dot" w:pos="9022"/>
              </w:tabs>
              <w:autoSpaceDE w:val="0"/>
              <w:autoSpaceDN w:val="0"/>
              <w:adjustRightInd w:val="0"/>
              <w:spacing w:line="360" w:lineRule="auto"/>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360" w:lineRule="auto"/>
              <w:rPr>
                <w:rFonts w:ascii="宋体" w:hAnsi="宋体" w:cs="宋体"/>
                <w:bCs/>
                <w:caps/>
                <w:szCs w:val="24"/>
              </w:rPr>
            </w:pPr>
            <w:r>
              <w:rPr>
                <w:rFonts w:hint="eastAsia" w:ascii="宋体" w:hAnsi="宋体" w:cs="宋体"/>
                <w:bCs/>
                <w:caps/>
                <w:szCs w:val="24"/>
              </w:rPr>
              <w:t>法定代表人</w:t>
            </w:r>
          </w:p>
        </w:tc>
        <w:tc>
          <w:tcPr>
            <w:tcW w:w="1926"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姓名</w:t>
            </w:r>
          </w:p>
        </w:tc>
        <w:tc>
          <w:tcPr>
            <w:tcW w:w="2122" w:type="dxa"/>
            <w:gridSpan w:val="3"/>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1559"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性    别</w:t>
            </w:r>
          </w:p>
        </w:tc>
        <w:tc>
          <w:tcPr>
            <w:tcW w:w="2886"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360" w:lineRule="auto"/>
              <w:jc w:val="left"/>
              <w:rPr>
                <w:rFonts w:ascii="宋体" w:hAnsi="宋体" w:cs="宋体"/>
                <w:bCs/>
                <w:caps/>
                <w:szCs w:val="24"/>
              </w:rPr>
            </w:pPr>
          </w:p>
        </w:tc>
        <w:tc>
          <w:tcPr>
            <w:tcW w:w="1926"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职务</w:t>
            </w:r>
          </w:p>
        </w:tc>
        <w:tc>
          <w:tcPr>
            <w:tcW w:w="2122" w:type="dxa"/>
            <w:gridSpan w:val="3"/>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1559"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手机号码</w:t>
            </w:r>
          </w:p>
        </w:tc>
        <w:tc>
          <w:tcPr>
            <w:tcW w:w="2886" w:type="dxa"/>
            <w:vAlign w:val="center"/>
          </w:tcPr>
          <w:p>
            <w:pPr>
              <w:tabs>
                <w:tab w:val="right" w:leader="dot" w:pos="9022"/>
              </w:tabs>
              <w:autoSpaceDE w:val="0"/>
              <w:autoSpaceDN w:val="0"/>
              <w:adjustRightInd w:val="0"/>
              <w:spacing w:line="360" w:lineRule="auto"/>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被授权人</w:t>
            </w:r>
          </w:p>
        </w:tc>
        <w:tc>
          <w:tcPr>
            <w:tcW w:w="1926"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姓名</w:t>
            </w:r>
          </w:p>
        </w:tc>
        <w:tc>
          <w:tcPr>
            <w:tcW w:w="2122" w:type="dxa"/>
            <w:gridSpan w:val="3"/>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1559"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性    别</w:t>
            </w:r>
          </w:p>
        </w:tc>
        <w:tc>
          <w:tcPr>
            <w:tcW w:w="2886"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360" w:lineRule="auto"/>
              <w:jc w:val="left"/>
              <w:rPr>
                <w:rFonts w:ascii="宋体" w:hAnsi="宋体" w:cs="宋体"/>
                <w:bCs/>
                <w:caps/>
                <w:szCs w:val="24"/>
              </w:rPr>
            </w:pPr>
          </w:p>
        </w:tc>
        <w:tc>
          <w:tcPr>
            <w:tcW w:w="1926"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职务</w:t>
            </w:r>
          </w:p>
        </w:tc>
        <w:tc>
          <w:tcPr>
            <w:tcW w:w="2122" w:type="dxa"/>
            <w:gridSpan w:val="3"/>
            <w:vAlign w:val="center"/>
          </w:tcPr>
          <w:p>
            <w:pPr>
              <w:tabs>
                <w:tab w:val="right" w:leader="dot" w:pos="9022"/>
              </w:tabs>
              <w:autoSpaceDE w:val="0"/>
              <w:autoSpaceDN w:val="0"/>
              <w:adjustRightInd w:val="0"/>
              <w:spacing w:line="360" w:lineRule="auto"/>
              <w:jc w:val="center"/>
              <w:rPr>
                <w:rFonts w:ascii="宋体" w:hAnsi="宋体" w:cs="宋体"/>
                <w:bCs/>
                <w:caps/>
                <w:szCs w:val="24"/>
              </w:rPr>
            </w:pPr>
          </w:p>
        </w:tc>
        <w:tc>
          <w:tcPr>
            <w:tcW w:w="1559" w:type="dxa"/>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手机号码</w:t>
            </w:r>
          </w:p>
        </w:tc>
        <w:tc>
          <w:tcPr>
            <w:tcW w:w="2886" w:type="dxa"/>
          </w:tcPr>
          <w:p>
            <w:pPr>
              <w:tabs>
                <w:tab w:val="right" w:leader="dot" w:pos="9022"/>
              </w:tabs>
              <w:autoSpaceDE w:val="0"/>
              <w:autoSpaceDN w:val="0"/>
              <w:adjustRightInd w:val="0"/>
              <w:spacing w:line="360" w:lineRule="auto"/>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通讯地址</w:t>
            </w:r>
          </w:p>
        </w:tc>
        <w:tc>
          <w:tcPr>
            <w:tcW w:w="8493" w:type="dxa"/>
            <w:gridSpan w:val="6"/>
          </w:tcPr>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4899" w:type="dxa"/>
            <w:gridSpan w:val="4"/>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法定代表人身份证复印件</w:t>
            </w:r>
          </w:p>
          <w:p>
            <w:pPr>
              <w:tabs>
                <w:tab w:val="right" w:leader="dot" w:pos="9022"/>
              </w:tabs>
              <w:autoSpaceDE w:val="0"/>
              <w:autoSpaceDN w:val="0"/>
              <w:adjustRightInd w:val="0"/>
              <w:spacing w:line="360" w:lineRule="auto"/>
              <w:jc w:val="left"/>
              <w:rPr>
                <w:rFonts w:ascii="宋体" w:hAnsi="宋体" w:cs="宋体"/>
                <w:bCs/>
                <w:caps/>
                <w:szCs w:val="24"/>
              </w:rPr>
            </w:pP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二代身份证两面都需复印</w:t>
            </w: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（粘贴处）</w:t>
            </w:r>
          </w:p>
          <w:p>
            <w:pPr>
              <w:tabs>
                <w:tab w:val="right" w:leader="dot" w:pos="9022"/>
              </w:tabs>
              <w:autoSpaceDE w:val="0"/>
              <w:autoSpaceDN w:val="0"/>
              <w:adjustRightInd w:val="0"/>
              <w:spacing w:line="360" w:lineRule="auto"/>
              <w:jc w:val="left"/>
              <w:rPr>
                <w:rFonts w:ascii="宋体" w:hAnsi="宋体" w:cs="宋体"/>
                <w:bCs/>
                <w:caps/>
                <w:szCs w:val="24"/>
              </w:rPr>
            </w:pPr>
          </w:p>
        </w:tc>
        <w:tc>
          <w:tcPr>
            <w:tcW w:w="5296" w:type="dxa"/>
            <w:gridSpan w:val="3"/>
            <w:vAlign w:val="center"/>
          </w:tcPr>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被授权人身份证复印件</w:t>
            </w:r>
          </w:p>
          <w:p>
            <w:pPr>
              <w:tabs>
                <w:tab w:val="right" w:leader="dot" w:pos="9022"/>
              </w:tabs>
              <w:autoSpaceDE w:val="0"/>
              <w:autoSpaceDN w:val="0"/>
              <w:adjustRightInd w:val="0"/>
              <w:spacing w:line="360" w:lineRule="auto"/>
              <w:jc w:val="left"/>
              <w:rPr>
                <w:rFonts w:ascii="宋体" w:hAnsi="宋体" w:cs="宋体"/>
                <w:bCs/>
                <w:caps/>
                <w:szCs w:val="24"/>
              </w:rPr>
            </w:pP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二代身份证两面都需复印</w:t>
            </w:r>
          </w:p>
          <w:p>
            <w:pPr>
              <w:tabs>
                <w:tab w:val="right" w:leader="dot" w:pos="9022"/>
              </w:tabs>
              <w:autoSpaceDE w:val="0"/>
              <w:autoSpaceDN w:val="0"/>
              <w:adjustRightInd w:val="0"/>
              <w:spacing w:line="360" w:lineRule="auto"/>
              <w:jc w:val="center"/>
              <w:rPr>
                <w:rFonts w:ascii="宋体" w:hAnsi="宋体" w:cs="宋体"/>
                <w:bCs/>
                <w:caps/>
                <w:szCs w:val="24"/>
              </w:rPr>
            </w:pPr>
            <w:r>
              <w:rPr>
                <w:rFonts w:hint="eastAsia" w:ascii="宋体" w:hAnsi="宋体" w:cs="宋体"/>
                <w:bCs/>
                <w:caps/>
                <w:szCs w:val="24"/>
              </w:rPr>
              <w:t>（粘贴处）</w:t>
            </w:r>
          </w:p>
          <w:p>
            <w:pPr>
              <w:tabs>
                <w:tab w:val="right" w:leader="dot" w:pos="9022"/>
              </w:tabs>
              <w:autoSpaceDE w:val="0"/>
              <w:autoSpaceDN w:val="0"/>
              <w:adjustRightInd w:val="0"/>
              <w:spacing w:line="360" w:lineRule="auto"/>
              <w:jc w:val="left"/>
              <w:rPr>
                <w:rFonts w:ascii="宋体" w:hAnsi="宋体" w:cs="宋体"/>
                <w:bCs/>
                <w:cap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360" w:lineRule="auto"/>
              <w:jc w:val="left"/>
              <w:rPr>
                <w:rFonts w:ascii="宋体" w:hAnsi="宋体" w:cs="宋体"/>
                <w:bCs/>
                <w:caps/>
                <w:szCs w:val="24"/>
              </w:rPr>
            </w:pPr>
            <w:r>
              <w:rPr>
                <w:rFonts w:hint="eastAsia" w:ascii="宋体" w:hAnsi="宋体" w:cs="宋体"/>
                <w:bCs/>
                <w:caps/>
                <w:szCs w:val="24"/>
              </w:rPr>
              <w:t>法定代表人及被授权人签字或盖章：</w:t>
            </w:r>
          </w:p>
        </w:tc>
      </w:tr>
      <w:bookmarkEnd w:id="93"/>
      <w:bookmarkEnd w:id="94"/>
      <w:bookmarkEnd w:id="95"/>
      <w:bookmarkEnd w:id="96"/>
      <w:bookmarkEnd w:id="97"/>
      <w:bookmarkEnd w:id="98"/>
      <w:bookmarkEnd w:id="99"/>
      <w:bookmarkEnd w:id="100"/>
      <w:bookmarkEnd w:id="101"/>
      <w:bookmarkEnd w:id="102"/>
    </w:tbl>
    <w:p>
      <w:pPr>
        <w:autoSpaceDE w:val="0"/>
        <w:autoSpaceDN w:val="0"/>
        <w:adjustRightInd w:val="0"/>
        <w:snapToGrid w:val="0"/>
        <w:spacing w:line="360" w:lineRule="auto"/>
        <w:rPr>
          <w:rFonts w:ascii="宋体" w:hAnsi="宋体" w:cs="宋体"/>
          <w:bCs/>
          <w:caps/>
          <w:szCs w:val="24"/>
        </w:rPr>
      </w:pPr>
      <w:r>
        <w:rPr>
          <w:rFonts w:hint="eastAsia" w:ascii="宋体" w:hAnsi="宋体" w:cs="宋体"/>
          <w:szCs w:val="24"/>
        </w:rPr>
        <w:t>供应商名称</w:t>
      </w:r>
      <w:r>
        <w:rPr>
          <w:rFonts w:hint="eastAsia" w:ascii="宋体" w:hAnsi="宋体" w:cs="宋体"/>
          <w:bCs/>
          <w:caps/>
          <w:szCs w:val="24"/>
        </w:rPr>
        <w:t>：</w:t>
      </w:r>
      <w:r>
        <w:rPr>
          <w:rFonts w:hint="eastAsia" w:ascii="宋体" w:hAnsi="宋体" w:cs="宋体"/>
          <w:bCs/>
          <w:caps/>
          <w:szCs w:val="24"/>
          <w:u w:val="single"/>
        </w:rPr>
        <w:t xml:space="preserve">             </w:t>
      </w:r>
      <w:r>
        <w:rPr>
          <w:rFonts w:hint="eastAsia" w:ascii="宋体" w:hAnsi="宋体" w:cs="宋体"/>
          <w:bCs/>
          <w:caps/>
          <w:szCs w:val="24"/>
        </w:rPr>
        <w:t>（公章）     日 期：    年   月   日</w:t>
      </w:r>
    </w:p>
    <w:p>
      <w:pPr>
        <w:spacing w:line="360" w:lineRule="auto"/>
        <w:rPr>
          <w:rFonts w:ascii="宋体" w:hAnsi="宋体" w:cs="宋体"/>
          <w:szCs w:val="24"/>
        </w:rPr>
      </w:pPr>
    </w:p>
    <w:p>
      <w:pPr>
        <w:widowControl/>
        <w:spacing w:line="360" w:lineRule="auto"/>
        <w:jc w:val="left"/>
        <w:rPr>
          <w:rFonts w:hint="eastAsia" w:ascii="宋体" w:hAnsi="宋体" w:cs="宋体"/>
          <w:b/>
          <w:sz w:val="28"/>
          <w:szCs w:val="28"/>
        </w:rPr>
      </w:pPr>
    </w:p>
    <w:p>
      <w:pPr>
        <w:widowControl/>
        <w:spacing w:line="360" w:lineRule="auto"/>
        <w:jc w:val="left"/>
        <w:rPr>
          <w:rFonts w:hint="eastAsia" w:ascii="宋体" w:hAnsi="宋体" w:cs="宋体"/>
          <w:b/>
          <w:sz w:val="28"/>
          <w:szCs w:val="28"/>
        </w:rPr>
      </w:pPr>
    </w:p>
    <w:p>
      <w:pPr>
        <w:widowControl/>
        <w:spacing w:line="360" w:lineRule="auto"/>
        <w:jc w:val="left"/>
        <w:rPr>
          <w:rFonts w:ascii="宋体" w:hAnsi="宋体" w:cs="宋体"/>
          <w:b/>
          <w:sz w:val="28"/>
          <w:szCs w:val="28"/>
        </w:rPr>
      </w:pPr>
      <w:r>
        <w:rPr>
          <w:rFonts w:hint="eastAsia" w:ascii="宋体" w:hAnsi="宋体" w:cs="宋体"/>
          <w:b/>
          <w:sz w:val="28"/>
          <w:szCs w:val="28"/>
        </w:rPr>
        <w:t>附件5：</w:t>
      </w:r>
    </w:p>
    <w:p>
      <w:pPr>
        <w:jc w:val="center"/>
        <w:rPr>
          <w:rFonts w:ascii="宋体" w:hAnsi="宋体" w:cs="宋体"/>
          <w:szCs w:val="24"/>
        </w:rPr>
      </w:pPr>
      <w:r>
        <w:rPr>
          <w:rFonts w:hint="eastAsia" w:ascii="宋体" w:hAnsi="宋体" w:cs="宋体"/>
          <w:b/>
          <w:bCs/>
          <w:szCs w:val="24"/>
        </w:rPr>
        <w:t>中小企业声明函</w:t>
      </w:r>
    </w:p>
    <w:p>
      <w:pPr>
        <w:rPr>
          <w:rFonts w:ascii="宋体" w:hAnsi="宋体" w:cs="宋体"/>
          <w:sz w:val="28"/>
          <w:szCs w:val="28"/>
        </w:rPr>
      </w:pPr>
    </w:p>
    <w:p>
      <w:pPr>
        <w:spacing w:line="360" w:lineRule="auto"/>
        <w:ind w:firstLine="480" w:firstLineChars="200"/>
        <w:rPr>
          <w:rFonts w:ascii="宋体" w:hAnsi="宋体" w:cs="宋体"/>
          <w:szCs w:val="24"/>
        </w:rPr>
      </w:pPr>
      <w:r>
        <w:rPr>
          <w:rFonts w:hint="eastAsia" w:ascii="宋体" w:hAnsi="宋体" w:cs="宋体"/>
          <w:szCs w:val="24"/>
        </w:rPr>
        <w:t>本公司郑重声明，根据《政府采购促进中小企业发展管理办法》（财库[2020]46号）的规定，本公司参加</w:t>
      </w:r>
      <w:r>
        <w:rPr>
          <w:rFonts w:hint="eastAsia" w:ascii="宋体" w:hAnsi="宋体" w:cs="宋体"/>
          <w:szCs w:val="24"/>
          <w:u w:val="single"/>
        </w:rPr>
        <w:t xml:space="preserve">  （单位名称）  </w:t>
      </w:r>
      <w:r>
        <w:rPr>
          <w:rFonts w:hint="eastAsia" w:ascii="宋体" w:hAnsi="宋体" w:cs="宋体"/>
          <w:szCs w:val="24"/>
        </w:rPr>
        <w:t>的</w:t>
      </w:r>
      <w:r>
        <w:rPr>
          <w:rFonts w:hint="eastAsia" w:ascii="宋体" w:hAnsi="宋体" w:cs="宋体"/>
          <w:szCs w:val="24"/>
          <w:u w:val="single"/>
        </w:rPr>
        <w:t xml:space="preserve">   （项目名称）    </w:t>
      </w:r>
      <w:r>
        <w:rPr>
          <w:rFonts w:hint="eastAsia" w:ascii="宋体" w:hAnsi="宋体" w:cs="宋体"/>
          <w:szCs w:val="24"/>
        </w:rPr>
        <w:t>采购活动，服务全部由符合政策要求的中小企业承接。相关企业的具体情况如下：</w:t>
      </w:r>
    </w:p>
    <w:p>
      <w:pPr>
        <w:spacing w:line="360" w:lineRule="auto"/>
        <w:ind w:firstLine="420"/>
        <w:rPr>
          <w:rFonts w:ascii="宋体" w:hAnsi="宋体" w:cs="宋体"/>
          <w:szCs w:val="24"/>
        </w:rPr>
      </w:pPr>
      <w:r>
        <w:rPr>
          <w:rFonts w:hint="eastAsia" w:ascii="宋体" w:hAnsi="宋体" w:cs="宋体"/>
          <w:szCs w:val="24"/>
          <w:u w:val="single"/>
        </w:rPr>
        <w:t xml:space="preserve"> （项目名称）</w:t>
      </w:r>
      <w:r>
        <w:rPr>
          <w:rFonts w:hint="eastAsia" w:ascii="宋体" w:hAnsi="宋体" w:cs="宋体"/>
          <w:szCs w:val="24"/>
        </w:rPr>
        <w:t xml:space="preserve"> ，属于</w:t>
      </w:r>
      <w:r>
        <w:rPr>
          <w:rFonts w:hint="eastAsia" w:ascii="宋体" w:hAnsi="宋体" w:cs="宋体"/>
          <w:szCs w:val="24"/>
          <w:highlight w:val="none"/>
          <w:u w:val="single"/>
          <w:lang w:val="en-US" w:eastAsia="zh-CN"/>
        </w:rPr>
        <w:t>软件和信息技术服务业</w:t>
      </w:r>
      <w:r>
        <w:rPr>
          <w:rFonts w:hint="eastAsia" w:ascii="宋体" w:hAnsi="宋体" w:cs="宋体"/>
          <w:szCs w:val="24"/>
        </w:rPr>
        <w:t>承接企业为</w:t>
      </w:r>
      <w:r>
        <w:rPr>
          <w:rFonts w:hint="eastAsia" w:ascii="宋体" w:hAnsi="宋体" w:cs="宋体"/>
          <w:szCs w:val="24"/>
          <w:u w:val="single"/>
        </w:rPr>
        <w:t>（企业名称）</w:t>
      </w:r>
      <w:r>
        <w:rPr>
          <w:rFonts w:hint="eastAsia" w:ascii="宋体" w:hAnsi="宋体" w:cs="宋体"/>
          <w:szCs w:val="24"/>
        </w:rPr>
        <w:t>，从业人员</w:t>
      </w:r>
      <w:r>
        <w:rPr>
          <w:rFonts w:hint="eastAsia" w:ascii="宋体" w:hAnsi="宋体" w:cs="宋体"/>
          <w:szCs w:val="24"/>
          <w:u w:val="single"/>
        </w:rPr>
        <w:t xml:space="preserve">    </w:t>
      </w:r>
      <w:r>
        <w:rPr>
          <w:rFonts w:hint="eastAsia" w:ascii="宋体" w:hAnsi="宋体" w:cs="宋体"/>
          <w:szCs w:val="24"/>
        </w:rPr>
        <w:t>人，营业 收入为</w:t>
      </w:r>
      <w:r>
        <w:rPr>
          <w:rFonts w:hint="eastAsia" w:ascii="宋体" w:hAnsi="宋体" w:cs="宋体"/>
          <w:szCs w:val="24"/>
          <w:u w:val="single"/>
        </w:rPr>
        <w:t xml:space="preserve">    </w:t>
      </w:r>
      <w:r>
        <w:rPr>
          <w:rFonts w:hint="eastAsia" w:ascii="宋体" w:hAnsi="宋体" w:cs="宋体"/>
          <w:szCs w:val="24"/>
        </w:rPr>
        <w:t>万元，资产总额为</w:t>
      </w:r>
      <w:r>
        <w:rPr>
          <w:rFonts w:hint="eastAsia" w:ascii="宋体" w:hAnsi="宋体" w:cs="宋体"/>
          <w:szCs w:val="24"/>
          <w:u w:val="single"/>
        </w:rPr>
        <w:t xml:space="preserve">    </w:t>
      </w:r>
      <w:r>
        <w:rPr>
          <w:rFonts w:hint="eastAsia" w:ascii="宋体" w:hAnsi="宋体" w:cs="宋体"/>
          <w:szCs w:val="24"/>
        </w:rPr>
        <w:t>万元，属于</w:t>
      </w:r>
      <w:r>
        <w:rPr>
          <w:rFonts w:hint="eastAsia" w:ascii="宋体" w:hAnsi="宋体" w:cs="宋体"/>
          <w:szCs w:val="24"/>
          <w:u w:val="single"/>
        </w:rPr>
        <w:t>（中型企业、 小型企业、微型企业）</w:t>
      </w:r>
      <w:r>
        <w:rPr>
          <w:rFonts w:hint="eastAsia" w:ascii="宋体" w:hAnsi="宋体" w:cs="宋体"/>
          <w:szCs w:val="24"/>
        </w:rPr>
        <w:t>；</w:t>
      </w:r>
    </w:p>
    <w:p>
      <w:pPr>
        <w:pStyle w:val="16"/>
      </w:pPr>
      <w:r>
        <w:rPr>
          <w:rFonts w:hint="eastAsia" w:ascii="宋体" w:hAnsi="宋体" w:cs="宋体"/>
          <w:szCs w:val="24"/>
        </w:rPr>
        <w:t>......</w:t>
      </w:r>
    </w:p>
    <w:p>
      <w:pPr>
        <w:pStyle w:val="16"/>
        <w:spacing w:line="360" w:lineRule="auto"/>
        <w:ind w:firstLine="480"/>
        <w:rPr>
          <w:rFonts w:ascii="宋体" w:hAnsi="宋体" w:cs="宋体"/>
          <w:szCs w:val="24"/>
        </w:rPr>
      </w:pPr>
    </w:p>
    <w:p>
      <w:pPr>
        <w:pStyle w:val="16"/>
        <w:spacing w:line="360" w:lineRule="auto"/>
        <w:ind w:firstLine="480"/>
        <w:rPr>
          <w:rFonts w:ascii="宋体" w:hAnsi="宋体" w:cs="宋体"/>
          <w:szCs w:val="24"/>
        </w:rPr>
      </w:pPr>
      <w:r>
        <w:rPr>
          <w:rFonts w:ascii="宋体" w:hAnsi="宋体" w:cs="宋体"/>
          <w:szCs w:val="24"/>
        </w:rPr>
        <w:t>以上企业，不属于大企业的分支机构，不存在控股股东为大企业的情形，也不存在与大企业的负责人为同一人的情形。</w:t>
      </w:r>
    </w:p>
    <w:p>
      <w:pPr>
        <w:spacing w:line="360" w:lineRule="auto"/>
        <w:ind w:firstLine="420"/>
        <w:rPr>
          <w:rFonts w:ascii="宋体" w:hAnsi="宋体" w:cs="宋体"/>
          <w:szCs w:val="24"/>
        </w:rPr>
      </w:pPr>
      <w:r>
        <w:rPr>
          <w:rFonts w:hint="eastAsia" w:ascii="宋体" w:hAnsi="宋体" w:cs="宋体"/>
          <w:szCs w:val="24"/>
        </w:rPr>
        <w:t>本企业对上述声明的真实性负责。如有虚假，将依法承担相应责任。</w:t>
      </w:r>
    </w:p>
    <w:p>
      <w:pPr>
        <w:spacing w:line="360" w:lineRule="auto"/>
        <w:rPr>
          <w:rFonts w:ascii="宋体" w:hAnsi="宋体" w:cs="宋体"/>
          <w:szCs w:val="24"/>
        </w:rPr>
      </w:pPr>
    </w:p>
    <w:p>
      <w:pPr>
        <w:tabs>
          <w:tab w:val="left" w:pos="4860"/>
        </w:tabs>
        <w:spacing w:line="360" w:lineRule="auto"/>
        <w:ind w:right="1560" w:firstLine="480" w:firstLineChars="200"/>
        <w:jc w:val="center"/>
        <w:rPr>
          <w:rFonts w:ascii="宋体" w:hAnsi="宋体" w:cstheme="minorBidi"/>
          <w:szCs w:val="24"/>
        </w:rPr>
      </w:pPr>
      <w:r>
        <w:rPr>
          <w:rFonts w:hint="eastAsia" w:ascii="宋体" w:hAnsi="宋体"/>
          <w:szCs w:val="24"/>
        </w:rPr>
        <w:t xml:space="preserve">                               企业名称（盖章）： </w:t>
      </w:r>
    </w:p>
    <w:p>
      <w:pPr>
        <w:spacing w:line="360" w:lineRule="auto"/>
        <w:ind w:firstLine="4920" w:firstLineChars="2050"/>
        <w:rPr>
          <w:rFonts w:ascii="宋体" w:hAnsi="宋体" w:cs="宋体"/>
          <w:i/>
          <w:iCs/>
          <w:szCs w:val="24"/>
          <w:u w:val="single"/>
        </w:rPr>
      </w:pPr>
      <w:r>
        <w:rPr>
          <w:rFonts w:hint="eastAsia" w:ascii="宋体" w:hAnsi="宋体"/>
          <w:szCs w:val="24"/>
        </w:rPr>
        <w:t>日期：</w:t>
      </w:r>
    </w:p>
    <w:p>
      <w:pPr>
        <w:spacing w:line="360" w:lineRule="auto"/>
        <w:ind w:firstLine="480" w:firstLineChars="200"/>
        <w:jc w:val="left"/>
        <w:rPr>
          <w:rFonts w:ascii="宋体" w:hAnsi="宋体"/>
          <w:szCs w:val="24"/>
        </w:rPr>
      </w:pPr>
    </w:p>
    <w:p>
      <w:pPr>
        <w:spacing w:line="360" w:lineRule="auto"/>
        <w:ind w:firstLine="480" w:firstLineChars="200"/>
        <w:jc w:val="left"/>
        <w:rPr>
          <w:rFonts w:ascii="宋体" w:hAnsi="宋体"/>
          <w:szCs w:val="24"/>
        </w:rPr>
      </w:pPr>
    </w:p>
    <w:p>
      <w:pPr>
        <w:spacing w:line="360" w:lineRule="auto"/>
        <w:ind w:firstLine="480" w:firstLineChars="200"/>
        <w:jc w:val="left"/>
        <w:rPr>
          <w:rFonts w:ascii="宋体" w:hAnsi="宋体"/>
          <w:szCs w:val="24"/>
        </w:rPr>
      </w:pPr>
      <w:r>
        <w:rPr>
          <w:rFonts w:hint="eastAsia" w:ascii="宋体" w:hAnsi="宋体"/>
          <w:szCs w:val="24"/>
        </w:rPr>
        <w:t>备注：</w:t>
      </w:r>
    </w:p>
    <w:p>
      <w:pPr>
        <w:spacing w:line="360" w:lineRule="auto"/>
        <w:ind w:firstLine="480" w:firstLineChars="200"/>
        <w:jc w:val="left"/>
        <w:rPr>
          <w:rFonts w:ascii="宋体" w:hAnsi="宋体"/>
          <w:szCs w:val="24"/>
        </w:rPr>
      </w:pPr>
      <w:r>
        <w:rPr>
          <w:rFonts w:hint="eastAsia" w:ascii="宋体" w:hAnsi="宋体"/>
          <w:szCs w:val="24"/>
        </w:rPr>
        <w:t>1、填写前请认真阅读《工业和信息化部、国家统计局、国家发展和改革委员会、财政部关于印发中小企业划型标准规定的通知》（工信部联企业[2011]300号）和《政府采购促进中小企业发展管理办法》（财库〔2020〕46号）相关规定。</w:t>
      </w:r>
    </w:p>
    <w:p>
      <w:pPr>
        <w:spacing w:line="360" w:lineRule="auto"/>
        <w:ind w:firstLine="480" w:firstLineChars="200"/>
        <w:jc w:val="left"/>
        <w:rPr>
          <w:rFonts w:ascii="宋体" w:hAnsi="宋体"/>
          <w:szCs w:val="24"/>
        </w:rPr>
      </w:pPr>
      <w:r>
        <w:rPr>
          <w:rFonts w:hint="eastAsia" w:ascii="宋体" w:hAnsi="宋体"/>
          <w:szCs w:val="24"/>
        </w:rPr>
        <w:t>2、在货物采购项目中，不对其中涉及的服务的承接商作出要求；在工程采购项目中，不对其中涉及的货物的制造商和服务的承接商作出要求；在服务采购项目中，不对其中涉及的货物的制造商作出要求。</w:t>
      </w:r>
    </w:p>
    <w:p>
      <w:pPr>
        <w:spacing w:line="360" w:lineRule="auto"/>
        <w:ind w:firstLine="480" w:firstLineChars="200"/>
        <w:jc w:val="left"/>
        <w:rPr>
          <w:rFonts w:ascii="宋体" w:hAnsi="宋体"/>
          <w:szCs w:val="24"/>
        </w:rPr>
      </w:pPr>
      <w:r>
        <w:rPr>
          <w:rFonts w:hint="eastAsia" w:ascii="宋体" w:hAnsi="宋体"/>
          <w:szCs w:val="24"/>
        </w:rPr>
        <w:t>3、供应商提供的产品为不同制造商的，需按以上格式填写所有投标产品的制造商。（货物采购项目）</w:t>
      </w:r>
    </w:p>
    <w:p>
      <w:pPr>
        <w:spacing w:line="360" w:lineRule="auto"/>
        <w:ind w:firstLine="480" w:firstLineChars="200"/>
        <w:jc w:val="left"/>
        <w:rPr>
          <w:rFonts w:ascii="宋体" w:hAnsi="宋体"/>
          <w:b/>
          <w:sz w:val="44"/>
          <w:szCs w:val="44"/>
        </w:rPr>
      </w:pPr>
      <w:r>
        <w:rPr>
          <w:rFonts w:hint="eastAsia" w:ascii="宋体" w:hAnsi="宋体"/>
          <w:szCs w:val="24"/>
        </w:rPr>
        <w:t>4、供应商为非中小企业的，可不填写此表。</w:t>
      </w:r>
    </w:p>
    <w:p>
      <w:pPr>
        <w:widowControl/>
        <w:spacing w:line="360" w:lineRule="auto"/>
        <w:jc w:val="left"/>
        <w:rPr>
          <w:rFonts w:ascii="宋体" w:hAnsi="宋体" w:cs="宋体"/>
          <w:b/>
          <w:sz w:val="28"/>
          <w:szCs w:val="28"/>
        </w:rPr>
      </w:pPr>
      <w:r>
        <w:rPr>
          <w:rFonts w:hint="eastAsia" w:ascii="宋体" w:hAnsi="宋体" w:cs="宋体"/>
          <w:b/>
          <w:sz w:val="28"/>
          <w:szCs w:val="28"/>
        </w:rPr>
        <w:br w:type="page"/>
      </w:r>
      <w:bookmarkStart w:id="103" w:name="_Toc25357"/>
      <w:r>
        <w:rPr>
          <w:rFonts w:hint="eastAsia" w:ascii="宋体" w:hAnsi="宋体" w:cs="宋体"/>
          <w:b/>
          <w:sz w:val="28"/>
          <w:szCs w:val="28"/>
        </w:rPr>
        <w:t>附件6：</w:t>
      </w:r>
    </w:p>
    <w:p>
      <w:pPr>
        <w:widowControl/>
        <w:spacing w:line="360" w:lineRule="auto"/>
        <w:jc w:val="center"/>
        <w:rPr>
          <w:rFonts w:ascii="宋体" w:hAnsi="宋体" w:cs="宋体"/>
          <w:b/>
          <w:sz w:val="28"/>
          <w:szCs w:val="28"/>
        </w:rPr>
      </w:pPr>
      <w:r>
        <w:rPr>
          <w:rFonts w:hint="eastAsia" w:ascii="宋体" w:hAnsi="宋体" w:cs="宋体"/>
          <w:b/>
          <w:sz w:val="28"/>
          <w:szCs w:val="28"/>
        </w:rPr>
        <w:t>“节能产品”、“环境标志产品”证明材料</w:t>
      </w:r>
      <w:bookmarkEnd w:id="103"/>
      <w:r>
        <w:rPr>
          <w:rFonts w:hint="eastAsia" w:ascii="宋体" w:hAnsi="宋体" w:cs="宋体"/>
          <w:b/>
          <w:sz w:val="28"/>
          <w:szCs w:val="28"/>
        </w:rPr>
        <w:t>（如有）</w:t>
      </w:r>
    </w:p>
    <w:p>
      <w:pPr>
        <w:spacing w:line="360" w:lineRule="auto"/>
        <w:rPr>
          <w:rFonts w:ascii="宋体" w:hAnsi="宋体" w:cs="宋体"/>
          <w:sz w:val="21"/>
          <w:szCs w:val="21"/>
        </w:rPr>
      </w:pPr>
    </w:p>
    <w:p>
      <w:pPr>
        <w:adjustRightInd w:val="0"/>
        <w:snapToGrid w:val="0"/>
        <w:spacing w:line="360" w:lineRule="auto"/>
        <w:rPr>
          <w:rFonts w:ascii="宋体" w:hAnsi="宋体" w:cs="宋体"/>
          <w:szCs w:val="24"/>
        </w:rPr>
      </w:pPr>
      <w:r>
        <w:rPr>
          <w:rFonts w:hint="eastAsia" w:ascii="宋体" w:hAnsi="宋体" w:cs="宋体"/>
          <w:szCs w:val="24"/>
        </w:rPr>
        <w:t>说明：1、投标人提供的产品属于下列情形，应按第三章评标办法第4.2.2款规定提供相关证明材料(清单或目录所在页复印件)，并在《货物分项报价表》中提供相应数据。</w:t>
      </w:r>
    </w:p>
    <w:p>
      <w:pPr>
        <w:adjustRightInd w:val="0"/>
        <w:snapToGrid w:val="0"/>
        <w:spacing w:line="360" w:lineRule="auto"/>
        <w:rPr>
          <w:rFonts w:ascii="宋体" w:hAnsi="宋体" w:cs="宋体"/>
          <w:bCs/>
          <w:szCs w:val="24"/>
        </w:rPr>
      </w:pPr>
      <w:r>
        <w:rPr>
          <w:rFonts w:hint="eastAsia" w:ascii="宋体" w:hAnsi="宋体" w:cs="宋体"/>
          <w:bCs/>
          <w:szCs w:val="24"/>
        </w:rPr>
        <w:t>（1）符合</w:t>
      </w:r>
      <w:r>
        <w:rPr>
          <w:rFonts w:hint="eastAsia" w:ascii="宋体" w:hAnsi="宋体" w:cs="宋体"/>
          <w:szCs w:val="24"/>
        </w:rPr>
        <w:t>政府采购强制采购政策的(《节能产品政府采购清单》中标记★符号节能产品及其他强制采购产品)；</w:t>
      </w:r>
    </w:p>
    <w:p>
      <w:pPr>
        <w:adjustRightInd w:val="0"/>
        <w:snapToGrid w:val="0"/>
        <w:spacing w:line="360" w:lineRule="auto"/>
        <w:rPr>
          <w:rFonts w:ascii="宋体" w:hAnsi="宋体" w:cs="宋体"/>
          <w:bCs/>
          <w:szCs w:val="24"/>
        </w:rPr>
      </w:pPr>
      <w:r>
        <w:rPr>
          <w:rFonts w:hint="eastAsia" w:ascii="宋体" w:hAnsi="宋体" w:cs="宋体"/>
          <w:bCs/>
          <w:szCs w:val="24"/>
        </w:rPr>
        <w:t>（2）符合</w:t>
      </w:r>
      <w:r>
        <w:rPr>
          <w:rFonts w:hint="eastAsia" w:ascii="宋体" w:hAnsi="宋体" w:cs="宋体"/>
          <w:szCs w:val="24"/>
        </w:rPr>
        <w:t>政府采购优先采购政策的(《节能产品政府采购清单》中非标记★符号节能产品，《环境标志产品政府采购清单》中环境标志</w:t>
      </w:r>
      <w:r>
        <w:rPr>
          <w:rFonts w:hint="eastAsia" w:ascii="宋体" w:hAnsi="宋体" w:cs="宋体"/>
          <w:bCs/>
          <w:szCs w:val="24"/>
        </w:rPr>
        <w:t>产品</w:t>
      </w:r>
      <w:r>
        <w:rPr>
          <w:rFonts w:hint="eastAsia" w:ascii="宋体" w:hAnsi="宋体" w:cs="宋体"/>
          <w:szCs w:val="24"/>
        </w:rPr>
        <w:t>。</w:t>
      </w:r>
    </w:p>
    <w:p>
      <w:pPr>
        <w:spacing w:line="360" w:lineRule="auto"/>
        <w:rPr>
          <w:rFonts w:ascii="宋体" w:hAnsi="宋体" w:cs="宋体"/>
          <w:bCs/>
          <w:szCs w:val="24"/>
        </w:rPr>
      </w:pPr>
      <w:r>
        <w:rPr>
          <w:rFonts w:hint="eastAsia" w:ascii="宋体" w:hAnsi="宋体" w:cs="宋体"/>
          <w:bCs/>
          <w:szCs w:val="24"/>
        </w:rPr>
        <w:t>2、未按上述要求提供、</w:t>
      </w:r>
      <w:r>
        <w:rPr>
          <w:rFonts w:hint="eastAsia" w:ascii="宋体" w:hAnsi="宋体" w:cs="宋体"/>
          <w:szCs w:val="24"/>
        </w:rPr>
        <w:t>填写</w:t>
      </w:r>
      <w:r>
        <w:rPr>
          <w:rFonts w:hint="eastAsia" w:ascii="宋体" w:hAnsi="宋体" w:cs="宋体"/>
          <w:bCs/>
          <w:szCs w:val="24"/>
        </w:rPr>
        <w:t>的，评标时不予以考虑。</w:t>
      </w:r>
    </w:p>
    <w:p>
      <w:pPr>
        <w:spacing w:line="360" w:lineRule="auto"/>
        <w:rPr>
          <w:rFonts w:ascii="宋体" w:hAnsi="宋体" w:cs="宋体"/>
          <w:bCs/>
          <w:sz w:val="21"/>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rPr>
          <w:rFonts w:ascii="宋体" w:hAnsi="宋体" w:cs="宋体"/>
          <w:bCs/>
          <w:szCs w:val="21"/>
        </w:rPr>
      </w:pPr>
    </w:p>
    <w:p>
      <w:pPr>
        <w:spacing w:line="360" w:lineRule="auto"/>
        <w:ind w:firstLine="4800" w:firstLineChars="2000"/>
        <w:rPr>
          <w:rFonts w:ascii="宋体" w:hAnsi="宋体" w:cs="宋体"/>
          <w:szCs w:val="21"/>
        </w:rPr>
      </w:pPr>
    </w:p>
    <w:p>
      <w:pPr>
        <w:spacing w:line="360" w:lineRule="auto"/>
        <w:ind w:firstLine="4800" w:firstLineChars="2000"/>
        <w:rPr>
          <w:rFonts w:ascii="宋体" w:hAnsi="宋体" w:cs="宋体"/>
          <w:i/>
          <w:iCs/>
          <w:szCs w:val="24"/>
          <w:u w:val="single"/>
        </w:rPr>
      </w:pPr>
    </w:p>
    <w:p>
      <w:pPr>
        <w:rPr>
          <w:rFonts w:ascii="宋体" w:hAnsi="宋体" w:cs="宋体"/>
          <w:b/>
          <w:sz w:val="28"/>
          <w:szCs w:val="28"/>
        </w:rPr>
      </w:pPr>
      <w:r>
        <w:rPr>
          <w:rFonts w:hint="eastAsia" w:ascii="宋体" w:hAnsi="宋体" w:cs="宋体"/>
          <w:b/>
          <w:sz w:val="28"/>
          <w:szCs w:val="28"/>
        </w:rPr>
        <w:br w:type="page"/>
      </w:r>
    </w:p>
    <w:p>
      <w:pPr>
        <w:widowControl/>
        <w:spacing w:line="360" w:lineRule="auto"/>
        <w:jc w:val="left"/>
        <w:rPr>
          <w:rFonts w:ascii="宋体" w:hAnsi="宋体" w:cs="宋体"/>
          <w:b/>
          <w:sz w:val="28"/>
          <w:szCs w:val="28"/>
        </w:rPr>
      </w:pPr>
      <w:r>
        <w:rPr>
          <w:rFonts w:hint="eastAsia" w:ascii="宋体" w:hAnsi="宋体" w:cs="宋体"/>
          <w:b/>
          <w:sz w:val="28"/>
          <w:szCs w:val="28"/>
        </w:rPr>
        <w:t>附件7：</w:t>
      </w:r>
    </w:p>
    <w:p>
      <w:pPr>
        <w:widowControl/>
        <w:spacing w:line="360" w:lineRule="auto"/>
        <w:jc w:val="center"/>
        <w:rPr>
          <w:rFonts w:ascii="宋体" w:hAnsi="宋体" w:cs="宋体"/>
          <w:b/>
          <w:sz w:val="28"/>
          <w:szCs w:val="28"/>
        </w:rPr>
      </w:pPr>
      <w:r>
        <w:rPr>
          <w:rFonts w:hint="eastAsia" w:ascii="宋体" w:hAnsi="宋体" w:cs="宋体"/>
          <w:b/>
          <w:sz w:val="28"/>
          <w:szCs w:val="28"/>
        </w:rPr>
        <w:t>残疾人福利性单位声明函（如有）</w:t>
      </w:r>
    </w:p>
    <w:p>
      <w:pPr>
        <w:spacing w:line="360" w:lineRule="auto"/>
        <w:rPr>
          <w:rFonts w:ascii="宋体" w:hAnsi="宋体" w:cs="宋体"/>
          <w:b/>
          <w:spacing w:val="6"/>
          <w:sz w:val="21"/>
          <w:szCs w:val="21"/>
        </w:rPr>
      </w:pP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80" w:firstLineChars="200"/>
        <w:rPr>
          <w:rFonts w:ascii="宋体" w:hAnsi="宋体" w:cs="宋体"/>
          <w:szCs w:val="24"/>
        </w:rPr>
      </w:pPr>
      <w:r>
        <w:rPr>
          <w:rFonts w:hint="eastAsia" w:ascii="宋体" w:hAnsi="宋体" w:cs="宋体"/>
          <w:szCs w:val="24"/>
        </w:rPr>
        <w:t>本单位对上述声明的真实性负责。如有虚假，将依法承担相应责任。</w:t>
      </w:r>
    </w:p>
    <w:p>
      <w:pPr>
        <w:spacing w:line="360" w:lineRule="auto"/>
        <w:ind w:firstLine="504" w:firstLineChars="200"/>
        <w:rPr>
          <w:rFonts w:ascii="宋体" w:hAnsi="宋体" w:cs="宋体"/>
          <w:spacing w:val="6"/>
          <w:szCs w:val="24"/>
        </w:rPr>
      </w:pPr>
    </w:p>
    <w:p>
      <w:pPr>
        <w:spacing w:line="360" w:lineRule="auto"/>
        <w:ind w:firstLine="504" w:firstLineChars="200"/>
        <w:rPr>
          <w:rFonts w:ascii="宋体" w:hAnsi="宋体" w:cs="宋体"/>
          <w:spacing w:val="6"/>
          <w:szCs w:val="24"/>
        </w:rPr>
      </w:pPr>
    </w:p>
    <w:p>
      <w:pPr>
        <w:tabs>
          <w:tab w:val="left" w:pos="4860"/>
        </w:tabs>
        <w:spacing w:line="360" w:lineRule="auto"/>
        <w:ind w:right="1560" w:firstLine="480" w:firstLineChars="200"/>
        <w:jc w:val="center"/>
        <w:rPr>
          <w:rFonts w:ascii="宋体" w:hAnsi="宋体" w:cs="宋体"/>
          <w:szCs w:val="24"/>
        </w:rPr>
      </w:pPr>
      <w:r>
        <w:rPr>
          <w:rFonts w:hint="eastAsia" w:ascii="宋体" w:hAnsi="宋体" w:cs="宋体"/>
          <w:szCs w:val="24"/>
        </w:rPr>
        <w:t xml:space="preserve">        单位名称（盖章）：</w:t>
      </w:r>
    </w:p>
    <w:p>
      <w:pPr>
        <w:tabs>
          <w:tab w:val="left" w:pos="4860"/>
        </w:tabs>
        <w:spacing w:line="360" w:lineRule="auto"/>
        <w:ind w:right="1560" w:firstLine="3360" w:firstLineChars="1400"/>
        <w:rPr>
          <w:rFonts w:ascii="宋体" w:hAnsi="宋体" w:cs="宋体"/>
          <w:szCs w:val="24"/>
        </w:rPr>
      </w:pPr>
      <w:r>
        <w:rPr>
          <w:rFonts w:hint="eastAsia" w:ascii="宋体" w:hAnsi="宋体" w:cs="宋体"/>
          <w:szCs w:val="24"/>
        </w:rPr>
        <w:t>日      期：</w:t>
      </w:r>
    </w:p>
    <w:p>
      <w:pPr>
        <w:spacing w:line="360" w:lineRule="auto"/>
        <w:rPr>
          <w:rFonts w:ascii="宋体" w:hAnsi="宋体" w:cs="宋体"/>
          <w:sz w:val="21"/>
          <w:szCs w:val="21"/>
        </w:rPr>
      </w:pPr>
    </w:p>
    <w:p>
      <w:pPr>
        <w:tabs>
          <w:tab w:val="left" w:pos="5670"/>
        </w:tabs>
        <w:spacing w:line="360" w:lineRule="auto"/>
        <w:ind w:firstLine="566"/>
        <w:jc w:val="left"/>
        <w:rPr>
          <w:rFonts w:ascii="宋体" w:hAnsi="宋体" w:cs="宋体"/>
          <w:sz w:val="21"/>
          <w:szCs w:val="21"/>
        </w:rPr>
      </w:pPr>
      <w:r>
        <w:rPr>
          <w:rFonts w:hint="eastAsia" w:ascii="宋体" w:hAnsi="宋体" w:cs="宋体"/>
          <w:b/>
          <w:bCs/>
          <w:sz w:val="21"/>
          <w:szCs w:val="21"/>
        </w:rPr>
        <w:t>备注：</w:t>
      </w:r>
      <w:r>
        <w:rPr>
          <w:rFonts w:hint="eastAsia" w:ascii="宋体" w:hAnsi="宋体" w:cs="宋体"/>
          <w:sz w:val="21"/>
          <w:szCs w:val="21"/>
        </w:rPr>
        <w:t>根据《财政部 民政部 中国残疾人联合会关于促进残疾人就业政府采购政策的通知》（财库〔2017〕141号）的规定：</w:t>
      </w:r>
    </w:p>
    <w:p>
      <w:pPr>
        <w:tabs>
          <w:tab w:val="left" w:pos="5670"/>
        </w:tabs>
        <w:spacing w:line="360" w:lineRule="auto"/>
        <w:ind w:firstLine="566"/>
        <w:jc w:val="left"/>
        <w:rPr>
          <w:rFonts w:ascii="宋体" w:hAnsi="宋体" w:cs="宋体"/>
          <w:sz w:val="21"/>
          <w:szCs w:val="21"/>
        </w:rPr>
      </w:pPr>
      <w:r>
        <w:rPr>
          <w:rFonts w:hint="eastAsia" w:ascii="宋体" w:hAnsi="宋体" w:cs="宋体"/>
          <w:sz w:val="21"/>
          <w:szCs w:val="21"/>
        </w:rPr>
        <w:t>一、享受政府采购支持政策的残疾人福利性单位应当同时满足以下条件：</w:t>
      </w:r>
    </w:p>
    <w:p>
      <w:pPr>
        <w:tabs>
          <w:tab w:val="left" w:pos="5670"/>
        </w:tabs>
        <w:spacing w:line="360" w:lineRule="auto"/>
        <w:ind w:firstLine="566"/>
        <w:jc w:val="left"/>
        <w:rPr>
          <w:rFonts w:ascii="宋体" w:hAnsi="宋体" w:cs="宋体"/>
          <w:sz w:val="21"/>
          <w:szCs w:val="21"/>
        </w:rPr>
      </w:pPr>
      <w:r>
        <w:rPr>
          <w:rFonts w:hint="eastAsia" w:ascii="宋体" w:hAnsi="宋体" w:cs="宋体"/>
          <w:sz w:val="21"/>
          <w:szCs w:val="21"/>
        </w:rPr>
        <w:t>（一）安置的残疾人占本单位在职职工人数的比例不低于25%（含25%），并且安置的残疾人人数不少于10人（含10人）；</w:t>
      </w:r>
    </w:p>
    <w:p>
      <w:pPr>
        <w:tabs>
          <w:tab w:val="left" w:pos="5670"/>
        </w:tabs>
        <w:spacing w:line="360" w:lineRule="auto"/>
        <w:ind w:firstLine="566"/>
        <w:jc w:val="left"/>
        <w:rPr>
          <w:rFonts w:ascii="宋体" w:hAnsi="宋体" w:cs="宋体"/>
          <w:sz w:val="21"/>
          <w:szCs w:val="21"/>
        </w:rPr>
      </w:pPr>
      <w:r>
        <w:rPr>
          <w:rFonts w:hint="eastAsia" w:ascii="宋体" w:hAnsi="宋体" w:cs="宋体"/>
          <w:sz w:val="21"/>
          <w:szCs w:val="21"/>
        </w:rPr>
        <w:t>（二）依法与安置的每位残疾人签订了一年以上（含一年）的劳动合同或服务协议；</w:t>
      </w:r>
    </w:p>
    <w:p>
      <w:pPr>
        <w:tabs>
          <w:tab w:val="left" w:pos="5670"/>
        </w:tabs>
        <w:spacing w:line="360" w:lineRule="auto"/>
        <w:ind w:firstLine="566"/>
        <w:jc w:val="left"/>
        <w:rPr>
          <w:rFonts w:ascii="宋体" w:hAnsi="宋体" w:cs="宋体"/>
          <w:sz w:val="21"/>
          <w:szCs w:val="21"/>
        </w:rPr>
      </w:pPr>
      <w:r>
        <w:rPr>
          <w:rFonts w:hint="eastAsia" w:ascii="宋体" w:hAnsi="宋体" w:cs="宋体"/>
          <w:sz w:val="21"/>
          <w:szCs w:val="21"/>
        </w:rPr>
        <w:t>（三）为安置的每位残疾人按月足额缴纳了基本养老保险、基本医疗保险、失业保险、工伤保险和生育保险等社会保险费；</w:t>
      </w:r>
    </w:p>
    <w:p>
      <w:pPr>
        <w:tabs>
          <w:tab w:val="left" w:pos="5670"/>
        </w:tabs>
        <w:spacing w:line="360" w:lineRule="auto"/>
        <w:ind w:firstLine="566"/>
        <w:jc w:val="left"/>
        <w:rPr>
          <w:rFonts w:ascii="宋体" w:hAnsi="宋体" w:cs="宋体"/>
          <w:sz w:val="21"/>
          <w:szCs w:val="21"/>
        </w:rPr>
      </w:pPr>
      <w:r>
        <w:rPr>
          <w:rFonts w:hint="eastAsia" w:ascii="宋体" w:hAnsi="宋体" w:cs="宋体"/>
          <w:sz w:val="21"/>
          <w:szCs w:val="21"/>
        </w:rPr>
        <w:t>（四）通过银行等金融机构向安置的每位残疾人，按月支付了不低于单位所在区县适用的经省级人民政府批准的月最低工资标准的工资；</w:t>
      </w:r>
    </w:p>
    <w:p>
      <w:pPr>
        <w:tabs>
          <w:tab w:val="left" w:pos="5670"/>
        </w:tabs>
        <w:spacing w:line="360" w:lineRule="auto"/>
        <w:ind w:firstLine="566"/>
        <w:jc w:val="left"/>
        <w:rPr>
          <w:rFonts w:ascii="宋体" w:hAnsi="宋体" w:cs="宋体"/>
          <w:sz w:val="21"/>
          <w:szCs w:val="21"/>
        </w:rPr>
      </w:pPr>
      <w:r>
        <w:rPr>
          <w:rFonts w:hint="eastAsia" w:ascii="宋体" w:hAnsi="宋体" w:cs="宋体"/>
          <w:sz w:val="21"/>
          <w:szCs w:val="21"/>
        </w:rPr>
        <w:t>（五）提供本单位制造的货物、承担的工程或者服务（以下简称产品），或者提供其他残疾人福利性单位制造的货物（不包括使用非残疾人福利性单位注册商标的货物）。</w:t>
      </w:r>
    </w:p>
    <w:p>
      <w:pPr>
        <w:tabs>
          <w:tab w:val="left" w:pos="5670"/>
        </w:tabs>
        <w:spacing w:line="360" w:lineRule="auto"/>
        <w:ind w:firstLine="566"/>
        <w:jc w:val="left"/>
        <w:rPr>
          <w:rFonts w:ascii="宋体" w:hAnsi="宋体" w:cs="宋体"/>
          <w:sz w:val="21"/>
          <w:szCs w:val="21"/>
        </w:rPr>
      </w:pPr>
      <w:r>
        <w:rPr>
          <w:rFonts w:hint="eastAsia" w:ascii="宋体" w:hAnsi="宋体" w:cs="宋体"/>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8"/>
        <w:spacing w:line="360" w:lineRule="auto"/>
        <w:ind w:firstLineChars="200"/>
        <w:rPr>
          <w:rFonts w:ascii="宋体" w:hAnsi="宋体" w:cs="宋体"/>
          <w:b/>
          <w:bCs/>
          <w:sz w:val="32"/>
          <w:szCs w:val="32"/>
        </w:rPr>
      </w:pPr>
      <w:r>
        <w:rPr>
          <w:rFonts w:hint="eastAsia" w:ascii="宋体" w:hAnsi="宋体" w:cs="宋体"/>
          <w:sz w:val="21"/>
          <w:szCs w:val="21"/>
        </w:rPr>
        <w:t>二、中标、成交供应商为残疾人福利性单位的，采购人或者其委托的采购代理机构应当随中标、成交结果同时公告其《残疾人福利性单位声明函》，接受社会监督。</w:t>
      </w:r>
    </w:p>
    <w:p>
      <w:pPr>
        <w:spacing w:line="360" w:lineRule="auto"/>
        <w:rPr>
          <w:rFonts w:ascii="宋体" w:hAnsi="宋体" w:cs="宋体"/>
          <w:b/>
          <w:bCs/>
          <w:sz w:val="32"/>
          <w:szCs w:val="32"/>
        </w:rPr>
      </w:pPr>
      <w:r>
        <w:rPr>
          <w:rFonts w:hint="eastAsia" w:ascii="宋体" w:hAnsi="宋体" w:cs="宋体"/>
          <w:b/>
          <w:bCs/>
          <w:sz w:val="32"/>
          <w:szCs w:val="32"/>
        </w:rPr>
        <w:br w:type="page"/>
      </w:r>
    </w:p>
    <w:p>
      <w:pPr>
        <w:pStyle w:val="32"/>
        <w:spacing w:line="360" w:lineRule="auto"/>
        <w:ind w:firstLine="174" w:firstLineChars="62"/>
        <w:jc w:val="left"/>
        <w:rPr>
          <w:rFonts w:ascii="宋体" w:hAnsi="宋体" w:cs="宋体"/>
          <w:b/>
          <w:szCs w:val="28"/>
        </w:rPr>
      </w:pPr>
      <w:r>
        <w:rPr>
          <w:rFonts w:hint="eastAsia" w:ascii="宋体" w:hAnsi="宋体" w:cs="宋体"/>
          <w:b/>
          <w:szCs w:val="28"/>
        </w:rPr>
        <w:t>附件8：</w:t>
      </w:r>
    </w:p>
    <w:p>
      <w:pPr>
        <w:pStyle w:val="32"/>
        <w:spacing w:line="360" w:lineRule="auto"/>
        <w:ind w:firstLine="174" w:firstLineChars="62"/>
        <w:jc w:val="center"/>
        <w:rPr>
          <w:rFonts w:ascii="宋体" w:hAnsi="宋体" w:cs="宋体"/>
          <w:b/>
          <w:bCs/>
          <w:szCs w:val="28"/>
        </w:rPr>
      </w:pPr>
      <w:r>
        <w:rPr>
          <w:rFonts w:hint="eastAsia" w:ascii="宋体" w:hAnsi="宋体" w:cs="宋体"/>
          <w:b/>
          <w:bCs/>
          <w:szCs w:val="28"/>
        </w:rPr>
        <w:t>《监狱企业证明函》</w:t>
      </w:r>
      <w:r>
        <w:rPr>
          <w:rFonts w:hint="eastAsia" w:ascii="宋体" w:hAnsi="宋体" w:cs="宋体"/>
          <w:szCs w:val="28"/>
        </w:rPr>
        <w:t>（格式，若有）</w:t>
      </w:r>
    </w:p>
    <w:p>
      <w:pPr>
        <w:spacing w:line="360" w:lineRule="auto"/>
        <w:rPr>
          <w:rFonts w:ascii="宋体" w:hAnsi="宋体" w:cs="宋体"/>
          <w:b/>
          <w:sz w:val="44"/>
          <w:szCs w:val="44"/>
        </w:rPr>
      </w:pPr>
    </w:p>
    <w:p>
      <w:pPr>
        <w:spacing w:line="360" w:lineRule="auto"/>
        <w:ind w:firstLine="480" w:firstLineChars="200"/>
        <w:jc w:val="left"/>
        <w:rPr>
          <w:rFonts w:ascii="宋体" w:hAnsi="宋体" w:cs="宋体"/>
        </w:rPr>
      </w:pPr>
      <w:r>
        <w:rPr>
          <w:rFonts w:hint="eastAsia" w:ascii="宋体" w:hAnsi="宋体" w:cs="宋体"/>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0" w:firstLineChars="200"/>
        <w:jc w:val="left"/>
        <w:rPr>
          <w:rFonts w:ascii="宋体" w:hAnsi="宋体" w:cs="宋体"/>
        </w:rPr>
      </w:pPr>
      <w:r>
        <w:rPr>
          <w:rFonts w:hint="eastAsia" w:ascii="宋体" w:hAnsi="宋体" w:cs="宋体"/>
        </w:rPr>
        <w:t>监狱企业参加政府采购活动时，应当提供由省级以上监狱管理局、戒毒管理局（含新疆生产建设兵团）出具的属于监狱企业的证明文件。</w:t>
      </w:r>
    </w:p>
    <w:p>
      <w:pPr>
        <w:spacing w:line="360" w:lineRule="auto"/>
        <w:rPr>
          <w:rFonts w:ascii="宋体" w:hAnsi="宋体" w:cs="宋体"/>
          <w:b/>
          <w:sz w:val="44"/>
          <w:szCs w:val="44"/>
        </w:rPr>
      </w:pPr>
    </w:p>
    <w:p>
      <w:pPr>
        <w:pStyle w:val="16"/>
        <w:spacing w:line="360" w:lineRule="auto"/>
        <w:rPr>
          <w:rFonts w:ascii="宋体" w:hAnsi="宋体" w:cs="宋体"/>
        </w:rPr>
      </w:pPr>
    </w:p>
    <w:p>
      <w:pPr>
        <w:snapToGrid w:val="0"/>
        <w:spacing w:line="360" w:lineRule="auto"/>
        <w:ind w:firstLine="643" w:firstLineChars="200"/>
        <w:rPr>
          <w:rFonts w:ascii="宋体" w:hAnsi="宋体" w:cs="宋体"/>
          <w:b/>
          <w:bCs/>
          <w:sz w:val="32"/>
          <w:szCs w:val="32"/>
        </w:rPr>
      </w:pPr>
    </w:p>
    <w:p>
      <w:pPr>
        <w:snapToGrid w:val="0"/>
        <w:spacing w:line="360" w:lineRule="auto"/>
        <w:ind w:firstLine="643" w:firstLineChars="200"/>
        <w:rPr>
          <w:rFonts w:ascii="宋体" w:hAnsi="宋体" w:cs="宋体"/>
          <w:b/>
          <w:bCs/>
          <w:sz w:val="32"/>
          <w:szCs w:val="32"/>
        </w:rPr>
      </w:pPr>
    </w:p>
    <w:p>
      <w:pPr>
        <w:snapToGrid w:val="0"/>
        <w:spacing w:line="360" w:lineRule="auto"/>
        <w:ind w:firstLine="643" w:firstLineChars="200"/>
        <w:rPr>
          <w:rFonts w:ascii="宋体" w:hAnsi="宋体" w:cs="宋体"/>
          <w:b/>
          <w:bCs/>
          <w:sz w:val="32"/>
          <w:szCs w:val="32"/>
        </w:rPr>
      </w:pPr>
    </w:p>
    <w:p>
      <w:pPr>
        <w:snapToGrid w:val="0"/>
        <w:spacing w:line="360" w:lineRule="auto"/>
        <w:ind w:firstLine="643" w:firstLineChars="200"/>
        <w:rPr>
          <w:rFonts w:ascii="宋体" w:hAnsi="宋体" w:cs="宋体"/>
          <w:b/>
          <w:bCs/>
          <w:sz w:val="32"/>
          <w:szCs w:val="32"/>
        </w:rPr>
      </w:pPr>
    </w:p>
    <w:p>
      <w:pPr>
        <w:snapToGrid w:val="0"/>
        <w:spacing w:line="360" w:lineRule="auto"/>
        <w:ind w:firstLine="643" w:firstLineChars="200"/>
        <w:rPr>
          <w:rFonts w:ascii="宋体" w:hAnsi="宋体" w:cs="宋体"/>
          <w:b/>
          <w:bCs/>
          <w:sz w:val="32"/>
          <w:szCs w:val="32"/>
        </w:rPr>
      </w:pPr>
    </w:p>
    <w:p>
      <w:pPr>
        <w:snapToGrid w:val="0"/>
        <w:spacing w:line="360" w:lineRule="auto"/>
        <w:ind w:firstLine="643" w:firstLineChars="200"/>
        <w:rPr>
          <w:rFonts w:ascii="宋体" w:hAnsi="宋体" w:cs="宋体"/>
          <w:b/>
          <w:bCs/>
          <w:sz w:val="32"/>
          <w:szCs w:val="32"/>
        </w:rPr>
      </w:pPr>
    </w:p>
    <w:p>
      <w:pPr>
        <w:snapToGrid w:val="0"/>
        <w:spacing w:line="360" w:lineRule="auto"/>
        <w:ind w:firstLine="643" w:firstLineChars="200"/>
        <w:rPr>
          <w:rFonts w:ascii="宋体" w:hAnsi="宋体" w:cs="宋体"/>
          <w:b/>
          <w:bCs/>
          <w:sz w:val="32"/>
          <w:szCs w:val="32"/>
        </w:rPr>
      </w:pPr>
    </w:p>
    <w:p>
      <w:pPr>
        <w:spacing w:line="360" w:lineRule="auto"/>
        <w:rPr>
          <w:rFonts w:ascii="宋体" w:hAnsi="宋体" w:cs="宋体"/>
          <w:b/>
          <w:bCs/>
          <w:sz w:val="32"/>
          <w:szCs w:val="32"/>
        </w:rPr>
      </w:pPr>
      <w:r>
        <w:rPr>
          <w:rFonts w:hint="eastAsia" w:ascii="宋体" w:hAnsi="宋体" w:cs="宋体"/>
          <w:b/>
          <w:bCs/>
          <w:sz w:val="32"/>
          <w:szCs w:val="32"/>
        </w:rPr>
        <w:br w:type="page"/>
      </w:r>
    </w:p>
    <w:p>
      <w:pPr>
        <w:pStyle w:val="4"/>
        <w:rPr>
          <w:rFonts w:ascii="宋体" w:hAnsi="宋体" w:cs="宋体"/>
        </w:rPr>
      </w:pPr>
      <w:r>
        <w:rPr>
          <w:rFonts w:hint="eastAsia" w:ascii="宋体" w:hAnsi="宋体" w:cs="宋体"/>
        </w:rPr>
        <w:t xml:space="preserve"> </w:t>
      </w:r>
      <w:bookmarkStart w:id="104" w:name="_Toc14501"/>
      <w:r>
        <w:rPr>
          <w:rFonts w:hint="eastAsia" w:ascii="宋体" w:hAnsi="宋体" w:cs="宋体"/>
        </w:rPr>
        <w:t>第二部分  符合性证明文件</w:t>
      </w:r>
      <w:bookmarkEnd w:id="104"/>
    </w:p>
    <w:p>
      <w:pPr>
        <w:rPr>
          <w:rFonts w:ascii="宋体" w:hAnsi="宋体" w:cs="宋体"/>
        </w:rPr>
      </w:pPr>
    </w:p>
    <w:p>
      <w:pPr>
        <w:pStyle w:val="4"/>
        <w:rPr>
          <w:rFonts w:ascii="宋体" w:hAnsi="宋体" w:cs="宋体"/>
        </w:rPr>
      </w:pPr>
      <w:bookmarkStart w:id="105" w:name="_Toc23213"/>
      <w:bookmarkStart w:id="106" w:name="_Toc16416"/>
      <w:bookmarkStart w:id="107" w:name="_Toc7217"/>
      <w:bookmarkStart w:id="108" w:name="_Toc14356"/>
      <w:bookmarkStart w:id="109" w:name="_Toc27333"/>
      <w:bookmarkStart w:id="110" w:name="_Hlk48767465"/>
      <w:r>
        <w:rPr>
          <w:rFonts w:hint="eastAsia" w:ascii="宋体" w:hAnsi="宋体" w:cs="宋体"/>
        </w:rPr>
        <w:t>一、磋商函</w:t>
      </w:r>
      <w:bookmarkEnd w:id="105"/>
      <w:bookmarkEnd w:id="106"/>
      <w:bookmarkEnd w:id="107"/>
      <w:bookmarkEnd w:id="108"/>
      <w:bookmarkEnd w:id="109"/>
    </w:p>
    <w:bookmarkEnd w:id="110"/>
    <w:p>
      <w:pPr>
        <w:spacing w:line="360" w:lineRule="auto"/>
        <w:ind w:firstLine="482" w:firstLineChars="200"/>
        <w:rPr>
          <w:rFonts w:ascii="宋体" w:hAnsi="宋体" w:cs="宋体"/>
          <w:b/>
          <w:bCs/>
          <w:szCs w:val="21"/>
        </w:rPr>
      </w:pPr>
      <w:r>
        <w:rPr>
          <w:rFonts w:hint="eastAsia" w:ascii="宋体" w:hAnsi="宋体" w:cs="宋体"/>
          <w:b/>
          <w:bCs/>
          <w:szCs w:val="21"/>
        </w:rPr>
        <w:t>致：陕西致恒招标代理有限公司</w:t>
      </w:r>
    </w:p>
    <w:p>
      <w:pPr>
        <w:spacing w:line="360" w:lineRule="auto"/>
        <w:ind w:firstLine="480" w:firstLineChars="200"/>
        <w:rPr>
          <w:rFonts w:ascii="宋体" w:hAnsi="宋体" w:cs="宋体"/>
          <w:szCs w:val="21"/>
        </w:rPr>
      </w:pPr>
      <w:r>
        <w:rPr>
          <w:rFonts w:hint="eastAsia" w:ascii="宋体" w:hAnsi="宋体" w:cs="宋体"/>
          <w:szCs w:val="21"/>
        </w:rPr>
        <w:t>根据贵方为</w:t>
      </w:r>
      <w:r>
        <w:rPr>
          <w:rFonts w:hint="eastAsia" w:ascii="宋体" w:hAnsi="宋体" w:cs="宋体"/>
          <w:szCs w:val="21"/>
          <w:u w:val="single"/>
        </w:rPr>
        <w:t xml:space="preserve">                   （项目名称）（项目编号）</w:t>
      </w:r>
      <w:r>
        <w:rPr>
          <w:rFonts w:hint="eastAsia" w:ascii="宋体" w:hAnsi="宋体" w:cs="宋体"/>
          <w:szCs w:val="21"/>
        </w:rPr>
        <w:t>磋商文件，签字代表</w:t>
      </w:r>
      <w:r>
        <w:rPr>
          <w:rFonts w:hint="eastAsia" w:ascii="宋体" w:hAnsi="宋体" w:cs="宋体"/>
          <w:szCs w:val="21"/>
          <w:u w:val="single"/>
        </w:rPr>
        <w:t xml:space="preserve">              (全名、职务)</w:t>
      </w:r>
      <w:r>
        <w:rPr>
          <w:rFonts w:hint="eastAsia" w:ascii="宋体" w:hAnsi="宋体" w:cs="宋体"/>
          <w:szCs w:val="21"/>
        </w:rPr>
        <w:t>经正式授权并代表</w:t>
      </w:r>
      <w:r>
        <w:rPr>
          <w:rFonts w:hint="eastAsia" w:ascii="宋体" w:hAnsi="宋体" w:cs="宋体"/>
          <w:szCs w:val="21"/>
          <w:u w:val="single"/>
        </w:rPr>
        <w:t xml:space="preserve">                     (供应商名称、地址）</w:t>
      </w:r>
      <w:r>
        <w:rPr>
          <w:rFonts w:hint="eastAsia" w:ascii="宋体" w:hAnsi="宋体" w:cs="宋体"/>
          <w:szCs w:val="21"/>
        </w:rPr>
        <w:t>提交响应文件正本壹份、副本一式叁份。</w:t>
      </w:r>
    </w:p>
    <w:p>
      <w:pPr>
        <w:spacing w:line="360" w:lineRule="auto"/>
        <w:ind w:firstLine="420"/>
        <w:rPr>
          <w:rFonts w:ascii="宋体" w:hAnsi="宋体" w:cs="宋体"/>
          <w:szCs w:val="21"/>
        </w:rPr>
      </w:pPr>
      <w:r>
        <w:rPr>
          <w:rFonts w:hint="eastAsia" w:ascii="宋体" w:hAnsi="宋体" w:cs="宋体"/>
          <w:szCs w:val="21"/>
        </w:rPr>
        <w:t>1. 愿意按照磋商文件中的一切要求，总报价为：</w:t>
      </w:r>
    </w:p>
    <w:p>
      <w:pPr>
        <w:spacing w:line="360" w:lineRule="auto"/>
        <w:ind w:firstLine="840" w:firstLineChars="350"/>
        <w:rPr>
          <w:rFonts w:ascii="宋体" w:hAnsi="宋体" w:cs="宋体"/>
          <w:szCs w:val="21"/>
        </w:rPr>
      </w:pPr>
      <w:r>
        <w:rPr>
          <w:rFonts w:hint="eastAsia" w:ascii="宋体" w:hAnsi="宋体" w:cs="宋体"/>
          <w:szCs w:val="21"/>
        </w:rPr>
        <w:t>人民币（大写）：</w:t>
      </w:r>
      <w:r>
        <w:rPr>
          <w:rFonts w:hint="eastAsia" w:ascii="宋体" w:hAnsi="宋体" w:cs="宋体"/>
          <w:szCs w:val="21"/>
          <w:u w:val="single"/>
        </w:rPr>
        <w:t xml:space="preserve">                 </w:t>
      </w:r>
      <w:r>
        <w:rPr>
          <w:rFonts w:hint="eastAsia" w:ascii="宋体" w:hAnsi="宋体" w:cs="宋体"/>
          <w:szCs w:val="21"/>
        </w:rPr>
        <w:t>；（小写）</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元。</w:t>
      </w:r>
    </w:p>
    <w:p>
      <w:pPr>
        <w:spacing w:line="360" w:lineRule="auto"/>
        <w:ind w:firstLine="420"/>
        <w:rPr>
          <w:rFonts w:ascii="宋体" w:hAnsi="宋体" w:cs="宋体"/>
          <w:szCs w:val="21"/>
        </w:rPr>
      </w:pPr>
      <w:r>
        <w:rPr>
          <w:rFonts w:hint="eastAsia" w:ascii="宋体" w:hAnsi="宋体" w:cs="宋体"/>
          <w:szCs w:val="21"/>
        </w:rPr>
        <w:t>2. 供应商将按磋商文件的规定履行合同责任和义务；</w:t>
      </w:r>
    </w:p>
    <w:p>
      <w:pPr>
        <w:spacing w:line="360" w:lineRule="auto"/>
        <w:ind w:firstLine="420"/>
        <w:rPr>
          <w:rFonts w:ascii="宋体" w:hAnsi="宋体" w:cs="宋体"/>
          <w:szCs w:val="21"/>
        </w:rPr>
      </w:pPr>
      <w:r>
        <w:rPr>
          <w:rFonts w:hint="eastAsia" w:ascii="宋体" w:hAnsi="宋体" w:cs="宋体"/>
          <w:szCs w:val="21"/>
        </w:rPr>
        <w:t>3. 供应商已详细审查全部磋商文件，包括修改文件（如有的话）以及全部参考资料和有关附件。我们完全理解并同意放弃对这方面有不明及误解的权利；</w:t>
      </w:r>
    </w:p>
    <w:p>
      <w:pPr>
        <w:spacing w:line="360" w:lineRule="auto"/>
        <w:ind w:firstLine="420"/>
        <w:rPr>
          <w:rFonts w:ascii="宋体" w:hAnsi="宋体" w:cs="宋体"/>
          <w:szCs w:val="21"/>
        </w:rPr>
      </w:pPr>
      <w:r>
        <w:rPr>
          <w:rFonts w:hint="eastAsia" w:ascii="宋体" w:hAnsi="宋体" w:cs="宋体"/>
          <w:szCs w:val="21"/>
        </w:rPr>
        <w:t>4. 其响应文件自磋商之日起有效期为</w:t>
      </w:r>
      <w:r>
        <w:rPr>
          <w:rFonts w:hint="eastAsia" w:ascii="宋体" w:hAnsi="宋体" w:cs="宋体"/>
          <w:szCs w:val="21"/>
          <w:u w:val="single"/>
        </w:rPr>
        <w:t xml:space="preserve">     </w:t>
      </w:r>
      <w:r>
        <w:rPr>
          <w:rFonts w:hint="eastAsia" w:ascii="宋体" w:hAnsi="宋体" w:cs="宋体"/>
          <w:szCs w:val="21"/>
        </w:rPr>
        <w:t>个日历日；</w:t>
      </w:r>
    </w:p>
    <w:p>
      <w:pPr>
        <w:spacing w:line="360" w:lineRule="auto"/>
        <w:ind w:firstLine="420"/>
        <w:rPr>
          <w:rFonts w:ascii="宋体" w:hAnsi="宋体" w:cs="宋体"/>
          <w:szCs w:val="21"/>
        </w:rPr>
      </w:pPr>
      <w:r>
        <w:rPr>
          <w:rFonts w:hint="eastAsia" w:ascii="宋体" w:hAnsi="宋体" w:cs="宋体"/>
          <w:szCs w:val="21"/>
        </w:rPr>
        <w:t>5. 供应商同意提供按照贵方可能要求的与其磋商有关的一切数据或资料，完全理解贵方不一定要接受最低价的报价或收到的任何其他报价。</w:t>
      </w:r>
    </w:p>
    <w:p>
      <w:pPr>
        <w:spacing w:line="360" w:lineRule="auto"/>
        <w:ind w:firstLine="420"/>
        <w:rPr>
          <w:rFonts w:ascii="宋体" w:hAnsi="宋体" w:cs="宋体"/>
          <w:szCs w:val="21"/>
        </w:rPr>
      </w:pPr>
      <w:r>
        <w:rPr>
          <w:rFonts w:hint="eastAsia" w:ascii="宋体" w:hAnsi="宋体" w:cs="宋体"/>
          <w:szCs w:val="21"/>
        </w:rPr>
        <w:t>6. 与本项目有关的一切正式往来通讯请寄：</w:t>
      </w:r>
    </w:p>
    <w:p>
      <w:pPr>
        <w:spacing w:line="360" w:lineRule="auto"/>
        <w:rPr>
          <w:rFonts w:ascii="宋体" w:hAnsi="宋体" w:cs="宋体"/>
          <w:szCs w:val="21"/>
        </w:rPr>
      </w:pPr>
      <w:r>
        <w:rPr>
          <w:rFonts w:hint="eastAsia" w:ascii="宋体" w:hAnsi="宋体" w:cs="宋体"/>
          <w:szCs w:val="21"/>
        </w:rPr>
        <w:tab/>
      </w: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邮编：</w:t>
      </w:r>
      <w:r>
        <w:rPr>
          <w:rFonts w:hint="eastAsia" w:ascii="宋体" w:hAnsi="宋体" w:cs="宋体"/>
          <w:szCs w:val="21"/>
          <w:u w:val="single"/>
        </w:rPr>
        <w:t xml:space="preserve">                                           </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ab/>
      </w: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传真：</w:t>
      </w:r>
      <w:r>
        <w:rPr>
          <w:rFonts w:hint="eastAsia" w:ascii="宋体" w:hAnsi="宋体" w:cs="宋体"/>
          <w:szCs w:val="21"/>
          <w:u w:val="single"/>
        </w:rPr>
        <w:t xml:space="preserve">                                           </w:t>
      </w:r>
    </w:p>
    <w:p>
      <w:pPr>
        <w:spacing w:line="360" w:lineRule="auto"/>
        <w:ind w:firstLine="420"/>
        <w:rPr>
          <w:rFonts w:ascii="宋体" w:hAnsi="宋体" w:cs="宋体"/>
          <w:szCs w:val="21"/>
          <w:u w:val="single"/>
        </w:rPr>
      </w:pPr>
      <w:r>
        <w:rPr>
          <w:rFonts w:hint="eastAsia" w:ascii="宋体" w:hAnsi="宋体" w:cs="宋体"/>
          <w:szCs w:val="21"/>
        </w:rPr>
        <w:t>供应商代表姓名、职务（印刷体）：</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ab/>
      </w:r>
      <w:r>
        <w:rPr>
          <w:rFonts w:hint="eastAsia" w:ascii="宋体" w:hAnsi="宋体" w:cs="宋体"/>
          <w:szCs w:val="21"/>
        </w:rPr>
        <w:t>供应商名称：</w:t>
      </w:r>
      <w:r>
        <w:rPr>
          <w:rFonts w:hint="eastAsia" w:ascii="宋体" w:hAnsi="宋体" w:cs="宋体"/>
          <w:szCs w:val="21"/>
          <w:u w:val="single"/>
        </w:rPr>
        <w:t xml:space="preserve">                                     （公章） </w:t>
      </w:r>
    </w:p>
    <w:p>
      <w:pPr>
        <w:spacing w:line="360" w:lineRule="auto"/>
        <w:rPr>
          <w:rFonts w:ascii="宋体" w:hAnsi="宋体" w:cs="宋体"/>
          <w:szCs w:val="21"/>
        </w:rPr>
      </w:pPr>
      <w:r>
        <w:rPr>
          <w:rFonts w:hint="eastAsia" w:ascii="宋体" w:hAnsi="宋体" w:cs="宋体"/>
          <w:szCs w:val="21"/>
        </w:rPr>
        <w:tab/>
      </w:r>
      <w:r>
        <w:rPr>
          <w:rFonts w:hint="eastAsia" w:ascii="宋体" w:hAnsi="宋体" w:cs="宋体"/>
          <w:szCs w:val="21"/>
        </w:rPr>
        <w:t>法定代表人或被授权代表签字/或盖章：</w:t>
      </w:r>
      <w:r>
        <w:rPr>
          <w:rFonts w:hint="eastAsia" w:ascii="宋体" w:hAnsi="宋体" w:cs="宋体"/>
          <w:szCs w:val="21"/>
          <w:u w:val="single"/>
        </w:rPr>
        <w:t>（签字或盖章）</w:t>
      </w:r>
    </w:p>
    <w:p>
      <w:pPr>
        <w:spacing w:line="360" w:lineRule="auto"/>
        <w:ind w:firstLine="480" w:firstLineChars="200"/>
        <w:rPr>
          <w:rFonts w:ascii="宋体" w:hAnsi="宋体" w:cs="宋体"/>
          <w:szCs w:val="21"/>
        </w:rPr>
      </w:pPr>
      <w:r>
        <w:rPr>
          <w:rFonts w:hint="eastAsia" w:ascii="宋体" w:hAnsi="宋体" w:cs="宋体"/>
          <w:szCs w:val="21"/>
        </w:rPr>
        <w:t>日     期：   年   月   日</w:t>
      </w:r>
      <w:bookmarkStart w:id="111" w:name="_Hlt491573407"/>
      <w:bookmarkEnd w:id="111"/>
    </w:p>
    <w:p>
      <w:pPr>
        <w:spacing w:line="360" w:lineRule="auto"/>
        <w:rPr>
          <w:rFonts w:ascii="宋体" w:hAnsi="宋体" w:cs="宋体"/>
          <w:szCs w:val="22"/>
        </w:rPr>
      </w:pPr>
    </w:p>
    <w:p>
      <w:pPr>
        <w:spacing w:line="360" w:lineRule="auto"/>
        <w:rPr>
          <w:rFonts w:ascii="宋体" w:hAnsi="宋体" w:cs="宋体"/>
        </w:rPr>
      </w:pPr>
    </w:p>
    <w:p>
      <w:pPr>
        <w:spacing w:line="360" w:lineRule="auto"/>
        <w:jc w:val="center"/>
        <w:outlineLvl w:val="1"/>
        <w:rPr>
          <w:rFonts w:ascii="宋体" w:hAnsi="宋体" w:cs="宋体"/>
          <w:b/>
          <w:bCs/>
          <w:sz w:val="28"/>
        </w:rPr>
      </w:pPr>
      <w:bookmarkStart w:id="112" w:name="_Toc3275"/>
    </w:p>
    <w:p>
      <w:pPr>
        <w:spacing w:line="360" w:lineRule="auto"/>
        <w:jc w:val="center"/>
        <w:outlineLvl w:val="1"/>
        <w:rPr>
          <w:rFonts w:ascii="宋体" w:hAnsi="宋体" w:cs="宋体"/>
          <w:b/>
          <w:bCs/>
          <w:sz w:val="28"/>
        </w:rPr>
      </w:pPr>
    </w:p>
    <w:p>
      <w:pPr>
        <w:spacing w:line="360" w:lineRule="auto"/>
        <w:jc w:val="center"/>
        <w:outlineLvl w:val="1"/>
        <w:rPr>
          <w:rFonts w:ascii="宋体" w:hAnsi="宋体" w:cs="宋体"/>
          <w:b/>
          <w:bCs/>
          <w:sz w:val="28"/>
        </w:rPr>
      </w:pPr>
    </w:p>
    <w:p>
      <w:pPr>
        <w:pStyle w:val="7"/>
        <w:spacing w:line="360" w:lineRule="auto"/>
        <w:rPr>
          <w:rFonts w:ascii="宋体" w:hAnsi="宋体" w:cs="宋体"/>
        </w:rPr>
      </w:pPr>
    </w:p>
    <w:p>
      <w:pPr>
        <w:spacing w:line="360" w:lineRule="auto"/>
        <w:jc w:val="center"/>
        <w:outlineLvl w:val="1"/>
        <w:rPr>
          <w:rFonts w:ascii="宋体" w:hAnsi="宋体" w:cs="宋体"/>
          <w:b/>
          <w:bCs/>
          <w:sz w:val="28"/>
        </w:rPr>
      </w:pPr>
    </w:p>
    <w:p>
      <w:pPr>
        <w:pStyle w:val="4"/>
        <w:rPr>
          <w:rFonts w:ascii="宋体" w:hAnsi="宋体" w:cs="宋体"/>
        </w:rPr>
      </w:pPr>
      <w:bookmarkStart w:id="113" w:name="_Toc8872"/>
      <w:bookmarkStart w:id="114" w:name="_Toc13472"/>
      <w:bookmarkStart w:id="115" w:name="_Toc22452"/>
      <w:bookmarkStart w:id="116" w:name="_Toc24009"/>
      <w:bookmarkStart w:id="117" w:name="_Hlk48767471"/>
      <w:r>
        <w:rPr>
          <w:rFonts w:hint="eastAsia" w:ascii="宋体" w:hAnsi="宋体" w:cs="宋体"/>
        </w:rPr>
        <w:t>二、磋商一览表</w:t>
      </w:r>
      <w:bookmarkEnd w:id="112"/>
      <w:bookmarkEnd w:id="113"/>
      <w:bookmarkEnd w:id="114"/>
      <w:bookmarkEnd w:id="115"/>
      <w:bookmarkEnd w:id="116"/>
    </w:p>
    <w:bookmarkEnd w:id="117"/>
    <w:p>
      <w:pPr>
        <w:spacing w:line="360" w:lineRule="auto"/>
        <w:ind w:firstLine="3345" w:firstLineChars="1190"/>
        <w:rPr>
          <w:rFonts w:ascii="宋体" w:hAnsi="宋体" w:cs="宋体"/>
          <w:b/>
          <w:sz w:val="28"/>
          <w:szCs w:val="28"/>
        </w:rPr>
      </w:pPr>
    </w:p>
    <w:tbl>
      <w:tblPr>
        <w:tblStyle w:val="20"/>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6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1"/>
                <w:szCs w:val="21"/>
              </w:rPr>
            </w:pPr>
            <w:r>
              <w:rPr>
                <w:rFonts w:hint="eastAsia" w:ascii="宋体" w:hAnsi="宋体" w:cs="宋体"/>
                <w:szCs w:val="21"/>
              </w:rPr>
              <w:t>项目编号</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1"/>
                <w:szCs w:val="21"/>
              </w:rPr>
            </w:pPr>
            <w:r>
              <w:rPr>
                <w:rFonts w:hint="eastAsia" w:ascii="宋体" w:hAnsi="宋体" w:cs="宋体"/>
                <w:szCs w:val="21"/>
                <w:u w:val="none"/>
              </w:rPr>
              <w:t>项目名称</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1"/>
                <w:szCs w:val="21"/>
              </w:rPr>
            </w:pPr>
            <w:r>
              <w:rPr>
                <w:rFonts w:hint="eastAsia" w:ascii="宋体" w:hAnsi="宋体" w:cs="宋体"/>
                <w:szCs w:val="21"/>
              </w:rPr>
              <w:t>总报价</w:t>
            </w:r>
          </w:p>
          <w:p>
            <w:pPr>
              <w:spacing w:line="360" w:lineRule="auto"/>
              <w:jc w:val="center"/>
              <w:rPr>
                <w:rFonts w:ascii="宋体" w:hAnsi="宋体" w:cs="宋体"/>
                <w:sz w:val="21"/>
                <w:szCs w:val="21"/>
              </w:rPr>
            </w:pPr>
            <w:r>
              <w:rPr>
                <w:rFonts w:hint="eastAsia" w:ascii="宋体" w:hAnsi="宋体" w:cs="宋体"/>
                <w:szCs w:val="21"/>
              </w:rPr>
              <w:t>（人民币）</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1"/>
                <w:szCs w:val="21"/>
              </w:rPr>
            </w:pPr>
            <w:r>
              <w:rPr>
                <w:rFonts w:hint="eastAsia" w:ascii="宋体" w:hAnsi="宋体" w:cs="宋体"/>
                <w:szCs w:val="21"/>
              </w:rPr>
              <w:t>小写金额：</w:t>
            </w:r>
            <w:r>
              <w:rPr>
                <w:rFonts w:hint="eastAsia" w:ascii="宋体" w:hAnsi="宋体" w:cs="宋体"/>
                <w:szCs w:val="21"/>
                <w:u w:val="single"/>
              </w:rPr>
              <w:t xml:space="preserve">    </w:t>
            </w:r>
            <w:r>
              <w:rPr>
                <w:rFonts w:hint="eastAsia" w:ascii="宋体" w:hAnsi="宋体" w:cs="宋体"/>
                <w:szCs w:val="21"/>
              </w:rPr>
              <w:t>元。</w:t>
            </w:r>
          </w:p>
          <w:p>
            <w:pPr>
              <w:spacing w:line="360" w:lineRule="auto"/>
              <w:jc w:val="center"/>
              <w:rPr>
                <w:rFonts w:ascii="宋体" w:hAnsi="宋体" w:cs="宋体"/>
                <w:sz w:val="21"/>
                <w:szCs w:val="21"/>
              </w:rPr>
            </w:pPr>
            <w:r>
              <w:rPr>
                <w:rFonts w:hint="eastAsia" w:ascii="宋体" w:hAnsi="宋体" w:cs="宋体"/>
                <w:szCs w:val="21"/>
              </w:rPr>
              <w:t>大写金额：</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交付期</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3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1"/>
                <w:szCs w:val="21"/>
              </w:rPr>
            </w:pPr>
            <w:r>
              <w:rPr>
                <w:rFonts w:hint="eastAsia" w:ascii="宋体" w:hAnsi="宋体" w:cs="宋体"/>
                <w:szCs w:val="21"/>
                <w:lang w:val="en-US" w:eastAsia="zh-CN"/>
              </w:rPr>
              <w:t>租赁</w:t>
            </w:r>
            <w:r>
              <w:rPr>
                <w:rFonts w:hint="eastAsia" w:ascii="宋体" w:hAnsi="宋体" w:cs="宋体"/>
                <w:szCs w:val="21"/>
              </w:rPr>
              <w:t>服务期</w:t>
            </w:r>
          </w:p>
        </w:tc>
        <w:tc>
          <w:tcPr>
            <w:tcW w:w="64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74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1"/>
                <w:szCs w:val="21"/>
              </w:rPr>
            </w:pPr>
            <w:r>
              <w:rPr>
                <w:rFonts w:hint="eastAsia" w:ascii="宋体" w:hAnsi="宋体" w:cs="宋体"/>
              </w:rPr>
              <w:t>备注：表内报价内容以元为单位，保留小数点后两位。</w:t>
            </w:r>
          </w:p>
        </w:tc>
      </w:tr>
    </w:tbl>
    <w:p>
      <w:pPr>
        <w:spacing w:line="360" w:lineRule="auto"/>
        <w:rPr>
          <w:rFonts w:ascii="宋体" w:hAnsi="宋体" w:cs="宋体"/>
          <w:szCs w:val="21"/>
        </w:rPr>
      </w:pPr>
    </w:p>
    <w:p>
      <w:pPr>
        <w:pStyle w:val="9"/>
        <w:rPr>
          <w:rFonts w:ascii="宋体" w:hAnsi="宋体" w:cs="宋体"/>
        </w:rPr>
      </w:pPr>
    </w:p>
    <w:p>
      <w:pPr>
        <w:snapToGrid w:val="0"/>
        <w:spacing w:beforeLines="150" w:line="360" w:lineRule="auto"/>
        <w:ind w:firstLine="480" w:firstLineChars="200"/>
        <w:rPr>
          <w:rFonts w:ascii="宋体" w:hAnsi="宋体" w:cs="宋体"/>
          <w:sz w:val="21"/>
          <w:szCs w:val="21"/>
        </w:rPr>
      </w:pPr>
      <w:r>
        <w:rPr>
          <w:rFonts w:hint="eastAsia" w:ascii="宋体" w:hAnsi="宋体" w:cs="宋体"/>
          <w:szCs w:val="21"/>
        </w:rPr>
        <w:t>供应商名称：</w:t>
      </w:r>
      <w:r>
        <w:rPr>
          <w:rFonts w:hint="eastAsia" w:ascii="宋体" w:hAnsi="宋体" w:cs="宋体"/>
          <w:szCs w:val="21"/>
          <w:u w:val="single"/>
        </w:rPr>
        <w:t xml:space="preserve">                                      （盖章）</w:t>
      </w:r>
    </w:p>
    <w:p>
      <w:pPr>
        <w:spacing w:line="360" w:lineRule="auto"/>
        <w:rPr>
          <w:rFonts w:ascii="宋体" w:hAnsi="宋体" w:cs="宋体"/>
          <w:szCs w:val="21"/>
        </w:rPr>
      </w:pPr>
    </w:p>
    <w:p>
      <w:pPr>
        <w:spacing w:line="360" w:lineRule="auto"/>
        <w:ind w:firstLine="480" w:firstLineChars="200"/>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（签字或盖章）</w:t>
      </w:r>
    </w:p>
    <w:p>
      <w:pPr>
        <w:spacing w:line="360" w:lineRule="auto"/>
        <w:rPr>
          <w:rFonts w:ascii="宋体" w:hAnsi="宋体" w:cs="宋体"/>
          <w:szCs w:val="21"/>
          <w:u w:val="single"/>
        </w:rPr>
      </w:pPr>
    </w:p>
    <w:p>
      <w:pPr>
        <w:spacing w:line="360" w:lineRule="auto"/>
        <w:ind w:firstLine="480" w:firstLineChars="200"/>
        <w:rPr>
          <w:rFonts w:ascii="宋体" w:hAnsi="宋体" w:cs="宋体"/>
          <w:szCs w:val="21"/>
        </w:rPr>
        <w:sectPr>
          <w:headerReference r:id="rId14" w:type="first"/>
          <w:footerReference r:id="rId16" w:type="first"/>
          <w:headerReference r:id="rId13" w:type="default"/>
          <w:footerReference r:id="rId15" w:type="default"/>
          <w:pgSz w:w="11907" w:h="16840"/>
          <w:pgMar w:top="1417" w:right="1440" w:bottom="1417" w:left="1417" w:header="850" w:footer="1020" w:gutter="0"/>
          <w:cols w:space="0" w:num="1"/>
          <w:titlePg/>
          <w:docGrid w:linePitch="312" w:charSpace="0"/>
        </w:sectPr>
      </w:pPr>
      <w:r>
        <w:rPr>
          <w:rFonts w:hint="eastAsia" w:ascii="宋体" w:hAnsi="宋体" w:cs="宋体"/>
          <w:szCs w:val="21"/>
        </w:rPr>
        <w:t>日       期：  年  月  日</w:t>
      </w:r>
    </w:p>
    <w:p>
      <w:pPr>
        <w:pStyle w:val="32"/>
        <w:spacing w:line="360" w:lineRule="auto"/>
        <w:ind w:firstLine="0" w:firstLineChars="0"/>
        <w:outlineLvl w:val="1"/>
        <w:rPr>
          <w:rFonts w:ascii="宋体" w:hAnsi="宋体" w:cs="宋体"/>
          <w:b/>
          <w:sz w:val="30"/>
          <w:szCs w:val="30"/>
        </w:rPr>
      </w:pPr>
      <w:bookmarkStart w:id="118" w:name="_Toc9029"/>
      <w:bookmarkStart w:id="119" w:name="_Toc458617473"/>
      <w:bookmarkStart w:id="120" w:name="_Toc17170"/>
      <w:bookmarkStart w:id="121" w:name="_Toc2461"/>
      <w:bookmarkStart w:id="122" w:name="_Toc10249"/>
      <w:bookmarkStart w:id="123" w:name="_Toc23041"/>
      <w:bookmarkStart w:id="124" w:name="_Toc170980457"/>
      <w:bookmarkStart w:id="125" w:name="_Toc169838536"/>
      <w:bookmarkStart w:id="126" w:name="_Toc167591496"/>
      <w:bookmarkStart w:id="127" w:name="_Toc167590779"/>
      <w:bookmarkStart w:id="128" w:name="_Toc193187101"/>
      <w:bookmarkStart w:id="129" w:name="_Toc169846780"/>
      <w:bookmarkStart w:id="130" w:name="_Toc167591148"/>
      <w:bookmarkStart w:id="131" w:name="_Toc188808836"/>
      <w:bookmarkStart w:id="132" w:name="_Toc175033596"/>
      <w:bookmarkStart w:id="133" w:name="_Toc167591047"/>
      <w:bookmarkStart w:id="134" w:name="_Toc170980556"/>
      <w:bookmarkStart w:id="135" w:name="_Toc167849364"/>
      <w:bookmarkStart w:id="136" w:name="_Toc173549982"/>
      <w:bookmarkStart w:id="137" w:name="_Toc154482483"/>
      <w:bookmarkStart w:id="138" w:name="_Toc193126885"/>
      <w:bookmarkStart w:id="139" w:name="_Toc169846877"/>
      <w:bookmarkStart w:id="140" w:name="_Toc175032441"/>
      <w:bookmarkStart w:id="141" w:name="_Toc194663922"/>
      <w:bookmarkStart w:id="142" w:name="_Toc167591334"/>
      <w:r>
        <w:rPr>
          <w:rFonts w:hint="eastAsia" w:ascii="宋体" w:hAnsi="宋体" w:cs="宋体"/>
          <w:b/>
          <w:sz w:val="30"/>
          <w:szCs w:val="30"/>
        </w:rPr>
        <w:t>三、投标分项报价</w:t>
      </w:r>
      <w:bookmarkEnd w:id="118"/>
      <w:bookmarkEnd w:id="119"/>
      <w:bookmarkEnd w:id="120"/>
      <w:bookmarkEnd w:id="121"/>
      <w:bookmarkEnd w:id="122"/>
      <w:bookmarkEnd w:id="123"/>
    </w:p>
    <w:p>
      <w:pPr>
        <w:jc w:val="center"/>
        <w:rPr>
          <w:rFonts w:ascii="宋体" w:hAnsi="宋体" w:cs="宋体"/>
          <w:b/>
          <w:sz w:val="30"/>
          <w:szCs w:val="30"/>
        </w:rPr>
      </w:pPr>
    </w:p>
    <w:p>
      <w:pPr>
        <w:jc w:val="center"/>
        <w:rPr>
          <w:rFonts w:ascii="宋体" w:hAnsi="宋体" w:cs="宋体"/>
          <w:b/>
          <w:sz w:val="30"/>
          <w:szCs w:val="30"/>
        </w:rPr>
      </w:pPr>
      <w:r>
        <w:rPr>
          <w:rFonts w:hint="eastAsia" w:ascii="宋体" w:hAnsi="宋体" w:cs="宋体"/>
          <w:bCs/>
          <w:sz w:val="30"/>
          <w:szCs w:val="30"/>
        </w:rPr>
        <w:t>（格式自拟）</w:t>
      </w:r>
      <w:r>
        <w:rPr>
          <w:rFonts w:hint="eastAsia" w:ascii="宋体" w:hAnsi="宋体" w:cs="宋体"/>
          <w:b/>
          <w:sz w:val="30"/>
          <w:szCs w:val="30"/>
        </w:rPr>
        <w:br w:type="page"/>
      </w:r>
    </w:p>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Pr>
        <w:pStyle w:val="32"/>
        <w:spacing w:line="360" w:lineRule="auto"/>
        <w:ind w:firstLine="0" w:firstLineChars="0"/>
        <w:outlineLvl w:val="1"/>
        <w:rPr>
          <w:rFonts w:ascii="宋体" w:hAnsi="宋体" w:cs="宋体"/>
          <w:b/>
        </w:rPr>
      </w:pPr>
      <w:bookmarkStart w:id="143" w:name="_Toc17630"/>
      <w:bookmarkStart w:id="144" w:name="_Toc11428"/>
      <w:bookmarkStart w:id="145" w:name="_Toc25685"/>
      <w:r>
        <w:rPr>
          <w:rFonts w:hint="eastAsia" w:ascii="宋体" w:hAnsi="宋体" w:cs="宋体"/>
          <w:b/>
          <w:sz w:val="30"/>
          <w:szCs w:val="30"/>
        </w:rPr>
        <w:t>四、技术规格响应偏离表（</w:t>
      </w:r>
      <w:r>
        <w:rPr>
          <w:rFonts w:hint="eastAsia" w:ascii="宋体" w:hAnsi="宋体" w:cs="宋体"/>
          <w:sz w:val="24"/>
        </w:rPr>
        <w:t>格式）</w:t>
      </w:r>
      <w:bookmarkEnd w:id="143"/>
      <w:bookmarkEnd w:id="144"/>
      <w:bookmarkEnd w:id="145"/>
    </w:p>
    <w:p>
      <w:pPr>
        <w:spacing w:line="360" w:lineRule="auto"/>
        <w:jc w:val="left"/>
        <w:rPr>
          <w:rFonts w:ascii="宋体" w:hAnsi="宋体" w:cs="宋体"/>
          <w:szCs w:val="24"/>
          <w:u w:val="single"/>
        </w:rPr>
      </w:pPr>
      <w:r>
        <w:rPr>
          <w:rFonts w:hint="eastAsia" w:ascii="宋体" w:hAnsi="宋体" w:cs="宋体"/>
          <w:szCs w:val="24"/>
          <w:lang w:val="en-US" w:eastAsia="zh-CN"/>
        </w:rPr>
        <w:t>项目</w:t>
      </w:r>
      <w:r>
        <w:rPr>
          <w:rFonts w:hint="eastAsia" w:ascii="宋体" w:hAnsi="宋体" w:cs="宋体"/>
          <w:szCs w:val="24"/>
        </w:rPr>
        <w:t>名称：</w:t>
      </w:r>
      <w:r>
        <w:rPr>
          <w:rFonts w:hint="eastAsia" w:ascii="宋体" w:hAnsi="宋体" w:cs="宋体"/>
          <w:szCs w:val="24"/>
          <w:u w:val="single"/>
        </w:rPr>
        <w:t xml:space="preserve">                    </w:t>
      </w:r>
      <w:r>
        <w:rPr>
          <w:rFonts w:hint="eastAsia" w:ascii="宋体" w:hAnsi="宋体" w:cs="宋体"/>
          <w:szCs w:val="24"/>
        </w:rPr>
        <w:t xml:space="preserve">            项目编号：</w:t>
      </w:r>
      <w:r>
        <w:rPr>
          <w:rFonts w:hint="eastAsia" w:ascii="宋体" w:hAnsi="宋体" w:cs="宋体"/>
          <w:szCs w:val="24"/>
          <w:u w:val="single"/>
        </w:rPr>
        <w:t xml:space="preserve">                  </w:t>
      </w:r>
    </w:p>
    <w:tbl>
      <w:tblPr>
        <w:tblStyle w:val="20"/>
        <w:tblpPr w:leftFromText="180" w:rightFromText="180" w:vertAnchor="text" w:horzAnchor="margin" w:tblpY="162"/>
        <w:tblOverlap w:val="never"/>
        <w:tblW w:w="893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248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46" w:leftChars="19"/>
              <w:jc w:val="center"/>
              <w:rPr>
                <w:rFonts w:ascii="宋体" w:hAnsi="宋体" w:cs="宋体"/>
                <w:b/>
                <w:szCs w:val="24"/>
              </w:rPr>
            </w:pPr>
            <w:r>
              <w:rPr>
                <w:rFonts w:hint="eastAsia" w:ascii="宋体" w:hAnsi="宋体" w:cs="宋体"/>
                <w:b/>
                <w:szCs w:val="24"/>
              </w:rPr>
              <w:t>序号</w:t>
            </w:r>
          </w:p>
        </w:tc>
        <w:tc>
          <w:tcPr>
            <w:tcW w:w="2794" w:type="dxa"/>
            <w:tcMar>
              <w:top w:w="57" w:type="dxa"/>
              <w:left w:w="28" w:type="dxa"/>
              <w:bottom w:w="57" w:type="dxa"/>
              <w:right w:w="28" w:type="dxa"/>
            </w:tcMar>
            <w:vAlign w:val="center"/>
          </w:tcPr>
          <w:p>
            <w:pPr>
              <w:spacing w:line="360" w:lineRule="auto"/>
              <w:rPr>
                <w:rFonts w:ascii="宋体" w:hAnsi="宋体" w:cs="宋体"/>
                <w:b/>
                <w:szCs w:val="24"/>
              </w:rPr>
            </w:pPr>
            <w:r>
              <w:rPr>
                <w:rFonts w:hint="eastAsia" w:ascii="宋体" w:hAnsi="宋体" w:cs="宋体"/>
                <w:b/>
                <w:szCs w:val="24"/>
              </w:rPr>
              <w:t>竞争性磋商文件技术需求</w:t>
            </w:r>
          </w:p>
        </w:tc>
        <w:tc>
          <w:tcPr>
            <w:tcW w:w="2659" w:type="dxa"/>
            <w:tcMar>
              <w:top w:w="57" w:type="dxa"/>
              <w:left w:w="28" w:type="dxa"/>
              <w:bottom w:w="57" w:type="dxa"/>
              <w:right w:w="28" w:type="dxa"/>
            </w:tcMar>
            <w:vAlign w:val="center"/>
          </w:tcPr>
          <w:p>
            <w:pPr>
              <w:spacing w:line="360" w:lineRule="auto"/>
              <w:jc w:val="center"/>
              <w:rPr>
                <w:rFonts w:ascii="宋体" w:hAnsi="宋体" w:cs="宋体"/>
                <w:b/>
                <w:szCs w:val="24"/>
              </w:rPr>
            </w:pPr>
            <w:r>
              <w:rPr>
                <w:rFonts w:hint="eastAsia" w:ascii="宋体" w:hAnsi="宋体" w:cs="宋体"/>
                <w:b/>
                <w:szCs w:val="24"/>
              </w:rPr>
              <w:t>响应文件技术响应</w:t>
            </w:r>
          </w:p>
        </w:tc>
        <w:tc>
          <w:tcPr>
            <w:tcW w:w="2485" w:type="dxa"/>
            <w:tcMar>
              <w:top w:w="57" w:type="dxa"/>
              <w:left w:w="28" w:type="dxa"/>
              <w:bottom w:w="57" w:type="dxa"/>
              <w:right w:w="28" w:type="dxa"/>
            </w:tcMar>
            <w:vAlign w:val="center"/>
          </w:tcPr>
          <w:p>
            <w:pPr>
              <w:spacing w:line="360" w:lineRule="auto"/>
              <w:jc w:val="center"/>
              <w:rPr>
                <w:rFonts w:ascii="宋体" w:hAnsi="宋体" w:cs="宋体"/>
                <w:b/>
                <w:szCs w:val="24"/>
              </w:rPr>
            </w:pPr>
            <w:r>
              <w:rPr>
                <w:rFonts w:hint="eastAsia" w:ascii="宋体" w:hAnsi="宋体" w:cs="宋体"/>
                <w:b/>
                <w:szCs w:val="24"/>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Borders>
              <w:bottom w:val="single" w:color="auto" w:sz="4" w:space="0"/>
            </w:tcBorders>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79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659"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485" w:type="dxa"/>
            <w:tcMar>
              <w:top w:w="57" w:type="dxa"/>
              <w:left w:w="28" w:type="dxa"/>
              <w:bottom w:w="57" w:type="dxa"/>
              <w:right w:w="28" w:type="dxa"/>
            </w:tcMar>
            <w:vAlign w:val="center"/>
          </w:tcPr>
          <w:p>
            <w:pPr>
              <w:spacing w:line="360" w:lineRule="auto"/>
              <w:rPr>
                <w:rFonts w:ascii="宋体" w:hAnsi="宋体" w:cs="宋体"/>
                <w:szCs w:val="24"/>
              </w:rPr>
            </w:pPr>
          </w:p>
        </w:tc>
      </w:tr>
    </w:tbl>
    <w:p>
      <w:pPr>
        <w:spacing w:line="360" w:lineRule="auto"/>
        <w:rPr>
          <w:rFonts w:ascii="宋体" w:hAnsi="宋体" w:cs="宋体"/>
          <w:b/>
          <w:szCs w:val="24"/>
        </w:rPr>
      </w:pPr>
    </w:p>
    <w:p>
      <w:pPr>
        <w:spacing w:line="360" w:lineRule="auto"/>
        <w:ind w:firstLine="480" w:firstLineChars="200"/>
        <w:rPr>
          <w:rFonts w:ascii="宋体" w:hAnsi="宋体" w:cs="宋体"/>
          <w:szCs w:val="24"/>
        </w:rPr>
      </w:pPr>
      <w:r>
        <w:rPr>
          <w:rFonts w:hint="eastAsia" w:ascii="宋体" w:hAnsi="宋体" w:cs="宋体"/>
          <w:szCs w:val="24"/>
        </w:rPr>
        <w:t>注：偏离情况写“正偏离”、“负偏离”、“响应”。</w:t>
      </w:r>
    </w:p>
    <w:p>
      <w:pPr>
        <w:spacing w:line="360" w:lineRule="auto"/>
        <w:ind w:firstLine="480" w:firstLineChars="200"/>
        <w:rPr>
          <w:rFonts w:hint="eastAsia" w:ascii="宋体" w:hAnsi="宋体" w:cs="宋体"/>
          <w:szCs w:val="24"/>
          <w:lang w:val="zh-CN"/>
        </w:rPr>
      </w:pPr>
      <w:r>
        <w:rPr>
          <w:rFonts w:hint="eastAsia" w:ascii="宋体" w:hAnsi="宋体" w:cs="宋体"/>
          <w:szCs w:val="24"/>
          <w:lang w:val="zh-CN"/>
        </w:rPr>
        <w:t xml:space="preserve">供应商名称： </w:t>
      </w:r>
      <w:r>
        <w:rPr>
          <w:rFonts w:hint="eastAsia" w:ascii="宋体" w:hAnsi="宋体" w:cs="宋体"/>
          <w:szCs w:val="24"/>
          <w:u w:val="single"/>
        </w:rPr>
        <w:t xml:space="preserve">         </w:t>
      </w:r>
      <w:r>
        <w:rPr>
          <w:rFonts w:hint="eastAsia" w:ascii="宋体" w:hAnsi="宋体" w:cs="宋体"/>
          <w:szCs w:val="24"/>
        </w:rPr>
        <w:t>（供应商单位公章）</w:t>
      </w:r>
      <w:r>
        <w:rPr>
          <w:rFonts w:hint="eastAsia" w:ascii="宋体" w:hAnsi="宋体" w:cs="宋体"/>
          <w:szCs w:val="24"/>
          <w:lang w:val="zh-CN"/>
        </w:rPr>
        <w:t xml:space="preserve">               </w:t>
      </w:r>
    </w:p>
    <w:p>
      <w:pPr>
        <w:spacing w:line="360" w:lineRule="auto"/>
        <w:ind w:firstLine="480" w:firstLineChars="200"/>
        <w:rPr>
          <w:rFonts w:ascii="宋体" w:hAnsi="宋体" w:cs="宋体"/>
          <w:szCs w:val="24"/>
        </w:rPr>
      </w:pPr>
      <w:r>
        <w:rPr>
          <w:rFonts w:hint="eastAsia" w:ascii="宋体" w:hAnsi="宋体" w:cs="宋体"/>
          <w:szCs w:val="24"/>
          <w:lang w:val="zh-CN"/>
        </w:rPr>
        <w:t>法定代表人或被授权人（签字或盖章）</w:t>
      </w:r>
      <w:r>
        <w:rPr>
          <w:rFonts w:hint="eastAsia" w:ascii="宋体" w:hAnsi="宋体" w:cs="宋体"/>
          <w:szCs w:val="24"/>
        </w:rPr>
        <w:t>：</w:t>
      </w:r>
      <w:r>
        <w:rPr>
          <w:rFonts w:hint="eastAsia" w:ascii="宋体" w:hAnsi="宋体" w:cs="宋体"/>
          <w:szCs w:val="24"/>
          <w:u w:val="single"/>
        </w:rPr>
        <w:t xml:space="preserve"> </w:t>
      </w:r>
      <w:r>
        <w:rPr>
          <w:rFonts w:hint="eastAsia" w:ascii="宋体" w:hAnsi="宋体" w:cs="宋体"/>
          <w:szCs w:val="24"/>
          <w:u w:val="single"/>
          <w:lang w:val="en-US" w:eastAsia="zh-CN"/>
        </w:rPr>
        <w:t xml:space="preserve">  </w:t>
      </w:r>
      <w:r>
        <w:rPr>
          <w:rFonts w:hint="eastAsia" w:ascii="宋体" w:hAnsi="宋体" w:cs="宋体"/>
          <w:szCs w:val="24"/>
          <w:u w:val="single"/>
        </w:rPr>
        <w:t xml:space="preserve"> </w:t>
      </w:r>
    </w:p>
    <w:p>
      <w:pPr>
        <w:spacing w:line="360" w:lineRule="auto"/>
        <w:ind w:firstLine="360" w:firstLineChars="150"/>
        <w:rPr>
          <w:rFonts w:ascii="宋体" w:hAnsi="宋体" w:cs="宋体"/>
          <w:szCs w:val="24"/>
          <w:u w:val="single"/>
        </w:rPr>
      </w:pPr>
      <w:r>
        <w:rPr>
          <w:rFonts w:hint="eastAsia" w:ascii="宋体" w:hAnsi="宋体" w:cs="宋体"/>
          <w:szCs w:val="24"/>
        </w:rPr>
        <w:t xml:space="preserve"> 日 期：</w:t>
      </w:r>
      <w:bookmarkStart w:id="146" w:name="_Toc193126887"/>
      <w:bookmarkStart w:id="147" w:name="_Toc193187103"/>
      <w:bookmarkStart w:id="148" w:name="_Toc188808838"/>
      <w:bookmarkStart w:id="149" w:name="_Toc194663924"/>
      <w:r>
        <w:rPr>
          <w:rFonts w:hint="eastAsia" w:ascii="宋体" w:hAnsi="宋体" w:cs="宋体"/>
          <w:szCs w:val="24"/>
        </w:rPr>
        <w:t xml:space="preserve"> </w:t>
      </w:r>
      <w:r>
        <w:rPr>
          <w:rFonts w:hint="eastAsia" w:ascii="宋体" w:hAnsi="宋体" w:cs="宋体"/>
          <w:u w:val="single"/>
        </w:rPr>
        <w:t xml:space="preserve">            </w:t>
      </w:r>
    </w:p>
    <w:p>
      <w:pPr>
        <w:pStyle w:val="32"/>
        <w:spacing w:line="360" w:lineRule="auto"/>
        <w:ind w:firstLineChars="71"/>
        <w:rPr>
          <w:rFonts w:ascii="宋体" w:hAnsi="宋体" w:cs="宋体"/>
          <w:b/>
        </w:rPr>
      </w:pPr>
      <w:bookmarkStart w:id="150" w:name="_Toc458617476"/>
      <w:bookmarkStart w:id="151" w:name="_Toc2240"/>
      <w:bookmarkStart w:id="152" w:name="_Toc11969"/>
    </w:p>
    <w:p>
      <w:pPr>
        <w:pStyle w:val="32"/>
        <w:spacing w:line="360" w:lineRule="auto"/>
        <w:ind w:firstLineChars="71"/>
        <w:rPr>
          <w:rFonts w:ascii="宋体" w:hAnsi="宋体" w:cs="宋体"/>
          <w:b/>
        </w:rPr>
      </w:pPr>
    </w:p>
    <w:p>
      <w:pPr>
        <w:pStyle w:val="32"/>
        <w:spacing w:line="360" w:lineRule="auto"/>
        <w:ind w:firstLineChars="71"/>
        <w:rPr>
          <w:rFonts w:ascii="宋体" w:hAnsi="宋体" w:cs="宋体"/>
          <w:b/>
        </w:rPr>
      </w:pPr>
    </w:p>
    <w:p>
      <w:pPr>
        <w:pStyle w:val="32"/>
        <w:spacing w:line="360" w:lineRule="auto"/>
        <w:ind w:firstLineChars="71"/>
        <w:rPr>
          <w:rFonts w:ascii="宋体" w:hAnsi="宋体" w:cs="宋体"/>
          <w:b/>
        </w:rPr>
      </w:pPr>
    </w:p>
    <w:p>
      <w:pPr>
        <w:pStyle w:val="32"/>
        <w:spacing w:line="360" w:lineRule="auto"/>
        <w:ind w:firstLine="214" w:firstLineChars="71"/>
        <w:outlineLvl w:val="1"/>
        <w:rPr>
          <w:rFonts w:ascii="宋体" w:hAnsi="宋体" w:cs="宋体"/>
          <w:b/>
        </w:rPr>
      </w:pPr>
      <w:bookmarkStart w:id="153" w:name="_Toc13313"/>
      <w:bookmarkStart w:id="154" w:name="_Toc30834"/>
      <w:bookmarkStart w:id="155" w:name="_Toc31254"/>
      <w:r>
        <w:rPr>
          <w:rFonts w:hint="eastAsia" w:ascii="宋体" w:hAnsi="宋体" w:cs="宋体"/>
          <w:b/>
          <w:sz w:val="30"/>
          <w:szCs w:val="30"/>
        </w:rPr>
        <w:t>五、商务条款响应偏离表</w:t>
      </w:r>
      <w:bookmarkEnd w:id="146"/>
      <w:bookmarkEnd w:id="147"/>
      <w:bookmarkEnd w:id="148"/>
      <w:bookmarkEnd w:id="149"/>
      <w:bookmarkEnd w:id="150"/>
      <w:bookmarkEnd w:id="151"/>
      <w:bookmarkEnd w:id="152"/>
      <w:r>
        <w:rPr>
          <w:rFonts w:hint="eastAsia" w:ascii="宋体" w:hAnsi="宋体" w:cs="宋体"/>
          <w:sz w:val="24"/>
        </w:rPr>
        <w:t>（格式）</w:t>
      </w:r>
      <w:bookmarkEnd w:id="153"/>
      <w:bookmarkEnd w:id="154"/>
      <w:bookmarkEnd w:id="155"/>
    </w:p>
    <w:p>
      <w:pPr>
        <w:spacing w:line="360" w:lineRule="auto"/>
        <w:rPr>
          <w:rFonts w:ascii="宋体" w:hAnsi="宋体" w:cs="宋体"/>
          <w:szCs w:val="24"/>
        </w:rPr>
      </w:pPr>
      <w:r>
        <w:rPr>
          <w:rFonts w:hint="eastAsia" w:ascii="宋体" w:hAnsi="宋体" w:cs="宋体"/>
          <w:szCs w:val="24"/>
          <w:lang w:val="en-US" w:eastAsia="zh-CN"/>
        </w:rPr>
        <w:t>项目</w:t>
      </w:r>
      <w:r>
        <w:rPr>
          <w:rFonts w:hint="eastAsia" w:ascii="宋体" w:hAnsi="宋体" w:cs="宋体"/>
          <w:szCs w:val="24"/>
        </w:rPr>
        <w:t>名称：</w:t>
      </w:r>
      <w:r>
        <w:rPr>
          <w:rFonts w:hint="eastAsia" w:ascii="宋体" w:hAnsi="宋体" w:cs="宋体"/>
          <w:szCs w:val="24"/>
          <w:u w:val="single"/>
        </w:rPr>
        <w:t xml:space="preserve">                    </w:t>
      </w:r>
      <w:r>
        <w:rPr>
          <w:rFonts w:hint="eastAsia" w:ascii="宋体" w:hAnsi="宋体" w:cs="宋体"/>
          <w:szCs w:val="24"/>
        </w:rPr>
        <w:t xml:space="preserve">            项目编号：</w:t>
      </w:r>
      <w:r>
        <w:rPr>
          <w:rFonts w:hint="eastAsia" w:ascii="宋体" w:hAnsi="宋体" w:cs="宋体"/>
          <w:szCs w:val="24"/>
          <w:u w:val="none"/>
        </w:rPr>
        <w:t xml:space="preserve">                    </w:t>
      </w:r>
    </w:p>
    <w:tbl>
      <w:tblPr>
        <w:tblStyle w:val="20"/>
        <w:tblW w:w="92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3234"/>
        <w:gridCol w:w="2835"/>
        <w:gridCol w:w="22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110" w:leftChars="-46"/>
              <w:jc w:val="center"/>
              <w:rPr>
                <w:rFonts w:ascii="宋体" w:hAnsi="宋体" w:cs="宋体"/>
                <w:b/>
                <w:szCs w:val="24"/>
              </w:rPr>
            </w:pPr>
            <w:r>
              <w:rPr>
                <w:rFonts w:hint="eastAsia" w:ascii="宋体" w:hAnsi="宋体" w:cs="宋体"/>
                <w:b/>
                <w:szCs w:val="24"/>
              </w:rPr>
              <w:t xml:space="preserve"> 序号</w:t>
            </w:r>
          </w:p>
        </w:tc>
        <w:tc>
          <w:tcPr>
            <w:tcW w:w="3234" w:type="dxa"/>
            <w:tcMar>
              <w:top w:w="57" w:type="dxa"/>
              <w:left w:w="28" w:type="dxa"/>
              <w:bottom w:w="57" w:type="dxa"/>
              <w:right w:w="28" w:type="dxa"/>
            </w:tcMar>
            <w:vAlign w:val="center"/>
          </w:tcPr>
          <w:p>
            <w:pPr>
              <w:spacing w:line="360" w:lineRule="auto"/>
              <w:ind w:left="240" w:leftChars="100"/>
              <w:jc w:val="center"/>
              <w:rPr>
                <w:rFonts w:ascii="宋体" w:hAnsi="宋体" w:cs="宋体"/>
                <w:b/>
                <w:szCs w:val="24"/>
              </w:rPr>
            </w:pPr>
            <w:r>
              <w:rPr>
                <w:rFonts w:hint="eastAsia" w:ascii="宋体" w:hAnsi="宋体" w:cs="宋体"/>
                <w:b/>
                <w:szCs w:val="24"/>
              </w:rPr>
              <w:t>竞争性磋商文件商务要求</w:t>
            </w:r>
          </w:p>
        </w:tc>
        <w:tc>
          <w:tcPr>
            <w:tcW w:w="2835" w:type="dxa"/>
            <w:tcMar>
              <w:top w:w="57" w:type="dxa"/>
              <w:left w:w="28" w:type="dxa"/>
              <w:bottom w:w="57" w:type="dxa"/>
              <w:right w:w="28" w:type="dxa"/>
            </w:tcMar>
            <w:vAlign w:val="center"/>
          </w:tcPr>
          <w:p>
            <w:pPr>
              <w:spacing w:line="360" w:lineRule="auto"/>
              <w:ind w:left="240" w:leftChars="100"/>
              <w:jc w:val="center"/>
              <w:rPr>
                <w:rFonts w:ascii="宋体" w:hAnsi="宋体" w:cs="宋体"/>
                <w:b/>
                <w:szCs w:val="24"/>
              </w:rPr>
            </w:pPr>
            <w:r>
              <w:rPr>
                <w:rFonts w:hint="eastAsia" w:ascii="宋体" w:hAnsi="宋体" w:cs="宋体"/>
                <w:b/>
                <w:szCs w:val="24"/>
              </w:rPr>
              <w:t>响应文件商务响应</w:t>
            </w:r>
          </w:p>
        </w:tc>
        <w:tc>
          <w:tcPr>
            <w:tcW w:w="2295" w:type="dxa"/>
            <w:tcMar>
              <w:top w:w="57" w:type="dxa"/>
              <w:left w:w="28" w:type="dxa"/>
              <w:bottom w:w="57" w:type="dxa"/>
              <w:right w:w="28" w:type="dxa"/>
            </w:tcMar>
            <w:vAlign w:val="center"/>
          </w:tcPr>
          <w:p>
            <w:pPr>
              <w:spacing w:line="360" w:lineRule="auto"/>
              <w:ind w:left="240" w:leftChars="100"/>
              <w:jc w:val="center"/>
              <w:rPr>
                <w:rFonts w:ascii="宋体" w:hAnsi="宋体" w:cs="宋体"/>
                <w:b/>
                <w:szCs w:val="24"/>
              </w:rPr>
            </w:pPr>
            <w:r>
              <w:rPr>
                <w:rFonts w:hint="eastAsia" w:ascii="宋体" w:hAnsi="宋体" w:cs="宋体"/>
                <w:b/>
                <w:szCs w:val="24"/>
              </w:rPr>
              <w:t>偏离情况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33"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3"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33"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Borders>
              <w:bottom w:val="single" w:color="auto" w:sz="4" w:space="0"/>
            </w:tcBorders>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3"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3234"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83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c>
          <w:tcPr>
            <w:tcW w:w="2295" w:type="dxa"/>
            <w:tcMar>
              <w:top w:w="57" w:type="dxa"/>
              <w:left w:w="28" w:type="dxa"/>
              <w:bottom w:w="57" w:type="dxa"/>
              <w:right w:w="28" w:type="dxa"/>
            </w:tcMar>
            <w:vAlign w:val="center"/>
          </w:tcPr>
          <w:p>
            <w:pPr>
              <w:spacing w:line="360" w:lineRule="auto"/>
              <w:ind w:left="240" w:leftChars="100"/>
              <w:rPr>
                <w:rFonts w:ascii="宋体" w:hAnsi="宋体" w:cs="宋体"/>
                <w:szCs w:val="24"/>
              </w:rPr>
            </w:pPr>
          </w:p>
        </w:tc>
      </w:tr>
    </w:tbl>
    <w:p>
      <w:pPr>
        <w:spacing w:line="360" w:lineRule="auto"/>
        <w:ind w:left="240" w:leftChars="100"/>
        <w:rPr>
          <w:rFonts w:ascii="宋体" w:hAnsi="宋体" w:cs="宋体"/>
          <w:szCs w:val="24"/>
        </w:rPr>
      </w:pPr>
    </w:p>
    <w:p>
      <w:pPr>
        <w:spacing w:line="360" w:lineRule="auto"/>
        <w:ind w:firstLine="480" w:firstLineChars="200"/>
        <w:rPr>
          <w:rFonts w:ascii="宋体" w:hAnsi="宋体" w:cs="宋体"/>
          <w:szCs w:val="24"/>
        </w:rPr>
      </w:pPr>
      <w:r>
        <w:rPr>
          <w:rFonts w:hint="eastAsia" w:ascii="宋体" w:hAnsi="宋体" w:cs="宋体"/>
          <w:szCs w:val="24"/>
        </w:rPr>
        <w:t>注：偏离情况写“正偏离”、“负偏离”、“响应”。</w:t>
      </w:r>
    </w:p>
    <w:p>
      <w:pPr>
        <w:spacing w:line="360" w:lineRule="auto"/>
        <w:ind w:left="240" w:leftChars="100"/>
        <w:rPr>
          <w:rFonts w:ascii="宋体" w:hAnsi="宋体" w:cs="宋体"/>
          <w:szCs w:val="24"/>
        </w:rPr>
      </w:pPr>
    </w:p>
    <w:p>
      <w:pPr>
        <w:spacing w:line="360" w:lineRule="auto"/>
        <w:ind w:firstLine="480" w:firstLineChars="200"/>
        <w:rPr>
          <w:rFonts w:hint="eastAsia" w:ascii="宋体" w:hAnsi="宋体" w:cs="宋体"/>
          <w:szCs w:val="24"/>
          <w:lang w:val="zh-CN"/>
        </w:rPr>
      </w:pPr>
      <w:r>
        <w:rPr>
          <w:rFonts w:hint="eastAsia" w:ascii="宋体" w:hAnsi="宋体" w:cs="宋体"/>
          <w:szCs w:val="24"/>
        </w:rPr>
        <w:t xml:space="preserve"> </w:t>
      </w:r>
      <w:r>
        <w:rPr>
          <w:rFonts w:hint="eastAsia" w:ascii="宋体" w:hAnsi="宋体" w:cs="宋体"/>
          <w:szCs w:val="24"/>
          <w:lang w:val="zh-CN"/>
        </w:rPr>
        <w:t xml:space="preserve">供应商名称： </w:t>
      </w:r>
      <w:r>
        <w:rPr>
          <w:rFonts w:hint="eastAsia" w:ascii="宋体" w:hAnsi="宋体" w:cs="宋体"/>
          <w:szCs w:val="24"/>
          <w:u w:val="single"/>
        </w:rPr>
        <w:t xml:space="preserve">         </w:t>
      </w:r>
      <w:r>
        <w:rPr>
          <w:rFonts w:hint="eastAsia" w:ascii="宋体" w:hAnsi="宋体" w:cs="宋体"/>
          <w:szCs w:val="24"/>
        </w:rPr>
        <w:t>（供应商单位公章）</w:t>
      </w:r>
      <w:r>
        <w:rPr>
          <w:rFonts w:hint="eastAsia" w:ascii="宋体" w:hAnsi="宋体" w:cs="宋体"/>
          <w:szCs w:val="24"/>
          <w:lang w:val="zh-CN"/>
        </w:rPr>
        <w:t xml:space="preserve">               </w:t>
      </w:r>
    </w:p>
    <w:p>
      <w:pPr>
        <w:spacing w:line="360" w:lineRule="auto"/>
        <w:ind w:firstLine="480" w:firstLineChars="200"/>
        <w:rPr>
          <w:rFonts w:ascii="宋体" w:hAnsi="宋体" w:cs="宋体"/>
          <w:szCs w:val="24"/>
        </w:rPr>
      </w:pPr>
      <w:r>
        <w:rPr>
          <w:rFonts w:hint="eastAsia" w:ascii="宋体" w:hAnsi="宋体" w:cs="宋体"/>
          <w:szCs w:val="24"/>
          <w:lang w:val="zh-CN"/>
        </w:rPr>
        <w:t>法定代表人或被授权人（签字或盖章）</w:t>
      </w:r>
      <w:r>
        <w:rPr>
          <w:rFonts w:hint="eastAsia" w:ascii="宋体" w:hAnsi="宋体" w:cs="宋体"/>
          <w:szCs w:val="24"/>
        </w:rPr>
        <w:t>：</w:t>
      </w:r>
      <w:r>
        <w:rPr>
          <w:rFonts w:hint="eastAsia" w:ascii="宋体" w:hAnsi="宋体" w:cs="宋体"/>
          <w:szCs w:val="24"/>
          <w:u w:val="single"/>
        </w:rPr>
        <w:t xml:space="preserve"> </w:t>
      </w:r>
      <w:r>
        <w:rPr>
          <w:rFonts w:hint="eastAsia" w:ascii="宋体" w:hAnsi="宋体" w:cs="宋体"/>
          <w:szCs w:val="24"/>
          <w:u w:val="single"/>
          <w:lang w:val="en-US" w:eastAsia="zh-CN"/>
        </w:rPr>
        <w:t xml:space="preserve">  </w:t>
      </w:r>
      <w:r>
        <w:rPr>
          <w:rFonts w:hint="eastAsia" w:ascii="宋体" w:hAnsi="宋体" w:cs="宋体"/>
          <w:szCs w:val="24"/>
          <w:u w:val="single"/>
        </w:rPr>
        <w:t xml:space="preserve"> </w:t>
      </w:r>
    </w:p>
    <w:p>
      <w:pPr>
        <w:spacing w:line="360" w:lineRule="auto"/>
        <w:ind w:firstLine="360" w:firstLineChars="150"/>
        <w:rPr>
          <w:rFonts w:ascii="宋体" w:hAnsi="宋体" w:cs="宋体"/>
          <w:szCs w:val="24"/>
          <w:u w:val="single"/>
        </w:rPr>
      </w:pPr>
      <w:r>
        <w:rPr>
          <w:rFonts w:hint="eastAsia" w:ascii="宋体" w:hAnsi="宋体" w:cs="宋体"/>
          <w:szCs w:val="24"/>
        </w:rPr>
        <w:t xml:space="preserve"> 日 期： </w:t>
      </w:r>
      <w:r>
        <w:rPr>
          <w:rFonts w:hint="eastAsia" w:ascii="宋体" w:hAnsi="宋体" w:cs="宋体"/>
          <w:u w:val="single"/>
        </w:rPr>
        <w:t xml:space="preserve">            </w:t>
      </w:r>
    </w:p>
    <w:p>
      <w:pPr>
        <w:spacing w:line="360" w:lineRule="auto"/>
        <w:ind w:left="240" w:leftChars="100" w:firstLine="120" w:firstLineChars="50"/>
        <w:rPr>
          <w:rFonts w:ascii="宋体" w:hAnsi="宋体" w:cs="宋体"/>
          <w:u w:val="single"/>
        </w:rPr>
      </w:pPr>
    </w:p>
    <w:p>
      <w:pPr>
        <w:widowControl/>
        <w:spacing w:line="360" w:lineRule="auto"/>
        <w:jc w:val="left"/>
        <w:rPr>
          <w:rFonts w:ascii="宋体" w:hAnsi="宋体" w:cs="宋体"/>
          <w:b/>
          <w:bCs/>
          <w:sz w:val="28"/>
        </w:rPr>
      </w:pPr>
      <w:r>
        <w:rPr>
          <w:rFonts w:hint="eastAsia" w:ascii="宋体" w:hAnsi="宋体" w:cs="宋体"/>
          <w:szCs w:val="21"/>
          <w:u w:val="single"/>
        </w:rPr>
        <w:br w:type="page"/>
      </w:r>
      <w:bookmarkStart w:id="156" w:name="_Toc20272"/>
      <w:bookmarkStart w:id="157" w:name="_Toc4163"/>
    </w:p>
    <w:p>
      <w:pPr>
        <w:outlineLvl w:val="2"/>
        <w:rPr>
          <w:rFonts w:ascii="宋体" w:hAnsi="宋体" w:cs="宋体"/>
          <w:b/>
          <w:kern w:val="0"/>
          <w:sz w:val="30"/>
          <w:szCs w:val="30"/>
        </w:rPr>
      </w:pPr>
      <w:bookmarkStart w:id="158" w:name="_Toc3935"/>
      <w:bookmarkStart w:id="159" w:name="_Hlk48767498"/>
      <w:bookmarkStart w:id="160" w:name="_Toc27769"/>
      <w:bookmarkStart w:id="161" w:name="_Toc22702"/>
      <w:r>
        <w:rPr>
          <w:rFonts w:hint="eastAsia" w:ascii="宋体" w:hAnsi="宋体" w:cs="宋体"/>
          <w:b/>
          <w:kern w:val="0"/>
          <w:sz w:val="30"/>
          <w:szCs w:val="30"/>
        </w:rPr>
        <w:t>六、磋商保证金交纳凭证</w:t>
      </w:r>
      <w:bookmarkEnd w:id="158"/>
    </w:p>
    <w:p>
      <w:pPr>
        <w:ind w:firstLine="480" w:firstLineChars="200"/>
        <w:rPr>
          <w:rFonts w:ascii="宋体" w:hAnsi="宋体" w:cs="宋体"/>
        </w:rPr>
      </w:pPr>
      <w:bookmarkStart w:id="162" w:name="_Toc31082"/>
    </w:p>
    <w:p>
      <w:pPr>
        <w:spacing w:line="360" w:lineRule="auto"/>
        <w:ind w:left="240" w:leftChars="100" w:firstLine="480" w:firstLineChars="200"/>
        <w:rPr>
          <w:rFonts w:ascii="宋体" w:hAnsi="宋体" w:cs="宋体"/>
          <w:szCs w:val="24"/>
        </w:rPr>
      </w:pPr>
      <w:r>
        <w:rPr>
          <w:rFonts w:hint="eastAsia" w:ascii="宋体" w:hAnsi="宋体" w:cs="宋体"/>
          <w:szCs w:val="24"/>
        </w:rPr>
        <w:t>保证金以纸质银行保函方式交纳的，提供采购人开具的保函回执复印件并加盖供应商公章。</w:t>
      </w:r>
      <w:bookmarkEnd w:id="162"/>
    </w:p>
    <w:p>
      <w:pPr>
        <w:rPr>
          <w:rFonts w:ascii="宋体" w:hAnsi="宋体" w:cs="宋体"/>
        </w:rPr>
      </w:pPr>
    </w:p>
    <w:p>
      <w:pPr>
        <w:pStyle w:val="18"/>
        <w:ind w:firstLine="18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pStyle w:val="18"/>
        <w:ind w:firstLine="0" w:firstLineChars="0"/>
        <w:rPr>
          <w:rFonts w:ascii="宋体" w:hAnsi="宋体" w:cs="宋体"/>
        </w:rPr>
      </w:pPr>
    </w:p>
    <w:p>
      <w:pPr>
        <w:rPr>
          <w:rFonts w:ascii="宋体" w:hAnsi="宋体" w:cs="宋体"/>
          <w:b/>
          <w:kern w:val="0"/>
          <w:sz w:val="30"/>
          <w:szCs w:val="30"/>
        </w:rPr>
      </w:pPr>
      <w:r>
        <w:rPr>
          <w:rFonts w:hint="eastAsia" w:ascii="宋体" w:hAnsi="宋体" w:cs="宋体"/>
          <w:b/>
          <w:kern w:val="0"/>
          <w:sz w:val="30"/>
          <w:szCs w:val="30"/>
        </w:rPr>
        <w:br w:type="page"/>
      </w:r>
    </w:p>
    <w:p>
      <w:pPr>
        <w:outlineLvl w:val="2"/>
        <w:rPr>
          <w:rFonts w:ascii="宋体" w:hAnsi="宋体" w:cs="宋体"/>
          <w:b/>
          <w:kern w:val="0"/>
          <w:sz w:val="30"/>
          <w:szCs w:val="30"/>
        </w:rPr>
      </w:pPr>
      <w:bookmarkStart w:id="163" w:name="_Toc10901"/>
      <w:r>
        <w:rPr>
          <w:rFonts w:hint="eastAsia" w:ascii="宋体" w:hAnsi="宋体" w:cs="宋体"/>
          <w:b/>
          <w:kern w:val="0"/>
          <w:sz w:val="30"/>
          <w:szCs w:val="30"/>
        </w:rPr>
        <w:t>七、供应商参加政府采购活动承诺书</w:t>
      </w:r>
      <w:bookmarkEnd w:id="163"/>
    </w:p>
    <w:p>
      <w:pPr>
        <w:spacing w:line="500" w:lineRule="exact"/>
        <w:ind w:firstLine="480" w:firstLineChars="200"/>
        <w:rPr>
          <w:rFonts w:ascii="宋体" w:hAnsi="宋体" w:cs="宋体"/>
        </w:rPr>
      </w:pPr>
      <w:r>
        <w:rPr>
          <w:rFonts w:hint="eastAsia" w:ascii="宋体" w:hAnsi="宋体" w:cs="宋体"/>
        </w:rPr>
        <w:t>未签署下列承诺书的，其责任由供应商自行承担。</w:t>
      </w:r>
    </w:p>
    <w:p>
      <w:pPr>
        <w:spacing w:beforeLines="50" w:line="500" w:lineRule="exact"/>
        <w:ind w:firstLine="482" w:firstLineChars="200"/>
        <w:jc w:val="center"/>
        <w:rPr>
          <w:rFonts w:ascii="宋体" w:hAnsi="宋体" w:cs="宋体"/>
          <w:b/>
        </w:rPr>
      </w:pPr>
      <w:r>
        <w:rPr>
          <w:rFonts w:hint="eastAsia" w:ascii="宋体" w:hAnsi="宋体" w:cs="宋体"/>
          <w:b/>
        </w:rPr>
        <w:t>拒绝政府采购领域商业贿赂承诺书</w:t>
      </w:r>
    </w:p>
    <w:p>
      <w:pPr>
        <w:overflowPunct w:val="0"/>
        <w:topLinePunct/>
        <w:spacing w:line="440" w:lineRule="exact"/>
        <w:jc w:val="center"/>
        <w:rPr>
          <w:rFonts w:ascii="宋体" w:hAnsi="宋体" w:cs="宋体"/>
          <w:bCs/>
        </w:rPr>
      </w:pPr>
      <w:r>
        <w:rPr>
          <w:rFonts w:hint="eastAsia" w:ascii="宋体" w:hAnsi="宋体" w:cs="宋体"/>
          <w:bCs/>
        </w:rPr>
        <w:t>（执行陕财办采管[2006]21号文件）</w:t>
      </w:r>
    </w:p>
    <w:p>
      <w:pPr>
        <w:spacing w:line="500" w:lineRule="exact"/>
        <w:ind w:firstLine="480" w:firstLineChars="200"/>
        <w:rPr>
          <w:rFonts w:ascii="宋体" w:hAnsi="宋体" w:cs="宋体"/>
        </w:rPr>
      </w:pPr>
      <w:r>
        <w:rPr>
          <w:rFonts w:hint="eastAsia" w:ascii="宋体" w:hAnsi="宋体" w:cs="宋体"/>
        </w:rPr>
        <w:t>为响应党中央、国务院关于治理政府采购领域商业贿赂行为的号召，我公司在此庄严承诺：</w:t>
      </w:r>
    </w:p>
    <w:p>
      <w:pPr>
        <w:spacing w:line="500" w:lineRule="exact"/>
        <w:ind w:firstLine="480" w:firstLineChars="200"/>
        <w:rPr>
          <w:rFonts w:ascii="宋体" w:hAnsi="宋体" w:cs="宋体"/>
        </w:rPr>
      </w:pPr>
      <w:r>
        <w:rPr>
          <w:rFonts w:hint="eastAsia" w:ascii="宋体" w:hAnsi="宋体" w:cs="宋体"/>
        </w:rPr>
        <w:t>1、在参与政府采购活动中遵纪守法、诚信经营、公平竞标。</w:t>
      </w:r>
    </w:p>
    <w:p>
      <w:pPr>
        <w:spacing w:line="500" w:lineRule="exact"/>
        <w:ind w:firstLine="480" w:firstLineChars="200"/>
        <w:rPr>
          <w:rFonts w:ascii="宋体" w:hAnsi="宋体" w:cs="宋体"/>
        </w:rPr>
      </w:pPr>
      <w:r>
        <w:rPr>
          <w:rFonts w:hint="eastAsia" w:ascii="宋体" w:hAnsi="宋体" w:cs="宋体"/>
        </w:rPr>
        <w:t>2、不向政府采购人、采购代理机构和政府采购评审专家进行任何形式的商业贿赂以谋取交易机会。</w:t>
      </w:r>
    </w:p>
    <w:p>
      <w:pPr>
        <w:spacing w:line="500" w:lineRule="exact"/>
        <w:ind w:firstLine="480" w:firstLineChars="200"/>
        <w:rPr>
          <w:rFonts w:ascii="宋体" w:hAnsi="宋体" w:cs="宋体"/>
        </w:rPr>
      </w:pPr>
      <w:r>
        <w:rPr>
          <w:rFonts w:hint="eastAsia" w:ascii="宋体" w:hAnsi="宋体" w:cs="宋体"/>
        </w:rPr>
        <w:t>3、不向政府采购代理机构和采购人提供虚假资质文件或采用虚假应标方式参与政府采购市场竞争并谋取中标、成交。</w:t>
      </w:r>
    </w:p>
    <w:p>
      <w:pPr>
        <w:spacing w:line="500" w:lineRule="exact"/>
        <w:ind w:firstLine="480" w:firstLineChars="200"/>
        <w:rPr>
          <w:rFonts w:ascii="宋体" w:hAnsi="宋体" w:cs="宋体"/>
        </w:rPr>
      </w:pPr>
      <w:r>
        <w:rPr>
          <w:rFonts w:hint="eastAsia" w:ascii="宋体" w:hAnsi="宋体" w:cs="宋体"/>
        </w:rPr>
        <w:t>4、不采取“围标、陪标”等商业欺诈手段获得政府采购定单。</w:t>
      </w:r>
    </w:p>
    <w:p>
      <w:pPr>
        <w:spacing w:line="500" w:lineRule="exact"/>
        <w:ind w:firstLine="480" w:firstLineChars="200"/>
        <w:rPr>
          <w:rFonts w:ascii="宋体" w:hAnsi="宋体" w:cs="宋体"/>
        </w:rPr>
      </w:pPr>
      <w:r>
        <w:rPr>
          <w:rFonts w:hint="eastAsia" w:ascii="宋体" w:hAnsi="宋体" w:cs="宋体"/>
        </w:rPr>
        <w:t>5、不采取不正当手段诋毁、排挤其他供应商。</w:t>
      </w:r>
    </w:p>
    <w:p>
      <w:pPr>
        <w:spacing w:line="500" w:lineRule="exact"/>
        <w:ind w:firstLine="480" w:firstLineChars="200"/>
        <w:rPr>
          <w:rFonts w:ascii="宋体" w:hAnsi="宋体" w:cs="宋体"/>
        </w:rPr>
      </w:pPr>
      <w:r>
        <w:rPr>
          <w:rFonts w:hint="eastAsia" w:ascii="宋体" w:hAnsi="宋体" w:cs="宋体"/>
        </w:rPr>
        <w:t>6、不在提供商品和服务时“偷梁换柱、以次充好”损害采购人的合法权益。</w:t>
      </w:r>
    </w:p>
    <w:p>
      <w:pPr>
        <w:spacing w:line="500" w:lineRule="exact"/>
        <w:ind w:firstLine="480" w:firstLineChars="200"/>
        <w:rPr>
          <w:rFonts w:ascii="宋体" w:hAnsi="宋体" w:cs="宋体"/>
        </w:rPr>
      </w:pPr>
      <w:r>
        <w:rPr>
          <w:rFonts w:hint="eastAsia" w:ascii="宋体" w:hAnsi="宋体" w:cs="宋体"/>
        </w:rPr>
        <w:t>7、不与采购人、采购代理机构政府采购评审专家或其它供应商恶意串通，进行质疑和投诉，维护政府采购市场秩序。</w:t>
      </w:r>
    </w:p>
    <w:p>
      <w:pPr>
        <w:spacing w:line="500" w:lineRule="exact"/>
        <w:ind w:firstLine="480" w:firstLineChars="200"/>
        <w:rPr>
          <w:rFonts w:ascii="宋体" w:hAnsi="宋体" w:cs="宋体"/>
        </w:rPr>
      </w:pPr>
      <w:r>
        <w:rPr>
          <w:rFonts w:hint="eastAsia" w:ascii="宋体" w:hAnsi="宋体" w:cs="宋体"/>
        </w:rPr>
        <w:t>8、尊重和接受政府采购监督管理部门的监督和政府采购代理机构招标采购要求，承担因违约行为给采购人造成的损失。</w:t>
      </w:r>
    </w:p>
    <w:p>
      <w:pPr>
        <w:spacing w:line="500" w:lineRule="exact"/>
        <w:ind w:firstLine="480" w:firstLineChars="200"/>
        <w:rPr>
          <w:rFonts w:ascii="宋体" w:hAnsi="宋体" w:cs="宋体"/>
        </w:rPr>
      </w:pPr>
      <w:r>
        <w:rPr>
          <w:rFonts w:hint="eastAsia" w:ascii="宋体" w:hAnsi="宋体" w:cs="宋体"/>
        </w:rPr>
        <w:t>9、不发生其他有悖于政府采购公开、公平、公正和诚信原则的行为。</w:t>
      </w:r>
    </w:p>
    <w:p>
      <w:pPr>
        <w:spacing w:line="500" w:lineRule="exact"/>
        <w:rPr>
          <w:rFonts w:ascii="宋体" w:hAnsi="宋体" w:cs="宋体"/>
        </w:rPr>
      </w:pPr>
    </w:p>
    <w:p>
      <w:pPr>
        <w:spacing w:line="500" w:lineRule="exact"/>
        <w:ind w:firstLine="4560" w:firstLineChars="1900"/>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（加盖公章）</w:t>
      </w:r>
    </w:p>
    <w:p>
      <w:pPr>
        <w:spacing w:line="500" w:lineRule="exact"/>
        <w:ind w:firstLine="480" w:firstLineChars="200"/>
        <w:rPr>
          <w:rFonts w:ascii="宋体" w:hAnsi="宋体" w:cs="宋体"/>
          <w:b/>
          <w:sz w:val="30"/>
          <w:szCs w:val="30"/>
        </w:rPr>
      </w:pPr>
      <w:r>
        <w:rPr>
          <w:rFonts w:hint="eastAsia" w:ascii="宋体" w:hAnsi="宋体" w:cs="宋体"/>
        </w:rPr>
        <w:t xml:space="preserve">                                  日  期：　 年　月　日</w:t>
      </w:r>
    </w:p>
    <w:p>
      <w:pPr>
        <w:rPr>
          <w:rFonts w:ascii="宋体" w:hAnsi="宋体" w:cs="宋体"/>
          <w:b/>
          <w:sz w:val="30"/>
          <w:szCs w:val="30"/>
        </w:rPr>
      </w:pPr>
      <w:r>
        <w:rPr>
          <w:rFonts w:hint="eastAsia" w:ascii="宋体" w:hAnsi="宋体" w:cs="宋体"/>
          <w:b/>
          <w:sz w:val="30"/>
          <w:szCs w:val="30"/>
        </w:rPr>
        <w:br w:type="page"/>
      </w:r>
    </w:p>
    <w:p>
      <w:pPr>
        <w:pStyle w:val="4"/>
        <w:rPr>
          <w:rFonts w:ascii="宋体" w:hAnsi="宋体" w:cs="宋体"/>
        </w:rPr>
      </w:pPr>
      <w:bookmarkStart w:id="164" w:name="_Toc3055"/>
      <w:bookmarkStart w:id="165" w:name="_Toc525"/>
      <w:bookmarkStart w:id="166" w:name="_Toc11295"/>
      <w:bookmarkStart w:id="167" w:name="_Toc12899"/>
      <w:bookmarkStart w:id="168" w:name="_Toc15586"/>
      <w:r>
        <w:rPr>
          <w:rFonts w:hint="eastAsia" w:ascii="宋体" w:hAnsi="宋体" w:cs="宋体"/>
        </w:rPr>
        <w:t>第三部分  响应方案</w:t>
      </w:r>
      <w:bookmarkEnd w:id="164"/>
      <w:bookmarkEnd w:id="165"/>
      <w:bookmarkEnd w:id="166"/>
      <w:bookmarkEnd w:id="167"/>
      <w:bookmarkEnd w:id="168"/>
    </w:p>
    <w:p>
      <w:pPr>
        <w:pStyle w:val="36"/>
        <w:spacing w:line="500" w:lineRule="exact"/>
        <w:jc w:val="both"/>
        <w:outlineLvl w:val="2"/>
        <w:rPr>
          <w:rFonts w:ascii="宋体" w:hAnsi="宋体" w:cs="宋体"/>
          <w:bCs w:val="0"/>
          <w:sz w:val="24"/>
          <w:szCs w:val="24"/>
        </w:rPr>
      </w:pPr>
      <w:bookmarkStart w:id="169" w:name="_Toc17062_WPSOffice_Level2"/>
      <w:bookmarkStart w:id="170" w:name="_Toc7732"/>
      <w:bookmarkStart w:id="171" w:name="_Toc28702"/>
      <w:bookmarkStart w:id="172" w:name="_Toc9337_WPSOffice_Level2"/>
      <w:bookmarkStart w:id="173" w:name="_Toc29975_WPSOffice_Level2"/>
      <w:bookmarkStart w:id="174" w:name="_Toc24100"/>
      <w:bookmarkStart w:id="175" w:name="_Toc9079"/>
      <w:bookmarkStart w:id="176" w:name="_Toc24887"/>
      <w:bookmarkStart w:id="177" w:name="_Toc11555"/>
      <w:bookmarkStart w:id="178" w:name="_Toc15660_WPSOffice_Level2"/>
      <w:bookmarkStart w:id="179" w:name="_Toc17621"/>
      <w:r>
        <w:rPr>
          <w:rFonts w:hint="eastAsia" w:ascii="宋体" w:hAnsi="宋体" w:cs="宋体"/>
          <w:bCs w:val="0"/>
          <w:sz w:val="24"/>
          <w:szCs w:val="24"/>
        </w:rPr>
        <w:t>一、供应商概况</w:t>
      </w:r>
      <w:bookmarkEnd w:id="169"/>
      <w:bookmarkEnd w:id="170"/>
      <w:bookmarkEnd w:id="171"/>
      <w:bookmarkEnd w:id="172"/>
      <w:bookmarkEnd w:id="173"/>
      <w:bookmarkEnd w:id="174"/>
      <w:bookmarkEnd w:id="175"/>
      <w:bookmarkEnd w:id="176"/>
      <w:bookmarkEnd w:id="177"/>
      <w:bookmarkEnd w:id="178"/>
      <w:bookmarkEnd w:id="179"/>
    </w:p>
    <w:p>
      <w:pPr>
        <w:spacing w:beforeLines="50" w:line="500" w:lineRule="exact"/>
        <w:ind w:firstLine="482" w:firstLineChars="200"/>
        <w:rPr>
          <w:rFonts w:ascii="宋体" w:hAnsi="宋体" w:cs="宋体"/>
          <w:b/>
          <w:szCs w:val="24"/>
        </w:rPr>
      </w:pPr>
      <w:r>
        <w:rPr>
          <w:rFonts w:hint="eastAsia" w:ascii="宋体" w:hAnsi="宋体" w:cs="宋体"/>
          <w:b/>
          <w:bCs/>
          <w:szCs w:val="24"/>
        </w:rPr>
        <w:t>包括但不限于成立时间、经营范围、股权变更、总公司分公司分布及经营状况等情况。</w:t>
      </w:r>
    </w:p>
    <w:p>
      <w:pPr>
        <w:spacing w:line="500" w:lineRule="exact"/>
        <w:rPr>
          <w:rFonts w:ascii="宋体" w:hAnsi="宋体" w:cs="宋体"/>
          <w:b/>
          <w:szCs w:val="24"/>
        </w:rPr>
      </w:pPr>
    </w:p>
    <w:p>
      <w:pPr>
        <w:spacing w:line="500" w:lineRule="exact"/>
        <w:outlineLvl w:val="2"/>
        <w:rPr>
          <w:rFonts w:ascii="宋体" w:hAnsi="宋体" w:cs="宋体"/>
          <w:b/>
          <w:szCs w:val="24"/>
        </w:rPr>
      </w:pPr>
      <w:bookmarkStart w:id="180" w:name="_Toc5935"/>
      <w:r>
        <w:rPr>
          <w:rFonts w:hint="eastAsia" w:ascii="宋体" w:hAnsi="宋体" w:cs="宋体"/>
          <w:b/>
          <w:szCs w:val="24"/>
        </w:rPr>
        <w:t>二、技术服务方案</w:t>
      </w:r>
      <w:bookmarkEnd w:id="180"/>
    </w:p>
    <w:p>
      <w:pPr>
        <w:spacing w:line="500" w:lineRule="exact"/>
        <w:ind w:firstLine="480" w:firstLineChars="200"/>
        <w:rPr>
          <w:rFonts w:ascii="宋体" w:hAnsi="宋体" w:cs="宋体"/>
          <w:bCs/>
          <w:szCs w:val="24"/>
        </w:rPr>
      </w:pPr>
      <w:r>
        <w:rPr>
          <w:rFonts w:hint="eastAsia" w:ascii="宋体" w:hAnsi="宋体" w:cs="宋体"/>
          <w:bCs/>
          <w:szCs w:val="24"/>
        </w:rPr>
        <w:t>参照磋商文件《评审办法》各条款的要求，结合《磋商内容及采购要求》编制技术服务方案。</w:t>
      </w:r>
    </w:p>
    <w:bookmarkEnd w:id="156"/>
    <w:bookmarkEnd w:id="159"/>
    <w:bookmarkEnd w:id="160"/>
    <w:bookmarkEnd w:id="161"/>
    <w:p>
      <w:pPr>
        <w:tabs>
          <w:tab w:val="right" w:pos="9070"/>
        </w:tabs>
        <w:spacing w:line="500" w:lineRule="exact"/>
        <w:outlineLvl w:val="2"/>
        <w:rPr>
          <w:rFonts w:ascii="宋体" w:hAnsi="宋体" w:cs="宋体"/>
          <w:bCs/>
          <w:szCs w:val="24"/>
        </w:rPr>
      </w:pPr>
      <w:r>
        <w:rPr>
          <w:rFonts w:hint="eastAsia" w:ascii="宋体" w:hAnsi="宋体" w:cs="宋体"/>
          <w:szCs w:val="24"/>
        </w:rPr>
        <w:br w:type="page"/>
      </w:r>
      <w:bookmarkStart w:id="181" w:name="_Toc26047"/>
      <w:r>
        <w:rPr>
          <w:rFonts w:hint="eastAsia" w:ascii="宋体" w:hAnsi="宋体" w:cs="宋体"/>
          <w:b/>
          <w:szCs w:val="24"/>
        </w:rPr>
        <w:t>三、参考样表</w:t>
      </w:r>
      <w:bookmarkEnd w:id="181"/>
    </w:p>
    <w:p>
      <w:pPr>
        <w:spacing w:line="500" w:lineRule="exact"/>
        <w:ind w:firstLine="482" w:firstLineChars="200"/>
        <w:rPr>
          <w:rFonts w:ascii="宋体" w:hAnsi="宋体" w:cs="宋体"/>
          <w:b/>
          <w:bCs/>
          <w:szCs w:val="24"/>
        </w:rPr>
      </w:pPr>
      <w:r>
        <w:rPr>
          <w:rFonts w:hint="eastAsia" w:ascii="宋体" w:hAnsi="宋体" w:cs="宋体"/>
          <w:b/>
          <w:bCs/>
          <w:szCs w:val="24"/>
        </w:rPr>
        <w:t>（一）业绩合同样表（仅供参考）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36"/>
        <w:gridCol w:w="1701"/>
        <w:gridCol w:w="2557"/>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pPr>
              <w:adjustRightInd w:val="0"/>
              <w:snapToGrid w:val="0"/>
              <w:spacing w:line="440" w:lineRule="exact"/>
              <w:jc w:val="center"/>
              <w:rPr>
                <w:rFonts w:ascii="宋体" w:hAnsi="宋体" w:cs="宋体"/>
                <w:b/>
                <w:szCs w:val="24"/>
              </w:rPr>
            </w:pPr>
            <w:r>
              <w:rPr>
                <w:rFonts w:hint="eastAsia" w:ascii="宋体" w:hAnsi="宋体" w:cs="宋体"/>
                <w:b/>
                <w:szCs w:val="24"/>
              </w:rPr>
              <w:t>序号</w:t>
            </w:r>
          </w:p>
        </w:tc>
        <w:tc>
          <w:tcPr>
            <w:tcW w:w="1736" w:type="dxa"/>
            <w:vAlign w:val="center"/>
          </w:tcPr>
          <w:p>
            <w:pPr>
              <w:jc w:val="center"/>
              <w:rPr>
                <w:rFonts w:ascii="宋体" w:hAnsi="宋体" w:cs="宋体"/>
                <w:b/>
                <w:szCs w:val="24"/>
              </w:rPr>
            </w:pPr>
            <w:r>
              <w:rPr>
                <w:rFonts w:hint="eastAsia" w:ascii="宋体" w:hAnsi="宋体" w:cs="宋体"/>
                <w:b/>
                <w:szCs w:val="24"/>
              </w:rPr>
              <w:t>采购单位名称</w:t>
            </w:r>
          </w:p>
        </w:tc>
        <w:tc>
          <w:tcPr>
            <w:tcW w:w="1701" w:type="dxa"/>
            <w:vAlign w:val="center"/>
          </w:tcPr>
          <w:p>
            <w:pPr>
              <w:jc w:val="center"/>
              <w:rPr>
                <w:rFonts w:ascii="宋体" w:hAnsi="宋体" w:cs="宋体"/>
                <w:b/>
                <w:szCs w:val="24"/>
              </w:rPr>
            </w:pPr>
            <w:r>
              <w:rPr>
                <w:rFonts w:hint="eastAsia" w:ascii="宋体" w:hAnsi="宋体" w:cs="宋体"/>
                <w:b/>
                <w:szCs w:val="24"/>
              </w:rPr>
              <w:t>合同名称</w:t>
            </w:r>
          </w:p>
        </w:tc>
        <w:tc>
          <w:tcPr>
            <w:tcW w:w="2557" w:type="dxa"/>
            <w:vAlign w:val="center"/>
          </w:tcPr>
          <w:p>
            <w:pPr>
              <w:jc w:val="center"/>
              <w:rPr>
                <w:rFonts w:ascii="宋体" w:hAnsi="宋体" w:cs="宋体"/>
                <w:b/>
                <w:szCs w:val="24"/>
              </w:rPr>
            </w:pPr>
            <w:r>
              <w:rPr>
                <w:rFonts w:hint="eastAsia" w:ascii="宋体" w:hAnsi="宋体" w:cs="宋体"/>
                <w:b/>
                <w:szCs w:val="24"/>
              </w:rPr>
              <w:t>合同起止时间</w:t>
            </w:r>
          </w:p>
        </w:tc>
        <w:tc>
          <w:tcPr>
            <w:tcW w:w="1984" w:type="dxa"/>
            <w:vAlign w:val="center"/>
          </w:tcPr>
          <w:p>
            <w:pPr>
              <w:jc w:val="center"/>
              <w:rPr>
                <w:rFonts w:ascii="宋体" w:hAnsi="宋体" w:cs="宋体"/>
                <w:b/>
                <w:szCs w:val="24"/>
              </w:rPr>
            </w:pPr>
            <w:r>
              <w:rPr>
                <w:rFonts w:hint="eastAsia" w:ascii="宋体" w:hAnsi="宋体" w:cs="宋体"/>
                <w:b/>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pPr>
              <w:spacing w:line="440" w:lineRule="exact"/>
              <w:jc w:val="center"/>
              <w:rPr>
                <w:rFonts w:ascii="宋体" w:hAnsi="宋体" w:cs="宋体"/>
                <w:szCs w:val="24"/>
              </w:rPr>
            </w:pPr>
          </w:p>
        </w:tc>
        <w:tc>
          <w:tcPr>
            <w:tcW w:w="1736" w:type="dxa"/>
            <w:vAlign w:val="center"/>
          </w:tcPr>
          <w:p>
            <w:pPr>
              <w:spacing w:line="440" w:lineRule="exact"/>
              <w:jc w:val="center"/>
              <w:rPr>
                <w:rFonts w:ascii="宋体" w:hAnsi="宋体" w:cs="宋体"/>
                <w:szCs w:val="24"/>
              </w:rPr>
            </w:pPr>
          </w:p>
        </w:tc>
        <w:tc>
          <w:tcPr>
            <w:tcW w:w="1701" w:type="dxa"/>
            <w:vAlign w:val="center"/>
          </w:tcPr>
          <w:p>
            <w:pPr>
              <w:spacing w:line="440" w:lineRule="exact"/>
              <w:jc w:val="center"/>
              <w:rPr>
                <w:rFonts w:ascii="宋体" w:hAnsi="宋体" w:cs="宋体"/>
                <w:szCs w:val="24"/>
              </w:rPr>
            </w:pPr>
          </w:p>
        </w:tc>
        <w:tc>
          <w:tcPr>
            <w:tcW w:w="2557" w:type="dxa"/>
            <w:vAlign w:val="center"/>
          </w:tcPr>
          <w:p>
            <w:pPr>
              <w:spacing w:line="440" w:lineRule="exact"/>
              <w:jc w:val="center"/>
              <w:rPr>
                <w:rFonts w:ascii="宋体" w:hAnsi="宋体" w:cs="宋体"/>
                <w:szCs w:val="24"/>
              </w:rPr>
            </w:pPr>
          </w:p>
        </w:tc>
        <w:tc>
          <w:tcPr>
            <w:tcW w:w="1984" w:type="dxa"/>
            <w:vAlign w:val="center"/>
          </w:tcPr>
          <w:p>
            <w:pPr>
              <w:spacing w:line="440" w:lineRule="exact"/>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pPr>
              <w:spacing w:line="440" w:lineRule="exact"/>
              <w:jc w:val="center"/>
              <w:rPr>
                <w:rFonts w:ascii="宋体" w:hAnsi="宋体" w:cs="宋体"/>
                <w:szCs w:val="24"/>
              </w:rPr>
            </w:pPr>
            <w:r>
              <w:rPr>
                <w:rFonts w:hint="eastAsia" w:ascii="宋体" w:hAnsi="宋体" w:cs="宋体"/>
                <w:szCs w:val="24"/>
              </w:rPr>
              <w:t>……</w:t>
            </w:r>
          </w:p>
        </w:tc>
        <w:tc>
          <w:tcPr>
            <w:tcW w:w="1736" w:type="dxa"/>
            <w:vAlign w:val="center"/>
          </w:tcPr>
          <w:p>
            <w:pPr>
              <w:spacing w:line="440" w:lineRule="exact"/>
              <w:jc w:val="center"/>
              <w:rPr>
                <w:rFonts w:ascii="宋体" w:hAnsi="宋体" w:cs="宋体"/>
                <w:szCs w:val="24"/>
              </w:rPr>
            </w:pPr>
          </w:p>
        </w:tc>
        <w:tc>
          <w:tcPr>
            <w:tcW w:w="1701" w:type="dxa"/>
            <w:vAlign w:val="center"/>
          </w:tcPr>
          <w:p>
            <w:pPr>
              <w:spacing w:line="440" w:lineRule="exact"/>
              <w:jc w:val="center"/>
              <w:rPr>
                <w:rFonts w:ascii="宋体" w:hAnsi="宋体" w:cs="宋体"/>
                <w:szCs w:val="24"/>
              </w:rPr>
            </w:pPr>
          </w:p>
        </w:tc>
        <w:tc>
          <w:tcPr>
            <w:tcW w:w="2557" w:type="dxa"/>
            <w:vAlign w:val="center"/>
          </w:tcPr>
          <w:p>
            <w:pPr>
              <w:spacing w:line="440" w:lineRule="exact"/>
              <w:jc w:val="center"/>
              <w:rPr>
                <w:rFonts w:ascii="宋体" w:hAnsi="宋体" w:cs="宋体"/>
                <w:szCs w:val="24"/>
              </w:rPr>
            </w:pPr>
          </w:p>
        </w:tc>
        <w:tc>
          <w:tcPr>
            <w:tcW w:w="1984" w:type="dxa"/>
            <w:vAlign w:val="center"/>
          </w:tcPr>
          <w:p>
            <w:pPr>
              <w:spacing w:line="440" w:lineRule="exact"/>
              <w:jc w:val="cente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89" w:type="dxa"/>
            <w:gridSpan w:val="5"/>
            <w:vAlign w:val="center"/>
          </w:tcPr>
          <w:p>
            <w:pPr>
              <w:spacing w:line="440" w:lineRule="exact"/>
              <w:jc w:val="left"/>
              <w:rPr>
                <w:rFonts w:ascii="宋体" w:hAnsi="宋体" w:cs="宋体"/>
                <w:szCs w:val="24"/>
              </w:rPr>
            </w:pPr>
            <w:r>
              <w:rPr>
                <w:rFonts w:hint="eastAsia" w:ascii="宋体" w:hAnsi="宋体" w:cs="宋体"/>
                <w:b/>
                <w:szCs w:val="24"/>
              </w:rPr>
              <w:t>数量合计（个）</w:t>
            </w:r>
            <w:r>
              <w:rPr>
                <w:rFonts w:hint="eastAsia" w:ascii="宋体" w:hAnsi="宋体" w:cs="宋体"/>
                <w:szCs w:val="24"/>
              </w:rPr>
              <w:t>：</w:t>
            </w:r>
          </w:p>
        </w:tc>
      </w:tr>
    </w:tbl>
    <w:p>
      <w:pPr>
        <w:tabs>
          <w:tab w:val="right" w:pos="9070"/>
        </w:tabs>
        <w:snapToGrid w:val="0"/>
        <w:rPr>
          <w:rFonts w:ascii="宋体" w:hAnsi="宋体" w:cs="宋体"/>
          <w:b/>
          <w:bCs/>
          <w:szCs w:val="24"/>
        </w:rPr>
      </w:pPr>
      <w:r>
        <w:rPr>
          <w:rFonts w:hint="eastAsia" w:ascii="宋体" w:hAnsi="宋体" w:cs="宋体"/>
          <w:szCs w:val="24"/>
        </w:rPr>
        <w:t xml:space="preserve"> </w:t>
      </w:r>
    </w:p>
    <w:p>
      <w:pPr>
        <w:tabs>
          <w:tab w:val="right" w:pos="9070"/>
        </w:tabs>
        <w:snapToGrid w:val="0"/>
        <w:spacing w:line="500" w:lineRule="exact"/>
        <w:ind w:left="480" w:leftChars="200"/>
        <w:rPr>
          <w:rFonts w:ascii="宋体" w:hAnsi="宋体" w:cs="宋体"/>
          <w:szCs w:val="24"/>
        </w:rPr>
      </w:pPr>
      <w:r>
        <w:rPr>
          <w:rFonts w:hint="eastAsia" w:ascii="宋体" w:hAnsi="宋体" w:cs="宋体"/>
          <w:b/>
          <w:bCs/>
          <w:szCs w:val="24"/>
        </w:rPr>
        <w:t>（二）项目团队样表（仅供参考）</w:t>
      </w:r>
    </w:p>
    <w:p>
      <w:pPr>
        <w:tabs>
          <w:tab w:val="right" w:pos="9070"/>
        </w:tabs>
        <w:spacing w:line="500" w:lineRule="exact"/>
        <w:ind w:firstLine="480" w:firstLineChars="200"/>
        <w:rPr>
          <w:rFonts w:ascii="宋体" w:hAnsi="宋体" w:cs="宋体"/>
          <w:szCs w:val="24"/>
        </w:rPr>
      </w:pPr>
      <w:r>
        <w:rPr>
          <w:rFonts w:hint="eastAsia" w:ascii="宋体" w:hAnsi="宋体" w:cs="宋体"/>
          <w:szCs w:val="24"/>
        </w:rPr>
        <w:t>1、项目团队情况概述</w:t>
      </w:r>
    </w:p>
    <w:p>
      <w:pPr>
        <w:tabs>
          <w:tab w:val="right" w:pos="9070"/>
        </w:tabs>
        <w:spacing w:line="500" w:lineRule="exact"/>
        <w:ind w:firstLine="480" w:firstLineChars="200"/>
        <w:rPr>
          <w:rFonts w:ascii="宋体" w:hAnsi="宋体" w:cs="宋体"/>
          <w:szCs w:val="24"/>
        </w:rPr>
      </w:pPr>
      <w:r>
        <w:rPr>
          <w:rFonts w:hint="eastAsia" w:ascii="宋体" w:hAnsi="宋体" w:cs="宋体"/>
          <w:szCs w:val="24"/>
        </w:rPr>
        <w:t>概述内容包括但不限于为本项目提供服务的团队整体情况、团队负责人、联系人基本情况、背景、能力介绍等，具体内容自行编制。</w:t>
      </w:r>
    </w:p>
    <w:p>
      <w:pPr>
        <w:tabs>
          <w:tab w:val="right" w:pos="9070"/>
        </w:tabs>
        <w:spacing w:line="500" w:lineRule="exact"/>
        <w:ind w:firstLine="480" w:firstLineChars="200"/>
        <w:rPr>
          <w:rFonts w:ascii="宋体" w:hAnsi="宋体" w:cs="宋体"/>
          <w:szCs w:val="24"/>
        </w:rPr>
      </w:pPr>
      <w:r>
        <w:rPr>
          <w:rFonts w:hint="eastAsia" w:ascii="宋体" w:hAnsi="宋体" w:cs="宋体"/>
          <w:szCs w:val="24"/>
        </w:rPr>
        <w:t>2、项目团队人员清单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pPr>
              <w:tabs>
                <w:tab w:val="right" w:pos="9070"/>
              </w:tabs>
              <w:spacing w:line="500" w:lineRule="exact"/>
              <w:rPr>
                <w:rFonts w:ascii="宋体" w:hAnsi="宋体" w:cs="宋体"/>
                <w:szCs w:val="24"/>
              </w:rPr>
            </w:pPr>
            <w:r>
              <w:rPr>
                <w:rFonts w:hint="eastAsia" w:ascii="宋体" w:hAnsi="宋体" w:cs="宋体"/>
                <w:szCs w:val="24"/>
              </w:rPr>
              <w:t>1、项目负责人/技术负责人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Cs w:val="24"/>
              </w:rPr>
            </w:pPr>
            <w:r>
              <w:rPr>
                <w:rFonts w:hint="eastAsia" w:ascii="宋体" w:hAnsi="宋体" w:cs="宋体"/>
                <w:szCs w:val="24"/>
              </w:rPr>
              <w:t>姓名</w:t>
            </w:r>
          </w:p>
        </w:tc>
        <w:tc>
          <w:tcPr>
            <w:tcW w:w="969" w:type="dxa"/>
            <w:tcBorders>
              <w:left w:val="single" w:color="auto" w:sz="6" w:space="0"/>
            </w:tcBorders>
            <w:vAlign w:val="center"/>
          </w:tcPr>
          <w:p>
            <w:pPr>
              <w:jc w:val="center"/>
              <w:rPr>
                <w:rFonts w:ascii="宋体" w:hAnsi="宋体" w:cs="宋体"/>
                <w:szCs w:val="24"/>
              </w:rPr>
            </w:pPr>
            <w:r>
              <w:rPr>
                <w:rFonts w:hint="eastAsia" w:ascii="宋体" w:hAnsi="宋体" w:cs="宋体"/>
                <w:szCs w:val="24"/>
              </w:rPr>
              <w:t>年龄</w:t>
            </w:r>
          </w:p>
        </w:tc>
        <w:tc>
          <w:tcPr>
            <w:tcW w:w="1260" w:type="dxa"/>
            <w:vAlign w:val="center"/>
          </w:tcPr>
          <w:p>
            <w:pPr>
              <w:jc w:val="center"/>
              <w:rPr>
                <w:rFonts w:ascii="宋体" w:hAnsi="宋体" w:cs="宋体"/>
                <w:szCs w:val="24"/>
              </w:rPr>
            </w:pPr>
            <w:r>
              <w:rPr>
                <w:rFonts w:hint="eastAsia" w:ascii="宋体" w:hAnsi="宋体" w:cs="宋体"/>
                <w:szCs w:val="24"/>
              </w:rPr>
              <w:t>资格</w:t>
            </w:r>
          </w:p>
        </w:tc>
        <w:tc>
          <w:tcPr>
            <w:tcW w:w="1387" w:type="dxa"/>
            <w:gridSpan w:val="2"/>
            <w:vAlign w:val="center"/>
          </w:tcPr>
          <w:p>
            <w:pPr>
              <w:jc w:val="center"/>
              <w:rPr>
                <w:rFonts w:ascii="宋体" w:hAnsi="宋体" w:cs="宋体"/>
                <w:szCs w:val="24"/>
              </w:rPr>
            </w:pPr>
            <w:r>
              <w:rPr>
                <w:rFonts w:hint="eastAsia" w:ascii="宋体" w:hAnsi="宋体" w:cs="宋体"/>
                <w:szCs w:val="24"/>
              </w:rPr>
              <w:t>职称</w:t>
            </w:r>
          </w:p>
        </w:tc>
        <w:tc>
          <w:tcPr>
            <w:tcW w:w="1604" w:type="dxa"/>
            <w:gridSpan w:val="3"/>
            <w:vAlign w:val="center"/>
          </w:tcPr>
          <w:p>
            <w:pPr>
              <w:spacing w:line="280" w:lineRule="exact"/>
              <w:jc w:val="center"/>
              <w:rPr>
                <w:rFonts w:ascii="宋体" w:hAnsi="宋体" w:cs="宋体"/>
                <w:szCs w:val="24"/>
              </w:rPr>
            </w:pPr>
            <w:r>
              <w:rPr>
                <w:rFonts w:hint="eastAsia" w:ascii="宋体" w:hAnsi="宋体" w:cs="宋体"/>
                <w:szCs w:val="24"/>
              </w:rPr>
              <w:t>在本行业从业工作年限</w:t>
            </w:r>
          </w:p>
        </w:tc>
        <w:tc>
          <w:tcPr>
            <w:tcW w:w="1740" w:type="dxa"/>
            <w:tcBorders>
              <w:right w:val="single" w:color="auto" w:sz="2" w:space="0"/>
            </w:tcBorders>
            <w:vAlign w:val="center"/>
          </w:tcPr>
          <w:p>
            <w:pPr>
              <w:spacing w:line="240" w:lineRule="exact"/>
              <w:jc w:val="center"/>
              <w:rPr>
                <w:rFonts w:ascii="宋体" w:hAnsi="宋体" w:cs="宋体"/>
                <w:szCs w:val="24"/>
              </w:rPr>
            </w:pPr>
            <w:r>
              <w:rPr>
                <w:rFonts w:hint="eastAsia" w:ascii="宋体" w:hAnsi="宋体" w:cs="宋体"/>
                <w:szCs w:val="24"/>
              </w:rPr>
              <w:t>主要工作</w:t>
            </w:r>
          </w:p>
          <w:p>
            <w:pPr>
              <w:spacing w:line="240" w:lineRule="exact"/>
              <w:jc w:val="center"/>
              <w:rPr>
                <w:rFonts w:ascii="宋体" w:hAnsi="宋体" w:cs="宋体"/>
                <w:szCs w:val="24"/>
              </w:rPr>
            </w:pPr>
            <w:r>
              <w:rPr>
                <w:rFonts w:hint="eastAsia" w:ascii="宋体" w:hAnsi="宋体" w:cs="宋体"/>
                <w:szCs w:val="24"/>
              </w:rPr>
              <w:t>业绩和经历</w:t>
            </w:r>
          </w:p>
        </w:tc>
        <w:tc>
          <w:tcPr>
            <w:tcW w:w="1091" w:type="dxa"/>
            <w:gridSpan w:val="2"/>
            <w:tcBorders>
              <w:left w:val="single" w:color="auto" w:sz="2" w:space="0"/>
              <w:right w:val="single" w:color="auto" w:sz="12" w:space="0"/>
            </w:tcBorders>
            <w:vAlign w:val="center"/>
          </w:tcPr>
          <w:p>
            <w:pPr>
              <w:spacing w:line="240" w:lineRule="exact"/>
              <w:jc w:val="center"/>
              <w:rPr>
                <w:rFonts w:ascii="宋体" w:hAnsi="宋体" w:cs="宋体"/>
                <w:szCs w:val="24"/>
              </w:rPr>
            </w:pPr>
            <w:r>
              <w:rPr>
                <w:rFonts w:hint="eastAsia" w:ascii="宋体" w:hAnsi="宋体" w:cs="宋体"/>
                <w:szCs w:val="24"/>
              </w:rPr>
              <w:t>当前</w:t>
            </w:r>
          </w:p>
          <w:p>
            <w:pPr>
              <w:spacing w:line="240" w:lineRule="exact"/>
              <w:jc w:val="center"/>
              <w:rPr>
                <w:rFonts w:ascii="宋体" w:hAnsi="宋体" w:cs="宋体"/>
                <w:szCs w:val="24"/>
              </w:rPr>
            </w:pPr>
            <w:r>
              <w:rPr>
                <w:rFonts w:hint="eastAsia" w:ascii="宋体" w:hAnsi="宋体" w:cs="宋体"/>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ascii="宋体" w:hAnsi="宋体" w:cs="宋体"/>
                <w:szCs w:val="24"/>
              </w:rPr>
            </w:pPr>
          </w:p>
        </w:tc>
        <w:tc>
          <w:tcPr>
            <w:tcW w:w="969" w:type="dxa"/>
            <w:tcBorders>
              <w:left w:val="single" w:color="auto" w:sz="6" w:space="0"/>
            </w:tcBorders>
            <w:vAlign w:val="center"/>
          </w:tcPr>
          <w:p>
            <w:pPr>
              <w:rPr>
                <w:rFonts w:ascii="宋体" w:hAnsi="宋体" w:cs="宋体"/>
                <w:szCs w:val="24"/>
              </w:rPr>
            </w:pPr>
          </w:p>
        </w:tc>
        <w:tc>
          <w:tcPr>
            <w:tcW w:w="1260" w:type="dxa"/>
            <w:vAlign w:val="center"/>
          </w:tcPr>
          <w:p>
            <w:pPr>
              <w:rPr>
                <w:rFonts w:ascii="宋体" w:hAnsi="宋体" w:cs="宋体"/>
                <w:szCs w:val="24"/>
              </w:rPr>
            </w:pPr>
          </w:p>
        </w:tc>
        <w:tc>
          <w:tcPr>
            <w:tcW w:w="1387" w:type="dxa"/>
            <w:gridSpan w:val="2"/>
            <w:vAlign w:val="center"/>
          </w:tcPr>
          <w:p>
            <w:pPr>
              <w:rPr>
                <w:rFonts w:ascii="宋体" w:hAnsi="宋体" w:cs="宋体"/>
                <w:szCs w:val="24"/>
              </w:rPr>
            </w:pPr>
          </w:p>
        </w:tc>
        <w:tc>
          <w:tcPr>
            <w:tcW w:w="1604" w:type="dxa"/>
            <w:gridSpan w:val="3"/>
            <w:vAlign w:val="center"/>
          </w:tcPr>
          <w:p>
            <w:pPr>
              <w:rPr>
                <w:rFonts w:ascii="宋体" w:hAnsi="宋体" w:cs="宋体"/>
                <w:szCs w:val="24"/>
              </w:rPr>
            </w:pPr>
          </w:p>
        </w:tc>
        <w:tc>
          <w:tcPr>
            <w:tcW w:w="1740" w:type="dxa"/>
            <w:tcBorders>
              <w:right w:val="single" w:color="auto" w:sz="2" w:space="0"/>
            </w:tcBorders>
            <w:vAlign w:val="center"/>
          </w:tcPr>
          <w:p>
            <w:pPr>
              <w:rPr>
                <w:rFonts w:ascii="宋体" w:hAnsi="宋体" w:cs="宋体"/>
                <w:szCs w:val="24"/>
              </w:rPr>
            </w:pPr>
          </w:p>
        </w:tc>
        <w:tc>
          <w:tcPr>
            <w:tcW w:w="1091" w:type="dxa"/>
            <w:gridSpan w:val="2"/>
            <w:tcBorders>
              <w:left w:val="single" w:color="auto" w:sz="2" w:space="0"/>
              <w:right w:val="single" w:color="auto" w:sz="12"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ascii="宋体" w:hAnsi="宋体" w:cs="宋体"/>
                <w:szCs w:val="24"/>
              </w:rPr>
            </w:pPr>
          </w:p>
        </w:tc>
        <w:tc>
          <w:tcPr>
            <w:tcW w:w="969" w:type="dxa"/>
            <w:tcBorders>
              <w:left w:val="single" w:color="auto" w:sz="6" w:space="0"/>
            </w:tcBorders>
            <w:vAlign w:val="center"/>
          </w:tcPr>
          <w:p>
            <w:pPr>
              <w:rPr>
                <w:rFonts w:ascii="宋体" w:hAnsi="宋体" w:cs="宋体"/>
                <w:szCs w:val="24"/>
              </w:rPr>
            </w:pPr>
          </w:p>
        </w:tc>
        <w:tc>
          <w:tcPr>
            <w:tcW w:w="1260" w:type="dxa"/>
            <w:vAlign w:val="center"/>
          </w:tcPr>
          <w:p>
            <w:pPr>
              <w:rPr>
                <w:rFonts w:ascii="宋体" w:hAnsi="宋体" w:cs="宋体"/>
                <w:szCs w:val="24"/>
              </w:rPr>
            </w:pPr>
          </w:p>
        </w:tc>
        <w:tc>
          <w:tcPr>
            <w:tcW w:w="1387" w:type="dxa"/>
            <w:gridSpan w:val="2"/>
            <w:vAlign w:val="center"/>
          </w:tcPr>
          <w:p>
            <w:pPr>
              <w:rPr>
                <w:rFonts w:ascii="宋体" w:hAnsi="宋体" w:cs="宋体"/>
                <w:szCs w:val="24"/>
              </w:rPr>
            </w:pPr>
          </w:p>
        </w:tc>
        <w:tc>
          <w:tcPr>
            <w:tcW w:w="1604" w:type="dxa"/>
            <w:gridSpan w:val="3"/>
            <w:vAlign w:val="center"/>
          </w:tcPr>
          <w:p>
            <w:pPr>
              <w:rPr>
                <w:rFonts w:ascii="宋体" w:hAnsi="宋体" w:cs="宋体"/>
                <w:szCs w:val="24"/>
              </w:rPr>
            </w:pPr>
          </w:p>
        </w:tc>
        <w:tc>
          <w:tcPr>
            <w:tcW w:w="1740" w:type="dxa"/>
            <w:tcBorders>
              <w:right w:val="single" w:color="auto" w:sz="2" w:space="0"/>
            </w:tcBorders>
            <w:vAlign w:val="center"/>
          </w:tcPr>
          <w:p>
            <w:pPr>
              <w:rPr>
                <w:rFonts w:ascii="宋体" w:hAnsi="宋体" w:cs="宋体"/>
                <w:szCs w:val="24"/>
              </w:rPr>
            </w:pPr>
          </w:p>
        </w:tc>
        <w:tc>
          <w:tcPr>
            <w:tcW w:w="1091" w:type="dxa"/>
            <w:gridSpan w:val="2"/>
            <w:tcBorders>
              <w:left w:val="single" w:color="auto" w:sz="2" w:space="0"/>
              <w:right w:val="single" w:color="auto" w:sz="12"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ascii="宋体" w:hAnsi="宋体" w:cs="宋体"/>
                <w:szCs w:val="24"/>
              </w:rPr>
            </w:pPr>
          </w:p>
        </w:tc>
        <w:tc>
          <w:tcPr>
            <w:tcW w:w="969" w:type="dxa"/>
            <w:tcBorders>
              <w:left w:val="single" w:color="auto" w:sz="6" w:space="0"/>
            </w:tcBorders>
            <w:vAlign w:val="center"/>
          </w:tcPr>
          <w:p>
            <w:pPr>
              <w:rPr>
                <w:rFonts w:ascii="宋体" w:hAnsi="宋体" w:cs="宋体"/>
                <w:szCs w:val="24"/>
              </w:rPr>
            </w:pPr>
          </w:p>
        </w:tc>
        <w:tc>
          <w:tcPr>
            <w:tcW w:w="1260" w:type="dxa"/>
            <w:vAlign w:val="center"/>
          </w:tcPr>
          <w:p>
            <w:pPr>
              <w:rPr>
                <w:rFonts w:ascii="宋体" w:hAnsi="宋体" w:cs="宋体"/>
                <w:szCs w:val="24"/>
              </w:rPr>
            </w:pPr>
          </w:p>
        </w:tc>
        <w:tc>
          <w:tcPr>
            <w:tcW w:w="1387" w:type="dxa"/>
            <w:gridSpan w:val="2"/>
            <w:vAlign w:val="center"/>
          </w:tcPr>
          <w:p>
            <w:pPr>
              <w:rPr>
                <w:rFonts w:ascii="宋体" w:hAnsi="宋体" w:cs="宋体"/>
                <w:szCs w:val="24"/>
              </w:rPr>
            </w:pPr>
          </w:p>
        </w:tc>
        <w:tc>
          <w:tcPr>
            <w:tcW w:w="1604" w:type="dxa"/>
            <w:gridSpan w:val="3"/>
            <w:vAlign w:val="center"/>
          </w:tcPr>
          <w:p>
            <w:pPr>
              <w:rPr>
                <w:rFonts w:ascii="宋体" w:hAnsi="宋体" w:cs="宋体"/>
                <w:szCs w:val="24"/>
              </w:rPr>
            </w:pPr>
          </w:p>
        </w:tc>
        <w:tc>
          <w:tcPr>
            <w:tcW w:w="1740" w:type="dxa"/>
            <w:tcBorders>
              <w:right w:val="single" w:color="auto" w:sz="2" w:space="0"/>
            </w:tcBorders>
            <w:vAlign w:val="center"/>
          </w:tcPr>
          <w:p>
            <w:pPr>
              <w:rPr>
                <w:rFonts w:ascii="宋体" w:hAnsi="宋体" w:cs="宋体"/>
                <w:szCs w:val="24"/>
              </w:rPr>
            </w:pPr>
          </w:p>
        </w:tc>
        <w:tc>
          <w:tcPr>
            <w:tcW w:w="1091" w:type="dxa"/>
            <w:gridSpan w:val="2"/>
            <w:tcBorders>
              <w:left w:val="single" w:color="auto" w:sz="2" w:space="0"/>
              <w:right w:val="single" w:color="auto" w:sz="12"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pPr>
              <w:rPr>
                <w:rFonts w:ascii="宋体" w:hAnsi="宋体" w:cs="宋体"/>
                <w:szCs w:val="24"/>
              </w:rPr>
            </w:pPr>
            <w:r>
              <w:rPr>
                <w:rFonts w:hint="eastAsia" w:ascii="宋体" w:hAnsi="宋体" w:cs="宋体"/>
                <w:szCs w:val="24"/>
              </w:rPr>
              <w:t>2、</w:t>
            </w:r>
            <w:r>
              <w:rPr>
                <w:rFonts w:hint="eastAsia" w:ascii="宋体" w:hAnsi="宋体" w:cs="宋体"/>
                <w:szCs w:val="24"/>
                <w:lang w:val="en-US" w:eastAsia="zh-CN"/>
              </w:rPr>
              <w:t>技术</w:t>
            </w:r>
            <w:r>
              <w:rPr>
                <w:rFonts w:hint="eastAsia" w:ascii="宋体" w:hAnsi="宋体" w:cs="宋体"/>
                <w:szCs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Cs w:val="24"/>
              </w:rPr>
            </w:pPr>
            <w:r>
              <w:rPr>
                <w:rFonts w:hint="eastAsia" w:ascii="宋体" w:hAnsi="宋体" w:cs="宋体"/>
                <w:szCs w:val="24"/>
              </w:rPr>
              <w:t>姓名</w:t>
            </w:r>
          </w:p>
        </w:tc>
        <w:tc>
          <w:tcPr>
            <w:tcW w:w="969" w:type="dxa"/>
            <w:tcBorders>
              <w:left w:val="single" w:color="auto" w:sz="6" w:space="0"/>
            </w:tcBorders>
            <w:vAlign w:val="center"/>
          </w:tcPr>
          <w:p>
            <w:pPr>
              <w:jc w:val="center"/>
              <w:rPr>
                <w:rFonts w:ascii="宋体" w:hAnsi="宋体" w:cs="宋体"/>
                <w:szCs w:val="24"/>
              </w:rPr>
            </w:pPr>
            <w:r>
              <w:rPr>
                <w:rFonts w:hint="eastAsia" w:ascii="宋体" w:hAnsi="宋体" w:cs="宋体"/>
                <w:szCs w:val="24"/>
              </w:rPr>
              <w:t>年龄</w:t>
            </w:r>
          </w:p>
        </w:tc>
        <w:tc>
          <w:tcPr>
            <w:tcW w:w="1260" w:type="dxa"/>
            <w:vAlign w:val="center"/>
          </w:tcPr>
          <w:p>
            <w:pPr>
              <w:jc w:val="center"/>
              <w:rPr>
                <w:rFonts w:ascii="宋体" w:hAnsi="宋体" w:cs="宋体"/>
                <w:szCs w:val="24"/>
              </w:rPr>
            </w:pPr>
            <w:r>
              <w:rPr>
                <w:rFonts w:hint="eastAsia" w:ascii="宋体" w:hAnsi="宋体" w:cs="宋体"/>
                <w:szCs w:val="24"/>
              </w:rPr>
              <w:t>资格</w:t>
            </w:r>
          </w:p>
        </w:tc>
        <w:tc>
          <w:tcPr>
            <w:tcW w:w="1404" w:type="dxa"/>
            <w:gridSpan w:val="3"/>
            <w:vAlign w:val="center"/>
          </w:tcPr>
          <w:p>
            <w:pPr>
              <w:jc w:val="center"/>
              <w:rPr>
                <w:rFonts w:ascii="宋体" w:hAnsi="宋体" w:cs="宋体"/>
                <w:szCs w:val="24"/>
              </w:rPr>
            </w:pPr>
            <w:r>
              <w:rPr>
                <w:rFonts w:hint="eastAsia" w:ascii="宋体" w:hAnsi="宋体" w:cs="宋体"/>
                <w:szCs w:val="24"/>
              </w:rPr>
              <w:t>职称</w:t>
            </w:r>
          </w:p>
        </w:tc>
        <w:tc>
          <w:tcPr>
            <w:tcW w:w="1587" w:type="dxa"/>
            <w:gridSpan w:val="2"/>
            <w:vAlign w:val="center"/>
          </w:tcPr>
          <w:p>
            <w:pPr>
              <w:spacing w:line="280" w:lineRule="exact"/>
              <w:jc w:val="center"/>
              <w:rPr>
                <w:rFonts w:ascii="宋体" w:hAnsi="宋体" w:cs="宋体"/>
                <w:szCs w:val="24"/>
              </w:rPr>
            </w:pPr>
            <w:r>
              <w:rPr>
                <w:rFonts w:hint="eastAsia" w:ascii="宋体" w:hAnsi="宋体" w:cs="宋体"/>
                <w:szCs w:val="24"/>
              </w:rPr>
              <w:t>在本行业从业工作年限</w:t>
            </w:r>
          </w:p>
        </w:tc>
        <w:tc>
          <w:tcPr>
            <w:tcW w:w="1782" w:type="dxa"/>
            <w:gridSpan w:val="2"/>
            <w:vAlign w:val="center"/>
          </w:tcPr>
          <w:p>
            <w:pPr>
              <w:spacing w:line="240" w:lineRule="exact"/>
              <w:jc w:val="center"/>
              <w:rPr>
                <w:rFonts w:ascii="宋体" w:hAnsi="宋体" w:cs="宋体"/>
                <w:szCs w:val="24"/>
              </w:rPr>
            </w:pPr>
            <w:r>
              <w:rPr>
                <w:rFonts w:hint="eastAsia" w:ascii="宋体" w:hAnsi="宋体" w:cs="宋体"/>
                <w:szCs w:val="24"/>
              </w:rPr>
              <w:t>主要工作</w:t>
            </w:r>
          </w:p>
          <w:p>
            <w:pPr>
              <w:spacing w:line="240" w:lineRule="exact"/>
              <w:jc w:val="center"/>
              <w:rPr>
                <w:rFonts w:ascii="宋体" w:hAnsi="宋体" w:cs="宋体"/>
                <w:szCs w:val="24"/>
              </w:rPr>
            </w:pPr>
            <w:r>
              <w:rPr>
                <w:rFonts w:hint="eastAsia" w:ascii="宋体" w:hAnsi="宋体" w:cs="宋体"/>
                <w:szCs w:val="24"/>
              </w:rPr>
              <w:t>业绩和经历</w:t>
            </w:r>
          </w:p>
        </w:tc>
        <w:tc>
          <w:tcPr>
            <w:tcW w:w="1049" w:type="dxa"/>
            <w:tcBorders>
              <w:right w:val="single" w:color="auto" w:sz="12" w:space="0"/>
            </w:tcBorders>
            <w:vAlign w:val="center"/>
          </w:tcPr>
          <w:p>
            <w:pPr>
              <w:spacing w:line="240" w:lineRule="exact"/>
              <w:jc w:val="center"/>
              <w:rPr>
                <w:rFonts w:ascii="宋体" w:hAnsi="宋体" w:cs="宋体"/>
                <w:szCs w:val="24"/>
              </w:rPr>
            </w:pPr>
            <w:r>
              <w:rPr>
                <w:rFonts w:hint="eastAsia" w:ascii="宋体" w:hAnsi="宋体" w:cs="宋体"/>
                <w:szCs w:val="24"/>
              </w:rPr>
              <w:t>当前</w:t>
            </w:r>
          </w:p>
          <w:p>
            <w:pPr>
              <w:spacing w:line="240" w:lineRule="exact"/>
              <w:jc w:val="center"/>
              <w:rPr>
                <w:rFonts w:ascii="宋体" w:hAnsi="宋体" w:cs="宋体"/>
                <w:szCs w:val="24"/>
              </w:rPr>
            </w:pPr>
            <w:r>
              <w:rPr>
                <w:rFonts w:hint="eastAsia" w:ascii="宋体" w:hAnsi="宋体" w:cs="宋体"/>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ascii="宋体" w:hAnsi="宋体" w:cs="宋体"/>
                <w:szCs w:val="24"/>
              </w:rPr>
            </w:pPr>
          </w:p>
        </w:tc>
        <w:tc>
          <w:tcPr>
            <w:tcW w:w="969" w:type="dxa"/>
            <w:tcBorders>
              <w:left w:val="single" w:color="auto" w:sz="6" w:space="0"/>
            </w:tcBorders>
            <w:vAlign w:val="center"/>
          </w:tcPr>
          <w:p>
            <w:pPr>
              <w:rPr>
                <w:rFonts w:ascii="宋体" w:hAnsi="宋体" w:cs="宋体"/>
                <w:szCs w:val="24"/>
              </w:rPr>
            </w:pPr>
          </w:p>
        </w:tc>
        <w:tc>
          <w:tcPr>
            <w:tcW w:w="1260" w:type="dxa"/>
            <w:vAlign w:val="center"/>
          </w:tcPr>
          <w:p>
            <w:pPr>
              <w:rPr>
                <w:rFonts w:ascii="宋体" w:hAnsi="宋体" w:cs="宋体"/>
                <w:szCs w:val="24"/>
              </w:rPr>
            </w:pPr>
          </w:p>
        </w:tc>
        <w:tc>
          <w:tcPr>
            <w:tcW w:w="1404" w:type="dxa"/>
            <w:gridSpan w:val="3"/>
            <w:vAlign w:val="center"/>
          </w:tcPr>
          <w:p>
            <w:pPr>
              <w:rPr>
                <w:rFonts w:ascii="宋体" w:hAnsi="宋体" w:cs="宋体"/>
                <w:szCs w:val="24"/>
              </w:rPr>
            </w:pPr>
          </w:p>
        </w:tc>
        <w:tc>
          <w:tcPr>
            <w:tcW w:w="1587" w:type="dxa"/>
            <w:gridSpan w:val="2"/>
            <w:vAlign w:val="center"/>
          </w:tcPr>
          <w:p>
            <w:pPr>
              <w:rPr>
                <w:rFonts w:ascii="宋体" w:hAnsi="宋体" w:cs="宋体"/>
                <w:szCs w:val="24"/>
              </w:rPr>
            </w:pPr>
          </w:p>
        </w:tc>
        <w:tc>
          <w:tcPr>
            <w:tcW w:w="1782" w:type="dxa"/>
            <w:gridSpan w:val="2"/>
            <w:vAlign w:val="center"/>
          </w:tcPr>
          <w:p>
            <w:pPr>
              <w:rPr>
                <w:rFonts w:ascii="宋体" w:hAnsi="宋体" w:cs="宋体"/>
                <w:szCs w:val="24"/>
              </w:rPr>
            </w:pPr>
          </w:p>
        </w:tc>
        <w:tc>
          <w:tcPr>
            <w:tcW w:w="1049" w:type="dxa"/>
            <w:tcBorders>
              <w:right w:val="single" w:color="auto" w:sz="12"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ascii="宋体" w:hAnsi="宋体" w:cs="宋体"/>
                <w:szCs w:val="24"/>
              </w:rPr>
            </w:pPr>
          </w:p>
        </w:tc>
        <w:tc>
          <w:tcPr>
            <w:tcW w:w="969" w:type="dxa"/>
            <w:tcBorders>
              <w:left w:val="single" w:color="auto" w:sz="6" w:space="0"/>
            </w:tcBorders>
            <w:vAlign w:val="center"/>
          </w:tcPr>
          <w:p>
            <w:pPr>
              <w:rPr>
                <w:rFonts w:ascii="宋体" w:hAnsi="宋体" w:cs="宋体"/>
                <w:szCs w:val="24"/>
              </w:rPr>
            </w:pPr>
          </w:p>
        </w:tc>
        <w:tc>
          <w:tcPr>
            <w:tcW w:w="1260" w:type="dxa"/>
            <w:vAlign w:val="center"/>
          </w:tcPr>
          <w:p>
            <w:pPr>
              <w:rPr>
                <w:rFonts w:ascii="宋体" w:hAnsi="宋体" w:cs="宋体"/>
                <w:szCs w:val="24"/>
              </w:rPr>
            </w:pPr>
          </w:p>
        </w:tc>
        <w:tc>
          <w:tcPr>
            <w:tcW w:w="1404" w:type="dxa"/>
            <w:gridSpan w:val="3"/>
            <w:vAlign w:val="center"/>
          </w:tcPr>
          <w:p>
            <w:pPr>
              <w:rPr>
                <w:rFonts w:ascii="宋体" w:hAnsi="宋体" w:cs="宋体"/>
                <w:szCs w:val="24"/>
              </w:rPr>
            </w:pPr>
          </w:p>
        </w:tc>
        <w:tc>
          <w:tcPr>
            <w:tcW w:w="1587" w:type="dxa"/>
            <w:gridSpan w:val="2"/>
            <w:vAlign w:val="center"/>
          </w:tcPr>
          <w:p>
            <w:pPr>
              <w:rPr>
                <w:rFonts w:ascii="宋体" w:hAnsi="宋体" w:cs="宋体"/>
                <w:szCs w:val="24"/>
              </w:rPr>
            </w:pPr>
          </w:p>
        </w:tc>
        <w:tc>
          <w:tcPr>
            <w:tcW w:w="1782" w:type="dxa"/>
            <w:gridSpan w:val="2"/>
            <w:vAlign w:val="center"/>
          </w:tcPr>
          <w:p>
            <w:pPr>
              <w:rPr>
                <w:rFonts w:ascii="宋体" w:hAnsi="宋体" w:cs="宋体"/>
                <w:szCs w:val="24"/>
              </w:rPr>
            </w:pPr>
          </w:p>
        </w:tc>
        <w:tc>
          <w:tcPr>
            <w:tcW w:w="1049" w:type="dxa"/>
            <w:tcBorders>
              <w:right w:val="single" w:color="auto" w:sz="12"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ascii="宋体" w:hAnsi="宋体" w:cs="宋体"/>
                <w:szCs w:val="24"/>
              </w:rPr>
            </w:pPr>
          </w:p>
        </w:tc>
        <w:tc>
          <w:tcPr>
            <w:tcW w:w="969" w:type="dxa"/>
            <w:tcBorders>
              <w:left w:val="single" w:color="auto" w:sz="6" w:space="0"/>
            </w:tcBorders>
            <w:vAlign w:val="center"/>
          </w:tcPr>
          <w:p>
            <w:pPr>
              <w:rPr>
                <w:rFonts w:ascii="宋体" w:hAnsi="宋体" w:cs="宋体"/>
                <w:szCs w:val="24"/>
              </w:rPr>
            </w:pPr>
          </w:p>
        </w:tc>
        <w:tc>
          <w:tcPr>
            <w:tcW w:w="1260" w:type="dxa"/>
            <w:vAlign w:val="center"/>
          </w:tcPr>
          <w:p>
            <w:pPr>
              <w:rPr>
                <w:rFonts w:ascii="宋体" w:hAnsi="宋体" w:cs="宋体"/>
                <w:szCs w:val="24"/>
              </w:rPr>
            </w:pPr>
          </w:p>
        </w:tc>
        <w:tc>
          <w:tcPr>
            <w:tcW w:w="1404" w:type="dxa"/>
            <w:gridSpan w:val="3"/>
            <w:vAlign w:val="center"/>
          </w:tcPr>
          <w:p>
            <w:pPr>
              <w:rPr>
                <w:rFonts w:ascii="宋体" w:hAnsi="宋体" w:cs="宋体"/>
                <w:szCs w:val="24"/>
              </w:rPr>
            </w:pPr>
          </w:p>
        </w:tc>
        <w:tc>
          <w:tcPr>
            <w:tcW w:w="1587" w:type="dxa"/>
            <w:gridSpan w:val="2"/>
            <w:vAlign w:val="center"/>
          </w:tcPr>
          <w:p>
            <w:pPr>
              <w:rPr>
                <w:rFonts w:ascii="宋体" w:hAnsi="宋体" w:cs="宋体"/>
                <w:szCs w:val="24"/>
              </w:rPr>
            </w:pPr>
          </w:p>
        </w:tc>
        <w:tc>
          <w:tcPr>
            <w:tcW w:w="1782" w:type="dxa"/>
            <w:gridSpan w:val="2"/>
            <w:vAlign w:val="center"/>
          </w:tcPr>
          <w:p>
            <w:pPr>
              <w:rPr>
                <w:rFonts w:ascii="宋体" w:hAnsi="宋体" w:cs="宋体"/>
                <w:szCs w:val="24"/>
              </w:rPr>
            </w:pPr>
          </w:p>
        </w:tc>
        <w:tc>
          <w:tcPr>
            <w:tcW w:w="1049" w:type="dxa"/>
            <w:tcBorders>
              <w:right w:val="single" w:color="auto" w:sz="12"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pPr>
              <w:rPr>
                <w:rFonts w:ascii="宋体" w:hAnsi="宋体" w:cs="宋体"/>
                <w:szCs w:val="24"/>
              </w:rPr>
            </w:pPr>
            <w:r>
              <w:rPr>
                <w:rFonts w:hint="eastAsia" w:ascii="宋体" w:hAnsi="宋体" w:cs="宋体"/>
                <w:szCs w:val="24"/>
              </w:rPr>
              <w:t>3、辅助人员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cs="宋体"/>
                <w:szCs w:val="24"/>
              </w:rPr>
            </w:pPr>
            <w:r>
              <w:rPr>
                <w:rFonts w:hint="eastAsia" w:ascii="宋体" w:hAnsi="宋体" w:cs="宋体"/>
                <w:szCs w:val="24"/>
              </w:rPr>
              <w:t>姓名</w:t>
            </w:r>
          </w:p>
        </w:tc>
        <w:tc>
          <w:tcPr>
            <w:tcW w:w="969" w:type="dxa"/>
            <w:tcBorders>
              <w:left w:val="single" w:color="auto" w:sz="6" w:space="0"/>
            </w:tcBorders>
            <w:vAlign w:val="center"/>
          </w:tcPr>
          <w:p>
            <w:pPr>
              <w:jc w:val="center"/>
              <w:rPr>
                <w:rFonts w:ascii="宋体" w:hAnsi="宋体" w:cs="宋体"/>
                <w:szCs w:val="24"/>
              </w:rPr>
            </w:pPr>
            <w:r>
              <w:rPr>
                <w:rFonts w:hint="eastAsia" w:ascii="宋体" w:hAnsi="宋体" w:cs="宋体"/>
                <w:szCs w:val="24"/>
              </w:rPr>
              <w:t>年龄</w:t>
            </w:r>
          </w:p>
        </w:tc>
        <w:tc>
          <w:tcPr>
            <w:tcW w:w="1284" w:type="dxa"/>
            <w:gridSpan w:val="2"/>
            <w:tcBorders>
              <w:right w:val="single" w:color="auto" w:sz="2" w:space="0"/>
            </w:tcBorders>
            <w:vAlign w:val="center"/>
          </w:tcPr>
          <w:p>
            <w:pPr>
              <w:jc w:val="center"/>
              <w:rPr>
                <w:rFonts w:ascii="宋体" w:hAnsi="宋体" w:cs="宋体"/>
                <w:szCs w:val="24"/>
              </w:rPr>
            </w:pPr>
            <w:r>
              <w:rPr>
                <w:rFonts w:hint="eastAsia" w:ascii="宋体" w:hAnsi="宋体" w:cs="宋体"/>
                <w:szCs w:val="24"/>
              </w:rPr>
              <w:t>学历</w:t>
            </w:r>
          </w:p>
        </w:tc>
        <w:tc>
          <w:tcPr>
            <w:tcW w:w="1386" w:type="dxa"/>
            <w:gridSpan w:val="3"/>
            <w:tcBorders>
              <w:left w:val="single" w:color="auto" w:sz="2" w:space="0"/>
            </w:tcBorders>
            <w:vAlign w:val="center"/>
          </w:tcPr>
          <w:p>
            <w:pPr>
              <w:jc w:val="center"/>
              <w:rPr>
                <w:rFonts w:ascii="宋体" w:hAnsi="宋体" w:cs="宋体"/>
                <w:szCs w:val="24"/>
              </w:rPr>
            </w:pPr>
            <w:r>
              <w:rPr>
                <w:rFonts w:hint="eastAsia" w:ascii="宋体" w:hAnsi="宋体" w:cs="宋体"/>
                <w:szCs w:val="24"/>
              </w:rPr>
              <w:t>职称</w:t>
            </w:r>
          </w:p>
        </w:tc>
        <w:tc>
          <w:tcPr>
            <w:tcW w:w="1581" w:type="dxa"/>
            <w:vAlign w:val="center"/>
          </w:tcPr>
          <w:p>
            <w:pPr>
              <w:spacing w:line="280" w:lineRule="exact"/>
              <w:jc w:val="center"/>
              <w:rPr>
                <w:rFonts w:ascii="宋体" w:hAnsi="宋体" w:cs="宋体"/>
                <w:szCs w:val="24"/>
              </w:rPr>
            </w:pPr>
            <w:r>
              <w:rPr>
                <w:rFonts w:hint="eastAsia" w:ascii="宋体" w:hAnsi="宋体" w:cs="宋体"/>
                <w:szCs w:val="24"/>
              </w:rPr>
              <w:t>从事类似项目工作年限</w:t>
            </w:r>
          </w:p>
        </w:tc>
        <w:tc>
          <w:tcPr>
            <w:tcW w:w="1782" w:type="dxa"/>
            <w:gridSpan w:val="2"/>
            <w:vAlign w:val="center"/>
          </w:tcPr>
          <w:p>
            <w:pPr>
              <w:spacing w:line="240" w:lineRule="exact"/>
              <w:jc w:val="center"/>
              <w:rPr>
                <w:rFonts w:ascii="宋体" w:hAnsi="宋体" w:cs="宋体"/>
                <w:szCs w:val="24"/>
              </w:rPr>
            </w:pPr>
            <w:r>
              <w:rPr>
                <w:rFonts w:hint="eastAsia" w:ascii="宋体" w:hAnsi="宋体" w:cs="宋体"/>
                <w:szCs w:val="24"/>
              </w:rPr>
              <w:t>主要工作</w:t>
            </w:r>
          </w:p>
          <w:p>
            <w:pPr>
              <w:spacing w:line="240" w:lineRule="exact"/>
              <w:jc w:val="center"/>
              <w:rPr>
                <w:rFonts w:ascii="宋体" w:hAnsi="宋体" w:cs="宋体"/>
                <w:szCs w:val="24"/>
              </w:rPr>
            </w:pPr>
            <w:r>
              <w:rPr>
                <w:rFonts w:hint="eastAsia" w:ascii="宋体" w:hAnsi="宋体" w:cs="宋体"/>
                <w:szCs w:val="24"/>
              </w:rPr>
              <w:t>业绩和经历</w:t>
            </w:r>
          </w:p>
        </w:tc>
        <w:tc>
          <w:tcPr>
            <w:tcW w:w="1049" w:type="dxa"/>
            <w:tcBorders>
              <w:right w:val="single" w:color="auto" w:sz="12" w:space="0"/>
            </w:tcBorders>
            <w:vAlign w:val="center"/>
          </w:tcPr>
          <w:p>
            <w:pPr>
              <w:spacing w:line="240" w:lineRule="exact"/>
              <w:jc w:val="center"/>
              <w:rPr>
                <w:rFonts w:ascii="宋体" w:hAnsi="宋体" w:cs="宋体"/>
                <w:szCs w:val="24"/>
              </w:rPr>
            </w:pPr>
            <w:r>
              <w:rPr>
                <w:rFonts w:hint="eastAsia" w:ascii="宋体" w:hAnsi="宋体" w:cs="宋体"/>
                <w:szCs w:val="24"/>
              </w:rPr>
              <w:t>当前</w:t>
            </w:r>
          </w:p>
          <w:p>
            <w:pPr>
              <w:spacing w:line="240" w:lineRule="exact"/>
              <w:jc w:val="center"/>
              <w:rPr>
                <w:rFonts w:ascii="宋体" w:hAnsi="宋体" w:cs="宋体"/>
                <w:szCs w:val="24"/>
              </w:rPr>
            </w:pPr>
            <w:r>
              <w:rPr>
                <w:rFonts w:hint="eastAsia" w:ascii="宋体" w:hAnsi="宋体" w:cs="宋体"/>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ascii="宋体" w:hAnsi="宋体" w:cs="宋体"/>
                <w:szCs w:val="24"/>
              </w:rPr>
            </w:pPr>
          </w:p>
        </w:tc>
        <w:tc>
          <w:tcPr>
            <w:tcW w:w="969" w:type="dxa"/>
            <w:tcBorders>
              <w:left w:val="single" w:color="auto" w:sz="6" w:space="0"/>
            </w:tcBorders>
            <w:vAlign w:val="center"/>
          </w:tcPr>
          <w:p>
            <w:pPr>
              <w:rPr>
                <w:rFonts w:ascii="宋体" w:hAnsi="宋体" w:cs="宋体"/>
                <w:szCs w:val="24"/>
              </w:rPr>
            </w:pPr>
          </w:p>
        </w:tc>
        <w:tc>
          <w:tcPr>
            <w:tcW w:w="1284" w:type="dxa"/>
            <w:gridSpan w:val="2"/>
            <w:tcBorders>
              <w:right w:val="single" w:color="auto" w:sz="2" w:space="0"/>
            </w:tcBorders>
            <w:vAlign w:val="center"/>
          </w:tcPr>
          <w:p>
            <w:pPr>
              <w:rPr>
                <w:rFonts w:ascii="宋体" w:hAnsi="宋体" w:cs="宋体"/>
                <w:szCs w:val="24"/>
              </w:rPr>
            </w:pPr>
          </w:p>
        </w:tc>
        <w:tc>
          <w:tcPr>
            <w:tcW w:w="1386" w:type="dxa"/>
            <w:gridSpan w:val="3"/>
            <w:tcBorders>
              <w:left w:val="single" w:color="auto" w:sz="2" w:space="0"/>
            </w:tcBorders>
            <w:vAlign w:val="center"/>
          </w:tcPr>
          <w:p>
            <w:pPr>
              <w:rPr>
                <w:rFonts w:ascii="宋体" w:hAnsi="宋体" w:cs="宋体"/>
                <w:szCs w:val="24"/>
              </w:rPr>
            </w:pPr>
          </w:p>
        </w:tc>
        <w:tc>
          <w:tcPr>
            <w:tcW w:w="1581" w:type="dxa"/>
            <w:vAlign w:val="center"/>
          </w:tcPr>
          <w:p>
            <w:pPr>
              <w:rPr>
                <w:rFonts w:ascii="宋体" w:hAnsi="宋体" w:cs="宋体"/>
                <w:szCs w:val="24"/>
              </w:rPr>
            </w:pPr>
          </w:p>
        </w:tc>
        <w:tc>
          <w:tcPr>
            <w:tcW w:w="1782" w:type="dxa"/>
            <w:gridSpan w:val="2"/>
            <w:vAlign w:val="center"/>
          </w:tcPr>
          <w:p>
            <w:pPr>
              <w:rPr>
                <w:rFonts w:ascii="宋体" w:hAnsi="宋体" w:cs="宋体"/>
                <w:szCs w:val="24"/>
              </w:rPr>
            </w:pPr>
          </w:p>
        </w:tc>
        <w:tc>
          <w:tcPr>
            <w:tcW w:w="1049" w:type="dxa"/>
            <w:tcBorders>
              <w:right w:val="single" w:color="auto" w:sz="12"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ascii="宋体" w:hAnsi="宋体" w:cs="宋体"/>
                <w:szCs w:val="24"/>
              </w:rPr>
            </w:pPr>
          </w:p>
        </w:tc>
        <w:tc>
          <w:tcPr>
            <w:tcW w:w="969" w:type="dxa"/>
            <w:tcBorders>
              <w:left w:val="single" w:color="auto" w:sz="6" w:space="0"/>
            </w:tcBorders>
            <w:vAlign w:val="center"/>
          </w:tcPr>
          <w:p>
            <w:pPr>
              <w:rPr>
                <w:rFonts w:ascii="宋体" w:hAnsi="宋体" w:cs="宋体"/>
                <w:szCs w:val="24"/>
              </w:rPr>
            </w:pPr>
          </w:p>
        </w:tc>
        <w:tc>
          <w:tcPr>
            <w:tcW w:w="1284" w:type="dxa"/>
            <w:gridSpan w:val="2"/>
            <w:tcBorders>
              <w:right w:val="single" w:color="auto" w:sz="2" w:space="0"/>
            </w:tcBorders>
            <w:vAlign w:val="center"/>
          </w:tcPr>
          <w:p>
            <w:pPr>
              <w:rPr>
                <w:rFonts w:ascii="宋体" w:hAnsi="宋体" w:cs="宋体"/>
                <w:szCs w:val="24"/>
              </w:rPr>
            </w:pPr>
          </w:p>
        </w:tc>
        <w:tc>
          <w:tcPr>
            <w:tcW w:w="1386" w:type="dxa"/>
            <w:gridSpan w:val="3"/>
            <w:tcBorders>
              <w:left w:val="single" w:color="auto" w:sz="2" w:space="0"/>
            </w:tcBorders>
            <w:vAlign w:val="center"/>
          </w:tcPr>
          <w:p>
            <w:pPr>
              <w:rPr>
                <w:rFonts w:ascii="宋体" w:hAnsi="宋体" w:cs="宋体"/>
                <w:szCs w:val="24"/>
              </w:rPr>
            </w:pPr>
          </w:p>
        </w:tc>
        <w:tc>
          <w:tcPr>
            <w:tcW w:w="1581" w:type="dxa"/>
            <w:vAlign w:val="center"/>
          </w:tcPr>
          <w:p>
            <w:pPr>
              <w:rPr>
                <w:rFonts w:ascii="宋体" w:hAnsi="宋体" w:cs="宋体"/>
                <w:szCs w:val="24"/>
              </w:rPr>
            </w:pPr>
          </w:p>
        </w:tc>
        <w:tc>
          <w:tcPr>
            <w:tcW w:w="1782" w:type="dxa"/>
            <w:gridSpan w:val="2"/>
            <w:vAlign w:val="center"/>
          </w:tcPr>
          <w:p>
            <w:pPr>
              <w:rPr>
                <w:rFonts w:ascii="宋体" w:hAnsi="宋体" w:cs="宋体"/>
                <w:szCs w:val="24"/>
              </w:rPr>
            </w:pPr>
          </w:p>
        </w:tc>
        <w:tc>
          <w:tcPr>
            <w:tcW w:w="1049" w:type="dxa"/>
            <w:tcBorders>
              <w:right w:val="single" w:color="auto" w:sz="12"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pPr>
              <w:rPr>
                <w:rFonts w:ascii="宋体" w:hAnsi="宋体" w:cs="宋体"/>
                <w:szCs w:val="24"/>
              </w:rPr>
            </w:pPr>
          </w:p>
        </w:tc>
        <w:tc>
          <w:tcPr>
            <w:tcW w:w="969" w:type="dxa"/>
            <w:tcBorders>
              <w:left w:val="single" w:color="auto" w:sz="6" w:space="0"/>
            </w:tcBorders>
            <w:vAlign w:val="center"/>
          </w:tcPr>
          <w:p>
            <w:pPr>
              <w:rPr>
                <w:rFonts w:ascii="宋体" w:hAnsi="宋体" w:cs="宋体"/>
                <w:szCs w:val="24"/>
              </w:rPr>
            </w:pPr>
          </w:p>
        </w:tc>
        <w:tc>
          <w:tcPr>
            <w:tcW w:w="1284" w:type="dxa"/>
            <w:gridSpan w:val="2"/>
            <w:tcBorders>
              <w:right w:val="single" w:color="auto" w:sz="2" w:space="0"/>
            </w:tcBorders>
            <w:vAlign w:val="center"/>
          </w:tcPr>
          <w:p>
            <w:pPr>
              <w:rPr>
                <w:rFonts w:ascii="宋体" w:hAnsi="宋体" w:cs="宋体"/>
                <w:szCs w:val="24"/>
              </w:rPr>
            </w:pPr>
          </w:p>
        </w:tc>
        <w:tc>
          <w:tcPr>
            <w:tcW w:w="1386" w:type="dxa"/>
            <w:gridSpan w:val="3"/>
            <w:tcBorders>
              <w:left w:val="single" w:color="auto" w:sz="2" w:space="0"/>
            </w:tcBorders>
            <w:vAlign w:val="center"/>
          </w:tcPr>
          <w:p>
            <w:pPr>
              <w:rPr>
                <w:rFonts w:ascii="宋体" w:hAnsi="宋体" w:cs="宋体"/>
                <w:szCs w:val="24"/>
              </w:rPr>
            </w:pPr>
          </w:p>
        </w:tc>
        <w:tc>
          <w:tcPr>
            <w:tcW w:w="1581" w:type="dxa"/>
            <w:vAlign w:val="center"/>
          </w:tcPr>
          <w:p>
            <w:pPr>
              <w:rPr>
                <w:rFonts w:ascii="宋体" w:hAnsi="宋体" w:cs="宋体"/>
                <w:szCs w:val="24"/>
              </w:rPr>
            </w:pPr>
          </w:p>
        </w:tc>
        <w:tc>
          <w:tcPr>
            <w:tcW w:w="1782" w:type="dxa"/>
            <w:gridSpan w:val="2"/>
            <w:vAlign w:val="center"/>
          </w:tcPr>
          <w:p>
            <w:pPr>
              <w:rPr>
                <w:rFonts w:ascii="宋体" w:hAnsi="宋体" w:cs="宋体"/>
                <w:szCs w:val="24"/>
              </w:rPr>
            </w:pPr>
          </w:p>
        </w:tc>
        <w:tc>
          <w:tcPr>
            <w:tcW w:w="1049" w:type="dxa"/>
            <w:tcBorders>
              <w:right w:val="single" w:color="auto" w:sz="12"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cs="宋体"/>
                <w:szCs w:val="24"/>
              </w:rPr>
            </w:pPr>
            <w:r>
              <w:rPr>
                <w:rFonts w:hint="eastAsia" w:ascii="宋体" w:hAnsi="宋体" w:cs="宋体"/>
                <w:szCs w:val="24"/>
              </w:rPr>
              <w:t>备注</w:t>
            </w:r>
          </w:p>
        </w:tc>
        <w:tc>
          <w:tcPr>
            <w:tcW w:w="8051" w:type="dxa"/>
            <w:gridSpan w:val="10"/>
            <w:tcBorders>
              <w:left w:val="single" w:color="auto" w:sz="6" w:space="0"/>
              <w:bottom w:val="single" w:color="auto" w:sz="12" w:space="0"/>
              <w:right w:val="single" w:color="auto" w:sz="12" w:space="0"/>
            </w:tcBorders>
            <w:vAlign w:val="center"/>
          </w:tcPr>
          <w:p>
            <w:pPr>
              <w:rPr>
                <w:rFonts w:ascii="宋体" w:hAnsi="宋体" w:cs="宋体"/>
                <w:szCs w:val="24"/>
              </w:rPr>
            </w:pPr>
            <w:r>
              <w:rPr>
                <w:rFonts w:hint="eastAsia" w:ascii="宋体" w:hAnsi="宋体" w:cs="宋体"/>
                <w:szCs w:val="24"/>
              </w:rPr>
              <w:t>表格空间不足时请自行扩展。</w:t>
            </w:r>
          </w:p>
        </w:tc>
      </w:tr>
    </w:tbl>
    <w:p>
      <w:pPr>
        <w:pStyle w:val="18"/>
        <w:ind w:firstLine="0" w:firstLineChars="0"/>
        <w:outlineLvl w:val="2"/>
        <w:rPr>
          <w:rFonts w:hint="default" w:ascii="宋体" w:hAnsi="宋体" w:eastAsia="宋体" w:cs="宋体"/>
          <w:b/>
          <w:sz w:val="24"/>
          <w:szCs w:val="24"/>
          <w:lang w:val="en-US" w:eastAsia="zh-CN"/>
        </w:rPr>
      </w:pPr>
      <w:bookmarkStart w:id="182" w:name="_Toc13036"/>
      <w:bookmarkStart w:id="183" w:name="_Toc29023_WPSOffice_Level2"/>
      <w:r>
        <w:rPr>
          <w:rFonts w:hint="eastAsia" w:ascii="宋体" w:hAnsi="宋体" w:cs="宋体"/>
          <w:b/>
          <w:sz w:val="24"/>
          <w:szCs w:val="24"/>
          <w:lang w:val="en-US" w:eastAsia="zh-CN"/>
        </w:rPr>
        <w:t>后附人员相关证书证件。</w:t>
      </w:r>
    </w:p>
    <w:p>
      <w:pPr>
        <w:pStyle w:val="18"/>
        <w:ind w:firstLine="0" w:firstLineChars="0"/>
        <w:outlineLvl w:val="2"/>
        <w:rPr>
          <w:rFonts w:ascii="宋体" w:hAnsi="宋体" w:cs="宋体"/>
          <w:sz w:val="24"/>
          <w:szCs w:val="24"/>
        </w:rPr>
      </w:pPr>
      <w:r>
        <w:rPr>
          <w:rFonts w:hint="eastAsia" w:ascii="宋体" w:hAnsi="宋体" w:cs="宋体"/>
          <w:b/>
          <w:sz w:val="24"/>
          <w:szCs w:val="24"/>
        </w:rPr>
        <w:t>四、供应商认为有利于成交的其他情况说明</w:t>
      </w:r>
      <w:bookmarkEnd w:id="182"/>
      <w:bookmarkEnd w:id="183"/>
    </w:p>
    <w:bookmarkEnd w:id="157"/>
    <w:p>
      <w:pPr>
        <w:spacing w:beforeLines="50" w:afterLines="100" w:line="360" w:lineRule="auto"/>
        <w:rPr>
          <w:rFonts w:ascii="宋体" w:hAnsi="宋体" w:cs="宋体"/>
          <w:b/>
          <w:szCs w:val="21"/>
          <w:lang w:val="en-GB"/>
        </w:rPr>
      </w:pPr>
      <w:r>
        <w:rPr>
          <w:rFonts w:hint="eastAsia" w:ascii="宋体" w:hAnsi="宋体" w:cs="宋体"/>
          <w:b/>
          <w:szCs w:val="21"/>
          <w:lang w:val="en-GB"/>
        </w:rPr>
        <w:t>附件：</w:t>
      </w:r>
    </w:p>
    <w:p>
      <w:pPr>
        <w:spacing w:beforeLines="50" w:afterLines="100" w:line="360" w:lineRule="auto"/>
        <w:jc w:val="center"/>
        <w:rPr>
          <w:rFonts w:ascii="宋体" w:hAnsi="宋体" w:cs="宋体"/>
          <w:b/>
          <w:spacing w:val="4"/>
          <w:sz w:val="30"/>
          <w:szCs w:val="30"/>
        </w:rPr>
      </w:pPr>
      <w:r>
        <w:rPr>
          <w:rFonts w:hint="eastAsia" w:ascii="宋体" w:hAnsi="宋体" w:cs="宋体"/>
          <w:b/>
          <w:spacing w:val="4"/>
          <w:sz w:val="30"/>
          <w:szCs w:val="30"/>
        </w:rPr>
        <w:t>投标保证金退还信息表</w:t>
      </w:r>
    </w:p>
    <w:p>
      <w:pPr>
        <w:spacing w:line="360" w:lineRule="auto"/>
        <w:rPr>
          <w:rFonts w:ascii="宋体" w:hAnsi="宋体" w:cs="宋体"/>
          <w:szCs w:val="22"/>
        </w:rPr>
      </w:pPr>
      <w:r>
        <w:rPr>
          <w:rFonts w:hint="eastAsia" w:ascii="宋体" w:hAnsi="宋体" w:cs="宋体"/>
          <w:spacing w:val="4"/>
        </w:rPr>
        <w:t>致：</w:t>
      </w:r>
      <w:r>
        <w:rPr>
          <w:rFonts w:hint="eastAsia" w:ascii="宋体" w:hAnsi="宋体" w:cs="宋体"/>
        </w:rPr>
        <w:t>陕西致恒招标代理有限公司</w:t>
      </w:r>
    </w:p>
    <w:p>
      <w:pPr>
        <w:spacing w:line="360" w:lineRule="auto"/>
        <w:ind w:firstLine="480"/>
        <w:rPr>
          <w:rFonts w:ascii="宋体" w:hAnsi="宋体" w:cs="宋体"/>
        </w:rPr>
      </w:pPr>
    </w:p>
    <w:p>
      <w:pPr>
        <w:spacing w:line="360" w:lineRule="auto"/>
        <w:ind w:firstLine="482"/>
        <w:rPr>
          <w:rFonts w:ascii="宋体" w:hAnsi="宋体" w:cs="宋体"/>
        </w:rPr>
      </w:pPr>
      <w:r>
        <w:rPr>
          <w:rFonts w:hint="eastAsia" w:ascii="宋体" w:hAnsi="宋体" w:cs="宋体"/>
        </w:rPr>
        <w:t>我单位为</w:t>
      </w:r>
      <w:r>
        <w:rPr>
          <w:rFonts w:hint="eastAsia" w:ascii="宋体" w:hAnsi="宋体" w:cs="宋体"/>
          <w:u w:val="single"/>
          <w:lang w:val="en-US" w:eastAsia="zh-CN"/>
        </w:rPr>
        <w:t xml:space="preserve">             </w:t>
      </w:r>
      <w:r>
        <w:rPr>
          <w:rFonts w:hint="eastAsia" w:ascii="宋体" w:hAnsi="宋体" w:cs="宋体"/>
        </w:rPr>
        <w:t>项目（项目编号：</w:t>
      </w:r>
      <w:r>
        <w:rPr>
          <w:rFonts w:hint="eastAsia" w:ascii="宋体" w:hAnsi="宋体" w:cs="宋体"/>
          <w:u w:val="single"/>
          <w:lang w:val="en-US" w:eastAsia="zh-CN"/>
        </w:rPr>
        <w:t xml:space="preserve">          </w:t>
      </w:r>
      <w:r>
        <w:rPr>
          <w:rFonts w:hint="eastAsia" w:ascii="宋体" w:hAnsi="宋体" w:cs="宋体"/>
        </w:rPr>
        <w:t>）提交的保证金￥</w:t>
      </w:r>
      <w:r>
        <w:rPr>
          <w:rFonts w:hint="eastAsia" w:ascii="宋体" w:hAnsi="宋体" w:cs="宋体"/>
          <w:u w:val="single"/>
        </w:rPr>
        <w:t xml:space="preserve">       </w:t>
      </w:r>
      <w:r>
        <w:rPr>
          <w:rFonts w:hint="eastAsia" w:ascii="宋体" w:hAnsi="宋体" w:cs="宋体"/>
        </w:rPr>
        <w:t>元（大写：），按竞争性磋商文件规定退还至下列账户：</w:t>
      </w:r>
    </w:p>
    <w:p>
      <w:pPr>
        <w:tabs>
          <w:tab w:val="left" w:pos="676"/>
          <w:tab w:val="left" w:pos="2330"/>
          <w:tab w:val="left" w:pos="9230"/>
        </w:tabs>
        <w:spacing w:line="360" w:lineRule="auto"/>
        <w:rPr>
          <w:rFonts w:ascii="宋体" w:hAnsi="宋体" w:cs="宋体"/>
          <w:b/>
          <w:szCs w:val="22"/>
        </w:rPr>
      </w:pPr>
    </w:p>
    <w:tbl>
      <w:tblPr>
        <w:tblStyle w:val="20"/>
        <w:tblpPr w:leftFromText="180" w:rightFromText="180" w:vertAnchor="page" w:horzAnchor="page" w:tblpX="1618" w:tblpY="5805"/>
        <w:tblW w:w="8796" w:type="dxa"/>
        <w:tblInd w:w="0" w:type="dxa"/>
        <w:tblLayout w:type="fixed"/>
        <w:tblCellMar>
          <w:top w:w="0" w:type="dxa"/>
          <w:left w:w="108" w:type="dxa"/>
          <w:bottom w:w="0" w:type="dxa"/>
          <w:right w:w="108" w:type="dxa"/>
        </w:tblCellMar>
      </w:tblPr>
      <w:tblGrid>
        <w:gridCol w:w="535"/>
        <w:gridCol w:w="1762"/>
        <w:gridCol w:w="2371"/>
        <w:gridCol w:w="1320"/>
        <w:gridCol w:w="2808"/>
      </w:tblGrid>
      <w:tr>
        <w:tblPrEx>
          <w:tblCellMar>
            <w:top w:w="0" w:type="dxa"/>
            <w:left w:w="108" w:type="dxa"/>
            <w:bottom w:w="0" w:type="dxa"/>
            <w:right w:w="108" w:type="dxa"/>
          </w:tblCellMar>
        </w:tblPrEx>
        <w:trPr>
          <w:cantSplit/>
          <w:trHeight w:val="669" w:hRule="atLeast"/>
        </w:trPr>
        <w:tc>
          <w:tcPr>
            <w:tcW w:w="535" w:type="dxa"/>
            <w:vMerge w:val="restart"/>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ascii="宋体" w:hAnsi="宋体" w:cs="宋体"/>
                <w:szCs w:val="22"/>
              </w:rPr>
            </w:pPr>
            <w:r>
              <w:rPr>
                <w:rFonts w:hint="eastAsia" w:ascii="宋体" w:hAnsi="宋体" w:cs="宋体"/>
              </w:rPr>
              <w:t>收款单位</w:t>
            </w:r>
          </w:p>
        </w:tc>
        <w:tc>
          <w:tcPr>
            <w:tcW w:w="17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2"/>
              </w:rPr>
            </w:pPr>
            <w:r>
              <w:rPr>
                <w:rFonts w:hint="eastAsia" w:ascii="宋体" w:hAnsi="宋体" w:cs="宋体"/>
              </w:rPr>
              <w:t>收款单位名称</w:t>
            </w:r>
          </w:p>
        </w:tc>
        <w:tc>
          <w:tcPr>
            <w:tcW w:w="6499" w:type="dxa"/>
            <w:gridSpan w:val="3"/>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2"/>
              </w:rPr>
            </w:pPr>
          </w:p>
        </w:tc>
      </w:tr>
      <w:tr>
        <w:tblPrEx>
          <w:tblCellMar>
            <w:top w:w="0" w:type="dxa"/>
            <w:left w:w="108" w:type="dxa"/>
            <w:bottom w:w="0" w:type="dxa"/>
            <w:right w:w="108" w:type="dxa"/>
          </w:tblCellMar>
        </w:tblPrEx>
        <w:trPr>
          <w:cantSplit/>
          <w:trHeight w:val="568" w:hRule="atLeast"/>
        </w:trPr>
        <w:tc>
          <w:tcPr>
            <w:tcW w:w="53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ascii="宋体" w:hAnsi="宋体" w:cs="宋体"/>
                <w:szCs w:val="22"/>
              </w:rPr>
            </w:pPr>
          </w:p>
        </w:tc>
        <w:tc>
          <w:tcPr>
            <w:tcW w:w="1762"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2"/>
              </w:rPr>
            </w:pPr>
            <w:r>
              <w:rPr>
                <w:rFonts w:hint="eastAsia" w:ascii="宋体" w:hAnsi="宋体" w:cs="宋体"/>
              </w:rPr>
              <w:t>账号</w:t>
            </w:r>
          </w:p>
        </w:tc>
        <w:tc>
          <w:tcPr>
            <w:tcW w:w="6499" w:type="dxa"/>
            <w:gridSpan w:val="3"/>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2"/>
              </w:rPr>
            </w:pPr>
          </w:p>
        </w:tc>
      </w:tr>
      <w:tr>
        <w:tblPrEx>
          <w:tblCellMar>
            <w:top w:w="0" w:type="dxa"/>
            <w:left w:w="108" w:type="dxa"/>
            <w:bottom w:w="0" w:type="dxa"/>
            <w:right w:w="108" w:type="dxa"/>
          </w:tblCellMar>
        </w:tblPrEx>
        <w:trPr>
          <w:cantSplit/>
          <w:trHeight w:val="568" w:hRule="atLeast"/>
        </w:trPr>
        <w:tc>
          <w:tcPr>
            <w:tcW w:w="53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ascii="宋体" w:hAnsi="宋体" w:cs="宋体"/>
                <w:szCs w:val="22"/>
              </w:rPr>
            </w:pPr>
          </w:p>
        </w:tc>
        <w:tc>
          <w:tcPr>
            <w:tcW w:w="1762"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2"/>
              </w:rPr>
            </w:pPr>
            <w:r>
              <w:rPr>
                <w:rFonts w:hint="eastAsia" w:ascii="宋体" w:hAnsi="宋体" w:cs="宋体"/>
              </w:rPr>
              <w:t>开户银行</w:t>
            </w:r>
          </w:p>
        </w:tc>
        <w:tc>
          <w:tcPr>
            <w:tcW w:w="6499" w:type="dxa"/>
            <w:gridSpan w:val="3"/>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2"/>
              </w:rPr>
            </w:pPr>
          </w:p>
        </w:tc>
      </w:tr>
      <w:tr>
        <w:tblPrEx>
          <w:tblCellMar>
            <w:top w:w="0" w:type="dxa"/>
            <w:left w:w="108" w:type="dxa"/>
            <w:bottom w:w="0" w:type="dxa"/>
            <w:right w:w="108" w:type="dxa"/>
          </w:tblCellMar>
        </w:tblPrEx>
        <w:trPr>
          <w:cantSplit/>
          <w:trHeight w:val="726" w:hRule="atLeast"/>
        </w:trPr>
        <w:tc>
          <w:tcPr>
            <w:tcW w:w="53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ascii="宋体" w:hAnsi="宋体" w:cs="宋体"/>
                <w:szCs w:val="22"/>
              </w:rPr>
            </w:pPr>
          </w:p>
        </w:tc>
        <w:tc>
          <w:tcPr>
            <w:tcW w:w="1762" w:type="dxa"/>
            <w:tcBorders>
              <w:top w:val="nil"/>
              <w:left w:val="nil"/>
              <w:bottom w:val="single" w:color="auto" w:sz="4" w:space="0"/>
              <w:right w:val="single" w:color="auto" w:sz="4" w:space="0"/>
            </w:tcBorders>
            <w:vAlign w:val="center"/>
          </w:tcPr>
          <w:p>
            <w:pPr>
              <w:spacing w:line="360" w:lineRule="auto"/>
              <w:jc w:val="center"/>
              <w:rPr>
                <w:rFonts w:ascii="宋体" w:hAnsi="宋体" w:cs="宋体"/>
                <w:szCs w:val="22"/>
              </w:rPr>
            </w:pPr>
            <w:r>
              <w:rPr>
                <w:rFonts w:hint="eastAsia" w:ascii="宋体" w:hAnsi="宋体" w:cs="宋体"/>
              </w:rPr>
              <w:t>开户银行行号</w:t>
            </w:r>
          </w:p>
        </w:tc>
        <w:tc>
          <w:tcPr>
            <w:tcW w:w="6499" w:type="dxa"/>
            <w:gridSpan w:val="3"/>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2"/>
              </w:rPr>
            </w:pPr>
          </w:p>
        </w:tc>
      </w:tr>
      <w:tr>
        <w:tblPrEx>
          <w:tblCellMar>
            <w:top w:w="0" w:type="dxa"/>
            <w:left w:w="108" w:type="dxa"/>
            <w:bottom w:w="0" w:type="dxa"/>
            <w:right w:w="108" w:type="dxa"/>
          </w:tblCellMar>
        </w:tblPrEx>
        <w:trPr>
          <w:trHeight w:val="770" w:hRule="atLeast"/>
        </w:trPr>
        <w:tc>
          <w:tcPr>
            <w:tcW w:w="535"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rPr>
                <w:rFonts w:ascii="宋体" w:hAnsi="宋体" w:cs="宋体"/>
                <w:szCs w:val="22"/>
              </w:rPr>
            </w:pPr>
          </w:p>
        </w:tc>
        <w:tc>
          <w:tcPr>
            <w:tcW w:w="176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2"/>
              </w:rPr>
            </w:pPr>
            <w:r>
              <w:rPr>
                <w:rFonts w:hint="eastAsia" w:ascii="宋体" w:hAnsi="宋体" w:cs="宋体"/>
              </w:rPr>
              <w:t>联系人</w:t>
            </w:r>
          </w:p>
        </w:tc>
        <w:tc>
          <w:tcPr>
            <w:tcW w:w="2371"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2"/>
              </w:rPr>
            </w:pPr>
          </w:p>
        </w:tc>
        <w:tc>
          <w:tcPr>
            <w:tcW w:w="1320"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2"/>
              </w:rPr>
            </w:pPr>
            <w:r>
              <w:rPr>
                <w:rFonts w:hint="eastAsia" w:ascii="宋体" w:hAnsi="宋体" w:cs="宋体"/>
              </w:rPr>
              <w:t>联系电话</w:t>
            </w:r>
          </w:p>
        </w:tc>
        <w:tc>
          <w:tcPr>
            <w:tcW w:w="280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zCs w:val="22"/>
              </w:rPr>
            </w:pPr>
          </w:p>
        </w:tc>
      </w:tr>
    </w:tbl>
    <w:p>
      <w:pPr>
        <w:spacing w:beforeLines="50" w:afterLines="100" w:line="360" w:lineRule="auto"/>
        <w:ind w:firstLine="482" w:firstLineChars="200"/>
        <w:rPr>
          <w:rFonts w:ascii="宋体" w:hAnsi="宋体" w:cs="宋体"/>
          <w:b/>
        </w:rPr>
      </w:pPr>
      <w:r>
        <w:rPr>
          <w:rFonts w:hint="eastAsia" w:ascii="宋体" w:hAnsi="宋体" w:cs="宋体"/>
          <w:b/>
        </w:rPr>
        <w:t>备注：各投标单位请正确填写《投标保证金退还信息表》装订在响应文件（正、副本）最后一页，并单独提供一份与响应文件一并递交，招标结束后，将根据所提供信息退还各投标单位保证金。</w:t>
      </w:r>
    </w:p>
    <w:p>
      <w:pPr>
        <w:tabs>
          <w:tab w:val="left" w:pos="676"/>
          <w:tab w:val="left" w:pos="2330"/>
          <w:tab w:val="left" w:pos="9230"/>
        </w:tabs>
        <w:spacing w:line="360" w:lineRule="auto"/>
        <w:ind w:firstLine="120" w:firstLineChars="50"/>
        <w:rPr>
          <w:rFonts w:ascii="宋体" w:hAnsi="宋体" w:cs="宋体"/>
          <w:b/>
        </w:rPr>
      </w:pPr>
    </w:p>
    <w:p>
      <w:pPr>
        <w:tabs>
          <w:tab w:val="left" w:pos="676"/>
          <w:tab w:val="left" w:pos="2330"/>
          <w:tab w:val="left" w:pos="9230"/>
        </w:tabs>
        <w:spacing w:line="360" w:lineRule="auto"/>
        <w:ind w:firstLine="3412" w:firstLineChars="1416"/>
        <w:rPr>
          <w:rFonts w:ascii="宋体" w:hAnsi="宋体" w:cs="宋体"/>
          <w:b/>
        </w:rPr>
      </w:pPr>
    </w:p>
    <w:p>
      <w:pPr>
        <w:tabs>
          <w:tab w:val="left" w:pos="676"/>
          <w:tab w:val="left" w:pos="2330"/>
          <w:tab w:val="left" w:pos="9230"/>
        </w:tabs>
        <w:spacing w:line="360" w:lineRule="auto"/>
        <w:ind w:firstLine="3398" w:firstLineChars="1416"/>
        <w:rPr>
          <w:rFonts w:ascii="宋体" w:hAnsi="宋体" w:cs="宋体"/>
          <w:u w:val="single"/>
        </w:rPr>
      </w:pPr>
      <w:r>
        <w:rPr>
          <w:rFonts w:hint="eastAsia" w:ascii="宋体" w:hAnsi="宋体" w:cs="宋体"/>
        </w:rPr>
        <w:t>投标单位名称（公章）：</w:t>
      </w:r>
    </w:p>
    <w:p>
      <w:pPr>
        <w:pStyle w:val="12"/>
        <w:spacing w:line="360" w:lineRule="auto"/>
        <w:ind w:firstLine="3398" w:firstLineChars="1416"/>
        <w:rPr>
          <w:rFonts w:hAnsi="宋体" w:cs="宋体"/>
          <w:sz w:val="24"/>
          <w:szCs w:val="24"/>
        </w:rPr>
      </w:pPr>
    </w:p>
    <w:p>
      <w:pPr>
        <w:pStyle w:val="12"/>
        <w:spacing w:line="360" w:lineRule="auto"/>
        <w:ind w:firstLine="3398" w:firstLineChars="1416"/>
        <w:rPr>
          <w:rFonts w:hAnsi="宋体" w:cs="宋体"/>
          <w:sz w:val="24"/>
          <w:szCs w:val="24"/>
          <w:u w:val="single"/>
        </w:rPr>
      </w:pPr>
      <w:r>
        <w:rPr>
          <w:rFonts w:hint="eastAsia" w:hAnsi="宋体" w:cs="宋体"/>
          <w:sz w:val="24"/>
          <w:szCs w:val="24"/>
        </w:rPr>
        <w:t>日      期：</w:t>
      </w:r>
    </w:p>
    <w:p>
      <w:pPr>
        <w:spacing w:line="360" w:lineRule="auto"/>
        <w:ind w:firstLine="562" w:firstLineChars="200"/>
        <w:rPr>
          <w:rFonts w:ascii="宋体" w:hAnsi="宋体" w:cs="宋体"/>
          <w:b/>
        </w:rPr>
      </w:pPr>
      <w:r>
        <w:rPr>
          <w:rFonts w:hint="eastAsia" w:ascii="宋体" w:hAnsi="宋体" w:cs="宋体"/>
          <w:b/>
          <w:sz w:val="28"/>
          <w:szCs w:val="28"/>
        </w:rPr>
        <w:br w:type="page"/>
      </w:r>
      <w:r>
        <w:rPr>
          <w:rFonts w:hint="eastAsia" w:ascii="宋体" w:hAnsi="宋体" w:cs="宋体"/>
          <w:b/>
        </w:rPr>
        <w:t xml:space="preserve"> </w:t>
      </w:r>
    </w:p>
    <w:p>
      <w:pPr>
        <w:spacing w:line="360" w:lineRule="auto"/>
        <w:ind w:firstLine="482" w:firstLineChars="200"/>
        <w:rPr>
          <w:rFonts w:ascii="宋体" w:hAnsi="宋体" w:cs="宋体"/>
          <w:b/>
          <w:szCs w:val="22"/>
        </w:rPr>
      </w:pPr>
      <w:r>
        <w:rPr>
          <w:rFonts w:hint="eastAsia" w:ascii="宋体" w:hAnsi="宋体" w:cs="宋体"/>
          <w:b/>
        </w:rPr>
        <w:t>格式：响应文件封袋正面标识式样</w:t>
      </w:r>
    </w:p>
    <w:p>
      <w:pPr>
        <w:spacing w:line="360" w:lineRule="auto"/>
        <w:ind w:firstLine="480" w:firstLineChars="200"/>
        <w:rPr>
          <w:rFonts w:ascii="宋体" w:hAnsi="宋体" w:cs="宋体"/>
          <w:b/>
        </w:rPr>
      </w:pPr>
      <w:r>
        <w:rPr>
          <w:rFonts w:ascii="宋体" w:hAnsi="宋体" w:cs="宋体"/>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121920</wp:posOffset>
                </wp:positionV>
                <wp:extent cx="5791200" cy="3239770"/>
                <wp:effectExtent l="4445" t="4445" r="14605" b="13335"/>
                <wp:wrapNone/>
                <wp:docPr id="17" name="文本框 17"/>
                <wp:cNvGraphicFramePr/>
                <a:graphic xmlns:a="http://schemas.openxmlformats.org/drawingml/2006/main">
                  <a:graphicData uri="http://schemas.microsoft.com/office/word/2010/wordprocessingShape">
                    <wps:wsp>
                      <wps:cNvSpPr txBox="1"/>
                      <wps:spPr>
                        <a:xfrm>
                          <a:off x="0" y="0"/>
                          <a:ext cx="5791200" cy="3239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致：陕西致恒招标代理有限公司</w:t>
                            </w:r>
                          </w:p>
                          <w:p>
                            <w:pPr>
                              <w:rPr>
                                <w:color w:val="FF0000"/>
                                <w:sz w:val="28"/>
                                <w:szCs w:val="28"/>
                              </w:rPr>
                            </w:pPr>
                            <w:r>
                              <w:rPr>
                                <w:rFonts w:hint="eastAsia"/>
                                <w:sz w:val="28"/>
                                <w:szCs w:val="28"/>
                              </w:rPr>
                              <w:t>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p>
                          <w:p>
                            <w:pPr>
                              <w:jc w:val="center"/>
                              <w:rPr>
                                <w:b/>
                                <w:sz w:val="44"/>
                                <w:szCs w:val="44"/>
                              </w:rPr>
                            </w:pPr>
                            <w:r>
                              <w:rPr>
                                <w:rFonts w:hint="eastAsia"/>
                                <w:b/>
                                <w:sz w:val="44"/>
                                <w:szCs w:val="44"/>
                              </w:rPr>
                              <w:t>响应文件（正本或副本）</w:t>
                            </w:r>
                          </w:p>
                          <w:p>
                            <w:pPr>
                              <w:jc w:val="center"/>
                              <w:rPr>
                                <w:sz w:val="28"/>
                                <w:szCs w:val="28"/>
                              </w:rPr>
                            </w:pPr>
                            <w:r>
                              <w:rPr>
                                <w:rFonts w:hint="eastAsia"/>
                                <w:sz w:val="28"/>
                                <w:szCs w:val="28"/>
                              </w:rPr>
                              <w:t>（非招标大会不得启封）</w:t>
                            </w:r>
                          </w:p>
                          <w:p>
                            <w:pPr>
                              <w:rPr>
                                <w:sz w:val="28"/>
                                <w:szCs w:val="28"/>
                              </w:rPr>
                            </w:pPr>
                          </w:p>
                          <w:p>
                            <w:pPr>
                              <w:rPr>
                                <w:sz w:val="28"/>
                                <w:szCs w:val="28"/>
                              </w:rPr>
                            </w:pPr>
                          </w:p>
                          <w:p>
                            <w:pPr>
                              <w:rPr>
                                <w:sz w:val="28"/>
                                <w:szCs w:val="28"/>
                              </w:rPr>
                            </w:pPr>
                          </w:p>
                          <w:p>
                            <w:pPr>
                              <w:rPr>
                                <w:sz w:val="28"/>
                                <w:szCs w:val="28"/>
                              </w:rPr>
                            </w:pPr>
                            <w:r>
                              <w:rPr>
                                <w:rFonts w:hint="eastAsia"/>
                                <w:sz w:val="28"/>
                                <w:szCs w:val="28"/>
                              </w:rPr>
                              <w:t>供应商名称：</w:t>
                            </w:r>
                            <w:r>
                              <w:rPr>
                                <w:sz w:val="28"/>
                                <w:szCs w:val="28"/>
                              </w:rPr>
                              <w:t xml:space="preserve">            </w:t>
                            </w:r>
                            <w:r>
                              <w:rPr>
                                <w:rFonts w:hint="eastAsia"/>
                                <w:sz w:val="28"/>
                                <w:szCs w:val="28"/>
                              </w:rPr>
                              <w:t>（公章）</w:t>
                            </w:r>
                          </w:p>
                          <w:p>
                            <w:pPr>
                              <w:rPr>
                                <w:sz w:val="28"/>
                                <w:szCs w:val="28"/>
                              </w:rPr>
                            </w:pPr>
                          </w:p>
                        </w:txbxContent>
                      </wps:txbx>
                      <wps:bodyPr upright="1"/>
                    </wps:wsp>
                  </a:graphicData>
                </a:graphic>
              </wp:anchor>
            </w:drawing>
          </mc:Choice>
          <mc:Fallback>
            <w:pict>
              <v:shape id="_x0000_s1026" o:spid="_x0000_s1026" o:spt="202" type="#_x0000_t202" style="position:absolute;left:0pt;margin-left:0pt;margin-top:9.6pt;height:255.1pt;width:456pt;z-index:251665408;mso-width-relative:page;mso-height-relative:page;" fillcolor="#FFFFFF" filled="t" stroked="t" coordsize="21600,21600" o:gfxdata="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6lKoI1gAAAAcBAAAPAAAAAAAA&#10;AAEAIAAAACIAAABkcnMvZG93bnJldi54bWxQSwECFAAUAAAACACHTuJAB4HoZhQCAABHBAAADgAA&#10;AAAAAAABACAAAAAlAQAAZHJzL2Uyb0RvYy54bWxQSwUGAAAAAAYABgBZAQAAqwUAAAAA&#10;">
                <v:fill on="t" focussize="0,0"/>
                <v:stroke color="#000000" joinstyle="miter"/>
                <v:imagedata o:title=""/>
                <o:lock v:ext="edit" aspectratio="f"/>
                <v:textbox>
                  <w:txbxContent>
                    <w:p>
                      <w:pPr>
                        <w:rPr>
                          <w:sz w:val="28"/>
                          <w:szCs w:val="28"/>
                        </w:rPr>
                      </w:pPr>
                      <w:r>
                        <w:rPr>
                          <w:rFonts w:hint="eastAsia"/>
                          <w:sz w:val="28"/>
                          <w:szCs w:val="28"/>
                        </w:rPr>
                        <w:t>致：陕西致恒招标代理有限公司</w:t>
                      </w:r>
                    </w:p>
                    <w:p>
                      <w:pPr>
                        <w:rPr>
                          <w:color w:val="FF0000"/>
                          <w:sz w:val="28"/>
                          <w:szCs w:val="28"/>
                        </w:rPr>
                      </w:pPr>
                      <w:r>
                        <w:rPr>
                          <w:rFonts w:hint="eastAsia"/>
                          <w:sz w:val="28"/>
                          <w:szCs w:val="28"/>
                        </w:rPr>
                        <w:t>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p>
                    <w:p>
                      <w:pPr>
                        <w:jc w:val="center"/>
                        <w:rPr>
                          <w:b/>
                          <w:sz w:val="44"/>
                          <w:szCs w:val="44"/>
                        </w:rPr>
                      </w:pPr>
                      <w:r>
                        <w:rPr>
                          <w:rFonts w:hint="eastAsia"/>
                          <w:b/>
                          <w:sz w:val="44"/>
                          <w:szCs w:val="44"/>
                        </w:rPr>
                        <w:t>响应文件（正本或副本）</w:t>
                      </w:r>
                    </w:p>
                    <w:p>
                      <w:pPr>
                        <w:jc w:val="center"/>
                        <w:rPr>
                          <w:sz w:val="28"/>
                          <w:szCs w:val="28"/>
                        </w:rPr>
                      </w:pPr>
                      <w:r>
                        <w:rPr>
                          <w:rFonts w:hint="eastAsia"/>
                          <w:sz w:val="28"/>
                          <w:szCs w:val="28"/>
                        </w:rPr>
                        <w:t>（非招标大会不得启封）</w:t>
                      </w:r>
                    </w:p>
                    <w:p>
                      <w:pPr>
                        <w:rPr>
                          <w:sz w:val="28"/>
                          <w:szCs w:val="28"/>
                        </w:rPr>
                      </w:pPr>
                    </w:p>
                    <w:p>
                      <w:pPr>
                        <w:rPr>
                          <w:sz w:val="28"/>
                          <w:szCs w:val="28"/>
                        </w:rPr>
                      </w:pPr>
                    </w:p>
                    <w:p>
                      <w:pPr>
                        <w:rPr>
                          <w:sz w:val="28"/>
                          <w:szCs w:val="28"/>
                        </w:rPr>
                      </w:pPr>
                    </w:p>
                    <w:p>
                      <w:pPr>
                        <w:rPr>
                          <w:sz w:val="28"/>
                          <w:szCs w:val="28"/>
                        </w:rPr>
                      </w:pPr>
                      <w:r>
                        <w:rPr>
                          <w:rFonts w:hint="eastAsia"/>
                          <w:sz w:val="28"/>
                          <w:szCs w:val="28"/>
                        </w:rPr>
                        <w:t>供应商名称：</w:t>
                      </w:r>
                      <w:r>
                        <w:rPr>
                          <w:sz w:val="28"/>
                          <w:szCs w:val="28"/>
                        </w:rPr>
                        <w:t xml:space="preserve">            </w:t>
                      </w:r>
                      <w:r>
                        <w:rPr>
                          <w:rFonts w:hint="eastAsia"/>
                          <w:sz w:val="28"/>
                          <w:szCs w:val="28"/>
                        </w:rPr>
                        <w:t>（公章）</w:t>
                      </w:r>
                    </w:p>
                    <w:p>
                      <w:pPr>
                        <w:rPr>
                          <w:sz w:val="28"/>
                          <w:szCs w:val="28"/>
                        </w:rPr>
                      </w:pPr>
                    </w:p>
                  </w:txbxContent>
                </v:textbox>
              </v:shape>
            </w:pict>
          </mc:Fallback>
        </mc:AlternateContent>
      </w:r>
    </w:p>
    <w:p>
      <w:pPr>
        <w:spacing w:line="360" w:lineRule="auto"/>
        <w:ind w:firstLine="482" w:firstLineChars="200"/>
        <w:rPr>
          <w:rFonts w:ascii="宋体" w:hAnsi="宋体" w:cs="宋体"/>
          <w:b/>
        </w:rPr>
      </w:pPr>
    </w:p>
    <w:p>
      <w:pPr>
        <w:spacing w:line="360" w:lineRule="auto"/>
        <w:ind w:firstLine="482" w:firstLineChars="200"/>
        <w:rPr>
          <w:rFonts w:ascii="宋体" w:hAnsi="宋体" w:cs="宋体"/>
          <w:b/>
        </w:rPr>
      </w:pPr>
    </w:p>
    <w:p>
      <w:pPr>
        <w:spacing w:line="360" w:lineRule="auto"/>
        <w:ind w:firstLine="2108" w:firstLineChars="500"/>
        <w:rPr>
          <w:rFonts w:ascii="宋体" w:hAnsi="宋体" w:cs="宋体"/>
          <w:b/>
          <w:sz w:val="42"/>
          <w:szCs w:val="42"/>
        </w:rPr>
      </w:pPr>
    </w:p>
    <w:p>
      <w:pPr>
        <w:spacing w:line="360" w:lineRule="auto"/>
        <w:ind w:firstLine="2108" w:firstLineChars="500"/>
        <w:rPr>
          <w:rFonts w:ascii="宋体" w:hAnsi="宋体" w:cs="宋体"/>
          <w:b/>
          <w:sz w:val="42"/>
          <w:szCs w:val="42"/>
        </w:rPr>
      </w:pPr>
    </w:p>
    <w:p>
      <w:pPr>
        <w:spacing w:line="360" w:lineRule="auto"/>
        <w:ind w:firstLine="2108" w:firstLineChars="500"/>
        <w:rPr>
          <w:rFonts w:ascii="宋体" w:hAnsi="宋体" w:cs="宋体"/>
          <w:b/>
          <w:sz w:val="42"/>
          <w:szCs w:val="42"/>
        </w:rPr>
      </w:pPr>
    </w:p>
    <w:p>
      <w:pPr>
        <w:spacing w:line="360" w:lineRule="auto"/>
        <w:ind w:firstLine="2108" w:firstLineChars="500"/>
        <w:rPr>
          <w:rFonts w:ascii="宋体" w:hAnsi="宋体" w:cs="宋体"/>
          <w:b/>
          <w:sz w:val="42"/>
          <w:szCs w:val="42"/>
        </w:rPr>
      </w:pPr>
    </w:p>
    <w:p>
      <w:pPr>
        <w:spacing w:line="360" w:lineRule="auto"/>
        <w:ind w:firstLine="2108" w:firstLineChars="500"/>
        <w:rPr>
          <w:rFonts w:ascii="宋体" w:hAnsi="宋体" w:cs="宋体"/>
          <w:b/>
          <w:sz w:val="42"/>
          <w:szCs w:val="42"/>
        </w:rPr>
      </w:pPr>
    </w:p>
    <w:p>
      <w:pPr>
        <w:spacing w:line="360" w:lineRule="auto"/>
        <w:ind w:firstLine="482" w:firstLineChars="200"/>
        <w:rPr>
          <w:rFonts w:ascii="宋体" w:hAnsi="宋体" w:cs="宋体"/>
          <w:b/>
          <w:szCs w:val="22"/>
        </w:rPr>
      </w:pPr>
      <w:r>
        <w:rPr>
          <w:rFonts w:hint="eastAsia" w:ascii="宋体" w:hAnsi="宋体" w:cs="宋体"/>
          <w:b/>
        </w:rPr>
        <w:t>格式：资格证明文件封袋正面标识式样</w:t>
      </w:r>
    </w:p>
    <w:p>
      <w:pPr>
        <w:spacing w:line="360" w:lineRule="auto"/>
        <w:ind w:firstLine="480" w:firstLineChars="200"/>
        <w:rPr>
          <w:rFonts w:ascii="宋体" w:hAnsi="宋体" w:cs="宋体"/>
          <w:b/>
        </w:rPr>
      </w:pPr>
      <w:r>
        <w:rPr>
          <w:rFonts w:ascii="宋体" w:hAnsi="宋体" w:cs="宋体"/>
        </w:rPr>
        <mc:AlternateContent>
          <mc:Choice Requires="wps">
            <w:drawing>
              <wp:anchor distT="0" distB="0" distL="114300" distR="114300" simplePos="0" relativeHeight="251666432" behindDoc="0" locked="0" layoutInCell="1" allowOverlap="1">
                <wp:simplePos x="0" y="0"/>
                <wp:positionH relativeFrom="column">
                  <wp:posOffset>-104775</wp:posOffset>
                </wp:positionH>
                <wp:positionV relativeFrom="paragraph">
                  <wp:posOffset>203200</wp:posOffset>
                </wp:positionV>
                <wp:extent cx="5791200" cy="3312795"/>
                <wp:effectExtent l="4445" t="4445" r="14605" b="16510"/>
                <wp:wrapNone/>
                <wp:docPr id="16" name="文本框 16"/>
                <wp:cNvGraphicFramePr/>
                <a:graphic xmlns:a="http://schemas.openxmlformats.org/drawingml/2006/main">
                  <a:graphicData uri="http://schemas.microsoft.com/office/word/2010/wordprocessingShape">
                    <wps:wsp>
                      <wps:cNvSpPr txBox="1"/>
                      <wps:spPr>
                        <a:xfrm>
                          <a:off x="0" y="0"/>
                          <a:ext cx="5791200" cy="33127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rPr>
                            </w:pPr>
                            <w:r>
                              <w:rPr>
                                <w:rFonts w:hint="eastAsia"/>
                                <w:sz w:val="28"/>
                                <w:szCs w:val="28"/>
                              </w:rPr>
                              <w:t>致：陕西致恒招标代理有限公司</w:t>
                            </w:r>
                          </w:p>
                          <w:p>
                            <w:pPr>
                              <w:rPr>
                                <w:color w:val="FF0000"/>
                                <w:sz w:val="28"/>
                                <w:szCs w:val="28"/>
                              </w:rPr>
                            </w:pPr>
                            <w:r>
                              <w:rPr>
                                <w:rFonts w:hint="eastAsia"/>
                                <w:sz w:val="28"/>
                                <w:szCs w:val="28"/>
                              </w:rPr>
                              <w:t>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p>
                          <w:p>
                            <w:pPr>
                              <w:jc w:val="center"/>
                              <w:rPr>
                                <w:b/>
                                <w:color w:val="FF0000"/>
                                <w:sz w:val="44"/>
                                <w:szCs w:val="44"/>
                              </w:rPr>
                            </w:pPr>
                            <w:r>
                              <w:rPr>
                                <w:b/>
                                <w:sz w:val="44"/>
                                <w:szCs w:val="44"/>
                              </w:rPr>
                              <w:t xml:space="preserve"> </w:t>
                            </w:r>
                            <w:r>
                              <w:rPr>
                                <w:b/>
                                <w:color w:val="000000" w:themeColor="text1"/>
                                <w:sz w:val="44"/>
                                <w:szCs w:val="44"/>
                                <w14:textFill>
                                  <w14:solidFill>
                                    <w14:schemeClr w14:val="tx1"/>
                                  </w14:solidFill>
                                </w14:textFill>
                              </w:rPr>
                              <w:t xml:space="preserve"> </w:t>
                            </w:r>
                            <w:r>
                              <w:rPr>
                                <w:rFonts w:hint="eastAsia"/>
                                <w:b/>
                                <w:color w:val="000000" w:themeColor="text1"/>
                                <w:sz w:val="44"/>
                                <w:szCs w:val="44"/>
                                <w14:textFill>
                                  <w14:solidFill>
                                    <w14:schemeClr w14:val="tx1"/>
                                  </w14:solidFill>
                                </w14:textFill>
                              </w:rPr>
                              <w:t>资格证明文件</w:t>
                            </w:r>
                          </w:p>
                          <w:p>
                            <w:pPr>
                              <w:jc w:val="center"/>
                              <w:rPr>
                                <w:sz w:val="28"/>
                                <w:szCs w:val="28"/>
                              </w:rPr>
                            </w:pPr>
                            <w:r>
                              <w:rPr>
                                <w:rFonts w:hint="eastAsia"/>
                                <w:sz w:val="28"/>
                                <w:szCs w:val="28"/>
                              </w:rPr>
                              <w:t>（非专家评审不得启封）</w:t>
                            </w:r>
                          </w:p>
                          <w:p>
                            <w:pPr>
                              <w:jc w:val="cente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供应商名称：</w:t>
                            </w:r>
                            <w:r>
                              <w:rPr>
                                <w:sz w:val="28"/>
                                <w:szCs w:val="28"/>
                              </w:rPr>
                              <w:t xml:space="preserve">       </w:t>
                            </w:r>
                            <w:r>
                              <w:rPr>
                                <w:rFonts w:hint="eastAsia"/>
                                <w:sz w:val="28"/>
                                <w:szCs w:val="28"/>
                              </w:rPr>
                              <w:t>（公章）</w:t>
                            </w:r>
                          </w:p>
                          <w:p>
                            <w:pPr>
                              <w:rPr>
                                <w:sz w:val="28"/>
                                <w:szCs w:val="28"/>
                              </w:rPr>
                            </w:pPr>
                          </w:p>
                        </w:txbxContent>
                      </wps:txbx>
                      <wps:bodyPr upright="1"/>
                    </wps:wsp>
                  </a:graphicData>
                </a:graphic>
              </wp:anchor>
            </w:drawing>
          </mc:Choice>
          <mc:Fallback>
            <w:pict>
              <v:shape id="_x0000_s1026" o:spid="_x0000_s1026" o:spt="202" type="#_x0000_t202" style="position:absolute;left:0pt;margin-left:-8.25pt;margin-top:16pt;height:260.85pt;width:456pt;z-index:251666432;mso-width-relative:page;mso-height-relative:page;" fillcolor="#FFFFFF" filled="t" stroked="t" coordsize="21600,21600" o:gfxdata="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QWXV2gAAAAoBAAAPAAAA&#10;AAAAAAEAIAAAACIAAABkcnMvZG93bnJldi54bWxQSwECFAAUAAAACACHTuJATfb2MhMCAABHBAAA&#10;DgAAAAAAAAABACAAAAApAQAAZHJzL2Uyb0RvYy54bWxQSwUGAAAAAAYABgBZAQAArgUAAAAA&#10;">
                <v:fill on="t" focussize="0,0"/>
                <v:stroke color="#000000" joinstyle="miter"/>
                <v:imagedata o:title=""/>
                <o:lock v:ext="edit" aspectratio="f"/>
                <v:textbox>
                  <w:txbxContent>
                    <w:p>
                      <w:pPr>
                        <w:rPr>
                          <w:sz w:val="28"/>
                          <w:szCs w:val="28"/>
                        </w:rPr>
                      </w:pPr>
                      <w:r>
                        <w:rPr>
                          <w:rFonts w:hint="eastAsia"/>
                          <w:sz w:val="28"/>
                          <w:szCs w:val="28"/>
                        </w:rPr>
                        <w:t>致：陕西致恒招标代理有限公司</w:t>
                      </w:r>
                    </w:p>
                    <w:p>
                      <w:pPr>
                        <w:rPr>
                          <w:color w:val="FF0000"/>
                          <w:sz w:val="28"/>
                          <w:szCs w:val="28"/>
                        </w:rPr>
                      </w:pPr>
                      <w:r>
                        <w:rPr>
                          <w:rFonts w:hint="eastAsia"/>
                          <w:sz w:val="28"/>
                          <w:szCs w:val="28"/>
                        </w:rPr>
                        <w:t>项目编号：</w:t>
                      </w:r>
                      <w:r>
                        <w:rPr>
                          <w:sz w:val="28"/>
                          <w:szCs w:val="28"/>
                        </w:rPr>
                        <w:t xml:space="preserve">                                        </w:t>
                      </w:r>
                    </w:p>
                    <w:p>
                      <w:pPr>
                        <w:rPr>
                          <w:color w:val="FF0000"/>
                          <w:sz w:val="28"/>
                          <w:szCs w:val="28"/>
                        </w:rPr>
                      </w:pPr>
                      <w:r>
                        <w:rPr>
                          <w:rFonts w:hint="eastAsia"/>
                          <w:sz w:val="28"/>
                          <w:szCs w:val="28"/>
                        </w:rPr>
                        <w:t>项目名称：</w:t>
                      </w:r>
                      <w:r>
                        <w:rPr>
                          <w:sz w:val="28"/>
                          <w:szCs w:val="28"/>
                        </w:rPr>
                        <w:t xml:space="preserve">                               </w:t>
                      </w:r>
                    </w:p>
                    <w:p>
                      <w:pPr>
                        <w:jc w:val="center"/>
                        <w:rPr>
                          <w:b/>
                          <w:sz w:val="44"/>
                          <w:szCs w:val="44"/>
                        </w:rPr>
                      </w:pPr>
                    </w:p>
                    <w:p>
                      <w:pPr>
                        <w:jc w:val="center"/>
                        <w:rPr>
                          <w:b/>
                          <w:color w:val="FF0000"/>
                          <w:sz w:val="44"/>
                          <w:szCs w:val="44"/>
                        </w:rPr>
                      </w:pPr>
                      <w:r>
                        <w:rPr>
                          <w:b/>
                          <w:sz w:val="44"/>
                          <w:szCs w:val="44"/>
                        </w:rPr>
                        <w:t xml:space="preserve"> </w:t>
                      </w:r>
                      <w:r>
                        <w:rPr>
                          <w:b/>
                          <w:color w:val="000000" w:themeColor="text1"/>
                          <w:sz w:val="44"/>
                          <w:szCs w:val="44"/>
                          <w14:textFill>
                            <w14:solidFill>
                              <w14:schemeClr w14:val="tx1"/>
                            </w14:solidFill>
                          </w14:textFill>
                        </w:rPr>
                        <w:t xml:space="preserve"> </w:t>
                      </w:r>
                      <w:r>
                        <w:rPr>
                          <w:rFonts w:hint="eastAsia"/>
                          <w:b/>
                          <w:color w:val="000000" w:themeColor="text1"/>
                          <w:sz w:val="44"/>
                          <w:szCs w:val="44"/>
                          <w14:textFill>
                            <w14:solidFill>
                              <w14:schemeClr w14:val="tx1"/>
                            </w14:solidFill>
                          </w14:textFill>
                        </w:rPr>
                        <w:t>资格证明文件</w:t>
                      </w:r>
                    </w:p>
                    <w:p>
                      <w:pPr>
                        <w:jc w:val="center"/>
                        <w:rPr>
                          <w:sz w:val="28"/>
                          <w:szCs w:val="28"/>
                        </w:rPr>
                      </w:pPr>
                      <w:r>
                        <w:rPr>
                          <w:rFonts w:hint="eastAsia"/>
                          <w:sz w:val="28"/>
                          <w:szCs w:val="28"/>
                        </w:rPr>
                        <w:t>（非专家评审不得启封）</w:t>
                      </w:r>
                    </w:p>
                    <w:p>
                      <w:pPr>
                        <w:jc w:val="cente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供应商名称：</w:t>
                      </w:r>
                      <w:r>
                        <w:rPr>
                          <w:sz w:val="28"/>
                          <w:szCs w:val="28"/>
                        </w:rPr>
                        <w:t xml:space="preserve">       </w:t>
                      </w:r>
                      <w:r>
                        <w:rPr>
                          <w:rFonts w:hint="eastAsia"/>
                          <w:sz w:val="28"/>
                          <w:szCs w:val="28"/>
                        </w:rPr>
                        <w:t>（公章）</w:t>
                      </w:r>
                    </w:p>
                    <w:p>
                      <w:pPr>
                        <w:rPr>
                          <w:sz w:val="28"/>
                          <w:szCs w:val="28"/>
                        </w:rPr>
                      </w:pPr>
                    </w:p>
                  </w:txbxContent>
                </v:textbox>
              </v:shape>
            </w:pict>
          </mc:Fallback>
        </mc:AlternateContent>
      </w:r>
    </w:p>
    <w:p>
      <w:pPr>
        <w:spacing w:line="360" w:lineRule="auto"/>
        <w:jc w:val="center"/>
        <w:rPr>
          <w:rFonts w:ascii="宋体" w:hAnsi="宋体" w:cs="宋体"/>
          <w:sz w:val="21"/>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jc w:val="center"/>
        <w:rPr>
          <w:rFonts w:ascii="宋体" w:hAnsi="宋体" w:cs="宋体"/>
          <w:sz w:val="32"/>
          <w:szCs w:val="32"/>
        </w:rPr>
      </w:pPr>
    </w:p>
    <w:p>
      <w:pPr>
        <w:spacing w:line="360" w:lineRule="auto"/>
        <w:ind w:firstLine="482" w:firstLineChars="200"/>
        <w:rPr>
          <w:rFonts w:ascii="宋体" w:hAnsi="宋体" w:cs="宋体"/>
          <w:b/>
          <w:szCs w:val="22"/>
        </w:rPr>
      </w:pPr>
    </w:p>
    <w:p>
      <w:pPr>
        <w:rPr>
          <w:rFonts w:ascii="宋体" w:hAnsi="宋体" w:cs="宋体"/>
        </w:rPr>
      </w:pPr>
    </w:p>
    <w:p/>
    <w:sectPr>
      <w:headerReference r:id="rId18" w:type="first"/>
      <w:footerReference r:id="rId20" w:type="first"/>
      <w:headerReference r:id="rId17" w:type="default"/>
      <w:footerReference r:id="rId19" w:type="default"/>
      <w:pgSz w:w="11907" w:h="16840"/>
      <w:pgMar w:top="1417" w:right="1440" w:bottom="1417" w:left="1417" w:header="850" w:footer="1020" w:gutter="0"/>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760"/>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61</w:t>
                    </w:r>
                    <w:r>
                      <w:fldChar w:fldCharType="end"/>
                    </w:r>
                    <w:r>
                      <w:t xml:space="preserve"> 页</w:t>
                    </w:r>
                  </w:p>
                </w:txbxContent>
              </v:textbox>
            </v:shape>
          </w:pict>
        </mc:Fallback>
      </mc:AlternateContent>
    </w:r>
    <w:r>
      <w:rPr>
        <w:rFonts w:hint="eastAsia"/>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b/>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yieVGs0BAACnAwAADgAAAAAAAAABACAAAAAeAQAAZHJzL2Uy&#10;b0RvYy54bWxQSwUGAAAAAAYABgBZAQAAX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4"/>
        <w:rFonts w:ascii="宋体" w:hAnsi="宋体"/>
        <w:b/>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pC43M0BAACnAwAADgAAAAAAAAABACAAAAAeAQAAZHJzL2Uy&#10;b0RvYy54bWxQSwUGAAAAAAYABgBZAQAAX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b/>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eos0BAACn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imO3zODAzz9/nH/9Of/+Tqok&#10;T++hxqpHj3Vx+OAGXJo5DhhMrAcZTPoiH4J5FPd0EVcMkfB0qVpVVYkpjrnZQfzi6boPED8KZ0gy&#10;GhpwellUdryHOJbOJek16+6U1nmC2v4TQMwxIvIKTLcTk7HjZMVhN0z0dq49Ibse16ChFreeEv3J&#10;osppY2YjzMZuNg4+qH2HjS5zl+BvDxFbyp2mF0ZYZJgcnF/mOu1aWpDnfq56+r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seos0BAACnAwAADgAAAAAAAAABACAAAAAeAQAAZHJzL2Uy&#10;b0RvYy54bWxQSwUGAAAAAAYABgBZAQAAXQU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4"/>
        <w:rFonts w:ascii="宋体" w:hAnsi="宋体"/>
        <w:b/>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 w:hAnsi="宋体"/>
        <w:b/>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52</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Style w:val="24"/>
        <w:rFonts w:ascii="宋体" w:hAnsi="宋体"/>
        <w:b/>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13"/>
                    </w:pPr>
                    <w:r>
                      <w:t xml:space="preserve">第 </w:t>
                    </w:r>
                    <w:r>
                      <w:fldChar w:fldCharType="begin"/>
                    </w:r>
                    <w:r>
                      <w:instrText xml:space="preserve"> PAGE  \* MERGEFORMAT </w:instrText>
                    </w:r>
                    <w:r>
                      <w:fldChar w:fldCharType="separate"/>
                    </w:r>
                    <w:r>
                      <w:t>51</w:t>
                    </w:r>
                    <w:r>
                      <w:fldChar w:fldCharType="end"/>
                    </w:r>
                    <w:r>
                      <w:t xml:space="preserve"> 页 共 </w:t>
                    </w:r>
                    <w:r>
                      <w:fldChar w:fldCharType="begin"/>
                    </w:r>
                    <w:r>
                      <w:instrText xml:space="preserve"> NUMPAGES  \* MERGEFORMAT </w:instrText>
                    </w:r>
                    <w:r>
                      <w:fldChar w:fldCharType="separate"/>
                    </w:r>
                    <w:r>
                      <w:t>59</w:t>
                    </w:r>
                    <w:r>
                      <w:fldChar w:fldCharType="end"/>
                    </w:r>
                    <w:r>
                      <w:t xml:space="preserve"> 页</w:t>
                    </w:r>
                  </w:p>
                </w:txbxContent>
              </v:textbox>
            </v:shape>
          </w:pict>
        </mc:Fallback>
      </mc:AlternateContent>
    </w:r>
    <w:r>
      <w:rPr>
        <w:rFonts w:hint="eastAsia" w:ascii="宋体" w:hAnsi="宋体"/>
        <w:b/>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ascii="仿宋_GB2312" w:eastAsia="仿宋_GB2312"/>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02231"/>
    <w:multiLevelType w:val="singleLevel"/>
    <w:tmpl w:val="AAF02231"/>
    <w:lvl w:ilvl="0" w:tentative="0">
      <w:start w:val="1"/>
      <w:numFmt w:val="chineseCounting"/>
      <w:suff w:val="nothing"/>
      <w:lvlText w:val="%1．"/>
      <w:lvlJc w:val="left"/>
      <w:rPr>
        <w:rFonts w:hint="eastAsia"/>
      </w:rPr>
    </w:lvl>
  </w:abstractNum>
  <w:abstractNum w:abstractNumId="1">
    <w:nsid w:val="AD9F0FD3"/>
    <w:multiLevelType w:val="singleLevel"/>
    <w:tmpl w:val="AD9F0FD3"/>
    <w:lvl w:ilvl="0" w:tentative="0">
      <w:start w:val="6"/>
      <w:numFmt w:val="chineseCounting"/>
      <w:suff w:val="nothing"/>
      <w:lvlText w:val="%1、"/>
      <w:lvlJc w:val="left"/>
      <w:rPr>
        <w:rFonts w:hint="eastAsia"/>
      </w:rPr>
    </w:lvl>
  </w:abstractNum>
  <w:abstractNum w:abstractNumId="2">
    <w:nsid w:val="C91B2B03"/>
    <w:multiLevelType w:val="singleLevel"/>
    <w:tmpl w:val="C91B2B03"/>
    <w:lvl w:ilvl="0" w:tentative="0">
      <w:start w:val="5"/>
      <w:numFmt w:val="chineseCounting"/>
      <w:suff w:val="space"/>
      <w:lvlText w:val="第%1章"/>
      <w:lvlJc w:val="left"/>
      <w:rPr>
        <w:rFonts w:hint="eastAsia"/>
      </w:rPr>
    </w:lvl>
  </w:abstractNum>
  <w:abstractNum w:abstractNumId="3">
    <w:nsid w:val="D46F0604"/>
    <w:multiLevelType w:val="singleLevel"/>
    <w:tmpl w:val="D46F0604"/>
    <w:lvl w:ilvl="0" w:tentative="0">
      <w:start w:val="2"/>
      <w:numFmt w:val="chineseCounting"/>
      <w:suff w:val="space"/>
      <w:lvlText w:val="第%1章"/>
      <w:lvlJc w:val="left"/>
      <w:rPr>
        <w:rFonts w:hint="eastAsia"/>
      </w:rPr>
    </w:lvl>
  </w:abstractNum>
  <w:abstractNum w:abstractNumId="4">
    <w:nsid w:val="0E5C9336"/>
    <w:multiLevelType w:val="singleLevel"/>
    <w:tmpl w:val="0E5C9336"/>
    <w:lvl w:ilvl="0" w:tentative="0">
      <w:start w:val="1"/>
      <w:numFmt w:val="decimal"/>
      <w:lvlText w:val="%1."/>
      <w:lvlJc w:val="left"/>
      <w:pPr>
        <w:tabs>
          <w:tab w:val="left" w:pos="312"/>
        </w:tabs>
      </w:pPr>
    </w:lvl>
  </w:abstractNum>
  <w:abstractNum w:abstractNumId="5">
    <w:nsid w:val="1ECA046B"/>
    <w:multiLevelType w:val="singleLevel"/>
    <w:tmpl w:val="1ECA046B"/>
    <w:lvl w:ilvl="0" w:tentative="0">
      <w:start w:val="1"/>
      <w:numFmt w:val="chineseCounting"/>
      <w:suff w:val="nothing"/>
      <w:lvlText w:val="（%1）"/>
      <w:lvlJc w:val="left"/>
      <w:rPr>
        <w:rFonts w:hint="eastAsia"/>
      </w:rPr>
    </w:lvl>
  </w:abstractNum>
  <w:abstractNum w:abstractNumId="6">
    <w:nsid w:val="576A36EB"/>
    <w:multiLevelType w:val="singleLevel"/>
    <w:tmpl w:val="576A36EB"/>
    <w:lvl w:ilvl="0" w:tentative="0">
      <w:start w:val="1"/>
      <w:numFmt w:val="decimal"/>
      <w:suff w:val="nothing"/>
      <w:lvlText w:val="（%1）"/>
      <w:lvlJc w:val="left"/>
    </w:lvl>
  </w:abstractNum>
  <w:abstractNum w:abstractNumId="7">
    <w:nsid w:val="5E9033A5"/>
    <w:multiLevelType w:val="singleLevel"/>
    <w:tmpl w:val="5E9033A5"/>
    <w:lvl w:ilvl="0" w:tentative="0">
      <w:start w:val="1"/>
      <w:numFmt w:val="decimal"/>
      <w:lvlText w:val="%1."/>
      <w:lvlJc w:val="left"/>
      <w:pPr>
        <w:tabs>
          <w:tab w:val="left" w:pos="312"/>
        </w:tabs>
        <w:ind w:left="420" w:firstLine="0"/>
      </w:pPr>
    </w:lvl>
  </w:abstractNum>
  <w:num w:numId="1">
    <w:abstractNumId w:val="1"/>
  </w:num>
  <w:num w:numId="2">
    <w:abstractNumId w:val="3"/>
  </w:num>
  <w:num w:numId="3">
    <w:abstractNumId w:val="4"/>
  </w:num>
  <w:num w:numId="4">
    <w:abstractNumId w:val="6"/>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Y2Y3NzRhNjJlYzhmOWM0ZTRlYTg4MzA2MzZlMzIifQ=="/>
  </w:docVars>
  <w:rsids>
    <w:rsidRoot w:val="2E0452A5"/>
    <w:rsid w:val="00EF04CE"/>
    <w:rsid w:val="01F41DAD"/>
    <w:rsid w:val="03014FFC"/>
    <w:rsid w:val="05993D08"/>
    <w:rsid w:val="06D22892"/>
    <w:rsid w:val="07F748AB"/>
    <w:rsid w:val="08D022B6"/>
    <w:rsid w:val="09013BF3"/>
    <w:rsid w:val="0A224557"/>
    <w:rsid w:val="0BB57C7A"/>
    <w:rsid w:val="0BDA2345"/>
    <w:rsid w:val="0C174DBC"/>
    <w:rsid w:val="106C7510"/>
    <w:rsid w:val="12D15178"/>
    <w:rsid w:val="155913E5"/>
    <w:rsid w:val="173B7727"/>
    <w:rsid w:val="1A8B1511"/>
    <w:rsid w:val="1D3F2D73"/>
    <w:rsid w:val="1ED71484"/>
    <w:rsid w:val="205C22EC"/>
    <w:rsid w:val="211F1B8B"/>
    <w:rsid w:val="26607184"/>
    <w:rsid w:val="28797FDE"/>
    <w:rsid w:val="28A5698D"/>
    <w:rsid w:val="2E0452A5"/>
    <w:rsid w:val="2E59788D"/>
    <w:rsid w:val="2FBA5AB6"/>
    <w:rsid w:val="30087837"/>
    <w:rsid w:val="35BA54F9"/>
    <w:rsid w:val="3685077D"/>
    <w:rsid w:val="371B232C"/>
    <w:rsid w:val="38DD0FB3"/>
    <w:rsid w:val="38F67494"/>
    <w:rsid w:val="39D91A99"/>
    <w:rsid w:val="3AD97199"/>
    <w:rsid w:val="3B1F251D"/>
    <w:rsid w:val="3E6D5C9C"/>
    <w:rsid w:val="3FC542A9"/>
    <w:rsid w:val="42AC606B"/>
    <w:rsid w:val="443F0190"/>
    <w:rsid w:val="4442393B"/>
    <w:rsid w:val="45AA540E"/>
    <w:rsid w:val="46F11B9A"/>
    <w:rsid w:val="47333EC2"/>
    <w:rsid w:val="4A0D3F70"/>
    <w:rsid w:val="4CA608FB"/>
    <w:rsid w:val="4D0B2A7E"/>
    <w:rsid w:val="4DF47F0C"/>
    <w:rsid w:val="4FF1570C"/>
    <w:rsid w:val="53660631"/>
    <w:rsid w:val="53AB4EDD"/>
    <w:rsid w:val="53D56B34"/>
    <w:rsid w:val="55830E22"/>
    <w:rsid w:val="572C015A"/>
    <w:rsid w:val="598F62AF"/>
    <w:rsid w:val="5FB36392"/>
    <w:rsid w:val="5FCC7616"/>
    <w:rsid w:val="60975425"/>
    <w:rsid w:val="60DB1C40"/>
    <w:rsid w:val="63115637"/>
    <w:rsid w:val="63BC5B6F"/>
    <w:rsid w:val="679E6823"/>
    <w:rsid w:val="67EC23B2"/>
    <w:rsid w:val="6B9E2365"/>
    <w:rsid w:val="6E1D0201"/>
    <w:rsid w:val="70DF30A8"/>
    <w:rsid w:val="745D72AC"/>
    <w:rsid w:val="75F56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0"/>
    <w:pPr>
      <w:keepNext/>
      <w:keepLines/>
      <w:spacing w:before="340" w:after="330" w:line="560" w:lineRule="exact"/>
      <w:jc w:val="center"/>
      <w:outlineLvl w:val="0"/>
    </w:pPr>
    <w:rPr>
      <w:b/>
      <w:bCs/>
      <w:kern w:val="44"/>
      <w:sz w:val="36"/>
      <w:szCs w:val="44"/>
    </w:rPr>
  </w:style>
  <w:style w:type="paragraph" w:styleId="4">
    <w:name w:val="heading 2"/>
    <w:basedOn w:val="1"/>
    <w:next w:val="1"/>
    <w:link w:val="35"/>
    <w:qFormat/>
    <w:uiPriority w:val="0"/>
    <w:pPr>
      <w:keepNext/>
      <w:keepLines/>
      <w:spacing w:line="360" w:lineRule="auto"/>
      <w:jc w:val="center"/>
      <w:outlineLvl w:val="1"/>
    </w:pPr>
    <w:rPr>
      <w:rFonts w:ascii="Arial" w:hAnsi="Arial"/>
      <w:b/>
      <w:bCs/>
      <w:sz w:val="30"/>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styleId="7">
    <w:name w:val="Normal Indent"/>
    <w:basedOn w:val="1"/>
    <w:qFormat/>
    <w:uiPriority w:val="0"/>
    <w:pPr>
      <w:ind w:firstLine="420"/>
    </w:pPr>
    <w:rPr>
      <w:sz w:val="21"/>
    </w:rPr>
  </w:style>
  <w:style w:type="paragraph" w:styleId="8">
    <w:name w:val="annotation text"/>
    <w:basedOn w:val="1"/>
    <w:qFormat/>
    <w:uiPriority w:val="0"/>
    <w:pPr>
      <w:jc w:val="left"/>
    </w:pPr>
  </w:style>
  <w:style w:type="paragraph" w:styleId="9">
    <w:name w:val="Body Text"/>
    <w:basedOn w:val="1"/>
    <w:next w:val="10"/>
    <w:qFormat/>
    <w:uiPriority w:val="0"/>
    <w:pPr>
      <w:spacing w:after="120"/>
    </w:pPr>
    <w:rPr>
      <w:sz w:val="21"/>
      <w:szCs w:val="24"/>
    </w:rPr>
  </w:style>
  <w:style w:type="paragraph" w:customStyle="1" w:styleId="10">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styleId="11">
    <w:name w:val="Body Text Indent"/>
    <w:basedOn w:val="1"/>
    <w:qFormat/>
    <w:uiPriority w:val="0"/>
    <w:pPr>
      <w:spacing w:after="120"/>
      <w:ind w:left="420" w:leftChars="200"/>
    </w:pPr>
  </w:style>
  <w:style w:type="paragraph" w:styleId="12">
    <w:name w:val="Plain Text"/>
    <w:basedOn w:val="1"/>
    <w:unhideWhenUsed/>
    <w:qFormat/>
    <w:uiPriority w:val="0"/>
    <w:rPr>
      <w:rFonts w:ascii="宋体" w:hAnsi="Courier New" w:cstheme="minorBidi"/>
      <w:sz w:val="21"/>
    </w:rPr>
  </w:style>
  <w:style w:type="paragraph" w:styleId="13">
    <w:name w:val="footer"/>
    <w:basedOn w:val="1"/>
    <w:next w:val="1"/>
    <w:qFormat/>
    <w:uiPriority w:val="0"/>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rPr>
      <w:sz w:val="21"/>
      <w:szCs w:val="24"/>
    </w:rPr>
  </w:style>
  <w:style w:type="paragraph" w:styleId="16">
    <w:name w:val="HTML Preformatted"/>
    <w:basedOn w:val="1"/>
    <w:qFormat/>
    <w:uiPriority w:val="0"/>
    <w:pPr>
      <w:jc w:val="left"/>
    </w:pPr>
    <w:rPr>
      <w:rFonts w:ascii="Arial" w:hAnsi="Arial" w:cs="Arial"/>
      <w:kern w:val="0"/>
    </w:rPr>
  </w:style>
  <w:style w:type="paragraph" w:styleId="17">
    <w:name w:val="Normal (Web)"/>
    <w:basedOn w:val="1"/>
    <w:qFormat/>
    <w:uiPriority w:val="99"/>
    <w:rPr>
      <w:szCs w:val="24"/>
    </w:rPr>
  </w:style>
  <w:style w:type="paragraph" w:styleId="18">
    <w:name w:val="Body Text First Indent"/>
    <w:basedOn w:val="9"/>
    <w:unhideWhenUsed/>
    <w:qFormat/>
    <w:uiPriority w:val="0"/>
    <w:pPr>
      <w:ind w:firstLine="420" w:firstLineChars="100"/>
    </w:pPr>
    <w:rPr>
      <w:sz w:val="18"/>
      <w:szCs w:val="18"/>
    </w:rPr>
  </w:style>
  <w:style w:type="paragraph" w:styleId="19">
    <w:name w:val="Body Text First Indent 2"/>
    <w:basedOn w:val="11"/>
    <w:next w:val="9"/>
    <w:qFormat/>
    <w:uiPriority w:val="0"/>
    <w:pPr>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basedOn w:val="22"/>
    <w:qFormat/>
    <w:uiPriority w:val="0"/>
    <w:rPr>
      <w:color w:val="0000FF"/>
      <w:u w:val="single"/>
    </w:rPr>
  </w:style>
  <w:style w:type="paragraph" w:customStyle="1" w:styleId="26">
    <w:name w:val="列出段落1"/>
    <w:basedOn w:val="1"/>
    <w:qFormat/>
    <w:uiPriority w:val="0"/>
    <w:pPr>
      <w:ind w:firstLine="420" w:firstLineChars="200"/>
    </w:pPr>
  </w:style>
  <w:style w:type="paragraph" w:customStyle="1" w:styleId="27">
    <w:name w:val="BodyText1I2"/>
    <w:basedOn w:val="28"/>
    <w:qFormat/>
    <w:uiPriority w:val="0"/>
    <w:pPr>
      <w:ind w:firstLine="420"/>
    </w:pPr>
  </w:style>
  <w:style w:type="paragraph" w:customStyle="1" w:styleId="28">
    <w:name w:val="BodyTextIndent"/>
    <w:basedOn w:val="1"/>
    <w:next w:val="29"/>
    <w:qFormat/>
    <w:uiPriority w:val="0"/>
    <w:pPr>
      <w:spacing w:after="120"/>
      <w:ind w:left="420" w:leftChars="200"/>
      <w:textAlignment w:val="baseline"/>
    </w:pPr>
  </w:style>
  <w:style w:type="paragraph" w:customStyle="1" w:styleId="29">
    <w:name w:val="NormalIndent"/>
    <w:basedOn w:val="1"/>
    <w:qFormat/>
    <w:uiPriority w:val="0"/>
    <w:pPr>
      <w:ind w:firstLine="420"/>
      <w:textAlignment w:val="baseline"/>
    </w:pPr>
    <w:rPr>
      <w:rFonts w:ascii="Calibri" w:hAnsi="Calibri" w:eastAsia="仿宋"/>
    </w:rPr>
  </w:style>
  <w:style w:type="paragraph" w:customStyle="1" w:styleId="30">
    <w:name w:val="_Style 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
    <w:name w:val="p15"/>
    <w:basedOn w:val="1"/>
    <w:qFormat/>
    <w:uiPriority w:val="99"/>
    <w:pPr>
      <w:widowControl/>
    </w:pPr>
    <w:rPr>
      <w:kern w:val="0"/>
      <w:sz w:val="21"/>
      <w:szCs w:val="21"/>
    </w:rPr>
  </w:style>
  <w:style w:type="paragraph" w:customStyle="1" w:styleId="3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33">
    <w:name w:val="List Paragraph"/>
    <w:basedOn w:val="1"/>
    <w:unhideWhenUsed/>
    <w:qFormat/>
    <w:uiPriority w:val="34"/>
    <w:pPr>
      <w:ind w:firstLine="420" w:firstLineChars="200"/>
    </w:pPr>
  </w:style>
  <w:style w:type="character" w:customStyle="1" w:styleId="34">
    <w:name w:val="无"/>
    <w:qFormat/>
    <w:uiPriority w:val="0"/>
  </w:style>
  <w:style w:type="character" w:customStyle="1" w:styleId="35">
    <w:name w:val="标题 2 Char"/>
    <w:link w:val="4"/>
    <w:qFormat/>
    <w:uiPriority w:val="0"/>
    <w:rPr>
      <w:rFonts w:ascii="Arial" w:hAnsi="Arial"/>
      <w:b/>
      <w:bCs/>
      <w:sz w:val="30"/>
      <w:szCs w:val="32"/>
    </w:rPr>
  </w:style>
  <w:style w:type="paragraph" w:customStyle="1" w:styleId="36">
    <w:name w:val="标题 2（投标文件）"/>
    <w:basedOn w:val="4"/>
    <w:qFormat/>
    <w:uiPriority w:val="0"/>
  </w:style>
  <w:style w:type="paragraph" w:customStyle="1" w:styleId="37">
    <w:name w:val="正文 New"/>
    <w:qFormat/>
    <w:uiPriority w:val="99"/>
    <w:pPr>
      <w:widowControl w:val="0"/>
      <w:jc w:val="both"/>
    </w:pPr>
    <w:rPr>
      <w:rFonts w:ascii="Calibri" w:hAnsi="Calibri" w:eastAsia="宋体" w:cs="Times New Roman"/>
      <w:lang w:val="en-US" w:eastAsia="zh-CN" w:bidi="ar-SA"/>
    </w:rPr>
  </w:style>
  <w:style w:type="character" w:customStyle="1" w:styleId="38">
    <w:name w:val="font11"/>
    <w:qFormat/>
    <w:uiPriority w:val="0"/>
    <w:rPr>
      <w:rFonts w:hint="eastAsia" w:ascii="宋体" w:hAnsi="宋体" w:eastAsia="宋体" w:cs="宋体"/>
      <w:b/>
      <w:color w:val="000000"/>
      <w:sz w:val="20"/>
      <w:szCs w:val="20"/>
      <w:u w:val="none"/>
    </w:rPr>
  </w:style>
  <w:style w:type="character" w:customStyle="1" w:styleId="39">
    <w:name w:val="font31"/>
    <w:qFormat/>
    <w:uiPriority w:val="0"/>
    <w:rPr>
      <w:rFonts w:hint="eastAsia" w:ascii="宋体" w:hAnsi="宋体" w:eastAsia="宋体" w:cs="宋体"/>
      <w:color w:val="000000"/>
      <w:sz w:val="20"/>
      <w:szCs w:val="20"/>
      <w:u w:val="none"/>
    </w:rPr>
  </w:style>
  <w:style w:type="character" w:customStyle="1" w:styleId="40">
    <w:name w:val="font51"/>
    <w:qFormat/>
    <w:uiPriority w:val="0"/>
    <w:rPr>
      <w:rFonts w:hint="eastAsia" w:ascii="宋体" w:hAnsi="宋体" w:eastAsia="宋体" w:cs="宋体"/>
      <w:b/>
      <w:color w:val="000000"/>
      <w:sz w:val="20"/>
      <w:szCs w:val="20"/>
      <w:u w:val="none"/>
    </w:rPr>
  </w:style>
  <w:style w:type="character" w:customStyle="1" w:styleId="41">
    <w:name w:val="font41"/>
    <w:qFormat/>
    <w:uiPriority w:val="0"/>
    <w:rPr>
      <w:rFonts w:hint="eastAsia" w:ascii="宋体" w:hAnsi="宋体" w:eastAsia="宋体" w:cs="宋体"/>
      <w:color w:val="000000"/>
      <w:sz w:val="20"/>
      <w:szCs w:val="20"/>
      <w:u w:val="none"/>
    </w:rPr>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28425</Words>
  <Characters>30434</Characters>
  <Lines>0</Lines>
  <Paragraphs>0</Paragraphs>
  <TotalTime>48</TotalTime>
  <ScaleCrop>false</ScaleCrop>
  <LinksUpToDate>false</LinksUpToDate>
  <CharactersWithSpaces>32263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2022-09-13T06:31:00Z</dcterms:created>
  <dc:creator>吃猫的鱼</dc:creator>
  <cp:lastModifiedBy>吃猫的鱼</cp:lastModifiedBy>
  <cp:lastPrinted>2022-12-19T03:50:33Z</cp:lastPrinted>
  <dcterms:modified xsi:type="dcterms:W3CDTF">2022-12-19T03:51:02Z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1E010E272D064F0A9D4ADB925F93F499</vt:lpwstr>
  </property>
</Properties>
</file>