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需求</w:t>
      </w:r>
      <w:bookmarkStart w:id="1" w:name="_GoBack"/>
      <w:bookmarkEnd w:id="1"/>
    </w:p>
    <w:p>
      <w:pPr>
        <w:spacing w:line="360" w:lineRule="auto"/>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UPS(不间断电源)设备规范和数量</w:t>
      </w:r>
    </w:p>
    <w:tbl>
      <w:tblPr>
        <w:tblStyle w:val="8"/>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296"/>
        <w:gridCol w:w="800"/>
        <w:gridCol w:w="900"/>
        <w:gridCol w:w="418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68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序号</w:t>
            </w:r>
          </w:p>
        </w:tc>
        <w:tc>
          <w:tcPr>
            <w:tcW w:w="1296"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设备名称</w:t>
            </w:r>
          </w:p>
        </w:tc>
        <w:tc>
          <w:tcPr>
            <w:tcW w:w="8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单位</w:t>
            </w:r>
          </w:p>
        </w:tc>
        <w:tc>
          <w:tcPr>
            <w:tcW w:w="9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数量</w:t>
            </w:r>
          </w:p>
        </w:tc>
        <w:tc>
          <w:tcPr>
            <w:tcW w:w="418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技术参数要求</w:t>
            </w:r>
          </w:p>
        </w:tc>
        <w:tc>
          <w:tcPr>
            <w:tcW w:w="137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1</w:t>
            </w:r>
          </w:p>
        </w:tc>
        <w:tc>
          <w:tcPr>
            <w:tcW w:w="1296" w:type="dxa"/>
            <w:vAlign w:val="center"/>
          </w:tcPr>
          <w:p>
            <w:pPr>
              <w:pStyle w:val="2"/>
              <w:keepNext/>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UPS主机智能监控</w:t>
            </w:r>
          </w:p>
        </w:tc>
        <w:tc>
          <w:tcPr>
            <w:tcW w:w="8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面</w:t>
            </w:r>
          </w:p>
        </w:tc>
        <w:tc>
          <w:tcPr>
            <w:tcW w:w="9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1</w:t>
            </w:r>
          </w:p>
        </w:tc>
        <w:tc>
          <w:tcPr>
            <w:tcW w:w="4187" w:type="dxa"/>
            <w:vAlign w:val="center"/>
          </w:tcPr>
          <w:p>
            <w:pPr>
              <w:pStyle w:val="3"/>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UPS(不间断电源)容量：100KVA。</w:t>
            </w:r>
          </w:p>
          <w:p>
            <w:pPr>
              <w:pStyle w:val="3"/>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电池后备时间：不小于60min</w:t>
            </w:r>
          </w:p>
          <w:p>
            <w:pPr>
              <w:pStyle w:val="3"/>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主电源输入：380V±7%/3P(三相四线)</w:t>
            </w:r>
          </w:p>
          <w:p>
            <w:pPr>
              <w:pStyle w:val="3"/>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旁路电源输入：380V±7% (AC相)</w:t>
            </w:r>
          </w:p>
          <w:p>
            <w:pPr>
              <w:pStyle w:val="3"/>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输出电压：380V±1%</w:t>
            </w:r>
          </w:p>
          <w:p>
            <w:pPr>
              <w:pStyle w:val="3"/>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输出频率：50Hz±0.05%</w:t>
            </w:r>
          </w:p>
        </w:tc>
        <w:tc>
          <w:tcPr>
            <w:tcW w:w="137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屏体尺寸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2</w:t>
            </w:r>
          </w:p>
        </w:tc>
        <w:tc>
          <w:tcPr>
            <w:tcW w:w="1296" w:type="dxa"/>
            <w:vAlign w:val="center"/>
          </w:tcPr>
          <w:p>
            <w:pPr>
              <w:pStyle w:val="2"/>
              <w:keepNext/>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蓄电池屏</w:t>
            </w:r>
          </w:p>
        </w:tc>
        <w:tc>
          <w:tcPr>
            <w:tcW w:w="8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面</w:t>
            </w:r>
          </w:p>
        </w:tc>
        <w:tc>
          <w:tcPr>
            <w:tcW w:w="9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2</w:t>
            </w:r>
          </w:p>
        </w:tc>
        <w:tc>
          <w:tcPr>
            <w:tcW w:w="4187" w:type="dxa"/>
            <w:vAlign w:val="center"/>
          </w:tcPr>
          <w:p>
            <w:pPr>
              <w:pStyle w:val="2"/>
              <w:jc w:val="center"/>
              <w:rPr>
                <w:rFonts w:hint="eastAsia" w:ascii="宋体" w:hAnsi="宋体" w:eastAsia="宋体" w:cs="宋体"/>
                <w:color w:val="auto"/>
                <w:kern w:val="2"/>
                <w:sz w:val="21"/>
                <w:szCs w:val="16"/>
                <w:highlight w:val="none"/>
                <w:lang w:val="en-US" w:eastAsia="zh-CN" w:bidi="ar-SA"/>
              </w:rPr>
            </w:pPr>
          </w:p>
        </w:tc>
        <w:tc>
          <w:tcPr>
            <w:tcW w:w="137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屏体尺寸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7"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3</w:t>
            </w:r>
          </w:p>
        </w:tc>
        <w:tc>
          <w:tcPr>
            <w:tcW w:w="1296" w:type="dxa"/>
            <w:vAlign w:val="center"/>
          </w:tcPr>
          <w:p>
            <w:pPr>
              <w:pStyle w:val="2"/>
              <w:keepNext/>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蓄电池</w:t>
            </w:r>
          </w:p>
        </w:tc>
        <w:tc>
          <w:tcPr>
            <w:tcW w:w="8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节</w:t>
            </w:r>
          </w:p>
        </w:tc>
        <w:tc>
          <w:tcPr>
            <w:tcW w:w="900" w:type="dxa"/>
            <w:vAlign w:val="center"/>
          </w:tcPr>
          <w:p>
            <w:pPr>
              <w:pStyle w:val="2"/>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24</w:t>
            </w:r>
          </w:p>
        </w:tc>
        <w:tc>
          <w:tcPr>
            <w:tcW w:w="4187" w:type="dxa"/>
            <w:vAlign w:val="center"/>
          </w:tcPr>
          <w:p>
            <w:pPr>
              <w:pStyle w:val="2"/>
              <w:keepNext/>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color w:val="auto"/>
                <w:kern w:val="2"/>
                <w:sz w:val="21"/>
                <w:szCs w:val="16"/>
                <w:highlight w:val="none"/>
                <w:lang w:val="en-US" w:eastAsia="zh-CN" w:bidi="ar-SA"/>
              </w:rPr>
            </w:pPr>
          </w:p>
        </w:tc>
        <w:tc>
          <w:tcPr>
            <w:tcW w:w="1377" w:type="dxa"/>
            <w:vAlign w:val="center"/>
          </w:tcPr>
          <w:p>
            <w:pPr>
              <w:pStyle w:val="2"/>
              <w:keepNext/>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蓄电池带电后一年质保</w:t>
            </w:r>
          </w:p>
        </w:tc>
      </w:tr>
    </w:tbl>
    <w:p>
      <w:pPr>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lang w:eastAsia="zh-CN"/>
        </w:rPr>
      </w:pPr>
    </w:p>
    <w:p>
      <w:pPr>
        <w:pStyle w:val="2"/>
        <w:keepLines w:val="0"/>
        <w:pageBreakBefore w:val="0"/>
        <w:widowControl w:val="0"/>
        <w:tabs>
          <w:tab w:val="left" w:pos="567"/>
        </w:tabs>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技术性能要求</w:t>
      </w:r>
    </w:p>
    <w:p>
      <w:pPr>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成套装置性能要求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成套装置主要技术参数</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输入电压：380V±7%</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输出电压：380V±1%</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防护等级：IP31</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输出频率：50Hz±0.05%</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稳压精度：±1%</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输出电压波形失真：1.5%</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满载整机效率：大于95%</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99" w:firstLineChars="333"/>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负载功率因数：大于0.8</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过载能力：110%~200%(30s后转旁路输出)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电池切换时间：&lt;1ms</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蓄电池种类：阀控铅酸免维护蓄电池</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单个蓄电池电压：12V</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噪音：不大于60db</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通信接口：标准以太网接口及RS485串口</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冷却方式：自冷/强制风冷 </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97" w:firstLineChars="332"/>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屏柜尺寸(mm)：宽X深X高554*975*1286mm</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成套装置主要技术性能</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UPS(不间断电源)共一组100KVA,工频在线式</w:t>
      </w:r>
      <w:r>
        <w:rPr>
          <w:rFonts w:hint="eastAsia" w:eastAsia="宋体" w:cs="宋体"/>
          <w:color w:val="auto"/>
          <w:kern w:val="2"/>
          <w:sz w:val="21"/>
          <w:szCs w:val="16"/>
          <w:highlight w:val="none"/>
          <w:lang w:val="en-US" w:eastAsia="zh-CN" w:bidi="ar-SA"/>
        </w:rPr>
        <w:t>。</w:t>
      </w:r>
      <w:r>
        <w:rPr>
          <w:rFonts w:hint="eastAsia" w:ascii="宋体" w:hAnsi="宋体" w:eastAsia="宋体" w:cs="宋体"/>
          <w:color w:val="auto"/>
          <w:kern w:val="2"/>
          <w:sz w:val="21"/>
          <w:szCs w:val="16"/>
          <w:highlight w:val="none"/>
          <w:lang w:val="en-US" w:eastAsia="zh-CN" w:bidi="ar-SA"/>
        </w:rPr>
        <w:t>UPS电源及信号电缆均采用下进下出线方式。</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UPS(不间断电源)具有远程监控及自起动功能。</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应有RS485通讯接口及以太网接口，满足后期电气后台通讯需求。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可编程的电池自诊断测试</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带温度补偿的电池充电系统</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过压充电自动保护</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配置旁路外置隔离变压器及维修旁路。</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420" w:leftChars="200" w:right="0" w:rightChars="0" w:firstLine="0" w:firstLine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逆变器和静态旁路开关均布置于UPS主机柜内,在柜子前部安装所有必要操作装置及仪表指示。满足工程对电磁兼容性能的要求。</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exact"/>
        <w:ind w:right="0" w:rightChars="0" w:firstLine="420" w:firstLineChars="200"/>
        <w:jc w:val="both"/>
        <w:textAlignment w:val="auto"/>
        <w:rPr>
          <w:rFonts w:hint="eastAsia"/>
          <w:color w:val="000000"/>
          <w:sz w:val="24"/>
          <w:szCs w:val="24"/>
        </w:rPr>
      </w:pPr>
      <w:r>
        <w:rPr>
          <w:rFonts w:hint="eastAsia" w:ascii="宋体" w:hAnsi="宋体" w:eastAsia="宋体" w:cs="宋体"/>
          <w:color w:val="auto"/>
          <w:kern w:val="2"/>
          <w:sz w:val="21"/>
          <w:szCs w:val="16"/>
          <w:highlight w:val="none"/>
          <w:lang w:val="en-US" w:eastAsia="zh-CN" w:bidi="ar-SA"/>
        </w:rPr>
        <w:t>在旁路柜上安装带”关-主回路-逆变器”位置指示的运行方式开关以及用于查看旁路操作(用于维护)的手动开关。</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right="0" w:rightChars="0"/>
        <w:jc w:val="left"/>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UPS(不间断电源)装置的监控、电池管理等性能要求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right="0" w:rightChars="0" w:firstLine="420" w:firstLineChars="200"/>
        <w:jc w:val="left"/>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UPS系统应具备显示内部和外部故障的监控模块，包括整流器、逆变器和静态开关、蓄电池的自动诊断设备。至少包括：</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right="0" w:rightChars="0" w:firstLine="420" w:firstLineChars="200"/>
        <w:jc w:val="left"/>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整流器故障报警继电器；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right="0" w:rightChars="0" w:firstLine="420" w:firstLineChars="200"/>
        <w:jc w:val="left"/>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直流输入低电压报警继电器；</w:t>
      </w:r>
    </w:p>
    <w:p>
      <w:pPr>
        <w:pStyle w:val="2"/>
        <w:keepLines w:val="0"/>
        <w:pageBreakBefore w:val="0"/>
        <w:widowControl w:val="0"/>
        <w:tabs>
          <w:tab w:val="left" w:pos="567"/>
        </w:tabs>
        <w:kinsoku/>
        <w:wordWrap/>
        <w:overflowPunct/>
        <w:topLinePunct w:val="0"/>
        <w:autoSpaceDE/>
        <w:autoSpaceDN/>
        <w:bidi w:val="0"/>
        <w:adjustRightInd/>
        <w:snapToGrid/>
        <w:spacing w:line="300" w:lineRule="exact"/>
        <w:ind w:right="0" w:rightChars="0" w:firstLine="420" w:firstLineChars="200"/>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旁路交流电源低电压统一为UPS通用故障报警继电器；</w:t>
      </w:r>
    </w:p>
    <w:p>
      <w:pPr>
        <w:pStyle w:val="2"/>
        <w:keepLines w:val="0"/>
        <w:pageBreakBefore w:val="0"/>
        <w:widowControl w:val="0"/>
        <w:tabs>
          <w:tab w:val="left" w:pos="567"/>
        </w:tabs>
        <w:kinsoku/>
        <w:wordWrap/>
        <w:overflowPunct/>
        <w:topLinePunct w:val="0"/>
        <w:autoSpaceDE/>
        <w:autoSpaceDN/>
        <w:bidi w:val="0"/>
        <w:adjustRightInd/>
        <w:snapToGrid/>
        <w:spacing w:line="300" w:lineRule="exact"/>
        <w:ind w:right="0" w:rightChars="0" w:firstLine="420" w:firstLineChars="200"/>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逆变器输入过高/低电压统一为UPS通用故障报警继电器；</w:t>
      </w:r>
    </w:p>
    <w:p>
      <w:pPr>
        <w:pStyle w:val="2"/>
        <w:keepLines w:val="0"/>
        <w:pageBreakBefore w:val="0"/>
        <w:widowControl w:val="0"/>
        <w:tabs>
          <w:tab w:val="left" w:pos="567"/>
        </w:tabs>
        <w:kinsoku/>
        <w:wordWrap/>
        <w:overflowPunct/>
        <w:topLinePunct w:val="0"/>
        <w:autoSpaceDE/>
        <w:autoSpaceDN/>
        <w:bidi w:val="0"/>
        <w:adjustRightInd/>
        <w:snapToGrid/>
        <w:spacing w:line="300" w:lineRule="exact"/>
        <w:ind w:right="0" w:rightChars="0" w:firstLine="420" w:firstLineChars="200"/>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UPS输出报警继电器：高/低电压，高/低频率统一为UPS通用故障报警；</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直流馈线屏前部至少应有下列指示：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母线故障；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小型断路器跳闸（对于每条馈线）；</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控制电压故障；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各负荷）ON-OFF）位置指示；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整流器输入电压为UPS面板液晶显示；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整流器输入电流为UPS面板液晶显示；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整流器输出电压为UPS面板液晶显示；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逆变器输出电压为UPS面板液晶显示；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逆变器输出电流为UPS面板液晶显示；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逆变器输出频率为UPS面板液晶显示；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旁路交流电源电压为UPS面板液晶显示；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旁路交流电源频率为UPS面板液晶显示；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UPS输入电流表；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报警信号</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UPS应具备完整的故障和警报指示监控模块（系统），以便于维护故障显示（提示）。</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UPS需送出如下信号至DCS（硬接线信号）:</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开关量信号:4个,  功能:</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主回路工作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蓄电池供电</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旁路工作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综合故障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模拟量信号:3个,               </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UPS输出母线电压</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UPS输出母线电流 </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UPS输出频率   </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开关量信号为常开信号,模拟量信号:4~20mA </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bookmarkStart w:id="0" w:name="_Toc61251272"/>
      <w:r>
        <w:rPr>
          <w:rFonts w:hint="eastAsia" w:ascii="宋体" w:hAnsi="宋体" w:eastAsia="宋体" w:cs="宋体"/>
          <w:color w:val="auto"/>
          <w:kern w:val="2"/>
          <w:sz w:val="21"/>
          <w:szCs w:val="16"/>
          <w:highlight w:val="none"/>
          <w:lang w:val="en-US" w:eastAsia="zh-CN" w:bidi="ar-SA"/>
        </w:rPr>
        <w:t>UPS(不间断电源)装置</w:t>
      </w:r>
      <w:bookmarkEnd w:id="0"/>
      <w:r>
        <w:rPr>
          <w:rFonts w:hint="eastAsia" w:ascii="宋体" w:hAnsi="宋体" w:eastAsia="宋体" w:cs="宋体"/>
          <w:color w:val="auto"/>
          <w:kern w:val="2"/>
          <w:sz w:val="21"/>
          <w:szCs w:val="16"/>
          <w:highlight w:val="none"/>
          <w:lang w:val="en-US" w:eastAsia="zh-CN" w:bidi="ar-SA"/>
        </w:rPr>
        <w:t>系统配置及性能要求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    正常情况下，由交流电源经隔离变、整流器、逆变器供电,同时向蓄电池充电；交流电源失电后，由UPS装置通过UPS自带直流蓄电池系统经逆变器供电。当逆变器故障时，可经静态开关切换至旁路交流电源供电。当恢复正常情况，负载应从UPS主回路交流电源供给。   UPS应合并所有必需的控制和保护设备去完成所要求的性能，并保护这些单元和它们的部件免受内部和外部的短路、过压、低压、接地故障导致的故障的干扰。</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系统配置</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系统配置应包含下列设备：</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     输入/输出隔离变</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     旁路隔离变</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配电盘</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静态开关</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手动旁路开关</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蓄电池组</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630" w:firstLineChars="3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辅助设备</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整流器部分包括如下</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color w:val="000000"/>
          <w:sz w:val="24"/>
        </w:rPr>
        <w:t xml:space="preserve">     </w:t>
      </w:r>
      <w:r>
        <w:rPr>
          <w:rFonts w:hint="eastAsia" w:ascii="宋体" w:hAnsi="宋体" w:eastAsia="宋体" w:cs="宋体"/>
          <w:color w:val="auto"/>
          <w:kern w:val="2"/>
          <w:sz w:val="21"/>
          <w:szCs w:val="16"/>
          <w:highlight w:val="none"/>
          <w:lang w:val="en-US" w:eastAsia="zh-CN" w:bidi="ar-SA"/>
        </w:rPr>
        <w:t>整流器可控硅整流，它应能提供给逆变器固定的直流电压，整流系统应包括输入变压器，整流器及控制设备等。</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带过负荷和过电流保护的电流断路器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绝缘变压器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b逆变器部分包括如下</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逆变器采用IGBT技术</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逆变器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绝缘变压器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静态开关</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d)配电部分包括如下</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电流表，电压表，频率表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断路器（带有过载和过电流保护） </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性能要求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 xml:space="preserve"> a) 逆变器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三相类型的逆变器应在与主线和谐波的适度容量(依据数据表)及输入电压变动的独立性在一定限度内用同步频率提供一个稳定交替的电压给负载。</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通常逆变器应与主线同步操作，但是如果主线不可靠或主线频率与额定值偏离太大，输出频率应由内部振荡器自动产生。在主线电压供给恢复时，它的频率返回到预定的限度内后，逆变器应再与主线同步。</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b) 静态开关</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如果整流器逆变器故障或如果电压/电流值(动态条件)超出数据表中指定的限度(例如：一个负载的短路)，输出将由静态开关自动转换到备用线路，以降低电压供给负载的缺乏。</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负载转换到备用线路的状态应充分体现。</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c) 手动旁路开关</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手动旁路开关应允许在不间断完全绝缘UPS情况下连接负载与主线,用于维护或修理操作。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供货范围及要求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供货范围</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输入交流电源装置</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 装置成套屏柜。</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整流器、逆变器、静态开关、手动旁路开关、保护和控制。</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主回路隔离变、旁路隔离变压器、旁路调压器。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阀控铅酸免维护蓄电池组。</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微机总监控单元、所有监控仪表。</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所有盘间电缆、备品备件、其它附件。</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供货要求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a)UPS应设置过电压、过流等保护。</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b)删除。</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firstLine="420" w:firstLineChars="20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c)信号要求</w:t>
      </w:r>
    </w:p>
    <w:p>
      <w:pPr>
        <w:pStyle w:val="3"/>
        <w:keepNext w:val="0"/>
        <w:keepLines w:val="0"/>
        <w:pageBreakBefore w:val="0"/>
        <w:widowControl w:val="0"/>
        <w:kinsoku/>
        <w:wordWrap/>
        <w:overflowPunct/>
        <w:topLinePunct w:val="0"/>
        <w:autoSpaceDE/>
        <w:autoSpaceDN/>
        <w:bidi w:val="0"/>
        <w:adjustRightInd/>
        <w:snapToGrid/>
        <w:spacing w:after="157" w:afterLines="50" w:line="300" w:lineRule="exact"/>
        <w:ind w:left="0" w:leftChars="0" w:right="0" w:rightChars="0"/>
        <w:jc w:val="both"/>
        <w:textAlignment w:val="auto"/>
        <w:outlineLvl w:val="9"/>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UPS馈线回路采用正泰产品微型自动开关，馈线屏的面板至少应有下列指示：</w:t>
      </w:r>
    </w:p>
    <w:p>
      <w:pPr>
        <w:spacing w:line="360" w:lineRule="auto"/>
        <w:ind w:firstLine="420" w:firstLineChars="200"/>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母线故障；</w:t>
      </w:r>
    </w:p>
    <w:p>
      <w:pPr>
        <w:spacing w:line="360" w:lineRule="auto"/>
        <w:ind w:firstLine="420" w:firstLineChars="200"/>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小型断路器跳闸（每条馈线）；</w:t>
      </w:r>
    </w:p>
    <w:p>
      <w:pPr>
        <w:spacing w:line="360" w:lineRule="auto"/>
        <w:ind w:firstLine="420" w:firstLineChars="200"/>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控制电压故障；</w:t>
      </w:r>
    </w:p>
    <w:p>
      <w:pPr>
        <w:spacing w:line="360" w:lineRule="auto"/>
        <w:ind w:firstLine="420" w:firstLineChars="200"/>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各负荷（ON-OFF）位置指示等</w:t>
      </w:r>
    </w:p>
    <w:p>
      <w:pPr>
        <w:spacing w:line="360" w:lineRule="auto"/>
        <w:ind w:firstLine="420" w:firstLineChars="200"/>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UPS装置安装基础槽钢买方提供</w:t>
      </w:r>
    </w:p>
    <w:p>
      <w:pPr>
        <w:spacing w:line="360" w:lineRule="auto"/>
        <w:ind w:firstLine="420" w:firstLineChars="20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UPS(不间断电源)装置规范表</w:t>
      </w:r>
    </w:p>
    <w:tbl>
      <w:tblPr>
        <w:tblStyle w:val="7"/>
        <w:tblW w:w="648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940"/>
        <w:gridCol w:w="21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1446" w:type="dxa"/>
            <w:vAlign w:val="center"/>
          </w:tcPr>
          <w:p>
            <w:pPr>
              <w:pStyle w:val="4"/>
              <w:ind w:left="5000"/>
              <w:jc w:val="center"/>
              <w:rPr>
                <w:rFonts w:hint="eastAsia" w:ascii="宋体" w:hAnsi="宋体" w:cs="宋体"/>
                <w:color w:val="000000"/>
                <w:sz w:val="21"/>
                <w:szCs w:val="21"/>
              </w:rPr>
            </w:pPr>
            <w:r>
              <w:rPr>
                <w:rFonts w:hint="eastAsia" w:ascii="宋体" w:hAnsi="宋体" w:cs="宋体"/>
                <w:color w:val="000000"/>
                <w:sz w:val="21"/>
                <w:szCs w:val="21"/>
              </w:rPr>
              <w:t>序号</w:t>
            </w:r>
          </w:p>
        </w:tc>
        <w:tc>
          <w:tcPr>
            <w:tcW w:w="2940" w:type="dxa"/>
            <w:vAlign w:val="center"/>
          </w:tcPr>
          <w:p>
            <w:pPr>
              <w:ind w:right="207"/>
              <w:jc w:val="center"/>
              <w:rPr>
                <w:rFonts w:hint="eastAsia" w:ascii="宋体" w:hAnsi="宋体" w:cs="宋体"/>
                <w:color w:val="000000"/>
                <w:sz w:val="21"/>
                <w:szCs w:val="21"/>
              </w:rPr>
            </w:pPr>
            <w:r>
              <w:rPr>
                <w:rFonts w:hint="eastAsia" w:ascii="宋体" w:hAnsi="宋体" w:cs="宋体"/>
                <w:color w:val="000000"/>
                <w:sz w:val="21"/>
                <w:szCs w:val="21"/>
              </w:rPr>
              <w:t>名           称</w:t>
            </w:r>
          </w:p>
        </w:tc>
        <w:tc>
          <w:tcPr>
            <w:tcW w:w="2102" w:type="dxa"/>
            <w:vAlign w:val="center"/>
          </w:tcPr>
          <w:p>
            <w:pPr>
              <w:rPr>
                <w:rFonts w:hint="eastAsia" w:ascii="宋体" w:hAnsi="宋体" w:cs="宋体"/>
                <w:color w:val="000000"/>
                <w:sz w:val="21"/>
                <w:szCs w:val="21"/>
              </w:rPr>
            </w:pPr>
            <w:r>
              <w:rPr>
                <w:rFonts w:hint="eastAsia" w:ascii="宋体" w:hAnsi="宋体" w:cs="宋体"/>
                <w:color w:val="000000"/>
                <w:sz w:val="21"/>
                <w:szCs w:val="21"/>
              </w:rPr>
              <w:t>要  求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主电源输入(V)</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380V±7%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2</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旁路电源输入(V)</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380V±7%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3</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输出电压</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220V±1%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4</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输出频率(Hz)</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50Hz±0.05%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5</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装置额定容量(KVA)</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00</w:t>
            </w:r>
            <w:r>
              <w:rPr>
                <w:rFonts w:hint="eastAsia" w:ascii="宋体" w:hAnsi="宋体" w:cs="宋体"/>
                <w:color w:val="000000"/>
                <w:sz w:val="21"/>
                <w:szCs w:val="21"/>
              </w:rPr>
              <w:t>KVA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6</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装置额定功率(KW)</w:t>
            </w:r>
          </w:p>
        </w:tc>
        <w:tc>
          <w:tcPr>
            <w:tcW w:w="2102" w:type="dxa"/>
            <w:vAlign w:val="top"/>
          </w:tcPr>
          <w:p>
            <w:pPr>
              <w:rPr>
                <w:rFonts w:hint="eastAsia" w:ascii="宋体" w:hAnsi="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7</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电压失真(％)</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8</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逆变器过载能力</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110%~200%(30s后转旁路输出)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9</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短路能力</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50KA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10</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功率因数</w:t>
            </w:r>
          </w:p>
        </w:tc>
        <w:tc>
          <w:tcPr>
            <w:tcW w:w="2102" w:type="dxa"/>
            <w:vAlign w:val="top"/>
          </w:tcPr>
          <w:p>
            <w:pPr>
              <w:rPr>
                <w:rFonts w:hint="eastAsia" w:ascii="宋体" w:hAnsi="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11</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装置噪声(dB)</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不大于</w:t>
            </w:r>
            <w:r>
              <w:rPr>
                <w:rFonts w:ascii="宋体" w:hAnsi="宋体" w:cs="宋体"/>
                <w:color w:val="000000"/>
                <w:sz w:val="21"/>
                <w:szCs w:val="21"/>
              </w:rPr>
              <w:t>60</w:t>
            </w:r>
            <w:r>
              <w:rPr>
                <w:rFonts w:hint="eastAsia" w:ascii="宋体" w:hAnsi="宋体" w:cs="宋体"/>
                <w:color w:val="000000"/>
                <w:sz w:val="21"/>
                <w:szCs w:val="21"/>
              </w:rPr>
              <w:t>db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12</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装置效率(％)</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13</w:t>
            </w:r>
          </w:p>
        </w:tc>
        <w:tc>
          <w:tcPr>
            <w:tcW w:w="2940" w:type="dxa"/>
            <w:vAlign w:val="top"/>
          </w:tcPr>
          <w:p>
            <w:pPr>
              <w:rPr>
                <w:rFonts w:hint="eastAsia" w:ascii="宋体" w:hAnsi="宋体" w:cs="宋体"/>
                <w:color w:val="000000"/>
                <w:sz w:val="21"/>
                <w:szCs w:val="21"/>
              </w:rPr>
            </w:pPr>
            <w:r>
              <w:rPr>
                <w:rFonts w:hint="eastAsia" w:ascii="宋体" w:hAnsi="宋体" w:cs="宋体"/>
                <w:color w:val="000000"/>
                <w:sz w:val="21"/>
                <w:szCs w:val="21"/>
              </w:rPr>
              <w:t>通讯方式</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标准以太网(优先采用)或串口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14</w:t>
            </w:r>
          </w:p>
        </w:tc>
        <w:tc>
          <w:tcPr>
            <w:tcW w:w="2940" w:type="dxa"/>
            <w:vAlign w:val="top"/>
          </w:tcPr>
          <w:p>
            <w:pPr>
              <w:rPr>
                <w:rFonts w:hint="eastAsia" w:ascii="宋体" w:hAnsi="宋体" w:cs="宋体"/>
                <w:color w:val="000000"/>
                <w:sz w:val="21"/>
                <w:szCs w:val="21"/>
              </w:rPr>
            </w:pPr>
            <w:r>
              <w:rPr>
                <w:rFonts w:hint="eastAsia" w:ascii="宋体" w:hAnsi="宋体" w:cs="宋体"/>
                <w:color w:val="000000"/>
                <w:kern w:val="2"/>
                <w:sz w:val="21"/>
                <w:szCs w:val="21"/>
              </w:rPr>
              <w:t>蓄电池电压</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lang w:val="en-US" w:eastAsia="zh-CN"/>
              </w:rPr>
              <w:t>384</w:t>
            </w:r>
            <w:r>
              <w:rPr>
                <w:rFonts w:hint="eastAsia" w:ascii="宋体" w:hAnsi="宋体" w:cs="宋体"/>
                <w:color w:val="000000"/>
                <w:sz w:val="21"/>
                <w:szCs w:val="21"/>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15</w:t>
            </w:r>
          </w:p>
        </w:tc>
        <w:tc>
          <w:tcPr>
            <w:tcW w:w="2940" w:type="dxa"/>
            <w:vAlign w:val="top"/>
          </w:tcPr>
          <w:p>
            <w:pPr>
              <w:rPr>
                <w:rFonts w:hint="eastAsia" w:ascii="宋体" w:hAnsi="宋体" w:cs="宋体"/>
                <w:color w:val="000000"/>
                <w:kern w:val="2"/>
                <w:sz w:val="21"/>
                <w:szCs w:val="21"/>
              </w:rPr>
            </w:pPr>
            <w:r>
              <w:rPr>
                <w:rFonts w:hint="eastAsia" w:ascii="宋体" w:hAnsi="宋体" w:cs="宋体"/>
                <w:color w:val="000000"/>
                <w:kern w:val="2"/>
                <w:sz w:val="21"/>
                <w:szCs w:val="21"/>
              </w:rPr>
              <w:t>蓄电池后备时间</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16</w:t>
            </w:r>
          </w:p>
        </w:tc>
        <w:tc>
          <w:tcPr>
            <w:tcW w:w="2940" w:type="dxa"/>
            <w:vAlign w:val="top"/>
          </w:tcPr>
          <w:p>
            <w:pPr>
              <w:rPr>
                <w:rFonts w:hint="eastAsia" w:ascii="宋体" w:hAnsi="宋体" w:cs="宋体"/>
                <w:color w:val="000000"/>
                <w:kern w:val="2"/>
                <w:sz w:val="21"/>
                <w:szCs w:val="21"/>
              </w:rPr>
            </w:pPr>
            <w:r>
              <w:rPr>
                <w:rFonts w:hint="eastAsia" w:ascii="宋体" w:hAnsi="宋体" w:cs="宋体"/>
                <w:color w:val="000000"/>
                <w:kern w:val="2"/>
                <w:sz w:val="21"/>
                <w:szCs w:val="21"/>
              </w:rPr>
              <w:t>蓄电池容量（ah）</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厂家填，并提供计算表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17</w:t>
            </w:r>
          </w:p>
        </w:tc>
        <w:tc>
          <w:tcPr>
            <w:tcW w:w="2940" w:type="dxa"/>
            <w:vAlign w:val="top"/>
          </w:tcPr>
          <w:p>
            <w:pPr>
              <w:rPr>
                <w:rFonts w:hint="eastAsia" w:ascii="宋体" w:hAnsi="宋体" w:cs="宋体"/>
                <w:color w:val="000000"/>
                <w:kern w:val="2"/>
                <w:sz w:val="21"/>
                <w:szCs w:val="21"/>
              </w:rPr>
            </w:pPr>
            <w:r>
              <w:rPr>
                <w:rFonts w:hint="eastAsia" w:ascii="宋体" w:hAnsi="宋体" w:cs="宋体"/>
                <w:color w:val="000000"/>
                <w:kern w:val="2"/>
                <w:sz w:val="21"/>
                <w:szCs w:val="21"/>
              </w:rPr>
              <w:t>蓄电池规格</w:t>
            </w:r>
          </w:p>
        </w:tc>
        <w:tc>
          <w:tcPr>
            <w:tcW w:w="2102" w:type="dxa"/>
            <w:vAlign w:val="top"/>
          </w:tcPr>
          <w:p>
            <w:pPr>
              <w:rPr>
                <w:rFonts w:hint="eastAsia" w:ascii="宋体" w:hAnsi="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18</w:t>
            </w:r>
          </w:p>
        </w:tc>
        <w:tc>
          <w:tcPr>
            <w:tcW w:w="2940" w:type="dxa"/>
            <w:vAlign w:val="top"/>
          </w:tcPr>
          <w:p>
            <w:pPr>
              <w:rPr>
                <w:rFonts w:hint="eastAsia" w:ascii="宋体" w:hAnsi="宋体" w:cs="宋体"/>
                <w:color w:val="000000"/>
                <w:kern w:val="2"/>
                <w:sz w:val="21"/>
                <w:szCs w:val="21"/>
              </w:rPr>
            </w:pPr>
            <w:r>
              <w:rPr>
                <w:rFonts w:hint="eastAsia" w:ascii="宋体" w:hAnsi="宋体" w:cs="宋体"/>
                <w:color w:val="000000"/>
                <w:kern w:val="2"/>
                <w:sz w:val="21"/>
                <w:szCs w:val="21"/>
              </w:rPr>
              <w:t>单个蓄电池电压</w:t>
            </w:r>
          </w:p>
        </w:tc>
        <w:tc>
          <w:tcPr>
            <w:tcW w:w="2102" w:type="dxa"/>
            <w:vAlign w:val="top"/>
          </w:tcPr>
          <w:p>
            <w:pPr>
              <w:rPr>
                <w:rFonts w:hint="eastAsia" w:ascii="宋体" w:hAnsi="宋体" w:cs="宋体"/>
                <w:color w:val="000000"/>
                <w:sz w:val="21"/>
                <w:szCs w:val="21"/>
              </w:rPr>
            </w:pPr>
            <w:r>
              <w:rPr>
                <w:rFonts w:hint="eastAsia" w:ascii="宋体" w:hAnsi="宋体" w:cs="宋体"/>
                <w:color w:val="000000"/>
                <w:sz w:val="21"/>
                <w:szCs w:val="21"/>
              </w:rPr>
              <w:t>12V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19</w:t>
            </w:r>
          </w:p>
        </w:tc>
        <w:tc>
          <w:tcPr>
            <w:tcW w:w="2940" w:type="dxa"/>
            <w:vAlign w:val="top"/>
          </w:tcPr>
          <w:p>
            <w:pPr>
              <w:rPr>
                <w:rFonts w:hint="eastAsia" w:ascii="宋体" w:hAnsi="宋体" w:cs="宋体"/>
                <w:color w:val="000000"/>
                <w:kern w:val="2"/>
                <w:sz w:val="21"/>
                <w:szCs w:val="21"/>
              </w:rPr>
            </w:pPr>
          </w:p>
        </w:tc>
        <w:tc>
          <w:tcPr>
            <w:tcW w:w="2102" w:type="dxa"/>
            <w:vAlign w:val="top"/>
          </w:tcPr>
          <w:p>
            <w:pPr>
              <w:rPr>
                <w:rFonts w:hint="eastAsia" w:ascii="宋体" w:hAnsi="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6" w:type="dxa"/>
            <w:vAlign w:val="top"/>
          </w:tcPr>
          <w:p>
            <w:pPr>
              <w:jc w:val="center"/>
              <w:rPr>
                <w:rFonts w:hint="eastAsia" w:ascii="宋体" w:hAnsi="宋体" w:cs="宋体"/>
                <w:color w:val="000000"/>
                <w:sz w:val="21"/>
                <w:szCs w:val="21"/>
              </w:rPr>
            </w:pPr>
            <w:r>
              <w:rPr>
                <w:rFonts w:hint="eastAsia" w:ascii="宋体" w:hAnsi="宋体" w:cs="宋体"/>
                <w:color w:val="000000"/>
                <w:sz w:val="21"/>
                <w:szCs w:val="21"/>
              </w:rPr>
              <w:t>20</w:t>
            </w:r>
          </w:p>
        </w:tc>
        <w:tc>
          <w:tcPr>
            <w:tcW w:w="2940" w:type="dxa"/>
            <w:vAlign w:val="top"/>
          </w:tcPr>
          <w:p>
            <w:pPr>
              <w:rPr>
                <w:rFonts w:hint="eastAsia" w:ascii="宋体" w:hAnsi="宋体" w:cs="宋体"/>
                <w:color w:val="000000"/>
                <w:kern w:val="2"/>
                <w:sz w:val="21"/>
                <w:szCs w:val="21"/>
              </w:rPr>
            </w:pPr>
          </w:p>
        </w:tc>
        <w:tc>
          <w:tcPr>
            <w:tcW w:w="2102" w:type="dxa"/>
            <w:vAlign w:val="top"/>
          </w:tcPr>
          <w:p>
            <w:pPr>
              <w:rPr>
                <w:rFonts w:hint="eastAsia" w:ascii="宋体" w:hAnsi="宋体" w:cs="宋体"/>
                <w:color w:val="000000"/>
                <w:sz w:val="21"/>
                <w:szCs w:val="21"/>
              </w:rPr>
            </w:pPr>
          </w:p>
        </w:tc>
      </w:tr>
    </w:tbl>
    <w:p/>
    <w:p/>
    <w:p/>
    <w:p/>
    <w:p/>
    <w:p/>
    <w:p/>
    <w:p/>
    <w:p/>
    <w:p/>
    <w:p/>
    <w:p/>
    <w:p/>
    <w:p/>
    <w:p/>
    <w:p/>
    <w:p/>
    <w:p/>
    <w:p/>
    <w:p/>
    <w:p/>
    <w:p/>
    <w:p/>
    <w:p/>
    <w:p/>
    <w:p/>
    <w:p/>
    <w:p/>
    <w:p/>
    <w:p/>
    <w:p/>
    <w:p/>
    <w:p/>
    <w:p/>
    <w:p/>
    <w:p/>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30985"/>
    <w:rsid w:val="5DAA3BBC"/>
    <w:rsid w:val="6A83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spacing w:line="720" w:lineRule="exact"/>
      <w:outlineLvl w:val="1"/>
    </w:pPr>
    <w:rPr>
      <w:rFonts w:ascii="黑体" w:hAnsi="Copperplate Gothic Bold" w:eastAsia="楷体_GB2312"/>
      <w:sz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Date"/>
    <w:basedOn w:val="1"/>
    <w:next w:val="1"/>
    <w:uiPriority w:val="0"/>
    <w:pPr>
      <w:widowControl w:val="0"/>
      <w:ind w:left="100" w:leftChars="2500"/>
      <w:jc w:val="both"/>
    </w:pPr>
    <w:rPr>
      <w:kern w:val="2"/>
      <w:sz w:val="24"/>
    </w:rPr>
  </w:style>
  <w:style w:type="paragraph" w:styleId="5">
    <w:name w:val="Title"/>
    <w:basedOn w:val="1"/>
    <w:next w:val="1"/>
    <w:qFormat/>
    <w:uiPriority w:val="0"/>
    <w:pPr>
      <w:jc w:val="center"/>
    </w:pPr>
    <w:rPr>
      <w:rFonts w:ascii="Calibri" w:hAnsi="Calibri"/>
      <w:kern w:val="1"/>
      <w:sz w:val="30"/>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2022-10-14T02:27:00Z</dcterms:created>
  <dc:creator>Administrator</dc:creator>
  <cp:lastModifiedBy>Administrator</cp:lastModifiedBy>
  <dcterms:modified xsi:type="dcterms:W3CDTF">2022-10-14T07:34:40Z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