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E1DB" w14:textId="629B4359" w:rsidR="00C36180" w:rsidRDefault="00C36180" w:rsidP="00C36180">
      <w:pPr>
        <w:pStyle w:val="4"/>
        <w:rPr>
          <w:rFonts w:asciiTheme="minorEastAsia" w:eastAsiaTheme="minorEastAsia" w:hAnsiTheme="minorEastAsia"/>
          <w:szCs w:val="21"/>
        </w:rPr>
      </w:pPr>
      <w:r>
        <w:rPr>
          <w:rFonts w:asciiTheme="minorEastAsia" w:eastAsiaTheme="minorEastAsia" w:hAnsiTheme="minorEastAsia" w:hint="eastAsia"/>
          <w:szCs w:val="21"/>
        </w:rPr>
        <w:t>一、</w:t>
      </w:r>
      <w:r>
        <w:rPr>
          <w:rFonts w:asciiTheme="minorEastAsia" w:eastAsiaTheme="minorEastAsia" w:hAnsiTheme="minorEastAsia" w:hint="eastAsia"/>
          <w:szCs w:val="21"/>
        </w:rPr>
        <w:t>数据采集功能</w:t>
      </w:r>
    </w:p>
    <w:p w14:paraId="09C040D7" w14:textId="7D275E8C" w:rsidR="00C36180" w:rsidRDefault="00C36180" w:rsidP="00C36180">
      <w:r>
        <w:rPr>
          <w:rFonts w:hint="eastAsia"/>
        </w:rPr>
        <w:t>1</w:t>
      </w:r>
      <w:r>
        <w:rPr>
          <w:rFonts w:hint="eastAsia"/>
        </w:rPr>
        <w:t>、</w:t>
      </w:r>
      <w:r>
        <w:rPr>
          <w:rFonts w:hint="eastAsia"/>
        </w:rPr>
        <w:t>采集器分别对挂接的传感器按预定的采样频率进行扫描，并将获得的电信号转换成数据信号。</w:t>
      </w:r>
    </w:p>
    <w:p w14:paraId="2F842703" w14:textId="07E94C21" w:rsidR="00C36180" w:rsidRDefault="00C36180" w:rsidP="00C36180">
      <w:r>
        <w:t>2</w:t>
      </w:r>
      <w:r>
        <w:rPr>
          <w:rFonts w:hint="eastAsia"/>
        </w:rPr>
        <w:t>、</w:t>
      </w:r>
      <w:r>
        <w:rPr>
          <w:rFonts w:hint="eastAsia"/>
        </w:rPr>
        <w:t>数据处理功能</w:t>
      </w:r>
    </w:p>
    <w:p w14:paraId="7BD96CB0" w14:textId="77777777" w:rsidR="00C36180" w:rsidRDefault="00C36180" w:rsidP="00C36180">
      <w:r>
        <w:rPr>
          <w:rFonts w:hint="eastAsia"/>
        </w:rPr>
        <w:t>将数据信号按规定的采样算法处理成符合格式要求的数据文件。文件包括：正点土壤水分测量数据文件、实时土壤水分测量数据文件。</w:t>
      </w:r>
    </w:p>
    <w:p w14:paraId="5F2B8A88" w14:textId="66238B9E" w:rsidR="00C36180" w:rsidRDefault="00C36180" w:rsidP="00C36180">
      <w:bookmarkStart w:id="0" w:name="_Ref460316468"/>
      <w:r>
        <w:t>3</w:t>
      </w:r>
      <w:r>
        <w:rPr>
          <w:rFonts w:hint="eastAsia"/>
        </w:rPr>
        <w:t>、</w:t>
      </w:r>
      <w:r>
        <w:rPr>
          <w:rFonts w:hint="eastAsia"/>
        </w:rPr>
        <w:t>数据存储功能</w:t>
      </w:r>
      <w:bookmarkEnd w:id="0"/>
    </w:p>
    <w:p w14:paraId="246E6125" w14:textId="77777777" w:rsidR="00C36180" w:rsidRDefault="00C36180" w:rsidP="00C36180">
      <w:r>
        <w:rPr>
          <w:rFonts w:hint="eastAsia"/>
        </w:rPr>
        <w:t>包括采集器内部的数据存储和采集器外围设备的数据存储。</w:t>
      </w:r>
    </w:p>
    <w:p w14:paraId="399184D6" w14:textId="77777777" w:rsidR="00C36180" w:rsidRDefault="00C36180" w:rsidP="00C36180">
      <w:pPr>
        <w:rPr>
          <w:bCs/>
        </w:rPr>
      </w:pPr>
      <w:r>
        <w:rPr>
          <w:rFonts w:hint="eastAsia"/>
        </w:rPr>
        <w:t>采集器内部的数据存储：</w:t>
      </w:r>
      <w:r>
        <w:rPr>
          <w:rFonts w:hint="eastAsia"/>
          <w:bCs/>
        </w:rPr>
        <w:t>采集器能够存储一个月的正点土壤水分体积含水量。采集器内部的数据存贮器具备掉电保存功能。</w:t>
      </w:r>
    </w:p>
    <w:p w14:paraId="1EA1C8A8" w14:textId="77777777" w:rsidR="00C36180" w:rsidRDefault="00C36180" w:rsidP="00C36180">
      <w:r>
        <w:rPr>
          <w:rFonts w:hint="eastAsia"/>
        </w:rPr>
        <w:t>外围设备的数据存储：在计算机的磁盘存储器中，存储正点土壤水分测量数据文件、实时土壤水分测量数据文件，包括经过处理的数据、人工输入数据、质量控制情况信息（内部管理数据）等。</w:t>
      </w:r>
    </w:p>
    <w:p w14:paraId="3F9B9060" w14:textId="55E19D94" w:rsidR="00C36180" w:rsidRDefault="00C36180" w:rsidP="00C36180">
      <w:bookmarkStart w:id="1" w:name="_Ref460316490"/>
      <w:r>
        <w:t>4</w:t>
      </w:r>
      <w:r>
        <w:rPr>
          <w:rFonts w:hint="eastAsia"/>
        </w:rPr>
        <w:t>、</w:t>
      </w:r>
      <w:r>
        <w:rPr>
          <w:rFonts w:hint="eastAsia"/>
        </w:rPr>
        <w:t>数据传输功能</w:t>
      </w:r>
      <w:bookmarkEnd w:id="1"/>
    </w:p>
    <w:p w14:paraId="4DFE8752" w14:textId="77777777" w:rsidR="00C36180" w:rsidRDefault="00C36180" w:rsidP="00C36180">
      <w:r>
        <w:rPr>
          <w:rFonts w:hint="eastAsia"/>
        </w:rPr>
        <w:t>采集器应把数据及时传输到终端。根据响应方式的不同，可分为以下两种：</w:t>
      </w:r>
    </w:p>
    <w:p w14:paraId="389A2377" w14:textId="77777777" w:rsidR="00C36180" w:rsidRDefault="00C36180" w:rsidP="00C36180">
      <w:pPr>
        <w:rPr>
          <w:bCs/>
        </w:rPr>
      </w:pPr>
      <w:r>
        <w:rPr>
          <w:rFonts w:hint="eastAsia"/>
          <w:bCs/>
        </w:rPr>
        <w:t>定时传输，在设定时间下的传输，即土壤水分自动监测仪器正常运行时的自动传输；</w:t>
      </w:r>
    </w:p>
    <w:p w14:paraId="0C4F5B6F" w14:textId="77777777" w:rsidR="00C36180" w:rsidRDefault="00C36180" w:rsidP="00C36180">
      <w:r>
        <w:rPr>
          <w:rFonts w:hint="eastAsia"/>
          <w:bCs/>
        </w:rPr>
        <w:t>响应终端命令的传输，</w:t>
      </w:r>
      <w:r>
        <w:rPr>
          <w:rFonts w:hint="eastAsia"/>
        </w:rPr>
        <w:t>即人工干预下的传输。这种情况下，往往还允许通过终端或远距离设备，对采集器进行控制，如更新程序、设置参数、测试调试等；</w:t>
      </w:r>
    </w:p>
    <w:p w14:paraId="5B736493" w14:textId="77777777" w:rsidR="00C36180" w:rsidRDefault="00C36180" w:rsidP="00C36180">
      <w:r>
        <w:rPr>
          <w:rFonts w:hint="eastAsia"/>
        </w:rPr>
        <w:t>土壤水分自动监测仪器同时具有以上两种传输方式。</w:t>
      </w:r>
    </w:p>
    <w:p w14:paraId="74E63E88" w14:textId="563D0908" w:rsidR="00C36180" w:rsidRDefault="00C36180" w:rsidP="00C36180">
      <w:r>
        <w:t>5</w:t>
      </w:r>
      <w:r>
        <w:rPr>
          <w:rFonts w:hint="eastAsia"/>
        </w:rPr>
        <w:t>、</w:t>
      </w:r>
      <w:r>
        <w:rPr>
          <w:rFonts w:hint="eastAsia"/>
        </w:rPr>
        <w:t>质量控制功能</w:t>
      </w:r>
    </w:p>
    <w:p w14:paraId="3FF9CD29" w14:textId="77777777" w:rsidR="00C36180" w:rsidRDefault="00C36180" w:rsidP="00C36180">
      <w:r>
        <w:rPr>
          <w:rFonts w:hint="eastAsia"/>
        </w:rPr>
        <w:t>采样值的质量控制</w:t>
      </w:r>
    </w:p>
    <w:p w14:paraId="6D406B25" w14:textId="77777777" w:rsidR="00C36180" w:rsidRDefault="00C36180" w:rsidP="00C36180">
      <w:r>
        <w:rPr>
          <w:rFonts w:hint="eastAsia"/>
        </w:rPr>
        <w:t>采样值合理性</w:t>
      </w:r>
      <w:r>
        <w:rPr>
          <w:rFonts w:hint="eastAsia"/>
        </w:rPr>
        <w:t>(</w:t>
      </w:r>
      <w:r>
        <w:rPr>
          <w:rFonts w:hint="eastAsia"/>
        </w:rPr>
        <w:t>粗大误差</w:t>
      </w:r>
      <w:r>
        <w:rPr>
          <w:rFonts w:hint="eastAsia"/>
        </w:rPr>
        <w:t>)</w:t>
      </w:r>
      <w:r>
        <w:rPr>
          <w:rFonts w:hint="eastAsia"/>
        </w:rPr>
        <w:t>检查，验证每次采样值在正常传感器测量范围内。土壤体积含水量的采样值大于</w:t>
      </w:r>
      <w:r>
        <w:rPr>
          <w:rFonts w:hint="eastAsia"/>
        </w:rPr>
        <w:t>60%,</w:t>
      </w:r>
      <w:r>
        <w:rPr>
          <w:rFonts w:hint="eastAsia"/>
        </w:rPr>
        <w:t>不参与平均值计算。</w:t>
      </w:r>
    </w:p>
    <w:p w14:paraId="5B5B4EB2" w14:textId="77777777" w:rsidR="00C36180" w:rsidRDefault="00C36180" w:rsidP="00C36180">
      <w:r>
        <w:rPr>
          <w:rFonts w:hint="eastAsia"/>
        </w:rPr>
        <w:t>测量值的质量控制</w:t>
      </w:r>
    </w:p>
    <w:p w14:paraId="58E6DE00" w14:textId="77777777" w:rsidR="00C36180" w:rsidRDefault="00C36180" w:rsidP="00C36180">
      <w:r>
        <w:rPr>
          <w:rFonts w:hint="eastAsia"/>
        </w:rPr>
        <w:t>①</w:t>
      </w:r>
      <w:r>
        <w:rPr>
          <w:rFonts w:hint="eastAsia"/>
        </w:rPr>
        <w:t xml:space="preserve"> </w:t>
      </w:r>
      <w:r>
        <w:rPr>
          <w:rFonts w:hint="eastAsia"/>
        </w:rPr>
        <w:t>测量值合理性检查</w:t>
      </w:r>
      <w:r>
        <w:rPr>
          <w:rFonts w:hint="eastAsia"/>
        </w:rPr>
        <w:t>:</w:t>
      </w:r>
      <w:r>
        <w:rPr>
          <w:rFonts w:hint="eastAsia"/>
        </w:rPr>
        <w:t>如果土壤体积含水量超出允许的界限</w:t>
      </w:r>
      <w:r>
        <w:rPr>
          <w:rFonts w:hint="eastAsia"/>
        </w:rPr>
        <w:t>(60%)</w:t>
      </w:r>
      <w:r>
        <w:rPr>
          <w:rFonts w:hint="eastAsia"/>
        </w:rPr>
        <w:t>，该值应标记成错误。</w:t>
      </w:r>
    </w:p>
    <w:p w14:paraId="2BDF8FF3" w14:textId="77777777" w:rsidR="00C36180" w:rsidRDefault="00C36180" w:rsidP="00C36180">
      <w:r>
        <w:rPr>
          <w:rFonts w:hint="eastAsia"/>
        </w:rPr>
        <w:t>②</w:t>
      </w:r>
      <w:r>
        <w:rPr>
          <w:rFonts w:hint="eastAsia"/>
        </w:rPr>
        <w:t xml:space="preserve"> </w:t>
      </w:r>
      <w:r>
        <w:rPr>
          <w:rFonts w:hint="eastAsia"/>
        </w:rPr>
        <w:t>测量</w:t>
      </w:r>
      <w:proofErr w:type="gramStart"/>
      <w:r>
        <w:rPr>
          <w:rFonts w:hint="eastAsia"/>
        </w:rPr>
        <w:t>值时间</w:t>
      </w:r>
      <w:proofErr w:type="gramEnd"/>
      <w:r>
        <w:rPr>
          <w:rFonts w:hint="eastAsia"/>
        </w:rPr>
        <w:t>一致性检查</w:t>
      </w:r>
      <w:r>
        <w:rPr>
          <w:rFonts w:hint="eastAsia"/>
        </w:rPr>
        <w:t>:</w:t>
      </w:r>
      <w:r>
        <w:rPr>
          <w:rFonts w:hint="eastAsia"/>
        </w:rPr>
        <w:t>验证瞬时值的变化率，可检测不真实的尖峰或跳变值，判断传感器是否损坏。</w:t>
      </w:r>
    </w:p>
    <w:p w14:paraId="3AA230F9" w14:textId="1D72EB0F" w:rsidR="00C36180" w:rsidRDefault="00C36180" w:rsidP="00C36180">
      <w:r>
        <w:t>6</w:t>
      </w:r>
      <w:r>
        <w:rPr>
          <w:rFonts w:hint="eastAsia"/>
        </w:rPr>
        <w:t>、</w:t>
      </w:r>
      <w:r>
        <w:rPr>
          <w:rFonts w:hint="eastAsia"/>
        </w:rPr>
        <w:t>监控功能</w:t>
      </w:r>
    </w:p>
    <w:p w14:paraId="7B3D962C" w14:textId="77777777" w:rsidR="00C36180" w:rsidRDefault="00C36180" w:rsidP="00C36180">
      <w:r>
        <w:rPr>
          <w:rFonts w:hint="eastAsia"/>
        </w:rPr>
        <w:t>采集</w:t>
      </w:r>
      <w:proofErr w:type="gramStart"/>
      <w:r>
        <w:rPr>
          <w:rFonts w:hint="eastAsia"/>
        </w:rPr>
        <w:t>器设置</w:t>
      </w:r>
      <w:proofErr w:type="gramEnd"/>
      <w:r>
        <w:rPr>
          <w:rFonts w:hint="eastAsia"/>
        </w:rPr>
        <w:t>自动监测关键部件运行状况的内置式装置，如电源故障监测器、看门狗计时器和用于监测电路某些部分的测试电路。现场可以通过键盘实现设置、读数、订正等功能。</w:t>
      </w:r>
    </w:p>
    <w:p w14:paraId="04B70E66" w14:textId="77777777" w:rsidR="00C36180" w:rsidRDefault="00C36180" w:rsidP="00C36180">
      <w:r>
        <w:rPr>
          <w:rFonts w:hint="eastAsia"/>
        </w:rPr>
        <w:lastRenderedPageBreak/>
        <w:t>配有相应的软件，可在终端自动显示状态信息，用于设备的运行控制和维护。</w:t>
      </w:r>
    </w:p>
    <w:p w14:paraId="7DB00EA1" w14:textId="77777777" w:rsidR="00C36180" w:rsidRDefault="00C36180" w:rsidP="00C36180">
      <w:r>
        <w:rPr>
          <w:rFonts w:hint="eastAsia"/>
        </w:rPr>
        <w:t>终端和采集器之间应建立完善的数据</w:t>
      </w:r>
      <w:proofErr w:type="gramStart"/>
      <w:r>
        <w:rPr>
          <w:rFonts w:hint="eastAsia"/>
        </w:rPr>
        <w:t>缺测检查</w:t>
      </w:r>
      <w:proofErr w:type="gramEnd"/>
      <w:r>
        <w:rPr>
          <w:rFonts w:hint="eastAsia"/>
        </w:rPr>
        <w:t>和补收机制。</w:t>
      </w:r>
    </w:p>
    <w:p w14:paraId="662E43CD" w14:textId="04BE9D35" w:rsidR="00C36180" w:rsidRDefault="00C36180" w:rsidP="00C36180">
      <w:r>
        <w:t>7</w:t>
      </w:r>
      <w:r>
        <w:rPr>
          <w:rFonts w:hint="eastAsia"/>
        </w:rPr>
        <w:t>、</w:t>
      </w:r>
      <w:r>
        <w:rPr>
          <w:rFonts w:hint="eastAsia"/>
        </w:rPr>
        <w:t>采集器的时钟管理功能</w:t>
      </w:r>
    </w:p>
    <w:p w14:paraId="17EBFF7E" w14:textId="77777777" w:rsidR="00C36180" w:rsidRDefault="00C36180" w:rsidP="00C36180">
      <w:r>
        <w:rPr>
          <w:rFonts w:hint="eastAsia"/>
        </w:rPr>
        <w:t>采集器提供高精度实时时钟，以采集器时钟为准，其准确度≤±</w:t>
      </w:r>
      <w:r>
        <w:rPr>
          <w:rFonts w:hint="eastAsia"/>
        </w:rPr>
        <w:t>15s</w:t>
      </w:r>
      <w:r>
        <w:rPr>
          <w:rFonts w:hint="eastAsia"/>
        </w:rPr>
        <w:t>月，定时与微机终端进行校时，确保系统内时间的同步。</w:t>
      </w:r>
    </w:p>
    <w:p w14:paraId="53B54D74" w14:textId="7892C653" w:rsidR="00C36180" w:rsidRDefault="00C36180" w:rsidP="00C36180">
      <w:bookmarkStart w:id="2" w:name="_Ref510966885"/>
      <w:r>
        <w:t>8</w:t>
      </w:r>
      <w:r>
        <w:rPr>
          <w:rFonts w:hint="eastAsia"/>
        </w:rPr>
        <w:t>、</w:t>
      </w:r>
      <w:r>
        <w:rPr>
          <w:rFonts w:hint="eastAsia"/>
        </w:rPr>
        <w:t>软件处理功能</w:t>
      </w:r>
      <w:bookmarkEnd w:id="2"/>
    </w:p>
    <w:p w14:paraId="6D693C52" w14:textId="77777777" w:rsidR="00C36180" w:rsidRDefault="00C36180" w:rsidP="00C36180">
      <w:r>
        <w:rPr>
          <w:rFonts w:hint="eastAsia"/>
          <w:bCs/>
        </w:rPr>
        <w:t>采集软件支持采集器的数据采集、数据处理、数据存储和数据传输功能。</w:t>
      </w:r>
      <w:r>
        <w:rPr>
          <w:rFonts w:hint="eastAsia"/>
        </w:rPr>
        <w:t>业务软件处理土壤水分观测业务，是安装在与土壤水分观测仪相连接的微机中的应用软件。数据上传格式与已建的土壤水分观测站兼容，完全符合本次招标要求。</w:t>
      </w:r>
    </w:p>
    <w:p w14:paraId="793C062E" w14:textId="35E9DC28" w:rsidR="00C36180" w:rsidRDefault="00C36180" w:rsidP="00C36180">
      <w:pPr>
        <w:pStyle w:val="1"/>
        <w:tabs>
          <w:tab w:val="left" w:pos="420"/>
        </w:tabs>
        <w:rPr>
          <w:rFonts w:asciiTheme="minorEastAsia" w:eastAsiaTheme="minorEastAsia" w:hAnsiTheme="minorEastAsia"/>
          <w:sz w:val="21"/>
          <w:szCs w:val="21"/>
        </w:rPr>
      </w:pPr>
      <w:bookmarkStart w:id="3" w:name="_Toc460315383"/>
      <w:bookmarkStart w:id="4" w:name="_Toc21566"/>
      <w:bookmarkStart w:id="5" w:name="_Toc510370040"/>
      <w:bookmarkStart w:id="6" w:name="_Toc511052350"/>
      <w:bookmarkStart w:id="7" w:name="_Toc7277"/>
      <w:bookmarkStart w:id="8" w:name="_Toc85293863"/>
      <w:r>
        <w:rPr>
          <w:rFonts w:asciiTheme="minorEastAsia" w:eastAsiaTheme="minorEastAsia" w:hAnsiTheme="minorEastAsia" w:hint="eastAsia"/>
          <w:sz w:val="21"/>
          <w:szCs w:val="21"/>
        </w:rPr>
        <w:t>二、</w:t>
      </w:r>
      <w:r>
        <w:rPr>
          <w:rFonts w:asciiTheme="minorEastAsia" w:eastAsiaTheme="minorEastAsia" w:hAnsiTheme="minorEastAsia" w:hint="eastAsia"/>
          <w:sz w:val="21"/>
          <w:szCs w:val="21"/>
        </w:rPr>
        <w:t>测量技术参数</w:t>
      </w:r>
      <w:bookmarkEnd w:id="3"/>
      <w:bookmarkEnd w:id="4"/>
      <w:bookmarkEnd w:id="5"/>
      <w:bookmarkEnd w:id="6"/>
      <w:bookmarkEnd w:id="7"/>
      <w:bookmarkEnd w:id="8"/>
    </w:p>
    <w:p w14:paraId="0EC5FE3D" w14:textId="197EE44C" w:rsidR="00C36180" w:rsidRDefault="00C36180" w:rsidP="00C36180">
      <w:r>
        <w:t>1</w:t>
      </w:r>
      <w:r>
        <w:rPr>
          <w:rFonts w:hint="eastAsia"/>
        </w:rPr>
        <w:t>、</w:t>
      </w:r>
      <w:r>
        <w:rPr>
          <w:rFonts w:hint="eastAsia"/>
        </w:rPr>
        <w:t>测量的土壤体积含水量</w:t>
      </w:r>
    </w:p>
    <w:p w14:paraId="5CB71072" w14:textId="77777777" w:rsidR="00C36180" w:rsidRDefault="00C36180" w:rsidP="00C36180">
      <w:r>
        <w:rPr>
          <w:rFonts w:hint="eastAsia"/>
        </w:rPr>
        <w:t>基本观测项目为土壤体积含水量，选用的主要传感器为：介电常数式土壤水分传感器。</w:t>
      </w:r>
    </w:p>
    <w:p w14:paraId="75FEDEA5" w14:textId="03AB6F61" w:rsidR="00C36180" w:rsidRDefault="00C36180" w:rsidP="00C36180">
      <w:r>
        <w:t>2</w:t>
      </w:r>
      <w:r>
        <w:rPr>
          <w:rFonts w:hint="eastAsia"/>
        </w:rPr>
        <w:t>、</w:t>
      </w:r>
      <w:r>
        <w:rPr>
          <w:rFonts w:hint="eastAsia"/>
        </w:rPr>
        <w:t>测量性能要求</w:t>
      </w:r>
    </w:p>
    <w:p w14:paraId="4DB05C19" w14:textId="77777777" w:rsidR="00C36180" w:rsidRDefault="00C36180" w:rsidP="00C36180">
      <w:r>
        <w:rPr>
          <w:rFonts w:hint="eastAsia"/>
        </w:rPr>
        <w:t>土壤水分探测仪的测量性能遵循《农业气象观测规范》和其他相关规范的要求。重复性误差要求小于</w:t>
      </w:r>
      <w:r>
        <w:rPr>
          <w:rFonts w:hint="eastAsia"/>
        </w:rPr>
        <w:t>0.5%</w:t>
      </w:r>
      <w:r>
        <w:rPr>
          <w:rFonts w:hint="eastAsia"/>
        </w:rPr>
        <w:t>，测量性能要求见下表</w:t>
      </w:r>
      <w:r>
        <w:rPr>
          <w:rFonts w:hint="eastAsia"/>
        </w:rPr>
        <w:t>1</w:t>
      </w:r>
      <w:r>
        <w:t>2.</w:t>
      </w:r>
      <w:r>
        <w:rPr>
          <w:rFonts w:hint="eastAsia"/>
        </w:rPr>
        <w:t>2-1</w:t>
      </w:r>
      <w:r>
        <w:rPr>
          <w:rFonts w:hint="eastAsia"/>
        </w:rPr>
        <w:t>，其中最大允许误差为仪器观测土壤相对湿度与人工观测土壤相对湿度之差为±</w:t>
      </w:r>
      <w:r>
        <w:rPr>
          <w:rFonts w:hint="eastAsia"/>
        </w:rPr>
        <w:t>4%</w:t>
      </w:r>
      <w:r>
        <w:rPr>
          <w:rFonts w:hint="eastAsia"/>
        </w:rPr>
        <w:t>。</w:t>
      </w:r>
    </w:p>
    <w:p w14:paraId="01CA042D" w14:textId="4AAC229C" w:rsidR="00C36180" w:rsidRDefault="00C36180" w:rsidP="00C36180">
      <w:r>
        <w:rPr>
          <w:rFonts w:hint="eastAsia"/>
        </w:rPr>
        <w:t>3</w:t>
      </w:r>
      <w:r>
        <w:rPr>
          <w:rFonts w:hint="eastAsia"/>
        </w:rPr>
        <w:t>、</w:t>
      </w:r>
      <w:r>
        <w:rPr>
          <w:rFonts w:hint="eastAsia"/>
        </w:rPr>
        <w:t>测量性</w:t>
      </w:r>
      <w:bookmarkStart w:id="9" w:name="准确度指标"/>
      <w:bookmarkEnd w:id="9"/>
      <w:r>
        <w:rPr>
          <w:rFonts w:hint="eastAsia"/>
        </w:rPr>
        <w:t>能要求</w:t>
      </w: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064"/>
        <w:gridCol w:w="1230"/>
        <w:gridCol w:w="1530"/>
        <w:gridCol w:w="1126"/>
        <w:gridCol w:w="1574"/>
      </w:tblGrid>
      <w:tr w:rsidR="00C36180" w14:paraId="1D4CEDD1" w14:textId="77777777" w:rsidTr="00C0723E">
        <w:trPr>
          <w:jc w:val="center"/>
        </w:trPr>
        <w:tc>
          <w:tcPr>
            <w:tcW w:w="1774" w:type="dxa"/>
            <w:vAlign w:val="center"/>
          </w:tcPr>
          <w:p w14:paraId="3E0EE4B3" w14:textId="77777777" w:rsidR="00C36180" w:rsidRDefault="00C36180" w:rsidP="00C36180">
            <w:r>
              <w:rPr>
                <w:rFonts w:hint="eastAsia"/>
              </w:rPr>
              <w:t>测量要素</w:t>
            </w:r>
          </w:p>
        </w:tc>
        <w:tc>
          <w:tcPr>
            <w:tcW w:w="1064" w:type="dxa"/>
            <w:vAlign w:val="center"/>
          </w:tcPr>
          <w:p w14:paraId="5C688344" w14:textId="77777777" w:rsidR="00C36180" w:rsidRDefault="00C36180" w:rsidP="00C36180">
            <w:proofErr w:type="gramStart"/>
            <w:r>
              <w:rPr>
                <w:rFonts w:hint="eastAsia"/>
              </w:rPr>
              <w:t>范</w:t>
            </w:r>
            <w:proofErr w:type="gramEnd"/>
            <w:r>
              <w:rPr>
                <w:rFonts w:hint="eastAsia"/>
              </w:rPr>
              <w:t xml:space="preserve"> </w:t>
            </w:r>
            <w:r>
              <w:rPr>
                <w:rFonts w:hint="eastAsia"/>
              </w:rPr>
              <w:t>围</w:t>
            </w:r>
          </w:p>
        </w:tc>
        <w:tc>
          <w:tcPr>
            <w:tcW w:w="1230" w:type="dxa"/>
            <w:vAlign w:val="center"/>
          </w:tcPr>
          <w:p w14:paraId="3080A930" w14:textId="77777777" w:rsidR="00C36180" w:rsidRDefault="00C36180" w:rsidP="00C36180">
            <w:r>
              <w:rPr>
                <w:rFonts w:hint="eastAsia"/>
              </w:rPr>
              <w:t>分辨力</w:t>
            </w:r>
          </w:p>
        </w:tc>
        <w:tc>
          <w:tcPr>
            <w:tcW w:w="1530" w:type="dxa"/>
            <w:vAlign w:val="center"/>
          </w:tcPr>
          <w:p w14:paraId="52E755FA" w14:textId="77777777" w:rsidR="00C36180" w:rsidRDefault="00C36180" w:rsidP="00C36180">
            <w:r>
              <w:rPr>
                <w:rFonts w:hint="eastAsia"/>
              </w:rPr>
              <w:t>相对湿度最大允许误差</w:t>
            </w:r>
          </w:p>
        </w:tc>
        <w:tc>
          <w:tcPr>
            <w:tcW w:w="1126" w:type="dxa"/>
            <w:vAlign w:val="center"/>
          </w:tcPr>
          <w:p w14:paraId="0FDA32DD" w14:textId="77777777" w:rsidR="00C36180" w:rsidRDefault="00C36180" w:rsidP="00C36180">
            <w:r>
              <w:rPr>
                <w:rFonts w:hint="eastAsia"/>
              </w:rPr>
              <w:t>采样频率</w:t>
            </w:r>
          </w:p>
        </w:tc>
        <w:tc>
          <w:tcPr>
            <w:tcW w:w="1574" w:type="dxa"/>
            <w:vAlign w:val="center"/>
          </w:tcPr>
          <w:p w14:paraId="40DDEFFF" w14:textId="77777777" w:rsidR="00C36180" w:rsidRDefault="00C36180" w:rsidP="00C36180">
            <w:r>
              <w:rPr>
                <w:rFonts w:hint="eastAsia"/>
              </w:rPr>
              <w:t>计算平均时间</w:t>
            </w:r>
          </w:p>
        </w:tc>
      </w:tr>
      <w:tr w:rsidR="00C36180" w14:paraId="272B1DB2" w14:textId="77777777" w:rsidTr="00C0723E">
        <w:trPr>
          <w:jc w:val="center"/>
        </w:trPr>
        <w:tc>
          <w:tcPr>
            <w:tcW w:w="1774" w:type="dxa"/>
          </w:tcPr>
          <w:p w14:paraId="2B4C3F26" w14:textId="77777777" w:rsidR="00C36180" w:rsidRDefault="00C36180" w:rsidP="00C36180">
            <w:pPr>
              <w:rPr>
                <w:b/>
              </w:rPr>
            </w:pPr>
            <w:r>
              <w:rPr>
                <w:rFonts w:hint="eastAsia"/>
                <w:b/>
              </w:rPr>
              <w:t>土壤体积含水量</w:t>
            </w:r>
          </w:p>
        </w:tc>
        <w:tc>
          <w:tcPr>
            <w:tcW w:w="1064" w:type="dxa"/>
          </w:tcPr>
          <w:p w14:paraId="271F4E94" w14:textId="77777777" w:rsidR="00C36180" w:rsidRDefault="00C36180" w:rsidP="00C36180">
            <w:pPr>
              <w:rPr>
                <w:b/>
              </w:rPr>
            </w:pPr>
            <w:r>
              <w:rPr>
                <w:rFonts w:hint="eastAsia"/>
                <w:b/>
              </w:rPr>
              <w:t>0%</w:t>
            </w:r>
            <w:r>
              <w:rPr>
                <w:rFonts w:hint="eastAsia"/>
                <w:b/>
              </w:rPr>
              <w:t>～</w:t>
            </w:r>
            <w:r>
              <w:rPr>
                <w:rFonts w:hint="eastAsia"/>
                <w:b/>
              </w:rPr>
              <w:t>100%</w:t>
            </w:r>
          </w:p>
        </w:tc>
        <w:tc>
          <w:tcPr>
            <w:tcW w:w="1230" w:type="dxa"/>
          </w:tcPr>
          <w:p w14:paraId="771638F6" w14:textId="77777777" w:rsidR="00C36180" w:rsidRDefault="00C36180" w:rsidP="00C36180">
            <w:pPr>
              <w:rPr>
                <w:b/>
              </w:rPr>
            </w:pPr>
            <w:r>
              <w:rPr>
                <w:rFonts w:hint="eastAsia"/>
                <w:b/>
              </w:rPr>
              <w:t>0.1%</w:t>
            </w:r>
          </w:p>
        </w:tc>
        <w:tc>
          <w:tcPr>
            <w:tcW w:w="1530" w:type="dxa"/>
          </w:tcPr>
          <w:p w14:paraId="2A943439" w14:textId="77777777" w:rsidR="00C36180" w:rsidRDefault="00C36180" w:rsidP="00C36180">
            <w:pPr>
              <w:rPr>
                <w:b/>
              </w:rPr>
            </w:pPr>
            <w:r>
              <w:rPr>
                <w:rFonts w:hint="eastAsia"/>
                <w:b/>
              </w:rPr>
              <w:t>±</w:t>
            </w:r>
            <w:r>
              <w:rPr>
                <w:rFonts w:hint="eastAsia"/>
                <w:b/>
              </w:rPr>
              <w:t>2%</w:t>
            </w:r>
          </w:p>
        </w:tc>
        <w:tc>
          <w:tcPr>
            <w:tcW w:w="1126" w:type="dxa"/>
          </w:tcPr>
          <w:p w14:paraId="12A4361E" w14:textId="77777777" w:rsidR="00C36180" w:rsidRDefault="00C36180" w:rsidP="00C36180">
            <w:pPr>
              <w:rPr>
                <w:b/>
              </w:rPr>
            </w:pPr>
            <w:r>
              <w:rPr>
                <w:rFonts w:hint="eastAsia"/>
                <w:b/>
              </w:rPr>
              <w:t>1</w:t>
            </w:r>
            <w:r>
              <w:rPr>
                <w:rFonts w:hint="eastAsia"/>
                <w:b/>
              </w:rPr>
              <w:t>次</w:t>
            </w:r>
            <w:r>
              <w:rPr>
                <w:b/>
              </w:rPr>
              <w:t>/</w:t>
            </w:r>
            <w:r>
              <w:rPr>
                <w:rFonts w:hint="eastAsia"/>
                <w:b/>
              </w:rPr>
              <w:t>分</w:t>
            </w:r>
          </w:p>
        </w:tc>
        <w:tc>
          <w:tcPr>
            <w:tcW w:w="1574" w:type="dxa"/>
          </w:tcPr>
          <w:p w14:paraId="40BCD458" w14:textId="77777777" w:rsidR="00C36180" w:rsidRDefault="00C36180" w:rsidP="00C36180">
            <w:pPr>
              <w:rPr>
                <w:b/>
              </w:rPr>
            </w:pPr>
            <w:r>
              <w:rPr>
                <w:rFonts w:hint="eastAsia"/>
                <w:b/>
              </w:rPr>
              <w:t>10min</w:t>
            </w:r>
          </w:p>
        </w:tc>
      </w:tr>
    </w:tbl>
    <w:p w14:paraId="0A94E83A" w14:textId="3ED32DE9" w:rsidR="00C36180" w:rsidRDefault="00C36180" w:rsidP="00C36180">
      <w:r>
        <w:t>4</w:t>
      </w:r>
      <w:r>
        <w:rPr>
          <w:rFonts w:hint="eastAsia"/>
        </w:rPr>
        <w:t>、</w:t>
      </w:r>
      <w:r>
        <w:rPr>
          <w:rFonts w:hint="eastAsia"/>
        </w:rPr>
        <w:t>采样和算法</w:t>
      </w:r>
    </w:p>
    <w:p w14:paraId="0D9DA3A2" w14:textId="77777777" w:rsidR="00C36180" w:rsidRDefault="00C36180" w:rsidP="00C36180">
      <w:r>
        <w:rPr>
          <w:rFonts w:hint="eastAsia"/>
        </w:rPr>
        <w:t>土壤体积含水量观测值计算方法</w:t>
      </w:r>
    </w:p>
    <w:p w14:paraId="739B37EB" w14:textId="77777777" w:rsidR="00C36180" w:rsidRDefault="00C36180" w:rsidP="00C36180">
      <w:r>
        <w:rPr>
          <w:rFonts w:hint="eastAsia"/>
        </w:rPr>
        <w:t>计算土壤体积含水量，需每分钟采集样本，取</w:t>
      </w:r>
      <w:r>
        <w:rPr>
          <w:rFonts w:hint="eastAsia"/>
        </w:rPr>
        <w:t>10</w:t>
      </w:r>
      <w:r>
        <w:rPr>
          <w:rFonts w:hint="eastAsia"/>
        </w:rPr>
        <w:t>分钟内</w:t>
      </w:r>
      <w:r>
        <w:rPr>
          <w:rFonts w:hint="eastAsia"/>
        </w:rPr>
        <w:t>10</w:t>
      </w:r>
      <w:r>
        <w:rPr>
          <w:rFonts w:hint="eastAsia"/>
        </w:rPr>
        <w:t>个采样值，按采样值质量控制程序要求对每次采样做质量控制后求平均值，此</w:t>
      </w:r>
      <w:r>
        <w:rPr>
          <w:rFonts w:hint="eastAsia"/>
        </w:rPr>
        <w:t>10</w:t>
      </w:r>
      <w:r>
        <w:rPr>
          <w:rFonts w:hint="eastAsia"/>
        </w:rPr>
        <w:t>分钟平均值为该观测要素的观测值。</w:t>
      </w:r>
    </w:p>
    <w:p w14:paraId="24BD29CF" w14:textId="77777777" w:rsidR="00C36180" w:rsidRDefault="00C36180" w:rsidP="00C36180">
      <w:r>
        <w:rPr>
          <w:rFonts w:hint="eastAsia"/>
        </w:rPr>
        <w:t>测量单位</w:t>
      </w:r>
    </w:p>
    <w:p w14:paraId="07F9B25C" w14:textId="77777777" w:rsidR="00C36180" w:rsidRDefault="00C36180" w:rsidP="00C36180">
      <w:r>
        <w:rPr>
          <w:rFonts w:hint="eastAsia"/>
        </w:rPr>
        <w:t>土壤体积含水量（</w:t>
      </w:r>
      <w:r>
        <w:rPr>
          <w:rFonts w:hint="eastAsia"/>
        </w:rPr>
        <w:t>%</w:t>
      </w:r>
      <w:r>
        <w:rPr>
          <w:rFonts w:hint="eastAsia"/>
        </w:rPr>
        <w:t>），保留一位小数；</w:t>
      </w:r>
    </w:p>
    <w:p w14:paraId="113C23D4" w14:textId="7CA83E1D" w:rsidR="00C36180" w:rsidRDefault="00C36180" w:rsidP="00C36180">
      <w:r>
        <w:t>5</w:t>
      </w:r>
      <w:r>
        <w:rPr>
          <w:rFonts w:hint="eastAsia"/>
        </w:rPr>
        <w:t>、</w:t>
      </w:r>
      <w:r>
        <w:rPr>
          <w:rFonts w:hint="eastAsia"/>
        </w:rPr>
        <w:t>导出量</w:t>
      </w:r>
    </w:p>
    <w:p w14:paraId="4B373C87" w14:textId="77777777" w:rsidR="00C36180" w:rsidRDefault="00C36180" w:rsidP="00C36180">
      <w:r>
        <w:rPr>
          <w:rFonts w:hint="eastAsia"/>
        </w:rPr>
        <w:t>导出量的计算按照《自动土壤水分观测规范》中的规定，微机终端根据体积含水量及土壤参数计算土壤重量含水率、相对湿度、有效水分储存量。</w:t>
      </w:r>
    </w:p>
    <w:p w14:paraId="2119EFF2" w14:textId="77777777" w:rsidR="00C36180" w:rsidRDefault="00C36180" w:rsidP="00C36180">
      <w:bookmarkStart w:id="10" w:name="_Toc510370041"/>
      <w:bookmarkStart w:id="11" w:name="_Ref422761164"/>
      <w:bookmarkStart w:id="12" w:name="_Toc16754"/>
      <w:bookmarkStart w:id="13" w:name="_Toc12745"/>
      <w:bookmarkStart w:id="14" w:name="_Toc460315384"/>
      <w:bookmarkStart w:id="15" w:name="_Toc511052351"/>
      <w:bookmarkStart w:id="16" w:name="_Toc85293864"/>
      <w:r>
        <w:rPr>
          <w:rFonts w:hint="eastAsia"/>
        </w:rPr>
        <w:t>传感器技术参数</w:t>
      </w:r>
      <w:bookmarkEnd w:id="10"/>
      <w:bookmarkEnd w:id="11"/>
      <w:bookmarkEnd w:id="12"/>
      <w:bookmarkEnd w:id="13"/>
      <w:bookmarkEnd w:id="14"/>
      <w:bookmarkEnd w:id="15"/>
      <w:bookmarkEnd w:id="16"/>
    </w:p>
    <w:p w14:paraId="7B16D5C7" w14:textId="5A6D9587" w:rsidR="00C36180" w:rsidRDefault="00C36180" w:rsidP="00C36180">
      <w:r>
        <w:rPr>
          <w:rFonts w:hint="eastAsia"/>
        </w:rPr>
        <w:t>6</w:t>
      </w:r>
      <w:r>
        <w:rPr>
          <w:rFonts w:hint="eastAsia"/>
        </w:rPr>
        <w:t>、</w:t>
      </w:r>
      <w:r>
        <w:rPr>
          <w:rFonts w:hint="eastAsia"/>
        </w:rPr>
        <w:t>土壤水分传感器应满足以下指标技术参数：</w:t>
      </w:r>
    </w:p>
    <w:p w14:paraId="36141C58" w14:textId="77777777" w:rsidR="00C36180" w:rsidRPr="00C36180" w:rsidRDefault="00C36180" w:rsidP="00C36180">
      <w:r w:rsidRPr="00C36180">
        <w:rPr>
          <w:rFonts w:hint="eastAsia"/>
        </w:rPr>
        <w:t>测量土壤水分范围：</w:t>
      </w:r>
      <w:r w:rsidRPr="00C36180">
        <w:rPr>
          <w:rFonts w:hint="eastAsia"/>
        </w:rPr>
        <w:t xml:space="preserve">0-100% </w:t>
      </w:r>
    </w:p>
    <w:p w14:paraId="3C9028EC" w14:textId="77777777" w:rsidR="00C36180" w:rsidRPr="00C36180" w:rsidRDefault="00C36180" w:rsidP="00C36180">
      <w:r w:rsidRPr="00C36180">
        <w:rPr>
          <w:rFonts w:hint="eastAsia"/>
        </w:rPr>
        <w:t>工作温度范围：</w:t>
      </w:r>
      <w:r w:rsidRPr="00C36180">
        <w:rPr>
          <w:rFonts w:hint="eastAsia"/>
        </w:rPr>
        <w:t>0</w:t>
      </w:r>
      <w:r w:rsidRPr="00C36180">
        <w:rPr>
          <w:rFonts w:hint="eastAsia"/>
        </w:rPr>
        <w:t>－</w:t>
      </w:r>
      <w:r w:rsidRPr="00C36180">
        <w:rPr>
          <w:rFonts w:hint="eastAsia"/>
        </w:rPr>
        <w:t>60</w:t>
      </w:r>
      <w:r w:rsidRPr="00C36180">
        <w:rPr>
          <w:rFonts w:hint="eastAsia"/>
        </w:rPr>
        <w:t>℃</w:t>
      </w:r>
      <w:r w:rsidRPr="00C36180">
        <w:rPr>
          <w:rFonts w:hint="eastAsia"/>
        </w:rPr>
        <w:t xml:space="preserve"> </w:t>
      </w:r>
    </w:p>
    <w:p w14:paraId="017EAE1F" w14:textId="77777777" w:rsidR="00C36180" w:rsidRPr="00C36180" w:rsidRDefault="00C36180" w:rsidP="00C36180">
      <w:r w:rsidRPr="00C36180">
        <w:rPr>
          <w:rFonts w:hint="eastAsia"/>
        </w:rPr>
        <w:t>电源：</w:t>
      </w:r>
      <w:r w:rsidRPr="00C36180">
        <w:rPr>
          <w:rFonts w:hint="eastAsia"/>
        </w:rPr>
        <w:t xml:space="preserve">DC12V </w:t>
      </w:r>
    </w:p>
    <w:p w14:paraId="73EA7A34" w14:textId="77777777" w:rsidR="00C36180" w:rsidRPr="00C36180" w:rsidRDefault="00C36180" w:rsidP="00C36180">
      <w:r w:rsidRPr="00C36180">
        <w:rPr>
          <w:rFonts w:hint="eastAsia"/>
        </w:rPr>
        <w:t>输出：模拟量、数字量</w:t>
      </w:r>
      <w:r w:rsidRPr="00C36180">
        <w:rPr>
          <w:rFonts w:hint="eastAsia"/>
        </w:rPr>
        <w:t xml:space="preserve"> </w:t>
      </w:r>
    </w:p>
    <w:p w14:paraId="055F1DC6" w14:textId="77777777" w:rsidR="00C36180" w:rsidRPr="00C36180" w:rsidRDefault="00C36180" w:rsidP="00C36180">
      <w:r w:rsidRPr="00C36180">
        <w:rPr>
          <w:rFonts w:hint="eastAsia"/>
        </w:rPr>
        <w:t>分辨率：</w:t>
      </w:r>
      <w:r w:rsidRPr="00C36180">
        <w:rPr>
          <w:rFonts w:hint="eastAsia"/>
        </w:rPr>
        <w:t>0.1%</w:t>
      </w:r>
    </w:p>
    <w:p w14:paraId="2D05DDC4" w14:textId="2231D26D" w:rsidR="00C36180" w:rsidRDefault="00C36180" w:rsidP="00C36180">
      <w:pPr>
        <w:pStyle w:val="1"/>
        <w:numPr>
          <w:ilvl w:val="0"/>
          <w:numId w:val="4"/>
        </w:numPr>
        <w:tabs>
          <w:tab w:val="left" w:pos="420"/>
        </w:tabs>
        <w:rPr>
          <w:rFonts w:asciiTheme="minorEastAsia" w:eastAsiaTheme="minorEastAsia" w:hAnsiTheme="minorEastAsia"/>
          <w:sz w:val="21"/>
          <w:szCs w:val="21"/>
        </w:rPr>
      </w:pPr>
      <w:bookmarkStart w:id="17" w:name="_Toc21561"/>
      <w:bookmarkStart w:id="18" w:name="_Toc511052352"/>
      <w:bookmarkStart w:id="19" w:name="_Toc460315385"/>
      <w:bookmarkStart w:id="20" w:name="_Ref422760548"/>
      <w:bookmarkStart w:id="21" w:name="_Toc510370042"/>
      <w:bookmarkStart w:id="22" w:name="_Toc860"/>
      <w:bookmarkStart w:id="23" w:name="_Toc85293865"/>
      <w:r>
        <w:rPr>
          <w:rFonts w:asciiTheme="minorEastAsia" w:eastAsiaTheme="minorEastAsia" w:hAnsiTheme="minorEastAsia" w:hint="eastAsia"/>
          <w:sz w:val="21"/>
          <w:szCs w:val="21"/>
        </w:rPr>
        <w:t>供电电源技术参数</w:t>
      </w:r>
      <w:bookmarkEnd w:id="17"/>
      <w:bookmarkEnd w:id="18"/>
      <w:bookmarkEnd w:id="19"/>
      <w:bookmarkEnd w:id="20"/>
      <w:bookmarkEnd w:id="21"/>
      <w:bookmarkEnd w:id="22"/>
      <w:bookmarkEnd w:id="23"/>
    </w:p>
    <w:p w14:paraId="551981D1" w14:textId="7D059191" w:rsidR="00C36180" w:rsidRDefault="00C36180" w:rsidP="00C36180">
      <w:r>
        <w:t>1</w:t>
      </w:r>
      <w:r>
        <w:rPr>
          <w:rFonts w:hint="eastAsia"/>
        </w:rPr>
        <w:t>、</w:t>
      </w:r>
      <w:r>
        <w:rPr>
          <w:rFonts w:hint="eastAsia"/>
        </w:rPr>
        <w:t>交流电源供电技术参数</w:t>
      </w:r>
    </w:p>
    <w:p w14:paraId="4E96120E" w14:textId="77777777" w:rsidR="00C36180" w:rsidRDefault="00C36180" w:rsidP="00C36180">
      <w:r>
        <w:rPr>
          <w:rFonts w:hint="eastAsia"/>
        </w:rPr>
        <w:t>交流供电</w:t>
      </w:r>
      <w:r>
        <w:rPr>
          <w:rFonts w:hint="eastAsia"/>
        </w:rPr>
        <w:t>AC220V</w:t>
      </w:r>
      <w:r>
        <w:rPr>
          <w:rFonts w:hint="eastAsia"/>
        </w:rPr>
        <w:t>（＋</w:t>
      </w:r>
      <w:r>
        <w:rPr>
          <w:rFonts w:hint="eastAsia"/>
        </w:rPr>
        <w:t>10%</w:t>
      </w:r>
      <w:r>
        <w:rPr>
          <w:rFonts w:hint="eastAsia"/>
        </w:rPr>
        <w:t>～</w:t>
      </w:r>
      <w:r>
        <w:rPr>
          <w:rFonts w:hint="eastAsia"/>
        </w:rPr>
        <w:t>-15</w:t>
      </w:r>
      <w:r>
        <w:rPr>
          <w:rFonts w:hint="eastAsia"/>
        </w:rPr>
        <w:t>％）；</w:t>
      </w:r>
    </w:p>
    <w:p w14:paraId="6E3F88D6" w14:textId="77777777" w:rsidR="00C36180" w:rsidRDefault="00C36180" w:rsidP="00C36180">
      <w:r>
        <w:rPr>
          <w:rFonts w:hint="eastAsia"/>
        </w:rPr>
        <w:t>直流</w:t>
      </w:r>
      <w:r>
        <w:rPr>
          <w:rFonts w:hint="eastAsia"/>
        </w:rPr>
        <w:t>DC12V</w:t>
      </w:r>
      <w:r>
        <w:rPr>
          <w:rFonts w:hint="eastAsia"/>
        </w:rPr>
        <w:t>；</w:t>
      </w:r>
    </w:p>
    <w:p w14:paraId="16716D36" w14:textId="77777777" w:rsidR="00C36180" w:rsidRDefault="00C36180" w:rsidP="00C36180">
      <w:r>
        <w:rPr>
          <w:rFonts w:hint="eastAsia"/>
        </w:rPr>
        <w:t>后备蓄电池，可保证传感器及采集器在无交流电源下</w:t>
      </w:r>
      <w:r>
        <w:rPr>
          <w:rFonts w:hint="eastAsia"/>
        </w:rPr>
        <w:t>15</w:t>
      </w:r>
      <w:r>
        <w:rPr>
          <w:rFonts w:hint="eastAsia"/>
        </w:rPr>
        <w:t>天正常工作；</w:t>
      </w:r>
    </w:p>
    <w:p w14:paraId="187760A6" w14:textId="77777777" w:rsidR="00C36180" w:rsidRDefault="00C36180" w:rsidP="00C36180">
      <w:r>
        <w:rPr>
          <w:rFonts w:hint="eastAsia"/>
        </w:rPr>
        <w:t>数据采集器在交流供电中断后应仍能保存所有的数据，即使在蓄电池电压低到不足以维持符合质量要求的观测工作时，在中断的交流电源恢复后，系统应能自动恢复正常工作。</w:t>
      </w:r>
    </w:p>
    <w:p w14:paraId="36C38457" w14:textId="44C7AFF3" w:rsidR="00C36180" w:rsidRDefault="00C36180" w:rsidP="00C36180">
      <w:bookmarkStart w:id="24" w:name="_Ref422760556"/>
      <w:r>
        <w:t>2</w:t>
      </w:r>
      <w:r>
        <w:rPr>
          <w:rFonts w:hint="eastAsia"/>
        </w:rPr>
        <w:t>、</w:t>
      </w:r>
      <w:r>
        <w:rPr>
          <w:rFonts w:hint="eastAsia"/>
        </w:rPr>
        <w:t>太阳能电源供电要求</w:t>
      </w:r>
      <w:bookmarkEnd w:id="24"/>
    </w:p>
    <w:p w14:paraId="05B8D4C0" w14:textId="77777777" w:rsidR="00C36180" w:rsidRDefault="00C36180" w:rsidP="00C36180">
      <w:r>
        <w:rPr>
          <w:rFonts w:hint="eastAsia"/>
        </w:rPr>
        <w:t>当安装地点没有交流电源或电源不理想时，可选择太阳能供电。太阳能供电电源以</w:t>
      </w:r>
      <w:proofErr w:type="gramStart"/>
      <w:r>
        <w:rPr>
          <w:rFonts w:hint="eastAsia"/>
        </w:rPr>
        <w:t>太阳能浮冲蓄电池</w:t>
      </w:r>
      <w:proofErr w:type="gramEnd"/>
      <w:r>
        <w:rPr>
          <w:rFonts w:hint="eastAsia"/>
        </w:rPr>
        <w:t>方式供电，主要由太阳能板蓄电池充电供电控制器组成。</w:t>
      </w:r>
    </w:p>
    <w:p w14:paraId="1EC686BE" w14:textId="77777777" w:rsidR="00C36180" w:rsidRDefault="00C36180" w:rsidP="00C36180">
      <w:pPr>
        <w:rPr>
          <w:spacing w:val="-2"/>
        </w:rPr>
      </w:pPr>
      <w:r>
        <w:rPr>
          <w:rFonts w:hint="eastAsia"/>
        </w:rPr>
        <w:t>主要工作方式：</w:t>
      </w:r>
      <w:r>
        <w:rPr>
          <w:rFonts w:hint="eastAsia"/>
          <w:spacing w:val="-2"/>
        </w:rPr>
        <w:t>当有太阳能供电时，由充电控制器为系统供电，并为蓄电池充电；当无太阳能供电时，由蓄电池为系统供电，当太阳能恢复供电时，充电控制器为蓄电池充电，直至充满。</w:t>
      </w:r>
    </w:p>
    <w:p w14:paraId="412BFB51" w14:textId="77777777" w:rsidR="00C36180" w:rsidRDefault="00C36180" w:rsidP="00C36180">
      <w:r>
        <w:rPr>
          <w:rFonts w:hint="eastAsia"/>
        </w:rPr>
        <w:t>根据系统功耗和使用环境选用太阳能电池板，充电供电器，免维护铅酸蓄电池以保证在极端恶劣天气（如高温、低温和最长连续阴雨</w:t>
      </w:r>
      <w:r>
        <w:rPr>
          <w:rFonts w:hint="eastAsia"/>
        </w:rPr>
        <w:t>15</w:t>
      </w:r>
      <w:r>
        <w:rPr>
          <w:rFonts w:hint="eastAsia"/>
        </w:rPr>
        <w:t>天）能维持正常工作。</w:t>
      </w:r>
    </w:p>
    <w:p w14:paraId="4F553987" w14:textId="77777777" w:rsidR="00C36180" w:rsidRDefault="00C36180" w:rsidP="00C36180">
      <w:r>
        <w:rPr>
          <w:rFonts w:hint="eastAsia"/>
        </w:rPr>
        <w:t>太阳能充电控制器用于为免维护铅酸蓄电池自动充电。采用带温度补偿的三阶段的充电方式，即强充电</w:t>
      </w:r>
      <w:r>
        <w:rPr>
          <w:rFonts w:hint="eastAsia"/>
        </w:rPr>
        <w:t>-</w:t>
      </w:r>
      <w:r>
        <w:rPr>
          <w:rFonts w:hint="eastAsia"/>
        </w:rPr>
        <w:t>均衡充电</w:t>
      </w:r>
      <w:r>
        <w:rPr>
          <w:rFonts w:hint="eastAsia"/>
        </w:rPr>
        <w:t>-</w:t>
      </w:r>
      <w:r>
        <w:rPr>
          <w:rFonts w:hint="eastAsia"/>
        </w:rPr>
        <w:t>浮充电，由脉冲宽度调节。</w:t>
      </w:r>
    </w:p>
    <w:p w14:paraId="138CC77D" w14:textId="77777777" w:rsidR="00C36180" w:rsidRDefault="00C36180" w:rsidP="00C36180">
      <w:r>
        <w:rPr>
          <w:rFonts w:hint="eastAsia"/>
        </w:rPr>
        <w:t>主要技术参数</w:t>
      </w:r>
      <w:r>
        <w:rPr>
          <w:rFonts w:hint="eastAsia"/>
        </w:rPr>
        <w:t>:</w:t>
      </w:r>
    </w:p>
    <w:p w14:paraId="1ACDB8EA" w14:textId="77777777" w:rsidR="00C36180" w:rsidRDefault="00C36180" w:rsidP="00C36180">
      <w:r>
        <w:rPr>
          <w:rFonts w:cs="仿宋" w:hint="eastAsia"/>
        </w:rPr>
        <w:t>额定输入电压：</w:t>
      </w:r>
      <w:r>
        <w:rPr>
          <w:rFonts w:hint="eastAsia"/>
        </w:rPr>
        <w:t>DC 12V</w:t>
      </w:r>
    </w:p>
    <w:p w14:paraId="613BACD1" w14:textId="77777777" w:rsidR="00C36180" w:rsidRDefault="00C36180" w:rsidP="00C36180">
      <w:r>
        <w:rPr>
          <w:rFonts w:cs="仿宋" w:hint="eastAsia"/>
        </w:rPr>
        <w:t>最大电池板电流：</w:t>
      </w:r>
      <w:r>
        <w:rPr>
          <w:rFonts w:hint="eastAsia"/>
        </w:rPr>
        <w:t>10A</w:t>
      </w:r>
    </w:p>
    <w:p w14:paraId="4961B687" w14:textId="77777777" w:rsidR="00C36180" w:rsidRDefault="00C36180" w:rsidP="00C36180">
      <w:r>
        <w:rPr>
          <w:rFonts w:cs="仿宋" w:hint="eastAsia"/>
        </w:rPr>
        <w:t>最大负载电流：</w:t>
      </w:r>
      <w:r>
        <w:rPr>
          <w:rFonts w:cs="仿宋" w:hint="eastAsia"/>
        </w:rPr>
        <w:t>10</w:t>
      </w:r>
      <w:r>
        <w:rPr>
          <w:rFonts w:hint="eastAsia"/>
        </w:rPr>
        <w:t>A</w:t>
      </w:r>
    </w:p>
    <w:p w14:paraId="44A42266" w14:textId="77777777" w:rsidR="00C36180" w:rsidRDefault="00C36180" w:rsidP="00C36180">
      <w:r>
        <w:rPr>
          <w:rFonts w:cs="仿宋" w:hint="eastAsia"/>
        </w:rPr>
        <w:t>最大自消耗电流：</w:t>
      </w:r>
      <w:r>
        <w:rPr>
          <w:rFonts w:hint="eastAsia"/>
        </w:rPr>
        <w:t>4mA</w:t>
      </w:r>
    </w:p>
    <w:p w14:paraId="67C87639" w14:textId="77777777" w:rsidR="00C36180" w:rsidRDefault="00C36180" w:rsidP="00C36180">
      <w:r>
        <w:rPr>
          <w:rFonts w:cs="仿宋" w:hint="eastAsia"/>
        </w:rPr>
        <w:t>过放电断路电压：</w:t>
      </w:r>
      <w:r>
        <w:rPr>
          <w:rFonts w:hint="eastAsia"/>
        </w:rPr>
        <w:t xml:space="preserve"> </w:t>
      </w:r>
      <w:r>
        <w:rPr>
          <w:rFonts w:hint="eastAsia"/>
        </w:rPr>
        <w:t>持续：</w:t>
      </w:r>
      <w:r>
        <w:rPr>
          <w:rFonts w:hint="eastAsia"/>
        </w:rPr>
        <w:t xml:space="preserve">11.1V    </w:t>
      </w:r>
      <w:r>
        <w:rPr>
          <w:rFonts w:hint="eastAsia"/>
        </w:rPr>
        <w:t>再接通：</w:t>
      </w:r>
      <w:r>
        <w:rPr>
          <w:rFonts w:hint="eastAsia"/>
        </w:rPr>
        <w:t>12.6V</w:t>
      </w:r>
    </w:p>
    <w:p w14:paraId="106C5A60" w14:textId="77777777" w:rsidR="00C36180" w:rsidRDefault="00C36180" w:rsidP="00C36180">
      <w:r>
        <w:rPr>
          <w:rFonts w:cs="仿宋" w:hint="eastAsia"/>
        </w:rPr>
        <w:t>温度补偿：</w:t>
      </w:r>
      <w:r>
        <w:rPr>
          <w:rFonts w:hint="eastAsia"/>
        </w:rPr>
        <w:t xml:space="preserve">  -3m/K/cell</w:t>
      </w:r>
    </w:p>
    <w:p w14:paraId="7101B472" w14:textId="77777777" w:rsidR="00804AB8" w:rsidRDefault="00804AB8" w:rsidP="00C36180"/>
    <w:sectPr w:rsidR="00804A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4DA2" w14:textId="77777777" w:rsidR="00C035E3" w:rsidRDefault="00C035E3" w:rsidP="00C36180">
      <w:pPr>
        <w:spacing w:line="240" w:lineRule="auto"/>
      </w:pPr>
      <w:r>
        <w:separator/>
      </w:r>
    </w:p>
  </w:endnote>
  <w:endnote w:type="continuationSeparator" w:id="0">
    <w:p w14:paraId="5DFBE968" w14:textId="77777777" w:rsidR="00C035E3" w:rsidRDefault="00C035E3" w:rsidP="00C36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65B2" w14:textId="77777777" w:rsidR="00C035E3" w:rsidRDefault="00C035E3" w:rsidP="00C36180">
      <w:pPr>
        <w:spacing w:line="240" w:lineRule="auto"/>
      </w:pPr>
      <w:r>
        <w:separator/>
      </w:r>
    </w:p>
  </w:footnote>
  <w:footnote w:type="continuationSeparator" w:id="0">
    <w:p w14:paraId="51F8904B" w14:textId="77777777" w:rsidR="00C035E3" w:rsidRDefault="00C035E3" w:rsidP="00C361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65AC"/>
    <w:multiLevelType w:val="multilevel"/>
    <w:tmpl w:val="1F0365A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47CA52DC"/>
    <w:multiLevelType w:val="multilevel"/>
    <w:tmpl w:val="47CA52DC"/>
    <w:lvl w:ilvl="0">
      <w:start w:val="1"/>
      <w:numFmt w:val="decimal"/>
      <w:suff w:val="nothing"/>
      <w:lvlText w:val="%1."/>
      <w:lvlJc w:val="left"/>
      <w:pPr>
        <w:tabs>
          <w:tab w:val="left" w:pos="420"/>
        </w:tabs>
        <w:ind w:left="432" w:hanging="432"/>
      </w:pPr>
      <w:rPr>
        <w:rFonts w:hint="default"/>
      </w:rPr>
    </w:lvl>
    <w:lvl w:ilvl="1">
      <w:start w:val="1"/>
      <w:numFmt w:val="decimal"/>
      <w:lvlText w:val="%1.%2."/>
      <w:lvlJc w:val="left"/>
      <w:pPr>
        <w:ind w:left="575" w:hanging="575"/>
      </w:pPr>
      <w:rPr>
        <w:rFonts w:ascii="宋体" w:eastAsia="宋体" w:hAnsi="宋体" w:cs="宋体" w:hint="default"/>
      </w:rPr>
    </w:lvl>
    <w:lvl w:ilvl="2">
      <w:start w:val="1"/>
      <w:numFmt w:val="decimal"/>
      <w:suff w:val="nothing"/>
      <w:lvlText w:val="%1.%2.%3."/>
      <w:lvlJc w:val="left"/>
      <w:pPr>
        <w:tabs>
          <w:tab w:val="left" w:pos="420"/>
        </w:tabs>
        <w:ind w:left="720" w:hanging="720"/>
      </w:pPr>
      <w:rPr>
        <w:rFonts w:ascii="宋体" w:eastAsia="宋体" w:hAnsi="宋体" w:cs="宋体" w:hint="default"/>
      </w:rPr>
    </w:lvl>
    <w:lvl w:ilvl="3">
      <w:start w:val="1"/>
      <w:numFmt w:val="decimal"/>
      <w:lvlText w:val="%1.%2.%3.%4."/>
      <w:lvlJc w:val="left"/>
      <w:pPr>
        <w:tabs>
          <w:tab w:val="left" w:pos="420"/>
        </w:tabs>
        <w:ind w:left="864" w:hanging="864"/>
      </w:pPr>
      <w:rPr>
        <w:rFonts w:ascii="宋体" w:eastAsia="宋体" w:hAnsi="宋体" w:cs="宋体" w:hint="default"/>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1" w:hanging="1151"/>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6ABC0FA4"/>
    <w:multiLevelType w:val="hybridMultilevel"/>
    <w:tmpl w:val="AA1C8968"/>
    <w:lvl w:ilvl="0" w:tplc="6E089DF0">
      <w:start w:val="3"/>
      <w:numFmt w:val="japaneseCounting"/>
      <w:lvlText w:val="%1、"/>
      <w:lvlJc w:val="left"/>
      <w:pPr>
        <w:ind w:left="450" w:hanging="45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5C44A6"/>
    <w:multiLevelType w:val="multilevel"/>
    <w:tmpl w:val="705C44A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668141025">
    <w:abstractNumId w:val="1"/>
  </w:num>
  <w:num w:numId="2" w16cid:durableId="1047988936">
    <w:abstractNumId w:val="0"/>
  </w:num>
  <w:num w:numId="3" w16cid:durableId="1218593529">
    <w:abstractNumId w:val="3"/>
  </w:num>
  <w:num w:numId="4" w16cid:durableId="1815490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C6"/>
    <w:rsid w:val="007334C6"/>
    <w:rsid w:val="00804AB8"/>
    <w:rsid w:val="00C035E3"/>
    <w:rsid w:val="00C3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400E"/>
  <w15:chartTrackingRefBased/>
  <w15:docId w15:val="{C48343FE-0938-425F-83FB-4E71B7B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36180"/>
    <w:pPr>
      <w:widowControl w:val="0"/>
      <w:spacing w:line="360" w:lineRule="auto"/>
    </w:pPr>
    <w:rPr>
      <w:rFonts w:eastAsia="宋体" w:cs="宋体"/>
      <w:szCs w:val="21"/>
    </w:rPr>
  </w:style>
  <w:style w:type="paragraph" w:styleId="1">
    <w:name w:val="heading 1"/>
    <w:basedOn w:val="a"/>
    <w:next w:val="a"/>
    <w:link w:val="10"/>
    <w:qFormat/>
    <w:rsid w:val="00C36180"/>
    <w:pPr>
      <w:keepNext/>
      <w:keepLines/>
      <w:spacing w:line="480" w:lineRule="auto"/>
      <w:outlineLvl w:val="0"/>
    </w:pPr>
    <w:rPr>
      <w:rFonts w:cs="Times New Roman"/>
      <w:b/>
      <w:bCs/>
      <w:kern w:val="44"/>
      <w:sz w:val="32"/>
      <w:szCs w:val="44"/>
    </w:rPr>
  </w:style>
  <w:style w:type="paragraph" w:styleId="4">
    <w:name w:val="heading 4"/>
    <w:basedOn w:val="a"/>
    <w:next w:val="a"/>
    <w:link w:val="40"/>
    <w:semiHidden/>
    <w:unhideWhenUsed/>
    <w:qFormat/>
    <w:rsid w:val="00C36180"/>
    <w:pPr>
      <w:keepNext/>
      <w:keepLines/>
      <w:outlineLvl w:val="3"/>
    </w:pPr>
    <w:rPr>
      <w:rFonts w:ascii="Arial" w:eastAsia="黑体" w:hAnsi="Arial"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61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6180"/>
    <w:rPr>
      <w:sz w:val="18"/>
      <w:szCs w:val="18"/>
    </w:rPr>
  </w:style>
  <w:style w:type="paragraph" w:styleId="a6">
    <w:name w:val="footer"/>
    <w:basedOn w:val="a"/>
    <w:link w:val="a7"/>
    <w:uiPriority w:val="99"/>
    <w:unhideWhenUsed/>
    <w:rsid w:val="00C36180"/>
    <w:pPr>
      <w:tabs>
        <w:tab w:val="center" w:pos="4153"/>
        <w:tab w:val="right" w:pos="8306"/>
      </w:tabs>
      <w:snapToGrid w:val="0"/>
    </w:pPr>
    <w:rPr>
      <w:sz w:val="18"/>
      <w:szCs w:val="18"/>
    </w:rPr>
  </w:style>
  <w:style w:type="character" w:customStyle="1" w:styleId="a7">
    <w:name w:val="页脚 字符"/>
    <w:basedOn w:val="a1"/>
    <w:link w:val="a6"/>
    <w:uiPriority w:val="99"/>
    <w:rsid w:val="00C36180"/>
    <w:rPr>
      <w:sz w:val="18"/>
      <w:szCs w:val="18"/>
    </w:rPr>
  </w:style>
  <w:style w:type="character" w:customStyle="1" w:styleId="10">
    <w:name w:val="标题 1 字符"/>
    <w:basedOn w:val="a1"/>
    <w:link w:val="1"/>
    <w:qFormat/>
    <w:rsid w:val="00C36180"/>
    <w:rPr>
      <w:rFonts w:eastAsia="宋体" w:cs="Times New Roman"/>
      <w:b/>
      <w:bCs/>
      <w:kern w:val="44"/>
      <w:sz w:val="32"/>
      <w:szCs w:val="44"/>
    </w:rPr>
  </w:style>
  <w:style w:type="character" w:customStyle="1" w:styleId="40">
    <w:name w:val="标题 4 字符"/>
    <w:basedOn w:val="a1"/>
    <w:link w:val="4"/>
    <w:semiHidden/>
    <w:qFormat/>
    <w:rsid w:val="00C36180"/>
    <w:rPr>
      <w:rFonts w:ascii="Arial" w:eastAsia="黑体" w:hAnsi="Arial" w:cs="Times New Roman"/>
      <w:b/>
      <w:bCs/>
      <w:kern w:val="0"/>
      <w:szCs w:val="28"/>
    </w:rPr>
  </w:style>
  <w:style w:type="paragraph" w:styleId="a0">
    <w:name w:val="Body Text"/>
    <w:basedOn w:val="a"/>
    <w:link w:val="a8"/>
    <w:uiPriority w:val="99"/>
    <w:semiHidden/>
    <w:unhideWhenUsed/>
    <w:rsid w:val="00C36180"/>
    <w:pPr>
      <w:spacing w:after="120"/>
    </w:pPr>
  </w:style>
  <w:style w:type="character" w:customStyle="1" w:styleId="a8">
    <w:name w:val="正文文本 字符"/>
    <w:basedOn w:val="a1"/>
    <w:link w:val="a0"/>
    <w:uiPriority w:val="99"/>
    <w:semiHidden/>
    <w:rsid w:val="00C36180"/>
    <w:rPr>
      <w:rFonts w:eastAsia="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dc:creator>
  <cp:keywords/>
  <dc:description/>
  <cp:lastModifiedBy>wangx</cp:lastModifiedBy>
  <cp:revision>2</cp:revision>
  <dcterms:created xsi:type="dcterms:W3CDTF">2022-11-03T07:25:00Z</dcterms:created>
  <dcterms:modified xsi:type="dcterms:W3CDTF">2022-11-03T07:30:00Z</dcterms:modified>
</cp:coreProperties>
</file>