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color w:val="auto"/>
          <w:sz w:val="36"/>
          <w:szCs w:val="44"/>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JRZC-2022072</w:t>
      </w:r>
    </w:p>
    <w:p>
      <w:pPr>
        <w:spacing w:line="240" w:lineRule="auto"/>
        <w:rPr>
          <w:rFonts w:hint="eastAsia" w:ascii="仿宋" w:hAnsi="仿宋" w:eastAsia="仿宋" w:cs="仿宋"/>
          <w:b/>
          <w:bCs/>
          <w:color w:val="auto"/>
          <w:sz w:val="28"/>
          <w:szCs w:val="28"/>
          <w:highlight w:val="none"/>
        </w:rPr>
      </w:pPr>
    </w:p>
    <w:p>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pPr>
        <w:pStyle w:val="11"/>
        <w:ind w:left="0" w:leftChars="0"/>
        <w:jc w:val="center"/>
        <w:rPr>
          <w:rFonts w:hint="eastAsia" w:ascii="仿宋" w:hAnsi="仿宋" w:eastAsia="仿宋" w:cs="仿宋"/>
          <w:b/>
          <w:bCs/>
          <w:color w:val="auto"/>
          <w:sz w:val="52"/>
          <w:szCs w:val="52"/>
          <w:highlight w:val="none"/>
          <w:lang w:eastAsia="zh-CN"/>
        </w:rPr>
      </w:pPr>
      <w:bookmarkStart w:id="30" w:name="_GoBack"/>
      <w:r>
        <w:rPr>
          <w:rFonts w:hint="eastAsia" w:ascii="仿宋" w:hAnsi="仿宋" w:eastAsia="仿宋" w:cs="仿宋"/>
          <w:b/>
          <w:bCs/>
          <w:color w:val="auto"/>
          <w:sz w:val="52"/>
          <w:szCs w:val="52"/>
          <w:highlight w:val="none"/>
          <w:lang w:eastAsia="zh-CN"/>
        </w:rPr>
        <w:t>延安中学远程互动教室采购项目（二次）</w:t>
      </w:r>
    </w:p>
    <w:bookmarkEnd w:id="30"/>
    <w:p>
      <w:pPr>
        <w:pStyle w:val="11"/>
        <w:ind w:left="0" w:leftChars="0"/>
        <w:rPr>
          <w:rFonts w:hint="eastAsia" w:ascii="仿宋" w:hAnsi="仿宋" w:eastAsia="仿宋" w:cs="仿宋"/>
          <w:color w:val="auto"/>
          <w:highlight w:val="none"/>
        </w:rPr>
      </w:pPr>
    </w:p>
    <w:p>
      <w:pPr>
        <w:pStyle w:val="11"/>
        <w:ind w:left="0" w:leftChars="0"/>
        <w:rPr>
          <w:rFonts w:hint="eastAsia" w:ascii="仿宋" w:hAnsi="仿宋" w:eastAsia="仿宋" w:cs="仿宋"/>
          <w:color w:val="auto"/>
          <w:highlight w:val="none"/>
        </w:rPr>
      </w:pPr>
    </w:p>
    <w:p>
      <w:pPr>
        <w:jc w:val="center"/>
        <w:rPr>
          <w:rFonts w:hint="eastAsia" w:ascii="仿宋" w:hAnsi="仿宋" w:eastAsia="仿宋" w:cs="仿宋"/>
          <w:bCs/>
          <w:color w:val="auto"/>
          <w:sz w:val="72"/>
          <w:szCs w:val="72"/>
          <w:highlight w:val="none"/>
        </w:rPr>
      </w:pPr>
    </w:p>
    <w:p>
      <w:pPr>
        <w:jc w:val="center"/>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rPr>
        <w:t>招标文件</w:t>
      </w:r>
    </w:p>
    <w:p>
      <w:pPr>
        <w:pStyle w:val="11"/>
        <w:ind w:left="0" w:leftChars="0"/>
        <w:rPr>
          <w:rFonts w:hint="eastAsia" w:ascii="仿宋" w:hAnsi="仿宋" w:eastAsia="仿宋" w:cs="仿宋"/>
          <w:color w:val="auto"/>
          <w:highlight w:val="none"/>
        </w:rPr>
      </w:pPr>
    </w:p>
    <w:p>
      <w:pPr>
        <w:pStyle w:val="11"/>
        <w:ind w:left="0" w:leftChars="0"/>
        <w:rPr>
          <w:rFonts w:hint="eastAsia" w:ascii="仿宋" w:hAnsi="仿宋" w:eastAsia="仿宋" w:cs="仿宋"/>
          <w:color w:val="auto"/>
          <w:highlight w:val="none"/>
        </w:rPr>
      </w:pPr>
    </w:p>
    <w:p>
      <w:pPr>
        <w:pStyle w:val="11"/>
        <w:spacing w:after="0" w:line="240" w:lineRule="auto"/>
        <w:ind w:left="0" w:leftChars="0"/>
        <w:rPr>
          <w:rFonts w:hint="eastAsia" w:ascii="仿宋" w:hAnsi="仿宋" w:eastAsia="仿宋" w:cs="仿宋"/>
          <w:color w:val="auto"/>
          <w:highlight w:val="none"/>
        </w:rPr>
      </w:pPr>
    </w:p>
    <w:p>
      <w:pPr>
        <w:pStyle w:val="11"/>
        <w:spacing w:after="0" w:line="240" w:lineRule="auto"/>
        <w:ind w:left="0" w:leftChars="0"/>
        <w:rPr>
          <w:rFonts w:hint="eastAsia" w:ascii="仿宋" w:hAnsi="仿宋" w:eastAsia="仿宋" w:cs="仿宋"/>
          <w:color w:val="auto"/>
          <w:highlight w:val="none"/>
        </w:rPr>
      </w:pPr>
    </w:p>
    <w:p>
      <w:pPr>
        <w:pStyle w:val="11"/>
        <w:spacing w:after="0" w:line="240" w:lineRule="auto"/>
        <w:ind w:left="0" w:leftChars="0"/>
        <w:rPr>
          <w:rFonts w:hint="eastAsia" w:ascii="仿宋" w:hAnsi="仿宋" w:eastAsia="仿宋" w:cs="仿宋"/>
          <w:color w:val="auto"/>
          <w:highlight w:val="none"/>
        </w:rPr>
      </w:pPr>
    </w:p>
    <w:p>
      <w:pPr>
        <w:pStyle w:val="11"/>
        <w:spacing w:after="0" w:line="240" w:lineRule="auto"/>
        <w:ind w:left="0" w:leftChars="0"/>
        <w:rPr>
          <w:rFonts w:hint="eastAsia" w:ascii="仿宋" w:hAnsi="仿宋" w:eastAsia="仿宋" w:cs="仿宋"/>
          <w:color w:val="auto"/>
          <w:highlight w:val="none"/>
        </w:rPr>
      </w:pPr>
    </w:p>
    <w:p>
      <w:pPr>
        <w:pStyle w:val="11"/>
        <w:spacing w:after="0" w:line="240" w:lineRule="auto"/>
        <w:ind w:left="0" w:leftChars="0"/>
        <w:rPr>
          <w:rFonts w:hint="eastAsia" w:ascii="仿宋" w:hAnsi="仿宋" w:eastAsia="仿宋" w:cs="仿宋"/>
          <w:color w:val="auto"/>
          <w:highlight w:val="none"/>
        </w:rPr>
      </w:pPr>
    </w:p>
    <w:p>
      <w:pPr>
        <w:pStyle w:val="11"/>
        <w:ind w:left="0" w:leftChars="0" w:firstLine="1405" w:firstLineChars="500"/>
        <w:rPr>
          <w:rFonts w:hint="eastAsia" w:ascii="仿宋" w:hAnsi="仿宋" w:eastAsia="仿宋" w:cs="仿宋"/>
          <w:b/>
          <w:bCs/>
          <w:color w:val="auto"/>
          <w:sz w:val="28"/>
          <w:szCs w:val="36"/>
          <w:highlight w:val="none"/>
        </w:rPr>
      </w:pPr>
    </w:p>
    <w:p>
      <w:pPr>
        <w:pStyle w:val="11"/>
        <w:ind w:firstLine="1084" w:firstLineChars="300"/>
        <w:rPr>
          <w:rFonts w:hint="eastAsia" w:ascii="仿宋" w:hAnsi="仿宋" w:eastAsia="仿宋" w:cs="仿宋"/>
          <w:b/>
          <w:bCs/>
          <w:color w:val="auto"/>
          <w:sz w:val="36"/>
          <w:szCs w:val="44"/>
          <w:highlight w:val="none"/>
          <w:lang w:eastAsia="zh-CN"/>
        </w:rPr>
      </w:pPr>
      <w:r>
        <w:rPr>
          <w:rFonts w:hint="eastAsia" w:ascii="仿宋" w:hAnsi="仿宋" w:eastAsia="仿宋" w:cs="仿宋"/>
          <w:b/>
          <w:bCs/>
          <w:color w:val="auto"/>
          <w:sz w:val="36"/>
          <w:szCs w:val="44"/>
          <w:highlight w:val="none"/>
        </w:rPr>
        <w:t xml:space="preserve">采 </w:t>
      </w:r>
      <w:r>
        <w:rPr>
          <w:rFonts w:hint="eastAsia" w:ascii="仿宋" w:hAnsi="仿宋" w:eastAsia="仿宋" w:cs="仿宋"/>
          <w:b/>
          <w:bCs/>
          <w:color w:val="auto"/>
          <w:sz w:val="36"/>
          <w:szCs w:val="44"/>
          <w:highlight w:val="none"/>
          <w:lang w:val="en-US" w:eastAsia="zh-CN"/>
        </w:rPr>
        <w:t xml:space="preserve"> </w:t>
      </w:r>
      <w:r>
        <w:rPr>
          <w:rFonts w:hint="eastAsia" w:ascii="仿宋" w:hAnsi="仿宋" w:eastAsia="仿宋" w:cs="仿宋"/>
          <w:b/>
          <w:bCs/>
          <w:color w:val="auto"/>
          <w:sz w:val="36"/>
          <w:szCs w:val="44"/>
          <w:highlight w:val="none"/>
        </w:rPr>
        <w:t xml:space="preserve"> 购</w:t>
      </w:r>
      <w:r>
        <w:rPr>
          <w:rFonts w:hint="eastAsia" w:ascii="仿宋" w:hAnsi="仿宋" w:eastAsia="仿宋" w:cs="仿宋"/>
          <w:b/>
          <w:bCs/>
          <w:color w:val="auto"/>
          <w:sz w:val="36"/>
          <w:szCs w:val="44"/>
          <w:highlight w:val="none"/>
          <w:lang w:val="en-US" w:eastAsia="zh-CN"/>
        </w:rPr>
        <w:t xml:space="preserve"> </w:t>
      </w:r>
      <w:r>
        <w:rPr>
          <w:rFonts w:hint="eastAsia" w:ascii="仿宋" w:hAnsi="仿宋" w:eastAsia="仿宋" w:cs="仿宋"/>
          <w:b/>
          <w:bCs/>
          <w:color w:val="auto"/>
          <w:sz w:val="36"/>
          <w:szCs w:val="44"/>
          <w:highlight w:val="none"/>
        </w:rPr>
        <w:t xml:space="preserve">  人：</w:t>
      </w:r>
      <w:r>
        <w:rPr>
          <w:rFonts w:hint="eastAsia" w:ascii="仿宋" w:hAnsi="仿宋" w:eastAsia="仿宋" w:cs="仿宋"/>
          <w:b/>
          <w:bCs/>
          <w:color w:val="auto"/>
          <w:sz w:val="36"/>
          <w:szCs w:val="44"/>
          <w:highlight w:val="none"/>
          <w:lang w:eastAsia="zh-CN"/>
        </w:rPr>
        <w:t>陕西延安中学</w:t>
      </w:r>
    </w:p>
    <w:p>
      <w:pPr>
        <w:pStyle w:val="11"/>
        <w:ind w:left="0" w:leftChars="0" w:firstLine="1446" w:firstLineChars="400"/>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采购代理机构：</w:t>
      </w:r>
      <w:r>
        <w:rPr>
          <w:rFonts w:hint="eastAsia" w:ascii="仿宋" w:hAnsi="仿宋" w:eastAsia="仿宋" w:cs="仿宋"/>
          <w:b/>
          <w:bCs/>
          <w:color w:val="auto"/>
          <w:sz w:val="36"/>
          <w:szCs w:val="44"/>
          <w:highlight w:val="none"/>
          <w:lang w:eastAsia="zh-CN"/>
        </w:rPr>
        <w:t>陕西炬荣招标代理有限公司</w:t>
      </w:r>
      <w:r>
        <w:rPr>
          <w:rFonts w:hint="eastAsia" w:ascii="仿宋" w:hAnsi="仿宋" w:eastAsia="仿宋" w:cs="仿宋"/>
          <w:b/>
          <w:bCs/>
          <w:color w:val="auto"/>
          <w:sz w:val="36"/>
          <w:szCs w:val="44"/>
          <w:highlight w:val="none"/>
        </w:rPr>
        <w:t xml:space="preserve"> </w:t>
      </w:r>
    </w:p>
    <w:p>
      <w:pPr>
        <w:jc w:val="center"/>
        <w:rPr>
          <w:rFonts w:hint="eastAsia"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rPr>
        <w:t>2022年0</w:t>
      </w:r>
      <w:r>
        <w:rPr>
          <w:rFonts w:hint="eastAsia" w:ascii="仿宋" w:hAnsi="仿宋" w:eastAsia="仿宋" w:cs="仿宋"/>
          <w:b/>
          <w:bCs/>
          <w:color w:val="auto"/>
          <w:sz w:val="36"/>
          <w:szCs w:val="44"/>
          <w:highlight w:val="none"/>
          <w:lang w:val="en-US" w:eastAsia="zh-CN"/>
        </w:rPr>
        <w:t>8</w:t>
      </w:r>
      <w:r>
        <w:rPr>
          <w:rFonts w:hint="eastAsia" w:ascii="仿宋" w:hAnsi="仿宋" w:eastAsia="仿宋" w:cs="仿宋"/>
          <w:b/>
          <w:bCs/>
          <w:color w:val="auto"/>
          <w:sz w:val="36"/>
          <w:szCs w:val="44"/>
          <w:highlight w:val="none"/>
        </w:rPr>
        <w:t>月</w:t>
      </w:r>
    </w:p>
    <w:p>
      <w:pPr>
        <w:pStyle w:val="3"/>
        <w:rPr>
          <w:rFonts w:hint="eastAsia" w:ascii="仿宋" w:hAnsi="仿宋" w:eastAsia="仿宋" w:cs="仿宋"/>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986" w:bottom="1418" w:left="1440" w:header="851" w:footer="992" w:gutter="0"/>
          <w:pgBorders>
            <w:top w:val="none" w:sz="0" w:space="0"/>
            <w:left w:val="none" w:sz="0" w:space="0"/>
            <w:bottom w:val="none" w:sz="0" w:space="0"/>
            <w:right w:val="none" w:sz="0" w:space="0"/>
          </w:pgBorders>
          <w:pgNumType w:fmt="numberInDash" w:start="1"/>
          <w:cols w:space="720" w:num="1"/>
          <w:titlePg/>
          <w:docGrid w:linePitch="326" w:charSpace="0"/>
        </w:sectPr>
      </w:pPr>
    </w:p>
    <w:p>
      <w:pPr>
        <w:pStyle w:val="3"/>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pPr>
        <w:ind w:firstLine="420"/>
        <w:rPr>
          <w:rFonts w:hint="eastAsia" w:ascii="仿宋" w:hAnsi="仿宋" w:eastAsia="仿宋" w:cs="仿宋"/>
          <w:color w:val="auto"/>
          <w:highlight w:val="none"/>
        </w:rPr>
      </w:pPr>
    </w:p>
    <w:p>
      <w:pPr>
        <w:spacing w:line="60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第一部分  招标公告 </w:t>
      </w:r>
    </w:p>
    <w:p>
      <w:pPr>
        <w:spacing w:line="60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第二部分  投标人须知</w:t>
      </w:r>
    </w:p>
    <w:p>
      <w:pPr>
        <w:spacing w:line="60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第三部分  招标内容及参数要求 </w:t>
      </w:r>
    </w:p>
    <w:p>
      <w:pPr>
        <w:spacing w:line="600" w:lineRule="auto"/>
        <w:ind w:firstLine="643"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2"/>
          <w:szCs w:val="32"/>
          <w:highlight w:val="none"/>
        </w:rPr>
        <w:t>第四部分 合同主要条款</w:t>
      </w:r>
    </w:p>
    <w:p>
      <w:pPr>
        <w:spacing w:line="600" w:lineRule="auto"/>
        <w:ind w:firstLine="602" w:firstLineChars="20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第五部分  投标文件格式    </w:t>
      </w:r>
    </w:p>
    <w:p>
      <w:pPr>
        <w:spacing w:line="480" w:lineRule="auto"/>
        <w:ind w:firstLine="602" w:firstLineChars="200"/>
        <w:rPr>
          <w:rFonts w:hint="eastAsia" w:ascii="仿宋" w:hAnsi="仿宋" w:eastAsia="仿宋" w:cs="仿宋"/>
          <w:b/>
          <w:color w:val="auto"/>
          <w:sz w:val="30"/>
          <w:szCs w:val="30"/>
          <w:highlight w:val="none"/>
        </w:rPr>
      </w:pPr>
    </w:p>
    <w:p>
      <w:pPr>
        <w:spacing w:line="480" w:lineRule="auto"/>
        <w:ind w:firstLine="602" w:firstLineChars="200"/>
        <w:rPr>
          <w:rFonts w:hint="eastAsia" w:ascii="仿宋" w:hAnsi="仿宋" w:eastAsia="仿宋" w:cs="仿宋"/>
          <w:b/>
          <w:color w:val="auto"/>
          <w:sz w:val="30"/>
          <w:szCs w:val="30"/>
          <w:highlight w:val="none"/>
        </w:rPr>
      </w:pPr>
    </w:p>
    <w:p>
      <w:pPr>
        <w:spacing w:line="480" w:lineRule="auto"/>
        <w:ind w:firstLine="602" w:firstLineChars="200"/>
        <w:rPr>
          <w:rFonts w:hint="eastAsia" w:ascii="仿宋" w:hAnsi="仿宋" w:eastAsia="仿宋" w:cs="仿宋"/>
          <w:b/>
          <w:color w:val="auto"/>
          <w:sz w:val="30"/>
          <w:szCs w:val="30"/>
          <w:highlight w:val="none"/>
        </w:rPr>
      </w:pPr>
    </w:p>
    <w:p>
      <w:pPr>
        <w:spacing w:line="480" w:lineRule="auto"/>
        <w:rPr>
          <w:rFonts w:hint="eastAsia" w:ascii="仿宋" w:hAnsi="仿宋" w:eastAsia="仿宋" w:cs="仿宋"/>
          <w:b/>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spacing w:line="400" w:lineRule="exact"/>
        <w:jc w:val="left"/>
        <w:rPr>
          <w:rFonts w:hint="eastAsia" w:ascii="仿宋" w:hAnsi="仿宋" w:eastAsia="仿宋" w:cs="仿宋"/>
          <w:b/>
          <w:color w:val="auto"/>
          <w:sz w:val="32"/>
          <w:szCs w:val="32"/>
          <w:highlight w:val="none"/>
        </w:rPr>
      </w:pPr>
    </w:p>
    <w:p>
      <w:pPr>
        <w:spacing w:line="400" w:lineRule="exact"/>
        <w:jc w:val="left"/>
        <w:rPr>
          <w:rFonts w:hint="eastAsia" w:ascii="仿宋" w:hAnsi="仿宋" w:eastAsia="仿宋" w:cs="仿宋"/>
          <w:b/>
          <w:color w:val="auto"/>
          <w:sz w:val="32"/>
          <w:szCs w:val="32"/>
          <w:highlight w:val="none"/>
        </w:rPr>
      </w:pPr>
    </w:p>
    <w:p>
      <w:pPr>
        <w:spacing w:line="400" w:lineRule="exact"/>
        <w:jc w:val="left"/>
        <w:rPr>
          <w:rFonts w:hint="eastAsia" w:ascii="仿宋" w:hAnsi="仿宋" w:eastAsia="仿宋" w:cs="仿宋"/>
          <w:b/>
          <w:color w:val="auto"/>
          <w:sz w:val="32"/>
          <w:szCs w:val="32"/>
          <w:highlight w:val="none"/>
        </w:rPr>
      </w:pPr>
    </w:p>
    <w:p>
      <w:pPr>
        <w:spacing w:line="400" w:lineRule="exact"/>
        <w:jc w:val="left"/>
        <w:rPr>
          <w:rFonts w:hint="eastAsia" w:ascii="仿宋" w:hAnsi="仿宋" w:eastAsia="仿宋" w:cs="仿宋"/>
          <w:b/>
          <w:color w:val="auto"/>
          <w:sz w:val="32"/>
          <w:szCs w:val="32"/>
          <w:highlight w:val="none"/>
        </w:rPr>
      </w:pPr>
    </w:p>
    <w:p>
      <w:pPr>
        <w:spacing w:line="400" w:lineRule="exact"/>
        <w:jc w:val="left"/>
        <w:rPr>
          <w:rFonts w:hint="eastAsia" w:ascii="仿宋" w:hAnsi="仿宋" w:eastAsia="仿宋" w:cs="仿宋"/>
          <w:b/>
          <w:color w:val="auto"/>
          <w:sz w:val="32"/>
          <w:szCs w:val="32"/>
          <w:highlight w:val="none"/>
        </w:rPr>
      </w:pPr>
    </w:p>
    <w:p>
      <w:pPr>
        <w:spacing w:line="4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招标公告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lang w:eastAsia="zh-CN"/>
        </w:rPr>
        <w:t>延安中学远程互动教室采购项目（</w:t>
      </w:r>
      <w:r>
        <w:rPr>
          <w:rFonts w:hint="eastAsia" w:ascii="仿宋" w:hAnsi="仿宋" w:eastAsia="仿宋" w:cs="仿宋"/>
          <w:i w:val="0"/>
          <w:iCs w:val="0"/>
          <w:caps w:val="0"/>
          <w:color w:val="auto"/>
          <w:spacing w:val="0"/>
          <w:sz w:val="24"/>
          <w:szCs w:val="24"/>
          <w:shd w:val="clear" w:fill="FFFFFF"/>
          <w:lang w:val="en-US" w:eastAsia="zh-CN"/>
        </w:rPr>
        <w:t>二次</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招标项目的潜在投标人应在全国公共资源交易平台（陕西省·延安市）获取招标文件，并于2022年</w:t>
      </w:r>
      <w:r>
        <w:rPr>
          <w:rFonts w:hint="eastAsia" w:ascii="仿宋" w:hAnsi="仿宋" w:eastAsia="仿宋" w:cs="仿宋"/>
          <w:i w:val="0"/>
          <w:iCs w:val="0"/>
          <w:caps w:val="0"/>
          <w:color w:val="auto"/>
          <w:spacing w:val="0"/>
          <w:sz w:val="24"/>
          <w:szCs w:val="24"/>
          <w:u w:val="single"/>
          <w:shd w:val="clear" w:fill="FFFFFF"/>
          <w:lang w:val="en-US" w:eastAsia="zh-CN"/>
        </w:rPr>
        <w:t>09</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u w:val="single"/>
          <w:shd w:val="clear" w:fill="FFFFFF"/>
          <w:lang w:val="en-US" w:eastAsia="zh-CN"/>
        </w:rPr>
        <w:t>20</w:t>
      </w:r>
      <w:r>
        <w:rPr>
          <w:rFonts w:hint="eastAsia" w:ascii="仿宋" w:hAnsi="仿宋" w:eastAsia="仿宋" w:cs="仿宋"/>
          <w:i w:val="0"/>
          <w:iCs w:val="0"/>
          <w:caps w:val="0"/>
          <w:color w:val="auto"/>
          <w:spacing w:val="0"/>
          <w:sz w:val="24"/>
          <w:szCs w:val="24"/>
          <w:shd w:val="clear" w:fill="FFFFFF"/>
        </w:rPr>
        <w:t>日</w:t>
      </w:r>
      <w:r>
        <w:rPr>
          <w:rFonts w:hint="eastAsia" w:ascii="仿宋" w:hAnsi="仿宋" w:eastAsia="仿宋" w:cs="仿宋"/>
          <w:i w:val="0"/>
          <w:iCs w:val="0"/>
          <w:caps w:val="0"/>
          <w:color w:val="auto"/>
          <w:spacing w:val="0"/>
          <w:sz w:val="24"/>
          <w:szCs w:val="24"/>
          <w:u w:val="single"/>
          <w:shd w:val="clear" w:fill="FFFFFF"/>
          <w:lang w:val="en-US" w:eastAsia="zh-CN"/>
        </w:rPr>
        <w:t xml:space="preserve">14 </w:t>
      </w:r>
      <w:r>
        <w:rPr>
          <w:rFonts w:hint="eastAsia" w:ascii="仿宋" w:hAnsi="仿宋" w:eastAsia="仿宋" w:cs="仿宋"/>
          <w:i w:val="0"/>
          <w:iCs w:val="0"/>
          <w:caps w:val="0"/>
          <w:color w:val="auto"/>
          <w:spacing w:val="0"/>
          <w:sz w:val="24"/>
          <w:szCs w:val="24"/>
          <w:shd w:val="clear" w:fill="FFFFFF"/>
        </w:rPr>
        <w:t>时</w:t>
      </w:r>
      <w:r>
        <w:rPr>
          <w:rFonts w:hint="eastAsia" w:ascii="仿宋" w:hAnsi="仿宋" w:eastAsia="仿宋" w:cs="仿宋"/>
          <w:i w:val="0"/>
          <w:iCs w:val="0"/>
          <w:caps w:val="0"/>
          <w:color w:val="auto"/>
          <w:spacing w:val="0"/>
          <w:sz w:val="24"/>
          <w:szCs w:val="24"/>
          <w:u w:val="single"/>
          <w:shd w:val="clear" w:fill="FFFFFF"/>
          <w:lang w:val="en-US" w:eastAsia="zh-CN"/>
        </w:rPr>
        <w:t>30</w:t>
      </w:r>
      <w:r>
        <w:rPr>
          <w:rFonts w:hint="eastAsia" w:ascii="仿宋" w:hAnsi="仿宋" w:eastAsia="仿宋" w:cs="仿宋"/>
          <w:i w:val="0"/>
          <w:iCs w:val="0"/>
          <w:caps w:val="0"/>
          <w:color w:val="auto"/>
          <w:spacing w:val="0"/>
          <w:sz w:val="24"/>
          <w:szCs w:val="24"/>
          <w:shd w:val="clear" w:fill="FFFFFF"/>
        </w:rPr>
        <w:t>分（北京时间）前递交投标文件。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项目编号：</w:t>
      </w:r>
      <w:r>
        <w:rPr>
          <w:rFonts w:hint="eastAsia" w:ascii="仿宋" w:hAnsi="仿宋" w:eastAsia="仿宋" w:cs="仿宋"/>
          <w:i w:val="0"/>
          <w:iCs w:val="0"/>
          <w:caps w:val="0"/>
          <w:color w:val="auto"/>
          <w:spacing w:val="0"/>
          <w:sz w:val="24"/>
          <w:szCs w:val="24"/>
          <w:shd w:val="clear" w:fill="FFFFFF"/>
          <w:lang w:eastAsia="zh-CN"/>
        </w:rPr>
        <w:t>JRZC-2022072</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项目名称：</w:t>
      </w:r>
      <w:r>
        <w:rPr>
          <w:rFonts w:hint="eastAsia" w:ascii="仿宋" w:hAnsi="仿宋" w:eastAsia="仿宋" w:cs="仿宋"/>
          <w:i w:val="0"/>
          <w:iCs w:val="0"/>
          <w:caps w:val="0"/>
          <w:color w:val="auto"/>
          <w:spacing w:val="0"/>
          <w:sz w:val="24"/>
          <w:szCs w:val="24"/>
          <w:shd w:val="clear" w:fill="FFFFFF"/>
          <w:lang w:eastAsia="zh-CN"/>
        </w:rPr>
        <w:t>延安中学远程互动教室采购项目（</w:t>
      </w:r>
      <w:r>
        <w:rPr>
          <w:rFonts w:hint="eastAsia" w:ascii="仿宋" w:hAnsi="仿宋" w:eastAsia="仿宋" w:cs="仿宋"/>
          <w:i w:val="0"/>
          <w:iCs w:val="0"/>
          <w:caps w:val="0"/>
          <w:color w:val="auto"/>
          <w:spacing w:val="0"/>
          <w:sz w:val="24"/>
          <w:szCs w:val="24"/>
          <w:shd w:val="clear" w:fill="FFFFFF"/>
          <w:lang w:val="en-US" w:eastAsia="zh-CN"/>
        </w:rPr>
        <w:t>二次</w:t>
      </w:r>
      <w:r>
        <w:rPr>
          <w:rFonts w:hint="eastAsia" w:ascii="仿宋" w:hAnsi="仿宋" w:eastAsia="仿宋" w:cs="仿宋"/>
          <w:i w:val="0"/>
          <w:iCs w:val="0"/>
          <w:caps w:val="0"/>
          <w:color w:val="auto"/>
          <w:spacing w:val="0"/>
          <w:sz w:val="24"/>
          <w:szCs w:val="24"/>
          <w:shd w:val="clear" w:fill="FFFFFF"/>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采购方式：公开招标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预算金额：2891400.00元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延安中学远程互动教室采购项目</w:t>
      </w:r>
      <w:r>
        <w:rPr>
          <w:rFonts w:hint="eastAsia" w:ascii="仿宋" w:hAnsi="仿宋" w:eastAsia="仿宋" w:cs="仿宋"/>
          <w:i w:val="0"/>
          <w:iCs w:val="0"/>
          <w:caps w:val="0"/>
          <w:color w:val="auto"/>
          <w:spacing w:val="0"/>
          <w:sz w:val="24"/>
          <w:szCs w:val="24"/>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合同包预算金额：2891400.00元</w:t>
      </w:r>
    </w:p>
    <w:tbl>
      <w:tblPr>
        <w:tblStyle w:val="17"/>
        <w:tblW w:w="5369" w:type="pct"/>
        <w:tblInd w:w="-1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0"/>
        <w:gridCol w:w="1908"/>
        <w:gridCol w:w="1706"/>
        <w:gridCol w:w="1504"/>
        <w:gridCol w:w="1891"/>
        <w:gridCol w:w="20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9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7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9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9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教学专用仪器</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2891400.00</w:t>
            </w:r>
          </w:p>
        </w:tc>
        <w:tc>
          <w:tcPr>
            <w:tcW w:w="7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9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sz w:val="24"/>
                <w:szCs w:val="24"/>
              </w:rPr>
              <w:t>2891400.00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延安中学远程互动教室采购项目</w:t>
      </w:r>
      <w:r>
        <w:rPr>
          <w:rFonts w:hint="eastAsia" w:ascii="仿宋" w:hAnsi="仿宋" w:eastAsia="仿宋" w:cs="仿宋"/>
          <w:i w:val="0"/>
          <w:iCs w:val="0"/>
          <w:caps w:val="0"/>
          <w:color w:val="auto"/>
          <w:spacing w:val="0"/>
          <w:sz w:val="24"/>
          <w:szCs w:val="24"/>
          <w:shd w:val="clear" w:fill="FFFFFF"/>
        </w:rPr>
        <w:t>)落实政府采购政策需满足的资格要求如下: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1、《财政部 工业和信息化部关于印发〈政府采购促进中小企业发展管理办法〉的通知》（财库〔2020〕46号）；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2、《财政部司法部关于政府采购支持监狱企业发展有关问题的通知》（财库〔2014〕68号）；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3、《国务院办公厅关于建立政府强制采购节能产品制度的通知》（国办发〔2007〕51号）；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4、《节能产品政府采购实施意见》（财库[2004]185号）；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5、《环境标志产品政府采购实施的意见》（财库[2006]90号）；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6、《三部门联合发布关于促进残疾人就业政府采购政策的通知》（财库〔2017〕141号）。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7、《财政部 工业和信息化部关于印发〈政府采购促进中小企业发展管理办法〉的通知》（财库〔2021〕46号）。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333333"/>
          <w:spacing w:val="0"/>
          <w:sz w:val="24"/>
          <w:szCs w:val="24"/>
          <w:shd w:val="clear" w:fill="FFFFFF"/>
          <w:vertAlign w:val="baseline"/>
        </w:rPr>
        <w:t>8、陕西省财政厅关于印发《陕西省中小企业政府采购信用融资办法》（陕财办采〔2018〕23号）；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vertAlign w:val="baseline"/>
        </w:rPr>
        <w:t>9、其他需要落实的政府采购政策。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延安中学远程互动教室采购项目</w:t>
      </w:r>
      <w:r>
        <w:rPr>
          <w:rFonts w:hint="eastAsia" w:ascii="仿宋" w:hAnsi="仿宋" w:eastAsia="仿宋" w:cs="仿宋"/>
          <w:i w:val="0"/>
          <w:iCs w:val="0"/>
          <w:caps w:val="0"/>
          <w:color w:val="auto"/>
          <w:spacing w:val="0"/>
          <w:sz w:val="24"/>
          <w:szCs w:val="24"/>
          <w:shd w:val="clear" w:fill="FFFFFF"/>
        </w:rPr>
        <w:t>)特定资格要求如下: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具有独立承担民事责任能力的法人或其他组织，提供合法有效的统一社会信用代码的营业执照（附年度报告书）或事业单位法人证书等国家规定的相关证明，自然人参与的提供其身份证明；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法定代表人授权书（附法定代表人身份证复印件）及被授权人身份证复印件（法定代表人直接参加只须提供法定代表人身份证）；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税收缴纳证明：提供已缴纳的本年度或上年度任一月份的缴税凭证或依法免税的供应商应提供相关文件证明；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社会保障资金缴纳证明：提供已缴存的2021年度或者本年度任一月份的社会保障资金缴存单据或社保机构开具的社会保险参保缴费情况证明，单据或证明上应有社保机构或代收机构的公章。依法不需要缴纳社会保障资金的服务商应提供相关文件证明；</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财务状况报告：提供2020年度或2021年度的财务审计报告（至少包括资产负债表和利润表，成立时间至提交投标文件截止时间不足一年的可提供成立后任意时段的资产负债表），或其基本存款账户开户银行出具的资信证明及基本户证明材料；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供应商应出具参加政府采购活动前3年内在经营活动中没有重大违法记录的书面声明；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7、供应商不得为“信用中国”网站中列入失信被执行人、重大税收违法失信主体，不得为中国政府采购网政府采购严重违法失信行为记录名单中被财政部门禁止参加政府采购活动的供应商（提供查询结果网页截图并加盖投标人公章）；</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8、本项目不接受联合体投标。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三、获取招标文件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时间：2022年</w:t>
      </w:r>
      <w:r>
        <w:rPr>
          <w:rFonts w:hint="eastAsia" w:ascii="仿宋" w:hAnsi="仿宋" w:eastAsia="仿宋" w:cs="仿宋"/>
          <w:i w:val="0"/>
          <w:iCs w:val="0"/>
          <w:caps w:val="0"/>
          <w:color w:val="auto"/>
          <w:spacing w:val="0"/>
          <w:sz w:val="24"/>
          <w:szCs w:val="24"/>
          <w:u w:val="single"/>
          <w:shd w:val="clear" w:fill="FFFFFF"/>
          <w:lang w:val="en-US" w:eastAsia="zh-CN"/>
        </w:rPr>
        <w:t>08</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u w:val="single"/>
          <w:shd w:val="clear" w:fill="FFFFFF"/>
          <w:lang w:val="en-US" w:eastAsia="zh-CN"/>
        </w:rPr>
        <w:t>29</w:t>
      </w:r>
      <w:r>
        <w:rPr>
          <w:rFonts w:hint="eastAsia" w:ascii="仿宋" w:hAnsi="仿宋" w:eastAsia="仿宋" w:cs="仿宋"/>
          <w:i w:val="0"/>
          <w:iCs w:val="0"/>
          <w:caps w:val="0"/>
          <w:color w:val="auto"/>
          <w:spacing w:val="0"/>
          <w:sz w:val="24"/>
          <w:szCs w:val="24"/>
          <w:shd w:val="clear" w:fill="FFFFFF"/>
        </w:rPr>
        <w:t>日2022年</w:t>
      </w:r>
      <w:r>
        <w:rPr>
          <w:rFonts w:hint="eastAsia" w:ascii="仿宋" w:hAnsi="仿宋" w:eastAsia="仿宋" w:cs="仿宋"/>
          <w:i w:val="0"/>
          <w:iCs w:val="0"/>
          <w:caps w:val="0"/>
          <w:color w:val="auto"/>
          <w:spacing w:val="0"/>
          <w:sz w:val="24"/>
          <w:szCs w:val="24"/>
          <w:u w:val="single"/>
          <w:shd w:val="clear" w:fill="FFFFFF"/>
          <w:lang w:val="en-US" w:eastAsia="zh-CN"/>
        </w:rPr>
        <w:t>09</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u w:val="single"/>
          <w:shd w:val="clear" w:fill="FFFFFF"/>
          <w:lang w:val="en-US" w:eastAsia="zh-CN"/>
        </w:rPr>
        <w:t>02</w:t>
      </w:r>
      <w:r>
        <w:rPr>
          <w:rFonts w:hint="eastAsia" w:ascii="仿宋" w:hAnsi="仿宋" w:eastAsia="仿宋" w:cs="仿宋"/>
          <w:i w:val="0"/>
          <w:iCs w:val="0"/>
          <w:caps w:val="0"/>
          <w:color w:val="auto"/>
          <w:spacing w:val="0"/>
          <w:sz w:val="24"/>
          <w:szCs w:val="24"/>
          <w:shd w:val="clear" w:fill="FFFFFF"/>
        </w:rPr>
        <w:t>日，每天上午0</w:t>
      </w:r>
      <w:r>
        <w:rPr>
          <w:rFonts w:hint="eastAsia" w:ascii="仿宋" w:hAnsi="仿宋" w:eastAsia="仿宋" w:cs="仿宋"/>
          <w:i w:val="0"/>
          <w:iCs w:val="0"/>
          <w:caps w:val="0"/>
          <w:color w:val="auto"/>
          <w:spacing w:val="0"/>
          <w:sz w:val="24"/>
          <w:szCs w:val="24"/>
          <w:shd w:val="clear" w:fill="FFFFFF"/>
          <w:lang w:val="en-US" w:eastAsia="zh-CN"/>
        </w:rPr>
        <w:t>9</w:t>
      </w:r>
      <w:r>
        <w:rPr>
          <w:rFonts w:hint="eastAsia" w:ascii="仿宋" w:hAnsi="仿宋" w:eastAsia="仿宋" w:cs="仿宋"/>
          <w:i w:val="0"/>
          <w:iCs w:val="0"/>
          <w:caps w:val="0"/>
          <w:color w:val="auto"/>
          <w:spacing w:val="0"/>
          <w:sz w:val="24"/>
          <w:szCs w:val="24"/>
          <w:shd w:val="clear" w:fill="FFFFFF"/>
        </w:rPr>
        <w:t>:00:00至12:00:00，下午 1</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:00:00至18:00:00（北京时间,法定节假日除外）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地点：全国公共资源交易平台（陕西省·延安市）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售价：免费获取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四、提交投标文件截止时间、开标时间和地点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2022年</w:t>
      </w:r>
      <w:r>
        <w:rPr>
          <w:rFonts w:hint="eastAsia" w:ascii="仿宋" w:hAnsi="仿宋" w:eastAsia="仿宋" w:cs="仿宋"/>
          <w:i w:val="0"/>
          <w:iCs w:val="0"/>
          <w:caps w:val="0"/>
          <w:color w:val="auto"/>
          <w:spacing w:val="0"/>
          <w:sz w:val="24"/>
          <w:szCs w:val="24"/>
          <w:u w:val="single"/>
          <w:shd w:val="clear" w:fill="FFFFFF"/>
          <w:lang w:val="en-US" w:eastAsia="zh-CN"/>
        </w:rPr>
        <w:t>09</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u w:val="single"/>
          <w:shd w:val="clear" w:fill="FFFFFF"/>
          <w:lang w:val="en-US" w:eastAsia="zh-CN"/>
        </w:rPr>
        <w:t>20</w:t>
      </w:r>
      <w:r>
        <w:rPr>
          <w:rFonts w:hint="eastAsia" w:ascii="仿宋" w:hAnsi="仿宋" w:eastAsia="仿宋" w:cs="仿宋"/>
          <w:i w:val="0"/>
          <w:iCs w:val="0"/>
          <w:caps w:val="0"/>
          <w:color w:val="auto"/>
          <w:spacing w:val="0"/>
          <w:sz w:val="24"/>
          <w:szCs w:val="24"/>
          <w:shd w:val="clear" w:fill="FFFFFF"/>
        </w:rPr>
        <w:t xml:space="preserve">日 </w:t>
      </w:r>
      <w:r>
        <w:rPr>
          <w:rFonts w:hint="eastAsia" w:ascii="仿宋" w:hAnsi="仿宋" w:eastAsia="仿宋" w:cs="仿宋"/>
          <w:i w:val="0"/>
          <w:iCs w:val="0"/>
          <w:caps w:val="0"/>
          <w:color w:val="auto"/>
          <w:spacing w:val="0"/>
          <w:sz w:val="24"/>
          <w:szCs w:val="24"/>
          <w:u w:val="single"/>
          <w:shd w:val="clear" w:fill="FFFFFF"/>
          <w:lang w:val="en-US" w:eastAsia="zh-CN"/>
        </w:rPr>
        <w:t>14</w:t>
      </w:r>
      <w:r>
        <w:rPr>
          <w:rFonts w:hint="eastAsia" w:ascii="仿宋" w:hAnsi="仿宋" w:eastAsia="仿宋" w:cs="仿宋"/>
          <w:i w:val="0"/>
          <w:iCs w:val="0"/>
          <w:caps w:val="0"/>
          <w:color w:val="auto"/>
          <w:spacing w:val="0"/>
          <w:sz w:val="24"/>
          <w:szCs w:val="24"/>
          <w:shd w:val="clear" w:fill="FFFFFF"/>
        </w:rPr>
        <w:t>时</w:t>
      </w:r>
      <w:r>
        <w:rPr>
          <w:rFonts w:hint="eastAsia" w:ascii="仿宋" w:hAnsi="仿宋" w:eastAsia="仿宋" w:cs="仿宋"/>
          <w:i w:val="0"/>
          <w:iCs w:val="0"/>
          <w:caps w:val="0"/>
          <w:color w:val="auto"/>
          <w:spacing w:val="0"/>
          <w:sz w:val="24"/>
          <w:szCs w:val="24"/>
          <w:u w:val="single"/>
          <w:shd w:val="clear" w:fill="FFFFFF"/>
          <w:lang w:val="en-US" w:eastAsia="zh-CN"/>
        </w:rPr>
        <w:t>30</w:t>
      </w:r>
      <w:r>
        <w:rPr>
          <w:rFonts w:hint="eastAsia" w:ascii="仿宋" w:hAnsi="仿宋" w:eastAsia="仿宋" w:cs="仿宋"/>
          <w:i w:val="0"/>
          <w:iCs w:val="0"/>
          <w:caps w:val="0"/>
          <w:color w:val="auto"/>
          <w:spacing w:val="0"/>
          <w:sz w:val="24"/>
          <w:szCs w:val="24"/>
          <w:shd w:val="clear" w:fill="FFFFFF"/>
        </w:rPr>
        <w:t>分00秒（北京时间）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u w:val="single"/>
          <w:lang w:val="en-US" w:eastAsia="zh-CN"/>
        </w:rPr>
      </w:pPr>
      <w:r>
        <w:rPr>
          <w:rFonts w:hint="eastAsia" w:ascii="仿宋" w:hAnsi="仿宋" w:eastAsia="仿宋" w:cs="仿宋"/>
          <w:i w:val="0"/>
          <w:iCs w:val="0"/>
          <w:caps w:val="0"/>
          <w:color w:val="auto"/>
          <w:spacing w:val="0"/>
          <w:sz w:val="24"/>
          <w:szCs w:val="24"/>
          <w:shd w:val="clear" w:fill="FFFFFF"/>
        </w:rPr>
        <w:t>地点：延安市公共资源交易中心</w:t>
      </w:r>
      <w:r>
        <w:rPr>
          <w:rFonts w:hint="eastAsia" w:ascii="仿宋" w:hAnsi="仿宋" w:eastAsia="仿宋" w:cs="仿宋"/>
          <w:i w:val="0"/>
          <w:iCs w:val="0"/>
          <w:caps w:val="0"/>
          <w:color w:val="auto"/>
          <w:spacing w:val="0"/>
          <w:sz w:val="24"/>
          <w:szCs w:val="24"/>
          <w:u w:val="single"/>
          <w:shd w:val="clear" w:fill="FFFFFF"/>
          <w:lang w:val="en-US" w:eastAsia="zh-CN"/>
        </w:rPr>
        <w:t>一</w:t>
      </w:r>
      <w:r>
        <w:rPr>
          <w:rFonts w:hint="eastAsia" w:ascii="仿宋" w:hAnsi="仿宋" w:eastAsia="仿宋" w:cs="仿宋"/>
          <w:i w:val="0"/>
          <w:iCs w:val="0"/>
          <w:caps w:val="0"/>
          <w:color w:val="auto"/>
          <w:spacing w:val="0"/>
          <w:sz w:val="24"/>
          <w:szCs w:val="24"/>
          <w:u w:val="none"/>
          <w:shd w:val="clear" w:fill="FFFFFF"/>
          <w:lang w:val="en-US" w:eastAsia="zh-CN"/>
        </w:rPr>
        <w:t>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五、公告期限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六、其他补充事宜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本项目开标地点：延安市公共资源交易中心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1.报名登记：供应商使用捆绑CA证书登录 全国公共资源交易平台（陕西省·延安市）延安市公共资源交易中心 ，选择电子交易平台中的陕西政府采购交易系统进行登录，登录后选择“交易乙方”身份进入供应商界面进行报名。</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2.下载文件：供应商登录延安市公共资源交易中心 ，选择“交易乙方”身份进入供应商界面下载采购文件。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3.请供应商按照陕西省财政厅关于政府采购供应商注册登记有关事项的通知中的要求，通过陕西省政府采购网注册登记加入陕西省政府采购供应商库。</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4.本项目不专门面向中小企业采购。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名称：</w:t>
      </w:r>
      <w:r>
        <w:rPr>
          <w:rFonts w:hint="eastAsia" w:ascii="仿宋" w:hAnsi="仿宋" w:eastAsia="仿宋" w:cs="仿宋"/>
          <w:i w:val="0"/>
          <w:iCs w:val="0"/>
          <w:caps w:val="0"/>
          <w:color w:val="auto"/>
          <w:spacing w:val="0"/>
          <w:sz w:val="24"/>
          <w:szCs w:val="24"/>
          <w:shd w:val="clear" w:fill="FFFFFF"/>
          <w:lang w:eastAsia="zh-CN"/>
        </w:rPr>
        <w:t>陕西延安中学</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地址：延安市宝塔区枣园路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联系方式：</w:t>
      </w:r>
      <w:r>
        <w:rPr>
          <w:rFonts w:hint="eastAsia" w:ascii="仿宋" w:hAnsi="仿宋" w:eastAsia="仿宋" w:cs="仿宋"/>
          <w:i w:val="0"/>
          <w:iCs w:val="0"/>
          <w:caps w:val="0"/>
          <w:color w:val="auto"/>
          <w:spacing w:val="0"/>
          <w:sz w:val="24"/>
          <w:szCs w:val="24"/>
          <w:shd w:val="clear" w:fill="FFFFFF"/>
          <w:lang w:eastAsia="zh-CN"/>
        </w:rPr>
        <w:t>0911-2116085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名称：陕西炬荣招标代理有限公司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地址：延安市新区坤岗国际七号楼一单元602室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联系方式：0911-8887276</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w:t>
      </w:r>
      <w:r>
        <w:rPr>
          <w:rFonts w:hint="eastAsia" w:ascii="仿宋" w:hAnsi="仿宋" w:eastAsia="仿宋" w:cs="仿宋"/>
          <w:i w:val="0"/>
          <w:iCs w:val="0"/>
          <w:caps w:val="0"/>
          <w:color w:val="auto"/>
          <w:spacing w:val="0"/>
          <w:sz w:val="24"/>
          <w:szCs w:val="24"/>
          <w:shd w:val="clear" w:fill="FFFFFF"/>
          <w:lang w:val="en-US" w:eastAsia="zh-CN"/>
        </w:rPr>
        <w:t>黄</w:t>
      </w:r>
      <w:r>
        <w:rPr>
          <w:rFonts w:hint="eastAsia" w:ascii="仿宋" w:hAnsi="仿宋" w:eastAsia="仿宋" w:cs="仿宋"/>
          <w:i w:val="0"/>
          <w:iCs w:val="0"/>
          <w:caps w:val="0"/>
          <w:color w:val="auto"/>
          <w:spacing w:val="0"/>
          <w:sz w:val="24"/>
          <w:szCs w:val="24"/>
          <w:shd w:val="clear" w:fill="FFFFFF"/>
        </w:rPr>
        <w:t>工</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电话：0911-8887276</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 投标人须知</w:t>
      </w:r>
    </w:p>
    <w:p>
      <w:pPr>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0"/>
          <w:szCs w:val="30"/>
          <w:highlight w:val="none"/>
        </w:rPr>
        <w:t>一、名词解释</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采购人：</w:t>
      </w:r>
      <w:r>
        <w:rPr>
          <w:rFonts w:hint="eastAsia" w:ascii="仿宋" w:hAnsi="仿宋" w:eastAsia="仿宋" w:cs="仿宋"/>
          <w:color w:val="auto"/>
          <w:sz w:val="24"/>
          <w:highlight w:val="none"/>
          <w:lang w:eastAsia="zh-CN"/>
        </w:rPr>
        <w:t>陕西延安中学</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采购代理机构</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陕西炬荣招标代理有限公司</w:t>
      </w:r>
      <w:r>
        <w:rPr>
          <w:rFonts w:hint="eastAsia" w:ascii="仿宋" w:hAnsi="仿宋" w:eastAsia="仿宋" w:cs="仿宋"/>
          <w:bCs/>
          <w:color w:val="auto"/>
          <w:sz w:val="24"/>
          <w:highlight w:val="none"/>
        </w:rPr>
        <w:t xml:space="preserve"> </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投标人</w:t>
      </w:r>
      <w:r>
        <w:rPr>
          <w:rFonts w:hint="eastAsia" w:ascii="仿宋" w:hAnsi="仿宋" w:eastAsia="仿宋" w:cs="仿宋"/>
          <w:bCs/>
          <w:color w:val="auto"/>
          <w:sz w:val="24"/>
          <w:highlight w:val="none"/>
        </w:rPr>
        <w:t>：满足本次招标要求、具有相应资质和完成项目能力的投标供应商</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标书</w:t>
      </w:r>
      <w:r>
        <w:rPr>
          <w:rFonts w:hint="eastAsia" w:ascii="仿宋" w:hAnsi="仿宋" w:eastAsia="仿宋" w:cs="仿宋"/>
          <w:bCs/>
          <w:color w:val="auto"/>
          <w:sz w:val="24"/>
          <w:highlight w:val="none"/>
        </w:rPr>
        <w:t>：招标文件与投标文件的统称</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中标人</w:t>
      </w:r>
      <w:r>
        <w:rPr>
          <w:rFonts w:hint="eastAsia" w:ascii="仿宋" w:hAnsi="仿宋" w:eastAsia="仿宋" w:cs="仿宋"/>
          <w:bCs/>
          <w:color w:val="auto"/>
          <w:sz w:val="24"/>
          <w:highlight w:val="none"/>
        </w:rPr>
        <w:t>：评标委员会推荐的投标人</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标有“</w:t>
      </w:r>
      <w:r>
        <w:rPr>
          <w:rFonts w:hint="eastAsia" w:ascii="仿宋" w:hAnsi="仿宋" w:eastAsia="仿宋" w:cs="仿宋"/>
          <w:color w:val="auto"/>
          <w:szCs w:val="21"/>
          <w:highlight w:val="none"/>
        </w:rPr>
        <w:t>★</w:t>
      </w:r>
      <w:r>
        <w:rPr>
          <w:rFonts w:hint="eastAsia" w:ascii="仿宋" w:hAnsi="仿宋" w:eastAsia="仿宋" w:cs="仿宋"/>
          <w:bCs/>
          <w:color w:val="auto"/>
          <w:sz w:val="24"/>
          <w:highlight w:val="none"/>
        </w:rPr>
        <w:t>”记号的条款系指重要性要求条款</w:t>
      </w:r>
    </w:p>
    <w:p>
      <w:pPr>
        <w:numPr>
          <w:ilvl w:val="0"/>
          <w:numId w:val="1"/>
        </w:numPr>
        <w:tabs>
          <w:tab w:val="left" w:pos="600"/>
          <w:tab w:val="left" w:pos="1140"/>
        </w:tabs>
        <w:spacing w:line="440" w:lineRule="exact"/>
        <w:ind w:left="239" w:leftChars="114" w:firstLine="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标有“</w:t>
      </w:r>
      <w:r>
        <w:rPr>
          <w:rFonts w:hint="eastAsia" w:ascii="仿宋" w:hAnsi="仿宋" w:eastAsia="仿宋" w:cs="仿宋"/>
          <w:b/>
          <w:color w:val="auto"/>
          <w:szCs w:val="21"/>
          <w:highlight w:val="none"/>
        </w:rPr>
        <w:t>△</w:t>
      </w:r>
      <w:r>
        <w:rPr>
          <w:rFonts w:hint="eastAsia" w:ascii="仿宋" w:hAnsi="仿宋" w:eastAsia="仿宋" w:cs="仿宋"/>
          <w:bCs/>
          <w:color w:val="auto"/>
          <w:sz w:val="24"/>
          <w:highlight w:val="none"/>
        </w:rPr>
        <w:t>”记号的条款系指实质性要求条款</w:t>
      </w:r>
    </w:p>
    <w:p>
      <w:pPr>
        <w:pStyle w:val="34"/>
        <w:rPr>
          <w:rFonts w:hint="eastAsia" w:ascii="仿宋" w:hAnsi="仿宋" w:eastAsia="仿宋" w:cs="仿宋"/>
          <w:color w:val="auto"/>
          <w:highlight w:val="none"/>
        </w:rPr>
      </w:pPr>
    </w:p>
    <w:p>
      <w:pPr>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二、投标人</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1.供应商参加政府采购应当具备下列条件：</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（1）凡具有法人资格，在国内注册的企业、且具较大的经营规模，具备承担投标项目的能力；</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（2）具有独立承担民事责任能力和履行合同所必需的货物；具有可靠的质量保障和售后服务；</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（3）具有良好的商业信誉和健全的财务会计制度；</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（6）没有重大经济纠纷；</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（7）法律、行政法规规定的其他条件；</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（8）完全同意并愿意自觉遵守本招标文件中的所有规定和要求；</w:t>
      </w:r>
    </w:p>
    <w:p>
      <w:pPr>
        <w:spacing w:line="312"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（9）单位负责人为同一人或者存在直接控股、管理关系的不同供应商，不得参加同一合同项下的政府采购活动。</w:t>
      </w:r>
    </w:p>
    <w:p>
      <w:pPr>
        <w:spacing w:line="312"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除单一来源采购项目外，为采购项目提供整体设计、规范编制或者项目管理、监理、检测等服务的供应商，不得再参加该采购项目的其他活动。</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2.投标委托</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如投标人代表不是法定代表人，须持有《法定代表人授权书》（原件）。</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3.投标费用</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投标人自行承担参加投标相关的全部费用，无论投标的结果如何。</w:t>
      </w:r>
    </w:p>
    <w:p>
      <w:pPr>
        <w:tabs>
          <w:tab w:val="center" w:pos="4725"/>
          <w:tab w:val="left" w:pos="6799"/>
        </w:tabs>
        <w:spacing w:line="480" w:lineRule="auto"/>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ab/>
      </w:r>
    </w:p>
    <w:p>
      <w:pPr>
        <w:tabs>
          <w:tab w:val="center" w:pos="4725"/>
          <w:tab w:val="left" w:pos="6799"/>
        </w:tabs>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三、招标文件</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1.招标文件</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（1）招标文件由招标文件总目录所列内容组成；投标人应详细阅读招标文件中所有的事项、格式、条款和规范要求,在投标文件中对招标文件的各方面都应做出实质性的响应，按照招标文件的要求提交全部资料。</w:t>
      </w:r>
    </w:p>
    <w:p>
      <w:pPr>
        <w:pStyle w:val="14"/>
        <w:spacing w:before="0" w:beforeAutospacing="0" w:after="0" w:afterAutospacing="0" w:line="360" w:lineRule="auto"/>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（2）适用范围</w:t>
      </w:r>
    </w:p>
    <w:p>
      <w:pPr>
        <w:pStyle w:val="14"/>
        <w:spacing w:before="0" w:beforeAutospacing="0" w:after="0" w:afterAutospacing="0" w:line="360" w:lineRule="auto"/>
        <w:ind w:firstLine="360" w:firstLineChars="15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本次招标依据采购人的采购计划，仅适用于本招标文件中所叙述的项目。</w:t>
      </w:r>
    </w:p>
    <w:p>
      <w:pPr>
        <w:spacing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sz w:val="24"/>
          <w:highlight w:val="none"/>
        </w:rPr>
        <w:t>（3）招标文件的购买：招标公告发布后，投标人应从采购代理机构购买招标文件，投标人自行转让或复制的招标文件视为无效招标文件；招标文件一经售出，一律不退，仅作为本次招标使用。</w:t>
      </w:r>
    </w:p>
    <w:p>
      <w:pPr>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2、招标文件的澄清及修改</w:t>
      </w:r>
    </w:p>
    <w:p>
      <w:pPr>
        <w:pStyle w:val="14"/>
        <w:wordWrap w:val="0"/>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采购代理机构可对已发出的招标文件进行必要的澄清或者修改，澄清或者修改的内容作为招标文件的组成部分。澄清和修改的内容可能影响投标文件编制的，采购代理机构应当在投标文件截止时间至少</w:t>
      </w:r>
      <w:r>
        <w:rPr>
          <w:rFonts w:hint="eastAsia" w:ascii="仿宋" w:hAnsi="仿宋" w:eastAsia="仿宋" w:cs="仿宋"/>
          <w:color w:val="auto"/>
          <w:highlight w:val="none"/>
        </w:rPr>
        <w:t>十五日</w:t>
      </w:r>
      <w:r>
        <w:rPr>
          <w:rFonts w:hint="eastAsia" w:ascii="仿宋" w:hAnsi="仿宋" w:eastAsia="仿宋" w:cs="仿宋"/>
          <w:color w:val="auto"/>
          <w:kern w:val="2"/>
          <w:highlight w:val="none"/>
        </w:rPr>
        <w:t>前，</w:t>
      </w:r>
      <w:r>
        <w:rPr>
          <w:rFonts w:hint="eastAsia" w:ascii="仿宋" w:hAnsi="仿宋" w:eastAsia="仿宋" w:cs="仿宋"/>
          <w:color w:val="auto"/>
          <w:kern w:val="2"/>
          <w:szCs w:val="24"/>
          <w:highlight w:val="none"/>
        </w:rPr>
        <w:t>以书面形式通知所有获取招标文件的潜在投标人</w:t>
      </w:r>
      <w:r>
        <w:rPr>
          <w:rFonts w:hint="eastAsia" w:ascii="仿宋" w:hAnsi="仿宋" w:eastAsia="仿宋" w:cs="仿宋"/>
          <w:color w:val="auto"/>
          <w:kern w:val="2"/>
          <w:szCs w:val="24"/>
          <w:highlight w:val="none"/>
          <w:lang w:val="zh-CN"/>
        </w:rPr>
        <w:t>，并对投标人具有约束力。投标人在收到上述通知后，</w:t>
      </w:r>
      <w:r>
        <w:rPr>
          <w:rFonts w:hint="eastAsia" w:ascii="仿宋" w:hAnsi="仿宋" w:eastAsia="仿宋" w:cs="仿宋"/>
          <w:color w:val="auto"/>
          <w:kern w:val="2"/>
          <w:szCs w:val="24"/>
          <w:highlight w:val="none"/>
        </w:rPr>
        <w:t>应当立即</w:t>
      </w:r>
      <w:r>
        <w:rPr>
          <w:rFonts w:hint="eastAsia" w:ascii="仿宋" w:hAnsi="仿宋" w:eastAsia="仿宋" w:cs="仿宋"/>
          <w:color w:val="auto"/>
          <w:kern w:val="2"/>
          <w:highlight w:val="none"/>
        </w:rPr>
        <w:t>以书面形式向采购代理机构确认；不足十五日的，采购代理机构应当顺延提交投标文件的截止时间。</w:t>
      </w:r>
    </w:p>
    <w:p>
      <w:pPr>
        <w:pStyle w:val="14"/>
        <w:spacing w:before="0" w:beforeAutospacing="0" w:after="0" w:afterAutospacing="0" w:line="360" w:lineRule="auto"/>
        <w:ind w:firstLine="241" w:firstLineChars="100"/>
        <w:rPr>
          <w:rFonts w:hint="eastAsia" w:ascii="仿宋" w:hAnsi="仿宋" w:eastAsia="仿宋" w:cs="仿宋"/>
          <w:color w:val="auto"/>
          <w:highlight w:val="none"/>
        </w:rPr>
      </w:pPr>
      <w:r>
        <w:rPr>
          <w:rFonts w:hint="eastAsia" w:ascii="仿宋" w:hAnsi="仿宋" w:eastAsia="仿宋" w:cs="仿宋"/>
          <w:b/>
          <w:color w:val="auto"/>
          <w:kern w:val="2"/>
          <w:highlight w:val="none"/>
        </w:rPr>
        <w:t>3、质疑提出与答复</w:t>
      </w:r>
    </w:p>
    <w:p>
      <w:pPr>
        <w:pStyle w:val="14"/>
        <w:spacing w:before="0" w:beforeAutospacing="0" w:after="0" w:afterAutospacing="0" w:line="360" w:lineRule="auto"/>
        <w:ind w:firstLine="360" w:firstLineChars="150"/>
        <w:rPr>
          <w:rFonts w:hint="eastAsia" w:ascii="仿宋" w:hAnsi="仿宋" w:eastAsia="仿宋" w:cs="仿宋"/>
          <w:color w:val="auto"/>
          <w:kern w:val="2"/>
          <w:highlight w:val="none"/>
        </w:rPr>
      </w:pPr>
      <w:r>
        <w:rPr>
          <w:rFonts w:hint="eastAsia" w:ascii="仿宋" w:hAnsi="仿宋" w:eastAsia="仿宋" w:cs="仿宋"/>
          <w:color w:val="auto"/>
          <w:highlight w:val="none"/>
        </w:rPr>
        <w:t>（1）投标人认为采购文件、采购过程、中标结果使自己的权益受到损害的，可以在知道或者应知其权益受到损害之日起七个工作日内，</w:t>
      </w:r>
      <w:r>
        <w:rPr>
          <w:rFonts w:hint="eastAsia" w:ascii="仿宋" w:hAnsi="仿宋" w:eastAsia="仿宋" w:cs="仿宋"/>
          <w:color w:val="auto"/>
          <w:kern w:val="2"/>
          <w:highlight w:val="none"/>
        </w:rPr>
        <w:t xml:space="preserve">以书面形式向采购代理机构提出（质疑函接收联系人、联系电话和通讯地址等详见招标公告）。 </w:t>
      </w:r>
    </w:p>
    <w:p>
      <w:pPr>
        <w:pStyle w:val="14"/>
        <w:spacing w:before="0" w:beforeAutospacing="0" w:after="0" w:afterAutospacing="0" w:line="360" w:lineRule="auto"/>
        <w:ind w:firstLine="360" w:firstLineChars="150"/>
        <w:rPr>
          <w:rFonts w:hint="eastAsia" w:ascii="仿宋" w:hAnsi="仿宋" w:eastAsia="仿宋" w:cs="仿宋"/>
          <w:color w:val="auto"/>
          <w:kern w:val="2"/>
          <w:highlight w:val="none"/>
        </w:rPr>
      </w:pPr>
      <w:r>
        <w:rPr>
          <w:rFonts w:hint="eastAsia" w:ascii="仿宋" w:hAnsi="仿宋" w:eastAsia="仿宋" w:cs="仿宋"/>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napToGrid w:val="0"/>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质疑函应当包括下列内容：</w:t>
      </w:r>
    </w:p>
    <w:p>
      <w:pPr>
        <w:pStyle w:val="3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投标人</w:t>
      </w:r>
      <w:r>
        <w:rPr>
          <w:rFonts w:hint="eastAsia" w:ascii="仿宋" w:hAnsi="仿宋" w:eastAsia="仿宋" w:cs="仿宋"/>
          <w:color w:val="auto"/>
          <w:highlight w:val="none"/>
        </w:rPr>
        <w:t>的姓名或者名称、地址、邮编、联系人及联系电话；</w:t>
      </w:r>
    </w:p>
    <w:p>
      <w:pPr>
        <w:pStyle w:val="3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pPr>
        <w:pStyle w:val="3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pPr>
        <w:pStyle w:val="3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4、事实依据；</w:t>
      </w:r>
    </w:p>
    <w:p>
      <w:pPr>
        <w:pStyle w:val="3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pPr>
        <w:pStyle w:val="35"/>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6、提出质疑的日期。 </w:t>
      </w:r>
    </w:p>
    <w:p>
      <w:pPr>
        <w:pStyle w:val="35"/>
        <w:snapToGrid w:val="0"/>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r>
        <w:rPr>
          <w:rFonts w:hint="eastAsia" w:ascii="仿宋" w:hAnsi="仿宋" w:eastAsia="仿宋" w:cs="仿宋"/>
          <w:color w:val="auto"/>
          <w:highlight w:val="none"/>
          <w:lang w:val="zh-CN"/>
        </w:rPr>
        <w:t>投标人</w:t>
      </w:r>
      <w:r>
        <w:rPr>
          <w:rFonts w:hint="eastAsia" w:ascii="仿宋" w:hAnsi="仿宋" w:eastAsia="仿宋" w:cs="仿宋"/>
          <w:color w:val="auto"/>
          <w:szCs w:val="24"/>
          <w:highlight w:val="none"/>
        </w:rPr>
        <w:t>须在法定质疑期内一次性提出针对同一采购程序环节的质疑。</w:t>
      </w:r>
    </w:p>
    <w:p>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（3）质疑有以下情形之一的，采购代理机构不予受理：</w:t>
      </w:r>
    </w:p>
    <w:p>
      <w:pPr>
        <w:pStyle w:val="35"/>
        <w:snapToGrid w:val="0"/>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1、未按规定程序和渠道提出质疑的；</w:t>
      </w:r>
    </w:p>
    <w:p>
      <w:pPr>
        <w:pStyle w:val="35"/>
        <w:snapToGrid w:val="0"/>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2、超过法定质疑期限的； </w:t>
      </w:r>
    </w:p>
    <w:p>
      <w:pPr>
        <w:pStyle w:val="35"/>
        <w:snapToGrid w:val="0"/>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3、书面质疑的形式和内容不符合上述要求的；</w:t>
      </w:r>
    </w:p>
    <w:p>
      <w:pPr>
        <w:pStyle w:val="35"/>
        <w:snapToGrid w:val="0"/>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4、提出的质疑事项已经明确答复的； </w:t>
      </w:r>
    </w:p>
    <w:p>
      <w:pPr>
        <w:pStyle w:val="35"/>
        <w:snapToGrid w:val="0"/>
        <w:spacing w:line="36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5、法律法规规定的其他不予受理的条件。</w:t>
      </w:r>
    </w:p>
    <w:p>
      <w:pPr>
        <w:pStyle w:val="14"/>
        <w:spacing w:before="0" w:beforeAutospacing="0" w:after="0" w:afterAutospacing="0"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kern w:val="2"/>
          <w:highlight w:val="none"/>
        </w:rPr>
        <w:t>采购代理机构应当在收到质疑函后</w:t>
      </w:r>
      <w:r>
        <w:rPr>
          <w:rFonts w:hint="eastAsia" w:ascii="仿宋" w:hAnsi="仿宋" w:eastAsia="仿宋" w:cs="仿宋"/>
          <w:color w:val="auto"/>
          <w:highlight w:val="none"/>
        </w:rPr>
        <w:t>七个工作日内做出书面答复。答复内容同时通知与处理结果有关的投标人，但答复内容不得涉及投标人的商业秘密。</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4、评标的处理依据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评标委员会有权对在开标、评标过程中出现的一切问题，根据《中华人民共和国政府采购法》、《中华人民共和国政府采购法实施条例》和</w:t>
      </w:r>
      <w:r>
        <w:rPr>
          <w:rFonts w:hint="eastAsia" w:ascii="仿宋" w:hAnsi="仿宋" w:eastAsia="仿宋" w:cs="仿宋"/>
          <w:color w:val="auto"/>
          <w:kern w:val="0"/>
          <w:sz w:val="24"/>
          <w:highlight w:val="none"/>
        </w:rPr>
        <w:t>《政府采购货物和服务招标投标管理办法》</w:t>
      </w:r>
      <w:r>
        <w:rPr>
          <w:rFonts w:hint="eastAsia" w:ascii="仿宋" w:hAnsi="仿宋" w:eastAsia="仿宋" w:cs="仿宋"/>
          <w:color w:val="auto"/>
          <w:sz w:val="24"/>
          <w:highlight w:val="none"/>
        </w:rPr>
        <w:t xml:space="preserve">等相关法律、法规的条款，本着公开、公平、公正的原则进行处理。 </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5、解释权归属</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本招标文件的解释权归采购代理机构。</w:t>
      </w:r>
    </w:p>
    <w:p>
      <w:pPr>
        <w:pStyle w:val="34"/>
        <w:rPr>
          <w:rFonts w:hint="eastAsia" w:ascii="仿宋" w:hAnsi="仿宋" w:eastAsia="仿宋" w:cs="仿宋"/>
          <w:color w:val="auto"/>
          <w:highlight w:val="none"/>
        </w:rPr>
      </w:pPr>
    </w:p>
    <w:p>
      <w:pPr>
        <w:tabs>
          <w:tab w:val="left" w:pos="3709"/>
          <w:tab w:val="center" w:pos="4725"/>
        </w:tabs>
        <w:spacing w:line="480" w:lineRule="auto"/>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t>四、招标要求</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1.招标文件内容</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本次招标为：</w:t>
      </w:r>
      <w:r>
        <w:rPr>
          <w:rFonts w:hint="eastAsia" w:ascii="仿宋" w:hAnsi="仿宋" w:eastAsia="仿宋" w:cs="仿宋"/>
          <w:color w:val="auto"/>
          <w:sz w:val="24"/>
          <w:highlight w:val="none"/>
          <w:lang w:eastAsia="zh-CN"/>
        </w:rPr>
        <w:t>延安中学远程互动教室采购项目（二次）项目</w:t>
      </w:r>
      <w:r>
        <w:rPr>
          <w:rFonts w:hint="eastAsia" w:ascii="仿宋" w:hAnsi="仿宋" w:eastAsia="仿宋" w:cs="仿宋"/>
          <w:color w:val="auto"/>
          <w:sz w:val="24"/>
          <w:highlight w:val="none"/>
        </w:rPr>
        <w:t>。投标人不得将整体项目再行分解或只投其中的一部分内容，否则投标无效；开标、阅标、评标、定标、签订合同均以标段为单位进行。</w:t>
      </w:r>
    </w:p>
    <w:p>
      <w:pPr>
        <w:spacing w:line="40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2.投标人须提交以下资质证书和证明文件：</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 xml:space="preserve">具有独立承担民事责任能力的法人或其他组织，提供合法有效的统一社会信用代码的营业执照（附年度报告书）或事业单位法人证书等国家规定的相关证明，自然人参与的提供其身份证明；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 xml:space="preserve">法定代表人授权书（附法定代表人身份证复印件）及被授权人身份证复印件（法定代表人直接参加只须提供法定代表人身份证）；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 xml:space="preserve">税收缴纳证明：提供已缴纳的本年度或上年度任一月份的缴税凭证或依法免税的供应商应提供相关文件证明；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 xml:space="preserve">社会保障资金缴纳证明：提供已缴存的2021年度或者本年度任一月份的社会保障资金缴存单据或社保机构开具的社会保险参保缴费情况证明，单据或证明上应有社保机构或代收机构的公章。依法不需要缴纳社会保障资金的服务商应提供相关文件证明；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 xml:space="preserve">财务状况报告：提供2020年度或2021年度的财务审计报告（至少包括资产负债表和利润表，成立时间至提交投标文件截止时间不足一年的可提供成立后任意时段的资产负债表），或其基本存款账户开户银行出具的资信证明及基本户证明材料；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 xml:space="preserve">供应商应出具参加政府采购活动前3年内在经营活动中没有重大违法记录的书面声明； </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供应商不得为“信用中国”网站中列入失信被执行人、重大税收违法失信主体，不得为中国政府采购网政府采购严重违法失信行为记录名单中被财政部门禁止参加政府采购活动的供应商（提供查询结果网页截图并加盖投标人公章）；</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本项目不接受联合体投标。</w:t>
      </w:r>
    </w:p>
    <w:p>
      <w:pPr>
        <w:spacing w:line="420" w:lineRule="exact"/>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须提供保证金缴纳凭证</w:t>
      </w:r>
      <w:r>
        <w:rPr>
          <w:rFonts w:hint="eastAsia" w:ascii="仿宋" w:hAnsi="仿宋" w:eastAsia="仿宋" w:cs="仿宋"/>
          <w:sz w:val="24"/>
          <w:highlight w:val="none"/>
          <w:lang w:val="en-US" w:eastAsia="zh-CN"/>
        </w:rPr>
        <w:t>或担保机构出具的保函</w:t>
      </w:r>
      <w:r>
        <w:rPr>
          <w:rFonts w:hint="eastAsia" w:ascii="仿宋" w:hAnsi="仿宋" w:eastAsia="仿宋" w:cs="仿宋"/>
          <w:sz w:val="24"/>
          <w:highlight w:val="none"/>
        </w:rPr>
        <w:t>；</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以上资格证明文件中(1) - (</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)项为必备资质，缺少一项或某项达不到要求，其投标均无效。若证件的有效期已过，且发证机关未统一换证，须提供发证主管机关的证明文件，否则按无效证明对待。</w:t>
      </w:r>
    </w:p>
    <w:p>
      <w:pPr>
        <w:spacing w:line="38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3.投标文件的编制</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投标文件必须根据招标文件提供的内容及格式编制，并对招标文件做出实质性响应；具体内容包括：</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（1）按照格式要求填写的投标函；</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（2）开标一览表、分项报价表、技术指标偏差表和商务及合同主要条款响应说明；</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（3）法定代表人证明及法定代表人授权委托书；</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（4）按要求出具的资质文件；</w:t>
      </w:r>
    </w:p>
    <w:p>
      <w:pPr>
        <w:kinsoku w:val="0"/>
        <w:spacing w:line="50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（5）投标人的投标技术方案： </w:t>
      </w:r>
    </w:p>
    <w:p>
      <w:pPr>
        <w:tabs>
          <w:tab w:val="left" w:pos="1080"/>
        </w:tabs>
        <w:spacing w:line="460" w:lineRule="exac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（6）投标人承诺书。</w:t>
      </w:r>
    </w:p>
    <w:p>
      <w:pPr>
        <w:spacing w:line="38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4.投标报价</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指货物到达使用地点，达到正常使用条件下的所有费用，包括货物的报价及所发生的运杂费（含保险）、现场安装调试费及进口的关税等按现行税收政策征收的一切税费等，以招标文件的内容和要求作为投标依据；</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（2）投标人应在投标文件中的开标一览表（唱标报告）上，标明响应服务的所有费用；任何有选择的报价不予接受；</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（3）投标货币：人民币；单位：元；</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（4）开标一览表应有投标人公章及法定代表人或被授权人的签字；</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（5）投标报价表中标明的价格，在合同执行过程中，不得以任何理由变更；</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（6）凡因投标人对招标文件阅读不深、理解不透、误解、疏漏、或因市场行情了解不清造成的后果和风险均由投标人自负；</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（7）最低报价不是中标的唯一依据。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人不得以低于成本的报价参加投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5.投标保证金</w:t>
      </w:r>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（1）投标保证金交纳金额：</w:t>
      </w:r>
    </w:p>
    <w:p>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本次投标保证金：（大写）</w:t>
      </w:r>
      <w:r>
        <w:rPr>
          <w:rFonts w:hint="eastAsia" w:ascii="仿宋" w:hAnsi="仿宋" w:eastAsia="仿宋" w:cs="仿宋"/>
          <w:b/>
          <w:sz w:val="24"/>
          <w:lang w:val="en-US" w:eastAsia="zh-CN"/>
        </w:rPr>
        <w:t>叁</w:t>
      </w:r>
      <w:r>
        <w:rPr>
          <w:rFonts w:hint="eastAsia" w:ascii="仿宋" w:hAnsi="仿宋" w:eastAsia="仿宋" w:cs="仿宋"/>
          <w:b/>
          <w:sz w:val="24"/>
        </w:rPr>
        <w:t>万元整（¥：</w:t>
      </w:r>
      <w:r>
        <w:rPr>
          <w:rFonts w:hint="eastAsia" w:ascii="仿宋" w:hAnsi="仿宋" w:eastAsia="仿宋" w:cs="仿宋"/>
          <w:b/>
          <w:sz w:val="24"/>
          <w:lang w:val="en-US" w:eastAsia="zh-CN"/>
        </w:rPr>
        <w:t>3</w:t>
      </w:r>
      <w:r>
        <w:rPr>
          <w:rFonts w:hint="eastAsia" w:ascii="仿宋" w:hAnsi="仿宋" w:eastAsia="仿宋" w:cs="仿宋"/>
          <w:b/>
          <w:sz w:val="24"/>
        </w:rPr>
        <w:t>0000.00元）</w:t>
      </w:r>
    </w:p>
    <w:p>
      <w:pPr>
        <w:spacing w:line="460" w:lineRule="exact"/>
        <w:ind w:firstLine="600" w:firstLineChars="250"/>
        <w:rPr>
          <w:rFonts w:hint="eastAsia" w:ascii="仿宋" w:hAnsi="仿宋" w:eastAsia="仿宋" w:cs="仿宋"/>
          <w:sz w:val="24"/>
        </w:rPr>
      </w:pPr>
      <w:r>
        <w:rPr>
          <w:rFonts w:hint="eastAsia" w:ascii="仿宋" w:hAnsi="仿宋" w:eastAsia="仿宋" w:cs="仿宋"/>
          <w:sz w:val="24"/>
        </w:rPr>
        <w:t>保证金汇款账号：</w:t>
      </w:r>
    </w:p>
    <w:p>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 xml:space="preserve">保证金账户：陕西炬荣招标代理有限公司 </w:t>
      </w:r>
    </w:p>
    <w:p>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开户银行：中国工商银行股份有限公司西安莲湖路支行</w:t>
      </w:r>
    </w:p>
    <w:p>
      <w:pPr>
        <w:spacing w:line="360" w:lineRule="auto"/>
        <w:ind w:firstLine="241" w:firstLineChars="100"/>
        <w:rPr>
          <w:rFonts w:hint="eastAsia" w:ascii="仿宋" w:hAnsi="仿宋" w:eastAsia="仿宋" w:cs="仿宋"/>
          <w:b/>
          <w:bCs/>
          <w:sz w:val="24"/>
        </w:rPr>
      </w:pPr>
      <w:r>
        <w:rPr>
          <w:rFonts w:hint="eastAsia" w:ascii="仿宋" w:hAnsi="仿宋" w:eastAsia="仿宋" w:cs="仿宋"/>
          <w:b/>
          <w:bCs/>
          <w:sz w:val="24"/>
        </w:rPr>
        <w:t>账    号：3700020709200077327</w:t>
      </w:r>
    </w:p>
    <w:p>
      <w:pPr>
        <w:kinsoku w:val="0"/>
        <w:spacing w:line="500" w:lineRule="exact"/>
        <w:ind w:firstLine="600" w:firstLineChars="250"/>
        <w:rPr>
          <w:rFonts w:hint="eastAsia" w:ascii="仿宋" w:hAnsi="仿宋" w:eastAsia="仿宋" w:cs="仿宋"/>
          <w:sz w:val="24"/>
        </w:rPr>
      </w:pPr>
      <w:r>
        <w:rPr>
          <w:rFonts w:hint="eastAsia" w:ascii="仿宋" w:hAnsi="仿宋" w:eastAsia="仿宋" w:cs="仿宋"/>
          <w:sz w:val="24"/>
        </w:rPr>
        <w:t>投标保证金应当以支票、汇票、本票或者担保机构出具的保函等非现金方式提交。投标保证金有效期与投标响应有效期须保持一致。未提供投标保证金的投标单位视为无效投标。</w:t>
      </w:r>
    </w:p>
    <w:p>
      <w:pPr>
        <w:kinsoku w:val="0"/>
        <w:spacing w:line="500" w:lineRule="exact"/>
        <w:ind w:firstLine="600" w:firstLineChars="250"/>
        <w:rPr>
          <w:rFonts w:hint="eastAsia" w:ascii="仿宋" w:hAnsi="仿宋" w:eastAsia="仿宋" w:cs="仿宋"/>
          <w:sz w:val="24"/>
        </w:rPr>
      </w:pPr>
      <w:r>
        <w:rPr>
          <w:rFonts w:hint="eastAsia" w:ascii="仿宋" w:hAnsi="仿宋" w:eastAsia="仿宋" w:cs="仿宋"/>
          <w:sz w:val="24"/>
        </w:rPr>
        <w:t>投标保证金必须在</w:t>
      </w:r>
      <w:r>
        <w:rPr>
          <w:rFonts w:hint="eastAsia" w:ascii="仿宋" w:hAnsi="仿宋" w:eastAsia="仿宋" w:cs="仿宋"/>
          <w:sz w:val="24"/>
          <w:lang w:val="en-US" w:eastAsia="zh-CN"/>
        </w:rPr>
        <w:t>开标前</w:t>
      </w:r>
      <w:r>
        <w:rPr>
          <w:rFonts w:hint="eastAsia" w:ascii="仿宋" w:hAnsi="仿宋" w:eastAsia="仿宋" w:cs="仿宋"/>
          <w:sz w:val="24"/>
        </w:rPr>
        <w:t>到达采购代理机构指定的账户，并作为有效凭证放置投标文件中。</w:t>
      </w:r>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b/>
          <w:sz w:val="24"/>
        </w:rPr>
      </w:pPr>
      <w:r>
        <w:rPr>
          <w:rFonts w:hint="eastAsia" w:ascii="仿宋" w:hAnsi="仿宋" w:eastAsia="仿宋" w:cs="仿宋"/>
          <w:b/>
          <w:sz w:val="24"/>
        </w:rPr>
        <w:t>备注：1、投标保证金以投标人名称汇款,如以个人汇款，视为无效。</w:t>
      </w:r>
    </w:p>
    <w:p>
      <w:pPr>
        <w:pBdr>
          <w:top w:val="single" w:color="auto" w:sz="4" w:space="1"/>
          <w:left w:val="single" w:color="auto" w:sz="4" w:space="4"/>
          <w:bottom w:val="single" w:color="auto" w:sz="4" w:space="1"/>
          <w:right w:val="single" w:color="auto" w:sz="4" w:space="4"/>
        </w:pBdr>
        <w:spacing w:line="360" w:lineRule="auto"/>
        <w:ind w:firstLine="723" w:firstLineChars="300"/>
        <w:rPr>
          <w:rFonts w:hint="eastAsia" w:ascii="仿宋" w:hAnsi="仿宋" w:eastAsia="仿宋" w:cs="仿宋"/>
          <w:b/>
          <w:sz w:val="24"/>
        </w:rPr>
      </w:pPr>
      <w:r>
        <w:rPr>
          <w:rFonts w:hint="eastAsia" w:ascii="仿宋" w:hAnsi="仿宋" w:eastAsia="仿宋" w:cs="仿宋"/>
          <w:b/>
          <w:sz w:val="24"/>
        </w:rPr>
        <w:t>2、银行转账或电汇凭证标明项目编号：</w:t>
      </w:r>
      <w:r>
        <w:rPr>
          <w:rFonts w:hint="eastAsia" w:ascii="仿宋" w:hAnsi="仿宋" w:eastAsia="仿宋" w:cs="仿宋"/>
          <w:b/>
          <w:sz w:val="24"/>
          <w:lang w:eastAsia="zh-CN"/>
        </w:rPr>
        <w:t>JRZC-2022072</w:t>
      </w:r>
      <w:r>
        <w:rPr>
          <w:rFonts w:hint="eastAsia" w:ascii="仿宋" w:hAnsi="仿宋" w:eastAsia="仿宋" w:cs="仿宋"/>
          <w:b/>
          <w:sz w:val="24"/>
        </w:rPr>
        <w:t>。</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（2）投标保证金有效凭据：需出具缴纳凭证的原件或加盖财务章的复印件，经查验入账后，作为有效的交纳证明。</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（3）投标供应商未交纳、未足额交纳或未按规定时间交纳保证金的，将被视为自动放弃。供应商在资质审查时，不能出具相关有效凭据的，其响应文件按无效文件处理；</w:t>
      </w:r>
    </w:p>
    <w:p>
      <w:pPr>
        <w:spacing w:line="440" w:lineRule="exact"/>
        <w:ind w:firstLine="240" w:firstLineChars="100"/>
        <w:rPr>
          <w:rFonts w:hint="eastAsia" w:ascii="仿宋" w:hAnsi="仿宋" w:eastAsia="仿宋" w:cs="仿宋"/>
          <w:sz w:val="24"/>
        </w:rPr>
      </w:pPr>
      <w:r>
        <w:rPr>
          <w:rFonts w:hint="eastAsia" w:ascii="仿宋" w:hAnsi="仿宋" w:eastAsia="仿宋" w:cs="仿宋"/>
          <w:sz w:val="24"/>
        </w:rPr>
        <w:t>（4）投标保证金的交付单位和投标供应商的名称必须一致，否则将视为投标响应无效；</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（5）自中标通知书发出之日起5个工作日内退还未中标供应商的投标保证金，自政府采购合同签订之日起5个工作日内退还中标供应商的投标保证金；</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（6）联合投标的，可以由联合体中的主体提交投标保证金，以一方名义提交投标保证金，对联合体各方均具有约束力；</w:t>
      </w:r>
    </w:p>
    <w:p>
      <w:pPr>
        <w:spacing w:line="360" w:lineRule="auto"/>
        <w:ind w:firstLine="240" w:firstLineChars="100"/>
        <w:rPr>
          <w:rFonts w:hint="eastAsia" w:ascii="仿宋" w:hAnsi="仿宋" w:eastAsia="仿宋" w:cs="仿宋"/>
          <w:sz w:val="24"/>
        </w:rPr>
      </w:pPr>
      <w:r>
        <w:rPr>
          <w:rFonts w:hint="eastAsia" w:ascii="仿宋" w:hAnsi="仿宋" w:eastAsia="仿宋" w:cs="仿宋"/>
          <w:sz w:val="24"/>
        </w:rPr>
        <w:t>（7）发生下列情况之一，投标保证金将被没收：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A．投标人在投标有效期内，投标人撤销投标文件的；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B．中标人在规定的时间内未能签订合同；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C．由于供应商的原因导致中标无效的。</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6.投标文件的有效期</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投标文件有效期为自开标之日起算</w:t>
      </w:r>
      <w:r>
        <w:rPr>
          <w:rFonts w:hint="eastAsia" w:ascii="仿宋" w:hAnsi="仿宋" w:eastAsia="仿宋" w:cs="仿宋"/>
          <w:color w:val="auto"/>
          <w:sz w:val="24"/>
          <w:highlight w:val="none"/>
          <w:lang w:val="en-US" w:eastAsia="zh-CN"/>
        </w:rPr>
        <w:t>120</w:t>
      </w:r>
      <w:r>
        <w:rPr>
          <w:rFonts w:hint="eastAsia" w:ascii="仿宋" w:hAnsi="仿宋" w:eastAsia="仿宋" w:cs="仿宋"/>
          <w:color w:val="auto"/>
          <w:sz w:val="24"/>
          <w:highlight w:val="none"/>
        </w:rPr>
        <w:t>个日历日；投标文件无投标有效期或有效期短于招标文件规定的投标有效期，按无效文件处理。中标人的投标文件有效期延长至合同执行完毕。</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7.投标文件的签署及规定</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（1）投标人须依据招标文件内容和投标文件格式的要求编制投标文件；</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（2）本次招标需提交</w:t>
      </w:r>
      <w:r>
        <w:rPr>
          <w:rFonts w:hint="eastAsia" w:ascii="仿宋" w:hAnsi="仿宋" w:eastAsia="仿宋" w:cs="仿宋"/>
          <w:color w:val="auto"/>
          <w:sz w:val="24"/>
          <w:highlight w:val="none"/>
          <w:lang w:val="en-US" w:eastAsia="zh-CN"/>
        </w:rPr>
        <w:t>纸质版</w:t>
      </w:r>
      <w:r>
        <w:rPr>
          <w:rFonts w:hint="eastAsia" w:ascii="仿宋" w:hAnsi="仿宋" w:eastAsia="仿宋" w:cs="仿宋"/>
          <w:color w:val="auto"/>
          <w:sz w:val="24"/>
          <w:highlight w:val="none"/>
        </w:rPr>
        <w:t>投标文件</w:t>
      </w:r>
      <w:r>
        <w:rPr>
          <w:rFonts w:hint="eastAsia" w:ascii="仿宋" w:hAnsi="仿宋" w:eastAsia="仿宋" w:cs="仿宋"/>
          <w:b/>
          <w:color w:val="auto"/>
          <w:sz w:val="24"/>
          <w:highlight w:val="none"/>
        </w:rPr>
        <w:t>共伍份，其中正本壹份，副本肆份，资格证明文件一份，开标一览表一份（单独封装），电子版投标文件提供word和PDF版本，用（U盘）拷贝一份;</w:t>
      </w:r>
      <w:r>
        <w:rPr>
          <w:rFonts w:hint="eastAsia" w:ascii="仿宋" w:hAnsi="仿宋" w:eastAsia="仿宋" w:cs="仿宋"/>
          <w:color w:val="auto"/>
          <w:sz w:val="24"/>
          <w:highlight w:val="none"/>
        </w:rPr>
        <w:t>投标文件的正本和所有的副本及资格证明文件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电子版投标文件</w:t>
      </w:r>
      <w:r>
        <w:rPr>
          <w:rFonts w:hint="eastAsia" w:ascii="仿宋" w:hAnsi="仿宋" w:eastAsia="仿宋" w:cs="仿宋"/>
          <w:color w:val="auto"/>
          <w:sz w:val="24"/>
          <w:highlight w:val="none"/>
        </w:rPr>
        <w:t>均需打印或用不褪色的蓝（黑）墨水填写，注明“正本”“副本”“资格证明文件”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开标一览表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字样，统一胶装、编码；</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（3）投标人在投标文件须逐页加盖公章； </w:t>
      </w:r>
    </w:p>
    <w:p>
      <w:pPr>
        <w:spacing w:line="360" w:lineRule="auto"/>
        <w:ind w:left="476" w:leftChars="172" w:hanging="115" w:hangingChars="48"/>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（4）投标人名称应填写全称，同时加盖公章；</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（5）投标文件的任何行间插字、涂改和增删，必须由法定代表人在改动处旁签字并加盖公章方为有效；</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（6）投标文件因字迹潦草或表达不清所引起的后果由投标人负责。</w:t>
      </w:r>
    </w:p>
    <w:p>
      <w:pPr>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8.文字要求</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本次招标只接受简体中文文字的投标文件，字体为仿宋体，数字为阿拉伯数字，纸张为Ａ4,统一装订并标明页码。</w:t>
      </w:r>
    </w:p>
    <w:p>
      <w:pPr>
        <w:spacing w:line="48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9、本项目不接受联合体投标</w:t>
      </w:r>
    </w:p>
    <w:p>
      <w:pPr>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五、投标文件密封、递交</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1.投标文件的密封及标记</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（1）投标文件的封装：</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A．响应供应商应将响应文件的正本、副本、资质证明、电子版文件分别用单独的封袋密封（封袋不得有破损），在封袋上标明“正本”、“副本”或“</w:t>
      </w:r>
      <w:r>
        <w:rPr>
          <w:rFonts w:hint="eastAsia" w:ascii="仿宋" w:hAnsi="仿宋" w:eastAsia="仿宋" w:cs="仿宋"/>
          <w:sz w:val="24"/>
          <w:lang w:val="en-US" w:eastAsia="zh-CN"/>
        </w:rPr>
        <w:t>资格</w:t>
      </w:r>
      <w:r>
        <w:rPr>
          <w:rFonts w:hint="eastAsia" w:ascii="仿宋" w:hAnsi="仿宋" w:eastAsia="仿宋" w:cs="仿宋"/>
          <w:sz w:val="24"/>
        </w:rPr>
        <w:t>证明文件”“电子版”</w:t>
      </w:r>
      <w:r>
        <w:rPr>
          <w:rFonts w:hint="eastAsia" w:ascii="仿宋" w:hAnsi="仿宋" w:eastAsia="仿宋" w:cs="仿宋"/>
          <w:sz w:val="24"/>
          <w:lang w:eastAsia="zh-CN"/>
        </w:rPr>
        <w:t>“</w:t>
      </w:r>
      <w:r>
        <w:rPr>
          <w:rFonts w:hint="eastAsia" w:ascii="仿宋" w:hAnsi="仿宋" w:eastAsia="仿宋" w:cs="仿宋"/>
          <w:sz w:val="24"/>
          <w:lang w:val="en-US" w:eastAsia="zh-CN"/>
        </w:rPr>
        <w:t>开标一览表</w:t>
      </w:r>
      <w:r>
        <w:rPr>
          <w:rFonts w:hint="eastAsia" w:ascii="仿宋" w:hAnsi="仿宋" w:eastAsia="仿宋" w:cs="仿宋"/>
          <w:sz w:val="24"/>
          <w:lang w:eastAsia="zh-CN"/>
        </w:rPr>
        <w:t>”</w:t>
      </w:r>
      <w:r>
        <w:rPr>
          <w:rFonts w:hint="eastAsia" w:ascii="仿宋" w:hAnsi="仿宋" w:eastAsia="仿宋" w:cs="仿宋"/>
          <w:sz w:val="24"/>
        </w:rPr>
        <w:t>字样，封袋应加贴封条，并在封线处加盖供应商公章及法人章，封袋正面要粘贴标识；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B.封袋正面标识包含：</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1.采购人名称、项目名称、项目编号；</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2.供应商名称；</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3.正本或副本或电子版或资质证明文件</w:t>
      </w:r>
      <w:r>
        <w:rPr>
          <w:rFonts w:hint="eastAsia" w:ascii="仿宋" w:hAnsi="仿宋" w:eastAsia="仿宋" w:cs="仿宋"/>
          <w:sz w:val="24"/>
          <w:lang w:val="en-US" w:eastAsia="zh-CN"/>
        </w:rPr>
        <w:t>或开标一览表</w:t>
      </w:r>
      <w:r>
        <w:rPr>
          <w:rFonts w:hint="eastAsia" w:ascii="仿宋" w:hAnsi="仿宋" w:eastAsia="仿宋" w:cs="仿宋"/>
          <w:sz w:val="24"/>
        </w:rPr>
        <w:t>；</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4.响应文件在2022年  月  日  时  分前不得开启。</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（2）如果投标人未按上述要求密封及加写标记的投标文件、误投、过早启封的投标文件，采购代理机构将拒绝接收，并退回投标人。采购代理机构对投标文件的误投和提前启封概不负责。</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2.投标文件递交</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）本项目采用电子化投标的方式，相关操作流程详见全国公共资源交易平台（陕西省）网站[服务指南-下载专区]中的《陕西省公共资源交易中心政府采购项目投标指南》；</w:t>
      </w:r>
      <w:r>
        <w:rPr>
          <w:rFonts w:hint="eastAsia" w:ascii="仿宋" w:hAnsi="仿宋" w:eastAsia="仿宋" w:cs="仿宋"/>
          <w:color w:val="auto"/>
          <w:sz w:val="24"/>
          <w:highlight w:val="none"/>
          <w:lang w:val="en-US" w:eastAsia="zh-CN"/>
        </w:rPr>
        <w:t xml:space="preserve">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）电子投标文件可于提交投标文件截止时间前任意时段进行提交，逾期系统将拒绝接收。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）纸质版投标文件递交地点：延安市为民服务中心7号楼二楼（延安市公共资源交易</w:t>
      </w:r>
      <w:r>
        <w:rPr>
          <w:rFonts w:hint="eastAsia" w:ascii="仿宋" w:hAnsi="仿宋" w:eastAsia="仿宋" w:cs="仿宋"/>
          <w:color w:val="auto"/>
          <w:sz w:val="24"/>
          <w:highlight w:val="none"/>
          <w:lang w:val="en-US" w:eastAsia="zh-CN"/>
        </w:rPr>
        <w:t>1厅</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）投标人必须在招标文件规定的开标时间和地点，将全部</w:t>
      </w:r>
      <w:r>
        <w:rPr>
          <w:rFonts w:hint="eastAsia" w:ascii="仿宋" w:hAnsi="仿宋" w:eastAsia="仿宋" w:cs="仿宋"/>
          <w:color w:val="auto"/>
          <w:sz w:val="24"/>
          <w:highlight w:val="none"/>
          <w:lang w:val="en-US" w:eastAsia="zh-CN"/>
        </w:rPr>
        <w:t>纸质版</w:t>
      </w:r>
      <w:r>
        <w:rPr>
          <w:rFonts w:hint="eastAsia" w:ascii="仿宋" w:hAnsi="仿宋" w:eastAsia="仿宋" w:cs="仿宋"/>
          <w:color w:val="auto"/>
          <w:sz w:val="24"/>
          <w:highlight w:val="none"/>
        </w:rPr>
        <w:t>投标文件递交至开标现场；</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）采购代理机构项目负责人在招标文件规定的投标文件递交截止时间前，只负责</w:t>
      </w:r>
      <w:r>
        <w:rPr>
          <w:rFonts w:hint="eastAsia" w:ascii="仿宋" w:hAnsi="仿宋" w:eastAsia="仿宋" w:cs="仿宋"/>
          <w:color w:val="auto"/>
          <w:sz w:val="24"/>
          <w:highlight w:val="none"/>
          <w:lang w:val="en-US" w:eastAsia="zh-CN"/>
        </w:rPr>
        <w:t>纸质版</w:t>
      </w:r>
      <w:r>
        <w:rPr>
          <w:rFonts w:hint="eastAsia" w:ascii="仿宋" w:hAnsi="仿宋" w:eastAsia="仿宋" w:cs="仿宋"/>
          <w:color w:val="auto"/>
          <w:sz w:val="24"/>
          <w:highlight w:val="none"/>
        </w:rPr>
        <w:t>投标文件的接收、清点、造册登记工作，并请法定代表人或被授权人签字确认，对其有效性不负任何责任；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）采购代理机构在宣布递交投标文件截止时间之后，拒绝接收任何人送达、递交的</w:t>
      </w:r>
      <w:r>
        <w:rPr>
          <w:rFonts w:hint="eastAsia" w:ascii="仿宋" w:hAnsi="仿宋" w:eastAsia="仿宋" w:cs="仿宋"/>
          <w:color w:val="auto"/>
          <w:sz w:val="24"/>
          <w:highlight w:val="none"/>
          <w:lang w:val="en-US" w:eastAsia="zh-CN"/>
        </w:rPr>
        <w:t>纸质版</w:t>
      </w:r>
      <w:r>
        <w:rPr>
          <w:rFonts w:hint="eastAsia" w:ascii="仿宋" w:hAnsi="仿宋" w:eastAsia="仿宋" w:cs="仿宋"/>
          <w:color w:val="auto"/>
          <w:sz w:val="24"/>
          <w:highlight w:val="none"/>
        </w:rPr>
        <w:t>投标文件；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）无论投标人中标与否或者废标，其投标文件恕不退还。</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3.投标截止时间</w:t>
      </w:r>
    </w:p>
    <w:p>
      <w:pPr>
        <w:kinsoku w:val="0"/>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w:t>
      </w:r>
      <w:r>
        <w:rPr>
          <w:rFonts w:hint="eastAsia" w:ascii="仿宋" w:hAnsi="仿宋" w:eastAsia="仿宋" w:cs="仿宋"/>
          <w:color w:val="auto"/>
          <w:spacing w:val="6"/>
          <w:sz w:val="24"/>
          <w:highlight w:val="none"/>
        </w:rPr>
        <w:t>必须在招标文件规定的递交截止时间之前递交投标文件，</w:t>
      </w:r>
      <w:r>
        <w:rPr>
          <w:rFonts w:hint="eastAsia" w:ascii="仿宋" w:hAnsi="仿宋" w:eastAsia="仿宋" w:cs="仿宋"/>
          <w:color w:val="auto"/>
          <w:sz w:val="24"/>
          <w:highlight w:val="none"/>
        </w:rPr>
        <w:t>采购代理机构在截止时间后拒绝接收任何投标文件；</w:t>
      </w:r>
    </w:p>
    <w:p>
      <w:pPr>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（2）因采购人推迟投标截止时间时，采购代理机构应以书面（或传真、电话）的形式，通知所有投标人；在这种情况下，采购代理机构和投标人的权利和义务将受到新的截止期的约束。</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4.投标文件的修改和撤回</w:t>
      </w:r>
    </w:p>
    <w:p>
      <w:pPr>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（1）投标文件递交后，如果投标人提出书面修改和撤回投标文件要求，在投标截止时间前以书面形式送达采购代理机构，采购代理机构可以予以接受，但不退还投标文件；</w:t>
      </w:r>
    </w:p>
    <w:p>
      <w:pPr>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（2）投标人修改投标文件的书面材料，须密封送达采购代理机构，修改或补充的内容应按招标文件要求签署、盖章、密封、标记，并作为投标文件的组成部分；</w:t>
      </w:r>
    </w:p>
    <w:p>
      <w:pPr>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（3）撤回投标文件应以书面的形式通知采购代理机构；</w:t>
      </w:r>
    </w:p>
    <w:p>
      <w:pPr>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（4）在投标截止时间后到招标文件规定的投标有效期满之间的这段时间内，投标人不得撤回其投标文件，如有发生，其投标保证金将被没收；</w:t>
      </w:r>
    </w:p>
    <w:p>
      <w:pPr>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（5）投标人在投标文件递交截止时间后，不得对其投标文件做任何修改。</w:t>
      </w:r>
    </w:p>
    <w:p>
      <w:pPr>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六、开标、评标、定标</w:t>
      </w:r>
    </w:p>
    <w:p>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1、开标</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（1）采购代理机构按招标文件规定的时间、地点组织公开开标大会。</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（2）开标大会由采购代理机构主持，采购人参会人员、投标人代表及有关工作人员参加，参加开标的代表应签名报到，以证明其出席。</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开标时，由投标人或者其推选的代表检查投标文件的密封情况，经确认无误后，由采购代理机构工作人员当众拆封，以公开唱价的形式将开标一览表（报价表）的内容公布，宣布投标人名称、投标价格和招标文件中规定的需要宣布的其他内容，采购代理机构指定专人负责记录，由参加开标的各投标人代表和相关工作人员签字确认后并存档备案。</w:t>
      </w: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2、评标委员会组成与职责</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2.1为确保评标工作公开、公平、公正，依法成立评标委员会。评标委员会由采购人代表及评审专家组成，成员人数为5人以上单数，其中评审专家不得少于成员总数的三分之二，</w:t>
      </w:r>
      <w:r>
        <w:rPr>
          <w:rFonts w:hint="eastAsia" w:ascii="仿宋" w:hAnsi="仿宋" w:eastAsia="仿宋" w:cs="仿宋"/>
          <w:color w:val="auto"/>
          <w:spacing w:val="6"/>
          <w:sz w:val="24"/>
          <w:highlight w:val="none"/>
        </w:rPr>
        <w:t>采购预算金额在1000万元以上、技术复杂的项目或者社会影响较大的项目，评标委员会成员应当为7人以上。</w:t>
      </w:r>
      <w:r>
        <w:rPr>
          <w:rFonts w:hint="eastAsia" w:ascii="仿宋" w:hAnsi="仿宋" w:eastAsia="仿宋" w:cs="仿宋"/>
          <w:color w:val="auto"/>
          <w:sz w:val="24"/>
          <w:highlight w:val="none"/>
        </w:rPr>
        <w:t>专家名单由有关人员从省级以上的财政部门设立的政府采购评审专家库中随机抽取，评标委员会成员应当遵守并履行下列责任和义务：</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A、要严格遵守政府采购相关法律制度，依法履行各自职责，公正、客观、审慎地组织和参与评审工作；</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B、审查、评价投标文件是否符合招标文件的商务、技术等实质性要求；</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C、要求投标人对投标文件有关事项作出澄清或说明；</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D、按招标文件规定的评审方法和标准，对投标文件进行比较和评价；对投标人的客观评分项的评分应当一致；</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E、要依法独立评审，按照招标文件的要求和评标标准进行评标，推荐中标候选人名单，对评审意见承担个人责任；</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G、对评审情况以及在评审过程中获悉的国家秘密、商业秘密负有保密责任；</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H、向采购人、采购代理机构或者有关部门报告评标中发现的违法行为；</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I、配合采购人、采购代理机构答复投标人提出的质疑；</w:t>
      </w:r>
    </w:p>
    <w:p>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J、配合财政部门处理投诉工作。</w:t>
      </w:r>
    </w:p>
    <w:p>
      <w:pPr>
        <w:pStyle w:val="14"/>
        <w:shd w:val="clear" w:color="auto" w:fill="FFFFFF"/>
        <w:spacing w:before="0" w:beforeAutospacing="0" w:after="0" w:afterAutospacing="0" w:line="360" w:lineRule="auto"/>
        <w:ind w:firstLine="480" w:firstLineChars="200"/>
        <w:rPr>
          <w:rFonts w:hint="eastAsia" w:ascii="仿宋" w:hAnsi="仿宋" w:eastAsia="仿宋" w:cs="仿宋"/>
          <w:bCs/>
          <w:color w:val="auto"/>
          <w:kern w:val="2"/>
          <w:szCs w:val="24"/>
          <w:highlight w:val="none"/>
        </w:rPr>
      </w:pPr>
      <w:r>
        <w:rPr>
          <w:rFonts w:hint="eastAsia" w:ascii="仿宋" w:hAnsi="仿宋" w:eastAsia="仿宋" w:cs="仿宋"/>
          <w:bCs/>
          <w:color w:val="auto"/>
          <w:kern w:val="2"/>
          <w:szCs w:val="24"/>
          <w:highlight w:val="none"/>
        </w:rPr>
        <w:t>对技术复杂、专业性强的采购项目，通过随机方式难以确定合适评审专家的，经主管预算单位同意，采购人或采购代理机构可以自行选定相应专业领域的评审专家。</w:t>
      </w:r>
    </w:p>
    <w:p>
      <w:pPr>
        <w:spacing w:line="360" w:lineRule="auto"/>
        <w:ind w:left="120" w:leftChars="5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2.2评标委会成员到位后，推荐一名评审专家担任评标组长，并由评标组长牵头组织该项目评标工作，采购人授权的评审专家，不得担任评标组长。</w:t>
      </w:r>
    </w:p>
    <w:p>
      <w:pPr>
        <w:spacing w:line="360" w:lineRule="auto"/>
        <w:ind w:left="120" w:leftChars="5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2.3评委会成员有下列情形之一的，应当回避：</w:t>
      </w:r>
    </w:p>
    <w:p>
      <w:pPr>
        <w:spacing w:line="360" w:lineRule="auto"/>
        <w:ind w:left="120" w:leftChars="5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（1）采购人或投标人主要负责人的近亲属；</w:t>
      </w:r>
    </w:p>
    <w:p>
      <w:pPr>
        <w:spacing w:line="360" w:lineRule="auto"/>
        <w:ind w:left="120" w:leftChars="5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（2）与投标人有经济利益关系，可能影响对投标公正评审的；</w:t>
      </w:r>
    </w:p>
    <w:p>
      <w:pPr>
        <w:spacing w:line="360" w:lineRule="auto"/>
        <w:ind w:left="120" w:leftChars="5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（3）曾因在招标、评标以及其他与招标投标有关活动中从事违法行为而受过行政处罚或刑事处罚的。</w:t>
      </w:r>
    </w:p>
    <w:p>
      <w:pPr>
        <w:spacing w:line="360" w:lineRule="auto"/>
        <w:ind w:left="120" w:leftChars="5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2.4 评委会成员名单在中标结果公告前，应当保密。</w:t>
      </w:r>
    </w:p>
    <w:p>
      <w:pPr>
        <w:spacing w:line="440" w:lineRule="exact"/>
        <w:ind w:left="-122" w:leftChars="-58"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3.投标人资格审查</w:t>
      </w:r>
    </w:p>
    <w:p>
      <w:pPr>
        <w:overflowPunct w:val="0"/>
        <w:adjustRightInd w:val="0"/>
        <w:snapToGrid w:val="0"/>
        <w:spacing w:line="500" w:lineRule="exact"/>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3.1 投标人的资格性审查</w:t>
      </w:r>
    </w:p>
    <w:p>
      <w:pPr>
        <w:overflowPunct w:val="0"/>
        <w:adjustRightInd w:val="0"/>
        <w:snapToGrid w:val="0"/>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依据法律法规和招标文件的规定，由采购人或代理机构对投标人的资格证明文件进行审查，以确保投标人是否具备相应资格。</w:t>
      </w:r>
    </w:p>
    <w:p>
      <w:pPr>
        <w:overflowPunct w:val="0"/>
        <w:adjustRightInd w:val="0"/>
        <w:snapToGrid w:val="0"/>
        <w:spacing w:line="500" w:lineRule="exact"/>
        <w:ind w:left="4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3.2 投标文件符合性审查</w:t>
      </w:r>
    </w:p>
    <w:p>
      <w:pPr>
        <w:pStyle w:val="1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依据法律法规和招标文件的规定，由评标委员会对符合资格要求的投标人的投标文件有效性、完整性和对招标文件的响应程度进行符合性审查，以确定是否对招标文件的实质性内容作出响应。</w:t>
      </w:r>
      <w:r>
        <w:rPr>
          <w:rFonts w:hint="eastAsia" w:ascii="仿宋" w:hAnsi="仿宋" w:eastAsia="仿宋" w:cs="仿宋"/>
          <w:color w:val="auto"/>
          <w:sz w:val="24"/>
          <w:szCs w:val="24"/>
          <w:highlight w:val="none"/>
        </w:rPr>
        <w:t>投标文件的符合性评审（合格性、完整性、有效性），具体审查：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591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08" w:type="dxa"/>
            <w:vAlign w:val="center"/>
          </w:tcPr>
          <w:p>
            <w:pPr>
              <w:spacing w:line="240" w:lineRule="auto"/>
              <w:jc w:val="center"/>
              <w:rPr>
                <w:rFonts w:hint="eastAsia" w:ascii="仿宋" w:hAnsi="仿宋" w:eastAsia="仿宋" w:cs="仿宋"/>
                <w:sz w:val="24"/>
              </w:rPr>
            </w:pPr>
            <w:r>
              <w:rPr>
                <w:rFonts w:hint="eastAsia" w:ascii="仿宋" w:hAnsi="仿宋" w:eastAsia="仿宋" w:cs="仿宋"/>
                <w:b/>
                <w:sz w:val="24"/>
              </w:rPr>
              <w:t>序号</w:t>
            </w:r>
          </w:p>
        </w:tc>
        <w:tc>
          <w:tcPr>
            <w:tcW w:w="5914" w:type="dxa"/>
            <w:vAlign w:val="center"/>
          </w:tcPr>
          <w:p>
            <w:pPr>
              <w:spacing w:line="240" w:lineRule="auto"/>
              <w:jc w:val="center"/>
              <w:rPr>
                <w:rFonts w:hint="eastAsia" w:ascii="仿宋" w:hAnsi="仿宋" w:eastAsia="仿宋" w:cs="仿宋"/>
                <w:sz w:val="24"/>
              </w:rPr>
            </w:pPr>
            <w:r>
              <w:rPr>
                <w:rFonts w:hint="eastAsia" w:ascii="仿宋" w:hAnsi="仿宋" w:eastAsia="仿宋" w:cs="仿宋"/>
                <w:b/>
                <w:sz w:val="24"/>
              </w:rPr>
              <w:t>符合性审查内容</w:t>
            </w:r>
          </w:p>
        </w:tc>
        <w:tc>
          <w:tcPr>
            <w:tcW w:w="1700" w:type="dxa"/>
            <w:vAlign w:val="center"/>
          </w:tcPr>
          <w:p>
            <w:pPr>
              <w:spacing w:line="240" w:lineRule="auto"/>
              <w:jc w:val="center"/>
              <w:rPr>
                <w:rFonts w:hint="eastAsia" w:ascii="仿宋" w:hAnsi="仿宋" w:eastAsia="仿宋" w:cs="仿宋"/>
                <w:sz w:val="24"/>
              </w:rPr>
            </w:pPr>
            <w:r>
              <w:rPr>
                <w:rFonts w:hint="eastAsia" w:ascii="仿宋" w:hAnsi="仿宋" w:eastAsia="仿宋" w:cs="仿宋"/>
                <w:b/>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1</w:t>
            </w:r>
          </w:p>
        </w:tc>
        <w:tc>
          <w:tcPr>
            <w:tcW w:w="5914" w:type="dxa"/>
          </w:tcPr>
          <w:p>
            <w:pPr>
              <w:overflowPunct w:val="0"/>
              <w:adjustRightInd w:val="0"/>
              <w:snapToGrid w:val="0"/>
              <w:spacing w:line="500" w:lineRule="exact"/>
              <w:rPr>
                <w:rFonts w:hint="eastAsia" w:ascii="仿宋" w:hAnsi="仿宋" w:eastAsia="仿宋" w:cs="仿宋"/>
                <w:sz w:val="24"/>
              </w:rPr>
            </w:pPr>
            <w:r>
              <w:rPr>
                <w:rFonts w:hint="eastAsia" w:ascii="仿宋" w:hAnsi="仿宋" w:eastAsia="仿宋" w:cs="仿宋"/>
                <w:sz w:val="24"/>
                <w:lang w:val="en-US" w:eastAsia="zh-CN"/>
              </w:rPr>
              <w:t>纸质投标文件正、副本数量及装订方式</w:t>
            </w:r>
            <w:r>
              <w:rPr>
                <w:rFonts w:hint="eastAsia" w:ascii="仿宋" w:hAnsi="仿宋" w:eastAsia="仿宋" w:cs="仿宋"/>
                <w:sz w:val="24"/>
              </w:rPr>
              <w:t>是否符合</w:t>
            </w:r>
            <w:r>
              <w:rPr>
                <w:rFonts w:hint="eastAsia" w:ascii="仿宋" w:hAnsi="仿宋" w:eastAsia="仿宋" w:cs="仿宋"/>
                <w:sz w:val="24"/>
                <w:lang w:val="en-US" w:eastAsia="zh-CN"/>
              </w:rPr>
              <w:t>招标</w:t>
            </w:r>
            <w:r>
              <w:rPr>
                <w:rFonts w:hint="eastAsia" w:ascii="仿宋" w:hAnsi="仿宋" w:eastAsia="仿宋" w:cs="仿宋"/>
                <w:sz w:val="24"/>
              </w:rPr>
              <w:t>文件要求</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2</w:t>
            </w:r>
          </w:p>
        </w:tc>
        <w:tc>
          <w:tcPr>
            <w:tcW w:w="5914" w:type="dxa"/>
          </w:tcPr>
          <w:p>
            <w:pPr>
              <w:pStyle w:val="10"/>
              <w:overflowPunct w:val="0"/>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rPr>
              <w:t>投标文件以下三处的项目名称、项目编号、标段与本项目完全一致，无遗漏</w:t>
            </w:r>
            <w:r>
              <w:rPr>
                <w:rFonts w:hint="eastAsia" w:ascii="仿宋" w:hAnsi="仿宋" w:eastAsia="仿宋" w:cs="仿宋"/>
                <w:sz w:val="24"/>
                <w:lang w:eastAsia="zh-CN"/>
              </w:rPr>
              <w:t>且与所投项目名称、项目编号完全一致。</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3</w:t>
            </w:r>
          </w:p>
        </w:tc>
        <w:tc>
          <w:tcPr>
            <w:tcW w:w="5914"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投标文件</w:t>
            </w:r>
            <w:r>
              <w:rPr>
                <w:rFonts w:hint="eastAsia" w:ascii="仿宋" w:hAnsi="仿宋" w:eastAsia="仿宋" w:cs="仿宋"/>
                <w:sz w:val="24"/>
                <w:lang w:val="en-US" w:eastAsia="zh-CN"/>
              </w:rPr>
              <w:t>的</w:t>
            </w:r>
            <w:r>
              <w:rPr>
                <w:rFonts w:hint="eastAsia" w:ascii="仿宋" w:hAnsi="仿宋" w:eastAsia="仿宋" w:cs="仿宋"/>
                <w:sz w:val="24"/>
              </w:rPr>
              <w:t>签署、盖章均符合招标文件要求，且无遗漏。</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5914"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供货期、</w:t>
            </w:r>
            <w:r>
              <w:rPr>
                <w:rFonts w:hint="eastAsia" w:ascii="仿宋" w:hAnsi="仿宋" w:eastAsia="仿宋" w:cs="仿宋"/>
                <w:sz w:val="24"/>
              </w:rPr>
              <w:t>质保期是否满足招标文件最低要求；</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5914" w:type="dxa"/>
          </w:tcPr>
          <w:p>
            <w:pPr>
              <w:pStyle w:val="10"/>
              <w:overflowPunct w:val="0"/>
              <w:adjustRightInd w:val="0"/>
              <w:snapToGrid w:val="0"/>
              <w:spacing w:line="360" w:lineRule="auto"/>
              <w:rPr>
                <w:rFonts w:hint="eastAsia" w:ascii="仿宋" w:hAnsi="仿宋" w:eastAsia="仿宋" w:cs="仿宋"/>
                <w:sz w:val="24"/>
                <w:lang w:val="en-US" w:eastAsia="zh-CN"/>
              </w:rPr>
            </w:pPr>
            <w:r>
              <w:rPr>
                <w:rFonts w:hint="eastAsia" w:ascii="仿宋" w:hAnsi="仿宋" w:eastAsia="仿宋" w:cs="仿宋"/>
                <w:sz w:val="24"/>
                <w:highlight w:val="none"/>
              </w:rPr>
              <w:t>投标保证金的有效性</w:t>
            </w:r>
            <w:r>
              <w:rPr>
                <w:rFonts w:hint="eastAsia" w:ascii="仿宋" w:hAnsi="仿宋" w:eastAsia="仿宋" w:cs="仿宋"/>
                <w:sz w:val="24"/>
                <w:highlight w:val="none"/>
                <w:lang w:eastAsia="zh-CN"/>
              </w:rPr>
              <w:t>：以转账、网银等方式交纳的，保证金从基本存款账户足额交纳；以保函方式交纳的，有财务部门开具的收据。</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5914"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投标有效期是否满足招标文件最低要求；</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5914" w:type="dxa"/>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投标报价：</w:t>
            </w:r>
            <w:r>
              <w:rPr>
                <w:rFonts w:hint="eastAsia" w:ascii="仿宋" w:hAnsi="仿宋" w:eastAsia="仿宋" w:cs="仿宋"/>
                <w:sz w:val="24"/>
              </w:rPr>
              <w:t>（1）投标报价符合唯一性要求：</w:t>
            </w:r>
          </w:p>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（2）开标一览表填写符合要求；</w:t>
            </w:r>
          </w:p>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（3）计量单位、报价货币均符合招标文件要求；</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5914" w:type="dxa"/>
            <w:vAlign w:val="top"/>
          </w:tcPr>
          <w:p>
            <w:pPr>
              <w:pStyle w:val="10"/>
              <w:overflowPunct w:val="0"/>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rPr>
              <w:t>实质性条款响应</w:t>
            </w:r>
            <w:r>
              <w:rPr>
                <w:rFonts w:hint="eastAsia" w:ascii="仿宋" w:hAnsi="仿宋" w:eastAsia="仿宋" w:cs="仿宋"/>
                <w:sz w:val="24"/>
                <w:lang w:eastAsia="zh-CN"/>
              </w:rPr>
              <w:t>：</w:t>
            </w:r>
            <w:r>
              <w:rPr>
                <w:rFonts w:hint="eastAsia" w:ascii="仿宋" w:hAnsi="仿宋" w:eastAsia="仿宋" w:cs="仿宋"/>
                <w:sz w:val="24"/>
              </w:rPr>
              <w:t>完全响应招标文件要求的各项技术/服务/商务实质性条款。</w:t>
            </w:r>
          </w:p>
        </w:tc>
        <w:tc>
          <w:tcPr>
            <w:tcW w:w="1700" w:type="dxa"/>
            <w:vAlign w:val="top"/>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5914" w:type="dxa"/>
            <w:vAlign w:val="top"/>
          </w:tcPr>
          <w:p>
            <w:pPr>
              <w:pStyle w:val="10"/>
              <w:overflowPunct w:val="0"/>
              <w:adjustRightInd w:val="0"/>
              <w:snapToGrid w:val="0"/>
              <w:spacing w:line="360" w:lineRule="auto"/>
              <w:rPr>
                <w:rFonts w:hint="eastAsia" w:ascii="仿宋" w:hAnsi="仿宋" w:eastAsia="仿宋" w:cs="仿宋"/>
                <w:b/>
                <w:bCs/>
                <w:sz w:val="24"/>
              </w:rPr>
            </w:pPr>
            <w:r>
              <w:rPr>
                <w:rFonts w:hint="eastAsia" w:ascii="仿宋" w:hAnsi="仿宋" w:eastAsia="仿宋" w:cs="仿宋"/>
                <w:sz w:val="24"/>
              </w:rPr>
              <w:t>合同条款：</w:t>
            </w:r>
            <w:r>
              <w:rPr>
                <w:rFonts w:hint="eastAsia" w:ascii="仿宋" w:hAnsi="仿宋" w:eastAsia="仿宋" w:cs="仿宋"/>
                <w:sz w:val="24"/>
                <w:lang w:val="en-US" w:eastAsia="zh-CN"/>
              </w:rPr>
              <w:t>是否</w:t>
            </w:r>
            <w:r>
              <w:rPr>
                <w:rFonts w:hint="eastAsia" w:ascii="仿宋" w:hAnsi="仿宋" w:eastAsia="仿宋" w:cs="仿宋"/>
                <w:sz w:val="24"/>
              </w:rPr>
              <w:t>完全理解并接受</w:t>
            </w:r>
            <w:r>
              <w:rPr>
                <w:rFonts w:hint="eastAsia" w:ascii="仿宋" w:hAnsi="仿宋" w:eastAsia="仿宋" w:cs="仿宋"/>
                <w:sz w:val="24"/>
                <w:lang w:val="en-US" w:eastAsia="zh-CN"/>
              </w:rPr>
              <w:t>招标</w:t>
            </w:r>
            <w:r>
              <w:rPr>
                <w:rFonts w:hint="eastAsia" w:ascii="仿宋" w:hAnsi="仿宋" w:eastAsia="仿宋" w:cs="仿宋"/>
                <w:sz w:val="24"/>
              </w:rPr>
              <w:t>文件合同基本条款要求的描述</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5914" w:type="dxa"/>
            <w:vAlign w:val="top"/>
          </w:tcPr>
          <w:p>
            <w:pPr>
              <w:pStyle w:val="10"/>
              <w:overflowPunct w:val="0"/>
              <w:adjustRightInd w:val="0"/>
              <w:snapToGrid w:val="0"/>
              <w:spacing w:line="360" w:lineRule="auto"/>
              <w:rPr>
                <w:rFonts w:hint="eastAsia" w:ascii="仿宋" w:hAnsi="仿宋" w:eastAsia="仿宋" w:cs="仿宋"/>
                <w:sz w:val="24"/>
              </w:rPr>
            </w:pPr>
            <w:r>
              <w:rPr>
                <w:rFonts w:hint="eastAsia" w:ascii="仿宋" w:hAnsi="仿宋" w:eastAsia="仿宋" w:cs="仿宋"/>
                <w:sz w:val="24"/>
              </w:rPr>
              <w:t>完全理解并接受法律法规和招标文件对供应商的各项须知、规约要求和责任义务，没有出现法律法规或招标文件明确规定的其他被视为“无效投标”的情形。</w:t>
            </w:r>
          </w:p>
        </w:tc>
        <w:tc>
          <w:tcPr>
            <w:tcW w:w="1700" w:type="dxa"/>
          </w:tcPr>
          <w:p>
            <w:pPr>
              <w:overflowPunct w:val="0"/>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tcPr>
          <w:p>
            <w:pPr>
              <w:overflowPunct w:val="0"/>
              <w:adjustRightInd w:val="0"/>
              <w:snapToGrid w:val="0"/>
              <w:spacing w:line="500" w:lineRule="exact"/>
              <w:jc w:val="center"/>
              <w:rPr>
                <w:rFonts w:hint="eastAsia" w:ascii="仿宋" w:hAnsi="仿宋" w:eastAsia="仿宋" w:cs="仿宋"/>
                <w:sz w:val="24"/>
                <w:lang w:val="en-US" w:eastAsia="zh-CN"/>
              </w:rPr>
            </w:pPr>
          </w:p>
        </w:tc>
        <w:tc>
          <w:tcPr>
            <w:tcW w:w="5914" w:type="dxa"/>
          </w:tcPr>
          <w:p>
            <w:pPr>
              <w:pStyle w:val="10"/>
              <w:overflowPunct w:val="0"/>
              <w:adjustRightInd w:val="0"/>
              <w:snapToGrid w:val="0"/>
              <w:spacing w:line="360" w:lineRule="auto"/>
              <w:rPr>
                <w:rFonts w:hint="eastAsia" w:ascii="仿宋" w:hAnsi="仿宋" w:eastAsia="仿宋" w:cs="仿宋"/>
                <w:sz w:val="24"/>
              </w:rPr>
            </w:pPr>
          </w:p>
        </w:tc>
        <w:tc>
          <w:tcPr>
            <w:tcW w:w="1700" w:type="dxa"/>
          </w:tcPr>
          <w:p>
            <w:pPr>
              <w:overflowPunct w:val="0"/>
              <w:adjustRightInd w:val="0"/>
              <w:snapToGrid w:val="0"/>
              <w:spacing w:line="500" w:lineRule="exact"/>
              <w:jc w:val="center"/>
              <w:rPr>
                <w:rFonts w:hint="eastAsia" w:ascii="仿宋" w:hAnsi="仿宋" w:eastAsia="仿宋" w:cs="仿宋"/>
                <w:sz w:val="24"/>
              </w:rPr>
            </w:pPr>
          </w:p>
        </w:tc>
      </w:tr>
    </w:tbl>
    <w:p>
      <w:pPr>
        <w:overflowPunct w:val="0"/>
        <w:adjustRightInd w:val="0"/>
        <w:snapToGrid w:val="0"/>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对通过审查的，被认为其投标文件完整、合格，投标有效，可进入下阶段的评标。</w:t>
      </w:r>
    </w:p>
    <w:p>
      <w:pPr>
        <w:overflowPunct w:val="0"/>
        <w:adjustRightInd w:val="0"/>
        <w:snapToGrid w:val="0"/>
        <w:spacing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 3.3 经过对投标人资格审查及投标文件符合性审查，出现下列情况者（但不限于），按无效投标处理：</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A、投标人的投标报价超过采购预算或者最高限价；</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B、投标人未经过正常渠道购买招标文件，或投标人名称与购买招标文件时登记的投标人名称不符的；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 xml:space="preserve">C、投标文件的签署、盖章不符合招标文件要求； </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D、投标文件的有效性和符合性不符合要求的；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E、实质性内容不满足或未响应的（包括但不限于：</w:t>
      </w:r>
      <w:r>
        <w:rPr>
          <w:rFonts w:hint="eastAsia" w:ascii="仿宋" w:hAnsi="仿宋" w:eastAsia="仿宋" w:cs="仿宋"/>
          <w:sz w:val="24"/>
          <w:lang w:val="en-US" w:eastAsia="zh-CN"/>
        </w:rPr>
        <w:t>供</w:t>
      </w:r>
      <w:r>
        <w:rPr>
          <w:rFonts w:hint="eastAsia" w:ascii="仿宋" w:hAnsi="仿宋" w:eastAsia="仿宋" w:cs="仿宋"/>
          <w:sz w:val="24"/>
        </w:rPr>
        <w:t>货期、质保期、付款方式、主要技术指标等）；</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F、投标文件未按招标文件要求的数量和方式胶装、签字、加盖公章的；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 xml:space="preserve">G、无投标有效期或有效期达不到招标文件要求的； </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H、投标人针对同一项目递交两份或多份内容不同的投标文件，未书面声明哪一份是有效的或出现选择性报价的；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I、投标人有串通投标、弄虚作假（包括但不限于虚假资质、虚假证明、虚假应答等）、行贿等违法行为的；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J、投标文件附加了采购人难以接受的条件或条款的；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K、在政府采购或其它重大项目履约过程中有不良记录，未能按期履约的；</w:t>
      </w:r>
    </w:p>
    <w:p>
      <w:pPr>
        <w:kinsoku w:val="0"/>
        <w:spacing w:line="360" w:lineRule="auto"/>
        <w:ind w:firstLine="600" w:firstLineChars="250"/>
        <w:rPr>
          <w:rFonts w:hint="eastAsia" w:ascii="仿宋" w:hAnsi="仿宋" w:eastAsia="仿宋" w:cs="仿宋"/>
          <w:sz w:val="24"/>
        </w:rPr>
      </w:pPr>
      <w:r>
        <w:rPr>
          <w:rFonts w:hint="eastAsia" w:ascii="仿宋" w:hAnsi="仿宋" w:eastAsia="仿宋" w:cs="仿宋"/>
          <w:sz w:val="24"/>
        </w:rPr>
        <w:t>L、投标报价与市场价格偏离较大、低于成本、形成不正当竞争的；</w:t>
      </w:r>
    </w:p>
    <w:p>
      <w:pPr>
        <w:topLinePunct/>
        <w:spacing w:line="360" w:lineRule="auto"/>
        <w:ind w:firstLine="600" w:firstLineChars="250"/>
        <w:rPr>
          <w:rFonts w:hint="eastAsia" w:ascii="仿宋" w:hAnsi="仿宋" w:eastAsia="仿宋" w:cs="仿宋"/>
          <w:sz w:val="24"/>
        </w:rPr>
      </w:pPr>
      <w:r>
        <w:rPr>
          <w:rFonts w:hint="eastAsia" w:ascii="仿宋" w:hAnsi="仿宋" w:eastAsia="仿宋" w:cs="仿宋"/>
          <w:sz w:val="24"/>
        </w:rPr>
        <w:t>M、投标报价子目出现漏项或报价数量与要求不符的；</w:t>
      </w:r>
    </w:p>
    <w:p>
      <w:pPr>
        <w:topLinePunct/>
        <w:spacing w:line="360" w:lineRule="auto"/>
        <w:ind w:firstLine="600" w:firstLineChars="250"/>
        <w:rPr>
          <w:rFonts w:hint="eastAsia" w:ascii="仿宋" w:hAnsi="仿宋" w:eastAsia="仿宋" w:cs="仿宋"/>
          <w:sz w:val="24"/>
        </w:rPr>
      </w:pPr>
      <w:r>
        <w:rPr>
          <w:rFonts w:hint="eastAsia" w:ascii="仿宋" w:hAnsi="仿宋" w:eastAsia="仿宋" w:cs="仿宋"/>
          <w:sz w:val="24"/>
        </w:rPr>
        <w:t>N、投标产品的技术参数、性能指标与招标文件要求出现重大负偏差的；</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O、投标文件未实质性响应招标文件要求的；</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P、提供虚假技术性能指标的。</w:t>
      </w:r>
    </w:p>
    <w:p>
      <w:pPr>
        <w:overflowPunct w:val="0"/>
        <w:adjustRightInd w:val="0"/>
        <w:snapToGrid w:val="0"/>
        <w:spacing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3.4 如出现对招标文件作出实质性响应的投标人或者合格投标人不足三家的情况，不得评标。</w:t>
      </w:r>
    </w:p>
    <w:p>
      <w:pPr>
        <w:overflowPunct w:val="0"/>
        <w:adjustRightInd w:val="0"/>
        <w:snapToGrid w:val="0"/>
        <w:spacing w:line="5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3.5根据《政府采购货物和服务招标投标管理办法》相关规定，单一产品采购项目提供相同品牌产品或非单一产品采购项目多家投标单位提供的核心产品品牌相同的且通过资格审查、符合性审查的不同投标单位参加同一合同项下投标的，按一家投标单位计算，评审后得分最高的同品牌投标单位获得中标投标单位推荐资格；评审得分相同的，由采购人或者采购人委托评标委员会按照报价得分最高的方式确定一个投标单位获得中标投标单位推荐资格。</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3.6开标时，投标文件中出现下列情况，修正原则为：</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A、投标文件中开标一览表（报价表）内容与投标文件中相应内容不一致的，以开标一览表（报价表）为准；</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B、大写金额和小写金额不一致的，以大写金额为准；</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C、单价金额小数点或者百分比有明显错位的，以开标一览表的总价为准，并修改单价；</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D、总价金额与按单价汇总金额不一致的，以单价金额计算结果为准；</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E、投标文件正本与副本不一致的，以正本为准；</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F、多处内容交叉不符的，以评标委员会评审结果为准；</w:t>
      </w:r>
    </w:p>
    <w:p>
      <w:pPr>
        <w:spacing w:line="360" w:lineRule="auto"/>
        <w:ind w:firstLine="600" w:firstLineChars="250"/>
        <w:rPr>
          <w:rFonts w:hint="eastAsia" w:ascii="仿宋" w:hAnsi="仿宋" w:eastAsia="仿宋" w:cs="仿宋"/>
          <w:sz w:val="24"/>
        </w:rPr>
      </w:pPr>
      <w:r>
        <w:rPr>
          <w:rFonts w:hint="eastAsia" w:ascii="仿宋" w:hAnsi="仿宋" w:eastAsia="仿宋" w:cs="仿宋"/>
          <w:sz w:val="24"/>
        </w:rPr>
        <w:t>G、文字与图表不符的，以文字为准。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3.7公开开标后，直到向中标的投标人授予合同为止，凡审查、澄清、评价和比较投标的有关资料及被授标意见等内容，评标委员会成员均不得向投标人及与评标无关的其他人透露。</w:t>
      </w:r>
    </w:p>
    <w:p>
      <w:pPr>
        <w:spacing w:line="360" w:lineRule="auto"/>
        <w:ind w:firstLine="120" w:firstLineChars="50"/>
        <w:rPr>
          <w:rFonts w:hint="eastAsia" w:ascii="仿宋" w:hAnsi="仿宋" w:eastAsia="仿宋" w:cs="仿宋"/>
          <w:b/>
          <w:sz w:val="24"/>
        </w:rPr>
      </w:pPr>
      <w:r>
        <w:rPr>
          <w:rFonts w:hint="eastAsia" w:ascii="仿宋" w:hAnsi="仿宋" w:eastAsia="仿宋" w:cs="仿宋"/>
          <w:b/>
          <w:sz w:val="24"/>
        </w:rPr>
        <w:t>4、有下列情形之一的，视为投标单位串通投标，评标委员会应当认定其投标文件无效：</w:t>
      </w:r>
    </w:p>
    <w:p>
      <w:pPr>
        <w:topLinePunct/>
        <w:spacing w:line="360" w:lineRule="auto"/>
        <w:ind w:firstLine="600" w:firstLineChars="250"/>
        <w:rPr>
          <w:rFonts w:hint="eastAsia" w:ascii="仿宋" w:hAnsi="仿宋" w:eastAsia="仿宋" w:cs="仿宋"/>
          <w:sz w:val="24"/>
        </w:rPr>
      </w:pPr>
      <w:r>
        <w:rPr>
          <w:rFonts w:hint="eastAsia" w:ascii="仿宋" w:hAnsi="仿宋" w:eastAsia="仿宋" w:cs="仿宋"/>
          <w:sz w:val="24"/>
        </w:rPr>
        <w:t>A、不同投标人的投标文件由同一单位或者个人编制；</w:t>
      </w:r>
    </w:p>
    <w:p>
      <w:pPr>
        <w:topLinePunct/>
        <w:spacing w:line="360" w:lineRule="auto"/>
        <w:rPr>
          <w:rFonts w:hint="eastAsia" w:ascii="仿宋" w:hAnsi="仿宋" w:eastAsia="仿宋" w:cs="仿宋"/>
          <w:sz w:val="24"/>
        </w:rPr>
      </w:pPr>
      <w:r>
        <w:rPr>
          <w:rFonts w:hint="eastAsia" w:ascii="仿宋" w:hAnsi="仿宋" w:eastAsia="仿宋" w:cs="仿宋"/>
          <w:sz w:val="24"/>
        </w:rPr>
        <w:t>　　 B、不同投标人委托同一单位或者个人办理投标事宜；</w:t>
      </w:r>
    </w:p>
    <w:p>
      <w:pPr>
        <w:topLinePunct/>
        <w:spacing w:line="360" w:lineRule="auto"/>
        <w:rPr>
          <w:rFonts w:hint="eastAsia" w:ascii="仿宋" w:hAnsi="仿宋" w:eastAsia="仿宋" w:cs="仿宋"/>
          <w:sz w:val="24"/>
        </w:rPr>
      </w:pPr>
      <w:r>
        <w:rPr>
          <w:rFonts w:hint="eastAsia" w:ascii="仿宋" w:hAnsi="仿宋" w:eastAsia="仿宋" w:cs="仿宋"/>
          <w:sz w:val="24"/>
        </w:rPr>
        <w:t>　　 C、不同投标人的投标文件载明的项目管理成员或者联系人员为同一人；</w:t>
      </w:r>
    </w:p>
    <w:p>
      <w:pPr>
        <w:topLinePunct/>
        <w:spacing w:line="360" w:lineRule="auto"/>
        <w:rPr>
          <w:rFonts w:hint="eastAsia" w:ascii="仿宋" w:hAnsi="仿宋" w:eastAsia="仿宋" w:cs="仿宋"/>
          <w:sz w:val="24"/>
        </w:rPr>
      </w:pPr>
      <w:r>
        <w:rPr>
          <w:rFonts w:hint="eastAsia" w:ascii="仿宋" w:hAnsi="仿宋" w:eastAsia="仿宋" w:cs="仿宋"/>
          <w:sz w:val="24"/>
        </w:rPr>
        <w:t>　　 D、不同投标人的投标文件异常一致或者投标报价呈规律性差异；</w:t>
      </w:r>
    </w:p>
    <w:p>
      <w:pPr>
        <w:topLinePunct/>
        <w:spacing w:line="360" w:lineRule="auto"/>
        <w:rPr>
          <w:rFonts w:hint="eastAsia" w:ascii="仿宋" w:hAnsi="仿宋" w:eastAsia="仿宋" w:cs="仿宋"/>
          <w:sz w:val="24"/>
        </w:rPr>
      </w:pPr>
      <w:r>
        <w:rPr>
          <w:rFonts w:hint="eastAsia" w:ascii="仿宋" w:hAnsi="仿宋" w:eastAsia="仿宋" w:cs="仿宋"/>
          <w:sz w:val="24"/>
        </w:rPr>
        <w:t>　　 E、不同投标人的投标文件相互混装；</w:t>
      </w:r>
    </w:p>
    <w:p>
      <w:pPr>
        <w:topLinePunct/>
        <w:spacing w:line="360" w:lineRule="auto"/>
        <w:ind w:firstLine="600" w:firstLineChars="250"/>
        <w:rPr>
          <w:rFonts w:hint="eastAsia" w:ascii="仿宋" w:hAnsi="仿宋" w:eastAsia="仿宋" w:cs="仿宋"/>
          <w:sz w:val="24"/>
        </w:rPr>
      </w:pPr>
      <w:r>
        <w:rPr>
          <w:rFonts w:hint="eastAsia" w:ascii="仿宋" w:hAnsi="仿宋" w:eastAsia="仿宋" w:cs="仿宋"/>
          <w:sz w:val="24"/>
        </w:rPr>
        <w:t>F、不同投标人的投标保证金从同一单位或者个人的账户转出。</w:t>
      </w:r>
    </w:p>
    <w:p>
      <w:pPr>
        <w:spacing w:line="440" w:lineRule="exact"/>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.询标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如澄清、说明或者更正的内容与投标文件内容有重大相悖或矛盾，将被认定为无效投标文件。</w:t>
      </w:r>
    </w:p>
    <w:p>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 xml:space="preserve">、评审方法及内容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kern w:val="0"/>
          <w:sz w:val="24"/>
          <w:highlight w:val="none"/>
        </w:rPr>
        <w:t>采用综合评分法：评标结果按评审后得分由高到低顺序排列。得分相同的，按投标报价由低到高顺序排列。得分且投标报价相同的并列。投标文件满足招标文件全部</w:t>
      </w:r>
      <w:r>
        <w:rPr>
          <w:rFonts w:hint="eastAsia" w:ascii="仿宋" w:hAnsi="仿宋" w:eastAsia="仿宋" w:cs="仿宋"/>
          <w:color w:val="auto"/>
          <w:spacing w:val="-4"/>
          <w:kern w:val="0"/>
          <w:sz w:val="24"/>
          <w:highlight w:val="none"/>
        </w:rPr>
        <w:t>实质性要求，且按照评审因素的量化指标评审得分最高的投标人为排名第一的中标候选人。</w:t>
      </w:r>
      <w:r>
        <w:rPr>
          <w:rFonts w:hint="eastAsia" w:ascii="仿宋" w:hAnsi="仿宋" w:eastAsia="仿宋" w:cs="仿宋"/>
          <w:color w:val="auto"/>
          <w:kern w:val="0"/>
          <w:sz w:val="24"/>
          <w:highlight w:val="none"/>
        </w:rPr>
        <w:t xml:space="preserve"> </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非单一产品采购项目中，多家投标人提供的核心产品品牌相同的，且通过资格审查、符合性审查的不同投标人参加同一合同项下投标的，按一家投标人计算。遵照前款规定处理。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根据以下内容进行综合比较，独立评审、自主打分，按最后得分由高到低汇总排序，推荐一至三名中标候选人；评标委员会根据评标结果写出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2"/>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评标委员会成员须对畸高、畸低的重大差异评分进行复核或书面说明理由。 </w:t>
      </w:r>
    </w:p>
    <w:p>
      <w:pPr>
        <w:numPr>
          <w:ilvl w:val="0"/>
          <w:numId w:val="2"/>
        </w:num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评审指标分值构成及评审内容（总计100分）</w:t>
      </w:r>
    </w:p>
    <w:p>
      <w:pPr>
        <w:pStyle w:val="7"/>
        <w:rPr>
          <w:rFonts w:hint="eastAsia" w:ascii="仿宋" w:hAnsi="仿宋" w:eastAsia="仿宋" w:cs="仿宋"/>
          <w:b/>
          <w:color w:val="auto"/>
          <w:kern w:val="0"/>
          <w:highlight w:val="none"/>
        </w:rPr>
      </w:pPr>
      <w:r>
        <w:rPr>
          <w:rFonts w:hint="eastAsia" w:ascii="仿宋" w:hAnsi="仿宋" w:eastAsia="仿宋" w:cs="仿宋"/>
          <w:b/>
          <w:bCs/>
          <w:color w:val="auto"/>
          <w:highlight w:val="none"/>
        </w:rPr>
        <w:t>总分100分，每个投标人每项评分因</w:t>
      </w:r>
      <w:r>
        <w:rPr>
          <w:rFonts w:hint="eastAsia" w:ascii="仿宋" w:hAnsi="仿宋" w:eastAsia="仿宋" w:cs="仿宋"/>
          <w:b/>
          <w:color w:val="auto"/>
          <w:kern w:val="0"/>
          <w:highlight w:val="none"/>
        </w:rPr>
        <w:t xml:space="preserve">素得分汇总即为最后得分，各项评分因素具体内容及打分标准如下：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87"/>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评标</w:t>
            </w:r>
          </w:p>
          <w:p>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因素</w:t>
            </w:r>
          </w:p>
        </w:tc>
        <w:tc>
          <w:tcPr>
            <w:tcW w:w="158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权值%</w:t>
            </w:r>
          </w:p>
        </w:tc>
        <w:tc>
          <w:tcPr>
            <w:tcW w:w="62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30（分）</w:t>
            </w:r>
          </w:p>
        </w:tc>
        <w:tc>
          <w:tcPr>
            <w:tcW w:w="62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40" w:firstLineChars="200"/>
              <w:rPr>
                <w:rStyle w:val="36"/>
                <w:rFonts w:hint="eastAsia" w:ascii="仿宋" w:hAnsi="仿宋" w:eastAsia="仿宋" w:cs="仿宋"/>
                <w:color w:val="auto"/>
                <w:sz w:val="22"/>
                <w:szCs w:val="22"/>
                <w:highlight w:val="none"/>
                <w:lang w:val="en-US" w:eastAsia="zh-CN"/>
              </w:rPr>
            </w:pPr>
            <w:r>
              <w:rPr>
                <w:rStyle w:val="36"/>
                <w:rFonts w:hint="eastAsia" w:ascii="仿宋" w:hAnsi="仿宋" w:eastAsia="仿宋" w:cs="仿宋"/>
                <w:color w:val="auto"/>
                <w:sz w:val="22"/>
                <w:szCs w:val="22"/>
                <w:highlight w:val="none"/>
              </w:rPr>
              <w:t>满足</w:t>
            </w:r>
            <w:r>
              <w:rPr>
                <w:rStyle w:val="36"/>
                <w:rFonts w:hint="eastAsia" w:ascii="仿宋" w:hAnsi="仿宋" w:eastAsia="仿宋" w:cs="仿宋"/>
                <w:color w:val="auto"/>
                <w:sz w:val="22"/>
                <w:szCs w:val="22"/>
                <w:highlight w:val="none"/>
                <w:lang w:val="en-US" w:eastAsia="zh-CN"/>
              </w:rPr>
              <w:t>招标</w:t>
            </w:r>
            <w:r>
              <w:rPr>
                <w:rStyle w:val="36"/>
                <w:rFonts w:hint="eastAsia" w:ascii="仿宋" w:hAnsi="仿宋" w:eastAsia="仿宋" w:cs="仿宋"/>
                <w:color w:val="auto"/>
                <w:sz w:val="22"/>
                <w:szCs w:val="22"/>
                <w:highlight w:val="none"/>
              </w:rPr>
              <w:t>文件要求且</w:t>
            </w:r>
            <w:r>
              <w:rPr>
                <w:rStyle w:val="36"/>
                <w:rFonts w:hint="eastAsia" w:ascii="仿宋" w:hAnsi="仿宋" w:eastAsia="仿宋" w:cs="仿宋"/>
                <w:color w:val="auto"/>
                <w:sz w:val="22"/>
                <w:szCs w:val="22"/>
                <w:highlight w:val="none"/>
                <w:lang w:val="en-US" w:eastAsia="zh-CN"/>
              </w:rPr>
              <w:t>投标</w:t>
            </w:r>
            <w:r>
              <w:rPr>
                <w:rStyle w:val="36"/>
                <w:rFonts w:hint="eastAsia" w:ascii="仿宋" w:hAnsi="仿宋" w:eastAsia="仿宋" w:cs="仿宋"/>
                <w:color w:val="auto"/>
                <w:sz w:val="22"/>
                <w:szCs w:val="22"/>
                <w:highlight w:val="none"/>
              </w:rPr>
              <w:t>价格最低的</w:t>
            </w:r>
            <w:r>
              <w:rPr>
                <w:rStyle w:val="36"/>
                <w:rFonts w:hint="eastAsia" w:ascii="仿宋" w:hAnsi="仿宋" w:eastAsia="仿宋" w:cs="仿宋"/>
                <w:color w:val="auto"/>
                <w:sz w:val="22"/>
                <w:szCs w:val="22"/>
                <w:highlight w:val="none"/>
                <w:lang w:val="en-US" w:eastAsia="zh-CN"/>
              </w:rPr>
              <w:t>投标</w:t>
            </w:r>
            <w:r>
              <w:rPr>
                <w:rStyle w:val="36"/>
                <w:rFonts w:hint="eastAsia" w:ascii="仿宋" w:hAnsi="仿宋" w:eastAsia="仿宋" w:cs="仿宋"/>
                <w:color w:val="auto"/>
                <w:sz w:val="22"/>
                <w:szCs w:val="22"/>
                <w:highlight w:val="none"/>
              </w:rPr>
              <w:t>报价为评标基准价，其价格分为满分。其他</w:t>
            </w:r>
            <w:r>
              <w:rPr>
                <w:rStyle w:val="36"/>
                <w:rFonts w:hint="eastAsia" w:ascii="仿宋" w:hAnsi="仿宋" w:eastAsia="仿宋" w:cs="仿宋"/>
                <w:color w:val="auto"/>
                <w:sz w:val="22"/>
                <w:szCs w:val="22"/>
                <w:highlight w:val="none"/>
                <w:lang w:val="en-US" w:eastAsia="zh-CN"/>
              </w:rPr>
              <w:t>投标</w:t>
            </w:r>
            <w:r>
              <w:rPr>
                <w:rStyle w:val="36"/>
                <w:rFonts w:hint="eastAsia" w:ascii="仿宋" w:hAnsi="仿宋" w:eastAsia="仿宋" w:cs="仿宋"/>
                <w:color w:val="auto"/>
                <w:sz w:val="22"/>
                <w:szCs w:val="22"/>
                <w:highlight w:val="none"/>
              </w:rPr>
              <w:t>供应商的价格分统一按照下列公式计算：</w:t>
            </w:r>
            <w:r>
              <w:rPr>
                <w:rStyle w:val="36"/>
                <w:rFonts w:hint="eastAsia" w:ascii="仿宋" w:hAnsi="仿宋" w:eastAsia="仿宋" w:cs="仿宋"/>
                <w:color w:val="auto"/>
                <w:sz w:val="22"/>
                <w:szCs w:val="22"/>
                <w:highlight w:val="none"/>
                <w:lang w:val="en-US" w:eastAsia="zh-CN"/>
              </w:rPr>
              <w:t>投标</w:t>
            </w:r>
            <w:r>
              <w:rPr>
                <w:rStyle w:val="36"/>
                <w:rFonts w:hint="eastAsia" w:ascii="仿宋" w:hAnsi="仿宋" w:eastAsia="仿宋" w:cs="仿宋"/>
                <w:color w:val="auto"/>
                <w:sz w:val="22"/>
                <w:szCs w:val="22"/>
                <w:highlight w:val="none"/>
              </w:rPr>
              <w:t>报价得分=（评标基准价/</w:t>
            </w:r>
            <w:r>
              <w:rPr>
                <w:rStyle w:val="36"/>
                <w:rFonts w:hint="eastAsia" w:ascii="仿宋" w:hAnsi="仿宋" w:eastAsia="仿宋" w:cs="仿宋"/>
                <w:color w:val="auto"/>
                <w:sz w:val="22"/>
                <w:szCs w:val="22"/>
                <w:highlight w:val="none"/>
                <w:lang w:eastAsia="zh-CN"/>
              </w:rPr>
              <w:t>磋商</w:t>
            </w:r>
            <w:r>
              <w:rPr>
                <w:rStyle w:val="36"/>
                <w:rFonts w:hint="eastAsia" w:ascii="仿宋" w:hAnsi="仿宋" w:eastAsia="仿宋" w:cs="仿宋"/>
                <w:color w:val="auto"/>
                <w:sz w:val="22"/>
                <w:szCs w:val="22"/>
                <w:highlight w:val="none"/>
              </w:rPr>
              <w:t>报价）×价格权值×</w:t>
            </w:r>
            <w:r>
              <w:rPr>
                <w:rStyle w:val="36"/>
                <w:rFonts w:hint="eastAsia" w:ascii="仿宋" w:hAnsi="仿宋" w:eastAsia="仿宋" w:cs="仿宋"/>
                <w:color w:val="auto"/>
                <w:sz w:val="22"/>
                <w:szCs w:val="22"/>
                <w:highlight w:val="none"/>
                <w:lang w:val="en-US" w:eastAsia="zh-CN"/>
              </w:rPr>
              <w:t>100。</w:t>
            </w:r>
          </w:p>
          <w:p>
            <w:pPr>
              <w:spacing w:line="360" w:lineRule="auto"/>
              <w:ind w:firstLine="440" w:firstLineChars="200"/>
              <w:rPr>
                <w:rStyle w:val="36"/>
                <w:rFonts w:hint="eastAsia" w:ascii="仿宋" w:hAnsi="仿宋" w:eastAsia="仿宋" w:cs="仿宋"/>
                <w:color w:val="auto"/>
                <w:sz w:val="22"/>
                <w:szCs w:val="22"/>
                <w:highlight w:val="none"/>
              </w:rPr>
            </w:pPr>
            <w:r>
              <w:rPr>
                <w:rStyle w:val="36"/>
                <w:rFonts w:hint="eastAsia" w:ascii="仿宋" w:hAnsi="仿宋" w:eastAsia="仿宋" w:cs="仿宋"/>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221" w:firstLineChars="100"/>
              <w:rPr>
                <w:rStyle w:val="36"/>
                <w:rFonts w:hint="eastAsia" w:ascii="仿宋" w:hAnsi="仿宋" w:eastAsia="仿宋" w:cs="仿宋"/>
                <w:color w:val="auto"/>
                <w:sz w:val="22"/>
                <w:szCs w:val="22"/>
                <w:highlight w:val="none"/>
                <w:lang w:val="en-US"/>
              </w:rPr>
            </w:pPr>
            <w:r>
              <w:rPr>
                <w:rStyle w:val="36"/>
                <w:rFonts w:hint="eastAsia" w:ascii="仿宋" w:hAnsi="仿宋" w:eastAsia="仿宋" w:cs="仿宋"/>
                <w:b/>
                <w:bCs/>
                <w:color w:val="auto"/>
                <w:sz w:val="22"/>
                <w:szCs w:val="22"/>
                <w:highlight w:val="none"/>
                <w:lang w:val="en-US"/>
              </w:rPr>
              <w:t>注：</w:t>
            </w:r>
            <w:r>
              <w:rPr>
                <w:rStyle w:val="36"/>
                <w:rFonts w:hint="eastAsia" w:ascii="仿宋" w:hAnsi="仿宋" w:eastAsia="仿宋" w:cs="仿宋"/>
                <w:color w:val="auto"/>
                <w:sz w:val="22"/>
                <w:szCs w:val="22"/>
                <w:highlight w:val="none"/>
                <w:lang w:val="en-US"/>
              </w:rPr>
              <w:t>（1）如若为小微企业参与本项目根据《政府采购促进中小企业发展暂行办法》的相关规定，对小型和微型企业的价格给予10%的扣除，用扣除后的价格参与评审。</w:t>
            </w:r>
          </w:p>
          <w:p>
            <w:pPr>
              <w:spacing w:line="360" w:lineRule="auto"/>
              <w:rPr>
                <w:rStyle w:val="36"/>
                <w:rFonts w:hint="eastAsia" w:ascii="仿宋" w:hAnsi="仿宋" w:eastAsia="仿宋" w:cs="仿宋"/>
                <w:color w:val="auto"/>
                <w:sz w:val="22"/>
                <w:szCs w:val="22"/>
                <w:highlight w:val="none"/>
                <w:lang w:val="en-US"/>
              </w:rPr>
            </w:pPr>
            <w:r>
              <w:rPr>
                <w:rStyle w:val="36"/>
                <w:rFonts w:hint="eastAsia" w:ascii="仿宋" w:hAnsi="仿宋" w:eastAsia="仿宋" w:cs="仿宋"/>
                <w:color w:val="auto"/>
                <w:sz w:val="22"/>
                <w:szCs w:val="22"/>
                <w:highlight w:val="none"/>
                <w:lang w:val="en-US"/>
              </w:rPr>
              <w:t>（2）根据《财政部民政部中国残疾人联合会关于促进残疾人就业政府采购政策的通知》（财库〔2017〕141号）的规定，对符合条件的残疾人福利性单位产品的价格给予6%的扣除，用扣除后的价格参与评审。</w:t>
            </w:r>
          </w:p>
          <w:p>
            <w:pPr>
              <w:spacing w:line="360" w:lineRule="auto"/>
              <w:rPr>
                <w:rFonts w:hint="default"/>
                <w:lang w:val="en-US"/>
              </w:rPr>
            </w:pPr>
            <w:r>
              <w:rPr>
                <w:rStyle w:val="36"/>
                <w:rFonts w:hint="eastAsia" w:ascii="仿宋" w:hAnsi="仿宋" w:eastAsia="仿宋" w:cs="仿宋"/>
                <w:color w:val="auto"/>
                <w:sz w:val="22"/>
                <w:szCs w:val="22"/>
                <w:highlight w:val="none"/>
                <w:lang w:val="en-US"/>
              </w:rPr>
              <w:t>小型、微型企业和监狱企业级符合财政部、民政部、中国残疾人联合会关于促进残疾人就业政府采购政策的通知，以上政策同时具备的仅对其进行一次价格扣除，不重复扣除。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技术参数响应</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25</w:t>
            </w:r>
            <w:r>
              <w:rPr>
                <w:rFonts w:hint="eastAsia" w:ascii="仿宋" w:hAnsi="仿宋" w:eastAsia="仿宋" w:cs="仿宋"/>
                <w:sz w:val="22"/>
                <w:szCs w:val="22"/>
                <w:lang w:val="en-US" w:eastAsia="zh-CN"/>
              </w:rPr>
              <w:t>（分）</w:t>
            </w:r>
          </w:p>
        </w:tc>
        <w:tc>
          <w:tcPr>
            <w:tcW w:w="62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Style w:val="36"/>
                <w:rFonts w:hint="eastAsia" w:ascii="仿宋" w:hAnsi="仿宋" w:eastAsia="仿宋" w:cs="仿宋"/>
                <w:color w:val="auto"/>
                <w:sz w:val="22"/>
                <w:szCs w:val="22"/>
                <w:highlight w:val="none"/>
                <w:lang w:val="en-US"/>
              </w:rPr>
            </w:pPr>
            <w:r>
              <w:rPr>
                <w:rStyle w:val="36"/>
                <w:rFonts w:hint="eastAsia" w:ascii="仿宋" w:hAnsi="仿宋" w:eastAsia="仿宋" w:cs="仿宋"/>
                <w:color w:val="auto"/>
                <w:sz w:val="22"/>
                <w:szCs w:val="22"/>
                <w:highlight w:val="none"/>
              </w:rPr>
              <w:t>根据投标产品技术参数、性能的满足程度赋分：</w:t>
            </w:r>
            <w:r>
              <w:rPr>
                <w:rStyle w:val="36"/>
                <w:rFonts w:hint="eastAsia" w:ascii="仿宋" w:hAnsi="仿宋" w:eastAsia="仿宋" w:cs="仿宋"/>
                <w:color w:val="auto"/>
                <w:sz w:val="22"/>
                <w:szCs w:val="22"/>
                <w:highlight w:val="none"/>
                <w:lang w:val="en-US"/>
              </w:rPr>
              <w:t>投标</w:t>
            </w:r>
            <w:r>
              <w:rPr>
                <w:rStyle w:val="36"/>
                <w:rFonts w:hint="eastAsia" w:ascii="仿宋" w:hAnsi="仿宋" w:eastAsia="仿宋" w:cs="仿宋"/>
                <w:color w:val="auto"/>
                <w:sz w:val="22"/>
                <w:szCs w:val="22"/>
                <w:highlight w:val="none"/>
              </w:rPr>
              <w:t>产品技术参数清晰明确，符合使用要求，数量准确无缺漏项，技术指标和性能完全响应招标文件要求，满足采购需求、技术参数没有负偏离，计 2</w:t>
            </w:r>
            <w:r>
              <w:rPr>
                <w:rStyle w:val="36"/>
                <w:rFonts w:hint="eastAsia" w:ascii="仿宋" w:hAnsi="仿宋" w:eastAsia="仿宋" w:cs="仿宋"/>
                <w:color w:val="auto"/>
                <w:sz w:val="22"/>
                <w:szCs w:val="22"/>
                <w:highlight w:val="none"/>
                <w:lang w:val="en-US"/>
              </w:rPr>
              <w:t>5</w:t>
            </w:r>
            <w:r>
              <w:rPr>
                <w:rStyle w:val="36"/>
                <w:rFonts w:hint="eastAsia" w:ascii="仿宋" w:hAnsi="仿宋" w:eastAsia="仿宋" w:cs="仿宋"/>
                <w:color w:val="auto"/>
                <w:sz w:val="22"/>
                <w:szCs w:val="22"/>
                <w:highlight w:val="none"/>
              </w:rPr>
              <w:t>分，带▲、</w:t>
            </w:r>
            <w:r>
              <w:rPr>
                <w:rStyle w:val="36"/>
                <w:rFonts w:hint="eastAsia" w:ascii="仿宋" w:hAnsi="仿宋" w:eastAsia="仿宋" w:cs="仿宋"/>
                <w:color w:val="auto"/>
                <w:sz w:val="22"/>
                <w:szCs w:val="22"/>
                <w:highlight w:val="none"/>
                <w:lang w:val="en-US"/>
              </w:rPr>
              <w:t>★</w:t>
            </w:r>
            <w:r>
              <w:rPr>
                <w:rStyle w:val="36"/>
                <w:rFonts w:hint="eastAsia" w:ascii="仿宋" w:hAnsi="仿宋" w:eastAsia="仿宋" w:cs="仿宋"/>
                <w:color w:val="auto"/>
                <w:sz w:val="22"/>
                <w:szCs w:val="22"/>
                <w:highlight w:val="none"/>
              </w:rPr>
              <w:t>参数每负偏离一项扣</w:t>
            </w:r>
            <w:r>
              <w:rPr>
                <w:rStyle w:val="36"/>
                <w:rFonts w:hint="eastAsia" w:ascii="仿宋" w:hAnsi="仿宋" w:eastAsia="仿宋" w:cs="仿宋"/>
                <w:color w:val="auto"/>
                <w:sz w:val="22"/>
                <w:szCs w:val="22"/>
                <w:highlight w:val="none"/>
                <w:lang w:val="en-US"/>
              </w:rPr>
              <w:t>1</w:t>
            </w:r>
            <w:r>
              <w:rPr>
                <w:rStyle w:val="36"/>
                <w:rFonts w:hint="eastAsia" w:ascii="仿宋" w:hAnsi="仿宋" w:eastAsia="仿宋" w:cs="仿宋"/>
                <w:color w:val="auto"/>
                <w:sz w:val="22"/>
                <w:szCs w:val="22"/>
                <w:highlight w:val="none"/>
              </w:rPr>
              <w:t>分，基本参数负偏离一项扣</w:t>
            </w:r>
            <w:r>
              <w:rPr>
                <w:rStyle w:val="36"/>
                <w:rFonts w:hint="eastAsia" w:ascii="仿宋" w:hAnsi="仿宋" w:eastAsia="仿宋" w:cs="仿宋"/>
                <w:color w:val="auto"/>
                <w:sz w:val="22"/>
                <w:szCs w:val="22"/>
                <w:highlight w:val="none"/>
                <w:lang w:val="en-US"/>
              </w:rPr>
              <w:t>0.5</w:t>
            </w:r>
            <w:r>
              <w:rPr>
                <w:rStyle w:val="36"/>
                <w:rFonts w:hint="eastAsia" w:ascii="仿宋" w:hAnsi="仿宋" w:eastAsia="仿宋" w:cs="仿宋"/>
                <w:color w:val="auto"/>
                <w:sz w:val="22"/>
                <w:szCs w:val="22"/>
                <w:highlight w:val="none"/>
              </w:rPr>
              <w:t>分，扣完为止。应逐条对应技术参数进行应答，并提供充足的佐证材料（包括但不限于所提供的检测报告、产品认证证书和厂家认证证书等资料齐全、产品彩页清晰，设备功能描述详细，产品选型有充分的依据，配套设施完善，各类证明材料完整等）；</w:t>
            </w:r>
            <w:r>
              <w:rPr>
                <w:rStyle w:val="36"/>
                <w:rFonts w:hint="eastAsia" w:ascii="仿宋" w:hAnsi="仿宋" w:eastAsia="仿宋" w:cs="仿宋"/>
                <w:color w:val="auto"/>
                <w:sz w:val="22"/>
                <w:szCs w:val="22"/>
                <w:highlight w:val="none"/>
                <w:lang w:val="en-US"/>
              </w:rPr>
              <w:t>注：</w:t>
            </w:r>
            <w:r>
              <w:rPr>
                <w:rStyle w:val="36"/>
                <w:rFonts w:hint="eastAsia" w:ascii="仿宋" w:hAnsi="仿宋" w:eastAsia="仿宋" w:cs="仿宋"/>
                <w:b/>
                <w:bCs/>
                <w:color w:val="auto"/>
                <w:sz w:val="22"/>
                <w:szCs w:val="22"/>
                <w:highlight w:val="none"/>
                <w:lang w:val="en-US"/>
              </w:rPr>
              <w:t>招标件要求提供证明材料而未提供或提供的证明材料不符合要求视为负偏离。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相关证书</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20" w:firstLineChars="10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10（分）</w:t>
            </w:r>
          </w:p>
        </w:tc>
        <w:tc>
          <w:tcPr>
            <w:tcW w:w="627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为保障本次采购产品的质量及性能和后续的培训服务生产厂商应具备以下证明，每条2分，不提供不得分，最高得10分。</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1.为保障产品质量，需提供ISO国家质量管理认证证书。</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2.为保障所选产品厂家为业内一流品牌，所投产品厂家需提供参与制定多媒体教学环境工程建设规范证书。</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3.为保证教学过程中设备的显示性能，所投产品厂家需达到超高清智慧交互显示终端主要性能技术规范。</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4.为保证学校获得良好的售后服务体验，原厂商获得有效期内的服务认证证书（符合GB/T27922－2011《售后服务评价体系》标准规定并达到十星级）</w:t>
            </w:r>
          </w:p>
          <w:p>
            <w:pPr>
              <w:spacing w:line="360" w:lineRule="auto"/>
              <w:rPr>
                <w:rFonts w:hint="eastAsia" w:ascii="仿宋" w:hAnsi="仿宋" w:eastAsia="仿宋" w:cs="仿宋"/>
                <w:sz w:val="22"/>
                <w:szCs w:val="22"/>
              </w:rPr>
            </w:pPr>
            <w:r>
              <w:rPr>
                <w:rFonts w:hint="eastAsia" w:ascii="仿宋" w:hAnsi="仿宋" w:eastAsia="仿宋" w:cs="仿宋"/>
                <w:color w:val="auto"/>
                <w:kern w:val="2"/>
                <w:sz w:val="21"/>
                <w:szCs w:val="21"/>
                <w:highlight w:val="none"/>
                <w:shd w:val="clear" w:color="auto" w:fill="auto"/>
                <w:lang w:val="en-US" w:eastAsia="zh-CN" w:bidi="ar-SA"/>
              </w:rPr>
              <w:t>5.为确保教育数据托付管理能力、存储能力及信息安全能力，所投产品研发商需通过数据管理能力成熟度评估“DCMM认证”。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技术</w:t>
            </w:r>
            <w:r>
              <w:rPr>
                <w:rFonts w:hint="eastAsia" w:ascii="仿宋" w:hAnsi="仿宋" w:eastAsia="仿宋" w:cs="仿宋"/>
                <w:sz w:val="22"/>
                <w:szCs w:val="22"/>
                <w:lang w:val="en-US" w:eastAsia="zh-CN"/>
              </w:rPr>
              <w:t>方案</w:t>
            </w:r>
          </w:p>
        </w:tc>
        <w:tc>
          <w:tcPr>
            <w:tcW w:w="1587" w:type="dxa"/>
            <w:tcBorders>
              <w:top w:val="single" w:color="auto" w:sz="4" w:space="0"/>
              <w:left w:val="single" w:color="auto" w:sz="4" w:space="0"/>
              <w:right w:val="single" w:color="auto" w:sz="4" w:space="0"/>
            </w:tcBorders>
            <w:noWrap w:val="0"/>
            <w:vAlign w:val="center"/>
          </w:tcPr>
          <w:p>
            <w:pPr>
              <w:spacing w:line="360" w:lineRule="auto"/>
              <w:ind w:firstLine="110" w:firstLineChars="5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实施方案</w:t>
            </w:r>
          </w:p>
          <w:p>
            <w:pPr>
              <w:spacing w:line="360" w:lineRule="auto"/>
              <w:ind w:firstLine="110" w:firstLineChars="50"/>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（7分）</w:t>
            </w:r>
          </w:p>
        </w:tc>
        <w:tc>
          <w:tcPr>
            <w:tcW w:w="6273" w:type="dxa"/>
            <w:tcBorders>
              <w:top w:val="single" w:color="auto" w:sz="4" w:space="0"/>
              <w:left w:val="single" w:color="auto" w:sz="4" w:space="0"/>
              <w:right w:val="single" w:color="auto" w:sz="4" w:space="0"/>
            </w:tcBorders>
            <w:noWrap w:val="0"/>
            <w:vAlign w:val="center"/>
          </w:tcPr>
          <w:p>
            <w:pPr>
              <w:spacing w:line="360" w:lineRule="auto"/>
              <w:ind w:firstLine="210" w:firstLineChars="100"/>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项目实施方案：项目组织实施计划完整可行，资金等保障措施可靠，能够保证按期供货，具有明确的项目组织机构及实施方案，评标委员会从以下方面进行比较后赋分。</w:t>
            </w:r>
          </w:p>
          <w:p>
            <w:pPr>
              <w:spacing w:line="360" w:lineRule="auto"/>
              <w:ind w:firstLine="210" w:firstLineChars="100"/>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①备货、供货进度及保证措施得0-3分；</w:t>
            </w:r>
          </w:p>
          <w:p>
            <w:pPr>
              <w:spacing w:line="360" w:lineRule="auto"/>
              <w:ind w:firstLine="210" w:firstLineChars="100"/>
              <w:rPr>
                <w:rFonts w:hint="eastAsia" w:ascii="仿宋" w:hAnsi="仿宋" w:eastAsia="仿宋" w:cs="仿宋"/>
              </w:rPr>
            </w:pPr>
            <w:r>
              <w:rPr>
                <w:rFonts w:hint="eastAsia" w:ascii="仿宋" w:hAnsi="仿宋" w:eastAsia="仿宋" w:cs="仿宋"/>
                <w:color w:val="auto"/>
                <w:kern w:val="2"/>
                <w:sz w:val="21"/>
                <w:szCs w:val="21"/>
                <w:highlight w:val="none"/>
                <w:shd w:val="clear" w:color="auto" w:fill="auto"/>
                <w:lang w:val="en-US" w:eastAsia="zh-CN" w:bidi="ar-SA"/>
              </w:rPr>
              <w:t>③产品检测、调试等方面保证措施得0-4分。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2"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p>
        </w:tc>
        <w:tc>
          <w:tcPr>
            <w:tcW w:w="1587" w:type="dxa"/>
            <w:tcBorders>
              <w:top w:val="single" w:color="auto" w:sz="4" w:space="0"/>
              <w:left w:val="single" w:color="auto" w:sz="4" w:space="0"/>
              <w:right w:val="single" w:color="auto" w:sz="4" w:space="0"/>
            </w:tcBorders>
            <w:noWrap w:val="0"/>
            <w:vAlign w:val="center"/>
          </w:tcPr>
          <w:p>
            <w:pPr>
              <w:pStyle w:val="14"/>
              <w:tabs>
                <w:tab w:val="left" w:pos="1146"/>
                <w:tab w:val="left" w:pos="2565"/>
              </w:tabs>
              <w:spacing w:before="0" w:beforeAutospacing="0" w:after="0" w:afterAutospacing="0"/>
              <w:jc w:val="center"/>
              <w:rPr>
                <w:rFonts w:hint="eastAsia" w:ascii="仿宋" w:hAnsi="仿宋" w:eastAsia="仿宋" w:cs="仿宋"/>
                <w:sz w:val="21"/>
                <w:szCs w:val="21"/>
                <w:lang w:eastAsia="zh-CN"/>
              </w:rPr>
            </w:pPr>
            <w:r>
              <w:rPr>
                <w:rFonts w:hint="eastAsia" w:ascii="仿宋" w:hAnsi="仿宋" w:eastAsia="仿宋" w:cs="仿宋"/>
                <w:sz w:val="21"/>
                <w:szCs w:val="21"/>
              </w:rPr>
              <w:t>质量保证措施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5分</w:t>
            </w:r>
            <w:r>
              <w:rPr>
                <w:rFonts w:hint="eastAsia" w:ascii="仿宋" w:hAnsi="仿宋" w:eastAsia="仿宋" w:cs="仿宋"/>
                <w:sz w:val="21"/>
                <w:szCs w:val="21"/>
                <w:lang w:eastAsia="zh-CN"/>
              </w:rPr>
              <w:t>）</w:t>
            </w:r>
          </w:p>
          <w:p>
            <w:pPr>
              <w:spacing w:line="360" w:lineRule="auto"/>
              <w:ind w:firstLine="110" w:firstLineChars="50"/>
              <w:jc w:val="center"/>
              <w:rPr>
                <w:rFonts w:hint="eastAsia" w:ascii="仿宋" w:hAnsi="仿宋" w:eastAsia="仿宋" w:cs="仿宋"/>
                <w:sz w:val="22"/>
                <w:szCs w:val="22"/>
                <w:lang w:val="en-US" w:eastAsia="zh-CN"/>
              </w:rPr>
            </w:pPr>
          </w:p>
        </w:tc>
        <w:tc>
          <w:tcPr>
            <w:tcW w:w="6273" w:type="dxa"/>
            <w:tcBorders>
              <w:top w:val="single" w:color="auto" w:sz="4" w:space="0"/>
              <w:left w:val="single" w:color="auto" w:sz="4" w:space="0"/>
              <w:right w:val="single" w:color="auto" w:sz="4" w:space="0"/>
            </w:tcBorders>
            <w:noWrap w:val="0"/>
            <w:vAlign w:val="center"/>
          </w:tcPr>
          <w:p>
            <w:pPr>
              <w:spacing w:line="360" w:lineRule="auto"/>
              <w:ind w:firstLine="210" w:firstLineChars="100"/>
              <w:rPr>
                <w:rFonts w:hint="eastAsia" w:ascii="仿宋" w:hAnsi="仿宋" w:eastAsia="仿宋" w:cs="仿宋"/>
                <w:sz w:val="22"/>
                <w:szCs w:val="22"/>
              </w:rPr>
            </w:pPr>
            <w:r>
              <w:rPr>
                <w:rFonts w:hint="eastAsia" w:ascii="仿宋" w:hAnsi="仿宋" w:eastAsia="仿宋" w:cs="仿宋"/>
                <w:szCs w:val="21"/>
              </w:rPr>
              <w:t>能提供所投产品的合法来源渠道证明文件（包括但不限于产品介绍、彩页、说明书、检测报告、官网和功能截图、产品制造商授权、销售协议、代理协议及质量符合国内相关标准等），评标委员会对各投标文件进行横向对比，赋</w:t>
            </w:r>
            <w:r>
              <w:rPr>
                <w:rFonts w:hint="eastAsia" w:ascii="仿宋" w:hAnsi="仿宋" w:eastAsia="仿宋" w:cs="仿宋"/>
                <w:szCs w:val="21"/>
                <w:lang w:val="en-US" w:eastAsia="zh-CN"/>
              </w:rPr>
              <w:t>0</w:t>
            </w: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342"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p>
        </w:tc>
        <w:tc>
          <w:tcPr>
            <w:tcW w:w="1587"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培训及售后服务</w:t>
            </w:r>
          </w:p>
          <w:p>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7</w:t>
            </w:r>
            <w:r>
              <w:rPr>
                <w:rFonts w:hint="eastAsia" w:ascii="仿宋" w:hAnsi="仿宋" w:eastAsia="仿宋" w:cs="仿宋"/>
                <w:sz w:val="22"/>
                <w:szCs w:val="22"/>
                <w:lang w:eastAsia="zh-CN"/>
              </w:rPr>
              <w:t>分）</w:t>
            </w:r>
          </w:p>
        </w:tc>
        <w:tc>
          <w:tcPr>
            <w:tcW w:w="6273" w:type="dxa"/>
            <w:tcBorders>
              <w:top w:val="single" w:color="auto" w:sz="4" w:space="0"/>
              <w:left w:val="single" w:color="auto" w:sz="4" w:space="0"/>
              <w:right w:val="single" w:color="auto" w:sz="4" w:space="0"/>
            </w:tcBorders>
            <w:noWrap w:val="0"/>
            <w:vAlign w:val="center"/>
          </w:tcPr>
          <w:p>
            <w:pPr>
              <w:spacing w:line="360" w:lineRule="auto"/>
              <w:textAlignment w:val="baseline"/>
              <w:rPr>
                <w:rStyle w:val="36"/>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Style w:val="36"/>
                <w:rFonts w:hint="eastAsia" w:ascii="仿宋" w:hAnsi="仿宋" w:eastAsia="仿宋" w:cs="仿宋"/>
                <w:color w:val="auto"/>
                <w:sz w:val="22"/>
                <w:szCs w:val="22"/>
                <w:highlight w:val="none"/>
              </w:rPr>
              <w:t>.培训：投标单位应提供全面的产品培训方案和后期培训支撑服务，免费为使用单位培训操作维护人员，并确保使用单位能熟练操作维护和正常使用,并在投标文件中列出培训内容、教材、课程安排、培训方式等,按其优劣程度计0-</w:t>
            </w:r>
            <w:r>
              <w:rPr>
                <w:rStyle w:val="36"/>
                <w:rFonts w:hint="eastAsia" w:ascii="仿宋" w:hAnsi="仿宋" w:eastAsia="仿宋" w:cs="仿宋"/>
                <w:color w:val="auto"/>
                <w:sz w:val="22"/>
                <w:szCs w:val="22"/>
                <w:highlight w:val="none"/>
                <w:lang w:val="en-US"/>
              </w:rPr>
              <w:t>2</w:t>
            </w:r>
            <w:r>
              <w:rPr>
                <w:rStyle w:val="36"/>
                <w:rFonts w:hint="eastAsia" w:ascii="仿宋" w:hAnsi="仿宋" w:eastAsia="仿宋" w:cs="仿宋"/>
                <w:color w:val="auto"/>
                <w:sz w:val="22"/>
                <w:szCs w:val="22"/>
                <w:highlight w:val="none"/>
              </w:rPr>
              <w:t>分。</w:t>
            </w:r>
          </w:p>
          <w:p>
            <w:pPr>
              <w:spacing w:line="360" w:lineRule="auto"/>
              <w:textAlignment w:val="baseline"/>
              <w:rPr>
                <w:rStyle w:val="36"/>
                <w:rFonts w:hint="eastAsia" w:ascii="仿宋" w:hAnsi="仿宋" w:eastAsia="仿宋" w:cs="仿宋"/>
                <w:color w:val="auto"/>
                <w:sz w:val="22"/>
                <w:szCs w:val="22"/>
                <w:highlight w:val="none"/>
              </w:rPr>
            </w:pPr>
            <w:r>
              <w:rPr>
                <w:rStyle w:val="36"/>
                <w:rFonts w:hint="eastAsia" w:ascii="仿宋" w:hAnsi="仿宋" w:eastAsia="仿宋" w:cs="仿宋"/>
                <w:color w:val="auto"/>
                <w:sz w:val="22"/>
                <w:szCs w:val="22"/>
                <w:highlight w:val="none"/>
              </w:rPr>
              <w:t>2.售后服务内容：有具体可行的售后服务措施承诺，包括所投产品在质保期内及质保期外的售后服务、故障响应、巡检服务内容等，根据优劣程度计0-</w:t>
            </w:r>
            <w:r>
              <w:rPr>
                <w:rStyle w:val="36"/>
                <w:rFonts w:hint="eastAsia" w:ascii="仿宋" w:hAnsi="仿宋" w:eastAsia="仿宋" w:cs="仿宋"/>
                <w:color w:val="auto"/>
                <w:sz w:val="22"/>
                <w:szCs w:val="22"/>
                <w:highlight w:val="none"/>
                <w:lang w:val="en-US"/>
              </w:rPr>
              <w:t>2</w:t>
            </w:r>
            <w:r>
              <w:rPr>
                <w:rStyle w:val="36"/>
                <w:rFonts w:hint="eastAsia" w:ascii="仿宋" w:hAnsi="仿宋" w:eastAsia="仿宋" w:cs="仿宋"/>
                <w:color w:val="auto"/>
                <w:sz w:val="22"/>
                <w:szCs w:val="22"/>
                <w:highlight w:val="none"/>
              </w:rPr>
              <w:t>。</w:t>
            </w:r>
          </w:p>
          <w:p>
            <w:pPr>
              <w:spacing w:line="360" w:lineRule="auto"/>
              <w:rPr>
                <w:rFonts w:hint="eastAsia" w:ascii="仿宋" w:hAnsi="仿宋" w:eastAsia="仿宋" w:cs="仿宋"/>
                <w:sz w:val="22"/>
                <w:szCs w:val="22"/>
              </w:rPr>
            </w:pPr>
            <w:r>
              <w:rPr>
                <w:rStyle w:val="36"/>
                <w:rFonts w:hint="eastAsia" w:ascii="仿宋" w:hAnsi="仿宋" w:eastAsia="仿宋" w:cs="仿宋"/>
                <w:color w:val="auto"/>
                <w:sz w:val="22"/>
                <w:szCs w:val="22"/>
                <w:highlight w:val="none"/>
              </w:rPr>
              <w:t>3、售后服务机构：包括投标人售后服务网点的设定、拟投入售后服务人员配置情况、项目交付用户后出现故障响应时间等，根据优劣程度计0-</w:t>
            </w:r>
            <w:r>
              <w:rPr>
                <w:rStyle w:val="36"/>
                <w:rFonts w:hint="eastAsia" w:ascii="仿宋" w:hAnsi="仿宋" w:eastAsia="仿宋" w:cs="仿宋"/>
                <w:color w:val="auto"/>
                <w:sz w:val="22"/>
                <w:szCs w:val="22"/>
                <w:highlight w:val="none"/>
                <w:lang w:val="en-US"/>
              </w:rPr>
              <w:t>3</w:t>
            </w:r>
            <w:r>
              <w:rPr>
                <w:rStyle w:val="36"/>
                <w:rFonts w:hint="eastAsia" w:ascii="仿宋" w:hAnsi="仿宋" w:eastAsia="仿宋" w:cs="仿宋"/>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342" w:type="dxa"/>
            <w:vMerge w:val="continue"/>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rPr>
            </w:pPr>
          </w:p>
        </w:tc>
        <w:tc>
          <w:tcPr>
            <w:tcW w:w="1587"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服务团队</w:t>
            </w:r>
          </w:p>
          <w:p>
            <w:pPr>
              <w:spacing w:line="360" w:lineRule="auto"/>
              <w:jc w:val="center"/>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分）</w:t>
            </w:r>
          </w:p>
        </w:tc>
        <w:tc>
          <w:tcPr>
            <w:tcW w:w="6273" w:type="dxa"/>
            <w:tcBorders>
              <w:top w:val="single" w:color="auto" w:sz="4" w:space="0"/>
              <w:left w:val="single" w:color="auto" w:sz="4" w:space="0"/>
              <w:right w:val="single" w:color="auto" w:sz="4" w:space="0"/>
            </w:tcBorders>
            <w:noWrap w:val="0"/>
            <w:vAlign w:val="center"/>
          </w:tcPr>
          <w:p>
            <w:pP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lang w:val="en-US" w:eastAsia="zh-Hans"/>
              </w:rPr>
              <w:t>投标人</w:t>
            </w:r>
            <w:r>
              <w:rPr>
                <w:rFonts w:hint="eastAsia" w:ascii="仿宋" w:hAnsi="仿宋" w:eastAsia="仿宋" w:cs="仿宋"/>
                <w:sz w:val="22"/>
                <w:szCs w:val="22"/>
              </w:rPr>
              <w:t>提供针对本项目的服务团队的人员安排、组成结构及人员的相关资质等内容，并提供相应的证明材料。</w:t>
            </w:r>
            <w:r>
              <w:rPr>
                <w:rStyle w:val="36"/>
                <w:rFonts w:hint="eastAsia" w:ascii="仿宋" w:hAnsi="仿宋" w:eastAsia="仿宋" w:cs="仿宋"/>
                <w:color w:val="auto"/>
                <w:sz w:val="22"/>
                <w:szCs w:val="22"/>
                <w:highlight w:val="none"/>
              </w:rPr>
              <w:t>根据优劣程度计0-</w:t>
            </w:r>
            <w:r>
              <w:rPr>
                <w:rStyle w:val="36"/>
                <w:rFonts w:hint="eastAsia" w:ascii="仿宋" w:hAnsi="仿宋" w:eastAsia="仿宋" w:cs="仿宋"/>
                <w:color w:val="auto"/>
                <w:sz w:val="22"/>
                <w:szCs w:val="22"/>
                <w:highlight w:val="none"/>
                <w:lang w:val="en-US"/>
              </w:rPr>
              <w:t>3</w:t>
            </w:r>
            <w:r>
              <w:rPr>
                <w:rStyle w:val="36"/>
                <w:rFonts w:hint="eastAsia" w:ascii="仿宋" w:hAnsi="仿宋" w:eastAsia="仿宋" w:cs="仿宋"/>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42"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业绩</w:t>
            </w:r>
          </w:p>
        </w:tc>
        <w:tc>
          <w:tcPr>
            <w:tcW w:w="1587" w:type="dxa"/>
            <w:tcBorders>
              <w:left w:val="single" w:color="auto" w:sz="4" w:space="0"/>
              <w:right w:val="single" w:color="auto" w:sz="4" w:space="0"/>
            </w:tcBorders>
            <w:noWrap w:val="0"/>
            <w:vAlign w:val="center"/>
          </w:tcPr>
          <w:p>
            <w:pPr>
              <w:spacing w:line="360" w:lineRule="auto"/>
              <w:ind w:firstLine="220" w:firstLineChars="10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3（分）</w:t>
            </w:r>
          </w:p>
        </w:tc>
        <w:tc>
          <w:tcPr>
            <w:tcW w:w="627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220" w:firstLineChars="100"/>
              <w:rPr>
                <w:rFonts w:hint="eastAsia" w:ascii="仿宋" w:hAnsi="仿宋" w:eastAsia="仿宋" w:cs="仿宋"/>
                <w:color w:val="FF0000"/>
                <w:sz w:val="22"/>
                <w:szCs w:val="22"/>
              </w:rPr>
            </w:pPr>
            <w:r>
              <w:rPr>
                <w:rFonts w:hint="eastAsia" w:ascii="仿宋" w:hAnsi="仿宋" w:eastAsia="仿宋" w:cs="仿宋"/>
                <w:sz w:val="22"/>
                <w:szCs w:val="22"/>
              </w:rPr>
              <w:t>供应商提供近</w:t>
            </w:r>
            <w:r>
              <w:rPr>
                <w:rFonts w:hint="eastAsia" w:ascii="仿宋" w:hAnsi="仿宋" w:eastAsia="仿宋" w:cs="仿宋"/>
                <w:sz w:val="22"/>
                <w:szCs w:val="22"/>
                <w:lang w:eastAsia="zh-CN"/>
              </w:rPr>
              <w:t>三</w:t>
            </w:r>
            <w:r>
              <w:rPr>
                <w:rFonts w:hint="eastAsia" w:ascii="仿宋" w:hAnsi="仿宋" w:eastAsia="仿宋" w:cs="仿宋"/>
                <w:sz w:val="22"/>
                <w:szCs w:val="22"/>
              </w:rPr>
              <w:t>年</w:t>
            </w:r>
            <w:r>
              <w:rPr>
                <w:rFonts w:hint="eastAsia" w:ascii="仿宋" w:hAnsi="仿宋" w:eastAsia="仿宋" w:cs="仿宋"/>
                <w:sz w:val="22"/>
                <w:szCs w:val="22"/>
                <w:lang w:val="en-US" w:eastAsia="zh-CN"/>
              </w:rPr>
              <w:t>类似</w:t>
            </w:r>
            <w:r>
              <w:rPr>
                <w:rFonts w:hint="eastAsia" w:ascii="仿宋" w:hAnsi="仿宋" w:eastAsia="仿宋" w:cs="仿宋"/>
                <w:sz w:val="22"/>
                <w:szCs w:val="22"/>
              </w:rPr>
              <w:t>业绩</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以中标通知书或合同复印件为准</w:t>
            </w:r>
            <w:r>
              <w:rPr>
                <w:rFonts w:hint="eastAsia" w:ascii="仿宋" w:hAnsi="仿宋" w:eastAsia="仿宋" w:cs="仿宋"/>
                <w:sz w:val="22"/>
                <w:szCs w:val="22"/>
                <w:lang w:eastAsia="zh-CN"/>
              </w:rPr>
              <w:t>）</w:t>
            </w:r>
            <w:r>
              <w:rPr>
                <w:rFonts w:hint="eastAsia" w:ascii="仿宋" w:hAnsi="仿宋" w:eastAsia="仿宋" w:cs="仿宋"/>
                <w:sz w:val="22"/>
                <w:szCs w:val="22"/>
              </w:rPr>
              <w:t>，每提供一个计</w:t>
            </w:r>
            <w:r>
              <w:rPr>
                <w:rFonts w:hint="eastAsia" w:ascii="仿宋" w:hAnsi="仿宋" w:eastAsia="仿宋" w:cs="仿宋"/>
                <w:sz w:val="22"/>
                <w:szCs w:val="22"/>
                <w:lang w:val="en-US" w:eastAsia="zh-CN"/>
              </w:rPr>
              <w:t>1</w:t>
            </w:r>
            <w:r>
              <w:rPr>
                <w:rFonts w:hint="eastAsia" w:ascii="仿宋" w:hAnsi="仿宋" w:eastAsia="仿宋" w:cs="仿宋"/>
                <w:sz w:val="22"/>
                <w:szCs w:val="22"/>
              </w:rPr>
              <w:t>分，满分</w:t>
            </w:r>
            <w:r>
              <w:rPr>
                <w:rFonts w:hint="eastAsia" w:ascii="仿宋" w:hAnsi="仿宋" w:eastAsia="仿宋" w:cs="仿宋"/>
                <w:sz w:val="22"/>
                <w:szCs w:val="22"/>
                <w:lang w:val="en-US" w:eastAsia="zh-CN"/>
              </w:rPr>
              <w:t>3</w:t>
            </w:r>
            <w:r>
              <w:rPr>
                <w:rFonts w:hint="eastAsia" w:ascii="仿宋" w:hAnsi="仿宋" w:eastAsia="仿宋" w:cs="仿宋"/>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42" w:type="dxa"/>
            <w:tcBorders>
              <w:left w:val="single" w:color="auto" w:sz="4" w:space="0"/>
              <w:right w:val="single" w:color="auto" w:sz="4" w:space="0"/>
            </w:tcBorders>
            <w:noWrap w:val="0"/>
            <w:vAlign w:val="center"/>
          </w:tcPr>
          <w:p>
            <w:pPr>
              <w:jc w:val="center"/>
              <w:rPr>
                <w:rFonts w:hint="eastAsia" w:ascii="仿宋" w:hAnsi="仿宋" w:eastAsia="仿宋" w:cs="仿宋"/>
                <w:sz w:val="22"/>
                <w:szCs w:val="22"/>
                <w:lang w:eastAsia="zh-CN"/>
              </w:rPr>
            </w:pPr>
            <w:r>
              <w:rPr>
                <w:rFonts w:hint="eastAsia" w:ascii="仿宋" w:hAnsi="仿宋" w:eastAsia="仿宋" w:cs="仿宋"/>
                <w:color w:val="auto"/>
                <w:szCs w:val="21"/>
                <w:shd w:val="clear" w:color="auto" w:fill="auto"/>
                <w:lang w:val="en-US" w:eastAsia="zh-CN"/>
              </w:rPr>
              <w:t>现场演示</w:t>
            </w:r>
          </w:p>
        </w:tc>
        <w:tc>
          <w:tcPr>
            <w:tcW w:w="1587" w:type="dxa"/>
            <w:tcBorders>
              <w:left w:val="single" w:color="auto" w:sz="4" w:space="0"/>
              <w:right w:val="single" w:color="auto" w:sz="4" w:space="0"/>
            </w:tcBorders>
            <w:noWrap w:val="0"/>
            <w:vAlign w:val="center"/>
          </w:tcPr>
          <w:p>
            <w:pPr>
              <w:jc w:val="center"/>
              <w:rPr>
                <w:rFonts w:hint="eastAsia" w:ascii="仿宋" w:hAnsi="仿宋" w:eastAsia="仿宋" w:cs="仿宋"/>
                <w:sz w:val="22"/>
                <w:szCs w:val="22"/>
                <w:lang w:val="en-US" w:eastAsia="zh-CN"/>
              </w:rPr>
            </w:pPr>
            <w:r>
              <w:rPr>
                <w:rFonts w:hint="eastAsia" w:ascii="仿宋" w:hAnsi="仿宋" w:eastAsia="仿宋" w:cs="仿宋"/>
                <w:color w:val="auto"/>
                <w:szCs w:val="21"/>
                <w:shd w:val="clear" w:color="auto" w:fill="auto"/>
                <w:lang w:val="en-US" w:eastAsia="zh-CN"/>
              </w:rPr>
              <w:t>10</w:t>
            </w:r>
            <w:r>
              <w:rPr>
                <w:rFonts w:hint="eastAsia" w:ascii="仿宋" w:hAnsi="仿宋" w:eastAsia="仿宋" w:cs="仿宋"/>
                <w:sz w:val="22"/>
                <w:szCs w:val="22"/>
                <w:lang w:val="en-US" w:eastAsia="zh-CN"/>
              </w:rPr>
              <w:t>（分）</w:t>
            </w:r>
          </w:p>
        </w:tc>
        <w:tc>
          <w:tcPr>
            <w:tcW w:w="627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为保障本次产品采购产品的先进性，对所投设备提供现场演示，满分10分，每条2分，不演示或演示不满足不得分。</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1.嵌入式系统版本不低于Android 11。</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2.采用按压式卡扣，无需工具就可快速拆卸电脑模块。</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3.整机支持纸质护眼模式，可以在任意通道任意画面任意软件所有显示内容下实现画面纹理的实时调整；支持纸质纹理：牛皮纸、素描纸、宣纸、水彩纸、水纹纸；支持透明度调节。</w:t>
            </w:r>
          </w:p>
          <w:p>
            <w:pPr>
              <w:rPr>
                <w:rFonts w:hint="eastAsia" w:ascii="仿宋" w:hAnsi="仿宋" w:eastAsia="仿宋" w:cs="仿宋"/>
                <w:color w:val="auto"/>
                <w:kern w:val="2"/>
                <w:sz w:val="21"/>
                <w:szCs w:val="21"/>
                <w:highlight w:val="none"/>
                <w:shd w:val="clear" w:color="auto" w:fill="auto"/>
                <w:lang w:val="en-US" w:eastAsia="zh-CN" w:bidi="ar-SA"/>
              </w:rPr>
            </w:pPr>
            <w:r>
              <w:rPr>
                <w:rFonts w:hint="eastAsia" w:ascii="仿宋" w:hAnsi="仿宋" w:eastAsia="仿宋" w:cs="仿宋"/>
                <w:color w:val="auto"/>
                <w:kern w:val="2"/>
                <w:sz w:val="21"/>
                <w:szCs w:val="21"/>
                <w:highlight w:val="none"/>
                <w:shd w:val="clear" w:color="auto" w:fill="auto"/>
                <w:lang w:val="en-US" w:eastAsia="zh-CN" w:bidi="ar-SA"/>
              </w:rPr>
              <w:t>4.系统根据学生日常行为评价情况，通过AI学生能力模型进行智能分析，为每个学生生成定制化评语，评语可支持教师二次编辑修改并推送至家长端。</w:t>
            </w:r>
          </w:p>
          <w:p>
            <w:pPr>
              <w:rPr>
                <w:rFonts w:hint="eastAsia" w:ascii="仿宋" w:hAnsi="仿宋" w:eastAsia="仿宋" w:cs="仿宋"/>
                <w:sz w:val="22"/>
                <w:szCs w:val="22"/>
              </w:rPr>
            </w:pPr>
            <w:r>
              <w:rPr>
                <w:rFonts w:hint="eastAsia" w:ascii="仿宋" w:hAnsi="仿宋" w:eastAsia="仿宋" w:cs="仿宋"/>
                <w:color w:val="auto"/>
                <w:kern w:val="2"/>
                <w:sz w:val="21"/>
                <w:szCs w:val="21"/>
                <w:highlight w:val="none"/>
                <w:shd w:val="clear" w:color="auto" w:fill="auto"/>
                <w:lang w:val="en-US" w:eastAsia="zh-CN" w:bidi="ar-SA"/>
              </w:rPr>
              <w:t>5.信息化数据雷达图：将信息化教学数据分五个维度进行评估，分别为课件制作、听课评课、师生互动、互动教学、家校沟通，并与全省均值对比，学校信息化教学情况一目了然。</w:t>
            </w:r>
          </w:p>
        </w:tc>
      </w:tr>
    </w:tbl>
    <w:p>
      <w:pPr>
        <w:rPr>
          <w:rFonts w:hint="eastAsia" w:ascii="仿宋" w:hAnsi="仿宋" w:eastAsia="仿宋" w:cs="仿宋"/>
        </w:rPr>
      </w:pPr>
    </w:p>
    <w:p>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、其他事项说明：（落实的相关政策）</w:t>
      </w:r>
    </w:p>
    <w:p>
      <w:pPr>
        <w:pStyle w:val="14"/>
        <w:spacing w:before="0" w:beforeAutospacing="0" w:after="0" w:afterAutospacing="0"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采购项目需要落实的政府采购政策：依据《中华人民共和国政府采购法》、《中华人民共和国政府采购实施条例》和《政府采购货物和服务招标投标管理办法》的有关规定，落实政府采购政策。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1、《财政部 工业和信息化部关于印发〈政府采购促进中小企业发展管理办法〉的通知》（财库〔2020〕46号）；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2、《财政部司法部关于政府采购支持监狱企业发展有关问题的通知》（财库〔2014〕68号）；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3、《国务院办公厅关于建立政府强制采购节能产品制度的通知》（国办发〔2007〕51号）；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4、《节能产品政府采购实施意见》（财库[2004]185号）；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5、《环境标志产品政府采购实施的意见》（财库[2006]90号）；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6、《三部门联合发布关于促进残疾人就业政府采购政策的通知》（财库〔2017〕141号）。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7、《财政部 工业和信息化部关于印发〈政府采购促进中小企业发展管理办法〉的通知》（财库〔2021〕46号）。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333333"/>
          <w:spacing w:val="0"/>
          <w:sz w:val="24"/>
          <w:szCs w:val="24"/>
          <w:shd w:val="clear" w:fill="FFFFFF"/>
          <w:vertAlign w:val="baseline"/>
        </w:rPr>
        <w:t>8、陕西省财政厅关于印发《陕西省中小企业政府采购信用融资办法》（陕财办采〔2018〕23号）；</w:t>
      </w:r>
      <w:r>
        <w:rPr>
          <w:rFonts w:hint="eastAsia" w:ascii="仿宋" w:hAnsi="仿宋" w:eastAsia="仿宋" w:cs="仿宋"/>
          <w:i w:val="0"/>
          <w:iCs w:val="0"/>
          <w:caps w:val="0"/>
          <w:color w:val="333333"/>
          <w:spacing w:val="0"/>
          <w:sz w:val="24"/>
          <w:szCs w:val="24"/>
          <w:shd w:val="clear" w:fill="FFFFFF"/>
          <w:vertAlign w:val="baseline"/>
        </w:rPr>
        <w:br w:type="textWrapping"/>
      </w:r>
      <w:r>
        <w:rPr>
          <w:rFonts w:hint="eastAsia" w:ascii="仿宋" w:hAnsi="仿宋" w:eastAsia="仿宋" w:cs="仿宋"/>
          <w:i w:val="0"/>
          <w:iCs w:val="0"/>
          <w:caps w:val="0"/>
          <w:color w:val="333333"/>
          <w:spacing w:val="0"/>
          <w:sz w:val="24"/>
          <w:szCs w:val="24"/>
          <w:shd w:val="clear" w:fill="FFFFFF"/>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vertAlign w:val="baseline"/>
        </w:rPr>
        <w:t>9、其他需要落实的政府采购政策。</w:t>
      </w:r>
    </w:p>
    <w:p>
      <w:pPr>
        <w:spacing w:line="520" w:lineRule="exact"/>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 xml:space="preserve">、定标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（1）采购代理机构在评标结束后2个工作日内将评标结果报告送达采购人，采购人在收到评标结果报告后5个工作日内，按照评标结果报告中推荐的中标候选人顺序确定中标人，同时书面复函采购代理机构；</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（2）采购代理机构收到采购人“中标复函”后，在财政部门指定的政府采购信息媒体上发布公告，公示期满无异议，向中标人发出“中标通知书”。 </w:t>
      </w:r>
    </w:p>
    <w:p>
      <w:pPr>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七、签订合同</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1、定标后，中标人在收到中标通知书后三十（30）个日历日内，应按招标文件的要求与采购人洽谈合同条款，并签订供货合同，同时送监督机构备案，招标文件及中标人投标文件均作为合同的组成部分；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3、根据需要，采购代理机构可会同采购人负责监督、协调和处理履约过程中出现的问题；</w:t>
      </w:r>
    </w:p>
    <w:p>
      <w:pPr>
        <w:spacing w:line="360" w:lineRule="auto"/>
        <w:ind w:firstLine="480" w:firstLineChars="200"/>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t>4、政府采购管理部门在合同履行期间以及履行期后，可以随时检查项目的执行情况，对采购标准、采购内容进行调查核实，并对发现的问题进行处理。</w:t>
      </w:r>
    </w:p>
    <w:p>
      <w:pPr>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八、中标服务费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1、中标服务费按约定由中标人支付。</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2、中标人应依据中标金额向采购代理机构交纳中标服务费，交费金额参照国家计委颁布的《招标代理服务收费管理暂行办法》（计价格[2002]1980号）</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3、本项目代理服务费按货物计取。</w:t>
      </w:r>
    </w:p>
    <w:tbl>
      <w:tblPr>
        <w:tblStyle w:val="1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ind w:firstLine="422"/>
              <w:jc w:val="center"/>
              <w:rPr>
                <w:rFonts w:hint="eastAsia" w:ascii="仿宋" w:hAnsi="仿宋" w:eastAsia="仿宋" w:cs="仿宋"/>
                <w:color w:val="auto"/>
                <w:highlight w:val="none"/>
              </w:rPr>
            </w:pPr>
            <w:r>
              <w:rPr>
                <w:rFonts w:hint="eastAsia" w:ascii="仿宋" w:hAnsi="仿宋" w:eastAsia="仿宋" w:cs="仿宋"/>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ind w:firstLine="422"/>
              <w:jc w:val="center"/>
              <w:rPr>
                <w:rFonts w:hint="eastAsia" w:ascii="仿宋" w:hAnsi="仿宋" w:eastAsia="仿宋" w:cs="仿宋"/>
                <w:color w:val="auto"/>
                <w:highlight w:val="none"/>
              </w:rPr>
            </w:pPr>
            <w:r>
              <w:rPr>
                <w:rFonts w:hint="eastAsia" w:ascii="仿宋" w:hAnsi="仿宋" w:eastAsia="仿宋" w:cs="仿宋"/>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ind w:firstLine="422"/>
              <w:jc w:val="center"/>
              <w:rPr>
                <w:rFonts w:hint="eastAsia" w:ascii="仿宋" w:hAnsi="仿宋" w:eastAsia="仿宋" w:cs="仿宋"/>
                <w:color w:val="auto"/>
                <w:highlight w:val="none"/>
              </w:rPr>
            </w:pPr>
            <w:r>
              <w:rPr>
                <w:rFonts w:hint="eastAsia" w:ascii="仿宋" w:hAnsi="仿宋" w:eastAsia="仿宋" w:cs="仿宋"/>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ind w:firstLine="422"/>
              <w:jc w:val="center"/>
              <w:rPr>
                <w:rFonts w:hint="eastAsia" w:ascii="仿宋" w:hAnsi="仿宋" w:eastAsia="仿宋" w:cs="仿宋"/>
                <w:color w:val="auto"/>
                <w:highlight w:val="none"/>
              </w:rPr>
            </w:pPr>
            <w:r>
              <w:rPr>
                <w:rFonts w:hint="eastAsia" w:ascii="仿宋" w:hAnsi="仿宋" w:eastAsia="仿宋" w:cs="仿宋"/>
                <w:b/>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vAlign w:val="center"/>
          </w:tcPr>
          <w:p>
            <w:pPr>
              <w:pStyle w:val="14"/>
              <w:spacing w:before="0" w:beforeAutospacing="0" w:after="0" w:afterAutospacing="0" w:line="48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0.015%</w:t>
            </w:r>
          </w:p>
        </w:tc>
      </w:tr>
    </w:tbl>
    <w:p>
      <w:pPr>
        <w:spacing w:line="360" w:lineRule="auto"/>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注：招标代理服务收费按差额定率累进法计算。</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以货物项目为例：中标金额为1200万元，计算招标代理服务收费额如下：</w:t>
      </w:r>
    </w:p>
    <w:p>
      <w:pPr>
        <w:spacing w:line="360" w:lineRule="auto"/>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100万元×1.5%=1.5万元</w:t>
      </w:r>
    </w:p>
    <w:p>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（500-100）万元×1.1%=4.4万元 </w:t>
      </w:r>
    </w:p>
    <w:p>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（1000-500）万元×0.8%=4万元 </w:t>
      </w:r>
    </w:p>
    <w:p>
      <w:pPr>
        <w:spacing w:line="36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（1200-1000）万元×0.5%=1万元</w:t>
      </w:r>
    </w:p>
    <w:p>
      <w:pPr>
        <w:spacing w:line="360" w:lineRule="auto"/>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合计收费</w:t>
      </w:r>
      <w:r>
        <w:rPr>
          <w:rFonts w:hint="eastAsia" w:ascii="仿宋" w:hAnsi="仿宋" w:eastAsia="仿宋" w:cs="仿宋"/>
          <w:color w:val="auto"/>
          <w:spacing w:val="20"/>
          <w:kern w:val="0"/>
          <w:sz w:val="24"/>
          <w:highlight w:val="none"/>
        </w:rPr>
        <w:t>=1.5+4.4+4+1=10.9</w:t>
      </w:r>
      <w:r>
        <w:rPr>
          <w:rFonts w:hint="eastAsia" w:ascii="仿宋" w:hAnsi="仿宋" w:eastAsia="仿宋" w:cs="仿宋"/>
          <w:color w:val="auto"/>
          <w:kern w:val="0"/>
          <w:sz w:val="24"/>
          <w:highlight w:val="none"/>
        </w:rPr>
        <w:t>万元</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30"/>
          <w:szCs w:val="30"/>
          <w:highlight w:val="none"/>
        </w:rPr>
        <w:t>九．其它事项</w:t>
      </w:r>
    </w:p>
    <w:p>
      <w:pPr>
        <w:widowControl/>
        <w:spacing w:line="360" w:lineRule="auto"/>
        <w:ind w:firstLine="600" w:firstLineChars="2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1、投标截止后投标人不足三家或者通过资格审查或符合性审查的投标人不足三家的，除采购任务取消情形外，按照以下方式处理：</w:t>
      </w:r>
    </w:p>
    <w:p>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（1）招标文件存在不合理条款或者招标程序不符合规定的，采购人、采购代理机构改正后依法重新招标；</w:t>
      </w:r>
    </w:p>
    <w:p>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（2）招标文件没有不合理条款、招标程序符合规定，需要采用其他采购方式采购的，采购人应当依法报财政部门批准。</w:t>
      </w:r>
    </w:p>
    <w:p>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2、中标人拒绝与采购人签订合同的，采购人可以按照评审结果报告推荐的中标候选人名单排序，确定下一候选人为中标人，也可以重新开展政府采购活动。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tabs>
          <w:tab w:val="left" w:pos="2100"/>
        </w:tabs>
        <w:jc w:val="center"/>
        <w:rPr>
          <w:rFonts w:hint="eastAsia" w:ascii="仿宋" w:hAnsi="仿宋" w:eastAsia="仿宋" w:cs="仿宋"/>
          <w:color w:val="auto"/>
          <w:sz w:val="24"/>
          <w:highlight w:val="none"/>
        </w:rPr>
      </w:pPr>
      <w:r>
        <w:rPr>
          <w:rFonts w:hint="eastAsia" w:ascii="仿宋" w:hAnsi="仿宋" w:eastAsia="仿宋" w:cs="仿宋"/>
          <w:b/>
          <w:color w:val="auto"/>
          <w:sz w:val="32"/>
          <w:szCs w:val="32"/>
          <w:highlight w:val="none"/>
        </w:rPr>
        <w:t>第三部分   招标内容及参数要求</w:t>
      </w:r>
    </w:p>
    <w:p>
      <w:pPr>
        <w:widowControl/>
        <w:spacing w:line="520" w:lineRule="exact"/>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一、项目名称：</w:t>
      </w:r>
      <w:r>
        <w:rPr>
          <w:rFonts w:hint="eastAsia" w:ascii="仿宋" w:hAnsi="仿宋" w:eastAsia="仿宋" w:cs="仿宋"/>
          <w:color w:val="auto"/>
          <w:sz w:val="24"/>
          <w:highlight w:val="none"/>
          <w:lang w:eastAsia="zh-CN"/>
        </w:rPr>
        <w:t>延安中学远程互动教室采购项目（二次）</w:t>
      </w:r>
    </w:p>
    <w:p>
      <w:pPr>
        <w:pStyle w:val="15"/>
        <w:ind w:firstLine="0"/>
        <w:rPr>
          <w:rFonts w:hint="eastAsia" w:ascii="仿宋" w:hAnsi="仿宋" w:eastAsia="仿宋" w:cs="仿宋"/>
          <w:color w:val="auto"/>
          <w:highlight w:val="none"/>
        </w:rPr>
      </w:pPr>
      <w:r>
        <w:rPr>
          <w:rFonts w:hint="eastAsia" w:ascii="仿宋" w:hAnsi="仿宋" w:eastAsia="仿宋" w:cs="仿宋"/>
          <w:color w:val="auto"/>
          <w:highlight w:val="none"/>
        </w:rPr>
        <w:t>二、</w:t>
      </w:r>
      <w:r>
        <w:rPr>
          <w:rFonts w:hint="eastAsia" w:ascii="仿宋" w:hAnsi="仿宋" w:eastAsia="仿宋" w:cs="仿宋"/>
          <w:color w:val="auto"/>
          <w:highlight w:val="none"/>
          <w:lang w:val="en-US" w:eastAsia="zh-CN"/>
        </w:rPr>
        <w:t>供货</w:t>
      </w:r>
      <w:r>
        <w:rPr>
          <w:rFonts w:hint="eastAsia" w:ascii="仿宋" w:hAnsi="仿宋" w:eastAsia="仿宋" w:cs="仿宋"/>
          <w:color w:val="auto"/>
          <w:highlight w:val="none"/>
        </w:rPr>
        <w:t>期：合同签订后</w:t>
      </w:r>
      <w:r>
        <w:rPr>
          <w:rFonts w:hint="eastAsia" w:ascii="仿宋" w:hAnsi="仿宋" w:eastAsia="仿宋" w:cs="仿宋"/>
          <w:color w:val="auto"/>
          <w:highlight w:val="none"/>
          <w:lang w:val="en-US" w:eastAsia="zh-CN"/>
        </w:rPr>
        <w:t>30天内完成</w:t>
      </w:r>
      <w:r>
        <w:rPr>
          <w:rFonts w:hint="eastAsia" w:ascii="仿宋" w:hAnsi="仿宋" w:eastAsia="仿宋" w:cs="仿宋"/>
          <w:color w:val="auto"/>
          <w:highlight w:val="none"/>
        </w:rPr>
        <w:t>。</w:t>
      </w:r>
    </w:p>
    <w:p>
      <w:pPr>
        <w:pStyle w:val="15"/>
        <w:ind w:firstLine="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三、质保期：一年。</w:t>
      </w:r>
    </w:p>
    <w:p>
      <w:pPr>
        <w:pStyle w:val="15"/>
        <w:ind w:firstLine="0"/>
        <w:rPr>
          <w:rFonts w:hint="eastAsia" w:ascii="仿宋" w:hAnsi="仿宋" w:eastAsia="仿宋" w:cs="仿宋"/>
          <w:b/>
          <w:color w:val="auto"/>
          <w:sz w:val="24"/>
          <w:highlight w:val="none"/>
        </w:rPr>
      </w:pP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、采购内容：</w:t>
      </w:r>
    </w:p>
    <w:tbl>
      <w:tblPr>
        <w:tblStyle w:val="18"/>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25"/>
        <w:gridCol w:w="6827"/>
        <w:gridCol w:w="465"/>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autoSpaceDE w:val="0"/>
              <w:autoSpaceDN w:val="0"/>
              <w:bidi w:val="0"/>
              <w:adjustRightInd w:val="0"/>
              <w:snapToGrid/>
              <w:spacing w:line="240" w:lineRule="auto"/>
              <w:ind w:left="-34" w:firstLine="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725" w:type="dxa"/>
            <w:vAlign w:val="center"/>
          </w:tcPr>
          <w:p>
            <w:pPr>
              <w:keepNext w:val="0"/>
              <w:keepLines w:val="0"/>
              <w:pageBreakBefore w:val="0"/>
              <w:kinsoku/>
              <w:wordWrap/>
              <w:overflowPunct/>
              <w:topLinePunct w:val="0"/>
              <w:autoSpaceDE w:val="0"/>
              <w:autoSpaceDN w:val="0"/>
              <w:bidi w:val="0"/>
              <w:adjustRightInd w:val="0"/>
              <w:snapToGrid/>
              <w:spacing w:line="240" w:lineRule="auto"/>
              <w:ind w:left="-34" w:firstLine="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货物名称</w:t>
            </w:r>
          </w:p>
        </w:tc>
        <w:tc>
          <w:tcPr>
            <w:tcW w:w="6827" w:type="dxa"/>
            <w:vAlign w:val="center"/>
          </w:tcPr>
          <w:p>
            <w:pPr>
              <w:keepNext w:val="0"/>
              <w:keepLines w:val="0"/>
              <w:pageBreakBefore w:val="0"/>
              <w:kinsoku/>
              <w:wordWrap/>
              <w:overflowPunct/>
              <w:topLinePunct w:val="0"/>
              <w:autoSpaceDE w:val="0"/>
              <w:autoSpaceDN w:val="0"/>
              <w:bidi w:val="0"/>
              <w:adjustRightInd w:val="0"/>
              <w:snapToGrid/>
              <w:spacing w:line="240" w:lineRule="auto"/>
              <w:ind w:left="-34" w:firstLine="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招标文件技术需求</w:t>
            </w:r>
          </w:p>
        </w:tc>
        <w:tc>
          <w:tcPr>
            <w:tcW w:w="465" w:type="dxa"/>
            <w:vAlign w:val="center"/>
          </w:tcPr>
          <w:p>
            <w:pPr>
              <w:keepNext w:val="0"/>
              <w:keepLines w:val="0"/>
              <w:pageBreakBefore w:val="0"/>
              <w:kinsoku/>
              <w:wordWrap/>
              <w:overflowPunct/>
              <w:topLinePunct w:val="0"/>
              <w:autoSpaceDE w:val="0"/>
              <w:autoSpaceDN w:val="0"/>
              <w:bidi w:val="0"/>
              <w:adjustRightInd w:val="0"/>
              <w:snapToGrid/>
              <w:spacing w:line="240" w:lineRule="auto"/>
              <w:ind w:left="-34" w:firstLine="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数量</w:t>
            </w:r>
          </w:p>
        </w:tc>
        <w:tc>
          <w:tcPr>
            <w:tcW w:w="469" w:type="dxa"/>
            <w:vAlign w:val="center"/>
          </w:tcPr>
          <w:p>
            <w:pPr>
              <w:keepNext w:val="0"/>
              <w:keepLines w:val="0"/>
              <w:pageBreakBefore w:val="0"/>
              <w:kinsoku/>
              <w:wordWrap/>
              <w:overflowPunct/>
              <w:topLinePunct w:val="0"/>
              <w:autoSpaceDE w:val="0"/>
              <w:autoSpaceDN w:val="0"/>
              <w:bidi w:val="0"/>
              <w:adjustRightInd w:val="0"/>
              <w:snapToGrid/>
              <w:spacing w:line="240" w:lineRule="auto"/>
              <w:ind w:left="-34" w:firstLine="0"/>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widowControl/>
              <w:kinsoku/>
              <w:wordWrap/>
              <w:overflowPunct/>
              <w:topLinePunct w:val="0"/>
              <w:bidi w:val="0"/>
              <w:snapToGrid/>
              <w:spacing w:line="240" w:lineRule="auto"/>
              <w:ind w:firstLine="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w:t>
            </w:r>
          </w:p>
        </w:tc>
        <w:tc>
          <w:tcPr>
            <w:tcW w:w="725" w:type="dxa"/>
            <w:vAlign w:val="center"/>
          </w:tcPr>
          <w:p>
            <w:pPr>
              <w:keepNext w:val="0"/>
              <w:keepLines w:val="0"/>
              <w:pageBreakBefore w:val="0"/>
              <w:widowControl/>
              <w:kinsoku/>
              <w:wordWrap/>
              <w:overflowPunct/>
              <w:topLinePunct w:val="0"/>
              <w:bidi w:val="0"/>
              <w:snapToGrid/>
              <w:spacing w:line="240" w:lineRule="auto"/>
              <w:ind w:firstLine="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智慧黑板</w:t>
            </w:r>
          </w:p>
        </w:tc>
        <w:tc>
          <w:tcPr>
            <w:tcW w:w="6827" w:type="dxa"/>
            <w:vAlign w:val="center"/>
          </w:tcPr>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一、整体设计</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整机采用全金属外壳，三拼接平面一体化设计，主副屏过渡平滑并在同一平面，中间无单独边框阻隔。整体外观尺寸：宽≥4200mm，高≥1200mm，厚≤95mm。</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2.主屏支持普通粉笔直接书写，整机两侧副屏可支持以下媒介（普通粉笔、液体粉笔、成膜笔）进行板书书写。</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3.整机采用UHD超高清LED液晶屏，显示比例16:9，分辨率3840×2160。</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4.▲屏幕钢化玻璃表面硬度≥9H。提供生产厂家出具的、相应的功能证明材料（包括但不限于测试报告、官网和功能截图等）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5.整机能感应并自动调节屏幕亮度来达到在不同光照环境下的不同亮度显示效果。此功能可自行开启或关闭。</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整机内置2.2声道扬声器，位于设备上边框，顶置朝前发声，前朝向10W高音扬声器2个，上朝向20W中低音扬声器2个，总功率60W。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7.▲整机内置扬声器采用缝隙发声技术，喇叭采用槽式开口设计，不大于5.8mm。提供生产厂家出具的、相应的功能证明材料（包括但不限于测试报告、官网和功能截图等）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8.采用电容触控技术，支持Windows系统中进行20点或以上触控。</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9.▲整机支持色彩空间可选，包含标准模式和sRGB模式。提供生产厂家出具的、相应的功能证明材料（包括但不限于测试报告、官网和功能截图等）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二、接口及按键</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1.整机具备至少6个前置按键。支持通过前置按键进行开关机、调出中控菜单、音量+/-、护眼、录屏的操作。</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整机支持纸质护眼模式，可以在任意通道任意画面任意软件所有显示内容下实现画面纹理的实时调整；支持纸质纹理：牛皮纸、素描纸、宣纸、水彩纸、水纹纸；支持透明度调节。提供生产厂家出具的、相应的功能证明材料（包括但不限于测试报告、官网和功能截图等），提供现场演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3.▲支持通过前置面板物理按键一键启动录屏功能，可将屏幕中显示的课件、音频内容与老师人声同时录制。提供生产厂家出具的、相应的功能证明材料（包括但不限于测试报告、官网和功能截图等）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支持自定义前置“设置"按键，通过自定义设置实现前置面板功能按键一键启用任一全局小工具（批注、截屏、计时、降半屏、放大镜、倒数日、日历）、快捷开关（节能模式、纸质护眼模式、经典护眼模式、自动亮度模式）。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外接电脑设备通过双头Type-C数据线连接至整机，可调用整机内置的摄像头、麦克风、扬声器，可在外接电脑上控制整机拍摄教室画面。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三、整机功能</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整机内置非独立摄像头，可拍摄≥1300万像素数的照片，摄像头视场角≥135度。具备摄像头工作指示灯，摄像头运行时，有指示灯提示。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2.整机摄像头支持人脸识别、快速点人数、随机抽人，可识别镜头前的所有学生，并显示人脸标记、随机抽选。支持同时显示标记不少于60人。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3.整机支持通过人脸识别进行解锁设备以及人脸识别进行登录账号。</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4.整机摄像头支持环境色温判断，根据环境调节合适的显示图像效果。</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5.整机采用硬件低蓝光背光技术，在源头减少有害蓝光波段能量，蓝光占比（有害蓝光415～455nm能量综合）/（整体蓝光400～500能量综合）＜50%，低蓝光保护显示不偏色、不泛黄。</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6.整机具备供电保护模块，能够检测内置电脑是否插好在位，在内置电脑未在位的情况下，内置电脑无法上电工作。</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7.触摸屏在照度100K LUX（勒克司）环境下仍能正常工作。</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四、嵌入式系统：</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1.Android系统下，互动白板支持对已经书写的笔迹和形状的颜色进行更换。</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无PC状态下，Android系统内置白板支持十笔书写及手掌擦除，手掌擦除的面积根据手掌与屏幕的接触面大小自动调整，白板书写内容可以PDF、IWB和SVG格式导出。支持10种以上平面图形工具。支持8种以上立体图形工具。提供生产厂家出具的、相应的功能证明材料（包括但不限于测试报告、官网和功能截图等）。提供现场演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3.▲嵌入式系统版本不低于Android 11。提供生产厂家出具的、相应的功能证明材料（包括但不限于测试报告、官网和功能截图等），提供现场演示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五、OPS模块</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1.主板南桥采用H410或H510芯片组，搭载Intel  酷睿系列 i5CPU内存：8GB DDR4笔记本内存或以上配置，硬盘：256GB或以上SSD固态硬盘，具有独立非外扩展的视频输出接口：≥1路HDMI， ≥3路USB。</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2.PC模块可抽拉式插入整机，可实现无单独接线的插拔。</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3.和整机的连接采用万兆级接口。</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sz w:val="24"/>
                <w:szCs w:val="24"/>
                <w:highlight w:val="none"/>
                <w:lang w:val="en-US" w:eastAsia="zh-CN"/>
              </w:rPr>
              <w:t>▲</w:t>
            </w:r>
            <w:r>
              <w:rPr>
                <w:rFonts w:hint="eastAsia" w:ascii="仿宋" w:hAnsi="仿宋" w:eastAsia="仿宋" w:cs="仿宋"/>
                <w:color w:val="auto"/>
                <w:sz w:val="24"/>
                <w:szCs w:val="24"/>
                <w:highlight w:val="none"/>
                <w:lang w:val="en-US" w:eastAsia="zh-CN"/>
              </w:rPr>
              <w:t>采用按压式卡扣，无需工具就可快速拆卸电脑模块。</w:t>
            </w:r>
            <w:r>
              <w:rPr>
                <w:rFonts w:hint="eastAsia" w:ascii="仿宋" w:hAnsi="仿宋" w:eastAsia="仿宋" w:cs="仿宋"/>
                <w:sz w:val="24"/>
                <w:szCs w:val="24"/>
                <w:highlight w:val="none"/>
                <w:lang w:val="en-US" w:eastAsia="zh-CN"/>
              </w:rPr>
              <w:t>提供生产厂家出具的、相应的功能证明材料（包括但不限于测试报告、官网和功能截图等），提供现场演示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六、云管理系统：</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终端能力：</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1.支持查看终端设备信息，支持查看终端设备型号、序列号、磁盘容量、内存容量、CPU型号等信息；</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2.支持配置多网卡网络，支持配置DHCP获取IP或手动配置静态IP信息，配置的网络信息同步到启动的云桌面镜像中保持一致；</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3.支持配置管理平台地址，支持自动寻找网络中的管理平台，支持手动指定管理平台，支持检测管理平台的连通性；</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4.支持系统重置，恢复出厂设置；</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5.支持系统启动模式配置，可配置成开机自动进入云桌面镜像系统或进入云平板系统；</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6.支持在配置成开机自动进入云桌面镜像系统时，可以通过托盘程序重启进入云平板系统进行云桌面镜像切换或终端设置；</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7.支持云桌面镜像与终端设备绑定；</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8.支持终端设备上的云桌面镜像均可使用公共数据分区（D盘）；</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9.支持通过账号登录、手机扫码登录、无账号访客登录启动的云桌面镜像均可访问公共数据分区（D盘）；</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10.支持断网使用，即在终端设备网络中断或管理平台连接中断时，正在操作的教学业务不受影响，依然可使用当前云桌面镜像继续开展业务，打开的程序也不会中断，保障业务连续性；</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11.支持终端设备运行时无需运行独立的虚拟化系统，终端设备配置的IP与进入云桌面镜像后的IP能够保持一致，同一个终端无需使用多个IP；</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12.支持在终端设备部署多个云桌面镜像切换使用，支持Windows、UOS、KylinOS、Ubuntu等桌面操作系统的云桌面镜像；</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13.支持Windows云桌面镜像，在Windows云桌面镜像系统中查看设备的CPU型号、GPU型号、系统型号、BIOS版本等系统信息显示与终端物理设备一致；</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14.支持高清显示，在云桌面镜像设置显示分辨率为3840*2160@60Hz，支持4K清晰度60帧高清视频流畅解码播放；</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15.在未配置管理平台使用终端设备时，管理员进行云桌面镜像管理时，支持查看信息、设置默认启动、设置还原、导入镜像、导出镜像、删除镜像；</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16.在未配置管理平台使用终端设备时，支持管理员设置指定云桌面镜像默认启动，终端设备每次开机、重启时自动进入设置的云桌面镜像。</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管理平台：</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1.在配置管理平台使用终端设备时，支持管理员进行云桌面镜像管理，支持查看信息、上传更新数据、下载更新数据、下载桌面镜像、删除镜像；</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2.在配置管理平台使用终端设备时，支持管理员将指定云桌面镜像更新数据；（应用安装、应用卸载、新增数据文件、删除数据文件）上传至管理平台，支持上传过程中查看进度、传输速度等信息；</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在配置管理平台使用终端设备时，支持管理员将指定云桌面镜像管理平台存在的更新数据；（应用安装、应用卸载、新增数据文件、删除数据文件）下载至终端设备，支持下载过程中查看进度、传输速度等信息；</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4.在配置管理平台使用终端设备时，支持管理员下载新增的云桌面镜像至终端设备，支持下载过程中查看进度、传输速度等信息；</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5.在配置管理平台使用终端设备时，支持多种身份识别方式，支持通过账号登录、手机扫码登录、无账号访客登录；</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6.在配置管理平台使用终端设备时，支持统一互通的用户身份认证服务，账号登录进入云桌面镜像后，打开教学白板软件、学生行为评价软件的教学应用工具时无需再次输入账号密码重复登录。</w:t>
            </w:r>
          </w:p>
        </w:tc>
        <w:tc>
          <w:tcPr>
            <w:tcW w:w="465" w:type="dxa"/>
            <w:vAlign w:val="center"/>
          </w:tcPr>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66</w:t>
            </w:r>
          </w:p>
        </w:tc>
        <w:tc>
          <w:tcPr>
            <w:tcW w:w="469" w:type="dxa"/>
            <w:vAlign w:val="center"/>
          </w:tcPr>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widowControl/>
              <w:kinsoku/>
              <w:wordWrap/>
              <w:overflowPunct/>
              <w:topLinePunct w:val="0"/>
              <w:bidi w:val="0"/>
              <w:snapToGrid/>
              <w:spacing w:line="240" w:lineRule="auto"/>
              <w:ind w:firstLine="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2</w:t>
            </w:r>
          </w:p>
        </w:tc>
        <w:tc>
          <w:tcPr>
            <w:tcW w:w="725" w:type="dxa"/>
            <w:vAlign w:val="center"/>
          </w:tcPr>
          <w:p>
            <w:pPr>
              <w:keepNext w:val="0"/>
              <w:keepLines w:val="0"/>
              <w:pageBreakBefore w:val="0"/>
              <w:widowControl/>
              <w:kinsoku/>
              <w:wordWrap/>
              <w:overflowPunct/>
              <w:topLinePunct w:val="0"/>
              <w:bidi w:val="0"/>
              <w:snapToGrid/>
              <w:spacing w:line="240" w:lineRule="auto"/>
              <w:ind w:firstLine="0"/>
              <w:jc w:val="center"/>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备授课软件</w:t>
            </w:r>
          </w:p>
        </w:tc>
        <w:tc>
          <w:tcPr>
            <w:tcW w:w="6827" w:type="dxa"/>
            <w:vAlign w:val="center"/>
          </w:tcPr>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1.采用备授课一体化框架设计，教师可根据教学场景自由切换类PPT界面的备课模式与触控交互教学模式，适用于教室、办公室等不同教学环境，便于教师教学使用。</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2.▲为全校教师提供可扩展，易于学校管理，安全可靠的云存储空间，根据每名教师使用时长与教学资料制作频率提供可扩展升级至不小于200G的个人云空间。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3.为使用方全体教师配备个人账号，形成一体的信息化教学账号体系。</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4.▲根据教师账号信息将教师云空间匹配至对应学校、学科校本资源库。提供生产厂家出具的、相应的功能证明材料（包括但不限于测试报告、官网和功能截图等）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5.上传下载一体化云存储：备课时支持将云空间中存储图片、音频、视频、Flash等素材插入课件，同时支持将课件中的图片、音频、视频、Flash、PPT等素材右键上传至云空间。</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6.接收方通过web链接或二维码的课件分享入口可预览互动课件内容并可触控课件互动元素。</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7.支持PPT的原生解析，教师可将pptx课件转化为互动教学课件，支持单份导入和批量文件夹导入两种格式，保留pptx原文件中的文字、图片、表格等对象及动画的可编辑性，并可为课件增加互动教学元素。</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8.可自由调节课件画面的显示比例，支持16:9、4：3画面显示比，可适配各类显示设备。</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9.路径动画：支持任意对象自定义路径动画设置，可绘制任意的移动轨迹并让对象沿着轨迹路径进行移动，可单独设置该动画通过翻页或单击对象本身进行触发。</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10.内置微课工具，支持快速录制胶囊式微课，微课可录制保存音频和课件的互动操作，微课录制结束后自动生成分享海报，学生扫码在即可在微信观看，无需下载其他app使用。</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11.无课件录制：支持教师在空白页面录制胶囊式微课，支持自主添加不低于一百页电子草稿进行讲解。</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12.全文快速搜索：支持在课件中通过快捷键调用搜索控件，输入文本即可查找课件内文本框、形状、表格中对应的文本匹配项。</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（二）学科工具</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13.▲AI智能纠错：软件内置的AI智能语义分析模块，可对输入的英文文本的拼写、句型、语法进行错误检查，并支持一键纠错。提供生产厂家确认的、相应的功能证明材料（包括但不限于测试报告、官网和功能截图等），加盖生产厂家公章。（提供现场演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14.配置英语学科听写工具，覆盖小初高不少于5000个英语单词，支持自定义选择单词。自定义听写频率和次数，一键生成听写卡；授课模式支持一键开启听写朗读。</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15.▲提供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提供生产厂家确认的、相应的功能证明材料（包括但不限于测试报告、官网和功能截图等），加盖生产厂家公章。</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16.拼音工具：支持在拼音格中输入拼音字母，可展示该字母的标准四声读音以及笔画。</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17.▲内置专用美术画板工具，提供铅笔、毛笔、油画笔等笔触，具备符合绘画调色教学需求的模拟调色盘，可选择不同颜色混合调色，便于学生理解调色合成过程。提供生产厂家确认的、相应的功能证明材料（包括但不限于测试报告、官网和功能截图等），加盖生产厂家公章。</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18.内置元素周期表，并且提供多种展示样式，至少包括常规样式、原子序数、相对原子质量等。</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19.多学科课件库：提供涵盖小学语文、数学、英语全部教学章节的不少于2000份的交互式课件。课件支持直接预览并下载，预览时支持拖动课堂活动、形状、几何、文本等元素；下载时课件可同步至教师个人云课件存储空间。</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为保证软件稳定性，需与智慧黑板为同一品牌，提供证明材料，并加盖厂家公章。</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18.为方便老师随时随地快速查看分享课件，白板软件具有手机app支持，老师可在手机白板app中快速接收分享课件并进行查看预览。</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19.为便于教师结合知识点自主创作的图形，需具备图形自由创作工具，教师可自由绘制复杂的任意多边图形及曲边图形；教师自主创作的图形可存储至个人云空间便于后续使用。</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20.▲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提供现场演示）</w:t>
            </w:r>
          </w:p>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21.▲为了使用稳定性，备授课软件需与智慧黑板为同一品牌</w:t>
            </w:r>
          </w:p>
        </w:tc>
        <w:tc>
          <w:tcPr>
            <w:tcW w:w="465" w:type="dxa"/>
            <w:vAlign w:val="center"/>
          </w:tcPr>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66</w:t>
            </w:r>
          </w:p>
        </w:tc>
        <w:tc>
          <w:tcPr>
            <w:tcW w:w="469" w:type="dxa"/>
            <w:vAlign w:val="center"/>
          </w:tcPr>
          <w:p>
            <w:pPr>
              <w:keepNext w:val="0"/>
              <w:keepLines w:val="0"/>
              <w:pageBreakBefore w:val="0"/>
              <w:widowControl/>
              <w:kinsoku/>
              <w:wordWrap/>
              <w:overflowPunct/>
              <w:topLinePunct w:val="0"/>
              <w:bidi w:val="0"/>
              <w:snapToGrid/>
              <w:spacing w:line="240" w:lineRule="auto"/>
              <w:ind w:firstLine="0"/>
              <w:jc w:val="left"/>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w:t>
            </w:r>
          </w:p>
        </w:tc>
        <w:tc>
          <w:tcPr>
            <w:tcW w:w="725"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学生行为评价软件</w:t>
            </w:r>
          </w:p>
        </w:tc>
        <w:tc>
          <w:tcPr>
            <w:tcW w:w="6827"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1.手机学生行为评价系统集成学校管理、教师管理、课堂表现评价、家校互联互通功能，所有功能同一软件平台的同一账户实现。</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2.支持通过数字账号、微信二维码、硬件密钥方式登录教师个人账号。</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兼容多平台系统，可在PC、Web、安卓、iOS等系统使用，且各终端数据互通，教师可多场景下对学生进行管理与评价。提供生产厂家确认的、相应的功能证明材料（包括但不限于测试报告、官网和功能截图等），加盖生产厂家公章。</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4.移动端支持教师/家长双重身份无缝切换，软件内可直接切换账户类型，无需安装多个APP应用或退出账号重新登录。</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5.支持汇总查看校内的班级评价排名，可以列表形式查看班主任、班级学生数、家长数、班级代码等信息。</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6.提供TBL\PBL分组教学评价功能，教师可自由创建多个学生小组，支持对单个小组成员进行换组调整。同时提供快速随机分组功能，可快速将班级学生按照教师需求的组别数量进行随机分组。</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7.支持考勤功能，可对学生的出勤、迟到、缺勤、请假状态进行记录，并支持查看课堂考勤统计报表，可详细查看班级考勤概览数据。</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8.支持网页端、PC授课端查看学生成长统计报表，按饼状图形式展现学生课堂表现情况，支持查看班级或学生个人情况，并可追溯每条评价的原因、对象、分值，便于教师进行精准评价。</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系统根据学生日常行为评价情况，通过AI学生能力模型进行智能分析，为每个学生生成定制化评语，评语可支持教师二次编辑修改并推送至家长端。提供生产厂家确认的、相应的功能证明材料（包括但不限于测试报告、官网和功能截图等），加盖生产厂家公章。提供现场演示</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10.教师可通过多终端对学生、小组及班级进行行为量化评价、文字点评、图片点评。</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11.系统内置头像类型不少于10种，支持教师自定义设置学生头像。</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12.支持课堂评价分数清零重置，可选择对个别学生和全班学生进行分数重置。</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13.支持教师与其他教师及家长进行文字、语音、图片交流，且教师可设置免打扰时间段，非工作时间内消息不会发生提醒。</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14.支持教师创建打卡任务，打卡支持超过200字的文本、图片、语音、视频和外部网页链接等形式，发布后老师可以看到学生打卡情况统计表。</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15.▲为保证软件稳定性，需与智慧黑板为同一品牌，提供证明材料，并加盖厂家公章。</w:t>
            </w:r>
          </w:p>
        </w:tc>
        <w:tc>
          <w:tcPr>
            <w:tcW w:w="465"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66</w:t>
            </w:r>
          </w:p>
        </w:tc>
        <w:tc>
          <w:tcPr>
            <w:tcW w:w="469"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w:t>
            </w:r>
          </w:p>
        </w:tc>
        <w:tc>
          <w:tcPr>
            <w:tcW w:w="725"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数据管理平台软件</w:t>
            </w:r>
          </w:p>
        </w:tc>
        <w:tc>
          <w:tcPr>
            <w:tcW w:w="6827"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1.后台采用B/S架构设计，支持学校管理者在Windows、Linux、Android、IOS等多种不同的操作系统上通过网页浏览器登陆进行操作，可统计全校教师软件活跃数据、学生点评及课件上传等数据。</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信息化数据雷达图：将信息化教学数据分五个维度进行评估，分别为课件制作、听课评课、师生互动、互动教学、家校沟通，并与全省均值对比，学校信息化教学情况一目了然。提供生产厂家出具的、相应的功能证明材料（包括但不限于测试报告、官网和功能截图等）（提供现场演示）</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5.教研结构：支持管理者按照学段-学科-年级快速创建教师的教研组织结构，方便教师信息的分类管理。</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6.为便于管理者的日常管理，需支持管理者在网页中登录账号查看学校教师备授课情况。</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7.为便于老师进行对比提高，软件需可以根据数据自动分析，同比显示周、月总情况。</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班级氛围数据概况：支持查看不同时间段班级氛围数据的概况，数据包含家长入班率，教师对学生的新增点评数，教师参与度，表现突出的教师前三名。提供生产厂家出具的、相应的功能证明材料（包括但不限于测试报告、官网和功能截图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9.听评课数据统计导出：支持对不同评课维度得分进行统计，计算平均分并找出评分薄弱项，方便管理者针对性优化教学策略，同时支持查看全校的评课记录和得分详情，并可一键导出Excel表格，方便整理。</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10.电子教案：教师可以在个人空间直接编写教案，编写教案时可以关联课件，支持教师在个人空间、配套备授课工具查看课件以及教案，方便教师进行教学设计。</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11.习题使用：教师可以选择习题插入课件使用。支持在云空间中创建习题，包括选择题、填空题、解答题，支持批量导入习题，将习题分享至校本资源库。</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12.为针对性的激励老师，具备自动排名的功能，根据老师备授课情况、家校互通情况进行排名。</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13.学校可通过网页平台建设校本资源库，老师可以上传白板课件，分享给全校老师。</w:t>
            </w:r>
          </w:p>
        </w:tc>
        <w:tc>
          <w:tcPr>
            <w:tcW w:w="465"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66</w:t>
            </w:r>
          </w:p>
        </w:tc>
        <w:tc>
          <w:tcPr>
            <w:tcW w:w="469"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w:t>
            </w:r>
          </w:p>
        </w:tc>
        <w:tc>
          <w:tcPr>
            <w:tcW w:w="725"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教学终端运维控制软件</w:t>
            </w:r>
          </w:p>
        </w:tc>
        <w:tc>
          <w:tcPr>
            <w:tcW w:w="6827"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1.系统基于SaaS布局，应用界面采用B/S架构设计，支持学校管理员在Windows、Linux、Android、IOS等多种不同的操作系统上通过网页浏览器登录进行所有管理指令操作。</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2.▲系统支持多类型设备接入，集中运维。包含班班通设备、录播设备、班牌设备、校园屏显设备、学生平板设备。提供生产厂家出具的、相应的功能证明材料（包括但不限于测试报告、官网和功能截图等）。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3.批量关联：支持通过设备辅助管理软件，在单台班班通设备关联学校代码后，自动发现并关联同网段下其他班班通设备。</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4.网络代理和穿透：支持在边缘服务管理器上连接外网后，原本需要认证才能访问外网的设备、使用教育专网的设备、完全不允许访问外网的设备均可正常通过班班通设备管理系统进行远程管理和控制。</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5.登录方式多样性：支持账号/密码、手机扫码登录。扫码登录：用户首次登录时绑定微信用户ID与账号的对应关系，之后即可通过微信扫一扫安全登录。</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6.系统自定义：支持自定义系统logo和系统名称，适用于校园定制系统。</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7.权限管理：支持学校高级管理员添加多位管理员协同管理，并支持为普通管理员分配不同权限，权限支持按系统功能菜单分配、按管理设备分配方式。并支持转让高级管理员给其他管理员。</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8.并行管理：支持实时展示不少于20台设备的运行画面，并支持切换画面模式/列表模式，方便管理员根据实际管理需要选择管理模式。</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9.支持查看设备当前使用老师信息，以及最近一次设备解锁时间、解锁方式、解锁老师，实时了解班班通设备教学应用情况。</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10.▲分组管理：支持根据设备类型、设备所属年级/场地/自定义分组、设备开关机状态进行分组管理；支持文字检索设备名称，快速定位对应设备进行定向精准管理。提供生产厂家出具的、相应的功能证明材料（包括但不限于测试报告、官网和功能截图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11.详情管理：支持查看单台设备的当日开机次数、开机时间分布情况、软件使用时长top3、内存/硬盘占用情况、基础参数；并支持远程修改设备关联信息。</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12.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13.大文件传输：支持同时上传多个大于50MB的文件，并可批量发送至多台设备。</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14.循环指令：支持设置即时、定时、循环模式的关机、重启、打铃、锁屏/解锁指令。其中打铃指令支持上传自定义铃声、设置播放时长；</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15.消息通知：支持发送提醒类通知、全剧弹窗类紧急通知、桌面常驻类公告通知。支持设置常用通知消息模版，便于快捷发布。</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16.远程控制：支持远程实时控制设备，可监测设备当前运行界面，并远程操作设备界面，适用于远程维护和修复设备软件问题。</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17.倒计日：支持支持设置倒计日，用于重大教学安排的提醒，并可定向远程开启/关闭指定设备的倒计日功能。</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18.指令管理：支持查看、编辑和撤销待执行指令；支持查看已执行指令情况、指令执行实时状态；支持查看设备操作日志，精确记录设备每次解锁方式、解锁时间、解锁人信息，便于管理员了解设备是否存在违规使用，规范管理。</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19.审计日志：支持记录并回看当前系统上各用户的核心功能操作日志，包含操作人、操作时间、操作内容，以便于追溯异常管理行为。</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20.不良信息监测：支持在发送消息通知时，自动监测所发送文字是否存在敏感/违规文字，保护触达学生的信息安全可控。</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21.▲流量监管：支持查看校内当日班班通设备流量使用的具体情况、带宽利用率；支持对设备进行限速设置。提供生产厂家出具的、相应的功能证明材料（包括但不限于测试报告、官网和功能截图等）。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22.网址过滤：支持设置网址访问黑名单、白名单，限制所有设备的网址访问，从而保证校内班班通设备访问的内容健康可控。</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23.校园宣传：支持设置即时、定时、循环周期规则下，针对不同设备播放不同的视频、音频、图片宣传内容；拥有至少400余张德育相关的图片宣传素材，并支持远程设置不同时间段内的屏保内容，以确保宣传内容可根据日常教育的侧重点自动变更；支持为不同设备设置自定义壁纸，彰显校风文化。</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24.▲自动巡视：支持针对不同设备创建不同时间的自动巡视计划，创建成功后，设备会自动录制教室所有摄像头画面和所有麦克风声音，可应用于学校巡纪律、巡课、巡考等场景；自动巡视录制的视频，支持下载，支持拖拽进度查看某时间点，教室不同摄像头所抓取的画面和声音信息。提供生产厂家出具的、相应的功能证明材料（包括但不限于测试报告、官网和功能截图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25.智慧管控：支持设备长时间无人使用时，自动进入屏保、锁屏、息屏、关机状态，保护显示器，延长班班通使用寿命。</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26.软件静默安装：支持用户自主上传官方正版软件，经过人工封装软件后，批量将软件发送至班班通设备安装，整个安装过程完全无感，不影响正常教学。</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27.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28.▲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提供生产厂家出具的、相应的功能证明材料（包括但不限于测试报告、官网和功能截图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30.冰点还原：支持远程批量设置设备的冰冻状态；支持实时监测设备冰点存在的风险，并提供对应解决方案。</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31.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p>
        </w:tc>
        <w:tc>
          <w:tcPr>
            <w:tcW w:w="465"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66</w:t>
            </w:r>
          </w:p>
        </w:tc>
        <w:tc>
          <w:tcPr>
            <w:tcW w:w="469"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w:t>
            </w:r>
          </w:p>
        </w:tc>
        <w:tc>
          <w:tcPr>
            <w:tcW w:w="725"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视频展台</w:t>
            </w:r>
          </w:p>
        </w:tc>
        <w:tc>
          <w:tcPr>
            <w:tcW w:w="6827"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 硬件参数：铝合金外壳，无锐角无利边设计，有效防止师生碰伤、划伤。</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 壁挂式安装，防盗防破坏。</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 采用三折叠开合式托板，展开后托板尺寸≥A4面积，收起时小巧不占空间，高效利用挂墙面积。</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 采用USB高速接口，单根USB线实现供电、高清数据传输需求。</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 采用800W像素自动对焦摄像头，可拍摄A4画幅。</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 解析度：中间≥1600线，四周≥1400线。</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 展台按键采用触摸按键，可实现一键启动展台画面、画面放大、画面缩小、画面旋转、拍照截图等功能，同时也支持在一体机或电脑上进行同样的操作。</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 整机自带均光罩LED补光灯，光线不足时可进行亮度补充，亮度均匀。</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 ▲为保证兼容性及稳定性，视频展台需与智慧黑板为同一品牌厂家，提供视频展台的3C证书复印件（或同类文件如自适应声明等）。</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软件参数：</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 支持对展台实时画面进行放大、缩小、旋转、自适应、冻结画面等操作。</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 支持展台画面实时批注，预设多种笔划粗细及颜色供选择，且支持对展台画面联同批注内容进行同步缩放、移动。</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 支持展台画面拍照截图并进行多图预览，可对任一图片进行全屏显示。</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 老师可在一体机或电脑上选择延时拍照功能，支持5秒或10秒延时模式，预留充足时间以便调整拍摄内容。</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 可选择图像、文本或动态三种情景模式，适应不同展示内容。</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 具备图像增强功能，可自动裁剪背景并增强文字显示，使文档画面更清晰。</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 支持故障自动检测，在软件无法出现展台拍摄画面时，自动出现检测链接，帮助用户检测“无画面”的原因，并给出引导性解决方案。可判断硬件连接、显卡驱动、摄像头占用、软件版本等问题。</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 支持二维码扫码功能：打开扫一扫功能后，将书本上的二维码放入扫描框内即可自动扫描，并进入系统浏览器获取二维码的链接内容，帮助老师快速获取电子教学资源。</w:t>
            </w:r>
          </w:p>
        </w:tc>
        <w:tc>
          <w:tcPr>
            <w:tcW w:w="465"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66</w:t>
            </w:r>
          </w:p>
        </w:tc>
        <w:tc>
          <w:tcPr>
            <w:tcW w:w="469"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7</w:t>
            </w:r>
          </w:p>
        </w:tc>
        <w:tc>
          <w:tcPr>
            <w:tcW w:w="725"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智能笔</w:t>
            </w:r>
          </w:p>
        </w:tc>
        <w:tc>
          <w:tcPr>
            <w:tcW w:w="6827"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1.支持电容触摸设备书写、无线控制发射器一体化设计。</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2.笔身配置不少于四个物理按键，具备翻页、模拟激光笔、智能语音控制功能，兼顾触摸书写以及远程操控的握持姿态。</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3.兼容白板软件、PPT、PDF等多种演示软件课件的远程翻页控制。</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4.内置高精度陀螺仪，具备模拟激光笔功能，可通过笔身按钮激活陀螺仪模拟激光功能，适用于加载防眩光设计的教学显示设备。</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5.支持笔身翻转矫正，笔身轻微倾斜时，水平移动智能笔，可瞬时矫正识别光标动作为水平移动。</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6.支持按键唤醒语音识别功能，避免杂音造成误唤醒。</w:t>
            </w:r>
          </w:p>
        </w:tc>
        <w:tc>
          <w:tcPr>
            <w:tcW w:w="465"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66</w:t>
            </w:r>
          </w:p>
        </w:tc>
        <w:tc>
          <w:tcPr>
            <w:tcW w:w="469"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67"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w:t>
            </w:r>
          </w:p>
        </w:tc>
        <w:tc>
          <w:tcPr>
            <w:tcW w:w="725" w:type="dxa"/>
            <w:vAlign w:val="center"/>
          </w:tcPr>
          <w:p>
            <w:pPr>
              <w:keepNext w:val="0"/>
              <w:keepLines w:val="0"/>
              <w:pageBreakBefore w:val="0"/>
              <w:kinsoku/>
              <w:wordWrap/>
              <w:overflowPunct/>
              <w:topLinePunct w:val="0"/>
              <w:bidi w:val="0"/>
              <w:snapToGrid/>
              <w:spacing w:line="240" w:lineRule="auto"/>
              <w:ind w:firstLine="0"/>
              <w:jc w:val="center"/>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音箱</w:t>
            </w:r>
          </w:p>
        </w:tc>
        <w:tc>
          <w:tcPr>
            <w:tcW w:w="6827"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1.采用功放与有源音箱一体化设计，内置麦克风无线接收模块，帮助教师实现多媒体扩音以及本地扩声功能。</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2.双音箱总重量不超过5KG。</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3.输出额定功率≥2*15W，喇叭单元尺寸≥5寸。</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4.端口：220V电源接口≥1个、Line in≥1个、USB≥1个。USB接口可外接U盘设备对音箱固件进行升级。</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5.专门为教室声学环境设计的合适扩声效果，距离音箱10米处声压级达到75dB或以上。</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6.音箱支持UHF频段的无线麦克风扩音接收，与WiFI不处于同一频段。7.配置独立音频数字信号处理芯片，支持啸叫抑制功能。</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8.支持扩声和输入音源叠加输出。</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9.支持蓝牙无线接收，可分享移动设备上的音频。支持密码模式，防止学生连接。</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10.支持交互智能平板显示设备通过蓝牙无线连接音箱，实现快速控制有源音箱音量的功能（需要智慧黑板及有源音箱为同一品牌）</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11.音箱具有CCC资格认证，符合中国电子设备管理规定和技术标准。</w:t>
            </w:r>
          </w:p>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p>
        </w:tc>
        <w:tc>
          <w:tcPr>
            <w:tcW w:w="465"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66</w:t>
            </w:r>
          </w:p>
        </w:tc>
        <w:tc>
          <w:tcPr>
            <w:tcW w:w="469" w:type="dxa"/>
            <w:vAlign w:val="center"/>
          </w:tcPr>
          <w:p>
            <w:pPr>
              <w:keepNext w:val="0"/>
              <w:keepLines w:val="0"/>
              <w:pageBreakBefore w:val="0"/>
              <w:numPr>
                <w:ilvl w:val="0"/>
                <w:numId w:val="0"/>
              </w:numPr>
              <w:kinsoku/>
              <w:wordWrap/>
              <w:overflowPunct/>
              <w:topLinePunct w:val="0"/>
              <w:bidi w:val="0"/>
              <w:snapToGrid/>
              <w:spacing w:line="240" w:lineRule="auto"/>
              <w:ind w:leftChars="0" w:firstLine="0"/>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套</w:t>
            </w:r>
          </w:p>
        </w:tc>
      </w:tr>
    </w:tbl>
    <w:p>
      <w:pPr>
        <w:rPr>
          <w:rFonts w:hint="eastAsia" w:ascii="仿宋" w:hAnsi="仿宋" w:eastAsia="仿宋" w:cs="仿宋"/>
        </w:rPr>
      </w:pPr>
    </w:p>
    <w:p>
      <w:pPr>
        <w:pStyle w:val="12"/>
        <w:rPr>
          <w:rFonts w:hint="eastAsia" w:ascii="仿宋" w:hAnsi="仿宋" w:eastAsia="仿宋" w:cs="仿宋"/>
          <w:sz w:val="24"/>
          <w:szCs w:val="24"/>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954"/>
        <w:gridCol w:w="6513"/>
        <w:gridCol w:w="698"/>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操场音响设备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主要参数</w:t>
            </w:r>
          </w:p>
        </w:tc>
        <w:tc>
          <w:tcPr>
            <w:tcW w:w="3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一、扩声系统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双8"全天候防水线性阵列  无源音箱</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1、系统类型：双8寸二路三单元全频；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2、高音单元：44芯钕磁高音×1；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3、低音单元：8寸低音×2；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4、额定功率：≥380W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5、系统推荐功率：≥600W；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6、峰值功率：≥1600W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7、阻抗：8Ω；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8、频率响应：50Hz-20KHz(±3dB)；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9、灵敏度：113dB /W(lm)；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10、最大声压级：127dB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11、峰扩散角度-6dB：90°（H）x 10°（V）；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12、分频点：12dB/Octave 2500Hz；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13、吊挂硬件：专业线阵吊挂。</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单18"全天候防水线性阵列超低音箱</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1、系统类型：单18寸线阵低音；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2、低音单元：18寸低音×1；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3、额定功率：≥600W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4、系统推荐功率：≥1200W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5、峰值功率：≥2000W；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6、阻抗：8Ω；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7、频率响应：50Hz-2000Hz(±3dB)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8、灵敏度：110dB /W(lm)；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9、最大声压级：132dB MAX；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10、吊挂硬件：专业线阵吊挂。</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纯后级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功率放大器</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1、立体声功率：8Ω（≥580W*2）, 4Ω（≥900W*2）,2Ω（≥1000W*2)；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2、桥接功率:8Ω（≥1500W）, 4Ω(≥2000W)；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3、频率响应：10Hz-50KHz（-1.5dB)；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4、输入灵敏度：0.775V/26db/1.4V；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5、最大输入电平：21dB/9V；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6、输入阻抗：20KΩ；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7、信号信噪比：〉95dB；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8、信道分离度：〉95dB；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9、阻尼系数：〉500；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10、转换速率：45V/μS；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11、保护：短路、电流限制、直流故障、交流保险丝、过热、加电/电源中断瞬间保护；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▲12、面板具备独立的左右静音功能及8Ω/4Ω/2Ω一键切换功能，面板能显示功放工作状态（即时温度/故障点），工作模式（并联/桥接/立体声音），（提供设备功能截图或彩页或演示视频并加盖公章佐证）；</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纯后级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功率放大器</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1、立体声功率：8Ω（≥750W*2）, 4Ω（≥1200W*2）,2Ω（≥1400W*2)；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2、桥接功率:8Ω（≥1800W）, 4Ω(≥2200W)；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3、频率响应：≥10Hz-50KHz（-1.5dB)；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4、输入灵敏度：0.775V/26db/1.4V；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5、最大输入电平：21dB/9V；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6、输入阻抗：20KΩ；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7、信号信噪比：〉98dB；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8、信道分离度：〉95dB；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9、阻尼系数：〉500；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10、转换速率：55V/μS；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11、保护：短路、电流限制、直流故障、交流保险丝、过热、加电/电源中断瞬间保护；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▲12、面板具备独立的左右静音功能及8Ω/4Ω/2Ω一键切换功能，面板能显示功放工作状态（即时温度/故障点），工作模式（并联/桥接/立体声音），（提供设备功能截图或彩页或演示视频并加盖公章佐证）；</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防水全频音箱</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主要技术参数：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电声参数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1、额定功率：≥400W ；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2、系统推荐功率：≥600W ；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3、峰值功率：≥1200W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4、频率响应：55Hz-19KHz(±3dB) 1watt@1m；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5、阻抗：8Ω；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6、灵敏度：97dB /W(lm)；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7、最大声压级：103dB ；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8、分频点：18dB/Octave 1800Hz；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物理参数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1、系统类型：单15寸防水全天候音箱；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2、高音单元：44芯钛高音×1；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低音单元：15寸低音×1；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3、材质：ABS料；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4、表面处理：高强度黑色点漆；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主扩纯后级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功率放大器</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1、立体声功率：8Ω（≥580W*2）, 4Ω（≥900W*2）,2Ω（≥1000W*2)；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2、桥接功率:8Ω（≥1500W）, 4Ω(≥2000W)；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3、频率响应：10Hz-50KHz（-1.5dB)；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4、输入灵敏度：0.775V/26db/1.4V；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5、最大输入电平：21dB/9V；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6、输入阻抗：20KΩ；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7、信号信噪比：〉95dB；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8、信道分离度：〉95dB；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9、阻尼系数：〉500；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10、转换速率：45V/μS；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11、保护：短路、电流限制、直流故障、交流保险丝、过热、加电/电源中断瞬间保护；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▲12、面板具备独立的左右静音功能及8Ω/4Ω/2Ω一键切换功能，面板能显示功放工作状态（即时温度/故障点），工作模式（并联/桥接/立体声音），（提供设备功能截图或彩页或演示视频并加盖公章佐证）；</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4进8出音频处理器</w:t>
            </w:r>
          </w:p>
        </w:tc>
        <w:tc>
          <w:tcPr>
            <w:tcW w:w="3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1、4进8出专业音频处理器；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2、一款可以实现多种功能的处理器，集成压缩器、限幅器、分频器、延时器、均衡器等；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3、具有高精度96KHz/24bit DSP技术，高性能AD/DA，DSP芯片采用强大的ADI SHARC 21489通用芯片；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4、灵活组合的多通道输入、输出接口，任意通道输入都可以切换到任意的输出通道；面板操作有多种混音模式；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5、每路输入、输出通道都有电平指示灯，并配置有快速切断的哑音开关；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每个输入、输出通道各有7段参数均衡（PEQ），每段参数均衡（PEQ）有参数、Low-Shelf,High-Shelf,ALLPASS多种滤波器类型选择；（需提供带有CNAS标识的指标检测结果符合要求的证明材料复印件（加盖厂家公章），并提供检验报告编号可查询的官方网站查询系统证书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7、每路输出通道均具有高通、低通滤波器，每个滤波器有多种斜率和类型供选择；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8、每个输入/输出通道可设置最长延时达1000ms ，带延时开关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9、每路输出通道均有压缩器和限幅器，可调节各压缩器的门限值，压缩比，启控时间和释放时间，软硬拐点调节；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10、每路输入、输出通道带相位反转功能；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11、设计有通道拷贝功能，可以实现跨设备拷贝，令调节更省便；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12、可以实现输入/输出通道任意联调功能，可同步设置多个通道参数；可以实现同类设备多台分组联调，同步设置不同设备的相同参数；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13、配有USB、RS232、TCPIP等多种联机方式，中文简体、繁体、英文用户界面；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14、PC可同时连接256台机器；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15、有30个存档模式，方便不同场合应用的设置；</w:t>
            </w:r>
            <w:r>
              <w:rPr>
                <w:rFonts w:hint="eastAsia" w:ascii="仿宋" w:hAnsi="仿宋" w:eastAsia="仿宋" w:cs="仿宋"/>
                <w:i w:val="0"/>
                <w:iCs w:val="0"/>
                <w:color w:val="000000"/>
                <w:kern w:val="0"/>
                <w:sz w:val="24"/>
                <w:szCs w:val="24"/>
                <w:u w:val="none"/>
                <w:lang w:val="en-US" w:eastAsia="zh-CN" w:bidi="ar"/>
              </w:rPr>
              <w:br w:type="textWrapping"/>
            </w:r>
            <w:r>
              <w:rPr>
                <w:rStyle w:val="38"/>
                <w:rFonts w:hint="eastAsia" w:ascii="仿宋" w:hAnsi="仿宋" w:eastAsia="仿宋" w:cs="仿宋"/>
                <w:color w:val="auto"/>
                <w:sz w:val="24"/>
                <w:szCs w:val="24"/>
                <w:lang w:val="en-US" w:eastAsia="zh-CN" w:bidi="ar"/>
              </w:rPr>
              <w:t>▲</w:t>
            </w:r>
            <w:r>
              <w:rPr>
                <w:rStyle w:val="39"/>
                <w:rFonts w:hint="eastAsia" w:ascii="仿宋" w:hAnsi="仿宋" w:eastAsia="仿宋" w:cs="仿宋"/>
                <w:sz w:val="24"/>
                <w:szCs w:val="24"/>
                <w:lang w:val="en-US" w:eastAsia="zh-CN" w:bidi="ar"/>
              </w:rPr>
              <w:t>16、手机APP有中英文随时切换选择，可同时添加多台设备分别控制其输入，输出音量和静音，场景调用，IP 地址设置，设备名称修改等功能。（提供设备功能截图并加盖公章、或视频材料佐证）；</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17、DSP芯片：音频系统延迟: &lt; 3.0ms</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18、数模转换:24-bit；</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19、采样率：96kHz；</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 xml:space="preserve">20、模拟音频输入通道：4路平衡输入；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21、音频接口: 佧侬头；</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22、输入阻抗: 22kΩ；</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23、最大输入电平：16dBu；</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 xml:space="preserve">24、输出通道：8路平衡输出；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25、输出阻抗：150Ω；</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26、音频频响曲线：20Hz-40kHz(±0.5dB)；</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27、THD+N：-93dB(@20dBu,1kHz,A-wt)；</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28、信噪比：109dB(@20dBu,1kHz,A-wt)；</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 xml:space="preserve">29、接口USB：Micro-B type, 免驱；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30、RS232：串口通信；</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31、TCP/IP网口：RJ-45；</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32、供电范围：AC100V---240V  50/60 Hz；</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33、所投音频处理器须通过国家强制性CCC认证，产品型号与CCC证书标注型号一致，提供CCC认证证书扫描件或复印件及中国质量认证中心官网链接截图，加盖投标人公章；</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四编组12路调音台</w:t>
            </w:r>
          </w:p>
        </w:tc>
        <w:tc>
          <w:tcPr>
            <w:tcW w:w="3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功能参数：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★1、十二路通道输入（8路话筒+4路立体声）+4路辅助返回输入，12路输出（2路主输出+4编组输出+1路MONO输出+4路辅助输出+1路立体声监听输出；（提供设备功能截图或彩页或演示视频并加盖公章佐证）；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2、大动态，低噪声，高保真MIC电路，音质优越，单通道每路输入带独立48V电源开关；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3、单通道输入每路具备100Hz低切功能，单通道每路输入带PAD衰减按键（可以衰减信号20dB)；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4、单通道每路输入带卡侬和6.35两种输入口，单通道每路带断点功能（即INSERT插入功能），方便单路外接设备；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5、单通道输入高中低3段均衡 ，中频可扫频；立体声高低两段均衡；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6、四路辅助输出，AUX1和AUX2 为推子前信号，AUX3和AUX4为腿子后信号；AUX4和效果发送旋钮共用；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7、每路带左右声像旋钮，每路带静音开关，静音指示灯和专属型透明按键结合，指示更直观；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8、输入每路带主输出MAIN开关，编组G1G2开关，编组G3G4开关，选择更方便，可以组合多种模式；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9、每路带信号指示灯和峰值指示灯，一个LED两个功能，独特的双色指示灯设计；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10、输入通道每路带PFL监听按键，PFL按键透明设计，内置LED指示灯，直观紧凑；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11、第一组立体声输入具备6.35和RCA（莲花座）两种接口，并有切换开关，接线和操作更灵活；第二组立体声输入和USB播放模块共用，有切换开关，操作灵活；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12、USB播放模块支持WAV等多种音频格式，可以显示歌曲名字和歌词；播放模块具备蓝牙功能和USB录音功能；还可以根据特殊要求定制开放FM功能；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13、具备USB声卡功能，可以直接通过USB线与其他设备（如电脑）进行连接，可以实现数字音频信号的输入输出传输，进行录音直播等操作；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14、高品质DSP内置效果器，32种效果模式可选，适应不同的场所使用，单独的LCD显示屏，实时显示效果种类，和蓝牙播放模块形成双屏显示；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15、四路辅助输出，每路带AFL推子后监听开关，信号监测更方便；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16、真正的4编组调台，编组输出为平衡的卡农接口，每路编组带PFL监听开关，透明按键和指示灯结合使用，实时观察编组输出推子前信号；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17、每路编组的信号可以独立的加入到主输出左或主输出有，具有独立的选择开关；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18、两路主输出，输出为平衡的卡农接口，输出信号由一个双联的100mm推子控制，操作更方便；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19、具备RCA(莲花座）的录音输入输出接口，录音输入由选择开关切换信号是否加入到主输出，录音输出信号和主输出同步；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20、两组立体声返回输入，返回音量由旋钮控制，第一组返回可以选择加入到编组1，2或主输出，第二组返回可以选择加入到编组3.4或主输出；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21、立体声监听输出，可以耳机监听，也可以外接有源音箱监听，监听输出大小由独立的旋钮控制，可以监听PFL,AFL或主输出信号；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22、强大的电平指示表，由标准的4组12段LED光柱组成，具备切换开关；即可以显示PFL,AFL 和主输出信号，也可以切换后显示编组1到4的输出信号；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23、独特的MONO输入接口，主输出信号左右叠加后输出到MONO平衡接口，并有独立的旋钮控制音量大小，可以方便外接低音功放或其他设备；MONO具备PFL监听开关，方便了解前面的信号大小；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24、高品质100mm推杆；输入输出通道的推杆为100mm长行程设计，调节更加精细；内置大功率开关电源，宽电压范围，外接通用型电源线，使用便捷。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25、频率响应:20 HZ~20 KHZ(+1，-3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26、总谐波失真:&lt;%1(额定条件：20 HZ-20 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27、等效输入噪音:≤-110 dBm；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28、输入通道均衡特性： 低频:80 HZ/±15 dB；中频:0.25-6.0 Kh/±15 dB；高频:12 KHZ/±15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29、线路输入时的最大增益:≥20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30、传声器输入时的最大增益:≥60 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31、输入阻抗：话筒输入：≥1.0 KΩ；录音输入： 47 KΩ；线路输出： ≥10 KΩ； 辅助返回输入:20 KΩ；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32、输出阻抗：左总输出：≤300 Ω；右总输出：≤300 Ω；监听总输出：≤300 Ω；录音输出：≤10 KΩ；效果激励器输出： ≤10 KΩ；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33、效果器：转换器:24-BIT SIGMA-DELTA；效果种类32种效果；采样速率:48 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34、整机功率:≤40 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35、电源:AC100V-240V宽电压设计， 50/60Hz；</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UHF一拖二真分集无线话筒</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1、一拖二真分集接收线路设计无线麦克风；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2、使用距离：200米以上，空阔空间约达200-300米；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3、超高UHF频段传输信号，载波频率范围:620-82MHz；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★4、双通道接收信号,采用微电脑双CPU控制；（需提供带有CNAS标识的指标检测结果符合要求的证明材料复印件（加盖厂家公章），并提供检验报告编号可查询的官方网站查询系统证书截图）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5、采用稳定的PLL数位锁相环合成、杂讯检测技术，整机接收、抗抗扰性能稳定性显著提高；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6、各通道配备独有的ID号，增强抗干扰功能，支持8台叠机使用（即8台接收机和16个通道发射器）；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7、内置高效抑制噪声线路，防啸叫功能显著；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8、接收机背面设置4条橡胶接收天线，增强接收的信号，外观大方得体；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9、背面设有2个平衡输出和1个混合非平衡输出，适合连接各种外置设备；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10、不再局限于一发射只能配对单一通道，实现同一发射可在两个通道200个信道中互通互用，尽显人性化的高新技术设计；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11、使用1.5V电池（2粒）5号锂电充电电池供电，可连续使用6小时(标配4节充电电池，一个四充充电器）；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12、主机和发射器均具备LCD屏显示工作状态等内容；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13、频道组数：双通道；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14、载波频段:UHF 620-820MHz；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15、调制方式：FM；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16、振荡方式：PLL锁相环频率合成技术, 红外线对频；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17、灵敏度：在偏移度等于25KHz，输入6dBuV时，S/N&gt;60dB；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18、FM最大调制频率偏: ±45KHz；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19、频带宽度：24MHz；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20、综合S/N比：&gt;100dB；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21、综合T.H.D：</w:t>
            </w:r>
            <w:r>
              <w:rPr>
                <w:rStyle w:val="40"/>
                <w:rFonts w:hint="eastAsia" w:ascii="仿宋" w:hAnsi="仿宋" w:eastAsia="仿宋" w:cs="仿宋"/>
                <w:sz w:val="24"/>
                <w:szCs w:val="24"/>
                <w:lang w:val="en-US" w:eastAsia="zh-CN" w:bidi="ar"/>
              </w:rPr>
              <w:t>‹</w:t>
            </w:r>
            <w:r>
              <w:rPr>
                <w:rStyle w:val="39"/>
                <w:rFonts w:hint="eastAsia" w:ascii="仿宋" w:hAnsi="仿宋" w:eastAsia="仿宋" w:cs="仿宋"/>
                <w:sz w:val="24"/>
                <w:szCs w:val="24"/>
                <w:lang w:val="en-US" w:eastAsia="zh-CN" w:bidi="ar"/>
              </w:rPr>
              <w:t xml:space="preserve">0.5% @1KHz；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 xml:space="preserve">22、综合频率响应：50Hz--18KHz±3dB；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 xml:space="preserve">23、最大输出电压：平衡式：-20dBV/100Ω，非平衡式：-4dBV/5KΩ；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 xml:space="preserve">24、输出接口：XLR平衡式以及不平衡式插口；                                                             </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25、电源供应：0.5A 12-15VDC</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26、载波频段:UHF 620-820MHz；</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27、振荡方式：PLL锁相环频率合成技术, 红外线对频；</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28、功率输出：30mW；</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29、频率响应：50Hz--18KHz；</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30、最大输入声压：130dB SPL；</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31、音头: 动圈式；</w:t>
            </w:r>
            <w:r>
              <w:rPr>
                <w:rStyle w:val="39"/>
                <w:rFonts w:hint="eastAsia" w:ascii="仿宋" w:hAnsi="仿宋" w:eastAsia="仿宋" w:cs="仿宋"/>
                <w:sz w:val="24"/>
                <w:szCs w:val="24"/>
                <w:lang w:val="en-US" w:eastAsia="zh-CN" w:bidi="ar"/>
              </w:rPr>
              <w:br w:type="textWrapping"/>
            </w:r>
            <w:r>
              <w:rPr>
                <w:rStyle w:val="39"/>
                <w:rFonts w:hint="eastAsia" w:ascii="仿宋" w:hAnsi="仿宋" w:eastAsia="仿宋" w:cs="仿宋"/>
                <w:sz w:val="24"/>
                <w:szCs w:val="24"/>
                <w:lang w:val="en-US" w:eastAsia="zh-CN" w:bidi="ar"/>
              </w:rPr>
              <w:t>32、电流消耗：&lt;110mA；</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9"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数字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反馈抑制器</w:t>
            </w:r>
          </w:p>
        </w:tc>
        <w:tc>
          <w:tcPr>
            <w:tcW w:w="3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1、显示采用分辨率为144×32的汉字显示屏，LCD屏显示7段输入精确数字电平表及编辑状态；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★2、可任意对每通道24个滤波器编辑固定和动态反馈点数量进行全自动窄带陷波式反馈抑制，能有效地抑制各种环境下的啸叫问题；（提供设备功能截图或彩页或演示视频并加盖公章佐证）；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3、每通道提供压缩、限幅、噪声门等功能设置，为系统、喇叭单元提供安全、高品质声音的保障；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4、LCD屏显示每通道24个总计48个led灯啸叫点数量可直观展示系统已搜索到的啸叫点；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5、输入输出通道分别提供1组2路同轴、AES、光纤数字信号接口，2路平衡式模拟信号接口；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6、采用92KHz采样频率，32-bit高性能DSP处理器及24-bitA/D及D/A数模转换芯片；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★7、为适应不同场景的转移使用，设为可一键清除自动获取的滤波器设置；（提供设备功能截图或彩页或演示视频并加盖公章佐证）；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8、可通过面板的bypass/on按键切换工作模式为直通或抑制；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9、单机可存储30组用户程序，存储压缩、限幅、噪声门等参数，关机前设备会自动保存所获取抑制的啸叫参数，在下次开机后无需重新获取相关抑制啸叫的参数；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10、可通过面板的系统键来设定密码锁定操作功能，以防止非相关人员对设备的误操作；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11、输入通道及插座：2路X L R母座模拟输入/ 1组立体声同轴/光纤/ A E S数字信号输入接口(每组数字口传输两路音频信号)；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12、输出通道及插座：2路X L R公座模拟输出/ 1组立体声同轴/光纤/ A E S数字信号输出接口(每组数字口传输两路音频信号)；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13、输入阻抗：平衡20KΩ ；           </w:t>
            </w:r>
          </w:p>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输出阻抗：平衡100Ω；    </w:t>
            </w:r>
          </w:p>
          <w:p>
            <w:pPr>
              <w:keepNext w:val="0"/>
              <w:keepLines w:val="0"/>
              <w:widowControl/>
              <w:numPr>
                <w:ilvl w:val="0"/>
                <w:numId w:val="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共模拟制比：&gt;70dB（1KHz）；   </w:t>
            </w:r>
          </w:p>
          <w:p>
            <w:pPr>
              <w:keepNext w:val="0"/>
              <w:keepLines w:val="0"/>
              <w:widowControl/>
              <w:numPr>
                <w:ilvl w:val="0"/>
                <w:numId w:val="3"/>
              </w:numPr>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输入范围：≤+25dBu；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17、频率响应:20Hz-20KHz （-0.5dB）；</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18、信噪比：&gt;100dB；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19、失真度：&lt;0.01%；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20、通道分离度：&gt;110dB（1KHz）；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21、啸叫寻找与抑制方式：全自动式陷波；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22、信号输入频率响应：20Hz-20kHz ±0.5dB；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23、滤波器：独立24个每通道；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24、频率分辨率：0.5Hz；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25、啸叫寻找时间：0.1-0.5S； FFT长度：2048；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26、传声增益：6-10dB；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27、处理器：96KHz采样频率，32-bitDSP处理器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28、数模转换：24-bitA/D及D/A转换；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29、压缩启动电平:-40dB ~ +20dB，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30、压缩比率: 1.0:1 ~ 20.0:1；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31、响应时间:10ms~200ms；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32、释放时间:10ms~5000ms；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33、噪声门：-120dBu ~ -40dBu；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34、电源：AC110V~240V 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35、功耗：&lt;15W；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36、所投数字反馈抑制器须通过国家强制性CCC认证，产品型号与CCC证书标注型号一致，提供CCC认证证书扫描件或复印件及中国质量认证中心官网链接截图，加盖投标人公章；</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专业天线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放大器</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功能参数：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1、覆盖范围全面的UHF天线分配器，它的传输信号是从一个发射天线传输到多个接收机上，是一个多频道系统；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2、空旷环境有效距离可达200-400米（视环境变化而定）；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3、能很快的释放RF信号到接收器上；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4、建立DC分配器, 以提供四个DC 12V 四个电源输出：12V/600~1000mA的电源供应给接收机；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5、单独可以提供四个无线接收机后背板；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6、提供使用2~4台UHF无线系列或其他系列各种自动选讯接收机的多頻道系统，共用一对天线，以简化天线装配工程，提升接收距离及效能；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7、采用高动态低难讯之主动元件及主动回馈稳流偏压的最新设计，具有超低內调失真特性，能在多頻道同时使用排除混頻干扰，其输出增益约等于1。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8、频率范围：500-900MHz；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9、输入截断点：+22dBm；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10、噪声比：4.0dB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11、增益：+6-9dB；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12、输出阻抗：15dB 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13、阻抗：50Ω  指向；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14、频宽：300MHz；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15、插座：TNC female；</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16、电源供应：100-240V/50/60Hz；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17、电源消耗：170mA</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8路电源时序器</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性能参数：                                                                                                                                                                                                                                                                                          ★1、配备3.5寸彩色TFT-LCD可触控显示屏，可实时显示当前电压，日期时间，信道开关状态；（需提供带有CNAS标识的指标检测结果符合要求的证明材料复印件（加盖厂家公章），并提供检验报告编号可查询的官方网站查询系统证书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2、8路开关通道输出，每路延时开启和关闭时间可自由设置（范围0~999秒）；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3、每通道可以独立设置开启/关闭，方便设备灵活使用；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4、每通道独立滤波器消除电磁干扰，为每路提供稳定的电流；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★5、内置时钟芯片，可根据日期时间定时设置自动开启/关闭每一通道；（提供设备功能截图或彩页或演示视频并加盖公章佐证）；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6、欠压、过压保护，可自定义设置保护值；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7、配置RS232和RS485接口，支持级联、中央设备控制；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8、额定输出总电流：40A，单路输出电流：20A。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9、输入电源：AC 100~240V 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10、单路额定输出电流：20A；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11、额定输出总电流：40A；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12、时序控制每步时间音隔：0.1~999s；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13、USB界面：DC 5V/500mA；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14、电源输出接口：8路智慧控制,1路直通输出；</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音箱吊架</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最大承受80Kg/对</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立杆</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支架焊接在立杆上</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防水线阵吊挂架</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1个田字架     2个U型扣  2根飞机带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电动葫芦</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电动葫芦架，钢丝绳套装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卡侬公转卡侬母过机线</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全铜双芯，阻抗小，高屏蔽，卡侬头，1.5米长度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6.5单声道转卡侬公信号线（1.5米）</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主要功能特点：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1、产品规格：1.5米  OD6mm(直径6毫米)；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2、产品接头：3.5立体声转双莲花(RCA)；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3、产品用途：适用于计算机、MP3、DVD、电视机、收音机、电脑、CD机与功放机、音箱之间的连接并传输他们的音频信号；                                                                                                                  4、将线缆的3.5MM插头插入MP3、DVD、电视机、CD机的3.5MM立体声输出口或耳机，另一端的插头插入相应设备的3.5MM立体声插座即可。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1、品名：6.5单声道转卡侬公信号线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2、长度：≥1.5米；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3、线芯数量：≥2芯；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4、线芯材质：裸铜线；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5、护套材质：2；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6、颜色：黑色。</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3.5mm转双莲花线</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全铜双芯，阻抗小，高屏蔽，3.5mm头|双莲花头，1.5米长度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2*1.5㎡专业工程音箱线</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主要功能特点：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1、它是一款专业级高保真音频信号传输线缆；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2、双铝箔屏蔽，抗氧化防干扰，增强音质；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3、精炼铜导体，低电阻损耗小，具备更强的导音效果；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4、紧密绞绕结构，柔软度和耐用性更强；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5、多应用于室内小型会议室、咖啡厅、家庭影音，背景音乐等扩声工程。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主要配置描述：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1、品名：≥2*1.5㎡专用工程音箱线；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2、长度：≥100米；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3、导体：金炼铜；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4、屏蔽：金银铝箔；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5、芯线规格：0.39㎡*2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6、线型尺寸：Ф3.0*6.0mm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广播专业机柜</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主要功能特点：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1.专业广播机柜，行业标准尺寸设计；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2.模块拆卸式，钢化玻璃，便于运输及安装；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3.选用优质2mm冷轧钢板制作，安全耐用；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主要技术参数：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1.容量：≥37U；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2.尺寸：≥600*600*1800mm；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安装辅材</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电源线、塑料套管、膨胀螺丝等配件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安装费</w:t>
            </w:r>
          </w:p>
        </w:tc>
        <w:tc>
          <w:tcPr>
            <w:tcW w:w="3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注：1.所投智慧黑板必须和学校已有的云校园系统无缝对接。</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2.本采购文件的资质要求、采购内容及参数要求由采购人提供。</w:t>
      </w:r>
    </w:p>
    <w:p>
      <w:pPr>
        <w:rPr>
          <w:rFonts w:hint="eastAsia" w:ascii="仿宋" w:hAnsi="仿宋" w:eastAsia="仿宋" w:cs="仿宋"/>
        </w:rPr>
      </w:pPr>
    </w:p>
    <w:p>
      <w:pPr>
        <w:rPr>
          <w:rFonts w:hint="eastAsia" w:ascii="仿宋" w:hAnsi="仿宋" w:eastAsia="仿宋" w:cs="仿宋"/>
        </w:rPr>
      </w:pPr>
    </w:p>
    <w:p>
      <w:pPr>
        <w:pStyle w:val="12"/>
        <w:rPr>
          <w:rFonts w:hint="eastAsia" w:ascii="仿宋" w:hAnsi="仿宋" w:eastAsia="仿宋" w:cs="仿宋"/>
        </w:rPr>
        <w:sectPr>
          <w:footerReference r:id="rId11" w:type="default"/>
          <w:footerReference r:id="rId12" w:type="even"/>
          <w:pgSz w:w="11906" w:h="16838"/>
          <w:pgMar w:top="1558" w:right="1134" w:bottom="1021" w:left="1321" w:header="851" w:footer="624" w:gutter="0"/>
          <w:pgBorders>
            <w:top w:val="none" w:sz="0" w:space="0"/>
            <w:left w:val="none" w:sz="0" w:space="0"/>
            <w:bottom w:val="none" w:sz="0" w:space="0"/>
            <w:right w:val="none" w:sz="0" w:space="0"/>
          </w:pgBorders>
          <w:pgNumType w:fmt="numberInDash" w:start="1"/>
          <w:cols w:space="720" w:num="1"/>
          <w:docGrid w:type="lines" w:linePitch="312" w:charSpace="0"/>
        </w:sectPr>
      </w:pPr>
    </w:p>
    <w:p>
      <w:pPr>
        <w:numPr>
          <w:ilvl w:val="0"/>
          <w:numId w:val="4"/>
        </w:numPr>
        <w:snapToGrid w:val="0"/>
        <w:spacing w:line="48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商务及合同主要条款</w:t>
      </w:r>
    </w:p>
    <w:p>
      <w:pPr>
        <w:pStyle w:val="12"/>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（最终以双方签订的合同为准）</w:t>
      </w:r>
    </w:p>
    <w:p>
      <w:pPr>
        <w:kinsoku w:val="0"/>
        <w:spacing w:line="590" w:lineRule="exact"/>
        <w:ind w:firstLine="600"/>
        <w:rPr>
          <w:rFonts w:hint="eastAsia" w:ascii="仿宋" w:hAnsi="仿宋" w:eastAsia="仿宋" w:cs="仿宋"/>
          <w:bCs/>
          <w:color w:val="000000"/>
          <w:spacing w:val="-6"/>
          <w:sz w:val="24"/>
          <w:szCs w:val="24"/>
          <w:lang w:eastAsia="zh-CN"/>
        </w:rPr>
      </w:pPr>
      <w:r>
        <w:rPr>
          <w:rFonts w:hint="eastAsia" w:ascii="仿宋" w:hAnsi="仿宋" w:eastAsia="仿宋" w:cs="仿宋"/>
          <w:bCs/>
          <w:color w:val="000000"/>
          <w:spacing w:val="-6"/>
          <w:sz w:val="24"/>
          <w:szCs w:val="24"/>
        </w:rPr>
        <w:t>甲方：</w:t>
      </w:r>
      <w:r>
        <w:rPr>
          <w:rFonts w:hint="eastAsia" w:ascii="仿宋" w:hAnsi="仿宋" w:eastAsia="仿宋" w:cs="仿宋"/>
          <w:bCs/>
          <w:color w:val="000000"/>
          <w:spacing w:val="-6"/>
          <w:sz w:val="24"/>
          <w:szCs w:val="24"/>
          <w:lang w:eastAsia="zh-CN"/>
        </w:rPr>
        <w:t>陕西延安中学</w:t>
      </w:r>
    </w:p>
    <w:p>
      <w:pPr>
        <w:kinsoku w:val="0"/>
        <w:spacing w:line="590" w:lineRule="exact"/>
        <w:ind w:firstLine="600"/>
        <w:rPr>
          <w:rFonts w:hint="eastAsia" w:ascii="仿宋" w:hAnsi="仿宋" w:eastAsia="仿宋" w:cs="仿宋"/>
          <w:bCs/>
          <w:color w:val="000000"/>
          <w:spacing w:val="-6"/>
          <w:sz w:val="24"/>
          <w:szCs w:val="24"/>
        </w:rPr>
      </w:pPr>
      <w:r>
        <w:rPr>
          <w:rFonts w:hint="eastAsia" w:ascii="仿宋" w:hAnsi="仿宋" w:eastAsia="仿宋" w:cs="仿宋"/>
          <w:bCs/>
          <w:color w:val="000000"/>
          <w:spacing w:val="-6"/>
          <w:sz w:val="24"/>
          <w:szCs w:val="24"/>
        </w:rPr>
        <w:t>乙方：</w:t>
      </w:r>
    </w:p>
    <w:p>
      <w:pPr>
        <w:numPr>
          <w:ilvl w:val="0"/>
          <w:numId w:val="0"/>
        </w:numPr>
        <w:spacing w:line="360" w:lineRule="auto"/>
        <w:ind w:firstLine="684" w:firstLineChars="300"/>
        <w:rPr>
          <w:rFonts w:hint="eastAsia" w:ascii="仿宋" w:hAnsi="仿宋" w:eastAsia="仿宋" w:cs="仿宋"/>
          <w:sz w:val="24"/>
          <w:szCs w:val="24"/>
        </w:rPr>
      </w:pPr>
      <w:r>
        <w:rPr>
          <w:rFonts w:hint="eastAsia" w:ascii="仿宋" w:hAnsi="仿宋" w:eastAsia="仿宋" w:cs="仿宋"/>
          <w:bCs/>
          <w:color w:val="000000"/>
          <w:spacing w:val="-6"/>
          <w:sz w:val="24"/>
          <w:szCs w:val="24"/>
          <w:lang w:eastAsia="zh-CN"/>
        </w:rPr>
        <w:t>陕西延安中学（</w:t>
      </w:r>
      <w:r>
        <w:rPr>
          <w:rFonts w:hint="eastAsia" w:ascii="仿宋" w:hAnsi="仿宋" w:eastAsia="仿宋" w:cs="仿宋"/>
          <w:bCs/>
          <w:color w:val="000000"/>
          <w:spacing w:val="-6"/>
          <w:sz w:val="24"/>
          <w:szCs w:val="24"/>
        </w:rPr>
        <w:t>（以下简称甲方）</w:t>
      </w:r>
      <w:r>
        <w:rPr>
          <w:rFonts w:hint="eastAsia" w:ascii="仿宋" w:hAnsi="仿宋" w:eastAsia="仿宋" w:cs="仿宋"/>
          <w:bCs/>
          <w:color w:val="000000"/>
          <w:spacing w:val="-6"/>
          <w:sz w:val="24"/>
          <w:szCs w:val="24"/>
          <w:lang w:eastAsia="zh-CN"/>
        </w:rPr>
        <w:t>关于延安中学远程互动教室采购项目（二次）</w:t>
      </w:r>
      <w:r>
        <w:rPr>
          <w:rFonts w:hint="eastAsia" w:ascii="仿宋" w:hAnsi="仿宋" w:eastAsia="仿宋" w:cs="仿宋"/>
          <w:bCs/>
          <w:color w:val="000000"/>
          <w:spacing w:val="-6"/>
          <w:sz w:val="24"/>
          <w:szCs w:val="24"/>
        </w:rPr>
        <w:t>，</w:t>
      </w:r>
      <w:r>
        <w:rPr>
          <w:rFonts w:hint="eastAsia" w:ascii="仿宋" w:hAnsi="仿宋" w:eastAsia="仿宋" w:cs="仿宋"/>
          <w:color w:val="000000"/>
          <w:spacing w:val="-6"/>
          <w:sz w:val="24"/>
          <w:szCs w:val="24"/>
        </w:rPr>
        <w:t>按照政府采购程序，采用</w:t>
      </w:r>
      <w:r>
        <w:rPr>
          <w:rFonts w:hint="eastAsia" w:ascii="仿宋" w:hAnsi="仿宋" w:eastAsia="仿宋" w:cs="仿宋"/>
          <w:color w:val="000000"/>
          <w:spacing w:val="-6"/>
          <w:sz w:val="24"/>
          <w:szCs w:val="24"/>
          <w:lang w:val="en-US" w:eastAsia="zh-CN"/>
        </w:rPr>
        <w:t>公开招标的采购方式</w:t>
      </w:r>
      <w:r>
        <w:rPr>
          <w:rFonts w:hint="eastAsia" w:ascii="仿宋" w:hAnsi="仿宋" w:eastAsia="仿宋" w:cs="仿宋"/>
          <w:color w:val="000000"/>
          <w:spacing w:val="-6"/>
          <w:sz w:val="24"/>
          <w:szCs w:val="24"/>
        </w:rPr>
        <w:t>，选定</w:t>
      </w:r>
      <w:r>
        <w:rPr>
          <w:rFonts w:hint="eastAsia" w:ascii="仿宋" w:hAnsi="仿宋" w:eastAsia="仿宋" w:cs="仿宋"/>
          <w:bCs/>
          <w:color w:val="000000"/>
          <w:spacing w:val="-6"/>
          <w:sz w:val="24"/>
          <w:szCs w:val="24"/>
          <w:u w:val="single"/>
        </w:rPr>
        <w:t xml:space="preserve">                     </w:t>
      </w:r>
      <w:r>
        <w:rPr>
          <w:rFonts w:hint="eastAsia" w:ascii="仿宋" w:hAnsi="仿宋" w:eastAsia="仿宋" w:cs="仿宋"/>
          <w:bCs/>
          <w:color w:val="000000"/>
          <w:spacing w:val="-6"/>
          <w:sz w:val="24"/>
          <w:szCs w:val="24"/>
        </w:rPr>
        <w:t>公司（以下简称乙方）为</w:t>
      </w:r>
      <w:r>
        <w:rPr>
          <w:rFonts w:hint="eastAsia" w:ascii="仿宋" w:hAnsi="仿宋" w:eastAsia="仿宋" w:cs="仿宋"/>
          <w:bCs/>
          <w:color w:val="000000"/>
          <w:spacing w:val="-6"/>
          <w:sz w:val="24"/>
          <w:szCs w:val="24"/>
          <w:lang w:val="en-US" w:eastAsia="zh-CN"/>
        </w:rPr>
        <w:t>中标</w:t>
      </w:r>
      <w:r>
        <w:rPr>
          <w:rFonts w:hint="eastAsia" w:ascii="仿宋" w:hAnsi="仿宋" w:eastAsia="仿宋" w:cs="仿宋"/>
          <w:bCs/>
          <w:color w:val="000000"/>
          <w:spacing w:val="-6"/>
          <w:sz w:val="24"/>
          <w:szCs w:val="24"/>
        </w:rPr>
        <w:t>供应商。依据国家《</w:t>
      </w:r>
      <w:r>
        <w:rPr>
          <w:rFonts w:hint="eastAsia" w:ascii="仿宋" w:hAnsi="仿宋" w:eastAsia="仿宋" w:cs="仿宋"/>
          <w:bCs/>
          <w:color w:val="000000"/>
          <w:spacing w:val="-6"/>
          <w:sz w:val="24"/>
          <w:szCs w:val="24"/>
          <w:lang w:val="en-US" w:eastAsia="zh-CN"/>
        </w:rPr>
        <w:t>中华人民共和国民法典</w:t>
      </w:r>
      <w:r>
        <w:rPr>
          <w:rFonts w:hint="eastAsia" w:ascii="仿宋" w:hAnsi="仿宋" w:eastAsia="仿宋" w:cs="仿宋"/>
          <w:bCs/>
          <w:color w:val="000000"/>
          <w:spacing w:val="-6"/>
          <w:sz w:val="24"/>
          <w:szCs w:val="24"/>
        </w:rPr>
        <w:t>》、《</w:t>
      </w:r>
      <w:r>
        <w:rPr>
          <w:rFonts w:hint="eastAsia" w:ascii="仿宋" w:hAnsi="仿宋" w:eastAsia="仿宋" w:cs="仿宋"/>
          <w:bCs/>
          <w:color w:val="000000"/>
          <w:spacing w:val="-6"/>
          <w:sz w:val="24"/>
          <w:szCs w:val="24"/>
          <w:lang w:val="en-US" w:eastAsia="zh-CN"/>
        </w:rPr>
        <w:t>中华人民共和国</w:t>
      </w:r>
      <w:r>
        <w:rPr>
          <w:rFonts w:hint="eastAsia" w:ascii="仿宋" w:hAnsi="仿宋" w:eastAsia="仿宋" w:cs="仿宋"/>
          <w:bCs/>
          <w:color w:val="000000"/>
          <w:spacing w:val="-6"/>
          <w:sz w:val="24"/>
          <w:szCs w:val="24"/>
        </w:rPr>
        <w:t>政府采购法》及</w:t>
      </w:r>
      <w:r>
        <w:rPr>
          <w:rFonts w:hint="eastAsia" w:ascii="仿宋" w:hAnsi="仿宋" w:eastAsia="仿宋" w:cs="仿宋"/>
          <w:bCs/>
          <w:color w:val="000000"/>
          <w:spacing w:val="-6"/>
          <w:sz w:val="24"/>
          <w:szCs w:val="24"/>
          <w:lang w:val="en-US" w:eastAsia="zh-CN"/>
        </w:rPr>
        <w:t>招标</w:t>
      </w:r>
      <w:r>
        <w:rPr>
          <w:rFonts w:hint="eastAsia" w:ascii="仿宋" w:hAnsi="仿宋" w:eastAsia="仿宋" w:cs="仿宋"/>
          <w:bCs/>
          <w:color w:val="000000"/>
          <w:spacing w:val="-6"/>
          <w:sz w:val="24"/>
          <w:szCs w:val="24"/>
        </w:rPr>
        <w:t>文件和乙方的</w:t>
      </w:r>
      <w:r>
        <w:rPr>
          <w:rFonts w:hint="eastAsia" w:ascii="仿宋" w:hAnsi="仿宋" w:eastAsia="仿宋" w:cs="仿宋"/>
          <w:bCs/>
          <w:color w:val="000000"/>
          <w:spacing w:val="-6"/>
          <w:sz w:val="24"/>
          <w:szCs w:val="24"/>
          <w:lang w:val="en-US" w:eastAsia="zh-CN"/>
        </w:rPr>
        <w:t>投标</w:t>
      </w:r>
      <w:r>
        <w:rPr>
          <w:rFonts w:hint="eastAsia" w:ascii="仿宋" w:hAnsi="仿宋" w:eastAsia="仿宋" w:cs="仿宋"/>
          <w:bCs/>
          <w:color w:val="000000"/>
          <w:spacing w:val="-6"/>
          <w:sz w:val="24"/>
          <w:szCs w:val="24"/>
        </w:rPr>
        <w:t>文件，经甲、乙双方协商，达成如下合同条款。</w:t>
      </w:r>
    </w:p>
    <w:p>
      <w:pPr>
        <w:tabs>
          <w:tab w:val="left" w:pos="540"/>
        </w:tabs>
        <w:adjustRightInd w:val="0"/>
        <w:snapToGrid w:val="0"/>
        <w:spacing w:line="560" w:lineRule="exact"/>
        <w:ind w:firstLine="482" w:firstLineChars="200"/>
        <w:jc w:val="left"/>
        <w:outlineLvl w:val="1"/>
        <w:rPr>
          <w:rFonts w:hint="eastAsia" w:ascii="仿宋" w:hAnsi="仿宋" w:eastAsia="仿宋" w:cs="仿宋"/>
          <w:b/>
          <w:kern w:val="0"/>
          <w:sz w:val="24"/>
          <w:szCs w:val="24"/>
        </w:rPr>
      </w:pPr>
      <w:r>
        <w:rPr>
          <w:rFonts w:hint="eastAsia" w:ascii="仿宋" w:hAnsi="仿宋" w:eastAsia="仿宋" w:cs="仿宋"/>
          <w:b/>
          <w:kern w:val="0"/>
          <w:sz w:val="24"/>
          <w:szCs w:val="24"/>
        </w:rPr>
        <w:t>一、</w:t>
      </w:r>
      <w:r>
        <w:rPr>
          <w:rFonts w:hint="eastAsia" w:ascii="仿宋" w:hAnsi="仿宋" w:eastAsia="仿宋" w:cs="仿宋"/>
          <w:b/>
          <w:kern w:val="0"/>
          <w:sz w:val="24"/>
          <w:szCs w:val="24"/>
          <w:lang w:eastAsia="zh-CN"/>
        </w:rPr>
        <w:t>项目</w:t>
      </w:r>
      <w:r>
        <w:rPr>
          <w:rFonts w:hint="eastAsia" w:ascii="仿宋" w:hAnsi="仿宋" w:eastAsia="仿宋" w:cs="仿宋"/>
          <w:b/>
          <w:kern w:val="0"/>
          <w:sz w:val="24"/>
          <w:szCs w:val="24"/>
        </w:rPr>
        <w:t>概况</w:t>
      </w:r>
    </w:p>
    <w:p>
      <w:pPr>
        <w:keepNext w:val="0"/>
        <w:keepLines w:val="0"/>
        <w:pageBreakBefore w:val="0"/>
        <w:widowControl w:val="0"/>
        <w:wordWrap/>
        <w:overflowPunct/>
        <w:topLinePunct w:val="0"/>
        <w:autoSpaceDE/>
        <w:autoSpaceDN/>
        <w:bidi w:val="0"/>
        <w:adjustRightInd w:val="0"/>
        <w:snapToGrid w:val="0"/>
        <w:spacing w:line="560" w:lineRule="exact"/>
        <w:ind w:left="0" w:leftChars="0" w:right="0" w:rightChars="0" w:firstLine="480" w:firstLineChars="200"/>
        <w:jc w:val="left"/>
        <w:textAlignment w:val="auto"/>
        <w:outlineLvl w:val="9"/>
        <w:rPr>
          <w:rFonts w:hint="eastAsia" w:ascii="仿宋" w:hAnsi="仿宋" w:eastAsia="仿宋" w:cs="仿宋"/>
          <w:bCs/>
          <w:color w:val="000000"/>
          <w:spacing w:val="-6"/>
          <w:sz w:val="24"/>
          <w:szCs w:val="24"/>
          <w:u w:val="single"/>
          <w:lang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项目</w:t>
      </w:r>
      <w:r>
        <w:rPr>
          <w:rFonts w:hint="eastAsia" w:ascii="仿宋" w:hAnsi="仿宋" w:eastAsia="仿宋" w:cs="仿宋"/>
          <w:kern w:val="0"/>
          <w:sz w:val="24"/>
          <w:szCs w:val="24"/>
        </w:rPr>
        <w:t>名称</w:t>
      </w:r>
      <w:r>
        <w:rPr>
          <w:rFonts w:hint="eastAsia" w:ascii="仿宋" w:hAnsi="仿宋" w:eastAsia="仿宋" w:cs="仿宋"/>
          <w:kern w:val="0"/>
          <w:sz w:val="24"/>
          <w:szCs w:val="24"/>
          <w:lang w:eastAsia="zh-CN"/>
        </w:rPr>
        <w:t>：</w:t>
      </w:r>
      <w:r>
        <w:rPr>
          <w:rFonts w:hint="eastAsia" w:ascii="仿宋" w:hAnsi="仿宋" w:eastAsia="仿宋" w:cs="仿宋"/>
          <w:bCs/>
          <w:color w:val="000000"/>
          <w:spacing w:val="-6"/>
          <w:sz w:val="24"/>
          <w:szCs w:val="24"/>
          <w:u w:val="single"/>
          <w:lang w:eastAsia="zh-CN"/>
        </w:rPr>
        <w:t>延安中学远程互动教室采购项目（二次）</w:t>
      </w:r>
    </w:p>
    <w:p>
      <w:pPr>
        <w:keepNext w:val="0"/>
        <w:keepLines w:val="0"/>
        <w:pageBreakBefore w:val="0"/>
        <w:widowControl w:val="0"/>
        <w:wordWrap/>
        <w:overflowPunct/>
        <w:topLinePunct w:val="0"/>
        <w:autoSpaceDE/>
        <w:autoSpaceDN/>
        <w:bidi w:val="0"/>
        <w:adjustRightInd w:val="0"/>
        <w:snapToGrid w:val="0"/>
        <w:spacing w:line="560" w:lineRule="exact"/>
        <w:ind w:left="0" w:leftChars="0" w:right="0" w:rightChars="0" w:firstLine="480" w:firstLineChars="200"/>
        <w:jc w:val="left"/>
        <w:textAlignment w:val="auto"/>
        <w:outlineLvl w:val="9"/>
        <w:rPr>
          <w:rFonts w:hint="eastAsia" w:ascii="仿宋" w:hAnsi="仿宋" w:eastAsia="仿宋" w:cs="仿宋"/>
          <w:kern w:val="0"/>
          <w:sz w:val="24"/>
          <w:szCs w:val="24"/>
          <w:u w:val="single"/>
          <w:lang w:val="en-US" w:eastAsia="zh-CN"/>
        </w:rPr>
      </w:pPr>
      <w:r>
        <w:rPr>
          <w:rFonts w:hint="eastAsia" w:ascii="仿宋" w:hAnsi="仿宋" w:eastAsia="仿宋" w:cs="仿宋"/>
          <w:kern w:val="0"/>
          <w:sz w:val="24"/>
          <w:szCs w:val="24"/>
          <w:u w:val="none"/>
        </w:rPr>
        <w:t>2.</w:t>
      </w:r>
      <w:r>
        <w:rPr>
          <w:rFonts w:hint="eastAsia" w:ascii="仿宋" w:hAnsi="仿宋" w:eastAsia="仿宋" w:cs="仿宋"/>
          <w:kern w:val="0"/>
          <w:sz w:val="24"/>
          <w:szCs w:val="24"/>
          <w:u w:val="none"/>
          <w:lang w:eastAsia="zh-CN"/>
        </w:rPr>
        <w:t>项目</w:t>
      </w:r>
      <w:r>
        <w:rPr>
          <w:rFonts w:hint="eastAsia" w:ascii="仿宋" w:hAnsi="仿宋" w:eastAsia="仿宋" w:cs="仿宋"/>
          <w:kern w:val="0"/>
          <w:sz w:val="24"/>
          <w:szCs w:val="24"/>
          <w:u w:val="none"/>
        </w:rPr>
        <w:t>地点：</w:t>
      </w:r>
      <w:r>
        <w:rPr>
          <w:rFonts w:hint="eastAsia" w:ascii="仿宋" w:hAnsi="仿宋" w:eastAsia="仿宋" w:cs="仿宋"/>
          <w:kern w:val="0"/>
          <w:sz w:val="24"/>
          <w:szCs w:val="24"/>
          <w:u w:val="single"/>
          <w:lang w:eastAsia="zh-CN"/>
        </w:rPr>
        <w:t>陕西延安中学</w:t>
      </w:r>
      <w:r>
        <w:rPr>
          <w:rFonts w:hint="eastAsia" w:ascii="仿宋" w:hAnsi="仿宋" w:eastAsia="仿宋" w:cs="仿宋"/>
          <w:kern w:val="0"/>
          <w:sz w:val="24"/>
          <w:szCs w:val="24"/>
          <w:u w:val="single"/>
          <w:lang w:val="en-US" w:eastAsia="zh-CN"/>
        </w:rPr>
        <w:t>指定地点</w:t>
      </w:r>
    </w:p>
    <w:p>
      <w:pPr>
        <w:tabs>
          <w:tab w:val="left" w:pos="540"/>
        </w:tabs>
        <w:adjustRightInd w:val="0"/>
        <w:snapToGrid w:val="0"/>
        <w:spacing w:line="560" w:lineRule="exact"/>
        <w:ind w:firstLine="482" w:firstLineChars="200"/>
        <w:jc w:val="left"/>
        <w:outlineLvl w:val="1"/>
        <w:rPr>
          <w:rFonts w:hint="eastAsia" w:ascii="仿宋" w:hAnsi="仿宋" w:eastAsia="仿宋" w:cs="仿宋"/>
          <w:b/>
          <w:kern w:val="0"/>
          <w:sz w:val="24"/>
          <w:szCs w:val="24"/>
          <w:lang w:eastAsia="zh-CN"/>
        </w:rPr>
      </w:pPr>
      <w:bookmarkStart w:id="0" w:name="_Toc406150412"/>
      <w:bookmarkStart w:id="1" w:name="_Toc457826141"/>
      <w:r>
        <w:rPr>
          <w:rFonts w:hint="eastAsia" w:ascii="仿宋" w:hAnsi="仿宋" w:eastAsia="仿宋" w:cs="仿宋"/>
          <w:b/>
          <w:kern w:val="0"/>
          <w:sz w:val="24"/>
          <w:szCs w:val="24"/>
          <w:lang w:eastAsia="zh-CN"/>
        </w:rPr>
        <w:t>二、</w:t>
      </w:r>
      <w:bookmarkEnd w:id="0"/>
      <w:bookmarkEnd w:id="1"/>
      <w:r>
        <w:rPr>
          <w:rFonts w:hint="eastAsia" w:ascii="仿宋" w:hAnsi="仿宋" w:eastAsia="仿宋" w:cs="仿宋"/>
          <w:b/>
          <w:kern w:val="0"/>
          <w:sz w:val="24"/>
          <w:szCs w:val="24"/>
          <w:lang w:val="en-US" w:eastAsia="zh-CN"/>
        </w:rPr>
        <w:t>供货</w:t>
      </w:r>
      <w:r>
        <w:rPr>
          <w:rFonts w:hint="eastAsia" w:ascii="仿宋" w:hAnsi="仿宋" w:eastAsia="仿宋" w:cs="仿宋"/>
          <w:b/>
          <w:kern w:val="0"/>
          <w:sz w:val="24"/>
          <w:szCs w:val="24"/>
          <w:lang w:eastAsia="zh-CN"/>
        </w:rPr>
        <w:t>期</w:t>
      </w:r>
    </w:p>
    <w:p>
      <w:pPr>
        <w:keepNext w:val="0"/>
        <w:keepLines w:val="0"/>
        <w:pageBreakBefore w:val="0"/>
        <w:widowControl w:val="0"/>
        <w:wordWrap/>
        <w:overflowPunct/>
        <w:topLinePunct w:val="0"/>
        <w:autoSpaceDE/>
        <w:autoSpaceDN/>
        <w:bidi w:val="0"/>
        <w:adjustRightInd w:val="0"/>
        <w:snapToGrid w:val="0"/>
        <w:spacing w:line="560" w:lineRule="exact"/>
        <w:ind w:left="0" w:leftChars="0" w:right="0" w:rightChars="0" w:firstLine="480" w:firstLineChars="200"/>
        <w:jc w:val="left"/>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供货</w:t>
      </w:r>
      <w:r>
        <w:rPr>
          <w:rFonts w:hint="eastAsia" w:ascii="仿宋" w:hAnsi="仿宋" w:eastAsia="仿宋" w:cs="仿宋"/>
          <w:kern w:val="0"/>
          <w:sz w:val="24"/>
          <w:szCs w:val="24"/>
          <w:highlight w:val="none"/>
          <w:lang w:eastAsia="zh-CN"/>
        </w:rPr>
        <w:t>期：</w:t>
      </w:r>
      <w:r>
        <w:rPr>
          <w:rFonts w:hint="eastAsia" w:ascii="仿宋" w:hAnsi="仿宋" w:eastAsia="仿宋" w:cs="仿宋"/>
          <w:kern w:val="0"/>
          <w:sz w:val="24"/>
          <w:szCs w:val="24"/>
          <w:highlight w:val="none"/>
          <w:lang w:val="en-US" w:eastAsia="zh-CN"/>
        </w:rPr>
        <w:t xml:space="preserve"> 合同签订后30天内完成；</w:t>
      </w:r>
    </w:p>
    <w:p>
      <w:pPr>
        <w:tabs>
          <w:tab w:val="left" w:pos="540"/>
        </w:tabs>
        <w:adjustRightInd w:val="0"/>
        <w:snapToGrid w:val="0"/>
        <w:spacing w:line="360" w:lineRule="auto"/>
        <w:ind w:firstLine="482" w:firstLineChars="200"/>
        <w:jc w:val="left"/>
        <w:outlineLvl w:val="1"/>
        <w:rPr>
          <w:rFonts w:hint="eastAsia" w:ascii="仿宋" w:hAnsi="仿宋" w:eastAsia="仿宋" w:cs="仿宋"/>
          <w:b/>
          <w:kern w:val="0"/>
          <w:sz w:val="24"/>
          <w:szCs w:val="24"/>
        </w:rPr>
      </w:pPr>
      <w:bookmarkStart w:id="2" w:name="_Toc457826143"/>
      <w:bookmarkStart w:id="3" w:name="_Toc406150414"/>
      <w:r>
        <w:rPr>
          <w:rFonts w:hint="eastAsia" w:ascii="仿宋" w:hAnsi="仿宋" w:eastAsia="仿宋" w:cs="仿宋"/>
          <w:b/>
          <w:kern w:val="0"/>
          <w:sz w:val="24"/>
          <w:szCs w:val="24"/>
          <w:lang w:val="en-US" w:eastAsia="zh-CN"/>
        </w:rPr>
        <w:t>三</w:t>
      </w:r>
      <w:r>
        <w:rPr>
          <w:rFonts w:hint="eastAsia" w:ascii="仿宋" w:hAnsi="仿宋" w:eastAsia="仿宋" w:cs="仿宋"/>
          <w:b/>
          <w:kern w:val="0"/>
          <w:sz w:val="24"/>
          <w:szCs w:val="24"/>
        </w:rPr>
        <w:t>、合同价款</w:t>
      </w:r>
      <w:bookmarkEnd w:id="2"/>
      <w:bookmarkEnd w:id="3"/>
    </w:p>
    <w:p>
      <w:pPr>
        <w:tabs>
          <w:tab w:val="left" w:pos="720"/>
        </w:tabs>
        <w:adjustRightInd w:val="0"/>
        <w:snapToGrid w:val="0"/>
        <w:spacing w:line="360" w:lineRule="auto"/>
        <w:ind w:left="479" w:leftChars="228" w:firstLine="0" w:firstLineChars="0"/>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1.合同价款金额：人民币（大写）_________ (¥______元)</w:t>
      </w:r>
      <w:r>
        <w:rPr>
          <w:rFonts w:hint="eastAsia" w:ascii="仿宋" w:hAnsi="仿宋" w:eastAsia="仿宋" w:cs="仿宋"/>
          <w:kern w:val="0"/>
          <w:sz w:val="24"/>
          <w:szCs w:val="24"/>
          <w:lang w:val="en-US" w:eastAsia="zh-CN"/>
        </w:rPr>
        <w:br w:type="textWrapping"/>
      </w:r>
      <w:r>
        <w:rPr>
          <w:rFonts w:hint="eastAsia" w:ascii="仿宋" w:hAnsi="仿宋" w:eastAsia="仿宋" w:cs="仿宋"/>
          <w:kern w:val="0"/>
          <w:sz w:val="24"/>
          <w:szCs w:val="24"/>
          <w:lang w:val="en-US" w:eastAsia="zh-CN"/>
        </w:rPr>
        <w:t>2.合同价不受市场价格变化因素的影响。</w:t>
      </w:r>
      <w:r>
        <w:rPr>
          <w:rFonts w:hint="eastAsia" w:ascii="仿宋" w:hAnsi="仿宋" w:eastAsia="仿宋" w:cs="仿宋"/>
          <w:kern w:val="0"/>
          <w:sz w:val="24"/>
          <w:szCs w:val="24"/>
          <w:lang w:val="en-US" w:eastAsia="zh-CN"/>
        </w:rPr>
        <w:br w:type="textWrapping"/>
      </w:r>
      <w:r>
        <w:rPr>
          <w:rFonts w:hint="eastAsia" w:ascii="仿宋" w:hAnsi="仿宋" w:eastAsia="仿宋" w:cs="仿宋"/>
          <w:kern w:val="0"/>
          <w:sz w:val="24"/>
          <w:szCs w:val="24"/>
          <w:lang w:val="en-US" w:eastAsia="zh-CN"/>
        </w:rPr>
        <w:t>3.付款方式：货物抵达采购人指定地点付40%，安装调试验收合格后付505%，剩余5%质保期结束后一次性付清。</w:t>
      </w:r>
    </w:p>
    <w:p>
      <w:pPr>
        <w:widowControl/>
        <w:ind w:firstLine="482" w:firstLineChars="200"/>
        <w:jc w:val="left"/>
        <w:rPr>
          <w:rFonts w:hint="eastAsia" w:ascii="仿宋" w:hAnsi="仿宋" w:eastAsia="仿宋" w:cs="仿宋"/>
          <w:b/>
          <w:bCs/>
          <w:sz w:val="24"/>
        </w:rPr>
      </w:pPr>
      <w:r>
        <w:rPr>
          <w:rFonts w:hint="eastAsia" w:ascii="仿宋" w:hAnsi="仿宋" w:eastAsia="仿宋" w:cs="仿宋"/>
          <w:b/>
          <w:bCs/>
          <w:sz w:val="24"/>
        </w:rPr>
        <w:t>四、质保期</w:t>
      </w:r>
    </w:p>
    <w:p>
      <w:pPr>
        <w:widowControl/>
        <w:ind w:firstLine="240" w:firstLineChars="100"/>
        <w:jc w:val="left"/>
        <w:rPr>
          <w:rFonts w:hint="eastAsia" w:ascii="仿宋" w:hAnsi="仿宋" w:eastAsia="仿宋" w:cs="仿宋"/>
          <w:sz w:val="24"/>
        </w:rPr>
      </w:pPr>
      <w:bookmarkStart w:id="4" w:name="_Toc167715252"/>
      <w:bookmarkStart w:id="5" w:name="_Toc167714055"/>
      <w:bookmarkStart w:id="6" w:name="_Toc167712857"/>
      <w:r>
        <w:rPr>
          <w:rFonts w:hint="eastAsia" w:ascii="仿宋" w:hAnsi="仿宋" w:eastAsia="仿宋" w:cs="仿宋"/>
          <w:sz w:val="24"/>
        </w:rPr>
        <w:t>1.质保期：</w:t>
      </w:r>
      <w:r>
        <w:rPr>
          <w:rFonts w:hint="eastAsia" w:ascii="仿宋" w:hAnsi="仿宋" w:eastAsia="仿宋" w:cs="仿宋"/>
          <w:sz w:val="24"/>
          <w:lang w:val="en-US" w:eastAsia="zh-CN"/>
        </w:rPr>
        <w:t>一</w:t>
      </w:r>
      <w:r>
        <w:rPr>
          <w:rFonts w:hint="eastAsia" w:ascii="仿宋" w:hAnsi="仿宋" w:eastAsia="仿宋" w:cs="仿宋"/>
          <w:sz w:val="24"/>
        </w:rPr>
        <w:t>年</w:t>
      </w:r>
    </w:p>
    <w:p>
      <w:pPr>
        <w:widowControl/>
        <w:ind w:firstLine="240" w:firstLineChars="100"/>
        <w:jc w:val="left"/>
        <w:rPr>
          <w:rFonts w:hint="eastAsia" w:ascii="仿宋" w:hAnsi="仿宋" w:eastAsia="仿宋" w:cs="仿宋"/>
          <w:sz w:val="24"/>
        </w:rPr>
      </w:pPr>
      <w:r>
        <w:rPr>
          <w:rFonts w:hint="eastAsia" w:ascii="仿宋" w:hAnsi="仿宋" w:eastAsia="仿宋" w:cs="仿宋"/>
          <w:sz w:val="24"/>
        </w:rPr>
        <w:t>2.在使用过程中发生质量问题，在接到甲方通知后2小时内到达现场提供服务，在24小时内维修完毕。</w:t>
      </w:r>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.中标人承诺的保修期起始时间为终验合格次日</w:t>
      </w:r>
      <w:bookmarkStart w:id="7" w:name="_Toc167712855"/>
      <w:bookmarkStart w:id="8" w:name="_Toc167714053"/>
      <w:bookmarkStart w:id="9" w:name="_Toc167715250"/>
      <w:r>
        <w:rPr>
          <w:rFonts w:hint="eastAsia" w:ascii="仿宋" w:hAnsi="仿宋" w:eastAsia="仿宋" w:cs="仿宋"/>
          <w:sz w:val="24"/>
        </w:rPr>
        <w:t>；</w:t>
      </w:r>
      <w:bookmarkEnd w:id="4"/>
      <w:bookmarkEnd w:id="5"/>
      <w:bookmarkEnd w:id="6"/>
      <w:bookmarkEnd w:id="7"/>
      <w:bookmarkEnd w:id="8"/>
      <w:bookmarkEnd w:id="9"/>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乙方提供货物必须是原品生产的最新产品。</w:t>
      </w:r>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所供货物必须是经过办理正常手续的全新产品。</w:t>
      </w:r>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.所供货物是经过国家法定检验、注册、准许市场销售的合法产品。</w:t>
      </w:r>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.进口产品必须提供进口产品注册证。</w:t>
      </w:r>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.货物性能稳定、具有较好的使用效果，质量保证措施完善，符合国家相关标准。</w:t>
      </w:r>
    </w:p>
    <w:p>
      <w:pPr>
        <w:widowControl/>
        <w:ind w:firstLine="240" w:firstLineChars="100"/>
        <w:jc w:val="left"/>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.包装要求</w:t>
      </w:r>
    </w:p>
    <w:p>
      <w:pPr>
        <w:widowControl/>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.1.除合同另有规定外，乙方提供的全部货物，均应按标准保护措施进行包装，并确保货物安全无损运抵甲方指定地点。</w:t>
      </w:r>
    </w:p>
    <w:p>
      <w:pPr>
        <w:widowControl/>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 xml:space="preserve">.2.每一个包装箱内应附一份详细装箱单和质量合格证。   </w:t>
      </w:r>
    </w:p>
    <w:p>
      <w:pPr>
        <w:widowControl/>
        <w:ind w:firstLine="482" w:firstLineChars="200"/>
        <w:jc w:val="left"/>
        <w:rPr>
          <w:rFonts w:hint="eastAsia" w:ascii="仿宋" w:hAnsi="仿宋" w:eastAsia="仿宋" w:cs="仿宋"/>
          <w:b/>
          <w:bCs/>
          <w:sz w:val="24"/>
        </w:rPr>
      </w:pPr>
      <w:r>
        <w:rPr>
          <w:rFonts w:hint="eastAsia" w:ascii="仿宋" w:hAnsi="仿宋" w:eastAsia="仿宋" w:cs="仿宋"/>
          <w:b/>
          <w:bCs/>
          <w:sz w:val="24"/>
        </w:rPr>
        <w:t>五、运输及方式</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设备必须为原厂包装运输，运输及安装方式由中标方自行选择（运输、安装费已包含在合同总价内）。</w:t>
      </w:r>
    </w:p>
    <w:p>
      <w:pPr>
        <w:widowControl/>
        <w:ind w:firstLine="482" w:firstLineChars="200"/>
        <w:jc w:val="left"/>
        <w:rPr>
          <w:rFonts w:hint="eastAsia" w:ascii="仿宋" w:hAnsi="仿宋" w:eastAsia="仿宋" w:cs="仿宋"/>
          <w:b/>
          <w:bCs/>
          <w:sz w:val="24"/>
        </w:rPr>
      </w:pPr>
      <w:r>
        <w:rPr>
          <w:rFonts w:hint="eastAsia" w:ascii="仿宋" w:hAnsi="仿宋" w:eastAsia="仿宋" w:cs="仿宋"/>
          <w:b/>
          <w:bCs/>
          <w:sz w:val="24"/>
        </w:rPr>
        <w:t>六、验收</w:t>
      </w:r>
      <w:bookmarkStart w:id="10" w:name="_Toc167712843"/>
      <w:bookmarkStart w:id="11" w:name="_Toc167714041"/>
      <w:bookmarkStart w:id="12" w:name="_Toc167715238"/>
      <w:r>
        <w:rPr>
          <w:rFonts w:hint="eastAsia" w:ascii="仿宋" w:hAnsi="仿宋" w:eastAsia="仿宋" w:cs="仿宋"/>
          <w:b/>
          <w:bCs/>
          <w:sz w:val="24"/>
        </w:rPr>
        <w:t>:</w:t>
      </w:r>
    </w:p>
    <w:bookmarkEnd w:id="10"/>
    <w:bookmarkEnd w:id="11"/>
    <w:bookmarkEnd w:id="12"/>
    <w:p>
      <w:pPr>
        <w:widowControl/>
        <w:ind w:firstLine="480" w:firstLineChars="200"/>
        <w:jc w:val="left"/>
        <w:rPr>
          <w:rFonts w:hint="eastAsia" w:ascii="仿宋" w:hAnsi="仿宋" w:eastAsia="仿宋" w:cs="仿宋"/>
          <w:sz w:val="24"/>
        </w:rPr>
      </w:pPr>
      <w:bookmarkStart w:id="13" w:name="_Toc167714066"/>
      <w:bookmarkStart w:id="14" w:name="_Toc167712868"/>
      <w:bookmarkStart w:id="15" w:name="_Toc167715263"/>
      <w:r>
        <w:rPr>
          <w:rFonts w:hint="eastAsia" w:ascii="仿宋" w:hAnsi="仿宋" w:eastAsia="仿宋" w:cs="仿宋"/>
          <w:sz w:val="24"/>
        </w:rPr>
        <w:t>1.所有货物(货物)安装、调试完毕，正常使用10个日历日后，由采购人进行验收（最终验收），合格后签发《终验合格单》；</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2.验收不合格的中标单位，必须在接到通知后7个日历日内确保货物通过验收。如接到通知后7个日历日内验收仍不合格，采购人可提出索赔或取消其供货合同。采购代理机构单位将把中标资格授予评审排序下一名的投标单位；</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3.验收依据</w:t>
      </w:r>
      <w:bookmarkStart w:id="16" w:name="_Toc167715242"/>
      <w:bookmarkStart w:id="17" w:name="_Toc167712847"/>
      <w:bookmarkStart w:id="18" w:name="_Toc167714045"/>
    </w:p>
    <w:p>
      <w:pPr>
        <w:widowControl/>
        <w:ind w:firstLine="480" w:firstLineChars="200"/>
        <w:jc w:val="left"/>
        <w:rPr>
          <w:rFonts w:hint="eastAsia" w:ascii="仿宋" w:hAnsi="仿宋" w:eastAsia="仿宋" w:cs="仿宋"/>
          <w:sz w:val="24"/>
        </w:rPr>
      </w:pPr>
      <w:r>
        <w:rPr>
          <w:rFonts w:hint="eastAsia" w:ascii="仿宋" w:hAnsi="仿宋" w:eastAsia="仿宋" w:cs="仿宋"/>
          <w:sz w:val="24"/>
        </w:rPr>
        <w:t>（1）合同文本及合同补充文件（条款）</w:t>
      </w:r>
      <w:bookmarkEnd w:id="16"/>
      <w:bookmarkEnd w:id="17"/>
      <w:bookmarkEnd w:id="18"/>
      <w:r>
        <w:rPr>
          <w:rFonts w:hint="eastAsia" w:ascii="仿宋" w:hAnsi="仿宋" w:eastAsia="仿宋" w:cs="仿宋"/>
          <w:sz w:val="24"/>
        </w:rPr>
        <w:t>；</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（2）货物（产品）售后服务承诺函；</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（3）符合招投标文件的技术规范和标准；</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（4）合同货物清单；</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（5）中标人资质、辅材检验报告等；</w:t>
      </w:r>
    </w:p>
    <w:p>
      <w:pPr>
        <w:widowControl/>
        <w:ind w:firstLine="480" w:firstLineChars="200"/>
        <w:jc w:val="left"/>
        <w:rPr>
          <w:rFonts w:hint="eastAsia" w:ascii="仿宋" w:hAnsi="仿宋" w:eastAsia="仿宋" w:cs="仿宋"/>
          <w:sz w:val="24"/>
        </w:rPr>
      </w:pPr>
      <w:bookmarkStart w:id="19" w:name="_Toc167714062"/>
      <w:bookmarkStart w:id="20" w:name="_Toc167712864"/>
      <w:bookmarkStart w:id="21" w:name="_Toc167715259"/>
      <w:bookmarkStart w:id="22" w:name="_Toc167712867"/>
      <w:bookmarkStart w:id="23" w:name="_Toc167714065"/>
      <w:bookmarkStart w:id="24" w:name="_Toc167715262"/>
      <w:r>
        <w:rPr>
          <w:rFonts w:hint="eastAsia" w:ascii="仿宋" w:hAnsi="仿宋" w:eastAsia="仿宋" w:cs="仿宋"/>
          <w:sz w:val="24"/>
        </w:rPr>
        <w:t>（6）货物安装调试完毕后，中标人必须安排技术人员对使用单位的货物管理人员进行维护保养方面的技能培训</w:t>
      </w:r>
      <w:bookmarkEnd w:id="19"/>
      <w:bookmarkEnd w:id="20"/>
      <w:bookmarkEnd w:id="21"/>
      <w:r>
        <w:rPr>
          <w:rFonts w:hint="eastAsia" w:ascii="仿宋" w:hAnsi="仿宋" w:eastAsia="仿宋" w:cs="仿宋"/>
          <w:sz w:val="24"/>
        </w:rPr>
        <w:t>。</w:t>
      </w:r>
    </w:p>
    <w:bookmarkEnd w:id="22"/>
    <w:bookmarkEnd w:id="23"/>
    <w:bookmarkEnd w:id="24"/>
    <w:p>
      <w:pPr>
        <w:widowControl/>
        <w:ind w:firstLine="482" w:firstLineChars="200"/>
        <w:jc w:val="left"/>
        <w:rPr>
          <w:rFonts w:hint="eastAsia" w:ascii="仿宋" w:hAnsi="仿宋" w:eastAsia="仿宋" w:cs="仿宋"/>
          <w:b/>
          <w:bCs/>
          <w:sz w:val="24"/>
        </w:rPr>
      </w:pPr>
      <w:r>
        <w:rPr>
          <w:rFonts w:hint="eastAsia" w:ascii="仿宋" w:hAnsi="仿宋" w:eastAsia="仿宋" w:cs="仿宋"/>
          <w:b/>
          <w:bCs/>
          <w:sz w:val="24"/>
        </w:rPr>
        <w:t>七、合同实施：</w:t>
      </w:r>
      <w:bookmarkEnd w:id="13"/>
      <w:bookmarkEnd w:id="14"/>
      <w:bookmarkEnd w:id="15"/>
      <w:bookmarkStart w:id="25" w:name="_Toc167712869"/>
      <w:bookmarkStart w:id="26" w:name="_Toc167714067"/>
      <w:bookmarkStart w:id="27" w:name="_Toc167715264"/>
    </w:p>
    <w:bookmarkEnd w:id="25"/>
    <w:bookmarkEnd w:id="26"/>
    <w:bookmarkEnd w:id="27"/>
    <w:p>
      <w:pPr>
        <w:widowControl/>
        <w:ind w:firstLine="480" w:firstLineChars="200"/>
        <w:jc w:val="left"/>
        <w:rPr>
          <w:rFonts w:hint="eastAsia" w:ascii="仿宋" w:hAnsi="仿宋" w:eastAsia="仿宋" w:cs="仿宋"/>
          <w:sz w:val="24"/>
        </w:rPr>
      </w:pPr>
      <w:r>
        <w:rPr>
          <w:rFonts w:hint="eastAsia" w:ascii="仿宋" w:hAnsi="仿宋" w:eastAsia="仿宋" w:cs="仿宋"/>
          <w:sz w:val="24"/>
        </w:rPr>
        <w:t>若因中标单位原因未能在交货期内完成合同规定的义务，由此对招标人造成的延误和一切损失，由中标人承担和赔偿。</w:t>
      </w:r>
    </w:p>
    <w:p>
      <w:pPr>
        <w:widowControl/>
        <w:ind w:firstLine="482" w:firstLineChars="200"/>
        <w:jc w:val="left"/>
        <w:rPr>
          <w:rFonts w:hint="eastAsia" w:ascii="仿宋" w:hAnsi="仿宋" w:eastAsia="仿宋" w:cs="仿宋"/>
          <w:b/>
          <w:bCs/>
          <w:sz w:val="24"/>
        </w:rPr>
      </w:pPr>
      <w:r>
        <w:rPr>
          <w:rFonts w:hint="eastAsia" w:ascii="仿宋" w:hAnsi="仿宋" w:eastAsia="仿宋" w:cs="仿宋"/>
          <w:b/>
          <w:bCs/>
          <w:sz w:val="24"/>
        </w:rPr>
        <w:t>八、违约责任：</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1.按《中华人民共和国民法典》中的相关条款执行；</w:t>
      </w:r>
    </w:p>
    <w:p>
      <w:pPr>
        <w:widowControl/>
        <w:ind w:firstLine="480" w:firstLineChars="200"/>
        <w:jc w:val="left"/>
        <w:rPr>
          <w:rFonts w:hint="eastAsia" w:ascii="仿宋" w:hAnsi="仿宋" w:eastAsia="仿宋" w:cs="仿宋"/>
          <w:sz w:val="24"/>
        </w:rPr>
      </w:pPr>
      <w:r>
        <w:rPr>
          <w:rFonts w:hint="eastAsia" w:ascii="仿宋" w:hAnsi="仿宋" w:eastAsia="仿宋" w:cs="仿宋"/>
          <w:sz w:val="24"/>
        </w:rPr>
        <w:t>2.未按合同要求提供的货物质量不能满足技术要求，招标人有权终止合同，并对供方违约行为进行追究，同时按《政府采购法》的有关规定进行处罚。</w:t>
      </w:r>
    </w:p>
    <w:p>
      <w:pPr>
        <w:widowControl/>
        <w:ind w:firstLine="482" w:firstLineChars="200"/>
        <w:jc w:val="left"/>
        <w:rPr>
          <w:rFonts w:hint="eastAsia" w:ascii="仿宋" w:hAnsi="仿宋" w:eastAsia="仿宋" w:cs="仿宋"/>
          <w:sz w:val="24"/>
        </w:rPr>
      </w:pPr>
      <w:r>
        <w:rPr>
          <w:rFonts w:hint="eastAsia" w:ascii="仿宋" w:hAnsi="仿宋" w:eastAsia="仿宋" w:cs="仿宋"/>
          <w:b/>
          <w:bCs/>
          <w:sz w:val="24"/>
        </w:rPr>
        <w:t>九、</w:t>
      </w:r>
      <w:r>
        <w:rPr>
          <w:rFonts w:hint="eastAsia" w:ascii="仿宋" w:hAnsi="仿宋" w:eastAsia="仿宋" w:cs="仿宋"/>
          <w:sz w:val="24"/>
        </w:rPr>
        <w:t>合同一经签订，不得擅自变更、中止或者终止合同。对确需变更、调整或者中止、终止合同的，应按规定履行相应的手续。</w:t>
      </w:r>
    </w:p>
    <w:p>
      <w:pPr>
        <w:widowControl/>
        <w:ind w:firstLine="482" w:firstLineChars="200"/>
        <w:jc w:val="left"/>
        <w:rPr>
          <w:rFonts w:hint="eastAsia" w:ascii="仿宋" w:hAnsi="仿宋" w:eastAsia="仿宋" w:cs="仿宋"/>
          <w:sz w:val="24"/>
        </w:rPr>
      </w:pPr>
      <w:r>
        <w:rPr>
          <w:rFonts w:hint="eastAsia" w:ascii="仿宋" w:hAnsi="仿宋" w:eastAsia="仿宋" w:cs="仿宋"/>
          <w:b/>
          <w:bCs/>
          <w:sz w:val="24"/>
        </w:rPr>
        <w:t>十、</w:t>
      </w:r>
      <w:r>
        <w:rPr>
          <w:rFonts w:hint="eastAsia" w:ascii="仿宋" w:hAnsi="仿宋" w:eastAsia="仿宋" w:cs="仿宋"/>
          <w:sz w:val="24"/>
        </w:rPr>
        <w:t>本合同从签订之日起生效，合同规定的全部事宜和程序结束后终止。本合同一式叁份，甲、乙双方各一份，采购代理机构一份。</w:t>
      </w:r>
    </w:p>
    <w:p>
      <w:pPr>
        <w:pStyle w:val="37"/>
        <w:spacing w:line="360" w:lineRule="auto"/>
        <w:ind w:firstLine="482"/>
        <w:rPr>
          <w:rFonts w:hint="eastAsia" w:ascii="仿宋" w:hAnsi="仿宋" w:eastAsia="仿宋" w:cs="仿宋"/>
          <w:sz w:val="24"/>
          <w:szCs w:val="24"/>
        </w:rPr>
      </w:pPr>
      <w:r>
        <w:rPr>
          <w:rFonts w:hint="eastAsia" w:ascii="仿宋" w:hAnsi="仿宋" w:eastAsia="仿宋" w:cs="仿宋"/>
          <w:b/>
          <w:bCs/>
          <w:sz w:val="24"/>
          <w:szCs w:val="24"/>
        </w:rPr>
        <w:t>十一、</w:t>
      </w:r>
      <w:r>
        <w:rPr>
          <w:rFonts w:hint="eastAsia" w:ascii="仿宋" w:hAnsi="仿宋" w:eastAsia="仿宋" w:cs="仿宋"/>
          <w:sz w:val="24"/>
          <w:szCs w:val="24"/>
        </w:rPr>
        <w:t>合同期内，未尽事宜，双方可根据服务需要，另立补充协议，补充协议是本合同的重要组成部分，具有同等法律效力。</w:t>
      </w:r>
    </w:p>
    <w:p>
      <w:pPr>
        <w:autoSpaceDE w:val="0"/>
        <w:autoSpaceDN w:val="0"/>
        <w:adjustRightInd w:val="0"/>
        <w:spacing w:line="336" w:lineRule="auto"/>
        <w:ind w:firstLine="645"/>
        <w:rPr>
          <w:rFonts w:hint="eastAsia" w:ascii="仿宋" w:hAnsi="仿宋" w:eastAsia="仿宋" w:cs="仿宋"/>
          <w:bCs/>
          <w:sz w:val="24"/>
        </w:rPr>
      </w:pPr>
      <w:r>
        <w:rPr>
          <w:rFonts w:hint="eastAsia" w:ascii="仿宋" w:hAnsi="仿宋" w:eastAsia="仿宋" w:cs="仿宋"/>
          <w:bCs/>
          <w:sz w:val="24"/>
        </w:rPr>
        <w:t>（合同的服务承诺则长期有效）。</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5"/>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jc w:val="center"/>
              <w:rPr>
                <w:rFonts w:hint="eastAsia" w:ascii="仿宋" w:hAnsi="仿宋" w:eastAsia="仿宋" w:cs="仿宋"/>
                <w:bCs/>
                <w:sz w:val="24"/>
              </w:rPr>
            </w:pPr>
            <w:r>
              <w:rPr>
                <w:rFonts w:hint="eastAsia" w:ascii="仿宋" w:hAnsi="仿宋" w:eastAsia="仿宋" w:cs="仿宋"/>
                <w:bCs/>
                <w:sz w:val="24"/>
              </w:rPr>
              <w:t>甲  方</w:t>
            </w:r>
          </w:p>
        </w:tc>
        <w:tc>
          <w:tcPr>
            <w:tcW w:w="2498" w:type="pct"/>
          </w:tcPr>
          <w:p>
            <w:pPr>
              <w:spacing w:line="420" w:lineRule="exact"/>
              <w:jc w:val="center"/>
              <w:rPr>
                <w:rFonts w:hint="eastAsia" w:ascii="仿宋" w:hAnsi="仿宋" w:eastAsia="仿宋" w:cs="仿宋"/>
                <w:bCs/>
                <w:sz w:val="24"/>
              </w:rPr>
            </w:pPr>
            <w:r>
              <w:rPr>
                <w:rFonts w:hint="eastAsia" w:ascii="仿宋" w:hAnsi="仿宋" w:eastAsia="仿宋" w:cs="仿宋"/>
                <w:bCs/>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2501" w:type="pct"/>
            <w:vAlign w:val="center"/>
          </w:tcPr>
          <w:p>
            <w:pPr>
              <w:spacing w:line="420" w:lineRule="exact"/>
              <w:jc w:val="center"/>
              <w:rPr>
                <w:rFonts w:hint="eastAsia" w:ascii="仿宋" w:hAnsi="仿宋" w:eastAsia="仿宋" w:cs="仿宋"/>
                <w:bCs/>
                <w:sz w:val="24"/>
              </w:rPr>
            </w:pPr>
          </w:p>
          <w:p>
            <w:pPr>
              <w:spacing w:line="420" w:lineRule="exact"/>
              <w:jc w:val="center"/>
              <w:rPr>
                <w:rFonts w:hint="eastAsia" w:ascii="仿宋" w:hAnsi="仿宋" w:eastAsia="仿宋" w:cs="仿宋"/>
                <w:bCs/>
                <w:sz w:val="24"/>
              </w:rPr>
            </w:pPr>
          </w:p>
          <w:p>
            <w:pPr>
              <w:spacing w:line="420" w:lineRule="exact"/>
              <w:rPr>
                <w:rFonts w:hint="eastAsia" w:ascii="仿宋" w:hAnsi="仿宋" w:eastAsia="仿宋" w:cs="仿宋"/>
                <w:bCs/>
                <w:sz w:val="24"/>
              </w:rPr>
            </w:pPr>
          </w:p>
          <w:p>
            <w:pPr>
              <w:pStyle w:val="11"/>
              <w:rPr>
                <w:rFonts w:hint="eastAsia" w:ascii="仿宋" w:hAnsi="仿宋" w:eastAsia="仿宋" w:cs="仿宋"/>
              </w:rPr>
            </w:pPr>
          </w:p>
          <w:p>
            <w:pPr>
              <w:spacing w:line="420" w:lineRule="exact"/>
              <w:jc w:val="center"/>
              <w:rPr>
                <w:rFonts w:hint="eastAsia" w:ascii="仿宋" w:hAnsi="仿宋" w:eastAsia="仿宋" w:cs="仿宋"/>
                <w:bCs/>
                <w:sz w:val="24"/>
              </w:rPr>
            </w:pPr>
            <w:r>
              <w:rPr>
                <w:rFonts w:hint="eastAsia" w:ascii="仿宋" w:hAnsi="仿宋" w:eastAsia="仿宋" w:cs="仿宋"/>
                <w:bCs/>
                <w:sz w:val="24"/>
              </w:rPr>
              <w:t>（盖章）</w:t>
            </w:r>
          </w:p>
        </w:tc>
        <w:tc>
          <w:tcPr>
            <w:tcW w:w="2498" w:type="pct"/>
            <w:vAlign w:val="center"/>
          </w:tcPr>
          <w:p>
            <w:pPr>
              <w:spacing w:line="420" w:lineRule="exact"/>
              <w:jc w:val="center"/>
              <w:rPr>
                <w:rFonts w:hint="eastAsia" w:ascii="仿宋" w:hAnsi="仿宋" w:eastAsia="仿宋" w:cs="仿宋"/>
                <w:bCs/>
                <w:sz w:val="24"/>
              </w:rPr>
            </w:pPr>
          </w:p>
          <w:p>
            <w:pPr>
              <w:spacing w:line="420" w:lineRule="exact"/>
              <w:jc w:val="center"/>
              <w:rPr>
                <w:rFonts w:hint="eastAsia" w:ascii="仿宋" w:hAnsi="仿宋" w:eastAsia="仿宋" w:cs="仿宋"/>
                <w:bCs/>
                <w:sz w:val="24"/>
              </w:rPr>
            </w:pPr>
          </w:p>
          <w:p>
            <w:pPr>
              <w:spacing w:line="420" w:lineRule="exact"/>
              <w:jc w:val="center"/>
              <w:rPr>
                <w:rFonts w:hint="eastAsia" w:ascii="仿宋" w:hAnsi="仿宋" w:eastAsia="仿宋" w:cs="仿宋"/>
                <w:bCs/>
                <w:sz w:val="24"/>
              </w:rPr>
            </w:pPr>
          </w:p>
          <w:p>
            <w:pPr>
              <w:spacing w:line="420" w:lineRule="exact"/>
              <w:jc w:val="center"/>
              <w:rPr>
                <w:rFonts w:hint="eastAsia" w:ascii="仿宋" w:hAnsi="仿宋" w:eastAsia="仿宋" w:cs="仿宋"/>
                <w:bCs/>
                <w:sz w:val="24"/>
              </w:rPr>
            </w:pPr>
          </w:p>
          <w:p>
            <w:pPr>
              <w:spacing w:line="420" w:lineRule="exact"/>
              <w:jc w:val="center"/>
              <w:rPr>
                <w:rFonts w:hint="eastAsia" w:ascii="仿宋" w:hAnsi="仿宋" w:eastAsia="仿宋" w:cs="仿宋"/>
                <w:bCs/>
                <w:sz w:val="24"/>
              </w:rPr>
            </w:pPr>
            <w:r>
              <w:rPr>
                <w:rFonts w:hint="eastAsia" w:ascii="仿宋" w:hAnsi="仿宋" w:eastAsia="仿宋" w:cs="仿宋"/>
                <w:bCs/>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2501" w:type="pct"/>
          </w:tcPr>
          <w:p>
            <w:pPr>
              <w:spacing w:line="420" w:lineRule="exact"/>
              <w:rPr>
                <w:rFonts w:hint="eastAsia" w:ascii="仿宋" w:hAnsi="仿宋" w:eastAsia="仿宋" w:cs="仿宋"/>
              </w:rPr>
            </w:pPr>
            <w:r>
              <w:rPr>
                <w:rFonts w:hint="eastAsia" w:ascii="仿宋" w:hAnsi="仿宋" w:eastAsia="仿宋" w:cs="仿宋"/>
              </w:rPr>
              <w:t>地址：</w:t>
            </w:r>
          </w:p>
          <w:p>
            <w:pPr>
              <w:pStyle w:val="15"/>
              <w:rPr>
                <w:rFonts w:hint="eastAsia" w:ascii="仿宋" w:hAnsi="仿宋" w:eastAsia="仿宋" w:cs="仿宋"/>
                <w:bCs/>
              </w:rPr>
            </w:pPr>
          </w:p>
          <w:p>
            <w:pPr>
              <w:pStyle w:val="15"/>
              <w:rPr>
                <w:rFonts w:hint="eastAsia" w:ascii="仿宋" w:hAnsi="仿宋" w:eastAsia="仿宋" w:cs="仿宋"/>
                <w:bCs/>
              </w:rPr>
            </w:pPr>
          </w:p>
          <w:p>
            <w:pPr>
              <w:pStyle w:val="15"/>
              <w:rPr>
                <w:rFonts w:hint="eastAsia" w:ascii="仿宋" w:hAnsi="仿宋" w:eastAsia="仿宋" w:cs="仿宋"/>
                <w:bCs/>
              </w:rPr>
            </w:pPr>
          </w:p>
          <w:p>
            <w:pPr>
              <w:pStyle w:val="15"/>
              <w:rPr>
                <w:rFonts w:hint="eastAsia" w:ascii="仿宋" w:hAnsi="仿宋" w:eastAsia="仿宋" w:cs="仿宋"/>
                <w:bCs/>
              </w:rPr>
            </w:pP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rPr>
                <w:rFonts w:hint="eastAsia" w:ascii="仿宋" w:hAnsi="仿宋" w:eastAsia="仿宋" w:cs="仿宋"/>
                <w:bCs/>
                <w:sz w:val="24"/>
              </w:rPr>
            </w:pPr>
            <w:r>
              <w:rPr>
                <w:rFonts w:hint="eastAsia" w:ascii="仿宋" w:hAnsi="仿宋" w:eastAsia="仿宋" w:cs="仿宋"/>
                <w:bCs/>
                <w:sz w:val="24"/>
              </w:rPr>
              <w:t>邮编：</w:t>
            </w: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rPr>
                <w:rFonts w:hint="eastAsia" w:ascii="仿宋" w:hAnsi="仿宋" w:eastAsia="仿宋" w:cs="仿宋"/>
                <w:bCs/>
                <w:sz w:val="24"/>
              </w:rPr>
            </w:pPr>
            <w:r>
              <w:rPr>
                <w:rFonts w:hint="eastAsia" w:ascii="仿宋" w:hAnsi="仿宋" w:eastAsia="仿宋" w:cs="仿宋"/>
                <w:bCs/>
                <w:sz w:val="24"/>
              </w:rPr>
              <w:t xml:space="preserve">法定代表人： </w:t>
            </w: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01" w:type="pct"/>
          </w:tcPr>
          <w:p>
            <w:pPr>
              <w:spacing w:line="420" w:lineRule="exact"/>
              <w:rPr>
                <w:rFonts w:hint="eastAsia" w:ascii="仿宋" w:hAnsi="仿宋" w:eastAsia="仿宋" w:cs="仿宋"/>
                <w:bCs/>
                <w:sz w:val="24"/>
              </w:rPr>
            </w:pPr>
            <w:r>
              <w:rPr>
                <w:rFonts w:hint="eastAsia" w:ascii="仿宋" w:hAnsi="仿宋" w:eastAsia="仿宋" w:cs="仿宋"/>
                <w:bCs/>
                <w:sz w:val="24"/>
              </w:rPr>
              <w:t>被授权代表：</w:t>
            </w: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被授权代表：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501" w:type="pct"/>
          </w:tcPr>
          <w:p>
            <w:pPr>
              <w:spacing w:line="420" w:lineRule="exact"/>
              <w:rPr>
                <w:rFonts w:hint="eastAsia" w:ascii="仿宋" w:hAnsi="仿宋" w:eastAsia="仿宋" w:cs="仿宋"/>
                <w:bCs/>
                <w:sz w:val="24"/>
              </w:rPr>
            </w:pPr>
            <w:r>
              <w:rPr>
                <w:rFonts w:hint="eastAsia" w:ascii="仿宋" w:hAnsi="仿宋" w:eastAsia="仿宋" w:cs="仿宋"/>
                <w:bCs/>
                <w:sz w:val="24"/>
              </w:rPr>
              <w:t>电话：</w:t>
            </w: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2501" w:type="pct"/>
          </w:tcPr>
          <w:p>
            <w:pPr>
              <w:spacing w:line="420" w:lineRule="exact"/>
              <w:rPr>
                <w:rFonts w:hint="eastAsia" w:ascii="仿宋" w:hAnsi="仿宋" w:eastAsia="仿宋" w:cs="仿宋"/>
              </w:rPr>
            </w:pPr>
          </w:p>
          <w:p>
            <w:pPr>
              <w:pStyle w:val="15"/>
              <w:rPr>
                <w:rFonts w:hint="eastAsia" w:ascii="仿宋" w:hAnsi="仿宋" w:eastAsia="仿宋" w:cs="仿宋"/>
                <w:bCs/>
              </w:rPr>
            </w:pPr>
          </w:p>
          <w:p>
            <w:pPr>
              <w:pStyle w:val="15"/>
              <w:rPr>
                <w:rFonts w:hint="eastAsia" w:ascii="仿宋" w:hAnsi="仿宋" w:eastAsia="仿宋" w:cs="仿宋"/>
                <w:bCs/>
              </w:rPr>
            </w:pP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01" w:type="pct"/>
          </w:tcPr>
          <w:p>
            <w:pPr>
              <w:spacing w:line="420" w:lineRule="exact"/>
              <w:rPr>
                <w:rFonts w:hint="eastAsia" w:ascii="仿宋" w:hAnsi="仿宋" w:eastAsia="仿宋" w:cs="仿宋"/>
                <w:bCs/>
                <w:sz w:val="24"/>
              </w:rPr>
            </w:pPr>
            <w:r>
              <w:rPr>
                <w:rFonts w:hint="eastAsia" w:ascii="仿宋" w:hAnsi="仿宋" w:eastAsia="仿宋" w:cs="仿宋"/>
                <w:bCs/>
                <w:sz w:val="24"/>
              </w:rPr>
              <w:t>日期：     年   月   日</w:t>
            </w:r>
          </w:p>
        </w:tc>
        <w:tc>
          <w:tcPr>
            <w:tcW w:w="2498" w:type="pct"/>
          </w:tcPr>
          <w:p>
            <w:pPr>
              <w:spacing w:line="420" w:lineRule="exact"/>
              <w:rPr>
                <w:rFonts w:hint="eastAsia" w:ascii="仿宋" w:hAnsi="仿宋" w:eastAsia="仿宋" w:cs="仿宋"/>
                <w:bCs/>
                <w:sz w:val="24"/>
              </w:rPr>
            </w:pPr>
            <w:r>
              <w:rPr>
                <w:rFonts w:hint="eastAsia" w:ascii="仿宋" w:hAnsi="仿宋" w:eastAsia="仿宋" w:cs="仿宋"/>
                <w:bCs/>
                <w:sz w:val="24"/>
              </w:rPr>
              <w:t>日期：     年   月   日</w:t>
            </w:r>
          </w:p>
        </w:tc>
      </w:tr>
    </w:tbl>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tabs>
          <w:tab w:val="left" w:pos="840"/>
        </w:tabs>
        <w:kinsoku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 五 部 分  投标文件格式</w:t>
      </w:r>
    </w:p>
    <w:p>
      <w:pPr>
        <w:spacing w:line="360" w:lineRule="atLeast"/>
        <w:ind w:firstLine="6887" w:firstLineChars="2450"/>
        <w:rPr>
          <w:rFonts w:hint="eastAsia" w:ascii="仿宋" w:hAnsi="仿宋" w:eastAsia="仿宋" w:cs="仿宋"/>
          <w:b/>
          <w:color w:val="auto"/>
          <w:sz w:val="28"/>
          <w:szCs w:val="28"/>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lang w:val="zh-CN"/>
        </w:rPr>
        <w:t>投标人应严格按照本格式要求编制投标文件，</w:t>
      </w:r>
      <w:r>
        <w:rPr>
          <w:rFonts w:hint="eastAsia" w:ascii="仿宋" w:hAnsi="仿宋" w:eastAsia="仿宋" w:cs="仿宋"/>
          <w:color w:val="auto"/>
          <w:sz w:val="24"/>
          <w:highlight w:val="none"/>
        </w:rPr>
        <w:t>编制投标文件前，请详细阅读招标文件，理解文件中的每一项要求。全部编制完成，并加盖公章后，</w:t>
      </w:r>
      <w:r>
        <w:rPr>
          <w:rFonts w:hint="eastAsia" w:ascii="仿宋" w:hAnsi="仿宋" w:eastAsia="仿宋" w:cs="仿宋"/>
          <w:bCs/>
          <w:color w:val="auto"/>
          <w:kern w:val="0"/>
          <w:sz w:val="24"/>
          <w:highlight w:val="none"/>
          <w:lang w:val="zh-CN"/>
        </w:rPr>
        <w:t>编制相应页码，胶装成册，按规定分别封装（每一项内容必须在目录中注明具体页码，便于评标委员会评审）。</w:t>
      </w:r>
      <w:r>
        <w:rPr>
          <w:rFonts w:hint="eastAsia" w:ascii="仿宋" w:hAnsi="仿宋" w:eastAsia="仿宋" w:cs="仿宋"/>
          <w:color w:val="auto"/>
          <w:sz w:val="24"/>
          <w:highlight w:val="none"/>
        </w:rPr>
        <w:br w:type="page"/>
      </w:r>
    </w:p>
    <w:p>
      <w:pPr>
        <w:spacing w:line="57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JRZC-2022072</w:t>
      </w:r>
      <w:r>
        <w:rPr>
          <w:rFonts w:hint="eastAsia" w:ascii="仿宋" w:hAnsi="仿宋" w:eastAsia="仿宋" w:cs="仿宋"/>
          <w:b/>
          <w:bCs/>
          <w:color w:val="auto"/>
          <w:sz w:val="28"/>
          <w:szCs w:val="28"/>
          <w:highlight w:val="none"/>
        </w:rPr>
        <w:t xml:space="preserve"> </w:t>
      </w:r>
    </w:p>
    <w:p>
      <w:pPr>
        <w:spacing w:line="360" w:lineRule="atLeast"/>
        <w:rPr>
          <w:rFonts w:hint="eastAsia" w:ascii="仿宋" w:hAnsi="仿宋" w:eastAsia="仿宋" w:cs="仿宋"/>
          <w:b/>
          <w:color w:val="auto"/>
          <w:sz w:val="28"/>
          <w:szCs w:val="28"/>
          <w:highlight w:val="none"/>
        </w:rPr>
      </w:pPr>
    </w:p>
    <w:p>
      <w:pPr>
        <w:spacing w:line="360" w:lineRule="atLeast"/>
        <w:ind w:firstLine="6887" w:firstLineChars="2450"/>
        <w:rPr>
          <w:rFonts w:hint="eastAsia" w:ascii="仿宋" w:hAnsi="仿宋" w:eastAsia="仿宋" w:cs="仿宋"/>
          <w:color w:val="auto"/>
          <w:szCs w:val="21"/>
          <w:highlight w:val="none"/>
        </w:rPr>
      </w:pPr>
      <w:r>
        <w:rPr>
          <w:rFonts w:hint="eastAsia" w:ascii="仿宋" w:hAnsi="仿宋" w:eastAsia="仿宋" w:cs="仿宋"/>
          <w:b/>
          <w:color w:val="auto"/>
          <w:sz w:val="28"/>
          <w:szCs w:val="28"/>
          <w:highlight w:val="none"/>
        </w:rPr>
        <w:t>（正本或副本）</w:t>
      </w:r>
    </w:p>
    <w:p>
      <w:pPr>
        <w:pStyle w:val="15"/>
        <w:spacing w:line="480" w:lineRule="auto"/>
        <w:ind w:firstLine="0"/>
        <w:jc w:val="center"/>
        <w:rPr>
          <w:rFonts w:hint="eastAsia" w:ascii="仿宋" w:hAnsi="仿宋" w:eastAsia="仿宋" w:cs="仿宋"/>
          <w:b/>
          <w:bCs/>
          <w:color w:val="auto"/>
          <w:sz w:val="48"/>
          <w:szCs w:val="48"/>
          <w:highlight w:val="none"/>
        </w:rPr>
      </w:pPr>
    </w:p>
    <w:p>
      <w:pPr>
        <w:pStyle w:val="15"/>
        <w:spacing w:line="600" w:lineRule="auto"/>
        <w:ind w:firstLine="0"/>
        <w:jc w:val="center"/>
        <w:rPr>
          <w:rFonts w:hint="eastAsia" w:ascii="仿宋" w:hAnsi="仿宋" w:eastAsia="仿宋" w:cs="仿宋"/>
          <w:color w:val="auto"/>
          <w:sz w:val="52"/>
          <w:szCs w:val="52"/>
          <w:highlight w:val="none"/>
          <w:lang w:eastAsia="zh-CN"/>
        </w:rPr>
      </w:pPr>
      <w:r>
        <w:rPr>
          <w:rFonts w:hint="eastAsia" w:ascii="仿宋" w:hAnsi="仿宋" w:eastAsia="仿宋" w:cs="仿宋"/>
          <w:b/>
          <w:bCs/>
          <w:color w:val="auto"/>
          <w:sz w:val="48"/>
          <w:szCs w:val="48"/>
          <w:highlight w:val="none"/>
          <w:lang w:eastAsia="zh-CN"/>
        </w:rPr>
        <w:t>延安中学远程互动教室采购项目（二次）</w:t>
      </w:r>
    </w:p>
    <w:p>
      <w:pPr>
        <w:pStyle w:val="15"/>
        <w:ind w:firstLine="0"/>
        <w:rPr>
          <w:rFonts w:hint="eastAsia" w:ascii="仿宋" w:hAnsi="仿宋" w:eastAsia="仿宋" w:cs="仿宋"/>
          <w:color w:val="auto"/>
          <w:sz w:val="52"/>
          <w:szCs w:val="52"/>
          <w:highlight w:val="none"/>
        </w:rPr>
      </w:pPr>
    </w:p>
    <w:p>
      <w:pPr>
        <w:pStyle w:val="15"/>
        <w:ind w:firstLine="0"/>
        <w:rPr>
          <w:rFonts w:hint="eastAsia" w:ascii="仿宋" w:hAnsi="仿宋" w:eastAsia="仿宋" w:cs="仿宋"/>
          <w:color w:val="auto"/>
          <w:sz w:val="52"/>
          <w:szCs w:val="52"/>
          <w:highlight w:val="none"/>
        </w:rPr>
      </w:pPr>
    </w:p>
    <w:p>
      <w:pPr>
        <w:spacing w:line="880" w:lineRule="exact"/>
        <w:jc w:val="center"/>
        <w:rPr>
          <w:rFonts w:hint="eastAsia" w:ascii="仿宋" w:hAnsi="仿宋" w:eastAsia="仿宋" w:cs="仿宋"/>
          <w:b/>
          <w:color w:val="auto"/>
          <w:spacing w:val="4"/>
          <w:sz w:val="72"/>
          <w:szCs w:val="72"/>
          <w:highlight w:val="none"/>
        </w:rPr>
      </w:pPr>
    </w:p>
    <w:p>
      <w:pPr>
        <w:spacing w:line="880" w:lineRule="exact"/>
        <w:jc w:val="center"/>
        <w:rPr>
          <w:rFonts w:hint="eastAsia" w:ascii="仿宋" w:hAnsi="仿宋" w:eastAsia="仿宋" w:cs="仿宋"/>
          <w:b/>
          <w:color w:val="auto"/>
          <w:spacing w:val="4"/>
          <w:sz w:val="72"/>
          <w:szCs w:val="72"/>
          <w:highlight w:val="none"/>
        </w:rPr>
      </w:pPr>
      <w:r>
        <w:rPr>
          <w:rFonts w:hint="eastAsia" w:ascii="仿宋" w:hAnsi="仿宋" w:eastAsia="仿宋" w:cs="仿宋"/>
          <w:b/>
          <w:color w:val="auto"/>
          <w:spacing w:val="4"/>
          <w:sz w:val="72"/>
          <w:szCs w:val="72"/>
          <w:highlight w:val="none"/>
        </w:rPr>
        <w:t>投 标 文 件</w:t>
      </w:r>
    </w:p>
    <w:p>
      <w:pPr>
        <w:spacing w:line="240" w:lineRule="auto"/>
        <w:ind w:firstLine="2811" w:firstLineChars="1000"/>
        <w:rPr>
          <w:rFonts w:hint="eastAsia" w:ascii="仿宋" w:hAnsi="仿宋" w:eastAsia="仿宋" w:cs="仿宋"/>
          <w:b/>
          <w:bCs/>
          <w:color w:val="auto"/>
          <w:sz w:val="28"/>
          <w:szCs w:val="28"/>
          <w:highlight w:val="none"/>
        </w:rPr>
      </w:pPr>
    </w:p>
    <w:p>
      <w:pPr>
        <w:spacing w:line="540" w:lineRule="exact"/>
        <w:jc w:val="center"/>
        <w:rPr>
          <w:rFonts w:hint="eastAsia" w:ascii="仿宋" w:hAnsi="仿宋" w:eastAsia="仿宋" w:cs="仿宋"/>
          <w:b/>
          <w:bCs/>
          <w:color w:val="auto"/>
          <w:spacing w:val="20"/>
          <w:sz w:val="32"/>
          <w:szCs w:val="32"/>
          <w:highlight w:val="none"/>
        </w:rPr>
      </w:pPr>
    </w:p>
    <w:p>
      <w:pPr>
        <w:spacing w:line="540" w:lineRule="exact"/>
        <w:rPr>
          <w:rFonts w:hint="eastAsia" w:ascii="仿宋" w:hAnsi="仿宋" w:eastAsia="仿宋" w:cs="仿宋"/>
          <w:b/>
          <w:bCs/>
          <w:color w:val="auto"/>
          <w:spacing w:val="20"/>
          <w:sz w:val="32"/>
          <w:szCs w:val="32"/>
          <w:highlight w:val="none"/>
        </w:rPr>
      </w:pPr>
    </w:p>
    <w:p>
      <w:pPr>
        <w:pStyle w:val="15"/>
        <w:rPr>
          <w:rFonts w:hint="eastAsia" w:ascii="仿宋" w:hAnsi="仿宋" w:eastAsia="仿宋" w:cs="仿宋"/>
          <w:color w:val="auto"/>
          <w:highlight w:val="none"/>
        </w:rPr>
      </w:pPr>
    </w:p>
    <w:p>
      <w:pPr>
        <w:pStyle w:val="15"/>
        <w:ind w:firstLine="0"/>
        <w:rPr>
          <w:rFonts w:hint="eastAsia" w:ascii="仿宋" w:hAnsi="仿宋" w:eastAsia="仿宋" w:cs="仿宋"/>
          <w:color w:val="auto"/>
          <w:highlight w:val="none"/>
        </w:rPr>
      </w:pPr>
    </w:p>
    <w:p>
      <w:pPr>
        <w:spacing w:line="540" w:lineRule="exact"/>
        <w:ind w:firstLine="167" w:firstLineChars="49"/>
        <w:rPr>
          <w:rFonts w:hint="eastAsia" w:ascii="仿宋" w:hAnsi="仿宋" w:eastAsia="仿宋" w:cs="仿宋"/>
          <w:b/>
          <w:bCs/>
          <w:color w:val="auto"/>
          <w:spacing w:val="20"/>
          <w:sz w:val="30"/>
          <w:szCs w:val="30"/>
          <w:highlight w:val="none"/>
        </w:rPr>
      </w:pPr>
      <w:r>
        <w:rPr>
          <w:rFonts w:hint="eastAsia" w:ascii="仿宋" w:hAnsi="仿宋" w:eastAsia="仿宋" w:cs="仿宋"/>
          <w:b/>
          <w:bCs/>
          <w:color w:val="auto"/>
          <w:spacing w:val="20"/>
          <w:sz w:val="30"/>
          <w:szCs w:val="30"/>
          <w:highlight w:val="none"/>
        </w:rPr>
        <w:t>供   应  商：</w:t>
      </w:r>
      <w:r>
        <w:rPr>
          <w:rFonts w:hint="eastAsia" w:ascii="仿宋" w:hAnsi="仿宋" w:eastAsia="仿宋" w:cs="仿宋"/>
          <w:b/>
          <w:bCs/>
          <w:color w:val="auto"/>
          <w:spacing w:val="20"/>
          <w:sz w:val="30"/>
          <w:szCs w:val="30"/>
          <w:highlight w:val="none"/>
          <w:u w:val="single"/>
        </w:rPr>
        <w:t xml:space="preserve">                     </w:t>
      </w:r>
      <w:r>
        <w:rPr>
          <w:rFonts w:hint="eastAsia" w:ascii="仿宋" w:hAnsi="仿宋" w:eastAsia="仿宋" w:cs="仿宋"/>
          <w:b/>
          <w:bCs/>
          <w:color w:val="auto"/>
          <w:spacing w:val="20"/>
          <w:sz w:val="30"/>
          <w:szCs w:val="30"/>
          <w:highlight w:val="none"/>
        </w:rPr>
        <w:t>（盖单位公章）</w:t>
      </w:r>
    </w:p>
    <w:p>
      <w:pPr>
        <w:spacing w:line="540" w:lineRule="exact"/>
        <w:ind w:firstLine="167" w:firstLineChars="49"/>
        <w:rPr>
          <w:rFonts w:hint="eastAsia" w:ascii="仿宋" w:hAnsi="仿宋" w:eastAsia="仿宋" w:cs="仿宋"/>
          <w:b/>
          <w:bCs/>
          <w:color w:val="auto"/>
          <w:spacing w:val="20"/>
          <w:sz w:val="30"/>
          <w:szCs w:val="30"/>
          <w:highlight w:val="none"/>
        </w:rPr>
      </w:pPr>
      <w:r>
        <w:rPr>
          <w:rFonts w:hint="eastAsia" w:ascii="仿宋" w:hAnsi="仿宋" w:eastAsia="仿宋" w:cs="仿宋"/>
          <w:b/>
          <w:bCs/>
          <w:color w:val="auto"/>
          <w:spacing w:val="20"/>
          <w:sz w:val="30"/>
          <w:szCs w:val="30"/>
          <w:highlight w:val="none"/>
        </w:rPr>
        <w:t>法定代表人或</w:t>
      </w:r>
    </w:p>
    <w:p>
      <w:pPr>
        <w:spacing w:line="540" w:lineRule="exact"/>
        <w:ind w:firstLine="167" w:firstLineChars="49"/>
        <w:rPr>
          <w:rFonts w:hint="eastAsia" w:ascii="仿宋" w:hAnsi="仿宋" w:eastAsia="仿宋" w:cs="仿宋"/>
          <w:b/>
          <w:bCs/>
          <w:color w:val="auto"/>
          <w:spacing w:val="20"/>
          <w:sz w:val="30"/>
          <w:szCs w:val="30"/>
          <w:highlight w:val="none"/>
        </w:rPr>
      </w:pPr>
      <w:r>
        <w:rPr>
          <w:rFonts w:hint="eastAsia" w:ascii="仿宋" w:hAnsi="仿宋" w:eastAsia="仿宋" w:cs="仿宋"/>
          <w:b/>
          <w:bCs/>
          <w:color w:val="auto"/>
          <w:spacing w:val="20"/>
          <w:sz w:val="30"/>
          <w:szCs w:val="30"/>
          <w:highlight w:val="none"/>
        </w:rPr>
        <w:t>其委托代理人：</w:t>
      </w:r>
      <w:r>
        <w:rPr>
          <w:rFonts w:hint="eastAsia" w:ascii="仿宋" w:hAnsi="仿宋" w:eastAsia="仿宋" w:cs="仿宋"/>
          <w:b/>
          <w:bCs/>
          <w:color w:val="auto"/>
          <w:spacing w:val="20"/>
          <w:sz w:val="30"/>
          <w:szCs w:val="30"/>
          <w:highlight w:val="none"/>
          <w:u w:val="single"/>
        </w:rPr>
        <w:t xml:space="preserve">                    </w:t>
      </w:r>
      <w:r>
        <w:rPr>
          <w:rFonts w:hint="eastAsia" w:ascii="仿宋" w:hAnsi="仿宋" w:eastAsia="仿宋" w:cs="仿宋"/>
          <w:b/>
          <w:bCs/>
          <w:color w:val="auto"/>
          <w:spacing w:val="20"/>
          <w:sz w:val="30"/>
          <w:szCs w:val="30"/>
          <w:highlight w:val="none"/>
        </w:rPr>
        <w:t xml:space="preserve"> （签字或盖章）</w:t>
      </w:r>
    </w:p>
    <w:p>
      <w:pPr>
        <w:spacing w:line="540" w:lineRule="exact"/>
        <w:ind w:firstLine="167" w:firstLineChars="49"/>
        <w:rPr>
          <w:rFonts w:hint="eastAsia" w:ascii="仿宋" w:hAnsi="仿宋" w:eastAsia="仿宋" w:cs="仿宋"/>
          <w:b/>
          <w:bCs/>
          <w:color w:val="auto"/>
          <w:spacing w:val="20"/>
          <w:sz w:val="30"/>
          <w:szCs w:val="30"/>
          <w:highlight w:val="none"/>
        </w:rPr>
      </w:pPr>
      <w:r>
        <w:rPr>
          <w:rFonts w:hint="eastAsia" w:ascii="仿宋" w:hAnsi="仿宋" w:eastAsia="仿宋" w:cs="仿宋"/>
          <w:b/>
          <w:bCs/>
          <w:color w:val="auto"/>
          <w:spacing w:val="20"/>
          <w:sz w:val="30"/>
          <w:szCs w:val="30"/>
          <w:highlight w:val="none"/>
        </w:rPr>
        <w:t>日       期：</w:t>
      </w:r>
      <w:r>
        <w:rPr>
          <w:rFonts w:hint="eastAsia" w:ascii="仿宋" w:hAnsi="仿宋" w:eastAsia="仿宋" w:cs="仿宋"/>
          <w:b/>
          <w:bCs/>
          <w:color w:val="auto"/>
          <w:spacing w:val="20"/>
          <w:sz w:val="30"/>
          <w:szCs w:val="30"/>
          <w:highlight w:val="none"/>
          <w:u w:val="single"/>
        </w:rPr>
        <w:t xml:space="preserve">      </w:t>
      </w:r>
      <w:r>
        <w:rPr>
          <w:rFonts w:hint="eastAsia" w:ascii="仿宋" w:hAnsi="仿宋" w:eastAsia="仿宋" w:cs="仿宋"/>
          <w:b/>
          <w:bCs/>
          <w:color w:val="auto"/>
          <w:spacing w:val="20"/>
          <w:sz w:val="30"/>
          <w:szCs w:val="30"/>
          <w:highlight w:val="none"/>
        </w:rPr>
        <w:t>年</w:t>
      </w:r>
      <w:r>
        <w:rPr>
          <w:rFonts w:hint="eastAsia" w:ascii="仿宋" w:hAnsi="仿宋" w:eastAsia="仿宋" w:cs="仿宋"/>
          <w:b/>
          <w:bCs/>
          <w:color w:val="auto"/>
          <w:spacing w:val="20"/>
          <w:sz w:val="30"/>
          <w:szCs w:val="30"/>
          <w:highlight w:val="none"/>
          <w:u w:val="single"/>
        </w:rPr>
        <w:t xml:space="preserve">     </w:t>
      </w:r>
      <w:r>
        <w:rPr>
          <w:rFonts w:hint="eastAsia" w:ascii="仿宋" w:hAnsi="仿宋" w:eastAsia="仿宋" w:cs="仿宋"/>
          <w:b/>
          <w:bCs/>
          <w:color w:val="auto"/>
          <w:spacing w:val="20"/>
          <w:sz w:val="30"/>
          <w:szCs w:val="30"/>
          <w:highlight w:val="none"/>
        </w:rPr>
        <w:t>月</w:t>
      </w:r>
      <w:r>
        <w:rPr>
          <w:rFonts w:hint="eastAsia" w:ascii="仿宋" w:hAnsi="仿宋" w:eastAsia="仿宋" w:cs="仿宋"/>
          <w:b/>
          <w:bCs/>
          <w:color w:val="auto"/>
          <w:spacing w:val="20"/>
          <w:sz w:val="30"/>
          <w:szCs w:val="30"/>
          <w:highlight w:val="none"/>
          <w:u w:val="single"/>
        </w:rPr>
        <w:t xml:space="preserve">     </w:t>
      </w:r>
      <w:r>
        <w:rPr>
          <w:rFonts w:hint="eastAsia" w:ascii="仿宋" w:hAnsi="仿宋" w:eastAsia="仿宋" w:cs="仿宋"/>
          <w:b/>
          <w:bCs/>
          <w:color w:val="auto"/>
          <w:spacing w:val="20"/>
          <w:sz w:val="30"/>
          <w:szCs w:val="30"/>
          <w:highlight w:val="none"/>
        </w:rPr>
        <w:t>日</w:t>
      </w:r>
    </w:p>
    <w:p>
      <w:pPr>
        <w:spacing w:line="360" w:lineRule="atLeast"/>
        <w:jc w:val="center"/>
        <w:rPr>
          <w:rFonts w:hint="eastAsia" w:ascii="仿宋" w:hAnsi="仿宋" w:eastAsia="仿宋" w:cs="仿宋"/>
          <w:b/>
          <w:color w:val="auto"/>
          <w:sz w:val="44"/>
          <w:szCs w:val="44"/>
          <w:highlight w:val="none"/>
        </w:rPr>
      </w:pPr>
    </w:p>
    <w:p>
      <w:pPr>
        <w:spacing w:line="360" w:lineRule="atLeast"/>
        <w:jc w:val="center"/>
        <w:rPr>
          <w:rFonts w:hint="eastAsia" w:ascii="仿宋" w:hAnsi="仿宋" w:eastAsia="仿宋" w:cs="仿宋"/>
          <w:b/>
          <w:color w:val="auto"/>
          <w:sz w:val="44"/>
          <w:szCs w:val="44"/>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spacing w:line="360" w:lineRule="atLeas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pPr>
        <w:spacing w:line="360" w:lineRule="atLeast"/>
        <w:rPr>
          <w:rFonts w:hint="eastAsia" w:ascii="仿宋" w:hAnsi="仿宋" w:eastAsia="仿宋" w:cs="仿宋"/>
          <w:color w:val="auto"/>
          <w:highlight w:val="none"/>
        </w:rPr>
      </w:pPr>
    </w:p>
    <w:p>
      <w:pPr>
        <w:pStyle w:val="10"/>
        <w:spacing w:line="480" w:lineRule="auto"/>
        <w:ind w:firstLine="1506" w:firstLineChars="5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第一部分  投标函</w:t>
      </w:r>
    </w:p>
    <w:p>
      <w:pPr>
        <w:spacing w:line="480" w:lineRule="auto"/>
        <w:ind w:firstLine="1506" w:firstLineChars="5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第二部分  开标一览表（报价表）</w:t>
      </w:r>
    </w:p>
    <w:p>
      <w:pPr>
        <w:pStyle w:val="10"/>
        <w:spacing w:line="480" w:lineRule="auto"/>
        <w:ind w:firstLine="3012" w:firstLineChars="10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分项报价表</w:t>
      </w:r>
    </w:p>
    <w:p>
      <w:pPr>
        <w:pStyle w:val="10"/>
        <w:spacing w:line="480" w:lineRule="auto"/>
        <w:ind w:firstLine="3012" w:firstLineChars="10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技术规格响应偏离表</w:t>
      </w:r>
    </w:p>
    <w:p>
      <w:pPr>
        <w:pStyle w:val="10"/>
        <w:spacing w:line="480" w:lineRule="auto"/>
        <w:ind w:firstLine="3012" w:firstLineChars="10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商务及合同主要条款响应说明</w:t>
      </w:r>
    </w:p>
    <w:p>
      <w:pPr>
        <w:pStyle w:val="10"/>
        <w:spacing w:line="480" w:lineRule="auto"/>
        <w:ind w:firstLine="1506" w:firstLineChars="5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第三部分  </w:t>
      </w:r>
      <w:r>
        <w:rPr>
          <w:rFonts w:hint="eastAsia" w:ascii="仿宋" w:hAnsi="仿宋" w:eastAsia="仿宋" w:cs="仿宋"/>
          <w:b/>
          <w:color w:val="auto"/>
          <w:kern w:val="0"/>
          <w:sz w:val="30"/>
          <w:szCs w:val="30"/>
          <w:highlight w:val="none"/>
        </w:rPr>
        <w:t>法定代表人证明书与授权书</w:t>
      </w:r>
    </w:p>
    <w:p>
      <w:pPr>
        <w:pStyle w:val="10"/>
        <w:spacing w:line="480" w:lineRule="auto"/>
        <w:ind w:firstLine="1506" w:firstLineChars="5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第四部分  投标人资质证明文件</w:t>
      </w:r>
    </w:p>
    <w:p>
      <w:pPr>
        <w:spacing w:line="480" w:lineRule="auto"/>
        <w:ind w:firstLine="1506" w:firstLineChars="500"/>
        <w:rPr>
          <w:rFonts w:hint="eastAsia" w:ascii="仿宋" w:hAnsi="仿宋" w:eastAsia="仿宋" w:cs="仿宋"/>
          <w:b/>
          <w:bCs/>
          <w:color w:val="auto"/>
          <w:sz w:val="30"/>
          <w:szCs w:val="30"/>
          <w:highlight w:val="none"/>
        </w:rPr>
      </w:pPr>
      <w:r>
        <w:rPr>
          <w:rFonts w:hint="eastAsia" w:ascii="仿宋" w:hAnsi="仿宋" w:eastAsia="仿宋" w:cs="仿宋"/>
          <w:b/>
          <w:color w:val="auto"/>
          <w:sz w:val="30"/>
          <w:szCs w:val="30"/>
          <w:highlight w:val="none"/>
        </w:rPr>
        <w:t xml:space="preserve">第五部分  </w:t>
      </w:r>
      <w:r>
        <w:rPr>
          <w:rFonts w:hint="eastAsia" w:ascii="仿宋" w:hAnsi="仿宋" w:eastAsia="仿宋" w:cs="仿宋"/>
          <w:b/>
          <w:color w:val="auto"/>
          <w:sz w:val="30"/>
          <w:szCs w:val="30"/>
          <w:highlight w:val="none"/>
          <w:lang w:val="en-US" w:eastAsia="zh-CN"/>
        </w:rPr>
        <w:t>技术响应</w:t>
      </w:r>
      <w:r>
        <w:rPr>
          <w:rFonts w:hint="eastAsia" w:ascii="仿宋" w:hAnsi="仿宋" w:eastAsia="仿宋" w:cs="仿宋"/>
          <w:b/>
          <w:color w:val="auto"/>
          <w:sz w:val="30"/>
          <w:szCs w:val="30"/>
          <w:highlight w:val="none"/>
        </w:rPr>
        <w:t>方案</w:t>
      </w:r>
    </w:p>
    <w:p>
      <w:pPr>
        <w:pStyle w:val="10"/>
        <w:spacing w:line="480" w:lineRule="auto"/>
        <w:ind w:firstLine="1506" w:firstLineChars="5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第六部分  </w:t>
      </w:r>
      <w:r>
        <w:rPr>
          <w:rFonts w:hint="eastAsia" w:ascii="仿宋" w:hAnsi="仿宋" w:eastAsia="仿宋" w:cs="仿宋"/>
          <w:b/>
          <w:bCs/>
          <w:color w:val="auto"/>
          <w:sz w:val="30"/>
          <w:szCs w:val="30"/>
          <w:highlight w:val="none"/>
          <w:lang w:val="en-US" w:eastAsia="zh-CN"/>
        </w:rPr>
        <w:t>商务</w:t>
      </w:r>
      <w:r>
        <w:rPr>
          <w:rFonts w:hint="eastAsia" w:ascii="仿宋" w:hAnsi="仿宋" w:eastAsia="仿宋" w:cs="仿宋"/>
          <w:b/>
          <w:color w:val="auto"/>
          <w:sz w:val="30"/>
          <w:szCs w:val="30"/>
          <w:highlight w:val="none"/>
          <w:lang w:val="en-US" w:eastAsia="zh-CN"/>
        </w:rPr>
        <w:t>响应</w:t>
      </w:r>
      <w:r>
        <w:rPr>
          <w:rFonts w:hint="eastAsia" w:ascii="仿宋" w:hAnsi="仿宋" w:eastAsia="仿宋" w:cs="仿宋"/>
          <w:b/>
          <w:color w:val="auto"/>
          <w:sz w:val="30"/>
          <w:szCs w:val="30"/>
          <w:highlight w:val="none"/>
        </w:rPr>
        <w:t>方案</w:t>
      </w:r>
    </w:p>
    <w:p>
      <w:pPr>
        <w:pStyle w:val="10"/>
        <w:spacing w:line="480" w:lineRule="auto"/>
        <w:ind w:firstLine="1506" w:firstLineChars="5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 xml:space="preserve">第七部分  </w:t>
      </w:r>
      <w:r>
        <w:rPr>
          <w:rFonts w:hint="eastAsia" w:ascii="仿宋" w:hAnsi="仿宋" w:eastAsia="仿宋" w:cs="仿宋"/>
          <w:b/>
          <w:bCs/>
          <w:color w:val="auto"/>
          <w:sz w:val="30"/>
          <w:szCs w:val="30"/>
          <w:highlight w:val="none"/>
          <w:lang w:val="en-US" w:eastAsia="zh-CN"/>
        </w:rPr>
        <w:t>承诺书</w:t>
      </w:r>
    </w:p>
    <w:p>
      <w:pPr>
        <w:pStyle w:val="10"/>
        <w:spacing w:line="480" w:lineRule="auto"/>
        <w:ind w:firstLine="1506" w:firstLineChars="500"/>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val="en-US" w:eastAsia="zh-CN"/>
        </w:rPr>
        <w:t xml:space="preserve">第八部分  </w:t>
      </w:r>
      <w:r>
        <w:rPr>
          <w:rFonts w:hint="eastAsia" w:ascii="仿宋" w:hAnsi="仿宋" w:eastAsia="仿宋" w:cs="仿宋"/>
          <w:b/>
          <w:color w:val="auto"/>
          <w:sz w:val="32"/>
          <w:szCs w:val="32"/>
          <w:highlight w:val="none"/>
          <w:lang w:val="en-US" w:eastAsia="zh-CN"/>
        </w:rPr>
        <w:t>附件</w:t>
      </w:r>
    </w:p>
    <w:p>
      <w:pPr>
        <w:rPr>
          <w:rFonts w:hint="eastAsia" w:ascii="仿宋" w:hAnsi="仿宋" w:eastAsia="仿宋" w:cs="仿宋"/>
          <w:color w:val="auto"/>
          <w:highlight w:val="none"/>
        </w:rPr>
      </w:pPr>
    </w:p>
    <w:p>
      <w:pPr>
        <w:pStyle w:val="7"/>
        <w:rPr>
          <w:rFonts w:hint="eastAsia"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color w:val="auto"/>
          <w:highlight w:val="none"/>
        </w:rPr>
        <w:t>注：投标单位自行编制投标文件目录</w:t>
      </w:r>
    </w:p>
    <w:p>
      <w:pPr>
        <w:pStyle w:val="10"/>
        <w:spacing w:line="500" w:lineRule="exact"/>
        <w:ind w:firstLine="840" w:firstLineChars="279"/>
        <w:rPr>
          <w:rFonts w:hint="eastAsia" w:ascii="仿宋" w:hAnsi="仿宋" w:eastAsia="仿宋" w:cs="仿宋"/>
          <w:b/>
          <w:bCs/>
          <w:color w:val="auto"/>
          <w:sz w:val="30"/>
          <w:szCs w:val="30"/>
          <w:highlight w:val="none"/>
        </w:rPr>
      </w:pPr>
    </w:p>
    <w:p>
      <w:pPr>
        <w:pStyle w:val="10"/>
        <w:spacing w:line="500" w:lineRule="exact"/>
        <w:ind w:firstLine="840" w:firstLineChars="279"/>
        <w:rPr>
          <w:rFonts w:hint="eastAsia" w:ascii="仿宋" w:hAnsi="仿宋" w:eastAsia="仿宋" w:cs="仿宋"/>
          <w:b/>
          <w:bCs/>
          <w:color w:val="auto"/>
          <w:sz w:val="30"/>
          <w:szCs w:val="30"/>
          <w:highlight w:val="none"/>
        </w:rPr>
      </w:pPr>
    </w:p>
    <w:p>
      <w:pPr>
        <w:pStyle w:val="10"/>
        <w:spacing w:line="500" w:lineRule="exact"/>
        <w:ind w:firstLine="840" w:firstLineChars="279"/>
        <w:rPr>
          <w:rFonts w:hint="eastAsia" w:ascii="仿宋" w:hAnsi="仿宋" w:eastAsia="仿宋" w:cs="仿宋"/>
          <w:b/>
          <w:bCs/>
          <w:color w:val="auto"/>
          <w:sz w:val="30"/>
          <w:szCs w:val="30"/>
          <w:highlight w:val="none"/>
        </w:rPr>
      </w:pPr>
    </w:p>
    <w:p>
      <w:pPr>
        <w:pStyle w:val="10"/>
        <w:spacing w:line="500" w:lineRule="exact"/>
        <w:ind w:firstLine="840" w:firstLineChars="279"/>
        <w:rPr>
          <w:rFonts w:hint="eastAsia" w:ascii="仿宋" w:hAnsi="仿宋" w:eastAsia="仿宋" w:cs="仿宋"/>
          <w:b/>
          <w:bCs/>
          <w:color w:val="auto"/>
          <w:sz w:val="30"/>
          <w:szCs w:val="30"/>
          <w:highlight w:val="none"/>
        </w:rPr>
      </w:pP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第一部分   投标函</w:t>
      </w:r>
    </w:p>
    <w:p>
      <w:pPr>
        <w:spacing w:line="440" w:lineRule="exact"/>
        <w:jc w:val="center"/>
        <w:rPr>
          <w:rFonts w:hint="eastAsia" w:ascii="仿宋" w:hAnsi="仿宋" w:eastAsia="仿宋" w:cs="仿宋"/>
          <w:b/>
          <w:color w:val="auto"/>
          <w:sz w:val="2"/>
          <w:szCs w:val="32"/>
          <w:highlight w:val="none"/>
        </w:rPr>
      </w:pPr>
    </w:p>
    <w:p>
      <w:pPr>
        <w:kinsoku w:val="0"/>
        <w:spacing w:line="440" w:lineRule="exact"/>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lang w:eastAsia="zh-CN"/>
        </w:rPr>
        <w:t>陕西炬荣招标代理有限公司</w:t>
      </w:r>
      <w:r>
        <w:rPr>
          <w:rFonts w:hint="eastAsia" w:ascii="仿宋" w:hAnsi="仿宋" w:eastAsia="仿宋" w:cs="仿宋"/>
          <w:color w:val="auto"/>
          <w:spacing w:val="-6"/>
          <w:sz w:val="24"/>
          <w:highlight w:val="none"/>
        </w:rPr>
        <w:t xml:space="preserve"> </w:t>
      </w:r>
      <w:r>
        <w:rPr>
          <w:rFonts w:hint="eastAsia" w:ascii="仿宋" w:hAnsi="仿宋" w:eastAsia="仿宋" w:cs="仿宋"/>
          <w:color w:val="auto"/>
          <w:sz w:val="24"/>
          <w:highlight w:val="none"/>
        </w:rPr>
        <w:t>：</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我公司收到贵单</w:t>
      </w:r>
      <w:r>
        <w:rPr>
          <w:rFonts w:hint="eastAsia" w:ascii="仿宋" w:hAnsi="仿宋" w:eastAsia="仿宋" w:cs="仿宋"/>
          <w:color w:val="auto"/>
          <w:spacing w:val="-6"/>
          <w:sz w:val="24"/>
          <w:highlight w:val="none"/>
        </w:rPr>
        <w:t>位</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z w:val="24"/>
          <w:highlight w:val="none"/>
        </w:rPr>
        <w:t>号招标文件，经详细研究，决定参加本次投标活动为此，我方郑重声明以下几点，并愿负法律责任。</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1.按照招标文件中的一切要求，提供完全满足采购需求的服务和全面技术、售后服务保障；</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2.如若中标，将根据招标文件的要求、投标文件及承诺条件，全面签约并履行合同规定的责任和义务；</w:t>
      </w:r>
    </w:p>
    <w:p>
      <w:pPr>
        <w:spacing w:line="500" w:lineRule="exact"/>
        <w:ind w:left="719" w:leftChars="228" w:hanging="240" w:hanging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3.我方提交的投标文件共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份，其中正本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份，及电子版投标文件（U盘）</w:t>
      </w:r>
    </w:p>
    <w:p>
      <w:pPr>
        <w:spacing w:line="500" w:lineRule="exact"/>
        <w:ind w:left="718" w:leftChars="342"/>
        <w:rPr>
          <w:rFonts w:hint="eastAsia" w:ascii="仿宋" w:hAnsi="仿宋" w:eastAsia="仿宋" w:cs="仿宋"/>
          <w:color w:val="auto"/>
          <w:sz w:val="24"/>
          <w:highlight w:val="none"/>
        </w:rPr>
      </w:pPr>
      <w:r>
        <w:rPr>
          <w:rFonts w:hint="eastAsia" w:ascii="仿宋" w:hAnsi="仿宋" w:eastAsia="仿宋" w:cs="仿宋"/>
          <w:color w:val="auto"/>
          <w:sz w:val="24"/>
          <w:highlight w:val="none"/>
        </w:rPr>
        <w:t>份；</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4.我方按招标文件要求交纳投标保证金为（人民币）：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5.我方已详细阅读和核实全部招标文件内容，完全理解并同意放弃提出含糊不清和误解问题的权力；</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6.同意提供贵方要求的与本次招标有关的任何证明资料；</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7.我方的投标文件在开标大会之日计算有效为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kinsoku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8.所有关于本次投标的函电，请按下列地址、方式联系：</w:t>
      </w:r>
    </w:p>
    <w:p>
      <w:pPr>
        <w:kinsoku w:val="0"/>
        <w:spacing w:line="440" w:lineRule="exact"/>
        <w:ind w:firstLine="8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pPr>
        <w:kinsoku w:val="0"/>
        <w:spacing w:line="440" w:lineRule="exact"/>
        <w:ind w:firstLine="8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kinsoku w:val="0"/>
        <w:spacing w:line="440" w:lineRule="exact"/>
        <w:ind w:firstLine="8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kinsoku w:val="0"/>
        <w:spacing w:line="440" w:lineRule="exact"/>
        <w:ind w:firstLine="8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邮    编：</w:t>
      </w:r>
      <w:r>
        <w:rPr>
          <w:rFonts w:hint="eastAsia" w:ascii="仿宋" w:hAnsi="仿宋" w:eastAsia="仿宋" w:cs="仿宋"/>
          <w:color w:val="auto"/>
          <w:sz w:val="24"/>
          <w:highlight w:val="none"/>
          <w:u w:val="single"/>
        </w:rPr>
        <w:t xml:space="preserve">                        </w:t>
      </w:r>
    </w:p>
    <w:p>
      <w:pPr>
        <w:kinsoku w:val="0"/>
        <w:spacing w:line="440" w:lineRule="exact"/>
        <w:ind w:firstLine="570"/>
        <w:rPr>
          <w:rFonts w:hint="eastAsia" w:ascii="仿宋" w:hAnsi="仿宋" w:eastAsia="仿宋" w:cs="仿宋"/>
          <w:color w:val="auto"/>
          <w:sz w:val="24"/>
          <w:highlight w:val="none"/>
        </w:rPr>
      </w:pPr>
    </w:p>
    <w:p>
      <w:pPr>
        <w:kinsoku w:val="0"/>
        <w:spacing w:line="440" w:lineRule="exact"/>
        <w:ind w:firstLine="808" w:firstLineChars="337"/>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（公章）</w:t>
      </w:r>
    </w:p>
    <w:p>
      <w:pPr>
        <w:kinsoku w:val="0"/>
        <w:spacing w:line="440" w:lineRule="exact"/>
        <w:ind w:firstLine="570"/>
        <w:rPr>
          <w:rFonts w:hint="eastAsia" w:ascii="仿宋" w:hAnsi="仿宋" w:eastAsia="仿宋" w:cs="仿宋"/>
          <w:color w:val="auto"/>
          <w:sz w:val="24"/>
          <w:highlight w:val="none"/>
        </w:rPr>
      </w:pPr>
    </w:p>
    <w:p>
      <w:pPr>
        <w:kinsoku w:val="0"/>
        <w:spacing w:line="440" w:lineRule="exact"/>
        <w:ind w:firstLine="808" w:firstLineChars="337"/>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法定代表人/被授权人（签字或盖章）：</w:t>
      </w:r>
      <w:r>
        <w:rPr>
          <w:rFonts w:hint="eastAsia" w:ascii="仿宋" w:hAnsi="仿宋" w:eastAsia="仿宋" w:cs="仿宋"/>
          <w:color w:val="auto"/>
          <w:sz w:val="24"/>
          <w:highlight w:val="none"/>
          <w:u w:val="single"/>
        </w:rPr>
        <w:t xml:space="preserve">                </w:t>
      </w:r>
    </w:p>
    <w:p>
      <w:pPr>
        <w:kinsoku w:val="0"/>
        <w:spacing w:line="440" w:lineRule="exact"/>
        <w:rPr>
          <w:rFonts w:hint="eastAsia" w:ascii="仿宋" w:hAnsi="仿宋" w:eastAsia="仿宋" w:cs="仿宋"/>
          <w:color w:val="auto"/>
          <w:sz w:val="24"/>
          <w:highlight w:val="none"/>
          <w:u w:val="single"/>
        </w:rPr>
      </w:pPr>
    </w:p>
    <w:p>
      <w:pPr>
        <w:kinsoku w:val="0"/>
        <w:spacing w:line="44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tLeast"/>
        <w:rPr>
          <w:rFonts w:hint="eastAsia" w:ascii="仿宋" w:hAnsi="仿宋" w:eastAsia="仿宋" w:cs="仿宋"/>
          <w:color w:val="auto"/>
          <w:sz w:val="24"/>
          <w:highlight w:val="none"/>
        </w:rPr>
        <w:sectPr>
          <w:pgSz w:w="11906" w:h="16838"/>
          <w:pgMar w:top="1559" w:right="1134" w:bottom="1020" w:left="1321" w:header="851" w:footer="397" w:gutter="0"/>
          <w:pgBorders>
            <w:top w:val="none" w:sz="0" w:space="0"/>
            <w:left w:val="none" w:sz="0" w:space="0"/>
            <w:bottom w:val="none" w:sz="0" w:space="0"/>
            <w:right w:val="none" w:sz="0" w:space="0"/>
          </w:pgBorders>
          <w:pgNumType w:fmt="numberInDash"/>
          <w:cols w:space="720" w:num="1"/>
          <w:docGrid w:type="lines" w:linePitch="315" w:charSpace="0"/>
        </w:sect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第二部分 开标一览表（报价表）</w:t>
      </w:r>
    </w:p>
    <w:p>
      <w:pPr>
        <w:kinsoku w:val="0"/>
        <w:spacing w:line="500" w:lineRule="exact"/>
        <w:rPr>
          <w:rFonts w:hint="eastAsia" w:ascii="仿宋" w:hAnsi="仿宋" w:eastAsia="仿宋" w:cs="仿宋"/>
          <w:color w:val="auto"/>
          <w:highlight w:val="none"/>
        </w:rPr>
      </w:pP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tbl>
      <w:tblPr>
        <w:tblStyle w:val="17"/>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140"/>
        <w:gridCol w:w="1088"/>
        <w:gridCol w:w="1088"/>
        <w:gridCol w:w="1089"/>
        <w:gridCol w:w="1224"/>
        <w:gridCol w:w="121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53" w:type="dxa"/>
            <w:tcBorders>
              <w:tl2br w:val="single" w:color="auto" w:sz="4" w:space="0"/>
            </w:tcBorders>
          </w:tcPr>
          <w:p>
            <w:pPr>
              <w:kinsoku w:val="0"/>
              <w:spacing w:line="50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报价内容</w:t>
            </w:r>
          </w:p>
          <w:p>
            <w:pPr>
              <w:kinsoku w:val="0"/>
              <w:spacing w:line="500" w:lineRule="exact"/>
              <w:rPr>
                <w:rFonts w:hint="eastAsia" w:ascii="仿宋" w:hAnsi="仿宋" w:eastAsia="仿宋" w:cs="仿宋"/>
                <w:color w:val="auto"/>
                <w:sz w:val="24"/>
                <w:highlight w:val="none"/>
              </w:rPr>
            </w:pP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投标内容</w:t>
            </w:r>
          </w:p>
        </w:tc>
        <w:tc>
          <w:tcPr>
            <w:tcW w:w="1140"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w:t>
            </w:r>
          </w:p>
        </w:tc>
        <w:tc>
          <w:tcPr>
            <w:tcW w:w="1088"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运杂费</w:t>
            </w:r>
          </w:p>
        </w:tc>
        <w:tc>
          <w:tcPr>
            <w:tcW w:w="1088"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其它</w:t>
            </w:r>
          </w:p>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费用</w:t>
            </w:r>
          </w:p>
        </w:tc>
        <w:tc>
          <w:tcPr>
            <w:tcW w:w="1089"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总计</w:t>
            </w:r>
          </w:p>
        </w:tc>
        <w:tc>
          <w:tcPr>
            <w:tcW w:w="1224"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期</w:t>
            </w:r>
          </w:p>
        </w:tc>
        <w:tc>
          <w:tcPr>
            <w:tcW w:w="1213"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1209" w:type="dxa"/>
            <w:vAlign w:val="center"/>
          </w:tcPr>
          <w:p>
            <w:pPr>
              <w:kinsoku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53" w:type="dxa"/>
            <w:vAlign w:val="center"/>
          </w:tcPr>
          <w:p>
            <w:pPr>
              <w:kinsoku w:val="0"/>
              <w:spacing w:line="500" w:lineRule="exact"/>
              <w:jc w:val="center"/>
              <w:rPr>
                <w:rFonts w:hint="eastAsia" w:ascii="仿宋" w:hAnsi="仿宋" w:eastAsia="仿宋" w:cs="仿宋"/>
                <w:color w:val="auto"/>
                <w:sz w:val="24"/>
                <w:highlight w:val="none"/>
              </w:rPr>
            </w:pPr>
          </w:p>
        </w:tc>
        <w:tc>
          <w:tcPr>
            <w:tcW w:w="1140" w:type="dxa"/>
            <w:vAlign w:val="center"/>
          </w:tcPr>
          <w:p>
            <w:pPr>
              <w:kinsoku w:val="0"/>
              <w:spacing w:line="500" w:lineRule="exact"/>
              <w:jc w:val="center"/>
              <w:rPr>
                <w:rFonts w:hint="eastAsia" w:ascii="仿宋" w:hAnsi="仿宋" w:eastAsia="仿宋" w:cs="仿宋"/>
                <w:color w:val="auto"/>
                <w:sz w:val="24"/>
                <w:highlight w:val="none"/>
              </w:rPr>
            </w:pPr>
          </w:p>
        </w:tc>
        <w:tc>
          <w:tcPr>
            <w:tcW w:w="1088" w:type="dxa"/>
            <w:vAlign w:val="center"/>
          </w:tcPr>
          <w:p>
            <w:pPr>
              <w:kinsoku w:val="0"/>
              <w:spacing w:line="500" w:lineRule="exact"/>
              <w:jc w:val="center"/>
              <w:rPr>
                <w:rFonts w:hint="eastAsia" w:ascii="仿宋" w:hAnsi="仿宋" w:eastAsia="仿宋" w:cs="仿宋"/>
                <w:color w:val="auto"/>
                <w:sz w:val="24"/>
                <w:highlight w:val="none"/>
              </w:rPr>
            </w:pPr>
          </w:p>
        </w:tc>
        <w:tc>
          <w:tcPr>
            <w:tcW w:w="1088" w:type="dxa"/>
            <w:vAlign w:val="center"/>
          </w:tcPr>
          <w:p>
            <w:pPr>
              <w:kinsoku w:val="0"/>
              <w:spacing w:line="500" w:lineRule="exact"/>
              <w:jc w:val="center"/>
              <w:rPr>
                <w:rFonts w:hint="eastAsia" w:ascii="仿宋" w:hAnsi="仿宋" w:eastAsia="仿宋" w:cs="仿宋"/>
                <w:color w:val="auto"/>
                <w:sz w:val="24"/>
                <w:highlight w:val="none"/>
              </w:rPr>
            </w:pPr>
          </w:p>
        </w:tc>
        <w:tc>
          <w:tcPr>
            <w:tcW w:w="1089" w:type="dxa"/>
            <w:vAlign w:val="center"/>
          </w:tcPr>
          <w:p>
            <w:pPr>
              <w:kinsoku w:val="0"/>
              <w:spacing w:line="500" w:lineRule="exact"/>
              <w:rPr>
                <w:rFonts w:hint="eastAsia" w:ascii="仿宋" w:hAnsi="仿宋" w:eastAsia="仿宋" w:cs="仿宋"/>
                <w:color w:val="auto"/>
                <w:sz w:val="24"/>
                <w:highlight w:val="none"/>
              </w:rPr>
            </w:pPr>
          </w:p>
        </w:tc>
        <w:tc>
          <w:tcPr>
            <w:tcW w:w="1224" w:type="dxa"/>
            <w:vAlign w:val="center"/>
          </w:tcPr>
          <w:p>
            <w:pPr>
              <w:kinsoku w:val="0"/>
              <w:spacing w:line="500" w:lineRule="exact"/>
              <w:jc w:val="center"/>
              <w:rPr>
                <w:rFonts w:hint="eastAsia" w:ascii="仿宋" w:hAnsi="仿宋" w:eastAsia="仿宋" w:cs="仿宋"/>
                <w:color w:val="auto"/>
                <w:sz w:val="24"/>
                <w:highlight w:val="none"/>
              </w:rPr>
            </w:pPr>
          </w:p>
        </w:tc>
        <w:tc>
          <w:tcPr>
            <w:tcW w:w="1213" w:type="dxa"/>
            <w:vAlign w:val="center"/>
          </w:tcPr>
          <w:p>
            <w:pPr>
              <w:kinsoku w:val="0"/>
              <w:spacing w:line="500" w:lineRule="exact"/>
              <w:jc w:val="center"/>
              <w:rPr>
                <w:rFonts w:hint="eastAsia" w:ascii="仿宋" w:hAnsi="仿宋" w:eastAsia="仿宋" w:cs="仿宋"/>
                <w:color w:val="auto"/>
                <w:sz w:val="24"/>
                <w:highlight w:val="none"/>
              </w:rPr>
            </w:pPr>
          </w:p>
        </w:tc>
        <w:tc>
          <w:tcPr>
            <w:tcW w:w="1209" w:type="dxa"/>
            <w:vAlign w:val="center"/>
          </w:tcPr>
          <w:p>
            <w:pPr>
              <w:kinsoku w:val="0"/>
              <w:spacing w:line="500" w:lineRule="exact"/>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4" w:type="dxa"/>
            <w:gridSpan w:val="8"/>
            <w:vAlign w:val="center"/>
          </w:tcPr>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604" w:type="dxa"/>
            <w:gridSpan w:val="8"/>
            <w:vAlign w:val="center"/>
          </w:tcPr>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备注：表内报价内容以元为单位。</w:t>
            </w:r>
          </w:p>
        </w:tc>
      </w:tr>
    </w:tbl>
    <w:p>
      <w:pPr>
        <w:kinsoku w:val="0"/>
        <w:spacing w:line="500" w:lineRule="exact"/>
        <w:rPr>
          <w:rFonts w:hint="eastAsia" w:ascii="仿宋" w:hAnsi="仿宋" w:eastAsia="仿宋" w:cs="仿宋"/>
          <w:color w:val="auto"/>
          <w:sz w:val="24"/>
          <w:highlight w:val="none"/>
        </w:rPr>
      </w:pPr>
    </w:p>
    <w:p>
      <w:pPr>
        <w:kinsoku w:val="0"/>
        <w:spacing w:line="500" w:lineRule="exact"/>
        <w:rPr>
          <w:rFonts w:hint="eastAsia" w:ascii="仿宋" w:hAnsi="仿宋" w:eastAsia="仿宋" w:cs="仿宋"/>
          <w:color w:val="auto"/>
          <w:sz w:val="24"/>
          <w:highlight w:val="none"/>
        </w:rPr>
      </w:pP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投标人（公章）：                         法定代表人/被授权人（签字或盖章）：</w:t>
      </w:r>
    </w:p>
    <w:p>
      <w:pPr>
        <w:kinsoku w:val="0"/>
        <w:spacing w:line="500" w:lineRule="exact"/>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附表1</w:t>
      </w:r>
    </w:p>
    <w:p>
      <w:pPr>
        <w:pStyle w:val="1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分项报价表</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共   页，第   页</w:t>
      </w:r>
    </w:p>
    <w:p>
      <w:pPr>
        <w:kinsoku w:val="0"/>
        <w:spacing w:line="500" w:lineRule="exact"/>
        <w:rPr>
          <w:rFonts w:hint="eastAsia" w:ascii="仿宋" w:hAnsi="仿宋" w:eastAsia="仿宋" w:cs="仿宋"/>
          <w:color w:val="auto"/>
          <w:sz w:val="24"/>
          <w:highlight w:val="none"/>
        </w:rPr>
      </w:pPr>
    </w:p>
    <w:tbl>
      <w:tblPr>
        <w:tblStyle w:val="17"/>
        <w:tblpPr w:vertAnchor="text" w:horzAnchor="margin" w:tblpY="26"/>
        <w:tblW w:w="9146" w:type="dxa"/>
        <w:tblInd w:w="0" w:type="dxa"/>
        <w:tblLayout w:type="fixed"/>
        <w:tblCellMar>
          <w:top w:w="0" w:type="dxa"/>
          <w:left w:w="0" w:type="dxa"/>
          <w:bottom w:w="0" w:type="dxa"/>
          <w:right w:w="0" w:type="dxa"/>
        </w:tblCellMar>
      </w:tblPr>
      <w:tblGrid>
        <w:gridCol w:w="701"/>
        <w:gridCol w:w="1254"/>
        <w:gridCol w:w="953"/>
        <w:gridCol w:w="1013"/>
        <w:gridCol w:w="1368"/>
        <w:gridCol w:w="1444"/>
        <w:gridCol w:w="1594"/>
        <w:gridCol w:w="819"/>
      </w:tblGrid>
      <w:tr>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序号</w:t>
            </w:r>
          </w:p>
        </w:tc>
        <w:tc>
          <w:tcPr>
            <w:tcW w:w="1254" w:type="dxa"/>
            <w:tcBorders>
              <w:top w:val="double" w:color="000000" w:sz="4"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产品名称</w:t>
            </w:r>
          </w:p>
        </w:tc>
        <w:tc>
          <w:tcPr>
            <w:tcW w:w="953" w:type="dxa"/>
            <w:tcBorders>
              <w:top w:val="double" w:color="000000" w:sz="4"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b/>
                <w:color w:val="000000"/>
                <w:szCs w:val="21"/>
              </w:rPr>
            </w:pPr>
          </w:p>
          <w:p>
            <w:pPr>
              <w:jc w:val="center"/>
              <w:rPr>
                <w:rFonts w:hint="eastAsia" w:ascii="仿宋" w:hAnsi="仿宋" w:eastAsia="仿宋" w:cs="仿宋"/>
                <w:b/>
                <w:color w:val="000000"/>
                <w:szCs w:val="21"/>
              </w:rPr>
            </w:pPr>
            <w:r>
              <w:rPr>
                <w:rFonts w:hint="eastAsia" w:ascii="仿宋" w:hAnsi="仿宋" w:eastAsia="仿宋" w:cs="仿宋"/>
                <w:b/>
                <w:color w:val="000000"/>
                <w:szCs w:val="21"/>
              </w:rPr>
              <w:t>品牌</w:t>
            </w:r>
          </w:p>
          <w:p>
            <w:pPr>
              <w:jc w:val="center"/>
              <w:rPr>
                <w:rFonts w:hint="eastAsia" w:ascii="仿宋" w:hAnsi="仿宋" w:eastAsia="仿宋" w:cs="仿宋"/>
                <w:b/>
                <w:color w:val="000000"/>
                <w:szCs w:val="21"/>
              </w:rPr>
            </w:pPr>
          </w:p>
        </w:tc>
        <w:tc>
          <w:tcPr>
            <w:tcW w:w="1013" w:type="dxa"/>
            <w:tcBorders>
              <w:top w:val="double" w:color="000000" w:sz="4" w:space="0"/>
              <w:left w:val="single" w:color="auto" w:sz="4" w:space="0"/>
              <w:bottom w:val="single" w:color="000000" w:sz="6" w:space="0"/>
              <w:right w:val="single" w:color="auto" w:sz="4" w:space="0"/>
            </w:tcBorders>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规格</w:t>
            </w:r>
          </w:p>
          <w:p>
            <w:pPr>
              <w:jc w:val="center"/>
              <w:rPr>
                <w:rFonts w:hint="eastAsia" w:ascii="仿宋" w:hAnsi="仿宋" w:eastAsia="仿宋" w:cs="仿宋"/>
                <w:b/>
                <w:color w:val="000000"/>
                <w:szCs w:val="21"/>
              </w:rPr>
            </w:pPr>
            <w:r>
              <w:rPr>
                <w:rFonts w:hint="eastAsia" w:ascii="仿宋" w:hAnsi="仿宋" w:eastAsia="仿宋" w:cs="仿宋"/>
                <w:b/>
                <w:color w:val="000000"/>
                <w:szCs w:val="21"/>
              </w:rPr>
              <w:t>型号</w:t>
            </w:r>
          </w:p>
        </w:tc>
        <w:tc>
          <w:tcPr>
            <w:tcW w:w="1368" w:type="dxa"/>
            <w:tcBorders>
              <w:top w:val="double" w:color="000000" w:sz="4" w:space="0"/>
              <w:left w:val="single" w:color="auto" w:sz="4" w:space="0"/>
              <w:bottom w:val="single" w:color="000000" w:sz="6" w:space="0"/>
              <w:right w:val="single" w:color="000000" w:sz="6" w:space="0"/>
            </w:tcBorders>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数量/单位</w:t>
            </w:r>
          </w:p>
        </w:tc>
        <w:tc>
          <w:tcPr>
            <w:tcW w:w="1444" w:type="dxa"/>
            <w:tcBorders>
              <w:top w:val="double" w:color="000000" w:sz="4"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单价</w:t>
            </w:r>
          </w:p>
          <w:p>
            <w:pPr>
              <w:jc w:val="center"/>
              <w:rPr>
                <w:rFonts w:hint="eastAsia" w:ascii="仿宋" w:hAnsi="仿宋" w:eastAsia="仿宋" w:cs="仿宋"/>
                <w:b/>
                <w:color w:val="000000"/>
                <w:szCs w:val="21"/>
              </w:rPr>
            </w:pPr>
            <w:r>
              <w:rPr>
                <w:rFonts w:hint="eastAsia" w:ascii="仿宋" w:hAnsi="仿宋" w:eastAsia="仿宋" w:cs="仿宋"/>
                <w:b/>
                <w:color w:val="000000"/>
                <w:szCs w:val="21"/>
              </w:rPr>
              <w:t>(人民币元)</w:t>
            </w:r>
          </w:p>
        </w:tc>
        <w:tc>
          <w:tcPr>
            <w:tcW w:w="1594" w:type="dxa"/>
            <w:tcBorders>
              <w:top w:val="double" w:color="000000" w:sz="4"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合计</w:t>
            </w:r>
          </w:p>
          <w:p>
            <w:pPr>
              <w:jc w:val="center"/>
              <w:rPr>
                <w:rFonts w:hint="eastAsia" w:ascii="仿宋" w:hAnsi="仿宋" w:eastAsia="仿宋" w:cs="仿宋"/>
                <w:b/>
                <w:color w:val="000000"/>
                <w:szCs w:val="21"/>
              </w:rPr>
            </w:pPr>
            <w:r>
              <w:rPr>
                <w:rFonts w:hint="eastAsia" w:ascii="仿宋" w:hAnsi="仿宋" w:eastAsia="仿宋" w:cs="仿宋"/>
                <w:b/>
                <w:color w:val="000000"/>
                <w:szCs w:val="21"/>
              </w:rPr>
              <w:t>（人民币元）</w:t>
            </w:r>
          </w:p>
        </w:tc>
        <w:tc>
          <w:tcPr>
            <w:tcW w:w="819" w:type="dxa"/>
            <w:tcBorders>
              <w:top w:val="double" w:color="000000" w:sz="4"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备注</w:t>
            </w: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953"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013"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000000"/>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000000"/>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tabs>
                <w:tab w:val="center" w:pos="1694"/>
              </w:tabs>
              <w:jc w:val="center"/>
              <w:rPr>
                <w:rFonts w:hint="eastAsia" w:ascii="仿宋" w:hAnsi="仿宋" w:eastAsia="仿宋" w:cs="仿宋"/>
                <w:color w:val="000000"/>
                <w:szCs w:val="21"/>
              </w:rPr>
            </w:pPr>
          </w:p>
        </w:tc>
        <w:tc>
          <w:tcPr>
            <w:tcW w:w="953"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013"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000000"/>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000000"/>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953"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013"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000000"/>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000000"/>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953"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013" w:type="dxa"/>
            <w:tcBorders>
              <w:top w:val="single" w:color="000000" w:sz="6" w:space="0"/>
              <w:left w:val="single" w:color="auto" w:sz="4" w:space="0"/>
              <w:bottom w:val="single" w:color="000000" w:sz="6" w:space="0"/>
              <w:right w:val="single" w:color="auto" w:sz="4" w:space="0"/>
            </w:tcBorders>
            <w:vAlign w:val="center"/>
          </w:tcPr>
          <w:p>
            <w:pPr>
              <w:jc w:val="center"/>
              <w:rPr>
                <w:rFonts w:hint="eastAsia" w:ascii="仿宋" w:hAnsi="仿宋" w:eastAsia="仿宋" w:cs="仿宋"/>
                <w:color w:val="000000"/>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pPr>
              <w:jc w:val="center"/>
              <w:rPr>
                <w:rFonts w:hint="eastAsia" w:ascii="仿宋" w:hAnsi="仿宋" w:eastAsia="仿宋" w:cs="仿宋"/>
                <w:color w:val="000000"/>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p>
        </w:tc>
      </w:tr>
      <w:tr>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合计</w:t>
            </w:r>
          </w:p>
        </w:tc>
        <w:tc>
          <w:tcPr>
            <w:tcW w:w="8445" w:type="dxa"/>
            <w:gridSpan w:val="7"/>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大写:                                    小写：</w:t>
            </w:r>
          </w:p>
        </w:tc>
      </w:tr>
    </w:tbl>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注：本表中的“总价”与“开标一览表”中的“投标总报价”一致,各子项分别报价。</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法定代表人/被授权人（签字或盖章）： </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p>
    <w:p>
      <w:pPr>
        <w:rPr>
          <w:rFonts w:hint="eastAsia" w:ascii="仿宋" w:hAnsi="仿宋" w:eastAsia="仿宋" w:cs="仿宋"/>
          <w:b/>
          <w:color w:val="auto"/>
          <w:sz w:val="44"/>
          <w:highlight w:val="none"/>
        </w:rPr>
      </w:pPr>
    </w:p>
    <w:p>
      <w:pPr>
        <w:pStyle w:val="10"/>
        <w:rPr>
          <w:rFonts w:hint="eastAsia" w:ascii="仿宋" w:hAnsi="仿宋" w:eastAsia="仿宋" w:cs="仿宋"/>
          <w:b/>
          <w:color w:val="auto"/>
          <w:sz w:val="24"/>
          <w:szCs w:val="24"/>
          <w:highlight w:val="none"/>
        </w:rPr>
      </w:pPr>
      <w:r>
        <w:rPr>
          <w:rFonts w:hint="eastAsia" w:ascii="仿宋" w:hAnsi="仿宋" w:eastAsia="仿宋" w:cs="仿宋"/>
          <w:b/>
          <w:bCs/>
          <w:color w:val="auto"/>
          <w:highlight w:val="none"/>
        </w:rPr>
        <w:br w:type="page"/>
      </w:r>
    </w:p>
    <w:p>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附表2</w:t>
      </w:r>
    </w:p>
    <w:p>
      <w:pPr>
        <w:pStyle w:val="1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技术规格响应偏离表</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17"/>
        <w:tblW w:w="91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986"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1897" w:type="dxa"/>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招标文件</w:t>
            </w:r>
          </w:p>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技术需求</w:t>
            </w:r>
          </w:p>
        </w:tc>
        <w:tc>
          <w:tcPr>
            <w:tcW w:w="265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投标文件响应技术指标</w:t>
            </w:r>
          </w:p>
        </w:tc>
        <w:tc>
          <w:tcPr>
            <w:tcW w:w="168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偏离情况</w:t>
            </w:r>
          </w:p>
        </w:tc>
        <w:tc>
          <w:tcPr>
            <w:tcW w:w="1319" w:type="dxa"/>
            <w:tcMar>
              <w:top w:w="57" w:type="dxa"/>
              <w:left w:w="28" w:type="dxa"/>
              <w:bottom w:w="57" w:type="dxa"/>
              <w:right w:w="28" w:type="dxa"/>
            </w:tcMar>
            <w:vAlign w:val="center"/>
          </w:tcPr>
          <w:p>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tcBorders>
              <w:bottom w:val="single" w:color="auto" w:sz="4" w:space="0"/>
            </w:tcBorders>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Borders>
              <w:bottom w:val="single" w:color="auto" w:sz="4" w:space="0"/>
            </w:tcBorders>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98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897" w:type="dxa"/>
            <w:vAlign w:val="center"/>
          </w:tcPr>
          <w:p>
            <w:pPr>
              <w:spacing w:line="480" w:lineRule="exact"/>
              <w:ind w:left="210" w:leftChars="100"/>
              <w:rPr>
                <w:rFonts w:hint="eastAsia" w:ascii="仿宋" w:hAnsi="仿宋" w:eastAsia="仿宋" w:cs="仿宋"/>
                <w:color w:val="auto"/>
                <w:sz w:val="28"/>
                <w:szCs w:val="28"/>
                <w:highlight w:val="none"/>
              </w:rPr>
            </w:pPr>
          </w:p>
        </w:tc>
        <w:tc>
          <w:tcPr>
            <w:tcW w:w="265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c>
          <w:tcPr>
            <w:tcW w:w="1689" w:type="dxa"/>
            <w:tcMar>
              <w:top w:w="57" w:type="dxa"/>
              <w:left w:w="28" w:type="dxa"/>
              <w:bottom w:w="57" w:type="dxa"/>
              <w:right w:w="28" w:type="dxa"/>
            </w:tcMar>
            <w:vAlign w:val="center"/>
          </w:tcPr>
          <w:p>
            <w:pPr>
              <w:spacing w:line="480" w:lineRule="exact"/>
              <w:rPr>
                <w:rFonts w:hint="eastAsia" w:ascii="仿宋" w:hAnsi="仿宋" w:eastAsia="仿宋" w:cs="仿宋"/>
                <w:color w:val="auto"/>
                <w:sz w:val="28"/>
                <w:szCs w:val="28"/>
                <w:highlight w:val="none"/>
              </w:rPr>
            </w:pPr>
          </w:p>
        </w:tc>
        <w:tc>
          <w:tcPr>
            <w:tcW w:w="131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8"/>
                <w:szCs w:val="28"/>
                <w:highlight w:val="none"/>
              </w:rPr>
            </w:pPr>
          </w:p>
        </w:tc>
      </w:tr>
    </w:tbl>
    <w:p>
      <w:pPr>
        <w:autoSpaceDE w:val="0"/>
        <w:autoSpaceDN w:val="0"/>
        <w:adjustRightInd w:val="0"/>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注：</w:t>
      </w:r>
      <w:r>
        <w:rPr>
          <w:rFonts w:hint="eastAsia" w:ascii="仿宋" w:hAnsi="仿宋" w:eastAsia="仿宋" w:cs="仿宋"/>
          <w:color w:val="auto"/>
          <w:sz w:val="24"/>
          <w:highlight w:val="none"/>
        </w:rPr>
        <w:t>请按项目的实际技术参数，逐条对应招标文件的“招标内容及技术要求”，认真填写本表。偏离情况填写：优于、等于，偏离说明对偏离情况做出详细说明。</w:t>
      </w:r>
    </w:p>
    <w:p>
      <w:pPr>
        <w:spacing w:line="480" w:lineRule="exact"/>
        <w:rPr>
          <w:rFonts w:hint="eastAsia" w:ascii="仿宋" w:hAnsi="仿宋" w:eastAsia="仿宋" w:cs="仿宋"/>
          <w:color w:val="auto"/>
          <w:szCs w:val="21"/>
          <w:highlight w:val="none"/>
        </w:rPr>
      </w:pPr>
    </w:p>
    <w:p>
      <w:pPr>
        <w:spacing w:line="480" w:lineRule="exact"/>
        <w:rPr>
          <w:rFonts w:hint="eastAsia" w:ascii="仿宋" w:hAnsi="仿宋" w:eastAsia="仿宋" w:cs="仿宋"/>
          <w:color w:val="auto"/>
          <w:szCs w:val="21"/>
          <w:highlight w:val="none"/>
        </w:rPr>
      </w:pPr>
    </w:p>
    <w:p>
      <w:pPr>
        <w:spacing w:line="360" w:lineRule="atLeast"/>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投标人（公章）：                 法定代表人/被授权人（签字或盖章）：</w:t>
      </w:r>
    </w:p>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p>
    <w:p>
      <w:pPr>
        <w:pStyle w:val="11"/>
        <w:rPr>
          <w:rFonts w:hint="eastAsia" w:ascii="仿宋" w:hAnsi="仿宋" w:eastAsia="仿宋" w:cs="仿宋"/>
          <w:color w:val="auto"/>
          <w:highlight w:val="none"/>
        </w:rPr>
      </w:pPr>
    </w:p>
    <w:p>
      <w:pPr>
        <w:pStyle w:val="11"/>
        <w:rPr>
          <w:rFonts w:hint="eastAsia" w:ascii="仿宋" w:hAnsi="仿宋" w:eastAsia="仿宋" w:cs="仿宋"/>
          <w:color w:val="auto"/>
          <w:highlight w:val="none"/>
        </w:rPr>
      </w:pPr>
    </w:p>
    <w:p>
      <w:pPr>
        <w:adjustRightInd w:val="0"/>
        <w:snapToGrid w:val="0"/>
        <w:spacing w:line="360" w:lineRule="auto"/>
        <w:rPr>
          <w:rFonts w:hint="eastAsia" w:ascii="仿宋" w:hAnsi="仿宋" w:eastAsia="仿宋" w:cs="仿宋"/>
          <w:color w:val="auto"/>
          <w:highlight w:val="none"/>
          <w:u w:val="single"/>
        </w:rPr>
      </w:pPr>
      <w:r>
        <w:rPr>
          <w:rFonts w:hint="eastAsia" w:ascii="仿宋" w:hAnsi="仿宋" w:eastAsia="仿宋" w:cs="仿宋"/>
          <w:color w:val="auto"/>
          <w:sz w:val="24"/>
          <w:highlight w:val="none"/>
        </w:rPr>
        <w:t>附表3</w:t>
      </w:r>
    </w:p>
    <w:p>
      <w:pPr>
        <w:adjustRightInd w:val="0"/>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商务及合同主要条款响应说明</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 xml:space="preserve">  </w:t>
      </w:r>
    </w:p>
    <w:p>
      <w:pPr>
        <w:kinsoku w:val="0"/>
        <w:spacing w:line="500" w:lineRule="exact"/>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pPr>
        <w:kinsoku w:val="0"/>
        <w:spacing w:line="540" w:lineRule="exact"/>
        <w:ind w:left="-359" w:leftChars="-171" w:firstLine="357"/>
        <w:rPr>
          <w:rFonts w:hint="eastAsia" w:ascii="仿宋" w:hAnsi="仿宋" w:eastAsia="仿宋" w:cs="仿宋"/>
          <w:b/>
          <w:color w:val="auto"/>
          <w:sz w:val="24"/>
          <w:highlight w:val="none"/>
        </w:rPr>
      </w:pPr>
      <w:r>
        <w:rPr>
          <w:rFonts w:hint="eastAsia" w:ascii="仿宋" w:hAnsi="仿宋" w:eastAsia="仿宋" w:cs="仿宋"/>
          <w:color w:val="auto"/>
          <w:sz w:val="32"/>
          <w:szCs w:val="32"/>
          <w:highlight w:val="none"/>
        </w:rPr>
        <w:t xml:space="preserve">                       </w:t>
      </w:r>
    </w:p>
    <w:tbl>
      <w:tblPr>
        <w:tblStyle w:val="17"/>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3015" w:type="dxa"/>
            <w:vAlign w:val="center"/>
          </w:tcPr>
          <w:p>
            <w:pPr>
              <w:spacing w:line="560" w:lineRule="exact"/>
              <w:ind w:right="-168" w:rightChars="-8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投标文件实际数据</w:t>
            </w:r>
          </w:p>
        </w:tc>
        <w:tc>
          <w:tcPr>
            <w:tcW w:w="1881" w:type="dxa"/>
            <w:vAlign w:val="center"/>
          </w:tcPr>
          <w:p>
            <w:pPr>
              <w:spacing w:line="560" w:lineRule="exact"/>
              <w:ind w:right="-168" w:rightChars="-8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451"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3015" w:type="dxa"/>
            <w:vAlign w:val="center"/>
          </w:tcPr>
          <w:p>
            <w:pPr>
              <w:spacing w:line="560" w:lineRule="exact"/>
              <w:ind w:right="-168" w:rightChars="-80"/>
              <w:jc w:val="center"/>
              <w:rPr>
                <w:rFonts w:hint="eastAsia" w:ascii="仿宋" w:hAnsi="仿宋" w:eastAsia="仿宋" w:cs="仿宋"/>
                <w:color w:val="auto"/>
                <w:sz w:val="24"/>
                <w:highlight w:val="none"/>
              </w:rPr>
            </w:pPr>
          </w:p>
        </w:tc>
        <w:tc>
          <w:tcPr>
            <w:tcW w:w="1881" w:type="dxa"/>
            <w:vAlign w:val="center"/>
          </w:tcPr>
          <w:p>
            <w:pPr>
              <w:spacing w:line="560" w:lineRule="exact"/>
              <w:ind w:right="-168" w:rightChars="-80"/>
              <w:jc w:val="center"/>
              <w:rPr>
                <w:rFonts w:hint="eastAsia" w:ascii="仿宋" w:hAnsi="仿宋" w:eastAsia="仿宋" w:cs="仿宋"/>
                <w:color w:val="auto"/>
                <w:sz w:val="24"/>
                <w:highlight w:val="none"/>
              </w:rPr>
            </w:pPr>
          </w:p>
        </w:tc>
      </w:tr>
    </w:tbl>
    <w:p>
      <w:pPr>
        <w:autoSpaceDE w:val="0"/>
        <w:autoSpaceDN w:val="0"/>
        <w:adjustRightIn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1、投标文件根据第四部分商务及合同主要条款须如实填写。</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2、响应说明填写：优于、相同。</w:t>
      </w:r>
    </w:p>
    <w:p>
      <w:pPr>
        <w:pStyle w:val="10"/>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法定代表人/被授权人（</w:t>
      </w:r>
      <w:r>
        <w:rPr>
          <w:rFonts w:hint="eastAsia" w:ascii="仿宋" w:hAnsi="仿宋" w:eastAsia="仿宋" w:cs="仿宋"/>
          <w:color w:val="auto"/>
          <w:sz w:val="24"/>
          <w:highlight w:val="none"/>
        </w:rPr>
        <w:t>签字或盖章</w:t>
      </w:r>
      <w:r>
        <w:rPr>
          <w:rFonts w:hint="eastAsia" w:ascii="仿宋" w:hAnsi="仿宋" w:eastAsia="仿宋" w:cs="仿宋"/>
          <w:color w:val="auto"/>
          <w:sz w:val="24"/>
          <w:szCs w:val="24"/>
          <w:highlight w:val="none"/>
        </w:rPr>
        <w:t xml:space="preserve">）：    </w:t>
      </w:r>
    </w:p>
    <w:p>
      <w:pPr>
        <w:pStyle w:val="10"/>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第三部分   法定代表人证明书与授权书</w:t>
      </w:r>
    </w:p>
    <w:p>
      <w:pPr>
        <w:tabs>
          <w:tab w:val="left" w:pos="210"/>
        </w:tabs>
        <w:spacing w:line="320" w:lineRule="exact"/>
        <w:jc w:val="center"/>
        <w:rPr>
          <w:rFonts w:hint="eastAsia" w:ascii="仿宋" w:hAnsi="仿宋" w:eastAsia="仿宋" w:cs="仿宋"/>
          <w:b/>
          <w:color w:val="auto"/>
          <w:kern w:val="0"/>
          <w:sz w:val="32"/>
          <w:szCs w:val="32"/>
          <w:highlight w:val="none"/>
        </w:rPr>
      </w:pPr>
    </w:p>
    <w:p>
      <w:pPr>
        <w:tabs>
          <w:tab w:val="left" w:pos="210"/>
        </w:tabs>
        <w:spacing w:line="320" w:lineRule="exact"/>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法定代表人证明书</w:t>
      </w:r>
    </w:p>
    <w:p>
      <w:pPr>
        <w:tabs>
          <w:tab w:val="left" w:pos="210"/>
        </w:tabs>
        <w:spacing w:line="320" w:lineRule="exact"/>
        <w:jc w:val="center"/>
        <w:rPr>
          <w:rFonts w:hint="eastAsia" w:ascii="仿宋" w:hAnsi="仿宋" w:eastAsia="仿宋" w:cs="仿宋"/>
          <w:b/>
          <w:color w:val="auto"/>
          <w:kern w:val="0"/>
          <w:sz w:val="32"/>
          <w:szCs w:val="32"/>
          <w:highlight w:val="none"/>
        </w:rPr>
      </w:pPr>
    </w:p>
    <w:p>
      <w:pPr>
        <w:spacing w:line="560" w:lineRule="exact"/>
        <w:ind w:firstLine="307" w:firstLineChars="128"/>
        <w:rPr>
          <w:rFonts w:hint="eastAsia" w:ascii="仿宋" w:hAnsi="仿宋" w:eastAsia="仿宋" w:cs="仿宋"/>
          <w:color w:val="auto"/>
          <w:sz w:val="24"/>
          <w:highlight w:val="none"/>
          <w:u w:val="thick"/>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pPr>
        <w:spacing w:line="560" w:lineRule="exact"/>
        <w:ind w:firstLine="307" w:firstLineChars="128"/>
        <w:rPr>
          <w:rFonts w:hint="eastAsia" w:ascii="仿宋" w:hAnsi="仿宋" w:eastAsia="仿宋" w:cs="仿宋"/>
          <w:color w:val="auto"/>
          <w:sz w:val="24"/>
          <w:highlight w:val="non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p>
    <w:p>
      <w:pPr>
        <w:spacing w:line="560" w:lineRule="exact"/>
        <w:ind w:firstLine="307" w:firstLineChars="128"/>
        <w:rPr>
          <w:rFonts w:hint="eastAsia" w:ascii="仿宋" w:hAnsi="仿宋" w:eastAsia="仿宋" w:cs="仿宋"/>
          <w:color w:val="auto"/>
          <w:sz w:val="24"/>
          <w:highlight w:val="none"/>
          <w:u w:val="thick"/>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pPr>
        <w:spacing w:line="560" w:lineRule="exact"/>
        <w:ind w:firstLine="307" w:firstLineChars="128"/>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560" w:lineRule="exact"/>
        <w:ind w:firstLine="307" w:firstLineChars="128"/>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pPr>
        <w:spacing w:line="560" w:lineRule="exact"/>
        <w:ind w:firstLine="307" w:firstLineChars="128"/>
        <w:rPr>
          <w:rFonts w:hint="eastAsia" w:ascii="仿宋" w:hAnsi="仿宋" w:eastAsia="仿宋" w:cs="仿宋"/>
          <w:color w:val="auto"/>
          <w:sz w:val="24"/>
          <w:highlight w:val="none"/>
          <w:u w:val="thick"/>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spacing w:line="560" w:lineRule="exact"/>
        <w:rPr>
          <w:rFonts w:hint="eastAsia" w:ascii="仿宋" w:hAnsi="仿宋" w:eastAsia="仿宋" w:cs="仿宋"/>
          <w:color w:val="auto"/>
          <w:sz w:val="24"/>
          <w:highlight w:val="none"/>
          <w:u w:val="thick"/>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pPr>
        <w:spacing w:line="560" w:lineRule="exact"/>
        <w:ind w:firstLine="307" w:firstLineChars="128"/>
        <w:rPr>
          <w:rFonts w:hint="eastAsia" w:ascii="仿宋" w:hAnsi="仿宋" w:eastAsia="仿宋" w:cs="仿宋"/>
          <w:color w:val="auto"/>
          <w:sz w:val="24"/>
          <w:highlight w:val="none"/>
        </w:rPr>
      </w:pPr>
    </w:p>
    <w:p>
      <w:pPr>
        <w:spacing w:line="560" w:lineRule="exact"/>
        <w:ind w:firstLine="307" w:firstLineChars="128"/>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（后附法定代表人身份证正反面）</w:t>
      </w:r>
    </w:p>
    <w:p>
      <w:pPr>
        <w:pStyle w:val="15"/>
        <w:rPr>
          <w:rFonts w:hint="eastAsia" w:ascii="仿宋" w:hAnsi="仿宋" w:eastAsia="仿宋" w:cs="仿宋"/>
          <w:color w:val="auto"/>
          <w:highlight w:val="none"/>
        </w:rPr>
      </w:pPr>
    </w:p>
    <w:p>
      <w:pPr>
        <w:spacing w:line="560" w:lineRule="exact"/>
        <w:rPr>
          <w:rFonts w:hint="eastAsia" w:ascii="仿宋" w:hAnsi="仿宋" w:eastAsia="仿宋" w:cs="仿宋"/>
          <w:color w:val="auto"/>
          <w:sz w:val="24"/>
          <w:highlight w:val="none"/>
        </w:rPr>
      </w:pPr>
    </w:p>
    <w:p>
      <w:pPr>
        <w:autoSpaceDE w:val="0"/>
        <w:autoSpaceDN w:val="0"/>
        <w:adjustRightInd w:val="0"/>
        <w:jc w:val="center"/>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供</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应</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（盖单位公章）</w:t>
      </w:r>
    </w:p>
    <w:p>
      <w:pPr>
        <w:autoSpaceDE w:val="0"/>
        <w:autoSpaceDN w:val="0"/>
        <w:adjustRightInd w:val="0"/>
        <w:rPr>
          <w:rFonts w:hint="eastAsia" w:ascii="仿宋" w:hAnsi="仿宋" w:eastAsia="仿宋" w:cs="仿宋"/>
          <w:color w:val="auto"/>
          <w:sz w:val="24"/>
          <w:highlight w:val="none"/>
          <w:lang w:val="zh-CN"/>
        </w:rPr>
      </w:pPr>
    </w:p>
    <w:p>
      <w:pPr>
        <w:autoSpaceDE w:val="0"/>
        <w:autoSpaceDN w:val="0"/>
        <w:adjustRightInd w:val="0"/>
        <w:ind w:firstLine="2400" w:firstLineChars="100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（签字或盖章）</w:t>
      </w:r>
    </w:p>
    <w:p>
      <w:pPr>
        <w:autoSpaceDE w:val="0"/>
        <w:autoSpaceDN w:val="0"/>
        <w:adjustRightInd w:val="0"/>
        <w:jc w:val="right"/>
        <w:rPr>
          <w:rFonts w:hint="eastAsia" w:ascii="仿宋" w:hAnsi="仿宋" w:eastAsia="仿宋" w:cs="仿宋"/>
          <w:color w:val="auto"/>
          <w:sz w:val="24"/>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日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期：</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p>
      <w:pPr>
        <w:tabs>
          <w:tab w:val="left" w:pos="210"/>
        </w:tabs>
        <w:spacing w:line="320" w:lineRule="exact"/>
        <w:jc w:val="center"/>
        <w:rPr>
          <w:rFonts w:hint="eastAsia" w:ascii="仿宋" w:hAnsi="仿宋" w:eastAsia="仿宋" w:cs="仿宋"/>
          <w:b/>
          <w:color w:val="auto"/>
          <w:kern w:val="0"/>
          <w:sz w:val="32"/>
          <w:szCs w:val="32"/>
          <w:highlight w:val="none"/>
        </w:rPr>
      </w:pPr>
    </w:p>
    <w:p>
      <w:pPr>
        <w:tabs>
          <w:tab w:val="left" w:pos="210"/>
        </w:tabs>
        <w:spacing w:line="320" w:lineRule="exact"/>
        <w:jc w:val="center"/>
        <w:rPr>
          <w:rFonts w:hint="eastAsia" w:ascii="仿宋" w:hAnsi="仿宋" w:eastAsia="仿宋" w:cs="仿宋"/>
          <w:b/>
          <w:color w:val="auto"/>
          <w:kern w:val="0"/>
          <w:sz w:val="32"/>
          <w:szCs w:val="32"/>
          <w:highlight w:val="none"/>
        </w:rPr>
      </w:pPr>
    </w:p>
    <w:p>
      <w:pPr>
        <w:pStyle w:val="15"/>
        <w:rPr>
          <w:rFonts w:hint="eastAsia" w:ascii="仿宋" w:hAnsi="仿宋" w:eastAsia="仿宋" w:cs="仿宋"/>
          <w:b/>
          <w:color w:val="auto"/>
          <w:sz w:val="32"/>
          <w:szCs w:val="32"/>
          <w:highlight w:val="none"/>
        </w:rPr>
      </w:pPr>
    </w:p>
    <w:p>
      <w:pPr>
        <w:pStyle w:val="15"/>
        <w:rPr>
          <w:rFonts w:hint="eastAsia" w:ascii="仿宋" w:hAnsi="仿宋" w:eastAsia="仿宋" w:cs="仿宋"/>
          <w:b/>
          <w:color w:val="auto"/>
          <w:sz w:val="32"/>
          <w:szCs w:val="32"/>
          <w:highlight w:val="none"/>
        </w:rPr>
      </w:pPr>
    </w:p>
    <w:p>
      <w:pPr>
        <w:tabs>
          <w:tab w:val="left" w:pos="210"/>
        </w:tabs>
        <w:spacing w:line="320" w:lineRule="exact"/>
        <w:jc w:val="center"/>
        <w:rPr>
          <w:rFonts w:hint="eastAsia" w:ascii="仿宋" w:hAnsi="仿宋" w:eastAsia="仿宋" w:cs="仿宋"/>
          <w:b/>
          <w:color w:val="auto"/>
          <w:kern w:val="0"/>
          <w:sz w:val="32"/>
          <w:szCs w:val="32"/>
          <w:highlight w:val="none"/>
        </w:rPr>
      </w:pPr>
    </w:p>
    <w:p>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pPr>
        <w:tabs>
          <w:tab w:val="left" w:pos="210"/>
        </w:tabs>
        <w:spacing w:line="320" w:lineRule="exact"/>
        <w:jc w:val="center"/>
        <w:rPr>
          <w:rFonts w:hint="eastAsia" w:ascii="仿宋" w:hAnsi="仿宋" w:eastAsia="仿宋" w:cs="仿宋"/>
          <w:color w:val="auto"/>
          <w:spacing w:val="-6"/>
          <w:sz w:val="24"/>
          <w:highlight w:val="none"/>
        </w:rPr>
      </w:pPr>
      <w:r>
        <w:rPr>
          <w:rFonts w:hint="eastAsia" w:ascii="仿宋" w:hAnsi="仿宋" w:eastAsia="仿宋" w:cs="仿宋"/>
          <w:b/>
          <w:color w:val="auto"/>
          <w:kern w:val="0"/>
          <w:sz w:val="32"/>
          <w:szCs w:val="32"/>
          <w:highlight w:val="none"/>
        </w:rPr>
        <w:t>法定代表人授权委托书</w:t>
      </w:r>
    </w:p>
    <w:p>
      <w:pPr>
        <w:pStyle w:val="10"/>
        <w:spacing w:line="50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陕西炬荣招标代理有限公司</w:t>
      </w:r>
      <w:r>
        <w:rPr>
          <w:rFonts w:hint="eastAsia" w:ascii="仿宋" w:hAnsi="仿宋" w:eastAsia="仿宋" w:cs="仿宋"/>
          <w:color w:val="auto"/>
          <w:sz w:val="24"/>
          <w:szCs w:val="24"/>
          <w:highlight w:val="none"/>
        </w:rPr>
        <w:t xml:space="preserve"> ：</w:t>
      </w:r>
    </w:p>
    <w:p>
      <w:pPr>
        <w:pStyle w:val="10"/>
        <w:spacing w:line="500" w:lineRule="exact"/>
        <w:ind w:left="-120" w:leftChars="-57"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w:t>
      </w:r>
      <w:r>
        <w:rPr>
          <w:rFonts w:hint="eastAsia" w:ascii="仿宋" w:hAnsi="仿宋" w:eastAsia="仿宋" w:cs="仿宋"/>
          <w:color w:val="auto"/>
          <w:sz w:val="24"/>
          <w:szCs w:val="24"/>
          <w:highlight w:val="none"/>
          <w:u w:val="single"/>
        </w:rPr>
        <w:t xml:space="preserve"> 工商行政管理局名称）之（委托单位全称） </w:t>
      </w:r>
      <w:r>
        <w:rPr>
          <w:rFonts w:hint="eastAsia" w:ascii="仿宋" w:hAnsi="仿宋" w:eastAsia="仿宋" w:cs="仿宋"/>
          <w:color w:val="auto"/>
          <w:sz w:val="24"/>
          <w:szCs w:val="24"/>
          <w:highlight w:val="none"/>
        </w:rPr>
        <w:t>的法定代表人</w:t>
      </w:r>
      <w:r>
        <w:rPr>
          <w:rFonts w:hint="eastAsia" w:ascii="仿宋" w:hAnsi="仿宋" w:eastAsia="仿宋" w:cs="仿宋"/>
          <w:color w:val="auto"/>
          <w:sz w:val="24"/>
          <w:szCs w:val="24"/>
          <w:highlight w:val="none"/>
          <w:u w:val="single"/>
        </w:rPr>
        <w:t>（姓名、性别）</w:t>
      </w:r>
      <w:r>
        <w:rPr>
          <w:rFonts w:hint="eastAsia" w:ascii="仿宋" w:hAnsi="仿宋" w:eastAsia="仿宋" w:cs="仿宋"/>
          <w:color w:val="auto"/>
          <w:sz w:val="24"/>
          <w:szCs w:val="24"/>
          <w:highlight w:val="none"/>
        </w:rPr>
        <w:t>授权</w:t>
      </w:r>
      <w:r>
        <w:rPr>
          <w:rFonts w:hint="eastAsia" w:ascii="仿宋" w:hAnsi="仿宋" w:eastAsia="仿宋" w:cs="仿宋"/>
          <w:color w:val="auto"/>
          <w:sz w:val="24"/>
          <w:highlight w:val="none"/>
        </w:rPr>
        <w:t>本公司的</w:t>
      </w:r>
      <w:r>
        <w:rPr>
          <w:rFonts w:hint="eastAsia" w:ascii="仿宋" w:hAnsi="仿宋" w:eastAsia="仿宋" w:cs="仿宋"/>
          <w:color w:val="auto"/>
          <w:sz w:val="24"/>
          <w:szCs w:val="24"/>
          <w:highlight w:val="none"/>
          <w:u w:val="single"/>
        </w:rPr>
        <w:t>（被授权人姓名、性别、职务）</w:t>
      </w:r>
      <w:r>
        <w:rPr>
          <w:rFonts w:hint="eastAsia" w:ascii="仿宋" w:hAnsi="仿宋" w:eastAsia="仿宋" w:cs="仿宋"/>
          <w:color w:val="auto"/>
          <w:sz w:val="24"/>
          <w:szCs w:val="24"/>
          <w:highlight w:val="none"/>
        </w:rPr>
        <w:t>为合法代理人，就贵方组织的有关</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）的投标、洽谈、执行等具体事务，签署全部有关投标文件、文书、协议、合同，本公司对被授权人在本项目中的签名承担全部法律责任。本授权书自开标大会之日起计算有效期为    天。</w:t>
      </w:r>
    </w:p>
    <w:p>
      <w:pPr>
        <w:pStyle w:val="1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委托单位（公章）：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法定代表人（签字或盖章）：</w:t>
      </w:r>
    </w:p>
    <w:p>
      <w:pPr>
        <w:pStyle w:val="1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1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pStyle w:val="10"/>
        <w:spacing w:line="500" w:lineRule="exact"/>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rPr>
        <w:t xml:space="preserve">                                      </w:t>
      </w:r>
    </w:p>
    <w:p>
      <w:pPr>
        <w:pStyle w:val="10"/>
        <w:spacing w:line="5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tbl>
      <w:tblPr>
        <w:tblStyle w:val="17"/>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pPr>
              <w:pStyle w:val="10"/>
              <w:snapToGrid w:val="0"/>
              <w:spacing w:line="50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法定代表人身份证复印件</w:t>
            </w:r>
          </w:p>
        </w:tc>
        <w:tc>
          <w:tcPr>
            <w:tcW w:w="4213" w:type="dxa"/>
            <w:shd w:val="clear" w:color="auto" w:fill="E0E0E0"/>
            <w:vAlign w:val="center"/>
          </w:tcPr>
          <w:p>
            <w:pPr>
              <w:pStyle w:val="10"/>
              <w:snapToGrid w:val="0"/>
              <w:spacing w:line="50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pPr>
              <w:pStyle w:val="10"/>
              <w:snapToGrid w:val="0"/>
              <w:spacing w:line="50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法定代表人身份证复印件</w:t>
            </w:r>
          </w:p>
        </w:tc>
        <w:tc>
          <w:tcPr>
            <w:tcW w:w="4213" w:type="dxa"/>
            <w:shd w:val="clear" w:color="auto" w:fill="E0E0E0"/>
            <w:vAlign w:val="center"/>
          </w:tcPr>
          <w:p>
            <w:pPr>
              <w:pStyle w:val="10"/>
              <w:snapToGrid w:val="0"/>
              <w:spacing w:line="500" w:lineRule="exact"/>
              <w:jc w:val="center"/>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shd w:val="pct10" w:color="auto" w:fill="FFFFFF"/>
              </w:rPr>
              <w:t>被授权人身份证复印件</w:t>
            </w:r>
          </w:p>
        </w:tc>
      </w:tr>
    </w:tbl>
    <w:p>
      <w:pPr>
        <w:pStyle w:val="10"/>
        <w:spacing w:line="5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说明：授权书内容填写要明确，文字要工整清楚，涂改无效。</w:t>
      </w:r>
    </w:p>
    <w:p>
      <w:pPr>
        <w:pStyle w:val="10"/>
        <w:spacing w:line="460" w:lineRule="exact"/>
        <w:ind w:firstLine="720" w:firstLineChars="300"/>
        <w:rPr>
          <w:rFonts w:hint="eastAsia" w:ascii="仿宋" w:hAnsi="仿宋" w:eastAsia="仿宋" w:cs="仿宋"/>
          <w:color w:val="auto"/>
          <w:sz w:val="24"/>
          <w:szCs w:val="24"/>
          <w:highlight w:val="none"/>
        </w:rPr>
      </w:pPr>
    </w:p>
    <w:p>
      <w:pPr>
        <w:pStyle w:val="10"/>
        <w:spacing w:line="460" w:lineRule="exact"/>
        <w:ind w:firstLine="720" w:firstLineChars="300"/>
        <w:rPr>
          <w:rFonts w:hint="eastAsia" w:ascii="仿宋" w:hAnsi="仿宋" w:eastAsia="仿宋" w:cs="仿宋"/>
          <w:color w:val="auto"/>
          <w:sz w:val="24"/>
          <w:szCs w:val="24"/>
          <w:highlight w:val="none"/>
        </w:rPr>
      </w:pPr>
    </w:p>
    <w:p>
      <w:pPr>
        <w:pStyle w:val="10"/>
        <w:spacing w:line="460" w:lineRule="exact"/>
        <w:ind w:firstLine="720" w:firstLineChars="300"/>
        <w:rPr>
          <w:rFonts w:hint="eastAsia" w:ascii="仿宋" w:hAnsi="仿宋" w:eastAsia="仿宋" w:cs="仿宋"/>
          <w:color w:val="auto"/>
          <w:sz w:val="24"/>
          <w:szCs w:val="24"/>
          <w:highlight w:val="none"/>
        </w:rPr>
      </w:pPr>
    </w:p>
    <w:p>
      <w:pPr>
        <w:ind w:firstLine="1616" w:firstLineChars="503"/>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第四部分   投标人资质证明文件</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1、具有独立承担民事责任能力的法人或其他组织，提供合法有效的统一社会信用代码的营业执照（附年度报告书）或事业单位法人证书等国家规定的相关证明，自然人参与的提供其身份证明； </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2、法定代表人授权书（附法定代表人身份证复印件）及被授权人身份证复印件（法定代表人直接参加只须提供法定代表人身份证）； </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3、税收缴纳证明：提供已缴纳的本年度或上年度任一月份的缴税凭证或依法免税的供应商应提供相关文件证明； </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社会保障资金缴纳证明：提供已缴存的2021年度或者本年度任一月份的社会保障资金缴存单据或社保机构开具的社会保险参保缴费情况证明，单据或证明上应有社保机构或代收机构的公章。依法不需要缴纳社会保障资金的服务商应提供相关文件证明； </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财务状况报告：提供2020年度或2021年度的财务审计报告（至少包括资产负债表和利润表，成立时间至提交投标文件截止时间不足一年的可提供成立后任意时段的资产负债表），或其基本存款账户开户银行出具的资信证明及基本户证明材料； </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6、供应商应出具参加政府采购活动前3年内在经营活动中没有重大违法记录的书面声明； </w:t>
      </w:r>
    </w:p>
    <w:p>
      <w:pPr>
        <w:pStyle w:val="11"/>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供应商不得为“信用中国”网站中列入失信被执行人、重大税收违法失信主体，不得为中国政府采购网政府采购严重违法失信行为记录名单中被财政部门禁止参加政府采购活动的供应商（提供查询结果网页截图并加盖投标人公章）；</w:t>
      </w:r>
    </w:p>
    <w:p>
      <w:pPr>
        <w:spacing w:line="440" w:lineRule="exact"/>
        <w:ind w:left="-122" w:leftChars="-58"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须提供保证金缴纳凭证</w:t>
      </w:r>
      <w:r>
        <w:rPr>
          <w:rFonts w:hint="eastAsia" w:ascii="仿宋" w:hAnsi="仿宋" w:eastAsia="仿宋" w:cs="仿宋"/>
          <w:sz w:val="24"/>
          <w:highlight w:val="none"/>
          <w:lang w:val="en-US" w:eastAsia="zh-CN"/>
        </w:rPr>
        <w:t>或担保机构出具的保函</w:t>
      </w:r>
      <w:r>
        <w:rPr>
          <w:rFonts w:hint="eastAsia" w:ascii="仿宋" w:hAnsi="仿宋" w:eastAsia="仿宋" w:cs="仿宋"/>
          <w:color w:val="auto"/>
          <w:sz w:val="24"/>
          <w:highlight w:val="none"/>
          <w:lang w:val="en-US" w:eastAsia="zh-CN"/>
        </w:rPr>
        <w:t>；</w:t>
      </w:r>
    </w:p>
    <w:p>
      <w:pPr>
        <w:spacing w:line="440" w:lineRule="exact"/>
        <w:ind w:left="-122" w:leftChars="-5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本项目不接受联合体</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w:t>
      </w:r>
    </w:p>
    <w:p>
      <w:pPr>
        <w:pStyle w:val="11"/>
        <w:rPr>
          <w:rFonts w:hint="eastAsia" w:ascii="仿宋" w:hAnsi="仿宋" w:eastAsia="仿宋" w:cs="仿宋"/>
          <w:color w:val="auto"/>
          <w:sz w:val="24"/>
          <w:highlight w:val="none"/>
        </w:rPr>
      </w:pPr>
    </w:p>
    <w:p>
      <w:pPr>
        <w:pStyle w:val="11"/>
        <w:rPr>
          <w:rFonts w:hint="eastAsia" w:ascii="仿宋" w:hAnsi="仿宋" w:eastAsia="仿宋" w:cs="仿宋"/>
          <w:color w:val="auto"/>
          <w:sz w:val="24"/>
          <w:highlight w:val="none"/>
        </w:rPr>
      </w:pP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pStyle w:val="4"/>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en-US" w:eastAsia="zh-CN"/>
        </w:rPr>
        <w:t>投标</w:t>
      </w:r>
      <w:r>
        <w:rPr>
          <w:rFonts w:ascii="仿宋_GB2312" w:hAnsi="仿宋_GB2312" w:eastAsia="仿宋_GB2312" w:cs="仿宋_GB2312"/>
          <w:b/>
          <w:bCs/>
          <w:sz w:val="28"/>
          <w:szCs w:val="36"/>
        </w:rPr>
        <w:t>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hint="eastAsia" w:eastAsia="仿宋_GB2312"/>
          <w:sz w:val="24"/>
          <w:u w:val="single"/>
          <w:lang w:val="en-US" w:eastAsia="zh-CN"/>
        </w:rPr>
        <w:t>陕西炬荣招标代理有限公司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w:t>
      </w:r>
      <w:r>
        <w:rPr>
          <w:rFonts w:hint="eastAsia" w:eastAsia="仿宋_GB2312"/>
          <w:sz w:val="24"/>
          <w:lang w:val="en-US" w:eastAsia="zh-CN"/>
        </w:rPr>
        <w:t>招标</w:t>
      </w:r>
      <w:r>
        <w:rPr>
          <w:rFonts w:eastAsia="仿宋_GB2312"/>
          <w:sz w:val="24"/>
        </w:rPr>
        <w:t>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w:t>
      </w:r>
      <w:r>
        <w:rPr>
          <w:rFonts w:hint="eastAsia" w:eastAsia="仿宋_GB2312"/>
          <w:sz w:val="24"/>
          <w:lang w:val="en-US" w:eastAsia="zh-CN"/>
        </w:rPr>
        <w:t>招标</w:t>
      </w:r>
      <w:r>
        <w:rPr>
          <w:rFonts w:eastAsia="仿宋_GB2312"/>
          <w:sz w:val="24"/>
        </w:rPr>
        <w:t>,我方接受被保证人的委托,在此向受益人提供不可撤销的</w:t>
      </w:r>
      <w:r>
        <w:rPr>
          <w:rFonts w:hint="eastAsia" w:eastAsia="仿宋_GB2312"/>
          <w:sz w:val="24"/>
          <w:lang w:val="en-US" w:eastAsia="zh-CN"/>
        </w:rPr>
        <w:t>投标</w:t>
      </w:r>
      <w:r>
        <w:rPr>
          <w:rFonts w:eastAsia="仿宋_GB2312"/>
          <w:sz w:val="24"/>
        </w:rPr>
        <w:t>保证：</w:t>
      </w:r>
    </w:p>
    <w:p>
      <w:pPr>
        <w:numPr>
          <w:ilvl w:val="0"/>
          <w:numId w:val="5"/>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w:t>
      </w:r>
      <w:r>
        <w:rPr>
          <w:rFonts w:hint="eastAsia" w:eastAsia="仿宋_GB2312"/>
          <w:sz w:val="24"/>
          <w:lang w:val="en-US" w:eastAsia="zh-CN"/>
        </w:rPr>
        <w:t>投标</w:t>
      </w:r>
      <w:r>
        <w:rPr>
          <w:rFonts w:eastAsia="仿宋_GB2312"/>
          <w:sz w:val="24"/>
        </w:rPr>
        <w:t>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w:t>
      </w:r>
      <w:r>
        <w:rPr>
          <w:rFonts w:hint="eastAsia" w:eastAsia="仿宋_GB2312"/>
          <w:sz w:val="24"/>
          <w:lang w:val="en-US" w:eastAsia="zh-CN"/>
        </w:rPr>
        <w:t>投标</w:t>
      </w:r>
      <w:r>
        <w:rPr>
          <w:rFonts w:eastAsia="仿宋_GB2312"/>
          <w:sz w:val="24"/>
        </w:rPr>
        <w:t>文件有效期内撤回其</w:t>
      </w:r>
      <w:r>
        <w:rPr>
          <w:rFonts w:hint="eastAsia" w:eastAsia="仿宋_GB2312"/>
          <w:sz w:val="24"/>
          <w:lang w:val="en-US" w:eastAsia="zh-CN"/>
        </w:rPr>
        <w:t>投标</w:t>
      </w:r>
      <w:r>
        <w:rPr>
          <w:rFonts w:eastAsia="仿宋_GB2312"/>
          <w:sz w:val="24"/>
        </w:rPr>
        <w:t>文件；</w:t>
      </w:r>
      <w:r>
        <w:rPr>
          <w:rFonts w:eastAsia="仿宋_GB2312"/>
          <w:sz w:val="24"/>
        </w:rPr>
        <w:br w:type="textWrapping"/>
      </w:r>
      <w:r>
        <w:rPr>
          <w:rFonts w:eastAsia="仿宋_GB2312"/>
          <w:sz w:val="24"/>
        </w:rPr>
        <w:t xml:space="preserve">    2.被保证人在</w:t>
      </w:r>
      <w:r>
        <w:rPr>
          <w:rFonts w:hint="eastAsia" w:eastAsia="仿宋_GB2312"/>
          <w:sz w:val="24"/>
          <w:lang w:val="en-US" w:eastAsia="zh-CN"/>
        </w:rPr>
        <w:t>投标</w:t>
      </w:r>
      <w:r>
        <w:rPr>
          <w:rFonts w:eastAsia="仿宋_GB2312"/>
          <w:sz w:val="24"/>
        </w:rPr>
        <w:t>文件有效期内收到受益人发出的</w:t>
      </w:r>
      <w:r>
        <w:rPr>
          <w:rFonts w:hint="eastAsia" w:eastAsia="仿宋_GB2312"/>
          <w:sz w:val="24"/>
          <w:lang w:val="en-US" w:eastAsia="zh-CN"/>
        </w:rPr>
        <w:t>中标</w:t>
      </w:r>
      <w:r>
        <w:rPr>
          <w:rFonts w:eastAsia="仿宋_GB2312"/>
          <w:sz w:val="24"/>
        </w:rPr>
        <w:t>通知书后,不能或拒绝按</w:t>
      </w:r>
      <w:r>
        <w:rPr>
          <w:rFonts w:hint="eastAsia" w:eastAsia="仿宋_GB2312"/>
          <w:sz w:val="24"/>
          <w:lang w:val="en-US" w:eastAsia="zh-CN"/>
        </w:rPr>
        <w:t>招标</w:t>
      </w:r>
      <w:r>
        <w:rPr>
          <w:rFonts w:eastAsia="仿宋_GB2312"/>
          <w:sz w:val="24"/>
        </w:rPr>
        <w:t>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w:t>
      </w:r>
      <w:r>
        <w:rPr>
          <w:rFonts w:hint="eastAsia" w:eastAsia="仿宋_GB2312"/>
          <w:sz w:val="24"/>
          <w:lang w:val="en-US" w:eastAsia="zh-CN"/>
        </w:rPr>
        <w:t>中标</w:t>
      </w:r>
      <w:r>
        <w:rPr>
          <w:rFonts w:eastAsia="仿宋_GB2312"/>
          <w:sz w:val="24"/>
        </w:rPr>
        <w:t>通知书后,不能或拒绝按</w:t>
      </w:r>
      <w:r>
        <w:rPr>
          <w:rFonts w:hint="eastAsia" w:eastAsia="仿宋_GB2312"/>
          <w:sz w:val="24"/>
          <w:lang w:val="en-US" w:eastAsia="zh-CN"/>
        </w:rPr>
        <w:t>招标</w:t>
      </w:r>
      <w:r>
        <w:rPr>
          <w:rFonts w:eastAsia="仿宋_GB2312"/>
          <w:sz w:val="24"/>
        </w:rPr>
        <w:t>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w:t>
      </w:r>
      <w:r>
        <w:rPr>
          <w:rFonts w:hint="eastAsia" w:eastAsia="仿宋_GB2312"/>
          <w:sz w:val="24"/>
          <w:lang w:val="en-US" w:eastAsia="zh-CN"/>
        </w:rPr>
        <w:t>中标</w:t>
      </w:r>
      <w:r>
        <w:rPr>
          <w:rFonts w:eastAsia="仿宋_GB2312"/>
          <w:sz w:val="24"/>
        </w:rPr>
        <w:t>后未按照</w:t>
      </w:r>
      <w:r>
        <w:rPr>
          <w:rFonts w:hint="eastAsia" w:eastAsia="仿宋_GB2312"/>
          <w:sz w:val="24"/>
          <w:lang w:val="en-US" w:eastAsia="zh-CN"/>
        </w:rPr>
        <w:t>招标</w:t>
      </w:r>
      <w:r>
        <w:rPr>
          <w:rFonts w:eastAsia="仿宋_GB2312"/>
          <w:sz w:val="24"/>
        </w:rPr>
        <w:t>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tLeast"/>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 xml:space="preserve">第五部分 </w:t>
      </w:r>
      <w:r>
        <w:rPr>
          <w:rFonts w:hint="eastAsia" w:ascii="仿宋" w:hAnsi="仿宋" w:eastAsia="仿宋" w:cs="仿宋"/>
          <w:b/>
          <w:color w:val="auto"/>
          <w:sz w:val="32"/>
          <w:szCs w:val="32"/>
          <w:highlight w:val="none"/>
          <w:lang w:val="en-US" w:eastAsia="zh-CN"/>
        </w:rPr>
        <w:t>技术响应</w:t>
      </w:r>
      <w:r>
        <w:rPr>
          <w:rFonts w:hint="eastAsia" w:ascii="仿宋" w:hAnsi="仿宋" w:eastAsia="仿宋" w:cs="仿宋"/>
          <w:b/>
          <w:color w:val="auto"/>
          <w:sz w:val="32"/>
          <w:szCs w:val="32"/>
          <w:highlight w:val="none"/>
        </w:rPr>
        <w:t>方案</w:t>
      </w:r>
    </w:p>
    <w:p>
      <w:pPr>
        <w:kinsoku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sz w:val="24"/>
        </w:rPr>
        <w:t>项目组织实施方案</w:t>
      </w:r>
      <w:r>
        <w:rPr>
          <w:rFonts w:hint="eastAsia" w:ascii="仿宋" w:hAnsi="仿宋" w:eastAsia="仿宋" w:cs="仿宋"/>
          <w:color w:val="auto"/>
          <w:sz w:val="24"/>
          <w:highlight w:val="none"/>
        </w:rPr>
        <w:t>；</w:t>
      </w:r>
    </w:p>
    <w:p>
      <w:pPr>
        <w:kinsoku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、质量保证措施；</w:t>
      </w:r>
    </w:p>
    <w:p>
      <w:pPr>
        <w:kinsoku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、培训及售后服</w:t>
      </w:r>
      <w:r>
        <w:rPr>
          <w:rFonts w:hint="eastAsia" w:ascii="仿宋" w:hAnsi="仿宋" w:eastAsia="仿宋" w:cs="仿宋"/>
          <w:color w:val="auto"/>
          <w:sz w:val="24"/>
          <w:highlight w:val="none"/>
          <w:lang w:val="en-US" w:eastAsia="zh-CN"/>
        </w:rPr>
        <w:t>务</w:t>
      </w:r>
      <w:r>
        <w:rPr>
          <w:rFonts w:hint="eastAsia" w:ascii="仿宋" w:hAnsi="仿宋" w:eastAsia="仿宋" w:cs="仿宋"/>
          <w:color w:val="auto"/>
          <w:sz w:val="24"/>
          <w:highlight w:val="none"/>
        </w:rPr>
        <w:t>；</w:t>
      </w:r>
    </w:p>
    <w:p>
      <w:pPr>
        <w:kinsoku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、项目团队</w:t>
      </w:r>
      <w:r>
        <w:rPr>
          <w:rFonts w:hint="eastAsia" w:ascii="仿宋" w:hAnsi="仿宋" w:eastAsia="仿宋" w:cs="仿宋"/>
          <w:color w:val="auto"/>
          <w:sz w:val="24"/>
          <w:highlight w:val="none"/>
          <w:lang w:val="en-US" w:eastAsia="zh-CN"/>
        </w:rPr>
        <w:t>人员配备</w:t>
      </w:r>
      <w:r>
        <w:rPr>
          <w:rFonts w:hint="eastAsia" w:ascii="仿宋" w:hAnsi="仿宋" w:eastAsia="仿宋" w:cs="仿宋"/>
          <w:color w:val="auto"/>
          <w:sz w:val="24"/>
          <w:highlight w:val="none"/>
        </w:rPr>
        <w:t>；</w:t>
      </w:r>
    </w:p>
    <w:p>
      <w:pPr>
        <w:kinsoku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、投标人认为有必要说明的问题。</w:t>
      </w:r>
    </w:p>
    <w:p>
      <w:pPr>
        <w:kinsoku w:val="0"/>
        <w:spacing w:line="5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（各投标人根据采购内容及评标办法，可自主编写方案说明，包含但不限于以上内容）</w:t>
      </w:r>
    </w:p>
    <w:p>
      <w:pPr>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br w:type="page"/>
      </w:r>
    </w:p>
    <w:p>
      <w:pPr>
        <w:spacing w:line="600" w:lineRule="exact"/>
        <w:jc w:val="center"/>
        <w:rPr>
          <w:rFonts w:hint="eastAsia" w:ascii="仿宋" w:hAnsi="仿宋" w:eastAsia="仿宋" w:cs="仿宋"/>
          <w:sz w:val="28"/>
        </w:rPr>
      </w:pPr>
      <w:r>
        <w:rPr>
          <w:rFonts w:hint="eastAsia" w:ascii="仿宋" w:hAnsi="仿宋" w:eastAsia="仿宋" w:cs="仿宋"/>
          <w:b/>
        </w:rPr>
        <w:t xml:space="preserve">  </w:t>
      </w:r>
      <w:r>
        <w:rPr>
          <w:rFonts w:hint="eastAsia" w:ascii="仿宋" w:hAnsi="仿宋" w:eastAsia="仿宋" w:cs="仿宋"/>
          <w:b/>
          <w:sz w:val="32"/>
          <w:szCs w:val="32"/>
        </w:rPr>
        <w:t>第六部分</w:t>
      </w:r>
      <w:r>
        <w:rPr>
          <w:rFonts w:hint="eastAsia" w:ascii="仿宋" w:hAnsi="仿宋" w:eastAsia="仿宋" w:cs="仿宋"/>
          <w:b/>
        </w:rPr>
        <w:t xml:space="preserve"> </w:t>
      </w:r>
      <w:r>
        <w:rPr>
          <w:rFonts w:hint="eastAsia" w:ascii="仿宋" w:hAnsi="仿宋" w:eastAsia="仿宋" w:cs="仿宋"/>
          <w:b/>
          <w:sz w:val="32"/>
          <w:szCs w:val="32"/>
        </w:rPr>
        <w:t xml:space="preserve"> 商务响应方案</w:t>
      </w:r>
    </w:p>
    <w:p>
      <w:pPr>
        <w:spacing w:line="760" w:lineRule="exact"/>
        <w:rPr>
          <w:rFonts w:hint="eastAsia" w:ascii="仿宋" w:hAnsi="仿宋" w:eastAsia="仿宋" w:cs="仿宋"/>
          <w:sz w:val="24"/>
        </w:rPr>
      </w:pPr>
      <w:r>
        <w:rPr>
          <w:rFonts w:hint="eastAsia" w:ascii="仿宋" w:hAnsi="仿宋" w:eastAsia="仿宋" w:cs="仿宋"/>
          <w:sz w:val="24"/>
        </w:rPr>
        <w:t>商务响应方案的主要内容：</w:t>
      </w:r>
    </w:p>
    <w:p>
      <w:pPr>
        <w:spacing w:line="360" w:lineRule="auto"/>
        <w:ind w:firstLine="420"/>
        <w:outlineLvl w:val="2"/>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企业简介；</w:t>
      </w:r>
    </w:p>
    <w:p>
      <w:pPr>
        <w:spacing w:line="360" w:lineRule="auto"/>
        <w:ind w:firstLine="420"/>
        <w:outlineLvl w:val="2"/>
        <w:rPr>
          <w:rFonts w:hint="eastAsia" w:ascii="仿宋" w:hAnsi="仿宋" w:eastAsia="仿宋" w:cs="仿宋"/>
          <w:sz w:val="24"/>
        </w:rPr>
      </w:pPr>
      <w:r>
        <w:rPr>
          <w:rFonts w:hint="eastAsia" w:ascii="仿宋" w:hAnsi="仿宋" w:eastAsia="仿宋" w:cs="仿宋"/>
          <w:sz w:val="24"/>
        </w:rPr>
        <w:t>2）业绩；</w:t>
      </w:r>
    </w:p>
    <w:p>
      <w:pPr>
        <w:spacing w:line="360" w:lineRule="auto"/>
        <w:ind w:firstLine="420"/>
        <w:outlineLvl w:val="2"/>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有必要说明的商务事宜。</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部分  承诺书</w:t>
      </w:r>
    </w:p>
    <w:p>
      <w:pPr>
        <w:spacing w:line="360" w:lineRule="atLeast"/>
        <w:jc w:val="center"/>
        <w:rPr>
          <w:rFonts w:hint="eastAsia" w:ascii="仿宋" w:hAnsi="仿宋" w:eastAsia="仿宋" w:cs="仿宋"/>
          <w:b/>
          <w:color w:val="auto"/>
          <w:sz w:val="24"/>
          <w:szCs w:val="32"/>
          <w:highlight w:val="none"/>
        </w:rPr>
      </w:pPr>
    </w:p>
    <w:p>
      <w:pPr>
        <w:pStyle w:val="1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陕西省政府采购供应商拒绝政府采购领域商业贿赂承诺书</w:t>
      </w:r>
      <w:r>
        <w:rPr>
          <w:rFonts w:hint="eastAsia" w:ascii="仿宋" w:hAnsi="仿宋" w:eastAsia="仿宋" w:cs="仿宋"/>
          <w:b/>
          <w:color w:val="auto"/>
          <w:sz w:val="32"/>
          <w:szCs w:val="32"/>
          <w:highlight w:val="none"/>
        </w:rPr>
        <w:t>Ⅰ</w:t>
      </w:r>
    </w:p>
    <w:p>
      <w:pPr>
        <w:rPr>
          <w:rFonts w:hint="eastAsia" w:ascii="仿宋" w:hAnsi="仿宋" w:eastAsia="仿宋" w:cs="仿宋"/>
          <w:color w:val="auto"/>
          <w:highlight w:val="none"/>
        </w:rPr>
      </w:pPr>
    </w:p>
    <w:p>
      <w:pPr>
        <w:spacing w:line="44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为响应党中央、</w:t>
      </w:r>
      <w:r>
        <w:rPr>
          <w:rFonts w:hint="eastAsia" w:ascii="仿宋" w:hAnsi="仿宋" w:eastAsia="仿宋" w:cs="仿宋"/>
          <w:color w:val="auto"/>
          <w:sz w:val="24"/>
          <w:highlight w:val="none"/>
        </w:rPr>
        <w:t>国务院</w:t>
      </w:r>
      <w:r>
        <w:rPr>
          <w:rFonts w:hint="eastAsia" w:ascii="仿宋" w:hAnsi="仿宋" w:eastAsia="仿宋" w:cs="仿宋"/>
          <w:color w:val="auto"/>
          <w:sz w:val="24"/>
          <w:szCs w:val="28"/>
          <w:highlight w:val="none"/>
        </w:rPr>
        <w:t>关于治理政府采购领域商业贿赂行为的号召，我公司在此庄严承诺：</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1.在参与政府采购活动中遵纪守法、诚信经营、公平竞标；</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2.不向政府采购人、采购代理机构和政府采购评审专家进行任何形式的商业贿赂以谋取交易机会；</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3.不向政府采购代理机构和采购人提供虚假资质文件或采用虚假应标方式参与政府采购市场竞争并谋取中标；</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4.不采取“围标、陪标”等商业欺诈手段获得政府采购订单；</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5.不采取不正当手段诋毁、排挤其他供应商；</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6.不在提供产品时“偷梁换柱、以次充好”损害采购人的合法权益；</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7.不与采购人、采购代理机构政府采购评审专家或其它供应商恶意串通，进行质疑和投诉，维护政府采购市场秩序；</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8.尊重和接受政府采购监督管理部门的监督和政府采购代理机构招标采购要求，承担因违约行为给采购人造成的损失；</w:t>
      </w: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9.不发生其他有悖于政府采购公开、公平、公正和诚信原则的行为。</w:t>
      </w:r>
    </w:p>
    <w:p>
      <w:pPr>
        <w:spacing w:line="440" w:lineRule="exact"/>
        <w:ind w:firstLine="480" w:firstLineChars="200"/>
        <w:rPr>
          <w:rFonts w:hint="eastAsia" w:ascii="仿宋" w:hAnsi="仿宋" w:eastAsia="仿宋" w:cs="仿宋"/>
          <w:color w:val="auto"/>
          <w:sz w:val="24"/>
          <w:szCs w:val="28"/>
          <w:highlight w:val="none"/>
        </w:rPr>
      </w:pP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承诺单位：</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（盖章）</w:t>
      </w:r>
    </w:p>
    <w:p>
      <w:pPr>
        <w:spacing w:line="440" w:lineRule="exact"/>
        <w:ind w:firstLine="360" w:firstLineChars="150"/>
        <w:rPr>
          <w:rFonts w:hint="eastAsia" w:ascii="仿宋" w:hAnsi="仿宋" w:eastAsia="仿宋" w:cs="仿宋"/>
          <w:color w:val="auto"/>
          <w:sz w:val="24"/>
          <w:szCs w:val="28"/>
          <w:highlight w:val="none"/>
        </w:rPr>
      </w:pP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全权代表：</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 xml:space="preserve"> （签字）</w:t>
      </w:r>
    </w:p>
    <w:p>
      <w:pPr>
        <w:spacing w:line="440" w:lineRule="exact"/>
        <w:ind w:firstLine="360" w:firstLineChars="150"/>
        <w:rPr>
          <w:rFonts w:hint="eastAsia" w:ascii="仿宋" w:hAnsi="仿宋" w:eastAsia="仿宋" w:cs="仿宋"/>
          <w:color w:val="auto"/>
          <w:sz w:val="24"/>
          <w:szCs w:val="28"/>
          <w:highlight w:val="none"/>
        </w:rPr>
      </w:pP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地址： </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 xml:space="preserve">   邮编：</w:t>
      </w:r>
      <w:r>
        <w:rPr>
          <w:rFonts w:hint="eastAsia" w:ascii="仿宋" w:hAnsi="仿宋" w:eastAsia="仿宋" w:cs="仿宋"/>
          <w:color w:val="auto"/>
          <w:sz w:val="24"/>
          <w:szCs w:val="28"/>
          <w:highlight w:val="none"/>
          <w:u w:val="single"/>
        </w:rPr>
        <w:t xml:space="preserve">               </w:t>
      </w:r>
    </w:p>
    <w:p>
      <w:pPr>
        <w:spacing w:line="440" w:lineRule="exact"/>
        <w:ind w:firstLine="480" w:firstLineChars="200"/>
        <w:rPr>
          <w:rFonts w:hint="eastAsia" w:ascii="仿宋" w:hAnsi="仿宋" w:eastAsia="仿宋" w:cs="仿宋"/>
          <w:color w:val="auto"/>
          <w:sz w:val="24"/>
          <w:szCs w:val="28"/>
          <w:highlight w:val="none"/>
        </w:rPr>
      </w:pPr>
    </w:p>
    <w:p>
      <w:pPr>
        <w:spacing w:line="44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电话：</w:t>
      </w:r>
      <w:r>
        <w:rPr>
          <w:rFonts w:hint="eastAsia" w:ascii="仿宋" w:hAnsi="仿宋" w:eastAsia="仿宋" w:cs="仿宋"/>
          <w:color w:val="auto"/>
          <w:sz w:val="24"/>
          <w:szCs w:val="28"/>
          <w:highlight w:val="none"/>
          <w:u w:val="single"/>
        </w:rPr>
        <w:t xml:space="preserve">                   </w:t>
      </w:r>
    </w:p>
    <w:p>
      <w:pPr>
        <w:spacing w:line="440" w:lineRule="exact"/>
        <w:ind w:firstLine="480" w:firstLineChars="200"/>
        <w:rPr>
          <w:rFonts w:hint="eastAsia" w:ascii="仿宋" w:hAnsi="仿宋" w:eastAsia="仿宋" w:cs="仿宋"/>
          <w:color w:val="auto"/>
          <w:sz w:val="24"/>
          <w:szCs w:val="28"/>
          <w:highlight w:val="none"/>
        </w:rPr>
      </w:pPr>
    </w:p>
    <w:p>
      <w:pPr>
        <w:spacing w:line="440" w:lineRule="exact"/>
        <w:ind w:firstLine="360" w:firstLineChars="150"/>
        <w:rPr>
          <w:rFonts w:hint="eastAsia" w:ascii="仿宋" w:hAnsi="仿宋" w:eastAsia="仿宋" w:cs="仿宋"/>
          <w:color w:val="auto"/>
          <w:sz w:val="24"/>
          <w:szCs w:val="28"/>
          <w:highlight w:val="none"/>
        </w:rPr>
      </w:pPr>
    </w:p>
    <w:p>
      <w:pPr>
        <w:spacing w:line="440" w:lineRule="exact"/>
        <w:ind w:right="480" w:firstLine="360" w:firstLineChars="15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 xml:space="preserve"> 年</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月</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日</w:t>
      </w:r>
    </w:p>
    <w:p>
      <w:pPr>
        <w:spacing w:line="360" w:lineRule="atLeast"/>
        <w:ind w:firstLine="4189" w:firstLineChars="1304"/>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承诺书Ⅱ</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pacing w:val="-6"/>
                <w:sz w:val="24"/>
                <w:highlight w:val="none"/>
                <w:lang w:eastAsia="zh-CN"/>
              </w:rPr>
              <w:t>陕西炬荣招标代理有限公司</w:t>
            </w:r>
            <w:r>
              <w:rPr>
                <w:rFonts w:hint="eastAsia" w:ascii="仿宋" w:hAnsi="仿宋" w:eastAsia="仿宋" w:cs="仿宋"/>
                <w:color w:val="auto"/>
                <w:spacing w:val="-6"/>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作为参加贵单位组织的招标采购项目的投标人，本公司承诺：在参加本项目招标之前不存在被依法禁止经营行为、财产被接管或冻结的情况，如有隐瞒实情，愿承担一切责任及后果。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rPr>
          <w:rFonts w:hint="eastAsia" w:ascii="仿宋" w:hAnsi="仿宋" w:eastAsia="仿宋" w:cs="仿宋"/>
          <w:b/>
          <w:color w:val="auto"/>
          <w:sz w:val="42"/>
          <w:szCs w:val="4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pacing w:val="-6"/>
                <w:sz w:val="24"/>
                <w:highlight w:val="none"/>
                <w:lang w:eastAsia="zh-CN"/>
              </w:rPr>
              <w:t>陕西炬荣招标代理有限公司</w:t>
            </w:r>
            <w:r>
              <w:rPr>
                <w:rFonts w:hint="eastAsia" w:ascii="仿宋" w:hAnsi="仿宋" w:eastAsia="仿宋" w:cs="仿宋"/>
                <w:color w:val="auto"/>
                <w:spacing w:val="-6"/>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作为参加贵单位组织的招标采购项目的投标人，本公司郑重申告并承诺：近三年受到有关行政主管部门的行政处理、不良行为记录为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承诺书Ⅳ</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pacing w:val="-6"/>
                <w:sz w:val="24"/>
                <w:highlight w:val="none"/>
                <w:lang w:eastAsia="zh-CN"/>
              </w:rPr>
              <w:t>陕西炬荣招标代理有限公司</w:t>
            </w:r>
            <w:r>
              <w:rPr>
                <w:rFonts w:hint="eastAsia" w:ascii="仿宋" w:hAnsi="仿宋" w:eastAsia="仿宋" w:cs="仿宋"/>
                <w:color w:val="auto"/>
                <w:spacing w:val="-6"/>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作为参加贵公司组织的招标采购项目的供应商，本公司郑重申告：近三年因产品（设备）供货问题（水货、替代品、次品、翻新品等）的不法行为记录为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次（没有填零），如有隐瞒实情，愿承担一切责任及后果。</w:t>
            </w:r>
          </w:p>
          <w:p>
            <w:pPr>
              <w:spacing w:line="36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wordWrap w:val="0"/>
        <w:spacing w:line="360" w:lineRule="auto"/>
        <w:ind w:right="456" w:firstLine="2570" w:firstLineChars="800"/>
        <w:rPr>
          <w:rFonts w:hint="eastAsia" w:ascii="仿宋" w:hAnsi="仿宋" w:eastAsia="仿宋" w:cs="仿宋"/>
          <w:b/>
          <w:bCs/>
          <w:color w:val="auto"/>
          <w:sz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pacing w:val="-6"/>
                <w:sz w:val="24"/>
                <w:highlight w:val="none"/>
                <w:lang w:eastAsia="zh-CN"/>
              </w:rPr>
              <w:t>陕西炬荣招标代理有限公司</w:t>
            </w:r>
            <w:r>
              <w:rPr>
                <w:rFonts w:hint="eastAsia" w:ascii="仿宋" w:hAnsi="仿宋" w:eastAsia="仿宋" w:cs="仿宋"/>
                <w:color w:val="auto"/>
                <w:spacing w:val="-6"/>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rPr>
      </w:pPr>
      <w:r>
        <w:rPr>
          <w:rFonts w:hint="eastAsia" w:ascii="仿宋" w:hAnsi="仿宋" w:eastAsia="仿宋" w:cs="仿宋"/>
        </w:rPr>
        <w:br w:type="page"/>
      </w:r>
    </w:p>
    <w:p>
      <w:pPr>
        <w:spacing w:line="360" w:lineRule="atLeast"/>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第八部分  附件</w:t>
      </w:r>
    </w:p>
    <w:p>
      <w:pPr>
        <w:spacing w:line="360" w:lineRule="auto"/>
        <w:ind w:firstLine="557" w:firstLineChars="198"/>
        <w:jc w:val="center"/>
        <w:rPr>
          <w:rFonts w:ascii="仿宋" w:hAnsi="仿宋" w:eastAsia="仿宋" w:cs="仿宋"/>
          <w:b/>
          <w:bCs/>
          <w:sz w:val="28"/>
          <w:szCs w:val="28"/>
        </w:rPr>
      </w:pPr>
      <w:bookmarkStart w:id="28" w:name="_Toc32499"/>
      <w:bookmarkStart w:id="29" w:name="_Toc26990"/>
      <w:r>
        <w:rPr>
          <w:rFonts w:hint="eastAsia" w:ascii="仿宋" w:hAnsi="仿宋" w:eastAsia="仿宋" w:cs="仿宋"/>
          <w:b/>
          <w:bCs/>
          <w:sz w:val="28"/>
          <w:szCs w:val="28"/>
        </w:rPr>
        <w:t xml:space="preserve">一、中小企业声明函（货物） </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本公司（联合体）郑重声明，根据《政府采购促进中小企业发展管理办法》（财库﹝2020﹞46 号）的规定，本公司（联合体）参加（</w:t>
      </w:r>
      <w:r>
        <w:rPr>
          <w:rFonts w:hint="eastAsia" w:ascii="仿宋" w:hAnsi="仿宋" w:eastAsia="仿宋" w:cs="仿宋"/>
          <w:bCs/>
          <w:sz w:val="24"/>
          <w:u w:val="single"/>
        </w:rPr>
        <w:t>单位名称</w:t>
      </w:r>
      <w:r>
        <w:rPr>
          <w:rFonts w:hint="eastAsia" w:ascii="仿宋" w:hAnsi="仿宋" w:eastAsia="仿宋" w:cs="仿宋"/>
          <w:bCs/>
          <w:sz w:val="24"/>
        </w:rPr>
        <w:t>）的（</w:t>
      </w:r>
      <w:r>
        <w:rPr>
          <w:rFonts w:hint="eastAsia" w:ascii="仿宋" w:hAnsi="仿宋" w:eastAsia="仿宋" w:cs="仿宋"/>
          <w:bCs/>
          <w:sz w:val="24"/>
          <w:u w:val="single"/>
        </w:rPr>
        <w:t>项目名称</w:t>
      </w:r>
      <w:r>
        <w:rPr>
          <w:rFonts w:hint="eastAsia" w:ascii="仿宋" w:hAnsi="仿宋" w:eastAsia="仿宋" w:cs="仿宋"/>
          <w:bCs/>
          <w:sz w:val="24"/>
        </w:rPr>
        <w:t>）采购活动，提供的货物全部由符合政策要求的中小企业制造。相关企业（含联合体中的中小企业、签订分包意向协议的中小企业）的具体情况如下：</w:t>
      </w:r>
    </w:p>
    <w:p>
      <w:pPr>
        <w:spacing w:line="360" w:lineRule="auto"/>
        <w:rPr>
          <w:rFonts w:hint="eastAsia" w:ascii="仿宋" w:hAnsi="仿宋" w:eastAsia="仿宋" w:cs="仿宋"/>
          <w:bCs/>
          <w:sz w:val="24"/>
        </w:rPr>
      </w:pPr>
      <w:r>
        <w:rPr>
          <w:rFonts w:hint="eastAsia" w:ascii="仿宋" w:hAnsi="仿宋" w:eastAsia="仿宋" w:cs="仿宋"/>
          <w:bCs/>
          <w:sz w:val="24"/>
        </w:rPr>
        <w:t>1. （标的名称） ，属于（采购文件中明确的所属行业）行业；制造商为（企业名称），从业人员</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人，营业收入为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万元，资产总额为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万</w:t>
      </w:r>
      <w:r>
        <w:rPr>
          <w:rFonts w:ascii="仿宋" w:hAnsi="仿宋" w:eastAsia="仿宋" w:cs="仿宋"/>
          <w:spacing w:val="2"/>
          <w:w w:val="99"/>
          <w:sz w:val="24"/>
          <w:szCs w:val="24"/>
          <w:lang w:eastAsia="zh-CN"/>
        </w:rPr>
        <w:t>元</w:t>
      </w:r>
      <w:r>
        <w:rPr>
          <w:sz w:val="18"/>
          <w:szCs w:val="21"/>
        </w:rPr>
        <w:fldChar w:fldCharType="begin"/>
      </w:r>
      <w:r>
        <w:rPr>
          <w:sz w:val="18"/>
          <w:szCs w:val="21"/>
        </w:rPr>
        <w:instrText xml:space="preserve"> HYPERLINK \l "_bookmark0" </w:instrText>
      </w:r>
      <w:r>
        <w:rPr>
          <w:sz w:val="18"/>
          <w:szCs w:val="21"/>
        </w:rPr>
        <w:fldChar w:fldCharType="separate"/>
      </w:r>
      <w:r>
        <w:rPr>
          <w:rFonts w:ascii="仿宋" w:hAnsi="仿宋" w:eastAsia="仿宋" w:cs="仿宋"/>
          <w:spacing w:val="-2"/>
          <w:position w:val="16"/>
          <w:sz w:val="13"/>
          <w:szCs w:val="13"/>
          <w:lang w:eastAsia="zh-CN"/>
        </w:rPr>
        <w:t>1</w:t>
      </w:r>
      <w:r>
        <w:rPr>
          <w:rFonts w:ascii="仿宋" w:hAnsi="仿宋" w:eastAsia="仿宋" w:cs="仿宋"/>
          <w:spacing w:val="-2"/>
          <w:position w:val="16"/>
          <w:sz w:val="13"/>
          <w:szCs w:val="13"/>
          <w:lang w:eastAsia="zh-CN"/>
        </w:rPr>
        <w:fldChar w:fldCharType="end"/>
      </w:r>
      <w:r>
        <w:rPr>
          <w:rFonts w:hint="eastAsia" w:ascii="仿宋" w:hAnsi="仿宋" w:eastAsia="仿宋" w:cs="仿宋"/>
          <w:bCs/>
          <w:sz w:val="24"/>
        </w:rPr>
        <w:t>，属于（中型企业、小型企业、微型企业）；</w:t>
      </w:r>
    </w:p>
    <w:p>
      <w:pPr>
        <w:spacing w:line="360" w:lineRule="auto"/>
        <w:rPr>
          <w:rFonts w:hint="eastAsia" w:ascii="仿宋" w:hAnsi="仿宋" w:eastAsia="仿宋" w:cs="仿宋"/>
          <w:bCs/>
          <w:sz w:val="24"/>
        </w:rPr>
      </w:pPr>
      <w:r>
        <w:rPr>
          <w:rFonts w:hint="eastAsia" w:ascii="仿宋" w:hAnsi="仿宋" w:eastAsia="仿宋" w:cs="仿宋"/>
          <w:bCs/>
          <w:sz w:val="24"/>
        </w:rPr>
        <w:t>2. （标的名称） ，属于（采购文件中明确的所属行业）行业；制造商为（企业名称），从业人员</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人，营业收入为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万元，资产总额为</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万</w:t>
      </w:r>
      <w:r>
        <w:rPr>
          <w:rFonts w:ascii="仿宋" w:hAnsi="仿宋" w:eastAsia="仿宋" w:cs="仿宋"/>
          <w:spacing w:val="2"/>
          <w:w w:val="99"/>
          <w:sz w:val="24"/>
          <w:szCs w:val="24"/>
          <w:lang w:eastAsia="zh-CN"/>
        </w:rPr>
        <w:t>元</w:t>
      </w:r>
      <w:r>
        <w:rPr>
          <w:sz w:val="18"/>
          <w:szCs w:val="21"/>
        </w:rPr>
        <w:fldChar w:fldCharType="begin"/>
      </w:r>
      <w:r>
        <w:rPr>
          <w:sz w:val="18"/>
          <w:szCs w:val="21"/>
        </w:rPr>
        <w:instrText xml:space="preserve"> HYPERLINK \l "_bookmark0" </w:instrText>
      </w:r>
      <w:r>
        <w:rPr>
          <w:sz w:val="18"/>
          <w:szCs w:val="21"/>
        </w:rPr>
        <w:fldChar w:fldCharType="separate"/>
      </w:r>
      <w:r>
        <w:rPr>
          <w:rFonts w:ascii="仿宋" w:hAnsi="仿宋" w:eastAsia="仿宋" w:cs="仿宋"/>
          <w:spacing w:val="-2"/>
          <w:position w:val="16"/>
          <w:sz w:val="13"/>
          <w:szCs w:val="13"/>
          <w:lang w:eastAsia="zh-CN"/>
        </w:rPr>
        <w:t>1</w:t>
      </w:r>
      <w:r>
        <w:rPr>
          <w:rFonts w:ascii="仿宋" w:hAnsi="仿宋" w:eastAsia="仿宋" w:cs="仿宋"/>
          <w:spacing w:val="-2"/>
          <w:position w:val="16"/>
          <w:sz w:val="13"/>
          <w:szCs w:val="13"/>
          <w:lang w:eastAsia="zh-CN"/>
        </w:rPr>
        <w:fldChar w:fldCharType="end"/>
      </w:r>
      <w:r>
        <w:rPr>
          <w:rFonts w:hint="eastAsia" w:ascii="仿宋" w:hAnsi="仿宋" w:eastAsia="仿宋" w:cs="仿宋"/>
          <w:bCs/>
          <w:sz w:val="24"/>
        </w:rPr>
        <w:t>，属于（中型企业、小型企业、微型企业）；</w:t>
      </w:r>
    </w:p>
    <w:p>
      <w:pPr>
        <w:spacing w:line="360" w:lineRule="auto"/>
        <w:ind w:firstLine="475" w:firstLineChars="198"/>
        <w:rPr>
          <w:rFonts w:ascii="仿宋" w:hAnsi="仿宋" w:eastAsia="仿宋" w:cs="仿宋"/>
          <w:bCs/>
          <w:sz w:val="24"/>
        </w:rPr>
      </w:pPr>
      <w:r>
        <w:rPr>
          <w:rFonts w:hint="eastAsia" w:ascii="仿宋" w:hAnsi="仿宋" w:eastAsia="仿宋" w:cs="仿宋"/>
          <w:bCs/>
          <w:sz w:val="24"/>
        </w:rPr>
        <w:t>……</w:t>
      </w:r>
    </w:p>
    <w:p>
      <w:pPr>
        <w:spacing w:line="360" w:lineRule="auto"/>
        <w:ind w:firstLine="475" w:firstLineChars="198"/>
        <w:rPr>
          <w:rFonts w:ascii="仿宋" w:hAnsi="仿宋" w:eastAsia="仿宋" w:cs="仿宋"/>
          <w:bCs/>
          <w:sz w:val="24"/>
        </w:rPr>
      </w:pPr>
      <w:r>
        <w:rPr>
          <w:rFonts w:hint="eastAsia" w:ascii="仿宋" w:hAnsi="仿宋" w:eastAsia="仿宋" w:cs="仿宋"/>
          <w:bCs/>
          <w:sz w:val="24"/>
        </w:rPr>
        <w:t>以上企业，不属于大企业的分支机构，不存在控股股东为大企业的情形，也不存在与大企业的负责人为同一人的情形。</w:t>
      </w:r>
    </w:p>
    <w:p>
      <w:pPr>
        <w:spacing w:line="360" w:lineRule="auto"/>
        <w:ind w:firstLine="475" w:firstLineChars="198"/>
        <w:rPr>
          <w:rFonts w:ascii="仿宋" w:hAnsi="仿宋" w:eastAsia="仿宋" w:cs="仿宋"/>
          <w:bCs/>
          <w:sz w:val="24"/>
        </w:rPr>
      </w:pPr>
      <w:r>
        <w:rPr>
          <w:rFonts w:hint="eastAsia" w:ascii="仿宋" w:hAnsi="仿宋" w:eastAsia="仿宋" w:cs="仿宋"/>
          <w:bCs/>
          <w:sz w:val="24"/>
        </w:rPr>
        <w:t>本企业对上述声明内容的真实性负责。如有虚假，将依法承担相应责任。</w:t>
      </w:r>
    </w:p>
    <w:p>
      <w:pPr>
        <w:spacing w:line="480" w:lineRule="exact"/>
        <w:ind w:firstLine="480" w:firstLineChars="200"/>
        <w:jc w:val="right"/>
        <w:rPr>
          <w:rFonts w:ascii="仿宋" w:hAnsi="仿宋" w:eastAsia="仿宋" w:cs="仿宋"/>
          <w:bCs/>
          <w:sz w:val="24"/>
        </w:rPr>
      </w:pPr>
    </w:p>
    <w:p>
      <w:pPr>
        <w:spacing w:line="480" w:lineRule="exact"/>
        <w:ind w:firstLine="480" w:firstLineChars="200"/>
        <w:jc w:val="center"/>
        <w:rPr>
          <w:rFonts w:ascii="仿宋" w:hAnsi="仿宋" w:eastAsia="仿宋" w:cs="仿宋"/>
          <w:bCs/>
          <w:sz w:val="24"/>
        </w:rPr>
      </w:pPr>
      <w:r>
        <w:rPr>
          <w:rFonts w:hint="eastAsia" w:ascii="仿宋" w:hAnsi="仿宋" w:eastAsia="仿宋" w:cs="仿宋"/>
          <w:bCs/>
          <w:sz w:val="24"/>
        </w:rPr>
        <w:t>企业名称（盖章）：</w:t>
      </w:r>
    </w:p>
    <w:p>
      <w:pPr>
        <w:spacing w:line="480" w:lineRule="exact"/>
        <w:ind w:firstLine="480" w:firstLineChars="200"/>
        <w:jc w:val="center"/>
        <w:rPr>
          <w:rFonts w:ascii="仿宋" w:hAnsi="仿宋" w:eastAsia="仿宋" w:cs="仿宋"/>
          <w:bCs/>
          <w:sz w:val="24"/>
        </w:rPr>
      </w:pPr>
      <w:r>
        <w:rPr>
          <w:rFonts w:hint="eastAsia" w:ascii="仿宋" w:hAnsi="仿宋" w:eastAsia="仿宋" w:cs="仿宋"/>
          <w:bCs/>
          <w:sz w:val="24"/>
        </w:rPr>
        <w:t xml:space="preserve">            日期：</w:t>
      </w:r>
    </w:p>
    <w:p>
      <w:pPr>
        <w:spacing w:line="480" w:lineRule="exact"/>
        <w:ind w:firstLine="480" w:firstLineChars="200"/>
        <w:jc w:val="left"/>
        <w:rPr>
          <w:rFonts w:ascii="仿宋" w:hAnsi="仿宋" w:eastAsia="仿宋" w:cs="仿宋"/>
          <w:bCs/>
          <w:sz w:val="24"/>
        </w:rPr>
      </w:pPr>
    </w:p>
    <w:p>
      <w:pPr>
        <w:spacing w:line="480" w:lineRule="exact"/>
        <w:ind w:firstLine="480" w:firstLineChars="200"/>
        <w:jc w:val="left"/>
        <w:rPr>
          <w:rFonts w:ascii="仿宋" w:hAnsi="仿宋" w:eastAsia="仿宋" w:cs="仿宋"/>
          <w:bCs/>
          <w:sz w:val="24"/>
        </w:rPr>
      </w:pPr>
      <w:r>
        <w:rPr>
          <w:rFonts w:hint="eastAsia" w:ascii="仿宋" w:hAnsi="仿宋" w:eastAsia="仿宋" w:cs="仿宋"/>
          <w:bCs/>
          <w:sz w:val="24"/>
        </w:rPr>
        <w:t>注：¹从业人员、营业收入、资产总额填报上一年度数据，无上一年度数据的新成立企业可不填报。</w:t>
      </w:r>
    </w:p>
    <w:p>
      <w:pPr>
        <w:spacing w:line="440" w:lineRule="exact"/>
        <w:ind w:firstLine="482"/>
        <w:rPr>
          <w:rFonts w:ascii="仿宋" w:hAnsi="仿宋" w:eastAsia="仿宋" w:cs="仿宋"/>
          <w:b/>
          <w:sz w:val="24"/>
        </w:rPr>
      </w:pPr>
      <w:r>
        <w:rPr>
          <w:rFonts w:hint="eastAsia" w:ascii="仿宋" w:hAnsi="仿宋" w:eastAsia="仿宋" w:cs="仿宋"/>
          <w:b/>
          <w:sz w:val="24"/>
        </w:rPr>
        <w:t>备注：</w:t>
      </w:r>
    </w:p>
    <w:p>
      <w:pPr>
        <w:spacing w:line="440" w:lineRule="exact"/>
        <w:ind w:firstLine="482"/>
        <w:rPr>
          <w:rFonts w:ascii="仿宋" w:hAnsi="仿宋" w:eastAsia="仿宋" w:cs="仿宋"/>
          <w:b/>
          <w:sz w:val="24"/>
        </w:rPr>
      </w:pPr>
      <w:r>
        <w:rPr>
          <w:rFonts w:hint="eastAsia" w:ascii="仿宋" w:hAnsi="仿宋" w:eastAsia="仿宋" w:cs="仿宋"/>
          <w:b/>
          <w:sz w:val="24"/>
        </w:rPr>
        <w:t>1.非小、微企业无需在响应文件中提供。如为小、微企业应在响应文件的封面右上角明确注明相关信息以便方便认可。</w:t>
      </w:r>
    </w:p>
    <w:p>
      <w:pPr>
        <w:spacing w:line="440" w:lineRule="exact"/>
        <w:ind w:firstLine="482"/>
        <w:rPr>
          <w:rFonts w:ascii="仿宋" w:hAnsi="仿宋" w:eastAsia="仿宋" w:cs="仿宋"/>
          <w:b/>
          <w:sz w:val="24"/>
          <w:szCs w:val="22"/>
        </w:rPr>
      </w:pPr>
      <w:r>
        <w:rPr>
          <w:rFonts w:hint="eastAsia" w:ascii="仿宋" w:hAnsi="仿宋" w:eastAsia="仿宋" w:cs="仿宋"/>
          <w:b/>
          <w:sz w:val="24"/>
          <w:szCs w:val="22"/>
        </w:rPr>
        <w:t>2.供应商提供《中小企业声明函》的需保证其真实性，如经查实存在虚假证明的情况，由供应商承担相应责任。</w:t>
      </w:r>
    </w:p>
    <w:p>
      <w:pPr>
        <w:tabs>
          <w:tab w:val="left" w:pos="1755"/>
        </w:tabs>
        <w:spacing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w:t>
      </w:r>
      <w:bookmarkEnd w:id="28"/>
      <w:bookmarkEnd w:id="29"/>
      <w:r>
        <w:rPr>
          <w:rFonts w:hint="eastAsia" w:ascii="仿宋" w:hAnsi="仿宋" w:eastAsia="仿宋" w:cs="仿宋"/>
          <w:b/>
          <w:color w:val="auto"/>
          <w:kern w:val="0"/>
          <w:sz w:val="28"/>
          <w:szCs w:val="28"/>
          <w:highlight w:val="none"/>
          <w:lang w:val="zh-CN"/>
        </w:rPr>
        <w:t>残疾人福利性单位声明函（非</w:t>
      </w:r>
      <w:r>
        <w:rPr>
          <w:rFonts w:hint="eastAsia" w:ascii="仿宋" w:hAnsi="仿宋" w:eastAsia="仿宋" w:cs="仿宋"/>
          <w:b/>
          <w:bCs/>
          <w:color w:val="auto"/>
          <w:sz w:val="28"/>
          <w:szCs w:val="28"/>
          <w:highlight w:val="none"/>
        </w:rPr>
        <w:t>残疾人福利企业</w:t>
      </w:r>
      <w:r>
        <w:rPr>
          <w:rFonts w:hint="eastAsia" w:ascii="仿宋" w:hAnsi="仿宋" w:eastAsia="仿宋" w:cs="仿宋"/>
          <w:b/>
          <w:color w:val="auto"/>
          <w:kern w:val="0"/>
          <w:sz w:val="28"/>
          <w:szCs w:val="28"/>
          <w:highlight w:val="none"/>
          <w:lang w:val="zh-CN"/>
        </w:rPr>
        <w:t>不</w:t>
      </w:r>
      <w:r>
        <w:rPr>
          <w:rFonts w:hint="eastAsia" w:ascii="仿宋" w:hAnsi="仿宋" w:eastAsia="仿宋" w:cs="仿宋"/>
          <w:b/>
          <w:bCs/>
          <w:color w:val="auto"/>
          <w:kern w:val="0"/>
          <w:sz w:val="28"/>
          <w:szCs w:val="28"/>
          <w:highlight w:val="none"/>
        </w:rPr>
        <w:t>填写</w:t>
      </w:r>
      <w:r>
        <w:rPr>
          <w:rFonts w:hint="eastAsia" w:ascii="仿宋" w:hAnsi="仿宋" w:eastAsia="仿宋" w:cs="仿宋"/>
          <w:b/>
          <w:color w:val="auto"/>
          <w:kern w:val="0"/>
          <w:sz w:val="28"/>
          <w:szCs w:val="28"/>
          <w:highlight w:val="none"/>
          <w:lang w:val="zh-CN"/>
        </w:rPr>
        <w:t>）</w:t>
      </w:r>
    </w:p>
    <w:p>
      <w:pPr>
        <w:spacing w:line="360" w:lineRule="auto"/>
        <w:rPr>
          <w:rFonts w:hint="eastAsia" w:ascii="仿宋" w:hAnsi="仿宋" w:eastAsia="仿宋" w:cs="仿宋"/>
          <w:b/>
          <w:color w:val="auto"/>
          <w:spacing w:val="6"/>
          <w:sz w:val="32"/>
          <w:szCs w:val="32"/>
          <w:highlight w:val="none"/>
          <w:shd w:val="pct10" w:color="auto" w:fill="FFFFFF"/>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spacing w:line="360" w:lineRule="auto"/>
        <w:ind w:firstLine="480" w:firstLineChars="2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tabs>
          <w:tab w:val="left" w:pos="4860"/>
          <w:tab w:val="left" w:pos="8040"/>
          <w:tab w:val="left" w:pos="8160"/>
        </w:tabs>
        <w:spacing w:line="360" w:lineRule="auto"/>
        <w:ind w:right="862" w:firstLine="480" w:firstLineChars="200"/>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单位名称（盖章）：</w:t>
      </w:r>
      <w:r>
        <w:rPr>
          <w:rFonts w:hint="eastAsia" w:ascii="仿宋" w:hAnsi="仿宋" w:eastAsia="仿宋" w:cs="仿宋"/>
          <w:color w:val="auto"/>
          <w:sz w:val="24"/>
          <w:highlight w:val="none"/>
          <w:u w:val="single"/>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6" w:firstLineChars="200"/>
        <w:rPr>
          <w:rFonts w:hint="eastAsia" w:ascii="仿宋" w:hAnsi="仿宋" w:eastAsia="仿宋" w:cs="仿宋"/>
          <w:b/>
          <w:color w:val="auto"/>
          <w:spacing w:val="6"/>
          <w:sz w:val="24"/>
          <w:highlight w:val="none"/>
          <w:shd w:val="pct10" w:color="auto" w:fill="FFFFFF"/>
        </w:rPr>
      </w:pPr>
    </w:p>
    <w:p>
      <w:pPr>
        <w:spacing w:line="360" w:lineRule="auto"/>
        <w:ind w:firstLine="506" w:firstLineChars="200"/>
        <w:rPr>
          <w:rFonts w:hint="eastAsia" w:ascii="仿宋" w:hAnsi="仿宋" w:eastAsia="仿宋" w:cs="仿宋"/>
          <w:b/>
          <w:color w:val="auto"/>
          <w:spacing w:val="6"/>
          <w:sz w:val="24"/>
          <w:highlight w:val="none"/>
          <w:shd w:val="pct10" w:color="auto" w:fill="FFFFFF"/>
        </w:rPr>
      </w:pPr>
    </w:p>
    <w:p>
      <w:pPr>
        <w:kinsoku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备注：投标人提供的《残疾人福利性单位声明函》必须真实有效，如果被举报经查实出具虚假声明函的，将被取消投标资格，并按有关规定予以处理。</w:t>
      </w:r>
    </w:p>
    <w:p>
      <w:pPr>
        <w:tabs>
          <w:tab w:val="left" w:pos="1755"/>
        </w:tabs>
        <w:spacing w:line="360" w:lineRule="auto"/>
        <w:jc w:val="center"/>
        <w:outlineLvl w:val="1"/>
        <w:rPr>
          <w:rFonts w:hint="eastAsia" w:ascii="仿宋" w:hAnsi="仿宋" w:eastAsia="仿宋" w:cs="仿宋"/>
          <w:b/>
          <w:bCs/>
          <w:color w:val="auto"/>
          <w:sz w:val="24"/>
          <w:highlight w:val="none"/>
        </w:rPr>
      </w:pPr>
    </w:p>
    <w:p>
      <w:pPr>
        <w:tabs>
          <w:tab w:val="left" w:pos="1755"/>
        </w:tabs>
        <w:spacing w:line="500" w:lineRule="atLeast"/>
        <w:jc w:val="center"/>
        <w:outlineLvl w:val="1"/>
        <w:rPr>
          <w:rFonts w:hint="eastAsia" w:ascii="仿宋" w:hAnsi="仿宋" w:eastAsia="仿宋" w:cs="仿宋"/>
          <w:b/>
          <w:bCs/>
          <w:color w:val="auto"/>
          <w:sz w:val="32"/>
          <w:szCs w:val="32"/>
          <w:highlight w:val="none"/>
        </w:rPr>
      </w:pPr>
    </w:p>
    <w:p>
      <w:pPr>
        <w:tabs>
          <w:tab w:val="left" w:pos="1755"/>
        </w:tabs>
        <w:spacing w:line="500" w:lineRule="atLeast"/>
        <w:jc w:val="center"/>
        <w:outlineLvl w:val="1"/>
        <w:rPr>
          <w:rFonts w:hint="eastAsia" w:ascii="仿宋" w:hAnsi="仿宋" w:eastAsia="仿宋" w:cs="仿宋"/>
          <w:b/>
          <w:bCs/>
          <w:color w:val="auto"/>
          <w:sz w:val="32"/>
          <w:szCs w:val="32"/>
          <w:highlight w:val="none"/>
        </w:rPr>
      </w:pPr>
    </w:p>
    <w:p>
      <w:pPr>
        <w:tabs>
          <w:tab w:val="left" w:pos="1755"/>
        </w:tabs>
        <w:spacing w:line="500" w:lineRule="atLeast"/>
        <w:jc w:val="center"/>
        <w:outlineLvl w:val="2"/>
        <w:rPr>
          <w:rFonts w:hint="eastAsia" w:ascii="仿宋" w:hAnsi="仿宋" w:eastAsia="仿宋" w:cs="仿宋"/>
          <w:b/>
          <w:bCs/>
          <w:color w:val="auto"/>
          <w:sz w:val="28"/>
          <w:szCs w:val="28"/>
          <w:highlight w:val="none"/>
        </w:rPr>
      </w:pPr>
    </w:p>
    <w:p>
      <w:pPr>
        <w:spacing w:before="157" w:beforeLines="50" w:after="315" w:afterLines="100"/>
        <w:rPr>
          <w:rFonts w:hint="eastAsia" w:ascii="仿宋" w:hAnsi="仿宋" w:eastAsia="仿宋" w:cs="仿宋"/>
          <w:b/>
          <w:color w:val="auto"/>
          <w:szCs w:val="21"/>
          <w:highlight w:val="none"/>
          <w:lang w:val="en-GB"/>
        </w:rPr>
      </w:pPr>
    </w:p>
    <w:p>
      <w:pPr>
        <w:spacing w:before="157" w:beforeLines="50" w:after="315" w:afterLines="100"/>
        <w:rPr>
          <w:rFonts w:hint="eastAsia" w:ascii="仿宋" w:hAnsi="仿宋" w:eastAsia="仿宋" w:cs="仿宋"/>
          <w:b/>
          <w:color w:val="auto"/>
          <w:szCs w:val="21"/>
          <w:highlight w:val="none"/>
          <w:lang w:val="en-GB"/>
        </w:rPr>
      </w:pPr>
    </w:p>
    <w:p>
      <w:pPr>
        <w:spacing w:before="157" w:beforeLines="50" w:after="315" w:afterLines="100"/>
        <w:rPr>
          <w:rFonts w:hint="eastAsia" w:ascii="仿宋" w:hAnsi="仿宋" w:eastAsia="仿宋" w:cs="仿宋"/>
          <w:b/>
          <w:color w:val="auto"/>
          <w:szCs w:val="21"/>
          <w:highlight w:val="none"/>
          <w:lang w:val="en-GB"/>
        </w:rPr>
      </w:pPr>
    </w:p>
    <w:p>
      <w:pPr>
        <w:spacing w:before="157" w:beforeLines="50" w:after="315" w:afterLines="100"/>
        <w:rPr>
          <w:rFonts w:hint="eastAsia" w:ascii="仿宋" w:hAnsi="仿宋" w:eastAsia="仿宋" w:cs="仿宋"/>
          <w:b/>
          <w:color w:val="auto"/>
          <w:szCs w:val="21"/>
          <w:highlight w:val="none"/>
          <w:lang w:val="en-GB"/>
        </w:rPr>
      </w:pPr>
    </w:p>
    <w:p>
      <w:pPr>
        <w:tabs>
          <w:tab w:val="left" w:pos="1755"/>
        </w:tabs>
        <w:spacing w:line="360" w:lineRule="auto"/>
        <w:jc w:val="center"/>
        <w:outlineLvl w:val="2"/>
        <w:rPr>
          <w:rFonts w:hint="eastAsia" w:ascii="仿宋" w:hAnsi="仿宋" w:eastAsia="仿宋" w:cs="仿宋"/>
          <w:b/>
          <w:kern w:val="0"/>
          <w:sz w:val="28"/>
          <w:szCs w:val="28"/>
          <w:lang w:val="zh-CN"/>
        </w:rPr>
      </w:pPr>
      <w:r>
        <w:rPr>
          <w:rFonts w:hint="eastAsia" w:ascii="仿宋" w:hAnsi="仿宋" w:eastAsia="仿宋" w:cs="仿宋"/>
          <w:b/>
          <w:kern w:val="0"/>
          <w:sz w:val="28"/>
          <w:szCs w:val="28"/>
        </w:rPr>
        <w:t>三、</w:t>
      </w:r>
      <w:r>
        <w:rPr>
          <w:rFonts w:hint="eastAsia" w:ascii="仿宋" w:hAnsi="仿宋" w:eastAsia="仿宋" w:cs="仿宋"/>
          <w:b/>
          <w:kern w:val="0"/>
          <w:sz w:val="28"/>
          <w:szCs w:val="28"/>
          <w:lang w:val="zh-CN"/>
        </w:rPr>
        <w:t>监狱企业声明函</w:t>
      </w:r>
    </w:p>
    <w:p>
      <w:pPr>
        <w:tabs>
          <w:tab w:val="left" w:pos="1755"/>
        </w:tabs>
        <w:spacing w:line="360" w:lineRule="auto"/>
        <w:jc w:val="center"/>
        <w:outlineLvl w:val="2"/>
        <w:rPr>
          <w:rFonts w:hint="eastAsia" w:ascii="仿宋" w:hAnsi="仿宋" w:eastAsia="仿宋" w:cs="仿宋"/>
          <w:b/>
          <w:bCs/>
          <w:sz w:val="28"/>
          <w:szCs w:val="28"/>
        </w:rPr>
      </w:pPr>
      <w:r>
        <w:rPr>
          <w:rFonts w:hint="eastAsia" w:ascii="仿宋" w:hAnsi="仿宋" w:eastAsia="仿宋" w:cs="仿宋"/>
          <w:b/>
          <w:kern w:val="0"/>
          <w:sz w:val="28"/>
          <w:szCs w:val="28"/>
          <w:lang w:val="zh-CN"/>
        </w:rPr>
        <w:t>（非监狱企业不</w:t>
      </w:r>
      <w:r>
        <w:rPr>
          <w:rFonts w:hint="eastAsia" w:ascii="仿宋" w:hAnsi="仿宋" w:eastAsia="仿宋" w:cs="仿宋"/>
          <w:b/>
          <w:bCs/>
          <w:kern w:val="0"/>
          <w:sz w:val="28"/>
          <w:szCs w:val="28"/>
        </w:rPr>
        <w:t>填写，但必须提交空表</w:t>
      </w:r>
      <w:r>
        <w:rPr>
          <w:rFonts w:hint="eastAsia" w:ascii="仿宋" w:hAnsi="仿宋" w:eastAsia="仿宋" w:cs="仿宋"/>
          <w:b/>
          <w:kern w:val="0"/>
          <w:sz w:val="28"/>
          <w:szCs w:val="28"/>
          <w:lang w:val="zh-CN"/>
        </w:rPr>
        <w:t>）</w:t>
      </w:r>
    </w:p>
    <w:p>
      <w:pPr>
        <w:spacing w:line="360" w:lineRule="atLeast"/>
        <w:rPr>
          <w:rFonts w:hint="eastAsia" w:ascii="仿宋" w:hAnsi="仿宋" w:eastAsia="仿宋" w:cs="仿宋"/>
          <w:sz w:val="32"/>
          <w:szCs w:val="32"/>
        </w:rPr>
      </w:pPr>
    </w:p>
    <w:p>
      <w:pPr>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pPr>
        <w:spacing w:line="360" w:lineRule="atLeast"/>
        <w:rPr>
          <w:rFonts w:hint="eastAsia" w:ascii="仿宋" w:hAnsi="仿宋" w:eastAsia="仿宋" w:cs="仿宋"/>
          <w:sz w:val="32"/>
          <w:szCs w:val="32"/>
        </w:rPr>
      </w:pPr>
    </w:p>
    <w:p>
      <w:pPr>
        <w:pStyle w:val="16"/>
        <w:rPr>
          <w:rFonts w:hint="eastAsia" w:ascii="仿宋" w:hAnsi="仿宋" w:eastAsia="仿宋" w:cs="仿宋"/>
        </w:rPr>
      </w:pPr>
    </w:p>
    <w:p>
      <w:pPr>
        <w:tabs>
          <w:tab w:val="left" w:pos="4860"/>
          <w:tab w:val="left" w:pos="8040"/>
          <w:tab w:val="left" w:pos="8160"/>
        </w:tabs>
        <w:spacing w:line="360" w:lineRule="auto"/>
        <w:ind w:right="862" w:firstLine="480" w:firstLineChars="200"/>
        <w:jc w:val="center"/>
        <w:rPr>
          <w:rFonts w:hint="eastAsia" w:ascii="仿宋" w:hAnsi="仿宋" w:eastAsia="仿宋" w:cs="仿宋"/>
          <w:sz w:val="24"/>
          <w:u w:val="single"/>
        </w:rPr>
      </w:pPr>
      <w:r>
        <w:rPr>
          <w:rFonts w:hint="eastAsia" w:ascii="仿宋" w:hAnsi="仿宋" w:eastAsia="仿宋" w:cs="仿宋"/>
          <w:sz w:val="24"/>
        </w:rPr>
        <w:t xml:space="preserve">        单位名称（盖章）：</w:t>
      </w:r>
      <w:r>
        <w:rPr>
          <w:rFonts w:hint="eastAsia" w:ascii="仿宋" w:hAnsi="仿宋" w:eastAsia="仿宋" w:cs="仿宋"/>
          <w:sz w:val="24"/>
          <w:u w:val="single"/>
        </w:rPr>
        <w:t xml:space="preserve">                   </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w:t>
      </w:r>
    </w:p>
    <w:p>
      <w:pPr>
        <w:tabs>
          <w:tab w:val="left" w:pos="4860"/>
        </w:tabs>
        <w:spacing w:line="360" w:lineRule="auto"/>
        <w:ind w:right="67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b/>
          <w:color w:val="auto"/>
          <w:sz w:val="32"/>
          <w:szCs w:val="32"/>
          <w:highlight w:val="none"/>
        </w:rPr>
      </w:pPr>
    </w:p>
    <w:sectPr>
      <w:headerReference r:id="rId13" w:type="default"/>
      <w:footerReference r:id="rId14" w:type="default"/>
      <w:pgSz w:w="11906" w:h="16838"/>
      <w:pgMar w:top="1559" w:right="1134" w:bottom="1020" w:left="1321" w:header="851" w:footer="992" w:gutter="0"/>
      <w:pgBorders>
        <w:top w:val="none" w:sz="0" w:space="0"/>
        <w:left w:val="none" w:sz="0" w:space="0"/>
        <w:bottom w:val="none" w:sz="0" w:space="0"/>
        <w:right w:val="none" w:sz="0" w:space="0"/>
      </w:pgBorders>
      <w:pgNumType w:fmt="numberInDash"/>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r>
      <w:rPr>
        <w:rFonts w:hint="eastAsia"/>
        <w:lang w:eastAsia="zh-CN"/>
      </w:rPr>
      <w:t>陕西炬荣招标代理有限公司</w: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25"/>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1"/>
      </w:rPr>
    </w:pPr>
    <w:r>
      <w:fldChar w:fldCharType="begin"/>
    </w:r>
    <w:r>
      <w:rPr>
        <w:rStyle w:val="21"/>
      </w:rPr>
      <w:instrText xml:space="preserve">PAGE  </w:instrText>
    </w:r>
    <w:r>
      <w:fldChar w:fldCharType="separate"/>
    </w:r>
    <w:r>
      <w:rPr>
        <w:rStyle w:val="21"/>
      </w:rPr>
      <w:t>- 18 -</w:t>
    </w:r>
    <w:r>
      <w:fldChar w:fldCharType="end"/>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405"/>
        <w:tab w:val="clear" w:pos="4153"/>
        <w:tab w:val="clear" w:pos="8306"/>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- 47 -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- 47 -</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451.95pt;margin-top:0pt;height:144pt;width:144pt;mso-position-horizontal-relative:margin;mso-wrap-style:none;z-index:251660288;mso-width-relative:page;mso-height-relative:page;" filled="f" stroked="f" coordsize="21600,21600" o:gfxdata="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TX46XXAAAACQEAAA8AAAAAAAAAAQAgAAAAIgAA&#10;AGRycy9kb3ducmV2LnhtbFBLAQIUABQAAAAIAIdO4kD7cxF90AEAAKUDAAAOAAAAAAAAAAEAIAAA&#10;ACYBAABkcnMvZTJvRG9jLnhtbFBLBQYAAAAABgAGAFkBAABoBQAAAAA=&#10;">
              <v:fill on="f" focussize="0,0"/>
              <v:stroke on="f" weight="1.25pt"/>
              <v:imagedata o:title=""/>
              <o:lock v:ext="edit" aspectratio="f"/>
              <v:textbox inset="0mm,0mm,0mm,0mm" style="mso-fit-shape-to-text:t;">
                <w:txbxContent>
                  <w:p>
                    <w:pPr>
                      <w:snapToGrid w:val="0"/>
                      <w:rPr>
                        <w:sz w:val="18"/>
                      </w:rPr>
                    </w:pPr>
                  </w:p>
                </w:txbxContent>
              </v:textbox>
            </v:shape>
          </w:pict>
        </mc:Fallback>
      </mc:AlternateContent>
    </w:r>
    <w:r>
      <w:rPr>
        <w:rFonts w:hint="eastAsia"/>
      </w:rPr>
      <w:t xml:space="preserve">                                      </w:t>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p>
    <w:pPr>
      <w:pStyle w:val="13"/>
      <w:pBdr>
        <w:bottom w:val="none" w:color="auto" w:sz="0" w:space="1"/>
      </w:pBdr>
      <w:tabs>
        <w:tab w:val="left" w:pos="9375"/>
        <w:tab w:val="clear" w:pos="8306"/>
      </w:tabs>
      <w:ind w:left="7661" w:leftChars="3648"/>
      <w:jc w:val="both"/>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97570"/>
    <w:multiLevelType w:val="singleLevel"/>
    <w:tmpl w:val="AF197570"/>
    <w:lvl w:ilvl="0" w:tentative="0">
      <w:start w:val="4"/>
      <w:numFmt w:val="decimal"/>
      <w:suff w:val="nothing"/>
      <w:lvlText w:val="（%1）"/>
      <w:lvlJc w:val="left"/>
    </w:lvl>
  </w:abstractNum>
  <w:abstractNum w:abstractNumId="1">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60"/>
        </w:tabs>
        <w:ind w:left="660" w:hanging="420"/>
      </w:pPr>
      <w:rPr>
        <w:rFonts w:hint="default" w:ascii="Wingdings" w:hAnsi="Wingdings"/>
      </w:rPr>
    </w:lvl>
    <w:lvl w:ilvl="2" w:tentative="0">
      <w:start w:val="1"/>
      <w:numFmt w:val="bullet"/>
      <w:lvlText w:val=""/>
      <w:lvlJc w:val="left"/>
      <w:pPr>
        <w:tabs>
          <w:tab w:val="left" w:pos="1080"/>
        </w:tabs>
        <w:ind w:left="1080" w:hanging="420"/>
      </w:pPr>
      <w:rPr>
        <w:rFonts w:hint="default" w:ascii="Wingdings" w:hAnsi="Wingdings"/>
      </w:rPr>
    </w:lvl>
    <w:lvl w:ilvl="3" w:tentative="0">
      <w:start w:val="1"/>
      <w:numFmt w:val="bullet"/>
      <w:lvlText w:val=""/>
      <w:lvlJc w:val="left"/>
      <w:pPr>
        <w:tabs>
          <w:tab w:val="left" w:pos="1500"/>
        </w:tabs>
        <w:ind w:left="1500" w:hanging="420"/>
      </w:pPr>
      <w:rPr>
        <w:rFonts w:hint="default" w:ascii="Wingdings" w:hAnsi="Wingdings"/>
      </w:rPr>
    </w:lvl>
    <w:lvl w:ilvl="4" w:tentative="0">
      <w:start w:val="1"/>
      <w:numFmt w:val="bullet"/>
      <w:lvlText w:val=""/>
      <w:lvlJc w:val="left"/>
      <w:pPr>
        <w:tabs>
          <w:tab w:val="left" w:pos="1920"/>
        </w:tabs>
        <w:ind w:left="1920" w:hanging="420"/>
      </w:pPr>
      <w:rPr>
        <w:rFonts w:hint="default" w:ascii="Wingdings" w:hAnsi="Wingdings"/>
      </w:rPr>
    </w:lvl>
    <w:lvl w:ilvl="5" w:tentative="0">
      <w:start w:val="1"/>
      <w:numFmt w:val="bullet"/>
      <w:lvlText w:val=""/>
      <w:lvlJc w:val="left"/>
      <w:pPr>
        <w:tabs>
          <w:tab w:val="left" w:pos="2340"/>
        </w:tabs>
        <w:ind w:left="2340" w:hanging="420"/>
      </w:pPr>
      <w:rPr>
        <w:rFonts w:hint="default" w:ascii="Wingdings" w:hAnsi="Wingdings"/>
      </w:rPr>
    </w:lvl>
    <w:lvl w:ilvl="6" w:tentative="0">
      <w:start w:val="1"/>
      <w:numFmt w:val="bullet"/>
      <w:lvlText w:val=""/>
      <w:lvlJc w:val="left"/>
      <w:pPr>
        <w:tabs>
          <w:tab w:val="left" w:pos="2760"/>
        </w:tabs>
        <w:ind w:left="2760" w:hanging="420"/>
      </w:pPr>
      <w:rPr>
        <w:rFonts w:hint="default" w:ascii="Wingdings" w:hAnsi="Wingdings"/>
      </w:rPr>
    </w:lvl>
    <w:lvl w:ilvl="7" w:tentative="0">
      <w:start w:val="1"/>
      <w:numFmt w:val="bullet"/>
      <w:lvlText w:val=""/>
      <w:lvlJc w:val="left"/>
      <w:pPr>
        <w:tabs>
          <w:tab w:val="left" w:pos="3180"/>
        </w:tabs>
        <w:ind w:left="3180" w:hanging="420"/>
      </w:pPr>
      <w:rPr>
        <w:rFonts w:hint="default" w:ascii="Wingdings" w:hAnsi="Wingdings"/>
      </w:rPr>
    </w:lvl>
    <w:lvl w:ilvl="8" w:tentative="0">
      <w:start w:val="1"/>
      <w:numFmt w:val="bullet"/>
      <w:lvlText w:val=""/>
      <w:lvlJc w:val="left"/>
      <w:pPr>
        <w:tabs>
          <w:tab w:val="left" w:pos="3600"/>
        </w:tabs>
        <w:ind w:left="3600" w:hanging="420"/>
      </w:pPr>
      <w:rPr>
        <w:rFonts w:hint="default" w:ascii="Wingdings" w:hAnsi="Wingdings"/>
      </w:rPr>
    </w:lvl>
  </w:abstractNum>
  <w:abstractNum w:abstractNumId="2">
    <w:nsid w:val="359CB8E8"/>
    <w:multiLevelType w:val="singleLevel"/>
    <w:tmpl w:val="359CB8E8"/>
    <w:lvl w:ilvl="0" w:tentative="0">
      <w:start w:val="1"/>
      <w:numFmt w:val="chineseCounting"/>
      <w:suff w:val="nothing"/>
      <w:lvlText w:val="%1、"/>
      <w:lvlJc w:val="left"/>
      <w:rPr>
        <w:rFonts w:hint="eastAsia"/>
      </w:rPr>
    </w:lvl>
  </w:abstractNum>
  <w:abstractNum w:abstractNumId="3">
    <w:nsid w:val="4F61D1A1"/>
    <w:multiLevelType w:val="singleLevel"/>
    <w:tmpl w:val="4F61D1A1"/>
    <w:lvl w:ilvl="0" w:tentative="0">
      <w:start w:val="4"/>
      <w:numFmt w:val="chineseCounting"/>
      <w:suff w:val="space"/>
      <w:lvlText w:val="第%1部分"/>
      <w:lvlJc w:val="left"/>
      <w:rPr>
        <w:rFonts w:hint="eastAsia"/>
      </w:rPr>
    </w:lvl>
  </w:abstractNum>
  <w:abstractNum w:abstractNumId="4">
    <w:nsid w:val="66747FD9"/>
    <w:multiLevelType w:val="singleLevel"/>
    <w:tmpl w:val="66747FD9"/>
    <w:lvl w:ilvl="0" w:tentative="0">
      <w:start w:val="14"/>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3C5F55C7"/>
    <w:rsid w:val="0C1B6152"/>
    <w:rsid w:val="0D6C3F2E"/>
    <w:rsid w:val="0EDD3E91"/>
    <w:rsid w:val="114F43EC"/>
    <w:rsid w:val="214C1833"/>
    <w:rsid w:val="25326A26"/>
    <w:rsid w:val="2DF45796"/>
    <w:rsid w:val="2ECF39F6"/>
    <w:rsid w:val="3C5F55C7"/>
    <w:rsid w:val="48367624"/>
    <w:rsid w:val="510F763B"/>
    <w:rsid w:val="5572523E"/>
    <w:rsid w:val="5EB15D18"/>
    <w:rsid w:val="603A3D33"/>
    <w:rsid w:val="66FB3677"/>
    <w:rsid w:val="680565BE"/>
    <w:rsid w:val="694D0EC9"/>
    <w:rsid w:val="74E76D97"/>
    <w:rsid w:val="766240AA"/>
    <w:rsid w:val="777D2578"/>
    <w:rsid w:val="77AD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2">
    <w:name w:val="heading 2"/>
    <w:basedOn w:val="1"/>
    <w:next w:val="1"/>
    <w:qFormat/>
    <w:uiPriority w:val="1"/>
    <w:pPr>
      <w:ind w:left="2815"/>
      <w:outlineLvl w:val="1"/>
    </w:pPr>
    <w:rPr>
      <w:rFonts w:ascii="宋体" w:hAnsi="宋体" w:cs="宋体"/>
      <w:sz w:val="24"/>
      <w:lang w:val="zh-CN" w:bidi="zh-CN"/>
    </w:rPr>
  </w:style>
  <w:style w:type="paragraph" w:styleId="4">
    <w:name w:val="heading 3"/>
    <w:basedOn w:val="1"/>
    <w:next w:val="1"/>
    <w:qFormat/>
    <w:uiPriority w:val="99"/>
    <w:pPr>
      <w:tabs>
        <w:tab w:val="left" w:pos="588"/>
      </w:tabs>
      <w:spacing w:line="360" w:lineRule="auto"/>
      <w:outlineLvl w:val="2"/>
    </w:pPr>
    <w:rPr>
      <w:rFonts w:ascii="Tahoma" w:hAnsi="Tahom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Body Text"/>
    <w:basedOn w:val="1"/>
    <w:next w:val="8"/>
    <w:qFormat/>
    <w:uiPriority w:val="0"/>
    <w:rPr>
      <w:color w:val="993300"/>
      <w:sz w:val="24"/>
    </w:rPr>
  </w:style>
  <w:style w:type="paragraph" w:styleId="8">
    <w:name w:val="toc 2"/>
    <w:basedOn w:val="1"/>
    <w:next w:val="1"/>
    <w:qFormat/>
    <w:uiPriority w:val="39"/>
    <w:pPr>
      <w:ind w:left="420" w:leftChars="200"/>
    </w:pPr>
  </w:style>
  <w:style w:type="paragraph" w:styleId="9">
    <w:name w:val="Body Text Indent"/>
    <w:basedOn w:val="1"/>
    <w:qFormat/>
    <w:uiPriority w:val="0"/>
    <w:pPr>
      <w:ind w:firstLine="480"/>
    </w:pPr>
    <w:rPr>
      <w:rFonts w:ascii="宋体" w:hAnsi="宋体"/>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paragraph" w:styleId="15">
    <w:name w:val="Body Text First Indent"/>
    <w:basedOn w:val="7"/>
    <w:next w:val="16"/>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16">
    <w:name w:val="Body Text First Indent 2"/>
    <w:basedOn w:val="9"/>
    <w:next w:val="8"/>
    <w:qFormat/>
    <w:uiPriority w:val="0"/>
    <w:pPr>
      <w:spacing w:after="120"/>
      <w:ind w:left="420" w:leftChars="200" w:firstLine="420" w:firstLineChars="200"/>
    </w:pPr>
    <w:rPr>
      <w:rFonts w:ascii="Times New Roman" w:hAnsi="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rPr>
      <w:b/>
      <w:bCs/>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hint="default" w:ascii="monospace" w:hAnsi="monospace" w:eastAsia="monospace" w:cs="monospace"/>
      <w:sz w:val="20"/>
    </w:rPr>
  </w:style>
  <w:style w:type="character" w:styleId="30">
    <w:name w:val="HTML Cite"/>
    <w:basedOn w:val="19"/>
    <w:qFormat/>
    <w:uiPriority w:val="0"/>
    <w:rPr>
      <w:sz w:val="0"/>
      <w:szCs w:val="0"/>
      <w:bdr w:val="single" w:color="auto" w:sz="2" w:space="0"/>
    </w:rPr>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ascii="monospace" w:hAnsi="monospace" w:eastAsia="monospace" w:cs="monospace"/>
    </w:rPr>
  </w:style>
  <w:style w:type="paragraph" w:customStyle="1" w:styleId="3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spacing w:line="240" w:lineRule="auto"/>
      <w:ind w:firstLine="420" w:firstLineChars="200"/>
    </w:pPr>
    <w:rPr>
      <w:rFonts w:ascii="Times New Roman" w:hAnsi="Times New Roman"/>
      <w:kern w:val="0"/>
      <w:sz w:val="24"/>
      <w:szCs w:val="20"/>
    </w:rPr>
  </w:style>
  <w:style w:type="character" w:customStyle="1" w:styleId="36">
    <w:name w:val="NormalCharacter"/>
    <w:qFormat/>
    <w:uiPriority w:val="0"/>
    <w:rPr>
      <w:kern w:val="2"/>
      <w:sz w:val="21"/>
      <w:szCs w:val="24"/>
      <w:lang w:val="en-US" w:eastAsia="zh-CN" w:bidi="ar-SA"/>
    </w:rPr>
  </w:style>
  <w:style w:type="paragraph" w:customStyle="1" w:styleId="37">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38">
    <w:name w:val="font81"/>
    <w:basedOn w:val="19"/>
    <w:qFormat/>
    <w:uiPriority w:val="0"/>
    <w:rPr>
      <w:rFonts w:hint="eastAsia" w:ascii="黑体" w:hAnsi="宋体" w:eastAsia="黑体" w:cs="黑体"/>
      <w:color w:val="FF0000"/>
      <w:sz w:val="16"/>
      <w:szCs w:val="16"/>
      <w:u w:val="none"/>
    </w:rPr>
  </w:style>
  <w:style w:type="character" w:customStyle="1" w:styleId="39">
    <w:name w:val="font11"/>
    <w:basedOn w:val="19"/>
    <w:qFormat/>
    <w:uiPriority w:val="0"/>
    <w:rPr>
      <w:rFonts w:hint="eastAsia" w:ascii="黑体" w:hAnsi="宋体" w:eastAsia="黑体" w:cs="黑体"/>
      <w:color w:val="000000"/>
      <w:sz w:val="16"/>
      <w:szCs w:val="16"/>
      <w:u w:val="none"/>
    </w:rPr>
  </w:style>
  <w:style w:type="character" w:customStyle="1" w:styleId="40">
    <w:name w:val="font91"/>
    <w:basedOn w:val="1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36891</Words>
  <Characters>39959</Characters>
  <Lines>0</Lines>
  <Paragraphs>0</Paragraphs>
  <TotalTime>3</TotalTime>
  <ScaleCrop>false</ScaleCrop>
  <LinksUpToDate>false</LinksUpToDate>
  <CharactersWithSpaces>43582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2022-07-26T09:44:00Z</dcterms:created>
  <dc:creator>烟花散静、</dc:creator>
  <cp:lastModifiedBy>嗯哼？</cp:lastModifiedBy>
  <cp:lastPrinted>2022-09-21T14:07:40Z</cp:lastPrinted>
  <dcterms:modified xsi:type="dcterms:W3CDTF">2022-09-21T15:38:01Z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2F05FC81F04347C6A70DB6725E09CA45</vt:lpwstr>
  </property>
</Properties>
</file>