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rPr>
          <w:rFonts w:ascii="仿宋" w:hAnsi="仿宋" w:eastAsia="仿宋"/>
        </w:rPr>
      </w:pPr>
      <w:bookmarkStart w:id="373" w:name="_GoBack"/>
      <w:bookmarkEnd w:id="373"/>
      <w:r>
        <w:rPr>
          <w:rFonts w:ascii="仿宋" w:hAnsi="仿宋" w:eastAsia="仿宋"/>
          <w:b/>
          <w:bCs/>
          <w:sz w:val="30"/>
          <w:szCs w:val="30"/>
          <w:lang w:val="zh-CN"/>
        </w:rPr>
        <w:t>政府采购项目</w:t>
      </w:r>
    </w:p>
    <w:p>
      <w:pPr>
        <w:autoSpaceDE w:val="0"/>
        <w:autoSpaceDN w:val="0"/>
        <w:adjustRightInd w:val="0"/>
        <w:snapToGrid w:val="0"/>
        <w:spacing w:line="360" w:lineRule="auto"/>
        <w:rPr>
          <w:rFonts w:ascii="仿宋" w:hAnsi="仿宋" w:eastAsia="仿宋"/>
          <w:b/>
          <w:bCs/>
          <w:sz w:val="30"/>
          <w:szCs w:val="30"/>
          <w:lang w:val="zh-CN"/>
        </w:rPr>
      </w:pPr>
      <w:r>
        <w:rPr>
          <w:rFonts w:ascii="仿宋" w:hAnsi="仿宋" w:eastAsia="仿宋"/>
          <w:b/>
          <w:bCs/>
          <w:sz w:val="30"/>
          <w:szCs w:val="30"/>
          <w:lang w:val="zh-CN"/>
        </w:rPr>
        <w:t>采购项目编号：SCZD2022-ZB-2</w:t>
      </w:r>
      <w:r>
        <w:rPr>
          <w:rFonts w:hint="eastAsia" w:ascii="仿宋" w:hAnsi="仿宋" w:eastAsia="仿宋"/>
          <w:b/>
          <w:bCs/>
          <w:sz w:val="30"/>
          <w:szCs w:val="30"/>
          <w:lang w:val="zh-CN"/>
        </w:rPr>
        <w:t>914</w:t>
      </w:r>
      <w:r>
        <w:rPr>
          <w:rFonts w:ascii="仿宋" w:hAnsi="仿宋" w:eastAsia="仿宋"/>
          <w:b/>
          <w:bCs/>
          <w:sz w:val="30"/>
          <w:szCs w:val="30"/>
          <w:lang w:val="zh-CN"/>
        </w:rPr>
        <w:t>/001</w:t>
      </w:r>
    </w:p>
    <w:p>
      <w:pPr>
        <w:spacing w:line="240" w:lineRule="atLeast"/>
        <w:ind w:left="1080" w:leftChars="257" w:hanging="540"/>
        <w:jc w:val="center"/>
        <w:rPr>
          <w:rFonts w:ascii="仿宋" w:hAnsi="仿宋" w:eastAsia="仿宋"/>
          <w:b/>
          <w:sz w:val="52"/>
          <w:szCs w:val="52"/>
        </w:rPr>
      </w:pPr>
    </w:p>
    <w:p>
      <w:pPr>
        <w:spacing w:line="240" w:lineRule="atLeast"/>
        <w:ind w:left="1080" w:leftChars="257" w:hanging="540"/>
        <w:jc w:val="center"/>
        <w:rPr>
          <w:rFonts w:ascii="仿宋" w:hAnsi="仿宋" w:eastAsia="仿宋"/>
          <w:b/>
          <w:sz w:val="52"/>
          <w:szCs w:val="52"/>
        </w:rPr>
      </w:pPr>
    </w:p>
    <w:p>
      <w:pPr>
        <w:pStyle w:val="13"/>
        <w:rPr>
          <w:rFonts w:ascii="仿宋" w:hAnsi="仿宋" w:eastAsia="仿宋"/>
        </w:rPr>
      </w:pPr>
    </w:p>
    <w:p>
      <w:pPr>
        <w:pStyle w:val="13"/>
        <w:rPr>
          <w:rFonts w:ascii="仿宋" w:hAnsi="仿宋" w:eastAsia="仿宋"/>
        </w:rPr>
      </w:pPr>
    </w:p>
    <w:p>
      <w:pPr>
        <w:pStyle w:val="13"/>
        <w:rPr>
          <w:rFonts w:ascii="仿宋" w:hAnsi="仿宋" w:eastAsia="仿宋"/>
        </w:rPr>
      </w:pPr>
    </w:p>
    <w:p>
      <w:pPr>
        <w:tabs>
          <w:tab w:val="left" w:pos="5670"/>
        </w:tabs>
        <w:autoSpaceDE w:val="0"/>
        <w:autoSpaceDN w:val="0"/>
        <w:adjustRightInd w:val="0"/>
        <w:snapToGrid w:val="0"/>
        <w:spacing w:line="360" w:lineRule="auto"/>
        <w:jc w:val="center"/>
        <w:rPr>
          <w:rFonts w:ascii="仿宋" w:hAnsi="仿宋" w:eastAsia="仿宋"/>
          <w:b/>
          <w:bCs/>
          <w:sz w:val="36"/>
          <w:szCs w:val="36"/>
          <w:lang w:val="zh-CN"/>
        </w:rPr>
      </w:pPr>
      <w:r>
        <w:rPr>
          <w:rFonts w:hint="eastAsia" w:ascii="仿宋" w:hAnsi="仿宋" w:eastAsia="仿宋"/>
          <w:b/>
          <w:bCs/>
          <w:sz w:val="52"/>
          <w:szCs w:val="52"/>
        </w:rPr>
        <w:t>陕西省“金审三期”延安市配套建设服务项目</w:t>
      </w:r>
    </w:p>
    <w:p>
      <w:pPr>
        <w:pStyle w:val="13"/>
        <w:rPr>
          <w:rFonts w:ascii="仿宋" w:hAnsi="仿宋" w:eastAsia="仿宋"/>
          <w:lang w:val="zh-CN"/>
        </w:rPr>
      </w:pPr>
    </w:p>
    <w:p>
      <w:pPr>
        <w:pStyle w:val="13"/>
        <w:rPr>
          <w:rFonts w:ascii="仿宋" w:hAnsi="仿宋" w:eastAsia="仿宋"/>
          <w:lang w:val="zh-CN"/>
        </w:rPr>
      </w:pPr>
    </w:p>
    <w:p>
      <w:pPr>
        <w:pStyle w:val="13"/>
        <w:rPr>
          <w:rFonts w:ascii="仿宋" w:hAnsi="仿宋" w:eastAsia="仿宋"/>
          <w:lang w:val="zh-CN"/>
        </w:rPr>
      </w:pPr>
    </w:p>
    <w:p>
      <w:pPr>
        <w:tabs>
          <w:tab w:val="left" w:pos="5670"/>
        </w:tabs>
        <w:autoSpaceDE w:val="0"/>
        <w:autoSpaceDN w:val="0"/>
        <w:adjustRightInd w:val="0"/>
        <w:snapToGrid w:val="0"/>
        <w:spacing w:line="360" w:lineRule="auto"/>
        <w:jc w:val="center"/>
        <w:rPr>
          <w:rFonts w:ascii="仿宋" w:hAnsi="仿宋" w:eastAsia="仿宋"/>
          <w:b/>
          <w:bCs/>
          <w:sz w:val="56"/>
          <w:szCs w:val="52"/>
          <w:lang w:val="zh-CN"/>
        </w:rPr>
      </w:pPr>
      <w:r>
        <w:rPr>
          <w:rFonts w:ascii="仿宋" w:hAnsi="仿宋" w:eastAsia="仿宋"/>
          <w:b/>
          <w:bCs/>
          <w:sz w:val="56"/>
          <w:szCs w:val="52"/>
          <w:lang w:val="zh-CN"/>
        </w:rPr>
        <w:t>招标文件</w:t>
      </w:r>
    </w:p>
    <w:p>
      <w:pPr>
        <w:spacing w:line="240" w:lineRule="atLeast"/>
        <w:rPr>
          <w:rFonts w:ascii="仿宋" w:hAnsi="仿宋" w:eastAsia="仿宋"/>
          <w:b/>
          <w:sz w:val="52"/>
        </w:rPr>
      </w:pPr>
    </w:p>
    <w:p>
      <w:pPr>
        <w:pStyle w:val="13"/>
        <w:rPr>
          <w:rFonts w:ascii="仿宋" w:hAnsi="仿宋" w:eastAsia="仿宋"/>
          <w:b/>
          <w:sz w:val="52"/>
        </w:rPr>
      </w:pPr>
    </w:p>
    <w:p>
      <w:pPr>
        <w:pStyle w:val="13"/>
        <w:rPr>
          <w:rFonts w:ascii="仿宋" w:hAnsi="仿宋" w:eastAsia="仿宋"/>
          <w:b/>
          <w:sz w:val="52"/>
        </w:rPr>
      </w:pPr>
    </w:p>
    <w:p>
      <w:pPr>
        <w:pStyle w:val="13"/>
        <w:rPr>
          <w:rFonts w:ascii="仿宋" w:hAnsi="仿宋" w:eastAsia="仿宋"/>
          <w:b/>
          <w:sz w:val="52"/>
        </w:rPr>
      </w:pPr>
    </w:p>
    <w:p>
      <w:pPr>
        <w:pStyle w:val="13"/>
        <w:rPr>
          <w:rFonts w:ascii="仿宋" w:hAnsi="仿宋" w:eastAsia="仿宋"/>
          <w:b/>
          <w:sz w:val="52"/>
        </w:rPr>
      </w:pPr>
    </w:p>
    <w:p>
      <w:pPr>
        <w:spacing w:line="240" w:lineRule="atLeast"/>
        <w:ind w:left="1080" w:leftChars="257" w:hanging="540"/>
        <w:jc w:val="center"/>
        <w:rPr>
          <w:rFonts w:ascii="仿宋" w:hAnsi="仿宋" w:eastAsia="仿宋"/>
          <w:b/>
          <w:sz w:val="52"/>
        </w:rPr>
      </w:pPr>
    </w:p>
    <w:p>
      <w:pPr>
        <w:tabs>
          <w:tab w:val="left" w:pos="5670"/>
        </w:tabs>
        <w:autoSpaceDE w:val="0"/>
        <w:autoSpaceDN w:val="0"/>
        <w:adjustRightInd w:val="0"/>
        <w:snapToGrid w:val="0"/>
        <w:spacing w:line="360" w:lineRule="auto"/>
        <w:jc w:val="center"/>
        <w:rPr>
          <w:rFonts w:ascii="仿宋" w:hAnsi="仿宋" w:eastAsia="仿宋"/>
          <w:b/>
          <w:bCs/>
          <w:sz w:val="30"/>
          <w:szCs w:val="30"/>
        </w:rPr>
      </w:pPr>
      <w:r>
        <w:rPr>
          <w:rFonts w:ascii="仿宋" w:hAnsi="仿宋" w:eastAsia="仿宋"/>
          <w:b/>
          <w:bCs/>
          <w:sz w:val="30"/>
          <w:szCs w:val="30"/>
          <w:lang w:val="zh-CN"/>
        </w:rPr>
        <w:t>陕西省采购招标有限责任公司</w:t>
      </w:r>
    </w:p>
    <w:p>
      <w:pPr>
        <w:tabs>
          <w:tab w:val="left" w:pos="5460"/>
        </w:tabs>
        <w:autoSpaceDE w:val="0"/>
        <w:autoSpaceDN w:val="0"/>
        <w:adjustRightInd w:val="0"/>
        <w:snapToGrid w:val="0"/>
        <w:spacing w:line="360" w:lineRule="auto"/>
        <w:jc w:val="center"/>
        <w:rPr>
          <w:rFonts w:ascii="仿宋" w:hAnsi="仿宋" w:eastAsia="仿宋"/>
          <w:b/>
          <w:bCs/>
          <w:sz w:val="30"/>
          <w:szCs w:val="30"/>
          <w:lang w:val="zh-CN"/>
        </w:rPr>
      </w:pPr>
      <w:r>
        <w:rPr>
          <w:rFonts w:hint="eastAsia" w:ascii="仿宋" w:hAnsi="仿宋" w:eastAsia="仿宋"/>
          <w:b/>
          <w:bCs/>
          <w:sz w:val="30"/>
          <w:szCs w:val="30"/>
          <w:lang w:val="zh-CN"/>
        </w:rPr>
        <w:t>2022年</w:t>
      </w:r>
      <w:r>
        <w:rPr>
          <w:rFonts w:ascii="仿宋" w:hAnsi="仿宋" w:eastAsia="仿宋"/>
          <w:b/>
          <w:bCs/>
          <w:sz w:val="30"/>
          <w:szCs w:val="30"/>
          <w:lang w:val="zh-CN"/>
        </w:rPr>
        <w:t>12</w:t>
      </w:r>
      <w:r>
        <w:rPr>
          <w:rFonts w:hint="eastAsia" w:ascii="仿宋" w:hAnsi="仿宋" w:eastAsia="仿宋"/>
          <w:b/>
          <w:bCs/>
          <w:sz w:val="30"/>
          <w:szCs w:val="30"/>
          <w:lang w:val="zh-CN"/>
        </w:rPr>
        <w:t>月</w:t>
      </w:r>
      <w:r>
        <w:rPr>
          <w:rFonts w:ascii="仿宋" w:hAnsi="仿宋" w:eastAsia="仿宋"/>
          <w:lang w:val="zh-CN"/>
        </w:rPr>
        <w:br w:type="page"/>
      </w:r>
    </w:p>
    <w:p>
      <w:pPr>
        <w:tabs>
          <w:tab w:val="left" w:pos="5460"/>
        </w:tabs>
        <w:autoSpaceDE w:val="0"/>
        <w:autoSpaceDN w:val="0"/>
        <w:adjustRightInd w:val="0"/>
        <w:snapToGrid w:val="0"/>
        <w:spacing w:line="360" w:lineRule="auto"/>
        <w:jc w:val="center"/>
        <w:rPr>
          <w:rFonts w:ascii="仿宋" w:hAnsi="仿宋" w:eastAsia="仿宋"/>
          <w:b/>
          <w:sz w:val="28"/>
        </w:rPr>
      </w:pPr>
      <w:r>
        <w:rPr>
          <w:rFonts w:ascii="仿宋" w:hAnsi="仿宋" w:eastAsia="仿宋"/>
          <w:b/>
          <w:sz w:val="28"/>
        </w:rPr>
        <w:t>目录</w:t>
      </w:r>
    </w:p>
    <w:p>
      <w:pPr>
        <w:pStyle w:val="25"/>
        <w:tabs>
          <w:tab w:val="right" w:leader="dot" w:pos="9345"/>
        </w:tabs>
        <w:spacing w:line="360" w:lineRule="auto"/>
        <w:rPr>
          <w:rFonts w:ascii="仿宋" w:hAnsi="仿宋" w:eastAsia="仿宋" w:cstheme="minorBidi"/>
          <w:sz w:val="24"/>
        </w:rPr>
      </w:pPr>
      <w:r>
        <w:rPr>
          <w:rFonts w:ascii="仿宋" w:hAnsi="仿宋" w:eastAsia="仿宋"/>
          <w:kern w:val="0"/>
          <w:sz w:val="24"/>
        </w:rPr>
        <w:fldChar w:fldCharType="begin"/>
      </w:r>
      <w:r>
        <w:rPr>
          <w:rFonts w:ascii="仿宋" w:hAnsi="仿宋" w:eastAsia="仿宋"/>
          <w:kern w:val="0"/>
          <w:sz w:val="24"/>
        </w:rPr>
        <w:instrText xml:space="preserve"> TOC \o "1-3" \h \z \u </w:instrText>
      </w:r>
      <w:r>
        <w:rPr>
          <w:rFonts w:ascii="仿宋" w:hAnsi="仿宋" w:eastAsia="仿宋"/>
          <w:kern w:val="0"/>
          <w:sz w:val="24"/>
        </w:rPr>
        <w:fldChar w:fldCharType="separate"/>
      </w:r>
      <w:r>
        <w:fldChar w:fldCharType="begin"/>
      </w:r>
      <w:r>
        <w:instrText xml:space="preserve"> HYPERLINK \l "_Toc110013772" </w:instrText>
      </w:r>
      <w:r>
        <w:fldChar w:fldCharType="separate"/>
      </w:r>
      <w:r>
        <w:rPr>
          <w:rStyle w:val="47"/>
          <w:rFonts w:ascii="仿宋" w:hAnsi="仿宋" w:eastAsia="仿宋" w:cs="仿宋_GB2312"/>
          <w:color w:val="auto"/>
          <w:sz w:val="24"/>
        </w:rPr>
        <w:t>第一章  招标公告</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_Toc110013772 \h </w:instrText>
      </w:r>
      <w:r>
        <w:rPr>
          <w:rFonts w:ascii="仿宋" w:hAnsi="仿宋" w:eastAsia="仿宋"/>
          <w:sz w:val="24"/>
        </w:rPr>
        <w:fldChar w:fldCharType="separate"/>
      </w:r>
      <w:r>
        <w:rPr>
          <w:rFonts w:ascii="仿宋" w:hAnsi="仿宋" w:eastAsia="仿宋"/>
          <w:sz w:val="24"/>
        </w:rPr>
        <w:t>1</w:t>
      </w:r>
      <w:r>
        <w:rPr>
          <w:rFonts w:ascii="仿宋" w:hAnsi="仿宋" w:eastAsia="仿宋"/>
          <w:sz w:val="24"/>
        </w:rPr>
        <w:fldChar w:fldCharType="end"/>
      </w:r>
      <w:r>
        <w:rPr>
          <w:rFonts w:ascii="仿宋" w:hAnsi="仿宋" w:eastAsia="仿宋"/>
          <w:sz w:val="24"/>
        </w:rPr>
        <w:fldChar w:fldCharType="end"/>
      </w:r>
    </w:p>
    <w:p>
      <w:pPr>
        <w:pStyle w:val="25"/>
        <w:tabs>
          <w:tab w:val="right" w:leader="dot" w:pos="9345"/>
        </w:tabs>
        <w:spacing w:line="360" w:lineRule="auto"/>
        <w:rPr>
          <w:rFonts w:ascii="仿宋" w:hAnsi="仿宋" w:eastAsia="仿宋" w:cstheme="minorBidi"/>
          <w:sz w:val="24"/>
        </w:rPr>
      </w:pPr>
      <w:r>
        <w:fldChar w:fldCharType="begin"/>
      </w:r>
      <w:r>
        <w:instrText xml:space="preserve"> HYPERLINK \l "_Toc110013773" </w:instrText>
      </w:r>
      <w:r>
        <w:fldChar w:fldCharType="separate"/>
      </w:r>
      <w:r>
        <w:rPr>
          <w:rStyle w:val="47"/>
          <w:rFonts w:ascii="仿宋" w:hAnsi="仿宋" w:eastAsia="仿宋" w:cs="仿宋_GB2312"/>
          <w:color w:val="auto"/>
          <w:sz w:val="24"/>
        </w:rPr>
        <w:t>第二章  投标人须知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_Toc110013773 \h </w:instrText>
      </w:r>
      <w:r>
        <w:rPr>
          <w:rFonts w:ascii="仿宋" w:hAnsi="仿宋" w:eastAsia="仿宋"/>
          <w:sz w:val="24"/>
        </w:rPr>
        <w:fldChar w:fldCharType="separate"/>
      </w:r>
      <w:r>
        <w:rPr>
          <w:rFonts w:ascii="仿宋" w:hAnsi="仿宋" w:eastAsia="仿宋"/>
          <w:sz w:val="24"/>
        </w:rPr>
        <w:t>5</w:t>
      </w:r>
      <w:r>
        <w:rPr>
          <w:rFonts w:ascii="仿宋" w:hAnsi="仿宋" w:eastAsia="仿宋"/>
          <w:sz w:val="24"/>
        </w:rPr>
        <w:fldChar w:fldCharType="end"/>
      </w:r>
      <w:r>
        <w:rPr>
          <w:rFonts w:ascii="仿宋" w:hAnsi="仿宋" w:eastAsia="仿宋"/>
          <w:sz w:val="24"/>
        </w:rPr>
        <w:fldChar w:fldCharType="end"/>
      </w:r>
    </w:p>
    <w:p>
      <w:pPr>
        <w:pStyle w:val="25"/>
        <w:tabs>
          <w:tab w:val="right" w:leader="dot" w:pos="9345"/>
        </w:tabs>
        <w:spacing w:line="360" w:lineRule="auto"/>
        <w:rPr>
          <w:rFonts w:ascii="仿宋" w:hAnsi="仿宋" w:eastAsia="仿宋" w:cstheme="minorBidi"/>
          <w:sz w:val="24"/>
        </w:rPr>
      </w:pPr>
      <w:r>
        <w:fldChar w:fldCharType="begin"/>
      </w:r>
      <w:r>
        <w:instrText xml:space="preserve"> HYPERLINK \l "_Toc110013782" </w:instrText>
      </w:r>
      <w:r>
        <w:fldChar w:fldCharType="separate"/>
      </w:r>
      <w:r>
        <w:rPr>
          <w:rStyle w:val="47"/>
          <w:rFonts w:ascii="仿宋" w:hAnsi="仿宋" w:eastAsia="仿宋" w:cs="仿宋_GB2312"/>
          <w:color w:val="auto"/>
          <w:sz w:val="24"/>
        </w:rPr>
        <w:t>第三章  评标方法和标准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_Toc110013782 \h </w:instrText>
      </w:r>
      <w:r>
        <w:rPr>
          <w:rFonts w:ascii="仿宋" w:hAnsi="仿宋" w:eastAsia="仿宋"/>
          <w:sz w:val="24"/>
        </w:rPr>
        <w:fldChar w:fldCharType="separate"/>
      </w:r>
      <w:r>
        <w:rPr>
          <w:rFonts w:ascii="仿宋" w:hAnsi="仿宋" w:eastAsia="仿宋"/>
          <w:sz w:val="24"/>
        </w:rPr>
        <w:t>26</w:t>
      </w:r>
      <w:r>
        <w:rPr>
          <w:rFonts w:ascii="仿宋" w:hAnsi="仿宋" w:eastAsia="仿宋"/>
          <w:sz w:val="24"/>
        </w:rPr>
        <w:fldChar w:fldCharType="end"/>
      </w:r>
      <w:r>
        <w:rPr>
          <w:rFonts w:ascii="仿宋" w:hAnsi="仿宋" w:eastAsia="仿宋"/>
          <w:sz w:val="24"/>
        </w:rPr>
        <w:fldChar w:fldCharType="end"/>
      </w:r>
    </w:p>
    <w:p>
      <w:pPr>
        <w:pStyle w:val="25"/>
        <w:tabs>
          <w:tab w:val="right" w:leader="dot" w:pos="9345"/>
        </w:tabs>
        <w:spacing w:line="360" w:lineRule="auto"/>
        <w:rPr>
          <w:rFonts w:ascii="仿宋" w:hAnsi="仿宋" w:eastAsia="仿宋" w:cstheme="minorBidi"/>
          <w:sz w:val="24"/>
        </w:rPr>
      </w:pPr>
      <w:r>
        <w:fldChar w:fldCharType="begin"/>
      </w:r>
      <w:r>
        <w:instrText xml:space="preserve"> HYPERLINK \l "_Toc110013786" </w:instrText>
      </w:r>
      <w:r>
        <w:fldChar w:fldCharType="separate"/>
      </w:r>
      <w:r>
        <w:rPr>
          <w:rStyle w:val="47"/>
          <w:rFonts w:ascii="仿宋" w:hAnsi="仿宋" w:eastAsia="仿宋" w:cs="仿宋_GB2312"/>
          <w:color w:val="auto"/>
          <w:sz w:val="24"/>
        </w:rPr>
        <w:t>第四章  拟签订的合同文本</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_Toc110013786 \h </w:instrText>
      </w:r>
      <w:r>
        <w:rPr>
          <w:rFonts w:ascii="仿宋" w:hAnsi="仿宋" w:eastAsia="仿宋"/>
          <w:sz w:val="24"/>
        </w:rPr>
        <w:fldChar w:fldCharType="separate"/>
      </w:r>
      <w:r>
        <w:rPr>
          <w:rFonts w:ascii="仿宋" w:hAnsi="仿宋" w:eastAsia="仿宋"/>
          <w:sz w:val="24"/>
        </w:rPr>
        <w:t>32</w:t>
      </w:r>
      <w:r>
        <w:rPr>
          <w:rFonts w:ascii="仿宋" w:hAnsi="仿宋" w:eastAsia="仿宋"/>
          <w:sz w:val="24"/>
        </w:rPr>
        <w:fldChar w:fldCharType="end"/>
      </w:r>
      <w:r>
        <w:rPr>
          <w:rFonts w:ascii="仿宋" w:hAnsi="仿宋" w:eastAsia="仿宋"/>
          <w:sz w:val="24"/>
        </w:rPr>
        <w:fldChar w:fldCharType="end"/>
      </w:r>
    </w:p>
    <w:p>
      <w:pPr>
        <w:pStyle w:val="25"/>
        <w:tabs>
          <w:tab w:val="right" w:leader="dot" w:pos="9345"/>
        </w:tabs>
        <w:spacing w:line="360" w:lineRule="auto"/>
        <w:rPr>
          <w:rFonts w:ascii="仿宋" w:hAnsi="仿宋" w:eastAsia="仿宋" w:cstheme="minorBidi"/>
          <w:sz w:val="24"/>
        </w:rPr>
      </w:pPr>
      <w:r>
        <w:fldChar w:fldCharType="begin"/>
      </w:r>
      <w:r>
        <w:instrText xml:space="preserve"> HYPERLINK \l "_Toc110013787" </w:instrText>
      </w:r>
      <w:r>
        <w:fldChar w:fldCharType="separate"/>
      </w:r>
      <w:r>
        <w:rPr>
          <w:rStyle w:val="47"/>
          <w:rFonts w:ascii="仿宋" w:hAnsi="仿宋" w:eastAsia="仿宋" w:cs="仿宋_GB2312"/>
          <w:color w:val="auto"/>
          <w:sz w:val="24"/>
        </w:rPr>
        <w:t>第五章  采购需求及要求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_Toc110013787 \h </w:instrText>
      </w:r>
      <w:r>
        <w:rPr>
          <w:rFonts w:ascii="仿宋" w:hAnsi="仿宋" w:eastAsia="仿宋"/>
          <w:sz w:val="24"/>
        </w:rPr>
        <w:fldChar w:fldCharType="separate"/>
      </w:r>
      <w:r>
        <w:rPr>
          <w:rFonts w:ascii="仿宋" w:hAnsi="仿宋" w:eastAsia="仿宋"/>
          <w:sz w:val="24"/>
        </w:rPr>
        <w:t>42</w:t>
      </w:r>
      <w:r>
        <w:rPr>
          <w:rFonts w:ascii="仿宋" w:hAnsi="仿宋" w:eastAsia="仿宋"/>
          <w:sz w:val="24"/>
        </w:rPr>
        <w:fldChar w:fldCharType="end"/>
      </w:r>
      <w:r>
        <w:rPr>
          <w:rFonts w:ascii="仿宋" w:hAnsi="仿宋" w:eastAsia="仿宋"/>
          <w:sz w:val="24"/>
        </w:rPr>
        <w:fldChar w:fldCharType="end"/>
      </w:r>
    </w:p>
    <w:p>
      <w:pPr>
        <w:pStyle w:val="25"/>
        <w:tabs>
          <w:tab w:val="right" w:leader="dot" w:pos="9345"/>
        </w:tabs>
        <w:spacing w:line="360" w:lineRule="auto"/>
        <w:rPr>
          <w:rFonts w:ascii="仿宋" w:hAnsi="仿宋" w:eastAsia="仿宋" w:cstheme="minorBidi"/>
          <w:sz w:val="24"/>
        </w:rPr>
      </w:pPr>
      <w:r>
        <w:fldChar w:fldCharType="begin"/>
      </w:r>
      <w:r>
        <w:instrText xml:space="preserve"> HYPERLINK \l "_Toc110013788" </w:instrText>
      </w:r>
      <w:r>
        <w:fldChar w:fldCharType="separate"/>
      </w:r>
      <w:r>
        <w:rPr>
          <w:rStyle w:val="47"/>
          <w:rFonts w:ascii="仿宋" w:hAnsi="仿宋" w:eastAsia="仿宋" w:cs="仿宋_GB2312"/>
          <w:color w:val="auto"/>
          <w:sz w:val="24"/>
        </w:rPr>
        <w:t>第六章  投标文件格式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_Toc110013788 \h </w:instrText>
      </w:r>
      <w:r>
        <w:rPr>
          <w:rFonts w:ascii="仿宋" w:hAnsi="仿宋" w:eastAsia="仿宋"/>
          <w:sz w:val="24"/>
        </w:rPr>
        <w:fldChar w:fldCharType="separate"/>
      </w:r>
      <w:r>
        <w:rPr>
          <w:rFonts w:ascii="仿宋" w:hAnsi="仿宋" w:eastAsia="仿宋"/>
          <w:sz w:val="24"/>
        </w:rPr>
        <w:t>70</w:t>
      </w:r>
      <w:r>
        <w:rPr>
          <w:rFonts w:ascii="仿宋" w:hAnsi="仿宋" w:eastAsia="仿宋"/>
          <w:sz w:val="24"/>
        </w:rPr>
        <w:fldChar w:fldCharType="end"/>
      </w:r>
      <w:r>
        <w:rPr>
          <w:rFonts w:ascii="仿宋" w:hAnsi="仿宋" w:eastAsia="仿宋"/>
          <w:sz w:val="24"/>
        </w:rPr>
        <w:fldChar w:fldCharType="end"/>
      </w:r>
    </w:p>
    <w:p>
      <w:pPr>
        <w:pStyle w:val="34"/>
        <w:spacing w:before="0" w:after="0" w:line="360" w:lineRule="auto"/>
        <w:jc w:val="both"/>
        <w:outlineLvl w:val="9"/>
        <w:rPr>
          <w:rFonts w:ascii="仿宋" w:hAnsi="仿宋" w:eastAsia="仿宋"/>
          <w:kern w:val="0"/>
          <w:sz w:val="24"/>
          <w:szCs w:val="24"/>
        </w:rPr>
        <w:sectPr>
          <w:pgSz w:w="11907" w:h="16840"/>
          <w:pgMar w:top="1134" w:right="1134" w:bottom="1134" w:left="1134" w:header="851" w:footer="851" w:gutter="284"/>
          <w:cols w:space="720" w:num="1"/>
          <w:docGrid w:linePitch="462" w:charSpace="0"/>
        </w:sectPr>
      </w:pPr>
      <w:r>
        <w:rPr>
          <w:rFonts w:ascii="仿宋" w:hAnsi="仿宋" w:eastAsia="仿宋"/>
          <w:b w:val="0"/>
          <w:kern w:val="0"/>
          <w:sz w:val="24"/>
          <w:szCs w:val="24"/>
        </w:rPr>
        <w:fldChar w:fldCharType="end"/>
      </w:r>
      <w:bookmarkStart w:id="0" w:name="_Toc216582804"/>
      <w:bookmarkStart w:id="1" w:name="_Toc17230"/>
      <w:bookmarkStart w:id="2" w:name="_Toc22782"/>
    </w:p>
    <w:p>
      <w:pPr>
        <w:pStyle w:val="34"/>
        <w:spacing w:before="0" w:after="0" w:line="360" w:lineRule="auto"/>
        <w:rPr>
          <w:rFonts w:ascii="仿宋" w:hAnsi="仿宋" w:eastAsia="仿宋" w:cs="仿宋_GB2312"/>
        </w:rPr>
      </w:pPr>
      <w:bookmarkStart w:id="3" w:name="_Toc110013772"/>
      <w:r>
        <w:rPr>
          <w:rFonts w:ascii="仿宋" w:hAnsi="仿宋" w:eastAsia="仿宋" w:cs="仿宋_GB2312"/>
        </w:rPr>
        <w:t>第一章  招标公告</w:t>
      </w:r>
      <w:bookmarkEnd w:id="3"/>
    </w:p>
    <w:p>
      <w:pPr>
        <w:spacing w:line="360" w:lineRule="auto"/>
        <w:jc w:val="center"/>
        <w:rPr>
          <w:rFonts w:ascii="仿宋" w:hAnsi="仿宋" w:eastAsia="仿宋" w:cs="仿宋_GB2312"/>
          <w:b/>
          <w:bCs/>
          <w:sz w:val="24"/>
          <w:szCs w:val="32"/>
        </w:rPr>
      </w:pPr>
      <w:bookmarkStart w:id="4" w:name="_Hlk120808138"/>
      <w:r>
        <w:rPr>
          <w:rFonts w:hint="eastAsia" w:ascii="仿宋" w:hAnsi="仿宋" w:eastAsia="仿宋" w:cs="微软雅黑"/>
          <w:b/>
          <w:bCs/>
          <w:sz w:val="24"/>
          <w:szCs w:val="32"/>
        </w:rPr>
        <w:t>陕西省“金审三期”延安市配套建设服务项目</w:t>
      </w:r>
      <w:r>
        <w:rPr>
          <w:rFonts w:hint="eastAsia" w:ascii="仿宋" w:hAnsi="仿宋" w:eastAsia="仿宋" w:cs="仿宋_GB2312"/>
          <w:b/>
          <w:bCs/>
          <w:sz w:val="24"/>
          <w:szCs w:val="32"/>
        </w:rPr>
        <w:t>招标公告</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pPr>
              <w:pStyle w:val="13"/>
              <w:tabs>
                <w:tab w:val="clear" w:pos="567"/>
              </w:tabs>
              <w:spacing w:before="0" w:line="360" w:lineRule="auto"/>
              <w:rPr>
                <w:rFonts w:ascii="仿宋" w:hAnsi="仿宋" w:eastAsia="仿宋"/>
                <w:b/>
                <w:bCs/>
              </w:rPr>
            </w:pPr>
            <w:r>
              <w:rPr>
                <w:rFonts w:hint="eastAsia" w:ascii="仿宋" w:hAnsi="仿宋" w:eastAsia="仿宋"/>
                <w:b/>
                <w:bCs/>
              </w:rPr>
              <w:t>项目概况</w:t>
            </w:r>
          </w:p>
          <w:p>
            <w:pPr>
              <w:pStyle w:val="13"/>
              <w:tabs>
                <w:tab w:val="clear" w:pos="567"/>
              </w:tabs>
              <w:spacing w:before="0" w:line="360" w:lineRule="auto"/>
              <w:ind w:firstLine="480" w:firstLineChars="200"/>
              <w:rPr>
                <w:rFonts w:ascii="仿宋" w:hAnsi="仿宋" w:eastAsia="仿宋"/>
                <w:b/>
                <w:bCs/>
              </w:rPr>
            </w:pPr>
            <w:r>
              <w:rPr>
                <w:rFonts w:hint="eastAsia" w:ascii="仿宋" w:hAnsi="仿宋" w:eastAsia="仿宋"/>
              </w:rPr>
              <w:t>陕西省“金审三期”延安市配套建设服务项目招标项目的潜在投标人应在投标人使用捆绑CA证书登录 全国公共资源交易平台（陕西省·延安市）延安市公共资源交易中心 ，选择电子交易平台中的陕西政府采购交易系统进行登录，登录后选择“交易乙方”身份进入投标人界面进行报名获取招标文件，并于 2023年01月06日 09时00分 （北京时间）前递交投标文件。</w:t>
            </w:r>
          </w:p>
        </w:tc>
      </w:tr>
    </w:tbl>
    <w:p>
      <w:pPr>
        <w:pStyle w:val="13"/>
        <w:tabs>
          <w:tab w:val="clear" w:pos="567"/>
        </w:tabs>
        <w:spacing w:before="0" w:line="360" w:lineRule="auto"/>
        <w:rPr>
          <w:rFonts w:ascii="仿宋" w:hAnsi="仿宋" w:eastAsia="仿宋"/>
          <w:b/>
          <w:bCs/>
        </w:rPr>
      </w:pPr>
      <w:r>
        <w:rPr>
          <w:rFonts w:hint="eastAsia" w:ascii="仿宋" w:hAnsi="仿宋" w:eastAsia="仿宋"/>
          <w:b/>
          <w:bCs/>
        </w:rPr>
        <w:t>一、项目基本情况</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项目编号：SCZD2022-ZB-2914-001</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项目名称：陕西省“金审三期”延安市配套建设服务项目</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采购方式：公开招标</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预算金额：</w:t>
      </w:r>
      <w:r>
        <w:rPr>
          <w:rFonts w:ascii="仿宋" w:hAnsi="仿宋" w:eastAsia="仿宋"/>
        </w:rPr>
        <w:t>3,372,300.00</w:t>
      </w:r>
      <w:r>
        <w:rPr>
          <w:rFonts w:hint="eastAsia" w:ascii="仿宋" w:hAnsi="仿宋" w:eastAsia="仿宋"/>
        </w:rPr>
        <w:t>元</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采购需求：</w:t>
      </w:r>
    </w:p>
    <w:p>
      <w:pPr>
        <w:pStyle w:val="13"/>
        <w:tabs>
          <w:tab w:val="clear" w:pos="567"/>
        </w:tabs>
        <w:spacing w:before="0" w:line="360" w:lineRule="auto"/>
        <w:ind w:firstLine="1020" w:firstLineChars="425"/>
        <w:rPr>
          <w:rFonts w:ascii="仿宋" w:hAnsi="仿宋" w:eastAsia="仿宋"/>
        </w:rPr>
      </w:pPr>
      <w:r>
        <w:rPr>
          <w:rFonts w:hint="eastAsia" w:ascii="仿宋" w:hAnsi="仿宋" w:eastAsia="仿宋"/>
        </w:rPr>
        <w:t>合同包1(陕西省“金审三期”延安市配套建设服务项目):</w:t>
      </w:r>
    </w:p>
    <w:p>
      <w:pPr>
        <w:pStyle w:val="13"/>
        <w:tabs>
          <w:tab w:val="clear" w:pos="567"/>
        </w:tabs>
        <w:spacing w:before="0" w:line="360" w:lineRule="auto"/>
        <w:ind w:firstLine="1020" w:firstLineChars="425"/>
        <w:rPr>
          <w:rFonts w:ascii="仿宋" w:hAnsi="仿宋" w:eastAsia="仿宋"/>
        </w:rPr>
      </w:pPr>
      <w:r>
        <w:rPr>
          <w:rFonts w:hint="eastAsia" w:ascii="仿宋" w:hAnsi="仿宋" w:eastAsia="仿宋"/>
        </w:rPr>
        <w:t>合同包预算金额：</w:t>
      </w:r>
      <w:r>
        <w:rPr>
          <w:rFonts w:ascii="仿宋" w:hAnsi="仿宋" w:eastAsia="仿宋"/>
        </w:rPr>
        <w:t>3,372,300.00</w:t>
      </w:r>
      <w:r>
        <w:rPr>
          <w:rFonts w:hint="eastAsia" w:ascii="仿宋" w:hAnsi="仿宋" w:eastAsia="仿宋"/>
        </w:rPr>
        <w:t>元</w:t>
      </w:r>
    </w:p>
    <w:tbl>
      <w:tblPr>
        <w:tblStyle w:val="37"/>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7"/>
        <w:gridCol w:w="1841"/>
        <w:gridCol w:w="1979"/>
        <w:gridCol w:w="949"/>
        <w:gridCol w:w="1464"/>
        <w:gridCol w:w="1603"/>
        <w:gridCol w:w="10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品目号</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品目名称</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采购标的</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数量（单位）</w:t>
            </w:r>
          </w:p>
        </w:tc>
        <w:tc>
          <w:tcPr>
            <w:tcW w:w="3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技术规格、参数及要求</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品目预算(元)</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1-1</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hint="eastAsia" w:ascii="仿宋" w:hAnsi="仿宋" w:eastAsia="仿宋"/>
                <w:szCs w:val="21"/>
              </w:rPr>
              <w:t>其他系统集成实施服务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hint="eastAsia" w:ascii="仿宋" w:hAnsi="仿宋" w:eastAsia="仿宋"/>
                <w:szCs w:val="21"/>
              </w:rPr>
              <w:t>陕西省“金审三期”延安市配套建设服务项目</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1(批)</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ordWrap w:val="0"/>
              <w:spacing w:line="360" w:lineRule="atLeast"/>
              <w:jc w:val="center"/>
              <w:rPr>
                <w:rFonts w:ascii="仿宋" w:hAnsi="仿宋" w:eastAsia="仿宋"/>
                <w:szCs w:val="21"/>
              </w:rPr>
            </w:pPr>
            <w:r>
              <w:rPr>
                <w:rFonts w:ascii="仿宋" w:hAnsi="仿宋" w:eastAsia="仿宋"/>
                <w:szCs w:val="21"/>
              </w:rPr>
              <w:t>详见采购文件</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tLeast"/>
              <w:jc w:val="right"/>
              <w:rPr>
                <w:rFonts w:ascii="仿宋" w:hAnsi="仿宋" w:eastAsia="仿宋"/>
                <w:szCs w:val="21"/>
              </w:rPr>
            </w:pPr>
            <w:r>
              <w:rPr>
                <w:rFonts w:ascii="仿宋" w:hAnsi="仿宋" w:eastAsia="仿宋"/>
              </w:rPr>
              <w:t>3,372,300.00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360" w:lineRule="atLeast"/>
              <w:jc w:val="center"/>
              <w:rPr>
                <w:rFonts w:ascii="仿宋" w:hAnsi="仿宋" w:eastAsia="仿宋"/>
                <w:szCs w:val="21"/>
              </w:rPr>
            </w:pPr>
            <w:r>
              <w:rPr>
                <w:rFonts w:hint="eastAsia" w:ascii="仿宋" w:hAnsi="仿宋" w:eastAsia="仿宋"/>
                <w:szCs w:val="21"/>
              </w:rPr>
              <w:t>-</w:t>
            </w:r>
          </w:p>
        </w:tc>
      </w:tr>
    </w:tbl>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本合同包不接受联合体投标</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合同履行期限：</w:t>
      </w:r>
      <w:r>
        <w:rPr>
          <w:rFonts w:hint="eastAsia" w:ascii="仿宋" w:hAnsi="仿宋" w:eastAsia="仿宋"/>
          <w:b/>
        </w:rPr>
        <w:t>合同签订后30个日历日交货</w:t>
      </w:r>
    </w:p>
    <w:p>
      <w:pPr>
        <w:pStyle w:val="13"/>
        <w:tabs>
          <w:tab w:val="clear" w:pos="567"/>
        </w:tabs>
        <w:spacing w:before="0" w:line="360" w:lineRule="auto"/>
        <w:rPr>
          <w:rFonts w:ascii="仿宋" w:hAnsi="仿宋" w:eastAsia="仿宋"/>
        </w:rPr>
      </w:pPr>
      <w:r>
        <w:rPr>
          <w:rFonts w:hint="eastAsia" w:ascii="仿宋" w:hAnsi="仿宋" w:eastAsia="仿宋"/>
        </w:rPr>
        <w:t>二、申请人的资格要求：</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1.满足《中华人民共和国政府采购法》第二十二条规定;</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2.落实政府采购政策需满足的资格要求：</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合同包1(陕西省“金审三期”延安市配套建设服务项目)落实政府采购政策需满足的资格要求如下:</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无，本项目不专门面向中小企业。</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3.本项目的特定资格要求：</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合同包1(陕西省“金审三期”延安市配套建设服务项目)特定资格要求如下:</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3.1、投标人在递交投标文件截止时间前被“信用中国”网站和“中国政府采购网”上被列入失信被执行人、重大税收违法失信主体、政府采购严重违法失信行为记录名单的，不得参加投标；</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3.2、投标人参加本项目的合法授权人的授权委托书；</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3.3、投标人不得存在下列情形之一：</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（1）单位负责人为同一人或者存在直接控股、管理关系的不同投标人，不得参加本次采购活动；</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（2）为本项目提供整体设计、规范编制或者项目管理、监理、检测等服务的投标人，不得再参加本项目的采购活动；</w:t>
      </w:r>
    </w:p>
    <w:p>
      <w:pPr>
        <w:pStyle w:val="13"/>
        <w:tabs>
          <w:tab w:val="clear" w:pos="567"/>
        </w:tabs>
        <w:spacing w:before="0" w:line="360" w:lineRule="auto"/>
        <w:rPr>
          <w:rFonts w:ascii="仿宋" w:hAnsi="仿宋" w:eastAsia="仿宋"/>
          <w:b/>
          <w:bCs/>
        </w:rPr>
      </w:pPr>
      <w:r>
        <w:rPr>
          <w:rFonts w:hint="eastAsia" w:ascii="仿宋" w:hAnsi="仿宋" w:eastAsia="仿宋"/>
          <w:b/>
          <w:bCs/>
        </w:rPr>
        <w:t>三、获取招标文件</w:t>
      </w:r>
    </w:p>
    <w:p>
      <w:pPr>
        <w:pStyle w:val="13"/>
        <w:tabs>
          <w:tab w:val="clear" w:pos="567"/>
        </w:tabs>
        <w:spacing w:before="0" w:line="360" w:lineRule="auto"/>
        <w:ind w:firstLine="480" w:firstLineChars="200"/>
        <w:rPr>
          <w:rFonts w:ascii="仿宋" w:hAnsi="仿宋" w:eastAsia="仿宋"/>
        </w:rPr>
      </w:pPr>
      <w:r>
        <w:rPr>
          <w:rFonts w:hint="eastAsia" w:ascii="仿宋" w:hAnsi="仿宋" w:eastAsia="仿宋"/>
        </w:rPr>
        <w:t>时间： 2022年12月16日 至 2022年12月22日 ，每天上午 09:00:00 至 12:00:00 ，下午 12:00:00 至 18:00:00 （北京时间）</w:t>
      </w:r>
    </w:p>
    <w:p>
      <w:pPr>
        <w:pStyle w:val="13"/>
        <w:tabs>
          <w:tab w:val="clear" w:pos="567"/>
        </w:tabs>
        <w:spacing w:before="0" w:line="360" w:lineRule="auto"/>
        <w:ind w:firstLine="480" w:firstLineChars="200"/>
        <w:rPr>
          <w:rFonts w:ascii="仿宋" w:hAnsi="仿宋" w:eastAsia="仿宋"/>
        </w:rPr>
      </w:pPr>
      <w:r>
        <w:rPr>
          <w:rFonts w:hint="eastAsia" w:ascii="仿宋" w:hAnsi="仿宋" w:eastAsia="仿宋"/>
        </w:rPr>
        <w:t>途径：投标人使用捆绑CA证书登录 全国公共资源交易平台（陕西省·延安市）延安市公共资源交易中心 ，选择电子交易平台中的陕西政府采购交易系统进行登录，登录后选择“交易乙方”身份进入投标人界面进行报名</w:t>
      </w:r>
    </w:p>
    <w:p>
      <w:pPr>
        <w:pStyle w:val="13"/>
        <w:tabs>
          <w:tab w:val="clear" w:pos="567"/>
        </w:tabs>
        <w:spacing w:before="0" w:line="360" w:lineRule="auto"/>
        <w:ind w:firstLine="480" w:firstLineChars="200"/>
        <w:rPr>
          <w:rFonts w:ascii="仿宋" w:hAnsi="仿宋" w:eastAsia="仿宋"/>
        </w:rPr>
      </w:pPr>
      <w:r>
        <w:rPr>
          <w:rFonts w:hint="eastAsia" w:ascii="仿宋" w:hAnsi="仿宋" w:eastAsia="仿宋"/>
        </w:rPr>
        <w:t>方式：在线获取</w:t>
      </w:r>
    </w:p>
    <w:p>
      <w:pPr>
        <w:pStyle w:val="13"/>
        <w:tabs>
          <w:tab w:val="clear" w:pos="567"/>
        </w:tabs>
        <w:spacing w:before="0" w:line="360" w:lineRule="auto"/>
        <w:ind w:firstLine="480" w:firstLineChars="200"/>
        <w:rPr>
          <w:rFonts w:ascii="仿宋" w:hAnsi="仿宋" w:eastAsia="仿宋"/>
        </w:rPr>
      </w:pPr>
      <w:r>
        <w:rPr>
          <w:rFonts w:hint="eastAsia" w:ascii="仿宋" w:hAnsi="仿宋" w:eastAsia="仿宋"/>
        </w:rPr>
        <w:t>售价： 0元</w:t>
      </w:r>
    </w:p>
    <w:p>
      <w:pPr>
        <w:pStyle w:val="13"/>
        <w:tabs>
          <w:tab w:val="clear" w:pos="567"/>
        </w:tabs>
        <w:spacing w:before="0" w:line="360" w:lineRule="auto"/>
        <w:rPr>
          <w:rFonts w:ascii="仿宋" w:hAnsi="仿宋" w:eastAsia="仿宋"/>
          <w:b/>
          <w:bCs/>
        </w:rPr>
      </w:pPr>
      <w:r>
        <w:rPr>
          <w:rFonts w:hint="eastAsia" w:ascii="仿宋" w:hAnsi="仿宋" w:eastAsia="仿宋"/>
          <w:b/>
          <w:bCs/>
        </w:rPr>
        <w:t>四、提交投标文件截止时间、开标时间和地点</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时间：2023年01月06日 09时00分00秒 （北京时间）</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提交投标文件地点：延安市新区为民服务中心7号楼公共资源交易中心交易一厅</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开标地点：延安市新区为民服务中心7号楼公共资源交易中心交易一厅</w:t>
      </w:r>
    </w:p>
    <w:p>
      <w:pPr>
        <w:pStyle w:val="13"/>
        <w:tabs>
          <w:tab w:val="clear" w:pos="567"/>
        </w:tabs>
        <w:spacing w:before="0" w:line="360" w:lineRule="auto"/>
        <w:rPr>
          <w:rFonts w:ascii="仿宋" w:hAnsi="仿宋" w:eastAsia="仿宋"/>
          <w:b/>
          <w:bCs/>
        </w:rPr>
      </w:pPr>
      <w:r>
        <w:rPr>
          <w:rFonts w:hint="eastAsia" w:ascii="仿宋" w:hAnsi="仿宋" w:eastAsia="仿宋"/>
          <w:b/>
          <w:bCs/>
        </w:rPr>
        <w:t>五、公告期限</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自本公告发布之日起5个工作日。</w:t>
      </w:r>
    </w:p>
    <w:p>
      <w:pPr>
        <w:pStyle w:val="13"/>
        <w:tabs>
          <w:tab w:val="clear" w:pos="567"/>
        </w:tabs>
        <w:spacing w:before="0" w:line="360" w:lineRule="auto"/>
        <w:rPr>
          <w:rFonts w:ascii="仿宋" w:hAnsi="仿宋" w:eastAsia="仿宋"/>
        </w:rPr>
      </w:pPr>
      <w:r>
        <w:rPr>
          <w:rFonts w:hint="eastAsia" w:ascii="仿宋" w:hAnsi="仿宋" w:eastAsia="仿宋"/>
        </w:rPr>
        <w:t>六、其他补充事宜</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1.报名登记：投标人使用捆绑CA证书登录全国公共资源交易平台（陕西省·延安市）延安市公共资源交易中心 ，选择电子交易平台中的陕西政府采购交易系统进行登录，登录后选择“交易乙方”身份进入投标人界面进行报名。</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2.下载文件：投标人登录延安市公共资源交易中心 ，选择“交易乙方”身份进入投标人界面下载电子招标文件。</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3.请投标人按照陕西省财政厅关于政府采购投标人注册登记有关事项的通知中的要求，通过陕西省政府采购网注册登记加入陕西省政府采购投标人库。</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4.递交投标文件截止时间和方式：纸质版与电子版并行。</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1）电子投标文件可于提交投标文件截止时间前任意时段进行提交，逾期系统将拒绝接收。（2）纸质版投标文件递交地点：延安市为民服务中心7号楼二楼（延安市公共资源交易一厅），投标文件递交的具体要求详见招标文件的规定。</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5.凡有意参加的投标人须完成数字认证证书（CA锁）办理及信息绑定。</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6.落实政府采购政策：</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6.1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6.2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6.3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6.4 《陕西省财政厅关于加快推进我省中小企业政府采购信用融资工作的通知》（陕财办采〔2020〕15 号）、陕西省财政厅关于印发《陕西省中小企业政府采购信用融资办法》（陕财办采〔2018〕23 号）。</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若享受以上政策优惠的企业，提供相应声明函或品目清单范围内产品的有效认证证书。</w:t>
      </w:r>
    </w:p>
    <w:p>
      <w:pPr>
        <w:pStyle w:val="13"/>
        <w:tabs>
          <w:tab w:val="clear" w:pos="567"/>
        </w:tabs>
        <w:spacing w:before="0" w:line="360" w:lineRule="auto"/>
        <w:rPr>
          <w:rFonts w:ascii="仿宋" w:hAnsi="仿宋" w:eastAsia="仿宋"/>
          <w:b/>
          <w:bCs/>
        </w:rPr>
      </w:pPr>
      <w:r>
        <w:rPr>
          <w:rFonts w:hint="eastAsia" w:ascii="仿宋" w:hAnsi="仿宋" w:eastAsia="仿宋"/>
          <w:b/>
          <w:bCs/>
        </w:rPr>
        <w:t>七、对本次招标提出询问，请按以下方式联系。</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1、采购人信息：延安市审计局</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地址：延安市宝塔区</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联系人：延安市审计局经办</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电话：</w:t>
      </w:r>
      <w:r>
        <w:rPr>
          <w:rFonts w:ascii="仿宋" w:hAnsi="仿宋" w:eastAsia="仿宋"/>
        </w:rPr>
        <w:t>0911-</w:t>
      </w:r>
      <w:r>
        <w:rPr>
          <w:rFonts w:hint="eastAsia" w:ascii="仿宋" w:hAnsi="仿宋" w:eastAsia="仿宋"/>
        </w:rPr>
        <w:t>7090500</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2、项目联系方式</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项目联系人：姜凯、程燕</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电话：029-88497916</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传真：/</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3、采购代理机构信息</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名称：陕西省采购招标有限责任公司</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联系地址：西安市高新二路山西证券大厦8楼</w:t>
      </w:r>
      <w:bookmarkEnd w:id="4"/>
    </w:p>
    <w:p>
      <w:pPr>
        <w:pStyle w:val="32"/>
        <w:shd w:val="clear" w:color="auto" w:fill="FFFFFF"/>
        <w:spacing w:before="0" w:beforeAutospacing="0" w:after="0" w:afterAutospacing="0" w:line="360" w:lineRule="auto"/>
        <w:ind w:firstLine="480" w:firstLineChars="200"/>
        <w:jc w:val="both"/>
        <w:rPr>
          <w:rFonts w:ascii="仿宋" w:hAnsi="仿宋" w:eastAsia="仿宋"/>
        </w:rPr>
      </w:pPr>
      <w:r>
        <w:rPr>
          <w:rFonts w:ascii="仿宋" w:hAnsi="仿宋" w:eastAsia="仿宋" w:cs="仿宋_GB2312"/>
        </w:rPr>
        <w:br w:type="page"/>
      </w:r>
    </w:p>
    <w:p>
      <w:pPr>
        <w:pStyle w:val="34"/>
        <w:spacing w:before="0" w:after="0" w:line="360" w:lineRule="auto"/>
        <w:rPr>
          <w:rFonts w:ascii="仿宋" w:hAnsi="仿宋" w:eastAsia="仿宋" w:cs="仿宋_GB2312"/>
        </w:rPr>
      </w:pPr>
      <w:bookmarkStart w:id="5" w:name="_Toc110013773"/>
      <w:r>
        <w:rPr>
          <w:rFonts w:ascii="仿宋" w:hAnsi="仿宋" w:eastAsia="仿宋" w:cs="仿宋_GB2312"/>
        </w:rPr>
        <w:t xml:space="preserve">第二章  </w:t>
      </w:r>
      <w:bookmarkStart w:id="6" w:name="_Toc532473448"/>
      <w:bookmarkStart w:id="7" w:name="_Toc515647756"/>
      <w:r>
        <w:rPr>
          <w:rFonts w:ascii="仿宋" w:hAnsi="仿宋" w:eastAsia="仿宋" w:cs="仿宋_GB2312"/>
        </w:rPr>
        <w:t>投标人须知</w:t>
      </w:r>
      <w:bookmarkEnd w:id="0"/>
      <w:bookmarkEnd w:id="1"/>
      <w:bookmarkEnd w:id="2"/>
      <w:bookmarkEnd w:id="5"/>
      <w:bookmarkEnd w:id="6"/>
      <w:bookmarkEnd w:id="7"/>
    </w:p>
    <w:p>
      <w:pPr>
        <w:pStyle w:val="4"/>
        <w:spacing w:before="0" w:line="360" w:lineRule="auto"/>
        <w:rPr>
          <w:rFonts w:ascii="仿宋" w:hAnsi="仿宋" w:eastAsia="仿宋"/>
          <w:sz w:val="28"/>
          <w:szCs w:val="18"/>
        </w:rPr>
      </w:pPr>
      <w:bookmarkStart w:id="8" w:name="_Toc110013774"/>
      <w:r>
        <w:rPr>
          <w:rFonts w:ascii="仿宋" w:hAnsi="仿宋" w:eastAsia="仿宋"/>
          <w:sz w:val="28"/>
          <w:szCs w:val="18"/>
        </w:rPr>
        <w:t>（一）投标人须知前附表</w:t>
      </w:r>
      <w:bookmarkEnd w:id="8"/>
    </w:p>
    <w:p>
      <w:pPr>
        <w:spacing w:line="360" w:lineRule="auto"/>
        <w:rPr>
          <w:rFonts w:ascii="仿宋" w:hAnsi="仿宋" w:eastAsia="仿宋"/>
          <w:sz w:val="24"/>
        </w:rPr>
      </w:pPr>
      <w:r>
        <w:rPr>
          <w:rFonts w:ascii="仿宋" w:hAnsi="仿宋" w:eastAsia="仿宋"/>
          <w:sz w:val="24"/>
        </w:rPr>
        <w:t>本表是对投标人须知的具体补充和修改，如有矛盾，应以本资料表为准。</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95"/>
        <w:gridCol w:w="284"/>
        <w:gridCol w:w="85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条款号</w:t>
            </w:r>
          </w:p>
        </w:tc>
        <w:tc>
          <w:tcPr>
            <w:tcW w:w="4533" w:type="pct"/>
            <w:vAlign w:val="center"/>
          </w:tcPr>
          <w:p>
            <w:pPr>
              <w:adjustRightInd w:val="0"/>
              <w:snapToGrid w:val="0"/>
              <w:spacing w:line="360" w:lineRule="auto"/>
              <w:jc w:val="center"/>
              <w:rPr>
                <w:rFonts w:ascii="仿宋" w:hAnsi="仿宋" w:eastAsia="仿宋"/>
                <w:sz w:val="24"/>
              </w:rPr>
            </w:pPr>
            <w:r>
              <w:rPr>
                <w:rFonts w:ascii="仿宋" w:hAnsi="仿宋" w:eastAsia="仿宋"/>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1.1</w:t>
            </w:r>
          </w:p>
        </w:tc>
        <w:tc>
          <w:tcPr>
            <w:tcW w:w="4533" w:type="pct"/>
            <w:vAlign w:val="center"/>
          </w:tcPr>
          <w:p>
            <w:pPr>
              <w:adjustRightInd w:val="0"/>
              <w:snapToGrid w:val="0"/>
              <w:spacing w:line="360" w:lineRule="auto"/>
              <w:rPr>
                <w:rFonts w:ascii="仿宋" w:hAnsi="仿宋" w:eastAsia="仿宋"/>
                <w:sz w:val="24"/>
              </w:rPr>
            </w:pPr>
            <w:r>
              <w:rPr>
                <w:rFonts w:hint="eastAsia" w:ascii="仿宋" w:hAnsi="仿宋" w:eastAsia="仿宋"/>
                <w:sz w:val="24"/>
              </w:rPr>
              <w:t>招标人名称：延安市审计局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8"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1.2</w:t>
            </w:r>
          </w:p>
        </w:tc>
        <w:tc>
          <w:tcPr>
            <w:tcW w:w="4533" w:type="pct"/>
            <w:vAlign w:val="center"/>
          </w:tcPr>
          <w:p>
            <w:pPr>
              <w:adjustRightInd w:val="0"/>
              <w:snapToGrid w:val="0"/>
              <w:spacing w:line="360" w:lineRule="auto"/>
              <w:rPr>
                <w:rFonts w:ascii="仿宋" w:hAnsi="仿宋" w:eastAsia="仿宋"/>
                <w:sz w:val="24"/>
              </w:rPr>
            </w:pPr>
            <w:r>
              <w:rPr>
                <w:rFonts w:hint="eastAsia" w:ascii="仿宋" w:hAnsi="仿宋" w:eastAsia="仿宋"/>
                <w:sz w:val="24"/>
              </w:rPr>
              <w:t>采购代理机构：陕西省采购招标有限责任公司</w:t>
            </w:r>
          </w:p>
          <w:p>
            <w:pPr>
              <w:adjustRightInd w:val="0"/>
              <w:snapToGrid w:val="0"/>
              <w:spacing w:line="360" w:lineRule="auto"/>
              <w:rPr>
                <w:rFonts w:ascii="仿宋" w:hAnsi="仿宋" w:eastAsia="仿宋"/>
                <w:sz w:val="24"/>
              </w:rPr>
            </w:pPr>
            <w:r>
              <w:rPr>
                <w:rFonts w:hint="eastAsia" w:ascii="仿宋" w:hAnsi="仿宋" w:eastAsia="仿宋"/>
                <w:sz w:val="24"/>
              </w:rPr>
              <w:t>地址：西安市高新二路2号山西证券大厦八层招标四部</w:t>
            </w:r>
          </w:p>
          <w:p>
            <w:pPr>
              <w:adjustRightInd w:val="0"/>
              <w:snapToGrid w:val="0"/>
              <w:spacing w:line="360" w:lineRule="auto"/>
              <w:rPr>
                <w:rFonts w:ascii="仿宋" w:hAnsi="仿宋" w:eastAsia="仿宋"/>
                <w:sz w:val="24"/>
              </w:rPr>
            </w:pPr>
            <w:r>
              <w:rPr>
                <w:rFonts w:hint="eastAsia" w:ascii="仿宋" w:hAnsi="仿宋" w:eastAsia="仿宋"/>
                <w:sz w:val="24"/>
              </w:rPr>
              <w:t>联系人：姜凯、程燕　 电话：　029-88497916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1.3.3</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合格投标人的特定资格条件：</w:t>
            </w:r>
            <w:r>
              <w:rPr>
                <w:rFonts w:hint="eastAsia" w:ascii="仿宋" w:hAnsi="仿宋" w:eastAsia="仿宋"/>
                <w:sz w:val="24"/>
              </w:rPr>
              <w:t>详见本项目招标公告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1.3.4</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是否为专门面向中小企业采购：</w:t>
            </w:r>
            <w:r>
              <w:rPr>
                <w:rFonts w:hint="eastAsia" w:ascii="仿宋" w:hAnsi="仿宋" w:eastAsia="仿宋"/>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1.3.4</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是否</w:t>
            </w:r>
            <w:r>
              <w:rPr>
                <w:rFonts w:hint="eastAsia" w:ascii="仿宋" w:hAnsi="仿宋" w:eastAsia="仿宋"/>
                <w:sz w:val="24"/>
              </w:rPr>
              <w:t>允许采购进口产品：否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1.4</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是否允许联合体投标：否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1.4.7</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联合体的其他资格要求：否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1.7</w:t>
            </w:r>
          </w:p>
        </w:tc>
        <w:tc>
          <w:tcPr>
            <w:tcW w:w="4533" w:type="pct"/>
            <w:vAlign w:val="center"/>
          </w:tcPr>
          <w:p>
            <w:pPr>
              <w:adjustRightInd w:val="0"/>
              <w:snapToGrid w:val="0"/>
              <w:spacing w:line="360" w:lineRule="auto"/>
              <w:rPr>
                <w:rFonts w:ascii="仿宋" w:hAnsi="仿宋" w:eastAsia="仿宋"/>
                <w:sz w:val="24"/>
                <w:u w:val="single"/>
              </w:rPr>
            </w:pPr>
            <w:r>
              <w:rPr>
                <w:rFonts w:ascii="仿宋" w:hAnsi="仿宋" w:eastAsia="仿宋"/>
                <w:sz w:val="24"/>
              </w:rPr>
              <w:t>项目所属行业：</w:t>
            </w:r>
            <w:r>
              <w:rPr>
                <w:rFonts w:hint="eastAsia" w:ascii="仿宋" w:hAnsi="仿宋" w:eastAsia="仿宋"/>
                <w:sz w:val="24"/>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2.2</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项目预算金额：3,372,300.00元</w:t>
            </w:r>
            <w:r>
              <w:rPr>
                <w:rFonts w:hint="eastAsia" w:ascii="仿宋" w:hAnsi="仿宋" w:eastAsia="仿宋"/>
                <w:sz w:val="24"/>
              </w:rPr>
              <w:t>;最高限价：</w:t>
            </w:r>
            <w:r>
              <w:rPr>
                <w:rFonts w:ascii="仿宋" w:hAnsi="仿宋" w:eastAsia="仿宋"/>
                <w:sz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5.4</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是否组织现场考察或者召开答疑会：否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8.1</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如投标人对多个包进行投标，可以中标</w:t>
            </w:r>
            <w:r>
              <w:rPr>
                <w:rFonts w:hint="eastAsia" w:ascii="仿宋" w:hAnsi="仿宋" w:eastAsia="仿宋"/>
                <w:sz w:val="24"/>
                <w:u w:val="single"/>
              </w:rPr>
              <w:t xml:space="preserve"> /</w:t>
            </w:r>
            <w:r>
              <w:rPr>
                <w:rFonts w:ascii="仿宋" w:hAnsi="仿宋" w:eastAsia="仿宋"/>
                <w:sz w:val="24"/>
              </w:rPr>
              <w:t>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12.1</w:t>
            </w:r>
          </w:p>
        </w:tc>
        <w:tc>
          <w:tcPr>
            <w:tcW w:w="4533" w:type="pct"/>
            <w:vAlign w:val="center"/>
          </w:tcPr>
          <w:p>
            <w:pPr>
              <w:spacing w:line="360" w:lineRule="auto"/>
              <w:rPr>
                <w:rFonts w:ascii="仿宋" w:hAnsi="仿宋" w:eastAsia="仿宋"/>
                <w:sz w:val="24"/>
              </w:rPr>
            </w:pPr>
            <w:r>
              <w:rPr>
                <w:rFonts w:hint="eastAsia" w:ascii="仿宋" w:hAnsi="仿宋" w:eastAsia="仿宋"/>
                <w:sz w:val="24"/>
              </w:rPr>
              <w:t>投标人须向采购代理机构递交人民币：叁万元（￥30000.00元）的投标保证金。</w:t>
            </w:r>
          </w:p>
          <w:p>
            <w:pPr>
              <w:adjustRightInd w:val="0"/>
              <w:snapToGrid w:val="0"/>
              <w:spacing w:line="360" w:lineRule="auto"/>
              <w:rPr>
                <w:rFonts w:ascii="仿宋" w:hAnsi="仿宋" w:eastAsia="仿宋"/>
                <w:sz w:val="24"/>
              </w:rPr>
            </w:pPr>
            <w:r>
              <w:rPr>
                <w:rFonts w:hint="eastAsia" w:ascii="仿宋" w:hAnsi="仿宋" w:eastAsia="仿宋"/>
                <w:sz w:val="24"/>
              </w:rPr>
              <w:t>收取保证金单位名称：陕西省采购招标有限责任公司</w:t>
            </w:r>
          </w:p>
          <w:p>
            <w:pPr>
              <w:adjustRightInd w:val="0"/>
              <w:snapToGrid w:val="0"/>
              <w:spacing w:line="360" w:lineRule="auto"/>
              <w:rPr>
                <w:rFonts w:ascii="仿宋" w:hAnsi="仿宋" w:eastAsia="仿宋"/>
                <w:sz w:val="24"/>
              </w:rPr>
            </w:pPr>
            <w:r>
              <w:rPr>
                <w:rFonts w:hint="eastAsia" w:ascii="仿宋" w:hAnsi="仿宋" w:eastAsia="仿宋"/>
                <w:sz w:val="24"/>
              </w:rPr>
              <w:t>开户银行：中国银行西安南郊支行营业部</w:t>
            </w:r>
          </w:p>
          <w:p>
            <w:pPr>
              <w:adjustRightInd w:val="0"/>
              <w:snapToGrid w:val="0"/>
              <w:spacing w:line="360" w:lineRule="auto"/>
              <w:rPr>
                <w:rFonts w:ascii="仿宋" w:hAnsi="仿宋" w:eastAsia="仿宋"/>
                <w:sz w:val="24"/>
              </w:rPr>
            </w:pPr>
            <w:r>
              <w:rPr>
                <w:rFonts w:hint="eastAsia" w:ascii="仿宋" w:hAnsi="仿宋" w:eastAsia="仿宋"/>
                <w:sz w:val="24"/>
              </w:rPr>
              <w:t>帐号：</w:t>
            </w:r>
            <w:r>
              <w:rPr>
                <w:rFonts w:ascii="仿宋" w:hAnsi="仿宋" w:eastAsia="仿宋"/>
                <w:sz w:val="24"/>
              </w:rPr>
              <w:t>103661183071</w:t>
            </w:r>
          </w:p>
          <w:p>
            <w:pPr>
              <w:adjustRightInd w:val="0"/>
              <w:snapToGrid w:val="0"/>
              <w:spacing w:line="360" w:lineRule="auto"/>
              <w:rPr>
                <w:rFonts w:ascii="仿宋" w:hAnsi="仿宋" w:eastAsia="仿宋"/>
                <w:sz w:val="24"/>
              </w:rPr>
            </w:pPr>
            <w:r>
              <w:rPr>
                <w:rFonts w:hint="eastAsia" w:ascii="仿宋" w:hAnsi="仿宋" w:eastAsia="仿宋"/>
                <w:sz w:val="24"/>
              </w:rPr>
              <w:t>联系人：侯娜    联系电话：029-85256853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14.1</w:t>
            </w:r>
          </w:p>
        </w:tc>
        <w:tc>
          <w:tcPr>
            <w:tcW w:w="4533" w:type="pct"/>
            <w:vAlign w:val="center"/>
          </w:tcPr>
          <w:p>
            <w:pPr>
              <w:adjustRightInd w:val="0"/>
              <w:snapToGrid w:val="0"/>
              <w:spacing w:line="360" w:lineRule="auto"/>
              <w:rPr>
                <w:rFonts w:ascii="仿宋" w:hAnsi="仿宋" w:eastAsia="仿宋"/>
                <w:sz w:val="24"/>
                <w:lang w:val="zh-CN"/>
              </w:rPr>
            </w:pPr>
            <w:r>
              <w:rPr>
                <w:rFonts w:hint="eastAsia" w:ascii="仿宋" w:hAnsi="仿宋" w:eastAsia="仿宋"/>
                <w:sz w:val="24"/>
                <w:lang w:val="zh-CN"/>
              </w:rPr>
              <w:t>纸质版与电子版并行。</w:t>
            </w:r>
          </w:p>
          <w:p>
            <w:pPr>
              <w:adjustRightInd w:val="0"/>
              <w:snapToGrid w:val="0"/>
              <w:spacing w:line="360" w:lineRule="auto"/>
              <w:rPr>
                <w:rFonts w:ascii="仿宋" w:hAnsi="仿宋" w:eastAsia="仿宋"/>
                <w:sz w:val="24"/>
                <w:lang w:val="zh-CN"/>
              </w:rPr>
            </w:pPr>
            <w:r>
              <w:rPr>
                <w:rFonts w:hint="eastAsia" w:ascii="仿宋" w:hAnsi="仿宋" w:eastAsia="仿宋"/>
                <w:sz w:val="24"/>
                <w:lang w:val="zh-CN"/>
              </w:rPr>
              <w:t>纸质版：</w:t>
            </w:r>
          </w:p>
          <w:p>
            <w:pPr>
              <w:adjustRightInd w:val="0"/>
              <w:snapToGrid w:val="0"/>
              <w:spacing w:line="360" w:lineRule="auto"/>
              <w:rPr>
                <w:rFonts w:ascii="仿宋" w:hAnsi="仿宋" w:eastAsia="仿宋"/>
                <w:sz w:val="24"/>
                <w:lang w:val="zh-CN"/>
              </w:rPr>
            </w:pPr>
            <w:r>
              <w:rPr>
                <w:rFonts w:hint="eastAsia" w:ascii="仿宋" w:hAnsi="仿宋" w:eastAsia="仿宋"/>
                <w:sz w:val="24"/>
                <w:lang w:val="zh-CN"/>
              </w:rPr>
              <w:t>投标文件：正本：1份、副本：1份。（所有文件密封在一个封袋里）</w:t>
            </w:r>
          </w:p>
          <w:p>
            <w:pPr>
              <w:adjustRightInd w:val="0"/>
              <w:snapToGrid w:val="0"/>
              <w:spacing w:line="360" w:lineRule="auto"/>
              <w:rPr>
                <w:rFonts w:ascii="仿宋" w:hAnsi="仿宋" w:eastAsia="仿宋"/>
                <w:sz w:val="24"/>
                <w:lang w:val="zh-CN"/>
              </w:rPr>
            </w:pPr>
            <w:r>
              <w:rPr>
                <w:rFonts w:hint="eastAsia" w:ascii="仿宋" w:hAnsi="仿宋" w:eastAsia="仿宋"/>
                <w:sz w:val="24"/>
                <w:lang w:val="zh-CN"/>
              </w:rPr>
              <w:t>电子版：</w:t>
            </w:r>
          </w:p>
          <w:p>
            <w:pPr>
              <w:adjustRightInd w:val="0"/>
              <w:snapToGrid w:val="0"/>
              <w:spacing w:line="360" w:lineRule="auto"/>
              <w:rPr>
                <w:rFonts w:ascii="仿宋" w:hAnsi="仿宋" w:eastAsia="仿宋"/>
                <w:sz w:val="24"/>
                <w:u w:val="single"/>
              </w:rPr>
            </w:pPr>
            <w:r>
              <w:rPr>
                <w:rFonts w:hint="eastAsia" w:ascii="仿宋" w:hAnsi="仿宋" w:eastAsia="仿宋"/>
                <w:sz w:val="24"/>
                <w:lang w:val="zh-CN"/>
              </w:rPr>
              <w:t>电子投标文件可于提交投标文件截止时间前任意时段进行提交（全国公共资源交易平台（陕西省·延安市）政府采购系统），逾期系统将拒绝接收。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16.1</w:t>
            </w:r>
          </w:p>
        </w:tc>
        <w:tc>
          <w:tcPr>
            <w:tcW w:w="4533" w:type="pct"/>
            <w:vAlign w:val="center"/>
          </w:tcPr>
          <w:p>
            <w:pPr>
              <w:adjustRightInd w:val="0"/>
              <w:snapToGrid w:val="0"/>
              <w:spacing w:line="360" w:lineRule="auto"/>
              <w:rPr>
                <w:rFonts w:ascii="仿宋" w:hAnsi="仿宋" w:eastAsia="仿宋"/>
                <w:color w:val="FF0000"/>
                <w:sz w:val="24"/>
              </w:rPr>
            </w:pPr>
            <w:r>
              <w:rPr>
                <w:rFonts w:hint="eastAsia" w:ascii="仿宋" w:hAnsi="仿宋" w:eastAsia="仿宋"/>
                <w:sz w:val="24"/>
                <w:lang w:val="zh-CN"/>
              </w:rPr>
              <w:t>投标截止时间：2023年</w:t>
            </w:r>
            <w:r>
              <w:rPr>
                <w:rFonts w:hint="eastAsia" w:ascii="仿宋" w:hAnsi="仿宋" w:eastAsia="仿宋"/>
                <w:sz w:val="24"/>
              </w:rPr>
              <w:t>01</w:t>
            </w:r>
            <w:r>
              <w:rPr>
                <w:rFonts w:hint="eastAsia" w:ascii="仿宋" w:hAnsi="仿宋" w:eastAsia="仿宋"/>
                <w:sz w:val="24"/>
                <w:lang w:val="zh-CN"/>
              </w:rPr>
              <w:t>月</w:t>
            </w:r>
            <w:r>
              <w:rPr>
                <w:rFonts w:hint="eastAsia" w:ascii="仿宋" w:hAnsi="仿宋" w:eastAsia="仿宋"/>
                <w:sz w:val="24"/>
              </w:rPr>
              <w:t>06</w:t>
            </w:r>
            <w:r>
              <w:rPr>
                <w:rFonts w:hint="eastAsia" w:ascii="仿宋" w:hAnsi="仿宋" w:eastAsia="仿宋"/>
                <w:sz w:val="24"/>
                <w:lang w:val="zh-CN"/>
              </w:rPr>
              <w:t xml:space="preserve">日 </w:t>
            </w:r>
            <w:r>
              <w:rPr>
                <w:rFonts w:hint="eastAsia" w:ascii="仿宋" w:hAnsi="仿宋" w:eastAsia="仿宋"/>
                <w:sz w:val="24"/>
              </w:rPr>
              <w:t>09</w:t>
            </w:r>
            <w:r>
              <w:rPr>
                <w:rFonts w:hint="eastAsia" w:ascii="仿宋" w:hAnsi="仿宋" w:eastAsia="仿宋"/>
                <w:sz w:val="24"/>
                <w:lang w:val="zh-CN"/>
              </w:rPr>
              <w:t>时</w:t>
            </w:r>
            <w:r>
              <w:rPr>
                <w:rFonts w:hint="eastAsia" w:ascii="仿宋" w:hAnsi="仿宋" w:eastAsia="仿宋"/>
                <w:sz w:val="24"/>
              </w:rPr>
              <w:t>00</w:t>
            </w:r>
            <w:r>
              <w:rPr>
                <w:rFonts w:hint="eastAsia" w:ascii="仿宋" w:hAnsi="仿宋" w:eastAsia="仿宋"/>
                <w:sz w:val="24"/>
                <w:lang w:val="zh-CN"/>
              </w:rPr>
              <w:t>分00秒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18.1</w:t>
            </w:r>
          </w:p>
        </w:tc>
        <w:tc>
          <w:tcPr>
            <w:tcW w:w="4533" w:type="pct"/>
            <w:vAlign w:val="center"/>
          </w:tcPr>
          <w:p>
            <w:pPr>
              <w:adjustRightInd w:val="0"/>
              <w:snapToGrid w:val="0"/>
              <w:spacing w:line="360" w:lineRule="auto"/>
              <w:rPr>
                <w:rFonts w:ascii="仿宋" w:hAnsi="仿宋" w:eastAsia="仿宋"/>
                <w:sz w:val="24"/>
                <w:u w:val="single"/>
              </w:rPr>
            </w:pPr>
            <w:r>
              <w:rPr>
                <w:rFonts w:ascii="仿宋" w:hAnsi="仿宋" w:eastAsia="仿宋"/>
                <w:sz w:val="24"/>
              </w:rPr>
              <w:t>开标时间：</w:t>
            </w:r>
            <w:r>
              <w:rPr>
                <w:rFonts w:hint="eastAsia" w:ascii="仿宋" w:hAnsi="仿宋" w:eastAsia="仿宋"/>
                <w:sz w:val="24"/>
              </w:rPr>
              <w:t>2022年01月06日 09时00分00秒</w:t>
            </w:r>
          </w:p>
          <w:p>
            <w:pPr>
              <w:adjustRightInd w:val="0"/>
              <w:snapToGrid w:val="0"/>
              <w:spacing w:line="360" w:lineRule="auto"/>
              <w:rPr>
                <w:rFonts w:ascii="仿宋" w:hAnsi="仿宋" w:eastAsia="仿宋"/>
              </w:rPr>
            </w:pPr>
            <w:r>
              <w:rPr>
                <w:rFonts w:ascii="仿宋" w:hAnsi="仿宋" w:eastAsia="仿宋"/>
                <w:sz w:val="24"/>
              </w:rPr>
              <w:t>开标地点：</w:t>
            </w:r>
            <w:r>
              <w:rPr>
                <w:rFonts w:hint="eastAsia" w:ascii="仿宋" w:hAnsi="仿宋" w:eastAsia="仿宋"/>
                <w:sz w:val="24"/>
                <w:lang w:val="zh-CN"/>
              </w:rPr>
              <w:t>延安市新区为民服务中心7号楼公共资源交易中心交易</w:t>
            </w:r>
            <w:r>
              <w:rPr>
                <w:rFonts w:hint="eastAsia" w:ascii="仿宋" w:hAnsi="仿宋" w:eastAsia="仿宋"/>
                <w:sz w:val="24"/>
              </w:rPr>
              <w:t>一</w:t>
            </w:r>
            <w:r>
              <w:rPr>
                <w:rFonts w:hint="eastAsia" w:ascii="仿宋" w:hAnsi="仿宋" w:eastAsia="仿宋"/>
                <w:sz w:val="24"/>
                <w:lang w:val="zh-CN"/>
              </w:rPr>
              <w:t>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19.2</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信用查询时间:为招标文件发售时间至资格审查工作结束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20.5</w:t>
            </w:r>
          </w:p>
        </w:tc>
        <w:tc>
          <w:tcPr>
            <w:tcW w:w="4533" w:type="pct"/>
            <w:vAlign w:val="center"/>
          </w:tcPr>
          <w:p>
            <w:pPr>
              <w:adjustRightInd w:val="0"/>
              <w:snapToGrid w:val="0"/>
              <w:spacing w:line="360" w:lineRule="auto"/>
              <w:rPr>
                <w:rFonts w:ascii="仿宋" w:hAnsi="仿宋" w:eastAsia="仿宋"/>
                <w:sz w:val="24"/>
              </w:rPr>
            </w:pPr>
            <w:r>
              <w:rPr>
                <w:rFonts w:hint="eastAsia" w:ascii="仿宋" w:hAnsi="仿宋" w:eastAsia="仿宋"/>
                <w:sz w:val="24"/>
              </w:rPr>
              <w:t>核心产品：审计专网防火墙、区县接入防火墙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23.2</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评标方法：适用</w:t>
            </w:r>
            <w:r>
              <w:rPr>
                <w:rFonts w:ascii="仿宋" w:hAnsi="仿宋" w:eastAsia="仿宋"/>
                <w:sz w:val="24"/>
                <w:u w:val="single"/>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27.1</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推荐中标候选人的数量：</w:t>
            </w:r>
            <w:r>
              <w:rPr>
                <w:rFonts w:hint="eastAsia" w:ascii="仿宋" w:hAnsi="仿宋" w:eastAsia="仿宋"/>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27.2</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招标人是否委托评标委员会直接确定中标人：否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31.1</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是否提交履约保证金：否</w:t>
            </w:r>
          </w:p>
          <w:p>
            <w:pPr>
              <w:adjustRightInd w:val="0"/>
              <w:snapToGrid w:val="0"/>
              <w:spacing w:line="360" w:lineRule="auto"/>
              <w:rPr>
                <w:rFonts w:ascii="仿宋" w:hAnsi="仿宋" w:eastAsia="仿宋"/>
                <w:sz w:val="24"/>
              </w:rPr>
            </w:pPr>
            <w:r>
              <w:rPr>
                <w:rFonts w:ascii="仿宋" w:hAnsi="仿宋" w:eastAsia="仿宋"/>
                <w:sz w:val="24"/>
              </w:rPr>
              <w:t>履约保证金金额：合同总价的</w:t>
            </w:r>
            <w:r>
              <w:rPr>
                <w:rFonts w:ascii="仿宋" w:hAnsi="仿宋" w:eastAsia="仿宋"/>
                <w:sz w:val="24"/>
                <w:u w:val="single"/>
              </w:rPr>
              <w:t>　</w:t>
            </w:r>
            <w:r>
              <w:rPr>
                <w:rFonts w:hint="eastAsia" w:ascii="仿宋" w:hAnsi="仿宋" w:eastAsia="仿宋"/>
                <w:sz w:val="24"/>
                <w:u w:val="single"/>
              </w:rPr>
              <w:t>/</w:t>
            </w:r>
            <w:r>
              <w:rPr>
                <w:rFonts w:ascii="仿宋" w:hAnsi="仿宋" w:eastAsia="仿宋"/>
                <w:sz w:val="24"/>
                <w:u w:val="single"/>
              </w:rPr>
              <w:t>　</w:t>
            </w:r>
            <w:r>
              <w:rPr>
                <w:rFonts w:ascii="仿宋" w:hAnsi="仿宋" w:eastAsia="仿宋"/>
                <w:sz w:val="24"/>
              </w:rPr>
              <w:t>（不得超过政府采购合同金额的5%）</w:t>
            </w:r>
          </w:p>
          <w:p>
            <w:pPr>
              <w:adjustRightInd w:val="0"/>
              <w:snapToGrid w:val="0"/>
              <w:spacing w:line="360" w:lineRule="auto"/>
              <w:rPr>
                <w:rFonts w:ascii="仿宋" w:hAnsi="仿宋" w:eastAsia="仿宋"/>
                <w:sz w:val="24"/>
                <w:u w:val="single"/>
              </w:rPr>
            </w:pPr>
            <w:r>
              <w:rPr>
                <w:rFonts w:ascii="仿宋" w:hAnsi="仿宋" w:eastAsia="仿宋"/>
                <w:sz w:val="24"/>
              </w:rPr>
              <w:t>提交履约保证金的时间：签订合同后</w:t>
            </w:r>
            <w:r>
              <w:rPr>
                <w:rFonts w:ascii="仿宋" w:hAnsi="仿宋" w:eastAsia="仿宋"/>
                <w:sz w:val="24"/>
                <w:u w:val="single"/>
              </w:rPr>
              <w:t xml:space="preserve"> / </w:t>
            </w:r>
            <w:r>
              <w:rPr>
                <w:rFonts w:ascii="仿宋" w:hAnsi="仿宋" w:eastAsia="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32.1</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预付款比例为：</w:t>
            </w:r>
            <w:r>
              <w:rPr>
                <w:rFonts w:hint="eastAsia" w:ascii="仿宋" w:hAnsi="仿宋" w:eastAsia="仿宋"/>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32.3</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情形如下：</w:t>
            </w:r>
            <w:r>
              <w:rPr>
                <w:rFonts w:hint="eastAsia" w:ascii="仿宋" w:hAnsi="仿宋" w:eastAsia="仿宋"/>
                <w:sz w:val="24"/>
              </w:rPr>
              <w:t>/</w:t>
            </w:r>
          </w:p>
          <w:p>
            <w:pPr>
              <w:adjustRightInd w:val="0"/>
              <w:snapToGrid w:val="0"/>
              <w:spacing w:line="360" w:lineRule="auto"/>
              <w:rPr>
                <w:rFonts w:ascii="仿宋" w:hAnsi="仿宋" w:eastAsia="仿宋"/>
                <w:sz w:val="24"/>
              </w:rPr>
            </w:pPr>
            <w:r>
              <w:rPr>
                <w:rFonts w:ascii="仿宋" w:hAnsi="仿宋" w:eastAsia="仿宋"/>
                <w:sz w:val="24"/>
              </w:rPr>
              <w:t>□采购资金在履约完成之后才能到位</w:t>
            </w:r>
          </w:p>
          <w:p>
            <w:pPr>
              <w:adjustRightInd w:val="0"/>
              <w:snapToGrid w:val="0"/>
              <w:spacing w:line="360" w:lineRule="auto"/>
              <w:rPr>
                <w:rFonts w:ascii="仿宋" w:hAnsi="仿宋" w:eastAsia="仿宋"/>
                <w:sz w:val="24"/>
              </w:rPr>
            </w:pPr>
            <w:r>
              <w:rPr>
                <w:rFonts w:ascii="仿宋" w:hAnsi="仿宋" w:eastAsia="仿宋"/>
                <w:sz w:val="24"/>
              </w:rPr>
              <w:t>□政府采购合同履约期限小于20日</w:t>
            </w:r>
          </w:p>
          <w:p>
            <w:pPr>
              <w:adjustRightInd w:val="0"/>
              <w:snapToGrid w:val="0"/>
              <w:spacing w:line="360" w:lineRule="auto"/>
              <w:rPr>
                <w:rFonts w:ascii="仿宋" w:hAnsi="仿宋" w:eastAsia="仿宋"/>
                <w:sz w:val="24"/>
              </w:rPr>
            </w:pPr>
            <w:r>
              <w:rPr>
                <w:rFonts w:ascii="仿宋" w:hAnsi="仿宋" w:eastAsia="仿宋"/>
                <w:sz w:val="24"/>
              </w:rPr>
              <w:t>□政府采购预算资金小于50万元</w:t>
            </w:r>
          </w:p>
          <w:p>
            <w:pPr>
              <w:adjustRightInd w:val="0"/>
              <w:snapToGrid w:val="0"/>
              <w:spacing w:line="360" w:lineRule="auto"/>
              <w:rPr>
                <w:rFonts w:ascii="仿宋" w:hAnsi="仿宋" w:eastAsia="仿宋"/>
                <w:sz w:val="24"/>
              </w:rPr>
            </w:pPr>
            <w:r>
              <w:rPr>
                <w:rFonts w:ascii="仿宋" w:hAnsi="仿宋" w:eastAsia="仿宋"/>
                <w:sz w:val="24"/>
              </w:rPr>
              <w:t>□其他采购人不能在政府采购合同履约完成前支付采购资金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33</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中标单位在领取中标通知书前，须向采购代理机构支付招标代理服务费，招标代理服务费由采购人与采购代理机构约定：</w:t>
            </w:r>
          </w:p>
          <w:p>
            <w:pPr>
              <w:adjustRightInd w:val="0"/>
              <w:snapToGrid w:val="0"/>
              <w:spacing w:line="360" w:lineRule="auto"/>
              <w:rPr>
                <w:rFonts w:ascii="仿宋" w:hAnsi="仿宋" w:eastAsia="仿宋"/>
                <w:sz w:val="24"/>
              </w:rPr>
            </w:pPr>
            <w:r>
              <w:rPr>
                <w:rFonts w:hint="eastAsia" w:ascii="仿宋" w:hAnsi="仿宋" w:eastAsia="仿宋"/>
                <w:sz w:val="24"/>
              </w:rPr>
              <w:t>参照原国家计委计价格〔2002〕1980号文和国家发改委发改办价格〔2003〕857号文的计算方法收取。</w:t>
            </w:r>
            <w:r>
              <w:rPr>
                <w:rFonts w:ascii="仿宋" w:hAnsi="仿宋" w:eastAsia="仿宋"/>
                <w:sz w:val="24"/>
              </w:rPr>
              <w:t>中标单位的招标代理服务费交纳信息</w:t>
            </w:r>
          </w:p>
          <w:p>
            <w:pPr>
              <w:adjustRightInd w:val="0"/>
              <w:snapToGrid w:val="0"/>
              <w:spacing w:line="360" w:lineRule="auto"/>
              <w:rPr>
                <w:rFonts w:ascii="仿宋" w:hAnsi="仿宋" w:eastAsia="仿宋"/>
                <w:sz w:val="24"/>
              </w:rPr>
            </w:pPr>
            <w:r>
              <w:rPr>
                <w:rFonts w:ascii="仿宋" w:hAnsi="仿宋" w:eastAsia="仿宋"/>
                <w:sz w:val="24"/>
              </w:rPr>
              <w:t>银行户名：陕西省采购招标有限责任公司</w:t>
            </w:r>
          </w:p>
          <w:p>
            <w:pPr>
              <w:adjustRightInd w:val="0"/>
              <w:snapToGrid w:val="0"/>
              <w:spacing w:line="360" w:lineRule="auto"/>
              <w:rPr>
                <w:rFonts w:ascii="仿宋" w:hAnsi="仿宋" w:eastAsia="仿宋"/>
                <w:sz w:val="24"/>
              </w:rPr>
            </w:pPr>
            <w:r>
              <w:rPr>
                <w:rFonts w:ascii="仿宋" w:hAnsi="仿宋" w:eastAsia="仿宋"/>
                <w:sz w:val="24"/>
              </w:rPr>
              <w:t>开户银行：中国光大银行西安友谊路支行</w:t>
            </w:r>
          </w:p>
          <w:p>
            <w:pPr>
              <w:autoSpaceDE w:val="0"/>
              <w:autoSpaceDN w:val="0"/>
              <w:adjustRightInd w:val="0"/>
              <w:snapToGrid w:val="0"/>
              <w:spacing w:line="360" w:lineRule="auto"/>
              <w:rPr>
                <w:rFonts w:ascii="仿宋" w:hAnsi="仿宋" w:eastAsia="仿宋"/>
                <w:sz w:val="24"/>
              </w:rPr>
            </w:pPr>
            <w:r>
              <w:rPr>
                <w:rFonts w:ascii="仿宋" w:hAnsi="仿宋" w:eastAsia="仿宋"/>
                <w:sz w:val="24"/>
              </w:rPr>
              <w:t>账    号：78560188000095264</w:t>
            </w:r>
          </w:p>
          <w:p>
            <w:pPr>
              <w:adjustRightInd w:val="0"/>
              <w:snapToGrid w:val="0"/>
              <w:spacing w:line="360" w:lineRule="auto"/>
              <w:rPr>
                <w:rFonts w:ascii="仿宋" w:hAnsi="仿宋" w:eastAsia="仿宋"/>
                <w:sz w:val="24"/>
              </w:rPr>
            </w:pPr>
            <w:r>
              <w:rPr>
                <w:rFonts w:ascii="仿宋" w:hAnsi="仿宋" w:eastAsia="仿宋"/>
                <w:sz w:val="24"/>
              </w:rPr>
              <w:t>联 系 人：张婕</w:t>
            </w:r>
          </w:p>
          <w:p>
            <w:pPr>
              <w:adjustRightInd w:val="0"/>
              <w:snapToGrid w:val="0"/>
              <w:spacing w:line="360" w:lineRule="auto"/>
              <w:rPr>
                <w:rFonts w:ascii="仿宋" w:hAnsi="仿宋" w:eastAsia="仿宋"/>
                <w:sz w:val="24"/>
              </w:rPr>
            </w:pPr>
            <w:r>
              <w:rPr>
                <w:rFonts w:ascii="仿宋" w:hAnsi="仿宋" w:eastAsia="仿宋"/>
                <w:sz w:val="24"/>
              </w:rPr>
              <w:t>联系电话：029-85263975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37.2</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针对同一采购程序环节的质疑次数：一次性提出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467" w:type="pct"/>
            <w:gridSpan w:val="2"/>
            <w:vAlign w:val="center"/>
          </w:tcPr>
          <w:p>
            <w:pPr>
              <w:adjustRightInd w:val="0"/>
              <w:snapToGrid w:val="0"/>
              <w:spacing w:line="360" w:lineRule="auto"/>
              <w:jc w:val="center"/>
              <w:rPr>
                <w:rFonts w:ascii="仿宋" w:hAnsi="仿宋" w:eastAsia="仿宋"/>
                <w:sz w:val="24"/>
              </w:rPr>
            </w:pPr>
            <w:r>
              <w:rPr>
                <w:rFonts w:ascii="仿宋" w:hAnsi="仿宋" w:eastAsia="仿宋"/>
                <w:sz w:val="24"/>
              </w:rPr>
              <w:t>37.4</w:t>
            </w:r>
          </w:p>
        </w:tc>
        <w:tc>
          <w:tcPr>
            <w:tcW w:w="4533" w:type="pct"/>
            <w:vAlign w:val="center"/>
          </w:tcPr>
          <w:p>
            <w:pPr>
              <w:adjustRightInd w:val="0"/>
              <w:snapToGrid w:val="0"/>
              <w:spacing w:line="360" w:lineRule="auto"/>
              <w:rPr>
                <w:rFonts w:ascii="仿宋" w:hAnsi="仿宋" w:eastAsia="仿宋"/>
                <w:sz w:val="24"/>
              </w:rPr>
            </w:pPr>
            <w:r>
              <w:rPr>
                <w:rFonts w:ascii="仿宋" w:hAnsi="仿宋" w:eastAsia="仿宋"/>
                <w:sz w:val="24"/>
              </w:rPr>
              <w:t>联系单位：陕西省采购招标有限责任公司</w:t>
            </w:r>
          </w:p>
          <w:p>
            <w:pPr>
              <w:adjustRightInd w:val="0"/>
              <w:snapToGrid w:val="0"/>
              <w:spacing w:line="360" w:lineRule="auto"/>
              <w:rPr>
                <w:rFonts w:ascii="仿宋" w:hAnsi="仿宋" w:eastAsia="仿宋"/>
                <w:sz w:val="24"/>
              </w:rPr>
            </w:pPr>
            <w:r>
              <w:rPr>
                <w:rFonts w:ascii="仿宋" w:hAnsi="仿宋" w:eastAsia="仿宋"/>
                <w:sz w:val="24"/>
              </w:rPr>
              <w:t>联 系 人：</w:t>
            </w:r>
            <w:r>
              <w:rPr>
                <w:rFonts w:hint="eastAsia" w:ascii="仿宋" w:hAnsi="仿宋" w:eastAsia="仿宋"/>
                <w:sz w:val="24"/>
              </w:rPr>
              <w:t>综合办公室</w:t>
            </w:r>
          </w:p>
          <w:p>
            <w:pPr>
              <w:adjustRightInd w:val="0"/>
              <w:snapToGrid w:val="0"/>
              <w:spacing w:line="360" w:lineRule="auto"/>
              <w:rPr>
                <w:rFonts w:ascii="仿宋" w:hAnsi="仿宋" w:eastAsia="仿宋"/>
                <w:sz w:val="24"/>
              </w:rPr>
            </w:pPr>
            <w:r>
              <w:rPr>
                <w:rFonts w:ascii="仿宋" w:hAnsi="仿宋" w:eastAsia="仿宋"/>
                <w:sz w:val="24"/>
              </w:rPr>
              <w:t>联系电话：029-85235014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jc w:val="center"/>
        </w:trPr>
        <w:tc>
          <w:tcPr>
            <w:tcW w:w="5000" w:type="pct"/>
            <w:gridSpan w:val="3"/>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360" w:lineRule="auto"/>
              <w:rPr>
                <w:rFonts w:ascii="仿宋" w:hAnsi="仿宋" w:eastAsia="仿宋"/>
                <w:sz w:val="24"/>
              </w:rPr>
            </w:pPr>
            <w:r>
              <w:rPr>
                <w:rFonts w:ascii="仿宋" w:hAnsi="仿宋" w:eastAsia="仿宋"/>
                <w:sz w:val="24"/>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316" w:type="pct"/>
            <w:vAlign w:val="center"/>
          </w:tcPr>
          <w:p>
            <w:pPr>
              <w:adjustRightInd w:val="0"/>
              <w:snapToGrid w:val="0"/>
              <w:spacing w:line="360" w:lineRule="auto"/>
              <w:jc w:val="center"/>
              <w:rPr>
                <w:rFonts w:ascii="仿宋" w:hAnsi="仿宋" w:eastAsia="仿宋"/>
                <w:sz w:val="24"/>
              </w:rPr>
            </w:pPr>
            <w:r>
              <w:rPr>
                <w:rFonts w:ascii="仿宋" w:hAnsi="仿宋" w:eastAsia="仿宋"/>
                <w:sz w:val="24"/>
              </w:rPr>
              <w:t>1</w:t>
            </w:r>
          </w:p>
        </w:tc>
        <w:tc>
          <w:tcPr>
            <w:tcW w:w="4684" w:type="pct"/>
            <w:gridSpan w:val="2"/>
            <w:vAlign w:val="center"/>
          </w:tcPr>
          <w:p>
            <w:pPr>
              <w:adjustRightInd w:val="0"/>
              <w:snapToGrid w:val="0"/>
              <w:spacing w:line="360" w:lineRule="auto"/>
              <w:rPr>
                <w:rFonts w:ascii="仿宋" w:hAnsi="仿宋" w:eastAsia="仿宋"/>
                <w:sz w:val="24"/>
              </w:rPr>
            </w:pPr>
            <w:r>
              <w:rPr>
                <w:rFonts w:hint="eastAsia" w:ascii="仿宋" w:hAnsi="仿宋" w:eastAsia="仿宋"/>
                <w:sz w:val="24"/>
              </w:rPr>
              <w:t>根据本项目特点，投标人应提交的其他资格证明文件（特定资格条件）为：见招标公告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316" w:type="pct"/>
            <w:vAlign w:val="center"/>
          </w:tcPr>
          <w:p>
            <w:pPr>
              <w:adjustRightInd w:val="0"/>
              <w:snapToGrid w:val="0"/>
              <w:spacing w:line="360" w:lineRule="auto"/>
              <w:jc w:val="center"/>
              <w:rPr>
                <w:rFonts w:ascii="仿宋" w:hAnsi="仿宋" w:eastAsia="仿宋"/>
                <w:sz w:val="24"/>
              </w:rPr>
            </w:pPr>
            <w:r>
              <w:rPr>
                <w:rFonts w:ascii="仿宋" w:hAnsi="仿宋" w:eastAsia="仿宋"/>
                <w:sz w:val="24"/>
              </w:rPr>
              <w:t>2</w:t>
            </w:r>
          </w:p>
        </w:tc>
        <w:tc>
          <w:tcPr>
            <w:tcW w:w="4684" w:type="pct"/>
            <w:gridSpan w:val="2"/>
            <w:vAlign w:val="center"/>
          </w:tcPr>
          <w:p>
            <w:pPr>
              <w:adjustRightInd w:val="0"/>
              <w:snapToGrid w:val="0"/>
              <w:spacing w:line="360" w:lineRule="auto"/>
              <w:rPr>
                <w:rFonts w:ascii="仿宋" w:hAnsi="仿宋" w:eastAsia="仿宋"/>
                <w:sz w:val="24"/>
              </w:rPr>
            </w:pPr>
            <w:r>
              <w:rPr>
                <w:rFonts w:ascii="仿宋" w:hAnsi="仿宋" w:eastAsia="仿宋"/>
                <w:sz w:val="24"/>
              </w:rPr>
              <w:t>投标人应提交的其他文件：</w:t>
            </w:r>
            <w:r>
              <w:rPr>
                <w:rFonts w:hint="eastAsia" w:ascii="仿宋" w:hAnsi="仿宋" w:eastAsia="仿宋"/>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316" w:type="pct"/>
            <w:vAlign w:val="center"/>
          </w:tcPr>
          <w:p>
            <w:pPr>
              <w:jc w:val="center"/>
              <w:rPr>
                <w:rFonts w:ascii="仿宋" w:hAnsi="仿宋" w:eastAsia="仿宋"/>
                <w:sz w:val="24"/>
              </w:rPr>
            </w:pPr>
            <w:r>
              <w:rPr>
                <w:rFonts w:hint="eastAsia" w:ascii="仿宋" w:hAnsi="仿宋" w:eastAsia="仿宋"/>
                <w:sz w:val="24"/>
              </w:rPr>
              <w:t>3</w:t>
            </w:r>
          </w:p>
        </w:tc>
        <w:tc>
          <w:tcPr>
            <w:tcW w:w="4684" w:type="pct"/>
            <w:gridSpan w:val="2"/>
            <w:vAlign w:val="center"/>
          </w:tcPr>
          <w:p>
            <w:pPr>
              <w:adjustRightInd w:val="0"/>
              <w:snapToGrid w:val="0"/>
              <w:spacing w:line="360" w:lineRule="auto"/>
              <w:rPr>
                <w:rFonts w:ascii="仿宋" w:hAnsi="仿宋" w:eastAsia="仿宋"/>
                <w:sz w:val="24"/>
              </w:rPr>
            </w:pPr>
            <w:r>
              <w:rPr>
                <w:rFonts w:hint="eastAsia" w:ascii="仿宋" w:hAnsi="仿宋" w:eastAsia="仿宋"/>
                <w:sz w:val="24"/>
              </w:rPr>
              <w:t>1、本项目采用电子化和纸质版并行投标的方式，投标人须使用数字认证证书（CA锁）对电子投标文件进行签章、加密、递交及开标时解密等相关招投标事宜。开标时投标人须携带数字认证证书（CA主锁），如因投标人自身原因未携带数字认证证书（CA主锁）造成无法解密电子投标文件文件，按无效投标对待。</w:t>
            </w:r>
          </w:p>
          <w:p>
            <w:pPr>
              <w:adjustRightInd w:val="0"/>
              <w:snapToGrid w:val="0"/>
              <w:spacing w:line="360" w:lineRule="auto"/>
              <w:rPr>
                <w:rFonts w:ascii="仿宋" w:hAnsi="仿宋" w:eastAsia="仿宋"/>
                <w:sz w:val="24"/>
              </w:rPr>
            </w:pPr>
            <w:r>
              <w:rPr>
                <w:rFonts w:hint="eastAsia" w:ascii="仿宋" w:hAnsi="仿宋" w:eastAsia="仿宋"/>
                <w:sz w:val="24"/>
              </w:rPr>
              <w:t>2、制作电子投标文件</w:t>
            </w:r>
          </w:p>
          <w:p>
            <w:pPr>
              <w:adjustRightInd w:val="0"/>
              <w:snapToGrid w:val="0"/>
              <w:spacing w:line="360" w:lineRule="auto"/>
              <w:rPr>
                <w:rFonts w:ascii="仿宋" w:hAnsi="仿宋" w:eastAsia="仿宋"/>
                <w:sz w:val="24"/>
              </w:rPr>
            </w:pPr>
            <w:r>
              <w:rPr>
                <w:rFonts w:hint="eastAsia" w:ascii="仿宋" w:hAnsi="仿宋" w:eastAsia="仿宋"/>
                <w:sz w:val="24"/>
              </w:rPr>
              <w:t>投标人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adjustRightInd w:val="0"/>
              <w:snapToGrid w:val="0"/>
              <w:spacing w:line="360" w:lineRule="auto"/>
              <w:rPr>
                <w:rFonts w:ascii="仿宋" w:hAnsi="仿宋" w:eastAsia="仿宋"/>
                <w:sz w:val="24"/>
              </w:rPr>
            </w:pPr>
            <w:r>
              <w:rPr>
                <w:rFonts w:hint="eastAsia" w:ascii="仿宋" w:hAnsi="仿宋" w:eastAsia="仿宋"/>
                <w:sz w:val="24"/>
              </w:rPr>
              <w:t>3、递交电子投标文件</w:t>
            </w:r>
          </w:p>
          <w:p>
            <w:pPr>
              <w:adjustRightInd w:val="0"/>
              <w:snapToGrid w:val="0"/>
              <w:spacing w:line="360" w:lineRule="auto"/>
              <w:rPr>
                <w:rFonts w:ascii="仿宋" w:hAnsi="仿宋" w:eastAsia="仿宋"/>
                <w:sz w:val="24"/>
              </w:rPr>
            </w:pPr>
            <w:r>
              <w:rPr>
                <w:rFonts w:hint="eastAsia" w:ascii="仿宋" w:hAnsi="仿宋" w:eastAsia="仿宋"/>
                <w:sz w:val="24"/>
              </w:rPr>
              <w:t>登录全国公共资源交易中心平台（陕西省）（http://www.sxggzyjy.cn/），选择“电子交易平台—陕西政府采购交易系统—企业端”进行登录，登录后选择“交易乙方”身份进入，进入菜单“采购业务—我的项目——项目流程——上传投标文件”，上传加密的电子投标文件。上传成功后，电子化平台将予以记录。</w:t>
            </w:r>
          </w:p>
        </w:tc>
      </w:tr>
    </w:tbl>
    <w:p>
      <w:pPr>
        <w:widowControl/>
        <w:spacing w:line="360" w:lineRule="auto"/>
        <w:rPr>
          <w:rFonts w:ascii="仿宋" w:hAnsi="仿宋" w:eastAsia="仿宋"/>
        </w:rPr>
      </w:pPr>
    </w:p>
    <w:p>
      <w:pPr>
        <w:pStyle w:val="4"/>
        <w:spacing w:before="0" w:line="360" w:lineRule="auto"/>
        <w:rPr>
          <w:rFonts w:ascii="仿宋" w:hAnsi="仿宋" w:eastAsia="仿宋"/>
          <w:sz w:val="28"/>
          <w:szCs w:val="18"/>
        </w:rPr>
      </w:pPr>
      <w:r>
        <w:rPr>
          <w:rFonts w:ascii="仿宋" w:hAnsi="仿宋" w:eastAsia="仿宋"/>
        </w:rPr>
        <w:br w:type="page"/>
      </w:r>
      <w:bookmarkStart w:id="9" w:name="_Toc110013775"/>
      <w:r>
        <w:rPr>
          <w:rFonts w:ascii="仿宋" w:hAnsi="仿宋" w:eastAsia="仿宋"/>
          <w:sz w:val="28"/>
          <w:szCs w:val="18"/>
        </w:rPr>
        <w:t>（二）投标人须知</w:t>
      </w:r>
      <w:bookmarkEnd w:id="9"/>
    </w:p>
    <w:p>
      <w:pPr>
        <w:spacing w:line="360" w:lineRule="auto"/>
        <w:jc w:val="center"/>
        <w:outlineLvl w:val="2"/>
        <w:rPr>
          <w:rFonts w:ascii="仿宋" w:hAnsi="仿宋" w:eastAsia="仿宋"/>
          <w:b/>
          <w:sz w:val="28"/>
          <w:szCs w:val="28"/>
        </w:rPr>
      </w:pPr>
      <w:bookmarkStart w:id="10" w:name="_Toc515647757"/>
      <w:bookmarkStart w:id="11" w:name="_Toc216582805"/>
      <w:bookmarkStart w:id="12" w:name="_Toc520356143"/>
      <w:bookmarkStart w:id="13" w:name="_Toc21215"/>
      <w:bookmarkStart w:id="14" w:name="_Toc110013776"/>
      <w:bookmarkStart w:id="15" w:name="_Toc532473449"/>
      <w:bookmarkStart w:id="16" w:name="_Toc21015"/>
      <w:r>
        <w:rPr>
          <w:rFonts w:ascii="仿宋" w:hAnsi="仿宋" w:eastAsia="仿宋"/>
          <w:b/>
          <w:sz w:val="28"/>
          <w:szCs w:val="28"/>
        </w:rPr>
        <w:t>一、</w:t>
      </w:r>
      <w:bookmarkEnd w:id="10"/>
      <w:bookmarkEnd w:id="11"/>
      <w:bookmarkEnd w:id="12"/>
      <w:r>
        <w:rPr>
          <w:rFonts w:ascii="仿宋" w:hAnsi="仿宋" w:eastAsia="仿宋"/>
          <w:b/>
          <w:sz w:val="28"/>
          <w:szCs w:val="28"/>
        </w:rPr>
        <w:t>总则</w:t>
      </w:r>
      <w:bookmarkEnd w:id="13"/>
      <w:bookmarkEnd w:id="14"/>
      <w:bookmarkEnd w:id="15"/>
      <w:bookmarkEnd w:id="16"/>
    </w:p>
    <w:p>
      <w:pPr>
        <w:tabs>
          <w:tab w:val="left" w:pos="0"/>
        </w:tabs>
        <w:spacing w:line="360" w:lineRule="auto"/>
        <w:rPr>
          <w:rFonts w:ascii="仿宋" w:hAnsi="仿宋" w:eastAsia="仿宋"/>
          <w:b/>
          <w:sz w:val="24"/>
        </w:rPr>
      </w:pPr>
      <w:bookmarkStart w:id="17" w:name="_Toc520356144"/>
      <w:bookmarkStart w:id="18" w:name="_Toc32189"/>
      <w:bookmarkStart w:id="19" w:name="_Toc515647758"/>
      <w:bookmarkStart w:id="20" w:name="_Toc532473450"/>
      <w:bookmarkStart w:id="21" w:name="_Toc32623"/>
      <w:r>
        <w:rPr>
          <w:rFonts w:ascii="仿宋" w:hAnsi="仿宋" w:eastAsia="仿宋"/>
          <w:b/>
          <w:sz w:val="24"/>
        </w:rPr>
        <w:t>1.     采购人、采购代理机构及</w:t>
      </w:r>
      <w:bookmarkEnd w:id="17"/>
      <w:r>
        <w:rPr>
          <w:rFonts w:ascii="仿宋" w:hAnsi="仿宋" w:eastAsia="仿宋"/>
          <w:b/>
          <w:sz w:val="24"/>
        </w:rPr>
        <w:t>投标人</w:t>
      </w:r>
      <w:bookmarkEnd w:id="18"/>
      <w:bookmarkEnd w:id="19"/>
      <w:bookmarkEnd w:id="20"/>
      <w:bookmarkEnd w:id="21"/>
    </w:p>
    <w:p>
      <w:pPr>
        <w:tabs>
          <w:tab w:val="left" w:pos="0"/>
        </w:tabs>
        <w:spacing w:line="360" w:lineRule="auto"/>
        <w:rPr>
          <w:rFonts w:ascii="仿宋" w:hAnsi="仿宋" w:eastAsia="仿宋"/>
          <w:sz w:val="24"/>
        </w:rPr>
      </w:pPr>
      <w:r>
        <w:rPr>
          <w:rFonts w:ascii="仿宋" w:hAnsi="仿宋" w:eastAsia="仿宋"/>
          <w:sz w:val="24"/>
        </w:rPr>
        <w:t>1.1    采购人：是指依法进行政府采购的国家机关、事业单位、团体组织。</w:t>
      </w:r>
    </w:p>
    <w:p>
      <w:pPr>
        <w:tabs>
          <w:tab w:val="left" w:pos="0"/>
        </w:tabs>
        <w:spacing w:line="360" w:lineRule="auto"/>
        <w:ind w:firstLine="840" w:firstLineChars="350"/>
        <w:rPr>
          <w:rFonts w:ascii="仿宋" w:hAnsi="仿宋" w:eastAsia="仿宋"/>
          <w:sz w:val="24"/>
        </w:rPr>
      </w:pPr>
      <w:r>
        <w:rPr>
          <w:rFonts w:ascii="仿宋" w:hAnsi="仿宋" w:eastAsia="仿宋"/>
          <w:sz w:val="24"/>
        </w:rPr>
        <w:t>本项目的采购人见</w:t>
      </w:r>
      <w:r>
        <w:rPr>
          <w:rFonts w:ascii="仿宋" w:hAnsi="仿宋" w:eastAsia="仿宋"/>
          <w:sz w:val="24"/>
          <w:u w:val="single"/>
        </w:rPr>
        <w:t>投标人须知前附表</w:t>
      </w:r>
      <w:r>
        <w:rPr>
          <w:rFonts w:ascii="仿宋" w:hAnsi="仿宋" w:eastAsia="仿宋"/>
          <w:sz w:val="24"/>
        </w:rPr>
        <w:t>。</w:t>
      </w:r>
    </w:p>
    <w:p>
      <w:pPr>
        <w:tabs>
          <w:tab w:val="left" w:pos="142"/>
        </w:tabs>
        <w:spacing w:line="360" w:lineRule="auto"/>
        <w:ind w:left="828" w:hanging="828" w:hangingChars="345"/>
        <w:rPr>
          <w:rFonts w:ascii="仿宋" w:hAnsi="仿宋" w:eastAsia="仿宋"/>
          <w:sz w:val="24"/>
        </w:rPr>
      </w:pPr>
      <w:r>
        <w:rPr>
          <w:rFonts w:ascii="仿宋" w:hAnsi="仿宋" w:eastAsia="仿宋"/>
          <w:sz w:val="24"/>
        </w:rPr>
        <w:t>1.2    采购代理机构：本项目的采购代理机构为陕西省采购招标有限责任公司，见</w:t>
      </w:r>
      <w:r>
        <w:rPr>
          <w:rFonts w:ascii="仿宋" w:hAnsi="仿宋" w:eastAsia="仿宋"/>
          <w:sz w:val="24"/>
          <w:u w:val="single"/>
        </w:rPr>
        <w:t>投标人须知前附表。</w:t>
      </w:r>
    </w:p>
    <w:p>
      <w:pPr>
        <w:tabs>
          <w:tab w:val="left" w:pos="142"/>
        </w:tabs>
        <w:spacing w:line="360" w:lineRule="auto"/>
        <w:ind w:left="828" w:hanging="828" w:hangingChars="345"/>
        <w:rPr>
          <w:rFonts w:ascii="仿宋" w:hAnsi="仿宋" w:eastAsia="仿宋"/>
          <w:sz w:val="24"/>
        </w:rPr>
      </w:pPr>
      <w:r>
        <w:rPr>
          <w:rFonts w:ascii="仿宋" w:hAnsi="仿宋" w:eastAsia="仿宋"/>
          <w:sz w:val="24"/>
        </w:rPr>
        <w:t>1.3    投标人：是指响应招标、参加投标竞争的法人、其他组织或者自然人。潜在投标人：以招标文件规定的方式获取本项目招标文件的法人、其他组织或者自然人。</w:t>
      </w:r>
    </w:p>
    <w:p>
      <w:pPr>
        <w:spacing w:line="360" w:lineRule="auto"/>
        <w:ind w:firstLine="720" w:firstLineChars="300"/>
        <w:rPr>
          <w:rFonts w:ascii="仿宋" w:hAnsi="仿宋" w:eastAsia="仿宋"/>
          <w:sz w:val="24"/>
        </w:rPr>
      </w:pPr>
      <w:r>
        <w:rPr>
          <w:rFonts w:ascii="仿宋" w:hAnsi="仿宋" w:eastAsia="仿宋"/>
          <w:sz w:val="24"/>
        </w:rPr>
        <w:t>本项目的投标人须满足以下条件：</w:t>
      </w:r>
    </w:p>
    <w:p>
      <w:pPr>
        <w:spacing w:line="360" w:lineRule="auto"/>
        <w:ind w:left="838" w:hanging="837" w:hangingChars="349"/>
        <w:rPr>
          <w:rFonts w:ascii="仿宋" w:hAnsi="仿宋" w:eastAsia="仿宋"/>
          <w:sz w:val="24"/>
        </w:rPr>
      </w:pPr>
      <w:r>
        <w:rPr>
          <w:rFonts w:ascii="仿宋" w:hAnsi="仿宋" w:eastAsia="仿宋"/>
          <w:sz w:val="24"/>
        </w:rPr>
        <w:t>1.3.1  具备《中华人民共和国政府采购法》第二十二条关于投标人条件的规定，遵守本项目采购人和财政部门政府采购的有关规定。</w:t>
      </w:r>
    </w:p>
    <w:p>
      <w:pPr>
        <w:spacing w:line="360" w:lineRule="auto"/>
        <w:ind w:left="900" w:hanging="900" w:hangingChars="375"/>
        <w:rPr>
          <w:rFonts w:ascii="仿宋" w:hAnsi="仿宋" w:eastAsia="仿宋"/>
          <w:sz w:val="24"/>
        </w:rPr>
      </w:pPr>
      <w:r>
        <w:rPr>
          <w:rFonts w:ascii="仿宋" w:hAnsi="仿宋" w:eastAsia="仿宋"/>
          <w:sz w:val="24"/>
        </w:rPr>
        <w:t>1.3.2  以招标文件规定的方式获得了本项目的招标文件。</w:t>
      </w:r>
    </w:p>
    <w:p>
      <w:pPr>
        <w:spacing w:line="360" w:lineRule="auto"/>
        <w:ind w:left="900" w:hanging="900" w:hangingChars="375"/>
        <w:rPr>
          <w:rFonts w:ascii="仿宋" w:hAnsi="仿宋" w:eastAsia="仿宋"/>
          <w:sz w:val="24"/>
        </w:rPr>
      </w:pPr>
      <w:r>
        <w:rPr>
          <w:rFonts w:ascii="仿宋" w:hAnsi="仿宋" w:eastAsia="仿宋"/>
          <w:sz w:val="24"/>
        </w:rPr>
        <w:t>1.3.3  符合</w:t>
      </w:r>
      <w:r>
        <w:rPr>
          <w:rFonts w:ascii="仿宋" w:hAnsi="仿宋" w:eastAsia="仿宋"/>
          <w:sz w:val="24"/>
          <w:u w:val="single"/>
        </w:rPr>
        <w:t>投标人须知前附表</w:t>
      </w:r>
      <w:r>
        <w:rPr>
          <w:rFonts w:ascii="仿宋" w:hAnsi="仿宋" w:eastAsia="仿宋"/>
          <w:sz w:val="24"/>
        </w:rPr>
        <w:t>中规定的合格投标人的其他资格要求。</w:t>
      </w:r>
    </w:p>
    <w:p>
      <w:pPr>
        <w:spacing w:line="360" w:lineRule="auto"/>
        <w:ind w:left="838" w:hanging="837" w:hangingChars="349"/>
        <w:rPr>
          <w:rFonts w:ascii="仿宋" w:hAnsi="仿宋" w:eastAsia="仿宋"/>
          <w:sz w:val="24"/>
        </w:rPr>
      </w:pPr>
      <w:r>
        <w:rPr>
          <w:rFonts w:ascii="仿宋" w:hAnsi="仿宋" w:eastAsia="仿宋"/>
          <w:sz w:val="24"/>
        </w:rPr>
        <w:t>1.3.4  若</w:t>
      </w:r>
      <w:r>
        <w:rPr>
          <w:rFonts w:ascii="仿宋" w:hAnsi="仿宋" w:eastAsia="仿宋"/>
          <w:sz w:val="24"/>
          <w:u w:val="single"/>
        </w:rPr>
        <w:t>投标人须知前附表</w:t>
      </w:r>
      <w:r>
        <w:rPr>
          <w:rFonts w:ascii="仿宋" w:hAnsi="仿宋" w:eastAsia="仿宋"/>
          <w:sz w:val="24"/>
        </w:rPr>
        <w:t>中写明专门面向中小企业采购的，如投标人未出具《中小企业声明函》，其投标将被认定为</w:t>
      </w:r>
      <w:r>
        <w:rPr>
          <w:rFonts w:ascii="仿宋" w:hAnsi="仿宋" w:eastAsia="仿宋"/>
          <w:b/>
          <w:bCs/>
          <w:sz w:val="24"/>
        </w:rPr>
        <w:t>投标无效</w:t>
      </w:r>
      <w:r>
        <w:rPr>
          <w:rFonts w:ascii="仿宋" w:hAnsi="仿宋" w:eastAsia="仿宋"/>
          <w:sz w:val="24"/>
        </w:rPr>
        <w:t>。</w:t>
      </w:r>
    </w:p>
    <w:p>
      <w:pPr>
        <w:spacing w:line="360" w:lineRule="auto"/>
        <w:ind w:left="838" w:hanging="837" w:hangingChars="349"/>
        <w:rPr>
          <w:rFonts w:ascii="仿宋" w:hAnsi="仿宋" w:eastAsia="仿宋"/>
          <w:sz w:val="24"/>
        </w:rPr>
      </w:pPr>
      <w:r>
        <w:rPr>
          <w:rFonts w:ascii="仿宋" w:hAnsi="仿宋" w:eastAsia="仿宋"/>
          <w:sz w:val="24"/>
        </w:rPr>
        <w:t>1.3.5  若投标人须知前附表中写明允许采购进口产品，投标人应保证所投产品可履行合法报通关手续进入中国关境内。</w:t>
      </w:r>
    </w:p>
    <w:p>
      <w:pPr>
        <w:spacing w:line="360" w:lineRule="auto"/>
        <w:ind w:left="840" w:leftChars="400"/>
        <w:rPr>
          <w:rFonts w:ascii="仿宋" w:hAnsi="仿宋" w:eastAsia="仿宋"/>
          <w:sz w:val="24"/>
        </w:rPr>
      </w:pPr>
      <w:r>
        <w:rPr>
          <w:rFonts w:ascii="仿宋" w:hAnsi="仿宋" w:eastAsia="仿宋"/>
          <w:sz w:val="24"/>
        </w:rPr>
        <w:t>若投标人须知前附表中不允许采购进口产品，如投标人所投产品为进口产品，其投标将被认定为投标无效。</w:t>
      </w:r>
    </w:p>
    <w:p>
      <w:pPr>
        <w:spacing w:line="360" w:lineRule="auto"/>
        <w:ind w:left="900" w:hanging="900" w:hangingChars="375"/>
        <w:rPr>
          <w:rFonts w:ascii="仿宋" w:hAnsi="仿宋" w:eastAsia="仿宋"/>
          <w:sz w:val="24"/>
        </w:rPr>
      </w:pPr>
      <w:r>
        <w:rPr>
          <w:rFonts w:ascii="仿宋" w:hAnsi="仿宋" w:eastAsia="仿宋"/>
          <w:sz w:val="24"/>
        </w:rPr>
        <w:t>1.4    如</w:t>
      </w:r>
      <w:r>
        <w:rPr>
          <w:rFonts w:ascii="仿宋" w:hAnsi="仿宋" w:eastAsia="仿宋"/>
          <w:sz w:val="24"/>
          <w:u w:val="single"/>
        </w:rPr>
        <w:t>投标人须知前附表</w:t>
      </w:r>
      <w:r>
        <w:rPr>
          <w:rFonts w:ascii="仿宋" w:hAnsi="仿宋" w:eastAsia="仿宋"/>
          <w:sz w:val="24"/>
        </w:rPr>
        <w:t>中允许联合体投标，对联合体规定如下：</w:t>
      </w:r>
    </w:p>
    <w:p>
      <w:pPr>
        <w:spacing w:line="360" w:lineRule="auto"/>
        <w:ind w:left="900" w:hanging="900" w:hangingChars="375"/>
        <w:rPr>
          <w:rFonts w:ascii="仿宋" w:hAnsi="仿宋" w:eastAsia="仿宋"/>
          <w:sz w:val="24"/>
        </w:rPr>
      </w:pPr>
      <w:r>
        <w:rPr>
          <w:rFonts w:ascii="仿宋" w:hAnsi="仿宋" w:eastAsia="仿宋"/>
          <w:sz w:val="24"/>
        </w:rPr>
        <w:t>1.4.1  两个及以上投标人可以组成一个投标联合体，以一个投标人的身份投标。</w:t>
      </w:r>
    </w:p>
    <w:p>
      <w:pPr>
        <w:spacing w:line="360" w:lineRule="auto"/>
        <w:ind w:left="900" w:hanging="900" w:hangingChars="375"/>
        <w:rPr>
          <w:rFonts w:ascii="仿宋" w:hAnsi="仿宋" w:eastAsia="仿宋"/>
          <w:sz w:val="24"/>
        </w:rPr>
      </w:pPr>
      <w:r>
        <w:rPr>
          <w:rFonts w:ascii="仿宋" w:hAnsi="仿宋" w:eastAsia="仿宋"/>
          <w:sz w:val="24"/>
        </w:rPr>
        <w:t>1.4.2  联合体各方均应符合本须知规定。</w:t>
      </w:r>
    </w:p>
    <w:p>
      <w:pPr>
        <w:spacing w:line="360" w:lineRule="auto"/>
        <w:ind w:left="900" w:hanging="900" w:hangingChars="375"/>
        <w:rPr>
          <w:rFonts w:ascii="仿宋" w:hAnsi="仿宋" w:eastAsia="仿宋"/>
          <w:sz w:val="24"/>
        </w:rPr>
      </w:pPr>
      <w:r>
        <w:rPr>
          <w:rFonts w:ascii="仿宋" w:hAnsi="仿宋" w:eastAsia="仿宋"/>
          <w:sz w:val="24"/>
        </w:rPr>
        <w:t>1.4.3  采购人根据采购项目对投标人的特殊要求，联合体中至少应当有一方符合相关规定。</w:t>
      </w:r>
    </w:p>
    <w:p>
      <w:pPr>
        <w:spacing w:line="360" w:lineRule="auto"/>
        <w:ind w:left="900" w:hanging="900" w:hangingChars="375"/>
        <w:rPr>
          <w:rFonts w:ascii="仿宋" w:hAnsi="仿宋" w:eastAsia="仿宋"/>
          <w:sz w:val="24"/>
        </w:rPr>
      </w:pPr>
      <w:r>
        <w:rPr>
          <w:rFonts w:ascii="仿宋" w:hAnsi="仿宋" w:eastAsia="仿宋"/>
          <w:sz w:val="24"/>
        </w:rPr>
        <w:t>1.4.4  联合体各方应签订共同投标协议，明确约定联合体各方承担的工作和相应的责任，并将共同投标协议作为投标文件</w:t>
      </w:r>
      <w:r>
        <w:rPr>
          <w:rFonts w:hint="eastAsia" w:ascii="仿宋" w:hAnsi="仿宋" w:eastAsia="仿宋"/>
          <w:sz w:val="24"/>
        </w:rPr>
        <w:t>资格证明文件</w:t>
      </w:r>
      <w:r>
        <w:rPr>
          <w:rFonts w:ascii="仿宋" w:hAnsi="仿宋" w:eastAsia="仿宋"/>
          <w:sz w:val="24"/>
        </w:rPr>
        <w:t>的内容提交。</w:t>
      </w:r>
    </w:p>
    <w:p>
      <w:pPr>
        <w:spacing w:line="360" w:lineRule="auto"/>
        <w:ind w:left="900" w:hanging="900" w:hangingChars="375"/>
        <w:rPr>
          <w:rFonts w:ascii="仿宋" w:hAnsi="仿宋" w:eastAsia="仿宋"/>
          <w:sz w:val="24"/>
        </w:rPr>
      </w:pPr>
      <w:r>
        <w:rPr>
          <w:rFonts w:ascii="仿宋" w:hAnsi="仿宋" w:eastAsia="仿宋"/>
          <w:sz w:val="24"/>
        </w:rPr>
        <w:t>1.4.5  大中型企业、其他自然人、法人或者其他组织与小型、微型企业组成联合体共同参加投标，共同投标协议中应写明小型、微型企业的协议合同金额占到共同投标协议投标总金额的比例。</w:t>
      </w:r>
    </w:p>
    <w:p>
      <w:pPr>
        <w:spacing w:line="360" w:lineRule="auto"/>
        <w:ind w:left="900" w:hanging="900" w:hangingChars="375"/>
        <w:rPr>
          <w:rFonts w:ascii="仿宋" w:hAnsi="仿宋" w:eastAsia="仿宋"/>
          <w:sz w:val="24"/>
        </w:rPr>
      </w:pPr>
      <w:r>
        <w:rPr>
          <w:rFonts w:ascii="仿宋" w:hAnsi="仿宋" w:eastAsia="仿宋"/>
          <w:sz w:val="24"/>
        </w:rPr>
        <w:t>1.4.6  以联合体形式参加政府采购活动的，联合体各方不得再单独参加或者与其他投标人另外组成联合体参加本项目同一合同项下的投标，否则相关投标将被认定为</w:t>
      </w:r>
      <w:r>
        <w:rPr>
          <w:rFonts w:ascii="仿宋" w:hAnsi="仿宋" w:eastAsia="仿宋"/>
          <w:b/>
          <w:sz w:val="24"/>
        </w:rPr>
        <w:t>投标无效。</w:t>
      </w:r>
    </w:p>
    <w:p>
      <w:pPr>
        <w:spacing w:line="360" w:lineRule="auto"/>
        <w:ind w:left="900" w:hanging="900" w:hangingChars="375"/>
        <w:rPr>
          <w:rFonts w:ascii="仿宋" w:hAnsi="仿宋" w:eastAsia="仿宋"/>
          <w:sz w:val="24"/>
        </w:rPr>
      </w:pPr>
      <w:r>
        <w:rPr>
          <w:rFonts w:ascii="仿宋" w:hAnsi="仿宋" w:eastAsia="仿宋"/>
          <w:sz w:val="24"/>
        </w:rPr>
        <w:t>1.4.7  对联合体投标的其他资格要求见</w:t>
      </w:r>
      <w:r>
        <w:rPr>
          <w:rFonts w:ascii="仿宋" w:hAnsi="仿宋" w:eastAsia="仿宋"/>
          <w:sz w:val="24"/>
          <w:u w:val="single"/>
        </w:rPr>
        <w:t>投标人须知前附表</w:t>
      </w:r>
      <w:r>
        <w:rPr>
          <w:rFonts w:ascii="仿宋" w:hAnsi="仿宋" w:eastAsia="仿宋"/>
          <w:sz w:val="24"/>
        </w:rPr>
        <w:t>。</w:t>
      </w:r>
    </w:p>
    <w:p>
      <w:pPr>
        <w:spacing w:line="360" w:lineRule="auto"/>
        <w:ind w:left="900" w:hanging="900" w:hangingChars="375"/>
        <w:rPr>
          <w:rFonts w:ascii="仿宋" w:hAnsi="仿宋" w:eastAsia="仿宋"/>
          <w:sz w:val="24"/>
        </w:rPr>
      </w:pPr>
      <w:r>
        <w:rPr>
          <w:rFonts w:ascii="仿宋" w:hAnsi="仿宋" w:eastAsia="仿宋"/>
          <w:sz w:val="24"/>
        </w:rPr>
        <w:t>1.5    单位负责人为同一人或者存在直接控股、管理关系的不同投标人参与本项目同一合同项下的投标的，其相关投标将被认定为</w:t>
      </w:r>
      <w:r>
        <w:rPr>
          <w:rFonts w:ascii="仿宋" w:hAnsi="仿宋" w:eastAsia="仿宋"/>
          <w:b/>
          <w:sz w:val="24"/>
        </w:rPr>
        <w:t>投标无效</w:t>
      </w:r>
      <w:r>
        <w:rPr>
          <w:rFonts w:ascii="仿宋" w:hAnsi="仿宋" w:eastAsia="仿宋"/>
          <w:sz w:val="24"/>
        </w:rPr>
        <w:t>。</w:t>
      </w:r>
    </w:p>
    <w:p>
      <w:pPr>
        <w:spacing w:line="360" w:lineRule="auto"/>
        <w:ind w:left="900" w:hanging="900" w:hangingChars="375"/>
        <w:rPr>
          <w:rFonts w:ascii="仿宋" w:hAnsi="仿宋" w:eastAsia="仿宋"/>
          <w:sz w:val="24"/>
        </w:rPr>
      </w:pPr>
      <w:r>
        <w:rPr>
          <w:rFonts w:ascii="仿宋" w:hAnsi="仿宋" w:eastAsia="仿宋"/>
          <w:sz w:val="24"/>
        </w:rPr>
        <w:t>1.6    为本项目提供过整体设计、规范编制或者项目管理、监理、检测等服务的投标人，不得再参加本项目上述服务以外的其他采购活动。否则其投标将被认定为</w:t>
      </w:r>
      <w:r>
        <w:rPr>
          <w:rFonts w:ascii="仿宋" w:hAnsi="仿宋" w:eastAsia="仿宋"/>
          <w:b/>
          <w:bCs/>
          <w:sz w:val="24"/>
        </w:rPr>
        <w:t>投标无效</w:t>
      </w:r>
      <w:r>
        <w:rPr>
          <w:rFonts w:ascii="仿宋" w:hAnsi="仿宋" w:eastAsia="仿宋"/>
          <w:sz w:val="24"/>
        </w:rPr>
        <w:t>。</w:t>
      </w:r>
    </w:p>
    <w:p>
      <w:pPr>
        <w:pStyle w:val="13"/>
        <w:spacing w:before="0" w:line="360" w:lineRule="auto"/>
        <w:rPr>
          <w:rFonts w:ascii="仿宋" w:hAnsi="仿宋" w:eastAsia="仿宋"/>
        </w:rPr>
      </w:pPr>
      <w:r>
        <w:rPr>
          <w:rFonts w:ascii="仿宋" w:hAnsi="仿宋" w:eastAsia="仿宋"/>
        </w:rPr>
        <w:t>1.7    本项目所属行业见</w:t>
      </w:r>
      <w:r>
        <w:rPr>
          <w:rFonts w:ascii="仿宋" w:hAnsi="仿宋" w:eastAsia="仿宋"/>
          <w:u w:val="single"/>
        </w:rPr>
        <w:t>投标人须知前附表</w:t>
      </w:r>
      <w:r>
        <w:rPr>
          <w:rFonts w:ascii="仿宋" w:hAnsi="仿宋" w:eastAsia="仿宋"/>
        </w:rPr>
        <w:t>。</w:t>
      </w:r>
    </w:p>
    <w:p>
      <w:pPr>
        <w:tabs>
          <w:tab w:val="left" w:pos="0"/>
        </w:tabs>
        <w:spacing w:line="360" w:lineRule="auto"/>
        <w:rPr>
          <w:rFonts w:ascii="仿宋" w:hAnsi="仿宋" w:eastAsia="仿宋"/>
          <w:b/>
          <w:sz w:val="24"/>
        </w:rPr>
      </w:pPr>
      <w:bookmarkStart w:id="22" w:name="_Toc12139"/>
      <w:bookmarkStart w:id="23" w:name="_Toc532473451"/>
      <w:bookmarkStart w:id="24" w:name="_Toc5286"/>
      <w:bookmarkStart w:id="25" w:name="_Toc515647759"/>
      <w:r>
        <w:rPr>
          <w:rFonts w:ascii="仿宋" w:hAnsi="仿宋" w:eastAsia="仿宋"/>
          <w:b/>
          <w:sz w:val="24"/>
        </w:rPr>
        <w:t>2.     资金来源</w:t>
      </w:r>
      <w:bookmarkEnd w:id="22"/>
      <w:bookmarkEnd w:id="23"/>
      <w:bookmarkEnd w:id="24"/>
      <w:bookmarkEnd w:id="25"/>
    </w:p>
    <w:p>
      <w:pPr>
        <w:spacing w:line="360" w:lineRule="auto"/>
        <w:ind w:left="900" w:hanging="900" w:hangingChars="375"/>
        <w:rPr>
          <w:rFonts w:ascii="仿宋" w:hAnsi="仿宋" w:eastAsia="仿宋"/>
          <w:sz w:val="24"/>
        </w:rPr>
      </w:pPr>
      <w:r>
        <w:rPr>
          <w:rFonts w:ascii="仿宋" w:hAnsi="仿宋" w:eastAsia="仿宋"/>
          <w:sz w:val="24"/>
        </w:rPr>
        <w:t>2.1    本项目的采购资金已列入政府采购项目预算，具有开展政府采购活动的条件。</w:t>
      </w:r>
    </w:p>
    <w:p>
      <w:pPr>
        <w:spacing w:line="360" w:lineRule="auto"/>
        <w:ind w:left="900" w:hanging="900" w:hangingChars="375"/>
        <w:rPr>
          <w:rFonts w:ascii="仿宋" w:hAnsi="仿宋" w:eastAsia="仿宋"/>
          <w:sz w:val="24"/>
        </w:rPr>
      </w:pPr>
      <w:r>
        <w:rPr>
          <w:rFonts w:ascii="仿宋" w:hAnsi="仿宋" w:eastAsia="仿宋"/>
          <w:sz w:val="24"/>
        </w:rPr>
        <w:t>2.2    项目预算金额和最高限价（如有）见</w:t>
      </w:r>
      <w:r>
        <w:rPr>
          <w:rFonts w:ascii="仿宋" w:hAnsi="仿宋" w:eastAsia="仿宋"/>
          <w:sz w:val="24"/>
          <w:u w:val="single"/>
        </w:rPr>
        <w:t>投标人须知前附表</w:t>
      </w:r>
      <w:r>
        <w:rPr>
          <w:rFonts w:ascii="仿宋" w:hAnsi="仿宋" w:eastAsia="仿宋"/>
          <w:sz w:val="24"/>
        </w:rPr>
        <w:t>。</w:t>
      </w:r>
    </w:p>
    <w:p>
      <w:pPr>
        <w:spacing w:line="360" w:lineRule="auto"/>
        <w:ind w:left="835" w:hanging="835" w:hangingChars="348"/>
        <w:rPr>
          <w:rFonts w:ascii="仿宋" w:hAnsi="仿宋" w:eastAsia="仿宋"/>
          <w:sz w:val="24"/>
        </w:rPr>
      </w:pPr>
      <w:r>
        <w:rPr>
          <w:rFonts w:ascii="仿宋" w:hAnsi="仿宋" w:eastAsia="仿宋"/>
          <w:sz w:val="24"/>
        </w:rPr>
        <w:t>2.3    投标人报价超过招标文件规定的预算金额或者预算额度内最高限价的，其投标将被认定为</w:t>
      </w:r>
      <w:r>
        <w:rPr>
          <w:rFonts w:ascii="仿宋" w:hAnsi="仿宋" w:eastAsia="仿宋"/>
          <w:b/>
          <w:bCs/>
          <w:sz w:val="24"/>
        </w:rPr>
        <w:t>投标无效</w:t>
      </w:r>
      <w:r>
        <w:rPr>
          <w:rFonts w:ascii="仿宋" w:hAnsi="仿宋" w:eastAsia="仿宋"/>
          <w:sz w:val="24"/>
        </w:rPr>
        <w:t>。</w:t>
      </w:r>
    </w:p>
    <w:p>
      <w:pPr>
        <w:tabs>
          <w:tab w:val="left" w:pos="0"/>
        </w:tabs>
        <w:spacing w:line="360" w:lineRule="auto"/>
        <w:rPr>
          <w:rFonts w:ascii="仿宋" w:hAnsi="仿宋" w:eastAsia="仿宋"/>
          <w:b/>
          <w:sz w:val="24"/>
        </w:rPr>
      </w:pPr>
      <w:bookmarkStart w:id="26" w:name="_Toc515647760"/>
      <w:bookmarkStart w:id="27" w:name="_Toc15936"/>
      <w:bookmarkStart w:id="28" w:name="_Toc520356145"/>
      <w:bookmarkStart w:id="29" w:name="_Toc20526"/>
      <w:bookmarkStart w:id="30" w:name="_Toc532473452"/>
      <w:r>
        <w:rPr>
          <w:rFonts w:ascii="仿宋" w:hAnsi="仿宋" w:eastAsia="仿宋"/>
          <w:b/>
          <w:sz w:val="24"/>
        </w:rPr>
        <w:t>3.     投标费用</w:t>
      </w:r>
      <w:bookmarkEnd w:id="26"/>
      <w:bookmarkEnd w:id="27"/>
      <w:bookmarkEnd w:id="28"/>
      <w:bookmarkEnd w:id="29"/>
      <w:bookmarkEnd w:id="30"/>
    </w:p>
    <w:p>
      <w:pPr>
        <w:spacing w:line="360" w:lineRule="auto"/>
        <w:ind w:firstLine="840" w:firstLineChars="350"/>
        <w:rPr>
          <w:rFonts w:ascii="仿宋" w:hAnsi="仿宋" w:eastAsia="仿宋"/>
          <w:sz w:val="24"/>
        </w:rPr>
      </w:pPr>
      <w:r>
        <w:rPr>
          <w:rFonts w:ascii="仿宋" w:hAnsi="仿宋" w:eastAsia="仿宋"/>
          <w:sz w:val="24"/>
        </w:rPr>
        <w:t>不论投标的结果如何，投标人应承担所有与投标有关的费用。</w:t>
      </w:r>
    </w:p>
    <w:p>
      <w:pPr>
        <w:tabs>
          <w:tab w:val="left" w:pos="0"/>
        </w:tabs>
        <w:spacing w:line="360" w:lineRule="auto"/>
        <w:rPr>
          <w:rFonts w:ascii="仿宋" w:hAnsi="仿宋" w:eastAsia="仿宋"/>
          <w:b/>
          <w:sz w:val="24"/>
        </w:rPr>
      </w:pPr>
      <w:bookmarkStart w:id="31" w:name="_Toc6116"/>
      <w:bookmarkStart w:id="32" w:name="_Toc4463"/>
      <w:bookmarkStart w:id="33" w:name="_Toc515647761"/>
      <w:bookmarkStart w:id="34" w:name="_Toc532473453"/>
      <w:r>
        <w:rPr>
          <w:rFonts w:ascii="仿宋" w:hAnsi="仿宋" w:eastAsia="仿宋"/>
          <w:b/>
          <w:sz w:val="24"/>
        </w:rPr>
        <w:t>4.     适用法律</w:t>
      </w:r>
      <w:bookmarkEnd w:id="31"/>
      <w:bookmarkEnd w:id="32"/>
      <w:bookmarkEnd w:id="33"/>
      <w:bookmarkEnd w:id="34"/>
    </w:p>
    <w:p>
      <w:pPr>
        <w:spacing w:line="360" w:lineRule="auto"/>
        <w:ind w:left="834" w:leftChars="397" w:firstLine="3"/>
        <w:rPr>
          <w:rFonts w:ascii="仿宋" w:hAnsi="仿宋" w:eastAsia="仿宋"/>
          <w:sz w:val="24"/>
        </w:rPr>
      </w:pPr>
      <w:r>
        <w:rPr>
          <w:rFonts w:ascii="仿宋" w:hAnsi="仿宋" w:eastAsia="仿宋"/>
          <w:sz w:val="24"/>
        </w:rPr>
        <w:t>本项目采购人、采购代理机构、投标人、评标委员会的相关行为均受《中华人民共和国政府采购法》、《中华人民共和国政府采购法实施条例》及本项目本级和上级财政部门政府采购有关规定的约束和保护。</w:t>
      </w:r>
    </w:p>
    <w:p>
      <w:pPr>
        <w:spacing w:line="360" w:lineRule="auto"/>
        <w:jc w:val="center"/>
        <w:outlineLvl w:val="2"/>
        <w:rPr>
          <w:rFonts w:ascii="仿宋" w:hAnsi="仿宋" w:eastAsia="仿宋"/>
          <w:b/>
          <w:sz w:val="28"/>
          <w:szCs w:val="28"/>
        </w:rPr>
      </w:pPr>
      <w:bookmarkStart w:id="35" w:name="_Toc21566"/>
      <w:bookmarkStart w:id="36" w:name="_Toc4365"/>
      <w:bookmarkStart w:id="37" w:name="_Toc216582806"/>
      <w:bookmarkStart w:id="38" w:name="_Toc515647762"/>
      <w:bookmarkStart w:id="39" w:name="_Toc532473454"/>
      <w:bookmarkStart w:id="40" w:name="_Toc520356146"/>
      <w:bookmarkStart w:id="41" w:name="_Toc110013777"/>
      <w:r>
        <w:rPr>
          <w:rFonts w:ascii="仿宋" w:hAnsi="仿宋" w:eastAsia="仿宋"/>
          <w:b/>
          <w:sz w:val="28"/>
          <w:szCs w:val="28"/>
        </w:rPr>
        <w:t>二、招标文件</w:t>
      </w:r>
      <w:bookmarkEnd w:id="35"/>
      <w:bookmarkEnd w:id="36"/>
      <w:bookmarkEnd w:id="37"/>
      <w:bookmarkEnd w:id="38"/>
      <w:bookmarkEnd w:id="39"/>
      <w:bookmarkEnd w:id="40"/>
      <w:bookmarkEnd w:id="41"/>
    </w:p>
    <w:p>
      <w:pPr>
        <w:tabs>
          <w:tab w:val="left" w:pos="0"/>
        </w:tabs>
        <w:spacing w:line="360" w:lineRule="auto"/>
        <w:rPr>
          <w:rFonts w:ascii="仿宋" w:hAnsi="仿宋" w:eastAsia="仿宋"/>
          <w:b/>
          <w:sz w:val="24"/>
        </w:rPr>
      </w:pPr>
      <w:bookmarkStart w:id="42" w:name="_Toc25743"/>
      <w:bookmarkStart w:id="43" w:name="_Toc520356147"/>
      <w:bookmarkStart w:id="44" w:name="_Toc532473455"/>
      <w:bookmarkStart w:id="45" w:name="_Toc14084"/>
      <w:bookmarkStart w:id="46" w:name="_Toc515647763"/>
      <w:r>
        <w:rPr>
          <w:rFonts w:ascii="仿宋" w:hAnsi="仿宋" w:eastAsia="仿宋"/>
          <w:b/>
          <w:sz w:val="24"/>
        </w:rPr>
        <w:t>5.     招标文件构成</w:t>
      </w:r>
      <w:bookmarkEnd w:id="42"/>
      <w:bookmarkEnd w:id="43"/>
      <w:bookmarkEnd w:id="44"/>
      <w:bookmarkEnd w:id="45"/>
      <w:bookmarkEnd w:id="46"/>
    </w:p>
    <w:p>
      <w:pPr>
        <w:spacing w:line="360" w:lineRule="auto"/>
        <w:rPr>
          <w:rFonts w:ascii="仿宋" w:hAnsi="仿宋" w:eastAsia="仿宋"/>
          <w:sz w:val="24"/>
        </w:rPr>
      </w:pPr>
      <w:r>
        <w:rPr>
          <w:rFonts w:ascii="仿宋" w:hAnsi="仿宋" w:eastAsia="仿宋"/>
          <w:sz w:val="24"/>
        </w:rPr>
        <w:t>5.1    招标文件共六章，构成如下：</w:t>
      </w:r>
    </w:p>
    <w:p>
      <w:pPr>
        <w:spacing w:line="360" w:lineRule="auto"/>
        <w:ind w:firstLine="840" w:firstLineChars="350"/>
        <w:rPr>
          <w:rFonts w:ascii="仿宋" w:hAnsi="仿宋" w:eastAsia="仿宋"/>
          <w:sz w:val="24"/>
        </w:rPr>
      </w:pPr>
      <w:r>
        <w:rPr>
          <w:rFonts w:ascii="仿宋" w:hAnsi="仿宋" w:eastAsia="仿宋"/>
          <w:sz w:val="24"/>
        </w:rPr>
        <w:t>第一章招标公告</w:t>
      </w:r>
    </w:p>
    <w:p>
      <w:pPr>
        <w:spacing w:line="360" w:lineRule="auto"/>
        <w:ind w:firstLine="840" w:firstLineChars="350"/>
        <w:rPr>
          <w:rFonts w:ascii="仿宋" w:hAnsi="仿宋" w:eastAsia="仿宋"/>
          <w:sz w:val="24"/>
        </w:rPr>
      </w:pPr>
      <w:r>
        <w:rPr>
          <w:rFonts w:ascii="仿宋" w:hAnsi="仿宋" w:eastAsia="仿宋"/>
          <w:sz w:val="24"/>
        </w:rPr>
        <w:t>第二章投标人须知</w:t>
      </w:r>
    </w:p>
    <w:p>
      <w:pPr>
        <w:spacing w:line="360" w:lineRule="auto"/>
        <w:ind w:firstLine="840" w:firstLineChars="350"/>
        <w:rPr>
          <w:rFonts w:ascii="仿宋" w:hAnsi="仿宋" w:eastAsia="仿宋"/>
          <w:sz w:val="24"/>
        </w:rPr>
      </w:pPr>
      <w:r>
        <w:rPr>
          <w:rFonts w:ascii="仿宋" w:hAnsi="仿宋" w:eastAsia="仿宋"/>
          <w:sz w:val="24"/>
        </w:rPr>
        <w:t>第三章评标方法和标准</w:t>
      </w:r>
    </w:p>
    <w:p>
      <w:pPr>
        <w:spacing w:line="360" w:lineRule="auto"/>
        <w:ind w:firstLine="840" w:firstLineChars="350"/>
        <w:rPr>
          <w:rFonts w:ascii="仿宋" w:hAnsi="仿宋" w:eastAsia="仿宋"/>
          <w:sz w:val="24"/>
        </w:rPr>
      </w:pPr>
      <w:r>
        <w:rPr>
          <w:rFonts w:ascii="仿宋" w:hAnsi="仿宋" w:eastAsia="仿宋"/>
          <w:sz w:val="24"/>
        </w:rPr>
        <w:t>第四章拟签订的合同文本</w:t>
      </w:r>
    </w:p>
    <w:p>
      <w:pPr>
        <w:spacing w:line="360" w:lineRule="auto"/>
        <w:ind w:firstLine="840" w:firstLineChars="350"/>
        <w:rPr>
          <w:rFonts w:ascii="仿宋" w:hAnsi="仿宋" w:eastAsia="仿宋"/>
          <w:sz w:val="24"/>
        </w:rPr>
      </w:pPr>
      <w:r>
        <w:rPr>
          <w:rFonts w:ascii="仿宋" w:hAnsi="仿宋" w:eastAsia="仿宋"/>
          <w:sz w:val="24"/>
        </w:rPr>
        <w:t>第五章采购需求及要求</w:t>
      </w:r>
    </w:p>
    <w:p>
      <w:pPr>
        <w:spacing w:line="360" w:lineRule="auto"/>
        <w:ind w:firstLine="840" w:firstLineChars="350"/>
        <w:rPr>
          <w:rFonts w:ascii="仿宋" w:hAnsi="仿宋" w:eastAsia="仿宋"/>
          <w:sz w:val="24"/>
        </w:rPr>
      </w:pPr>
      <w:r>
        <w:rPr>
          <w:rFonts w:ascii="仿宋" w:hAnsi="仿宋" w:eastAsia="仿宋"/>
          <w:sz w:val="24"/>
        </w:rPr>
        <w:t>第六章投标文件格式</w:t>
      </w:r>
    </w:p>
    <w:p>
      <w:pPr>
        <w:spacing w:line="360" w:lineRule="auto"/>
        <w:ind w:left="840" w:hanging="840" w:hangingChars="350"/>
        <w:rPr>
          <w:rFonts w:ascii="仿宋" w:hAnsi="仿宋" w:eastAsia="仿宋"/>
          <w:sz w:val="24"/>
        </w:rPr>
      </w:pPr>
      <w:r>
        <w:rPr>
          <w:rFonts w:ascii="仿宋" w:hAnsi="仿宋" w:eastAsia="仿宋"/>
          <w:sz w:val="24"/>
        </w:rPr>
        <w:t>5.2    招标文件中如有不一致的，有澄清的部分以最终的澄清更正内容为准；未澄清的，以投标人须知前附表为准；投标人须知前附表不涉及的内容，以编排在后的最后描述为准。</w:t>
      </w:r>
    </w:p>
    <w:p>
      <w:pPr>
        <w:spacing w:line="360" w:lineRule="auto"/>
        <w:ind w:left="840" w:hanging="840" w:hangingChars="350"/>
        <w:rPr>
          <w:rFonts w:ascii="仿宋" w:hAnsi="仿宋" w:eastAsia="仿宋"/>
          <w:sz w:val="24"/>
        </w:rPr>
      </w:pPr>
      <w:r>
        <w:rPr>
          <w:rFonts w:ascii="仿宋" w:hAnsi="仿宋" w:eastAsia="仿宋"/>
          <w:sz w:val="24"/>
        </w:rPr>
        <w:t>5.3    投标人应认真阅读招标文件所有的事项、格式、条款和技术规范等。如投标人没有按照招标文件要求提交全部资料，或者投标文件没有对招标文件的实质性要求做出响应，其投标将被认定为</w:t>
      </w:r>
      <w:r>
        <w:rPr>
          <w:rFonts w:ascii="仿宋" w:hAnsi="仿宋" w:eastAsia="仿宋"/>
          <w:b/>
          <w:bCs/>
          <w:sz w:val="24"/>
        </w:rPr>
        <w:t>投标无效</w:t>
      </w:r>
      <w:r>
        <w:rPr>
          <w:rFonts w:ascii="仿宋" w:hAnsi="仿宋" w:eastAsia="仿宋"/>
          <w:sz w:val="24"/>
        </w:rPr>
        <w:t>。</w:t>
      </w:r>
    </w:p>
    <w:p>
      <w:pPr>
        <w:spacing w:line="360" w:lineRule="auto"/>
        <w:ind w:left="900" w:hanging="900" w:hangingChars="375"/>
        <w:rPr>
          <w:rFonts w:ascii="仿宋" w:hAnsi="仿宋" w:eastAsia="仿宋"/>
          <w:sz w:val="24"/>
        </w:rPr>
      </w:pPr>
      <w:r>
        <w:rPr>
          <w:rFonts w:ascii="仿宋" w:hAnsi="仿宋" w:eastAsia="仿宋"/>
          <w:sz w:val="24"/>
        </w:rPr>
        <w:t>5.4    现场考察或者答疑会及相关事项见</w:t>
      </w:r>
      <w:r>
        <w:rPr>
          <w:rFonts w:ascii="仿宋" w:hAnsi="仿宋" w:eastAsia="仿宋"/>
          <w:sz w:val="24"/>
          <w:u w:val="single"/>
        </w:rPr>
        <w:t>投标人须知前附表</w:t>
      </w:r>
      <w:r>
        <w:rPr>
          <w:rFonts w:ascii="仿宋" w:hAnsi="仿宋" w:eastAsia="仿宋"/>
          <w:sz w:val="24"/>
        </w:rPr>
        <w:t>。</w:t>
      </w:r>
    </w:p>
    <w:p>
      <w:pPr>
        <w:tabs>
          <w:tab w:val="left" w:pos="0"/>
        </w:tabs>
        <w:spacing w:line="360" w:lineRule="auto"/>
        <w:rPr>
          <w:rFonts w:ascii="仿宋" w:hAnsi="仿宋" w:eastAsia="仿宋"/>
          <w:b/>
          <w:sz w:val="24"/>
        </w:rPr>
      </w:pPr>
      <w:bookmarkStart w:id="47" w:name="_Toc520356148"/>
      <w:bookmarkStart w:id="48" w:name="_Toc515904805"/>
      <w:bookmarkStart w:id="49" w:name="_Toc532473456"/>
      <w:bookmarkStart w:id="50" w:name="_Toc26044"/>
      <w:bookmarkStart w:id="51" w:name="_Toc9232"/>
      <w:r>
        <w:rPr>
          <w:rFonts w:ascii="仿宋" w:hAnsi="仿宋" w:eastAsia="仿宋"/>
          <w:b/>
          <w:sz w:val="24"/>
        </w:rPr>
        <w:t>6.     招标文件的澄清</w:t>
      </w:r>
      <w:bookmarkEnd w:id="47"/>
      <w:bookmarkEnd w:id="48"/>
      <w:r>
        <w:rPr>
          <w:rFonts w:ascii="仿宋" w:hAnsi="仿宋" w:eastAsia="仿宋"/>
          <w:b/>
          <w:sz w:val="24"/>
        </w:rPr>
        <w:t>与修改</w:t>
      </w:r>
      <w:bookmarkEnd w:id="49"/>
      <w:bookmarkEnd w:id="50"/>
      <w:bookmarkEnd w:id="51"/>
    </w:p>
    <w:p>
      <w:pPr>
        <w:pStyle w:val="5"/>
        <w:spacing w:line="360" w:lineRule="auto"/>
        <w:ind w:left="840" w:hanging="840" w:hangingChars="350"/>
        <w:jc w:val="both"/>
        <w:rPr>
          <w:rFonts w:ascii="仿宋" w:hAnsi="仿宋" w:eastAsia="仿宋"/>
          <w:szCs w:val="24"/>
        </w:rPr>
      </w:pPr>
      <w:bookmarkStart w:id="52" w:name="_Ref467378678"/>
      <w:bookmarkStart w:id="53" w:name="_Toc520356149"/>
      <w:bookmarkStart w:id="54" w:name="_Toc515904806"/>
      <w:r>
        <w:rPr>
          <w:rFonts w:ascii="仿宋" w:hAnsi="仿宋" w:eastAsia="仿宋"/>
          <w:szCs w:val="24"/>
        </w:rPr>
        <w:t>6.1    采购人可主动地或在解答投标人提出的澄清问题时对招标文件进行澄清或修改。采购代理机构将以发布澄清（更正）公告的方式，澄清或修改招标文件，澄清或修改内容作为招标文件的组成部分。</w:t>
      </w:r>
    </w:p>
    <w:p>
      <w:pPr>
        <w:pStyle w:val="5"/>
        <w:spacing w:line="360" w:lineRule="auto"/>
        <w:ind w:left="840" w:hanging="840" w:hangingChars="350"/>
        <w:jc w:val="both"/>
        <w:rPr>
          <w:rFonts w:ascii="仿宋" w:hAnsi="仿宋" w:eastAsia="仿宋"/>
          <w:szCs w:val="24"/>
        </w:rPr>
      </w:pPr>
      <w:r>
        <w:rPr>
          <w:rFonts w:ascii="仿宋" w:hAnsi="仿宋" w:eastAsia="仿宋"/>
          <w:szCs w:val="24"/>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5"/>
        <w:spacing w:line="360" w:lineRule="auto"/>
        <w:ind w:left="840" w:leftChars="400" w:firstLine="0"/>
        <w:jc w:val="both"/>
        <w:rPr>
          <w:rFonts w:ascii="仿宋" w:hAnsi="仿宋" w:eastAsia="仿宋"/>
          <w:szCs w:val="24"/>
        </w:rPr>
      </w:pPr>
      <w:r>
        <w:rPr>
          <w:rFonts w:ascii="仿宋" w:hAnsi="仿宋" w:eastAsia="仿宋"/>
          <w:szCs w:val="24"/>
        </w:rPr>
        <w:t>因潜在投标人原因或通讯线路故障导致通知逾期送达或无法送达，采购代理机构不因此承担任何责任，有关的招标采购活动可以继续有效进行。</w:t>
      </w:r>
    </w:p>
    <w:bookmarkEnd w:id="52"/>
    <w:bookmarkEnd w:id="53"/>
    <w:bookmarkEnd w:id="54"/>
    <w:p>
      <w:pPr>
        <w:tabs>
          <w:tab w:val="left" w:pos="0"/>
        </w:tabs>
        <w:spacing w:line="360" w:lineRule="auto"/>
        <w:rPr>
          <w:rFonts w:ascii="仿宋" w:hAnsi="仿宋" w:eastAsia="仿宋"/>
          <w:b/>
          <w:sz w:val="24"/>
        </w:rPr>
      </w:pPr>
      <w:bookmarkStart w:id="55" w:name="_Toc25635"/>
      <w:bookmarkStart w:id="56" w:name="_Toc14569"/>
      <w:bookmarkStart w:id="57" w:name="_Toc532473457"/>
      <w:r>
        <w:rPr>
          <w:rFonts w:ascii="仿宋" w:hAnsi="仿宋" w:eastAsia="仿宋"/>
          <w:b/>
          <w:sz w:val="24"/>
        </w:rPr>
        <w:t>7.     投标截止时间的顺延</w:t>
      </w:r>
      <w:bookmarkEnd w:id="55"/>
      <w:bookmarkEnd w:id="56"/>
      <w:bookmarkEnd w:id="57"/>
    </w:p>
    <w:p>
      <w:pPr>
        <w:spacing w:line="360" w:lineRule="auto"/>
        <w:ind w:left="838" w:leftChars="399"/>
        <w:rPr>
          <w:rFonts w:ascii="仿宋" w:hAnsi="仿宋" w:eastAsia="仿宋"/>
          <w:sz w:val="24"/>
        </w:rPr>
      </w:pPr>
      <w:r>
        <w:rPr>
          <w:rFonts w:ascii="仿宋" w:hAnsi="仿宋" w:eastAsia="仿宋"/>
          <w:sz w:val="24"/>
        </w:rPr>
        <w:t>为使投标人有足够的时间对招标文件的澄清或者修改部分进行研究而准备投标或因其他原因，采购人将依法决定是否顺延投标截止时间。</w:t>
      </w:r>
    </w:p>
    <w:p>
      <w:pPr>
        <w:spacing w:line="360" w:lineRule="auto"/>
        <w:jc w:val="center"/>
        <w:outlineLvl w:val="2"/>
        <w:rPr>
          <w:rFonts w:ascii="仿宋" w:hAnsi="仿宋" w:eastAsia="仿宋"/>
          <w:b/>
          <w:sz w:val="28"/>
          <w:szCs w:val="28"/>
        </w:rPr>
      </w:pPr>
      <w:bookmarkStart w:id="58" w:name="_Toc516367020"/>
      <w:bookmarkStart w:id="59" w:name="_Toc216582807"/>
      <w:bookmarkStart w:id="60" w:name="_Toc7636"/>
      <w:bookmarkStart w:id="61" w:name="_Toc30808"/>
      <w:bookmarkStart w:id="62" w:name="_Toc520356150"/>
      <w:bookmarkStart w:id="63" w:name="_Toc110013778"/>
      <w:bookmarkStart w:id="64" w:name="_Toc532473458"/>
      <w:bookmarkStart w:id="65" w:name="_Toc515647766"/>
      <w:r>
        <w:rPr>
          <w:rFonts w:ascii="仿宋" w:hAnsi="仿宋" w:eastAsia="仿宋"/>
          <w:b/>
          <w:sz w:val="28"/>
          <w:szCs w:val="28"/>
        </w:rPr>
        <w:t>三、投标文件</w:t>
      </w:r>
      <w:bookmarkEnd w:id="58"/>
      <w:r>
        <w:rPr>
          <w:rFonts w:ascii="仿宋" w:hAnsi="仿宋" w:eastAsia="仿宋"/>
          <w:b/>
          <w:sz w:val="28"/>
          <w:szCs w:val="28"/>
        </w:rPr>
        <w:t>的编制</w:t>
      </w:r>
      <w:bookmarkEnd w:id="59"/>
      <w:bookmarkEnd w:id="60"/>
      <w:bookmarkEnd w:id="61"/>
      <w:bookmarkEnd w:id="62"/>
      <w:bookmarkEnd w:id="63"/>
      <w:bookmarkEnd w:id="64"/>
      <w:bookmarkEnd w:id="65"/>
    </w:p>
    <w:p>
      <w:pPr>
        <w:tabs>
          <w:tab w:val="left" w:pos="0"/>
        </w:tabs>
        <w:spacing w:line="360" w:lineRule="auto"/>
        <w:rPr>
          <w:rFonts w:ascii="仿宋" w:hAnsi="仿宋" w:eastAsia="仿宋"/>
          <w:b/>
          <w:sz w:val="24"/>
        </w:rPr>
      </w:pPr>
      <w:bookmarkStart w:id="66" w:name="_Toc515647767"/>
      <w:bookmarkStart w:id="67" w:name="_Toc532473459"/>
      <w:bookmarkStart w:id="68" w:name="_Toc516367021"/>
      <w:bookmarkStart w:id="69" w:name="_Toc520356151"/>
      <w:bookmarkStart w:id="70" w:name="_Toc3553"/>
      <w:bookmarkStart w:id="71" w:name="_Toc7786"/>
      <w:r>
        <w:rPr>
          <w:rFonts w:ascii="仿宋" w:hAnsi="仿宋" w:eastAsia="仿宋"/>
          <w:b/>
          <w:sz w:val="24"/>
        </w:rPr>
        <w:t>8.     投标范围及投标文件中标准和计量单位的使用</w:t>
      </w:r>
      <w:bookmarkEnd w:id="66"/>
      <w:bookmarkEnd w:id="67"/>
      <w:bookmarkEnd w:id="68"/>
      <w:bookmarkEnd w:id="69"/>
      <w:bookmarkEnd w:id="70"/>
      <w:bookmarkEnd w:id="71"/>
    </w:p>
    <w:p>
      <w:pPr>
        <w:spacing w:line="360" w:lineRule="auto"/>
        <w:ind w:left="840" w:hanging="840" w:hangingChars="350"/>
        <w:rPr>
          <w:rFonts w:ascii="仿宋" w:hAnsi="仿宋" w:eastAsia="仿宋"/>
          <w:sz w:val="24"/>
        </w:rPr>
      </w:pPr>
      <w:r>
        <w:rPr>
          <w:rFonts w:ascii="仿宋" w:hAnsi="仿宋" w:eastAsia="仿宋"/>
          <w:sz w:val="24"/>
        </w:rPr>
        <w:t>8.1    投标人可对招标文件中一个或多个标段进行投标或者中标，除非在</w:t>
      </w:r>
      <w:r>
        <w:rPr>
          <w:rFonts w:ascii="仿宋" w:hAnsi="仿宋" w:eastAsia="仿宋"/>
          <w:sz w:val="24"/>
          <w:u w:val="single"/>
        </w:rPr>
        <w:t>投标人须知前附表</w:t>
      </w:r>
      <w:r>
        <w:rPr>
          <w:rFonts w:ascii="仿宋" w:hAnsi="仿宋" w:eastAsia="仿宋"/>
          <w:sz w:val="24"/>
        </w:rPr>
        <w:t>中另有规定。</w:t>
      </w:r>
    </w:p>
    <w:p>
      <w:pPr>
        <w:spacing w:line="360" w:lineRule="auto"/>
        <w:ind w:left="840" w:hanging="840" w:hangingChars="350"/>
        <w:rPr>
          <w:rFonts w:ascii="仿宋" w:hAnsi="仿宋" w:eastAsia="仿宋"/>
          <w:sz w:val="24"/>
        </w:rPr>
      </w:pPr>
      <w:r>
        <w:rPr>
          <w:rFonts w:ascii="仿宋" w:hAnsi="仿宋" w:eastAsia="仿宋"/>
          <w:sz w:val="24"/>
        </w:rPr>
        <w:t>8.2    投标人应当对所投标段招标文件中“采购需求及要求”所列的所有内容进行投标，如仅响应部分内容，其该标段投标将被认定为</w:t>
      </w:r>
      <w:r>
        <w:rPr>
          <w:rFonts w:ascii="仿宋" w:hAnsi="仿宋" w:eastAsia="仿宋"/>
          <w:b/>
          <w:bCs/>
          <w:sz w:val="24"/>
        </w:rPr>
        <w:t>投标无效</w:t>
      </w:r>
      <w:r>
        <w:rPr>
          <w:rFonts w:ascii="仿宋" w:hAnsi="仿宋" w:eastAsia="仿宋"/>
          <w:sz w:val="24"/>
        </w:rPr>
        <w:t>。</w:t>
      </w:r>
    </w:p>
    <w:p>
      <w:pPr>
        <w:spacing w:line="360" w:lineRule="auto"/>
        <w:ind w:left="840" w:hanging="840" w:hangingChars="350"/>
        <w:rPr>
          <w:rFonts w:ascii="仿宋" w:hAnsi="仿宋" w:eastAsia="仿宋"/>
          <w:sz w:val="24"/>
        </w:rPr>
      </w:pPr>
      <w:r>
        <w:rPr>
          <w:rFonts w:ascii="仿宋" w:hAnsi="仿宋" w:eastAsia="仿宋"/>
          <w:sz w:val="24"/>
        </w:rPr>
        <w:t>8.3    无论招标文件中是否要求，投标人所投货物及伴随的服务和工程均应符合国家强制性标准。</w:t>
      </w:r>
    </w:p>
    <w:p>
      <w:pPr>
        <w:spacing w:line="360" w:lineRule="auto"/>
        <w:ind w:left="840" w:hanging="840" w:hangingChars="350"/>
        <w:rPr>
          <w:rFonts w:ascii="仿宋" w:hAnsi="仿宋" w:eastAsia="仿宋"/>
          <w:sz w:val="24"/>
        </w:rPr>
      </w:pPr>
      <w:r>
        <w:rPr>
          <w:rFonts w:ascii="仿宋" w:hAnsi="仿宋" w:eastAsia="仿宋"/>
          <w:sz w:val="24"/>
        </w:rPr>
        <w:t>8.4    除招标文件中有特殊要求外，投标文件中所使用的计量单位，应采用中华人民共和国法定计量单位。</w:t>
      </w:r>
    </w:p>
    <w:p>
      <w:pPr>
        <w:tabs>
          <w:tab w:val="left" w:pos="0"/>
        </w:tabs>
        <w:spacing w:line="360" w:lineRule="auto"/>
        <w:rPr>
          <w:rFonts w:ascii="仿宋" w:hAnsi="仿宋" w:eastAsia="仿宋"/>
          <w:b/>
          <w:sz w:val="24"/>
        </w:rPr>
      </w:pPr>
      <w:bookmarkStart w:id="72" w:name="_Ref467306195"/>
      <w:bookmarkStart w:id="73" w:name="_Toc516367022"/>
      <w:bookmarkStart w:id="74" w:name="_Ref467306676"/>
      <w:bookmarkStart w:id="75" w:name="_Toc515647768"/>
      <w:bookmarkStart w:id="76" w:name="_Toc532473460"/>
      <w:bookmarkStart w:id="77" w:name="_Toc28307"/>
      <w:bookmarkStart w:id="78" w:name="_Toc10364"/>
      <w:bookmarkStart w:id="79" w:name="_Toc520356152"/>
      <w:r>
        <w:rPr>
          <w:rFonts w:ascii="仿宋" w:hAnsi="仿宋" w:eastAsia="仿宋"/>
          <w:b/>
          <w:sz w:val="24"/>
        </w:rPr>
        <w:t>9.     投标文件</w:t>
      </w:r>
      <w:bookmarkEnd w:id="72"/>
      <w:bookmarkEnd w:id="73"/>
      <w:bookmarkEnd w:id="74"/>
      <w:r>
        <w:rPr>
          <w:rFonts w:ascii="仿宋" w:hAnsi="仿宋" w:eastAsia="仿宋"/>
          <w:b/>
          <w:sz w:val="24"/>
        </w:rPr>
        <w:t>组成</w:t>
      </w:r>
      <w:bookmarkEnd w:id="75"/>
      <w:bookmarkEnd w:id="76"/>
      <w:bookmarkEnd w:id="77"/>
      <w:bookmarkEnd w:id="78"/>
      <w:bookmarkEnd w:id="79"/>
    </w:p>
    <w:p>
      <w:pPr>
        <w:tabs>
          <w:tab w:val="left" w:pos="900"/>
          <w:tab w:val="left" w:pos="5580"/>
        </w:tabs>
        <w:spacing w:line="360" w:lineRule="auto"/>
        <w:ind w:left="840" w:hanging="840" w:hangingChars="350"/>
        <w:rPr>
          <w:rFonts w:ascii="仿宋" w:hAnsi="仿宋" w:eastAsia="仿宋"/>
          <w:sz w:val="24"/>
        </w:rPr>
      </w:pPr>
      <w:bookmarkStart w:id="80" w:name="_Ref467052588"/>
      <w:r>
        <w:rPr>
          <w:rFonts w:ascii="仿宋" w:hAnsi="仿宋" w:eastAsia="仿宋"/>
          <w:sz w:val="24"/>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Pr>
          <w:rFonts w:ascii="仿宋" w:hAnsi="仿宋" w:eastAsia="仿宋"/>
          <w:b/>
          <w:sz w:val="24"/>
        </w:rPr>
        <w:t>投标无效</w:t>
      </w:r>
      <w:r>
        <w:rPr>
          <w:rFonts w:ascii="仿宋" w:hAnsi="仿宋" w:eastAsia="仿宋"/>
          <w:sz w:val="24"/>
        </w:rPr>
        <w:t>。</w:t>
      </w:r>
    </w:p>
    <w:p>
      <w:pPr>
        <w:spacing w:line="360" w:lineRule="auto"/>
        <w:ind w:left="840" w:hanging="840" w:hangingChars="350"/>
        <w:rPr>
          <w:rFonts w:ascii="仿宋" w:hAnsi="仿宋" w:eastAsia="仿宋"/>
          <w:sz w:val="24"/>
        </w:rPr>
      </w:pPr>
      <w:r>
        <w:rPr>
          <w:rFonts w:ascii="仿宋" w:hAnsi="仿宋" w:eastAsia="仿宋"/>
          <w:sz w:val="24"/>
        </w:rPr>
        <w:t>9.2    上述文件应按照招标文件的规定签署</w:t>
      </w:r>
      <w:bookmarkStart w:id="81" w:name="_Hlk1734277"/>
      <w:r>
        <w:rPr>
          <w:rFonts w:ascii="仿宋" w:hAnsi="仿宋" w:eastAsia="仿宋"/>
          <w:sz w:val="24"/>
        </w:rPr>
        <w:t>和盖公章或经公章授权的其他单位章（以下统称公章）</w:t>
      </w:r>
      <w:bookmarkEnd w:id="81"/>
      <w:r>
        <w:rPr>
          <w:rFonts w:ascii="仿宋" w:hAnsi="仿宋" w:eastAsia="仿宋"/>
          <w:sz w:val="24"/>
        </w:rPr>
        <w:t>。采用公章授权方式的，应当在投标文件资格证明文件附公章授权书（格式自定）。</w:t>
      </w:r>
    </w:p>
    <w:bookmarkEnd w:id="80"/>
    <w:p>
      <w:pPr>
        <w:tabs>
          <w:tab w:val="left" w:pos="0"/>
        </w:tabs>
        <w:spacing w:line="360" w:lineRule="auto"/>
        <w:rPr>
          <w:rFonts w:ascii="仿宋" w:hAnsi="仿宋" w:eastAsia="仿宋"/>
          <w:b/>
          <w:sz w:val="24"/>
        </w:rPr>
      </w:pPr>
      <w:bookmarkStart w:id="82" w:name="_Toc10379"/>
      <w:bookmarkStart w:id="83" w:name="_Toc515647769"/>
      <w:bookmarkStart w:id="84" w:name="_Toc516367023"/>
      <w:bookmarkStart w:id="85" w:name="_Toc532473461"/>
      <w:bookmarkStart w:id="86" w:name="_Toc520356153"/>
      <w:bookmarkStart w:id="87" w:name="_Toc4601"/>
      <w:r>
        <w:rPr>
          <w:rFonts w:ascii="仿宋" w:hAnsi="仿宋" w:eastAsia="仿宋"/>
          <w:b/>
          <w:sz w:val="24"/>
        </w:rPr>
        <w:t>10.    证明投标标的的合格性和符合招标文件规定的技术文件</w:t>
      </w:r>
      <w:bookmarkEnd w:id="82"/>
      <w:bookmarkEnd w:id="83"/>
      <w:bookmarkEnd w:id="84"/>
      <w:bookmarkEnd w:id="85"/>
      <w:bookmarkEnd w:id="86"/>
      <w:bookmarkEnd w:id="87"/>
    </w:p>
    <w:p>
      <w:pPr>
        <w:spacing w:line="360" w:lineRule="auto"/>
        <w:ind w:left="878" w:hanging="878" w:hangingChars="366"/>
        <w:rPr>
          <w:rFonts w:ascii="仿宋" w:hAnsi="仿宋" w:eastAsia="仿宋"/>
          <w:sz w:val="24"/>
        </w:rPr>
      </w:pPr>
      <w:r>
        <w:rPr>
          <w:rFonts w:ascii="仿宋" w:hAnsi="仿宋" w:eastAsia="仿宋"/>
          <w:sz w:val="24"/>
        </w:rPr>
        <w:t>10.1   投标人应提交证明文件，证明其投标标的符合招标文件规定。该证明文件是投标文件的技术文件。</w:t>
      </w:r>
    </w:p>
    <w:p>
      <w:pPr>
        <w:spacing w:line="360" w:lineRule="auto"/>
        <w:ind w:left="900" w:hanging="900" w:hangingChars="375"/>
        <w:rPr>
          <w:rFonts w:ascii="仿宋" w:hAnsi="仿宋" w:eastAsia="仿宋"/>
          <w:sz w:val="24"/>
        </w:rPr>
      </w:pPr>
      <w:bookmarkStart w:id="88" w:name="_Ref467306244"/>
      <w:r>
        <w:rPr>
          <w:rFonts w:ascii="仿宋" w:hAnsi="仿宋" w:eastAsia="仿宋"/>
          <w:sz w:val="24"/>
        </w:rPr>
        <w:t>10.2   上款所述的证明文件，可以是文字资料、图纸和数据</w:t>
      </w:r>
      <w:bookmarkEnd w:id="88"/>
      <w:r>
        <w:rPr>
          <w:rFonts w:ascii="仿宋" w:hAnsi="仿宋" w:eastAsia="仿宋"/>
          <w:sz w:val="24"/>
        </w:rPr>
        <w:t>。</w:t>
      </w:r>
    </w:p>
    <w:p>
      <w:pPr>
        <w:spacing w:line="360" w:lineRule="auto"/>
        <w:ind w:left="900" w:hanging="900" w:hangingChars="375"/>
        <w:rPr>
          <w:rFonts w:ascii="仿宋" w:hAnsi="仿宋" w:eastAsia="仿宋"/>
          <w:sz w:val="24"/>
        </w:rPr>
      </w:pPr>
      <w:r>
        <w:rPr>
          <w:rFonts w:ascii="仿宋" w:hAnsi="仿宋" w:eastAsia="仿宋"/>
          <w:sz w:val="24"/>
        </w:rPr>
        <w:t>10.3   本条所指证明文件不包括对招标文件相关部分的文字、图标的复制。</w:t>
      </w:r>
    </w:p>
    <w:p>
      <w:pPr>
        <w:tabs>
          <w:tab w:val="left" w:pos="0"/>
        </w:tabs>
        <w:spacing w:line="360" w:lineRule="auto"/>
        <w:rPr>
          <w:rFonts w:ascii="仿宋" w:hAnsi="仿宋" w:eastAsia="仿宋"/>
          <w:b/>
          <w:sz w:val="24"/>
        </w:rPr>
      </w:pPr>
      <w:bookmarkStart w:id="89" w:name="_Toc532473462"/>
      <w:bookmarkStart w:id="90" w:name="_Toc515647770"/>
      <w:bookmarkStart w:id="91" w:name="_Toc520356155"/>
      <w:bookmarkStart w:id="92" w:name="_Toc2248"/>
      <w:bookmarkStart w:id="93" w:name="_Toc23231"/>
      <w:r>
        <w:rPr>
          <w:rFonts w:ascii="仿宋" w:hAnsi="仿宋" w:eastAsia="仿宋"/>
          <w:b/>
          <w:sz w:val="24"/>
        </w:rPr>
        <w:t>11.    投标报价</w:t>
      </w:r>
      <w:bookmarkEnd w:id="89"/>
      <w:bookmarkEnd w:id="90"/>
      <w:bookmarkEnd w:id="91"/>
      <w:bookmarkEnd w:id="92"/>
      <w:bookmarkEnd w:id="93"/>
    </w:p>
    <w:p>
      <w:pPr>
        <w:spacing w:line="360" w:lineRule="auto"/>
        <w:ind w:left="840" w:hanging="840" w:hangingChars="350"/>
        <w:rPr>
          <w:rFonts w:ascii="仿宋" w:hAnsi="仿宋" w:eastAsia="仿宋"/>
          <w:sz w:val="24"/>
        </w:rPr>
      </w:pPr>
      <w:r>
        <w:rPr>
          <w:rFonts w:ascii="仿宋" w:hAnsi="仿宋" w:eastAsia="仿宋"/>
          <w:sz w:val="24"/>
        </w:rPr>
        <w:t>11.1   投标人的报价应当包括满足本次招标全部采购需求所应提供的服务，以及伴随的货物和工程。所有投标均应以人民币报价。投标人的投标报价应遵守《中华人民共和国价格法》。</w:t>
      </w:r>
    </w:p>
    <w:p>
      <w:pPr>
        <w:spacing w:line="360" w:lineRule="auto"/>
        <w:ind w:left="840" w:hanging="840" w:hangingChars="350"/>
        <w:rPr>
          <w:rFonts w:ascii="仿宋" w:hAnsi="仿宋" w:eastAsia="仿宋"/>
          <w:sz w:val="24"/>
        </w:rPr>
      </w:pPr>
      <w:r>
        <w:rPr>
          <w:rFonts w:ascii="仿宋" w:hAnsi="仿宋" w:eastAsia="仿宋"/>
          <w:sz w:val="24"/>
        </w:rPr>
        <w:t>11.2   投标人应在投标分项报价表上标明分项服务、伴随的货物和工程的价格（如适用）和总价，并由法定代表人或其授权代表签署。</w:t>
      </w:r>
    </w:p>
    <w:p>
      <w:pPr>
        <w:spacing w:line="360" w:lineRule="auto"/>
        <w:ind w:left="840" w:hanging="840" w:hangingChars="350"/>
        <w:rPr>
          <w:rFonts w:ascii="仿宋" w:hAnsi="仿宋" w:eastAsia="仿宋"/>
          <w:sz w:val="24"/>
        </w:rPr>
      </w:pPr>
      <w:r>
        <w:rPr>
          <w:rFonts w:ascii="仿宋" w:hAnsi="仿宋" w:eastAsia="仿宋"/>
          <w:sz w:val="24"/>
        </w:rPr>
        <w:t>11.3   采购人不接受具有附加条件的报价或多个方案的报价。</w:t>
      </w:r>
    </w:p>
    <w:p>
      <w:pPr>
        <w:spacing w:line="360" w:lineRule="auto"/>
        <w:ind w:left="840" w:hanging="840" w:hangingChars="350"/>
        <w:rPr>
          <w:rFonts w:ascii="仿宋" w:hAnsi="仿宋" w:eastAsia="仿宋"/>
          <w:sz w:val="24"/>
        </w:rPr>
      </w:pPr>
      <w:r>
        <w:rPr>
          <w:rFonts w:ascii="仿宋" w:hAnsi="仿宋" w:eastAsia="仿宋"/>
          <w:sz w:val="24"/>
        </w:rPr>
        <w:t>11.4   投标人所报的投标报价在合同履行过程中是固定不变的，不得以任何理由予以变更。任何包含价格调整要求的投标，将被认定为</w:t>
      </w:r>
      <w:r>
        <w:rPr>
          <w:rFonts w:ascii="仿宋" w:hAnsi="仿宋" w:eastAsia="仿宋"/>
          <w:b/>
          <w:sz w:val="24"/>
        </w:rPr>
        <w:t>投标无效</w:t>
      </w:r>
      <w:r>
        <w:rPr>
          <w:rFonts w:ascii="仿宋" w:hAnsi="仿宋" w:eastAsia="仿宋"/>
          <w:sz w:val="24"/>
        </w:rPr>
        <w:t>。</w:t>
      </w:r>
    </w:p>
    <w:p>
      <w:pPr>
        <w:tabs>
          <w:tab w:val="left" w:pos="0"/>
        </w:tabs>
        <w:spacing w:line="360" w:lineRule="auto"/>
        <w:rPr>
          <w:rFonts w:ascii="仿宋" w:hAnsi="仿宋" w:eastAsia="仿宋"/>
          <w:b/>
          <w:sz w:val="24"/>
        </w:rPr>
      </w:pPr>
      <w:bookmarkStart w:id="94" w:name="_Toc515647771"/>
      <w:bookmarkStart w:id="95" w:name="_Ref467306513"/>
      <w:bookmarkStart w:id="96" w:name="_Toc11514"/>
      <w:bookmarkStart w:id="97" w:name="_Toc532473463"/>
      <w:bookmarkStart w:id="98" w:name="_Toc520356156"/>
      <w:bookmarkStart w:id="99" w:name="_Toc17788"/>
      <w:r>
        <w:rPr>
          <w:rFonts w:ascii="仿宋" w:hAnsi="仿宋" w:eastAsia="仿宋"/>
          <w:b/>
          <w:sz w:val="24"/>
        </w:rPr>
        <w:t>12.    投标保证金</w:t>
      </w:r>
      <w:bookmarkEnd w:id="94"/>
      <w:bookmarkEnd w:id="95"/>
      <w:bookmarkEnd w:id="96"/>
      <w:bookmarkEnd w:id="97"/>
      <w:bookmarkEnd w:id="98"/>
      <w:bookmarkEnd w:id="99"/>
    </w:p>
    <w:p>
      <w:pPr>
        <w:spacing w:line="360" w:lineRule="auto"/>
        <w:ind w:left="900" w:hanging="900" w:hangingChars="375"/>
        <w:rPr>
          <w:rFonts w:ascii="仿宋" w:hAnsi="仿宋" w:eastAsia="仿宋"/>
          <w:sz w:val="24"/>
          <w:lang w:val="zh-CN"/>
        </w:rPr>
      </w:pPr>
      <w:bookmarkStart w:id="100" w:name="_Ref467306302"/>
      <w:r>
        <w:rPr>
          <w:rFonts w:ascii="仿宋" w:hAnsi="仿宋" w:eastAsia="仿宋"/>
          <w:sz w:val="24"/>
        </w:rPr>
        <w:t>12.1</w:t>
      </w:r>
      <w:bookmarkEnd w:id="100"/>
      <w:r>
        <w:rPr>
          <w:rFonts w:ascii="仿宋" w:hAnsi="仿宋" w:eastAsia="仿宋"/>
          <w:sz w:val="24"/>
        </w:rPr>
        <w:t xml:space="preserve">   投标人应按照</w:t>
      </w:r>
      <w:r>
        <w:rPr>
          <w:rFonts w:ascii="仿宋" w:hAnsi="仿宋" w:eastAsia="仿宋"/>
          <w:sz w:val="24"/>
          <w:u w:val="single"/>
        </w:rPr>
        <w:t>投标人须知前附表</w:t>
      </w:r>
      <w:r>
        <w:rPr>
          <w:rFonts w:ascii="仿宋" w:hAnsi="仿宋" w:eastAsia="仿宋"/>
          <w:sz w:val="24"/>
        </w:rPr>
        <w:t>规定递交</w:t>
      </w:r>
      <w:r>
        <w:rPr>
          <w:rFonts w:ascii="仿宋" w:hAnsi="仿宋" w:eastAsia="仿宋"/>
          <w:sz w:val="24"/>
          <w:lang w:val="zh-CN"/>
        </w:rPr>
        <w:t>投标保证金（</w:t>
      </w:r>
      <w:r>
        <w:rPr>
          <w:rFonts w:ascii="仿宋" w:hAnsi="仿宋" w:eastAsia="仿宋"/>
          <w:sz w:val="24"/>
          <w:u w:val="single"/>
          <w:lang w:val="zh-CN"/>
        </w:rPr>
        <w:t>若分标段，应按标段交纳投标保证金</w:t>
      </w:r>
      <w:r>
        <w:rPr>
          <w:rFonts w:ascii="仿宋" w:hAnsi="仿宋" w:eastAsia="仿宋"/>
          <w:sz w:val="24"/>
          <w:lang w:val="zh-CN"/>
        </w:rPr>
        <w:t>），投标保证金须在投标截止时间前</w:t>
      </w:r>
      <w:r>
        <w:rPr>
          <w:rFonts w:ascii="仿宋" w:hAnsi="仿宋" w:eastAsia="仿宋"/>
          <w:sz w:val="24"/>
        </w:rPr>
        <w:t>到账</w:t>
      </w:r>
      <w:r>
        <w:rPr>
          <w:rFonts w:ascii="仿宋" w:hAnsi="仿宋" w:eastAsia="仿宋"/>
          <w:sz w:val="24"/>
          <w:lang w:val="zh-CN"/>
        </w:rPr>
        <w:t>。</w:t>
      </w:r>
    </w:p>
    <w:p>
      <w:pPr>
        <w:autoSpaceDE w:val="0"/>
        <w:autoSpaceDN w:val="0"/>
        <w:adjustRightInd w:val="0"/>
        <w:snapToGrid w:val="0"/>
        <w:spacing w:line="360" w:lineRule="auto"/>
        <w:ind w:left="840" w:hanging="840" w:hangingChars="350"/>
        <w:rPr>
          <w:rFonts w:ascii="仿宋" w:hAnsi="仿宋" w:eastAsia="仿宋"/>
          <w:sz w:val="24"/>
          <w:lang w:val="zh-CN"/>
        </w:rPr>
      </w:pPr>
      <w:r>
        <w:rPr>
          <w:rFonts w:ascii="仿宋" w:hAnsi="仿宋" w:eastAsia="仿宋"/>
          <w:sz w:val="24"/>
        </w:rPr>
        <w:t xml:space="preserve">12.2   </w:t>
      </w:r>
      <w:r>
        <w:rPr>
          <w:rFonts w:ascii="仿宋" w:hAnsi="仿宋" w:eastAsia="仿宋"/>
          <w:sz w:val="24"/>
          <w:lang w:val="zh-CN"/>
        </w:rPr>
        <w:t>投标保证金应用人民币，采用支票，汇票、本票、保函的任何一种非现金形式支付。</w:t>
      </w:r>
    </w:p>
    <w:p>
      <w:pPr>
        <w:autoSpaceDE w:val="0"/>
        <w:autoSpaceDN w:val="0"/>
        <w:adjustRightInd w:val="0"/>
        <w:snapToGrid w:val="0"/>
        <w:spacing w:line="360" w:lineRule="auto"/>
        <w:ind w:left="840" w:hanging="840" w:hangingChars="350"/>
        <w:rPr>
          <w:rFonts w:ascii="仿宋" w:hAnsi="仿宋" w:eastAsia="仿宋"/>
          <w:sz w:val="24"/>
          <w:lang w:val="zh-CN"/>
        </w:rPr>
      </w:pPr>
      <w:r>
        <w:rPr>
          <w:rFonts w:ascii="仿宋" w:hAnsi="仿宋" w:eastAsia="仿宋"/>
          <w:sz w:val="24"/>
          <w:lang w:val="zh-CN"/>
        </w:rPr>
        <w:t>12.3   如投标保证金以保函形式交纳，投标人须按本章附件1格式和内容开具保函，并将保函原件附在投标文件中或随投标文件同时递交，否则视为无效投标。投标人违约，开具保函单位承担连带责任。</w:t>
      </w:r>
    </w:p>
    <w:p>
      <w:pPr>
        <w:autoSpaceDE w:val="0"/>
        <w:autoSpaceDN w:val="0"/>
        <w:adjustRightInd w:val="0"/>
        <w:snapToGrid w:val="0"/>
        <w:spacing w:line="360" w:lineRule="auto"/>
        <w:ind w:left="840" w:hanging="840" w:hangingChars="350"/>
        <w:rPr>
          <w:rFonts w:ascii="仿宋" w:hAnsi="仿宋" w:eastAsia="仿宋"/>
          <w:sz w:val="24"/>
          <w:lang w:val="zh-CN"/>
        </w:rPr>
      </w:pPr>
      <w:r>
        <w:rPr>
          <w:rFonts w:ascii="仿宋" w:hAnsi="仿宋" w:eastAsia="仿宋"/>
          <w:sz w:val="24"/>
        </w:rPr>
        <w:t xml:space="preserve">12.4   </w:t>
      </w:r>
      <w:r>
        <w:rPr>
          <w:rFonts w:ascii="仿宋" w:hAnsi="仿宋" w:eastAsia="仿宋"/>
          <w:sz w:val="24"/>
          <w:lang w:val="zh-CN"/>
        </w:rPr>
        <w:t>联合体投标的，可以由联合体中的一方或者共同提交投标保证金，以一方提交投标保证金的，对联合体各方均具有约束力。</w:t>
      </w:r>
    </w:p>
    <w:p>
      <w:pPr>
        <w:tabs>
          <w:tab w:val="left" w:pos="0"/>
        </w:tabs>
        <w:snapToGrid w:val="0"/>
        <w:spacing w:line="360" w:lineRule="auto"/>
        <w:ind w:left="840" w:hanging="840" w:hangingChars="350"/>
        <w:rPr>
          <w:rFonts w:ascii="仿宋" w:hAnsi="仿宋" w:eastAsia="仿宋"/>
          <w:sz w:val="24"/>
          <w:lang w:val="zh-CN"/>
        </w:rPr>
      </w:pPr>
      <w:r>
        <w:rPr>
          <w:rFonts w:ascii="仿宋" w:hAnsi="仿宋" w:eastAsia="仿宋"/>
          <w:sz w:val="24"/>
        </w:rPr>
        <w:t xml:space="preserve">12.5   </w:t>
      </w:r>
      <w:r>
        <w:rPr>
          <w:rFonts w:ascii="仿宋" w:hAnsi="仿宋" w:eastAsia="仿宋"/>
          <w:sz w:val="24"/>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pPr>
        <w:snapToGrid w:val="0"/>
        <w:spacing w:line="360" w:lineRule="auto"/>
        <w:ind w:left="835" w:leftChars="342" w:hanging="117" w:hangingChars="49"/>
        <w:rPr>
          <w:rFonts w:ascii="仿宋" w:hAnsi="仿宋" w:eastAsia="仿宋"/>
          <w:sz w:val="24"/>
          <w:lang w:val="zh-CN"/>
        </w:rPr>
      </w:pPr>
      <w:r>
        <w:rPr>
          <w:rFonts w:ascii="仿宋" w:hAnsi="仿宋" w:eastAsia="仿宋"/>
          <w:sz w:val="24"/>
        </w:rPr>
        <w:t>（1）</w:t>
      </w:r>
      <w:r>
        <w:rPr>
          <w:rFonts w:ascii="仿宋" w:hAnsi="仿宋" w:eastAsia="仿宋"/>
          <w:sz w:val="24"/>
          <w:lang w:val="zh-CN"/>
        </w:rPr>
        <w:t>投标人在投标截止时间后撤销投标文件的；</w:t>
      </w:r>
    </w:p>
    <w:p>
      <w:pPr>
        <w:snapToGrid w:val="0"/>
        <w:spacing w:line="360" w:lineRule="auto"/>
        <w:ind w:firstLine="720" w:firstLineChars="300"/>
        <w:rPr>
          <w:rFonts w:ascii="仿宋" w:hAnsi="仿宋" w:eastAsia="仿宋"/>
          <w:sz w:val="24"/>
          <w:lang w:val="zh-CN"/>
        </w:rPr>
      </w:pPr>
      <w:r>
        <w:rPr>
          <w:rFonts w:ascii="仿宋" w:hAnsi="仿宋" w:eastAsia="仿宋"/>
          <w:sz w:val="24"/>
        </w:rPr>
        <w:t>（2）</w:t>
      </w:r>
      <w:r>
        <w:rPr>
          <w:rFonts w:ascii="仿宋" w:hAnsi="仿宋" w:eastAsia="仿宋"/>
          <w:sz w:val="24"/>
          <w:lang w:val="zh-CN"/>
        </w:rPr>
        <w:t>投标人在投标文件中提供虚假材料的；</w:t>
      </w:r>
    </w:p>
    <w:p>
      <w:pPr>
        <w:snapToGrid w:val="0"/>
        <w:spacing w:line="360" w:lineRule="auto"/>
        <w:ind w:firstLine="720" w:firstLineChars="300"/>
        <w:rPr>
          <w:rFonts w:ascii="仿宋" w:hAnsi="仿宋" w:eastAsia="仿宋"/>
          <w:sz w:val="24"/>
          <w:lang w:val="zh-CN"/>
        </w:rPr>
      </w:pPr>
      <w:r>
        <w:rPr>
          <w:rFonts w:ascii="仿宋" w:hAnsi="仿宋" w:eastAsia="仿宋"/>
          <w:sz w:val="24"/>
        </w:rPr>
        <w:t>（3）</w:t>
      </w:r>
      <w:r>
        <w:rPr>
          <w:rFonts w:ascii="仿宋" w:hAnsi="仿宋" w:eastAsia="仿宋"/>
          <w:sz w:val="24"/>
          <w:lang w:val="zh-CN"/>
        </w:rPr>
        <w:t>除因不可抗力或招标文件认可的情形以外，中标人不与采购人签订合同的；</w:t>
      </w:r>
    </w:p>
    <w:p>
      <w:pPr>
        <w:snapToGrid w:val="0"/>
        <w:spacing w:line="360" w:lineRule="auto"/>
        <w:ind w:firstLine="720" w:firstLineChars="300"/>
        <w:rPr>
          <w:rFonts w:ascii="仿宋" w:hAnsi="仿宋" w:eastAsia="仿宋"/>
          <w:sz w:val="24"/>
          <w:lang w:val="zh-CN"/>
        </w:rPr>
      </w:pPr>
      <w:r>
        <w:rPr>
          <w:rFonts w:ascii="仿宋" w:hAnsi="仿宋" w:eastAsia="仿宋"/>
          <w:sz w:val="24"/>
        </w:rPr>
        <w:t>（4）</w:t>
      </w:r>
      <w:r>
        <w:rPr>
          <w:rFonts w:ascii="仿宋" w:hAnsi="仿宋" w:eastAsia="仿宋"/>
          <w:sz w:val="24"/>
          <w:lang w:val="zh-CN"/>
        </w:rPr>
        <w:t>投标人与采购人、其他投标人或者采购代理机构恶意串通的；</w:t>
      </w:r>
    </w:p>
    <w:p>
      <w:pPr>
        <w:snapToGrid w:val="0"/>
        <w:spacing w:line="360" w:lineRule="auto"/>
        <w:ind w:left="837" w:leftChars="370" w:hanging="60" w:hangingChars="25"/>
        <w:rPr>
          <w:rFonts w:ascii="仿宋" w:hAnsi="仿宋" w:eastAsia="仿宋"/>
          <w:sz w:val="24"/>
          <w:lang w:val="zh-CN"/>
        </w:rPr>
      </w:pPr>
      <w:r>
        <w:rPr>
          <w:rFonts w:ascii="仿宋" w:hAnsi="仿宋" w:eastAsia="仿宋"/>
          <w:sz w:val="24"/>
        </w:rPr>
        <w:t>（5）</w:t>
      </w:r>
      <w:r>
        <w:rPr>
          <w:rFonts w:ascii="仿宋" w:hAnsi="仿宋" w:eastAsia="仿宋"/>
          <w:sz w:val="24"/>
          <w:lang w:val="zh-CN"/>
        </w:rPr>
        <w:t>中标人将中标项目转让给他人，或者在投标文件中未说明，且未经采购人同意，将中标项目分包给他人的；</w:t>
      </w:r>
    </w:p>
    <w:p>
      <w:pPr>
        <w:snapToGrid w:val="0"/>
        <w:spacing w:line="360" w:lineRule="auto"/>
        <w:ind w:firstLine="720" w:firstLineChars="300"/>
        <w:rPr>
          <w:rFonts w:ascii="仿宋" w:hAnsi="仿宋" w:eastAsia="仿宋"/>
          <w:sz w:val="24"/>
          <w:lang w:val="zh-CN"/>
        </w:rPr>
      </w:pPr>
      <w:r>
        <w:rPr>
          <w:rFonts w:ascii="仿宋" w:hAnsi="仿宋" w:eastAsia="仿宋"/>
          <w:sz w:val="24"/>
        </w:rPr>
        <w:t>（6）</w:t>
      </w:r>
      <w:r>
        <w:rPr>
          <w:rFonts w:ascii="仿宋" w:hAnsi="仿宋" w:eastAsia="仿宋"/>
          <w:sz w:val="24"/>
          <w:lang w:val="zh-CN"/>
        </w:rPr>
        <w:t>中标人拒绝履行合同义务的。</w:t>
      </w:r>
    </w:p>
    <w:p>
      <w:pPr>
        <w:autoSpaceDE w:val="0"/>
        <w:autoSpaceDN w:val="0"/>
        <w:adjustRightInd w:val="0"/>
        <w:snapToGrid w:val="0"/>
        <w:spacing w:line="360" w:lineRule="auto"/>
        <w:ind w:left="835" w:hanging="835" w:hangingChars="348"/>
        <w:rPr>
          <w:rFonts w:ascii="仿宋" w:hAnsi="仿宋" w:eastAsia="仿宋"/>
          <w:sz w:val="24"/>
          <w:lang w:val="zh-CN"/>
        </w:rPr>
      </w:pPr>
      <w:r>
        <w:rPr>
          <w:rFonts w:ascii="仿宋" w:hAnsi="仿宋" w:eastAsia="仿宋"/>
          <w:sz w:val="24"/>
        </w:rPr>
        <w:t xml:space="preserve">12.6   </w:t>
      </w:r>
      <w:r>
        <w:rPr>
          <w:rFonts w:ascii="仿宋" w:hAnsi="仿宋" w:eastAsia="仿宋"/>
          <w:sz w:val="24"/>
          <w:lang w:val="zh-CN"/>
        </w:rPr>
        <w:t>自中标通知书发出之日起五个工作日内退还未中标人的投标保证金，自采购合同签订之日起五个工作日内退还中标人的投标保证金或者转为中标人的履约保证金。</w:t>
      </w:r>
    </w:p>
    <w:p>
      <w:pPr>
        <w:spacing w:line="360" w:lineRule="auto"/>
        <w:ind w:left="840" w:hanging="840" w:hangingChars="350"/>
        <w:rPr>
          <w:rFonts w:ascii="仿宋" w:hAnsi="仿宋" w:eastAsia="仿宋"/>
          <w:sz w:val="24"/>
        </w:rPr>
      </w:pPr>
      <w:r>
        <w:rPr>
          <w:rFonts w:ascii="仿宋" w:hAnsi="仿宋" w:eastAsia="仿宋"/>
          <w:sz w:val="24"/>
        </w:rPr>
        <w:t>12.7   中标人需在合同签订后3日内持合同原件至采购代理机构办理投标保证金退还手续。</w:t>
      </w:r>
    </w:p>
    <w:p>
      <w:pPr>
        <w:tabs>
          <w:tab w:val="left" w:pos="0"/>
        </w:tabs>
        <w:spacing w:line="360" w:lineRule="auto"/>
        <w:rPr>
          <w:rFonts w:ascii="仿宋" w:hAnsi="仿宋" w:eastAsia="仿宋"/>
          <w:b/>
          <w:sz w:val="24"/>
        </w:rPr>
      </w:pPr>
      <w:bookmarkStart w:id="101" w:name="_Toc520356157"/>
      <w:bookmarkStart w:id="102" w:name="_Toc515647772"/>
      <w:bookmarkStart w:id="103" w:name="_Toc32569"/>
      <w:bookmarkStart w:id="104" w:name="_Toc23590"/>
      <w:bookmarkStart w:id="105" w:name="_Toc532473464"/>
      <w:r>
        <w:rPr>
          <w:rFonts w:ascii="仿宋" w:hAnsi="仿宋" w:eastAsia="仿宋"/>
          <w:b/>
          <w:sz w:val="24"/>
        </w:rPr>
        <w:t>13.    投标有效期</w:t>
      </w:r>
      <w:bookmarkEnd w:id="101"/>
      <w:bookmarkEnd w:id="102"/>
      <w:bookmarkEnd w:id="103"/>
      <w:bookmarkEnd w:id="104"/>
      <w:bookmarkEnd w:id="105"/>
    </w:p>
    <w:p>
      <w:pPr>
        <w:spacing w:line="360" w:lineRule="auto"/>
        <w:ind w:left="900" w:hanging="900" w:hangingChars="375"/>
        <w:rPr>
          <w:rFonts w:ascii="仿宋" w:hAnsi="仿宋" w:eastAsia="仿宋"/>
          <w:sz w:val="24"/>
        </w:rPr>
      </w:pPr>
      <w:r>
        <w:rPr>
          <w:rFonts w:ascii="仿宋" w:hAnsi="仿宋" w:eastAsia="仿宋"/>
          <w:sz w:val="24"/>
        </w:rPr>
        <w:t>13.1   投标有效期为提交投标文件截止之日起90个日历日，投标应在投标有效期内保持有效。投标有效期不满足要求的投标，其投标将被认定为</w:t>
      </w:r>
      <w:r>
        <w:rPr>
          <w:rFonts w:ascii="仿宋" w:hAnsi="仿宋" w:eastAsia="仿宋"/>
          <w:b/>
          <w:bCs/>
          <w:sz w:val="24"/>
        </w:rPr>
        <w:t>投标无效</w:t>
      </w:r>
      <w:r>
        <w:rPr>
          <w:rFonts w:ascii="仿宋" w:hAnsi="仿宋" w:eastAsia="仿宋"/>
          <w:sz w:val="24"/>
        </w:rPr>
        <w:t>。</w:t>
      </w:r>
    </w:p>
    <w:p>
      <w:pPr>
        <w:spacing w:line="360" w:lineRule="auto"/>
        <w:ind w:left="900" w:hanging="900" w:hangingChars="375"/>
        <w:rPr>
          <w:rFonts w:ascii="仿宋" w:hAnsi="仿宋" w:eastAsia="仿宋"/>
          <w:sz w:val="24"/>
        </w:rPr>
      </w:pPr>
      <w:r>
        <w:rPr>
          <w:rFonts w:ascii="仿宋" w:hAnsi="仿宋" w:eastAsia="仿宋"/>
          <w:sz w:val="24"/>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tabs>
          <w:tab w:val="left" w:pos="0"/>
        </w:tabs>
        <w:spacing w:line="360" w:lineRule="auto"/>
        <w:rPr>
          <w:rFonts w:ascii="仿宋" w:hAnsi="仿宋" w:eastAsia="仿宋"/>
          <w:b/>
          <w:sz w:val="24"/>
        </w:rPr>
      </w:pPr>
      <w:bookmarkStart w:id="106" w:name="_Toc520356158"/>
      <w:bookmarkStart w:id="107" w:name="_Toc515647773"/>
      <w:bookmarkStart w:id="108" w:name="_Toc17074"/>
      <w:bookmarkStart w:id="109" w:name="_Toc493"/>
      <w:bookmarkStart w:id="110" w:name="_Toc532473465"/>
      <w:r>
        <w:rPr>
          <w:rFonts w:ascii="仿宋" w:hAnsi="仿宋" w:eastAsia="仿宋"/>
          <w:b/>
          <w:sz w:val="24"/>
        </w:rPr>
        <w:t>14.    投标文件的</w:t>
      </w:r>
      <w:bookmarkEnd w:id="106"/>
      <w:bookmarkEnd w:id="107"/>
      <w:bookmarkEnd w:id="108"/>
      <w:bookmarkEnd w:id="109"/>
      <w:bookmarkEnd w:id="110"/>
      <w:r>
        <w:rPr>
          <w:rFonts w:ascii="仿宋" w:hAnsi="仿宋" w:eastAsia="仿宋"/>
          <w:b/>
          <w:sz w:val="24"/>
        </w:rPr>
        <w:t>制作</w:t>
      </w:r>
      <w:r>
        <w:rPr>
          <w:rFonts w:hint="eastAsia" w:ascii="仿宋" w:hAnsi="仿宋" w:eastAsia="仿宋"/>
          <w:b/>
          <w:sz w:val="24"/>
        </w:rPr>
        <w:t>：详见投标人须知前附表</w:t>
      </w:r>
    </w:p>
    <w:p>
      <w:pPr>
        <w:spacing w:line="360" w:lineRule="auto"/>
        <w:jc w:val="center"/>
        <w:outlineLvl w:val="2"/>
        <w:rPr>
          <w:rFonts w:ascii="仿宋" w:hAnsi="仿宋" w:eastAsia="仿宋"/>
          <w:b/>
          <w:sz w:val="28"/>
          <w:szCs w:val="28"/>
        </w:rPr>
      </w:pPr>
      <w:bookmarkStart w:id="111" w:name="_Toc520356159"/>
      <w:bookmarkStart w:id="112" w:name="_Toc532473466"/>
      <w:bookmarkStart w:id="113" w:name="_Toc11179"/>
      <w:bookmarkStart w:id="114" w:name="_Toc515647774"/>
      <w:bookmarkStart w:id="115" w:name="_Toc216582808"/>
      <w:bookmarkStart w:id="116" w:name="_Toc16865"/>
      <w:bookmarkStart w:id="117" w:name="_Toc110013779"/>
      <w:r>
        <w:rPr>
          <w:rFonts w:ascii="仿宋" w:hAnsi="仿宋" w:eastAsia="仿宋"/>
          <w:b/>
          <w:sz w:val="28"/>
          <w:szCs w:val="28"/>
        </w:rPr>
        <w:t>四、投标文件的递交</w:t>
      </w:r>
      <w:bookmarkEnd w:id="111"/>
      <w:bookmarkEnd w:id="112"/>
      <w:bookmarkEnd w:id="113"/>
      <w:bookmarkEnd w:id="114"/>
      <w:bookmarkEnd w:id="115"/>
      <w:bookmarkEnd w:id="116"/>
      <w:bookmarkEnd w:id="117"/>
    </w:p>
    <w:p>
      <w:pPr>
        <w:tabs>
          <w:tab w:val="left" w:pos="0"/>
        </w:tabs>
        <w:spacing w:line="360" w:lineRule="auto"/>
        <w:rPr>
          <w:rFonts w:ascii="仿宋" w:hAnsi="仿宋" w:eastAsia="仿宋"/>
          <w:b/>
          <w:sz w:val="24"/>
        </w:rPr>
      </w:pPr>
      <w:bookmarkStart w:id="118" w:name="_Toc32337"/>
      <w:bookmarkStart w:id="119" w:name="_Toc532473467"/>
      <w:bookmarkStart w:id="120" w:name="_Toc21645"/>
      <w:bookmarkStart w:id="121" w:name="_Toc515647775"/>
      <w:bookmarkStart w:id="122" w:name="_Toc520356160"/>
      <w:r>
        <w:rPr>
          <w:rFonts w:ascii="仿宋" w:hAnsi="仿宋" w:eastAsia="仿宋"/>
          <w:b/>
          <w:sz w:val="24"/>
        </w:rPr>
        <w:t>15.    投标文件的密封和标记</w:t>
      </w:r>
      <w:bookmarkEnd w:id="118"/>
      <w:bookmarkEnd w:id="119"/>
      <w:bookmarkEnd w:id="120"/>
      <w:bookmarkEnd w:id="121"/>
      <w:bookmarkEnd w:id="122"/>
      <w:r>
        <w:rPr>
          <w:rFonts w:hint="eastAsia" w:ascii="仿宋" w:hAnsi="仿宋" w:eastAsia="仿宋"/>
          <w:b/>
          <w:sz w:val="24"/>
        </w:rPr>
        <w:t>：详见投标人须知前附表</w:t>
      </w:r>
    </w:p>
    <w:p>
      <w:pPr>
        <w:tabs>
          <w:tab w:val="left" w:pos="0"/>
        </w:tabs>
        <w:spacing w:line="360" w:lineRule="auto"/>
        <w:rPr>
          <w:rFonts w:ascii="仿宋" w:hAnsi="仿宋" w:eastAsia="仿宋"/>
          <w:b/>
          <w:sz w:val="24"/>
        </w:rPr>
      </w:pPr>
      <w:bookmarkStart w:id="123" w:name="_Toc520356161"/>
      <w:bookmarkStart w:id="124" w:name="_Toc12751"/>
      <w:bookmarkStart w:id="125" w:name="_Toc532473468"/>
      <w:bookmarkStart w:id="126" w:name="_Toc515647776"/>
      <w:bookmarkStart w:id="127" w:name="_Toc9840"/>
      <w:r>
        <w:rPr>
          <w:rFonts w:ascii="仿宋" w:hAnsi="仿宋" w:eastAsia="仿宋"/>
          <w:b/>
          <w:sz w:val="24"/>
        </w:rPr>
        <w:t>16.    投标截止</w:t>
      </w:r>
      <w:bookmarkEnd w:id="123"/>
      <w:bookmarkEnd w:id="124"/>
      <w:bookmarkEnd w:id="125"/>
      <w:bookmarkEnd w:id="126"/>
      <w:bookmarkEnd w:id="127"/>
    </w:p>
    <w:p>
      <w:pPr>
        <w:spacing w:line="360" w:lineRule="auto"/>
        <w:ind w:left="840" w:hanging="840" w:hangingChars="350"/>
        <w:rPr>
          <w:rFonts w:ascii="仿宋" w:hAnsi="仿宋" w:eastAsia="仿宋"/>
          <w:sz w:val="24"/>
        </w:rPr>
      </w:pPr>
      <w:r>
        <w:rPr>
          <w:rFonts w:ascii="仿宋" w:hAnsi="仿宋" w:eastAsia="仿宋"/>
          <w:sz w:val="24"/>
        </w:rPr>
        <w:t>16.1   投标人应在</w:t>
      </w:r>
      <w:r>
        <w:rPr>
          <w:rFonts w:ascii="仿宋" w:hAnsi="仿宋" w:eastAsia="仿宋"/>
          <w:sz w:val="24"/>
          <w:u w:val="single"/>
        </w:rPr>
        <w:t>投标人须知前附表中</w:t>
      </w:r>
      <w:r>
        <w:rPr>
          <w:rFonts w:ascii="仿宋" w:hAnsi="仿宋" w:eastAsia="仿宋"/>
          <w:sz w:val="24"/>
        </w:rPr>
        <w:t>规定的截止时间前，将投标文件递交到招标公告中规定的地点。</w:t>
      </w:r>
    </w:p>
    <w:p>
      <w:pPr>
        <w:spacing w:line="360" w:lineRule="auto"/>
        <w:ind w:left="900" w:hanging="900" w:hangingChars="375"/>
        <w:rPr>
          <w:rFonts w:ascii="仿宋" w:hAnsi="仿宋" w:eastAsia="仿宋"/>
          <w:sz w:val="24"/>
        </w:rPr>
      </w:pPr>
      <w:r>
        <w:rPr>
          <w:rFonts w:ascii="仿宋" w:hAnsi="仿宋" w:eastAsia="仿宋"/>
          <w:sz w:val="24"/>
        </w:rPr>
        <w:t>16.2   采购人和采购代理机构将拒绝接收在投标截止时间后送达的投标文件。</w:t>
      </w:r>
    </w:p>
    <w:p>
      <w:pPr>
        <w:tabs>
          <w:tab w:val="left" w:pos="0"/>
        </w:tabs>
        <w:spacing w:line="360" w:lineRule="auto"/>
        <w:rPr>
          <w:rFonts w:ascii="仿宋" w:hAnsi="仿宋" w:eastAsia="仿宋"/>
          <w:b/>
          <w:sz w:val="24"/>
        </w:rPr>
      </w:pPr>
      <w:bookmarkStart w:id="128" w:name="_Toc24275"/>
      <w:bookmarkStart w:id="129" w:name="_Toc520356162"/>
      <w:bookmarkStart w:id="130" w:name="_Toc515647777"/>
      <w:bookmarkStart w:id="131" w:name="_Toc18537"/>
      <w:bookmarkStart w:id="132" w:name="_Toc532473469"/>
      <w:r>
        <w:rPr>
          <w:rFonts w:ascii="仿宋" w:hAnsi="仿宋" w:eastAsia="仿宋"/>
          <w:b/>
          <w:sz w:val="24"/>
        </w:rPr>
        <w:t>17.    投标文件的接收、修改与撤回</w:t>
      </w:r>
      <w:bookmarkEnd w:id="128"/>
      <w:bookmarkEnd w:id="129"/>
      <w:bookmarkEnd w:id="130"/>
      <w:bookmarkEnd w:id="131"/>
      <w:bookmarkEnd w:id="132"/>
    </w:p>
    <w:p>
      <w:pPr>
        <w:spacing w:line="360" w:lineRule="auto"/>
        <w:ind w:left="900" w:hanging="900" w:hangingChars="375"/>
        <w:rPr>
          <w:rFonts w:ascii="仿宋" w:hAnsi="仿宋" w:eastAsia="仿宋"/>
        </w:rPr>
      </w:pPr>
      <w:r>
        <w:rPr>
          <w:rFonts w:ascii="仿宋" w:hAnsi="仿宋" w:eastAsia="仿宋"/>
          <w:sz w:val="24"/>
        </w:rPr>
        <w:t>17.1   采购人和采购代理机构将按招标文件规定的时间和地点接收投标文件。</w:t>
      </w:r>
    </w:p>
    <w:p>
      <w:pPr>
        <w:spacing w:line="360" w:lineRule="auto"/>
        <w:ind w:left="900" w:hanging="900" w:hangingChars="375"/>
        <w:rPr>
          <w:rFonts w:ascii="仿宋" w:hAnsi="仿宋" w:eastAsia="仿宋"/>
          <w:sz w:val="24"/>
        </w:rPr>
      </w:pPr>
      <w:r>
        <w:rPr>
          <w:rFonts w:ascii="仿宋" w:hAnsi="仿宋" w:eastAsia="仿宋"/>
          <w:sz w:val="24"/>
        </w:rPr>
        <w:t>17.2   采购人或者采购代理机构收到投标文件后，将记载投标文件的送达时间和密封情况，并向投标人出具回执。</w:t>
      </w:r>
    </w:p>
    <w:p>
      <w:pPr>
        <w:spacing w:line="360" w:lineRule="auto"/>
        <w:ind w:left="840" w:hanging="840" w:hangingChars="350"/>
        <w:rPr>
          <w:rFonts w:ascii="仿宋" w:hAnsi="仿宋" w:eastAsia="仿宋"/>
          <w:sz w:val="24"/>
        </w:rPr>
      </w:pPr>
      <w:r>
        <w:rPr>
          <w:rFonts w:ascii="仿宋" w:hAnsi="仿宋" w:eastAsia="仿宋"/>
          <w:sz w:val="24"/>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pPr>
        <w:spacing w:line="360" w:lineRule="auto"/>
        <w:ind w:left="850" w:leftChars="405" w:firstLine="2" w:firstLineChars="1"/>
        <w:rPr>
          <w:rFonts w:ascii="仿宋" w:hAnsi="仿宋" w:eastAsia="仿宋"/>
          <w:sz w:val="24"/>
        </w:rPr>
      </w:pPr>
      <w:r>
        <w:rPr>
          <w:rFonts w:ascii="仿宋" w:hAnsi="仿宋" w:eastAsia="仿宋"/>
          <w:sz w:val="24"/>
        </w:rPr>
        <w:t>递交投标文件以后，如果投标人要进行撤回的，须提出书面申请并在投标截止时间前送达开标地点，采购人和采购代理机构将予以接受。</w:t>
      </w:r>
    </w:p>
    <w:p>
      <w:pPr>
        <w:spacing w:line="360" w:lineRule="auto"/>
        <w:ind w:left="850" w:hanging="849" w:hangingChars="354"/>
        <w:rPr>
          <w:rFonts w:ascii="仿宋" w:hAnsi="仿宋" w:eastAsia="仿宋"/>
          <w:sz w:val="24"/>
        </w:rPr>
      </w:pPr>
      <w:r>
        <w:rPr>
          <w:rFonts w:ascii="仿宋" w:hAnsi="仿宋" w:eastAsia="仿宋"/>
          <w:sz w:val="24"/>
        </w:rPr>
        <w:t>17.4   在投标截止时间之后，投标人不得对其投标文件做任何修改。</w:t>
      </w:r>
    </w:p>
    <w:p>
      <w:pPr>
        <w:spacing w:line="360" w:lineRule="auto"/>
        <w:ind w:left="850" w:hanging="849" w:hangingChars="354"/>
        <w:rPr>
          <w:rFonts w:ascii="仿宋" w:hAnsi="仿宋" w:eastAsia="仿宋"/>
          <w:sz w:val="24"/>
        </w:rPr>
      </w:pPr>
      <w:r>
        <w:rPr>
          <w:rFonts w:ascii="仿宋" w:hAnsi="仿宋" w:eastAsia="仿宋"/>
          <w:sz w:val="24"/>
        </w:rPr>
        <w:t>17.5   除投标人不足3家未开标外，采购人和采购代理机构对所接收投标文件概不退回。</w:t>
      </w:r>
    </w:p>
    <w:p>
      <w:pPr>
        <w:spacing w:line="360" w:lineRule="auto"/>
        <w:jc w:val="center"/>
        <w:outlineLvl w:val="2"/>
        <w:rPr>
          <w:rFonts w:ascii="仿宋" w:hAnsi="仿宋" w:eastAsia="仿宋"/>
          <w:b/>
          <w:sz w:val="28"/>
          <w:szCs w:val="28"/>
        </w:rPr>
      </w:pPr>
      <w:bookmarkStart w:id="133" w:name="_Toc110013780"/>
      <w:bookmarkStart w:id="134" w:name="_Toc532473470"/>
      <w:bookmarkStart w:id="135" w:name="_Toc28398"/>
      <w:bookmarkStart w:id="136" w:name="_Toc216582809"/>
      <w:bookmarkStart w:id="137" w:name="_Toc12436"/>
      <w:bookmarkStart w:id="138" w:name="_Toc515647778"/>
      <w:bookmarkStart w:id="139" w:name="_Toc520356163"/>
      <w:r>
        <w:rPr>
          <w:rFonts w:ascii="仿宋" w:hAnsi="仿宋" w:eastAsia="仿宋"/>
          <w:b/>
          <w:sz w:val="28"/>
          <w:szCs w:val="28"/>
        </w:rPr>
        <w:t>五、开标及评标</w:t>
      </w:r>
      <w:bookmarkEnd w:id="133"/>
      <w:bookmarkEnd w:id="134"/>
      <w:bookmarkEnd w:id="135"/>
      <w:bookmarkEnd w:id="136"/>
      <w:bookmarkEnd w:id="137"/>
      <w:bookmarkEnd w:id="138"/>
      <w:bookmarkEnd w:id="139"/>
    </w:p>
    <w:p>
      <w:pPr>
        <w:tabs>
          <w:tab w:val="left" w:pos="0"/>
        </w:tabs>
        <w:spacing w:line="360" w:lineRule="auto"/>
        <w:rPr>
          <w:rFonts w:ascii="仿宋" w:hAnsi="仿宋" w:eastAsia="仿宋"/>
          <w:b/>
          <w:sz w:val="24"/>
        </w:rPr>
      </w:pPr>
      <w:bookmarkStart w:id="140" w:name="_Toc520356164"/>
      <w:bookmarkStart w:id="141" w:name="_Toc532473471"/>
      <w:bookmarkStart w:id="142" w:name="_Toc515647779"/>
      <w:bookmarkStart w:id="143" w:name="_Toc25345"/>
      <w:bookmarkStart w:id="144" w:name="_Toc7186"/>
      <w:r>
        <w:rPr>
          <w:rFonts w:ascii="仿宋" w:hAnsi="仿宋" w:eastAsia="仿宋"/>
          <w:b/>
          <w:sz w:val="24"/>
        </w:rPr>
        <w:t>18.    开标</w:t>
      </w:r>
      <w:bookmarkEnd w:id="140"/>
      <w:bookmarkEnd w:id="141"/>
      <w:bookmarkEnd w:id="142"/>
      <w:bookmarkEnd w:id="143"/>
      <w:bookmarkEnd w:id="144"/>
    </w:p>
    <w:p>
      <w:pPr>
        <w:spacing w:line="360" w:lineRule="auto"/>
        <w:ind w:left="840" w:hanging="840" w:hangingChars="350"/>
        <w:rPr>
          <w:rFonts w:ascii="仿宋" w:hAnsi="仿宋" w:eastAsia="仿宋"/>
          <w:sz w:val="24"/>
        </w:rPr>
      </w:pPr>
      <w:r>
        <w:rPr>
          <w:rFonts w:ascii="仿宋" w:hAnsi="仿宋" w:eastAsia="仿宋"/>
          <w:sz w:val="24"/>
        </w:rPr>
        <w:t>18.1   采购人和采购代理机构将按</w:t>
      </w:r>
      <w:r>
        <w:rPr>
          <w:rFonts w:ascii="仿宋" w:hAnsi="仿宋" w:eastAsia="仿宋"/>
          <w:sz w:val="24"/>
          <w:u w:val="single"/>
        </w:rPr>
        <w:t>投标人须知前附表</w:t>
      </w:r>
      <w:r>
        <w:rPr>
          <w:rFonts w:ascii="仿宋" w:hAnsi="仿宋" w:eastAsia="仿宋"/>
          <w:sz w:val="24"/>
        </w:rPr>
        <w:t>中规定的开标时间和地点组织开标，并邀请所有投标人代表参加。</w:t>
      </w:r>
    </w:p>
    <w:p>
      <w:pPr>
        <w:spacing w:line="360" w:lineRule="auto"/>
        <w:ind w:left="834" w:leftChars="397" w:firstLine="19" w:firstLineChars="8"/>
        <w:rPr>
          <w:rFonts w:ascii="仿宋" w:hAnsi="仿宋" w:eastAsia="仿宋"/>
          <w:sz w:val="24"/>
        </w:rPr>
      </w:pPr>
      <w:r>
        <w:rPr>
          <w:rFonts w:ascii="仿宋" w:hAnsi="仿宋" w:eastAsia="仿宋"/>
          <w:sz w:val="24"/>
        </w:rPr>
        <w:t>投标人不足3家的，不予开标。</w:t>
      </w:r>
    </w:p>
    <w:p>
      <w:pPr>
        <w:spacing w:line="360" w:lineRule="auto"/>
        <w:ind w:left="900" w:hanging="900" w:hangingChars="375"/>
        <w:rPr>
          <w:rFonts w:ascii="仿宋" w:hAnsi="仿宋" w:eastAsia="仿宋"/>
          <w:sz w:val="24"/>
        </w:rPr>
      </w:pPr>
      <w:r>
        <w:rPr>
          <w:rFonts w:ascii="仿宋" w:hAnsi="仿宋" w:eastAsia="仿宋"/>
          <w:sz w:val="24"/>
        </w:rPr>
        <w:t>18.2   开标时，由投标人或其推选的代表检查自己或所代表的投标文件的密封情况，经记录后，由采购人或采购代理机构当众拆封投标文件资格证明文件，宣读投标人在开标一览表中所填写的全部内容。对于投标人在投标截止时间前递交的投标声明，在开标时当众宣读，评标时有效。</w:t>
      </w:r>
    </w:p>
    <w:p>
      <w:pPr>
        <w:spacing w:line="360" w:lineRule="auto"/>
        <w:ind w:left="1079" w:leftChars="428" w:hanging="180" w:hangingChars="75"/>
        <w:rPr>
          <w:rFonts w:ascii="仿宋" w:hAnsi="仿宋" w:eastAsia="仿宋"/>
          <w:sz w:val="24"/>
        </w:rPr>
      </w:pPr>
      <w:r>
        <w:rPr>
          <w:rFonts w:ascii="仿宋" w:hAnsi="仿宋" w:eastAsia="仿宋"/>
          <w:sz w:val="24"/>
        </w:rPr>
        <w:t>未宣读的投标价格、价格折扣等实质内容，评标时不予承认。</w:t>
      </w:r>
    </w:p>
    <w:p>
      <w:pPr>
        <w:spacing w:line="360" w:lineRule="auto"/>
        <w:ind w:left="850" w:hanging="849" w:hangingChars="354"/>
        <w:rPr>
          <w:rFonts w:ascii="仿宋" w:hAnsi="仿宋" w:eastAsia="仿宋"/>
          <w:sz w:val="24"/>
        </w:rPr>
      </w:pPr>
      <w:r>
        <w:rPr>
          <w:rFonts w:ascii="仿宋" w:hAnsi="仿宋" w:eastAsia="仿宋"/>
          <w:sz w:val="24"/>
        </w:rPr>
        <w:t>18.3   采购人或采购代理机构将对开标过程进行记录</w:t>
      </w:r>
      <w:bookmarkStart w:id="145" w:name="_Toc520356165"/>
      <w:r>
        <w:rPr>
          <w:rFonts w:ascii="仿宋" w:hAnsi="仿宋" w:eastAsia="仿宋"/>
          <w:sz w:val="24"/>
        </w:rPr>
        <w:t>，由参加开标的各投标人代表和相关工作人员签字确认，并存档备查。</w:t>
      </w:r>
    </w:p>
    <w:p>
      <w:pPr>
        <w:spacing w:line="360" w:lineRule="auto"/>
        <w:ind w:left="899" w:leftChars="428"/>
        <w:rPr>
          <w:rFonts w:ascii="仿宋" w:hAnsi="仿宋" w:eastAsia="仿宋"/>
          <w:sz w:val="24"/>
        </w:rPr>
      </w:pPr>
      <w:r>
        <w:rPr>
          <w:rFonts w:ascii="仿宋" w:hAnsi="仿宋" w:eastAsia="仿宋"/>
          <w:sz w:val="24"/>
        </w:rPr>
        <w:t>投标人未派代表参加开标的，视同投标人认可开标结果。</w:t>
      </w:r>
    </w:p>
    <w:p>
      <w:pPr>
        <w:spacing w:line="360" w:lineRule="auto"/>
        <w:ind w:left="850" w:hanging="849" w:hangingChars="354"/>
        <w:rPr>
          <w:rFonts w:ascii="仿宋" w:hAnsi="仿宋" w:eastAsia="仿宋"/>
          <w:sz w:val="24"/>
        </w:rPr>
      </w:pPr>
      <w:r>
        <w:rPr>
          <w:rFonts w:ascii="仿宋" w:hAnsi="仿宋" w:eastAsia="仿宋"/>
          <w:sz w:val="24"/>
        </w:rPr>
        <w:t>18.4   投标人代表对开标过程和开标记录有疑义，以及认为开标现场采购人、采购代理机构相关工作人员有需要回避的情形的，应当场提出询问或者回避申请。</w:t>
      </w:r>
    </w:p>
    <w:p>
      <w:pPr>
        <w:tabs>
          <w:tab w:val="left" w:pos="0"/>
        </w:tabs>
        <w:spacing w:line="360" w:lineRule="auto"/>
        <w:rPr>
          <w:rFonts w:ascii="仿宋" w:hAnsi="仿宋" w:eastAsia="仿宋"/>
          <w:b/>
          <w:sz w:val="24"/>
        </w:rPr>
      </w:pPr>
      <w:bookmarkStart w:id="146" w:name="_Toc532473472"/>
      <w:bookmarkStart w:id="147" w:name="_Toc19296"/>
      <w:bookmarkStart w:id="148" w:name="_Toc515647780"/>
      <w:bookmarkStart w:id="149" w:name="_Toc21372"/>
      <w:r>
        <w:rPr>
          <w:rFonts w:ascii="仿宋" w:hAnsi="仿宋" w:eastAsia="仿宋"/>
          <w:b/>
          <w:sz w:val="24"/>
        </w:rPr>
        <w:t>19.</w:t>
      </w:r>
      <w:bookmarkEnd w:id="145"/>
      <w:r>
        <w:rPr>
          <w:rFonts w:ascii="仿宋" w:hAnsi="仿宋" w:eastAsia="仿宋"/>
          <w:b/>
          <w:sz w:val="24"/>
        </w:rPr>
        <w:t xml:space="preserve">    资格审查及组建评标委员会</w:t>
      </w:r>
      <w:bookmarkEnd w:id="146"/>
      <w:bookmarkEnd w:id="147"/>
      <w:bookmarkEnd w:id="148"/>
      <w:bookmarkEnd w:id="149"/>
    </w:p>
    <w:p>
      <w:pPr>
        <w:spacing w:line="360" w:lineRule="auto"/>
        <w:ind w:left="850" w:hanging="849" w:hangingChars="354"/>
        <w:rPr>
          <w:rFonts w:ascii="仿宋" w:hAnsi="仿宋" w:eastAsia="仿宋"/>
          <w:sz w:val="24"/>
        </w:rPr>
      </w:pPr>
      <w:r>
        <w:rPr>
          <w:rFonts w:ascii="仿宋" w:hAnsi="仿宋" w:eastAsia="仿宋"/>
          <w:sz w:val="24"/>
        </w:rPr>
        <w:t>19.1   采购人或采购代理机构依据法律法规和招标文件中规定的内容，对投标人及其投标标的物的资格进行审查，未通过资格审查的投标人不进入评标；将被认定为未通过资格审查。</w:t>
      </w:r>
    </w:p>
    <w:p>
      <w:pPr>
        <w:spacing w:line="360" w:lineRule="auto"/>
        <w:ind w:left="840" w:leftChars="400"/>
        <w:rPr>
          <w:rFonts w:ascii="仿宋" w:hAnsi="仿宋" w:eastAsia="仿宋"/>
          <w:sz w:val="24"/>
        </w:rPr>
      </w:pPr>
      <w:r>
        <w:rPr>
          <w:rFonts w:ascii="仿宋" w:hAnsi="仿宋" w:eastAsia="仿宋"/>
          <w:sz w:val="24"/>
        </w:rPr>
        <w:t>通过资格审查的投标人不足三家的，不得评标。</w:t>
      </w:r>
    </w:p>
    <w:p>
      <w:pPr>
        <w:spacing w:line="360" w:lineRule="auto"/>
        <w:ind w:left="857" w:leftChars="2" w:hanging="853"/>
        <w:rPr>
          <w:rFonts w:ascii="仿宋" w:hAnsi="仿宋" w:eastAsia="仿宋"/>
          <w:sz w:val="24"/>
        </w:rPr>
      </w:pPr>
      <w:r>
        <w:rPr>
          <w:rFonts w:ascii="仿宋" w:hAnsi="仿宋" w:eastAsia="仿宋"/>
          <w:sz w:val="24"/>
        </w:rPr>
        <w:t>19.2   采购人或采购代理机构将按投标人须知前附表中规定的时间查询投标人的信用记录。</w:t>
      </w:r>
    </w:p>
    <w:p>
      <w:pPr>
        <w:spacing w:line="360" w:lineRule="auto"/>
        <w:ind w:left="824" w:hanging="824"/>
        <w:rPr>
          <w:rFonts w:ascii="仿宋" w:hAnsi="仿宋" w:eastAsia="仿宋"/>
          <w:sz w:val="24"/>
        </w:rPr>
      </w:pPr>
      <w:r>
        <w:rPr>
          <w:rFonts w:ascii="仿宋" w:hAnsi="仿宋" w:eastAsia="仿宋"/>
          <w:sz w:val="24"/>
        </w:rPr>
        <w:t>19.2.1 投标人在中国政府采购网（www.ccgp.gov.cn）被列入政府采购严重违法失信行为记录名单，或在“信用中国”网站（www.creditchina.gov.cn）被列入失信被执行人、</w:t>
      </w:r>
      <w:r>
        <w:rPr>
          <w:rFonts w:hint="eastAsia" w:ascii="仿宋" w:hAnsi="仿宋" w:eastAsia="仿宋"/>
          <w:sz w:val="24"/>
        </w:rPr>
        <w:t>重大税收违法失信主体</w:t>
      </w:r>
      <w:r>
        <w:rPr>
          <w:rFonts w:ascii="仿宋" w:hAnsi="仿宋" w:eastAsia="仿宋"/>
          <w:sz w:val="24"/>
        </w:rPr>
        <w:t>，以及存在《中华人民共和国政府采购法实施条例》第十九条规定的行政处罚记录，投标将被认定为</w:t>
      </w:r>
      <w:r>
        <w:rPr>
          <w:rFonts w:ascii="仿宋" w:hAnsi="仿宋" w:eastAsia="仿宋"/>
          <w:b/>
          <w:sz w:val="24"/>
        </w:rPr>
        <w:t>投标无效</w:t>
      </w:r>
      <w:r>
        <w:rPr>
          <w:rFonts w:ascii="仿宋" w:hAnsi="仿宋" w:eastAsia="仿宋"/>
          <w:sz w:val="24"/>
        </w:rPr>
        <w:t>。</w:t>
      </w:r>
    </w:p>
    <w:p>
      <w:pPr>
        <w:spacing w:line="360" w:lineRule="auto"/>
        <w:ind w:left="849" w:leftChars="401" w:hanging="7" w:hangingChars="3"/>
        <w:rPr>
          <w:rFonts w:ascii="仿宋" w:hAnsi="仿宋" w:eastAsia="仿宋"/>
          <w:sz w:val="24"/>
        </w:rPr>
      </w:pPr>
      <w:r>
        <w:rPr>
          <w:rFonts w:ascii="仿宋" w:hAnsi="仿宋" w:eastAsia="仿宋"/>
          <w:sz w:val="24"/>
        </w:rPr>
        <w:t>以联合体形式参加投标的，联合体任何成员存在以上不良信用记录的，联合体投标将被认定为</w:t>
      </w:r>
      <w:r>
        <w:rPr>
          <w:rFonts w:ascii="仿宋" w:hAnsi="仿宋" w:eastAsia="仿宋"/>
          <w:b/>
          <w:bCs/>
          <w:sz w:val="24"/>
        </w:rPr>
        <w:t>投标无效</w:t>
      </w:r>
      <w:r>
        <w:rPr>
          <w:rFonts w:ascii="仿宋" w:hAnsi="仿宋" w:eastAsia="仿宋"/>
          <w:sz w:val="24"/>
        </w:rPr>
        <w:t>。</w:t>
      </w:r>
    </w:p>
    <w:p>
      <w:pPr>
        <w:pStyle w:val="5"/>
        <w:spacing w:line="360" w:lineRule="auto"/>
        <w:ind w:left="850" w:hanging="849" w:hangingChars="354"/>
        <w:jc w:val="both"/>
        <w:rPr>
          <w:rFonts w:ascii="仿宋" w:hAnsi="仿宋" w:eastAsia="仿宋"/>
        </w:rPr>
      </w:pPr>
      <w:r>
        <w:rPr>
          <w:rFonts w:ascii="仿宋" w:hAnsi="仿宋" w:eastAsia="仿宋"/>
        </w:rPr>
        <w:t>19.2.2 采购人或采购代理机构经办人将查询网页打印并存档备查。投标人不良信用记录以采购人或采购代理机构查询结果为准。投标人自行提供的与网站信息不一致的其他证明材料亦不作为资格审查依据。</w:t>
      </w:r>
    </w:p>
    <w:p>
      <w:pPr>
        <w:pStyle w:val="5"/>
        <w:spacing w:line="360" w:lineRule="auto"/>
        <w:ind w:left="850" w:leftChars="405" w:firstLine="0"/>
        <w:jc w:val="both"/>
        <w:rPr>
          <w:rFonts w:ascii="仿宋" w:hAnsi="仿宋" w:eastAsia="仿宋"/>
        </w:rPr>
      </w:pPr>
      <w:r>
        <w:rPr>
          <w:rFonts w:ascii="仿宋" w:hAnsi="仿宋" w:eastAsia="仿宋"/>
        </w:rPr>
        <w:t>在本招标文件规定的查询时间之外，网站信息发生的任何变更均不作为资格审查依据。</w:t>
      </w:r>
    </w:p>
    <w:p>
      <w:pPr>
        <w:spacing w:line="360" w:lineRule="auto"/>
        <w:ind w:left="850" w:hanging="849" w:hangingChars="354"/>
        <w:rPr>
          <w:rFonts w:ascii="仿宋" w:hAnsi="仿宋" w:eastAsia="仿宋"/>
          <w:sz w:val="24"/>
        </w:rPr>
      </w:pPr>
      <w:r>
        <w:rPr>
          <w:rFonts w:ascii="仿宋" w:hAnsi="仿宋" w:eastAsia="仿宋"/>
          <w:sz w:val="24"/>
        </w:rPr>
        <w:t>19.3   按照《中华人民共和国政府采购法》、《中华人民共和国政府采购法实施条例》及本项目本级和上级财政部门的有关规定依法组建的评标委员会，负责评标工作。</w:t>
      </w:r>
      <w:bookmarkStart w:id="150" w:name="_Toc520356166"/>
    </w:p>
    <w:p>
      <w:pPr>
        <w:tabs>
          <w:tab w:val="left" w:pos="0"/>
        </w:tabs>
        <w:spacing w:line="360" w:lineRule="auto"/>
        <w:rPr>
          <w:rFonts w:ascii="仿宋" w:hAnsi="仿宋" w:eastAsia="仿宋"/>
          <w:b/>
          <w:sz w:val="24"/>
        </w:rPr>
      </w:pPr>
      <w:bookmarkStart w:id="151" w:name="_Toc28479"/>
      <w:bookmarkStart w:id="152" w:name="_Toc19949"/>
      <w:bookmarkStart w:id="153" w:name="_Toc532473473"/>
      <w:bookmarkStart w:id="154" w:name="_Toc515647781"/>
      <w:r>
        <w:rPr>
          <w:rFonts w:ascii="仿宋" w:hAnsi="仿宋" w:eastAsia="仿宋"/>
          <w:b/>
          <w:sz w:val="24"/>
        </w:rPr>
        <w:t>20.    投标文件</w:t>
      </w:r>
      <w:bookmarkEnd w:id="150"/>
      <w:r>
        <w:rPr>
          <w:rFonts w:ascii="仿宋" w:hAnsi="仿宋" w:eastAsia="仿宋"/>
          <w:b/>
          <w:sz w:val="24"/>
        </w:rPr>
        <w:t>符合性审查与澄清</w:t>
      </w:r>
      <w:bookmarkEnd w:id="151"/>
      <w:bookmarkEnd w:id="152"/>
      <w:bookmarkEnd w:id="153"/>
      <w:bookmarkEnd w:id="154"/>
    </w:p>
    <w:p>
      <w:pPr>
        <w:spacing w:line="360" w:lineRule="auto"/>
        <w:ind w:left="850" w:hanging="849" w:hangingChars="354"/>
        <w:rPr>
          <w:rFonts w:ascii="仿宋" w:hAnsi="仿宋" w:eastAsia="仿宋"/>
          <w:sz w:val="24"/>
        </w:rPr>
      </w:pPr>
      <w:r>
        <w:rPr>
          <w:rFonts w:ascii="仿宋" w:hAnsi="仿宋" w:eastAsia="仿宋"/>
          <w:sz w:val="24"/>
        </w:rPr>
        <w:t xml:space="preserve">20.1   </w:t>
      </w:r>
      <w:bookmarkStart w:id="155" w:name="_Hlt522424701"/>
      <w:bookmarkEnd w:id="155"/>
      <w:bookmarkStart w:id="156" w:name="_Toc520356167"/>
      <w:r>
        <w:rPr>
          <w:rFonts w:ascii="仿宋" w:hAnsi="仿宋" w:eastAsia="仿宋"/>
          <w:sz w:val="24"/>
        </w:rPr>
        <w:t>符合性审查是指依据招标文件的规定，从商务和技术角度对投标文件的有效性和完整性进行审查，以确定是否对招标文件的实质性要求做出响应。</w:t>
      </w:r>
    </w:p>
    <w:p>
      <w:pPr>
        <w:spacing w:line="360" w:lineRule="auto"/>
        <w:ind w:left="840" w:hanging="840" w:hangingChars="350"/>
        <w:rPr>
          <w:rFonts w:ascii="仿宋" w:hAnsi="仿宋" w:eastAsia="仿宋"/>
          <w:sz w:val="24"/>
        </w:rPr>
      </w:pPr>
      <w:r>
        <w:rPr>
          <w:rFonts w:ascii="仿宋" w:hAnsi="仿宋" w:eastAsia="仿宋"/>
          <w:sz w:val="24"/>
        </w:rPr>
        <w:t>20.2   投标文件的澄清</w:t>
      </w:r>
    </w:p>
    <w:p>
      <w:pPr>
        <w:spacing w:line="360" w:lineRule="auto"/>
        <w:ind w:left="840" w:hanging="840" w:hangingChars="350"/>
        <w:rPr>
          <w:rFonts w:ascii="仿宋" w:hAnsi="仿宋" w:eastAsia="仿宋"/>
          <w:sz w:val="24"/>
        </w:rPr>
      </w:pPr>
      <w:r>
        <w:rPr>
          <w:rFonts w:ascii="仿宋" w:hAnsi="仿宋" w:eastAsia="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left="840" w:hanging="840" w:hangingChars="350"/>
        <w:rPr>
          <w:rFonts w:ascii="仿宋" w:hAnsi="仿宋" w:eastAsia="仿宋"/>
          <w:sz w:val="24"/>
        </w:rPr>
      </w:pPr>
      <w:r>
        <w:rPr>
          <w:rFonts w:ascii="仿宋" w:hAnsi="仿宋" w:eastAsia="仿宋"/>
          <w:sz w:val="24"/>
        </w:rPr>
        <w:t>20.2.2 投标人的澄清、说明或补正将作为投标文件的一部分。</w:t>
      </w:r>
    </w:p>
    <w:p>
      <w:pPr>
        <w:spacing w:line="360" w:lineRule="auto"/>
        <w:ind w:left="900" w:hanging="900" w:hangingChars="375"/>
        <w:rPr>
          <w:rFonts w:ascii="仿宋" w:hAnsi="仿宋" w:eastAsia="仿宋"/>
          <w:sz w:val="24"/>
        </w:rPr>
      </w:pPr>
      <w:r>
        <w:rPr>
          <w:rFonts w:ascii="仿宋" w:hAnsi="仿宋" w:eastAsia="仿宋"/>
          <w:sz w:val="24"/>
        </w:rPr>
        <w:t>20.3   投标文件报价出现前后不一致的，按照下列规定修正：</w:t>
      </w:r>
    </w:p>
    <w:p>
      <w:pPr>
        <w:numPr>
          <w:ilvl w:val="0"/>
          <w:numId w:val="1"/>
        </w:numPr>
        <w:spacing w:line="360" w:lineRule="auto"/>
        <w:ind w:left="840" w:leftChars="400" w:firstLine="0"/>
        <w:rPr>
          <w:rFonts w:ascii="仿宋" w:hAnsi="仿宋" w:eastAsia="仿宋"/>
          <w:sz w:val="24"/>
        </w:rPr>
      </w:pPr>
      <w:r>
        <w:rPr>
          <w:rFonts w:ascii="仿宋" w:hAnsi="仿宋" w:eastAsia="仿宋"/>
          <w:sz w:val="24"/>
        </w:rPr>
        <w:t>投标文件中开标一览表（报价表）内容与投标文件中相应内容不一致的，以开标一览表（报价表）为准；</w:t>
      </w:r>
    </w:p>
    <w:p>
      <w:pPr>
        <w:numPr>
          <w:ilvl w:val="0"/>
          <w:numId w:val="1"/>
        </w:numPr>
        <w:spacing w:line="360" w:lineRule="auto"/>
        <w:ind w:left="840" w:leftChars="400" w:firstLine="0"/>
        <w:rPr>
          <w:rFonts w:ascii="仿宋" w:hAnsi="仿宋" w:eastAsia="仿宋"/>
          <w:sz w:val="24"/>
        </w:rPr>
      </w:pPr>
      <w:r>
        <w:rPr>
          <w:rFonts w:ascii="仿宋" w:hAnsi="仿宋" w:eastAsia="仿宋"/>
          <w:sz w:val="24"/>
        </w:rPr>
        <w:t>大写金额和小写金额不一致的，以大写金额为准；</w:t>
      </w:r>
    </w:p>
    <w:p>
      <w:pPr>
        <w:numPr>
          <w:ilvl w:val="0"/>
          <w:numId w:val="1"/>
        </w:numPr>
        <w:spacing w:line="360" w:lineRule="auto"/>
        <w:ind w:left="840" w:leftChars="400" w:firstLine="0"/>
        <w:rPr>
          <w:rFonts w:ascii="仿宋" w:hAnsi="仿宋" w:eastAsia="仿宋"/>
          <w:sz w:val="24"/>
        </w:rPr>
      </w:pPr>
      <w:r>
        <w:rPr>
          <w:rFonts w:ascii="仿宋" w:hAnsi="仿宋" w:eastAsia="仿宋"/>
          <w:sz w:val="24"/>
        </w:rPr>
        <w:t>单价金额小数点或者百分比有明显错位的，以开标一览表的总价为准，并修改单价；</w:t>
      </w:r>
    </w:p>
    <w:p>
      <w:pPr>
        <w:numPr>
          <w:ilvl w:val="0"/>
          <w:numId w:val="1"/>
        </w:numPr>
        <w:spacing w:line="360" w:lineRule="auto"/>
        <w:ind w:left="840" w:leftChars="400" w:firstLine="0"/>
        <w:rPr>
          <w:rFonts w:ascii="仿宋" w:hAnsi="仿宋" w:eastAsia="仿宋"/>
          <w:sz w:val="24"/>
        </w:rPr>
      </w:pPr>
      <w:r>
        <w:rPr>
          <w:rFonts w:ascii="仿宋" w:hAnsi="仿宋" w:eastAsia="仿宋"/>
          <w:sz w:val="24"/>
        </w:rPr>
        <w:t>总价金额与按单价汇总金额不一致的，以单价金额计算结果为准。</w:t>
      </w:r>
    </w:p>
    <w:p>
      <w:pPr>
        <w:numPr>
          <w:ilvl w:val="0"/>
          <w:numId w:val="1"/>
        </w:numPr>
        <w:spacing w:line="360" w:lineRule="auto"/>
        <w:ind w:left="840" w:leftChars="400" w:firstLine="0"/>
        <w:rPr>
          <w:rFonts w:ascii="仿宋" w:hAnsi="仿宋" w:eastAsia="仿宋"/>
          <w:sz w:val="24"/>
        </w:rPr>
      </w:pPr>
      <w:r>
        <w:rPr>
          <w:rFonts w:ascii="仿宋" w:hAnsi="仿宋" w:eastAsia="仿宋"/>
          <w:sz w:val="24"/>
        </w:rPr>
        <w:t>同时出现两种以上不一致的，按照前款规定的顺序修正。修正后的报价按照第20.2条的规定经投标人确认后产生约束力，投标人不确认的，其投标将被认定为投标无效。</w:t>
      </w:r>
    </w:p>
    <w:p>
      <w:pPr>
        <w:numPr>
          <w:ilvl w:val="0"/>
          <w:numId w:val="1"/>
        </w:numPr>
        <w:spacing w:line="360" w:lineRule="auto"/>
        <w:ind w:left="840" w:leftChars="400" w:firstLine="0"/>
        <w:rPr>
          <w:rFonts w:ascii="仿宋" w:hAnsi="仿宋" w:eastAsia="仿宋"/>
          <w:sz w:val="24"/>
        </w:rPr>
      </w:pPr>
      <w:r>
        <w:rPr>
          <w:rFonts w:ascii="仿宋" w:hAnsi="仿宋" w:eastAsia="仿宋"/>
          <w:sz w:val="24"/>
        </w:rPr>
        <w:t>对不同文字文本投标文件的解释发生异议的，以中文文本为准。</w:t>
      </w:r>
    </w:p>
    <w:p>
      <w:pPr>
        <w:spacing w:line="360" w:lineRule="auto"/>
        <w:ind w:left="900" w:hanging="900" w:hangingChars="375"/>
        <w:rPr>
          <w:rFonts w:ascii="仿宋" w:hAnsi="仿宋" w:eastAsia="仿宋"/>
          <w:sz w:val="24"/>
        </w:rPr>
      </w:pPr>
      <w:r>
        <w:rPr>
          <w:rFonts w:ascii="仿宋" w:hAnsi="仿宋" w:eastAsia="仿宋"/>
          <w:sz w:val="24"/>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pPr>
        <w:spacing w:line="360" w:lineRule="auto"/>
        <w:ind w:left="850" w:leftChars="405" w:firstLine="2" w:firstLineChars="1"/>
        <w:rPr>
          <w:rFonts w:ascii="仿宋" w:hAnsi="仿宋" w:eastAsia="仿宋"/>
          <w:sz w:val="24"/>
        </w:rPr>
      </w:pPr>
      <w:r>
        <w:rPr>
          <w:rFonts w:ascii="仿宋" w:hAnsi="仿宋" w:eastAsia="仿宋"/>
          <w:sz w:val="24"/>
        </w:rPr>
        <w:t>如投标人为提供服务所伴随的货物为政府强制采购的产品，投标人所投产品应属于品目清单的强制采购部分。投标人应提供有效期内的认证证书，否则其投标将被认定为</w:t>
      </w:r>
      <w:r>
        <w:rPr>
          <w:rFonts w:ascii="仿宋" w:hAnsi="仿宋" w:eastAsia="仿宋"/>
          <w:b/>
          <w:bCs/>
          <w:sz w:val="24"/>
        </w:rPr>
        <w:t>投标无效</w:t>
      </w:r>
      <w:r>
        <w:rPr>
          <w:rFonts w:ascii="仿宋" w:hAnsi="仿宋" w:eastAsia="仿宋"/>
          <w:sz w:val="24"/>
        </w:rPr>
        <w:t>。</w:t>
      </w:r>
    </w:p>
    <w:p>
      <w:pPr>
        <w:spacing w:line="360" w:lineRule="auto"/>
        <w:ind w:left="850" w:leftChars="405" w:firstLine="2" w:firstLineChars="1"/>
        <w:rPr>
          <w:rFonts w:ascii="仿宋" w:hAnsi="仿宋" w:eastAsia="仿宋"/>
          <w:sz w:val="24"/>
        </w:rPr>
      </w:pPr>
      <w:r>
        <w:rPr>
          <w:rFonts w:ascii="仿宋" w:hAnsi="仿宋" w:eastAsia="仿宋"/>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Pr>
          <w:rFonts w:ascii="仿宋" w:hAnsi="仿宋" w:eastAsia="仿宋"/>
          <w:b/>
          <w:bCs/>
          <w:sz w:val="24"/>
        </w:rPr>
        <w:t>投标无效</w:t>
      </w:r>
      <w:r>
        <w:rPr>
          <w:rFonts w:ascii="仿宋" w:hAnsi="仿宋" w:eastAsia="仿宋"/>
          <w:sz w:val="24"/>
        </w:rPr>
        <w:t>。</w:t>
      </w:r>
    </w:p>
    <w:p>
      <w:pPr>
        <w:pStyle w:val="13"/>
        <w:spacing w:before="0" w:line="360" w:lineRule="auto"/>
        <w:rPr>
          <w:rFonts w:ascii="仿宋" w:hAnsi="仿宋" w:eastAsia="仿宋"/>
        </w:rPr>
      </w:pPr>
      <w:r>
        <w:rPr>
          <w:rFonts w:ascii="仿宋" w:hAnsi="仿宋" w:eastAsia="仿宋"/>
        </w:rPr>
        <w:t>20.5   非单一产品采购项目核心产品见投标人须知前附表。</w:t>
      </w:r>
    </w:p>
    <w:p>
      <w:pPr>
        <w:tabs>
          <w:tab w:val="left" w:pos="0"/>
        </w:tabs>
        <w:spacing w:line="360" w:lineRule="auto"/>
        <w:rPr>
          <w:rFonts w:ascii="仿宋" w:hAnsi="仿宋" w:eastAsia="仿宋"/>
          <w:b/>
          <w:sz w:val="24"/>
        </w:rPr>
      </w:pPr>
      <w:bookmarkStart w:id="157" w:name="_Toc6364"/>
      <w:bookmarkStart w:id="158" w:name="_Toc515647782"/>
      <w:bookmarkStart w:id="159" w:name="_Toc532473474"/>
      <w:bookmarkStart w:id="160" w:name="_Toc9469"/>
      <w:r>
        <w:rPr>
          <w:rFonts w:ascii="仿宋" w:hAnsi="仿宋" w:eastAsia="仿宋"/>
          <w:b/>
          <w:sz w:val="24"/>
        </w:rPr>
        <w:t>21.    投标偏离</w:t>
      </w:r>
      <w:bookmarkEnd w:id="157"/>
      <w:bookmarkEnd w:id="158"/>
      <w:bookmarkEnd w:id="159"/>
      <w:bookmarkEnd w:id="160"/>
    </w:p>
    <w:p>
      <w:pPr>
        <w:spacing w:line="360" w:lineRule="auto"/>
        <w:ind w:left="838" w:leftChars="399"/>
        <w:rPr>
          <w:rFonts w:ascii="仿宋" w:hAnsi="仿宋" w:eastAsia="仿宋"/>
          <w:sz w:val="24"/>
        </w:rPr>
      </w:pPr>
      <w:r>
        <w:rPr>
          <w:rFonts w:ascii="仿宋" w:hAnsi="仿宋" w:eastAsia="仿宋"/>
          <w:sz w:val="24"/>
        </w:rPr>
        <w:t>投标文件中存在对招标文件的实质性负偏离，其投标将被认定为</w:t>
      </w:r>
      <w:r>
        <w:rPr>
          <w:rFonts w:ascii="仿宋" w:hAnsi="仿宋" w:eastAsia="仿宋"/>
          <w:b/>
          <w:sz w:val="24"/>
        </w:rPr>
        <w:t>投标无效</w:t>
      </w:r>
      <w:r>
        <w:rPr>
          <w:rFonts w:ascii="仿宋" w:hAnsi="仿宋" w:eastAsia="仿宋"/>
          <w:sz w:val="24"/>
        </w:rPr>
        <w:t>。</w:t>
      </w:r>
    </w:p>
    <w:p>
      <w:pPr>
        <w:tabs>
          <w:tab w:val="left" w:pos="0"/>
        </w:tabs>
        <w:spacing w:line="360" w:lineRule="auto"/>
        <w:rPr>
          <w:rFonts w:ascii="仿宋" w:hAnsi="仿宋" w:eastAsia="仿宋"/>
          <w:b/>
          <w:sz w:val="24"/>
        </w:rPr>
      </w:pPr>
      <w:bookmarkStart w:id="161" w:name="_Toc515647783"/>
      <w:bookmarkStart w:id="162" w:name="_Toc532473475"/>
      <w:bookmarkStart w:id="163" w:name="_Toc4950"/>
      <w:bookmarkStart w:id="164" w:name="_Toc6092"/>
      <w:r>
        <w:rPr>
          <w:rFonts w:ascii="仿宋" w:hAnsi="仿宋" w:eastAsia="仿宋"/>
          <w:b/>
          <w:sz w:val="24"/>
        </w:rPr>
        <w:t>22.    投标</w:t>
      </w:r>
      <w:bookmarkEnd w:id="161"/>
      <w:r>
        <w:rPr>
          <w:rFonts w:ascii="仿宋" w:hAnsi="仿宋" w:eastAsia="仿宋"/>
          <w:b/>
          <w:sz w:val="24"/>
        </w:rPr>
        <w:t>无效</w:t>
      </w:r>
      <w:bookmarkEnd w:id="162"/>
      <w:bookmarkEnd w:id="163"/>
      <w:bookmarkEnd w:id="164"/>
    </w:p>
    <w:p>
      <w:pPr>
        <w:spacing w:line="360" w:lineRule="auto"/>
        <w:ind w:left="852" w:leftChars="-23" w:hanging="900" w:hangingChars="375"/>
        <w:rPr>
          <w:rFonts w:ascii="仿宋" w:hAnsi="仿宋" w:eastAsia="仿宋"/>
          <w:sz w:val="24"/>
        </w:rPr>
      </w:pPr>
      <w:r>
        <w:rPr>
          <w:rFonts w:ascii="仿宋" w:hAnsi="仿宋" w:eastAsia="仿宋"/>
          <w:sz w:val="24"/>
        </w:rPr>
        <w:t>22.1   在比较与评价之前，根据招标文件的规定，评标委员会要审查每份投标文件是否响应了招标文件的要求。投标人不得通过修正或撤销不符合要求的偏离，从而使其投标成为实质上响应的投标。</w:t>
      </w:r>
    </w:p>
    <w:p>
      <w:pPr>
        <w:spacing w:line="360" w:lineRule="auto"/>
        <w:ind w:left="792" w:leftChars="377"/>
        <w:rPr>
          <w:rFonts w:ascii="仿宋" w:hAnsi="仿宋" w:eastAsia="仿宋"/>
          <w:sz w:val="24"/>
        </w:rPr>
      </w:pPr>
      <w:r>
        <w:rPr>
          <w:rFonts w:ascii="仿宋" w:hAnsi="仿宋" w:eastAsia="仿宋"/>
          <w:sz w:val="24"/>
        </w:rPr>
        <w:t>评标委员会决定投标的响应性只根据招标文件要求和投标文件内容。</w:t>
      </w:r>
    </w:p>
    <w:p>
      <w:pPr>
        <w:spacing w:line="360" w:lineRule="auto"/>
        <w:ind w:left="900" w:hanging="900" w:hangingChars="375"/>
        <w:rPr>
          <w:rFonts w:ascii="仿宋" w:hAnsi="仿宋" w:eastAsia="仿宋"/>
          <w:sz w:val="24"/>
        </w:rPr>
      </w:pPr>
      <w:r>
        <w:rPr>
          <w:rFonts w:ascii="仿宋" w:hAnsi="仿宋" w:eastAsia="仿宋"/>
          <w:sz w:val="24"/>
        </w:rPr>
        <w:t>22.2   如发现下列情况之一的，其投标将被认定为</w:t>
      </w:r>
      <w:r>
        <w:rPr>
          <w:rFonts w:ascii="仿宋" w:hAnsi="仿宋" w:eastAsia="仿宋"/>
          <w:b/>
          <w:bCs/>
          <w:sz w:val="24"/>
        </w:rPr>
        <w:t>投标无效</w:t>
      </w:r>
      <w:r>
        <w:rPr>
          <w:rFonts w:ascii="仿宋" w:hAnsi="仿宋" w:eastAsia="仿宋"/>
          <w:sz w:val="24"/>
        </w:rPr>
        <w:t>：</w:t>
      </w:r>
    </w:p>
    <w:p>
      <w:pPr>
        <w:spacing w:line="360" w:lineRule="auto"/>
        <w:ind w:left="850" w:leftChars="405" w:firstLine="2" w:firstLineChars="1"/>
        <w:rPr>
          <w:rFonts w:ascii="仿宋" w:hAnsi="仿宋" w:eastAsia="仿宋"/>
          <w:sz w:val="24"/>
        </w:rPr>
      </w:pPr>
      <w:r>
        <w:rPr>
          <w:rFonts w:hint="eastAsia" w:ascii="仿宋" w:hAnsi="仿宋" w:eastAsia="仿宋"/>
          <w:sz w:val="24"/>
        </w:rPr>
        <w:t>（1）未按照招标文件规定要求签署、盖章的；</w:t>
      </w:r>
    </w:p>
    <w:p>
      <w:pPr>
        <w:spacing w:line="360" w:lineRule="auto"/>
        <w:ind w:left="850" w:leftChars="405" w:firstLine="2" w:firstLineChars="1"/>
        <w:rPr>
          <w:rFonts w:ascii="仿宋" w:hAnsi="仿宋" w:eastAsia="仿宋"/>
          <w:sz w:val="24"/>
        </w:rPr>
      </w:pPr>
      <w:r>
        <w:rPr>
          <w:rFonts w:hint="eastAsia" w:ascii="仿宋" w:hAnsi="仿宋" w:eastAsia="仿宋"/>
          <w:sz w:val="24"/>
        </w:rPr>
        <w:t>（2）未满足招标文件中商务和技术条款的实质性要求；</w:t>
      </w:r>
    </w:p>
    <w:p>
      <w:pPr>
        <w:spacing w:line="360" w:lineRule="auto"/>
        <w:ind w:left="850" w:leftChars="405" w:firstLine="2" w:firstLineChars="1"/>
        <w:rPr>
          <w:rFonts w:ascii="仿宋" w:hAnsi="仿宋" w:eastAsia="仿宋"/>
          <w:sz w:val="24"/>
        </w:rPr>
      </w:pPr>
      <w:r>
        <w:rPr>
          <w:rFonts w:hint="eastAsia" w:ascii="仿宋" w:hAnsi="仿宋" w:eastAsia="仿宋"/>
          <w:sz w:val="24"/>
        </w:rPr>
        <w:t>（3）属于串通投标，或者依法被视为串通投标；</w:t>
      </w:r>
    </w:p>
    <w:p>
      <w:pPr>
        <w:spacing w:line="360" w:lineRule="auto"/>
        <w:ind w:left="850" w:leftChars="405" w:firstLine="2" w:firstLineChars="1"/>
        <w:rPr>
          <w:rFonts w:ascii="仿宋" w:hAnsi="仿宋" w:eastAsia="仿宋"/>
          <w:sz w:val="24"/>
        </w:rPr>
      </w:pPr>
      <w:r>
        <w:rPr>
          <w:rFonts w:hint="eastAsia" w:ascii="仿宋" w:hAnsi="仿宋" w:eastAsia="仿宋"/>
          <w:sz w:val="24"/>
        </w:rPr>
        <w:t>（4）评标委员会认为投标人的报价明显低于其他通过符合性审查投标人的报价，有可能影响履约的，且投标人未按照规定证明其报价合理性的；</w:t>
      </w:r>
    </w:p>
    <w:p>
      <w:pPr>
        <w:spacing w:line="360" w:lineRule="auto"/>
        <w:ind w:left="850" w:leftChars="405" w:firstLine="2" w:firstLineChars="1"/>
        <w:rPr>
          <w:rFonts w:ascii="仿宋" w:hAnsi="仿宋" w:eastAsia="仿宋"/>
          <w:sz w:val="24"/>
        </w:rPr>
      </w:pPr>
      <w:r>
        <w:rPr>
          <w:rFonts w:hint="eastAsia" w:ascii="仿宋" w:hAnsi="仿宋" w:eastAsia="仿宋"/>
          <w:sz w:val="24"/>
        </w:rPr>
        <w:t>（5）投标文件含有采购人不能接受的附加条件的；</w:t>
      </w:r>
    </w:p>
    <w:p>
      <w:pPr>
        <w:spacing w:line="360" w:lineRule="auto"/>
        <w:ind w:left="850" w:leftChars="405" w:firstLine="2" w:firstLineChars="1"/>
        <w:rPr>
          <w:rFonts w:ascii="仿宋" w:hAnsi="仿宋" w:eastAsia="仿宋"/>
          <w:sz w:val="24"/>
        </w:rPr>
      </w:pPr>
      <w:r>
        <w:rPr>
          <w:rFonts w:hint="eastAsia" w:ascii="仿宋" w:hAnsi="仿宋" w:eastAsia="仿宋"/>
          <w:sz w:val="24"/>
        </w:rPr>
        <w:t>（6）属于招标文件规定的其他投标无效情形；</w:t>
      </w:r>
    </w:p>
    <w:p>
      <w:pPr>
        <w:spacing w:line="360" w:lineRule="auto"/>
        <w:ind w:left="850" w:leftChars="405" w:firstLine="2" w:firstLineChars="1"/>
        <w:rPr>
          <w:rFonts w:ascii="仿宋" w:hAnsi="仿宋" w:eastAsia="仿宋"/>
          <w:sz w:val="24"/>
        </w:rPr>
      </w:pPr>
      <w:r>
        <w:rPr>
          <w:rFonts w:hint="eastAsia" w:ascii="仿宋" w:hAnsi="仿宋" w:eastAsia="仿宋"/>
          <w:sz w:val="24"/>
        </w:rPr>
        <w:t>（7）不符合法规和招标文件中规定的其他实质性要求的。</w:t>
      </w:r>
    </w:p>
    <w:bookmarkEnd w:id="156"/>
    <w:p>
      <w:pPr>
        <w:tabs>
          <w:tab w:val="left" w:pos="0"/>
        </w:tabs>
        <w:spacing w:line="360" w:lineRule="auto"/>
        <w:rPr>
          <w:rFonts w:ascii="仿宋" w:hAnsi="仿宋" w:eastAsia="仿宋"/>
          <w:b/>
          <w:sz w:val="24"/>
        </w:rPr>
      </w:pPr>
      <w:bookmarkStart w:id="165" w:name="_Toc13652"/>
      <w:bookmarkStart w:id="166" w:name="_Toc22941"/>
      <w:bookmarkStart w:id="167" w:name="_Toc532473476"/>
      <w:bookmarkStart w:id="168" w:name="_Toc515647784"/>
      <w:r>
        <w:rPr>
          <w:rFonts w:ascii="仿宋" w:hAnsi="仿宋" w:eastAsia="仿宋"/>
          <w:b/>
          <w:sz w:val="24"/>
        </w:rPr>
        <w:t>23.    比较与评价</w:t>
      </w:r>
      <w:bookmarkEnd w:id="165"/>
      <w:bookmarkEnd w:id="166"/>
      <w:bookmarkEnd w:id="167"/>
      <w:bookmarkEnd w:id="168"/>
    </w:p>
    <w:p>
      <w:pPr>
        <w:spacing w:line="360" w:lineRule="auto"/>
        <w:ind w:left="840" w:hanging="840" w:hangingChars="350"/>
        <w:rPr>
          <w:rFonts w:ascii="仿宋" w:hAnsi="仿宋" w:eastAsia="仿宋"/>
          <w:sz w:val="24"/>
        </w:rPr>
      </w:pPr>
      <w:r>
        <w:rPr>
          <w:rFonts w:ascii="仿宋" w:hAnsi="仿宋" w:eastAsia="仿宋"/>
          <w:sz w:val="24"/>
        </w:rPr>
        <w:t>23.1   经符合性审查合格的投标文件，评标委员会将根据招标文件确定的评标方法和标准，对其技术部分和商务部分作进一步的比较和评价。</w:t>
      </w:r>
    </w:p>
    <w:p>
      <w:pPr>
        <w:spacing w:line="360" w:lineRule="auto"/>
        <w:ind w:left="840" w:hanging="840" w:hangingChars="350"/>
        <w:rPr>
          <w:rFonts w:ascii="仿宋" w:hAnsi="仿宋" w:eastAsia="仿宋"/>
          <w:sz w:val="24"/>
        </w:rPr>
      </w:pPr>
      <w:r>
        <w:rPr>
          <w:rFonts w:ascii="仿宋" w:hAnsi="仿宋" w:eastAsia="仿宋"/>
          <w:sz w:val="24"/>
        </w:rPr>
        <w:t>23.2   评标严格按照招标文件的要求和条件进行。根据实际情况，在</w:t>
      </w:r>
      <w:r>
        <w:rPr>
          <w:rFonts w:ascii="仿宋" w:hAnsi="仿宋" w:eastAsia="仿宋"/>
          <w:sz w:val="24"/>
          <w:u w:val="single"/>
        </w:rPr>
        <w:t>投标人须知前附表</w:t>
      </w:r>
      <w:r>
        <w:rPr>
          <w:rFonts w:ascii="仿宋" w:hAnsi="仿宋" w:eastAsia="仿宋"/>
          <w:sz w:val="24"/>
        </w:rPr>
        <w:t>中规定采用下列一种评标方法，详细评标标准见招标文件第三章：</w:t>
      </w:r>
    </w:p>
    <w:p>
      <w:pPr>
        <w:pStyle w:val="18"/>
        <w:spacing w:line="360" w:lineRule="auto"/>
        <w:ind w:left="840" w:leftChars="400"/>
        <w:rPr>
          <w:rFonts w:ascii="仿宋" w:hAnsi="仿宋" w:eastAsia="仿宋"/>
          <w:sz w:val="24"/>
          <w:szCs w:val="24"/>
        </w:rPr>
      </w:pPr>
      <w:r>
        <w:rPr>
          <w:rFonts w:ascii="仿宋" w:hAnsi="仿宋" w:eastAsia="仿宋"/>
          <w:sz w:val="24"/>
          <w:szCs w:val="24"/>
        </w:rPr>
        <w:t>（1）最低评标价法，是指投标文件满足招标文件全部要求，且投标报价最低的投标人为中标候选人的评标方法。</w:t>
      </w:r>
    </w:p>
    <w:p>
      <w:pPr>
        <w:pStyle w:val="18"/>
        <w:spacing w:line="360" w:lineRule="auto"/>
        <w:ind w:left="840" w:leftChars="400"/>
        <w:rPr>
          <w:rFonts w:ascii="仿宋" w:hAnsi="仿宋" w:eastAsia="仿宋"/>
          <w:sz w:val="24"/>
          <w:szCs w:val="24"/>
        </w:rPr>
      </w:pPr>
      <w:r>
        <w:rPr>
          <w:rFonts w:ascii="仿宋" w:hAnsi="仿宋" w:eastAsia="仿宋"/>
          <w:sz w:val="24"/>
          <w:szCs w:val="24"/>
        </w:rPr>
        <w:t>（2）综合评分法，是指投标文件满足招标文件全部要求，且按照评审因素的量化指标评审得分最高的投标人为中标候选人的评标方法。</w:t>
      </w:r>
    </w:p>
    <w:p>
      <w:pPr>
        <w:pStyle w:val="18"/>
        <w:spacing w:line="360" w:lineRule="auto"/>
        <w:ind w:left="900" w:hanging="900" w:hangingChars="375"/>
        <w:rPr>
          <w:rFonts w:ascii="仿宋" w:hAnsi="仿宋" w:eastAsia="仿宋"/>
          <w:sz w:val="24"/>
          <w:szCs w:val="24"/>
        </w:rPr>
      </w:pPr>
      <w:r>
        <w:rPr>
          <w:rFonts w:ascii="仿宋" w:hAnsi="仿宋" w:eastAsia="仿宋"/>
          <w:sz w:val="24"/>
          <w:szCs w:val="24"/>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bookmarkStart w:id="169" w:name="sendNo"/>
      <w:r>
        <w:rPr>
          <w:rFonts w:ascii="仿宋" w:hAnsi="仿宋" w:eastAsia="仿宋"/>
          <w:bCs/>
          <w:sz w:val="24"/>
          <w:szCs w:val="24"/>
        </w:rPr>
        <w:t>财库〔</w:t>
      </w:r>
      <w:bookmarkEnd w:id="169"/>
      <w:r>
        <w:rPr>
          <w:rFonts w:ascii="仿宋" w:hAnsi="仿宋" w:eastAsia="仿宋"/>
          <w:bCs/>
          <w:sz w:val="24"/>
          <w:szCs w:val="24"/>
        </w:rPr>
        <w:t>2017〕141号</w:t>
      </w:r>
      <w:r>
        <w:rPr>
          <w:rFonts w:ascii="仿宋" w:hAnsi="仿宋" w:eastAsia="仿宋"/>
          <w:sz w:val="24"/>
          <w:szCs w:val="24"/>
        </w:rPr>
        <w:t>）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仿宋" w:hAnsi="仿宋" w:eastAsia="仿宋"/>
          <w:sz w:val="24"/>
        </w:rPr>
        <w:t>其投标报价按规定扣除后参与评审</w:t>
      </w:r>
      <w:r>
        <w:rPr>
          <w:rFonts w:ascii="仿宋" w:hAnsi="仿宋" w:eastAsia="仿宋"/>
          <w:sz w:val="24"/>
          <w:szCs w:val="24"/>
        </w:rPr>
        <w:t>。具体办法详见招标文件第三章。</w:t>
      </w:r>
    </w:p>
    <w:p>
      <w:pPr>
        <w:pStyle w:val="18"/>
        <w:spacing w:line="360" w:lineRule="auto"/>
        <w:ind w:left="900" w:hanging="900" w:hangingChars="375"/>
        <w:rPr>
          <w:rFonts w:ascii="仿宋" w:hAnsi="仿宋" w:eastAsia="仿宋"/>
          <w:sz w:val="24"/>
          <w:szCs w:val="24"/>
        </w:rPr>
      </w:pPr>
      <w:r>
        <w:rPr>
          <w:rFonts w:ascii="仿宋" w:hAnsi="仿宋" w:eastAsia="仿宋"/>
          <w:sz w:val="24"/>
          <w:szCs w:val="24"/>
        </w:rPr>
        <w:t>23.4   落实其他政府采购政策条款。具体办法详见招标文件第三章。</w:t>
      </w:r>
    </w:p>
    <w:p>
      <w:pPr>
        <w:tabs>
          <w:tab w:val="left" w:pos="0"/>
        </w:tabs>
        <w:spacing w:line="360" w:lineRule="auto"/>
        <w:rPr>
          <w:rFonts w:ascii="仿宋" w:hAnsi="仿宋" w:eastAsia="仿宋"/>
          <w:b/>
          <w:sz w:val="24"/>
        </w:rPr>
      </w:pPr>
      <w:bookmarkStart w:id="170" w:name="_Toc520356168"/>
      <w:bookmarkStart w:id="171" w:name="_Toc20227"/>
      <w:bookmarkStart w:id="172" w:name="_Toc532473477"/>
      <w:bookmarkStart w:id="173" w:name="_Toc515647785"/>
      <w:bookmarkStart w:id="174" w:name="_Toc9378"/>
      <w:r>
        <w:rPr>
          <w:rFonts w:ascii="仿宋" w:hAnsi="仿宋" w:eastAsia="仿宋"/>
          <w:b/>
          <w:sz w:val="24"/>
        </w:rPr>
        <w:t>24</w:t>
      </w:r>
      <w:bookmarkEnd w:id="170"/>
      <w:r>
        <w:rPr>
          <w:rFonts w:ascii="仿宋" w:hAnsi="仿宋" w:eastAsia="仿宋"/>
          <w:b/>
          <w:sz w:val="24"/>
        </w:rPr>
        <w:t>.    废标</w:t>
      </w:r>
      <w:bookmarkEnd w:id="171"/>
      <w:bookmarkEnd w:id="172"/>
      <w:bookmarkEnd w:id="173"/>
      <w:bookmarkEnd w:id="174"/>
    </w:p>
    <w:p>
      <w:pPr>
        <w:spacing w:line="360" w:lineRule="auto"/>
        <w:ind w:left="898" w:leftChars="399" w:hanging="60" w:hangingChars="25"/>
        <w:rPr>
          <w:rFonts w:ascii="仿宋" w:hAnsi="仿宋" w:eastAsia="仿宋"/>
          <w:sz w:val="24"/>
        </w:rPr>
      </w:pPr>
      <w:r>
        <w:rPr>
          <w:rFonts w:ascii="仿宋" w:hAnsi="仿宋" w:eastAsia="仿宋"/>
          <w:sz w:val="24"/>
        </w:rPr>
        <w:t>出现下列情形之一，将导致项目废标：</w:t>
      </w:r>
    </w:p>
    <w:p>
      <w:pPr>
        <w:spacing w:line="360" w:lineRule="auto"/>
        <w:ind w:left="838" w:leftChars="399"/>
        <w:rPr>
          <w:rFonts w:ascii="仿宋" w:hAnsi="仿宋" w:eastAsia="仿宋"/>
          <w:sz w:val="24"/>
        </w:rPr>
      </w:pPr>
      <w:r>
        <w:rPr>
          <w:rFonts w:ascii="仿宋" w:hAnsi="仿宋" w:eastAsia="仿宋"/>
          <w:sz w:val="24"/>
        </w:rPr>
        <w:t>（1）符合专业条件的投标人或者对招标文件做实质性响应的投标人不足三家；</w:t>
      </w:r>
    </w:p>
    <w:p>
      <w:pPr>
        <w:spacing w:line="360" w:lineRule="auto"/>
        <w:ind w:left="838" w:leftChars="399"/>
        <w:rPr>
          <w:rFonts w:ascii="仿宋" w:hAnsi="仿宋" w:eastAsia="仿宋"/>
          <w:sz w:val="24"/>
        </w:rPr>
      </w:pPr>
      <w:r>
        <w:rPr>
          <w:rFonts w:ascii="仿宋" w:hAnsi="仿宋" w:eastAsia="仿宋"/>
          <w:sz w:val="24"/>
        </w:rPr>
        <w:t>（2）出现影响采购公正的违法、违规行为的；</w:t>
      </w:r>
    </w:p>
    <w:p>
      <w:pPr>
        <w:spacing w:line="360" w:lineRule="auto"/>
        <w:ind w:left="838" w:leftChars="399"/>
        <w:rPr>
          <w:rFonts w:ascii="仿宋" w:hAnsi="仿宋" w:eastAsia="仿宋"/>
          <w:sz w:val="24"/>
        </w:rPr>
      </w:pPr>
      <w:r>
        <w:rPr>
          <w:rFonts w:ascii="仿宋" w:hAnsi="仿宋" w:eastAsia="仿宋"/>
          <w:sz w:val="24"/>
        </w:rPr>
        <w:t>（3）投标人的报价均超过了采购预算，采购人不能支付的；</w:t>
      </w:r>
    </w:p>
    <w:p>
      <w:pPr>
        <w:spacing w:line="360" w:lineRule="auto"/>
        <w:ind w:left="838" w:leftChars="399"/>
        <w:rPr>
          <w:rFonts w:ascii="仿宋" w:hAnsi="仿宋" w:eastAsia="仿宋"/>
          <w:sz w:val="24"/>
        </w:rPr>
      </w:pPr>
      <w:r>
        <w:rPr>
          <w:rFonts w:ascii="仿宋" w:hAnsi="仿宋" w:eastAsia="仿宋"/>
          <w:sz w:val="24"/>
        </w:rPr>
        <w:t>（4）因重大变故，采购任务取消的。</w:t>
      </w:r>
    </w:p>
    <w:p>
      <w:pPr>
        <w:tabs>
          <w:tab w:val="left" w:pos="0"/>
        </w:tabs>
        <w:spacing w:line="360" w:lineRule="auto"/>
        <w:rPr>
          <w:rFonts w:ascii="仿宋" w:hAnsi="仿宋" w:eastAsia="仿宋"/>
          <w:b/>
          <w:sz w:val="24"/>
        </w:rPr>
      </w:pPr>
      <w:bookmarkStart w:id="175" w:name="_Toc31289"/>
      <w:bookmarkStart w:id="176" w:name="_Toc24972"/>
      <w:bookmarkStart w:id="177" w:name="_Toc515647786"/>
      <w:bookmarkStart w:id="178" w:name="_Toc532473478"/>
      <w:bookmarkStart w:id="179" w:name="_Toc520356169"/>
      <w:r>
        <w:rPr>
          <w:rFonts w:ascii="仿宋" w:hAnsi="仿宋" w:eastAsia="仿宋"/>
          <w:b/>
          <w:sz w:val="24"/>
        </w:rPr>
        <w:t>25.    保密</w:t>
      </w:r>
      <w:bookmarkEnd w:id="175"/>
      <w:bookmarkEnd w:id="176"/>
      <w:bookmarkEnd w:id="177"/>
      <w:r>
        <w:rPr>
          <w:rFonts w:ascii="仿宋" w:hAnsi="仿宋" w:eastAsia="仿宋"/>
          <w:b/>
          <w:sz w:val="24"/>
        </w:rPr>
        <w:t>要求</w:t>
      </w:r>
      <w:bookmarkEnd w:id="178"/>
    </w:p>
    <w:p>
      <w:pPr>
        <w:spacing w:line="360" w:lineRule="auto"/>
        <w:ind w:left="840" w:hanging="840" w:hangingChars="350"/>
        <w:rPr>
          <w:rFonts w:ascii="仿宋" w:hAnsi="仿宋" w:eastAsia="仿宋"/>
          <w:sz w:val="24"/>
        </w:rPr>
      </w:pPr>
      <w:r>
        <w:rPr>
          <w:rFonts w:ascii="仿宋" w:hAnsi="仿宋" w:eastAsia="仿宋"/>
          <w:sz w:val="24"/>
        </w:rPr>
        <w:t>25.1   评标将在严格保密的情况下进行。</w:t>
      </w:r>
    </w:p>
    <w:p>
      <w:pPr>
        <w:spacing w:line="360" w:lineRule="auto"/>
        <w:ind w:left="840" w:hanging="840" w:hangingChars="350"/>
        <w:rPr>
          <w:rFonts w:ascii="仿宋" w:hAnsi="仿宋" w:eastAsia="仿宋"/>
          <w:sz w:val="24"/>
        </w:rPr>
      </w:pPr>
      <w:r>
        <w:rPr>
          <w:rFonts w:ascii="仿宋" w:hAnsi="仿宋" w:eastAsia="仿宋"/>
          <w:sz w:val="24"/>
        </w:rPr>
        <w:t>25.2   有关人员应当遵守评标工作纪律，不得泄露评标文件、评标情况和评标中获悉的国家秘密、商业秘密。</w:t>
      </w:r>
    </w:p>
    <w:p>
      <w:pPr>
        <w:spacing w:line="360" w:lineRule="auto"/>
        <w:jc w:val="center"/>
        <w:outlineLvl w:val="2"/>
        <w:rPr>
          <w:rFonts w:ascii="仿宋" w:hAnsi="仿宋" w:eastAsia="仿宋"/>
          <w:b/>
          <w:sz w:val="28"/>
          <w:szCs w:val="28"/>
        </w:rPr>
      </w:pPr>
      <w:bookmarkStart w:id="180" w:name="_Toc216582810"/>
      <w:bookmarkStart w:id="181" w:name="_Toc23904"/>
      <w:bookmarkStart w:id="182" w:name="_Toc110013781"/>
      <w:bookmarkStart w:id="183" w:name="_Toc532473479"/>
      <w:bookmarkStart w:id="184" w:name="_Toc12143"/>
      <w:bookmarkStart w:id="185" w:name="_Toc515647787"/>
      <w:r>
        <w:rPr>
          <w:rFonts w:ascii="仿宋" w:hAnsi="仿宋" w:eastAsia="仿宋"/>
          <w:b/>
          <w:sz w:val="28"/>
          <w:szCs w:val="28"/>
        </w:rPr>
        <w:t>六</w:t>
      </w:r>
      <w:bookmarkEnd w:id="179"/>
      <w:r>
        <w:rPr>
          <w:rFonts w:ascii="仿宋" w:hAnsi="仿宋" w:eastAsia="仿宋"/>
          <w:b/>
          <w:sz w:val="28"/>
          <w:szCs w:val="28"/>
        </w:rPr>
        <w:t>、确定中标</w:t>
      </w:r>
      <w:bookmarkEnd w:id="180"/>
      <w:bookmarkEnd w:id="181"/>
      <w:bookmarkEnd w:id="182"/>
      <w:bookmarkEnd w:id="183"/>
      <w:bookmarkEnd w:id="184"/>
      <w:bookmarkEnd w:id="185"/>
    </w:p>
    <w:p>
      <w:pPr>
        <w:tabs>
          <w:tab w:val="left" w:pos="0"/>
        </w:tabs>
        <w:spacing w:line="360" w:lineRule="auto"/>
        <w:rPr>
          <w:rFonts w:ascii="仿宋" w:hAnsi="仿宋" w:eastAsia="仿宋"/>
          <w:b/>
          <w:sz w:val="24"/>
        </w:rPr>
      </w:pPr>
      <w:bookmarkStart w:id="186" w:name="_Toc520356170"/>
      <w:bookmarkStart w:id="187" w:name="_Toc515647788"/>
      <w:bookmarkStart w:id="188" w:name="_Ref467307010"/>
      <w:bookmarkStart w:id="189" w:name="_Toc23762"/>
      <w:bookmarkStart w:id="190" w:name="_Toc23617"/>
      <w:bookmarkStart w:id="191" w:name="_Toc532473480"/>
      <w:r>
        <w:rPr>
          <w:rFonts w:ascii="仿宋" w:hAnsi="仿宋" w:eastAsia="仿宋"/>
          <w:b/>
          <w:sz w:val="24"/>
        </w:rPr>
        <w:t>26.    中标候选人的确定原则及标准</w:t>
      </w:r>
      <w:bookmarkEnd w:id="186"/>
      <w:bookmarkEnd w:id="187"/>
      <w:bookmarkEnd w:id="188"/>
      <w:bookmarkEnd w:id="189"/>
      <w:bookmarkEnd w:id="190"/>
      <w:bookmarkEnd w:id="191"/>
    </w:p>
    <w:p>
      <w:pPr>
        <w:spacing w:line="360" w:lineRule="auto"/>
        <w:ind w:left="840" w:leftChars="400"/>
        <w:rPr>
          <w:rFonts w:ascii="仿宋" w:hAnsi="仿宋" w:eastAsia="仿宋"/>
          <w:sz w:val="24"/>
        </w:rPr>
      </w:pPr>
      <w:r>
        <w:rPr>
          <w:rFonts w:ascii="仿宋" w:hAnsi="仿宋" w:eastAsia="仿宋"/>
          <w:sz w:val="24"/>
        </w:rPr>
        <w:t>除评标委员会受采购人委托直接确定中标人的情形外，对实质上响应招标文件的投标人按下列方法进行排序，确定中标候选人：</w:t>
      </w:r>
    </w:p>
    <w:p>
      <w:pPr>
        <w:spacing w:line="360" w:lineRule="auto"/>
        <w:ind w:left="840" w:leftChars="400"/>
        <w:rPr>
          <w:rFonts w:ascii="仿宋" w:hAnsi="仿宋" w:eastAsia="仿宋"/>
          <w:sz w:val="24"/>
        </w:rPr>
      </w:pPr>
      <w:bookmarkStart w:id="192" w:name="_Toc520356171"/>
      <w:bookmarkStart w:id="193" w:name="_Toc515647789"/>
      <w:r>
        <w:rPr>
          <w:rFonts w:ascii="仿宋" w:hAnsi="仿宋" w:eastAsia="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pPr>
        <w:spacing w:line="360" w:lineRule="auto"/>
        <w:ind w:left="840" w:leftChars="400"/>
        <w:rPr>
          <w:rFonts w:ascii="仿宋" w:hAnsi="仿宋" w:eastAsia="仿宋"/>
          <w:sz w:val="24"/>
        </w:rPr>
      </w:pPr>
      <w:r>
        <w:rPr>
          <w:rFonts w:ascii="仿宋" w:hAnsi="仿宋" w:eastAsia="仿宋"/>
          <w:sz w:val="24"/>
        </w:rPr>
        <w:t>（2）采用综合评分法的，评标结果按评审后得分由高到低顺序排列。得分相同的，按修正和扣除后的投标报价由低到高顺序排列。得分与投标报价均相同的处理方式详见招标文件第三章。</w:t>
      </w:r>
    </w:p>
    <w:p>
      <w:pPr>
        <w:tabs>
          <w:tab w:val="left" w:pos="0"/>
        </w:tabs>
        <w:spacing w:line="360" w:lineRule="auto"/>
        <w:rPr>
          <w:rFonts w:ascii="仿宋" w:hAnsi="仿宋" w:eastAsia="仿宋"/>
          <w:b/>
          <w:sz w:val="24"/>
        </w:rPr>
      </w:pPr>
      <w:bookmarkStart w:id="194" w:name="_Toc23951"/>
      <w:bookmarkStart w:id="195" w:name="_Toc9653"/>
      <w:bookmarkStart w:id="196" w:name="_Toc532473481"/>
      <w:r>
        <w:rPr>
          <w:rFonts w:ascii="仿宋" w:hAnsi="仿宋" w:eastAsia="仿宋"/>
          <w:b/>
          <w:sz w:val="24"/>
        </w:rPr>
        <w:t>27</w:t>
      </w:r>
      <w:bookmarkEnd w:id="192"/>
      <w:r>
        <w:rPr>
          <w:rFonts w:ascii="仿宋" w:hAnsi="仿宋" w:eastAsia="仿宋"/>
          <w:b/>
          <w:sz w:val="24"/>
        </w:rPr>
        <w:t>.</w:t>
      </w:r>
      <w:bookmarkEnd w:id="193"/>
      <w:bookmarkEnd w:id="194"/>
      <w:bookmarkEnd w:id="195"/>
      <w:bookmarkEnd w:id="196"/>
      <w:r>
        <w:rPr>
          <w:rFonts w:ascii="仿宋" w:hAnsi="仿宋" w:eastAsia="仿宋"/>
          <w:b/>
          <w:sz w:val="24"/>
        </w:rPr>
        <w:t xml:space="preserve">    确定中标候选人和中标人</w:t>
      </w:r>
    </w:p>
    <w:p>
      <w:pPr>
        <w:spacing w:line="360" w:lineRule="auto"/>
        <w:ind w:left="840" w:hanging="840" w:hangingChars="350"/>
        <w:rPr>
          <w:rFonts w:ascii="仿宋" w:hAnsi="仿宋" w:eastAsia="仿宋"/>
          <w:sz w:val="24"/>
        </w:rPr>
      </w:pPr>
      <w:r>
        <w:rPr>
          <w:rFonts w:ascii="仿宋" w:hAnsi="仿宋" w:eastAsia="仿宋"/>
          <w:sz w:val="24"/>
        </w:rPr>
        <w:t>27.1   评标委员会将根据评标标准，按</w:t>
      </w:r>
      <w:r>
        <w:rPr>
          <w:rFonts w:ascii="仿宋" w:hAnsi="仿宋" w:eastAsia="仿宋"/>
          <w:sz w:val="24"/>
          <w:u w:val="single"/>
        </w:rPr>
        <w:t>投标人须知前附表</w:t>
      </w:r>
      <w:r>
        <w:rPr>
          <w:rFonts w:ascii="仿宋" w:hAnsi="仿宋" w:eastAsia="仿宋"/>
          <w:sz w:val="24"/>
        </w:rPr>
        <w:t>中规定数量推荐中标候选人。</w:t>
      </w:r>
    </w:p>
    <w:p>
      <w:pPr>
        <w:spacing w:line="360" w:lineRule="auto"/>
        <w:ind w:left="840" w:hanging="840" w:hangingChars="350"/>
        <w:rPr>
          <w:rFonts w:ascii="仿宋" w:hAnsi="仿宋" w:eastAsia="仿宋"/>
          <w:sz w:val="24"/>
        </w:rPr>
      </w:pPr>
      <w:r>
        <w:rPr>
          <w:rFonts w:ascii="仿宋" w:hAnsi="仿宋" w:eastAsia="仿宋"/>
          <w:sz w:val="24"/>
        </w:rPr>
        <w:t>27.2   按</w:t>
      </w:r>
      <w:r>
        <w:rPr>
          <w:rFonts w:ascii="仿宋" w:hAnsi="仿宋" w:eastAsia="仿宋"/>
          <w:sz w:val="24"/>
          <w:u w:val="single"/>
        </w:rPr>
        <w:t>投标人须知前附表</w:t>
      </w:r>
      <w:r>
        <w:rPr>
          <w:rFonts w:ascii="仿宋" w:hAnsi="仿宋" w:eastAsia="仿宋"/>
          <w:sz w:val="24"/>
        </w:rPr>
        <w:t>中规定，由评标委员会直接确定中标人。</w:t>
      </w:r>
    </w:p>
    <w:p>
      <w:pPr>
        <w:tabs>
          <w:tab w:val="left" w:pos="0"/>
        </w:tabs>
        <w:spacing w:line="360" w:lineRule="auto"/>
        <w:rPr>
          <w:rFonts w:ascii="仿宋" w:hAnsi="仿宋" w:eastAsia="仿宋"/>
          <w:b/>
          <w:sz w:val="24"/>
        </w:rPr>
      </w:pPr>
      <w:bookmarkStart w:id="197" w:name="_Toc515647791"/>
      <w:bookmarkStart w:id="198" w:name="_Toc31099"/>
      <w:bookmarkStart w:id="199" w:name="_Toc30170"/>
      <w:bookmarkStart w:id="200" w:name="_Toc532473483"/>
      <w:bookmarkStart w:id="201" w:name="_Toc520356174"/>
      <w:r>
        <w:rPr>
          <w:rFonts w:ascii="仿宋" w:hAnsi="仿宋" w:eastAsia="仿宋"/>
          <w:b/>
          <w:sz w:val="24"/>
        </w:rPr>
        <w:t>28.    发出中标通知书</w:t>
      </w:r>
    </w:p>
    <w:p>
      <w:pPr>
        <w:spacing w:line="360" w:lineRule="auto"/>
        <w:ind w:left="832" w:leftChars="396" w:firstLine="7"/>
        <w:rPr>
          <w:rFonts w:ascii="仿宋" w:hAnsi="仿宋" w:eastAsia="仿宋"/>
          <w:sz w:val="24"/>
        </w:rPr>
      </w:pPr>
      <w:r>
        <w:rPr>
          <w:rFonts w:ascii="仿宋" w:hAnsi="仿宋" w:eastAsia="仿宋"/>
          <w:sz w:val="24"/>
        </w:rPr>
        <w:t>在投标有效期内，中标人确定后，采购人或者采购代理机构发布中标公告。在公告中标结果的同时，向中标人发出中标通知书，中标通知书是合同的组成部分。</w:t>
      </w:r>
    </w:p>
    <w:p>
      <w:pPr>
        <w:tabs>
          <w:tab w:val="left" w:pos="0"/>
        </w:tabs>
        <w:spacing w:line="360" w:lineRule="auto"/>
        <w:rPr>
          <w:rFonts w:ascii="仿宋" w:hAnsi="仿宋" w:eastAsia="仿宋"/>
          <w:b/>
          <w:sz w:val="24"/>
        </w:rPr>
      </w:pPr>
      <w:r>
        <w:rPr>
          <w:rFonts w:ascii="仿宋" w:hAnsi="仿宋" w:eastAsia="仿宋"/>
          <w:b/>
          <w:sz w:val="24"/>
        </w:rPr>
        <w:t>29.    告知招标结果</w:t>
      </w:r>
    </w:p>
    <w:p>
      <w:pPr>
        <w:pStyle w:val="18"/>
        <w:spacing w:line="360" w:lineRule="auto"/>
        <w:ind w:left="854" w:leftChars="400" w:hanging="14" w:hangingChars="6"/>
        <w:rPr>
          <w:rFonts w:ascii="仿宋" w:hAnsi="仿宋" w:eastAsia="仿宋"/>
          <w:sz w:val="24"/>
        </w:rPr>
      </w:pPr>
      <w:r>
        <w:rPr>
          <w:rFonts w:ascii="仿宋" w:hAnsi="仿宋" w:eastAsia="仿宋"/>
          <w:sz w:val="24"/>
        </w:rPr>
        <w:t>在公告中标结果的同时，告知未通过资格审查投标人未通过的原因；采用综合评分法评审的，还将告知未中标人本人的评审得分和排序。</w:t>
      </w:r>
      <w:bookmarkEnd w:id="197"/>
      <w:bookmarkEnd w:id="198"/>
      <w:bookmarkEnd w:id="199"/>
      <w:bookmarkEnd w:id="200"/>
      <w:bookmarkEnd w:id="201"/>
    </w:p>
    <w:p>
      <w:pPr>
        <w:tabs>
          <w:tab w:val="left" w:pos="0"/>
        </w:tabs>
        <w:spacing w:line="360" w:lineRule="auto"/>
        <w:rPr>
          <w:rFonts w:ascii="仿宋" w:hAnsi="仿宋" w:eastAsia="仿宋"/>
          <w:b/>
          <w:sz w:val="24"/>
        </w:rPr>
      </w:pPr>
      <w:bookmarkStart w:id="202" w:name="_Ref467306978"/>
      <w:bookmarkStart w:id="203" w:name="_Ref467307062"/>
      <w:bookmarkStart w:id="204" w:name="_Toc532473484"/>
      <w:bookmarkStart w:id="205" w:name="_Toc7779"/>
      <w:bookmarkStart w:id="206" w:name="_Ref467307204"/>
      <w:bookmarkStart w:id="207" w:name="_Toc520356175"/>
      <w:bookmarkStart w:id="208" w:name="_Toc790"/>
      <w:bookmarkStart w:id="209" w:name="_Toc515647792"/>
      <w:bookmarkStart w:id="210" w:name="_Ref467306377"/>
      <w:r>
        <w:rPr>
          <w:rFonts w:ascii="仿宋" w:hAnsi="仿宋" w:eastAsia="仿宋"/>
          <w:b/>
          <w:sz w:val="24"/>
        </w:rPr>
        <w:t>30.    签订合同</w:t>
      </w:r>
      <w:bookmarkEnd w:id="202"/>
      <w:bookmarkEnd w:id="203"/>
      <w:bookmarkEnd w:id="204"/>
      <w:bookmarkEnd w:id="205"/>
      <w:bookmarkEnd w:id="206"/>
      <w:bookmarkEnd w:id="207"/>
      <w:bookmarkEnd w:id="208"/>
      <w:bookmarkEnd w:id="209"/>
      <w:bookmarkEnd w:id="210"/>
    </w:p>
    <w:p>
      <w:pPr>
        <w:spacing w:line="360" w:lineRule="auto"/>
        <w:ind w:left="900" w:hanging="900" w:hangingChars="375"/>
        <w:rPr>
          <w:rFonts w:ascii="仿宋" w:hAnsi="仿宋" w:eastAsia="仿宋"/>
          <w:sz w:val="24"/>
        </w:rPr>
      </w:pPr>
      <w:r>
        <w:rPr>
          <w:rFonts w:ascii="仿宋" w:hAnsi="仿宋" w:eastAsia="仿宋"/>
          <w:sz w:val="24"/>
        </w:rPr>
        <w:t>30.1   中标人应当自发出中标通知书之日起30日内，与采购人签订合同。</w:t>
      </w:r>
    </w:p>
    <w:p>
      <w:pPr>
        <w:spacing w:line="360" w:lineRule="auto"/>
        <w:ind w:left="900" w:hanging="900" w:hangingChars="375"/>
        <w:rPr>
          <w:rFonts w:ascii="仿宋" w:hAnsi="仿宋" w:eastAsia="仿宋"/>
          <w:sz w:val="24"/>
        </w:rPr>
      </w:pPr>
      <w:r>
        <w:rPr>
          <w:rFonts w:ascii="仿宋" w:hAnsi="仿宋" w:eastAsia="仿宋"/>
          <w:sz w:val="24"/>
        </w:rPr>
        <w:t>30</w:t>
      </w:r>
      <w:bookmarkStart w:id="211" w:name="_Ref467306425"/>
      <w:bookmarkStart w:id="212" w:name="_Ref467307090"/>
      <w:bookmarkStart w:id="213" w:name="_Toc520356176"/>
      <w:r>
        <w:rPr>
          <w:rFonts w:ascii="仿宋" w:hAnsi="仿宋" w:eastAsia="仿宋"/>
          <w:sz w:val="24"/>
        </w:rPr>
        <w:t>.2   招标文件、中标人的投标文件及其澄清文件等，均为签订合同的依据。</w:t>
      </w:r>
    </w:p>
    <w:p>
      <w:pPr>
        <w:spacing w:line="360" w:lineRule="auto"/>
        <w:ind w:left="840" w:hanging="840" w:hangingChars="350"/>
        <w:rPr>
          <w:rFonts w:ascii="仿宋" w:hAnsi="仿宋" w:eastAsia="仿宋"/>
          <w:sz w:val="24"/>
        </w:rPr>
      </w:pPr>
      <w:r>
        <w:rPr>
          <w:rFonts w:ascii="仿宋" w:hAnsi="仿宋" w:eastAsia="仿宋"/>
          <w:sz w:val="24"/>
        </w:rPr>
        <w:t>30.3   如中标人拒绝与采购人签订合同的，采购人或者采购代理机构可以不退还其投标保证金，并上报行政监督管理部门记入不良行为记录；采购人可以按照评标报告推荐的中标候选人排序，确定下一中标候选人为中标人，也可以重新开展采购活动。</w:t>
      </w:r>
    </w:p>
    <w:p>
      <w:pPr>
        <w:spacing w:line="360" w:lineRule="auto"/>
        <w:ind w:left="840" w:hanging="840" w:hangingChars="350"/>
        <w:rPr>
          <w:rFonts w:ascii="仿宋" w:hAnsi="仿宋" w:eastAsia="仿宋"/>
          <w:sz w:val="24"/>
        </w:rPr>
      </w:pPr>
      <w:r>
        <w:rPr>
          <w:rFonts w:ascii="仿宋" w:hAnsi="仿宋" w:eastAsia="仿宋"/>
          <w:sz w:val="24"/>
        </w:rPr>
        <w:t>30.4   当出现法规规定的中标无效或中标结果无效情形时，采购人可与排名下一位的中标候选人另行签订合同，或依法重新开展采购活动。</w:t>
      </w:r>
    </w:p>
    <w:p>
      <w:pPr>
        <w:tabs>
          <w:tab w:val="left" w:pos="0"/>
        </w:tabs>
        <w:spacing w:line="360" w:lineRule="auto"/>
        <w:rPr>
          <w:rFonts w:ascii="仿宋" w:hAnsi="仿宋" w:eastAsia="仿宋"/>
          <w:b/>
          <w:sz w:val="24"/>
        </w:rPr>
      </w:pPr>
      <w:bookmarkStart w:id="214" w:name="_Toc22555"/>
      <w:bookmarkStart w:id="215" w:name="_Toc14080"/>
      <w:bookmarkStart w:id="216" w:name="_Toc515647793"/>
      <w:bookmarkStart w:id="217" w:name="_Toc532473485"/>
      <w:r>
        <w:rPr>
          <w:rFonts w:ascii="仿宋" w:hAnsi="仿宋" w:eastAsia="仿宋"/>
          <w:b/>
          <w:sz w:val="24"/>
        </w:rPr>
        <w:t>31.    履约保证金</w:t>
      </w:r>
      <w:bookmarkEnd w:id="211"/>
      <w:bookmarkEnd w:id="212"/>
      <w:bookmarkEnd w:id="213"/>
      <w:bookmarkEnd w:id="214"/>
      <w:bookmarkEnd w:id="215"/>
      <w:bookmarkEnd w:id="216"/>
      <w:bookmarkEnd w:id="217"/>
    </w:p>
    <w:p>
      <w:pPr>
        <w:spacing w:line="360" w:lineRule="auto"/>
        <w:ind w:left="840" w:hanging="840" w:hangingChars="350"/>
        <w:rPr>
          <w:rFonts w:ascii="仿宋" w:hAnsi="仿宋" w:eastAsia="仿宋"/>
          <w:sz w:val="24"/>
        </w:rPr>
      </w:pPr>
      <w:r>
        <w:rPr>
          <w:rFonts w:ascii="仿宋" w:hAnsi="仿宋" w:eastAsia="仿宋"/>
          <w:sz w:val="24"/>
        </w:rPr>
        <w:t>31.1   如果需要履约保证金，中标人应按照</w:t>
      </w:r>
      <w:r>
        <w:rPr>
          <w:rFonts w:ascii="仿宋" w:hAnsi="仿宋" w:eastAsia="仿宋"/>
          <w:sz w:val="24"/>
          <w:u w:val="single"/>
        </w:rPr>
        <w:t>投标人须知前附表</w:t>
      </w:r>
      <w:r>
        <w:rPr>
          <w:rFonts w:ascii="仿宋" w:hAnsi="仿宋" w:eastAsia="仿宋"/>
          <w:sz w:val="24"/>
        </w:rPr>
        <w:t>规定向采购人提交履约保证金保函（如格式见本章附件2）。经采购人同意，中标人也可以自愿采用其他履约保证金的提供方式。</w:t>
      </w:r>
    </w:p>
    <w:p>
      <w:pPr>
        <w:spacing w:line="360" w:lineRule="auto"/>
        <w:ind w:left="840" w:hanging="840" w:hangingChars="350"/>
        <w:rPr>
          <w:rFonts w:ascii="仿宋" w:hAnsi="仿宋" w:eastAsia="仿宋"/>
          <w:sz w:val="24"/>
        </w:rPr>
      </w:pPr>
      <w:r>
        <w:rPr>
          <w:rFonts w:ascii="仿宋" w:hAnsi="仿宋" w:eastAsia="仿宋"/>
          <w:sz w:val="24"/>
        </w:rPr>
        <w:t>31.2   政府采购利用担保试点范围内的项目，除31.1规定的情形外，中标人也可以按照财政部门的规定，向采购人提供合格的履约担保函。</w:t>
      </w:r>
    </w:p>
    <w:p>
      <w:pPr>
        <w:spacing w:line="360" w:lineRule="auto"/>
        <w:ind w:left="840" w:hanging="840" w:hangingChars="350"/>
        <w:rPr>
          <w:rFonts w:ascii="仿宋" w:hAnsi="仿宋" w:eastAsia="仿宋"/>
          <w:sz w:val="24"/>
        </w:rPr>
      </w:pPr>
      <w:r>
        <w:rPr>
          <w:rFonts w:ascii="仿宋" w:hAnsi="仿宋" w:eastAsia="仿宋"/>
          <w:sz w:val="24"/>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pPr>
        <w:tabs>
          <w:tab w:val="left" w:pos="0"/>
        </w:tabs>
        <w:spacing w:line="360" w:lineRule="auto"/>
        <w:rPr>
          <w:rFonts w:ascii="仿宋" w:hAnsi="仿宋" w:eastAsia="仿宋"/>
          <w:b/>
          <w:sz w:val="24"/>
        </w:rPr>
      </w:pPr>
      <w:bookmarkStart w:id="218" w:name="_Toc518923098"/>
      <w:bookmarkStart w:id="219" w:name="_Toc2583659"/>
      <w:bookmarkStart w:id="220" w:name="_Toc29408"/>
      <w:bookmarkStart w:id="221" w:name="_Toc532473486"/>
      <w:bookmarkStart w:id="222" w:name="_Toc515647794"/>
      <w:bookmarkStart w:id="223" w:name="_Toc2582300"/>
      <w:bookmarkStart w:id="224" w:name="_Toc3090"/>
      <w:r>
        <w:rPr>
          <w:rFonts w:ascii="仿宋" w:hAnsi="仿宋" w:eastAsia="仿宋"/>
          <w:b/>
          <w:sz w:val="24"/>
        </w:rPr>
        <w:t>32.</w:t>
      </w:r>
      <w:bookmarkEnd w:id="218"/>
      <w:r>
        <w:rPr>
          <w:rFonts w:ascii="仿宋" w:hAnsi="仿宋" w:eastAsia="仿宋"/>
          <w:b/>
          <w:sz w:val="24"/>
        </w:rPr>
        <w:t xml:space="preserve">    预付款</w:t>
      </w:r>
    </w:p>
    <w:p>
      <w:pPr>
        <w:spacing w:line="360" w:lineRule="auto"/>
        <w:ind w:left="847" w:hanging="847" w:hangingChars="353"/>
        <w:rPr>
          <w:rFonts w:ascii="仿宋" w:hAnsi="仿宋" w:eastAsia="仿宋"/>
          <w:sz w:val="24"/>
        </w:rPr>
      </w:pPr>
      <w:r>
        <w:rPr>
          <w:rFonts w:ascii="仿宋" w:hAnsi="仿宋" w:eastAsia="仿宋"/>
          <w:sz w:val="24"/>
        </w:rPr>
        <w:t>32.1   预付款是在指政府采购合同签订后、履行前，采购人向中标人预先支付部分合同款项，预付款比例按照投标人须知前附表规定执行。</w:t>
      </w:r>
    </w:p>
    <w:p>
      <w:pPr>
        <w:spacing w:line="360" w:lineRule="auto"/>
        <w:ind w:left="850" w:hanging="849" w:hangingChars="354"/>
        <w:rPr>
          <w:rFonts w:ascii="仿宋" w:hAnsi="仿宋" w:eastAsia="仿宋"/>
          <w:sz w:val="24"/>
        </w:rPr>
      </w:pPr>
      <w:r>
        <w:rPr>
          <w:rFonts w:ascii="仿宋" w:hAnsi="仿宋" w:eastAsia="仿宋"/>
          <w:sz w:val="24"/>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spacing w:line="360" w:lineRule="auto"/>
        <w:ind w:left="850" w:hanging="849" w:hangingChars="354"/>
        <w:rPr>
          <w:rFonts w:ascii="仿宋" w:hAnsi="仿宋" w:eastAsia="仿宋"/>
          <w:sz w:val="24"/>
          <w:u w:val="single"/>
        </w:rPr>
      </w:pPr>
      <w:r>
        <w:rPr>
          <w:rFonts w:ascii="仿宋" w:hAnsi="仿宋" w:eastAsia="仿宋"/>
          <w:sz w:val="24"/>
        </w:rPr>
        <w:t>32.3   本项目采购人不需要支付预付款的情形，见</w:t>
      </w:r>
      <w:r>
        <w:rPr>
          <w:rFonts w:ascii="仿宋" w:hAnsi="仿宋" w:eastAsia="仿宋"/>
          <w:sz w:val="24"/>
          <w:u w:val="single"/>
        </w:rPr>
        <w:t>投标人须知前附表。</w:t>
      </w:r>
    </w:p>
    <w:p>
      <w:pPr>
        <w:tabs>
          <w:tab w:val="left" w:pos="0"/>
        </w:tabs>
        <w:spacing w:line="360" w:lineRule="auto"/>
        <w:rPr>
          <w:rFonts w:ascii="仿宋" w:hAnsi="仿宋" w:eastAsia="仿宋"/>
          <w:b/>
          <w:sz w:val="24"/>
        </w:rPr>
      </w:pPr>
      <w:r>
        <w:rPr>
          <w:rFonts w:ascii="仿宋" w:hAnsi="仿宋" w:eastAsia="仿宋"/>
          <w:b/>
          <w:sz w:val="24"/>
        </w:rPr>
        <w:t>33.    招标代理服务费</w:t>
      </w:r>
      <w:bookmarkEnd w:id="219"/>
    </w:p>
    <w:p>
      <w:pPr>
        <w:spacing w:line="360" w:lineRule="auto"/>
        <w:ind w:left="840" w:leftChars="400"/>
        <w:rPr>
          <w:rFonts w:ascii="仿宋" w:hAnsi="仿宋" w:eastAsia="仿宋"/>
          <w:sz w:val="24"/>
        </w:rPr>
      </w:pPr>
      <w:r>
        <w:rPr>
          <w:rFonts w:ascii="仿宋" w:hAnsi="仿宋" w:eastAsia="仿宋"/>
          <w:sz w:val="24"/>
        </w:rPr>
        <w:t>本项目向采购代理机构支付招标代理服务费，按照</w:t>
      </w:r>
      <w:r>
        <w:rPr>
          <w:rFonts w:ascii="仿宋" w:hAnsi="仿宋" w:eastAsia="仿宋"/>
          <w:sz w:val="24"/>
          <w:u w:val="single"/>
        </w:rPr>
        <w:t>投标人须知前附表</w:t>
      </w:r>
      <w:r>
        <w:rPr>
          <w:rFonts w:ascii="仿宋" w:hAnsi="仿宋" w:eastAsia="仿宋"/>
          <w:sz w:val="24"/>
        </w:rPr>
        <w:t>规定执行。</w:t>
      </w:r>
    </w:p>
    <w:p>
      <w:pPr>
        <w:tabs>
          <w:tab w:val="left" w:pos="0"/>
        </w:tabs>
        <w:spacing w:line="360" w:lineRule="auto"/>
        <w:rPr>
          <w:rFonts w:ascii="仿宋" w:hAnsi="仿宋" w:eastAsia="仿宋"/>
          <w:b/>
          <w:sz w:val="24"/>
        </w:rPr>
      </w:pPr>
      <w:bookmarkStart w:id="225" w:name="_Toc2583660"/>
      <w:bookmarkStart w:id="226" w:name="_Toc518923099"/>
      <w:r>
        <w:rPr>
          <w:rFonts w:ascii="仿宋" w:hAnsi="仿宋" w:eastAsia="仿宋"/>
          <w:b/>
          <w:sz w:val="24"/>
        </w:rPr>
        <w:t>34.    政府采购信用担保</w:t>
      </w:r>
      <w:bookmarkEnd w:id="225"/>
      <w:bookmarkEnd w:id="226"/>
      <w:r>
        <w:rPr>
          <w:rFonts w:ascii="仿宋" w:hAnsi="仿宋" w:eastAsia="仿宋"/>
          <w:b/>
          <w:sz w:val="24"/>
        </w:rPr>
        <w:t>及融资</w:t>
      </w:r>
    </w:p>
    <w:p>
      <w:pPr>
        <w:spacing w:line="360" w:lineRule="auto"/>
        <w:ind w:left="900" w:hanging="900" w:hangingChars="375"/>
        <w:rPr>
          <w:rFonts w:ascii="仿宋" w:hAnsi="仿宋" w:eastAsia="仿宋"/>
          <w:sz w:val="24"/>
        </w:rPr>
      </w:pPr>
      <w:r>
        <w:rPr>
          <w:rFonts w:ascii="仿宋" w:hAnsi="仿宋" w:eastAsia="仿宋"/>
          <w:sz w:val="24"/>
        </w:rPr>
        <w:t>34.1   投标人递交的履约担保函应符合本招标文件的规定。</w:t>
      </w:r>
    </w:p>
    <w:p>
      <w:pPr>
        <w:spacing w:line="360" w:lineRule="auto"/>
        <w:ind w:left="850" w:hanging="849" w:hangingChars="354"/>
        <w:rPr>
          <w:rFonts w:ascii="仿宋" w:hAnsi="仿宋" w:eastAsia="仿宋"/>
          <w:sz w:val="24"/>
        </w:rPr>
      </w:pPr>
      <w:r>
        <w:rPr>
          <w:rFonts w:ascii="仿宋" w:hAnsi="仿宋" w:eastAsia="仿宋"/>
          <w:sz w:val="24"/>
        </w:rPr>
        <w:t>34.2   为缓解中小企业融资困难，陕西省财政厅出台了《陕西省中小企业政府采购信用融资办法》（陕财办采﹝2018﹞23号），中标投标人如有融资需求，可登录“陕西省政府采购网-陕西省政府采购信用融资平台</w:t>
      </w:r>
      <w:r>
        <w:rPr>
          <w:rFonts w:hint="eastAsia" w:ascii="仿宋" w:hAnsi="仿宋" w:eastAsia="仿宋"/>
          <w:sz w:val="24"/>
        </w:rPr>
        <w:t>（http://www.ccgp-shaanxi.gov.cn/zcdservice/zcd/shanxi/）</w:t>
      </w:r>
      <w:r>
        <w:rPr>
          <w:rFonts w:ascii="仿宋" w:hAnsi="仿宋" w:eastAsia="仿宋"/>
          <w:sz w:val="24"/>
        </w:rPr>
        <w:t>”了解详情。</w:t>
      </w:r>
    </w:p>
    <w:p>
      <w:pPr>
        <w:pStyle w:val="13"/>
        <w:spacing w:before="0" w:line="360" w:lineRule="auto"/>
        <w:ind w:left="840" w:leftChars="400"/>
        <w:rPr>
          <w:rFonts w:ascii="仿宋" w:hAnsi="仿宋" w:eastAsia="仿宋"/>
        </w:rPr>
      </w:pPr>
      <w:r>
        <w:rPr>
          <w:rFonts w:hint="eastAsia" w:ascii="仿宋" w:hAnsi="仿宋" w:eastAsia="仿宋"/>
        </w:rPr>
        <w:t>政府采购信用融资，是指银行业金融机构（以下简称银行）以政府采购诚信考核和信用审查为基础，凭借政府采购合同，按优于一般中小企业的贷款利率直接向申请贷款的投标人发放贷款的一种融资方式。</w:t>
      </w:r>
    </w:p>
    <w:p>
      <w:pPr>
        <w:pStyle w:val="13"/>
        <w:spacing w:before="0" w:line="360" w:lineRule="auto"/>
        <w:ind w:left="840" w:leftChars="400"/>
        <w:rPr>
          <w:rFonts w:ascii="仿宋" w:hAnsi="仿宋" w:eastAsia="仿宋"/>
        </w:rPr>
      </w:pPr>
      <w:r>
        <w:rPr>
          <w:rFonts w:ascii="仿宋" w:hAnsi="仿宋" w:eastAsia="仿宋"/>
        </w:rPr>
        <w:t>政府采购投标人申请信用融资时，如融资金额未超过政府采购合同金额的，银行原则上不得要求投标人提供财产抵押或第三方担保，或附加其他任何形式的担保条件，切实做到以政府采购信用为基础，简化手续，提高效率，降低投标人融资成本。</w:t>
      </w:r>
    </w:p>
    <w:p>
      <w:pPr>
        <w:pStyle w:val="13"/>
        <w:spacing w:before="0" w:line="360" w:lineRule="auto"/>
        <w:ind w:left="840" w:leftChars="400"/>
        <w:rPr>
          <w:rFonts w:ascii="仿宋" w:hAnsi="仿宋" w:eastAsia="仿宋"/>
        </w:rPr>
      </w:pPr>
      <w:r>
        <w:rPr>
          <w:rFonts w:ascii="仿宋" w:hAnsi="仿宋" w:eastAsia="仿宋"/>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13"/>
        <w:spacing w:before="0" w:line="360" w:lineRule="auto"/>
        <w:ind w:left="840" w:leftChars="400"/>
        <w:rPr>
          <w:rFonts w:ascii="仿宋" w:hAnsi="仿宋" w:eastAsia="仿宋"/>
        </w:rPr>
      </w:pPr>
      <w:r>
        <w:rPr>
          <w:rFonts w:ascii="仿宋" w:hAnsi="仿宋" w:eastAsia="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13"/>
        <w:spacing w:before="0" w:line="360" w:lineRule="auto"/>
        <w:ind w:left="840" w:leftChars="400"/>
        <w:rPr>
          <w:rFonts w:ascii="仿宋" w:hAnsi="仿宋" w:eastAsia="仿宋"/>
        </w:rPr>
      </w:pPr>
      <w:r>
        <w:rPr>
          <w:rFonts w:ascii="仿宋" w:hAnsi="仿宋" w:eastAsia="仿宋"/>
        </w:rPr>
        <w:t>对拟用于信用融资的政府采购合同，投标人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13"/>
        <w:spacing w:before="0" w:line="360" w:lineRule="auto"/>
        <w:ind w:left="840" w:leftChars="400"/>
        <w:rPr>
          <w:rFonts w:ascii="仿宋" w:hAnsi="仿宋" w:eastAsia="仿宋"/>
        </w:rPr>
      </w:pPr>
      <w:r>
        <w:rPr>
          <w:rFonts w:hint="eastAsia" w:ascii="仿宋" w:hAnsi="仿宋" w:eastAsia="仿宋"/>
        </w:rPr>
        <w:t>业务流程简图如下：</w:t>
      </w:r>
    </w:p>
    <w:p>
      <w:pPr>
        <w:pStyle w:val="13"/>
        <w:spacing w:before="0" w:line="360" w:lineRule="auto"/>
        <w:jc w:val="center"/>
        <w:rPr>
          <w:rFonts w:ascii="仿宋" w:hAnsi="仿宋" w:eastAsia="仿宋"/>
        </w:rPr>
      </w:pPr>
      <w:r>
        <w:rPr>
          <w:rFonts w:ascii="仿宋" w:hAnsi="仿宋" w:eastAsia="仿宋"/>
        </w:rPr>
        <w:drawing>
          <wp:inline distT="0" distB="0" distL="0" distR="0">
            <wp:extent cx="5303520" cy="3104515"/>
            <wp:effectExtent l="0" t="0" r="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5">
                      <a:extLst>
                        <a:ext uri="{28A0092B-C50C-407E-A947-70E740481C1C}">
                          <a14:useLocalDpi xmlns:a14="http://schemas.microsoft.com/office/drawing/2010/main" val="0"/>
                        </a:ext>
                      </a:extLst>
                    </a:blip>
                    <a:srcRect l="3312" t="3685" r="3808" b="1936"/>
                    <a:stretch>
                      <a:fillRect/>
                    </a:stretch>
                  </pic:blipFill>
                  <pic:spPr>
                    <a:xfrm>
                      <a:off x="0" y="0"/>
                      <a:ext cx="5367531" cy="3142381"/>
                    </a:xfrm>
                    <a:prstGeom prst="rect">
                      <a:avLst/>
                    </a:prstGeom>
                    <a:noFill/>
                    <a:ln>
                      <a:noFill/>
                    </a:ln>
                  </pic:spPr>
                </pic:pic>
              </a:graphicData>
            </a:graphic>
          </wp:inline>
        </w:drawing>
      </w:r>
    </w:p>
    <w:p>
      <w:pPr>
        <w:pStyle w:val="13"/>
        <w:spacing w:before="0" w:line="360" w:lineRule="auto"/>
        <w:jc w:val="center"/>
        <w:rPr>
          <w:rFonts w:ascii="仿宋" w:hAnsi="仿宋" w:eastAsia="仿宋"/>
        </w:rPr>
      </w:pPr>
      <w:r>
        <w:rPr>
          <w:rFonts w:ascii="仿宋" w:hAnsi="仿宋" w:eastAsia="仿宋"/>
        </w:rPr>
        <w:drawing>
          <wp:inline distT="0" distB="0" distL="0" distR="0">
            <wp:extent cx="5304790" cy="30194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l="3471" t="3533" r="3305" b="2059"/>
                    <a:stretch>
                      <a:fillRect/>
                    </a:stretch>
                  </pic:blipFill>
                  <pic:spPr>
                    <a:xfrm>
                      <a:off x="0" y="0"/>
                      <a:ext cx="5333729" cy="3035566"/>
                    </a:xfrm>
                    <a:prstGeom prst="rect">
                      <a:avLst/>
                    </a:prstGeom>
                    <a:noFill/>
                    <a:ln>
                      <a:noFill/>
                    </a:ln>
                  </pic:spPr>
                </pic:pic>
              </a:graphicData>
            </a:graphic>
          </wp:inline>
        </w:drawing>
      </w:r>
    </w:p>
    <w:p>
      <w:pPr>
        <w:pStyle w:val="13"/>
        <w:spacing w:before="0" w:line="360" w:lineRule="auto"/>
        <w:rPr>
          <w:rFonts w:ascii="仿宋" w:hAnsi="仿宋" w:eastAsia="仿宋"/>
        </w:rPr>
      </w:pPr>
      <w:r>
        <w:rPr>
          <w:rFonts w:ascii="仿宋" w:hAnsi="仿宋" w:eastAsia="仿宋"/>
        </w:rPr>
        <w:t>省级政府采购项目贷款银行信息：</w:t>
      </w:r>
    </w:p>
    <w:p>
      <w:pPr>
        <w:spacing w:line="360" w:lineRule="auto"/>
        <w:rPr>
          <w:rFonts w:ascii="仿宋" w:hAnsi="仿宋" w:eastAsia="仿宋"/>
          <w:b/>
          <w:sz w:val="24"/>
        </w:rPr>
      </w:pPr>
      <w:r>
        <w:rPr>
          <w:rFonts w:ascii="仿宋" w:hAnsi="仿宋" w:eastAsia="仿宋"/>
          <w:b/>
          <w:sz w:val="24"/>
        </w:rPr>
        <w:t>一、陕西建行（E政通）</w:t>
      </w:r>
    </w:p>
    <w:p>
      <w:pPr>
        <w:spacing w:line="360" w:lineRule="auto"/>
        <w:ind w:firstLine="480" w:firstLineChars="200"/>
        <w:rPr>
          <w:rFonts w:ascii="仿宋" w:hAnsi="仿宋" w:eastAsia="仿宋"/>
          <w:sz w:val="24"/>
        </w:rPr>
      </w:pPr>
      <w:r>
        <w:rPr>
          <w:rFonts w:ascii="仿宋" w:hAnsi="仿宋" w:eastAsia="仿宋"/>
          <w:sz w:val="24"/>
        </w:rPr>
        <w:t>陕西省分行营业部</w:t>
      </w:r>
      <w:r>
        <w:rPr>
          <w:rFonts w:ascii="仿宋" w:hAnsi="仿宋" w:eastAsia="仿宋"/>
          <w:sz w:val="24"/>
        </w:rPr>
        <w:tab/>
      </w:r>
      <w:r>
        <w:rPr>
          <w:rFonts w:ascii="仿宋" w:hAnsi="仿宋" w:eastAsia="仿宋"/>
          <w:sz w:val="24"/>
        </w:rPr>
        <w:t>西安市南广济街38号</w:t>
      </w:r>
      <w:r>
        <w:rPr>
          <w:rFonts w:ascii="仿宋" w:hAnsi="仿宋" w:eastAsia="仿宋"/>
          <w:sz w:val="24"/>
        </w:rPr>
        <w:tab/>
      </w:r>
      <w:r>
        <w:rPr>
          <w:rFonts w:ascii="仿宋" w:hAnsi="仿宋" w:eastAsia="仿宋"/>
          <w:sz w:val="24"/>
        </w:rPr>
        <w:t>白玉皓</w:t>
      </w:r>
      <w:r>
        <w:rPr>
          <w:rFonts w:ascii="仿宋" w:hAnsi="仿宋" w:eastAsia="仿宋"/>
          <w:sz w:val="24"/>
        </w:rPr>
        <w:tab/>
      </w:r>
      <w:r>
        <w:rPr>
          <w:rFonts w:ascii="仿宋" w:hAnsi="仿宋" w:eastAsia="仿宋"/>
          <w:sz w:val="24"/>
        </w:rPr>
        <w:t>13201603166</w:t>
      </w:r>
    </w:p>
    <w:p>
      <w:pPr>
        <w:spacing w:line="360" w:lineRule="auto"/>
        <w:ind w:firstLine="480" w:firstLineChars="200"/>
        <w:rPr>
          <w:rFonts w:ascii="仿宋" w:hAnsi="仿宋" w:eastAsia="仿宋"/>
          <w:sz w:val="24"/>
        </w:rPr>
      </w:pPr>
      <w:r>
        <w:rPr>
          <w:rFonts w:ascii="仿宋" w:hAnsi="仿宋" w:eastAsia="仿宋"/>
          <w:sz w:val="24"/>
        </w:rPr>
        <w:t>西安莲湖路支行</w:t>
      </w:r>
      <w:r>
        <w:rPr>
          <w:rFonts w:ascii="仿宋" w:hAnsi="仿宋" w:eastAsia="仿宋"/>
          <w:sz w:val="24"/>
        </w:rPr>
        <w:tab/>
      </w:r>
      <w:r>
        <w:rPr>
          <w:rFonts w:ascii="仿宋" w:hAnsi="仿宋" w:eastAsia="仿宋"/>
          <w:sz w:val="24"/>
        </w:rPr>
        <w:t>西安市莲湖路35号</w:t>
      </w:r>
      <w:r>
        <w:rPr>
          <w:rFonts w:ascii="仿宋" w:hAnsi="仿宋" w:eastAsia="仿宋"/>
          <w:sz w:val="24"/>
        </w:rPr>
        <w:tab/>
      </w:r>
      <w:r>
        <w:rPr>
          <w:rFonts w:ascii="仿宋" w:hAnsi="仿宋" w:eastAsia="仿宋"/>
          <w:sz w:val="24"/>
        </w:rPr>
        <w:t>刘冲</w:t>
      </w:r>
      <w:r>
        <w:rPr>
          <w:rFonts w:ascii="仿宋" w:hAnsi="仿宋" w:eastAsia="仿宋"/>
          <w:sz w:val="24"/>
        </w:rPr>
        <w:tab/>
      </w:r>
      <w:r>
        <w:rPr>
          <w:rFonts w:ascii="仿宋" w:hAnsi="仿宋" w:eastAsia="仿宋"/>
          <w:sz w:val="24"/>
        </w:rPr>
        <w:t>17702902131</w:t>
      </w:r>
    </w:p>
    <w:p>
      <w:pPr>
        <w:spacing w:line="360" w:lineRule="auto"/>
        <w:ind w:firstLine="480" w:firstLineChars="200"/>
        <w:rPr>
          <w:rFonts w:ascii="仿宋" w:hAnsi="仿宋" w:eastAsia="仿宋"/>
          <w:sz w:val="24"/>
        </w:rPr>
      </w:pPr>
      <w:r>
        <w:rPr>
          <w:rFonts w:ascii="仿宋" w:hAnsi="仿宋" w:eastAsia="仿宋"/>
          <w:sz w:val="24"/>
        </w:rPr>
        <w:t>西安曲江支行</w:t>
      </w:r>
      <w:r>
        <w:rPr>
          <w:rFonts w:ascii="仿宋" w:hAnsi="仿宋" w:eastAsia="仿宋"/>
          <w:sz w:val="24"/>
        </w:rPr>
        <w:tab/>
      </w:r>
      <w:r>
        <w:rPr>
          <w:rFonts w:ascii="仿宋" w:hAnsi="仿宋" w:eastAsia="仿宋"/>
          <w:sz w:val="24"/>
        </w:rPr>
        <w:t>西安市雁塔南路2216号</w:t>
      </w:r>
      <w:r>
        <w:rPr>
          <w:rFonts w:ascii="仿宋" w:hAnsi="仿宋" w:eastAsia="仿宋"/>
          <w:sz w:val="24"/>
        </w:rPr>
        <w:tab/>
      </w:r>
      <w:r>
        <w:rPr>
          <w:rFonts w:ascii="仿宋" w:hAnsi="仿宋" w:eastAsia="仿宋"/>
          <w:sz w:val="24"/>
        </w:rPr>
        <w:t>樊理君</w:t>
      </w:r>
      <w:r>
        <w:rPr>
          <w:rFonts w:ascii="仿宋" w:hAnsi="仿宋" w:eastAsia="仿宋"/>
          <w:sz w:val="24"/>
        </w:rPr>
        <w:tab/>
      </w:r>
      <w:r>
        <w:rPr>
          <w:rFonts w:ascii="仿宋" w:hAnsi="仿宋" w:eastAsia="仿宋"/>
          <w:sz w:val="24"/>
        </w:rPr>
        <w:t>18691568151</w:t>
      </w:r>
    </w:p>
    <w:p>
      <w:pPr>
        <w:spacing w:line="360" w:lineRule="auto"/>
        <w:ind w:firstLine="480" w:firstLineChars="200"/>
        <w:rPr>
          <w:rFonts w:ascii="仿宋" w:hAnsi="仿宋" w:eastAsia="仿宋"/>
          <w:sz w:val="24"/>
        </w:rPr>
      </w:pPr>
      <w:r>
        <w:rPr>
          <w:rFonts w:ascii="仿宋" w:hAnsi="仿宋" w:eastAsia="仿宋"/>
          <w:sz w:val="24"/>
        </w:rPr>
        <w:t>西安高新区支行</w:t>
      </w:r>
      <w:r>
        <w:rPr>
          <w:rFonts w:ascii="仿宋" w:hAnsi="仿宋" w:eastAsia="仿宋"/>
          <w:sz w:val="24"/>
        </w:rPr>
        <w:tab/>
      </w:r>
      <w:r>
        <w:rPr>
          <w:rFonts w:ascii="仿宋" w:hAnsi="仿宋" w:eastAsia="仿宋"/>
          <w:sz w:val="24"/>
        </w:rPr>
        <w:t>西安市高新路42号</w:t>
      </w:r>
      <w:r>
        <w:rPr>
          <w:rFonts w:ascii="仿宋" w:hAnsi="仿宋" w:eastAsia="仿宋"/>
          <w:sz w:val="24"/>
        </w:rPr>
        <w:tab/>
      </w:r>
      <w:r>
        <w:rPr>
          <w:rFonts w:ascii="仿宋" w:hAnsi="仿宋" w:eastAsia="仿宋"/>
          <w:sz w:val="24"/>
        </w:rPr>
        <w:t>卞斯超</w:t>
      </w:r>
      <w:r>
        <w:rPr>
          <w:rFonts w:ascii="仿宋" w:hAnsi="仿宋" w:eastAsia="仿宋"/>
          <w:sz w:val="24"/>
        </w:rPr>
        <w:tab/>
      </w:r>
      <w:r>
        <w:rPr>
          <w:rFonts w:ascii="仿宋" w:hAnsi="仿宋" w:eastAsia="仿宋"/>
          <w:sz w:val="24"/>
        </w:rPr>
        <w:t>15191075651</w:t>
      </w:r>
    </w:p>
    <w:p>
      <w:pPr>
        <w:spacing w:line="360" w:lineRule="auto"/>
        <w:ind w:firstLine="480" w:firstLineChars="200"/>
        <w:rPr>
          <w:rFonts w:ascii="仿宋" w:hAnsi="仿宋" w:eastAsia="仿宋"/>
          <w:sz w:val="24"/>
        </w:rPr>
      </w:pPr>
      <w:r>
        <w:rPr>
          <w:rFonts w:ascii="仿宋" w:hAnsi="仿宋" w:eastAsia="仿宋"/>
          <w:sz w:val="24"/>
        </w:rPr>
        <w:t>西安经开区支行</w:t>
      </w:r>
      <w:r>
        <w:rPr>
          <w:rFonts w:ascii="仿宋" w:hAnsi="仿宋" w:eastAsia="仿宋"/>
          <w:sz w:val="24"/>
        </w:rPr>
        <w:tab/>
      </w:r>
      <w:r>
        <w:rPr>
          <w:rFonts w:ascii="仿宋" w:hAnsi="仿宋" w:eastAsia="仿宋"/>
          <w:sz w:val="24"/>
        </w:rPr>
        <w:t>西安市未央路125号</w:t>
      </w:r>
      <w:r>
        <w:rPr>
          <w:rFonts w:ascii="仿宋" w:hAnsi="仿宋" w:eastAsia="仿宋"/>
          <w:sz w:val="24"/>
        </w:rPr>
        <w:tab/>
      </w:r>
      <w:r>
        <w:rPr>
          <w:rFonts w:ascii="仿宋" w:hAnsi="仿宋" w:eastAsia="仿宋"/>
          <w:sz w:val="24"/>
        </w:rPr>
        <w:t>惠媛</w:t>
      </w:r>
      <w:r>
        <w:rPr>
          <w:rFonts w:ascii="仿宋" w:hAnsi="仿宋" w:eastAsia="仿宋"/>
          <w:sz w:val="24"/>
        </w:rPr>
        <w:tab/>
      </w:r>
      <w:r>
        <w:rPr>
          <w:rFonts w:ascii="仿宋" w:hAnsi="仿宋" w:eastAsia="仿宋"/>
          <w:sz w:val="24"/>
        </w:rPr>
        <w:t>17792256100</w:t>
      </w:r>
    </w:p>
    <w:p>
      <w:pPr>
        <w:spacing w:line="360" w:lineRule="auto"/>
        <w:ind w:firstLine="480" w:firstLineChars="200"/>
        <w:rPr>
          <w:rFonts w:ascii="仿宋" w:hAnsi="仿宋" w:eastAsia="仿宋"/>
          <w:sz w:val="24"/>
        </w:rPr>
      </w:pPr>
      <w:r>
        <w:rPr>
          <w:rFonts w:ascii="仿宋" w:hAnsi="仿宋" w:eastAsia="仿宋"/>
          <w:sz w:val="24"/>
        </w:rPr>
        <w:t>西安南大街支行</w:t>
      </w:r>
      <w:r>
        <w:rPr>
          <w:rFonts w:ascii="仿宋" w:hAnsi="仿宋" w:eastAsia="仿宋"/>
          <w:sz w:val="24"/>
        </w:rPr>
        <w:tab/>
      </w:r>
      <w:r>
        <w:rPr>
          <w:rFonts w:ascii="仿宋" w:hAnsi="仿宋" w:eastAsia="仿宋"/>
          <w:sz w:val="24"/>
        </w:rPr>
        <w:t>西安市南大街15号</w:t>
      </w:r>
      <w:r>
        <w:rPr>
          <w:rFonts w:ascii="仿宋" w:hAnsi="仿宋" w:eastAsia="仿宋"/>
          <w:sz w:val="24"/>
        </w:rPr>
        <w:tab/>
      </w:r>
      <w:r>
        <w:rPr>
          <w:rFonts w:ascii="仿宋" w:hAnsi="仿宋" w:eastAsia="仿宋"/>
          <w:sz w:val="24"/>
        </w:rPr>
        <w:t>乔鉴</w:t>
      </w:r>
      <w:r>
        <w:rPr>
          <w:rFonts w:ascii="仿宋" w:hAnsi="仿宋" w:eastAsia="仿宋"/>
          <w:sz w:val="24"/>
        </w:rPr>
        <w:tab/>
      </w:r>
      <w:r>
        <w:rPr>
          <w:rFonts w:ascii="仿宋" w:hAnsi="仿宋" w:eastAsia="仿宋"/>
          <w:sz w:val="24"/>
        </w:rPr>
        <w:t>18089136919</w:t>
      </w:r>
    </w:p>
    <w:p>
      <w:pPr>
        <w:spacing w:line="360" w:lineRule="auto"/>
        <w:ind w:firstLine="480" w:firstLineChars="200"/>
        <w:rPr>
          <w:rFonts w:ascii="仿宋" w:hAnsi="仿宋" w:eastAsia="仿宋"/>
          <w:sz w:val="24"/>
        </w:rPr>
      </w:pPr>
      <w:r>
        <w:rPr>
          <w:rFonts w:ascii="仿宋" w:hAnsi="仿宋" w:eastAsia="仿宋"/>
          <w:sz w:val="24"/>
        </w:rPr>
        <w:t>西安和平路支行</w:t>
      </w:r>
      <w:r>
        <w:rPr>
          <w:rFonts w:ascii="仿宋" w:hAnsi="仿宋" w:eastAsia="仿宋"/>
          <w:sz w:val="24"/>
        </w:rPr>
        <w:tab/>
      </w:r>
      <w:r>
        <w:rPr>
          <w:rFonts w:ascii="仿宋" w:hAnsi="仿宋" w:eastAsia="仿宋"/>
          <w:sz w:val="24"/>
        </w:rPr>
        <w:t>西安市和平路101号</w:t>
      </w:r>
      <w:r>
        <w:rPr>
          <w:rFonts w:ascii="仿宋" w:hAnsi="仿宋" w:eastAsia="仿宋"/>
          <w:sz w:val="24"/>
        </w:rPr>
        <w:tab/>
      </w:r>
      <w:r>
        <w:rPr>
          <w:rFonts w:ascii="仿宋" w:hAnsi="仿宋" w:eastAsia="仿宋"/>
          <w:sz w:val="24"/>
        </w:rPr>
        <w:t>陈歆</w:t>
      </w:r>
      <w:r>
        <w:rPr>
          <w:rFonts w:ascii="仿宋" w:hAnsi="仿宋" w:eastAsia="仿宋"/>
          <w:sz w:val="24"/>
        </w:rPr>
        <w:tab/>
      </w:r>
      <w:r>
        <w:rPr>
          <w:rFonts w:ascii="仿宋" w:hAnsi="仿宋" w:eastAsia="仿宋"/>
          <w:sz w:val="24"/>
        </w:rPr>
        <w:t>18691816821</w:t>
      </w:r>
    </w:p>
    <w:p>
      <w:pPr>
        <w:spacing w:line="360" w:lineRule="auto"/>
        <w:ind w:firstLine="480" w:firstLineChars="200"/>
        <w:rPr>
          <w:rFonts w:ascii="仿宋" w:hAnsi="仿宋" w:eastAsia="仿宋"/>
          <w:sz w:val="24"/>
        </w:rPr>
      </w:pPr>
      <w:r>
        <w:rPr>
          <w:rFonts w:ascii="仿宋" w:hAnsi="仿宋" w:eastAsia="仿宋"/>
          <w:sz w:val="24"/>
        </w:rPr>
        <w:t>西安兴庆路支行</w:t>
      </w:r>
      <w:r>
        <w:rPr>
          <w:rFonts w:ascii="仿宋" w:hAnsi="仿宋" w:eastAsia="仿宋"/>
          <w:sz w:val="24"/>
        </w:rPr>
        <w:tab/>
      </w:r>
      <w:r>
        <w:rPr>
          <w:rFonts w:ascii="仿宋" w:hAnsi="仿宋" w:eastAsia="仿宋"/>
          <w:sz w:val="24"/>
        </w:rPr>
        <w:t>西安市兴庆路61号</w:t>
      </w:r>
      <w:r>
        <w:rPr>
          <w:rFonts w:ascii="仿宋" w:hAnsi="仿宋" w:eastAsia="仿宋"/>
          <w:sz w:val="24"/>
        </w:rPr>
        <w:tab/>
      </w:r>
      <w:r>
        <w:rPr>
          <w:rFonts w:ascii="仿宋" w:hAnsi="仿宋" w:eastAsia="仿宋"/>
          <w:sz w:val="24"/>
        </w:rPr>
        <w:t>李妍</w:t>
      </w:r>
      <w:r>
        <w:rPr>
          <w:rFonts w:ascii="仿宋" w:hAnsi="仿宋" w:eastAsia="仿宋"/>
          <w:sz w:val="24"/>
        </w:rPr>
        <w:tab/>
      </w:r>
      <w:r>
        <w:rPr>
          <w:rFonts w:ascii="仿宋" w:hAnsi="仿宋" w:eastAsia="仿宋"/>
          <w:sz w:val="24"/>
        </w:rPr>
        <w:t>13892880386</w:t>
      </w:r>
    </w:p>
    <w:p>
      <w:pPr>
        <w:spacing w:line="360" w:lineRule="auto"/>
        <w:ind w:firstLine="480" w:firstLineChars="200"/>
        <w:rPr>
          <w:rFonts w:ascii="仿宋" w:hAnsi="仿宋" w:eastAsia="仿宋"/>
          <w:sz w:val="24"/>
        </w:rPr>
      </w:pPr>
      <w:r>
        <w:rPr>
          <w:rFonts w:ascii="仿宋" w:hAnsi="仿宋" w:eastAsia="仿宋"/>
          <w:sz w:val="24"/>
        </w:rPr>
        <w:t>西安新城支行</w:t>
      </w:r>
      <w:r>
        <w:rPr>
          <w:rFonts w:ascii="仿宋" w:hAnsi="仿宋" w:eastAsia="仿宋"/>
          <w:sz w:val="24"/>
        </w:rPr>
        <w:tab/>
      </w:r>
      <w:r>
        <w:rPr>
          <w:rFonts w:ascii="仿宋" w:hAnsi="仿宋" w:eastAsia="仿宋"/>
          <w:sz w:val="24"/>
        </w:rPr>
        <w:t>西安市南新街29号</w:t>
      </w:r>
      <w:r>
        <w:rPr>
          <w:rFonts w:ascii="仿宋" w:hAnsi="仿宋" w:eastAsia="仿宋"/>
          <w:sz w:val="24"/>
        </w:rPr>
        <w:tab/>
      </w:r>
      <w:r>
        <w:rPr>
          <w:rFonts w:ascii="仿宋" w:hAnsi="仿宋" w:eastAsia="仿宋"/>
          <w:sz w:val="24"/>
        </w:rPr>
        <w:t>朱子君</w:t>
      </w:r>
      <w:r>
        <w:rPr>
          <w:rFonts w:ascii="仿宋" w:hAnsi="仿宋" w:eastAsia="仿宋"/>
          <w:sz w:val="24"/>
        </w:rPr>
        <w:tab/>
      </w:r>
      <w:r>
        <w:rPr>
          <w:rFonts w:ascii="仿宋" w:hAnsi="仿宋" w:eastAsia="仿宋"/>
          <w:sz w:val="24"/>
        </w:rPr>
        <w:t>18629286269</w:t>
      </w:r>
    </w:p>
    <w:p>
      <w:pPr>
        <w:spacing w:line="360" w:lineRule="auto"/>
        <w:ind w:firstLine="480" w:firstLineChars="200"/>
        <w:rPr>
          <w:rFonts w:ascii="仿宋" w:hAnsi="仿宋" w:eastAsia="仿宋"/>
          <w:sz w:val="24"/>
        </w:rPr>
      </w:pPr>
      <w:r>
        <w:rPr>
          <w:rFonts w:ascii="仿宋" w:hAnsi="仿宋" w:eastAsia="仿宋"/>
          <w:sz w:val="24"/>
        </w:rPr>
        <w:t>西安长安区支行</w:t>
      </w:r>
      <w:r>
        <w:rPr>
          <w:rFonts w:ascii="仿宋" w:hAnsi="仿宋" w:eastAsia="仿宋"/>
          <w:sz w:val="24"/>
        </w:rPr>
        <w:tab/>
      </w:r>
      <w:r>
        <w:rPr>
          <w:rFonts w:ascii="仿宋" w:hAnsi="仿宋" w:eastAsia="仿宋"/>
          <w:sz w:val="24"/>
        </w:rPr>
        <w:t>西安市长安区青年街2号</w:t>
      </w:r>
      <w:r>
        <w:rPr>
          <w:rFonts w:ascii="仿宋" w:hAnsi="仿宋" w:eastAsia="仿宋"/>
          <w:sz w:val="24"/>
        </w:rPr>
        <w:tab/>
      </w:r>
      <w:r>
        <w:rPr>
          <w:rFonts w:ascii="仿宋" w:hAnsi="仿宋" w:eastAsia="仿宋"/>
          <w:sz w:val="24"/>
        </w:rPr>
        <w:t>王淑芸</w:t>
      </w:r>
      <w:r>
        <w:rPr>
          <w:rFonts w:ascii="仿宋" w:hAnsi="仿宋" w:eastAsia="仿宋"/>
          <w:sz w:val="24"/>
        </w:rPr>
        <w:tab/>
      </w:r>
      <w:r>
        <w:rPr>
          <w:rFonts w:ascii="仿宋" w:hAnsi="仿宋" w:eastAsia="仿宋"/>
          <w:sz w:val="24"/>
        </w:rPr>
        <w:t>13572289603</w:t>
      </w:r>
    </w:p>
    <w:p>
      <w:pPr>
        <w:spacing w:line="360" w:lineRule="auto"/>
        <w:ind w:firstLine="480" w:firstLineChars="200"/>
        <w:rPr>
          <w:rFonts w:ascii="仿宋" w:hAnsi="仿宋" w:eastAsia="仿宋"/>
          <w:sz w:val="24"/>
        </w:rPr>
      </w:pPr>
      <w:r>
        <w:rPr>
          <w:rFonts w:ascii="仿宋" w:hAnsi="仿宋" w:eastAsia="仿宋"/>
          <w:sz w:val="24"/>
        </w:rPr>
        <w:t>咸阳分行</w:t>
      </w:r>
      <w:r>
        <w:rPr>
          <w:rFonts w:ascii="仿宋" w:hAnsi="仿宋" w:eastAsia="仿宋"/>
          <w:sz w:val="24"/>
        </w:rPr>
        <w:tab/>
      </w:r>
      <w:r>
        <w:rPr>
          <w:rFonts w:ascii="仿宋" w:hAnsi="仿宋" w:eastAsia="仿宋"/>
          <w:sz w:val="24"/>
        </w:rPr>
        <w:t>咸阳市西兰路4号</w:t>
      </w:r>
      <w:r>
        <w:rPr>
          <w:rFonts w:ascii="仿宋" w:hAnsi="仿宋" w:eastAsia="仿宋"/>
          <w:sz w:val="24"/>
        </w:rPr>
        <w:tab/>
      </w:r>
      <w:r>
        <w:rPr>
          <w:rFonts w:ascii="仿宋" w:hAnsi="仿宋" w:eastAsia="仿宋"/>
          <w:sz w:val="24"/>
        </w:rPr>
        <w:t>邰洋</w:t>
      </w:r>
      <w:r>
        <w:rPr>
          <w:rFonts w:ascii="仿宋" w:hAnsi="仿宋" w:eastAsia="仿宋"/>
          <w:sz w:val="24"/>
        </w:rPr>
        <w:tab/>
      </w:r>
      <w:r>
        <w:rPr>
          <w:rFonts w:ascii="仿宋" w:hAnsi="仿宋" w:eastAsia="仿宋"/>
          <w:sz w:val="24"/>
        </w:rPr>
        <w:t>13299079906</w:t>
      </w:r>
    </w:p>
    <w:p>
      <w:pPr>
        <w:spacing w:line="360" w:lineRule="auto"/>
        <w:ind w:firstLine="480" w:firstLineChars="200"/>
        <w:rPr>
          <w:rFonts w:ascii="仿宋" w:hAnsi="仿宋" w:eastAsia="仿宋"/>
          <w:sz w:val="24"/>
        </w:rPr>
      </w:pPr>
      <w:r>
        <w:rPr>
          <w:rFonts w:ascii="仿宋" w:hAnsi="仿宋" w:eastAsia="仿宋"/>
          <w:sz w:val="24"/>
        </w:rPr>
        <w:t>宝鸡分行</w:t>
      </w:r>
      <w:r>
        <w:rPr>
          <w:rFonts w:ascii="仿宋" w:hAnsi="仿宋" w:eastAsia="仿宋"/>
          <w:sz w:val="24"/>
        </w:rPr>
        <w:tab/>
      </w:r>
      <w:r>
        <w:rPr>
          <w:rFonts w:ascii="仿宋" w:hAnsi="仿宋" w:eastAsia="仿宋"/>
          <w:sz w:val="24"/>
        </w:rPr>
        <w:t>宝鸡市红旗路36号</w:t>
      </w:r>
      <w:r>
        <w:rPr>
          <w:rFonts w:ascii="仿宋" w:hAnsi="仿宋" w:eastAsia="仿宋"/>
          <w:sz w:val="24"/>
        </w:rPr>
        <w:tab/>
      </w:r>
      <w:r>
        <w:rPr>
          <w:rFonts w:ascii="仿宋" w:hAnsi="仿宋" w:eastAsia="仿宋"/>
          <w:sz w:val="24"/>
        </w:rPr>
        <w:t>李倩</w:t>
      </w:r>
      <w:r>
        <w:rPr>
          <w:rFonts w:ascii="仿宋" w:hAnsi="仿宋" w:eastAsia="仿宋"/>
          <w:sz w:val="24"/>
        </w:rPr>
        <w:tab/>
      </w:r>
      <w:r>
        <w:rPr>
          <w:rFonts w:ascii="仿宋" w:hAnsi="仿宋" w:eastAsia="仿宋"/>
          <w:sz w:val="24"/>
        </w:rPr>
        <w:t>18629019817</w:t>
      </w:r>
    </w:p>
    <w:p>
      <w:pPr>
        <w:spacing w:line="360" w:lineRule="auto"/>
        <w:ind w:firstLine="480" w:firstLineChars="200"/>
        <w:rPr>
          <w:rFonts w:ascii="仿宋" w:hAnsi="仿宋" w:eastAsia="仿宋"/>
          <w:sz w:val="24"/>
        </w:rPr>
      </w:pPr>
      <w:r>
        <w:rPr>
          <w:rFonts w:ascii="仿宋" w:hAnsi="仿宋" w:eastAsia="仿宋"/>
          <w:sz w:val="24"/>
        </w:rPr>
        <w:t>铜川分行</w:t>
      </w:r>
      <w:r>
        <w:rPr>
          <w:rFonts w:ascii="仿宋" w:hAnsi="仿宋" w:eastAsia="仿宋"/>
          <w:sz w:val="24"/>
        </w:rPr>
        <w:tab/>
      </w:r>
      <w:r>
        <w:rPr>
          <w:rFonts w:ascii="仿宋" w:hAnsi="仿宋" w:eastAsia="仿宋"/>
          <w:sz w:val="24"/>
        </w:rPr>
        <w:t>铜川市新区正阳路与长虹路十字</w:t>
      </w:r>
      <w:r>
        <w:rPr>
          <w:rFonts w:ascii="仿宋" w:hAnsi="仿宋" w:eastAsia="仿宋"/>
          <w:sz w:val="24"/>
        </w:rPr>
        <w:tab/>
      </w:r>
      <w:r>
        <w:rPr>
          <w:rFonts w:ascii="仿宋" w:hAnsi="仿宋" w:eastAsia="仿宋"/>
          <w:sz w:val="24"/>
        </w:rPr>
        <w:t>张小波</w:t>
      </w:r>
      <w:r>
        <w:rPr>
          <w:rFonts w:ascii="仿宋" w:hAnsi="仿宋" w:eastAsia="仿宋"/>
          <w:sz w:val="24"/>
        </w:rPr>
        <w:tab/>
      </w:r>
      <w:r>
        <w:rPr>
          <w:rFonts w:ascii="仿宋" w:hAnsi="仿宋" w:eastAsia="仿宋"/>
          <w:sz w:val="24"/>
        </w:rPr>
        <w:t>18691932636</w:t>
      </w:r>
    </w:p>
    <w:p>
      <w:pPr>
        <w:spacing w:line="360" w:lineRule="auto"/>
        <w:ind w:firstLine="480" w:firstLineChars="200"/>
        <w:rPr>
          <w:rFonts w:ascii="仿宋" w:hAnsi="仿宋" w:eastAsia="仿宋"/>
          <w:sz w:val="24"/>
        </w:rPr>
      </w:pPr>
      <w:r>
        <w:rPr>
          <w:rFonts w:ascii="仿宋" w:hAnsi="仿宋" w:eastAsia="仿宋"/>
          <w:sz w:val="24"/>
        </w:rPr>
        <w:t>榆林分行</w:t>
      </w:r>
      <w:r>
        <w:rPr>
          <w:rFonts w:ascii="仿宋" w:hAnsi="仿宋" w:eastAsia="仿宋"/>
          <w:sz w:val="24"/>
        </w:rPr>
        <w:tab/>
      </w:r>
      <w:r>
        <w:rPr>
          <w:rFonts w:ascii="仿宋" w:hAnsi="仿宋" w:eastAsia="仿宋"/>
          <w:sz w:val="24"/>
        </w:rPr>
        <w:t>榆林市高新技术产业园区创业大厦</w:t>
      </w:r>
      <w:r>
        <w:rPr>
          <w:rFonts w:ascii="仿宋" w:hAnsi="仿宋" w:eastAsia="仿宋"/>
          <w:sz w:val="24"/>
        </w:rPr>
        <w:tab/>
      </w:r>
      <w:r>
        <w:rPr>
          <w:rFonts w:ascii="仿宋" w:hAnsi="仿宋" w:eastAsia="仿宋"/>
          <w:sz w:val="24"/>
        </w:rPr>
        <w:t>张君君</w:t>
      </w:r>
      <w:r>
        <w:rPr>
          <w:rFonts w:ascii="仿宋" w:hAnsi="仿宋" w:eastAsia="仿宋"/>
          <w:sz w:val="24"/>
        </w:rPr>
        <w:tab/>
      </w:r>
      <w:r>
        <w:rPr>
          <w:rFonts w:ascii="仿宋" w:hAnsi="仿宋" w:eastAsia="仿宋"/>
          <w:sz w:val="24"/>
        </w:rPr>
        <w:t>15991929275</w:t>
      </w:r>
    </w:p>
    <w:p>
      <w:pPr>
        <w:spacing w:line="360" w:lineRule="auto"/>
        <w:ind w:firstLine="480" w:firstLineChars="200"/>
        <w:rPr>
          <w:rFonts w:ascii="仿宋" w:hAnsi="仿宋" w:eastAsia="仿宋"/>
          <w:sz w:val="24"/>
        </w:rPr>
      </w:pPr>
      <w:r>
        <w:rPr>
          <w:rFonts w:ascii="仿宋" w:hAnsi="仿宋" w:eastAsia="仿宋"/>
          <w:sz w:val="24"/>
        </w:rPr>
        <w:t>延安分行</w:t>
      </w:r>
      <w:r>
        <w:rPr>
          <w:rFonts w:ascii="仿宋" w:hAnsi="仿宋" w:eastAsia="仿宋"/>
          <w:sz w:val="24"/>
        </w:rPr>
        <w:tab/>
      </w:r>
      <w:r>
        <w:rPr>
          <w:rFonts w:ascii="仿宋" w:hAnsi="仿宋" w:eastAsia="仿宋"/>
          <w:sz w:val="24"/>
        </w:rPr>
        <w:t>延安市宝塔区中心街</w:t>
      </w:r>
      <w:r>
        <w:rPr>
          <w:rFonts w:ascii="仿宋" w:hAnsi="仿宋" w:eastAsia="仿宋"/>
          <w:sz w:val="24"/>
        </w:rPr>
        <w:tab/>
      </w:r>
      <w:r>
        <w:rPr>
          <w:rFonts w:ascii="仿宋" w:hAnsi="仿宋" w:eastAsia="仿宋"/>
          <w:sz w:val="24"/>
        </w:rPr>
        <w:t>陈进佃</w:t>
      </w:r>
      <w:r>
        <w:rPr>
          <w:rFonts w:ascii="仿宋" w:hAnsi="仿宋" w:eastAsia="仿宋"/>
          <w:sz w:val="24"/>
        </w:rPr>
        <w:tab/>
      </w:r>
      <w:r>
        <w:rPr>
          <w:rFonts w:ascii="仿宋" w:hAnsi="仿宋" w:eastAsia="仿宋"/>
          <w:sz w:val="24"/>
        </w:rPr>
        <w:t>15609110557</w:t>
      </w:r>
    </w:p>
    <w:p>
      <w:pPr>
        <w:spacing w:line="360" w:lineRule="auto"/>
        <w:ind w:firstLine="480" w:firstLineChars="200"/>
        <w:rPr>
          <w:rFonts w:ascii="仿宋" w:hAnsi="仿宋" w:eastAsia="仿宋"/>
          <w:sz w:val="24"/>
        </w:rPr>
      </w:pPr>
      <w:r>
        <w:rPr>
          <w:rFonts w:ascii="仿宋" w:hAnsi="仿宋" w:eastAsia="仿宋"/>
          <w:sz w:val="24"/>
        </w:rPr>
        <w:t>汉中分行</w:t>
      </w:r>
      <w:r>
        <w:rPr>
          <w:rFonts w:ascii="仿宋" w:hAnsi="仿宋" w:eastAsia="仿宋"/>
          <w:sz w:val="24"/>
        </w:rPr>
        <w:tab/>
      </w:r>
      <w:r>
        <w:rPr>
          <w:rFonts w:ascii="仿宋" w:hAnsi="仿宋" w:eastAsia="仿宋"/>
          <w:sz w:val="24"/>
        </w:rPr>
        <w:t>汉中市石灰巷21号</w:t>
      </w:r>
      <w:r>
        <w:rPr>
          <w:rFonts w:ascii="仿宋" w:hAnsi="仿宋" w:eastAsia="仿宋"/>
          <w:sz w:val="24"/>
        </w:rPr>
        <w:tab/>
      </w:r>
      <w:r>
        <w:rPr>
          <w:rFonts w:ascii="仿宋" w:hAnsi="仿宋" w:eastAsia="仿宋"/>
          <w:sz w:val="24"/>
        </w:rPr>
        <w:t>王晨旭</w:t>
      </w:r>
      <w:r>
        <w:rPr>
          <w:rFonts w:ascii="仿宋" w:hAnsi="仿宋" w:eastAsia="仿宋"/>
          <w:sz w:val="24"/>
        </w:rPr>
        <w:tab/>
      </w:r>
      <w:r>
        <w:rPr>
          <w:rFonts w:ascii="仿宋" w:hAnsi="仿宋" w:eastAsia="仿宋"/>
          <w:sz w:val="24"/>
        </w:rPr>
        <w:t>15319375850</w:t>
      </w:r>
    </w:p>
    <w:p>
      <w:pPr>
        <w:spacing w:line="360" w:lineRule="auto"/>
        <w:ind w:firstLine="480" w:firstLineChars="200"/>
        <w:rPr>
          <w:rFonts w:ascii="仿宋" w:hAnsi="仿宋" w:eastAsia="仿宋"/>
          <w:sz w:val="24"/>
        </w:rPr>
      </w:pPr>
      <w:r>
        <w:rPr>
          <w:rFonts w:ascii="仿宋" w:hAnsi="仿宋" w:eastAsia="仿宋"/>
          <w:sz w:val="24"/>
        </w:rPr>
        <w:t>安康分行</w:t>
      </w:r>
      <w:r>
        <w:rPr>
          <w:rFonts w:ascii="仿宋" w:hAnsi="仿宋" w:eastAsia="仿宋"/>
          <w:sz w:val="24"/>
        </w:rPr>
        <w:tab/>
      </w:r>
      <w:r>
        <w:rPr>
          <w:rFonts w:ascii="仿宋" w:hAnsi="仿宋" w:eastAsia="仿宋"/>
          <w:sz w:val="24"/>
        </w:rPr>
        <w:t>安康市育才路102号</w:t>
      </w:r>
      <w:r>
        <w:rPr>
          <w:rFonts w:ascii="仿宋" w:hAnsi="仿宋" w:eastAsia="仿宋"/>
          <w:sz w:val="24"/>
        </w:rPr>
        <w:tab/>
      </w:r>
      <w:r>
        <w:rPr>
          <w:rFonts w:ascii="仿宋" w:hAnsi="仿宋" w:eastAsia="仿宋"/>
          <w:sz w:val="24"/>
        </w:rPr>
        <w:t>张少帅</w:t>
      </w:r>
      <w:r>
        <w:rPr>
          <w:rFonts w:ascii="仿宋" w:hAnsi="仿宋" w:eastAsia="仿宋"/>
          <w:sz w:val="24"/>
        </w:rPr>
        <w:tab/>
      </w:r>
      <w:r>
        <w:rPr>
          <w:rFonts w:ascii="仿宋" w:hAnsi="仿宋" w:eastAsia="仿宋"/>
          <w:sz w:val="24"/>
        </w:rPr>
        <w:t>13165762680</w:t>
      </w:r>
    </w:p>
    <w:p>
      <w:pPr>
        <w:spacing w:line="360" w:lineRule="auto"/>
        <w:ind w:firstLine="480" w:firstLineChars="200"/>
        <w:rPr>
          <w:rFonts w:ascii="仿宋" w:hAnsi="仿宋" w:eastAsia="仿宋"/>
          <w:sz w:val="24"/>
        </w:rPr>
      </w:pPr>
      <w:r>
        <w:rPr>
          <w:rFonts w:ascii="仿宋" w:hAnsi="仿宋" w:eastAsia="仿宋"/>
          <w:sz w:val="24"/>
        </w:rPr>
        <w:t>商洛分行</w:t>
      </w:r>
      <w:r>
        <w:rPr>
          <w:rFonts w:ascii="仿宋" w:hAnsi="仿宋" w:eastAsia="仿宋"/>
          <w:sz w:val="24"/>
        </w:rPr>
        <w:tab/>
      </w:r>
      <w:r>
        <w:rPr>
          <w:rFonts w:ascii="仿宋" w:hAnsi="仿宋" w:eastAsia="仿宋"/>
          <w:sz w:val="24"/>
        </w:rPr>
        <w:t>商洛市名人街广电大楼下</w:t>
      </w:r>
      <w:r>
        <w:rPr>
          <w:rFonts w:ascii="仿宋" w:hAnsi="仿宋" w:eastAsia="仿宋"/>
          <w:sz w:val="24"/>
        </w:rPr>
        <w:tab/>
      </w:r>
      <w:r>
        <w:rPr>
          <w:rFonts w:ascii="仿宋" w:hAnsi="仿宋" w:eastAsia="仿宋"/>
          <w:sz w:val="24"/>
        </w:rPr>
        <w:t>郭杨</w:t>
      </w:r>
      <w:r>
        <w:rPr>
          <w:rFonts w:ascii="仿宋" w:hAnsi="仿宋" w:eastAsia="仿宋"/>
          <w:sz w:val="24"/>
        </w:rPr>
        <w:tab/>
      </w:r>
      <w:r>
        <w:rPr>
          <w:rFonts w:ascii="仿宋" w:hAnsi="仿宋" w:eastAsia="仿宋"/>
          <w:sz w:val="24"/>
        </w:rPr>
        <w:t>17809267188</w:t>
      </w:r>
    </w:p>
    <w:p>
      <w:pPr>
        <w:spacing w:line="360" w:lineRule="auto"/>
        <w:rPr>
          <w:rFonts w:ascii="仿宋" w:hAnsi="仿宋" w:eastAsia="仿宋"/>
          <w:b/>
          <w:sz w:val="24"/>
        </w:rPr>
      </w:pPr>
      <w:r>
        <w:rPr>
          <w:rFonts w:ascii="仿宋" w:hAnsi="仿宋" w:eastAsia="仿宋"/>
          <w:b/>
          <w:sz w:val="24"/>
        </w:rPr>
        <w:t>二、北京银行（政府订单贷）</w:t>
      </w:r>
    </w:p>
    <w:p>
      <w:pPr>
        <w:spacing w:line="360" w:lineRule="auto"/>
        <w:ind w:firstLine="480" w:firstLineChars="200"/>
        <w:rPr>
          <w:rFonts w:ascii="仿宋" w:hAnsi="仿宋" w:eastAsia="仿宋"/>
          <w:sz w:val="24"/>
        </w:rPr>
      </w:pPr>
      <w:r>
        <w:rPr>
          <w:rFonts w:ascii="仿宋" w:hAnsi="仿宋" w:eastAsia="仿宋"/>
          <w:sz w:val="24"/>
        </w:rPr>
        <w:t>西安分行营业部</w:t>
      </w:r>
      <w:r>
        <w:rPr>
          <w:rFonts w:ascii="仿宋" w:hAnsi="仿宋" w:eastAsia="仿宋"/>
          <w:sz w:val="24"/>
        </w:rPr>
        <w:tab/>
      </w:r>
      <w:r>
        <w:rPr>
          <w:rFonts w:ascii="仿宋" w:hAnsi="仿宋" w:eastAsia="仿宋"/>
          <w:sz w:val="24"/>
        </w:rPr>
        <w:t>刘晓伟</w:t>
      </w:r>
      <w:r>
        <w:rPr>
          <w:rFonts w:ascii="仿宋" w:hAnsi="仿宋" w:eastAsia="仿宋"/>
          <w:sz w:val="24"/>
        </w:rPr>
        <w:tab/>
      </w:r>
      <w:r>
        <w:rPr>
          <w:rFonts w:ascii="仿宋" w:hAnsi="仿宋" w:eastAsia="仿宋"/>
          <w:sz w:val="24"/>
        </w:rPr>
        <w:t>总经理助理</w:t>
      </w:r>
      <w:r>
        <w:rPr>
          <w:rFonts w:ascii="仿宋" w:hAnsi="仿宋" w:eastAsia="仿宋"/>
          <w:sz w:val="24"/>
        </w:rPr>
        <w:tab/>
      </w:r>
      <w:r>
        <w:rPr>
          <w:rFonts w:ascii="仿宋" w:hAnsi="仿宋" w:eastAsia="仿宋"/>
          <w:sz w:val="24"/>
        </w:rPr>
        <w:t>029-61828763</w:t>
      </w:r>
      <w:r>
        <w:rPr>
          <w:rFonts w:ascii="仿宋" w:hAnsi="仿宋" w:eastAsia="仿宋"/>
          <w:sz w:val="24"/>
        </w:rPr>
        <w:tab/>
      </w:r>
      <w:r>
        <w:rPr>
          <w:rFonts w:ascii="仿宋" w:hAnsi="仿宋" w:eastAsia="仿宋"/>
          <w:sz w:val="24"/>
        </w:rPr>
        <w:t>18066630518</w:t>
      </w:r>
    </w:p>
    <w:p>
      <w:pPr>
        <w:spacing w:line="360" w:lineRule="auto"/>
        <w:ind w:firstLine="480" w:firstLineChars="200"/>
        <w:rPr>
          <w:rFonts w:ascii="仿宋" w:hAnsi="仿宋" w:eastAsia="仿宋"/>
          <w:sz w:val="24"/>
        </w:rPr>
      </w:pPr>
      <w:r>
        <w:rPr>
          <w:rFonts w:ascii="仿宋" w:hAnsi="仿宋" w:eastAsia="仿宋"/>
          <w:sz w:val="24"/>
        </w:rPr>
        <w:t>西安高新开发区支行</w:t>
      </w:r>
      <w:r>
        <w:rPr>
          <w:rFonts w:ascii="仿宋" w:hAnsi="仿宋" w:eastAsia="仿宋"/>
          <w:sz w:val="24"/>
        </w:rPr>
        <w:tab/>
      </w:r>
      <w:r>
        <w:rPr>
          <w:rFonts w:ascii="仿宋" w:hAnsi="仿宋" w:eastAsia="仿宋"/>
          <w:sz w:val="24"/>
        </w:rPr>
        <w:t>梁凡</w:t>
      </w:r>
      <w:r>
        <w:rPr>
          <w:rFonts w:ascii="仿宋" w:hAnsi="仿宋" w:eastAsia="仿宋"/>
          <w:sz w:val="24"/>
        </w:rPr>
        <w:tab/>
      </w:r>
      <w:r>
        <w:rPr>
          <w:rFonts w:ascii="仿宋" w:hAnsi="仿宋" w:eastAsia="仿宋"/>
          <w:sz w:val="24"/>
        </w:rPr>
        <w:t>行长助理</w:t>
      </w:r>
      <w:r>
        <w:rPr>
          <w:rFonts w:ascii="仿宋" w:hAnsi="仿宋" w:eastAsia="仿宋"/>
          <w:sz w:val="24"/>
        </w:rPr>
        <w:tab/>
      </w:r>
      <w:r>
        <w:rPr>
          <w:rFonts w:ascii="仿宋" w:hAnsi="仿宋" w:eastAsia="仿宋"/>
          <w:sz w:val="24"/>
        </w:rPr>
        <w:t>029-61828531</w:t>
      </w:r>
      <w:r>
        <w:rPr>
          <w:rFonts w:ascii="仿宋" w:hAnsi="仿宋" w:eastAsia="仿宋"/>
          <w:sz w:val="24"/>
        </w:rPr>
        <w:tab/>
      </w:r>
      <w:r>
        <w:rPr>
          <w:rFonts w:ascii="仿宋" w:hAnsi="仿宋" w:eastAsia="仿宋"/>
          <w:sz w:val="24"/>
        </w:rPr>
        <w:t>18681945597</w:t>
      </w:r>
    </w:p>
    <w:p>
      <w:pPr>
        <w:spacing w:line="360" w:lineRule="auto"/>
        <w:ind w:firstLine="480" w:firstLineChars="200"/>
        <w:rPr>
          <w:rFonts w:ascii="仿宋" w:hAnsi="仿宋" w:eastAsia="仿宋"/>
          <w:sz w:val="24"/>
        </w:rPr>
      </w:pPr>
      <w:r>
        <w:rPr>
          <w:rFonts w:ascii="仿宋" w:hAnsi="仿宋" w:eastAsia="仿宋"/>
          <w:sz w:val="24"/>
        </w:rPr>
        <w:t>西安曲江文创支行</w:t>
      </w:r>
      <w:r>
        <w:rPr>
          <w:rFonts w:ascii="仿宋" w:hAnsi="仿宋" w:eastAsia="仿宋"/>
          <w:sz w:val="24"/>
        </w:rPr>
        <w:tab/>
      </w:r>
      <w:r>
        <w:rPr>
          <w:rFonts w:ascii="仿宋" w:hAnsi="仿宋" w:eastAsia="仿宋"/>
          <w:sz w:val="24"/>
        </w:rPr>
        <w:t>蒋超</w:t>
      </w:r>
      <w:r>
        <w:rPr>
          <w:rFonts w:ascii="仿宋" w:hAnsi="仿宋" w:eastAsia="仿宋"/>
          <w:sz w:val="24"/>
        </w:rPr>
        <w:tab/>
      </w:r>
      <w:r>
        <w:rPr>
          <w:rFonts w:ascii="仿宋" w:hAnsi="仿宋" w:eastAsia="仿宋"/>
          <w:sz w:val="24"/>
        </w:rPr>
        <w:t>室经理</w:t>
      </w:r>
      <w:r>
        <w:rPr>
          <w:rFonts w:ascii="仿宋" w:hAnsi="仿宋" w:eastAsia="仿宋"/>
          <w:sz w:val="24"/>
        </w:rPr>
        <w:tab/>
      </w:r>
      <w:r>
        <w:rPr>
          <w:rFonts w:ascii="仿宋" w:hAnsi="仿宋" w:eastAsia="仿宋"/>
          <w:sz w:val="24"/>
        </w:rPr>
        <w:t>029-65667366</w:t>
      </w:r>
      <w:r>
        <w:rPr>
          <w:rFonts w:ascii="仿宋" w:hAnsi="仿宋" w:eastAsia="仿宋"/>
          <w:sz w:val="24"/>
        </w:rPr>
        <w:tab/>
      </w:r>
      <w:r>
        <w:rPr>
          <w:rFonts w:ascii="仿宋" w:hAnsi="仿宋" w:eastAsia="仿宋"/>
          <w:sz w:val="24"/>
        </w:rPr>
        <w:t>15891737329</w:t>
      </w:r>
    </w:p>
    <w:p>
      <w:pPr>
        <w:spacing w:line="360" w:lineRule="auto"/>
        <w:ind w:firstLine="480" w:firstLineChars="200"/>
        <w:rPr>
          <w:rFonts w:ascii="仿宋" w:hAnsi="仿宋" w:eastAsia="仿宋"/>
          <w:sz w:val="24"/>
        </w:rPr>
      </w:pPr>
      <w:r>
        <w:rPr>
          <w:rFonts w:ascii="仿宋" w:hAnsi="仿宋" w:eastAsia="仿宋"/>
          <w:sz w:val="24"/>
        </w:rPr>
        <w:t>西安经济技术开发区支行</w:t>
      </w:r>
      <w:r>
        <w:rPr>
          <w:rFonts w:ascii="仿宋" w:hAnsi="仿宋" w:eastAsia="仿宋"/>
          <w:sz w:val="24"/>
        </w:rPr>
        <w:tab/>
      </w:r>
      <w:r>
        <w:rPr>
          <w:rFonts w:ascii="仿宋" w:hAnsi="仿宋" w:eastAsia="仿宋"/>
          <w:sz w:val="24"/>
        </w:rPr>
        <w:t>孟庆龙</w:t>
      </w:r>
      <w:r>
        <w:rPr>
          <w:rFonts w:ascii="仿宋" w:hAnsi="仿宋" w:eastAsia="仿宋"/>
          <w:sz w:val="24"/>
        </w:rPr>
        <w:tab/>
      </w:r>
      <w:r>
        <w:rPr>
          <w:rFonts w:ascii="仿宋" w:hAnsi="仿宋" w:eastAsia="仿宋"/>
          <w:sz w:val="24"/>
        </w:rPr>
        <w:t>行长助理</w:t>
      </w:r>
      <w:r>
        <w:rPr>
          <w:rFonts w:ascii="仿宋" w:hAnsi="仿宋" w:eastAsia="仿宋"/>
          <w:sz w:val="24"/>
        </w:rPr>
        <w:tab/>
      </w:r>
      <w:r>
        <w:rPr>
          <w:rFonts w:ascii="仿宋" w:hAnsi="仿宋" w:eastAsia="仿宋"/>
          <w:sz w:val="24"/>
        </w:rPr>
        <w:t>029-61828272</w:t>
      </w:r>
      <w:r>
        <w:rPr>
          <w:rFonts w:ascii="仿宋" w:hAnsi="仿宋" w:eastAsia="仿宋"/>
          <w:sz w:val="24"/>
        </w:rPr>
        <w:tab/>
      </w:r>
      <w:r>
        <w:rPr>
          <w:rFonts w:ascii="仿宋" w:hAnsi="仿宋" w:eastAsia="仿宋"/>
          <w:sz w:val="24"/>
        </w:rPr>
        <w:t>13991990373</w:t>
      </w:r>
    </w:p>
    <w:p>
      <w:pPr>
        <w:spacing w:line="360" w:lineRule="auto"/>
        <w:ind w:firstLine="480" w:firstLineChars="200"/>
        <w:rPr>
          <w:rFonts w:ascii="仿宋" w:hAnsi="仿宋" w:eastAsia="仿宋"/>
          <w:sz w:val="24"/>
        </w:rPr>
      </w:pPr>
      <w:r>
        <w:rPr>
          <w:rFonts w:ascii="仿宋" w:hAnsi="仿宋" w:eastAsia="仿宋"/>
          <w:sz w:val="24"/>
        </w:rPr>
        <w:t>西安长缨路支行</w:t>
      </w:r>
      <w:r>
        <w:rPr>
          <w:rFonts w:ascii="仿宋" w:hAnsi="仿宋" w:eastAsia="仿宋"/>
          <w:sz w:val="24"/>
        </w:rPr>
        <w:tab/>
      </w:r>
      <w:r>
        <w:rPr>
          <w:rFonts w:ascii="仿宋" w:hAnsi="仿宋" w:eastAsia="仿宋"/>
          <w:sz w:val="24"/>
        </w:rPr>
        <w:t>范凯</w:t>
      </w:r>
      <w:r>
        <w:rPr>
          <w:rFonts w:ascii="仿宋" w:hAnsi="仿宋" w:eastAsia="仿宋"/>
          <w:sz w:val="24"/>
        </w:rPr>
        <w:tab/>
      </w:r>
      <w:r>
        <w:rPr>
          <w:rFonts w:ascii="仿宋" w:hAnsi="仿宋" w:eastAsia="仿宋"/>
          <w:sz w:val="24"/>
        </w:rPr>
        <w:t>副行长</w:t>
      </w:r>
      <w:r>
        <w:rPr>
          <w:rFonts w:ascii="仿宋" w:hAnsi="仿宋" w:eastAsia="仿宋"/>
          <w:sz w:val="24"/>
        </w:rPr>
        <w:tab/>
      </w:r>
      <w:r>
        <w:rPr>
          <w:rFonts w:ascii="仿宋" w:hAnsi="仿宋" w:eastAsia="仿宋"/>
          <w:sz w:val="24"/>
        </w:rPr>
        <w:t>029-68717760</w:t>
      </w:r>
      <w:r>
        <w:rPr>
          <w:rFonts w:ascii="仿宋" w:hAnsi="仿宋" w:eastAsia="仿宋"/>
          <w:sz w:val="24"/>
        </w:rPr>
        <w:tab/>
      </w:r>
      <w:r>
        <w:rPr>
          <w:rFonts w:ascii="仿宋" w:hAnsi="仿宋" w:eastAsia="仿宋"/>
          <w:sz w:val="24"/>
        </w:rPr>
        <w:t>13991315609</w:t>
      </w:r>
    </w:p>
    <w:p>
      <w:pPr>
        <w:spacing w:line="360" w:lineRule="auto"/>
        <w:ind w:firstLine="480" w:firstLineChars="200"/>
        <w:rPr>
          <w:rFonts w:ascii="仿宋" w:hAnsi="仿宋" w:eastAsia="仿宋"/>
          <w:sz w:val="24"/>
        </w:rPr>
      </w:pPr>
      <w:r>
        <w:rPr>
          <w:rFonts w:ascii="仿宋" w:hAnsi="仿宋" w:eastAsia="仿宋"/>
          <w:sz w:val="24"/>
        </w:rPr>
        <w:t>长安区西长安街支行</w:t>
      </w:r>
      <w:r>
        <w:rPr>
          <w:rFonts w:ascii="仿宋" w:hAnsi="仿宋" w:eastAsia="仿宋"/>
          <w:sz w:val="24"/>
        </w:rPr>
        <w:tab/>
      </w:r>
      <w:r>
        <w:rPr>
          <w:rFonts w:ascii="仿宋" w:hAnsi="仿宋" w:eastAsia="仿宋"/>
          <w:sz w:val="24"/>
        </w:rPr>
        <w:t>陈明</w:t>
      </w:r>
      <w:r>
        <w:rPr>
          <w:rFonts w:ascii="仿宋" w:hAnsi="仿宋" w:eastAsia="仿宋"/>
          <w:sz w:val="24"/>
        </w:rPr>
        <w:tab/>
      </w:r>
      <w:r>
        <w:rPr>
          <w:rFonts w:ascii="仿宋" w:hAnsi="仿宋" w:eastAsia="仿宋"/>
          <w:sz w:val="24"/>
        </w:rPr>
        <w:t>行长助理</w:t>
      </w:r>
      <w:r>
        <w:rPr>
          <w:rFonts w:ascii="仿宋" w:hAnsi="仿宋" w:eastAsia="仿宋"/>
          <w:sz w:val="24"/>
        </w:rPr>
        <w:tab/>
      </w:r>
      <w:r>
        <w:rPr>
          <w:rFonts w:ascii="仿宋" w:hAnsi="仿宋" w:eastAsia="仿宋"/>
          <w:sz w:val="24"/>
        </w:rPr>
        <w:t>029-85724301</w:t>
      </w:r>
      <w:r>
        <w:rPr>
          <w:rFonts w:ascii="仿宋" w:hAnsi="仿宋" w:eastAsia="仿宋"/>
          <w:sz w:val="24"/>
        </w:rPr>
        <w:tab/>
      </w:r>
      <w:r>
        <w:rPr>
          <w:rFonts w:ascii="仿宋" w:hAnsi="仿宋" w:eastAsia="仿宋"/>
          <w:sz w:val="24"/>
        </w:rPr>
        <w:t>18149209660</w:t>
      </w:r>
    </w:p>
    <w:p>
      <w:pPr>
        <w:spacing w:line="360" w:lineRule="auto"/>
        <w:ind w:firstLine="480" w:firstLineChars="200"/>
        <w:rPr>
          <w:rFonts w:ascii="仿宋" w:hAnsi="仿宋" w:eastAsia="仿宋"/>
          <w:sz w:val="24"/>
        </w:rPr>
      </w:pPr>
      <w:r>
        <w:rPr>
          <w:rFonts w:ascii="仿宋" w:hAnsi="仿宋" w:eastAsia="仿宋"/>
          <w:sz w:val="24"/>
        </w:rPr>
        <w:t>泾渭工业园支行</w:t>
      </w:r>
      <w:r>
        <w:rPr>
          <w:rFonts w:ascii="仿宋" w:hAnsi="仿宋" w:eastAsia="仿宋"/>
          <w:sz w:val="24"/>
        </w:rPr>
        <w:tab/>
      </w:r>
      <w:r>
        <w:rPr>
          <w:rFonts w:ascii="仿宋" w:hAnsi="仿宋" w:eastAsia="仿宋"/>
          <w:sz w:val="24"/>
        </w:rPr>
        <w:t>杨奕</w:t>
      </w:r>
      <w:r>
        <w:rPr>
          <w:rFonts w:ascii="仿宋" w:hAnsi="仿宋" w:eastAsia="仿宋"/>
          <w:sz w:val="24"/>
        </w:rPr>
        <w:tab/>
      </w:r>
      <w:r>
        <w:rPr>
          <w:rFonts w:ascii="仿宋" w:hAnsi="仿宋" w:eastAsia="仿宋"/>
          <w:sz w:val="24"/>
        </w:rPr>
        <w:t>室经理</w:t>
      </w:r>
      <w:r>
        <w:rPr>
          <w:rFonts w:ascii="仿宋" w:hAnsi="仿宋" w:eastAsia="仿宋"/>
          <w:sz w:val="24"/>
        </w:rPr>
        <w:tab/>
      </w:r>
      <w:r>
        <w:rPr>
          <w:rFonts w:ascii="仿宋" w:hAnsi="仿宋" w:eastAsia="仿宋"/>
          <w:sz w:val="24"/>
        </w:rPr>
        <w:t>029-68213773</w:t>
      </w:r>
      <w:r>
        <w:rPr>
          <w:rFonts w:ascii="仿宋" w:hAnsi="仿宋" w:eastAsia="仿宋"/>
          <w:sz w:val="24"/>
        </w:rPr>
        <w:tab/>
      </w:r>
      <w:r>
        <w:rPr>
          <w:rFonts w:ascii="仿宋" w:hAnsi="仿宋" w:eastAsia="仿宋"/>
          <w:sz w:val="24"/>
        </w:rPr>
        <w:t>15934802021</w:t>
      </w:r>
    </w:p>
    <w:p>
      <w:pPr>
        <w:spacing w:line="360" w:lineRule="auto"/>
        <w:ind w:firstLine="480" w:firstLineChars="200"/>
        <w:rPr>
          <w:rFonts w:ascii="仿宋" w:hAnsi="仿宋" w:eastAsia="仿宋"/>
          <w:sz w:val="24"/>
        </w:rPr>
      </w:pPr>
      <w:r>
        <w:rPr>
          <w:rFonts w:ascii="仿宋" w:hAnsi="仿宋" w:eastAsia="仿宋"/>
          <w:sz w:val="24"/>
        </w:rPr>
        <w:t>北客站科技支行</w:t>
      </w:r>
      <w:r>
        <w:rPr>
          <w:rFonts w:ascii="仿宋" w:hAnsi="仿宋" w:eastAsia="仿宋"/>
          <w:sz w:val="24"/>
        </w:rPr>
        <w:tab/>
      </w:r>
      <w:r>
        <w:rPr>
          <w:rFonts w:ascii="仿宋" w:hAnsi="仿宋" w:eastAsia="仿宋"/>
          <w:sz w:val="24"/>
        </w:rPr>
        <w:t>周洁</w:t>
      </w:r>
      <w:r>
        <w:rPr>
          <w:rFonts w:ascii="仿宋" w:hAnsi="仿宋" w:eastAsia="仿宋"/>
          <w:sz w:val="24"/>
        </w:rPr>
        <w:tab/>
      </w:r>
      <w:r>
        <w:rPr>
          <w:rFonts w:ascii="仿宋" w:hAnsi="仿宋" w:eastAsia="仿宋"/>
          <w:sz w:val="24"/>
        </w:rPr>
        <w:t>副行长</w:t>
      </w:r>
      <w:r>
        <w:rPr>
          <w:rFonts w:ascii="仿宋" w:hAnsi="仿宋" w:eastAsia="仿宋"/>
          <w:sz w:val="24"/>
        </w:rPr>
        <w:tab/>
      </w:r>
      <w:r>
        <w:rPr>
          <w:rFonts w:ascii="仿宋" w:hAnsi="仿宋" w:eastAsia="仿宋"/>
          <w:sz w:val="24"/>
        </w:rPr>
        <w:t>029-61828129</w:t>
      </w:r>
      <w:r>
        <w:rPr>
          <w:rFonts w:ascii="仿宋" w:hAnsi="仿宋" w:eastAsia="仿宋"/>
          <w:sz w:val="24"/>
        </w:rPr>
        <w:tab/>
      </w:r>
      <w:r>
        <w:rPr>
          <w:rFonts w:ascii="仿宋" w:hAnsi="仿宋" w:eastAsia="仿宋"/>
          <w:sz w:val="24"/>
        </w:rPr>
        <w:t>18629518636</w:t>
      </w:r>
    </w:p>
    <w:p>
      <w:pPr>
        <w:spacing w:line="360" w:lineRule="auto"/>
        <w:ind w:firstLine="480" w:firstLineChars="200"/>
        <w:rPr>
          <w:rFonts w:ascii="仿宋" w:hAnsi="仿宋" w:eastAsia="仿宋"/>
          <w:sz w:val="24"/>
        </w:rPr>
      </w:pPr>
      <w:r>
        <w:rPr>
          <w:rFonts w:ascii="仿宋" w:hAnsi="仿宋" w:eastAsia="仿宋"/>
          <w:sz w:val="24"/>
        </w:rPr>
        <w:t>解放路支行</w:t>
      </w:r>
      <w:r>
        <w:rPr>
          <w:rFonts w:ascii="仿宋" w:hAnsi="仿宋" w:eastAsia="仿宋"/>
          <w:sz w:val="24"/>
        </w:rPr>
        <w:tab/>
      </w:r>
      <w:r>
        <w:rPr>
          <w:rFonts w:ascii="仿宋" w:hAnsi="仿宋" w:eastAsia="仿宋"/>
          <w:sz w:val="24"/>
        </w:rPr>
        <w:t>王莉</w:t>
      </w:r>
      <w:r>
        <w:rPr>
          <w:rFonts w:ascii="仿宋" w:hAnsi="仿宋" w:eastAsia="仿宋"/>
          <w:sz w:val="24"/>
        </w:rPr>
        <w:tab/>
      </w:r>
      <w:r>
        <w:rPr>
          <w:rFonts w:ascii="仿宋" w:hAnsi="仿宋" w:eastAsia="仿宋"/>
          <w:sz w:val="24"/>
        </w:rPr>
        <w:t>行长助理</w:t>
      </w:r>
      <w:r>
        <w:rPr>
          <w:rFonts w:ascii="仿宋" w:hAnsi="仿宋" w:eastAsia="仿宋"/>
          <w:sz w:val="24"/>
        </w:rPr>
        <w:tab/>
      </w:r>
      <w:r>
        <w:rPr>
          <w:rFonts w:ascii="仿宋" w:hAnsi="仿宋" w:eastAsia="仿宋"/>
          <w:sz w:val="24"/>
        </w:rPr>
        <w:t>029-61828185</w:t>
      </w:r>
      <w:r>
        <w:rPr>
          <w:rFonts w:ascii="仿宋" w:hAnsi="仿宋" w:eastAsia="仿宋"/>
          <w:sz w:val="24"/>
        </w:rPr>
        <w:tab/>
      </w:r>
      <w:r>
        <w:rPr>
          <w:rFonts w:ascii="仿宋" w:hAnsi="仿宋" w:eastAsia="仿宋"/>
          <w:sz w:val="24"/>
        </w:rPr>
        <w:t>15802966196</w:t>
      </w:r>
    </w:p>
    <w:p>
      <w:pPr>
        <w:spacing w:line="360" w:lineRule="auto"/>
        <w:ind w:firstLine="480" w:firstLineChars="200"/>
        <w:rPr>
          <w:rFonts w:ascii="仿宋" w:hAnsi="仿宋" w:eastAsia="仿宋"/>
          <w:sz w:val="24"/>
        </w:rPr>
      </w:pPr>
      <w:r>
        <w:rPr>
          <w:rFonts w:ascii="仿宋" w:hAnsi="仿宋" w:eastAsia="仿宋"/>
          <w:sz w:val="24"/>
        </w:rPr>
        <w:t>延安分行</w:t>
      </w:r>
      <w:r>
        <w:rPr>
          <w:rFonts w:ascii="仿宋" w:hAnsi="仿宋" w:eastAsia="仿宋"/>
          <w:sz w:val="24"/>
        </w:rPr>
        <w:tab/>
      </w:r>
      <w:r>
        <w:rPr>
          <w:rFonts w:ascii="仿宋" w:hAnsi="仿宋" w:eastAsia="仿宋"/>
          <w:sz w:val="24"/>
        </w:rPr>
        <w:t>奥宝森</w:t>
      </w:r>
      <w:r>
        <w:rPr>
          <w:rFonts w:ascii="仿宋" w:hAnsi="仿宋" w:eastAsia="仿宋"/>
          <w:sz w:val="24"/>
        </w:rPr>
        <w:tab/>
      </w:r>
      <w:r>
        <w:rPr>
          <w:rFonts w:ascii="仿宋" w:hAnsi="仿宋" w:eastAsia="仿宋"/>
          <w:sz w:val="24"/>
        </w:rPr>
        <w:t>室经理</w:t>
      </w:r>
      <w:r>
        <w:rPr>
          <w:rFonts w:ascii="仿宋" w:hAnsi="仿宋" w:eastAsia="仿宋"/>
          <w:sz w:val="24"/>
        </w:rPr>
        <w:tab/>
      </w:r>
      <w:r>
        <w:rPr>
          <w:rFonts w:ascii="仿宋" w:hAnsi="仿宋" w:eastAsia="仿宋"/>
          <w:sz w:val="24"/>
        </w:rPr>
        <w:t>0911-8076038</w:t>
      </w:r>
      <w:r>
        <w:rPr>
          <w:rFonts w:ascii="仿宋" w:hAnsi="仿宋" w:eastAsia="仿宋"/>
          <w:sz w:val="24"/>
        </w:rPr>
        <w:tab/>
      </w:r>
      <w:r>
        <w:rPr>
          <w:rFonts w:ascii="仿宋" w:hAnsi="仿宋" w:eastAsia="仿宋"/>
          <w:sz w:val="24"/>
        </w:rPr>
        <w:t>15592925222</w:t>
      </w:r>
    </w:p>
    <w:p>
      <w:pPr>
        <w:spacing w:line="360" w:lineRule="auto"/>
        <w:rPr>
          <w:rFonts w:ascii="仿宋" w:hAnsi="仿宋" w:eastAsia="仿宋"/>
          <w:b/>
          <w:sz w:val="24"/>
        </w:rPr>
      </w:pPr>
      <w:r>
        <w:rPr>
          <w:rFonts w:ascii="仿宋" w:hAnsi="仿宋" w:eastAsia="仿宋"/>
          <w:b/>
          <w:sz w:val="24"/>
        </w:rPr>
        <w:t>三、工商银行（政采贷）</w:t>
      </w:r>
    </w:p>
    <w:p>
      <w:pPr>
        <w:spacing w:line="360" w:lineRule="auto"/>
        <w:ind w:firstLine="480" w:firstLineChars="200"/>
        <w:rPr>
          <w:rFonts w:ascii="仿宋" w:hAnsi="仿宋" w:eastAsia="仿宋"/>
          <w:sz w:val="24"/>
        </w:rPr>
      </w:pPr>
      <w:r>
        <w:rPr>
          <w:rFonts w:ascii="仿宋" w:hAnsi="仿宋" w:eastAsia="仿宋"/>
          <w:sz w:val="24"/>
        </w:rPr>
        <w:t>榆林分行</w:t>
      </w:r>
      <w:r>
        <w:rPr>
          <w:rFonts w:ascii="仿宋" w:hAnsi="仿宋" w:eastAsia="仿宋"/>
          <w:sz w:val="24"/>
        </w:rPr>
        <w:tab/>
      </w:r>
      <w:r>
        <w:rPr>
          <w:rFonts w:ascii="仿宋" w:hAnsi="仿宋" w:eastAsia="仿宋"/>
          <w:sz w:val="24"/>
        </w:rPr>
        <w:t>张岭</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0912-6183827</w:t>
      </w:r>
      <w:r>
        <w:rPr>
          <w:rFonts w:ascii="仿宋" w:hAnsi="仿宋" w:eastAsia="仿宋"/>
          <w:sz w:val="24"/>
        </w:rPr>
        <w:tab/>
      </w:r>
      <w:r>
        <w:rPr>
          <w:rFonts w:ascii="仿宋" w:hAnsi="仿宋" w:eastAsia="仿宋"/>
          <w:sz w:val="24"/>
        </w:rPr>
        <w:t>15353386777</w:t>
      </w:r>
    </w:p>
    <w:p>
      <w:pPr>
        <w:spacing w:line="360" w:lineRule="auto"/>
        <w:ind w:firstLine="480" w:firstLineChars="200"/>
        <w:rPr>
          <w:rFonts w:ascii="仿宋" w:hAnsi="仿宋" w:eastAsia="仿宋"/>
          <w:sz w:val="24"/>
        </w:rPr>
      </w:pPr>
      <w:r>
        <w:rPr>
          <w:rFonts w:ascii="仿宋" w:hAnsi="仿宋" w:eastAsia="仿宋"/>
          <w:sz w:val="24"/>
        </w:rPr>
        <w:t>宝鸡分行</w:t>
      </w:r>
      <w:r>
        <w:rPr>
          <w:rFonts w:ascii="仿宋" w:hAnsi="仿宋" w:eastAsia="仿宋"/>
          <w:sz w:val="24"/>
        </w:rPr>
        <w:tab/>
      </w:r>
      <w:r>
        <w:rPr>
          <w:rFonts w:ascii="仿宋" w:hAnsi="仿宋" w:eastAsia="仿宋"/>
          <w:sz w:val="24"/>
        </w:rPr>
        <w:t>郭进</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0917-3238282</w:t>
      </w:r>
      <w:r>
        <w:rPr>
          <w:rFonts w:ascii="仿宋" w:hAnsi="仿宋" w:eastAsia="仿宋"/>
          <w:sz w:val="24"/>
        </w:rPr>
        <w:tab/>
      </w:r>
      <w:r>
        <w:rPr>
          <w:rFonts w:ascii="仿宋" w:hAnsi="仿宋" w:eastAsia="仿宋"/>
          <w:sz w:val="24"/>
        </w:rPr>
        <w:t>18991749262</w:t>
      </w:r>
    </w:p>
    <w:p>
      <w:pPr>
        <w:spacing w:line="360" w:lineRule="auto"/>
        <w:ind w:firstLine="480" w:firstLineChars="200"/>
        <w:rPr>
          <w:rFonts w:ascii="仿宋" w:hAnsi="仿宋" w:eastAsia="仿宋"/>
          <w:sz w:val="24"/>
        </w:rPr>
      </w:pPr>
      <w:r>
        <w:rPr>
          <w:rFonts w:ascii="仿宋" w:hAnsi="仿宋" w:eastAsia="仿宋"/>
          <w:sz w:val="24"/>
        </w:rPr>
        <w:t>安康分行</w:t>
      </w:r>
      <w:r>
        <w:rPr>
          <w:rFonts w:ascii="仿宋" w:hAnsi="仿宋" w:eastAsia="仿宋"/>
          <w:sz w:val="24"/>
        </w:rPr>
        <w:tab/>
      </w:r>
      <w:r>
        <w:rPr>
          <w:rFonts w:ascii="仿宋" w:hAnsi="仿宋" w:eastAsia="仿宋"/>
          <w:sz w:val="24"/>
        </w:rPr>
        <w:t>郑婕</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0915-3236275</w:t>
      </w:r>
      <w:r>
        <w:rPr>
          <w:rFonts w:ascii="仿宋" w:hAnsi="仿宋" w:eastAsia="仿宋"/>
          <w:sz w:val="24"/>
        </w:rPr>
        <w:tab/>
      </w:r>
      <w:r>
        <w:rPr>
          <w:rFonts w:ascii="仿宋" w:hAnsi="仿宋" w:eastAsia="仿宋"/>
          <w:sz w:val="24"/>
        </w:rPr>
        <w:t>15667856663</w:t>
      </w:r>
    </w:p>
    <w:p>
      <w:pPr>
        <w:spacing w:line="360" w:lineRule="auto"/>
        <w:ind w:firstLine="480" w:firstLineChars="200"/>
        <w:rPr>
          <w:rFonts w:ascii="仿宋" w:hAnsi="仿宋" w:eastAsia="仿宋"/>
          <w:sz w:val="24"/>
        </w:rPr>
      </w:pPr>
      <w:r>
        <w:rPr>
          <w:rFonts w:ascii="仿宋" w:hAnsi="仿宋" w:eastAsia="仿宋"/>
          <w:sz w:val="24"/>
        </w:rPr>
        <w:t>铜川分行</w:t>
      </w:r>
      <w:r>
        <w:rPr>
          <w:rFonts w:ascii="仿宋" w:hAnsi="仿宋" w:eastAsia="仿宋"/>
          <w:sz w:val="24"/>
        </w:rPr>
        <w:tab/>
      </w:r>
      <w:r>
        <w:rPr>
          <w:rFonts w:ascii="仿宋" w:hAnsi="仿宋" w:eastAsia="仿宋"/>
          <w:sz w:val="24"/>
        </w:rPr>
        <w:t>彭东东</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0919-2151878</w:t>
      </w:r>
      <w:r>
        <w:rPr>
          <w:rFonts w:ascii="仿宋" w:hAnsi="仿宋" w:eastAsia="仿宋"/>
          <w:sz w:val="24"/>
        </w:rPr>
        <w:tab/>
      </w:r>
      <w:r>
        <w:rPr>
          <w:rFonts w:ascii="仿宋" w:hAnsi="仿宋" w:eastAsia="仿宋"/>
          <w:sz w:val="24"/>
        </w:rPr>
        <w:t>17392898832</w:t>
      </w:r>
    </w:p>
    <w:p>
      <w:pPr>
        <w:spacing w:line="360" w:lineRule="auto"/>
        <w:ind w:firstLine="480" w:firstLineChars="200"/>
        <w:rPr>
          <w:rFonts w:ascii="仿宋" w:hAnsi="仿宋" w:eastAsia="仿宋"/>
          <w:sz w:val="24"/>
        </w:rPr>
      </w:pPr>
      <w:r>
        <w:rPr>
          <w:rFonts w:ascii="仿宋" w:hAnsi="仿宋" w:eastAsia="仿宋"/>
          <w:sz w:val="24"/>
        </w:rPr>
        <w:t>延安分行</w:t>
      </w:r>
      <w:r>
        <w:rPr>
          <w:rFonts w:ascii="仿宋" w:hAnsi="仿宋" w:eastAsia="仿宋"/>
          <w:sz w:val="24"/>
        </w:rPr>
        <w:tab/>
      </w:r>
      <w:r>
        <w:rPr>
          <w:rFonts w:ascii="仿宋" w:hAnsi="仿宋" w:eastAsia="仿宋"/>
          <w:sz w:val="24"/>
        </w:rPr>
        <w:t>党莹</w:t>
      </w:r>
      <w:r>
        <w:rPr>
          <w:rFonts w:ascii="仿宋" w:hAnsi="仿宋" w:eastAsia="仿宋"/>
          <w:sz w:val="24"/>
        </w:rPr>
        <w:tab/>
      </w:r>
      <w:r>
        <w:rPr>
          <w:rFonts w:ascii="仿宋" w:hAnsi="仿宋" w:eastAsia="仿宋"/>
          <w:sz w:val="24"/>
        </w:rPr>
        <w:t>经理助理</w:t>
      </w:r>
      <w:r>
        <w:rPr>
          <w:rFonts w:ascii="仿宋" w:hAnsi="仿宋" w:eastAsia="仿宋"/>
          <w:sz w:val="24"/>
        </w:rPr>
        <w:tab/>
      </w:r>
      <w:r>
        <w:rPr>
          <w:rFonts w:ascii="仿宋" w:hAnsi="仿宋" w:eastAsia="仿宋"/>
          <w:sz w:val="24"/>
        </w:rPr>
        <w:t>0911-2380826</w:t>
      </w:r>
      <w:r>
        <w:rPr>
          <w:rFonts w:ascii="仿宋" w:hAnsi="仿宋" w:eastAsia="仿宋"/>
          <w:sz w:val="24"/>
        </w:rPr>
        <w:tab/>
      </w:r>
      <w:r>
        <w:rPr>
          <w:rFonts w:ascii="仿宋" w:hAnsi="仿宋" w:eastAsia="仿宋"/>
          <w:sz w:val="24"/>
        </w:rPr>
        <w:t>15291142933</w:t>
      </w:r>
    </w:p>
    <w:p>
      <w:pPr>
        <w:spacing w:line="360" w:lineRule="auto"/>
        <w:ind w:firstLine="480" w:firstLineChars="200"/>
        <w:rPr>
          <w:rFonts w:ascii="仿宋" w:hAnsi="仿宋" w:eastAsia="仿宋"/>
          <w:sz w:val="24"/>
        </w:rPr>
      </w:pPr>
      <w:r>
        <w:rPr>
          <w:rFonts w:ascii="仿宋" w:hAnsi="仿宋" w:eastAsia="仿宋"/>
          <w:sz w:val="24"/>
        </w:rPr>
        <w:t>汉中分行</w:t>
      </w:r>
      <w:r>
        <w:rPr>
          <w:rFonts w:ascii="仿宋" w:hAnsi="仿宋" w:eastAsia="仿宋"/>
          <w:sz w:val="24"/>
        </w:rPr>
        <w:tab/>
      </w:r>
      <w:r>
        <w:rPr>
          <w:rFonts w:ascii="仿宋" w:hAnsi="仿宋" w:eastAsia="仿宋"/>
          <w:sz w:val="24"/>
        </w:rPr>
        <w:t>杨薇薇</w:t>
      </w:r>
      <w:r>
        <w:rPr>
          <w:rFonts w:ascii="仿宋" w:hAnsi="仿宋" w:eastAsia="仿宋"/>
          <w:sz w:val="24"/>
        </w:rPr>
        <w:tab/>
      </w:r>
      <w:r>
        <w:rPr>
          <w:rFonts w:ascii="仿宋" w:hAnsi="仿宋" w:eastAsia="仿宋"/>
          <w:sz w:val="24"/>
        </w:rPr>
        <w:t>部门副经理</w:t>
      </w:r>
      <w:r>
        <w:rPr>
          <w:rFonts w:ascii="仿宋" w:hAnsi="仿宋" w:eastAsia="仿宋"/>
          <w:sz w:val="24"/>
        </w:rPr>
        <w:tab/>
      </w:r>
      <w:r>
        <w:rPr>
          <w:rFonts w:ascii="仿宋" w:hAnsi="仿宋" w:eastAsia="仿宋"/>
          <w:sz w:val="24"/>
        </w:rPr>
        <w:t>0916-2606773</w:t>
      </w:r>
      <w:r>
        <w:rPr>
          <w:rFonts w:ascii="仿宋" w:hAnsi="仿宋" w:eastAsia="仿宋"/>
          <w:sz w:val="24"/>
        </w:rPr>
        <w:tab/>
      </w:r>
      <w:r>
        <w:rPr>
          <w:rFonts w:ascii="仿宋" w:hAnsi="仿宋" w:eastAsia="仿宋"/>
          <w:sz w:val="24"/>
        </w:rPr>
        <w:t>18591607453</w:t>
      </w:r>
    </w:p>
    <w:p>
      <w:pPr>
        <w:spacing w:line="360" w:lineRule="auto"/>
        <w:ind w:firstLine="480" w:firstLineChars="200"/>
        <w:rPr>
          <w:rFonts w:ascii="仿宋" w:hAnsi="仿宋" w:eastAsia="仿宋"/>
          <w:sz w:val="24"/>
        </w:rPr>
      </w:pPr>
      <w:r>
        <w:rPr>
          <w:rFonts w:ascii="仿宋" w:hAnsi="仿宋" w:eastAsia="仿宋"/>
          <w:sz w:val="24"/>
        </w:rPr>
        <w:t>渭南分行</w:t>
      </w:r>
      <w:r>
        <w:rPr>
          <w:rFonts w:ascii="仿宋" w:hAnsi="仿宋" w:eastAsia="仿宋"/>
          <w:sz w:val="24"/>
        </w:rPr>
        <w:tab/>
      </w:r>
      <w:r>
        <w:rPr>
          <w:rFonts w:ascii="仿宋" w:hAnsi="仿宋" w:eastAsia="仿宋"/>
          <w:sz w:val="24"/>
        </w:rPr>
        <w:t>张欢</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09132095066</w:t>
      </w:r>
      <w:r>
        <w:rPr>
          <w:rFonts w:ascii="仿宋" w:hAnsi="仿宋" w:eastAsia="仿宋"/>
          <w:sz w:val="24"/>
        </w:rPr>
        <w:tab/>
      </w:r>
      <w:r>
        <w:rPr>
          <w:rFonts w:ascii="仿宋" w:hAnsi="仿宋" w:eastAsia="仿宋"/>
          <w:sz w:val="24"/>
        </w:rPr>
        <w:t>15229730006</w:t>
      </w:r>
    </w:p>
    <w:p>
      <w:pPr>
        <w:spacing w:line="360" w:lineRule="auto"/>
        <w:ind w:firstLine="480" w:firstLineChars="200"/>
        <w:rPr>
          <w:rFonts w:ascii="仿宋" w:hAnsi="仿宋" w:eastAsia="仿宋"/>
          <w:sz w:val="24"/>
        </w:rPr>
      </w:pPr>
      <w:r>
        <w:rPr>
          <w:rFonts w:ascii="仿宋" w:hAnsi="仿宋" w:eastAsia="仿宋"/>
          <w:sz w:val="24"/>
        </w:rPr>
        <w:t>咸阳分行</w:t>
      </w:r>
      <w:r>
        <w:rPr>
          <w:rFonts w:ascii="仿宋" w:hAnsi="仿宋" w:eastAsia="仿宋"/>
          <w:sz w:val="24"/>
        </w:rPr>
        <w:tab/>
      </w:r>
      <w:r>
        <w:rPr>
          <w:rFonts w:ascii="仿宋" w:hAnsi="仿宋" w:eastAsia="仿宋"/>
          <w:sz w:val="24"/>
        </w:rPr>
        <w:t>袁霖</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029-33259370</w:t>
      </w:r>
      <w:r>
        <w:rPr>
          <w:rFonts w:ascii="仿宋" w:hAnsi="仿宋" w:eastAsia="仿宋"/>
          <w:sz w:val="24"/>
        </w:rPr>
        <w:tab/>
      </w:r>
      <w:r>
        <w:rPr>
          <w:rFonts w:ascii="仿宋" w:hAnsi="仿宋" w:eastAsia="仿宋"/>
          <w:sz w:val="24"/>
        </w:rPr>
        <w:t>18591006506</w:t>
      </w:r>
    </w:p>
    <w:p>
      <w:pPr>
        <w:spacing w:line="360" w:lineRule="auto"/>
        <w:ind w:firstLine="480" w:firstLineChars="200"/>
        <w:rPr>
          <w:rFonts w:ascii="仿宋" w:hAnsi="仿宋" w:eastAsia="仿宋"/>
          <w:sz w:val="24"/>
        </w:rPr>
      </w:pPr>
      <w:r>
        <w:rPr>
          <w:rFonts w:ascii="仿宋" w:hAnsi="仿宋" w:eastAsia="仿宋"/>
          <w:sz w:val="24"/>
        </w:rPr>
        <w:t>商洛分行</w:t>
      </w:r>
      <w:r>
        <w:rPr>
          <w:rFonts w:ascii="仿宋" w:hAnsi="仿宋" w:eastAsia="仿宋"/>
          <w:sz w:val="24"/>
        </w:rPr>
        <w:tab/>
      </w:r>
      <w:r>
        <w:rPr>
          <w:rFonts w:ascii="仿宋" w:hAnsi="仿宋" w:eastAsia="仿宋"/>
          <w:sz w:val="24"/>
        </w:rPr>
        <w:t>张铮</w:t>
      </w:r>
      <w:r>
        <w:rPr>
          <w:rFonts w:ascii="仿宋" w:hAnsi="仿宋" w:eastAsia="仿宋"/>
          <w:sz w:val="24"/>
        </w:rPr>
        <w:tab/>
      </w:r>
      <w:r>
        <w:rPr>
          <w:rFonts w:ascii="仿宋" w:hAnsi="仿宋" w:eastAsia="仿宋"/>
          <w:sz w:val="24"/>
        </w:rPr>
        <w:t>经理助理</w:t>
      </w:r>
      <w:r>
        <w:rPr>
          <w:rFonts w:ascii="仿宋" w:hAnsi="仿宋" w:eastAsia="仿宋"/>
          <w:sz w:val="24"/>
        </w:rPr>
        <w:tab/>
      </w:r>
      <w:r>
        <w:rPr>
          <w:rFonts w:ascii="仿宋" w:hAnsi="仿宋" w:eastAsia="仿宋"/>
          <w:sz w:val="24"/>
        </w:rPr>
        <w:t>0914-2310908</w:t>
      </w:r>
      <w:r>
        <w:rPr>
          <w:rFonts w:ascii="仿宋" w:hAnsi="仿宋" w:eastAsia="仿宋"/>
          <w:sz w:val="24"/>
        </w:rPr>
        <w:tab/>
      </w:r>
      <w:r>
        <w:rPr>
          <w:rFonts w:ascii="仿宋" w:hAnsi="仿宋" w:eastAsia="仿宋"/>
          <w:sz w:val="24"/>
        </w:rPr>
        <w:t>18691410305</w:t>
      </w:r>
    </w:p>
    <w:p>
      <w:pPr>
        <w:spacing w:line="360" w:lineRule="auto"/>
        <w:ind w:firstLine="480" w:firstLineChars="200"/>
        <w:rPr>
          <w:rFonts w:ascii="仿宋" w:hAnsi="仿宋" w:eastAsia="仿宋"/>
          <w:sz w:val="24"/>
        </w:rPr>
      </w:pPr>
      <w:r>
        <w:rPr>
          <w:rFonts w:ascii="仿宋" w:hAnsi="仿宋" w:eastAsia="仿宋"/>
          <w:sz w:val="24"/>
        </w:rPr>
        <w:t>商洛分行</w:t>
      </w:r>
      <w:r>
        <w:rPr>
          <w:rFonts w:ascii="仿宋" w:hAnsi="仿宋" w:eastAsia="仿宋"/>
          <w:sz w:val="24"/>
        </w:rPr>
        <w:tab/>
      </w:r>
      <w:r>
        <w:rPr>
          <w:rFonts w:ascii="仿宋" w:hAnsi="仿宋" w:eastAsia="仿宋"/>
          <w:sz w:val="24"/>
        </w:rPr>
        <w:t>余勇博</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0914-2310908</w:t>
      </w:r>
      <w:r>
        <w:rPr>
          <w:rFonts w:ascii="仿宋" w:hAnsi="仿宋" w:eastAsia="仿宋"/>
          <w:sz w:val="24"/>
        </w:rPr>
        <w:tab/>
      </w:r>
      <w:r>
        <w:rPr>
          <w:rFonts w:ascii="仿宋" w:hAnsi="仿宋" w:eastAsia="仿宋"/>
          <w:sz w:val="24"/>
        </w:rPr>
        <w:t>18092802280</w:t>
      </w:r>
    </w:p>
    <w:p>
      <w:pPr>
        <w:spacing w:line="360" w:lineRule="auto"/>
        <w:ind w:firstLine="480" w:firstLineChars="200"/>
        <w:rPr>
          <w:rFonts w:ascii="仿宋" w:hAnsi="仿宋" w:eastAsia="仿宋"/>
          <w:sz w:val="24"/>
        </w:rPr>
      </w:pPr>
      <w:r>
        <w:rPr>
          <w:rFonts w:ascii="仿宋" w:hAnsi="仿宋" w:eastAsia="仿宋"/>
          <w:sz w:val="24"/>
        </w:rPr>
        <w:t>西安分行</w:t>
      </w:r>
      <w:r>
        <w:rPr>
          <w:rFonts w:ascii="仿宋" w:hAnsi="仿宋" w:eastAsia="仿宋"/>
          <w:sz w:val="24"/>
        </w:rPr>
        <w:tab/>
      </w:r>
      <w:r>
        <w:rPr>
          <w:rFonts w:ascii="仿宋" w:hAnsi="仿宋" w:eastAsia="仿宋"/>
          <w:sz w:val="24"/>
        </w:rPr>
        <w:t>巩越</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029-87609419</w:t>
      </w:r>
      <w:r>
        <w:rPr>
          <w:rFonts w:ascii="仿宋" w:hAnsi="仿宋" w:eastAsia="仿宋"/>
          <w:sz w:val="24"/>
        </w:rPr>
        <w:tab/>
      </w:r>
      <w:r>
        <w:rPr>
          <w:rFonts w:ascii="仿宋" w:hAnsi="仿宋" w:eastAsia="仿宋"/>
          <w:sz w:val="24"/>
        </w:rPr>
        <w:t>18629450680</w:t>
      </w:r>
    </w:p>
    <w:p>
      <w:pPr>
        <w:spacing w:line="360" w:lineRule="auto"/>
        <w:rPr>
          <w:rFonts w:ascii="仿宋" w:hAnsi="仿宋" w:eastAsia="仿宋"/>
          <w:b/>
          <w:sz w:val="24"/>
        </w:rPr>
      </w:pPr>
      <w:r>
        <w:rPr>
          <w:rFonts w:ascii="仿宋" w:hAnsi="仿宋" w:eastAsia="仿宋"/>
          <w:b/>
          <w:sz w:val="24"/>
        </w:rPr>
        <w:t>四、中信银行（政采e贷）</w:t>
      </w:r>
    </w:p>
    <w:p>
      <w:pPr>
        <w:spacing w:line="360" w:lineRule="auto"/>
        <w:ind w:firstLine="480" w:firstLineChars="200"/>
        <w:rPr>
          <w:rFonts w:ascii="仿宋" w:hAnsi="仿宋" w:eastAsia="仿宋"/>
          <w:sz w:val="24"/>
        </w:rPr>
      </w:pPr>
      <w:r>
        <w:rPr>
          <w:rFonts w:ascii="仿宋" w:hAnsi="仿宋" w:eastAsia="仿宋"/>
          <w:sz w:val="24"/>
        </w:rPr>
        <w:t>西安分行</w:t>
      </w:r>
      <w:r>
        <w:rPr>
          <w:rFonts w:ascii="仿宋" w:hAnsi="仿宋" w:eastAsia="仿宋"/>
          <w:sz w:val="24"/>
        </w:rPr>
        <w:tab/>
      </w:r>
      <w:r>
        <w:rPr>
          <w:rFonts w:ascii="仿宋" w:hAnsi="仿宋" w:eastAsia="仿宋"/>
          <w:sz w:val="24"/>
        </w:rPr>
        <w:t>西安市朱雀大街中段1号</w:t>
      </w:r>
      <w:r>
        <w:rPr>
          <w:rFonts w:ascii="仿宋" w:hAnsi="仿宋" w:eastAsia="仿宋"/>
          <w:sz w:val="24"/>
        </w:rPr>
        <w:tab/>
      </w:r>
      <w:r>
        <w:rPr>
          <w:rFonts w:ascii="仿宋" w:hAnsi="仿宋" w:eastAsia="仿宋"/>
          <w:sz w:val="24"/>
        </w:rPr>
        <w:t>曹晓聪</w:t>
      </w:r>
      <w:r>
        <w:rPr>
          <w:rFonts w:ascii="仿宋" w:hAnsi="仿宋" w:eastAsia="仿宋"/>
          <w:sz w:val="24"/>
        </w:rPr>
        <w:tab/>
      </w:r>
      <w:r>
        <w:rPr>
          <w:rFonts w:ascii="仿宋" w:hAnsi="仿宋" w:eastAsia="仿宋"/>
          <w:sz w:val="24"/>
        </w:rPr>
        <w:t>13759957407</w:t>
      </w:r>
    </w:p>
    <w:p>
      <w:pPr>
        <w:spacing w:line="360" w:lineRule="auto"/>
        <w:ind w:firstLine="480" w:firstLineChars="200"/>
        <w:rPr>
          <w:rFonts w:ascii="仿宋" w:hAnsi="仿宋" w:eastAsia="仿宋"/>
          <w:sz w:val="24"/>
        </w:rPr>
      </w:pPr>
      <w:r>
        <w:rPr>
          <w:rFonts w:ascii="仿宋" w:hAnsi="仿宋" w:eastAsia="仿宋"/>
          <w:sz w:val="24"/>
        </w:rPr>
        <w:t>咸阳分行</w:t>
      </w:r>
      <w:r>
        <w:rPr>
          <w:rFonts w:ascii="仿宋" w:hAnsi="仿宋" w:eastAsia="仿宋"/>
          <w:sz w:val="24"/>
        </w:rPr>
        <w:tab/>
      </w:r>
      <w:r>
        <w:rPr>
          <w:rFonts w:ascii="仿宋" w:hAnsi="仿宋" w:eastAsia="仿宋"/>
          <w:sz w:val="24"/>
        </w:rPr>
        <w:t>秦皇中路绿苑大厦</w:t>
      </w:r>
      <w:r>
        <w:rPr>
          <w:rFonts w:ascii="仿宋" w:hAnsi="仿宋" w:eastAsia="仿宋"/>
          <w:sz w:val="24"/>
        </w:rPr>
        <w:tab/>
      </w:r>
      <w:r>
        <w:rPr>
          <w:rFonts w:ascii="仿宋" w:hAnsi="仿宋" w:eastAsia="仿宋"/>
          <w:sz w:val="24"/>
        </w:rPr>
        <w:t>杭群</w:t>
      </w:r>
      <w:r>
        <w:rPr>
          <w:rFonts w:ascii="仿宋" w:hAnsi="仿宋" w:eastAsia="仿宋"/>
          <w:sz w:val="24"/>
        </w:rPr>
        <w:tab/>
      </w:r>
      <w:r>
        <w:rPr>
          <w:rFonts w:ascii="仿宋" w:hAnsi="仿宋" w:eastAsia="仿宋"/>
          <w:sz w:val="24"/>
        </w:rPr>
        <w:t>13992016859</w:t>
      </w:r>
    </w:p>
    <w:p>
      <w:pPr>
        <w:spacing w:line="360" w:lineRule="auto"/>
        <w:ind w:firstLine="480" w:firstLineChars="200"/>
        <w:rPr>
          <w:rFonts w:ascii="仿宋" w:hAnsi="仿宋" w:eastAsia="仿宋"/>
          <w:sz w:val="24"/>
        </w:rPr>
      </w:pPr>
      <w:r>
        <w:rPr>
          <w:rFonts w:ascii="仿宋" w:hAnsi="仿宋" w:eastAsia="仿宋"/>
          <w:sz w:val="24"/>
        </w:rPr>
        <w:t>宝鸡分行</w:t>
      </w:r>
      <w:r>
        <w:rPr>
          <w:rFonts w:ascii="仿宋" w:hAnsi="仿宋" w:eastAsia="仿宋"/>
          <w:sz w:val="24"/>
        </w:rPr>
        <w:tab/>
      </w:r>
      <w:r>
        <w:rPr>
          <w:rFonts w:ascii="仿宋" w:hAnsi="仿宋" w:eastAsia="仿宋"/>
          <w:sz w:val="24"/>
        </w:rPr>
        <w:t>宝鸡市高新大道50号财富大厦B座</w:t>
      </w:r>
      <w:r>
        <w:rPr>
          <w:rFonts w:ascii="仿宋" w:hAnsi="仿宋" w:eastAsia="仿宋"/>
          <w:sz w:val="24"/>
        </w:rPr>
        <w:tab/>
      </w:r>
      <w:r>
        <w:rPr>
          <w:rFonts w:ascii="仿宋" w:hAnsi="仿宋" w:eastAsia="仿宋"/>
          <w:sz w:val="24"/>
        </w:rPr>
        <w:t>王尧</w:t>
      </w:r>
      <w:r>
        <w:rPr>
          <w:rFonts w:ascii="仿宋" w:hAnsi="仿宋" w:eastAsia="仿宋"/>
          <w:sz w:val="24"/>
        </w:rPr>
        <w:tab/>
      </w:r>
      <w:r>
        <w:rPr>
          <w:rFonts w:ascii="仿宋" w:hAnsi="仿宋" w:eastAsia="仿宋"/>
          <w:sz w:val="24"/>
        </w:rPr>
        <w:t>13636762976</w:t>
      </w:r>
    </w:p>
    <w:p>
      <w:pPr>
        <w:spacing w:line="360" w:lineRule="auto"/>
        <w:ind w:firstLine="480" w:firstLineChars="200"/>
        <w:rPr>
          <w:rFonts w:ascii="仿宋" w:hAnsi="仿宋" w:eastAsia="仿宋"/>
          <w:sz w:val="24"/>
        </w:rPr>
      </w:pPr>
      <w:r>
        <w:rPr>
          <w:rFonts w:ascii="仿宋" w:hAnsi="仿宋" w:eastAsia="仿宋"/>
          <w:sz w:val="24"/>
        </w:rPr>
        <w:t>渭南分行</w:t>
      </w:r>
      <w:r>
        <w:rPr>
          <w:rFonts w:ascii="仿宋" w:hAnsi="仿宋" w:eastAsia="仿宋"/>
          <w:sz w:val="24"/>
        </w:rPr>
        <w:tab/>
      </w:r>
      <w:r>
        <w:rPr>
          <w:rFonts w:ascii="仿宋" w:hAnsi="仿宋" w:eastAsia="仿宋"/>
          <w:sz w:val="24"/>
        </w:rPr>
        <w:t>渭南市朝阳大街中段信达广场世纪明珠大厦</w:t>
      </w:r>
      <w:r>
        <w:rPr>
          <w:rFonts w:ascii="仿宋" w:hAnsi="仿宋" w:eastAsia="仿宋"/>
          <w:sz w:val="24"/>
        </w:rPr>
        <w:tab/>
      </w:r>
      <w:r>
        <w:rPr>
          <w:rFonts w:ascii="仿宋" w:hAnsi="仿宋" w:eastAsia="仿宋"/>
          <w:sz w:val="24"/>
        </w:rPr>
        <w:t>杨阳18191815559</w:t>
      </w:r>
    </w:p>
    <w:p>
      <w:pPr>
        <w:spacing w:line="360" w:lineRule="auto"/>
        <w:ind w:firstLine="480" w:firstLineChars="200"/>
        <w:rPr>
          <w:rFonts w:ascii="仿宋" w:hAnsi="仿宋" w:eastAsia="仿宋"/>
          <w:sz w:val="24"/>
        </w:rPr>
      </w:pPr>
      <w:r>
        <w:rPr>
          <w:rFonts w:ascii="仿宋" w:hAnsi="仿宋" w:eastAsia="仿宋"/>
          <w:sz w:val="24"/>
        </w:rPr>
        <w:t>榆林分行</w:t>
      </w:r>
      <w:r>
        <w:rPr>
          <w:rFonts w:ascii="仿宋" w:hAnsi="仿宋" w:eastAsia="仿宋"/>
          <w:sz w:val="24"/>
        </w:rPr>
        <w:tab/>
      </w:r>
      <w:r>
        <w:rPr>
          <w:rFonts w:ascii="仿宋" w:hAnsi="仿宋" w:eastAsia="仿宋"/>
          <w:sz w:val="24"/>
        </w:rPr>
        <w:t>榆林市高新区长兴路248号中信银行</w:t>
      </w:r>
      <w:r>
        <w:rPr>
          <w:rFonts w:ascii="仿宋" w:hAnsi="仿宋" w:eastAsia="仿宋"/>
          <w:sz w:val="24"/>
        </w:rPr>
        <w:tab/>
      </w:r>
      <w:r>
        <w:rPr>
          <w:rFonts w:ascii="仿宋" w:hAnsi="仿宋" w:eastAsia="仿宋"/>
          <w:sz w:val="24"/>
        </w:rPr>
        <w:t>刘洪巍</w:t>
      </w:r>
      <w:r>
        <w:rPr>
          <w:rFonts w:ascii="仿宋" w:hAnsi="仿宋" w:eastAsia="仿宋"/>
          <w:sz w:val="24"/>
        </w:rPr>
        <w:tab/>
      </w:r>
      <w:r>
        <w:rPr>
          <w:rFonts w:ascii="仿宋" w:hAnsi="仿宋" w:eastAsia="仿宋"/>
          <w:sz w:val="24"/>
        </w:rPr>
        <w:t>13636885556</w:t>
      </w:r>
    </w:p>
    <w:p>
      <w:pPr>
        <w:spacing w:line="360" w:lineRule="auto"/>
        <w:ind w:left="1860" w:leftChars="200" w:hanging="1440" w:hangingChars="600"/>
        <w:rPr>
          <w:rFonts w:ascii="仿宋" w:hAnsi="仿宋" w:eastAsia="仿宋"/>
          <w:sz w:val="24"/>
        </w:rPr>
      </w:pPr>
      <w:r>
        <w:rPr>
          <w:rFonts w:ascii="仿宋" w:hAnsi="仿宋" w:eastAsia="仿宋"/>
          <w:sz w:val="24"/>
        </w:rPr>
        <w:t>汉中分行</w:t>
      </w:r>
      <w:r>
        <w:rPr>
          <w:rFonts w:ascii="仿宋" w:hAnsi="仿宋" w:eastAsia="仿宋"/>
          <w:sz w:val="24"/>
        </w:rPr>
        <w:tab/>
      </w:r>
      <w:r>
        <w:rPr>
          <w:rFonts w:ascii="仿宋" w:hAnsi="仿宋" w:eastAsia="仿宋"/>
          <w:sz w:val="24"/>
        </w:rPr>
        <w:t>汉中市汉台区西二环路与劳动西路东南汉中滨江</w:t>
      </w:r>
      <w:r>
        <w:rPr>
          <w:rFonts w:hint="eastAsia" w:ascii="宋体" w:hAnsi="宋体" w:cs="宋体"/>
          <w:sz w:val="24"/>
        </w:rPr>
        <w:t>•</w:t>
      </w:r>
      <w:r>
        <w:rPr>
          <w:rFonts w:ascii="仿宋" w:hAnsi="仿宋" w:eastAsia="仿宋"/>
          <w:sz w:val="24"/>
        </w:rPr>
        <w:t>公园壹号（产业孵化区）3B号楼</w:t>
      </w:r>
      <w:r>
        <w:rPr>
          <w:rFonts w:ascii="仿宋" w:hAnsi="仿宋" w:eastAsia="仿宋"/>
          <w:sz w:val="24"/>
        </w:rPr>
        <w:tab/>
      </w:r>
      <w:r>
        <w:rPr>
          <w:rFonts w:ascii="仿宋" w:hAnsi="仿宋" w:eastAsia="仿宋"/>
          <w:sz w:val="24"/>
        </w:rPr>
        <w:t>陈真</w:t>
      </w:r>
      <w:r>
        <w:rPr>
          <w:rFonts w:ascii="仿宋" w:hAnsi="仿宋" w:eastAsia="仿宋"/>
          <w:sz w:val="24"/>
        </w:rPr>
        <w:tab/>
      </w:r>
      <w:r>
        <w:rPr>
          <w:rFonts w:ascii="仿宋" w:hAnsi="仿宋" w:eastAsia="仿宋"/>
          <w:sz w:val="24"/>
        </w:rPr>
        <w:t>18509165068</w:t>
      </w:r>
    </w:p>
    <w:p>
      <w:pPr>
        <w:spacing w:line="360" w:lineRule="auto"/>
        <w:rPr>
          <w:rFonts w:ascii="仿宋" w:hAnsi="仿宋" w:eastAsia="仿宋"/>
          <w:b/>
          <w:sz w:val="24"/>
        </w:rPr>
      </w:pPr>
      <w:r>
        <w:rPr>
          <w:rFonts w:ascii="仿宋" w:hAnsi="仿宋" w:eastAsia="仿宋"/>
          <w:b/>
          <w:sz w:val="24"/>
        </w:rPr>
        <w:t>五、中国光大银行（阳光政采贷）</w:t>
      </w:r>
      <w:r>
        <w:rPr>
          <w:rFonts w:ascii="仿宋" w:hAnsi="仿宋" w:eastAsia="仿宋"/>
          <w:b/>
          <w:sz w:val="24"/>
        </w:rPr>
        <w:tab/>
      </w:r>
      <w:r>
        <w:rPr>
          <w:rFonts w:ascii="仿宋" w:hAnsi="仿宋" w:eastAsia="仿宋"/>
          <w:b/>
          <w:sz w:val="24"/>
        </w:rPr>
        <w:tab/>
      </w:r>
      <w:r>
        <w:rPr>
          <w:rFonts w:ascii="仿宋" w:hAnsi="仿宋" w:eastAsia="仿宋"/>
          <w:b/>
          <w:sz w:val="24"/>
        </w:rPr>
        <w:tab/>
      </w:r>
      <w:r>
        <w:rPr>
          <w:rFonts w:ascii="仿宋" w:hAnsi="仿宋" w:eastAsia="仿宋"/>
          <w:b/>
          <w:sz w:val="24"/>
        </w:rPr>
        <w:tab/>
      </w:r>
    </w:p>
    <w:p>
      <w:pPr>
        <w:spacing w:line="360" w:lineRule="auto"/>
        <w:ind w:firstLine="480" w:firstLineChars="200"/>
        <w:rPr>
          <w:rFonts w:ascii="仿宋" w:hAnsi="仿宋" w:eastAsia="仿宋"/>
          <w:sz w:val="24"/>
        </w:rPr>
      </w:pPr>
      <w:r>
        <w:rPr>
          <w:rFonts w:ascii="仿宋" w:hAnsi="仿宋" w:eastAsia="仿宋"/>
          <w:sz w:val="24"/>
        </w:rPr>
        <w:t>宝鸡分行</w:t>
      </w:r>
      <w:r>
        <w:rPr>
          <w:rFonts w:ascii="仿宋" w:hAnsi="仿宋" w:eastAsia="仿宋"/>
          <w:sz w:val="24"/>
        </w:rPr>
        <w:tab/>
      </w:r>
      <w:r>
        <w:rPr>
          <w:rFonts w:ascii="仿宋" w:hAnsi="仿宋" w:eastAsia="仿宋"/>
          <w:sz w:val="24"/>
        </w:rPr>
        <w:t>杨欢</w:t>
      </w:r>
      <w:r>
        <w:rPr>
          <w:rFonts w:ascii="仿宋" w:hAnsi="仿宋" w:eastAsia="仿宋"/>
          <w:sz w:val="24"/>
        </w:rPr>
        <w:tab/>
      </w:r>
      <w:r>
        <w:rPr>
          <w:rFonts w:ascii="仿宋" w:hAnsi="仿宋" w:eastAsia="仿宋"/>
          <w:sz w:val="24"/>
        </w:rPr>
        <w:t>0917-3451055</w:t>
      </w:r>
      <w:r>
        <w:rPr>
          <w:rFonts w:ascii="仿宋" w:hAnsi="仿宋" w:eastAsia="仿宋"/>
          <w:sz w:val="24"/>
        </w:rPr>
        <w:tab/>
      </w:r>
      <w:r>
        <w:rPr>
          <w:rFonts w:ascii="仿宋" w:hAnsi="仿宋" w:eastAsia="仿宋"/>
          <w:sz w:val="24"/>
        </w:rPr>
        <w:t>18329677163</w:t>
      </w:r>
    </w:p>
    <w:p>
      <w:pPr>
        <w:spacing w:line="360" w:lineRule="auto"/>
        <w:ind w:firstLine="480" w:firstLineChars="200"/>
        <w:rPr>
          <w:rFonts w:ascii="仿宋" w:hAnsi="仿宋" w:eastAsia="仿宋"/>
          <w:sz w:val="24"/>
        </w:rPr>
      </w:pPr>
      <w:r>
        <w:rPr>
          <w:rFonts w:ascii="仿宋" w:hAnsi="仿宋" w:eastAsia="仿宋"/>
          <w:sz w:val="24"/>
        </w:rPr>
        <w:t>榆林分行</w:t>
      </w:r>
      <w:r>
        <w:rPr>
          <w:rFonts w:ascii="仿宋" w:hAnsi="仿宋" w:eastAsia="仿宋"/>
          <w:sz w:val="24"/>
        </w:rPr>
        <w:tab/>
      </w:r>
      <w:r>
        <w:rPr>
          <w:rFonts w:ascii="仿宋" w:hAnsi="仿宋" w:eastAsia="仿宋"/>
          <w:sz w:val="24"/>
        </w:rPr>
        <w:t>尚云鹏</w:t>
      </w:r>
      <w:r>
        <w:rPr>
          <w:rFonts w:ascii="仿宋" w:hAnsi="仿宋" w:eastAsia="仿宋"/>
          <w:sz w:val="24"/>
        </w:rPr>
        <w:tab/>
      </w:r>
      <w:r>
        <w:rPr>
          <w:rFonts w:ascii="仿宋" w:hAnsi="仿宋" w:eastAsia="仿宋"/>
          <w:sz w:val="24"/>
        </w:rPr>
        <w:t>0912-3548019</w:t>
      </w:r>
      <w:r>
        <w:rPr>
          <w:rFonts w:ascii="仿宋" w:hAnsi="仿宋" w:eastAsia="仿宋"/>
          <w:sz w:val="24"/>
        </w:rPr>
        <w:tab/>
      </w:r>
      <w:r>
        <w:rPr>
          <w:rFonts w:ascii="仿宋" w:hAnsi="仿宋" w:eastAsia="仿宋"/>
          <w:sz w:val="24"/>
        </w:rPr>
        <w:t>18690473126</w:t>
      </w:r>
    </w:p>
    <w:p>
      <w:pPr>
        <w:spacing w:line="360" w:lineRule="auto"/>
        <w:ind w:firstLine="480" w:firstLineChars="200"/>
        <w:rPr>
          <w:rFonts w:ascii="仿宋" w:hAnsi="仿宋" w:eastAsia="仿宋"/>
          <w:sz w:val="24"/>
        </w:rPr>
      </w:pPr>
      <w:r>
        <w:rPr>
          <w:rFonts w:ascii="仿宋" w:hAnsi="仿宋" w:eastAsia="仿宋"/>
          <w:sz w:val="24"/>
        </w:rPr>
        <w:t>延安分行</w:t>
      </w:r>
      <w:r>
        <w:rPr>
          <w:rFonts w:ascii="仿宋" w:hAnsi="仿宋" w:eastAsia="仿宋"/>
          <w:sz w:val="24"/>
        </w:rPr>
        <w:tab/>
      </w:r>
      <w:r>
        <w:rPr>
          <w:rFonts w:ascii="仿宋" w:hAnsi="仿宋" w:eastAsia="仿宋"/>
          <w:sz w:val="24"/>
        </w:rPr>
        <w:t>汪昊田</w:t>
      </w:r>
      <w:r>
        <w:rPr>
          <w:rFonts w:ascii="仿宋" w:hAnsi="仿宋" w:eastAsia="仿宋"/>
          <w:sz w:val="24"/>
        </w:rPr>
        <w:tab/>
      </w:r>
      <w:r>
        <w:rPr>
          <w:rFonts w:ascii="仿宋" w:hAnsi="仿宋" w:eastAsia="仿宋"/>
          <w:sz w:val="24"/>
        </w:rPr>
        <w:t>0911-8011831</w:t>
      </w:r>
      <w:r>
        <w:rPr>
          <w:rFonts w:ascii="仿宋" w:hAnsi="仿宋" w:eastAsia="仿宋"/>
          <w:sz w:val="24"/>
        </w:rPr>
        <w:tab/>
      </w:r>
      <w:r>
        <w:rPr>
          <w:rFonts w:ascii="仿宋" w:hAnsi="仿宋" w:eastAsia="仿宋"/>
          <w:sz w:val="24"/>
        </w:rPr>
        <w:t>13509115500</w:t>
      </w:r>
    </w:p>
    <w:p>
      <w:pPr>
        <w:spacing w:line="360" w:lineRule="auto"/>
        <w:ind w:firstLine="480" w:firstLineChars="200"/>
        <w:rPr>
          <w:rFonts w:ascii="仿宋" w:hAnsi="仿宋" w:eastAsia="仿宋"/>
          <w:sz w:val="24"/>
        </w:rPr>
      </w:pPr>
      <w:r>
        <w:rPr>
          <w:rFonts w:ascii="仿宋" w:hAnsi="仿宋" w:eastAsia="仿宋"/>
          <w:sz w:val="24"/>
        </w:rPr>
        <w:t>咸阳分行</w:t>
      </w:r>
      <w:r>
        <w:rPr>
          <w:rFonts w:ascii="仿宋" w:hAnsi="仿宋" w:eastAsia="仿宋"/>
          <w:sz w:val="24"/>
        </w:rPr>
        <w:tab/>
      </w:r>
      <w:r>
        <w:rPr>
          <w:rFonts w:ascii="仿宋" w:hAnsi="仿宋" w:eastAsia="仿宋"/>
          <w:sz w:val="24"/>
        </w:rPr>
        <w:t>侯佳</w:t>
      </w:r>
      <w:r>
        <w:rPr>
          <w:rFonts w:ascii="仿宋" w:hAnsi="仿宋" w:eastAsia="仿宋"/>
          <w:sz w:val="24"/>
        </w:rPr>
        <w:tab/>
      </w:r>
      <w:r>
        <w:rPr>
          <w:rFonts w:ascii="仿宋" w:hAnsi="仿宋" w:eastAsia="仿宋"/>
          <w:sz w:val="24"/>
        </w:rPr>
        <w:t>32100021</w:t>
      </w:r>
      <w:r>
        <w:rPr>
          <w:rFonts w:ascii="仿宋" w:hAnsi="仿宋" w:eastAsia="仿宋"/>
          <w:sz w:val="24"/>
        </w:rPr>
        <w:tab/>
      </w:r>
      <w:r>
        <w:rPr>
          <w:rFonts w:ascii="仿宋" w:hAnsi="仿宋" w:eastAsia="仿宋"/>
          <w:sz w:val="24"/>
        </w:rPr>
        <w:t>15229500088</w:t>
      </w:r>
    </w:p>
    <w:p>
      <w:pPr>
        <w:spacing w:line="360" w:lineRule="auto"/>
        <w:ind w:firstLine="480" w:firstLineChars="200"/>
        <w:rPr>
          <w:rFonts w:ascii="仿宋" w:hAnsi="仿宋" w:eastAsia="仿宋"/>
          <w:sz w:val="24"/>
        </w:rPr>
      </w:pPr>
      <w:r>
        <w:rPr>
          <w:rFonts w:ascii="仿宋" w:hAnsi="仿宋" w:eastAsia="仿宋"/>
          <w:sz w:val="24"/>
        </w:rPr>
        <w:t>营销一部</w:t>
      </w:r>
      <w:r>
        <w:rPr>
          <w:rFonts w:ascii="仿宋" w:hAnsi="仿宋" w:eastAsia="仿宋"/>
          <w:sz w:val="24"/>
        </w:rPr>
        <w:tab/>
      </w:r>
      <w:r>
        <w:rPr>
          <w:rFonts w:ascii="仿宋" w:hAnsi="仿宋" w:eastAsia="仿宋"/>
          <w:sz w:val="24"/>
        </w:rPr>
        <w:t>李敏</w:t>
      </w:r>
      <w:r>
        <w:rPr>
          <w:rFonts w:ascii="仿宋" w:hAnsi="仿宋" w:eastAsia="仿宋"/>
          <w:sz w:val="24"/>
        </w:rPr>
        <w:tab/>
      </w:r>
      <w:r>
        <w:rPr>
          <w:rFonts w:ascii="仿宋" w:hAnsi="仿宋" w:eastAsia="仿宋"/>
          <w:sz w:val="24"/>
        </w:rPr>
        <w:t>87236311</w:t>
      </w:r>
      <w:r>
        <w:rPr>
          <w:rFonts w:ascii="仿宋" w:hAnsi="仿宋" w:eastAsia="仿宋"/>
          <w:sz w:val="24"/>
        </w:rPr>
        <w:tab/>
      </w:r>
      <w:r>
        <w:rPr>
          <w:rFonts w:ascii="仿宋" w:hAnsi="仿宋" w:eastAsia="仿宋"/>
          <w:sz w:val="24"/>
        </w:rPr>
        <w:t>13772031109</w:t>
      </w:r>
    </w:p>
    <w:p>
      <w:pPr>
        <w:spacing w:line="360" w:lineRule="auto"/>
        <w:ind w:firstLine="480" w:firstLineChars="200"/>
        <w:rPr>
          <w:rFonts w:ascii="仿宋" w:hAnsi="仿宋" w:eastAsia="仿宋"/>
          <w:sz w:val="24"/>
        </w:rPr>
      </w:pPr>
      <w:r>
        <w:rPr>
          <w:rFonts w:ascii="仿宋" w:hAnsi="仿宋" w:eastAsia="仿宋"/>
          <w:sz w:val="24"/>
        </w:rPr>
        <w:t>营销二部</w:t>
      </w:r>
      <w:r>
        <w:rPr>
          <w:rFonts w:ascii="仿宋" w:hAnsi="仿宋" w:eastAsia="仿宋"/>
          <w:sz w:val="24"/>
        </w:rPr>
        <w:tab/>
      </w:r>
      <w:r>
        <w:rPr>
          <w:rFonts w:ascii="仿宋" w:hAnsi="仿宋" w:eastAsia="仿宋"/>
          <w:sz w:val="24"/>
        </w:rPr>
        <w:t>朱翰辰</w:t>
      </w:r>
      <w:r>
        <w:rPr>
          <w:rFonts w:ascii="仿宋" w:hAnsi="仿宋" w:eastAsia="仿宋"/>
          <w:sz w:val="24"/>
        </w:rPr>
        <w:tab/>
      </w:r>
      <w:r>
        <w:rPr>
          <w:rFonts w:ascii="仿宋" w:hAnsi="仿宋" w:eastAsia="仿宋"/>
          <w:sz w:val="24"/>
        </w:rPr>
        <w:t>87236201</w:t>
      </w:r>
      <w:r>
        <w:rPr>
          <w:rFonts w:ascii="仿宋" w:hAnsi="仿宋" w:eastAsia="仿宋"/>
          <w:sz w:val="24"/>
        </w:rPr>
        <w:tab/>
      </w:r>
      <w:r>
        <w:rPr>
          <w:rFonts w:ascii="仿宋" w:hAnsi="仿宋" w:eastAsia="仿宋"/>
          <w:sz w:val="24"/>
        </w:rPr>
        <w:t>17791788078</w:t>
      </w:r>
    </w:p>
    <w:p>
      <w:pPr>
        <w:spacing w:line="360" w:lineRule="auto"/>
        <w:ind w:firstLine="480" w:firstLineChars="200"/>
        <w:rPr>
          <w:rFonts w:ascii="仿宋" w:hAnsi="仿宋" w:eastAsia="仿宋"/>
          <w:sz w:val="24"/>
        </w:rPr>
      </w:pPr>
      <w:r>
        <w:rPr>
          <w:rFonts w:ascii="仿宋" w:hAnsi="仿宋" w:eastAsia="仿宋"/>
          <w:sz w:val="24"/>
        </w:rPr>
        <w:t>营业部</w:t>
      </w:r>
      <w:r>
        <w:rPr>
          <w:rFonts w:ascii="仿宋" w:hAnsi="仿宋" w:eastAsia="仿宋"/>
          <w:sz w:val="24"/>
        </w:rPr>
        <w:tab/>
      </w:r>
      <w:r>
        <w:rPr>
          <w:rFonts w:ascii="仿宋" w:hAnsi="仿宋" w:eastAsia="仿宋"/>
          <w:sz w:val="24"/>
        </w:rPr>
        <w:t>张翔琮</w:t>
      </w:r>
      <w:r>
        <w:rPr>
          <w:rFonts w:ascii="仿宋" w:hAnsi="仿宋" w:eastAsia="仿宋"/>
          <w:sz w:val="24"/>
        </w:rPr>
        <w:tab/>
      </w:r>
      <w:r>
        <w:rPr>
          <w:rFonts w:ascii="仿宋" w:hAnsi="仿宋" w:eastAsia="仿宋"/>
          <w:sz w:val="24"/>
        </w:rPr>
        <w:t>87236306</w:t>
      </w:r>
      <w:r>
        <w:rPr>
          <w:rFonts w:ascii="仿宋" w:hAnsi="仿宋" w:eastAsia="仿宋"/>
          <w:sz w:val="24"/>
        </w:rPr>
        <w:tab/>
      </w:r>
      <w:r>
        <w:rPr>
          <w:rFonts w:ascii="仿宋" w:hAnsi="仿宋" w:eastAsia="仿宋"/>
          <w:sz w:val="24"/>
        </w:rPr>
        <w:t>18829235568</w:t>
      </w:r>
    </w:p>
    <w:p>
      <w:pPr>
        <w:spacing w:line="360" w:lineRule="auto"/>
        <w:ind w:firstLine="480" w:firstLineChars="200"/>
        <w:rPr>
          <w:rFonts w:ascii="仿宋" w:hAnsi="仿宋" w:eastAsia="仿宋"/>
          <w:sz w:val="24"/>
        </w:rPr>
      </w:pPr>
      <w:r>
        <w:rPr>
          <w:rFonts w:ascii="仿宋" w:hAnsi="仿宋" w:eastAsia="仿宋"/>
          <w:sz w:val="24"/>
        </w:rPr>
        <w:t>电子城支行</w:t>
      </w:r>
      <w:r>
        <w:rPr>
          <w:rFonts w:ascii="仿宋" w:hAnsi="仿宋" w:eastAsia="仿宋"/>
          <w:sz w:val="24"/>
        </w:rPr>
        <w:tab/>
      </w:r>
      <w:r>
        <w:rPr>
          <w:rFonts w:ascii="仿宋" w:hAnsi="仿宋" w:eastAsia="仿宋"/>
          <w:sz w:val="24"/>
        </w:rPr>
        <w:t>张曼玉</w:t>
      </w:r>
      <w:r>
        <w:rPr>
          <w:rFonts w:ascii="仿宋" w:hAnsi="仿宋" w:eastAsia="仿宋"/>
          <w:sz w:val="24"/>
        </w:rPr>
        <w:tab/>
      </w:r>
      <w:r>
        <w:rPr>
          <w:rFonts w:ascii="仿宋" w:hAnsi="仿宋" w:eastAsia="仿宋"/>
          <w:sz w:val="24"/>
        </w:rPr>
        <w:t>88247071</w:t>
      </w:r>
      <w:r>
        <w:rPr>
          <w:rFonts w:ascii="仿宋" w:hAnsi="仿宋" w:eastAsia="仿宋"/>
          <w:sz w:val="24"/>
        </w:rPr>
        <w:tab/>
      </w:r>
      <w:r>
        <w:rPr>
          <w:rFonts w:ascii="仿宋" w:hAnsi="仿宋" w:eastAsia="仿宋"/>
          <w:sz w:val="24"/>
        </w:rPr>
        <w:t>18009298787</w:t>
      </w:r>
    </w:p>
    <w:p>
      <w:pPr>
        <w:spacing w:line="360" w:lineRule="auto"/>
        <w:ind w:firstLine="480" w:firstLineChars="200"/>
        <w:rPr>
          <w:rFonts w:ascii="仿宋" w:hAnsi="仿宋" w:eastAsia="仿宋"/>
          <w:sz w:val="24"/>
        </w:rPr>
      </w:pPr>
      <w:r>
        <w:rPr>
          <w:rFonts w:ascii="仿宋" w:hAnsi="仿宋" w:eastAsia="仿宋"/>
          <w:sz w:val="24"/>
        </w:rPr>
        <w:t>明德门支行</w:t>
      </w:r>
      <w:r>
        <w:rPr>
          <w:rFonts w:ascii="仿宋" w:hAnsi="仿宋" w:eastAsia="仿宋"/>
          <w:sz w:val="24"/>
        </w:rPr>
        <w:tab/>
      </w:r>
      <w:r>
        <w:rPr>
          <w:rFonts w:ascii="仿宋" w:hAnsi="仿宋" w:eastAsia="仿宋"/>
          <w:sz w:val="24"/>
        </w:rPr>
        <w:t>王晨</w:t>
      </w:r>
      <w:r>
        <w:rPr>
          <w:rFonts w:ascii="仿宋" w:hAnsi="仿宋" w:eastAsia="仿宋"/>
          <w:sz w:val="24"/>
        </w:rPr>
        <w:tab/>
      </w:r>
      <w:r>
        <w:rPr>
          <w:rFonts w:ascii="仿宋" w:hAnsi="仿宋" w:eastAsia="仿宋"/>
          <w:sz w:val="24"/>
        </w:rPr>
        <w:t>85350770</w:t>
      </w:r>
      <w:r>
        <w:rPr>
          <w:rFonts w:ascii="仿宋" w:hAnsi="仿宋" w:eastAsia="仿宋"/>
          <w:sz w:val="24"/>
        </w:rPr>
        <w:tab/>
      </w:r>
      <w:r>
        <w:rPr>
          <w:rFonts w:ascii="仿宋" w:hAnsi="仿宋" w:eastAsia="仿宋"/>
          <w:sz w:val="24"/>
        </w:rPr>
        <w:t>13991249430</w:t>
      </w:r>
    </w:p>
    <w:p>
      <w:pPr>
        <w:spacing w:line="360" w:lineRule="auto"/>
        <w:ind w:firstLine="480" w:firstLineChars="200"/>
        <w:rPr>
          <w:rFonts w:ascii="仿宋" w:hAnsi="仿宋" w:eastAsia="仿宋"/>
          <w:sz w:val="24"/>
        </w:rPr>
      </w:pPr>
      <w:r>
        <w:rPr>
          <w:rFonts w:ascii="仿宋" w:hAnsi="仿宋" w:eastAsia="仿宋"/>
          <w:sz w:val="24"/>
        </w:rPr>
        <w:t>东大街支行</w:t>
      </w:r>
      <w:r>
        <w:rPr>
          <w:rFonts w:ascii="仿宋" w:hAnsi="仿宋" w:eastAsia="仿宋"/>
          <w:sz w:val="24"/>
        </w:rPr>
        <w:tab/>
      </w:r>
      <w:r>
        <w:rPr>
          <w:rFonts w:ascii="仿宋" w:hAnsi="仿宋" w:eastAsia="仿宋"/>
          <w:sz w:val="24"/>
        </w:rPr>
        <w:t>刘林</w:t>
      </w:r>
      <w:r>
        <w:rPr>
          <w:rFonts w:ascii="仿宋" w:hAnsi="仿宋" w:eastAsia="仿宋"/>
          <w:sz w:val="24"/>
        </w:rPr>
        <w:tab/>
      </w:r>
      <w:r>
        <w:rPr>
          <w:rFonts w:ascii="仿宋" w:hAnsi="仿宋" w:eastAsia="仿宋"/>
          <w:sz w:val="24"/>
        </w:rPr>
        <w:t>87438914</w:t>
      </w:r>
      <w:r>
        <w:rPr>
          <w:rFonts w:ascii="仿宋" w:hAnsi="仿宋" w:eastAsia="仿宋"/>
          <w:sz w:val="24"/>
        </w:rPr>
        <w:tab/>
      </w:r>
      <w:r>
        <w:rPr>
          <w:rFonts w:ascii="仿宋" w:hAnsi="仿宋" w:eastAsia="仿宋"/>
          <w:sz w:val="24"/>
        </w:rPr>
        <w:t>15029673754</w:t>
      </w:r>
    </w:p>
    <w:p>
      <w:pPr>
        <w:spacing w:line="360" w:lineRule="auto"/>
        <w:ind w:firstLine="480" w:firstLineChars="200"/>
        <w:rPr>
          <w:rFonts w:ascii="仿宋" w:hAnsi="仿宋" w:eastAsia="仿宋"/>
          <w:sz w:val="24"/>
        </w:rPr>
      </w:pPr>
      <w:r>
        <w:rPr>
          <w:rFonts w:ascii="仿宋" w:hAnsi="仿宋" w:eastAsia="仿宋"/>
          <w:sz w:val="24"/>
        </w:rPr>
        <w:t>经济开发区支行</w:t>
      </w:r>
      <w:r>
        <w:rPr>
          <w:rFonts w:ascii="仿宋" w:hAnsi="仿宋" w:eastAsia="仿宋"/>
          <w:sz w:val="24"/>
        </w:rPr>
        <w:tab/>
      </w:r>
      <w:r>
        <w:rPr>
          <w:rFonts w:ascii="仿宋" w:hAnsi="仿宋" w:eastAsia="仿宋"/>
          <w:sz w:val="24"/>
        </w:rPr>
        <w:t>陆家俊</w:t>
      </w:r>
      <w:r>
        <w:rPr>
          <w:rFonts w:ascii="仿宋" w:hAnsi="仿宋" w:eastAsia="仿宋"/>
          <w:sz w:val="24"/>
        </w:rPr>
        <w:tab/>
      </w:r>
      <w:r>
        <w:rPr>
          <w:rFonts w:ascii="仿宋" w:hAnsi="仿宋" w:eastAsia="仿宋"/>
          <w:sz w:val="24"/>
        </w:rPr>
        <w:t>86525176</w:t>
      </w:r>
      <w:r>
        <w:rPr>
          <w:rFonts w:ascii="仿宋" w:hAnsi="仿宋" w:eastAsia="仿宋"/>
          <w:sz w:val="24"/>
        </w:rPr>
        <w:tab/>
      </w:r>
      <w:r>
        <w:rPr>
          <w:rFonts w:ascii="仿宋" w:hAnsi="仿宋" w:eastAsia="仿宋"/>
          <w:sz w:val="24"/>
        </w:rPr>
        <w:t>18629303397</w:t>
      </w:r>
    </w:p>
    <w:p>
      <w:pPr>
        <w:spacing w:line="360" w:lineRule="auto"/>
        <w:ind w:firstLine="480" w:firstLineChars="200"/>
        <w:rPr>
          <w:rFonts w:ascii="仿宋" w:hAnsi="仿宋" w:eastAsia="仿宋"/>
          <w:sz w:val="24"/>
        </w:rPr>
      </w:pPr>
      <w:r>
        <w:rPr>
          <w:rFonts w:ascii="仿宋" w:hAnsi="仿宋" w:eastAsia="仿宋"/>
          <w:sz w:val="24"/>
        </w:rPr>
        <w:t>凤城九路支行</w:t>
      </w:r>
      <w:r>
        <w:rPr>
          <w:rFonts w:ascii="仿宋" w:hAnsi="仿宋" w:eastAsia="仿宋"/>
          <w:sz w:val="24"/>
        </w:rPr>
        <w:tab/>
      </w:r>
      <w:r>
        <w:rPr>
          <w:rFonts w:ascii="仿宋" w:hAnsi="仿宋" w:eastAsia="仿宋"/>
          <w:sz w:val="24"/>
        </w:rPr>
        <w:t>宋宜</w:t>
      </w:r>
      <w:r>
        <w:rPr>
          <w:rFonts w:ascii="仿宋" w:hAnsi="仿宋" w:eastAsia="仿宋"/>
          <w:sz w:val="24"/>
        </w:rPr>
        <w:tab/>
      </w:r>
      <w:r>
        <w:rPr>
          <w:rFonts w:ascii="仿宋" w:hAnsi="仿宋" w:eastAsia="仿宋"/>
          <w:sz w:val="24"/>
        </w:rPr>
        <w:t>89155022</w:t>
      </w:r>
      <w:r>
        <w:rPr>
          <w:rFonts w:ascii="仿宋" w:hAnsi="仿宋" w:eastAsia="仿宋"/>
          <w:sz w:val="24"/>
        </w:rPr>
        <w:tab/>
      </w:r>
      <w:r>
        <w:rPr>
          <w:rFonts w:ascii="仿宋" w:hAnsi="仿宋" w:eastAsia="仿宋"/>
          <w:sz w:val="24"/>
        </w:rPr>
        <w:t>18966911622</w:t>
      </w:r>
    </w:p>
    <w:p>
      <w:pPr>
        <w:spacing w:line="360" w:lineRule="auto"/>
        <w:ind w:firstLine="480" w:firstLineChars="200"/>
        <w:rPr>
          <w:rFonts w:ascii="仿宋" w:hAnsi="仿宋" w:eastAsia="仿宋"/>
          <w:sz w:val="24"/>
        </w:rPr>
      </w:pPr>
      <w:r>
        <w:rPr>
          <w:rFonts w:ascii="仿宋" w:hAnsi="仿宋" w:eastAsia="仿宋"/>
          <w:sz w:val="24"/>
        </w:rPr>
        <w:t>兴庆路支行</w:t>
      </w:r>
      <w:r>
        <w:rPr>
          <w:rFonts w:ascii="仿宋" w:hAnsi="仿宋" w:eastAsia="仿宋"/>
          <w:sz w:val="24"/>
        </w:rPr>
        <w:tab/>
      </w:r>
      <w:r>
        <w:rPr>
          <w:rFonts w:ascii="仿宋" w:hAnsi="仿宋" w:eastAsia="仿宋"/>
          <w:sz w:val="24"/>
        </w:rPr>
        <w:t>司洋</w:t>
      </w:r>
      <w:r>
        <w:rPr>
          <w:rFonts w:ascii="仿宋" w:hAnsi="仿宋" w:eastAsia="仿宋"/>
          <w:sz w:val="24"/>
        </w:rPr>
        <w:tab/>
      </w:r>
      <w:r>
        <w:rPr>
          <w:rFonts w:ascii="仿宋" w:hAnsi="仿宋" w:eastAsia="仿宋"/>
          <w:sz w:val="24"/>
        </w:rPr>
        <w:t>83290033</w:t>
      </w:r>
      <w:r>
        <w:rPr>
          <w:rFonts w:ascii="仿宋" w:hAnsi="仿宋" w:eastAsia="仿宋"/>
          <w:sz w:val="24"/>
        </w:rPr>
        <w:tab/>
      </w:r>
      <w:r>
        <w:rPr>
          <w:rFonts w:ascii="仿宋" w:hAnsi="仿宋" w:eastAsia="仿宋"/>
          <w:sz w:val="24"/>
        </w:rPr>
        <w:t>18629251819</w:t>
      </w:r>
    </w:p>
    <w:p>
      <w:pPr>
        <w:spacing w:line="360" w:lineRule="auto"/>
        <w:ind w:firstLine="480" w:firstLineChars="200"/>
        <w:rPr>
          <w:rFonts w:ascii="仿宋" w:hAnsi="仿宋" w:eastAsia="仿宋"/>
          <w:sz w:val="24"/>
        </w:rPr>
      </w:pPr>
      <w:r>
        <w:rPr>
          <w:rFonts w:ascii="仿宋" w:hAnsi="仿宋" w:eastAsia="仿宋"/>
          <w:sz w:val="24"/>
        </w:rPr>
        <w:t>长乐西路支行</w:t>
      </w:r>
      <w:r>
        <w:rPr>
          <w:rFonts w:ascii="仿宋" w:hAnsi="仿宋" w:eastAsia="仿宋"/>
          <w:sz w:val="24"/>
        </w:rPr>
        <w:tab/>
      </w:r>
      <w:r>
        <w:rPr>
          <w:rFonts w:ascii="仿宋" w:hAnsi="仿宋" w:eastAsia="仿宋"/>
          <w:sz w:val="24"/>
        </w:rPr>
        <w:t>张超</w:t>
      </w:r>
      <w:r>
        <w:rPr>
          <w:rFonts w:ascii="仿宋" w:hAnsi="仿宋" w:eastAsia="仿宋"/>
          <w:sz w:val="24"/>
        </w:rPr>
        <w:tab/>
      </w:r>
      <w:r>
        <w:rPr>
          <w:rFonts w:ascii="仿宋" w:hAnsi="仿宋" w:eastAsia="仿宋"/>
          <w:sz w:val="24"/>
        </w:rPr>
        <w:t>82566208</w:t>
      </w:r>
      <w:r>
        <w:rPr>
          <w:rFonts w:ascii="仿宋" w:hAnsi="仿宋" w:eastAsia="仿宋"/>
          <w:sz w:val="24"/>
        </w:rPr>
        <w:tab/>
      </w:r>
      <w:r>
        <w:rPr>
          <w:rFonts w:ascii="仿宋" w:hAnsi="仿宋" w:eastAsia="仿宋"/>
          <w:sz w:val="24"/>
        </w:rPr>
        <w:t>15877390201</w:t>
      </w:r>
    </w:p>
    <w:p>
      <w:pPr>
        <w:spacing w:line="360" w:lineRule="auto"/>
        <w:ind w:firstLine="480" w:firstLineChars="200"/>
        <w:rPr>
          <w:rFonts w:ascii="仿宋" w:hAnsi="仿宋" w:eastAsia="仿宋"/>
          <w:sz w:val="24"/>
        </w:rPr>
      </w:pPr>
      <w:r>
        <w:rPr>
          <w:rFonts w:ascii="仿宋" w:hAnsi="仿宋" w:eastAsia="仿宋"/>
          <w:sz w:val="24"/>
        </w:rPr>
        <w:t>友谊路支行</w:t>
      </w:r>
      <w:r>
        <w:rPr>
          <w:rFonts w:ascii="仿宋" w:hAnsi="仿宋" w:eastAsia="仿宋"/>
          <w:sz w:val="24"/>
        </w:rPr>
        <w:tab/>
      </w:r>
      <w:r>
        <w:rPr>
          <w:rFonts w:ascii="仿宋" w:hAnsi="仿宋" w:eastAsia="仿宋"/>
          <w:sz w:val="24"/>
        </w:rPr>
        <w:t>贠程敏</w:t>
      </w:r>
      <w:r>
        <w:rPr>
          <w:rFonts w:ascii="仿宋" w:hAnsi="仿宋" w:eastAsia="仿宋"/>
          <w:sz w:val="24"/>
        </w:rPr>
        <w:tab/>
      </w:r>
      <w:r>
        <w:rPr>
          <w:rFonts w:ascii="仿宋" w:hAnsi="仿宋" w:eastAsia="仿宋"/>
          <w:sz w:val="24"/>
        </w:rPr>
        <w:t>88422067</w:t>
      </w:r>
      <w:r>
        <w:rPr>
          <w:rFonts w:ascii="仿宋" w:hAnsi="仿宋" w:eastAsia="仿宋"/>
          <w:sz w:val="24"/>
        </w:rPr>
        <w:tab/>
      </w:r>
      <w:r>
        <w:rPr>
          <w:rFonts w:ascii="仿宋" w:hAnsi="仿宋" w:eastAsia="仿宋"/>
          <w:sz w:val="24"/>
        </w:rPr>
        <w:t>18792795210</w:t>
      </w:r>
    </w:p>
    <w:p>
      <w:pPr>
        <w:spacing w:line="360" w:lineRule="auto"/>
        <w:ind w:firstLine="480" w:firstLineChars="200"/>
        <w:rPr>
          <w:rFonts w:ascii="仿宋" w:hAnsi="仿宋" w:eastAsia="仿宋"/>
          <w:sz w:val="24"/>
        </w:rPr>
      </w:pPr>
      <w:r>
        <w:rPr>
          <w:rFonts w:ascii="仿宋" w:hAnsi="仿宋" w:eastAsia="仿宋"/>
          <w:sz w:val="24"/>
        </w:rPr>
        <w:t>边家村支行</w:t>
      </w:r>
      <w:r>
        <w:rPr>
          <w:rFonts w:ascii="仿宋" w:hAnsi="仿宋" w:eastAsia="仿宋"/>
          <w:sz w:val="24"/>
        </w:rPr>
        <w:tab/>
      </w:r>
      <w:r>
        <w:rPr>
          <w:rFonts w:ascii="仿宋" w:hAnsi="仿宋" w:eastAsia="仿宋"/>
          <w:sz w:val="24"/>
        </w:rPr>
        <w:t>王鹏</w:t>
      </w:r>
      <w:r>
        <w:rPr>
          <w:rFonts w:ascii="仿宋" w:hAnsi="仿宋" w:eastAsia="仿宋"/>
          <w:sz w:val="24"/>
        </w:rPr>
        <w:tab/>
      </w:r>
      <w:r>
        <w:rPr>
          <w:rFonts w:ascii="仿宋" w:hAnsi="仿宋" w:eastAsia="仿宋"/>
          <w:sz w:val="24"/>
        </w:rPr>
        <w:t>85251673</w:t>
      </w:r>
      <w:r>
        <w:rPr>
          <w:rFonts w:ascii="仿宋" w:hAnsi="仿宋" w:eastAsia="仿宋"/>
          <w:sz w:val="24"/>
        </w:rPr>
        <w:tab/>
      </w:r>
      <w:r>
        <w:rPr>
          <w:rFonts w:ascii="仿宋" w:hAnsi="仿宋" w:eastAsia="仿宋"/>
          <w:sz w:val="24"/>
        </w:rPr>
        <w:t>15309223048</w:t>
      </w:r>
    </w:p>
    <w:p>
      <w:pPr>
        <w:spacing w:line="360" w:lineRule="auto"/>
        <w:ind w:firstLine="480" w:firstLineChars="200"/>
        <w:rPr>
          <w:rFonts w:ascii="仿宋" w:hAnsi="仿宋" w:eastAsia="仿宋"/>
          <w:sz w:val="24"/>
        </w:rPr>
      </w:pPr>
      <w:r>
        <w:rPr>
          <w:rFonts w:ascii="仿宋" w:hAnsi="仿宋" w:eastAsia="仿宋"/>
          <w:sz w:val="24"/>
        </w:rPr>
        <w:t>北关支行</w:t>
      </w:r>
      <w:r>
        <w:rPr>
          <w:rFonts w:ascii="仿宋" w:hAnsi="仿宋" w:eastAsia="仿宋"/>
          <w:sz w:val="24"/>
        </w:rPr>
        <w:tab/>
      </w:r>
      <w:r>
        <w:rPr>
          <w:rFonts w:ascii="仿宋" w:hAnsi="仿宋" w:eastAsia="仿宋"/>
          <w:sz w:val="24"/>
        </w:rPr>
        <w:t>菅新培</w:t>
      </w:r>
      <w:r>
        <w:rPr>
          <w:rFonts w:ascii="仿宋" w:hAnsi="仿宋" w:eastAsia="仿宋"/>
          <w:sz w:val="24"/>
        </w:rPr>
        <w:tab/>
      </w:r>
      <w:r>
        <w:rPr>
          <w:rFonts w:ascii="仿宋" w:hAnsi="仿宋" w:eastAsia="仿宋"/>
          <w:sz w:val="24"/>
        </w:rPr>
        <w:t>86248203</w:t>
      </w:r>
      <w:r>
        <w:rPr>
          <w:rFonts w:ascii="仿宋" w:hAnsi="仿宋" w:eastAsia="仿宋"/>
          <w:sz w:val="24"/>
        </w:rPr>
        <w:tab/>
      </w:r>
      <w:r>
        <w:rPr>
          <w:rFonts w:ascii="仿宋" w:hAnsi="仿宋" w:eastAsia="仿宋"/>
          <w:sz w:val="24"/>
        </w:rPr>
        <w:t>18092169361</w:t>
      </w:r>
    </w:p>
    <w:p>
      <w:pPr>
        <w:spacing w:line="360" w:lineRule="auto"/>
        <w:ind w:firstLine="480" w:firstLineChars="200"/>
        <w:rPr>
          <w:rFonts w:ascii="仿宋" w:hAnsi="仿宋" w:eastAsia="仿宋"/>
          <w:sz w:val="24"/>
        </w:rPr>
      </w:pPr>
      <w:r>
        <w:rPr>
          <w:rFonts w:ascii="仿宋" w:hAnsi="仿宋" w:eastAsia="仿宋"/>
          <w:sz w:val="24"/>
        </w:rPr>
        <w:t>南郊支行</w:t>
      </w:r>
      <w:r>
        <w:rPr>
          <w:rFonts w:ascii="仿宋" w:hAnsi="仿宋" w:eastAsia="仿宋"/>
          <w:sz w:val="24"/>
        </w:rPr>
        <w:tab/>
      </w:r>
      <w:r>
        <w:rPr>
          <w:rFonts w:ascii="仿宋" w:hAnsi="仿宋" w:eastAsia="仿宋"/>
          <w:sz w:val="24"/>
        </w:rPr>
        <w:t>程拓</w:t>
      </w:r>
      <w:r>
        <w:rPr>
          <w:rFonts w:ascii="仿宋" w:hAnsi="仿宋" w:eastAsia="仿宋"/>
          <w:sz w:val="24"/>
        </w:rPr>
        <w:tab/>
      </w:r>
      <w:r>
        <w:rPr>
          <w:rFonts w:ascii="仿宋" w:hAnsi="仿宋" w:eastAsia="仿宋"/>
          <w:sz w:val="24"/>
        </w:rPr>
        <w:t>85265234</w:t>
      </w:r>
      <w:r>
        <w:rPr>
          <w:rFonts w:ascii="仿宋" w:hAnsi="仿宋" w:eastAsia="仿宋"/>
          <w:sz w:val="24"/>
        </w:rPr>
        <w:tab/>
      </w:r>
      <w:r>
        <w:rPr>
          <w:rFonts w:ascii="仿宋" w:hAnsi="仿宋" w:eastAsia="仿宋"/>
          <w:sz w:val="24"/>
        </w:rPr>
        <w:t>13772491661</w:t>
      </w:r>
    </w:p>
    <w:p>
      <w:pPr>
        <w:spacing w:line="360" w:lineRule="auto"/>
        <w:ind w:firstLine="480" w:firstLineChars="200"/>
        <w:rPr>
          <w:rFonts w:ascii="仿宋" w:hAnsi="仿宋" w:eastAsia="仿宋"/>
          <w:sz w:val="24"/>
        </w:rPr>
      </w:pPr>
      <w:r>
        <w:rPr>
          <w:rFonts w:ascii="仿宋" w:hAnsi="仿宋" w:eastAsia="仿宋"/>
          <w:sz w:val="24"/>
        </w:rPr>
        <w:t>西关正街</w:t>
      </w:r>
      <w:r>
        <w:rPr>
          <w:rFonts w:ascii="仿宋" w:hAnsi="仿宋" w:eastAsia="仿宋"/>
          <w:sz w:val="24"/>
        </w:rPr>
        <w:tab/>
      </w:r>
      <w:r>
        <w:rPr>
          <w:rFonts w:ascii="仿宋" w:hAnsi="仿宋" w:eastAsia="仿宋"/>
          <w:sz w:val="24"/>
        </w:rPr>
        <w:t>马瑜</w:t>
      </w:r>
      <w:r>
        <w:rPr>
          <w:rFonts w:ascii="仿宋" w:hAnsi="仿宋" w:eastAsia="仿宋"/>
          <w:sz w:val="24"/>
        </w:rPr>
        <w:tab/>
      </w:r>
      <w:r>
        <w:rPr>
          <w:rFonts w:ascii="仿宋" w:hAnsi="仿宋" w:eastAsia="仿宋"/>
          <w:sz w:val="24"/>
        </w:rPr>
        <w:t>89548109</w:t>
      </w:r>
      <w:r>
        <w:rPr>
          <w:rFonts w:ascii="仿宋" w:hAnsi="仿宋" w:eastAsia="仿宋"/>
          <w:sz w:val="24"/>
        </w:rPr>
        <w:tab/>
      </w:r>
      <w:r>
        <w:rPr>
          <w:rFonts w:ascii="仿宋" w:hAnsi="仿宋" w:eastAsia="仿宋"/>
          <w:sz w:val="24"/>
        </w:rPr>
        <w:t>13772337373</w:t>
      </w:r>
    </w:p>
    <w:p>
      <w:pPr>
        <w:spacing w:line="360" w:lineRule="auto"/>
        <w:ind w:firstLine="480" w:firstLineChars="200"/>
        <w:rPr>
          <w:rFonts w:ascii="仿宋" w:hAnsi="仿宋" w:eastAsia="仿宋"/>
          <w:sz w:val="24"/>
        </w:rPr>
      </w:pPr>
      <w:r>
        <w:rPr>
          <w:rFonts w:ascii="仿宋" w:hAnsi="仿宋" w:eastAsia="仿宋"/>
          <w:sz w:val="24"/>
        </w:rPr>
        <w:t>丈八东路支行</w:t>
      </w:r>
      <w:r>
        <w:rPr>
          <w:rFonts w:ascii="仿宋" w:hAnsi="仿宋" w:eastAsia="仿宋"/>
          <w:sz w:val="24"/>
        </w:rPr>
        <w:tab/>
      </w:r>
      <w:r>
        <w:rPr>
          <w:rFonts w:ascii="仿宋" w:hAnsi="仿宋" w:eastAsia="仿宋"/>
          <w:sz w:val="24"/>
        </w:rPr>
        <w:t>杨筱凡</w:t>
      </w:r>
      <w:r>
        <w:rPr>
          <w:rFonts w:ascii="仿宋" w:hAnsi="仿宋" w:eastAsia="仿宋"/>
          <w:sz w:val="24"/>
        </w:rPr>
        <w:tab/>
      </w:r>
      <w:r>
        <w:rPr>
          <w:rFonts w:ascii="仿宋" w:hAnsi="仿宋" w:eastAsia="仿宋"/>
          <w:sz w:val="24"/>
        </w:rPr>
        <w:t>81026910</w:t>
      </w:r>
      <w:r>
        <w:rPr>
          <w:rFonts w:ascii="仿宋" w:hAnsi="仿宋" w:eastAsia="仿宋"/>
          <w:sz w:val="24"/>
        </w:rPr>
        <w:tab/>
      </w:r>
      <w:r>
        <w:rPr>
          <w:rFonts w:ascii="仿宋" w:hAnsi="仿宋" w:eastAsia="仿宋"/>
          <w:sz w:val="24"/>
        </w:rPr>
        <w:t>15129044185</w:t>
      </w:r>
    </w:p>
    <w:p>
      <w:pPr>
        <w:spacing w:line="360" w:lineRule="auto"/>
        <w:ind w:firstLine="480" w:firstLineChars="200"/>
        <w:rPr>
          <w:rFonts w:ascii="仿宋" w:hAnsi="仿宋" w:eastAsia="仿宋"/>
          <w:sz w:val="24"/>
        </w:rPr>
      </w:pPr>
      <w:r>
        <w:rPr>
          <w:rFonts w:ascii="仿宋" w:hAnsi="仿宋" w:eastAsia="仿宋"/>
          <w:sz w:val="24"/>
        </w:rPr>
        <w:t>雁塔路支行</w:t>
      </w:r>
      <w:r>
        <w:rPr>
          <w:rFonts w:ascii="仿宋" w:hAnsi="仿宋" w:eastAsia="仿宋"/>
          <w:sz w:val="24"/>
        </w:rPr>
        <w:tab/>
      </w:r>
      <w:r>
        <w:rPr>
          <w:rFonts w:ascii="仿宋" w:hAnsi="仿宋" w:eastAsia="仿宋"/>
          <w:sz w:val="24"/>
        </w:rPr>
        <w:t>闫梓闶</w:t>
      </w:r>
      <w:r>
        <w:rPr>
          <w:rFonts w:ascii="仿宋" w:hAnsi="仿宋" w:eastAsia="仿宋"/>
          <w:sz w:val="24"/>
        </w:rPr>
        <w:tab/>
      </w:r>
      <w:r>
        <w:rPr>
          <w:rFonts w:ascii="仿宋" w:hAnsi="仿宋" w:eastAsia="仿宋"/>
          <w:sz w:val="24"/>
        </w:rPr>
        <w:t>82222501</w:t>
      </w:r>
      <w:r>
        <w:rPr>
          <w:rFonts w:ascii="仿宋" w:hAnsi="仿宋" w:eastAsia="仿宋"/>
          <w:sz w:val="24"/>
        </w:rPr>
        <w:tab/>
      </w:r>
      <w:r>
        <w:rPr>
          <w:rFonts w:ascii="仿宋" w:hAnsi="仿宋" w:eastAsia="仿宋"/>
          <w:sz w:val="24"/>
        </w:rPr>
        <w:t>18691561524</w:t>
      </w:r>
    </w:p>
    <w:p>
      <w:pPr>
        <w:spacing w:line="360" w:lineRule="auto"/>
        <w:ind w:firstLine="480" w:firstLineChars="200"/>
        <w:rPr>
          <w:rFonts w:ascii="仿宋" w:hAnsi="仿宋" w:eastAsia="仿宋"/>
          <w:sz w:val="24"/>
        </w:rPr>
      </w:pPr>
      <w:r>
        <w:rPr>
          <w:rFonts w:ascii="仿宋" w:hAnsi="仿宋" w:eastAsia="仿宋"/>
          <w:sz w:val="24"/>
        </w:rPr>
        <w:t>唐延路支行</w:t>
      </w:r>
      <w:r>
        <w:rPr>
          <w:rFonts w:ascii="仿宋" w:hAnsi="仿宋" w:eastAsia="仿宋"/>
          <w:sz w:val="24"/>
        </w:rPr>
        <w:tab/>
      </w:r>
      <w:r>
        <w:rPr>
          <w:rFonts w:ascii="仿宋" w:hAnsi="仿宋" w:eastAsia="仿宋"/>
          <w:sz w:val="24"/>
        </w:rPr>
        <w:t>尉二宝</w:t>
      </w:r>
      <w:r>
        <w:rPr>
          <w:rFonts w:ascii="仿宋" w:hAnsi="仿宋" w:eastAsia="仿宋"/>
          <w:sz w:val="24"/>
        </w:rPr>
        <w:tab/>
      </w:r>
      <w:r>
        <w:rPr>
          <w:rFonts w:ascii="仿宋" w:hAnsi="仿宋" w:eastAsia="仿宋"/>
          <w:sz w:val="24"/>
        </w:rPr>
        <w:t>88329478</w:t>
      </w:r>
      <w:r>
        <w:rPr>
          <w:rFonts w:ascii="仿宋" w:hAnsi="仿宋" w:eastAsia="仿宋"/>
          <w:sz w:val="24"/>
        </w:rPr>
        <w:tab/>
      </w:r>
      <w:r>
        <w:rPr>
          <w:rFonts w:ascii="仿宋" w:hAnsi="仿宋" w:eastAsia="仿宋"/>
          <w:sz w:val="24"/>
        </w:rPr>
        <w:t>13991930150</w:t>
      </w:r>
    </w:p>
    <w:p>
      <w:pPr>
        <w:spacing w:line="360" w:lineRule="auto"/>
        <w:ind w:firstLine="480" w:firstLineChars="200"/>
        <w:rPr>
          <w:rFonts w:ascii="仿宋" w:hAnsi="仿宋" w:eastAsia="仿宋"/>
          <w:sz w:val="24"/>
        </w:rPr>
      </w:pPr>
      <w:r>
        <w:rPr>
          <w:rFonts w:ascii="仿宋" w:hAnsi="仿宋" w:eastAsia="仿宋"/>
          <w:sz w:val="24"/>
        </w:rPr>
        <w:t>枫林绿洲支行</w:t>
      </w:r>
      <w:r>
        <w:rPr>
          <w:rFonts w:ascii="仿宋" w:hAnsi="仿宋" w:eastAsia="仿宋"/>
          <w:sz w:val="24"/>
        </w:rPr>
        <w:tab/>
      </w:r>
      <w:r>
        <w:rPr>
          <w:rFonts w:ascii="仿宋" w:hAnsi="仿宋" w:eastAsia="仿宋"/>
          <w:sz w:val="24"/>
        </w:rPr>
        <w:t>杨嘉</w:t>
      </w:r>
      <w:r>
        <w:rPr>
          <w:rFonts w:ascii="仿宋" w:hAnsi="仿宋" w:eastAsia="仿宋"/>
          <w:sz w:val="24"/>
        </w:rPr>
        <w:tab/>
      </w:r>
      <w:r>
        <w:rPr>
          <w:rFonts w:ascii="仿宋" w:hAnsi="仿宋" w:eastAsia="仿宋"/>
          <w:sz w:val="24"/>
        </w:rPr>
        <w:t>87302120</w:t>
      </w:r>
      <w:r>
        <w:rPr>
          <w:rFonts w:ascii="仿宋" w:hAnsi="仿宋" w:eastAsia="仿宋"/>
          <w:sz w:val="24"/>
        </w:rPr>
        <w:tab/>
      </w:r>
      <w:r>
        <w:rPr>
          <w:rFonts w:ascii="仿宋" w:hAnsi="仿宋" w:eastAsia="仿宋"/>
          <w:sz w:val="24"/>
        </w:rPr>
        <w:t>13609199490</w:t>
      </w:r>
    </w:p>
    <w:p>
      <w:pPr>
        <w:spacing w:line="360" w:lineRule="auto"/>
        <w:ind w:firstLine="480" w:firstLineChars="200"/>
        <w:rPr>
          <w:rFonts w:ascii="仿宋" w:hAnsi="仿宋" w:eastAsia="仿宋"/>
          <w:sz w:val="24"/>
        </w:rPr>
      </w:pPr>
      <w:r>
        <w:rPr>
          <w:rFonts w:ascii="仿宋" w:hAnsi="仿宋" w:eastAsia="仿宋"/>
          <w:sz w:val="24"/>
        </w:rPr>
        <w:t>南关正街支行</w:t>
      </w:r>
      <w:r>
        <w:rPr>
          <w:rFonts w:ascii="仿宋" w:hAnsi="仿宋" w:eastAsia="仿宋"/>
          <w:sz w:val="24"/>
        </w:rPr>
        <w:tab/>
      </w:r>
      <w:r>
        <w:rPr>
          <w:rFonts w:ascii="仿宋" w:hAnsi="仿宋" w:eastAsia="仿宋"/>
          <w:sz w:val="24"/>
        </w:rPr>
        <w:t>郭敏</w:t>
      </w:r>
      <w:r>
        <w:rPr>
          <w:rFonts w:ascii="仿宋" w:hAnsi="仿宋" w:eastAsia="仿宋"/>
          <w:sz w:val="24"/>
        </w:rPr>
        <w:tab/>
      </w:r>
      <w:r>
        <w:rPr>
          <w:rFonts w:ascii="仿宋" w:hAnsi="仿宋" w:eastAsia="仿宋"/>
          <w:sz w:val="24"/>
        </w:rPr>
        <w:t>85230722</w:t>
      </w:r>
      <w:r>
        <w:rPr>
          <w:rFonts w:ascii="仿宋" w:hAnsi="仿宋" w:eastAsia="仿宋"/>
          <w:sz w:val="24"/>
        </w:rPr>
        <w:tab/>
      </w:r>
      <w:r>
        <w:rPr>
          <w:rFonts w:ascii="仿宋" w:hAnsi="仿宋" w:eastAsia="仿宋"/>
          <w:sz w:val="24"/>
        </w:rPr>
        <w:t>18066610983</w:t>
      </w:r>
    </w:p>
    <w:p>
      <w:pPr>
        <w:spacing w:line="360" w:lineRule="auto"/>
        <w:ind w:firstLine="480" w:firstLineChars="200"/>
        <w:rPr>
          <w:rFonts w:ascii="仿宋" w:hAnsi="仿宋" w:eastAsia="仿宋"/>
          <w:sz w:val="24"/>
        </w:rPr>
      </w:pPr>
      <w:r>
        <w:rPr>
          <w:rFonts w:ascii="仿宋" w:hAnsi="仿宋" w:eastAsia="仿宋"/>
          <w:sz w:val="24"/>
        </w:rPr>
        <w:t>南二环支行</w:t>
      </w:r>
      <w:r>
        <w:rPr>
          <w:rFonts w:ascii="仿宋" w:hAnsi="仿宋" w:eastAsia="仿宋"/>
          <w:sz w:val="24"/>
        </w:rPr>
        <w:tab/>
      </w:r>
      <w:r>
        <w:rPr>
          <w:rFonts w:ascii="仿宋" w:hAnsi="仿宋" w:eastAsia="仿宋"/>
          <w:sz w:val="24"/>
        </w:rPr>
        <w:t>刘超</w:t>
      </w:r>
      <w:r>
        <w:rPr>
          <w:rFonts w:ascii="仿宋" w:hAnsi="仿宋" w:eastAsia="仿宋"/>
          <w:sz w:val="24"/>
        </w:rPr>
        <w:tab/>
      </w:r>
      <w:r>
        <w:rPr>
          <w:rFonts w:ascii="仿宋" w:hAnsi="仿宋" w:eastAsia="仿宋"/>
          <w:sz w:val="24"/>
        </w:rPr>
        <w:t>88362861</w:t>
      </w:r>
      <w:r>
        <w:rPr>
          <w:rFonts w:ascii="仿宋" w:hAnsi="仿宋" w:eastAsia="仿宋"/>
          <w:sz w:val="24"/>
        </w:rPr>
        <w:tab/>
      </w:r>
      <w:r>
        <w:rPr>
          <w:rFonts w:ascii="仿宋" w:hAnsi="仿宋" w:eastAsia="仿宋"/>
          <w:sz w:val="24"/>
        </w:rPr>
        <w:t>18192080396</w:t>
      </w:r>
    </w:p>
    <w:p>
      <w:pPr>
        <w:spacing w:line="360" w:lineRule="auto"/>
        <w:ind w:firstLine="480" w:firstLineChars="200"/>
        <w:rPr>
          <w:rFonts w:ascii="仿宋" w:hAnsi="仿宋" w:eastAsia="仿宋"/>
          <w:sz w:val="24"/>
        </w:rPr>
      </w:pPr>
      <w:r>
        <w:rPr>
          <w:rFonts w:ascii="仿宋" w:hAnsi="仿宋" w:eastAsia="仿宋"/>
          <w:sz w:val="24"/>
        </w:rPr>
        <w:t>曲江支行</w:t>
      </w:r>
      <w:r>
        <w:rPr>
          <w:rFonts w:ascii="仿宋" w:hAnsi="仿宋" w:eastAsia="仿宋"/>
          <w:sz w:val="24"/>
        </w:rPr>
        <w:tab/>
      </w:r>
      <w:r>
        <w:rPr>
          <w:rFonts w:ascii="仿宋" w:hAnsi="仿宋" w:eastAsia="仿宋"/>
          <w:sz w:val="24"/>
        </w:rPr>
        <w:t>田鹏</w:t>
      </w:r>
      <w:r>
        <w:rPr>
          <w:rFonts w:ascii="仿宋" w:hAnsi="仿宋" w:eastAsia="仿宋"/>
          <w:sz w:val="24"/>
        </w:rPr>
        <w:tab/>
      </w:r>
      <w:r>
        <w:rPr>
          <w:rFonts w:ascii="仿宋" w:hAnsi="仿宋" w:eastAsia="仿宋"/>
          <w:sz w:val="24"/>
        </w:rPr>
        <w:t>81205890</w:t>
      </w:r>
      <w:r>
        <w:rPr>
          <w:rFonts w:ascii="仿宋" w:hAnsi="仿宋" w:eastAsia="仿宋"/>
          <w:sz w:val="24"/>
        </w:rPr>
        <w:tab/>
      </w:r>
      <w:r>
        <w:rPr>
          <w:rFonts w:ascii="仿宋" w:hAnsi="仿宋" w:eastAsia="仿宋"/>
          <w:sz w:val="24"/>
        </w:rPr>
        <w:t>13991937977</w:t>
      </w:r>
    </w:p>
    <w:p>
      <w:pPr>
        <w:spacing w:line="360" w:lineRule="auto"/>
        <w:ind w:firstLine="480" w:firstLineChars="200"/>
        <w:rPr>
          <w:rFonts w:ascii="仿宋" w:hAnsi="仿宋" w:eastAsia="仿宋"/>
          <w:sz w:val="24"/>
        </w:rPr>
      </w:pPr>
      <w:r>
        <w:rPr>
          <w:rFonts w:ascii="仿宋" w:hAnsi="仿宋" w:eastAsia="仿宋"/>
          <w:sz w:val="24"/>
        </w:rPr>
        <w:t>太白路支行</w:t>
      </w:r>
      <w:r>
        <w:rPr>
          <w:rFonts w:ascii="仿宋" w:hAnsi="仿宋" w:eastAsia="仿宋"/>
          <w:sz w:val="24"/>
        </w:rPr>
        <w:tab/>
      </w:r>
      <w:r>
        <w:rPr>
          <w:rFonts w:ascii="仿宋" w:hAnsi="仿宋" w:eastAsia="仿宋"/>
          <w:sz w:val="24"/>
        </w:rPr>
        <w:t>马振林</w:t>
      </w:r>
      <w:r>
        <w:rPr>
          <w:rFonts w:ascii="仿宋" w:hAnsi="仿宋" w:eastAsia="仿宋"/>
          <w:sz w:val="24"/>
        </w:rPr>
        <w:tab/>
      </w:r>
      <w:r>
        <w:rPr>
          <w:rFonts w:ascii="仿宋" w:hAnsi="仿宋" w:eastAsia="仿宋"/>
          <w:sz w:val="24"/>
        </w:rPr>
        <w:t>68912880</w:t>
      </w:r>
      <w:r>
        <w:rPr>
          <w:rFonts w:ascii="仿宋" w:hAnsi="仿宋" w:eastAsia="仿宋"/>
          <w:sz w:val="24"/>
        </w:rPr>
        <w:tab/>
      </w:r>
      <w:r>
        <w:rPr>
          <w:rFonts w:ascii="仿宋" w:hAnsi="仿宋" w:eastAsia="仿宋"/>
          <w:sz w:val="24"/>
        </w:rPr>
        <w:t>15353736656</w:t>
      </w:r>
    </w:p>
    <w:p>
      <w:pPr>
        <w:spacing w:line="360" w:lineRule="auto"/>
        <w:ind w:firstLine="480" w:firstLineChars="200"/>
        <w:rPr>
          <w:rFonts w:ascii="仿宋" w:hAnsi="仿宋" w:eastAsia="仿宋"/>
          <w:sz w:val="24"/>
        </w:rPr>
      </w:pPr>
      <w:r>
        <w:rPr>
          <w:rFonts w:ascii="仿宋" w:hAnsi="仿宋" w:eastAsia="仿宋"/>
          <w:sz w:val="24"/>
        </w:rPr>
        <w:t>明光路支行</w:t>
      </w:r>
      <w:r>
        <w:rPr>
          <w:rFonts w:ascii="仿宋" w:hAnsi="仿宋" w:eastAsia="仿宋"/>
          <w:sz w:val="24"/>
        </w:rPr>
        <w:tab/>
      </w:r>
      <w:r>
        <w:rPr>
          <w:rFonts w:ascii="仿宋" w:hAnsi="仿宋" w:eastAsia="仿宋"/>
          <w:sz w:val="24"/>
        </w:rPr>
        <w:t>刘二渭</w:t>
      </w:r>
      <w:r>
        <w:rPr>
          <w:rFonts w:ascii="仿宋" w:hAnsi="仿宋" w:eastAsia="仿宋"/>
          <w:sz w:val="24"/>
        </w:rPr>
        <w:tab/>
      </w:r>
      <w:r>
        <w:rPr>
          <w:rFonts w:ascii="仿宋" w:hAnsi="仿宋" w:eastAsia="仿宋"/>
          <w:sz w:val="24"/>
        </w:rPr>
        <w:t>81623506</w:t>
      </w:r>
      <w:r>
        <w:rPr>
          <w:rFonts w:ascii="仿宋" w:hAnsi="仿宋" w:eastAsia="仿宋"/>
          <w:sz w:val="24"/>
        </w:rPr>
        <w:tab/>
      </w:r>
      <w:r>
        <w:rPr>
          <w:rFonts w:ascii="仿宋" w:hAnsi="仿宋" w:eastAsia="仿宋"/>
          <w:sz w:val="24"/>
        </w:rPr>
        <w:t>13201793405</w:t>
      </w:r>
    </w:p>
    <w:p>
      <w:pPr>
        <w:spacing w:line="360" w:lineRule="auto"/>
        <w:ind w:firstLine="480" w:firstLineChars="200"/>
        <w:rPr>
          <w:rFonts w:ascii="仿宋" w:hAnsi="仿宋" w:eastAsia="仿宋"/>
          <w:sz w:val="24"/>
        </w:rPr>
      </w:pPr>
      <w:r>
        <w:rPr>
          <w:rFonts w:ascii="仿宋" w:hAnsi="仿宋" w:eastAsia="仿宋"/>
          <w:sz w:val="24"/>
        </w:rPr>
        <w:t>凤城二路支行</w:t>
      </w:r>
      <w:r>
        <w:rPr>
          <w:rFonts w:ascii="仿宋" w:hAnsi="仿宋" w:eastAsia="仿宋"/>
          <w:sz w:val="24"/>
        </w:rPr>
        <w:tab/>
      </w:r>
      <w:r>
        <w:rPr>
          <w:rFonts w:ascii="仿宋" w:hAnsi="仿宋" w:eastAsia="仿宋"/>
          <w:sz w:val="24"/>
        </w:rPr>
        <w:t>张洋</w:t>
      </w:r>
      <w:r>
        <w:rPr>
          <w:rFonts w:ascii="仿宋" w:hAnsi="仿宋" w:eastAsia="仿宋"/>
          <w:sz w:val="24"/>
        </w:rPr>
        <w:tab/>
      </w:r>
      <w:r>
        <w:rPr>
          <w:rFonts w:ascii="仿宋" w:hAnsi="仿宋" w:eastAsia="仿宋"/>
          <w:sz w:val="24"/>
        </w:rPr>
        <w:t>86680267</w:t>
      </w:r>
      <w:r>
        <w:rPr>
          <w:rFonts w:ascii="仿宋" w:hAnsi="仿宋" w:eastAsia="仿宋"/>
          <w:sz w:val="24"/>
        </w:rPr>
        <w:tab/>
      </w:r>
      <w:r>
        <w:rPr>
          <w:rFonts w:ascii="仿宋" w:hAnsi="仿宋" w:eastAsia="仿宋"/>
          <w:sz w:val="24"/>
        </w:rPr>
        <w:t>13720423343</w:t>
      </w:r>
    </w:p>
    <w:p>
      <w:pPr>
        <w:spacing w:line="360" w:lineRule="auto"/>
        <w:ind w:firstLine="480" w:firstLineChars="200"/>
        <w:rPr>
          <w:rFonts w:ascii="仿宋" w:hAnsi="仿宋" w:eastAsia="仿宋"/>
          <w:sz w:val="24"/>
        </w:rPr>
      </w:pPr>
      <w:r>
        <w:rPr>
          <w:rFonts w:ascii="仿宋" w:hAnsi="仿宋" w:eastAsia="仿宋"/>
          <w:sz w:val="24"/>
        </w:rPr>
        <w:t>昆明路支行</w:t>
      </w:r>
      <w:r>
        <w:rPr>
          <w:rFonts w:ascii="仿宋" w:hAnsi="仿宋" w:eastAsia="仿宋"/>
          <w:sz w:val="24"/>
        </w:rPr>
        <w:tab/>
      </w:r>
      <w:r>
        <w:rPr>
          <w:rFonts w:ascii="仿宋" w:hAnsi="仿宋" w:eastAsia="仿宋"/>
          <w:sz w:val="24"/>
        </w:rPr>
        <w:t>张洁</w:t>
      </w:r>
      <w:r>
        <w:rPr>
          <w:rFonts w:ascii="仿宋" w:hAnsi="仿宋" w:eastAsia="仿宋"/>
          <w:sz w:val="24"/>
        </w:rPr>
        <w:tab/>
      </w:r>
      <w:r>
        <w:rPr>
          <w:rFonts w:ascii="仿宋" w:hAnsi="仿宋" w:eastAsia="仿宋"/>
          <w:sz w:val="24"/>
        </w:rPr>
        <w:t>84592506</w:t>
      </w:r>
      <w:r>
        <w:rPr>
          <w:rFonts w:ascii="仿宋" w:hAnsi="仿宋" w:eastAsia="仿宋"/>
          <w:sz w:val="24"/>
        </w:rPr>
        <w:tab/>
      </w:r>
      <w:r>
        <w:rPr>
          <w:rFonts w:ascii="仿宋" w:hAnsi="仿宋" w:eastAsia="仿宋"/>
          <w:sz w:val="24"/>
        </w:rPr>
        <w:t>13991821278</w:t>
      </w:r>
    </w:p>
    <w:p>
      <w:pPr>
        <w:spacing w:line="360" w:lineRule="auto"/>
        <w:ind w:firstLine="480" w:firstLineChars="200"/>
        <w:rPr>
          <w:rFonts w:ascii="仿宋" w:hAnsi="仿宋" w:eastAsia="仿宋"/>
          <w:sz w:val="24"/>
        </w:rPr>
      </w:pPr>
      <w:r>
        <w:rPr>
          <w:rFonts w:ascii="仿宋" w:hAnsi="仿宋" w:eastAsia="仿宋"/>
          <w:sz w:val="24"/>
        </w:rPr>
        <w:t>丈八北路支行</w:t>
      </w:r>
      <w:r>
        <w:rPr>
          <w:rFonts w:ascii="仿宋" w:hAnsi="仿宋" w:eastAsia="仿宋"/>
          <w:sz w:val="24"/>
        </w:rPr>
        <w:tab/>
      </w:r>
      <w:r>
        <w:rPr>
          <w:rFonts w:ascii="仿宋" w:hAnsi="仿宋" w:eastAsia="仿宋"/>
          <w:sz w:val="24"/>
        </w:rPr>
        <w:t>郭浩</w:t>
      </w:r>
      <w:r>
        <w:rPr>
          <w:rFonts w:ascii="仿宋" w:hAnsi="仿宋" w:eastAsia="仿宋"/>
          <w:sz w:val="24"/>
        </w:rPr>
        <w:tab/>
      </w:r>
      <w:r>
        <w:rPr>
          <w:rFonts w:ascii="仿宋" w:hAnsi="仿宋" w:eastAsia="仿宋"/>
          <w:sz w:val="24"/>
        </w:rPr>
        <w:t>81875192</w:t>
      </w:r>
      <w:r>
        <w:rPr>
          <w:rFonts w:ascii="仿宋" w:hAnsi="仿宋" w:eastAsia="仿宋"/>
          <w:sz w:val="24"/>
        </w:rPr>
        <w:tab/>
      </w:r>
      <w:r>
        <w:rPr>
          <w:rFonts w:ascii="仿宋" w:hAnsi="仿宋" w:eastAsia="仿宋"/>
          <w:sz w:val="24"/>
        </w:rPr>
        <w:t>15667087662</w:t>
      </w:r>
    </w:p>
    <w:p>
      <w:pPr>
        <w:spacing w:line="360" w:lineRule="auto"/>
        <w:ind w:firstLine="480" w:firstLineChars="200"/>
        <w:rPr>
          <w:rFonts w:ascii="仿宋" w:hAnsi="仿宋" w:eastAsia="仿宋"/>
          <w:sz w:val="24"/>
        </w:rPr>
      </w:pPr>
      <w:r>
        <w:rPr>
          <w:rFonts w:ascii="仿宋" w:hAnsi="仿宋" w:eastAsia="仿宋"/>
          <w:sz w:val="24"/>
        </w:rPr>
        <w:t>新城支行</w:t>
      </w:r>
      <w:r>
        <w:rPr>
          <w:rFonts w:ascii="仿宋" w:hAnsi="仿宋" w:eastAsia="仿宋"/>
          <w:sz w:val="24"/>
        </w:rPr>
        <w:tab/>
      </w:r>
      <w:r>
        <w:rPr>
          <w:rFonts w:ascii="仿宋" w:hAnsi="仿宋" w:eastAsia="仿宋"/>
          <w:sz w:val="24"/>
        </w:rPr>
        <w:t>余振东</w:t>
      </w:r>
      <w:r>
        <w:rPr>
          <w:rFonts w:ascii="仿宋" w:hAnsi="仿宋" w:eastAsia="仿宋"/>
          <w:sz w:val="24"/>
        </w:rPr>
        <w:tab/>
      </w:r>
      <w:r>
        <w:rPr>
          <w:rFonts w:ascii="仿宋" w:hAnsi="仿宋" w:eastAsia="仿宋"/>
          <w:sz w:val="24"/>
        </w:rPr>
        <w:t>87251680</w:t>
      </w:r>
      <w:r>
        <w:rPr>
          <w:rFonts w:ascii="仿宋" w:hAnsi="仿宋" w:eastAsia="仿宋"/>
          <w:sz w:val="24"/>
        </w:rPr>
        <w:tab/>
      </w:r>
      <w:r>
        <w:rPr>
          <w:rFonts w:ascii="仿宋" w:hAnsi="仿宋" w:eastAsia="仿宋"/>
          <w:sz w:val="24"/>
        </w:rPr>
        <w:t>18066617238</w:t>
      </w:r>
    </w:p>
    <w:p>
      <w:pPr>
        <w:spacing w:line="360" w:lineRule="auto"/>
        <w:rPr>
          <w:rFonts w:ascii="仿宋" w:hAnsi="仿宋" w:eastAsia="仿宋"/>
          <w:b/>
          <w:sz w:val="24"/>
        </w:rPr>
      </w:pPr>
      <w:r>
        <w:rPr>
          <w:rFonts w:ascii="仿宋" w:hAnsi="仿宋" w:eastAsia="仿宋"/>
          <w:b/>
          <w:sz w:val="24"/>
        </w:rPr>
        <w:t>六、浦发银行（政采e贷）</w:t>
      </w:r>
    </w:p>
    <w:p>
      <w:pPr>
        <w:spacing w:line="360" w:lineRule="auto"/>
        <w:ind w:firstLine="480" w:firstLineChars="200"/>
        <w:rPr>
          <w:rFonts w:ascii="仿宋" w:hAnsi="仿宋" w:eastAsia="仿宋"/>
          <w:sz w:val="24"/>
        </w:rPr>
      </w:pPr>
      <w:r>
        <w:rPr>
          <w:rFonts w:ascii="仿宋" w:hAnsi="仿宋" w:eastAsia="仿宋"/>
          <w:sz w:val="24"/>
        </w:rPr>
        <w:t>西安分行</w:t>
      </w:r>
      <w:r>
        <w:rPr>
          <w:rFonts w:ascii="仿宋" w:hAnsi="仿宋" w:eastAsia="仿宋"/>
          <w:sz w:val="24"/>
        </w:rPr>
        <w:tab/>
      </w:r>
      <w:r>
        <w:rPr>
          <w:rFonts w:ascii="仿宋" w:hAnsi="仿宋" w:eastAsia="仿宋"/>
          <w:sz w:val="24"/>
        </w:rPr>
        <w:t>吴晨雨</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029-63603803</w:t>
      </w:r>
      <w:r>
        <w:rPr>
          <w:rFonts w:ascii="仿宋" w:hAnsi="仿宋" w:eastAsia="仿宋"/>
          <w:sz w:val="24"/>
        </w:rPr>
        <w:tab/>
      </w:r>
      <w:r>
        <w:rPr>
          <w:rFonts w:ascii="仿宋" w:hAnsi="仿宋" w:eastAsia="仿宋"/>
          <w:sz w:val="24"/>
        </w:rPr>
        <w:t>15991724645</w:t>
      </w:r>
    </w:p>
    <w:p>
      <w:pPr>
        <w:spacing w:line="360" w:lineRule="auto"/>
        <w:ind w:firstLine="480" w:firstLineChars="200"/>
        <w:rPr>
          <w:rFonts w:ascii="仿宋" w:hAnsi="仿宋" w:eastAsia="仿宋"/>
          <w:sz w:val="24"/>
        </w:rPr>
      </w:pPr>
      <w:r>
        <w:rPr>
          <w:rFonts w:ascii="仿宋" w:hAnsi="仿宋" w:eastAsia="仿宋"/>
          <w:sz w:val="24"/>
        </w:rPr>
        <w:t>西安分行</w:t>
      </w:r>
      <w:r>
        <w:rPr>
          <w:rFonts w:ascii="仿宋" w:hAnsi="仿宋" w:eastAsia="仿宋"/>
          <w:sz w:val="24"/>
        </w:rPr>
        <w:tab/>
      </w:r>
      <w:r>
        <w:rPr>
          <w:rFonts w:ascii="仿宋" w:hAnsi="仿宋" w:eastAsia="仿宋"/>
          <w:sz w:val="24"/>
        </w:rPr>
        <w:t>陈福全</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029-63603441</w:t>
      </w:r>
      <w:r>
        <w:rPr>
          <w:rFonts w:ascii="仿宋" w:hAnsi="仿宋" w:eastAsia="仿宋"/>
          <w:sz w:val="24"/>
        </w:rPr>
        <w:tab/>
      </w:r>
      <w:r>
        <w:rPr>
          <w:rFonts w:ascii="仿宋" w:hAnsi="仿宋" w:eastAsia="仿宋"/>
          <w:sz w:val="24"/>
        </w:rPr>
        <w:t>17782511994</w:t>
      </w:r>
    </w:p>
    <w:p>
      <w:pPr>
        <w:spacing w:line="360" w:lineRule="auto"/>
        <w:ind w:firstLine="480" w:firstLineChars="200"/>
        <w:rPr>
          <w:rFonts w:ascii="仿宋" w:hAnsi="仿宋" w:eastAsia="仿宋"/>
          <w:sz w:val="24"/>
        </w:rPr>
      </w:pPr>
      <w:r>
        <w:rPr>
          <w:rFonts w:ascii="仿宋" w:hAnsi="仿宋" w:eastAsia="仿宋"/>
          <w:sz w:val="24"/>
        </w:rPr>
        <w:t>西安分行</w:t>
      </w:r>
      <w:r>
        <w:rPr>
          <w:rFonts w:ascii="仿宋" w:hAnsi="仿宋" w:eastAsia="仿宋"/>
          <w:sz w:val="24"/>
        </w:rPr>
        <w:tab/>
      </w:r>
      <w:r>
        <w:rPr>
          <w:rFonts w:ascii="仿宋" w:hAnsi="仿宋" w:eastAsia="仿宋"/>
          <w:sz w:val="24"/>
        </w:rPr>
        <w:t>韩瑾</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029-63603443</w:t>
      </w:r>
      <w:r>
        <w:rPr>
          <w:rFonts w:ascii="仿宋" w:hAnsi="仿宋" w:eastAsia="仿宋"/>
          <w:sz w:val="24"/>
        </w:rPr>
        <w:tab/>
      </w:r>
      <w:r>
        <w:rPr>
          <w:rFonts w:ascii="仿宋" w:hAnsi="仿宋" w:eastAsia="仿宋"/>
          <w:sz w:val="24"/>
        </w:rPr>
        <w:t>18202909790</w:t>
      </w:r>
    </w:p>
    <w:p>
      <w:pPr>
        <w:spacing w:line="360" w:lineRule="auto"/>
        <w:ind w:firstLine="480" w:firstLineChars="200"/>
        <w:rPr>
          <w:rFonts w:ascii="仿宋" w:hAnsi="仿宋" w:eastAsia="仿宋"/>
          <w:sz w:val="24"/>
        </w:rPr>
      </w:pPr>
      <w:r>
        <w:rPr>
          <w:rFonts w:ascii="仿宋" w:hAnsi="仿宋" w:eastAsia="仿宋"/>
          <w:sz w:val="24"/>
        </w:rPr>
        <w:t>西安分行</w:t>
      </w:r>
      <w:r>
        <w:rPr>
          <w:rFonts w:ascii="仿宋" w:hAnsi="仿宋" w:eastAsia="仿宋"/>
          <w:sz w:val="24"/>
        </w:rPr>
        <w:tab/>
      </w:r>
      <w:r>
        <w:rPr>
          <w:rFonts w:ascii="仿宋" w:hAnsi="仿宋" w:eastAsia="仿宋"/>
          <w:sz w:val="24"/>
        </w:rPr>
        <w:t>李瑞雪</w:t>
      </w:r>
      <w:r>
        <w:rPr>
          <w:rFonts w:ascii="仿宋" w:hAnsi="仿宋" w:eastAsia="仿宋"/>
          <w:sz w:val="24"/>
        </w:rPr>
        <w:tab/>
      </w:r>
      <w:r>
        <w:rPr>
          <w:rFonts w:ascii="仿宋" w:hAnsi="仿宋" w:eastAsia="仿宋"/>
          <w:sz w:val="24"/>
        </w:rPr>
        <w:t>客户经理</w:t>
      </w:r>
      <w:r>
        <w:rPr>
          <w:rFonts w:ascii="仿宋" w:hAnsi="仿宋" w:eastAsia="仿宋"/>
          <w:sz w:val="24"/>
        </w:rPr>
        <w:tab/>
      </w:r>
      <w:r>
        <w:rPr>
          <w:rFonts w:ascii="仿宋" w:hAnsi="仿宋" w:eastAsia="仿宋"/>
          <w:sz w:val="24"/>
        </w:rPr>
        <w:t>029-63603445</w:t>
      </w:r>
      <w:r>
        <w:rPr>
          <w:rFonts w:ascii="仿宋" w:hAnsi="仿宋" w:eastAsia="仿宋"/>
          <w:sz w:val="24"/>
        </w:rPr>
        <w:tab/>
      </w:r>
      <w:r>
        <w:rPr>
          <w:rFonts w:ascii="仿宋" w:hAnsi="仿宋" w:eastAsia="仿宋"/>
          <w:sz w:val="24"/>
        </w:rPr>
        <w:t>18220862398</w:t>
      </w:r>
    </w:p>
    <w:p>
      <w:pPr>
        <w:spacing w:line="360" w:lineRule="auto"/>
        <w:ind w:firstLine="480" w:firstLineChars="200"/>
        <w:rPr>
          <w:rFonts w:ascii="仿宋" w:hAnsi="仿宋" w:eastAsia="仿宋"/>
          <w:sz w:val="24"/>
        </w:rPr>
      </w:pPr>
      <w:r>
        <w:rPr>
          <w:rFonts w:ascii="仿宋" w:hAnsi="仿宋" w:eastAsia="仿宋"/>
          <w:sz w:val="24"/>
        </w:rPr>
        <w:t>榆林分行</w:t>
      </w:r>
      <w:r>
        <w:rPr>
          <w:rFonts w:ascii="仿宋" w:hAnsi="仿宋" w:eastAsia="仿宋"/>
          <w:sz w:val="24"/>
        </w:rPr>
        <w:tab/>
      </w:r>
      <w:r>
        <w:rPr>
          <w:rFonts w:ascii="仿宋" w:hAnsi="仿宋" w:eastAsia="仿宋"/>
          <w:sz w:val="24"/>
        </w:rPr>
        <w:t>陈晓晓</w:t>
      </w:r>
      <w:r>
        <w:rPr>
          <w:rFonts w:ascii="仿宋" w:hAnsi="仿宋" w:eastAsia="仿宋"/>
          <w:sz w:val="24"/>
        </w:rPr>
        <w:tab/>
      </w:r>
      <w:r>
        <w:rPr>
          <w:rFonts w:ascii="仿宋" w:hAnsi="仿宋" w:eastAsia="仿宋"/>
          <w:sz w:val="24"/>
        </w:rPr>
        <w:t>公司业务部</w:t>
      </w:r>
      <w:r>
        <w:rPr>
          <w:rFonts w:ascii="仿宋" w:hAnsi="仿宋" w:eastAsia="仿宋"/>
          <w:sz w:val="24"/>
        </w:rPr>
        <w:tab/>
      </w:r>
      <w:r>
        <w:rPr>
          <w:rFonts w:ascii="仿宋" w:hAnsi="仿宋" w:eastAsia="仿宋"/>
          <w:sz w:val="24"/>
        </w:rPr>
        <w:t>0912-2216068</w:t>
      </w:r>
      <w:r>
        <w:rPr>
          <w:rFonts w:ascii="仿宋" w:hAnsi="仿宋" w:eastAsia="仿宋"/>
          <w:sz w:val="24"/>
        </w:rPr>
        <w:tab/>
      </w:r>
      <w:r>
        <w:rPr>
          <w:rFonts w:ascii="仿宋" w:hAnsi="仿宋" w:eastAsia="仿宋"/>
          <w:sz w:val="24"/>
        </w:rPr>
        <w:t>15691269965</w:t>
      </w:r>
    </w:p>
    <w:p>
      <w:pPr>
        <w:spacing w:line="360" w:lineRule="auto"/>
        <w:ind w:firstLine="480" w:firstLineChars="200"/>
        <w:rPr>
          <w:rFonts w:ascii="仿宋" w:hAnsi="仿宋" w:eastAsia="仿宋"/>
          <w:sz w:val="24"/>
        </w:rPr>
      </w:pPr>
      <w:r>
        <w:rPr>
          <w:rFonts w:ascii="仿宋" w:hAnsi="仿宋" w:eastAsia="仿宋"/>
          <w:sz w:val="24"/>
        </w:rPr>
        <w:t>榆林分行</w:t>
      </w:r>
      <w:r>
        <w:rPr>
          <w:rFonts w:ascii="仿宋" w:hAnsi="仿宋" w:eastAsia="仿宋"/>
          <w:sz w:val="24"/>
        </w:rPr>
        <w:tab/>
      </w:r>
      <w:r>
        <w:rPr>
          <w:rFonts w:ascii="仿宋" w:hAnsi="仿宋" w:eastAsia="仿宋"/>
          <w:sz w:val="24"/>
        </w:rPr>
        <w:t>郭小东</w:t>
      </w:r>
      <w:r>
        <w:rPr>
          <w:rFonts w:ascii="仿宋" w:hAnsi="仿宋" w:eastAsia="仿宋"/>
          <w:sz w:val="24"/>
        </w:rPr>
        <w:tab/>
      </w:r>
      <w:r>
        <w:rPr>
          <w:rFonts w:ascii="仿宋" w:hAnsi="仿宋" w:eastAsia="仿宋"/>
          <w:sz w:val="24"/>
        </w:rPr>
        <w:t>公司业务部</w:t>
      </w:r>
      <w:r>
        <w:rPr>
          <w:rFonts w:ascii="仿宋" w:hAnsi="仿宋" w:eastAsia="仿宋"/>
          <w:sz w:val="24"/>
        </w:rPr>
        <w:tab/>
      </w:r>
      <w:r>
        <w:rPr>
          <w:rFonts w:ascii="仿宋" w:hAnsi="仿宋" w:eastAsia="仿宋"/>
          <w:sz w:val="24"/>
        </w:rPr>
        <w:t>0912-2216008</w:t>
      </w:r>
      <w:r>
        <w:rPr>
          <w:rFonts w:ascii="仿宋" w:hAnsi="仿宋" w:eastAsia="仿宋"/>
          <w:sz w:val="24"/>
        </w:rPr>
        <w:tab/>
      </w:r>
      <w:r>
        <w:rPr>
          <w:rFonts w:ascii="仿宋" w:hAnsi="仿宋" w:eastAsia="仿宋"/>
          <w:sz w:val="24"/>
        </w:rPr>
        <w:t>15291820586</w:t>
      </w:r>
    </w:p>
    <w:p>
      <w:pPr>
        <w:spacing w:line="360" w:lineRule="auto"/>
        <w:ind w:firstLine="480" w:firstLineChars="200"/>
        <w:rPr>
          <w:rFonts w:ascii="仿宋" w:hAnsi="仿宋" w:eastAsia="仿宋"/>
          <w:sz w:val="24"/>
        </w:rPr>
      </w:pPr>
      <w:r>
        <w:rPr>
          <w:rFonts w:ascii="仿宋" w:hAnsi="仿宋" w:eastAsia="仿宋"/>
          <w:sz w:val="24"/>
        </w:rPr>
        <w:t>宝鸡分行</w:t>
      </w:r>
      <w:r>
        <w:rPr>
          <w:rFonts w:ascii="仿宋" w:hAnsi="仿宋" w:eastAsia="仿宋"/>
          <w:sz w:val="24"/>
        </w:rPr>
        <w:tab/>
      </w:r>
      <w:r>
        <w:rPr>
          <w:rFonts w:ascii="仿宋" w:hAnsi="仿宋" w:eastAsia="仿宋"/>
          <w:sz w:val="24"/>
        </w:rPr>
        <w:t>张一岚</w:t>
      </w:r>
      <w:r>
        <w:rPr>
          <w:rFonts w:ascii="仿宋" w:hAnsi="仿宋" w:eastAsia="仿宋"/>
          <w:sz w:val="24"/>
        </w:rPr>
        <w:tab/>
      </w:r>
      <w:r>
        <w:rPr>
          <w:rFonts w:ascii="仿宋" w:hAnsi="仿宋" w:eastAsia="仿宋"/>
          <w:sz w:val="24"/>
        </w:rPr>
        <w:t>公司业务部</w:t>
      </w:r>
      <w:r>
        <w:rPr>
          <w:rFonts w:ascii="仿宋" w:hAnsi="仿宋" w:eastAsia="仿宋"/>
          <w:sz w:val="24"/>
        </w:rPr>
        <w:tab/>
      </w:r>
      <w:r>
        <w:rPr>
          <w:rFonts w:ascii="仿宋" w:hAnsi="仿宋" w:eastAsia="仿宋"/>
          <w:sz w:val="24"/>
        </w:rPr>
        <w:t xml:space="preserve">0917-8662919 </w:t>
      </w:r>
      <w:r>
        <w:rPr>
          <w:rFonts w:ascii="仿宋" w:hAnsi="仿宋" w:eastAsia="仿宋"/>
          <w:sz w:val="24"/>
        </w:rPr>
        <w:tab/>
      </w:r>
      <w:r>
        <w:rPr>
          <w:rFonts w:ascii="仿宋" w:hAnsi="仿宋" w:eastAsia="仿宋"/>
          <w:sz w:val="24"/>
        </w:rPr>
        <w:t>18690008816</w:t>
      </w:r>
    </w:p>
    <w:p>
      <w:pPr>
        <w:spacing w:line="360" w:lineRule="auto"/>
        <w:ind w:firstLine="480" w:firstLineChars="200"/>
        <w:rPr>
          <w:rFonts w:ascii="仿宋" w:hAnsi="仿宋" w:eastAsia="仿宋"/>
          <w:sz w:val="24"/>
        </w:rPr>
      </w:pPr>
      <w:r>
        <w:rPr>
          <w:rFonts w:ascii="仿宋" w:hAnsi="仿宋" w:eastAsia="仿宋"/>
          <w:sz w:val="24"/>
        </w:rPr>
        <w:t>宝鸡分行</w:t>
      </w:r>
      <w:r>
        <w:rPr>
          <w:rFonts w:ascii="仿宋" w:hAnsi="仿宋" w:eastAsia="仿宋"/>
          <w:sz w:val="24"/>
        </w:rPr>
        <w:tab/>
      </w:r>
      <w:r>
        <w:rPr>
          <w:rFonts w:ascii="仿宋" w:hAnsi="仿宋" w:eastAsia="仿宋"/>
          <w:sz w:val="24"/>
        </w:rPr>
        <w:t>朱强</w:t>
      </w:r>
      <w:r>
        <w:rPr>
          <w:rFonts w:ascii="仿宋" w:hAnsi="仿宋" w:eastAsia="仿宋"/>
          <w:sz w:val="24"/>
        </w:rPr>
        <w:tab/>
      </w:r>
      <w:r>
        <w:rPr>
          <w:rFonts w:ascii="仿宋" w:hAnsi="仿宋" w:eastAsia="仿宋"/>
          <w:sz w:val="24"/>
        </w:rPr>
        <w:t>公司业务部</w:t>
      </w:r>
      <w:r>
        <w:rPr>
          <w:rFonts w:ascii="仿宋" w:hAnsi="仿宋" w:eastAsia="仿宋"/>
          <w:sz w:val="24"/>
        </w:rPr>
        <w:tab/>
      </w:r>
      <w:r>
        <w:rPr>
          <w:rFonts w:ascii="仿宋" w:hAnsi="仿宋" w:eastAsia="仿宋"/>
          <w:sz w:val="24"/>
        </w:rPr>
        <w:t xml:space="preserve">0917-8662926 </w:t>
      </w:r>
      <w:r>
        <w:rPr>
          <w:rFonts w:ascii="仿宋" w:hAnsi="仿宋" w:eastAsia="仿宋"/>
          <w:sz w:val="24"/>
        </w:rPr>
        <w:tab/>
      </w:r>
      <w:r>
        <w:rPr>
          <w:rFonts w:ascii="仿宋" w:hAnsi="仿宋" w:eastAsia="仿宋"/>
          <w:sz w:val="24"/>
        </w:rPr>
        <w:t>13909176381</w:t>
      </w:r>
    </w:p>
    <w:p>
      <w:pPr>
        <w:spacing w:line="360" w:lineRule="auto"/>
        <w:ind w:firstLine="480" w:firstLineChars="200"/>
        <w:rPr>
          <w:rFonts w:ascii="仿宋" w:hAnsi="仿宋" w:eastAsia="仿宋"/>
          <w:sz w:val="24"/>
        </w:rPr>
      </w:pPr>
      <w:r>
        <w:rPr>
          <w:rFonts w:ascii="仿宋" w:hAnsi="仿宋" w:eastAsia="仿宋"/>
          <w:sz w:val="24"/>
        </w:rPr>
        <w:t>渭南分行</w:t>
      </w:r>
      <w:r>
        <w:rPr>
          <w:rFonts w:ascii="仿宋" w:hAnsi="仿宋" w:eastAsia="仿宋"/>
          <w:sz w:val="24"/>
        </w:rPr>
        <w:tab/>
      </w:r>
      <w:r>
        <w:rPr>
          <w:rFonts w:ascii="仿宋" w:hAnsi="仿宋" w:eastAsia="仿宋"/>
          <w:sz w:val="24"/>
        </w:rPr>
        <w:t>王晓峰</w:t>
      </w:r>
      <w:r>
        <w:rPr>
          <w:rFonts w:ascii="仿宋" w:hAnsi="仿宋" w:eastAsia="仿宋"/>
          <w:sz w:val="24"/>
        </w:rPr>
        <w:tab/>
      </w:r>
      <w:r>
        <w:rPr>
          <w:rFonts w:ascii="仿宋" w:hAnsi="仿宋" w:eastAsia="仿宋"/>
          <w:sz w:val="24"/>
        </w:rPr>
        <w:t>公司业务部</w:t>
      </w:r>
      <w:r>
        <w:rPr>
          <w:rFonts w:ascii="仿宋" w:hAnsi="仿宋" w:eastAsia="仿宋"/>
          <w:sz w:val="24"/>
        </w:rPr>
        <w:tab/>
      </w:r>
      <w:r>
        <w:rPr>
          <w:rFonts w:ascii="仿宋" w:hAnsi="仿宋" w:eastAsia="仿宋"/>
          <w:sz w:val="24"/>
        </w:rPr>
        <w:t>0913-3357080</w:t>
      </w:r>
      <w:r>
        <w:rPr>
          <w:rFonts w:ascii="仿宋" w:hAnsi="仿宋" w:eastAsia="仿宋"/>
          <w:sz w:val="24"/>
        </w:rPr>
        <w:tab/>
      </w:r>
      <w:r>
        <w:rPr>
          <w:rFonts w:ascii="仿宋" w:hAnsi="仿宋" w:eastAsia="仿宋"/>
          <w:sz w:val="24"/>
        </w:rPr>
        <w:t>13992363166</w:t>
      </w:r>
    </w:p>
    <w:p>
      <w:pPr>
        <w:spacing w:line="360" w:lineRule="auto"/>
        <w:ind w:firstLine="480" w:firstLineChars="200"/>
        <w:rPr>
          <w:rFonts w:ascii="仿宋" w:hAnsi="仿宋" w:eastAsia="仿宋"/>
          <w:sz w:val="24"/>
        </w:rPr>
      </w:pPr>
      <w:r>
        <w:rPr>
          <w:rFonts w:ascii="仿宋" w:hAnsi="仿宋" w:eastAsia="仿宋"/>
          <w:sz w:val="24"/>
        </w:rPr>
        <w:t>咸阳分行</w:t>
      </w:r>
      <w:r>
        <w:rPr>
          <w:rFonts w:ascii="仿宋" w:hAnsi="仿宋" w:eastAsia="仿宋"/>
          <w:sz w:val="24"/>
        </w:rPr>
        <w:tab/>
      </w:r>
      <w:r>
        <w:rPr>
          <w:rFonts w:ascii="仿宋" w:hAnsi="仿宋" w:eastAsia="仿宋"/>
          <w:sz w:val="24"/>
        </w:rPr>
        <w:t>薛晗</w:t>
      </w:r>
      <w:r>
        <w:rPr>
          <w:rFonts w:ascii="仿宋" w:hAnsi="仿宋" w:eastAsia="仿宋"/>
          <w:sz w:val="24"/>
        </w:rPr>
        <w:tab/>
      </w:r>
      <w:r>
        <w:rPr>
          <w:rFonts w:ascii="仿宋" w:hAnsi="仿宋" w:eastAsia="仿宋"/>
          <w:sz w:val="24"/>
        </w:rPr>
        <w:t>公司业务部</w:t>
      </w:r>
      <w:r>
        <w:rPr>
          <w:rFonts w:ascii="仿宋" w:hAnsi="仿宋" w:eastAsia="仿宋"/>
          <w:sz w:val="24"/>
        </w:rPr>
        <w:tab/>
      </w:r>
      <w:r>
        <w:rPr>
          <w:rFonts w:ascii="仿宋" w:hAnsi="仿宋" w:eastAsia="仿宋"/>
          <w:sz w:val="24"/>
        </w:rPr>
        <w:t>029-32083788</w:t>
      </w:r>
      <w:r>
        <w:rPr>
          <w:rFonts w:ascii="仿宋" w:hAnsi="仿宋" w:eastAsia="仿宋"/>
          <w:sz w:val="24"/>
        </w:rPr>
        <w:tab/>
      </w:r>
      <w:r>
        <w:rPr>
          <w:rFonts w:ascii="仿宋" w:hAnsi="仿宋" w:eastAsia="仿宋"/>
          <w:sz w:val="24"/>
        </w:rPr>
        <w:t>15109226216</w:t>
      </w:r>
    </w:p>
    <w:p>
      <w:pPr>
        <w:spacing w:line="360" w:lineRule="auto"/>
        <w:rPr>
          <w:rFonts w:ascii="仿宋" w:hAnsi="仿宋" w:eastAsia="仿宋"/>
          <w:b/>
          <w:sz w:val="24"/>
        </w:rPr>
      </w:pPr>
      <w:r>
        <w:rPr>
          <w:rFonts w:ascii="仿宋" w:hAnsi="仿宋" w:eastAsia="仿宋"/>
          <w:b/>
          <w:sz w:val="24"/>
        </w:rPr>
        <w:t>七、兴业银行（政采贷）</w:t>
      </w:r>
    </w:p>
    <w:p>
      <w:pPr>
        <w:spacing w:line="360" w:lineRule="auto"/>
        <w:ind w:firstLine="480" w:firstLineChars="200"/>
        <w:rPr>
          <w:rFonts w:ascii="仿宋" w:hAnsi="仿宋" w:eastAsia="仿宋"/>
          <w:sz w:val="24"/>
        </w:rPr>
      </w:pPr>
      <w:r>
        <w:rPr>
          <w:rFonts w:ascii="仿宋" w:hAnsi="仿宋" w:eastAsia="仿宋"/>
          <w:sz w:val="24"/>
        </w:rPr>
        <w:t>西安分行</w:t>
      </w:r>
      <w:r>
        <w:rPr>
          <w:rFonts w:ascii="仿宋" w:hAnsi="仿宋" w:eastAsia="仿宋"/>
          <w:sz w:val="24"/>
        </w:rPr>
        <w:tab/>
      </w:r>
      <w:r>
        <w:rPr>
          <w:rFonts w:ascii="仿宋" w:hAnsi="仿宋" w:eastAsia="仿宋"/>
          <w:sz w:val="24"/>
        </w:rPr>
        <w:t>朱靖</w:t>
      </w:r>
      <w:r>
        <w:rPr>
          <w:rFonts w:ascii="仿宋" w:hAnsi="仿宋" w:eastAsia="仿宋"/>
          <w:sz w:val="24"/>
        </w:rPr>
        <w:tab/>
      </w:r>
      <w:r>
        <w:rPr>
          <w:rFonts w:ascii="仿宋" w:hAnsi="仿宋" w:eastAsia="仿宋"/>
          <w:sz w:val="24"/>
        </w:rPr>
        <w:t>总监</w:t>
      </w:r>
      <w:r>
        <w:rPr>
          <w:rFonts w:ascii="仿宋" w:hAnsi="仿宋" w:eastAsia="仿宋"/>
          <w:sz w:val="24"/>
        </w:rPr>
        <w:tab/>
      </w:r>
      <w:r>
        <w:rPr>
          <w:rFonts w:ascii="仿宋" w:hAnsi="仿宋" w:eastAsia="仿宋"/>
          <w:sz w:val="24"/>
        </w:rPr>
        <w:t>029-87482998</w:t>
      </w:r>
      <w:r>
        <w:rPr>
          <w:rFonts w:ascii="仿宋" w:hAnsi="仿宋" w:eastAsia="仿宋"/>
          <w:sz w:val="24"/>
        </w:rPr>
        <w:tab/>
      </w:r>
      <w:r>
        <w:rPr>
          <w:rFonts w:ascii="仿宋" w:hAnsi="仿宋" w:eastAsia="仿宋"/>
          <w:sz w:val="24"/>
        </w:rPr>
        <w:t>13363979983</w:t>
      </w:r>
    </w:p>
    <w:p>
      <w:pPr>
        <w:spacing w:line="360" w:lineRule="auto"/>
        <w:rPr>
          <w:rFonts w:ascii="仿宋" w:hAnsi="仿宋" w:eastAsia="仿宋"/>
          <w:b/>
          <w:sz w:val="24"/>
        </w:rPr>
      </w:pPr>
      <w:r>
        <w:rPr>
          <w:rFonts w:ascii="仿宋" w:hAnsi="仿宋" w:eastAsia="仿宋"/>
          <w:b/>
          <w:sz w:val="24"/>
        </w:rPr>
        <w:t>八、中国民生银行（政采贷）</w:t>
      </w:r>
    </w:p>
    <w:p>
      <w:pPr>
        <w:spacing w:line="360" w:lineRule="auto"/>
        <w:ind w:left="2580" w:leftChars="200" w:hanging="2160" w:hangingChars="900"/>
        <w:rPr>
          <w:rFonts w:ascii="仿宋" w:hAnsi="仿宋" w:eastAsia="仿宋"/>
          <w:sz w:val="24"/>
        </w:rPr>
      </w:pPr>
      <w:r>
        <w:rPr>
          <w:rFonts w:ascii="仿宋" w:hAnsi="仿宋" w:eastAsia="仿宋"/>
          <w:sz w:val="24"/>
        </w:rPr>
        <w:t>民生银行西安分行联系人：陈经理联系电话：61815275 /1882166919</w:t>
      </w:r>
    </w:p>
    <w:p>
      <w:pPr>
        <w:spacing w:line="360" w:lineRule="auto"/>
        <w:ind w:left="2455" w:leftChars="1169"/>
        <w:rPr>
          <w:rFonts w:ascii="仿宋" w:hAnsi="仿宋" w:eastAsia="仿宋"/>
          <w:sz w:val="24"/>
        </w:rPr>
      </w:pPr>
      <w:r>
        <w:rPr>
          <w:rFonts w:ascii="仿宋" w:hAnsi="仿宋" w:eastAsia="仿宋"/>
          <w:sz w:val="24"/>
        </w:rPr>
        <w:t xml:space="preserve">联系人：王经理联系电话：61815280 /18591953690 </w:t>
      </w:r>
    </w:p>
    <w:p>
      <w:pPr>
        <w:spacing w:line="360" w:lineRule="auto"/>
        <w:rPr>
          <w:rFonts w:ascii="仿宋" w:hAnsi="仿宋" w:eastAsia="仿宋"/>
          <w:b/>
          <w:sz w:val="24"/>
        </w:rPr>
      </w:pPr>
      <w:r>
        <w:rPr>
          <w:rFonts w:ascii="仿宋" w:hAnsi="仿宋" w:eastAsia="仿宋"/>
          <w:b/>
          <w:sz w:val="24"/>
        </w:rPr>
        <w:t>九、浙商银行（政采贷）</w:t>
      </w:r>
    </w:p>
    <w:p>
      <w:pPr>
        <w:spacing w:line="360" w:lineRule="auto"/>
        <w:ind w:firstLine="480" w:firstLineChars="200"/>
        <w:rPr>
          <w:rFonts w:ascii="仿宋" w:hAnsi="仿宋" w:eastAsia="仿宋"/>
          <w:sz w:val="24"/>
        </w:rPr>
      </w:pPr>
      <w:r>
        <w:rPr>
          <w:rFonts w:ascii="仿宋" w:hAnsi="仿宋" w:eastAsia="仿宋"/>
          <w:sz w:val="24"/>
        </w:rPr>
        <w:t>西安分行</w:t>
      </w:r>
      <w:r>
        <w:rPr>
          <w:rFonts w:ascii="仿宋" w:hAnsi="仿宋" w:eastAsia="仿宋"/>
          <w:sz w:val="24"/>
        </w:rPr>
        <w:tab/>
      </w:r>
      <w:r>
        <w:rPr>
          <w:rFonts w:ascii="仿宋" w:hAnsi="仿宋" w:eastAsia="仿宋"/>
          <w:sz w:val="24"/>
        </w:rPr>
        <w:t>西安市雁塔区科技路259号</w:t>
      </w:r>
      <w:r>
        <w:rPr>
          <w:rFonts w:ascii="仿宋" w:hAnsi="仿宋" w:eastAsia="仿宋"/>
          <w:sz w:val="24"/>
        </w:rPr>
        <w:tab/>
      </w:r>
      <w:r>
        <w:rPr>
          <w:rFonts w:ascii="仿宋" w:hAnsi="仿宋" w:eastAsia="仿宋"/>
          <w:sz w:val="24"/>
        </w:rPr>
        <w:t>曹金辉</w:t>
      </w:r>
      <w:r>
        <w:rPr>
          <w:rFonts w:ascii="仿宋" w:hAnsi="仿宋" w:eastAsia="仿宋"/>
          <w:sz w:val="24"/>
        </w:rPr>
        <w:tab/>
      </w:r>
      <w:r>
        <w:rPr>
          <w:rFonts w:ascii="仿宋" w:hAnsi="仿宋" w:eastAsia="仿宋"/>
          <w:sz w:val="24"/>
        </w:rPr>
        <w:t>18710993980</w:t>
      </w:r>
    </w:p>
    <w:p>
      <w:pPr>
        <w:spacing w:line="360" w:lineRule="auto"/>
        <w:rPr>
          <w:rFonts w:ascii="仿宋" w:hAnsi="仿宋" w:eastAsia="仿宋"/>
          <w:b/>
          <w:sz w:val="24"/>
        </w:rPr>
      </w:pPr>
      <w:r>
        <w:rPr>
          <w:rFonts w:ascii="仿宋" w:hAnsi="仿宋" w:eastAsia="仿宋"/>
          <w:b/>
          <w:sz w:val="24"/>
        </w:rPr>
        <w:t>十、招商银行（政采贷）</w:t>
      </w:r>
    </w:p>
    <w:p>
      <w:pPr>
        <w:spacing w:line="360" w:lineRule="auto"/>
        <w:ind w:firstLine="480" w:firstLineChars="200"/>
        <w:rPr>
          <w:rFonts w:ascii="仿宋" w:hAnsi="仿宋" w:eastAsia="仿宋"/>
          <w:sz w:val="24"/>
        </w:rPr>
      </w:pPr>
      <w:r>
        <w:rPr>
          <w:rFonts w:ascii="仿宋" w:hAnsi="仿宋" w:eastAsia="仿宋"/>
          <w:sz w:val="24"/>
        </w:rPr>
        <w:t>招商银行西安分行联系人：任瑾；85438988</w:t>
      </w:r>
    </w:p>
    <w:p>
      <w:pPr>
        <w:spacing w:line="360" w:lineRule="auto"/>
        <w:rPr>
          <w:rFonts w:ascii="仿宋" w:hAnsi="仿宋" w:eastAsia="仿宋"/>
          <w:b/>
          <w:sz w:val="24"/>
        </w:rPr>
      </w:pPr>
      <w:r>
        <w:rPr>
          <w:rFonts w:ascii="仿宋" w:hAnsi="仿宋" w:eastAsia="仿宋"/>
          <w:b/>
          <w:sz w:val="24"/>
        </w:rPr>
        <w:t>十一、长安银行（小微贷）</w:t>
      </w:r>
    </w:p>
    <w:p>
      <w:pPr>
        <w:spacing w:line="360" w:lineRule="auto"/>
        <w:ind w:firstLine="480" w:firstLineChars="200"/>
        <w:rPr>
          <w:rFonts w:ascii="仿宋" w:hAnsi="仿宋" w:eastAsia="仿宋"/>
          <w:sz w:val="24"/>
        </w:rPr>
      </w:pPr>
      <w:r>
        <w:rPr>
          <w:rFonts w:ascii="仿宋" w:hAnsi="仿宋" w:eastAsia="仿宋"/>
          <w:sz w:val="24"/>
        </w:rPr>
        <w:t>长安银行西安曲江新区支行地址：西安市曲江新区雁南一路3号</w:t>
      </w:r>
    </w:p>
    <w:p>
      <w:pPr>
        <w:spacing w:line="360" w:lineRule="auto"/>
        <w:ind w:firstLine="480" w:firstLineChars="200"/>
        <w:rPr>
          <w:rFonts w:ascii="仿宋" w:hAnsi="仿宋" w:eastAsia="仿宋"/>
          <w:sz w:val="24"/>
        </w:rPr>
      </w:pPr>
      <w:r>
        <w:rPr>
          <w:rFonts w:ascii="仿宋" w:hAnsi="仿宋" w:eastAsia="仿宋"/>
          <w:sz w:val="24"/>
        </w:rPr>
        <w:t>联系人：陈瑶 13629266833</w:t>
      </w:r>
    </w:p>
    <w:p>
      <w:pPr>
        <w:spacing w:line="360" w:lineRule="auto"/>
        <w:rPr>
          <w:rFonts w:ascii="仿宋" w:hAnsi="仿宋" w:eastAsia="仿宋" w:cs="仿宋_GB2312"/>
          <w:b/>
          <w:sz w:val="24"/>
        </w:rPr>
      </w:pPr>
      <w:r>
        <w:rPr>
          <w:rFonts w:hint="eastAsia" w:ascii="仿宋" w:hAnsi="仿宋" w:eastAsia="仿宋" w:cs="仿宋_GB2312"/>
          <w:b/>
          <w:sz w:val="24"/>
        </w:rPr>
        <w:t>十二、网商银行（合同贷）</w:t>
      </w:r>
      <w:r>
        <w:rPr>
          <w:rFonts w:hint="eastAsia" w:ascii="仿宋" w:hAnsi="仿宋" w:eastAsia="仿宋" w:cs="仿宋_GB2312"/>
          <w:b/>
          <w:sz w:val="24"/>
        </w:rPr>
        <w:br w:type="textWrapping"/>
      </w:r>
      <w:r>
        <w:rPr>
          <w:rFonts w:hint="eastAsia" w:ascii="仿宋" w:hAnsi="仿宋" w:eastAsia="仿宋" w:cs="仿宋_GB2312"/>
          <w:b/>
          <w:sz w:val="24"/>
        </w:rPr>
        <w:t>十三、中国邮政储蓄银行陕西省分行（政采贷）</w:t>
      </w:r>
    </w:p>
    <w:p>
      <w:pPr>
        <w:tabs>
          <w:tab w:val="left" w:pos="0"/>
        </w:tabs>
        <w:spacing w:line="360" w:lineRule="auto"/>
        <w:rPr>
          <w:rFonts w:ascii="仿宋" w:hAnsi="仿宋" w:eastAsia="仿宋"/>
          <w:b/>
          <w:sz w:val="24"/>
        </w:rPr>
      </w:pPr>
      <w:bookmarkStart w:id="227" w:name="_Toc2583661"/>
      <w:bookmarkStart w:id="228" w:name="_Toc518923100"/>
      <w:r>
        <w:rPr>
          <w:rFonts w:ascii="仿宋" w:hAnsi="仿宋" w:eastAsia="仿宋"/>
          <w:b/>
          <w:sz w:val="24"/>
        </w:rPr>
        <w:t>35.    廉洁自律规定</w:t>
      </w:r>
      <w:bookmarkEnd w:id="227"/>
      <w:bookmarkEnd w:id="228"/>
    </w:p>
    <w:p>
      <w:pPr>
        <w:spacing w:line="360" w:lineRule="auto"/>
        <w:ind w:left="840" w:hanging="840" w:hangingChars="350"/>
        <w:rPr>
          <w:rFonts w:ascii="仿宋" w:hAnsi="仿宋" w:eastAsia="仿宋"/>
          <w:sz w:val="24"/>
        </w:rPr>
      </w:pPr>
      <w:r>
        <w:rPr>
          <w:rFonts w:ascii="仿宋" w:hAnsi="仿宋" w:eastAsia="仿宋"/>
          <w:sz w:val="24"/>
        </w:rPr>
        <w:t>35.1   采购代理机构工作人员不得以不正当手段获取政府采购代理业务，不得与采购人、投标人恶意串通。</w:t>
      </w:r>
    </w:p>
    <w:p>
      <w:pPr>
        <w:spacing w:line="360" w:lineRule="auto"/>
        <w:ind w:left="840" w:hanging="840" w:hangingChars="350"/>
        <w:rPr>
          <w:rFonts w:ascii="仿宋" w:hAnsi="仿宋" w:eastAsia="仿宋"/>
          <w:sz w:val="24"/>
        </w:rPr>
      </w:pPr>
      <w:r>
        <w:rPr>
          <w:rFonts w:ascii="仿宋" w:hAnsi="仿宋" w:eastAsia="仿宋"/>
          <w:sz w:val="24"/>
        </w:rPr>
        <w:t>35.2   采购代理机构工作人员不得接受采购人或者投标人组织的宴请、旅游、娱乐，不得收受礼品、现金、有价证券等，不得向采购人或者投标人报销应当由个人承担的费用。</w:t>
      </w:r>
    </w:p>
    <w:p>
      <w:pPr>
        <w:tabs>
          <w:tab w:val="left" w:pos="0"/>
        </w:tabs>
        <w:spacing w:line="360" w:lineRule="auto"/>
        <w:rPr>
          <w:rFonts w:ascii="仿宋" w:hAnsi="仿宋" w:eastAsia="仿宋"/>
          <w:b/>
          <w:sz w:val="24"/>
        </w:rPr>
      </w:pPr>
      <w:bookmarkStart w:id="229" w:name="_Toc2583662"/>
      <w:bookmarkStart w:id="230" w:name="_Toc518923101"/>
      <w:r>
        <w:rPr>
          <w:rFonts w:ascii="仿宋" w:hAnsi="仿宋" w:eastAsia="仿宋"/>
          <w:b/>
          <w:sz w:val="24"/>
        </w:rPr>
        <w:t>36.    人员回避</w:t>
      </w:r>
      <w:bookmarkEnd w:id="229"/>
      <w:bookmarkEnd w:id="230"/>
    </w:p>
    <w:p>
      <w:pPr>
        <w:spacing w:line="360" w:lineRule="auto"/>
        <w:ind w:left="840" w:leftChars="400"/>
        <w:rPr>
          <w:rFonts w:ascii="仿宋" w:hAnsi="仿宋" w:eastAsia="仿宋"/>
          <w:sz w:val="24"/>
        </w:rPr>
      </w:pPr>
      <w:r>
        <w:rPr>
          <w:rFonts w:ascii="仿宋" w:hAnsi="仿宋" w:eastAsia="仿宋"/>
          <w:sz w:val="24"/>
        </w:rPr>
        <w:t>潜在投标人认为招标文件使自己的权益受到损害的，投标人认为采购人员及其相关人员有法律法规所列与其他投标人有利害关系的，均可以向采购人或采购代理机构书面提出回避申请，并说明理由。</w:t>
      </w:r>
    </w:p>
    <w:p>
      <w:pPr>
        <w:tabs>
          <w:tab w:val="left" w:pos="0"/>
        </w:tabs>
        <w:spacing w:line="360" w:lineRule="auto"/>
        <w:rPr>
          <w:rFonts w:ascii="仿宋" w:hAnsi="仿宋" w:eastAsia="仿宋"/>
          <w:b/>
          <w:sz w:val="24"/>
        </w:rPr>
      </w:pPr>
      <w:bookmarkStart w:id="231" w:name="_Toc2583663"/>
      <w:bookmarkStart w:id="232" w:name="_Toc518923102"/>
      <w:r>
        <w:rPr>
          <w:rFonts w:ascii="仿宋" w:hAnsi="仿宋" w:eastAsia="仿宋"/>
          <w:b/>
          <w:sz w:val="24"/>
        </w:rPr>
        <w:t>37.    质疑的提出与接收</w:t>
      </w:r>
      <w:bookmarkEnd w:id="231"/>
      <w:bookmarkEnd w:id="232"/>
    </w:p>
    <w:p>
      <w:pPr>
        <w:spacing w:line="360" w:lineRule="auto"/>
        <w:ind w:left="840" w:hanging="840" w:hangingChars="350"/>
        <w:rPr>
          <w:rFonts w:ascii="仿宋" w:hAnsi="仿宋" w:eastAsia="仿宋"/>
          <w:sz w:val="24"/>
        </w:rPr>
      </w:pPr>
      <w:r>
        <w:rPr>
          <w:rFonts w:ascii="仿宋" w:hAnsi="仿宋" w:eastAsia="仿宋"/>
          <w:sz w:val="24"/>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360" w:lineRule="auto"/>
        <w:ind w:left="840" w:hanging="840" w:hangingChars="350"/>
        <w:rPr>
          <w:rFonts w:ascii="仿宋" w:hAnsi="仿宋" w:eastAsia="仿宋"/>
          <w:sz w:val="24"/>
        </w:rPr>
      </w:pPr>
      <w:r>
        <w:rPr>
          <w:rFonts w:ascii="仿宋" w:hAnsi="仿宋" w:eastAsia="仿宋"/>
          <w:sz w:val="24"/>
        </w:rPr>
        <w:t>37.2   质疑投标人应按照财政部制定的《政府采购质疑函范本》格式（可从财政部官方网站下载）和《政府采购质疑和投诉办法》的要求，在法定质疑期内以书面形式提出质疑，针对同一采购程序环节的质疑应一次性提出。</w:t>
      </w:r>
    </w:p>
    <w:p>
      <w:pPr>
        <w:spacing w:line="360" w:lineRule="auto"/>
        <w:ind w:left="840" w:leftChars="400"/>
        <w:rPr>
          <w:rFonts w:ascii="仿宋" w:hAnsi="仿宋" w:eastAsia="仿宋"/>
          <w:sz w:val="24"/>
        </w:rPr>
      </w:pPr>
      <w:r>
        <w:rPr>
          <w:rFonts w:ascii="仿宋" w:hAnsi="仿宋" w:eastAsia="仿宋"/>
          <w:sz w:val="24"/>
        </w:rPr>
        <w:t>超出法定质疑期提交的质疑将被拒绝。</w:t>
      </w:r>
    </w:p>
    <w:p>
      <w:pPr>
        <w:spacing w:line="360" w:lineRule="auto"/>
        <w:ind w:left="851" w:leftChars="405" w:hanging="1"/>
        <w:rPr>
          <w:rFonts w:ascii="仿宋" w:hAnsi="仿宋" w:eastAsia="仿宋"/>
          <w:sz w:val="24"/>
        </w:rPr>
      </w:pPr>
      <w:r>
        <w:rPr>
          <w:rFonts w:ascii="仿宋" w:hAnsi="仿宋" w:eastAsia="仿宋"/>
          <w:sz w:val="24"/>
        </w:rPr>
        <w:t>重复或分次提出的、内容或形式不符合《政府采购质疑和投诉办法》的，质疑投标人将依法承担不利后果。</w:t>
      </w:r>
    </w:p>
    <w:p>
      <w:pPr>
        <w:spacing w:line="360" w:lineRule="auto"/>
        <w:rPr>
          <w:rFonts w:ascii="仿宋" w:hAnsi="仿宋" w:eastAsia="仿宋"/>
          <w:sz w:val="24"/>
        </w:rPr>
      </w:pPr>
      <w:r>
        <w:rPr>
          <w:rFonts w:ascii="仿宋" w:hAnsi="仿宋" w:eastAsia="仿宋"/>
          <w:sz w:val="24"/>
        </w:rPr>
        <w:t>37.3   投标人提交质疑函的要求</w:t>
      </w:r>
    </w:p>
    <w:p>
      <w:pPr>
        <w:spacing w:line="360" w:lineRule="auto"/>
        <w:rPr>
          <w:rFonts w:ascii="仿宋" w:hAnsi="仿宋" w:eastAsia="仿宋"/>
          <w:sz w:val="24"/>
        </w:rPr>
      </w:pPr>
      <w:r>
        <w:rPr>
          <w:rFonts w:ascii="仿宋" w:hAnsi="仿宋" w:eastAsia="仿宋"/>
          <w:sz w:val="24"/>
        </w:rPr>
        <w:t>37.3.1 投标人提出质疑时，应提交质疑函和必要的证明材料。</w:t>
      </w:r>
    </w:p>
    <w:p>
      <w:pPr>
        <w:spacing w:line="360" w:lineRule="auto"/>
        <w:ind w:left="850" w:hanging="849" w:hangingChars="354"/>
        <w:rPr>
          <w:rFonts w:ascii="仿宋" w:hAnsi="仿宋" w:eastAsia="仿宋"/>
          <w:sz w:val="24"/>
        </w:rPr>
      </w:pPr>
      <w:r>
        <w:rPr>
          <w:rFonts w:ascii="仿宋" w:hAnsi="仿宋" w:eastAsia="仿宋"/>
          <w:sz w:val="24"/>
        </w:rPr>
        <w:t>37.3.2 质疑投标人若委托代理人进行质疑的，质疑函应按要求列明“授权代表”的有关内容，并在附件中提交由质疑投标人签署的授权委托书。授权委托书应载明代理人的姓名、代理事项、具体权限、期限和相关事项。</w:t>
      </w:r>
    </w:p>
    <w:p>
      <w:pPr>
        <w:spacing w:line="360" w:lineRule="auto"/>
        <w:rPr>
          <w:rFonts w:ascii="仿宋" w:hAnsi="仿宋" w:eastAsia="仿宋"/>
          <w:sz w:val="24"/>
        </w:rPr>
      </w:pPr>
      <w:r>
        <w:rPr>
          <w:rFonts w:ascii="仿宋" w:hAnsi="仿宋" w:eastAsia="仿宋"/>
          <w:sz w:val="24"/>
        </w:rPr>
        <w:t>37.3.3 质疑投标人若对项目的某一分包进行质疑，质疑函中应列明具体分包号。</w:t>
      </w:r>
    </w:p>
    <w:p>
      <w:pPr>
        <w:spacing w:line="360" w:lineRule="auto"/>
        <w:rPr>
          <w:rFonts w:ascii="仿宋" w:hAnsi="仿宋" w:eastAsia="仿宋"/>
          <w:sz w:val="24"/>
        </w:rPr>
      </w:pPr>
      <w:r>
        <w:rPr>
          <w:rFonts w:ascii="仿宋" w:hAnsi="仿宋" w:eastAsia="仿宋"/>
          <w:sz w:val="24"/>
        </w:rPr>
        <w:t>37.3.4 质疑函的质疑请求应与质疑事项相关。</w:t>
      </w:r>
    </w:p>
    <w:p>
      <w:pPr>
        <w:spacing w:line="360" w:lineRule="auto"/>
        <w:rPr>
          <w:rFonts w:ascii="仿宋" w:hAnsi="仿宋" w:eastAsia="仿宋"/>
          <w:sz w:val="24"/>
        </w:rPr>
      </w:pPr>
      <w:r>
        <w:rPr>
          <w:rFonts w:ascii="仿宋" w:hAnsi="仿宋" w:eastAsia="仿宋"/>
          <w:sz w:val="24"/>
        </w:rPr>
        <w:t>37.3.5 质疑函的质疑事项应具体、明确，并有必要的事实依据。</w:t>
      </w:r>
    </w:p>
    <w:p>
      <w:pPr>
        <w:spacing w:line="360" w:lineRule="auto"/>
        <w:ind w:left="840" w:hanging="840" w:hangingChars="350"/>
        <w:rPr>
          <w:rFonts w:ascii="仿宋" w:hAnsi="仿宋" w:eastAsia="仿宋"/>
          <w:sz w:val="24"/>
        </w:rPr>
      </w:pPr>
      <w:r>
        <w:rPr>
          <w:rFonts w:ascii="仿宋" w:hAnsi="仿宋" w:eastAsia="仿宋"/>
          <w:sz w:val="24"/>
        </w:rPr>
        <w:t>37.3.6 质疑投标人为自然人的，质疑函应由本人签字，质疑投标人为法人或其他组织的，质疑函应由法定代表人、主要负责人，或者其授权代表签字或盖章，并加盖公章。授权代表签字的需提供相应的授权书。</w:t>
      </w:r>
    </w:p>
    <w:p>
      <w:pPr>
        <w:spacing w:line="360" w:lineRule="auto"/>
        <w:rPr>
          <w:rFonts w:ascii="仿宋" w:hAnsi="仿宋" w:eastAsia="仿宋"/>
          <w:sz w:val="24"/>
          <w:u w:val="single"/>
        </w:rPr>
      </w:pPr>
      <w:r>
        <w:rPr>
          <w:rFonts w:ascii="仿宋" w:hAnsi="仿宋" w:eastAsia="仿宋"/>
          <w:sz w:val="24"/>
        </w:rPr>
        <w:t>37.4   质疑函接收部门、联系电话和通讯地址,见</w:t>
      </w:r>
      <w:r>
        <w:rPr>
          <w:rFonts w:ascii="仿宋" w:hAnsi="仿宋" w:eastAsia="仿宋"/>
          <w:sz w:val="24"/>
          <w:u w:val="single"/>
        </w:rPr>
        <w:t>投标人须知前附表</w:t>
      </w:r>
      <w:bookmarkEnd w:id="220"/>
      <w:bookmarkEnd w:id="221"/>
      <w:bookmarkEnd w:id="222"/>
      <w:bookmarkEnd w:id="223"/>
      <w:bookmarkEnd w:id="224"/>
      <w:bookmarkStart w:id="233" w:name="_Toc532044540"/>
      <w:bookmarkStart w:id="234" w:name="_Toc532473756"/>
      <w:bookmarkStart w:id="235" w:name="_Toc507399907"/>
      <w:bookmarkStart w:id="236" w:name="_Toc7971"/>
      <w:bookmarkStart w:id="237" w:name="_Toc32647"/>
      <w:bookmarkStart w:id="238" w:name="_Toc515647832"/>
      <w:bookmarkStart w:id="239" w:name="_Toc728"/>
      <w:bookmarkStart w:id="240" w:name="_Toc532473493"/>
      <w:bookmarkStart w:id="241" w:name="_Toc515647802"/>
      <w:bookmarkStart w:id="242" w:name="_Toc702"/>
      <w:bookmarkStart w:id="243" w:name="_Toc216582812"/>
    </w:p>
    <w:p>
      <w:pPr>
        <w:pStyle w:val="2"/>
        <w:ind w:left="1470" w:right="1470"/>
        <w:rPr>
          <w:rFonts w:ascii="仿宋" w:hAnsi="仿宋" w:eastAsia="仿宋"/>
        </w:rPr>
      </w:pPr>
      <w:r>
        <w:rPr>
          <w:rFonts w:ascii="仿宋" w:hAnsi="仿宋" w:eastAsia="仿宋"/>
        </w:rPr>
        <w:br w:type="page"/>
      </w:r>
    </w:p>
    <w:p>
      <w:pPr>
        <w:pStyle w:val="4"/>
        <w:jc w:val="both"/>
        <w:rPr>
          <w:rFonts w:ascii="仿宋" w:hAnsi="仿宋" w:eastAsia="仿宋"/>
          <w:szCs w:val="24"/>
        </w:rPr>
      </w:pPr>
      <w:r>
        <w:rPr>
          <w:rStyle w:val="57"/>
          <w:rFonts w:ascii="仿宋" w:hAnsi="仿宋" w:eastAsia="仿宋"/>
          <w:b w:val="0"/>
          <w:bCs/>
          <w:sz w:val="28"/>
          <w:szCs w:val="22"/>
        </w:rPr>
        <w:t>附件1：投标担保函</w:t>
      </w:r>
    </w:p>
    <w:p>
      <w:pPr>
        <w:pStyle w:val="5"/>
        <w:snapToGrid w:val="0"/>
        <w:spacing w:line="288" w:lineRule="auto"/>
        <w:jc w:val="center"/>
        <w:rPr>
          <w:rFonts w:ascii="仿宋" w:hAnsi="仿宋" w:eastAsia="仿宋"/>
          <w:szCs w:val="24"/>
        </w:rPr>
      </w:pPr>
      <w:r>
        <w:rPr>
          <w:rFonts w:ascii="仿宋" w:hAnsi="仿宋" w:eastAsia="仿宋"/>
          <w:bCs/>
          <w:szCs w:val="24"/>
        </w:rPr>
        <w:t>（适用于投标保证金保函）</w:t>
      </w:r>
    </w:p>
    <w:p>
      <w:pPr>
        <w:snapToGrid w:val="0"/>
        <w:spacing w:line="288" w:lineRule="auto"/>
        <w:ind w:right="480"/>
        <w:jc w:val="center"/>
        <w:rPr>
          <w:rFonts w:ascii="仿宋" w:hAnsi="仿宋" w:eastAsia="仿宋"/>
          <w:sz w:val="24"/>
        </w:rPr>
      </w:pPr>
      <w:r>
        <w:rPr>
          <w:rFonts w:ascii="仿宋" w:hAnsi="仿宋" w:eastAsia="仿宋"/>
          <w:sz w:val="24"/>
        </w:rPr>
        <w:t>保函编号:</w:t>
      </w:r>
    </w:p>
    <w:p>
      <w:pPr>
        <w:snapToGrid w:val="0"/>
        <w:spacing w:line="288" w:lineRule="auto"/>
        <w:jc w:val="left"/>
        <w:rPr>
          <w:rFonts w:ascii="仿宋" w:hAnsi="仿宋" w:eastAsia="仿宋"/>
          <w:sz w:val="24"/>
          <w:u w:val="single"/>
        </w:rPr>
      </w:pPr>
    </w:p>
    <w:p>
      <w:pPr>
        <w:spacing w:line="360" w:lineRule="auto"/>
        <w:jc w:val="left"/>
        <w:rPr>
          <w:rFonts w:ascii="仿宋" w:hAnsi="仿宋" w:eastAsia="仿宋"/>
          <w:sz w:val="24"/>
        </w:rPr>
      </w:pPr>
      <w:r>
        <w:rPr>
          <w:rFonts w:ascii="仿宋" w:hAnsi="仿宋" w:eastAsia="仿宋"/>
          <w:sz w:val="24"/>
          <w:u w:val="single"/>
        </w:rPr>
        <w:t>陕西省采购招标有限责任公司</w:t>
      </w:r>
      <w:r>
        <w:rPr>
          <w:rFonts w:hint="eastAsia" w:ascii="仿宋" w:hAnsi="仿宋" w:eastAsia="仿宋"/>
          <w:sz w:val="24"/>
        </w:rPr>
        <w:t>（</w:t>
      </w:r>
      <w:r>
        <w:rPr>
          <w:rFonts w:ascii="仿宋" w:hAnsi="仿宋" w:eastAsia="仿宋"/>
          <w:sz w:val="24"/>
        </w:rPr>
        <w:t>下称受益人</w:t>
      </w:r>
      <w:r>
        <w:rPr>
          <w:rFonts w:hint="eastAsia" w:ascii="仿宋" w:hAnsi="仿宋" w:eastAsia="仿宋"/>
          <w:sz w:val="24"/>
        </w:rPr>
        <w:t>）</w:t>
      </w:r>
      <w:r>
        <w:rPr>
          <w:rFonts w:ascii="仿宋" w:hAnsi="仿宋" w:eastAsia="仿宋"/>
          <w:sz w:val="24"/>
        </w:rPr>
        <w:t>:</w:t>
      </w:r>
    </w:p>
    <w:p>
      <w:pPr>
        <w:spacing w:line="360" w:lineRule="auto"/>
        <w:jc w:val="left"/>
        <w:rPr>
          <w:rFonts w:ascii="仿宋" w:hAnsi="仿宋" w:eastAsia="仿宋"/>
          <w:sz w:val="24"/>
        </w:rPr>
      </w:pPr>
      <w:r>
        <w:rPr>
          <w:rFonts w:ascii="仿宋" w:hAnsi="仿宋" w:eastAsia="仿宋"/>
          <w:sz w:val="24"/>
        </w:rPr>
        <w:t xml:space="preserve">    鉴于</w:t>
      </w:r>
      <w:r>
        <w:rPr>
          <w:rFonts w:hint="eastAsia" w:ascii="仿宋" w:hAnsi="仿宋" w:eastAsia="仿宋"/>
          <w:sz w:val="24"/>
        </w:rPr>
        <w:t>（</w:t>
      </w:r>
      <w:r>
        <w:rPr>
          <w:rFonts w:ascii="仿宋" w:hAnsi="仿宋" w:eastAsia="仿宋"/>
          <w:sz w:val="24"/>
        </w:rPr>
        <w:t>下称被保证人</w:t>
      </w:r>
      <w:r>
        <w:rPr>
          <w:rFonts w:hint="eastAsia" w:ascii="仿宋" w:hAnsi="仿宋" w:eastAsia="仿宋"/>
          <w:sz w:val="24"/>
        </w:rPr>
        <w:t>）</w:t>
      </w:r>
      <w:r>
        <w:rPr>
          <w:rFonts w:ascii="仿宋" w:hAnsi="仿宋" w:eastAsia="仿宋"/>
          <w:sz w:val="24"/>
        </w:rPr>
        <w:t>将于</w:t>
      </w:r>
      <w:r>
        <w:rPr>
          <w:rFonts w:hint="eastAsia" w:ascii="宋体" w:hAnsi="宋体" w:cs="宋体"/>
          <w:sz w:val="24"/>
          <w:u w:val="single"/>
        </w:rPr>
        <w:t>    </w:t>
      </w:r>
      <w:r>
        <w:rPr>
          <w:rFonts w:ascii="仿宋" w:hAnsi="仿宋" w:eastAsia="仿宋"/>
          <w:sz w:val="24"/>
          <w:u w:val="single"/>
        </w:rPr>
        <w:t>年</w:t>
      </w:r>
      <w:r>
        <w:rPr>
          <w:rFonts w:hint="eastAsia" w:ascii="宋体" w:hAnsi="宋体" w:cs="宋体"/>
          <w:sz w:val="24"/>
          <w:u w:val="single"/>
        </w:rPr>
        <w:t> </w:t>
      </w:r>
      <w:r>
        <w:rPr>
          <w:rFonts w:ascii="仿宋" w:hAnsi="仿宋" w:eastAsia="仿宋"/>
          <w:sz w:val="24"/>
          <w:u w:val="single"/>
        </w:rPr>
        <w:t>月</w:t>
      </w:r>
      <w:r>
        <w:rPr>
          <w:rFonts w:hint="eastAsia" w:ascii="宋体" w:hAnsi="宋体" w:cs="宋体"/>
          <w:sz w:val="24"/>
          <w:u w:val="single"/>
        </w:rPr>
        <w:t> </w:t>
      </w:r>
      <w:r>
        <w:rPr>
          <w:rFonts w:ascii="仿宋" w:hAnsi="仿宋" w:eastAsia="仿宋"/>
          <w:sz w:val="24"/>
          <w:u w:val="single"/>
        </w:rPr>
        <w:t>日</w:t>
      </w:r>
      <w:r>
        <w:rPr>
          <w:rFonts w:ascii="仿宋" w:hAnsi="仿宋" w:eastAsia="仿宋"/>
          <w:sz w:val="24"/>
        </w:rPr>
        <w:t>参加贵方招标编号为</w:t>
      </w:r>
      <w:r>
        <w:rPr>
          <w:rFonts w:hint="eastAsia" w:ascii="宋体" w:hAnsi="宋体" w:cs="宋体"/>
          <w:sz w:val="24"/>
          <w:u w:val="single"/>
        </w:rPr>
        <w:t> </w:t>
      </w:r>
      <w:r>
        <w:rPr>
          <w:rFonts w:ascii="仿宋" w:hAnsi="仿宋" w:eastAsia="仿宋"/>
          <w:sz w:val="24"/>
          <w:u w:val="single"/>
        </w:rPr>
        <w:t>（采购项目编号）</w:t>
      </w:r>
      <w:r>
        <w:rPr>
          <w:rFonts w:ascii="仿宋" w:hAnsi="仿宋" w:eastAsia="仿宋"/>
          <w:sz w:val="24"/>
        </w:rPr>
        <w:t>的</w:t>
      </w:r>
      <w:r>
        <w:rPr>
          <w:rFonts w:hint="eastAsia" w:ascii="宋体" w:hAnsi="宋体" w:cs="宋体"/>
          <w:sz w:val="24"/>
          <w:u w:val="single"/>
        </w:rPr>
        <w:t> </w:t>
      </w:r>
      <w:r>
        <w:rPr>
          <w:rFonts w:ascii="仿宋" w:hAnsi="仿宋" w:eastAsia="仿宋"/>
          <w:sz w:val="24"/>
          <w:u w:val="single"/>
        </w:rPr>
        <w:t xml:space="preserve">（项目名称） </w:t>
      </w:r>
      <w:r>
        <w:rPr>
          <w:rFonts w:ascii="仿宋" w:hAnsi="仿宋" w:eastAsia="仿宋"/>
          <w:sz w:val="24"/>
        </w:rPr>
        <w:t>的投标</w:t>
      </w:r>
      <w:r>
        <w:rPr>
          <w:rFonts w:hint="eastAsia" w:ascii="仿宋" w:hAnsi="仿宋" w:eastAsia="仿宋"/>
          <w:sz w:val="24"/>
        </w:rPr>
        <w:t>，</w:t>
      </w:r>
      <w:r>
        <w:rPr>
          <w:rFonts w:ascii="仿宋" w:hAnsi="仿宋" w:eastAsia="仿宋"/>
          <w:sz w:val="24"/>
        </w:rPr>
        <w:t>我方接受被保证人的委托</w:t>
      </w:r>
      <w:r>
        <w:rPr>
          <w:rFonts w:hint="eastAsia" w:ascii="仿宋" w:hAnsi="仿宋" w:eastAsia="仿宋"/>
          <w:sz w:val="24"/>
        </w:rPr>
        <w:t>，</w:t>
      </w:r>
      <w:r>
        <w:rPr>
          <w:rFonts w:ascii="仿宋" w:hAnsi="仿宋" w:eastAsia="仿宋"/>
          <w:sz w:val="24"/>
        </w:rPr>
        <w:t>在此向受益人提供不可撤销的投标保证：</w:t>
      </w:r>
    </w:p>
    <w:p>
      <w:pPr>
        <w:spacing w:line="360" w:lineRule="auto"/>
        <w:ind w:firstLine="480" w:firstLineChars="200"/>
        <w:rPr>
          <w:rFonts w:ascii="仿宋" w:hAnsi="仿宋" w:eastAsia="仿宋"/>
          <w:sz w:val="24"/>
        </w:rPr>
      </w:pPr>
      <w:r>
        <w:rPr>
          <w:rFonts w:hint="eastAsia" w:ascii="仿宋" w:hAnsi="仿宋" w:eastAsia="仿宋"/>
          <w:sz w:val="24"/>
        </w:rPr>
        <w:t>一、</w:t>
      </w:r>
      <w:r>
        <w:rPr>
          <w:rFonts w:ascii="仿宋" w:hAnsi="仿宋" w:eastAsia="仿宋"/>
          <w:sz w:val="24"/>
        </w:rPr>
        <w:t>本保证担保的担保金额为</w:t>
      </w:r>
      <w:r>
        <w:rPr>
          <w:rFonts w:ascii="仿宋" w:hAnsi="仿宋" w:eastAsia="仿宋"/>
          <w:sz w:val="24"/>
          <w:u w:val="single"/>
        </w:rPr>
        <w:t>人民币</w:t>
      </w:r>
      <w:r>
        <w:rPr>
          <w:rFonts w:hint="eastAsia" w:ascii="仿宋" w:hAnsi="仿宋" w:eastAsia="仿宋"/>
          <w:sz w:val="24"/>
        </w:rPr>
        <w:t>（</w:t>
      </w:r>
      <w:r>
        <w:rPr>
          <w:rFonts w:ascii="仿宋" w:hAnsi="仿宋" w:eastAsia="仿宋"/>
          <w:sz w:val="24"/>
        </w:rPr>
        <w:t>币种</w:t>
      </w:r>
      <w:r>
        <w:rPr>
          <w:rFonts w:hint="eastAsia" w:ascii="仿宋" w:hAnsi="仿宋" w:eastAsia="仿宋"/>
          <w:sz w:val="24"/>
          <w:u w:val="single"/>
        </w:rPr>
        <w:t>）</w:t>
      </w:r>
      <w:r>
        <w:rPr>
          <w:rFonts w:hint="eastAsia" w:ascii="宋体" w:hAnsi="宋体" w:cs="宋体"/>
          <w:sz w:val="24"/>
          <w:u w:val="single"/>
        </w:rPr>
        <w:t>    </w:t>
      </w:r>
      <w:r>
        <w:rPr>
          <w:rFonts w:ascii="仿宋" w:hAnsi="仿宋" w:eastAsia="仿宋"/>
          <w:sz w:val="24"/>
        </w:rPr>
        <w:t>元</w:t>
      </w:r>
      <w:r>
        <w:rPr>
          <w:rFonts w:hint="eastAsia" w:ascii="仿宋" w:hAnsi="仿宋" w:eastAsia="仿宋"/>
          <w:sz w:val="24"/>
        </w:rPr>
        <w:t>（</w:t>
      </w:r>
      <w:r>
        <w:rPr>
          <w:rFonts w:ascii="仿宋" w:hAnsi="仿宋" w:eastAsia="仿宋"/>
          <w:sz w:val="24"/>
        </w:rPr>
        <w:t>小写</w:t>
      </w:r>
      <w:r>
        <w:rPr>
          <w:rFonts w:hint="eastAsia" w:ascii="仿宋" w:hAnsi="仿宋" w:eastAsia="仿宋"/>
          <w:sz w:val="24"/>
        </w:rPr>
        <w:t>）</w:t>
      </w:r>
      <w:r>
        <w:rPr>
          <w:rFonts w:hint="eastAsia" w:ascii="宋体" w:hAnsi="宋体" w:cs="宋体"/>
          <w:sz w:val="24"/>
          <w:u w:val="single"/>
        </w:rPr>
        <w:t>    </w:t>
      </w:r>
      <w:r>
        <w:rPr>
          <w:rFonts w:ascii="仿宋" w:hAnsi="仿宋" w:eastAsia="仿宋"/>
          <w:sz w:val="24"/>
          <w:u w:val="single"/>
        </w:rPr>
        <w:t>元整</w:t>
      </w:r>
      <w:r>
        <w:rPr>
          <w:rFonts w:hint="eastAsia" w:ascii="仿宋" w:hAnsi="仿宋" w:eastAsia="仿宋"/>
          <w:sz w:val="24"/>
        </w:rPr>
        <w:t>（</w:t>
      </w:r>
      <w:r>
        <w:rPr>
          <w:rFonts w:ascii="仿宋" w:hAnsi="仿宋" w:eastAsia="仿宋"/>
          <w:sz w:val="24"/>
        </w:rPr>
        <w:t>大写）。</w:t>
      </w:r>
    </w:p>
    <w:p>
      <w:pPr>
        <w:spacing w:line="360" w:lineRule="auto"/>
        <w:rPr>
          <w:rFonts w:ascii="仿宋" w:hAnsi="仿宋" w:eastAsia="仿宋"/>
          <w:sz w:val="24"/>
        </w:rPr>
      </w:pPr>
      <w:r>
        <w:rPr>
          <w:rFonts w:ascii="仿宋" w:hAnsi="仿宋" w:eastAsia="仿宋"/>
          <w:sz w:val="24"/>
        </w:rPr>
        <w:t xml:space="preserve">    二、本保证担保的保证期间为该项目的投标有效期</w:t>
      </w:r>
      <w:r>
        <w:rPr>
          <w:rFonts w:hint="eastAsia" w:ascii="仿宋" w:hAnsi="仿宋" w:eastAsia="仿宋"/>
          <w:sz w:val="24"/>
        </w:rPr>
        <w:t>（</w:t>
      </w:r>
      <w:r>
        <w:rPr>
          <w:rFonts w:ascii="仿宋" w:hAnsi="仿宋" w:eastAsia="仿宋"/>
          <w:sz w:val="24"/>
        </w:rPr>
        <w:t>或延长的投标有效期</w:t>
      </w:r>
      <w:r>
        <w:rPr>
          <w:rFonts w:hint="eastAsia" w:ascii="仿宋" w:hAnsi="仿宋" w:eastAsia="仿宋"/>
          <w:sz w:val="24"/>
        </w:rPr>
        <w:t>）</w:t>
      </w:r>
      <w:r>
        <w:rPr>
          <w:rFonts w:ascii="仿宋" w:hAnsi="仿宋" w:eastAsia="仿宋"/>
          <w:sz w:val="24"/>
        </w:rPr>
        <w:t>后28日</w:t>
      </w:r>
      <w:r>
        <w:rPr>
          <w:rFonts w:hint="eastAsia" w:ascii="仿宋" w:hAnsi="仿宋" w:eastAsia="仿宋"/>
          <w:sz w:val="24"/>
        </w:rPr>
        <w:t>（</w:t>
      </w:r>
      <w:r>
        <w:rPr>
          <w:rFonts w:ascii="仿宋" w:hAnsi="仿宋" w:eastAsia="仿宋"/>
          <w:sz w:val="24"/>
        </w:rPr>
        <w:t>含28日</w:t>
      </w:r>
      <w:r>
        <w:rPr>
          <w:rFonts w:hint="eastAsia" w:ascii="仿宋" w:hAnsi="仿宋" w:eastAsia="仿宋"/>
          <w:sz w:val="24"/>
        </w:rPr>
        <w:t>），</w:t>
      </w:r>
      <w:r>
        <w:rPr>
          <w:rFonts w:ascii="仿宋" w:hAnsi="仿宋" w:eastAsia="仿宋"/>
          <w:sz w:val="24"/>
        </w:rPr>
        <w:t>延长投标有效期无须通知我方。</w:t>
      </w:r>
    </w:p>
    <w:p>
      <w:pPr>
        <w:spacing w:line="360" w:lineRule="auto"/>
        <w:rPr>
          <w:rFonts w:ascii="仿宋" w:hAnsi="仿宋" w:eastAsia="仿宋"/>
          <w:sz w:val="24"/>
        </w:rPr>
      </w:pPr>
      <w:r>
        <w:rPr>
          <w:rFonts w:ascii="仿宋" w:hAnsi="仿宋" w:eastAsia="仿宋"/>
          <w:sz w:val="24"/>
        </w:rPr>
        <w:t xml:space="preserve">    三、在本保证担保的保证期间内</w:t>
      </w:r>
      <w:r>
        <w:rPr>
          <w:rFonts w:hint="eastAsia" w:ascii="仿宋" w:hAnsi="仿宋" w:eastAsia="仿宋"/>
          <w:sz w:val="24"/>
        </w:rPr>
        <w:t>，</w:t>
      </w:r>
      <w:r>
        <w:rPr>
          <w:rFonts w:ascii="仿宋" w:hAnsi="仿宋" w:eastAsia="仿宋"/>
          <w:sz w:val="24"/>
        </w:rPr>
        <w:t>如果被保证人出现下列情形之一</w:t>
      </w:r>
      <w:r>
        <w:rPr>
          <w:rFonts w:hint="eastAsia" w:ascii="仿宋" w:hAnsi="仿宋" w:eastAsia="仿宋"/>
          <w:sz w:val="24"/>
        </w:rPr>
        <w:t>，</w:t>
      </w:r>
      <w:r>
        <w:rPr>
          <w:rFonts w:ascii="仿宋" w:hAnsi="仿宋" w:eastAsia="仿宋"/>
          <w:sz w:val="24"/>
        </w:rPr>
        <w:t>受益人可以向我方提起索赔：</w:t>
      </w:r>
    </w:p>
    <w:p>
      <w:pPr>
        <w:spacing w:line="360" w:lineRule="auto"/>
        <w:rPr>
          <w:rFonts w:ascii="仿宋" w:hAnsi="仿宋" w:eastAsia="仿宋"/>
          <w:sz w:val="24"/>
        </w:rPr>
      </w:pPr>
      <w:r>
        <w:rPr>
          <w:rFonts w:ascii="仿宋" w:hAnsi="仿宋" w:eastAsia="仿宋"/>
          <w:sz w:val="24"/>
        </w:rPr>
        <w:t xml:space="preserve">    1.被保证人在招标文件规定的投标有效期内撤回其投标；</w:t>
      </w:r>
    </w:p>
    <w:p>
      <w:pPr>
        <w:spacing w:line="360" w:lineRule="auto"/>
        <w:rPr>
          <w:rFonts w:ascii="仿宋" w:hAnsi="仿宋" w:eastAsia="仿宋"/>
          <w:sz w:val="24"/>
        </w:rPr>
      </w:pPr>
      <w:r>
        <w:rPr>
          <w:rFonts w:ascii="仿宋" w:hAnsi="仿宋" w:eastAsia="仿宋"/>
          <w:sz w:val="24"/>
        </w:rPr>
        <w:t xml:space="preserve">    2.被保证人在投标有效期内收到受益人发出的中标通知书后</w:t>
      </w:r>
      <w:r>
        <w:rPr>
          <w:rFonts w:hint="eastAsia" w:ascii="仿宋" w:hAnsi="仿宋" w:eastAsia="仿宋"/>
          <w:sz w:val="24"/>
        </w:rPr>
        <w:t>，</w:t>
      </w:r>
      <w:r>
        <w:rPr>
          <w:rFonts w:ascii="仿宋" w:hAnsi="仿宋" w:eastAsia="仿宋"/>
          <w:sz w:val="24"/>
        </w:rPr>
        <w:t>不能或拒绝按招标文件的要求签署合同；</w:t>
      </w:r>
    </w:p>
    <w:p>
      <w:pPr>
        <w:spacing w:line="360" w:lineRule="auto"/>
        <w:rPr>
          <w:rFonts w:ascii="仿宋" w:hAnsi="仿宋" w:eastAsia="仿宋"/>
          <w:sz w:val="24"/>
        </w:rPr>
      </w:pPr>
      <w:r>
        <w:rPr>
          <w:rFonts w:ascii="仿宋" w:hAnsi="仿宋" w:eastAsia="仿宋"/>
          <w:sz w:val="24"/>
        </w:rPr>
        <w:t xml:space="preserve">    3.被保证人在投标有效期内收到受益人发出的中标通知书后</w:t>
      </w:r>
      <w:r>
        <w:rPr>
          <w:rFonts w:hint="eastAsia" w:ascii="仿宋" w:hAnsi="仿宋" w:eastAsia="仿宋"/>
          <w:sz w:val="24"/>
        </w:rPr>
        <w:t>，</w:t>
      </w:r>
      <w:r>
        <w:rPr>
          <w:rFonts w:ascii="仿宋" w:hAnsi="仿宋" w:eastAsia="仿宋"/>
          <w:sz w:val="24"/>
        </w:rPr>
        <w:t>不能或拒绝按招标文件的规定提交履约担保；</w:t>
      </w:r>
    </w:p>
    <w:p>
      <w:pPr>
        <w:spacing w:line="360" w:lineRule="auto"/>
        <w:rPr>
          <w:rFonts w:ascii="仿宋" w:hAnsi="仿宋" w:eastAsia="仿宋"/>
          <w:sz w:val="24"/>
        </w:rPr>
      </w:pPr>
      <w:r>
        <w:rPr>
          <w:rFonts w:ascii="仿宋" w:hAnsi="仿宋" w:eastAsia="仿宋"/>
          <w:sz w:val="24"/>
        </w:rPr>
        <w:t xml:space="preserve">    4.被保证人中标后未按照招标文件规定交纳招标代理服务费。</w:t>
      </w:r>
    </w:p>
    <w:p>
      <w:pPr>
        <w:spacing w:line="360" w:lineRule="auto"/>
        <w:rPr>
          <w:rFonts w:ascii="仿宋" w:hAnsi="仿宋" w:eastAsia="仿宋"/>
          <w:sz w:val="24"/>
        </w:rPr>
      </w:pPr>
      <w:r>
        <w:rPr>
          <w:rFonts w:ascii="仿宋" w:hAnsi="仿宋" w:eastAsia="仿宋"/>
          <w:sz w:val="24"/>
        </w:rPr>
        <w:t xml:space="preserve">    四、在本保证担保的保证期间内</w:t>
      </w:r>
      <w:r>
        <w:rPr>
          <w:rFonts w:hint="eastAsia" w:ascii="仿宋" w:hAnsi="仿宋" w:eastAsia="仿宋"/>
          <w:sz w:val="24"/>
        </w:rPr>
        <w:t>，</w:t>
      </w:r>
      <w:r>
        <w:rPr>
          <w:rFonts w:ascii="仿宋" w:hAnsi="仿宋" w:eastAsia="仿宋"/>
          <w:sz w:val="24"/>
        </w:rPr>
        <w:t>我方收到受益人经法定代表人或其授权委托代理人签字并加盖公章的书面索赔通知后</w:t>
      </w:r>
      <w:r>
        <w:rPr>
          <w:rFonts w:hint="eastAsia" w:ascii="仿宋" w:hAnsi="仿宋" w:eastAsia="仿宋"/>
          <w:sz w:val="24"/>
        </w:rPr>
        <w:t>，</w:t>
      </w:r>
      <w:r>
        <w:rPr>
          <w:rFonts w:ascii="仿宋" w:hAnsi="仿宋" w:eastAsia="仿宋"/>
          <w:sz w:val="24"/>
        </w:rPr>
        <w:t>将不争辩、不挑剔、不可撤销地立即向受益人支付本保证担保的担保金额。</w:t>
      </w:r>
    </w:p>
    <w:p>
      <w:pPr>
        <w:spacing w:line="360" w:lineRule="auto"/>
        <w:rPr>
          <w:rFonts w:ascii="仿宋" w:hAnsi="仿宋" w:eastAsia="仿宋"/>
          <w:sz w:val="24"/>
        </w:rPr>
      </w:pPr>
      <w:r>
        <w:rPr>
          <w:rFonts w:ascii="仿宋" w:hAnsi="仿宋" w:eastAsia="仿宋"/>
          <w:sz w:val="24"/>
        </w:rPr>
        <w:t xml:space="preserve">    五、受益人的索赔通知应当说明索赔理由</w:t>
      </w:r>
      <w:r>
        <w:rPr>
          <w:rFonts w:hint="eastAsia" w:ascii="仿宋" w:hAnsi="仿宋" w:eastAsia="仿宋"/>
          <w:sz w:val="24"/>
        </w:rPr>
        <w:t>，</w:t>
      </w:r>
      <w:r>
        <w:rPr>
          <w:rFonts w:ascii="仿宋" w:hAnsi="仿宋" w:eastAsia="仿宋"/>
          <w:sz w:val="24"/>
        </w:rPr>
        <w:t>并必须在本保证担保的保证期间内送达我方。</w:t>
      </w:r>
    </w:p>
    <w:p>
      <w:pPr>
        <w:spacing w:line="360" w:lineRule="auto"/>
        <w:rPr>
          <w:rFonts w:ascii="仿宋" w:hAnsi="仿宋" w:eastAsia="仿宋"/>
          <w:sz w:val="24"/>
        </w:rPr>
      </w:pPr>
      <w:r>
        <w:rPr>
          <w:rFonts w:ascii="仿宋" w:hAnsi="仿宋" w:eastAsia="仿宋"/>
          <w:sz w:val="24"/>
        </w:rPr>
        <w:t xml:space="preserve">    六、本保证担保项下的权利不得转让。</w:t>
      </w:r>
    </w:p>
    <w:p>
      <w:pPr>
        <w:spacing w:line="360" w:lineRule="auto"/>
        <w:rPr>
          <w:rFonts w:ascii="仿宋" w:hAnsi="仿宋" w:eastAsia="仿宋"/>
          <w:sz w:val="24"/>
        </w:rPr>
      </w:pPr>
      <w:r>
        <w:rPr>
          <w:rFonts w:ascii="仿宋" w:hAnsi="仿宋" w:eastAsia="仿宋"/>
          <w:sz w:val="24"/>
        </w:rPr>
        <w:t xml:space="preserve">    七、本保证担保的保证期间届满</w:t>
      </w:r>
      <w:r>
        <w:rPr>
          <w:rFonts w:hint="eastAsia" w:ascii="仿宋" w:hAnsi="仿宋" w:eastAsia="仿宋"/>
          <w:sz w:val="24"/>
        </w:rPr>
        <w:t>，</w:t>
      </w:r>
      <w:r>
        <w:rPr>
          <w:rFonts w:ascii="仿宋" w:hAnsi="仿宋" w:eastAsia="仿宋"/>
          <w:sz w:val="24"/>
        </w:rPr>
        <w:t>或我方已向受益人支付本保证担保的担保金额</w:t>
      </w:r>
      <w:r>
        <w:rPr>
          <w:rFonts w:hint="eastAsia" w:ascii="仿宋" w:hAnsi="仿宋" w:eastAsia="仿宋"/>
          <w:sz w:val="24"/>
        </w:rPr>
        <w:t>，</w:t>
      </w:r>
      <w:r>
        <w:rPr>
          <w:rFonts w:ascii="仿宋" w:hAnsi="仿宋" w:eastAsia="仿宋"/>
          <w:sz w:val="24"/>
        </w:rPr>
        <w:t>我方的保证责任免除。</w:t>
      </w:r>
    </w:p>
    <w:p>
      <w:pPr>
        <w:spacing w:line="360" w:lineRule="auto"/>
        <w:rPr>
          <w:rFonts w:ascii="仿宋" w:hAnsi="仿宋" w:eastAsia="仿宋"/>
          <w:sz w:val="24"/>
        </w:rPr>
      </w:pPr>
      <w:r>
        <w:rPr>
          <w:rFonts w:ascii="仿宋" w:hAnsi="仿宋" w:eastAsia="仿宋"/>
          <w:sz w:val="24"/>
        </w:rPr>
        <w:t xml:space="preserve">    八、本保证担保适用中华人民共和国法律。</w:t>
      </w:r>
    </w:p>
    <w:p>
      <w:pPr>
        <w:spacing w:line="360" w:lineRule="auto"/>
        <w:rPr>
          <w:rFonts w:ascii="仿宋" w:hAnsi="仿宋" w:eastAsia="仿宋"/>
          <w:sz w:val="24"/>
        </w:rPr>
      </w:pPr>
      <w:r>
        <w:rPr>
          <w:rFonts w:ascii="仿宋" w:hAnsi="仿宋" w:eastAsia="仿宋"/>
          <w:sz w:val="24"/>
        </w:rPr>
        <w:t xml:space="preserve">    九、本保证担保以中文文本为准</w:t>
      </w:r>
      <w:r>
        <w:rPr>
          <w:rFonts w:hint="eastAsia" w:ascii="仿宋" w:hAnsi="仿宋" w:eastAsia="仿宋"/>
          <w:sz w:val="24"/>
        </w:rPr>
        <w:t>，</w:t>
      </w:r>
      <w:r>
        <w:rPr>
          <w:rFonts w:ascii="仿宋" w:hAnsi="仿宋" w:eastAsia="仿宋"/>
          <w:sz w:val="24"/>
        </w:rPr>
        <w:t>涂改无效。</w:t>
      </w:r>
    </w:p>
    <w:p>
      <w:pPr>
        <w:spacing w:line="360" w:lineRule="auto"/>
        <w:rPr>
          <w:rFonts w:ascii="仿宋" w:hAnsi="仿宋" w:eastAsia="仿宋"/>
          <w:sz w:val="24"/>
        </w:rPr>
      </w:pPr>
    </w:p>
    <w:p>
      <w:pPr>
        <w:spacing w:line="360" w:lineRule="auto"/>
        <w:rPr>
          <w:rFonts w:ascii="仿宋" w:hAnsi="仿宋" w:eastAsia="仿宋"/>
          <w:sz w:val="24"/>
          <w:u w:val="single"/>
        </w:rPr>
      </w:pPr>
      <w:r>
        <w:rPr>
          <w:rFonts w:ascii="仿宋" w:hAnsi="仿宋" w:eastAsia="仿宋"/>
          <w:sz w:val="24"/>
        </w:rPr>
        <w:t>保证人</w:t>
      </w:r>
      <w:r>
        <w:rPr>
          <w:rFonts w:hint="eastAsia" w:ascii="仿宋" w:hAnsi="仿宋" w:eastAsia="仿宋"/>
          <w:sz w:val="24"/>
        </w:rPr>
        <w:t>（</w:t>
      </w:r>
      <w:r>
        <w:rPr>
          <w:rFonts w:ascii="仿宋" w:hAnsi="仿宋" w:eastAsia="仿宋"/>
          <w:sz w:val="24"/>
        </w:rPr>
        <w:t>盖章</w:t>
      </w:r>
      <w:r>
        <w:rPr>
          <w:rFonts w:hint="eastAsia" w:ascii="仿宋" w:hAnsi="仿宋" w:eastAsia="仿宋"/>
          <w:sz w:val="24"/>
        </w:rPr>
        <w:t>）：</w:t>
      </w:r>
    </w:p>
    <w:p>
      <w:pPr>
        <w:spacing w:line="360" w:lineRule="auto"/>
        <w:rPr>
          <w:rFonts w:ascii="仿宋" w:hAnsi="仿宋" w:eastAsia="仿宋"/>
          <w:sz w:val="24"/>
          <w:u w:val="single"/>
        </w:rPr>
      </w:pPr>
      <w:r>
        <w:rPr>
          <w:rFonts w:ascii="仿宋" w:hAnsi="仿宋" w:eastAsia="仿宋"/>
          <w:sz w:val="24"/>
        </w:rPr>
        <w:t>法定代表人或其授权委托代理人</w:t>
      </w:r>
      <w:r>
        <w:rPr>
          <w:rFonts w:hint="eastAsia" w:ascii="仿宋" w:hAnsi="仿宋" w:eastAsia="仿宋"/>
          <w:sz w:val="24"/>
        </w:rPr>
        <w:t>（</w:t>
      </w:r>
      <w:r>
        <w:rPr>
          <w:rFonts w:ascii="仿宋" w:hAnsi="仿宋" w:eastAsia="仿宋"/>
          <w:sz w:val="24"/>
        </w:rPr>
        <w:t>签字）</w:t>
      </w:r>
      <w:r>
        <w:rPr>
          <w:rFonts w:hint="eastAsia" w:ascii="仿宋" w:hAnsi="仿宋" w:eastAsia="仿宋"/>
          <w:sz w:val="24"/>
        </w:rPr>
        <w:t>：</w:t>
      </w:r>
    </w:p>
    <w:p>
      <w:pPr>
        <w:spacing w:line="360" w:lineRule="auto"/>
        <w:rPr>
          <w:rFonts w:ascii="仿宋" w:hAnsi="仿宋" w:eastAsia="仿宋"/>
          <w:sz w:val="24"/>
          <w:u w:val="single"/>
        </w:rPr>
      </w:pPr>
      <w:r>
        <w:rPr>
          <w:rFonts w:ascii="仿宋" w:hAnsi="仿宋" w:eastAsia="仿宋"/>
          <w:sz w:val="24"/>
        </w:rPr>
        <w:t>单位地址</w:t>
      </w:r>
      <w:r>
        <w:rPr>
          <w:rFonts w:hint="eastAsia" w:ascii="仿宋" w:hAnsi="仿宋" w:eastAsia="仿宋"/>
          <w:sz w:val="24"/>
        </w:rPr>
        <w:t>：</w:t>
      </w:r>
      <w:r>
        <w:rPr>
          <w:rFonts w:hint="eastAsia" w:ascii="宋体" w:hAnsi="宋体" w:cs="宋体"/>
          <w:sz w:val="24"/>
          <w:u w:val="single"/>
        </w:rPr>
        <w:t>    </w:t>
      </w:r>
    </w:p>
    <w:p>
      <w:pPr>
        <w:spacing w:line="360" w:lineRule="auto"/>
        <w:rPr>
          <w:rFonts w:ascii="仿宋" w:hAnsi="仿宋" w:eastAsia="仿宋"/>
          <w:sz w:val="24"/>
          <w:u w:val="single"/>
        </w:rPr>
      </w:pPr>
      <w:r>
        <w:rPr>
          <w:rFonts w:ascii="仿宋" w:hAnsi="仿宋" w:eastAsia="仿宋"/>
          <w:sz w:val="24"/>
        </w:rPr>
        <w:t>电话</w:t>
      </w:r>
      <w:r>
        <w:rPr>
          <w:rFonts w:hint="eastAsia" w:ascii="仿宋" w:hAnsi="仿宋" w:eastAsia="仿宋"/>
          <w:sz w:val="24"/>
        </w:rPr>
        <w:t>：</w:t>
      </w:r>
      <w:r>
        <w:rPr>
          <w:rFonts w:hint="eastAsia" w:ascii="宋体" w:hAnsi="宋体" w:cs="宋体"/>
          <w:sz w:val="24"/>
          <w:u w:val="single"/>
        </w:rPr>
        <w:t>    </w:t>
      </w:r>
    </w:p>
    <w:p>
      <w:pPr>
        <w:spacing w:line="360" w:lineRule="auto"/>
        <w:rPr>
          <w:rFonts w:ascii="仿宋" w:hAnsi="仿宋" w:eastAsia="仿宋"/>
          <w:sz w:val="24"/>
          <w:u w:val="single"/>
        </w:rPr>
      </w:pPr>
      <w:r>
        <w:rPr>
          <w:rFonts w:ascii="仿宋" w:hAnsi="仿宋" w:eastAsia="仿宋"/>
          <w:sz w:val="24"/>
        </w:rPr>
        <w:t>日期</w:t>
      </w:r>
      <w:r>
        <w:rPr>
          <w:rFonts w:hint="eastAsia" w:ascii="仿宋" w:hAnsi="仿宋" w:eastAsia="仿宋"/>
          <w:sz w:val="24"/>
        </w:rPr>
        <w:t>：</w:t>
      </w:r>
      <w:r>
        <w:rPr>
          <w:rFonts w:hint="eastAsia" w:ascii="宋体" w:hAnsi="宋体" w:cs="宋体"/>
          <w:sz w:val="24"/>
          <w:u w:val="single"/>
        </w:rPr>
        <w:t>    </w:t>
      </w:r>
      <w:r>
        <w:rPr>
          <w:rFonts w:ascii="仿宋" w:hAnsi="仿宋" w:eastAsia="仿宋"/>
          <w:sz w:val="24"/>
          <w:u w:val="single"/>
        </w:rPr>
        <w:t>年</w:t>
      </w:r>
      <w:r>
        <w:rPr>
          <w:rFonts w:hint="eastAsia" w:ascii="宋体" w:hAnsi="宋体" w:cs="宋体"/>
          <w:sz w:val="24"/>
          <w:u w:val="single"/>
        </w:rPr>
        <w:t>    </w:t>
      </w:r>
      <w:r>
        <w:rPr>
          <w:rFonts w:ascii="仿宋" w:hAnsi="仿宋" w:eastAsia="仿宋"/>
          <w:sz w:val="24"/>
          <w:u w:val="single"/>
        </w:rPr>
        <w:t>月</w:t>
      </w:r>
      <w:r>
        <w:rPr>
          <w:rFonts w:hint="eastAsia" w:ascii="宋体" w:hAnsi="宋体" w:cs="宋体"/>
          <w:sz w:val="24"/>
          <w:u w:val="single"/>
        </w:rPr>
        <w:t>    </w:t>
      </w:r>
      <w:r>
        <w:rPr>
          <w:rFonts w:ascii="仿宋" w:hAnsi="仿宋" w:eastAsia="仿宋"/>
          <w:sz w:val="24"/>
          <w:u w:val="single"/>
        </w:rPr>
        <w:t>日</w:t>
      </w:r>
    </w:p>
    <w:p>
      <w:pPr>
        <w:pStyle w:val="13"/>
        <w:rPr>
          <w:rFonts w:ascii="仿宋" w:hAnsi="仿宋" w:eastAsia="仿宋"/>
        </w:rPr>
      </w:pPr>
      <w:r>
        <w:rPr>
          <w:rFonts w:ascii="仿宋" w:hAnsi="仿宋" w:eastAsia="仿宋"/>
        </w:rPr>
        <w:br w:type="page"/>
      </w:r>
    </w:p>
    <w:p>
      <w:pPr>
        <w:pStyle w:val="34"/>
        <w:spacing w:before="0" w:after="0" w:line="360" w:lineRule="auto"/>
        <w:rPr>
          <w:rFonts w:ascii="仿宋" w:hAnsi="仿宋" w:eastAsia="仿宋" w:cs="仿宋_GB2312"/>
        </w:rPr>
      </w:pPr>
      <w:bookmarkStart w:id="244" w:name="_Toc110013782"/>
      <w:r>
        <w:rPr>
          <w:rFonts w:ascii="仿宋" w:hAnsi="仿宋" w:eastAsia="仿宋" w:cs="仿宋_GB2312"/>
        </w:rPr>
        <w:t>第三章评标方法和标准</w:t>
      </w:r>
      <w:bookmarkEnd w:id="233"/>
      <w:bookmarkEnd w:id="234"/>
      <w:bookmarkEnd w:id="235"/>
      <w:bookmarkEnd w:id="236"/>
      <w:bookmarkEnd w:id="237"/>
      <w:bookmarkEnd w:id="238"/>
      <w:bookmarkEnd w:id="244"/>
    </w:p>
    <w:p>
      <w:pPr>
        <w:pStyle w:val="13"/>
        <w:tabs>
          <w:tab w:val="clear" w:pos="567"/>
        </w:tabs>
        <w:spacing w:before="0" w:line="360" w:lineRule="auto"/>
        <w:ind w:firstLine="540" w:firstLineChars="225"/>
        <w:rPr>
          <w:rFonts w:ascii="仿宋" w:hAnsi="仿宋" w:eastAsia="仿宋"/>
        </w:rPr>
      </w:pPr>
      <w:r>
        <w:rPr>
          <w:rFonts w:ascii="仿宋" w:hAnsi="仿宋" w:eastAsia="仿宋"/>
        </w:rPr>
        <w:t>采购人委托采购代理机构负责组织本项目的评标工作。资格审查由采购人或者采购代理机构负责，评标工作由评标委员会负责。工作程序如下：</w:t>
      </w:r>
    </w:p>
    <w:p>
      <w:pPr>
        <w:pStyle w:val="13"/>
        <w:tabs>
          <w:tab w:val="clear" w:pos="567"/>
        </w:tabs>
        <w:spacing w:before="0" w:line="360" w:lineRule="auto"/>
        <w:ind w:firstLine="480" w:firstLineChars="200"/>
        <w:rPr>
          <w:rFonts w:ascii="仿宋" w:hAnsi="仿宋" w:eastAsia="仿宋"/>
        </w:rPr>
      </w:pPr>
      <w:r>
        <w:rPr>
          <w:rFonts w:ascii="仿宋" w:hAnsi="仿宋" w:eastAsia="仿宋"/>
        </w:rPr>
        <w:t>一、由采购人或者采购代理机构负责资格审查工作。</w:t>
      </w:r>
    </w:p>
    <w:p>
      <w:pPr>
        <w:pStyle w:val="13"/>
        <w:tabs>
          <w:tab w:val="clear" w:pos="567"/>
        </w:tabs>
        <w:spacing w:before="0" w:line="360" w:lineRule="auto"/>
        <w:ind w:firstLine="480" w:firstLineChars="200"/>
        <w:rPr>
          <w:rFonts w:ascii="仿宋" w:hAnsi="仿宋" w:eastAsia="仿宋"/>
        </w:rPr>
      </w:pPr>
      <w:r>
        <w:rPr>
          <w:rFonts w:ascii="仿宋" w:hAnsi="仿宋" w:eastAsia="仿宋"/>
        </w:rPr>
        <w:t>投标文件中的资格证明文件出现下列情况者（但不限于），按无效投标处理：</w:t>
      </w:r>
    </w:p>
    <w:p>
      <w:pPr>
        <w:autoSpaceDE w:val="0"/>
        <w:autoSpaceDN w:val="0"/>
        <w:spacing w:line="360" w:lineRule="auto"/>
        <w:ind w:firstLine="480" w:firstLineChars="200"/>
        <w:rPr>
          <w:rFonts w:ascii="仿宋" w:hAnsi="仿宋" w:eastAsia="仿宋"/>
          <w:sz w:val="24"/>
        </w:rPr>
      </w:pPr>
      <w:r>
        <w:rPr>
          <w:rFonts w:ascii="仿宋" w:hAnsi="仿宋" w:eastAsia="仿宋"/>
          <w:sz w:val="24"/>
        </w:rPr>
        <w:t>1、投标人资格证明文件的完整性、有效性或符合性不符合要求的。</w:t>
      </w:r>
    </w:p>
    <w:p>
      <w:pPr>
        <w:autoSpaceDE w:val="0"/>
        <w:autoSpaceDN w:val="0"/>
        <w:spacing w:line="360" w:lineRule="auto"/>
        <w:ind w:firstLine="480" w:firstLineChars="200"/>
        <w:rPr>
          <w:rFonts w:ascii="仿宋" w:hAnsi="仿宋" w:eastAsia="仿宋"/>
          <w:sz w:val="24"/>
        </w:rPr>
      </w:pPr>
      <w:r>
        <w:rPr>
          <w:rFonts w:ascii="仿宋" w:hAnsi="仿宋" w:eastAsia="仿宋"/>
          <w:sz w:val="24"/>
        </w:rPr>
        <w:t>2、投标人法定代表人授权书的完整性、有效性、符合性不符合要求的。</w:t>
      </w:r>
    </w:p>
    <w:p>
      <w:pPr>
        <w:pStyle w:val="13"/>
        <w:tabs>
          <w:tab w:val="clear" w:pos="567"/>
        </w:tabs>
        <w:spacing w:before="0" w:line="360" w:lineRule="auto"/>
        <w:ind w:firstLine="480" w:firstLineChars="200"/>
        <w:rPr>
          <w:rFonts w:ascii="仿宋" w:hAnsi="仿宋" w:eastAsia="仿宋"/>
        </w:rPr>
      </w:pPr>
      <w:r>
        <w:rPr>
          <w:rFonts w:ascii="仿宋" w:hAnsi="仿宋" w:eastAsia="仿宋"/>
        </w:rPr>
        <w:t>3、信用查询不符合要求的。</w:t>
      </w:r>
    </w:p>
    <w:p>
      <w:pPr>
        <w:pStyle w:val="13"/>
        <w:tabs>
          <w:tab w:val="clear" w:pos="567"/>
        </w:tabs>
        <w:spacing w:before="0" w:line="360" w:lineRule="auto"/>
        <w:ind w:firstLine="480" w:firstLineChars="200"/>
        <w:rPr>
          <w:rFonts w:ascii="仿宋" w:hAnsi="仿宋" w:eastAsia="仿宋"/>
        </w:rPr>
      </w:pPr>
      <w:r>
        <w:rPr>
          <w:rFonts w:ascii="仿宋" w:hAnsi="仿宋" w:eastAsia="仿宋"/>
        </w:rPr>
        <w:t>二、由评标委员会负责的审查评审工作。</w:t>
      </w:r>
    </w:p>
    <w:p>
      <w:pPr>
        <w:pStyle w:val="13"/>
        <w:tabs>
          <w:tab w:val="clear" w:pos="567"/>
        </w:tabs>
        <w:spacing w:before="0" w:line="360" w:lineRule="auto"/>
        <w:ind w:firstLine="480" w:firstLineChars="200"/>
        <w:rPr>
          <w:rFonts w:ascii="仿宋" w:hAnsi="仿宋" w:eastAsia="仿宋"/>
        </w:rPr>
      </w:pPr>
      <w:r>
        <w:rPr>
          <w:rFonts w:ascii="仿宋" w:hAnsi="仿宋" w:eastAsia="仿宋"/>
        </w:rPr>
        <w:t>1、符合性审查是指评标委员会依据招标文件的规定，从商务和技术角度对投标文件的有效性和完整性进行审查，以确定是否对招标文件的实质性要求做出响应。出现下列情况者（但不限于），按无效投标处理。</w:t>
      </w:r>
    </w:p>
    <w:p>
      <w:pPr>
        <w:autoSpaceDE w:val="0"/>
        <w:autoSpaceDN w:val="0"/>
        <w:spacing w:line="360" w:lineRule="auto"/>
        <w:ind w:firstLine="480" w:firstLineChars="200"/>
        <w:rPr>
          <w:rFonts w:ascii="仿宋" w:hAnsi="仿宋" w:eastAsia="仿宋"/>
          <w:sz w:val="24"/>
        </w:rPr>
      </w:pPr>
      <w:r>
        <w:rPr>
          <w:rFonts w:ascii="仿宋" w:hAnsi="仿宋" w:eastAsia="仿宋"/>
          <w:sz w:val="24"/>
        </w:rPr>
        <w:t>1.1 投标文件未按招标文件要求签署、盖章的。</w:t>
      </w:r>
    </w:p>
    <w:p>
      <w:pPr>
        <w:autoSpaceDE w:val="0"/>
        <w:autoSpaceDN w:val="0"/>
        <w:spacing w:line="360" w:lineRule="auto"/>
        <w:ind w:firstLine="480" w:firstLineChars="200"/>
        <w:rPr>
          <w:rFonts w:ascii="仿宋" w:hAnsi="仿宋" w:eastAsia="仿宋"/>
          <w:sz w:val="24"/>
        </w:rPr>
      </w:pPr>
      <w:r>
        <w:rPr>
          <w:rFonts w:ascii="仿宋" w:hAnsi="仿宋" w:eastAsia="仿宋"/>
          <w:sz w:val="24"/>
        </w:rPr>
        <w:t>1.2 投标人投标报价超出采购预算或最高限价的。</w:t>
      </w:r>
    </w:p>
    <w:p>
      <w:pPr>
        <w:autoSpaceDE w:val="0"/>
        <w:autoSpaceDN w:val="0"/>
        <w:spacing w:line="360" w:lineRule="auto"/>
        <w:ind w:firstLine="480" w:firstLineChars="200"/>
        <w:rPr>
          <w:rFonts w:ascii="仿宋" w:hAnsi="仿宋" w:eastAsia="仿宋"/>
          <w:sz w:val="24"/>
        </w:rPr>
      </w:pPr>
      <w:r>
        <w:rPr>
          <w:rFonts w:ascii="仿宋" w:hAnsi="仿宋" w:eastAsia="仿宋"/>
          <w:sz w:val="24"/>
        </w:rPr>
        <w:t>1.3 投标人的报价明显低于其他通过符合性审查投标人的报价，有可能影响产品质量或者不能诚信履约的，且投标人不能证明其报价合理性的。</w:t>
      </w:r>
    </w:p>
    <w:p>
      <w:pPr>
        <w:autoSpaceDE w:val="0"/>
        <w:autoSpaceDN w:val="0"/>
        <w:spacing w:line="360" w:lineRule="auto"/>
        <w:ind w:firstLine="480" w:firstLineChars="200"/>
        <w:rPr>
          <w:rFonts w:ascii="仿宋" w:hAnsi="仿宋" w:eastAsia="仿宋"/>
          <w:sz w:val="24"/>
        </w:rPr>
      </w:pPr>
      <w:r>
        <w:rPr>
          <w:rFonts w:ascii="仿宋" w:hAnsi="仿宋" w:eastAsia="仿宋"/>
          <w:sz w:val="24"/>
        </w:rPr>
        <w:t>1.4 投标保证金未提交或金额、形式不符合招标文件要求的。</w:t>
      </w:r>
    </w:p>
    <w:p>
      <w:pPr>
        <w:autoSpaceDE w:val="0"/>
        <w:autoSpaceDN w:val="0"/>
        <w:spacing w:line="360" w:lineRule="auto"/>
        <w:ind w:firstLine="480" w:firstLineChars="200"/>
        <w:rPr>
          <w:rFonts w:ascii="仿宋" w:hAnsi="仿宋" w:eastAsia="仿宋"/>
          <w:sz w:val="24"/>
        </w:rPr>
      </w:pPr>
      <w:r>
        <w:rPr>
          <w:rFonts w:ascii="仿宋" w:hAnsi="仿宋" w:eastAsia="仿宋"/>
          <w:sz w:val="24"/>
        </w:rPr>
        <w:t>1.5 投标内容出现漏项或数量与要求不符或投标内容的技术指标达不到招标文件要求，造成采购档次降低或影响采购性能、功能。</w:t>
      </w:r>
    </w:p>
    <w:p>
      <w:pPr>
        <w:pStyle w:val="13"/>
        <w:tabs>
          <w:tab w:val="clear" w:pos="567"/>
        </w:tabs>
        <w:spacing w:before="0" w:line="360" w:lineRule="auto"/>
        <w:ind w:firstLine="480" w:firstLineChars="200"/>
        <w:rPr>
          <w:rFonts w:ascii="仿宋" w:hAnsi="仿宋" w:eastAsia="仿宋"/>
        </w:rPr>
      </w:pPr>
      <w:r>
        <w:rPr>
          <w:rFonts w:ascii="仿宋" w:hAnsi="仿宋" w:eastAsia="仿宋"/>
        </w:rPr>
        <w:t>2、如有必要，要求投标人对投标文件有关事项作出书面澄清或者说明。</w:t>
      </w:r>
    </w:p>
    <w:p>
      <w:pPr>
        <w:pStyle w:val="13"/>
        <w:tabs>
          <w:tab w:val="clear" w:pos="567"/>
        </w:tabs>
        <w:spacing w:before="0" w:line="360" w:lineRule="auto"/>
        <w:ind w:firstLine="480" w:firstLineChars="200"/>
        <w:rPr>
          <w:rFonts w:ascii="仿宋" w:hAnsi="仿宋" w:eastAsia="仿宋"/>
        </w:rPr>
      </w:pPr>
      <w:r>
        <w:rPr>
          <w:rFonts w:hint="eastAsia" w:ascii="仿宋" w:hAnsi="仿宋" w:eastAsia="仿宋"/>
        </w:rPr>
        <w:t>3、对投标文件进行比较和评价。评审要素和标准见本章附表三。</w:t>
      </w:r>
    </w:p>
    <w:p>
      <w:pPr>
        <w:pStyle w:val="13"/>
        <w:tabs>
          <w:tab w:val="clear" w:pos="567"/>
        </w:tabs>
        <w:spacing w:before="0" w:line="360" w:lineRule="auto"/>
        <w:ind w:firstLine="480" w:firstLineChars="200"/>
        <w:rPr>
          <w:rFonts w:ascii="仿宋" w:hAnsi="仿宋" w:eastAsia="仿宋"/>
        </w:rPr>
      </w:pPr>
      <w:r>
        <w:rPr>
          <w:rFonts w:ascii="仿宋" w:hAnsi="仿宋" w:eastAsia="仿宋"/>
        </w:rPr>
        <w:t>3.</w:t>
      </w:r>
      <w:r>
        <w:rPr>
          <w:rFonts w:hint="eastAsia" w:ascii="仿宋" w:hAnsi="仿宋" w:eastAsia="仿宋"/>
        </w:rPr>
        <w:t>1</w:t>
      </w:r>
      <w:r>
        <w:rPr>
          <w:rFonts w:ascii="仿宋" w:hAnsi="仿宋" w:eastAsia="仿宋"/>
        </w:rPr>
        <w:t xml:space="preserve"> 本项目评标方法为综合评分法，评标委员会对满足招标文件全部实质性要求的投标文件，按照招标文件规定的评审因素的量化指标进行评审打分，以评审得分从高到低顺序确定中标候选人。</w:t>
      </w:r>
    </w:p>
    <w:p>
      <w:pPr>
        <w:pStyle w:val="13"/>
        <w:tabs>
          <w:tab w:val="clear" w:pos="567"/>
        </w:tabs>
        <w:spacing w:before="0" w:line="360" w:lineRule="auto"/>
        <w:ind w:firstLine="540" w:firstLineChars="225"/>
        <w:rPr>
          <w:rFonts w:ascii="仿宋" w:hAnsi="仿宋" w:eastAsia="仿宋"/>
        </w:rPr>
      </w:pPr>
      <w:r>
        <w:rPr>
          <w:rFonts w:ascii="仿宋" w:hAnsi="仿宋" w:eastAsia="仿宋"/>
        </w:rPr>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pPr>
        <w:pStyle w:val="13"/>
        <w:tabs>
          <w:tab w:val="clear" w:pos="567"/>
        </w:tabs>
        <w:spacing w:before="0" w:line="360" w:lineRule="auto"/>
        <w:ind w:firstLine="480" w:firstLineChars="200"/>
        <w:rPr>
          <w:rFonts w:ascii="仿宋" w:hAnsi="仿宋" w:eastAsia="仿宋"/>
        </w:rPr>
      </w:pPr>
      <w:r>
        <w:rPr>
          <w:rFonts w:ascii="仿宋" w:hAnsi="仿宋" w:eastAsia="仿宋"/>
        </w:rPr>
        <w:t>4、推荐中标候选人名单，或者根据采购人委托直接确定中标人。</w:t>
      </w:r>
    </w:p>
    <w:p>
      <w:pPr>
        <w:pStyle w:val="13"/>
        <w:tabs>
          <w:tab w:val="clear" w:pos="567"/>
        </w:tabs>
        <w:spacing w:before="0" w:line="360" w:lineRule="auto"/>
        <w:ind w:firstLine="480" w:firstLineChars="200"/>
        <w:rPr>
          <w:rFonts w:ascii="仿宋" w:hAnsi="仿宋" w:eastAsia="仿宋"/>
        </w:rPr>
      </w:pPr>
      <w:r>
        <w:rPr>
          <w:rFonts w:ascii="仿宋" w:hAnsi="仿宋" w:eastAsia="仿宋"/>
        </w:rPr>
        <w:t>5、采购代理机构核对评标结果。</w:t>
      </w:r>
    </w:p>
    <w:p>
      <w:pPr>
        <w:pStyle w:val="13"/>
        <w:tabs>
          <w:tab w:val="clear" w:pos="567"/>
        </w:tabs>
        <w:spacing w:before="0" w:line="360" w:lineRule="auto"/>
        <w:ind w:firstLine="480" w:firstLineChars="200"/>
        <w:rPr>
          <w:rFonts w:ascii="仿宋" w:hAnsi="仿宋" w:eastAsia="仿宋"/>
        </w:rPr>
      </w:pPr>
      <w:r>
        <w:rPr>
          <w:rFonts w:ascii="仿宋" w:hAnsi="仿宋" w:eastAsia="仿宋"/>
        </w:rPr>
        <w:t>三、评审标准中应考虑下列因素：</w:t>
      </w:r>
    </w:p>
    <w:p>
      <w:pPr>
        <w:pStyle w:val="13"/>
        <w:tabs>
          <w:tab w:val="clear" w:pos="567"/>
        </w:tabs>
        <w:spacing w:before="0" w:line="360" w:lineRule="auto"/>
        <w:ind w:firstLine="540" w:firstLineChars="225"/>
        <w:rPr>
          <w:rFonts w:ascii="仿宋" w:hAnsi="仿宋" w:eastAsia="仿宋"/>
        </w:rPr>
      </w:pPr>
      <w:r>
        <w:rPr>
          <w:rFonts w:ascii="仿宋" w:hAnsi="仿宋" w:eastAsia="仿宋"/>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u w:val="single"/>
        </w:rPr>
        <w:t>10%</w:t>
      </w:r>
      <w:r>
        <w:rPr>
          <w:rFonts w:ascii="仿宋" w:hAnsi="仿宋" w:eastAsia="仿宋"/>
        </w:rPr>
        <w:t>后参与评审</w:t>
      </w:r>
      <w:r>
        <w:rPr>
          <w:rFonts w:hint="eastAsia" w:ascii="仿宋" w:hAnsi="仿宋" w:eastAsia="仿宋"/>
        </w:rPr>
        <w:t>（所有产品需均为小微企业生产）</w:t>
      </w:r>
      <w:r>
        <w:rPr>
          <w:rFonts w:ascii="仿宋" w:hAnsi="仿宋" w:eastAsia="仿宋"/>
        </w:rPr>
        <w:t>。对于同时属于小微企业、监狱企业或残疾人福利性单位的，不重复进行投标报价扣除。</w:t>
      </w:r>
    </w:p>
    <w:p>
      <w:pPr>
        <w:pStyle w:val="13"/>
        <w:tabs>
          <w:tab w:val="clear" w:pos="567"/>
        </w:tabs>
        <w:spacing w:before="0" w:line="360" w:lineRule="auto"/>
        <w:ind w:firstLine="540" w:firstLineChars="225"/>
        <w:rPr>
          <w:rFonts w:ascii="仿宋" w:hAnsi="仿宋" w:eastAsia="仿宋"/>
        </w:rPr>
      </w:pPr>
      <w:r>
        <w:rPr>
          <w:rFonts w:ascii="仿宋" w:hAnsi="仿宋" w:eastAsia="仿宋"/>
        </w:rPr>
        <w:t>联合体各方均为小型、微型企业和监狱企业的，联合体视同为小型、微型企业和监狱企业。</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2</w:t>
      </w:r>
      <w:r>
        <w:rPr>
          <w:rFonts w:ascii="仿宋" w:hAnsi="仿宋" w:eastAsia="仿宋"/>
        </w:rPr>
        <w:t>、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pPr>
        <w:pStyle w:val="13"/>
        <w:tabs>
          <w:tab w:val="clear" w:pos="567"/>
        </w:tabs>
        <w:spacing w:before="0" w:line="360" w:lineRule="auto"/>
        <w:ind w:firstLine="540" w:firstLineChars="225"/>
        <w:rPr>
          <w:rFonts w:ascii="仿宋" w:hAnsi="仿宋" w:eastAsia="仿宋"/>
        </w:rPr>
      </w:pPr>
      <w:r>
        <w:rPr>
          <w:rFonts w:hint="eastAsia" w:ascii="仿宋" w:hAnsi="仿宋" w:eastAsia="仿宋"/>
        </w:rPr>
        <w:t>3</w:t>
      </w:r>
      <w:r>
        <w:rPr>
          <w:rFonts w:ascii="仿宋" w:hAnsi="仿宋" w:eastAsia="仿宋"/>
        </w:rPr>
        <w:t>、如投标人为提供服务所伴随的货物为政府强制采购的节能产品，投标人所投产品的品牌及型号必须为清单中有效期内产品并提供证明文件，否则其投标将作为无效投标被拒绝。</w:t>
      </w:r>
    </w:p>
    <w:p>
      <w:pPr>
        <w:pStyle w:val="13"/>
        <w:spacing w:before="0" w:line="360" w:lineRule="auto"/>
        <w:ind w:firstLine="540" w:firstLineChars="225"/>
        <w:rPr>
          <w:rFonts w:ascii="仿宋" w:hAnsi="仿宋" w:eastAsia="仿宋"/>
        </w:rPr>
      </w:pPr>
      <w:r>
        <w:rPr>
          <w:rFonts w:hint="eastAsia" w:ascii="仿宋" w:hAnsi="仿宋" w:eastAsia="仿宋"/>
        </w:rPr>
        <w:t>4</w:t>
      </w:r>
      <w:r>
        <w:rPr>
          <w:rFonts w:ascii="仿宋" w:hAnsi="仿宋" w:eastAsia="仿宋"/>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3"/>
        <w:tabs>
          <w:tab w:val="clear" w:pos="567"/>
        </w:tabs>
        <w:spacing w:before="0" w:line="360" w:lineRule="auto"/>
        <w:ind w:left="-181" w:leftChars="-86" w:firstLine="660" w:firstLineChars="275"/>
        <w:rPr>
          <w:rFonts w:ascii="仿宋" w:hAnsi="仿宋" w:eastAsia="仿宋"/>
        </w:rPr>
      </w:pPr>
      <w:r>
        <w:rPr>
          <w:rFonts w:hint="eastAsia" w:ascii="仿宋" w:hAnsi="仿宋" w:eastAsia="仿宋"/>
        </w:rPr>
        <w:t>5</w:t>
      </w:r>
      <w:r>
        <w:rPr>
          <w:rFonts w:ascii="仿宋" w:hAnsi="仿宋" w:eastAsia="仿宋"/>
        </w:rPr>
        <w:t>、中标候选人并列时的处理方式：</w:t>
      </w:r>
    </w:p>
    <w:p>
      <w:pPr>
        <w:pStyle w:val="13"/>
        <w:tabs>
          <w:tab w:val="clear" w:pos="567"/>
        </w:tabs>
        <w:spacing w:before="0" w:line="360" w:lineRule="auto"/>
        <w:ind w:left="-181" w:leftChars="-86" w:firstLine="660" w:firstLineChars="275"/>
        <w:rPr>
          <w:rFonts w:ascii="仿宋" w:hAnsi="仿宋" w:eastAsia="仿宋"/>
        </w:rPr>
      </w:pPr>
      <w:r>
        <w:rPr>
          <w:rFonts w:ascii="仿宋" w:hAnsi="仿宋" w:eastAsia="仿宋"/>
        </w:rPr>
        <w:t>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
        <w:spacing w:before="0" w:line="360" w:lineRule="auto"/>
        <w:rPr>
          <w:rFonts w:ascii="仿宋" w:hAnsi="仿宋" w:eastAsia="仿宋"/>
          <w:sz w:val="28"/>
          <w:szCs w:val="18"/>
        </w:rPr>
      </w:pPr>
      <w:r>
        <w:rPr>
          <w:rFonts w:ascii="仿宋" w:hAnsi="仿宋" w:eastAsia="仿宋"/>
        </w:rPr>
        <w:br w:type="page"/>
      </w:r>
      <w:bookmarkStart w:id="245" w:name="_Toc110013783"/>
      <w:r>
        <w:rPr>
          <w:rFonts w:hint="eastAsia" w:ascii="仿宋" w:hAnsi="仿宋" w:eastAsia="仿宋"/>
          <w:sz w:val="28"/>
          <w:szCs w:val="18"/>
        </w:rPr>
        <w:t>附表一 资格审查表</w:t>
      </w:r>
      <w:bookmarkEnd w:id="245"/>
    </w:p>
    <w:tbl>
      <w:tblPr>
        <w:tblStyle w:val="3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ascii="仿宋" w:hAnsi="仿宋" w:eastAsia="仿宋" w:cs="仿宋_GB2312"/>
                <w:b/>
                <w:szCs w:val="21"/>
              </w:rPr>
            </w:pPr>
            <w:r>
              <w:rPr>
                <w:rFonts w:hint="eastAsia" w:ascii="仿宋" w:hAnsi="仿宋" w:eastAsia="仿宋" w:cs="仿宋_GB2312"/>
                <w:b/>
                <w:szCs w:val="21"/>
              </w:rPr>
              <w:t>序号</w:t>
            </w:r>
          </w:p>
        </w:tc>
        <w:tc>
          <w:tcPr>
            <w:tcW w:w="2655" w:type="dxa"/>
            <w:vAlign w:val="center"/>
          </w:tcPr>
          <w:p>
            <w:pPr>
              <w:snapToGrid w:val="0"/>
              <w:jc w:val="center"/>
              <w:rPr>
                <w:rFonts w:ascii="仿宋" w:hAnsi="仿宋" w:eastAsia="仿宋" w:cs="仿宋_GB2312"/>
                <w:b/>
                <w:szCs w:val="21"/>
              </w:rPr>
            </w:pPr>
            <w:r>
              <w:rPr>
                <w:rFonts w:hint="eastAsia" w:ascii="仿宋" w:hAnsi="仿宋" w:eastAsia="仿宋" w:cs="仿宋_GB2312"/>
                <w:b/>
                <w:szCs w:val="21"/>
              </w:rPr>
              <w:t>评审内容</w:t>
            </w:r>
          </w:p>
        </w:tc>
        <w:tc>
          <w:tcPr>
            <w:tcW w:w="5760" w:type="dxa"/>
            <w:vAlign w:val="center"/>
          </w:tcPr>
          <w:p>
            <w:pPr>
              <w:snapToGrid w:val="0"/>
              <w:jc w:val="center"/>
              <w:rPr>
                <w:rFonts w:ascii="仿宋" w:hAnsi="仿宋" w:eastAsia="仿宋" w:cs="仿宋_GB2312"/>
                <w:b/>
                <w:szCs w:val="21"/>
              </w:rPr>
            </w:pPr>
            <w:r>
              <w:rPr>
                <w:rFonts w:hint="eastAsia" w:ascii="仿宋" w:hAnsi="仿宋" w:eastAsia="仿宋" w:cs="仿宋_GB2312"/>
                <w:b/>
                <w:szCs w:val="21"/>
              </w:rPr>
              <w:t>评审合格标准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jc w:val="center"/>
        </w:trPr>
        <w:tc>
          <w:tcPr>
            <w:tcW w:w="652" w:type="dxa"/>
            <w:vAlign w:val="center"/>
          </w:tcPr>
          <w:p>
            <w:pPr>
              <w:snapToGrid w:val="0"/>
              <w:jc w:val="center"/>
              <w:rPr>
                <w:rFonts w:ascii="仿宋" w:hAnsi="仿宋" w:eastAsia="仿宋" w:cs="仿宋_GB2312"/>
                <w:b/>
                <w:szCs w:val="21"/>
              </w:rPr>
            </w:pPr>
            <w:r>
              <w:rPr>
                <w:rFonts w:hint="eastAsia" w:ascii="仿宋" w:hAnsi="仿宋" w:eastAsia="仿宋" w:cs="仿宋_GB2312"/>
                <w:szCs w:val="21"/>
              </w:rPr>
              <w:t>1</w:t>
            </w:r>
          </w:p>
        </w:tc>
        <w:tc>
          <w:tcPr>
            <w:tcW w:w="2655" w:type="dxa"/>
            <w:vAlign w:val="center"/>
          </w:tcPr>
          <w:p>
            <w:pPr>
              <w:snapToGrid w:val="0"/>
              <w:jc w:val="left"/>
              <w:rPr>
                <w:rFonts w:ascii="仿宋" w:hAnsi="仿宋" w:eastAsia="仿宋" w:cs="仿宋_GB2312"/>
                <w:b/>
                <w:szCs w:val="21"/>
              </w:rPr>
            </w:pPr>
            <w:r>
              <w:rPr>
                <w:rFonts w:hint="eastAsia" w:ascii="仿宋" w:hAnsi="仿宋" w:eastAsia="仿宋" w:cs="仿宋_GB2312"/>
                <w:szCs w:val="21"/>
              </w:rPr>
              <w:t>满足《中华人民共和国政府采购法》第二十二条规定</w:t>
            </w:r>
          </w:p>
        </w:tc>
        <w:tc>
          <w:tcPr>
            <w:tcW w:w="5760"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1、投标人合法注册的法人或其他组织的营业执照等证明文件，自然人的身份证明；</w:t>
            </w:r>
          </w:p>
          <w:p>
            <w:pPr>
              <w:snapToGrid w:val="0"/>
              <w:spacing w:line="360" w:lineRule="auto"/>
              <w:rPr>
                <w:rFonts w:ascii="仿宋" w:hAnsi="仿宋" w:eastAsia="仿宋" w:cs="仿宋_GB2312"/>
                <w:szCs w:val="21"/>
              </w:rPr>
            </w:pPr>
            <w:r>
              <w:rPr>
                <w:rFonts w:hint="eastAsia" w:ascii="仿宋" w:hAnsi="仿宋" w:eastAsia="仿宋" w:cs="仿宋_GB2312"/>
                <w:szCs w:val="21"/>
              </w:rPr>
              <w:t>2、投标人上一年度经审计的财务报表复印件，或本年度银行出具的资信证明；</w:t>
            </w:r>
          </w:p>
          <w:p>
            <w:pPr>
              <w:snapToGrid w:val="0"/>
              <w:spacing w:line="360" w:lineRule="auto"/>
              <w:rPr>
                <w:rFonts w:ascii="仿宋" w:hAnsi="仿宋" w:eastAsia="仿宋" w:cs="仿宋_GB2312"/>
                <w:szCs w:val="21"/>
              </w:rPr>
            </w:pPr>
            <w:r>
              <w:rPr>
                <w:rFonts w:hint="eastAsia" w:ascii="仿宋" w:hAnsi="仿宋" w:eastAsia="仿宋" w:cs="仿宋_GB2312"/>
                <w:szCs w:val="21"/>
              </w:rPr>
              <w:t>3、依法缴纳税收和社会保障资金的证明材料复印件；</w:t>
            </w:r>
          </w:p>
          <w:p>
            <w:pPr>
              <w:snapToGrid w:val="0"/>
              <w:spacing w:line="360" w:lineRule="auto"/>
              <w:rPr>
                <w:rFonts w:ascii="仿宋" w:hAnsi="仿宋" w:eastAsia="仿宋" w:cs="仿宋_GB2312"/>
                <w:szCs w:val="21"/>
              </w:rPr>
            </w:pPr>
            <w:r>
              <w:rPr>
                <w:rFonts w:hint="eastAsia" w:ascii="仿宋" w:hAnsi="仿宋" w:eastAsia="仿宋" w:cs="仿宋_GB2312"/>
                <w:szCs w:val="21"/>
              </w:rPr>
              <w:t>4、具备履行合同所必需的设备和专业技术能力的承诺原件；</w:t>
            </w:r>
          </w:p>
          <w:p>
            <w:pPr>
              <w:snapToGrid w:val="0"/>
              <w:spacing w:line="360" w:lineRule="auto"/>
              <w:rPr>
                <w:rFonts w:ascii="仿宋" w:hAnsi="仿宋" w:eastAsia="仿宋" w:cs="仿宋_GB2312"/>
                <w:b/>
                <w:szCs w:val="21"/>
              </w:rPr>
            </w:pPr>
            <w:r>
              <w:rPr>
                <w:rFonts w:hint="eastAsia" w:ascii="仿宋" w:hAnsi="仿宋" w:eastAsia="仿宋" w:cs="仿宋_GB2312"/>
                <w:szCs w:val="21"/>
              </w:rPr>
              <w:t>5、投标人参加政府采购活动前3年内在经营活动中没有重大违法记录的书面声明原件；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652" w:type="dxa"/>
            <w:vAlign w:val="center"/>
          </w:tcPr>
          <w:p>
            <w:pPr>
              <w:snapToGrid w:val="0"/>
              <w:jc w:val="center"/>
              <w:rPr>
                <w:rFonts w:ascii="仿宋" w:hAnsi="仿宋" w:eastAsia="仿宋" w:cs="仿宋_GB2312"/>
                <w:szCs w:val="21"/>
              </w:rPr>
            </w:pPr>
            <w:r>
              <w:rPr>
                <w:rFonts w:hint="eastAsia" w:ascii="仿宋" w:hAnsi="仿宋" w:eastAsia="仿宋" w:cs="仿宋_GB2312"/>
                <w:szCs w:val="21"/>
              </w:rPr>
              <w:t>2</w:t>
            </w:r>
          </w:p>
        </w:tc>
        <w:tc>
          <w:tcPr>
            <w:tcW w:w="2655" w:type="dxa"/>
            <w:vAlign w:val="center"/>
          </w:tcPr>
          <w:p>
            <w:pPr>
              <w:snapToGrid w:val="0"/>
              <w:jc w:val="left"/>
              <w:rPr>
                <w:rFonts w:ascii="仿宋" w:hAnsi="仿宋" w:eastAsia="仿宋" w:cs="仿宋_GB2312"/>
                <w:szCs w:val="21"/>
              </w:rPr>
            </w:pPr>
            <w:r>
              <w:rPr>
                <w:rFonts w:hint="eastAsia" w:ascii="仿宋" w:hAnsi="仿宋" w:eastAsia="仿宋" w:cs="仿宋_GB2312"/>
                <w:szCs w:val="21"/>
              </w:rPr>
              <w:t>资格条件</w:t>
            </w:r>
          </w:p>
        </w:tc>
        <w:tc>
          <w:tcPr>
            <w:tcW w:w="5760"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1、投标人在递交投标文件截止时间前被“信用中国”网站和“中国政府采购网”上被列入失信被执行人、重大税收违法失信主体、政府采购严重违法失信行为记录名单的，不得参加投标；</w:t>
            </w:r>
          </w:p>
          <w:p>
            <w:pPr>
              <w:snapToGrid w:val="0"/>
              <w:spacing w:line="360" w:lineRule="auto"/>
              <w:rPr>
                <w:rFonts w:ascii="仿宋" w:hAnsi="仿宋" w:eastAsia="仿宋" w:cs="仿宋_GB2312"/>
                <w:szCs w:val="21"/>
              </w:rPr>
            </w:pPr>
            <w:r>
              <w:rPr>
                <w:rFonts w:hint="eastAsia" w:ascii="仿宋" w:hAnsi="仿宋" w:eastAsia="仿宋" w:cs="仿宋_GB2312"/>
                <w:szCs w:val="21"/>
              </w:rPr>
              <w:t>2、投标人参加本项目的合法授权人的授权委托书；</w:t>
            </w:r>
          </w:p>
          <w:p>
            <w:pPr>
              <w:snapToGrid w:val="0"/>
              <w:spacing w:line="360" w:lineRule="auto"/>
              <w:rPr>
                <w:rFonts w:ascii="仿宋" w:hAnsi="仿宋" w:eastAsia="仿宋" w:cs="仿宋_GB2312"/>
                <w:szCs w:val="21"/>
              </w:rPr>
            </w:pPr>
            <w:r>
              <w:rPr>
                <w:rFonts w:hint="eastAsia" w:ascii="仿宋" w:hAnsi="仿宋" w:eastAsia="仿宋" w:cs="仿宋_GB2312"/>
                <w:szCs w:val="21"/>
              </w:rPr>
              <w:t>3、投标人不得存在下列情形之一：</w:t>
            </w:r>
          </w:p>
          <w:p>
            <w:pPr>
              <w:snapToGrid w:val="0"/>
              <w:spacing w:line="360" w:lineRule="auto"/>
              <w:rPr>
                <w:rFonts w:ascii="仿宋" w:hAnsi="仿宋" w:eastAsia="仿宋" w:cs="仿宋_GB2312"/>
                <w:szCs w:val="21"/>
              </w:rPr>
            </w:pPr>
            <w:r>
              <w:rPr>
                <w:rFonts w:hint="eastAsia" w:ascii="仿宋" w:hAnsi="仿宋" w:eastAsia="仿宋" w:cs="仿宋_GB2312"/>
                <w:szCs w:val="21"/>
              </w:rPr>
              <w:t>（1）单位负责人为同一人或者存在直接控股、管理关系的不同投标人，不得参加本次采购活动；</w:t>
            </w:r>
          </w:p>
          <w:p>
            <w:pPr>
              <w:snapToGrid w:val="0"/>
              <w:spacing w:line="360" w:lineRule="auto"/>
              <w:rPr>
                <w:rFonts w:ascii="仿宋" w:hAnsi="仿宋" w:eastAsia="仿宋" w:cs="仿宋_GB2312"/>
                <w:szCs w:val="21"/>
              </w:rPr>
            </w:pPr>
            <w:r>
              <w:rPr>
                <w:rFonts w:hint="eastAsia" w:ascii="仿宋" w:hAnsi="仿宋" w:eastAsia="仿宋" w:cs="仿宋_GB2312"/>
                <w:szCs w:val="21"/>
              </w:rPr>
              <w:t>（2）为本项目提供整体设计、规范编制或者项目管理、监理、检测等服务的投标人，不得再参加该采购项目的其他采购活动。</w:t>
            </w:r>
          </w:p>
        </w:tc>
      </w:tr>
    </w:tbl>
    <w:p>
      <w:pPr>
        <w:pStyle w:val="4"/>
        <w:spacing w:before="0" w:line="360" w:lineRule="auto"/>
        <w:rPr>
          <w:rFonts w:ascii="仿宋" w:hAnsi="仿宋" w:eastAsia="仿宋"/>
          <w:sz w:val="28"/>
          <w:szCs w:val="18"/>
        </w:rPr>
      </w:pPr>
      <w:r>
        <w:rPr>
          <w:rFonts w:hint="eastAsia" w:ascii="仿宋" w:hAnsi="仿宋" w:eastAsia="仿宋" w:cs="仿宋_GB2312"/>
          <w:szCs w:val="21"/>
        </w:rPr>
        <w:br w:type="page"/>
      </w:r>
      <w:bookmarkStart w:id="246" w:name="_Toc110013784"/>
      <w:r>
        <w:rPr>
          <w:rFonts w:hint="eastAsia" w:ascii="仿宋" w:hAnsi="仿宋" w:eastAsia="仿宋"/>
          <w:sz w:val="28"/>
          <w:szCs w:val="18"/>
        </w:rPr>
        <w:t>附表二 符合性审查表</w:t>
      </w:r>
      <w:bookmarkEnd w:id="246"/>
    </w:p>
    <w:tbl>
      <w:tblPr>
        <w:tblStyle w:val="37"/>
        <w:tblW w:w="9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6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ascii="仿宋" w:hAnsi="仿宋" w:eastAsia="仿宋" w:cs="仿宋_GB2312"/>
                <w:b/>
                <w:caps/>
                <w:szCs w:val="21"/>
              </w:rPr>
            </w:pPr>
            <w:r>
              <w:rPr>
                <w:rFonts w:hint="eastAsia" w:ascii="仿宋" w:hAnsi="仿宋" w:eastAsia="仿宋" w:cs="仿宋_GB2312"/>
                <w:b/>
                <w:caps/>
                <w:szCs w:val="21"/>
              </w:rPr>
              <w:t>序号</w:t>
            </w:r>
          </w:p>
        </w:tc>
        <w:tc>
          <w:tcPr>
            <w:tcW w:w="1723" w:type="dxa"/>
            <w:vAlign w:val="center"/>
          </w:tcPr>
          <w:p>
            <w:pPr>
              <w:tabs>
                <w:tab w:val="left" w:pos="1260"/>
                <w:tab w:val="left" w:pos="1620"/>
              </w:tabs>
              <w:adjustRightInd w:val="0"/>
              <w:snapToGrid w:val="0"/>
              <w:jc w:val="center"/>
              <w:textAlignment w:val="baseline"/>
              <w:rPr>
                <w:rFonts w:ascii="仿宋" w:hAnsi="仿宋" w:eastAsia="仿宋" w:cs="仿宋_GB2312"/>
                <w:b/>
                <w:caps/>
                <w:szCs w:val="21"/>
              </w:rPr>
            </w:pPr>
            <w:r>
              <w:rPr>
                <w:rFonts w:hint="eastAsia" w:ascii="仿宋" w:hAnsi="仿宋" w:eastAsia="仿宋" w:cs="仿宋_GB2312"/>
                <w:b/>
                <w:caps/>
                <w:szCs w:val="21"/>
              </w:rPr>
              <w:t>评审项目</w:t>
            </w:r>
          </w:p>
        </w:tc>
        <w:tc>
          <w:tcPr>
            <w:tcW w:w="6500" w:type="dxa"/>
            <w:vAlign w:val="center"/>
          </w:tcPr>
          <w:p>
            <w:pPr>
              <w:tabs>
                <w:tab w:val="left" w:pos="1260"/>
                <w:tab w:val="left" w:pos="1620"/>
              </w:tabs>
              <w:adjustRightInd w:val="0"/>
              <w:snapToGrid w:val="0"/>
              <w:jc w:val="center"/>
              <w:textAlignment w:val="baseline"/>
              <w:rPr>
                <w:rFonts w:ascii="仿宋" w:hAnsi="仿宋" w:eastAsia="仿宋" w:cs="仿宋_GB2312"/>
                <w:b/>
                <w:caps/>
                <w:szCs w:val="21"/>
              </w:rPr>
            </w:pPr>
            <w:r>
              <w:rPr>
                <w:rFonts w:hint="eastAsia" w:ascii="仿宋" w:hAnsi="仿宋" w:eastAsia="仿宋" w:cs="仿宋_GB2312"/>
                <w:b/>
                <w:caps/>
                <w:szCs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ascii="仿宋" w:hAnsi="仿宋" w:eastAsia="仿宋" w:cs="仿宋_GB2312"/>
                <w:szCs w:val="21"/>
              </w:rPr>
            </w:pPr>
            <w:r>
              <w:rPr>
                <w:rFonts w:hint="eastAsia" w:ascii="仿宋" w:hAnsi="仿宋" w:eastAsia="仿宋" w:cs="仿宋_GB2312"/>
                <w:szCs w:val="21"/>
              </w:rPr>
              <w:t>1</w:t>
            </w:r>
          </w:p>
        </w:tc>
        <w:tc>
          <w:tcPr>
            <w:tcW w:w="1723"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签署、盖章</w:t>
            </w:r>
          </w:p>
        </w:tc>
        <w:tc>
          <w:tcPr>
            <w:tcW w:w="6500"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投标文件未按招标文件要求签署、盖章的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ascii="仿宋" w:hAnsi="仿宋" w:eastAsia="仿宋" w:cs="仿宋_GB2312"/>
                <w:szCs w:val="21"/>
              </w:rPr>
            </w:pPr>
            <w:r>
              <w:rPr>
                <w:rFonts w:hint="eastAsia" w:ascii="仿宋" w:hAnsi="仿宋" w:eastAsia="仿宋" w:cs="仿宋_GB2312"/>
                <w:szCs w:val="21"/>
              </w:rPr>
              <w:t>2</w:t>
            </w:r>
          </w:p>
        </w:tc>
        <w:tc>
          <w:tcPr>
            <w:tcW w:w="1723"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投标报价</w:t>
            </w:r>
          </w:p>
        </w:tc>
        <w:tc>
          <w:tcPr>
            <w:tcW w:w="6500"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投标人投标报价超出采购预算或最高限价的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tabs>
                <w:tab w:val="left" w:pos="1260"/>
                <w:tab w:val="left" w:pos="1620"/>
              </w:tabs>
              <w:adjustRightInd w:val="0"/>
              <w:snapToGrid w:val="0"/>
              <w:jc w:val="center"/>
              <w:textAlignment w:val="baseline"/>
              <w:rPr>
                <w:rFonts w:ascii="仿宋" w:hAnsi="仿宋" w:eastAsia="仿宋" w:cs="仿宋_GB2312"/>
                <w:szCs w:val="21"/>
              </w:rPr>
            </w:pPr>
            <w:r>
              <w:rPr>
                <w:rFonts w:hint="eastAsia" w:ascii="仿宋" w:hAnsi="仿宋" w:eastAsia="仿宋" w:cs="仿宋_GB2312"/>
                <w:szCs w:val="21"/>
              </w:rPr>
              <w:t>3</w:t>
            </w:r>
          </w:p>
        </w:tc>
        <w:tc>
          <w:tcPr>
            <w:tcW w:w="1723"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报价合理性</w:t>
            </w:r>
          </w:p>
        </w:tc>
        <w:tc>
          <w:tcPr>
            <w:tcW w:w="6500"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投标人的报价明显低于其他通过符合性审查投标人的报价，有可能影响产品质量或者不能诚信履约的，且投标人不能证明其报价合理性的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pPr>
              <w:tabs>
                <w:tab w:val="left" w:pos="1260"/>
                <w:tab w:val="left" w:pos="1620"/>
              </w:tabs>
              <w:adjustRightInd w:val="0"/>
              <w:snapToGrid w:val="0"/>
              <w:jc w:val="center"/>
              <w:textAlignment w:val="baseline"/>
              <w:rPr>
                <w:rFonts w:ascii="仿宋" w:hAnsi="仿宋" w:eastAsia="仿宋" w:cs="仿宋_GB2312"/>
                <w:szCs w:val="21"/>
              </w:rPr>
            </w:pPr>
            <w:r>
              <w:rPr>
                <w:rFonts w:hint="eastAsia" w:ascii="仿宋" w:hAnsi="仿宋" w:eastAsia="仿宋" w:cs="仿宋_GB2312"/>
                <w:szCs w:val="21"/>
              </w:rPr>
              <w:t>4</w:t>
            </w:r>
          </w:p>
        </w:tc>
        <w:tc>
          <w:tcPr>
            <w:tcW w:w="1723"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投标内容</w:t>
            </w:r>
          </w:p>
        </w:tc>
        <w:tc>
          <w:tcPr>
            <w:tcW w:w="6500"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投标内容出现漏项或数量与要求不符或投标内容的技术指标达不到招标文件要求，造成采购档次降低或影响采购性能、功能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841" w:type="dxa"/>
            <w:vAlign w:val="center"/>
          </w:tcPr>
          <w:p>
            <w:pPr>
              <w:tabs>
                <w:tab w:val="left" w:pos="1260"/>
                <w:tab w:val="left" w:pos="1620"/>
              </w:tabs>
              <w:adjustRightInd w:val="0"/>
              <w:snapToGrid w:val="0"/>
              <w:jc w:val="center"/>
              <w:textAlignment w:val="baseline"/>
              <w:rPr>
                <w:rFonts w:ascii="仿宋" w:hAnsi="仿宋" w:eastAsia="仿宋" w:cs="仿宋_GB2312"/>
                <w:szCs w:val="21"/>
              </w:rPr>
            </w:pPr>
            <w:r>
              <w:rPr>
                <w:rFonts w:hint="eastAsia" w:ascii="仿宋" w:hAnsi="仿宋" w:eastAsia="仿宋" w:cs="仿宋_GB2312"/>
                <w:szCs w:val="21"/>
              </w:rPr>
              <w:t>5</w:t>
            </w:r>
          </w:p>
        </w:tc>
        <w:tc>
          <w:tcPr>
            <w:tcW w:w="1723"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投标保证金</w:t>
            </w:r>
          </w:p>
        </w:tc>
        <w:tc>
          <w:tcPr>
            <w:tcW w:w="6500"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投标保证金未提交或金额、形式不符合招标文件要求的。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841" w:type="dxa"/>
            <w:vAlign w:val="center"/>
          </w:tcPr>
          <w:p>
            <w:pPr>
              <w:tabs>
                <w:tab w:val="left" w:pos="1260"/>
                <w:tab w:val="left" w:pos="1620"/>
              </w:tabs>
              <w:adjustRightInd w:val="0"/>
              <w:snapToGrid w:val="0"/>
              <w:jc w:val="center"/>
              <w:textAlignment w:val="baseline"/>
              <w:rPr>
                <w:rFonts w:ascii="仿宋" w:hAnsi="仿宋" w:eastAsia="仿宋" w:cs="仿宋_GB2312"/>
                <w:szCs w:val="21"/>
              </w:rPr>
            </w:pPr>
            <w:r>
              <w:rPr>
                <w:rFonts w:hint="eastAsia" w:ascii="仿宋" w:hAnsi="仿宋" w:eastAsia="仿宋" w:cs="仿宋_GB2312"/>
                <w:szCs w:val="21"/>
              </w:rPr>
              <w:t>6</w:t>
            </w:r>
          </w:p>
        </w:tc>
        <w:tc>
          <w:tcPr>
            <w:tcW w:w="1723"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其它情形</w:t>
            </w:r>
          </w:p>
        </w:tc>
        <w:tc>
          <w:tcPr>
            <w:tcW w:w="6500" w:type="dxa"/>
            <w:vAlign w:val="center"/>
          </w:tcPr>
          <w:p>
            <w:pPr>
              <w:snapToGrid w:val="0"/>
              <w:spacing w:line="360" w:lineRule="auto"/>
              <w:rPr>
                <w:rFonts w:ascii="仿宋" w:hAnsi="仿宋" w:eastAsia="仿宋" w:cs="仿宋_GB2312"/>
                <w:szCs w:val="21"/>
              </w:rPr>
            </w:pPr>
            <w:r>
              <w:rPr>
                <w:rFonts w:hint="eastAsia" w:ascii="仿宋" w:hAnsi="仿宋" w:eastAsia="仿宋" w:cs="仿宋_GB2312"/>
                <w:szCs w:val="21"/>
              </w:rPr>
              <w:t>存在其它不符合法律法规或招标文件规定的投标无效条款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564" w:type="dxa"/>
            <w:gridSpan w:val="2"/>
            <w:vAlign w:val="center"/>
          </w:tcPr>
          <w:p>
            <w:pPr>
              <w:tabs>
                <w:tab w:val="left" w:pos="1260"/>
                <w:tab w:val="left" w:pos="1620"/>
              </w:tabs>
              <w:adjustRightInd w:val="0"/>
              <w:snapToGrid w:val="0"/>
              <w:textAlignment w:val="baseline"/>
              <w:rPr>
                <w:rFonts w:ascii="仿宋" w:hAnsi="仿宋" w:eastAsia="仿宋" w:cs="仿宋_GB2312"/>
                <w:szCs w:val="21"/>
              </w:rPr>
            </w:pPr>
            <w:r>
              <w:rPr>
                <w:rFonts w:hint="eastAsia" w:ascii="仿宋" w:hAnsi="仿宋" w:eastAsia="仿宋" w:cs="仿宋_GB2312"/>
                <w:b/>
                <w:szCs w:val="21"/>
              </w:rPr>
              <w:t>结论（通过或未通过）</w:t>
            </w:r>
          </w:p>
        </w:tc>
        <w:tc>
          <w:tcPr>
            <w:tcW w:w="6500" w:type="dxa"/>
            <w:vAlign w:val="center"/>
          </w:tcPr>
          <w:p>
            <w:pPr>
              <w:tabs>
                <w:tab w:val="left" w:pos="1260"/>
                <w:tab w:val="left" w:pos="1620"/>
              </w:tabs>
              <w:adjustRightInd w:val="0"/>
              <w:snapToGrid w:val="0"/>
              <w:textAlignment w:val="baseline"/>
              <w:rPr>
                <w:rFonts w:ascii="仿宋" w:hAnsi="仿宋" w:eastAsia="仿宋" w:cs="仿宋_GB2312"/>
                <w:szCs w:val="21"/>
              </w:rPr>
            </w:pPr>
          </w:p>
        </w:tc>
      </w:tr>
    </w:tbl>
    <w:p>
      <w:pPr>
        <w:tabs>
          <w:tab w:val="left" w:pos="1260"/>
          <w:tab w:val="left" w:pos="1620"/>
        </w:tabs>
        <w:adjustRightInd w:val="0"/>
        <w:spacing w:line="360" w:lineRule="auto"/>
        <w:jc w:val="left"/>
        <w:textAlignment w:val="baseline"/>
        <w:rPr>
          <w:rFonts w:ascii="仿宋" w:hAnsi="仿宋" w:eastAsia="仿宋" w:cs="仿宋_GB2312"/>
          <w:b/>
          <w:szCs w:val="21"/>
        </w:rPr>
      </w:pPr>
      <w:r>
        <w:rPr>
          <w:rFonts w:ascii="仿宋" w:hAnsi="仿宋" w:eastAsia="仿宋"/>
        </w:rPr>
        <w:br w:type="page"/>
      </w:r>
    </w:p>
    <w:p>
      <w:pPr>
        <w:pStyle w:val="4"/>
        <w:spacing w:before="0" w:line="360" w:lineRule="auto"/>
        <w:rPr>
          <w:rFonts w:ascii="仿宋" w:hAnsi="仿宋" w:eastAsia="仿宋"/>
          <w:sz w:val="28"/>
          <w:szCs w:val="18"/>
        </w:rPr>
      </w:pPr>
      <w:bookmarkStart w:id="247" w:name="_Toc110013785"/>
      <w:r>
        <w:rPr>
          <w:rFonts w:hint="eastAsia" w:ascii="仿宋" w:hAnsi="仿宋" w:eastAsia="仿宋"/>
          <w:sz w:val="28"/>
          <w:szCs w:val="18"/>
        </w:rPr>
        <w:t xml:space="preserve">附表三 </w:t>
      </w:r>
      <w:r>
        <w:rPr>
          <w:rFonts w:ascii="仿宋" w:hAnsi="仿宋" w:eastAsia="仿宋"/>
          <w:sz w:val="28"/>
          <w:szCs w:val="18"/>
        </w:rPr>
        <w:t>评审因素和指标</w:t>
      </w:r>
      <w:bookmarkEnd w:id="247"/>
    </w:p>
    <w:tbl>
      <w:tblPr>
        <w:tblStyle w:val="37"/>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7"/>
        <w:gridCol w:w="1082"/>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szCs w:val="21"/>
              </w:rPr>
            </w:pPr>
            <w:r>
              <w:rPr>
                <w:rFonts w:hint="eastAsia" w:ascii="仿宋" w:hAnsi="仿宋" w:eastAsia="仿宋"/>
                <w:szCs w:val="21"/>
              </w:rPr>
              <w:t>评标内容</w:t>
            </w:r>
          </w:p>
        </w:tc>
        <w:tc>
          <w:tcPr>
            <w:tcW w:w="1082" w:type="dxa"/>
            <w:tcBorders>
              <w:top w:val="single" w:color="auto" w:sz="4" w:space="0"/>
              <w:left w:val="single" w:color="auto" w:sz="4" w:space="0"/>
              <w:right w:val="single" w:color="auto" w:sz="4" w:space="0"/>
            </w:tcBorders>
            <w:vAlign w:val="center"/>
          </w:tcPr>
          <w:p>
            <w:pPr>
              <w:adjustRightInd w:val="0"/>
              <w:snapToGrid w:val="0"/>
              <w:spacing w:line="500" w:lineRule="exact"/>
              <w:jc w:val="center"/>
              <w:rPr>
                <w:rFonts w:ascii="仿宋" w:hAnsi="仿宋" w:eastAsia="仿宋"/>
                <w:szCs w:val="21"/>
              </w:rPr>
            </w:pPr>
            <w:r>
              <w:rPr>
                <w:rFonts w:hint="eastAsia" w:ascii="仿宋" w:hAnsi="仿宋" w:eastAsia="仿宋"/>
                <w:szCs w:val="21"/>
              </w:rPr>
              <w:t>分值</w:t>
            </w:r>
          </w:p>
        </w:tc>
        <w:tc>
          <w:tcPr>
            <w:tcW w:w="6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szCs w:val="21"/>
              </w:rPr>
            </w:pPr>
            <w:r>
              <w:rPr>
                <w:rFonts w:hint="eastAsia" w:ascii="仿宋" w:hAnsi="仿宋" w:eastAsia="仿宋"/>
                <w:szCs w:val="21"/>
              </w:rPr>
              <w:t>评标原则与标准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szCs w:val="21"/>
              </w:rPr>
            </w:pPr>
            <w:r>
              <w:rPr>
                <w:rFonts w:hint="eastAsia" w:ascii="仿宋" w:hAnsi="仿宋" w:eastAsia="仿宋"/>
                <w:szCs w:val="21"/>
              </w:rPr>
              <w:t>报价</w:t>
            </w:r>
          </w:p>
        </w:tc>
        <w:tc>
          <w:tcPr>
            <w:tcW w:w="1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szCs w:val="21"/>
              </w:rPr>
            </w:pPr>
            <w:r>
              <w:rPr>
                <w:rFonts w:hint="eastAsia" w:ascii="仿宋" w:hAnsi="仿宋" w:eastAsia="仿宋"/>
                <w:szCs w:val="21"/>
              </w:rPr>
              <w:t>30分</w:t>
            </w:r>
          </w:p>
        </w:tc>
        <w:tc>
          <w:tcPr>
            <w:tcW w:w="6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szCs w:val="21"/>
              </w:rPr>
            </w:pPr>
            <w:r>
              <w:rPr>
                <w:rFonts w:ascii="仿宋" w:hAnsi="仿宋" w:eastAsia="仿宋"/>
                <w:szCs w:val="21"/>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500" w:lineRule="exact"/>
              <w:rPr>
                <w:rFonts w:ascii="仿宋" w:hAnsi="仿宋" w:eastAsia="仿宋"/>
                <w:szCs w:val="21"/>
              </w:rPr>
            </w:pPr>
            <w:r>
              <w:rPr>
                <w:rFonts w:hint="eastAsia" w:ascii="仿宋" w:hAnsi="仿宋" w:eastAsia="仿宋"/>
                <w:szCs w:val="21"/>
              </w:rPr>
              <w:t>技术部分（50分）</w:t>
            </w:r>
          </w:p>
        </w:tc>
        <w:tc>
          <w:tcPr>
            <w:tcW w:w="106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bCs/>
                <w:szCs w:val="21"/>
              </w:rPr>
            </w:pPr>
            <w:r>
              <w:rPr>
                <w:rFonts w:hint="eastAsia" w:ascii="仿宋" w:hAnsi="仿宋" w:eastAsia="仿宋" w:cs="仿宋"/>
                <w:bCs/>
                <w:szCs w:val="21"/>
              </w:rPr>
              <w:t>技术指标、功能及配置</w:t>
            </w:r>
          </w:p>
        </w:tc>
        <w:tc>
          <w:tcPr>
            <w:tcW w:w="1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szCs w:val="21"/>
              </w:rPr>
            </w:pPr>
            <w:r>
              <w:rPr>
                <w:rFonts w:hint="eastAsia" w:ascii="仿宋" w:hAnsi="仿宋" w:eastAsia="仿宋"/>
                <w:szCs w:val="21"/>
              </w:rPr>
              <w:t>30分</w:t>
            </w:r>
          </w:p>
        </w:tc>
        <w:tc>
          <w:tcPr>
            <w:tcW w:w="6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szCs w:val="21"/>
                <w:lang w:val="zh-CN"/>
              </w:rPr>
            </w:pPr>
            <w:r>
              <w:rPr>
                <w:rFonts w:hint="eastAsia" w:ascii="仿宋" w:hAnsi="仿宋" w:eastAsia="仿宋"/>
                <w:szCs w:val="21"/>
                <w:lang w:val="zh-CN"/>
              </w:rPr>
              <w:t>1、基本分（</w:t>
            </w:r>
            <w:r>
              <w:rPr>
                <w:rFonts w:hint="eastAsia" w:ascii="仿宋" w:hAnsi="仿宋" w:eastAsia="仿宋"/>
                <w:szCs w:val="21"/>
              </w:rPr>
              <w:t>27</w:t>
            </w:r>
            <w:r>
              <w:rPr>
                <w:rFonts w:hint="eastAsia" w:ascii="仿宋" w:hAnsi="仿宋" w:eastAsia="仿宋"/>
                <w:szCs w:val="21"/>
                <w:lang w:val="zh-CN"/>
              </w:rPr>
              <w:t>分）：</w:t>
            </w:r>
          </w:p>
          <w:p>
            <w:pPr>
              <w:adjustRightInd w:val="0"/>
              <w:snapToGrid w:val="0"/>
              <w:spacing w:line="500" w:lineRule="exact"/>
              <w:jc w:val="left"/>
              <w:rPr>
                <w:rFonts w:ascii="仿宋" w:hAnsi="仿宋" w:eastAsia="仿宋"/>
                <w:szCs w:val="21"/>
                <w:lang w:val="zh-CN"/>
              </w:rPr>
            </w:pPr>
            <w:r>
              <w:rPr>
                <w:rFonts w:hint="eastAsia" w:ascii="仿宋" w:hAnsi="仿宋" w:eastAsia="仿宋"/>
                <w:szCs w:val="21"/>
                <w:lang w:val="zh-CN"/>
              </w:rPr>
              <w:t>（1）完全符合、响应招标文件要求，参数没有负偏离的得27分。</w:t>
            </w:r>
          </w:p>
          <w:p>
            <w:pPr>
              <w:adjustRightInd w:val="0"/>
              <w:snapToGrid w:val="0"/>
              <w:spacing w:line="500" w:lineRule="exact"/>
              <w:jc w:val="left"/>
              <w:rPr>
                <w:rFonts w:ascii="仿宋" w:hAnsi="仿宋" w:eastAsia="仿宋"/>
                <w:szCs w:val="21"/>
                <w:lang w:val="zh-CN"/>
              </w:rPr>
            </w:pPr>
            <w:r>
              <w:rPr>
                <w:rFonts w:hint="eastAsia" w:ascii="仿宋" w:hAnsi="仿宋" w:eastAsia="仿宋"/>
                <w:szCs w:val="21"/>
                <w:lang w:val="zh-CN"/>
              </w:rPr>
              <w:t>（2）要求提供证明材料部分的招标参数，证明材料包括但不限于产品截图证明、第三方权威机构的认证证书、第三方权威机构的认证报告等，并加盖厂商公章，否则视为负偏离，招标参数中每有一条负偏离扣</w:t>
            </w:r>
            <w:r>
              <w:rPr>
                <w:rFonts w:hint="eastAsia" w:ascii="仿宋" w:hAnsi="仿宋" w:eastAsia="仿宋"/>
                <w:szCs w:val="21"/>
              </w:rPr>
              <w:t>0.5</w:t>
            </w:r>
            <w:r>
              <w:rPr>
                <w:rFonts w:hint="eastAsia" w:ascii="仿宋" w:hAnsi="仿宋" w:eastAsia="仿宋"/>
                <w:szCs w:val="21"/>
                <w:lang w:val="zh-CN"/>
              </w:rPr>
              <w:t>分，最低扣至0分。</w:t>
            </w:r>
          </w:p>
          <w:p>
            <w:pPr>
              <w:adjustRightInd w:val="0"/>
              <w:snapToGrid w:val="0"/>
              <w:spacing w:line="500" w:lineRule="exact"/>
              <w:jc w:val="left"/>
              <w:rPr>
                <w:rFonts w:ascii="仿宋" w:hAnsi="仿宋" w:eastAsia="仿宋"/>
                <w:szCs w:val="21"/>
                <w:lang w:val="zh-CN"/>
              </w:rPr>
            </w:pPr>
            <w:r>
              <w:rPr>
                <w:rFonts w:hint="eastAsia" w:ascii="仿宋" w:hAnsi="仿宋" w:eastAsia="仿宋"/>
                <w:szCs w:val="21"/>
                <w:lang w:val="zh-CN"/>
              </w:rPr>
              <w:t>2、加分项（</w:t>
            </w:r>
            <w:r>
              <w:rPr>
                <w:rFonts w:hint="eastAsia" w:ascii="仿宋" w:hAnsi="仿宋" w:eastAsia="仿宋"/>
                <w:szCs w:val="21"/>
              </w:rPr>
              <w:t>3</w:t>
            </w:r>
            <w:r>
              <w:rPr>
                <w:rFonts w:hint="eastAsia" w:ascii="仿宋" w:hAnsi="仿宋" w:eastAsia="仿宋"/>
                <w:szCs w:val="21"/>
                <w:lang w:val="zh-CN"/>
              </w:rPr>
              <w:t>分）：</w:t>
            </w:r>
          </w:p>
          <w:p>
            <w:pPr>
              <w:adjustRightInd w:val="0"/>
              <w:snapToGrid w:val="0"/>
              <w:spacing w:line="500" w:lineRule="exact"/>
              <w:jc w:val="left"/>
              <w:rPr>
                <w:rFonts w:ascii="仿宋" w:hAnsi="仿宋" w:eastAsia="仿宋"/>
                <w:szCs w:val="21"/>
                <w:lang w:val="zh-CN"/>
              </w:rPr>
            </w:pPr>
            <w:r>
              <w:rPr>
                <w:rFonts w:hint="eastAsia" w:ascii="仿宋" w:hAnsi="仿宋" w:eastAsia="仿宋"/>
                <w:szCs w:val="21"/>
                <w:lang w:val="zh-CN"/>
              </w:rPr>
              <w:t>（</w:t>
            </w:r>
            <w:r>
              <w:rPr>
                <w:rFonts w:hint="eastAsia" w:ascii="仿宋" w:hAnsi="仿宋" w:eastAsia="仿宋"/>
                <w:szCs w:val="21"/>
              </w:rPr>
              <w:t>1</w:t>
            </w:r>
            <w:r>
              <w:rPr>
                <w:rFonts w:hint="eastAsia" w:ascii="仿宋" w:hAnsi="仿宋" w:eastAsia="仿宋"/>
                <w:szCs w:val="21"/>
                <w:lang w:val="zh-CN"/>
              </w:rPr>
              <w:t>）提供产品厂商参与制定与本次招标产品相关的国家标准材料并加盖厂商公章，提供一份得1分，上限提供三份得3分。</w:t>
            </w:r>
          </w:p>
          <w:p>
            <w:pPr>
              <w:adjustRightInd w:val="0"/>
              <w:snapToGrid w:val="0"/>
              <w:spacing w:line="500" w:lineRule="exact"/>
              <w:jc w:val="left"/>
              <w:rPr>
                <w:rFonts w:ascii="仿宋" w:hAnsi="仿宋" w:eastAsia="仿宋"/>
                <w:szCs w:val="21"/>
              </w:rPr>
            </w:pPr>
            <w:r>
              <w:rPr>
                <w:rFonts w:hint="eastAsia" w:ascii="仿宋" w:hAnsi="仿宋" w:eastAsia="仿宋"/>
                <w:szCs w:val="21"/>
              </w:rPr>
              <w:t xml:space="preserve">说明：投标人应提供充足的佐证材料(如：产品彩页、检测报告、官网截图等证明材料)予以佐证，佐证材料应编制在投标文件中，供应商自行承担因证明材料不全而被视为技术参数偏离的风险。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1" w:type="dxa"/>
            <w:vMerge w:val="continue"/>
            <w:tcBorders>
              <w:left w:val="single" w:color="auto" w:sz="4" w:space="0"/>
              <w:right w:val="single" w:color="auto" w:sz="4" w:space="0"/>
            </w:tcBorders>
            <w:vAlign w:val="center"/>
          </w:tcPr>
          <w:p>
            <w:pPr>
              <w:autoSpaceDE w:val="0"/>
              <w:autoSpaceDN w:val="0"/>
              <w:adjustRightInd w:val="0"/>
              <w:snapToGrid w:val="0"/>
              <w:spacing w:line="500" w:lineRule="exact"/>
              <w:rPr>
                <w:rFonts w:ascii="仿宋" w:hAnsi="仿宋" w:eastAsia="仿宋"/>
                <w:szCs w:val="21"/>
                <w:lang w:val="zh-CN"/>
              </w:rPr>
            </w:pPr>
          </w:p>
        </w:tc>
        <w:tc>
          <w:tcPr>
            <w:tcW w:w="10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rPr>
                <w:rFonts w:ascii="仿宋" w:hAnsi="仿宋" w:eastAsia="仿宋"/>
                <w:szCs w:val="21"/>
              </w:rPr>
            </w:pPr>
            <w:r>
              <w:rPr>
                <w:rFonts w:hint="eastAsia" w:ascii="仿宋" w:hAnsi="仿宋" w:eastAsia="仿宋"/>
                <w:szCs w:val="21"/>
              </w:rPr>
              <w:t>技术方案</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firstLine="210" w:firstLineChars="100"/>
              <w:rPr>
                <w:rFonts w:ascii="仿宋" w:hAnsi="仿宋" w:eastAsia="仿宋"/>
                <w:szCs w:val="21"/>
              </w:rPr>
            </w:pPr>
            <w:r>
              <w:rPr>
                <w:rFonts w:hint="eastAsia" w:ascii="仿宋" w:hAnsi="仿宋" w:eastAsia="仿宋"/>
                <w:szCs w:val="21"/>
              </w:rPr>
              <w:t>10分</w:t>
            </w:r>
          </w:p>
        </w:tc>
        <w:tc>
          <w:tcPr>
            <w:tcW w:w="6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ascii="仿宋" w:hAnsi="仿宋" w:eastAsia="仿宋"/>
                <w:szCs w:val="21"/>
                <w:lang w:val="zh-CN"/>
              </w:rPr>
            </w:pPr>
            <w:r>
              <w:rPr>
                <w:rFonts w:hint="eastAsia" w:ascii="仿宋" w:hAnsi="仿宋" w:eastAsia="仿宋"/>
                <w:szCs w:val="21"/>
                <w:lang w:val="zh-CN"/>
              </w:rPr>
              <w:t>根据投标人针对本项目制定的技术方案科学合理、系统架构设计完善、可操作性强，组织实施计划分工明确、流程规范，项目进度安排合理，能够按时保质完成任务，根据响应情况优秀的得(</w:t>
            </w:r>
            <w:r>
              <w:rPr>
                <w:rFonts w:hint="eastAsia" w:ascii="仿宋" w:hAnsi="仿宋" w:eastAsia="仿宋"/>
                <w:szCs w:val="21"/>
              </w:rPr>
              <w:t>8</w:t>
            </w:r>
            <w:r>
              <w:rPr>
                <w:rFonts w:hint="eastAsia" w:ascii="仿宋" w:hAnsi="仿宋" w:eastAsia="仿宋" w:cs="仿宋"/>
                <w:szCs w:val="21"/>
              </w:rPr>
              <w:t>～</w:t>
            </w:r>
            <w:r>
              <w:rPr>
                <w:rFonts w:hint="eastAsia" w:ascii="仿宋" w:hAnsi="仿宋" w:eastAsia="仿宋"/>
                <w:szCs w:val="21"/>
              </w:rPr>
              <w:t>10</w:t>
            </w:r>
            <w:r>
              <w:rPr>
                <w:rFonts w:hint="eastAsia" w:ascii="仿宋" w:hAnsi="仿宋" w:eastAsia="仿宋"/>
                <w:szCs w:val="21"/>
                <w:lang w:val="zh-CN"/>
              </w:rPr>
              <w:t>)分；良好的得(</w:t>
            </w:r>
            <w:r>
              <w:rPr>
                <w:rFonts w:hint="eastAsia" w:ascii="仿宋" w:hAnsi="仿宋" w:eastAsia="仿宋"/>
                <w:szCs w:val="21"/>
              </w:rPr>
              <w:t>5</w:t>
            </w:r>
            <w:r>
              <w:rPr>
                <w:rFonts w:hint="eastAsia" w:ascii="仿宋" w:hAnsi="仿宋" w:eastAsia="仿宋" w:cs="仿宋"/>
                <w:szCs w:val="21"/>
              </w:rPr>
              <w:t>～7</w:t>
            </w:r>
            <w:r>
              <w:rPr>
                <w:rFonts w:hint="eastAsia" w:ascii="仿宋" w:hAnsi="仿宋" w:eastAsia="仿宋"/>
                <w:szCs w:val="21"/>
                <w:lang w:val="zh-CN"/>
              </w:rPr>
              <w:t>)分；一般的得(</w:t>
            </w:r>
            <w:r>
              <w:rPr>
                <w:rFonts w:hint="eastAsia" w:ascii="仿宋" w:hAnsi="仿宋" w:eastAsia="仿宋"/>
                <w:szCs w:val="21"/>
              </w:rPr>
              <w:t>1</w:t>
            </w:r>
            <w:r>
              <w:rPr>
                <w:rFonts w:hint="eastAsia" w:ascii="仿宋" w:hAnsi="仿宋" w:eastAsia="仿宋" w:cs="仿宋"/>
                <w:szCs w:val="21"/>
              </w:rPr>
              <w:t>～</w:t>
            </w:r>
            <w:r>
              <w:rPr>
                <w:rFonts w:hint="eastAsia" w:ascii="仿宋" w:hAnsi="仿宋" w:eastAsia="仿宋"/>
                <w:szCs w:val="21"/>
              </w:rPr>
              <w:t>4</w:t>
            </w:r>
            <w:r>
              <w:rPr>
                <w:rFonts w:hint="eastAsia" w:ascii="仿宋" w:hAnsi="仿宋" w:eastAsia="仿宋"/>
                <w:szCs w:val="21"/>
                <w:lang w:val="zh-CN"/>
              </w:rPr>
              <w:t>)分；未响应或同本项目实际情况不符得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1" w:type="dxa"/>
            <w:vMerge w:val="continue"/>
            <w:tcBorders>
              <w:left w:val="single" w:color="auto" w:sz="4" w:space="0"/>
              <w:right w:val="single" w:color="auto" w:sz="4" w:space="0"/>
            </w:tcBorders>
            <w:vAlign w:val="center"/>
          </w:tcPr>
          <w:p>
            <w:pPr>
              <w:autoSpaceDE w:val="0"/>
              <w:autoSpaceDN w:val="0"/>
              <w:adjustRightInd w:val="0"/>
              <w:snapToGrid w:val="0"/>
              <w:spacing w:line="500" w:lineRule="exact"/>
              <w:rPr>
                <w:rFonts w:ascii="仿宋" w:hAnsi="仿宋" w:eastAsia="仿宋"/>
                <w:szCs w:val="21"/>
                <w:lang w:val="zh-CN"/>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供货及</w:t>
            </w:r>
          </w:p>
          <w:p>
            <w:pPr>
              <w:spacing w:line="400" w:lineRule="exact"/>
              <w:jc w:val="center"/>
              <w:rPr>
                <w:rFonts w:ascii="仿宋" w:hAnsi="仿宋" w:eastAsia="仿宋" w:cs="仿宋"/>
                <w:szCs w:val="21"/>
              </w:rPr>
            </w:pPr>
            <w:r>
              <w:rPr>
                <w:rFonts w:hint="eastAsia" w:ascii="仿宋" w:hAnsi="仿宋" w:eastAsia="仿宋" w:cs="仿宋"/>
                <w:szCs w:val="21"/>
              </w:rPr>
              <w:t>实施方案</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firstLine="210" w:firstLineChars="100"/>
              <w:rPr>
                <w:rFonts w:ascii="仿宋" w:hAnsi="仿宋" w:eastAsia="仿宋"/>
                <w:szCs w:val="21"/>
              </w:rPr>
            </w:pPr>
            <w:r>
              <w:rPr>
                <w:rFonts w:hint="eastAsia" w:ascii="仿宋" w:hAnsi="仿宋" w:eastAsia="仿宋"/>
                <w:szCs w:val="21"/>
              </w:rPr>
              <w:t>5分</w:t>
            </w:r>
          </w:p>
        </w:tc>
        <w:tc>
          <w:tcPr>
            <w:tcW w:w="6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rPr>
                <w:rFonts w:ascii="仿宋" w:hAnsi="仿宋" w:eastAsia="仿宋"/>
                <w:szCs w:val="21"/>
                <w:lang w:val="zh-CN"/>
              </w:rPr>
            </w:pPr>
            <w:r>
              <w:rPr>
                <w:rFonts w:hint="eastAsia" w:ascii="仿宋" w:hAnsi="仿宋" w:eastAsia="仿宋" w:cs="仿宋"/>
                <w:szCs w:val="21"/>
              </w:rPr>
              <w:t>对产品的供货、安装调试组织措施完善，并针对本项目特点做出合理计划及调配，人员安排具体、分工合理、责任明确，能保质保量按期供货及完成调试安装工作，能保证产品的顺利使用，</w:t>
            </w:r>
            <w:r>
              <w:rPr>
                <w:rFonts w:hint="eastAsia" w:ascii="仿宋" w:hAnsi="仿宋" w:eastAsia="仿宋"/>
                <w:szCs w:val="21"/>
                <w:lang w:val="zh-CN"/>
              </w:rPr>
              <w:t>优秀的得</w:t>
            </w: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szCs w:val="21"/>
              </w:rPr>
              <w:t>～</w:t>
            </w:r>
            <w:r>
              <w:rPr>
                <w:rFonts w:hint="eastAsia" w:ascii="仿宋" w:hAnsi="仿宋" w:eastAsia="仿宋" w:cs="仿宋"/>
                <w:color w:val="000000" w:themeColor="text1"/>
                <w:szCs w:val="21"/>
                <w14:textFill>
                  <w14:solidFill>
                    <w14:schemeClr w14:val="tx1"/>
                  </w14:solidFill>
                </w14:textFill>
              </w:rPr>
              <w:t>5分</w:t>
            </w:r>
            <w:r>
              <w:rPr>
                <w:rFonts w:hint="eastAsia" w:ascii="仿宋" w:hAnsi="仿宋" w:eastAsia="仿宋" w:cs="仿宋"/>
                <w:color w:val="000000" w:themeColor="text1"/>
                <w:szCs w:val="21"/>
                <w:lang w:val="zh-CN"/>
                <w14:textFill>
                  <w14:solidFill>
                    <w14:schemeClr w14:val="tx1"/>
                  </w14:solidFill>
                </w14:textFill>
              </w:rPr>
              <w:t>），</w:t>
            </w:r>
            <w:r>
              <w:rPr>
                <w:rFonts w:hint="eastAsia" w:ascii="仿宋" w:hAnsi="仿宋" w:eastAsia="仿宋"/>
                <w:szCs w:val="21"/>
                <w:lang w:val="zh-CN"/>
              </w:rPr>
              <w:t>良好的得</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分</w:t>
            </w:r>
            <w:r>
              <w:rPr>
                <w:rFonts w:hint="eastAsia" w:ascii="仿宋" w:hAnsi="仿宋" w:eastAsia="仿宋" w:cs="仿宋"/>
                <w:szCs w:val="21"/>
                <w:lang w:val="zh-CN"/>
              </w:rPr>
              <w:t>），</w:t>
            </w:r>
            <w:r>
              <w:rPr>
                <w:rFonts w:hint="eastAsia" w:ascii="仿宋" w:hAnsi="仿宋" w:eastAsia="仿宋" w:cs="仿宋"/>
                <w:szCs w:val="21"/>
              </w:rPr>
              <w:t>一般的得（</w:t>
            </w:r>
            <w:r>
              <w:rPr>
                <w:rFonts w:ascii="仿宋" w:hAnsi="仿宋" w:eastAsia="仿宋" w:cs="仿宋"/>
                <w:szCs w:val="21"/>
              </w:rPr>
              <w:t>1</w:t>
            </w: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分），</w:t>
            </w:r>
            <w:r>
              <w:rPr>
                <w:rFonts w:hint="eastAsia" w:ascii="仿宋" w:hAnsi="仿宋" w:eastAsia="仿宋" w:cs="仿宋"/>
                <w:color w:val="000000" w:themeColor="text1"/>
                <w:szCs w:val="21"/>
                <w14:textFill>
                  <w14:solidFill>
                    <w14:schemeClr w14:val="tx1"/>
                  </w14:solidFill>
                </w14:textFill>
              </w:rPr>
              <w:t>满分5分</w:t>
            </w:r>
            <w:r>
              <w:rPr>
                <w:rFonts w:hint="eastAsia" w:ascii="仿宋" w:hAnsi="仿宋" w:eastAsia="仿宋" w:cs="仿宋"/>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1" w:type="dxa"/>
            <w:vMerge w:val="continue"/>
            <w:tcBorders>
              <w:left w:val="single" w:color="auto" w:sz="4" w:space="0"/>
              <w:right w:val="single" w:color="auto" w:sz="4" w:space="0"/>
            </w:tcBorders>
            <w:vAlign w:val="center"/>
          </w:tcPr>
          <w:p>
            <w:pPr>
              <w:autoSpaceDE w:val="0"/>
              <w:autoSpaceDN w:val="0"/>
              <w:adjustRightInd w:val="0"/>
              <w:snapToGrid w:val="0"/>
              <w:spacing w:line="500" w:lineRule="exact"/>
              <w:rPr>
                <w:rFonts w:ascii="仿宋" w:hAnsi="仿宋" w:eastAsia="仿宋"/>
                <w:szCs w:val="21"/>
                <w:lang w:val="zh-CN"/>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质量保证</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ind w:firstLine="210" w:firstLineChars="100"/>
              <w:rPr>
                <w:rFonts w:ascii="仿宋" w:hAnsi="仿宋" w:eastAsia="仿宋"/>
                <w:szCs w:val="21"/>
              </w:rPr>
            </w:pPr>
            <w:r>
              <w:rPr>
                <w:rFonts w:hint="eastAsia" w:ascii="仿宋" w:hAnsi="仿宋" w:eastAsia="仿宋"/>
                <w:szCs w:val="21"/>
              </w:rPr>
              <w:t>5分</w:t>
            </w:r>
          </w:p>
        </w:tc>
        <w:tc>
          <w:tcPr>
            <w:tcW w:w="65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szCs w:val="21"/>
                <w:lang w:val="zh-CN"/>
              </w:rPr>
            </w:pPr>
            <w:r>
              <w:rPr>
                <w:rFonts w:hint="eastAsia" w:ascii="仿宋" w:hAnsi="仿宋" w:eastAsia="仿宋"/>
                <w:szCs w:val="21"/>
                <w:lang w:val="zh-CN"/>
              </w:rPr>
              <w:t>提供主要产品渠道来源合法的证明文件（包括但不限于销售协议等其他佐证材料），能提供响应完整材料得（</w:t>
            </w:r>
            <w:r>
              <w:rPr>
                <w:rFonts w:hint="eastAsia" w:ascii="仿宋" w:hAnsi="仿宋" w:eastAsia="仿宋"/>
                <w:szCs w:val="21"/>
              </w:rPr>
              <w:t>2</w:t>
            </w:r>
            <w:r>
              <w:rPr>
                <w:rFonts w:hint="eastAsia" w:ascii="仿宋" w:hAnsi="仿宋" w:eastAsia="仿宋"/>
                <w:szCs w:val="21"/>
                <w:lang w:val="zh-CN"/>
              </w:rPr>
              <w:t>～</w:t>
            </w:r>
            <w:r>
              <w:rPr>
                <w:rFonts w:hint="eastAsia" w:ascii="仿宋" w:hAnsi="仿宋" w:eastAsia="仿宋"/>
                <w:szCs w:val="21"/>
              </w:rPr>
              <w:t>3</w:t>
            </w:r>
            <w:r>
              <w:rPr>
                <w:rFonts w:hint="eastAsia" w:ascii="仿宋" w:hAnsi="仿宋" w:eastAsia="仿宋"/>
                <w:szCs w:val="21"/>
                <w:lang w:val="zh-CN"/>
              </w:rPr>
              <w:t>分），提供的资料不全按情况分别得（</w:t>
            </w:r>
            <w:r>
              <w:rPr>
                <w:rFonts w:hint="eastAsia" w:ascii="仿宋" w:hAnsi="仿宋" w:eastAsia="仿宋"/>
                <w:szCs w:val="21"/>
              </w:rPr>
              <w:t>1</w:t>
            </w:r>
            <w:r>
              <w:rPr>
                <w:rFonts w:hint="eastAsia" w:ascii="仿宋" w:hAnsi="仿宋" w:eastAsia="仿宋"/>
                <w:szCs w:val="21"/>
                <w:lang w:val="zh-CN"/>
              </w:rPr>
              <w:t>～</w:t>
            </w:r>
            <w:r>
              <w:rPr>
                <w:rFonts w:hint="eastAsia" w:ascii="仿宋" w:hAnsi="仿宋" w:eastAsia="仿宋"/>
                <w:szCs w:val="21"/>
              </w:rPr>
              <w:t>2</w:t>
            </w:r>
            <w:r>
              <w:rPr>
                <w:rFonts w:hint="eastAsia" w:ascii="仿宋" w:hAnsi="仿宋" w:eastAsia="仿宋"/>
                <w:szCs w:val="21"/>
                <w:lang w:val="zh-CN"/>
              </w:rPr>
              <w:t>分），没有得0分，</w:t>
            </w:r>
            <w:r>
              <w:rPr>
                <w:rFonts w:hint="eastAsia" w:ascii="仿宋" w:hAnsi="仿宋" w:eastAsia="仿宋"/>
                <w:szCs w:val="21"/>
              </w:rPr>
              <w:t>满分3分</w:t>
            </w:r>
            <w:r>
              <w:rPr>
                <w:rFonts w:hint="eastAsia" w:ascii="仿宋" w:hAnsi="仿宋" w:eastAsia="仿宋"/>
                <w:szCs w:val="21"/>
                <w:lang w:val="zh-CN"/>
              </w:rPr>
              <w:t xml:space="preserve">；  </w:t>
            </w:r>
          </w:p>
          <w:p>
            <w:pPr>
              <w:widowControl/>
              <w:spacing w:line="500" w:lineRule="exact"/>
              <w:jc w:val="left"/>
              <w:rPr>
                <w:rFonts w:ascii="仿宋" w:hAnsi="仿宋" w:eastAsia="仿宋"/>
                <w:szCs w:val="21"/>
                <w:lang w:val="zh-CN"/>
              </w:rPr>
            </w:pPr>
            <w:r>
              <w:rPr>
                <w:rFonts w:hint="eastAsia" w:ascii="仿宋" w:hAnsi="仿宋" w:eastAsia="仿宋"/>
                <w:szCs w:val="21"/>
                <w:lang w:val="zh-CN"/>
              </w:rPr>
              <w:t xml:space="preserve">为了保证设备质量及先进性，设备厂家应具有较强的企业实力和完善的管理体系，能够提供质量管理体系认证、信息安全管理体系认证，每提供一项得1分，满分2分。 </w:t>
            </w:r>
          </w:p>
          <w:p>
            <w:pPr>
              <w:widowControl/>
              <w:spacing w:line="500" w:lineRule="exact"/>
              <w:jc w:val="left"/>
              <w:rPr>
                <w:rFonts w:ascii="仿宋" w:hAnsi="仿宋" w:eastAsia="仿宋"/>
                <w:szCs w:val="21"/>
                <w:lang w:val="zh-CN"/>
              </w:rPr>
            </w:pPr>
            <w:r>
              <w:rPr>
                <w:rFonts w:hint="eastAsia" w:ascii="仿宋" w:hAnsi="仿宋" w:eastAsia="仿宋"/>
                <w:szCs w:val="21"/>
                <w:lang w:val="zh-CN"/>
              </w:rPr>
              <w:t>（以上提供佐证材料证明文件必须加盖公章）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1" w:type="dxa"/>
            <w:vMerge w:val="restart"/>
            <w:tcBorders>
              <w:left w:val="single" w:color="auto" w:sz="4" w:space="0"/>
              <w:right w:val="single" w:color="auto" w:sz="4" w:space="0"/>
            </w:tcBorders>
            <w:vAlign w:val="center"/>
          </w:tcPr>
          <w:p>
            <w:pPr>
              <w:autoSpaceDE w:val="0"/>
              <w:autoSpaceDN w:val="0"/>
              <w:adjustRightInd w:val="0"/>
              <w:snapToGrid w:val="0"/>
              <w:spacing w:line="500" w:lineRule="exact"/>
              <w:rPr>
                <w:rFonts w:ascii="仿宋" w:hAnsi="仿宋" w:eastAsia="仿宋"/>
                <w:szCs w:val="21"/>
              </w:rPr>
            </w:pPr>
            <w:r>
              <w:rPr>
                <w:rFonts w:hint="eastAsia" w:ascii="仿宋" w:hAnsi="仿宋" w:eastAsia="仿宋"/>
                <w:szCs w:val="21"/>
              </w:rPr>
              <w:t>商务部分（20分）</w:t>
            </w:r>
          </w:p>
        </w:tc>
        <w:tc>
          <w:tcPr>
            <w:tcW w:w="10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Cs w:val="21"/>
              </w:rPr>
            </w:pPr>
            <w:r>
              <w:rPr>
                <w:rFonts w:hint="eastAsia" w:ascii="仿宋" w:hAnsi="仿宋" w:eastAsia="仿宋" w:cs="仿宋"/>
                <w:szCs w:val="21"/>
              </w:rPr>
              <w:t>售后服务及培训</w:t>
            </w:r>
          </w:p>
        </w:tc>
        <w:tc>
          <w:tcPr>
            <w:tcW w:w="10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仿宋" w:hAnsi="仿宋" w:eastAsia="仿宋"/>
                <w:szCs w:val="21"/>
              </w:rPr>
            </w:pPr>
            <w:r>
              <w:rPr>
                <w:rFonts w:hint="eastAsia" w:ascii="仿宋" w:hAnsi="仿宋" w:eastAsia="仿宋"/>
                <w:szCs w:val="21"/>
              </w:rPr>
              <w:t>10分</w:t>
            </w:r>
          </w:p>
        </w:tc>
        <w:tc>
          <w:tcPr>
            <w:tcW w:w="65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szCs w:val="21"/>
                <w:lang w:val="zh-CN"/>
              </w:rPr>
            </w:pPr>
            <w:r>
              <w:rPr>
                <w:rFonts w:hint="eastAsia" w:ascii="仿宋" w:hAnsi="仿宋" w:eastAsia="仿宋"/>
                <w:szCs w:val="21"/>
                <w:lang w:val="zh-CN"/>
              </w:rPr>
              <w:t>1、针对采购人实际需求提供详细的售后服务方案，有专业的售后服务团队，完成设备安装及日常点检、巡检工作。根据服务团队专业素质及服务能力由评审委员会横向比较，按其响应程度计 （</w:t>
            </w:r>
            <w:r>
              <w:rPr>
                <w:rFonts w:hint="eastAsia" w:ascii="仿宋" w:hAnsi="仿宋" w:eastAsia="仿宋"/>
                <w:szCs w:val="21"/>
              </w:rPr>
              <w:t>0</w:t>
            </w:r>
            <w:r>
              <w:rPr>
                <w:rFonts w:hint="eastAsia" w:ascii="仿宋" w:hAnsi="仿宋" w:eastAsia="仿宋"/>
                <w:szCs w:val="21"/>
                <w:lang w:val="zh-CN"/>
              </w:rPr>
              <w:t>～</w:t>
            </w:r>
            <w:r>
              <w:rPr>
                <w:rFonts w:hint="eastAsia" w:ascii="仿宋" w:hAnsi="仿宋" w:eastAsia="仿宋"/>
                <w:szCs w:val="21"/>
              </w:rPr>
              <w:t>3</w:t>
            </w:r>
            <w:r>
              <w:rPr>
                <w:rFonts w:hint="eastAsia" w:ascii="仿宋" w:hAnsi="仿宋" w:eastAsia="仿宋"/>
                <w:szCs w:val="21"/>
                <w:lang w:val="zh-CN"/>
              </w:rPr>
              <w:t>分）；</w:t>
            </w:r>
          </w:p>
          <w:p>
            <w:pPr>
              <w:widowControl/>
              <w:spacing w:line="500" w:lineRule="exact"/>
              <w:jc w:val="left"/>
              <w:rPr>
                <w:rFonts w:ascii="仿宋" w:hAnsi="仿宋" w:eastAsia="仿宋"/>
                <w:szCs w:val="21"/>
                <w:lang w:val="zh-CN"/>
              </w:rPr>
            </w:pPr>
            <w:r>
              <w:rPr>
                <w:rFonts w:hint="eastAsia" w:ascii="仿宋" w:hAnsi="仿宋" w:eastAsia="仿宋"/>
                <w:szCs w:val="21"/>
                <w:lang w:val="zh-CN"/>
              </w:rPr>
              <w:t>2、投标人</w:t>
            </w:r>
            <w:r>
              <w:rPr>
                <w:rFonts w:ascii="仿宋" w:hAnsi="仿宋" w:eastAsia="仿宋"/>
                <w:szCs w:val="21"/>
                <w:lang w:val="zh-CN"/>
              </w:rPr>
              <w:t>提供的培训方案（包括但不限于培训人数、培训时间、培训及考核办法</w:t>
            </w:r>
            <w:r>
              <w:rPr>
                <w:rFonts w:hint="eastAsia" w:ascii="仿宋" w:hAnsi="仿宋" w:eastAsia="仿宋"/>
                <w:szCs w:val="21"/>
                <w:lang w:val="zh-CN"/>
              </w:rPr>
              <w:t>、培训项目、培训能力，有助于采购人长期实现人员培养和操作技术先进性</w:t>
            </w:r>
            <w:r>
              <w:rPr>
                <w:rFonts w:ascii="仿宋" w:hAnsi="仿宋" w:eastAsia="仿宋"/>
                <w:szCs w:val="21"/>
                <w:lang w:val="zh-CN"/>
              </w:rPr>
              <w:t>等），保证使用方能熟练操作，按其响应程度计</w:t>
            </w:r>
            <w:r>
              <w:rPr>
                <w:rFonts w:hint="eastAsia" w:ascii="仿宋" w:hAnsi="仿宋" w:eastAsia="仿宋"/>
                <w:szCs w:val="21"/>
                <w:lang w:val="zh-CN"/>
              </w:rPr>
              <w:t>（</w:t>
            </w:r>
            <w:r>
              <w:rPr>
                <w:rFonts w:hint="eastAsia" w:ascii="仿宋" w:hAnsi="仿宋" w:eastAsia="仿宋"/>
                <w:szCs w:val="21"/>
              </w:rPr>
              <w:t>0</w:t>
            </w:r>
            <w:r>
              <w:rPr>
                <w:rFonts w:hint="eastAsia" w:ascii="仿宋" w:hAnsi="仿宋" w:eastAsia="仿宋"/>
                <w:szCs w:val="21"/>
                <w:lang w:val="zh-CN"/>
              </w:rPr>
              <w:t>～</w:t>
            </w:r>
            <w:r>
              <w:rPr>
                <w:rFonts w:hint="eastAsia" w:ascii="仿宋" w:hAnsi="仿宋" w:eastAsia="仿宋"/>
                <w:szCs w:val="21"/>
              </w:rPr>
              <w:t>3</w:t>
            </w:r>
            <w:r>
              <w:rPr>
                <w:rFonts w:hint="eastAsia" w:ascii="仿宋" w:hAnsi="仿宋" w:eastAsia="仿宋"/>
                <w:szCs w:val="21"/>
                <w:lang w:val="zh-CN"/>
              </w:rPr>
              <w:t>分）；</w:t>
            </w:r>
          </w:p>
          <w:p>
            <w:pPr>
              <w:widowControl/>
              <w:spacing w:line="500" w:lineRule="exact"/>
              <w:jc w:val="left"/>
              <w:rPr>
                <w:rFonts w:ascii="仿宋" w:hAnsi="仿宋" w:eastAsia="仿宋"/>
                <w:szCs w:val="21"/>
                <w:lang w:val="zh-CN"/>
              </w:rPr>
            </w:pPr>
            <w:r>
              <w:rPr>
                <w:rFonts w:hint="eastAsia" w:ascii="仿宋" w:hAnsi="仿宋" w:eastAsia="仿宋"/>
                <w:szCs w:val="21"/>
                <w:lang w:val="zh-CN"/>
              </w:rPr>
              <w:t>3、针对该项目有售后服务计划、售后服务措施，其他附带产品服务承诺等，按其响应程度计（</w:t>
            </w:r>
            <w:r>
              <w:rPr>
                <w:rFonts w:hint="eastAsia" w:ascii="仿宋" w:hAnsi="仿宋" w:eastAsia="仿宋"/>
                <w:szCs w:val="21"/>
              </w:rPr>
              <w:t>0</w:t>
            </w:r>
            <w:r>
              <w:rPr>
                <w:rFonts w:hint="eastAsia" w:ascii="仿宋" w:hAnsi="仿宋" w:eastAsia="仿宋"/>
                <w:szCs w:val="21"/>
                <w:lang w:val="zh-CN"/>
              </w:rPr>
              <w:t>～</w:t>
            </w:r>
            <w:r>
              <w:rPr>
                <w:rFonts w:hint="eastAsia" w:ascii="仿宋" w:hAnsi="仿宋" w:eastAsia="仿宋"/>
                <w:szCs w:val="21"/>
              </w:rPr>
              <w:t>2</w:t>
            </w:r>
            <w:r>
              <w:rPr>
                <w:rFonts w:hint="eastAsia" w:ascii="仿宋" w:hAnsi="仿宋" w:eastAsia="仿宋"/>
                <w:szCs w:val="21"/>
                <w:lang w:val="zh-CN"/>
              </w:rPr>
              <w:t>分）；</w:t>
            </w:r>
          </w:p>
          <w:p>
            <w:pPr>
              <w:widowControl/>
              <w:spacing w:line="500" w:lineRule="exact"/>
              <w:jc w:val="left"/>
              <w:rPr>
                <w:rFonts w:ascii="仿宋" w:hAnsi="仿宋" w:eastAsia="仿宋"/>
                <w:szCs w:val="21"/>
                <w:lang w:val="zh-CN"/>
              </w:rPr>
            </w:pPr>
            <w:r>
              <w:rPr>
                <w:rFonts w:hint="eastAsia" w:ascii="仿宋" w:hAnsi="仿宋" w:eastAsia="仿宋"/>
                <w:szCs w:val="21"/>
                <w:lang w:val="zh-CN"/>
              </w:rPr>
              <w:t>4、投标人的设备</w:t>
            </w:r>
            <w:r>
              <w:rPr>
                <w:rFonts w:hint="eastAsia" w:ascii="仿宋" w:hAnsi="仿宋" w:eastAsia="仿宋"/>
                <w:szCs w:val="21"/>
              </w:rPr>
              <w:t>实施调试</w:t>
            </w:r>
            <w:r>
              <w:rPr>
                <w:rFonts w:hint="eastAsia" w:ascii="仿宋" w:hAnsi="仿宋" w:eastAsia="仿宋"/>
                <w:szCs w:val="21"/>
                <w:lang w:val="zh-CN"/>
              </w:rPr>
              <w:t>能力，针对该项目的</w:t>
            </w:r>
            <w:r>
              <w:rPr>
                <w:rFonts w:hint="eastAsia" w:ascii="仿宋" w:hAnsi="仿宋" w:eastAsia="仿宋"/>
                <w:szCs w:val="21"/>
              </w:rPr>
              <w:t>实施</w:t>
            </w:r>
            <w:r>
              <w:rPr>
                <w:rFonts w:hint="eastAsia" w:ascii="仿宋" w:hAnsi="仿宋" w:eastAsia="仿宋"/>
                <w:szCs w:val="21"/>
                <w:lang w:val="zh-CN"/>
              </w:rPr>
              <w:t>人员数量及</w:t>
            </w:r>
            <w:r>
              <w:rPr>
                <w:rFonts w:hint="eastAsia" w:ascii="仿宋" w:hAnsi="仿宋" w:eastAsia="仿宋"/>
                <w:szCs w:val="21"/>
              </w:rPr>
              <w:t>实施</w:t>
            </w:r>
            <w:r>
              <w:rPr>
                <w:rFonts w:hint="eastAsia" w:ascii="仿宋" w:hAnsi="仿宋" w:eastAsia="仿宋"/>
                <w:szCs w:val="21"/>
                <w:lang w:val="zh-CN"/>
              </w:rPr>
              <w:t>能力，</w:t>
            </w:r>
            <w:r>
              <w:rPr>
                <w:rFonts w:hint="eastAsia" w:ascii="仿宋" w:hAnsi="仿宋" w:eastAsia="仿宋"/>
                <w:szCs w:val="21"/>
              </w:rPr>
              <w:t>售后</w:t>
            </w:r>
            <w:r>
              <w:rPr>
                <w:rFonts w:hint="eastAsia" w:ascii="仿宋" w:hAnsi="仿宋" w:eastAsia="仿宋"/>
                <w:szCs w:val="21"/>
                <w:lang w:val="zh-CN"/>
              </w:rPr>
              <w:t>响应时间及备品方案等，由评审委员会横向比较，按其响应程度计（</w:t>
            </w:r>
            <w:r>
              <w:rPr>
                <w:rFonts w:hint="eastAsia" w:ascii="仿宋" w:hAnsi="仿宋" w:eastAsia="仿宋"/>
                <w:szCs w:val="21"/>
              </w:rPr>
              <w:t>0</w:t>
            </w:r>
            <w:r>
              <w:rPr>
                <w:rFonts w:hint="eastAsia" w:ascii="仿宋" w:hAnsi="仿宋" w:eastAsia="仿宋"/>
                <w:szCs w:val="21"/>
                <w:lang w:val="zh-CN"/>
              </w:rPr>
              <w:t>～</w:t>
            </w:r>
            <w:r>
              <w:rPr>
                <w:rFonts w:hint="eastAsia" w:ascii="仿宋" w:hAnsi="仿宋" w:eastAsia="仿宋"/>
                <w:szCs w:val="21"/>
              </w:rPr>
              <w:t>2</w:t>
            </w:r>
            <w:r>
              <w:rPr>
                <w:rFonts w:hint="eastAsia" w:ascii="仿宋" w:hAnsi="仿宋" w:eastAsia="仿宋"/>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51" w:type="dxa"/>
            <w:vMerge w:val="continue"/>
            <w:tcBorders>
              <w:left w:val="single" w:color="auto" w:sz="4" w:space="0"/>
              <w:right w:val="single" w:color="auto" w:sz="4" w:space="0"/>
            </w:tcBorders>
            <w:vAlign w:val="center"/>
          </w:tcPr>
          <w:p>
            <w:pPr>
              <w:adjustRightInd w:val="0"/>
              <w:snapToGrid w:val="0"/>
              <w:spacing w:line="500" w:lineRule="exact"/>
              <w:jc w:val="center"/>
              <w:rPr>
                <w:rFonts w:ascii="仿宋" w:hAnsi="仿宋" w:eastAsia="仿宋"/>
                <w:szCs w:val="21"/>
                <w:lang w:val="zh-CN"/>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szCs w:val="21"/>
              </w:rPr>
            </w:pPr>
            <w:r>
              <w:rPr>
                <w:rFonts w:hint="eastAsia" w:ascii="仿宋" w:hAnsi="仿宋" w:eastAsia="仿宋"/>
                <w:szCs w:val="21"/>
                <w:lang w:val="zh-CN"/>
              </w:rPr>
              <w:t>业绩</w:t>
            </w:r>
          </w:p>
        </w:tc>
        <w:tc>
          <w:tcPr>
            <w:tcW w:w="1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 w:hAnsi="仿宋" w:eastAsia="仿宋"/>
                <w:szCs w:val="21"/>
              </w:rPr>
            </w:pPr>
            <w:r>
              <w:rPr>
                <w:rFonts w:hint="eastAsia" w:ascii="仿宋" w:hAnsi="仿宋" w:eastAsia="仿宋"/>
                <w:szCs w:val="21"/>
              </w:rPr>
              <w:t>10分</w:t>
            </w:r>
          </w:p>
        </w:tc>
        <w:tc>
          <w:tcPr>
            <w:tcW w:w="6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00" w:lineRule="exact"/>
              <w:rPr>
                <w:rFonts w:ascii="仿宋" w:hAnsi="仿宋" w:eastAsia="仿宋"/>
                <w:szCs w:val="21"/>
              </w:rPr>
            </w:pPr>
            <w:r>
              <w:rPr>
                <w:rFonts w:hint="eastAsia" w:ascii="仿宋" w:hAnsi="仿宋" w:eastAsia="仿宋"/>
                <w:szCs w:val="21"/>
              </w:rPr>
              <w:t>投标人提供2019年10月至今信息化建设项目业绩（项目内包含信息安全相关设备或服务），以采购合同为准，每提供一份得2分，最高得10分。</w:t>
            </w:r>
          </w:p>
        </w:tc>
      </w:tr>
    </w:tbl>
    <w:p>
      <w:pPr>
        <w:pStyle w:val="34"/>
        <w:spacing w:before="0" w:after="0" w:line="360" w:lineRule="auto"/>
        <w:rPr>
          <w:rFonts w:ascii="仿宋" w:hAnsi="仿宋" w:eastAsia="仿宋" w:cs="仿宋_GB2312"/>
        </w:rPr>
      </w:pPr>
      <w:r>
        <w:rPr>
          <w:rFonts w:ascii="仿宋" w:hAnsi="仿宋" w:eastAsia="仿宋"/>
        </w:rPr>
        <w:br w:type="page"/>
      </w:r>
      <w:bookmarkStart w:id="248" w:name="_Toc532473757"/>
      <w:bookmarkStart w:id="249" w:name="_Toc532044541"/>
      <w:bookmarkStart w:id="250" w:name="_Toc6865"/>
      <w:bookmarkStart w:id="251" w:name="_Toc515647833"/>
      <w:bookmarkStart w:id="252" w:name="_Toc4796"/>
      <w:bookmarkStart w:id="253" w:name="_Toc110013786"/>
      <w:r>
        <w:rPr>
          <w:rFonts w:ascii="仿宋" w:hAnsi="仿宋" w:eastAsia="仿宋" w:cs="仿宋_GB2312"/>
        </w:rPr>
        <w:t>第四章</w:t>
      </w:r>
      <w:r>
        <w:rPr>
          <w:rFonts w:hint="eastAsia" w:ascii="仿宋" w:hAnsi="仿宋" w:eastAsia="仿宋" w:cs="仿宋_GB2312"/>
        </w:rPr>
        <w:t xml:space="preserve"> </w:t>
      </w:r>
      <w:r>
        <w:rPr>
          <w:rFonts w:ascii="仿宋" w:hAnsi="仿宋" w:eastAsia="仿宋" w:cs="仿宋_GB2312"/>
        </w:rPr>
        <w:t>拟签订的合同</w:t>
      </w:r>
      <w:bookmarkEnd w:id="248"/>
      <w:bookmarkEnd w:id="249"/>
      <w:bookmarkEnd w:id="250"/>
      <w:bookmarkEnd w:id="251"/>
      <w:bookmarkEnd w:id="252"/>
      <w:bookmarkStart w:id="254" w:name="_Hlt487972895"/>
      <w:bookmarkEnd w:id="254"/>
      <w:bookmarkStart w:id="255" w:name="_Toc487900382"/>
      <w:bookmarkStart w:id="256" w:name="_Toc216513788"/>
      <w:r>
        <w:rPr>
          <w:rFonts w:ascii="仿宋" w:hAnsi="仿宋" w:eastAsia="仿宋" w:cs="仿宋_GB2312"/>
        </w:rPr>
        <w:t>文本</w:t>
      </w:r>
      <w:bookmarkEnd w:id="253"/>
      <w:bookmarkEnd w:id="255"/>
      <w:bookmarkEnd w:id="256"/>
    </w:p>
    <w:p>
      <w:pPr>
        <w:pStyle w:val="13"/>
        <w:tabs>
          <w:tab w:val="clear" w:pos="567"/>
        </w:tabs>
        <w:spacing w:before="0" w:line="400" w:lineRule="exact"/>
        <w:rPr>
          <w:rFonts w:ascii="仿宋" w:hAnsi="仿宋" w:eastAsia="仿宋"/>
        </w:rPr>
      </w:pPr>
      <w:bookmarkStart w:id="257" w:name="_Toc110013787"/>
      <w:r>
        <w:rPr>
          <w:rFonts w:hint="eastAsia" w:ascii="仿宋" w:hAnsi="仿宋" w:eastAsia="仿宋"/>
        </w:rPr>
        <w:t>甲  方：延安市审计局</w:t>
      </w:r>
    </w:p>
    <w:p>
      <w:pPr>
        <w:pStyle w:val="13"/>
        <w:tabs>
          <w:tab w:val="clear" w:pos="567"/>
        </w:tabs>
        <w:spacing w:before="0" w:line="400" w:lineRule="exact"/>
        <w:rPr>
          <w:rFonts w:ascii="仿宋" w:hAnsi="仿宋" w:eastAsia="仿宋"/>
        </w:rPr>
      </w:pPr>
      <w:r>
        <w:rPr>
          <w:rFonts w:hint="eastAsia" w:ascii="仿宋" w:hAnsi="仿宋" w:eastAsia="仿宋"/>
        </w:rPr>
        <w:t>乙  方：</w:t>
      </w:r>
    </w:p>
    <w:p>
      <w:pPr>
        <w:pStyle w:val="13"/>
        <w:tabs>
          <w:tab w:val="clear" w:pos="567"/>
        </w:tabs>
        <w:spacing w:before="0" w:line="400" w:lineRule="exact"/>
        <w:rPr>
          <w:rFonts w:ascii="仿宋" w:hAnsi="仿宋" w:eastAsia="仿宋"/>
        </w:rPr>
      </w:pPr>
      <w:r>
        <w:rPr>
          <w:rFonts w:hint="eastAsia" w:ascii="仿宋" w:hAnsi="仿宋" w:eastAsia="仿宋"/>
        </w:rPr>
        <w:t>签约地点：延安市审计局</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根据《中华人民共和国民法典》、《中华人民共和国政府采购法》等与项目行业有关的法律法规、本项目（项目编号：    ）的招标文件、投标文件，遵循平等、自愿、公平和诚信的原则，甲、乙双方同意签订本合同，并共同遵守如下条款：</w:t>
      </w:r>
    </w:p>
    <w:p>
      <w:pPr>
        <w:pStyle w:val="13"/>
        <w:tabs>
          <w:tab w:val="clear" w:pos="567"/>
        </w:tabs>
        <w:spacing w:before="0" w:line="400" w:lineRule="exact"/>
        <w:ind w:firstLine="540" w:firstLineChars="225"/>
        <w:rPr>
          <w:rFonts w:ascii="仿宋" w:hAnsi="仿宋" w:eastAsia="仿宋"/>
        </w:rPr>
      </w:pPr>
      <w:bookmarkStart w:id="258" w:name="_Toc43101394"/>
      <w:r>
        <w:rPr>
          <w:rFonts w:hint="eastAsia" w:ascii="仿宋" w:hAnsi="仿宋" w:eastAsia="仿宋"/>
        </w:rPr>
        <w:t>一、设备价款</w:t>
      </w:r>
    </w:p>
    <w:tbl>
      <w:tblPr>
        <w:tblStyle w:val="37"/>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17"/>
        <w:gridCol w:w="1701"/>
        <w:gridCol w:w="1275"/>
        <w:gridCol w:w="728"/>
        <w:gridCol w:w="723"/>
        <w:gridCol w:w="1247"/>
        <w:gridCol w:w="116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7" w:type="dxa"/>
            <w:vAlign w:val="center"/>
          </w:tcPr>
          <w:p>
            <w:pPr>
              <w:pStyle w:val="28"/>
              <w:tabs>
                <w:tab w:val="left" w:pos="12780"/>
              </w:tabs>
              <w:spacing w:before="0" w:line="400" w:lineRule="exact"/>
              <w:ind w:left="0" w:firstLine="0"/>
              <w:rPr>
                <w:rFonts w:ascii="仿宋" w:hAnsi="仿宋" w:eastAsia="仿宋" w:cs="仿宋"/>
                <w:sz w:val="21"/>
                <w:szCs w:val="21"/>
              </w:rPr>
            </w:pPr>
            <w:r>
              <w:rPr>
                <w:rFonts w:hint="eastAsia" w:ascii="仿宋" w:hAnsi="仿宋" w:eastAsia="仿宋" w:cs="仿宋"/>
                <w:sz w:val="21"/>
                <w:szCs w:val="21"/>
              </w:rPr>
              <w:t>序号</w:t>
            </w:r>
          </w:p>
        </w:tc>
        <w:tc>
          <w:tcPr>
            <w:tcW w:w="1117" w:type="dxa"/>
            <w:vAlign w:val="center"/>
          </w:tcPr>
          <w:p>
            <w:pPr>
              <w:pStyle w:val="28"/>
              <w:tabs>
                <w:tab w:val="left" w:pos="12780"/>
              </w:tabs>
              <w:spacing w:before="0" w:line="400" w:lineRule="exact"/>
              <w:ind w:left="0" w:firstLine="0"/>
              <w:rPr>
                <w:rFonts w:ascii="仿宋" w:hAnsi="仿宋" w:eastAsia="仿宋" w:cs="仿宋"/>
                <w:sz w:val="21"/>
                <w:szCs w:val="21"/>
              </w:rPr>
            </w:pPr>
            <w:r>
              <w:rPr>
                <w:rFonts w:hint="eastAsia" w:ascii="仿宋" w:hAnsi="仿宋" w:eastAsia="仿宋" w:cs="仿宋"/>
                <w:sz w:val="21"/>
                <w:szCs w:val="21"/>
              </w:rPr>
              <w:t>设备名称</w:t>
            </w:r>
          </w:p>
        </w:tc>
        <w:tc>
          <w:tcPr>
            <w:tcW w:w="1701" w:type="dxa"/>
            <w:vAlign w:val="center"/>
          </w:tcPr>
          <w:p>
            <w:pPr>
              <w:pStyle w:val="28"/>
              <w:tabs>
                <w:tab w:val="left" w:pos="12780"/>
              </w:tabs>
              <w:spacing w:before="0" w:line="400" w:lineRule="exact"/>
              <w:ind w:left="0" w:firstLine="0"/>
              <w:rPr>
                <w:rFonts w:ascii="仿宋" w:hAnsi="仿宋" w:eastAsia="仿宋" w:cs="仿宋"/>
                <w:sz w:val="21"/>
                <w:szCs w:val="21"/>
              </w:rPr>
            </w:pPr>
            <w:r>
              <w:rPr>
                <w:rFonts w:hint="eastAsia" w:ascii="仿宋" w:hAnsi="仿宋" w:eastAsia="仿宋" w:cs="仿宋"/>
                <w:sz w:val="21"/>
                <w:szCs w:val="21"/>
              </w:rPr>
              <w:t>品牌/规格型号</w:t>
            </w:r>
          </w:p>
        </w:tc>
        <w:tc>
          <w:tcPr>
            <w:tcW w:w="1275" w:type="dxa"/>
            <w:vAlign w:val="center"/>
          </w:tcPr>
          <w:p>
            <w:pPr>
              <w:pStyle w:val="28"/>
              <w:tabs>
                <w:tab w:val="left" w:pos="12780"/>
              </w:tabs>
              <w:spacing w:before="0" w:line="400" w:lineRule="exact"/>
              <w:ind w:left="0" w:firstLine="0"/>
              <w:rPr>
                <w:rFonts w:ascii="仿宋" w:hAnsi="仿宋" w:eastAsia="仿宋" w:cs="仿宋"/>
                <w:sz w:val="21"/>
                <w:szCs w:val="21"/>
              </w:rPr>
            </w:pPr>
            <w:r>
              <w:rPr>
                <w:rFonts w:hint="eastAsia" w:ascii="仿宋" w:hAnsi="仿宋" w:eastAsia="仿宋" w:cs="仿宋"/>
                <w:sz w:val="21"/>
                <w:szCs w:val="21"/>
              </w:rPr>
              <w:t>制造商名称</w:t>
            </w:r>
          </w:p>
        </w:tc>
        <w:tc>
          <w:tcPr>
            <w:tcW w:w="728" w:type="dxa"/>
            <w:vAlign w:val="center"/>
          </w:tcPr>
          <w:p>
            <w:pPr>
              <w:pStyle w:val="28"/>
              <w:tabs>
                <w:tab w:val="left" w:pos="12780"/>
              </w:tabs>
              <w:spacing w:before="0" w:line="400" w:lineRule="exact"/>
              <w:ind w:left="0" w:firstLine="0"/>
              <w:jc w:val="center"/>
              <w:rPr>
                <w:rFonts w:ascii="仿宋" w:hAnsi="仿宋" w:eastAsia="仿宋" w:cs="仿宋"/>
                <w:sz w:val="21"/>
                <w:szCs w:val="21"/>
              </w:rPr>
            </w:pPr>
            <w:r>
              <w:rPr>
                <w:rFonts w:hint="eastAsia" w:ascii="仿宋" w:hAnsi="仿宋" w:eastAsia="仿宋" w:cs="仿宋"/>
                <w:sz w:val="21"/>
                <w:szCs w:val="21"/>
              </w:rPr>
              <w:t>单位</w:t>
            </w:r>
          </w:p>
        </w:tc>
        <w:tc>
          <w:tcPr>
            <w:tcW w:w="723" w:type="dxa"/>
            <w:vAlign w:val="center"/>
          </w:tcPr>
          <w:p>
            <w:pPr>
              <w:pStyle w:val="28"/>
              <w:tabs>
                <w:tab w:val="left" w:pos="12780"/>
              </w:tabs>
              <w:spacing w:before="0" w:line="400" w:lineRule="exact"/>
              <w:ind w:left="0" w:firstLine="0"/>
              <w:jc w:val="center"/>
              <w:rPr>
                <w:rFonts w:ascii="仿宋" w:hAnsi="仿宋" w:eastAsia="仿宋" w:cs="仿宋"/>
                <w:sz w:val="21"/>
                <w:szCs w:val="21"/>
              </w:rPr>
            </w:pPr>
            <w:r>
              <w:rPr>
                <w:rFonts w:hint="eastAsia" w:ascii="仿宋" w:hAnsi="仿宋" w:eastAsia="仿宋" w:cs="仿宋"/>
                <w:sz w:val="21"/>
                <w:szCs w:val="21"/>
              </w:rPr>
              <w:t>数量</w:t>
            </w:r>
          </w:p>
        </w:tc>
        <w:tc>
          <w:tcPr>
            <w:tcW w:w="1247" w:type="dxa"/>
            <w:vAlign w:val="center"/>
          </w:tcPr>
          <w:p>
            <w:pPr>
              <w:pStyle w:val="28"/>
              <w:tabs>
                <w:tab w:val="left" w:pos="12780"/>
              </w:tabs>
              <w:spacing w:before="0" w:line="400" w:lineRule="exact"/>
              <w:ind w:left="0" w:firstLine="0"/>
              <w:jc w:val="center"/>
              <w:rPr>
                <w:rFonts w:ascii="仿宋" w:hAnsi="仿宋" w:eastAsia="仿宋" w:cs="仿宋"/>
                <w:sz w:val="21"/>
                <w:szCs w:val="21"/>
              </w:rPr>
            </w:pPr>
            <w:r>
              <w:rPr>
                <w:rFonts w:hint="eastAsia" w:ascii="仿宋" w:hAnsi="仿宋" w:eastAsia="仿宋" w:cs="仿宋"/>
                <w:sz w:val="21"/>
                <w:szCs w:val="21"/>
              </w:rPr>
              <w:t xml:space="preserve">单价 </w:t>
            </w:r>
          </w:p>
          <w:p>
            <w:pPr>
              <w:pStyle w:val="28"/>
              <w:tabs>
                <w:tab w:val="left" w:pos="12780"/>
              </w:tabs>
              <w:spacing w:before="0" w:line="400" w:lineRule="exact"/>
              <w:ind w:left="0" w:firstLine="0"/>
              <w:jc w:val="center"/>
              <w:rPr>
                <w:rFonts w:ascii="仿宋" w:hAnsi="仿宋" w:eastAsia="仿宋" w:cs="仿宋"/>
                <w:sz w:val="21"/>
                <w:szCs w:val="21"/>
              </w:rPr>
            </w:pPr>
            <w:r>
              <w:rPr>
                <w:rFonts w:hint="eastAsia" w:ascii="仿宋" w:hAnsi="仿宋" w:eastAsia="仿宋" w:cs="仿宋"/>
                <w:sz w:val="21"/>
                <w:szCs w:val="21"/>
              </w:rPr>
              <w:t xml:space="preserve"> （万元）</w:t>
            </w:r>
          </w:p>
        </w:tc>
        <w:tc>
          <w:tcPr>
            <w:tcW w:w="1167" w:type="dxa"/>
            <w:vAlign w:val="center"/>
          </w:tcPr>
          <w:p>
            <w:pPr>
              <w:pStyle w:val="28"/>
              <w:tabs>
                <w:tab w:val="left" w:pos="12780"/>
              </w:tabs>
              <w:spacing w:before="0" w:line="400" w:lineRule="exact"/>
              <w:ind w:left="0" w:firstLine="0"/>
              <w:jc w:val="center"/>
              <w:rPr>
                <w:rFonts w:ascii="仿宋" w:hAnsi="仿宋" w:eastAsia="仿宋" w:cs="仿宋"/>
                <w:sz w:val="21"/>
                <w:szCs w:val="21"/>
              </w:rPr>
            </w:pPr>
            <w:r>
              <w:rPr>
                <w:rFonts w:hint="eastAsia" w:ascii="仿宋" w:hAnsi="仿宋" w:eastAsia="仿宋" w:cs="仿宋"/>
                <w:sz w:val="21"/>
                <w:szCs w:val="21"/>
              </w:rPr>
              <w:t xml:space="preserve">金额  </w:t>
            </w:r>
          </w:p>
          <w:p>
            <w:pPr>
              <w:pStyle w:val="28"/>
              <w:tabs>
                <w:tab w:val="left" w:pos="12780"/>
              </w:tabs>
              <w:spacing w:before="0" w:line="400" w:lineRule="exact"/>
              <w:ind w:left="0" w:firstLine="0"/>
              <w:jc w:val="center"/>
              <w:rPr>
                <w:rFonts w:ascii="仿宋" w:hAnsi="仿宋" w:eastAsia="仿宋" w:cs="仿宋"/>
                <w:sz w:val="21"/>
                <w:szCs w:val="21"/>
              </w:rPr>
            </w:pPr>
            <w:r>
              <w:rPr>
                <w:rFonts w:hint="eastAsia" w:ascii="仿宋" w:hAnsi="仿宋" w:eastAsia="仿宋" w:cs="仿宋"/>
                <w:sz w:val="21"/>
                <w:szCs w:val="21"/>
              </w:rPr>
              <w:t>（万元）</w:t>
            </w:r>
          </w:p>
        </w:tc>
        <w:tc>
          <w:tcPr>
            <w:tcW w:w="1097" w:type="dxa"/>
            <w:vAlign w:val="center"/>
          </w:tcPr>
          <w:p>
            <w:pPr>
              <w:pStyle w:val="28"/>
              <w:tabs>
                <w:tab w:val="left" w:pos="12780"/>
              </w:tabs>
              <w:spacing w:before="0" w:line="400" w:lineRule="exact"/>
              <w:ind w:left="0" w:firstLine="0"/>
              <w:rPr>
                <w:rFonts w:ascii="仿宋" w:hAnsi="仿宋" w:eastAsia="仿宋" w:cs="仿宋"/>
                <w:sz w:val="21"/>
                <w:szCs w:val="21"/>
              </w:rPr>
            </w:pPr>
            <w:r>
              <w:rPr>
                <w:rFonts w:hint="eastAsia" w:ascii="仿宋" w:hAnsi="仿宋" w:eastAsia="仿宋" w:cs="仿宋"/>
                <w:sz w:val="21"/>
                <w:szCs w:val="21"/>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7" w:type="dxa"/>
            <w:vAlign w:val="center"/>
          </w:tcPr>
          <w:p>
            <w:pPr>
              <w:spacing w:line="400" w:lineRule="exact"/>
              <w:jc w:val="left"/>
              <w:rPr>
                <w:rFonts w:ascii="仿宋" w:hAnsi="仿宋" w:eastAsia="仿宋" w:cs="仿宋"/>
                <w:szCs w:val="21"/>
              </w:rPr>
            </w:pPr>
            <w:r>
              <w:rPr>
                <w:rFonts w:hint="eastAsia" w:ascii="仿宋" w:hAnsi="仿宋" w:eastAsia="仿宋" w:cs="仿宋"/>
                <w:szCs w:val="21"/>
              </w:rPr>
              <w:t>1</w:t>
            </w:r>
          </w:p>
        </w:tc>
        <w:tc>
          <w:tcPr>
            <w:tcW w:w="1117" w:type="dxa"/>
            <w:vAlign w:val="center"/>
          </w:tcPr>
          <w:p>
            <w:pPr>
              <w:spacing w:line="400" w:lineRule="exact"/>
              <w:jc w:val="left"/>
              <w:rPr>
                <w:rFonts w:ascii="仿宋" w:hAnsi="仿宋" w:eastAsia="仿宋" w:cs="仿宋"/>
                <w:szCs w:val="21"/>
              </w:rPr>
            </w:pPr>
          </w:p>
        </w:tc>
        <w:tc>
          <w:tcPr>
            <w:tcW w:w="1701" w:type="dxa"/>
            <w:vAlign w:val="center"/>
          </w:tcPr>
          <w:p>
            <w:pPr>
              <w:spacing w:line="400" w:lineRule="exact"/>
              <w:jc w:val="left"/>
              <w:rPr>
                <w:rFonts w:ascii="仿宋" w:hAnsi="仿宋" w:eastAsia="仿宋" w:cs="仿宋"/>
                <w:szCs w:val="21"/>
              </w:rPr>
            </w:pPr>
          </w:p>
        </w:tc>
        <w:tc>
          <w:tcPr>
            <w:tcW w:w="1275" w:type="dxa"/>
            <w:vAlign w:val="center"/>
          </w:tcPr>
          <w:p>
            <w:pPr>
              <w:pStyle w:val="28"/>
              <w:tabs>
                <w:tab w:val="left" w:pos="12780"/>
              </w:tabs>
              <w:spacing w:before="0" w:line="400" w:lineRule="exact"/>
              <w:ind w:firstLine="0"/>
              <w:rPr>
                <w:rFonts w:ascii="仿宋" w:hAnsi="仿宋" w:eastAsia="仿宋" w:cs="仿宋"/>
                <w:color w:val="000000"/>
                <w:sz w:val="21"/>
                <w:szCs w:val="21"/>
              </w:rPr>
            </w:pPr>
          </w:p>
        </w:tc>
        <w:tc>
          <w:tcPr>
            <w:tcW w:w="728" w:type="dxa"/>
            <w:vAlign w:val="center"/>
          </w:tcPr>
          <w:p>
            <w:pPr>
              <w:pStyle w:val="28"/>
              <w:tabs>
                <w:tab w:val="left" w:pos="12780"/>
              </w:tabs>
              <w:spacing w:before="0" w:line="400" w:lineRule="exact"/>
              <w:ind w:firstLine="0"/>
              <w:rPr>
                <w:rFonts w:ascii="仿宋" w:hAnsi="仿宋" w:eastAsia="仿宋" w:cs="仿宋"/>
                <w:sz w:val="21"/>
                <w:szCs w:val="21"/>
              </w:rPr>
            </w:pPr>
          </w:p>
        </w:tc>
        <w:tc>
          <w:tcPr>
            <w:tcW w:w="723" w:type="dxa"/>
            <w:vAlign w:val="center"/>
          </w:tcPr>
          <w:p>
            <w:pPr>
              <w:spacing w:line="400" w:lineRule="exact"/>
              <w:jc w:val="left"/>
              <w:rPr>
                <w:rFonts w:ascii="仿宋" w:hAnsi="仿宋" w:eastAsia="仿宋" w:cs="仿宋"/>
                <w:szCs w:val="21"/>
              </w:rPr>
            </w:pPr>
          </w:p>
        </w:tc>
        <w:tc>
          <w:tcPr>
            <w:tcW w:w="1247" w:type="dxa"/>
            <w:vAlign w:val="center"/>
          </w:tcPr>
          <w:p>
            <w:pPr>
              <w:pStyle w:val="28"/>
              <w:tabs>
                <w:tab w:val="left" w:pos="12780"/>
              </w:tabs>
              <w:spacing w:before="0" w:line="400" w:lineRule="exact"/>
              <w:ind w:firstLine="0"/>
              <w:jc w:val="center"/>
              <w:rPr>
                <w:rFonts w:ascii="仿宋" w:hAnsi="仿宋" w:eastAsia="仿宋" w:cs="仿宋"/>
                <w:sz w:val="21"/>
                <w:szCs w:val="21"/>
              </w:rPr>
            </w:pPr>
          </w:p>
        </w:tc>
        <w:tc>
          <w:tcPr>
            <w:tcW w:w="1167" w:type="dxa"/>
            <w:vAlign w:val="center"/>
          </w:tcPr>
          <w:p>
            <w:pPr>
              <w:pStyle w:val="28"/>
              <w:tabs>
                <w:tab w:val="left" w:pos="12780"/>
              </w:tabs>
              <w:spacing w:before="0" w:line="400" w:lineRule="exact"/>
              <w:ind w:firstLine="0"/>
              <w:jc w:val="both"/>
              <w:rPr>
                <w:rFonts w:ascii="仿宋" w:hAnsi="仿宋" w:eastAsia="仿宋" w:cs="仿宋"/>
                <w:sz w:val="21"/>
                <w:szCs w:val="21"/>
              </w:rPr>
            </w:pPr>
          </w:p>
        </w:tc>
        <w:tc>
          <w:tcPr>
            <w:tcW w:w="1097" w:type="dxa"/>
            <w:vAlign w:val="center"/>
          </w:tcPr>
          <w:p>
            <w:pPr>
              <w:pStyle w:val="28"/>
              <w:tabs>
                <w:tab w:val="left" w:pos="12780"/>
              </w:tabs>
              <w:spacing w:before="0" w:line="400" w:lineRule="exact"/>
              <w:ind w:firstLine="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27" w:type="dxa"/>
            <w:vAlign w:val="center"/>
          </w:tcPr>
          <w:p>
            <w:pPr>
              <w:spacing w:line="400" w:lineRule="exact"/>
              <w:jc w:val="left"/>
              <w:rPr>
                <w:rFonts w:ascii="仿宋" w:hAnsi="仿宋" w:eastAsia="仿宋" w:cs="仿宋"/>
                <w:szCs w:val="21"/>
              </w:rPr>
            </w:pPr>
            <w:r>
              <w:rPr>
                <w:rFonts w:hint="eastAsia" w:ascii="仿宋" w:hAnsi="仿宋" w:eastAsia="仿宋" w:cs="仿宋"/>
                <w:szCs w:val="21"/>
              </w:rPr>
              <w:t>2</w:t>
            </w:r>
          </w:p>
        </w:tc>
        <w:tc>
          <w:tcPr>
            <w:tcW w:w="1117" w:type="dxa"/>
            <w:vAlign w:val="center"/>
          </w:tcPr>
          <w:p>
            <w:pPr>
              <w:spacing w:line="400" w:lineRule="exact"/>
              <w:jc w:val="left"/>
              <w:rPr>
                <w:rFonts w:ascii="仿宋" w:hAnsi="仿宋" w:eastAsia="仿宋" w:cs="仿宋"/>
                <w:szCs w:val="21"/>
              </w:rPr>
            </w:pPr>
          </w:p>
        </w:tc>
        <w:tc>
          <w:tcPr>
            <w:tcW w:w="1701" w:type="dxa"/>
            <w:vAlign w:val="center"/>
          </w:tcPr>
          <w:p>
            <w:pPr>
              <w:spacing w:line="400" w:lineRule="exact"/>
              <w:jc w:val="left"/>
              <w:rPr>
                <w:rFonts w:ascii="仿宋" w:hAnsi="仿宋" w:eastAsia="仿宋" w:cs="仿宋"/>
                <w:szCs w:val="21"/>
              </w:rPr>
            </w:pPr>
          </w:p>
        </w:tc>
        <w:tc>
          <w:tcPr>
            <w:tcW w:w="1275" w:type="dxa"/>
            <w:vAlign w:val="center"/>
          </w:tcPr>
          <w:p>
            <w:pPr>
              <w:pStyle w:val="28"/>
              <w:tabs>
                <w:tab w:val="left" w:pos="12780"/>
              </w:tabs>
              <w:spacing w:before="0" w:line="400" w:lineRule="exact"/>
              <w:ind w:firstLine="0"/>
              <w:rPr>
                <w:rFonts w:ascii="仿宋" w:hAnsi="仿宋" w:eastAsia="仿宋" w:cs="仿宋"/>
                <w:sz w:val="21"/>
                <w:szCs w:val="21"/>
              </w:rPr>
            </w:pPr>
          </w:p>
        </w:tc>
        <w:tc>
          <w:tcPr>
            <w:tcW w:w="728" w:type="dxa"/>
            <w:vAlign w:val="center"/>
          </w:tcPr>
          <w:p>
            <w:pPr>
              <w:pStyle w:val="28"/>
              <w:tabs>
                <w:tab w:val="left" w:pos="12780"/>
              </w:tabs>
              <w:spacing w:before="0" w:line="400" w:lineRule="exact"/>
              <w:ind w:firstLine="0"/>
              <w:rPr>
                <w:rFonts w:ascii="仿宋" w:hAnsi="仿宋" w:eastAsia="仿宋" w:cs="仿宋"/>
                <w:sz w:val="21"/>
                <w:szCs w:val="21"/>
              </w:rPr>
            </w:pPr>
          </w:p>
        </w:tc>
        <w:tc>
          <w:tcPr>
            <w:tcW w:w="723" w:type="dxa"/>
            <w:vAlign w:val="center"/>
          </w:tcPr>
          <w:p>
            <w:pPr>
              <w:spacing w:line="400" w:lineRule="exact"/>
              <w:jc w:val="left"/>
              <w:rPr>
                <w:rFonts w:ascii="仿宋" w:hAnsi="仿宋" w:eastAsia="仿宋" w:cs="仿宋"/>
                <w:szCs w:val="21"/>
              </w:rPr>
            </w:pPr>
          </w:p>
        </w:tc>
        <w:tc>
          <w:tcPr>
            <w:tcW w:w="1247" w:type="dxa"/>
            <w:vAlign w:val="center"/>
          </w:tcPr>
          <w:p>
            <w:pPr>
              <w:pStyle w:val="28"/>
              <w:tabs>
                <w:tab w:val="left" w:pos="12780"/>
              </w:tabs>
              <w:spacing w:before="0" w:line="400" w:lineRule="exact"/>
              <w:ind w:firstLine="0"/>
              <w:rPr>
                <w:rFonts w:ascii="仿宋" w:hAnsi="仿宋" w:eastAsia="仿宋" w:cs="仿宋"/>
                <w:sz w:val="21"/>
                <w:szCs w:val="21"/>
              </w:rPr>
            </w:pPr>
          </w:p>
        </w:tc>
        <w:tc>
          <w:tcPr>
            <w:tcW w:w="1167" w:type="dxa"/>
            <w:vAlign w:val="center"/>
          </w:tcPr>
          <w:p>
            <w:pPr>
              <w:pStyle w:val="28"/>
              <w:tabs>
                <w:tab w:val="left" w:pos="12780"/>
              </w:tabs>
              <w:spacing w:before="0" w:line="400" w:lineRule="exact"/>
              <w:ind w:firstLine="0"/>
              <w:rPr>
                <w:rFonts w:ascii="仿宋" w:hAnsi="仿宋" w:eastAsia="仿宋" w:cs="仿宋"/>
                <w:sz w:val="21"/>
                <w:szCs w:val="21"/>
              </w:rPr>
            </w:pPr>
          </w:p>
        </w:tc>
        <w:tc>
          <w:tcPr>
            <w:tcW w:w="1097" w:type="dxa"/>
            <w:vAlign w:val="center"/>
          </w:tcPr>
          <w:p>
            <w:pPr>
              <w:pStyle w:val="28"/>
              <w:tabs>
                <w:tab w:val="left" w:pos="12780"/>
              </w:tabs>
              <w:spacing w:before="0" w:line="400" w:lineRule="exact"/>
              <w:ind w:firstLine="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7" w:type="dxa"/>
            <w:vAlign w:val="center"/>
          </w:tcPr>
          <w:p>
            <w:pPr>
              <w:spacing w:line="400" w:lineRule="exact"/>
              <w:jc w:val="left"/>
              <w:rPr>
                <w:rFonts w:ascii="仿宋" w:hAnsi="仿宋" w:eastAsia="仿宋" w:cs="仿宋"/>
                <w:szCs w:val="21"/>
              </w:rPr>
            </w:pPr>
            <w:r>
              <w:rPr>
                <w:rFonts w:hint="eastAsia" w:ascii="仿宋" w:hAnsi="仿宋" w:eastAsia="仿宋" w:cs="仿宋"/>
                <w:szCs w:val="21"/>
              </w:rPr>
              <w:t>3</w:t>
            </w:r>
          </w:p>
        </w:tc>
        <w:tc>
          <w:tcPr>
            <w:tcW w:w="1117" w:type="dxa"/>
            <w:vAlign w:val="center"/>
          </w:tcPr>
          <w:p>
            <w:pPr>
              <w:spacing w:line="400" w:lineRule="exact"/>
              <w:jc w:val="left"/>
              <w:rPr>
                <w:rFonts w:ascii="仿宋" w:hAnsi="仿宋" w:eastAsia="仿宋" w:cs="仿宋"/>
                <w:szCs w:val="21"/>
              </w:rPr>
            </w:pPr>
          </w:p>
        </w:tc>
        <w:tc>
          <w:tcPr>
            <w:tcW w:w="1701" w:type="dxa"/>
            <w:vAlign w:val="center"/>
          </w:tcPr>
          <w:p>
            <w:pPr>
              <w:spacing w:line="400" w:lineRule="exact"/>
              <w:jc w:val="left"/>
              <w:rPr>
                <w:rFonts w:ascii="仿宋" w:hAnsi="仿宋" w:eastAsia="仿宋" w:cs="仿宋"/>
                <w:szCs w:val="21"/>
              </w:rPr>
            </w:pPr>
          </w:p>
        </w:tc>
        <w:tc>
          <w:tcPr>
            <w:tcW w:w="1275" w:type="dxa"/>
            <w:vAlign w:val="center"/>
          </w:tcPr>
          <w:p>
            <w:pPr>
              <w:pStyle w:val="28"/>
              <w:tabs>
                <w:tab w:val="left" w:pos="12780"/>
              </w:tabs>
              <w:spacing w:before="0" w:line="400" w:lineRule="exact"/>
              <w:ind w:firstLine="0"/>
              <w:rPr>
                <w:rFonts w:ascii="仿宋" w:hAnsi="仿宋" w:eastAsia="仿宋" w:cs="仿宋"/>
                <w:sz w:val="21"/>
                <w:szCs w:val="21"/>
              </w:rPr>
            </w:pPr>
          </w:p>
        </w:tc>
        <w:tc>
          <w:tcPr>
            <w:tcW w:w="728" w:type="dxa"/>
            <w:vAlign w:val="center"/>
          </w:tcPr>
          <w:p>
            <w:pPr>
              <w:pStyle w:val="28"/>
              <w:tabs>
                <w:tab w:val="left" w:pos="12780"/>
              </w:tabs>
              <w:spacing w:before="0" w:line="400" w:lineRule="exact"/>
              <w:ind w:firstLine="0"/>
              <w:rPr>
                <w:rFonts w:ascii="仿宋" w:hAnsi="仿宋" w:eastAsia="仿宋" w:cs="仿宋"/>
                <w:sz w:val="21"/>
                <w:szCs w:val="21"/>
              </w:rPr>
            </w:pPr>
          </w:p>
        </w:tc>
        <w:tc>
          <w:tcPr>
            <w:tcW w:w="723" w:type="dxa"/>
            <w:vAlign w:val="center"/>
          </w:tcPr>
          <w:p>
            <w:pPr>
              <w:spacing w:line="400" w:lineRule="exact"/>
              <w:jc w:val="left"/>
              <w:rPr>
                <w:rFonts w:ascii="仿宋" w:hAnsi="仿宋" w:eastAsia="仿宋" w:cs="仿宋"/>
                <w:szCs w:val="21"/>
              </w:rPr>
            </w:pPr>
          </w:p>
        </w:tc>
        <w:tc>
          <w:tcPr>
            <w:tcW w:w="1247" w:type="dxa"/>
            <w:vAlign w:val="center"/>
          </w:tcPr>
          <w:p>
            <w:pPr>
              <w:pStyle w:val="28"/>
              <w:tabs>
                <w:tab w:val="left" w:pos="12780"/>
              </w:tabs>
              <w:spacing w:before="0" w:line="400" w:lineRule="exact"/>
              <w:ind w:firstLine="0"/>
              <w:rPr>
                <w:rFonts w:ascii="仿宋" w:hAnsi="仿宋" w:eastAsia="仿宋" w:cs="仿宋"/>
                <w:sz w:val="21"/>
                <w:szCs w:val="21"/>
              </w:rPr>
            </w:pPr>
          </w:p>
        </w:tc>
        <w:tc>
          <w:tcPr>
            <w:tcW w:w="1167" w:type="dxa"/>
            <w:vAlign w:val="center"/>
          </w:tcPr>
          <w:p>
            <w:pPr>
              <w:pStyle w:val="28"/>
              <w:tabs>
                <w:tab w:val="left" w:pos="12780"/>
              </w:tabs>
              <w:spacing w:before="0" w:line="400" w:lineRule="exact"/>
              <w:ind w:firstLine="0"/>
              <w:rPr>
                <w:rFonts w:ascii="仿宋" w:hAnsi="仿宋" w:eastAsia="仿宋" w:cs="仿宋"/>
                <w:sz w:val="21"/>
                <w:szCs w:val="21"/>
              </w:rPr>
            </w:pPr>
          </w:p>
        </w:tc>
        <w:tc>
          <w:tcPr>
            <w:tcW w:w="1097" w:type="dxa"/>
            <w:vAlign w:val="center"/>
          </w:tcPr>
          <w:p>
            <w:pPr>
              <w:pStyle w:val="28"/>
              <w:tabs>
                <w:tab w:val="left" w:pos="12780"/>
              </w:tabs>
              <w:spacing w:before="0" w:line="400" w:lineRule="exact"/>
              <w:ind w:firstLine="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7" w:type="dxa"/>
            <w:vAlign w:val="center"/>
          </w:tcPr>
          <w:p>
            <w:pPr>
              <w:spacing w:line="400" w:lineRule="exact"/>
              <w:jc w:val="left"/>
              <w:rPr>
                <w:rFonts w:ascii="仿宋" w:hAnsi="仿宋" w:eastAsia="仿宋" w:cs="仿宋"/>
                <w:szCs w:val="21"/>
              </w:rPr>
            </w:pPr>
            <w:r>
              <w:rPr>
                <w:rFonts w:hint="eastAsia" w:ascii="仿宋" w:hAnsi="仿宋" w:eastAsia="仿宋" w:cs="仿宋"/>
                <w:szCs w:val="21"/>
              </w:rPr>
              <w:t>4</w:t>
            </w:r>
          </w:p>
        </w:tc>
        <w:tc>
          <w:tcPr>
            <w:tcW w:w="1117" w:type="dxa"/>
            <w:vAlign w:val="center"/>
          </w:tcPr>
          <w:p>
            <w:pPr>
              <w:spacing w:line="400" w:lineRule="exact"/>
              <w:jc w:val="left"/>
              <w:rPr>
                <w:rFonts w:ascii="仿宋" w:hAnsi="仿宋" w:eastAsia="仿宋" w:cs="仿宋"/>
                <w:szCs w:val="21"/>
              </w:rPr>
            </w:pPr>
          </w:p>
        </w:tc>
        <w:tc>
          <w:tcPr>
            <w:tcW w:w="1701" w:type="dxa"/>
            <w:vAlign w:val="center"/>
          </w:tcPr>
          <w:p>
            <w:pPr>
              <w:spacing w:line="400" w:lineRule="exact"/>
              <w:jc w:val="left"/>
              <w:rPr>
                <w:rFonts w:ascii="仿宋" w:hAnsi="仿宋" w:eastAsia="仿宋" w:cs="仿宋"/>
                <w:szCs w:val="21"/>
              </w:rPr>
            </w:pPr>
          </w:p>
        </w:tc>
        <w:tc>
          <w:tcPr>
            <w:tcW w:w="1275" w:type="dxa"/>
            <w:vAlign w:val="center"/>
          </w:tcPr>
          <w:p>
            <w:pPr>
              <w:pStyle w:val="28"/>
              <w:tabs>
                <w:tab w:val="left" w:pos="12780"/>
              </w:tabs>
              <w:spacing w:before="0" w:line="400" w:lineRule="exact"/>
              <w:ind w:firstLine="0"/>
              <w:rPr>
                <w:rFonts w:ascii="仿宋" w:hAnsi="仿宋" w:eastAsia="仿宋" w:cs="仿宋"/>
                <w:sz w:val="21"/>
                <w:szCs w:val="21"/>
              </w:rPr>
            </w:pPr>
          </w:p>
        </w:tc>
        <w:tc>
          <w:tcPr>
            <w:tcW w:w="728" w:type="dxa"/>
            <w:vAlign w:val="center"/>
          </w:tcPr>
          <w:p>
            <w:pPr>
              <w:pStyle w:val="28"/>
              <w:tabs>
                <w:tab w:val="left" w:pos="12780"/>
              </w:tabs>
              <w:spacing w:before="0" w:line="400" w:lineRule="exact"/>
              <w:ind w:firstLine="0"/>
              <w:rPr>
                <w:rFonts w:ascii="仿宋" w:hAnsi="仿宋" w:eastAsia="仿宋" w:cs="仿宋"/>
                <w:sz w:val="21"/>
                <w:szCs w:val="21"/>
              </w:rPr>
            </w:pPr>
          </w:p>
        </w:tc>
        <w:tc>
          <w:tcPr>
            <w:tcW w:w="723" w:type="dxa"/>
            <w:vAlign w:val="center"/>
          </w:tcPr>
          <w:p>
            <w:pPr>
              <w:spacing w:line="400" w:lineRule="exact"/>
              <w:jc w:val="left"/>
              <w:rPr>
                <w:rFonts w:ascii="仿宋" w:hAnsi="仿宋" w:eastAsia="仿宋" w:cs="仿宋"/>
                <w:szCs w:val="21"/>
              </w:rPr>
            </w:pPr>
          </w:p>
        </w:tc>
        <w:tc>
          <w:tcPr>
            <w:tcW w:w="1247" w:type="dxa"/>
            <w:vAlign w:val="center"/>
          </w:tcPr>
          <w:p>
            <w:pPr>
              <w:pStyle w:val="28"/>
              <w:tabs>
                <w:tab w:val="left" w:pos="12780"/>
              </w:tabs>
              <w:spacing w:before="0" w:line="400" w:lineRule="exact"/>
              <w:ind w:firstLine="0"/>
              <w:rPr>
                <w:rFonts w:ascii="仿宋" w:hAnsi="仿宋" w:eastAsia="仿宋" w:cs="仿宋"/>
                <w:sz w:val="21"/>
                <w:szCs w:val="21"/>
              </w:rPr>
            </w:pPr>
          </w:p>
        </w:tc>
        <w:tc>
          <w:tcPr>
            <w:tcW w:w="1167" w:type="dxa"/>
            <w:vAlign w:val="center"/>
          </w:tcPr>
          <w:p>
            <w:pPr>
              <w:pStyle w:val="28"/>
              <w:tabs>
                <w:tab w:val="left" w:pos="12780"/>
              </w:tabs>
              <w:spacing w:before="0" w:line="400" w:lineRule="exact"/>
              <w:ind w:firstLine="0"/>
              <w:rPr>
                <w:rFonts w:ascii="仿宋" w:hAnsi="仿宋" w:eastAsia="仿宋" w:cs="仿宋"/>
                <w:sz w:val="21"/>
                <w:szCs w:val="21"/>
              </w:rPr>
            </w:pPr>
          </w:p>
        </w:tc>
        <w:tc>
          <w:tcPr>
            <w:tcW w:w="1097" w:type="dxa"/>
            <w:vAlign w:val="center"/>
          </w:tcPr>
          <w:p>
            <w:pPr>
              <w:pStyle w:val="28"/>
              <w:tabs>
                <w:tab w:val="left" w:pos="12780"/>
              </w:tabs>
              <w:spacing w:before="0" w:line="400" w:lineRule="exact"/>
              <w:ind w:firstLine="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545" w:type="dxa"/>
            <w:gridSpan w:val="3"/>
            <w:vMerge w:val="restart"/>
            <w:vAlign w:val="center"/>
          </w:tcPr>
          <w:p>
            <w:pPr>
              <w:pStyle w:val="28"/>
              <w:tabs>
                <w:tab w:val="left" w:pos="12780"/>
              </w:tabs>
              <w:spacing w:before="0" w:line="400" w:lineRule="exact"/>
              <w:ind w:firstLine="0"/>
              <w:jc w:val="both"/>
              <w:rPr>
                <w:rFonts w:ascii="仿宋" w:hAnsi="仿宋" w:eastAsia="仿宋" w:cs="仿宋"/>
                <w:sz w:val="21"/>
                <w:szCs w:val="21"/>
              </w:rPr>
            </w:pPr>
            <w:r>
              <w:rPr>
                <w:rFonts w:hint="eastAsia" w:ascii="仿宋" w:hAnsi="仿宋" w:eastAsia="仿宋" w:cs="仿宋"/>
                <w:b/>
                <w:bCs/>
                <w:sz w:val="21"/>
                <w:szCs w:val="21"/>
              </w:rPr>
              <w:t>总     价</w:t>
            </w:r>
          </w:p>
        </w:tc>
        <w:tc>
          <w:tcPr>
            <w:tcW w:w="6237" w:type="dxa"/>
            <w:gridSpan w:val="6"/>
          </w:tcPr>
          <w:p>
            <w:pPr>
              <w:pStyle w:val="28"/>
              <w:tabs>
                <w:tab w:val="left" w:pos="12780"/>
              </w:tabs>
              <w:spacing w:before="0" w:line="400" w:lineRule="exact"/>
              <w:ind w:left="0" w:firstLine="0"/>
              <w:rPr>
                <w:rFonts w:ascii="仿宋" w:hAnsi="仿宋" w:eastAsia="仿宋" w:cs="仿宋"/>
                <w:sz w:val="21"/>
                <w:szCs w:val="21"/>
                <w:u w:val="single"/>
              </w:rPr>
            </w:pPr>
            <w:r>
              <w:rPr>
                <w:rFonts w:hint="eastAsia" w:ascii="仿宋" w:hAnsi="仿宋" w:eastAsia="仿宋" w:cs="仿宋"/>
                <w:b/>
                <w:bCs/>
                <w:sz w:val="21"/>
                <w:szCs w:val="21"/>
              </w:rPr>
              <w:t>人民币</w:t>
            </w:r>
            <w:r>
              <w:rPr>
                <w:rFonts w:hint="eastAsia" w:ascii="仿宋" w:hAnsi="仿宋" w:eastAsia="仿宋" w:cs="仿宋"/>
                <w:sz w:val="21"/>
                <w:szCs w:val="21"/>
              </w:rPr>
              <w:t>（小写）：元（含税金）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45" w:type="dxa"/>
            <w:gridSpan w:val="3"/>
            <w:vMerge w:val="continue"/>
          </w:tcPr>
          <w:p>
            <w:pPr>
              <w:pStyle w:val="28"/>
              <w:tabs>
                <w:tab w:val="left" w:pos="12780"/>
              </w:tabs>
              <w:spacing w:before="0" w:line="400" w:lineRule="exact"/>
              <w:ind w:firstLine="0"/>
              <w:jc w:val="center"/>
              <w:rPr>
                <w:rFonts w:ascii="仿宋" w:hAnsi="仿宋" w:eastAsia="仿宋" w:cs="仿宋"/>
                <w:sz w:val="21"/>
                <w:szCs w:val="21"/>
              </w:rPr>
            </w:pPr>
          </w:p>
        </w:tc>
        <w:tc>
          <w:tcPr>
            <w:tcW w:w="6237" w:type="dxa"/>
            <w:gridSpan w:val="6"/>
          </w:tcPr>
          <w:p>
            <w:pPr>
              <w:pStyle w:val="28"/>
              <w:tabs>
                <w:tab w:val="left" w:pos="12780"/>
              </w:tabs>
              <w:spacing w:before="0" w:line="400" w:lineRule="exact"/>
              <w:ind w:left="0" w:firstLine="0"/>
              <w:rPr>
                <w:rFonts w:ascii="仿宋" w:hAnsi="仿宋" w:eastAsia="仿宋" w:cs="仿宋"/>
                <w:b/>
                <w:bCs/>
                <w:sz w:val="21"/>
                <w:szCs w:val="21"/>
                <w:u w:val="single"/>
              </w:rPr>
            </w:pPr>
            <w:r>
              <w:rPr>
                <w:rFonts w:hint="eastAsia" w:ascii="仿宋" w:hAnsi="仿宋" w:eastAsia="仿宋" w:cs="仿宋"/>
                <w:b/>
                <w:bCs/>
                <w:sz w:val="21"/>
                <w:szCs w:val="21"/>
              </w:rPr>
              <w:t>人民币</w:t>
            </w:r>
            <w:r>
              <w:rPr>
                <w:rFonts w:hint="eastAsia" w:ascii="仿宋" w:hAnsi="仿宋" w:eastAsia="仿宋" w:cs="仿宋"/>
                <w:sz w:val="21"/>
                <w:szCs w:val="21"/>
              </w:rPr>
              <w:t>（大写）：</w:t>
            </w:r>
          </w:p>
        </w:tc>
      </w:tr>
    </w:tbl>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备注：</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1、合同总价为设备安装调试达到使用条件的价格，包括：设备供应价、运杂费（含保险费）、培训费、安装调试费等其它一切费用。本合同执行期间合同总价不变，不受市场价变化的影响。</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2、本合同总价还包含乙方应当提供的伴随服务和售后服务费用。</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二、交货期、交货地点及安装</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乙方在合同签订生效之日起，按甲方指定时间、地点交货。</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（一）交货期：</w:t>
      </w:r>
      <w:r>
        <w:rPr>
          <w:rFonts w:hint="eastAsia" w:ascii="仿宋" w:hAnsi="仿宋" w:eastAsia="仿宋"/>
          <w:b/>
          <w:bCs/>
          <w:u w:val="single"/>
        </w:rPr>
        <w:t>合同签订后30个日历日交货</w:t>
      </w:r>
      <w:r>
        <w:rPr>
          <w:rFonts w:hint="eastAsia" w:ascii="仿宋" w:hAnsi="仿宋" w:eastAsia="仿宋"/>
          <w:b/>
          <w:bCs/>
        </w:rPr>
        <w:t>。</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（二）交货及安装地点：</w:t>
      </w:r>
      <w:r>
        <w:rPr>
          <w:rFonts w:hint="eastAsia" w:ascii="仿宋" w:hAnsi="仿宋" w:eastAsia="仿宋"/>
          <w:b/>
          <w:bCs/>
          <w:u w:val="single"/>
        </w:rPr>
        <w:t>甲方指定地点</w:t>
      </w:r>
      <w:r>
        <w:rPr>
          <w:rFonts w:hint="eastAsia" w:ascii="仿宋" w:hAnsi="仿宋" w:eastAsia="仿宋"/>
          <w:b/>
          <w:bCs/>
        </w:rPr>
        <w:t>。</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（三）交货及安装：所有设备均由乙方免费送货上门并安装调试。货物在交付甲方之前，毁损、灭失的风险均由乙方全部承担。</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三、验收</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（一）验收依据：</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1、国家相应的标准、规范</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2、签订的合同文本；</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3、招标文件及中标人的投标文件；。</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（二）验收标准</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1、包装：符合出厂规范，包装完整无破损，防雨、防潮等各种符号标识清楚，进口设备应具有原产国标识且标识清楚。包装箱应用新的、坚固的、经过熏蒸后的木箱，并在木箱上施封IPPC标识。每件货物必须单独包装发运，不得捆扎并适用于长途运输，防潮、防锈、防震、防粗暴装卸，适用于海、空、陆运输和整体吊装，保证产品到达之后各项功能完好无损，包装材料必须符合中国有关动植物检疫的规定。</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2、安装：符合国家有关安全技术标准及行业规范。</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3、产品：（1）必须为原装、全新、以优质工艺及材料制造的合格产品，渠道合法。（2）符合甲方与乙方签订的经济合同。（3）符合招标文件的技术要求。（4）符合产品原样本技术数据。（5）符合国家有关技术规范要求和安全、环保、节能等强制性标准。（6）产品单证齐全（装箱清单、中文使用说明书、进口产品原产地证明、进口产品海关手续包括商检报告、报关单，纸质材料必须完整、清晰，有编号或序号等，必须与实际产品相符合），(7)所提供设备须为到货之日前6个月内生产的产品。</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（三）验收方法</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甲乙双方共同进行验收。根据有关法规、文件规定,必须由环保、质量监督管理等部门出据检验合格证明的，此检验证明作为终验的依据。所有安装验收手续由乙方办理并承担费用，甲方提供相关协助。</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1、初验：货物到达甲方指定交货地点后，由甲方根据合同附件“设备配置清单”进行检查初验。</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2、终验：所有货物（设备）安装调试完毕，正常使用30个日历日后，乙方向甲方设备管理部门提交终验申请，并向甲方移交与设备相关的所有资料，由设备管理部门组织相关部门进行验收，验收合格签定验收表作为终验。</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3、验收不合格的，乙方必须在接到通知后 5 个日历日内完成整改提交二次验收申请，并承担二次验收费用。若二次验收仍不合格，甲方有权解除本合同，乙方需按合同金额5%支付违约金，还应赔偿因此给甲方造成的损失。</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四、售后服务及质保期：</w:t>
      </w:r>
    </w:p>
    <w:p>
      <w:pPr>
        <w:pStyle w:val="13"/>
        <w:tabs>
          <w:tab w:val="clear" w:pos="567"/>
        </w:tabs>
        <w:spacing w:before="0" w:line="400" w:lineRule="exact"/>
        <w:ind w:firstLine="542" w:firstLineChars="225"/>
        <w:rPr>
          <w:rFonts w:ascii="仿宋" w:hAnsi="仿宋" w:eastAsia="仿宋" w:cs="仿宋"/>
          <w:kern w:val="1"/>
          <w:szCs w:val="21"/>
        </w:rPr>
      </w:pPr>
      <w:r>
        <w:rPr>
          <w:rFonts w:hint="eastAsia" w:ascii="仿宋" w:hAnsi="仿宋" w:eastAsia="仿宋" w:cs="仿宋"/>
          <w:b/>
          <w:bCs/>
        </w:rPr>
        <w:t>1、</w:t>
      </w:r>
      <w:r>
        <w:rPr>
          <w:rFonts w:hint="eastAsia" w:ascii="仿宋" w:hAnsi="仿宋" w:eastAsia="仿宋" w:cs="仿宋"/>
          <w:kern w:val="1"/>
          <w:szCs w:val="21"/>
        </w:rPr>
        <w:t>乙方对提供的所有产品的质保期为三年（其中一个月为产品安装期），所有设备和产品乙方提供原厂质保。质保期自甲、乙双方在[投产]验收报告上签字之日起开始计算。因不正常操作及人为或自然灾害而引起的损坏,不在保修范围内；自行拆卸或改换设备内部任何部分后造成损坏,不在保修范围内。</w:t>
      </w:r>
    </w:p>
    <w:p>
      <w:pPr>
        <w:spacing w:line="400" w:lineRule="exact"/>
        <w:ind w:firstLine="424"/>
        <w:jc w:val="left"/>
        <w:rPr>
          <w:rFonts w:ascii="仿宋" w:hAnsi="仿宋" w:eastAsia="仿宋" w:cs="仿宋"/>
          <w:kern w:val="1"/>
          <w:sz w:val="24"/>
        </w:rPr>
      </w:pPr>
      <w:r>
        <w:rPr>
          <w:rFonts w:hint="eastAsia" w:ascii="仿宋" w:hAnsi="仿宋" w:eastAsia="仿宋" w:cs="仿宋"/>
          <w:kern w:val="1"/>
          <w:sz w:val="24"/>
        </w:rPr>
        <w:t>2、乙方负责提供设备的安装、调试和技术支持服务。在保修期内，设备及安装工程出现故障，乙方负责提供免费保修服务，对于在保修期内维修或更换的零部件应重新计算保修期。在保修期外，乙方为甲方提供服务按成本价计算。</w:t>
      </w:r>
    </w:p>
    <w:p>
      <w:pPr>
        <w:pStyle w:val="13"/>
        <w:tabs>
          <w:tab w:val="clear" w:pos="567"/>
        </w:tabs>
        <w:spacing w:before="0" w:line="400" w:lineRule="exact"/>
        <w:ind w:firstLine="540" w:firstLineChars="225"/>
        <w:rPr>
          <w:rFonts w:ascii="仿宋" w:hAnsi="仿宋" w:eastAsia="仿宋" w:cs="仿宋"/>
          <w:kern w:val="1"/>
        </w:rPr>
      </w:pPr>
      <w:r>
        <w:rPr>
          <w:rFonts w:hint="eastAsia" w:ascii="仿宋" w:hAnsi="仿宋" w:eastAsia="仿宋" w:cs="仿宋"/>
          <w:kern w:val="1"/>
        </w:rPr>
        <w:t>3、售后服务响应时间：</w:t>
      </w:r>
      <w:r>
        <w:rPr>
          <w:rFonts w:hint="eastAsia" w:ascii="仿宋" w:hAnsi="仿宋" w:eastAsia="仿宋" w:cs="仿宋"/>
          <w:kern w:val="0"/>
        </w:rPr>
        <w:t>中标人由专业工程师提供在线7*24小时维护电话，电话响应时间不超过20分钟，远程技术支持时间不少于30分钟，必须到达现场的售后问题，现场响应时间不超过3小时。</w:t>
      </w:r>
    </w:p>
    <w:p>
      <w:pPr>
        <w:pStyle w:val="13"/>
        <w:tabs>
          <w:tab w:val="clear" w:pos="567"/>
        </w:tabs>
        <w:spacing w:before="0" w:line="400" w:lineRule="exact"/>
        <w:ind w:firstLine="540" w:firstLineChars="225"/>
        <w:rPr>
          <w:rFonts w:ascii="仿宋" w:hAnsi="仿宋" w:eastAsia="仿宋" w:cs="仿宋"/>
          <w:kern w:val="1"/>
        </w:rPr>
      </w:pPr>
      <w:r>
        <w:rPr>
          <w:rFonts w:hint="eastAsia" w:ascii="仿宋" w:hAnsi="仿宋" w:eastAsia="仿宋" w:cs="仿宋"/>
          <w:kern w:val="1"/>
        </w:rPr>
        <w:t>五、安装、调试及培训</w:t>
      </w:r>
    </w:p>
    <w:p>
      <w:pPr>
        <w:pStyle w:val="13"/>
        <w:tabs>
          <w:tab w:val="clear" w:pos="567"/>
        </w:tabs>
        <w:spacing w:before="0" w:line="400" w:lineRule="exact"/>
        <w:ind w:firstLine="540" w:firstLineChars="225"/>
        <w:rPr>
          <w:rFonts w:ascii="仿宋" w:hAnsi="仿宋" w:eastAsia="仿宋" w:cs="仿宋"/>
          <w:kern w:val="1"/>
        </w:rPr>
      </w:pPr>
      <w:r>
        <w:rPr>
          <w:rFonts w:hint="eastAsia" w:ascii="仿宋" w:hAnsi="仿宋" w:eastAsia="仿宋" w:cs="仿宋"/>
          <w:kern w:val="1"/>
        </w:rPr>
        <w:t>中标供应商负责所有软件、硬件设备的安装、调试、培训工作，所有费用一次包死在总价内。设备安装调试完毕后，中标供应商必须安排技术人员对使用单位的设备管理人员进行操作应用及维护保养方面的技能培训，使其掌握基本技能有关内容的培训所有费用一次性计入投标总价。</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六、付款方式和条件</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（一）付款方式</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合同款的支付：</w:t>
      </w:r>
      <w:r>
        <w:rPr>
          <w:rFonts w:hint="eastAsia" w:ascii="仿宋" w:hAnsi="仿宋" w:eastAsia="仿宋"/>
          <w:b/>
          <w:bCs/>
          <w:u w:val="single"/>
        </w:rPr>
        <w:t>合同签订当日，甲方支付乙方合同总价款的30%；设备到达项目现场，甲方支付乙方合同总价款的30% ；项目验收合格，甲方支付乙方合同总价款的35%，项目终验合格满1年后，甲方支付乙方合同总价款的5%。</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（二）支付方式</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通过银行转账方式将款项转入乙方银行账户。乙方银行账户信息如下:</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账户全称：</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账    号：</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开 户 行：</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（三）结算要求：付款前乙方须开具全额税务发票。</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七、违约责任</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一）甲方在验收中，如果发现乙方所交付的设备型号、规格、质量等不符合合同规定的，甲方应向乙方提出，并有权拒收设备。乙方在接到甲方异议后，应在5个日历日内负责处理，如未处理甲方有权终止合同，同时要求乙方承担相应的经济损失或承担本合同总价款10％的违约金。</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（二）乙方保证按期交货，如未按期交货，每延迟壹天，扣罚合同总价的1‰的违约金，如超过合同规定交货期限5天乙方仍不能交货完毕，则视为乙方不能交货。</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（三）乙方不能交货，则按合同总价5%支付违约金给甲方。同时，甲方有权单方面解除合同。如上述违约金金额仍不足以补偿甲方因乙方违约造成的损失，甲方有权进一步向乙方提出索赔。</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（四）乙方如没有按合同规定履行售后服务承诺，甲方可另行安排由第三方单位进行，其费用全部由乙方负担，并追究乙方的违约责任。</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（五）因乙方提供的产品质量或售后服务问题导致医疗纠纷，由乙方负全部责任，因此给甲方造成损失的，甲方保留追偿权。</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六）乙方在设备运输、安装调试中须严格执行安全规范、防火安全规定、环境保护规定，做好安全防护措施。因违规导致的各类安全事故不论大小，均由乙方承担全部责任，因此给甲方造成损失的，甲方保留追偿权。</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八、不可抗力</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任何一方由于不可抗力的事件导致合同执行受阻，受阻方应随时采取所有合理步骤以减少因不可抗力事件所导致合同执行的任何延迟。同时受阻方应立即通知另一方，则合同执行由双方协商后可相应延长。</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九、争议解决方式</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（一）因本合同而发生的争议或纠纷，甲乙双方应先协商解决，协商不成时可向甲方所在地的人民法院提起诉讼。</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（二）因乙方违约导致甲方权益受损，甲方通过诉讼方式主张权益所支出的合理费用由乙方负担（包含但不限于诉讼费、保全费、律师代理费等必要开支）。</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十、合同生效</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（一）本合同一式 五 份,甲方执 四 份，乙方执 一 份。自甲乙双方代表签字并加盖公章后生效。</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（二）本合同未尽事宜由甲乙双方协商解决，并作出补充规定（协议），补充规定（协议）作为本合同的组成部分，与本合同具有同等法律效力。</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（三）项目招标文件、投标文件、澄清表(函)、合同附件均为本合同的组成部分，具有同等法律效力。</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（以下无正文，仅为甲乙双方签章及合同附件）</w:t>
      </w:r>
    </w:p>
    <w:p>
      <w:pPr>
        <w:pStyle w:val="13"/>
        <w:tabs>
          <w:tab w:val="clear" w:pos="567"/>
        </w:tabs>
        <w:spacing w:before="0" w:line="400" w:lineRule="exact"/>
        <w:ind w:firstLine="540" w:firstLineChars="225"/>
        <w:rPr>
          <w:rFonts w:ascii="仿宋" w:hAnsi="仿宋" w:eastAsia="仿宋"/>
        </w:rPr>
      </w:pPr>
    </w:p>
    <w:p>
      <w:pPr>
        <w:pStyle w:val="13"/>
        <w:tabs>
          <w:tab w:val="clear" w:pos="567"/>
        </w:tabs>
        <w:spacing w:before="0" w:line="400" w:lineRule="exact"/>
        <w:ind w:firstLine="540" w:firstLineChars="225"/>
        <w:rPr>
          <w:rFonts w:ascii="仿宋" w:hAnsi="仿宋" w:eastAsia="仿宋"/>
        </w:rPr>
      </w:pP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甲方（盖章）:                          乙方（盖章）:</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单位负责人 :                           法定代表人：</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代表人：                               或委托代理人：</w:t>
      </w:r>
    </w:p>
    <w:p>
      <w:pPr>
        <w:pStyle w:val="13"/>
        <w:tabs>
          <w:tab w:val="clear" w:pos="567"/>
        </w:tabs>
        <w:spacing w:before="0" w:line="400" w:lineRule="exact"/>
        <w:ind w:firstLine="540" w:firstLineChars="225"/>
        <w:rPr>
          <w:rFonts w:ascii="仿宋" w:hAnsi="仿宋" w:eastAsia="仿宋"/>
        </w:rPr>
      </w:pPr>
      <w:r>
        <w:rPr>
          <w:rFonts w:hint="eastAsia" w:ascii="仿宋" w:hAnsi="仿宋" w:eastAsia="仿宋"/>
        </w:rPr>
        <w:t>日   期：      年     月     日        日   期：       年      月     日</w:t>
      </w:r>
      <w:bookmarkEnd w:id="258"/>
    </w:p>
    <w:p>
      <w:pPr>
        <w:pStyle w:val="13"/>
        <w:tabs>
          <w:tab w:val="clear" w:pos="567"/>
        </w:tabs>
        <w:spacing w:before="0" w:line="360" w:lineRule="auto"/>
        <w:rPr>
          <w:rFonts w:ascii="仿宋" w:hAnsi="仿宋" w:eastAsia="仿宋"/>
        </w:rPr>
      </w:pPr>
      <w:r>
        <w:rPr>
          <w:rFonts w:hint="eastAsia" w:ascii="仿宋" w:hAnsi="仿宋" w:eastAsia="仿宋"/>
        </w:rPr>
        <w:t>附件：1、设备配置清单</w:t>
      </w:r>
    </w:p>
    <w:p>
      <w:pPr>
        <w:pStyle w:val="13"/>
        <w:tabs>
          <w:tab w:val="clear" w:pos="567"/>
        </w:tabs>
        <w:spacing w:before="0" w:line="360" w:lineRule="auto"/>
        <w:ind w:firstLine="720" w:firstLineChars="300"/>
        <w:rPr>
          <w:rFonts w:ascii="仿宋" w:hAnsi="仿宋" w:eastAsia="仿宋"/>
        </w:rPr>
      </w:pPr>
      <w:r>
        <w:rPr>
          <w:rFonts w:hint="eastAsia" w:ascii="仿宋" w:hAnsi="仿宋" w:eastAsia="仿宋"/>
        </w:rPr>
        <w:t>2、设备配套耗材价格</w:t>
      </w:r>
    </w:p>
    <w:p>
      <w:pPr>
        <w:widowControl/>
        <w:jc w:val="left"/>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rPr>
        <w:br w:type="page"/>
      </w:r>
    </w:p>
    <w:p>
      <w:pPr>
        <w:pStyle w:val="34"/>
        <w:spacing w:before="0" w:after="0" w:line="360" w:lineRule="auto"/>
        <w:rPr>
          <w:rFonts w:ascii="仿宋" w:hAnsi="仿宋" w:eastAsia="仿宋" w:cs="仿宋_GB2312"/>
        </w:rPr>
      </w:pPr>
      <w:r>
        <w:rPr>
          <w:rFonts w:ascii="仿宋" w:hAnsi="仿宋" w:eastAsia="仿宋" w:cs="仿宋_GB2312"/>
        </w:rPr>
        <w:t>第五章采购需求及要求</w:t>
      </w:r>
      <w:bookmarkEnd w:id="257"/>
    </w:p>
    <w:tbl>
      <w:tblPr>
        <w:tblStyle w:val="37"/>
        <w:tblW w:w="9371" w:type="dxa"/>
        <w:tblInd w:w="0" w:type="dxa"/>
        <w:tblLayout w:type="autofit"/>
        <w:tblCellMar>
          <w:top w:w="0" w:type="dxa"/>
          <w:left w:w="0" w:type="dxa"/>
          <w:bottom w:w="0" w:type="dxa"/>
          <w:right w:w="0" w:type="dxa"/>
        </w:tblCellMar>
      </w:tblPr>
      <w:tblGrid>
        <w:gridCol w:w="600"/>
        <w:gridCol w:w="1860"/>
        <w:gridCol w:w="5493"/>
        <w:gridCol w:w="709"/>
        <w:gridCol w:w="709"/>
      </w:tblGrid>
      <w:tr>
        <w:tblPrEx>
          <w:tblCellMar>
            <w:top w:w="0" w:type="dxa"/>
            <w:left w:w="0" w:type="dxa"/>
            <w:bottom w:w="0" w:type="dxa"/>
            <w:right w:w="0" w:type="dxa"/>
          </w:tblCellMar>
        </w:tblPrEx>
        <w:trPr>
          <w:trHeight w:val="270" w:hRule="atLeast"/>
        </w:trPr>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b/>
                <w:bCs/>
                <w:szCs w:val="21"/>
              </w:rPr>
            </w:pPr>
            <w:r>
              <w:rPr>
                <w:rFonts w:hint="eastAsia" w:ascii="仿宋" w:hAnsi="仿宋" w:eastAsia="仿宋"/>
                <w:b/>
                <w:bCs/>
                <w:szCs w:val="21"/>
              </w:rPr>
              <w:t>序号</w:t>
            </w:r>
          </w:p>
        </w:tc>
        <w:tc>
          <w:tcPr>
            <w:tcW w:w="18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b/>
                <w:bCs/>
                <w:szCs w:val="21"/>
              </w:rPr>
            </w:pPr>
            <w:r>
              <w:rPr>
                <w:rFonts w:hint="eastAsia" w:ascii="仿宋" w:hAnsi="仿宋" w:eastAsia="仿宋"/>
                <w:b/>
                <w:bCs/>
                <w:szCs w:val="21"/>
              </w:rPr>
              <w:t>产品名称</w:t>
            </w:r>
          </w:p>
        </w:tc>
        <w:tc>
          <w:tcPr>
            <w:tcW w:w="54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b/>
                <w:bCs/>
                <w:szCs w:val="21"/>
              </w:rPr>
            </w:pPr>
            <w:r>
              <w:rPr>
                <w:rFonts w:hint="eastAsia" w:ascii="仿宋" w:hAnsi="仿宋" w:eastAsia="仿宋"/>
                <w:b/>
                <w:bCs/>
                <w:szCs w:val="21"/>
              </w:rPr>
              <w:t>招标参数</w:t>
            </w: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b/>
                <w:bCs/>
                <w:szCs w:val="21"/>
              </w:rPr>
            </w:pPr>
            <w:r>
              <w:rPr>
                <w:rFonts w:hint="eastAsia" w:ascii="仿宋" w:hAnsi="仿宋" w:eastAsia="仿宋"/>
                <w:b/>
                <w:bCs/>
                <w:szCs w:val="21"/>
              </w:rPr>
              <w:t>数量</w:t>
            </w:r>
          </w:p>
        </w:tc>
        <w:tc>
          <w:tcPr>
            <w:tcW w:w="70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b/>
                <w:bCs/>
                <w:szCs w:val="21"/>
              </w:rPr>
            </w:pPr>
            <w:r>
              <w:rPr>
                <w:rFonts w:hint="eastAsia" w:ascii="仿宋" w:hAnsi="仿宋" w:eastAsia="仿宋"/>
                <w:b/>
                <w:bCs/>
                <w:szCs w:val="21"/>
              </w:rPr>
              <w:t>单位</w:t>
            </w:r>
          </w:p>
        </w:tc>
      </w:tr>
      <w:tr>
        <w:tblPrEx>
          <w:tblCellMar>
            <w:top w:w="0" w:type="dxa"/>
            <w:left w:w="0" w:type="dxa"/>
            <w:bottom w:w="0" w:type="dxa"/>
            <w:right w:w="0" w:type="dxa"/>
          </w:tblCellMar>
        </w:tblPrEx>
        <w:trPr>
          <w:trHeight w:val="270" w:hRule="atLeast"/>
        </w:trPr>
        <w:tc>
          <w:tcPr>
            <w:tcW w:w="9371" w:type="dxa"/>
            <w:gridSpan w:val="5"/>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一、审计专网建设</w:t>
            </w:r>
          </w:p>
        </w:tc>
      </w:tr>
      <w:tr>
        <w:tblPrEx>
          <w:tblCellMar>
            <w:top w:w="0" w:type="dxa"/>
            <w:left w:w="0" w:type="dxa"/>
            <w:bottom w:w="0" w:type="dxa"/>
            <w:right w:w="0" w:type="dxa"/>
          </w:tblCellMar>
        </w:tblPrEx>
        <w:trPr>
          <w:trHeight w:val="270" w:hRule="atLeast"/>
        </w:trPr>
        <w:tc>
          <w:tcPr>
            <w:tcW w:w="9371" w:type="dxa"/>
            <w:gridSpan w:val="5"/>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（一）市本级配套</w:t>
            </w:r>
          </w:p>
        </w:tc>
      </w:tr>
      <w:tr>
        <w:tblPrEx>
          <w:tblCellMar>
            <w:top w:w="0" w:type="dxa"/>
            <w:left w:w="0" w:type="dxa"/>
            <w:bottom w:w="0" w:type="dxa"/>
            <w:right w:w="0" w:type="dxa"/>
          </w:tblCellMar>
        </w:tblPrEx>
        <w:trPr>
          <w:trHeight w:val="162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审计专网防火墙</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1.网络层吞吐量≥12G，应用层吞吐量≥4G，防病毒吞吐量≥1G，全威胁吞吐量≥500M，并发连接数≥200万，HTTP新建连接数≥6万；</w:t>
            </w:r>
            <w:r>
              <w:rPr>
                <w:rFonts w:hint="eastAsia" w:ascii="仿宋" w:hAnsi="仿宋" w:eastAsia="仿宋"/>
                <w:szCs w:val="21"/>
              </w:rPr>
              <w:br w:type="textWrapping"/>
            </w:r>
            <w:r>
              <w:rPr>
                <w:rFonts w:hint="eastAsia" w:ascii="仿宋" w:hAnsi="仿宋" w:eastAsia="仿宋"/>
                <w:szCs w:val="21"/>
              </w:rPr>
              <w:t>2.交流电源，接口≥8千兆电口，≥2万兆光口；</w:t>
            </w:r>
            <w:r>
              <w:rPr>
                <w:rFonts w:hint="eastAsia" w:ascii="仿宋" w:hAnsi="仿宋" w:eastAsia="仿宋"/>
                <w:szCs w:val="21"/>
              </w:rPr>
              <w:br w:type="textWrapping"/>
            </w:r>
            <w:r>
              <w:rPr>
                <w:rFonts w:hint="eastAsia" w:ascii="仿宋" w:hAnsi="仿宋" w:eastAsia="仿宋"/>
                <w:szCs w:val="21"/>
              </w:rPr>
              <w:t>3.支持IPV6环境部署，包括接口/国家区域配置、路由配置等网络适应性功能，支持IPV6级别常用安全功能，包括僵尸网络，应用防护等；</w:t>
            </w:r>
            <w:r>
              <w:rPr>
                <w:rFonts w:hint="eastAsia" w:ascii="仿宋" w:hAnsi="仿宋" w:eastAsia="仿宋"/>
                <w:szCs w:val="21"/>
              </w:rPr>
              <w:br w:type="textWrapping"/>
            </w:r>
            <w:r>
              <w:rPr>
                <w:rFonts w:hint="eastAsia" w:ascii="仿宋" w:hAnsi="仿宋" w:eastAsia="仿宋"/>
                <w:szCs w:val="21"/>
              </w:rPr>
              <w:t>4.支持僵尸主机检测功能，产品内置僵尸网络特征库超过128万种；</w:t>
            </w:r>
            <w:r>
              <w:rPr>
                <w:rFonts w:hint="eastAsia" w:ascii="仿宋" w:hAnsi="仿宋" w:eastAsia="仿宋"/>
                <w:szCs w:val="21"/>
              </w:rPr>
              <w:br w:type="textWrapping"/>
            </w:r>
            <w:r>
              <w:rPr>
                <w:rFonts w:hint="eastAsia" w:ascii="仿宋" w:hAnsi="仿宋" w:eastAsia="仿宋"/>
                <w:szCs w:val="21"/>
              </w:rPr>
              <w:t>5.产品内置超过4500种WEB应用攻击特征，支持对跨站脚本（XSS）攻击、SQL注入、文件包含攻击、信息泄露攻击、WEBSHELL、网站扫描、网页木马等攻击类型进行防护；</w:t>
            </w:r>
            <w:r>
              <w:rPr>
                <w:rFonts w:hint="eastAsia" w:ascii="仿宋" w:hAnsi="仿宋" w:eastAsia="仿宋"/>
                <w:szCs w:val="21"/>
              </w:rPr>
              <w:br w:type="textWrapping"/>
            </w:r>
            <w:r>
              <w:rPr>
                <w:rFonts w:hint="eastAsia" w:ascii="仿宋" w:hAnsi="仿宋" w:eastAsia="仿宋"/>
                <w:szCs w:val="21"/>
              </w:rPr>
              <w:t>6.支持勒索病毒防护，可以对勒索病毒实现检测与防御，提供中国合格评定国家认可委员会下属的第三方权威机构检测报告证明；</w:t>
            </w:r>
            <w:r>
              <w:rPr>
                <w:rFonts w:hint="eastAsia" w:ascii="仿宋" w:hAnsi="仿宋" w:eastAsia="仿宋"/>
                <w:szCs w:val="21"/>
              </w:rPr>
              <w:br w:type="textWrapping"/>
            </w:r>
            <w:r>
              <w:rPr>
                <w:rFonts w:hint="eastAsia" w:ascii="仿宋" w:hAnsi="仿宋" w:eastAsia="仿宋"/>
                <w:szCs w:val="21"/>
              </w:rPr>
              <w:t>7.支持蜜罐功能，可以伪装业务诱捕内外网攻击行为，自动封锁高危IP；提供截图并加盖厂商公章；</w:t>
            </w:r>
            <w:r>
              <w:rPr>
                <w:rFonts w:hint="eastAsia" w:ascii="仿宋" w:hAnsi="仿宋" w:eastAsia="仿宋"/>
                <w:szCs w:val="21"/>
              </w:rPr>
              <w:br w:type="textWrapping"/>
            </w:r>
            <w:r>
              <w:rPr>
                <w:rFonts w:hint="eastAsia" w:ascii="仿宋" w:hAnsi="仿宋" w:eastAsia="仿宋"/>
                <w:szCs w:val="21"/>
              </w:rPr>
              <w:t>8.根据实际情况自行配备光模块；</w:t>
            </w:r>
            <w:r>
              <w:rPr>
                <w:rFonts w:hint="eastAsia" w:ascii="仿宋" w:hAnsi="仿宋" w:eastAsia="仿宋"/>
                <w:szCs w:val="21"/>
              </w:rPr>
              <w:br w:type="textWrapping"/>
            </w:r>
            <w:r>
              <w:rPr>
                <w:rFonts w:hint="eastAsia" w:ascii="仿宋" w:hAnsi="仿宋" w:eastAsia="仿宋"/>
                <w:szCs w:val="21"/>
              </w:rPr>
              <w:t>9．为保障产品具备较强的市场成熟度，产品在IDC近年集成类防火墙(UTM)市场占有率排名前三；提供证明材料并加盖厂商公章。</w:t>
            </w:r>
            <w:r>
              <w:rPr>
                <w:rFonts w:hint="eastAsia" w:ascii="仿宋" w:hAnsi="仿宋" w:eastAsia="仿宋"/>
                <w:szCs w:val="21"/>
              </w:rPr>
              <w:br w:type="textWrapping"/>
            </w:r>
            <w:r>
              <w:rPr>
                <w:rFonts w:hint="eastAsia" w:ascii="仿宋" w:hAnsi="仿宋" w:eastAsia="仿宋"/>
                <w:szCs w:val="21"/>
              </w:rPr>
              <w:t>10.产品应具备IT产品信息安全认证证书EAL4增强级，提供证明材料并加盖厂商公章。</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174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审计专网入侵防御</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1.网络层吞吐量≥12Gbps，IPS吞吐量≥2Gbps，并发连接数≥1800000，新建连接数≥60000；</w:t>
            </w:r>
            <w:r>
              <w:rPr>
                <w:rFonts w:hint="eastAsia" w:ascii="仿宋" w:hAnsi="仿宋" w:eastAsia="仿宋"/>
                <w:szCs w:val="21"/>
              </w:rPr>
              <w:br w:type="textWrapping"/>
            </w:r>
            <w:r>
              <w:rPr>
                <w:rFonts w:hint="eastAsia" w:ascii="仿宋" w:hAnsi="仿宋" w:eastAsia="仿宋"/>
                <w:szCs w:val="21"/>
              </w:rPr>
              <w:t>2.内存大小≥4G，交流电源，接口≥6千兆电口，≥4千兆光口SFP；</w:t>
            </w:r>
            <w:r>
              <w:rPr>
                <w:rFonts w:hint="eastAsia" w:ascii="仿宋" w:hAnsi="仿宋" w:eastAsia="仿宋"/>
                <w:szCs w:val="21"/>
              </w:rPr>
              <w:br w:type="textWrapping"/>
            </w:r>
            <w:r>
              <w:rPr>
                <w:rFonts w:hint="eastAsia" w:ascii="仿宋" w:hAnsi="仿宋" w:eastAsia="仿宋"/>
                <w:szCs w:val="21"/>
              </w:rPr>
              <w:t>3.支持采用无特征AI检测技术对恶意勒索病毒及挖矿病毒等热点病毒进行检测，给出基于AI技术的病毒检测报告；</w:t>
            </w:r>
            <w:r>
              <w:rPr>
                <w:rFonts w:hint="eastAsia" w:ascii="仿宋" w:hAnsi="仿宋" w:eastAsia="仿宋"/>
                <w:szCs w:val="21"/>
              </w:rPr>
              <w:br w:type="textWrapping"/>
            </w:r>
            <w:r>
              <w:rPr>
                <w:rFonts w:hint="eastAsia" w:ascii="仿宋" w:hAnsi="仿宋" w:eastAsia="仿宋"/>
                <w:szCs w:val="21"/>
              </w:rPr>
              <w:t>4.设备具备独立的入侵防护漏洞规则特征库，特征总数在7000条以上，提供证明材料并加盖厂商公章；</w:t>
            </w:r>
            <w:r>
              <w:rPr>
                <w:rFonts w:hint="eastAsia" w:ascii="仿宋" w:hAnsi="仿宋" w:eastAsia="仿宋"/>
                <w:szCs w:val="21"/>
              </w:rPr>
              <w:br w:type="textWrapping"/>
            </w:r>
            <w:r>
              <w:rPr>
                <w:rFonts w:hint="eastAsia" w:ascii="仿宋" w:hAnsi="仿宋" w:eastAsia="仿宋"/>
                <w:szCs w:val="21"/>
              </w:rPr>
              <w:t>5.支持在同一个界面对全网所有服务器的安全状况进行风险评估，支持对当前所有业务的安全防护状态进行动态保护，支持对所有已被入侵和受控的设备进行风险监测与分析，针对风险生成待办事件，从而实现快速响应与处置；</w:t>
            </w:r>
            <w:r>
              <w:rPr>
                <w:rFonts w:hint="eastAsia" w:ascii="仿宋" w:hAnsi="仿宋" w:eastAsia="仿宋"/>
                <w:szCs w:val="21"/>
              </w:rPr>
              <w:br w:type="textWrapping"/>
            </w:r>
            <w:r>
              <w:rPr>
                <w:rFonts w:hint="eastAsia" w:ascii="仿宋" w:hAnsi="仿宋" w:eastAsia="仿宋"/>
                <w:szCs w:val="21"/>
              </w:rPr>
              <w:t>6.提供国家互联网应急中心CNCERT国家级网络安全应急服务支撑单位证书。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210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核心交换机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1、交换机性能：交换容量≥53Tbps、包转发率≥10000Mpps；</w:t>
            </w:r>
            <w:r>
              <w:rPr>
                <w:rFonts w:hint="eastAsia" w:ascii="仿宋" w:hAnsi="仿宋" w:eastAsia="仿宋"/>
                <w:szCs w:val="21"/>
              </w:rPr>
              <w:br w:type="textWrapping"/>
            </w:r>
            <w:r>
              <w:rPr>
                <w:rFonts w:hint="eastAsia" w:ascii="仿宋" w:hAnsi="仿宋" w:eastAsia="仿宋"/>
                <w:szCs w:val="21"/>
              </w:rPr>
              <w:t>2、槽位数量：主控槽位≥2，业务槽位≥3;</w:t>
            </w:r>
            <w:r>
              <w:rPr>
                <w:rFonts w:hint="eastAsia" w:ascii="仿宋" w:hAnsi="仿宋" w:eastAsia="仿宋"/>
                <w:szCs w:val="21"/>
              </w:rPr>
              <w:br w:type="textWrapping"/>
            </w:r>
            <w:r>
              <w:rPr>
                <w:rFonts w:hint="eastAsia" w:ascii="仿宋" w:hAnsi="仿宋" w:eastAsia="仿宋"/>
                <w:szCs w:val="21"/>
              </w:rPr>
              <w:t>3、支持零配置上线，支持二层广播自动发现网络综合管理平台；支持配置静态IP地址三层发现网络综合管理平台；以上方式提供官网截图证明；</w:t>
            </w:r>
            <w:r>
              <w:rPr>
                <w:rFonts w:hint="eastAsia" w:ascii="仿宋" w:hAnsi="仿宋" w:eastAsia="仿宋"/>
                <w:szCs w:val="21"/>
              </w:rPr>
              <w:br w:type="textWrapping"/>
            </w:r>
            <w:r>
              <w:rPr>
                <w:rFonts w:hint="eastAsia" w:ascii="仿宋" w:hAnsi="仿宋" w:eastAsia="仿宋"/>
                <w:szCs w:val="21"/>
              </w:rPr>
              <w:t>4、支持通过APP进行远程管理，并且可以修改交换机网络配置，要求提供工信部或下属实验室出具的第三方测试报告；</w:t>
            </w:r>
            <w:r>
              <w:rPr>
                <w:rFonts w:hint="eastAsia" w:ascii="仿宋" w:hAnsi="仿宋" w:eastAsia="仿宋"/>
                <w:szCs w:val="21"/>
              </w:rPr>
              <w:br w:type="textWrapping"/>
            </w:r>
            <w:r>
              <w:rPr>
                <w:rFonts w:hint="eastAsia" w:ascii="仿宋" w:hAnsi="仿宋" w:eastAsia="仿宋"/>
                <w:szCs w:val="21"/>
              </w:rPr>
              <w:t>5、支持堆叠系统可视化，主备交换机同框展示，并可通过切换了解主备交换机机框板卡状态；</w:t>
            </w:r>
            <w:r>
              <w:rPr>
                <w:rFonts w:hint="eastAsia" w:ascii="仿宋" w:hAnsi="仿宋" w:eastAsia="仿宋"/>
                <w:szCs w:val="21"/>
              </w:rPr>
              <w:br w:type="textWrapping"/>
            </w:r>
            <w:r>
              <w:rPr>
                <w:rFonts w:hint="eastAsia" w:ascii="仿宋" w:hAnsi="仿宋" w:eastAsia="仿宋"/>
                <w:szCs w:val="21"/>
              </w:rPr>
              <w:t>6、支持交换机板卡面板及可视化，整体机框状态直观可视，电源风扇、风扇状态可视，异常情况直观可视；</w:t>
            </w:r>
            <w:r>
              <w:rPr>
                <w:rFonts w:hint="eastAsia" w:ascii="仿宋" w:hAnsi="仿宋" w:eastAsia="仿宋"/>
                <w:szCs w:val="21"/>
              </w:rPr>
              <w:br w:type="textWrapping"/>
            </w:r>
            <w:r>
              <w:rPr>
                <w:rFonts w:hint="eastAsia" w:ascii="仿宋" w:hAnsi="仿宋" w:eastAsia="仿宋"/>
                <w:szCs w:val="21"/>
              </w:rPr>
              <w:t>7、支持业务板卡一键复位、下电、移除等功能，并支持可编辑板卡名称；</w:t>
            </w:r>
            <w:r>
              <w:rPr>
                <w:rFonts w:hint="eastAsia" w:ascii="仿宋" w:hAnsi="仿宋" w:eastAsia="仿宋"/>
                <w:szCs w:val="21"/>
              </w:rPr>
              <w:br w:type="textWrapping"/>
            </w:r>
            <w:r>
              <w:rPr>
                <w:rFonts w:hint="eastAsia" w:ascii="仿宋" w:hAnsi="仿宋" w:eastAsia="仿宋"/>
                <w:szCs w:val="21"/>
              </w:rPr>
              <w:t>8、支持业务板卡预配置功能，通过一键添加，可选择1:1面板还原可视化板卡，直观选择板卡类型，通过预配置，实现业务板卡即插即用；</w:t>
            </w:r>
            <w:r>
              <w:rPr>
                <w:rFonts w:hint="eastAsia" w:ascii="仿宋" w:hAnsi="仿宋" w:eastAsia="仿宋"/>
                <w:szCs w:val="21"/>
              </w:rPr>
              <w:br w:type="textWrapping"/>
            </w:r>
            <w:r>
              <w:rPr>
                <w:rFonts w:hint="eastAsia" w:ascii="仿宋" w:hAnsi="仿宋" w:eastAsia="仿宋"/>
                <w:szCs w:val="21"/>
              </w:rPr>
              <w:t>9、支持交换机堆叠跨框链路双向流量可视，感知时间轴流量情况，异常流量直观可视；</w:t>
            </w:r>
            <w:r>
              <w:rPr>
                <w:rFonts w:hint="eastAsia" w:ascii="仿宋" w:hAnsi="仿宋" w:eastAsia="仿宋"/>
                <w:szCs w:val="21"/>
              </w:rPr>
              <w:br w:type="textWrapping"/>
            </w:r>
            <w:r>
              <w:rPr>
                <w:rFonts w:hint="eastAsia" w:ascii="仿宋" w:hAnsi="仿宋" w:eastAsia="仿宋"/>
                <w:szCs w:val="21"/>
              </w:rPr>
              <w:t>10、本次实配：2块主控板，2块电源，24个电口，24个千兆光口，4个万兆光口，根据实际情况自行配备光模块。</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836"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网络综合管理平台一体机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 xml:space="preserve">1.网络综合管理平台可管理13个区县所有的网络交换设备，设备接入≥300，支持查看交换机面板端口接入状态、交换机容 量、端口负载、供电负载；支持点击交换机面板端口可查看流量趋势、拥塞丢包数，从最近 5 分钟、1 小时、1 天、1 周维度；交换机面板 端口可以实时显示接入终端属性；根据交换机面板端口不同颜色即可 判定聚合口、M-LAG 口等； </w:t>
            </w:r>
            <w:r>
              <w:rPr>
                <w:rFonts w:hint="eastAsia" w:ascii="仿宋" w:hAnsi="仿宋" w:eastAsia="仿宋"/>
                <w:szCs w:val="21"/>
              </w:rPr>
              <w:br w:type="textWrapping"/>
            </w:r>
            <w:r>
              <w:rPr>
                <w:rFonts w:hint="eastAsia" w:ascii="仿宋" w:hAnsi="仿宋" w:eastAsia="仿宋"/>
                <w:szCs w:val="21"/>
              </w:rPr>
              <w:t xml:space="preserve">2.支持基于地址池进行用户终端IP地址画像管理，并且可以查看每个地址池以下相关信息：发生冲突的 IP 地址——IP地址发生的冲突次数、冲突的时间节点；获取IP地址失败的终端——失败的终端 MAC 地址、失败次数、失败的时间节点；地址池利用率——展示已分配和 为分配的 IP 地址百分比；IP 分配次数分布——展示 IP 地址历史分配次数统计； </w:t>
            </w:r>
            <w:r>
              <w:rPr>
                <w:rFonts w:hint="eastAsia" w:ascii="仿宋" w:hAnsi="仿宋" w:eastAsia="仿宋"/>
                <w:szCs w:val="21"/>
              </w:rPr>
              <w:br w:type="textWrapping"/>
            </w:r>
            <w:r>
              <w:rPr>
                <w:rFonts w:hint="eastAsia" w:ascii="仿宋" w:hAnsi="仿宋" w:eastAsia="仿宋"/>
                <w:szCs w:val="21"/>
              </w:rPr>
              <w:t>3.可展示地址池当前每个IP 的使用情况，例如：动态分配、网关 IP、排除IP、不可分配 IP、预留IP；</w:t>
            </w:r>
            <w:r>
              <w:rPr>
                <w:rFonts w:hint="eastAsia" w:ascii="仿宋" w:hAnsi="仿宋" w:eastAsia="仿宋"/>
                <w:szCs w:val="21"/>
              </w:rPr>
              <w:br w:type="textWrapping"/>
            </w:r>
            <w:r>
              <w:rPr>
                <w:rFonts w:hint="eastAsia" w:ascii="仿宋" w:hAnsi="仿宋" w:eastAsia="仿宋"/>
                <w:szCs w:val="21"/>
              </w:rPr>
              <w:t xml:space="preserve">4.支持通过网络综合管理平台关闭终端不必要的端口服务，在交换机上创建东西向安全策略，实现全网安全风险拦截； </w:t>
            </w:r>
            <w:r>
              <w:rPr>
                <w:rFonts w:hint="eastAsia" w:ascii="仿宋" w:hAnsi="仿宋" w:eastAsia="仿宋"/>
                <w:szCs w:val="21"/>
              </w:rPr>
              <w:br w:type="textWrapping"/>
            </w:r>
            <w:r>
              <w:rPr>
                <w:rFonts w:hint="eastAsia" w:ascii="仿宋" w:hAnsi="仿宋" w:eastAsia="仿宋"/>
                <w:szCs w:val="21"/>
              </w:rPr>
              <w:t xml:space="preserve">5.网络综合管理平台支持实时查看有些接入终端当前的安全状态； 支持查看内网终端攻击服务类型占比分析、攻击事件分析、被攻击终端类型分布；  </w:t>
            </w:r>
            <w:r>
              <w:rPr>
                <w:rFonts w:hint="eastAsia" w:ascii="仿宋" w:hAnsi="仿宋" w:eastAsia="仿宋"/>
                <w:szCs w:val="21"/>
              </w:rPr>
              <w:br w:type="textWrapping"/>
            </w:r>
            <w:r>
              <w:rPr>
                <w:rFonts w:hint="eastAsia" w:ascii="仿宋" w:hAnsi="仿宋" w:eastAsia="仿宋"/>
                <w:szCs w:val="21"/>
              </w:rPr>
              <w:t>6.支持交换机离线统计：包含按上线交换机离线时长统计、交换机离线次数统计、交换机离线趋势统计；交换机供电负载：支持查看交换机供电负载率百分比分布的交换机台数、累积时长；芯片资源：支持查看交换机MAC表利用率/ARP表利用率/组播利用率/ACL表利用率 /路由表利用率百分比分布的交换机台数、累积时长；</w:t>
            </w:r>
            <w:r>
              <w:rPr>
                <w:rFonts w:hint="eastAsia" w:ascii="仿宋" w:hAnsi="仿宋" w:eastAsia="仿宋"/>
                <w:szCs w:val="21"/>
              </w:rPr>
              <w:br w:type="textWrapping"/>
            </w:r>
            <w:r>
              <w:rPr>
                <w:rFonts w:hint="eastAsia" w:ascii="仿宋" w:hAnsi="仿宋" w:eastAsia="仿宋"/>
                <w:szCs w:val="21"/>
              </w:rPr>
              <w:t>7.支持通过自定义交换机设备及端口告警，实现交换机离线、MAC地址表利用率超阀值、单网口防环、接口状态变化、接口协商速率下降、接口泛洪报文超阀值等多种告警事件；并支持手机APP（可自定义推送内容）、短信等告警方式；要求提供工信部或下属实验室出具的第三方测试报告。</w:t>
            </w:r>
            <w:r>
              <w:rPr>
                <w:rFonts w:hint="eastAsia" w:ascii="仿宋" w:hAnsi="仿宋" w:eastAsia="仿宋"/>
                <w:szCs w:val="21"/>
              </w:rPr>
              <w:br w:type="textWrapping"/>
            </w:r>
            <w:r>
              <w:rPr>
                <w:rFonts w:hint="eastAsia" w:ascii="仿宋" w:hAnsi="仿宋" w:eastAsia="仿宋"/>
                <w:szCs w:val="21"/>
              </w:rPr>
              <w:t>8.支持自定义接入终端类型、终端MAC白名单，对于非指定型接入终端可以通过短信通知、手机APP通知，并可同时可将终端加入黑名单冻结（以小时/分钟为单位）；需提供平台系统功能截图证明；</w:t>
            </w:r>
            <w:r>
              <w:rPr>
                <w:rFonts w:hint="eastAsia" w:ascii="仿宋" w:hAnsi="仿宋" w:eastAsia="仿宋"/>
                <w:szCs w:val="21"/>
              </w:rPr>
              <w:br w:type="textWrapping"/>
            </w:r>
            <w:r>
              <w:rPr>
                <w:rFonts w:hint="eastAsia" w:ascii="仿宋" w:hAnsi="仿宋" w:eastAsia="仿宋"/>
                <w:szCs w:val="21"/>
              </w:rPr>
              <w:t>9.通过中心网络控制器可以对所有分支网络平台进行统一集中管理；要求提供工信部或下属实验室出具的第三方测试报告。</w:t>
            </w:r>
            <w:r>
              <w:rPr>
                <w:rFonts w:hint="eastAsia" w:ascii="仿宋" w:hAnsi="仿宋" w:eastAsia="仿宋"/>
                <w:szCs w:val="21"/>
              </w:rPr>
              <w:br w:type="textWrapping"/>
            </w:r>
            <w:r>
              <w:rPr>
                <w:rFonts w:hint="eastAsia" w:ascii="仿宋" w:hAnsi="仿宋" w:eastAsia="仿宋"/>
                <w:szCs w:val="21"/>
              </w:rPr>
              <w:t>10.支持IPV4和IPV6。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211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集中安全管理平台</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1.最大支持管理受控端设备数量≥300。</w:t>
            </w:r>
            <w:r>
              <w:rPr>
                <w:rFonts w:hint="eastAsia" w:ascii="仿宋" w:hAnsi="仿宋" w:eastAsia="仿宋"/>
                <w:szCs w:val="21"/>
              </w:rPr>
              <w:br w:type="textWrapping"/>
            </w:r>
            <w:r>
              <w:rPr>
                <w:rFonts w:hint="eastAsia" w:ascii="仿宋" w:hAnsi="仿宋" w:eastAsia="仿宋"/>
                <w:szCs w:val="21"/>
              </w:rPr>
              <w:t>2.内存大小≥16G，硬盘容量≥256G SSD+2T SATA，交流电源，接口≥6千兆电口，≥2千兆光口SFP；</w:t>
            </w:r>
            <w:r>
              <w:rPr>
                <w:rFonts w:hint="eastAsia" w:ascii="仿宋" w:hAnsi="仿宋" w:eastAsia="仿宋"/>
                <w:szCs w:val="21"/>
              </w:rPr>
              <w:br w:type="textWrapping"/>
            </w:r>
            <w:r>
              <w:rPr>
                <w:rFonts w:hint="eastAsia" w:ascii="仿宋" w:hAnsi="仿宋" w:eastAsia="仿宋"/>
                <w:szCs w:val="21"/>
              </w:rPr>
              <w:t>3.支持邮件开局易部署，通过下发邮件方式，实现分支管理人员点击邮件链接即可实现分支自动完成基础网络配置，自动连接到集中管理平台，简化分支配置，实现分支快速上线；</w:t>
            </w:r>
            <w:r>
              <w:rPr>
                <w:rFonts w:hint="eastAsia" w:ascii="仿宋" w:hAnsi="仿宋" w:eastAsia="仿宋"/>
                <w:szCs w:val="21"/>
              </w:rPr>
              <w:br w:type="textWrapping"/>
            </w:r>
            <w:r>
              <w:rPr>
                <w:rFonts w:hint="eastAsia" w:ascii="仿宋" w:hAnsi="仿宋" w:eastAsia="仿宋"/>
                <w:szCs w:val="21"/>
              </w:rPr>
              <w:t>4.具备可视化界面，以地图方式通过不同颜色展示全网分支机构健康、离线、告警状态，同时可展开省、市、区等多级分支；</w:t>
            </w:r>
            <w:r>
              <w:rPr>
                <w:rFonts w:hint="eastAsia" w:ascii="仿宋" w:hAnsi="仿宋" w:eastAsia="仿宋"/>
                <w:szCs w:val="21"/>
              </w:rPr>
              <w:br w:type="textWrapping"/>
            </w:r>
            <w:r>
              <w:rPr>
                <w:rFonts w:hint="eastAsia" w:ascii="仿宋" w:hAnsi="仿宋" w:eastAsia="仿宋"/>
                <w:szCs w:val="21"/>
              </w:rPr>
              <w:t>5.支持展示所有受控设备状态，包括分支设备版本信息、CPU/内存/磁盘占用、网络吞吐带宽、当前用户流量信息、分支设备版本信息；</w:t>
            </w:r>
            <w:r>
              <w:rPr>
                <w:rFonts w:hint="eastAsia" w:ascii="仿宋" w:hAnsi="仿宋" w:eastAsia="仿宋"/>
                <w:szCs w:val="21"/>
              </w:rPr>
              <w:br w:type="textWrapping"/>
            </w:r>
            <w:r>
              <w:rPr>
                <w:rFonts w:hint="eastAsia" w:ascii="仿宋" w:hAnsi="仿宋" w:eastAsia="仿宋"/>
                <w:szCs w:val="21"/>
              </w:rPr>
              <w:t>6.支持展示链路应用流量名称并划分为交互类、实时类、传输类应用，并通过泳道图的方式实时展示链路结果的流量走向及隧道内业务全路径流量，提供证明材料并加盖厂商公章；</w:t>
            </w:r>
            <w:r>
              <w:rPr>
                <w:rFonts w:hint="eastAsia" w:ascii="仿宋" w:hAnsi="仿宋" w:eastAsia="仿宋"/>
                <w:szCs w:val="21"/>
              </w:rPr>
              <w:br w:type="textWrapping"/>
            </w:r>
            <w:r>
              <w:rPr>
                <w:rFonts w:hint="eastAsia" w:ascii="仿宋" w:hAnsi="仿宋" w:eastAsia="仿宋"/>
                <w:szCs w:val="21"/>
              </w:rPr>
              <w:t>7.支持可视化展示某个应用的实时传输的总流速及TOP IP占用流速详情，提供证明材料并加盖厂商公章；</w:t>
            </w:r>
            <w:r>
              <w:rPr>
                <w:rFonts w:hint="eastAsia" w:ascii="仿宋" w:hAnsi="仿宋" w:eastAsia="仿宋"/>
                <w:szCs w:val="21"/>
              </w:rPr>
              <w:br w:type="textWrapping"/>
            </w:r>
            <w:r>
              <w:rPr>
                <w:rFonts w:hint="eastAsia" w:ascii="仿宋" w:hAnsi="仿宋" w:eastAsia="仿宋"/>
                <w:szCs w:val="21"/>
              </w:rPr>
              <w:t>8.智能监控分支端设备版本库，可设置升级计划，在某个时间段进行升级；</w:t>
            </w:r>
            <w:r>
              <w:rPr>
                <w:rFonts w:hint="eastAsia" w:ascii="仿宋" w:hAnsi="仿宋" w:eastAsia="仿宋"/>
                <w:szCs w:val="21"/>
              </w:rPr>
              <w:br w:type="textWrapping"/>
            </w:r>
            <w:r>
              <w:rPr>
                <w:rFonts w:hint="eastAsia" w:ascii="仿宋" w:hAnsi="仿宋" w:eastAsia="仿宋"/>
                <w:szCs w:val="21"/>
              </w:rPr>
              <w:t>9.提供安全综合管理平台产品计算机信息系统安全专用产品销售许可证。</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211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安全感知管理平台一体机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1．网络层吞吐量：≥4Gbps；</w:t>
            </w:r>
            <w:r>
              <w:rPr>
                <w:rFonts w:hint="eastAsia" w:ascii="仿宋" w:hAnsi="仿宋" w:eastAsia="仿宋"/>
                <w:szCs w:val="21"/>
              </w:rPr>
              <w:br w:type="textWrapping"/>
            </w:r>
            <w:r>
              <w:rPr>
                <w:rFonts w:hint="eastAsia" w:ascii="仿宋" w:hAnsi="仿宋" w:eastAsia="仿宋"/>
                <w:szCs w:val="21"/>
              </w:rPr>
              <w:t>2.≥2U机架式设备，内存大小≥16G，硬盘容量≥128GB SSD+4TB SATA，交流电源，接口≥6千兆电口，≥2万兆光口SFP+；</w:t>
            </w:r>
            <w:r>
              <w:rPr>
                <w:rFonts w:hint="eastAsia" w:ascii="仿宋" w:hAnsi="仿宋" w:eastAsia="仿宋"/>
                <w:szCs w:val="21"/>
              </w:rPr>
              <w:br w:type="textWrapping"/>
            </w:r>
            <w:r>
              <w:rPr>
                <w:rFonts w:hint="eastAsia" w:ascii="仿宋" w:hAnsi="仿宋" w:eastAsia="仿宋"/>
                <w:szCs w:val="21"/>
              </w:rPr>
              <w:t>3.支持安全态势综合展示功能，能够基于流量元数据，利用机器学习、人工智能、威胁情报、沙盒检测、特征分析等方法进行威胁检测，同时以服务器/终端视角直观的看清内网安全状况；可将安全事件进行分布排名展示；服务器访问趋势等通过可视化的的形式展现出来，从而便于分析违规访问、可疑行为等行为，提供证明材料并加盖厂商公章；</w:t>
            </w:r>
            <w:r>
              <w:rPr>
                <w:rFonts w:hint="eastAsia" w:ascii="仿宋" w:hAnsi="仿宋" w:eastAsia="仿宋"/>
                <w:szCs w:val="21"/>
              </w:rPr>
              <w:br w:type="textWrapping"/>
            </w:r>
            <w:r>
              <w:rPr>
                <w:rFonts w:hint="eastAsia" w:ascii="仿宋" w:hAnsi="仿宋" w:eastAsia="仿宋"/>
                <w:szCs w:val="21"/>
              </w:rPr>
              <w:t>4.支持3D网络攻击态势大屏展示，包括攻击频率，遭受攻击的资产展示，以及攻击源地址、攻击手段等，同时可以查看境内境外攻击地址等；在内网环境下，可对外联风险进行展示，包括外连风险总览、外连威胁TOP10、外连态势、外连地区TOP5、实时威胁监控，支持国际、国内地图自主切换；最后支持系统脆弱性的展示，包括漏洞类型、高危漏洞等，提供证明材料并加盖厂商公章；</w:t>
            </w:r>
            <w:r>
              <w:rPr>
                <w:rFonts w:hint="eastAsia" w:ascii="仿宋" w:hAnsi="仿宋" w:eastAsia="仿宋"/>
                <w:szCs w:val="21"/>
              </w:rPr>
              <w:br w:type="textWrapping"/>
            </w:r>
            <w:r>
              <w:rPr>
                <w:rFonts w:hint="eastAsia" w:ascii="仿宋" w:hAnsi="仿宋" w:eastAsia="仿宋"/>
                <w:szCs w:val="21"/>
              </w:rPr>
              <w:t>5.可针对被攻击的服务器或者业务进行攻击阶段分布、风险等级趋势、安全事件、开放端口等多个维度的信息告警。其中攻击阶段包含了当前存在的漏洞、遭受的攻击、C&amp;C通信、黑产牟利、内网扫描、内网扩散、盗取数据等，可以对每个事件进行详细的举证分析，其中包含风险评估、攻击阶段分布、风险等级趋势、安全事件等信息，提供证明材料并加盖厂商公章；</w:t>
            </w:r>
            <w:r>
              <w:rPr>
                <w:rFonts w:hint="eastAsia" w:ascii="仿宋" w:hAnsi="仿宋" w:eastAsia="仿宋"/>
                <w:szCs w:val="21"/>
              </w:rPr>
              <w:br w:type="textWrapping"/>
            </w:r>
            <w:r>
              <w:rPr>
                <w:rFonts w:hint="eastAsia" w:ascii="仿宋" w:hAnsi="仿宋" w:eastAsia="仿宋"/>
                <w:szCs w:val="21"/>
              </w:rPr>
              <w:t>6.支持对勒索病毒进行专项分析，比如中了勒索病毒的风险主机分布、威胁趋势分析，将发生的所有安全事件默认按照处置状态，威胁等级，确定性等级，攻击结果、事件类型等维度进行筛选展示，并结合攻击阶段、事件统计和事件趋势等进行统计和显示、可实时监控发生的安全事件。</w:t>
            </w:r>
            <w:r>
              <w:rPr>
                <w:rFonts w:hint="eastAsia" w:ascii="仿宋" w:hAnsi="仿宋" w:eastAsia="仿宋"/>
                <w:szCs w:val="21"/>
              </w:rPr>
              <w:br w:type="textWrapping"/>
            </w:r>
            <w:r>
              <w:rPr>
                <w:rFonts w:hint="eastAsia" w:ascii="仿宋" w:hAnsi="仿宋" w:eastAsia="仿宋"/>
                <w:szCs w:val="21"/>
              </w:rPr>
              <w:t>7.支持对威胁情报、网站威胁、邮件威胁、文件威胁的安全告警做专项性分析，提供证明材料并加盖厂商公章。</w:t>
            </w:r>
            <w:r>
              <w:rPr>
                <w:rFonts w:hint="eastAsia" w:ascii="仿宋" w:hAnsi="仿宋" w:eastAsia="仿宋"/>
                <w:szCs w:val="21"/>
              </w:rPr>
              <w:br w:type="textWrapping"/>
            </w:r>
            <w:r>
              <w:rPr>
                <w:rFonts w:hint="eastAsia" w:ascii="仿宋" w:hAnsi="仿宋" w:eastAsia="仿宋"/>
                <w:szCs w:val="21"/>
              </w:rPr>
              <w:t>8.支持检测FTP、LADP、mysql、POP3、SMTP、TELNET、WEB等7类以上常见协议的弱密码，并且支持镜像流量检测业务系统中的弱密码。</w:t>
            </w:r>
            <w:r>
              <w:rPr>
                <w:rFonts w:hint="eastAsia" w:ascii="仿宋" w:hAnsi="仿宋" w:eastAsia="仿宋"/>
                <w:szCs w:val="21"/>
              </w:rPr>
              <w:br w:type="textWrapping"/>
            </w:r>
            <w:r>
              <w:rPr>
                <w:rFonts w:hint="eastAsia" w:ascii="仿宋" w:hAnsi="仿宋" w:eastAsia="仿宋"/>
                <w:szCs w:val="21"/>
              </w:rPr>
              <w:t>9.支持与防火墙进行联动响应，支持下发安全策略到防火墙上，阻断攻击流量。</w:t>
            </w:r>
            <w:r>
              <w:rPr>
                <w:rFonts w:hint="eastAsia" w:ascii="仿宋" w:hAnsi="仿宋" w:eastAsia="仿宋"/>
                <w:szCs w:val="21"/>
              </w:rPr>
              <w:br w:type="textWrapping"/>
            </w:r>
            <w:r>
              <w:rPr>
                <w:rFonts w:hint="eastAsia" w:ascii="仿宋" w:hAnsi="仿宋" w:eastAsia="仿宋"/>
                <w:szCs w:val="21"/>
              </w:rPr>
              <w:t xml:space="preserve">10.提供中国网络安全审查技术与认证中心颁发的IT产品信息安全认证证书。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124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7</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等保一体机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1.≥2U机架式设备，CPU≥2颗2.40 GHz 12C，内存≥4*32GB DDR4，系统盘≥1*240GB SSD，缓存盘≥1*480GB，数据盘≥2*4TB，标配盘位数≥8，白金冗余电源，接口≥6千兆电口，≥2万兆光口；</w:t>
            </w:r>
            <w:r>
              <w:rPr>
                <w:rFonts w:hint="eastAsia" w:ascii="仿宋" w:hAnsi="仿宋" w:eastAsia="仿宋"/>
                <w:szCs w:val="21"/>
              </w:rPr>
              <w:br w:type="textWrapping"/>
            </w:r>
            <w:r>
              <w:rPr>
                <w:rFonts w:hint="eastAsia" w:ascii="仿宋" w:hAnsi="仿宋" w:eastAsia="仿宋"/>
                <w:szCs w:val="21"/>
              </w:rPr>
              <w:t>2.平台包含漏洞扫描组件、日志审计组件和堡垒机组件等安全功能组件，且为同一品牌组件；</w:t>
            </w:r>
            <w:r>
              <w:rPr>
                <w:rFonts w:hint="eastAsia" w:ascii="仿宋" w:hAnsi="仿宋" w:eastAsia="仿宋"/>
                <w:szCs w:val="21"/>
              </w:rPr>
              <w:br w:type="textWrapping"/>
            </w:r>
            <w:r>
              <w:rPr>
                <w:rFonts w:hint="eastAsia" w:ascii="仿宋" w:hAnsi="仿宋" w:eastAsia="仿宋"/>
                <w:szCs w:val="21"/>
              </w:rPr>
              <w:t>3.支持故障迁移功能，当主机发生故障迁移后，可自动将组件迁移到其他主机上运行；</w:t>
            </w:r>
            <w:r>
              <w:rPr>
                <w:rFonts w:hint="eastAsia" w:ascii="仿宋" w:hAnsi="仿宋" w:eastAsia="仿宋"/>
                <w:szCs w:val="21"/>
              </w:rPr>
              <w:br w:type="textWrapping"/>
            </w:r>
            <w:r>
              <w:rPr>
                <w:rFonts w:hint="eastAsia" w:ascii="仿宋" w:hAnsi="仿宋" w:eastAsia="仿宋"/>
                <w:szCs w:val="21"/>
              </w:rPr>
              <w:t>4.支持在平台内节点抓包分析功能，能够设置抓包的网口、过滤条件、文件大小等参数，提供证明材料并加盖厂商公章；</w:t>
            </w:r>
            <w:r>
              <w:rPr>
                <w:rFonts w:hint="eastAsia" w:ascii="仿宋" w:hAnsi="仿宋" w:eastAsia="仿宋"/>
                <w:szCs w:val="21"/>
              </w:rPr>
              <w:br w:type="textWrapping"/>
            </w:r>
            <w:r>
              <w:rPr>
                <w:rFonts w:hint="eastAsia" w:ascii="仿宋" w:hAnsi="仿宋" w:eastAsia="仿宋"/>
                <w:szCs w:val="21"/>
              </w:rPr>
              <w:t xml:space="preserve">5.支持关键安全组件双机功能，保障安全组件高可用；在双机场景下，管理平台要支持双机配置同步，在硬件故障时保障无感知切换，提供证明材料并加盖厂商公章； </w:t>
            </w:r>
            <w:r>
              <w:rPr>
                <w:rFonts w:hint="eastAsia" w:ascii="仿宋" w:hAnsi="仿宋" w:eastAsia="仿宋"/>
                <w:szCs w:val="21"/>
              </w:rPr>
              <w:br w:type="textWrapping"/>
            </w:r>
            <w:r>
              <w:rPr>
                <w:rFonts w:hint="eastAsia" w:ascii="仿宋" w:hAnsi="仿宋" w:eastAsia="仿宋"/>
                <w:szCs w:val="21"/>
              </w:rPr>
              <w:t>6.支持等保2.0安全管理中心要求自评功能，能够进行完整度评估；</w:t>
            </w:r>
            <w:r>
              <w:rPr>
                <w:rFonts w:hint="eastAsia" w:ascii="仿宋" w:hAnsi="仿宋" w:eastAsia="仿宋"/>
                <w:szCs w:val="21"/>
              </w:rPr>
              <w:br w:type="textWrapping"/>
            </w:r>
            <w:r>
              <w:rPr>
                <w:rFonts w:hint="eastAsia" w:ascii="仿宋" w:hAnsi="仿宋" w:eastAsia="仿宋"/>
                <w:szCs w:val="21"/>
              </w:rPr>
              <w:t>7.提供国家互联网应急中心CNCERT国家级网络安全应急服务支撑单位证书。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96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漏洞扫描组件</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1.系统漏扫授权IP数无限制，WEB漏扫授权URL数≥20；性能指标≥系统漏扫最大并发IP数≥75，WEB漏扫最大并发URL数5；</w:t>
            </w:r>
            <w:r>
              <w:rPr>
                <w:rFonts w:hint="eastAsia" w:ascii="仿宋" w:hAnsi="仿宋" w:eastAsia="仿宋"/>
                <w:szCs w:val="21"/>
              </w:rPr>
              <w:br w:type="textWrapping"/>
            </w:r>
            <w:r>
              <w:rPr>
                <w:rFonts w:hint="eastAsia" w:ascii="仿宋" w:hAnsi="仿宋" w:eastAsia="仿宋"/>
                <w:szCs w:val="21"/>
              </w:rPr>
              <w:t>2.支持全面扫描、资产发现、系统漏洞扫描、弱口令扫描、WEB漏洞扫描、基线配置核查六种任务类型，其中全面扫描支持系统漏洞扫描、WEB漏洞扫描、弱口令扫描同时执行；</w:t>
            </w:r>
            <w:r>
              <w:rPr>
                <w:rFonts w:hint="eastAsia" w:ascii="仿宋" w:hAnsi="仿宋" w:eastAsia="仿宋"/>
                <w:szCs w:val="21"/>
              </w:rPr>
              <w:br w:type="textWrapping"/>
            </w:r>
            <w:r>
              <w:rPr>
                <w:rFonts w:hint="eastAsia" w:ascii="仿宋" w:hAnsi="仿宋" w:eastAsia="仿宋"/>
                <w:szCs w:val="21"/>
              </w:rPr>
              <w:t>3.漏洞扫描支持指定登录用户名和口令进行本地漏扫检查。支持添加、修改、删除资产；对资产的基本属性进行维护；资产可以增加自定义属性；</w:t>
            </w:r>
            <w:r>
              <w:rPr>
                <w:rFonts w:hint="eastAsia" w:ascii="仿宋" w:hAnsi="仿宋" w:eastAsia="仿宋"/>
                <w:szCs w:val="21"/>
              </w:rPr>
              <w:br w:type="textWrapping"/>
            </w:r>
            <w:r>
              <w:rPr>
                <w:rFonts w:hint="eastAsia" w:ascii="仿宋" w:hAnsi="仿宋" w:eastAsia="仿宋"/>
                <w:szCs w:val="21"/>
              </w:rPr>
              <w:t>4.支持域管理功能，系统默认内置数据域、终端接入域、运维管理域等九个域，可根据客户实际情况进行自定义管理；</w:t>
            </w:r>
            <w:r>
              <w:rPr>
                <w:rFonts w:hint="eastAsia" w:ascii="仿宋" w:hAnsi="仿宋" w:eastAsia="仿宋"/>
                <w:szCs w:val="21"/>
              </w:rPr>
              <w:br w:type="textWrapping"/>
            </w:r>
            <w:r>
              <w:rPr>
                <w:rFonts w:hint="eastAsia" w:ascii="仿宋" w:hAnsi="仿宋" w:eastAsia="仿宋"/>
                <w:szCs w:val="21"/>
              </w:rPr>
              <w:t>5.支持统一管理所有业务系统的合规情况，合规报告可导出。业务系统差距报告量化、可视化整改前后的符合情况和安全问题，提供证明材料并加盖厂商公章；</w:t>
            </w:r>
            <w:r>
              <w:rPr>
                <w:rFonts w:hint="eastAsia" w:ascii="仿宋" w:hAnsi="仿宋" w:eastAsia="仿宋"/>
                <w:szCs w:val="21"/>
              </w:rPr>
              <w:br w:type="textWrapping"/>
            </w:r>
            <w:r>
              <w:rPr>
                <w:rFonts w:hint="eastAsia" w:ascii="仿宋" w:hAnsi="仿宋" w:eastAsia="仿宋"/>
                <w:szCs w:val="21"/>
              </w:rPr>
              <w:t>6.提供检测结果综述分析，按照等保2.0的检测项要求，统计客户业务系统存在的不符合、部分符合、符合、待确认、不适用检测项，直观了解自身业务系统合规情况，提供证明材料并加盖厂商公章；</w:t>
            </w:r>
            <w:r>
              <w:rPr>
                <w:rFonts w:hint="eastAsia" w:ascii="仿宋" w:hAnsi="仿宋" w:eastAsia="仿宋"/>
                <w:szCs w:val="21"/>
              </w:rPr>
              <w:br w:type="textWrapping"/>
            </w:r>
            <w:r>
              <w:rPr>
                <w:rFonts w:hint="eastAsia" w:ascii="仿宋" w:hAnsi="仿宋" w:eastAsia="仿宋"/>
                <w:szCs w:val="21"/>
              </w:rPr>
              <w:t>7.提供中国网络安全审查技术与认证中心颁发的《中国国家信息安全产品认证证书》。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108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9</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日志审计组件</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1．资产授权数量≥200个；</w:t>
            </w:r>
            <w:r>
              <w:rPr>
                <w:rFonts w:hint="eastAsia" w:ascii="仿宋" w:hAnsi="仿宋" w:eastAsia="仿宋"/>
                <w:szCs w:val="21"/>
              </w:rPr>
              <w:br w:type="textWrapping"/>
            </w:r>
            <w:r>
              <w:rPr>
                <w:rFonts w:hint="eastAsia" w:ascii="仿宋" w:hAnsi="仿宋" w:eastAsia="仿宋"/>
                <w:szCs w:val="21"/>
              </w:rPr>
              <w:t>2.支持各类设备的日志采集要求，主要包括：安全设备：国内主流防火墙； 操作系统：Linux、Windows、Windows Server、Unix等操作系统；数据库：Oracle、MySQL、SQLServer等；应用系统：如Apache、Tomcat、IIS、Weblogic等；网络设备：主流的路由器、交换机、负载均衡等网络设备等主流网络设备；</w:t>
            </w:r>
            <w:r>
              <w:rPr>
                <w:rFonts w:hint="eastAsia" w:ascii="仿宋" w:hAnsi="仿宋" w:eastAsia="仿宋"/>
                <w:szCs w:val="21"/>
              </w:rPr>
              <w:br w:type="textWrapping"/>
            </w:r>
            <w:r>
              <w:rPr>
                <w:rFonts w:hint="eastAsia" w:ascii="仿宋" w:hAnsi="仿宋" w:eastAsia="仿宋"/>
                <w:szCs w:val="21"/>
              </w:rPr>
              <w:t>3.支持定义部门和人员的对应关系，支持定义人员与账号的对应关系；支持HTTP网页标题、BBS、威胁情报、DGA、搜索关键词的网络会话分类展现；支持全文检索功能，能对系统内的对象提供全文检索功能；</w:t>
            </w:r>
            <w:r>
              <w:rPr>
                <w:rFonts w:hint="eastAsia" w:ascii="仿宋" w:hAnsi="仿宋" w:eastAsia="仿宋"/>
                <w:szCs w:val="21"/>
              </w:rPr>
              <w:br w:type="textWrapping"/>
            </w:r>
            <w:r>
              <w:rPr>
                <w:rFonts w:hint="eastAsia" w:ascii="仿宋" w:hAnsi="仿宋" w:eastAsia="仿宋"/>
                <w:szCs w:val="21"/>
              </w:rPr>
              <w:t>4.支持可视化展示，包括数据分布、安全事件趋势图、关联规则告警趋势图、接入设备概况等，可提供设备专项分析场景，提供证明材料并加盖厂商公章；</w:t>
            </w:r>
            <w:r>
              <w:rPr>
                <w:rFonts w:hint="eastAsia" w:ascii="仿宋" w:hAnsi="仿宋" w:eastAsia="仿宋"/>
                <w:szCs w:val="21"/>
              </w:rPr>
              <w:br w:type="textWrapping"/>
            </w:r>
            <w:r>
              <w:rPr>
                <w:rFonts w:hint="eastAsia" w:ascii="仿宋" w:hAnsi="仿宋" w:eastAsia="仿宋"/>
                <w:szCs w:val="21"/>
              </w:rPr>
              <w:t>5.提供中国网络安全审查技术与认证中心颁发的《中国国家信息安全产品认证证书》。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112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堡垒机组件</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1.资源授权≥200个；</w:t>
            </w:r>
            <w:r>
              <w:rPr>
                <w:rFonts w:hint="eastAsia" w:ascii="仿宋" w:hAnsi="仿宋" w:eastAsia="仿宋"/>
                <w:szCs w:val="21"/>
              </w:rPr>
              <w:br w:type="textWrapping"/>
            </w:r>
            <w:r>
              <w:rPr>
                <w:rFonts w:hint="eastAsia" w:ascii="仿宋" w:hAnsi="仿宋" w:eastAsia="仿宋"/>
                <w:szCs w:val="21"/>
              </w:rPr>
              <w:t>2.用户登陆认证方式支持静态口令认证、手机动态口令认证、Usbkey（数字证书）认证、AD域认证、Radius认证等认证方式；并支持各种认证方式和静态口令组合认证；</w:t>
            </w:r>
            <w:r>
              <w:rPr>
                <w:rFonts w:hint="eastAsia" w:ascii="仿宋" w:hAnsi="仿宋" w:eastAsia="仿宋"/>
                <w:szCs w:val="21"/>
              </w:rPr>
              <w:br w:type="textWrapping"/>
            </w:r>
            <w:r>
              <w:rPr>
                <w:rFonts w:hint="eastAsia" w:ascii="仿宋" w:hAnsi="仿宋" w:eastAsia="仿宋"/>
                <w:szCs w:val="21"/>
              </w:rPr>
              <w:t>3.支持命令审批规则，用户执行高危命令时需要管理员审批后才允许执行；命令审批规则可以指定运维人员、访问设备、设备账号及命令审批人，提供证明材料并加盖厂商公章；</w:t>
            </w:r>
            <w:r>
              <w:rPr>
                <w:rFonts w:hint="eastAsia" w:ascii="仿宋" w:hAnsi="仿宋" w:eastAsia="仿宋"/>
                <w:szCs w:val="21"/>
              </w:rPr>
              <w:br w:type="textWrapping"/>
            </w:r>
            <w:r>
              <w:rPr>
                <w:rFonts w:hint="eastAsia" w:ascii="仿宋" w:hAnsi="仿宋" w:eastAsia="仿宋"/>
                <w:szCs w:val="21"/>
              </w:rPr>
              <w:t>4.支持在授权基础上自定义访问审批流程，可设置一级或多级审批人，每级审批可指定通过投票数，需逐级审批通过才可最终发起运维操作；</w:t>
            </w:r>
            <w:r>
              <w:rPr>
                <w:rFonts w:hint="eastAsia" w:ascii="仿宋" w:hAnsi="仿宋" w:eastAsia="仿宋"/>
                <w:szCs w:val="21"/>
              </w:rPr>
              <w:br w:type="textWrapping"/>
            </w:r>
            <w:r>
              <w:rPr>
                <w:rFonts w:hint="eastAsia" w:ascii="仿宋" w:hAnsi="仿宋" w:eastAsia="仿宋"/>
                <w:szCs w:val="21"/>
              </w:rPr>
              <w:t>5.支持web页面直接发起运维，无需安装任何控件，并同时支持调用SecureCRT、Xshell、Putty、WinSCP、FileZilla、RDP等客户端工具实现单点登陆，不改变运维人员操作习惯；</w:t>
            </w:r>
            <w:r>
              <w:rPr>
                <w:rFonts w:hint="eastAsia" w:ascii="仿宋" w:hAnsi="仿宋" w:eastAsia="仿宋"/>
                <w:szCs w:val="21"/>
              </w:rPr>
              <w:br w:type="textWrapping"/>
            </w:r>
            <w:r>
              <w:rPr>
                <w:rFonts w:hint="eastAsia" w:ascii="仿宋" w:hAnsi="仿宋" w:eastAsia="仿宋"/>
                <w:szCs w:val="21"/>
              </w:rPr>
              <w:t>6.全面支持Windows、linux、国产麒麟系统、Android、IOS、Mac OS等客户端操作系统下的H5页面一站式运维，提供证明材料并加盖厂商公章。</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169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网络审计与准入系统</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1.网络层吞吐量≥4Gb，应用层吞吐量≥500Mb，带宽性能≥300Mb，支持用户数≥1500，准入终端数≥800，包转发率≥45Kpps，每秒新建连接数≥4000，最大并发连接数≥150000；</w:t>
            </w:r>
            <w:r>
              <w:rPr>
                <w:rFonts w:hint="eastAsia" w:ascii="仿宋" w:hAnsi="仿宋" w:eastAsia="仿宋"/>
                <w:szCs w:val="21"/>
              </w:rPr>
              <w:br w:type="textWrapping"/>
            </w:r>
            <w:r>
              <w:rPr>
                <w:rFonts w:hint="eastAsia" w:ascii="仿宋" w:hAnsi="仿宋" w:eastAsia="仿宋"/>
                <w:szCs w:val="21"/>
              </w:rPr>
              <w:t>2.内存大小≥4G，交流电源，接口≥6千兆电口，≥2千兆光口SFP；</w:t>
            </w:r>
            <w:r>
              <w:rPr>
                <w:rFonts w:hint="eastAsia" w:ascii="仿宋" w:hAnsi="仿宋" w:eastAsia="仿宋"/>
                <w:szCs w:val="21"/>
              </w:rPr>
              <w:br w:type="textWrapping"/>
            </w:r>
            <w:r>
              <w:rPr>
                <w:rFonts w:hint="eastAsia" w:ascii="仿宋" w:hAnsi="仿宋" w:eastAsia="仿宋"/>
                <w:szCs w:val="21"/>
              </w:rPr>
              <w:t>3.支持禁用代理功能，可以禁止网络中外部HTTP代理、外部Sock4/5等代理；</w:t>
            </w:r>
            <w:r>
              <w:rPr>
                <w:rFonts w:hint="eastAsia" w:ascii="仿宋" w:hAnsi="仿宋" w:eastAsia="仿宋"/>
                <w:szCs w:val="21"/>
              </w:rPr>
              <w:br w:type="textWrapping"/>
            </w:r>
            <w:r>
              <w:rPr>
                <w:rFonts w:hint="eastAsia" w:ascii="仿宋" w:hAnsi="仿宋" w:eastAsia="仿宋"/>
                <w:szCs w:val="21"/>
              </w:rPr>
              <w:t>4.首页应具备不同维度的分析视角界面，如接入上网人员人数情况、整体入网资产情况、资产分类、违规外联情况、流量分析、泄密行为分析、工作效率分析等界面，提供证明材料并加盖厂商公章；</w:t>
            </w:r>
            <w:r>
              <w:rPr>
                <w:rFonts w:hint="eastAsia" w:ascii="仿宋" w:hAnsi="仿宋" w:eastAsia="仿宋"/>
                <w:szCs w:val="21"/>
              </w:rPr>
              <w:br w:type="textWrapping"/>
            </w:r>
            <w:r>
              <w:rPr>
                <w:rFonts w:hint="eastAsia" w:ascii="仿宋" w:hAnsi="仿宋" w:eastAsia="仿宋"/>
                <w:szCs w:val="21"/>
              </w:rPr>
              <w:t>5.支持记录上网过程中关键信息如网址、标题等信息，可审计记录网页正文内容以及记录SSL加密网页的内容；</w:t>
            </w:r>
            <w:r>
              <w:rPr>
                <w:rFonts w:hint="eastAsia" w:ascii="仿宋" w:hAnsi="仿宋" w:eastAsia="仿宋"/>
                <w:szCs w:val="21"/>
              </w:rPr>
              <w:br w:type="textWrapping"/>
            </w:r>
            <w:r>
              <w:rPr>
                <w:rFonts w:hint="eastAsia" w:ascii="仿宋" w:hAnsi="仿宋" w:eastAsia="仿宋"/>
                <w:szCs w:val="21"/>
              </w:rPr>
              <w:t>6、支持对上网人员的邮件外发行为进行审计，支持邮件附件审计；</w:t>
            </w:r>
            <w:r>
              <w:rPr>
                <w:rFonts w:hint="eastAsia" w:ascii="仿宋" w:hAnsi="仿宋" w:eastAsia="仿宋"/>
                <w:szCs w:val="21"/>
              </w:rPr>
              <w:br w:type="textWrapping"/>
            </w:r>
            <w:r>
              <w:rPr>
                <w:rFonts w:hint="eastAsia" w:ascii="仿宋" w:hAnsi="仿宋" w:eastAsia="仿宋"/>
                <w:szCs w:val="21"/>
              </w:rPr>
              <w:t>7.支持对上网人员使用CS客户端外发的SSL协议加密邮件的邮件内容和附件进行审计。</w:t>
            </w:r>
            <w:r>
              <w:rPr>
                <w:rFonts w:hint="eastAsia" w:ascii="仿宋" w:hAnsi="仿宋" w:eastAsia="仿宋"/>
                <w:szCs w:val="21"/>
              </w:rPr>
              <w:br w:type="textWrapping"/>
            </w:r>
            <w:r>
              <w:rPr>
                <w:rFonts w:hint="eastAsia" w:ascii="仿宋" w:hAnsi="仿宋" w:eastAsia="仿宋"/>
                <w:szCs w:val="21"/>
              </w:rPr>
              <w:t>8.支持阻断终端用户使用外设，防止终端用户从内网拷贝信息，必须支持便携设别（收集、相机）、存储设备、网络设备、蓝牙设备、摄像头、打印机的使用管控；</w:t>
            </w:r>
            <w:r>
              <w:rPr>
                <w:rFonts w:hint="eastAsia" w:ascii="仿宋" w:hAnsi="仿宋" w:eastAsia="仿宋"/>
                <w:szCs w:val="21"/>
              </w:rPr>
              <w:br w:type="textWrapping"/>
            </w:r>
            <w:r>
              <w:rPr>
                <w:rFonts w:hint="eastAsia" w:ascii="仿宋" w:hAnsi="仿宋" w:eastAsia="仿宋"/>
                <w:szCs w:val="21"/>
              </w:rPr>
              <w:t>9.要求厂商应是国家标准《信息安全技术信息系统安全审计产品 技术要求和测试评价方法》的主要起草单位，提供证明材料并加盖厂商公章。</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136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市级终端接入交换机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 国产知名品牌，具有自主知识产权。</w:t>
            </w:r>
            <w:r>
              <w:rPr>
                <w:rFonts w:hint="eastAsia" w:ascii="仿宋" w:hAnsi="仿宋" w:eastAsia="仿宋"/>
                <w:szCs w:val="21"/>
              </w:rPr>
              <w:br w:type="textWrapping"/>
            </w:r>
            <w:r>
              <w:rPr>
                <w:rFonts w:hint="eastAsia" w:ascii="仿宋" w:hAnsi="仿宋" w:eastAsia="仿宋"/>
                <w:szCs w:val="21"/>
              </w:rPr>
              <w:t>2. 千兆电口≥48个，千兆SFP光口≥4个；</w:t>
            </w:r>
            <w:r>
              <w:rPr>
                <w:rFonts w:hint="eastAsia" w:ascii="仿宋" w:hAnsi="仿宋" w:eastAsia="仿宋"/>
                <w:szCs w:val="21"/>
              </w:rPr>
              <w:br w:type="textWrapping"/>
            </w:r>
            <w:r>
              <w:rPr>
                <w:rFonts w:hint="eastAsia" w:ascii="仿宋" w:hAnsi="仿宋" w:eastAsia="仿宋"/>
                <w:szCs w:val="21"/>
              </w:rPr>
              <w:t>3. 交换容量≥432Gbps，包转发率≥166Mpps；</w:t>
            </w:r>
            <w:r>
              <w:rPr>
                <w:rFonts w:hint="eastAsia" w:ascii="仿宋" w:hAnsi="仿宋" w:eastAsia="仿宋"/>
                <w:szCs w:val="21"/>
              </w:rPr>
              <w:br w:type="textWrapping"/>
            </w:r>
            <w:r>
              <w:rPr>
                <w:rFonts w:hint="eastAsia" w:ascii="仿宋" w:hAnsi="仿宋" w:eastAsia="仿宋"/>
                <w:szCs w:val="21"/>
              </w:rPr>
              <w:t>4. 支持堆叠；支持本地端口镜像，远程端口镜像；支持流镜像；</w:t>
            </w:r>
            <w:r>
              <w:rPr>
                <w:rFonts w:hint="eastAsia" w:ascii="仿宋" w:hAnsi="仿宋" w:eastAsia="仿宋"/>
                <w:szCs w:val="21"/>
              </w:rPr>
              <w:br w:type="textWrapping"/>
            </w:r>
            <w:r>
              <w:rPr>
                <w:rFonts w:hint="eastAsia" w:ascii="仿宋" w:hAnsi="仿宋" w:eastAsia="仿宋"/>
                <w:szCs w:val="21"/>
              </w:rPr>
              <w:t>5. 支持基于标准、扩展、VLAN、MAC、时间的IPv4/v6ACL报文过滤;</w:t>
            </w:r>
            <w:r>
              <w:rPr>
                <w:rFonts w:hint="eastAsia" w:ascii="仿宋" w:hAnsi="仿宋" w:eastAsia="仿宋"/>
                <w:szCs w:val="21"/>
              </w:rPr>
              <w:br w:type="textWrapping"/>
            </w:r>
            <w:r>
              <w:rPr>
                <w:rFonts w:hint="eastAsia" w:ascii="仿宋" w:hAnsi="仿宋" w:eastAsia="仿宋"/>
                <w:szCs w:val="21"/>
              </w:rPr>
              <w:t>6.为了保证整个项目完成性，所投产品须支持零配置上线，支持二层广播自动发现网管中心平台；支持配置静态IP地址三层发现网管中心平台；支持DHCP Option43方式发现网管中心平台；支持DNS域名发现网管中心平台，提供功能截图并加盖厂商公章；</w:t>
            </w:r>
            <w:r>
              <w:rPr>
                <w:rFonts w:hint="eastAsia" w:ascii="仿宋" w:hAnsi="仿宋" w:eastAsia="仿宋"/>
                <w:szCs w:val="21"/>
              </w:rPr>
              <w:br w:type="textWrapping"/>
            </w:r>
            <w:r>
              <w:rPr>
                <w:rFonts w:hint="eastAsia" w:ascii="仿宋" w:hAnsi="仿宋" w:eastAsia="仿宋"/>
                <w:szCs w:val="21"/>
              </w:rPr>
              <w:t>7.要求提供具有CMA和CNAS认证章的第三方权威机构测试报告；</w:t>
            </w:r>
            <w:r>
              <w:rPr>
                <w:rFonts w:hint="eastAsia" w:ascii="仿宋" w:hAnsi="仿宋" w:eastAsia="仿宋"/>
                <w:szCs w:val="21"/>
              </w:rPr>
              <w:br w:type="textWrapping"/>
            </w:r>
            <w:r>
              <w:rPr>
                <w:rFonts w:hint="eastAsia" w:ascii="仿宋" w:hAnsi="仿宋" w:eastAsia="仿宋"/>
                <w:szCs w:val="21"/>
              </w:rPr>
              <w:t>8.支持通过APP进行远程管理，并且可以修改交换机网络配置，提供功能截图证明并加盖厂商公章；</w:t>
            </w:r>
            <w:r>
              <w:rPr>
                <w:rFonts w:hint="eastAsia" w:ascii="仿宋" w:hAnsi="仿宋" w:eastAsia="仿宋"/>
                <w:szCs w:val="21"/>
              </w:rPr>
              <w:br w:type="textWrapping"/>
            </w:r>
            <w:r>
              <w:rPr>
                <w:rFonts w:hint="eastAsia" w:ascii="仿宋" w:hAnsi="仿宋" w:eastAsia="仿宋"/>
                <w:szCs w:val="21"/>
              </w:rPr>
              <w:t>9.支持通过网管中心平台查看交换机端口负载情况；</w:t>
            </w:r>
            <w:r>
              <w:rPr>
                <w:rFonts w:hint="eastAsia" w:ascii="仿宋" w:hAnsi="仿宋" w:eastAsia="仿宋"/>
                <w:szCs w:val="21"/>
              </w:rPr>
              <w:br w:type="textWrapping"/>
            </w:r>
            <w:r>
              <w:rPr>
                <w:rFonts w:hint="eastAsia" w:ascii="仿宋" w:hAnsi="仿宋" w:eastAsia="仿宋"/>
                <w:szCs w:val="21"/>
              </w:rPr>
              <w:t>10.支持IPV4和IPV6。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833"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市级汇聚交换机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 国产知名品牌，具有自主知识产权。</w:t>
            </w:r>
            <w:r>
              <w:rPr>
                <w:rFonts w:hint="eastAsia" w:ascii="仿宋" w:hAnsi="仿宋" w:eastAsia="仿宋"/>
                <w:szCs w:val="21"/>
              </w:rPr>
              <w:br w:type="textWrapping"/>
            </w:r>
            <w:r>
              <w:rPr>
                <w:rFonts w:hint="eastAsia" w:ascii="仿宋" w:hAnsi="仿宋" w:eastAsia="仿宋"/>
                <w:szCs w:val="21"/>
              </w:rPr>
              <w:t>2. 千兆光口≥24 个，万兆 SFP 光口</w:t>
            </w:r>
            <w:r>
              <w:rPr>
                <w:rFonts w:hint="eastAsia" w:ascii="仿宋" w:hAnsi="仿宋" w:eastAsia="仿宋"/>
                <w:szCs w:val="21"/>
              </w:rPr>
              <w:br w:type="textWrapping"/>
            </w:r>
            <w:r>
              <w:rPr>
                <w:rFonts w:hint="eastAsia" w:ascii="仿宋" w:hAnsi="仿宋" w:eastAsia="仿宋"/>
                <w:szCs w:val="21"/>
              </w:rPr>
              <w:t>≥4 个，≥16 个千兆复用口，20G QSFP光口≥2；</w:t>
            </w:r>
            <w:r>
              <w:rPr>
                <w:rFonts w:hint="eastAsia" w:ascii="仿宋" w:hAnsi="仿宋" w:eastAsia="仿宋"/>
                <w:szCs w:val="21"/>
              </w:rPr>
              <w:br w:type="textWrapping"/>
            </w:r>
            <w:r>
              <w:rPr>
                <w:rFonts w:hint="eastAsia" w:ascii="仿宋" w:hAnsi="仿宋" w:eastAsia="仿宋"/>
                <w:szCs w:val="21"/>
              </w:rPr>
              <w:t>3. 交换容量≥758bps，包转发率≥432Mpps；</w:t>
            </w:r>
            <w:r>
              <w:rPr>
                <w:rFonts w:hint="eastAsia" w:ascii="仿宋" w:hAnsi="仿宋" w:eastAsia="仿宋"/>
                <w:szCs w:val="21"/>
              </w:rPr>
              <w:br w:type="textWrapping"/>
            </w:r>
            <w:r>
              <w:rPr>
                <w:rFonts w:hint="eastAsia" w:ascii="仿宋" w:hAnsi="仿宋" w:eastAsia="仿宋"/>
                <w:szCs w:val="21"/>
              </w:rPr>
              <w:t>4. 支持堆叠；支持本地端口镜像，远程端口镜像；支持流镜像；</w:t>
            </w:r>
            <w:r>
              <w:rPr>
                <w:rFonts w:hint="eastAsia" w:ascii="仿宋" w:hAnsi="仿宋" w:eastAsia="仿宋"/>
                <w:szCs w:val="21"/>
              </w:rPr>
              <w:br w:type="textWrapping"/>
            </w:r>
            <w:r>
              <w:rPr>
                <w:rFonts w:hint="eastAsia" w:ascii="仿宋" w:hAnsi="仿宋" w:eastAsia="仿宋"/>
                <w:szCs w:val="21"/>
              </w:rPr>
              <w:t>5. 支持基于标准、扩展、VLAN、MAC、时间的 IPv4/v6ACL 报文过滤;</w:t>
            </w:r>
            <w:r>
              <w:rPr>
                <w:rFonts w:hint="eastAsia" w:ascii="仿宋" w:hAnsi="仿宋" w:eastAsia="仿宋"/>
                <w:szCs w:val="21"/>
              </w:rPr>
              <w:br w:type="textWrapping"/>
            </w:r>
            <w:r>
              <w:rPr>
                <w:rFonts w:hint="eastAsia" w:ascii="仿宋" w:hAnsi="仿宋" w:eastAsia="仿宋"/>
                <w:szCs w:val="21"/>
              </w:rPr>
              <w:t>6.为了保证整个项目完成性，所投产品须支持零配置上线，支持二层广播</w:t>
            </w:r>
            <w:r>
              <w:rPr>
                <w:rFonts w:hint="eastAsia" w:ascii="仿宋" w:hAnsi="仿宋" w:eastAsia="仿宋"/>
                <w:szCs w:val="21"/>
              </w:rPr>
              <w:br w:type="textWrapping"/>
            </w:r>
            <w:r>
              <w:rPr>
                <w:rFonts w:hint="eastAsia" w:ascii="仿宋" w:hAnsi="仿宋" w:eastAsia="仿宋"/>
                <w:szCs w:val="21"/>
              </w:rPr>
              <w:t>自动发现网管中心平台；支持配置静态 IP 地址三层发现网管中心平台；支持 DHCP Option43 方式发现网管中心平台；支持 DNS 域名发现网管中心平台，提供功能截图并加盖厂商公章；</w:t>
            </w:r>
            <w:r>
              <w:rPr>
                <w:rFonts w:hint="eastAsia" w:ascii="仿宋" w:hAnsi="仿宋" w:eastAsia="仿宋"/>
                <w:szCs w:val="21"/>
              </w:rPr>
              <w:br w:type="textWrapping"/>
            </w:r>
            <w:r>
              <w:rPr>
                <w:rFonts w:hint="eastAsia" w:ascii="仿宋" w:hAnsi="仿宋" w:eastAsia="仿宋"/>
                <w:szCs w:val="21"/>
              </w:rPr>
              <w:t>7.要求提供具有 CMA 和 CNAS 认证章的第三方权威机构测试报告；</w:t>
            </w:r>
            <w:r>
              <w:rPr>
                <w:rFonts w:hint="eastAsia" w:ascii="仿宋" w:hAnsi="仿宋" w:eastAsia="仿宋"/>
                <w:szCs w:val="21"/>
              </w:rPr>
              <w:br w:type="textWrapping"/>
            </w:r>
            <w:r>
              <w:rPr>
                <w:rFonts w:hint="eastAsia" w:ascii="仿宋" w:hAnsi="仿宋" w:eastAsia="仿宋"/>
                <w:szCs w:val="21"/>
              </w:rPr>
              <w:t>8.支持通过 APP 进行远程管理，并且可以修改交换机网络配置，提供功能截图证明并加盖厂商公章；</w:t>
            </w:r>
            <w:r>
              <w:rPr>
                <w:rFonts w:hint="eastAsia" w:ascii="仿宋" w:hAnsi="仿宋" w:eastAsia="仿宋"/>
                <w:szCs w:val="21"/>
              </w:rPr>
              <w:br w:type="textWrapping"/>
            </w:r>
            <w:r>
              <w:rPr>
                <w:rFonts w:hint="eastAsia" w:ascii="仿宋" w:hAnsi="仿宋" w:eastAsia="仿宋"/>
                <w:szCs w:val="21"/>
              </w:rPr>
              <w:t>9.支持通过网管中心平台查看交换机端口负载情况；</w:t>
            </w:r>
            <w:r>
              <w:rPr>
                <w:rFonts w:hint="eastAsia" w:ascii="仿宋" w:hAnsi="仿宋" w:eastAsia="仿宋"/>
                <w:szCs w:val="21"/>
              </w:rPr>
              <w:br w:type="textWrapping"/>
            </w:r>
            <w:r>
              <w:rPr>
                <w:rFonts w:hint="eastAsia" w:ascii="仿宋" w:hAnsi="仿宋" w:eastAsia="仿宋"/>
                <w:szCs w:val="21"/>
              </w:rPr>
              <w:t>10.支持 IPV4 和 IPV6。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61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线缆辅材</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光模块、防水防尘标签、号码管、钢丝、弯头、扎带，螺丝、接地线等辅材。</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批</w:t>
            </w:r>
          </w:p>
        </w:tc>
      </w:tr>
      <w:tr>
        <w:tblPrEx>
          <w:tblCellMar>
            <w:top w:w="0" w:type="dxa"/>
            <w:left w:w="0" w:type="dxa"/>
            <w:bottom w:w="0" w:type="dxa"/>
            <w:right w:w="0" w:type="dxa"/>
          </w:tblCellMar>
        </w:tblPrEx>
        <w:trPr>
          <w:trHeight w:val="46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系统集成</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安装调试、培训、维护、三年质保等。</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114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16</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终端软件实施费</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审计专网所有终端软件实施，每个终端部署防病毒系统、主机审计系统、终端准入控制系统等客户端软件，最终实现防病毒系统、主机审计系统、终端准入控制系统与省上控制平台互联，并激活终端软件按照要求配置好安全策略，使其发挥安全防护与审计管控的作用。</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90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58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17</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OA数据迁移服务</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原有审计专网OA产生的数据向省审计厅迁移，严格按照省厅标准执行。</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42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18</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三级等保测评</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审计专网三级等保测评（测评对象包含市审计平台和13个区县接入端等）。</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480" w:hRule="atLeast"/>
        </w:trPr>
        <w:tc>
          <w:tcPr>
            <w:tcW w:w="9371" w:type="dxa"/>
            <w:gridSpan w:val="5"/>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color w:val="000000"/>
                <w:szCs w:val="21"/>
              </w:rPr>
            </w:pPr>
            <w:r>
              <w:rPr>
                <w:rFonts w:hint="eastAsia" w:ascii="仿宋" w:hAnsi="仿宋" w:eastAsia="仿宋"/>
                <w:b/>
                <w:bCs/>
                <w:color w:val="000000"/>
                <w:szCs w:val="21"/>
              </w:rPr>
              <w:t>（二）县（市、区）配套</w:t>
            </w:r>
          </w:p>
        </w:tc>
      </w:tr>
      <w:tr>
        <w:tblPrEx>
          <w:tblCellMar>
            <w:top w:w="0" w:type="dxa"/>
            <w:left w:w="0" w:type="dxa"/>
            <w:bottom w:w="0" w:type="dxa"/>
            <w:right w:w="0" w:type="dxa"/>
          </w:tblCellMar>
        </w:tblPrEx>
        <w:trPr>
          <w:trHeight w:val="84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区县接入防火墙</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1.网络层吞吐量≥6G，应用层吞吐量≥1G，防病毒吞吐量≥500M，IPS吞吐量≥300M，全威胁吞吐量≥250M，并发连接数≥100万，HTTP新建连接数≥2.5万；</w:t>
            </w:r>
            <w:r>
              <w:rPr>
                <w:rFonts w:hint="eastAsia" w:ascii="仿宋" w:hAnsi="仿宋" w:eastAsia="仿宋"/>
                <w:szCs w:val="21"/>
              </w:rPr>
              <w:br w:type="textWrapping"/>
            </w:r>
            <w:r>
              <w:rPr>
                <w:rFonts w:hint="eastAsia" w:ascii="仿宋" w:hAnsi="仿宋" w:eastAsia="仿宋"/>
                <w:szCs w:val="21"/>
              </w:rPr>
              <w:t>2.交流电源，接口≥8千兆电口，≥2千兆光口；</w:t>
            </w:r>
            <w:r>
              <w:rPr>
                <w:rFonts w:hint="eastAsia" w:ascii="仿宋" w:hAnsi="仿宋" w:eastAsia="仿宋"/>
                <w:szCs w:val="21"/>
              </w:rPr>
              <w:br w:type="textWrapping"/>
            </w:r>
            <w:r>
              <w:rPr>
                <w:rFonts w:hint="eastAsia" w:ascii="仿宋" w:hAnsi="仿宋" w:eastAsia="仿宋"/>
                <w:szCs w:val="21"/>
              </w:rPr>
              <w:t>3.支持IPV6环境部署，包括接口/国家区域配置、路由配置等网络适应性功能，支持IPV6级别常用安全功能，包括僵尸网络，应用防护等；</w:t>
            </w:r>
            <w:r>
              <w:rPr>
                <w:rFonts w:hint="eastAsia" w:ascii="仿宋" w:hAnsi="仿宋" w:eastAsia="仿宋"/>
                <w:szCs w:val="21"/>
              </w:rPr>
              <w:br w:type="textWrapping"/>
            </w:r>
            <w:r>
              <w:rPr>
                <w:rFonts w:hint="eastAsia" w:ascii="仿宋" w:hAnsi="仿宋" w:eastAsia="仿宋"/>
                <w:szCs w:val="21"/>
              </w:rPr>
              <w:t>4.支持僵尸主机检测功能，产品内置僵尸网络特征库超过128万种；</w:t>
            </w:r>
            <w:r>
              <w:rPr>
                <w:rFonts w:hint="eastAsia" w:ascii="仿宋" w:hAnsi="仿宋" w:eastAsia="仿宋"/>
                <w:szCs w:val="21"/>
              </w:rPr>
              <w:br w:type="textWrapping"/>
            </w:r>
            <w:r>
              <w:rPr>
                <w:rFonts w:hint="eastAsia" w:ascii="仿宋" w:hAnsi="仿宋" w:eastAsia="仿宋"/>
                <w:szCs w:val="21"/>
              </w:rPr>
              <w:t>5.产品内置超过4500种WEB应用攻击特征，支持对跨站脚本（XSS）攻击、SQL注入、文件包含攻击、信息泄露攻击、WEBSHELL、网站扫描、网页木马等攻击类型进行防护；</w:t>
            </w:r>
            <w:r>
              <w:rPr>
                <w:rFonts w:hint="eastAsia" w:ascii="仿宋" w:hAnsi="仿宋" w:eastAsia="仿宋"/>
                <w:szCs w:val="21"/>
              </w:rPr>
              <w:br w:type="textWrapping"/>
            </w:r>
            <w:r>
              <w:rPr>
                <w:rFonts w:hint="eastAsia" w:ascii="仿宋" w:hAnsi="仿宋" w:eastAsia="仿宋"/>
                <w:szCs w:val="21"/>
              </w:rPr>
              <w:t>6.支持勒索病毒防护，可以对勒索病毒实现检测与防御，提供中国合格评定国家认可委员会下属的第三方权威机构检测报告证明；</w:t>
            </w:r>
            <w:r>
              <w:rPr>
                <w:rFonts w:hint="eastAsia" w:ascii="仿宋" w:hAnsi="仿宋" w:eastAsia="仿宋"/>
                <w:szCs w:val="21"/>
              </w:rPr>
              <w:br w:type="textWrapping"/>
            </w:r>
            <w:r>
              <w:rPr>
                <w:rFonts w:hint="eastAsia" w:ascii="仿宋" w:hAnsi="仿宋" w:eastAsia="仿宋"/>
                <w:szCs w:val="21"/>
              </w:rPr>
              <w:t>7.支持蜜罐功能，可以伪装业务诱捕内外网攻击行为，自动封锁高危IP；提供截图并加盖厂商公章；</w:t>
            </w:r>
            <w:r>
              <w:rPr>
                <w:rFonts w:hint="eastAsia" w:ascii="仿宋" w:hAnsi="仿宋" w:eastAsia="仿宋"/>
                <w:szCs w:val="21"/>
              </w:rPr>
              <w:br w:type="textWrapping"/>
            </w:r>
            <w:r>
              <w:rPr>
                <w:rFonts w:hint="eastAsia" w:ascii="仿宋" w:hAnsi="仿宋" w:eastAsia="仿宋"/>
                <w:szCs w:val="21"/>
              </w:rPr>
              <w:t>8．为保障产品具备较强的市场成熟度，产品在IDC近年集成类防火墙(UTM)市场占有率排名前三；提供证明材料并加盖厂商公章。</w:t>
            </w:r>
            <w:r>
              <w:rPr>
                <w:rFonts w:hint="eastAsia" w:ascii="仿宋" w:hAnsi="仿宋" w:eastAsia="仿宋"/>
                <w:szCs w:val="21"/>
              </w:rPr>
              <w:br w:type="textWrapping"/>
            </w:r>
            <w:r>
              <w:rPr>
                <w:rFonts w:hint="eastAsia" w:ascii="仿宋" w:hAnsi="仿宋" w:eastAsia="仿宋"/>
                <w:szCs w:val="21"/>
              </w:rPr>
              <w:t>9.产品应具备IT产品信息安全认证证书EAL4增强级，提供证明材料并加盖厂商公章。</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13</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154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区县接入交换机1</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 国产知名品牌，具有自主知识产权。</w:t>
            </w:r>
            <w:r>
              <w:rPr>
                <w:rFonts w:hint="eastAsia" w:ascii="仿宋" w:hAnsi="仿宋" w:eastAsia="仿宋"/>
                <w:szCs w:val="21"/>
              </w:rPr>
              <w:br w:type="textWrapping"/>
            </w:r>
            <w:r>
              <w:rPr>
                <w:rFonts w:hint="eastAsia" w:ascii="仿宋" w:hAnsi="仿宋" w:eastAsia="仿宋"/>
                <w:szCs w:val="21"/>
              </w:rPr>
              <w:t>2. 千兆电口≥48个，千兆SFP光口≥4个；</w:t>
            </w:r>
            <w:r>
              <w:rPr>
                <w:rFonts w:hint="eastAsia" w:ascii="仿宋" w:hAnsi="仿宋" w:eastAsia="仿宋"/>
                <w:szCs w:val="21"/>
              </w:rPr>
              <w:br w:type="textWrapping"/>
            </w:r>
            <w:r>
              <w:rPr>
                <w:rFonts w:hint="eastAsia" w:ascii="仿宋" w:hAnsi="仿宋" w:eastAsia="仿宋"/>
                <w:szCs w:val="21"/>
              </w:rPr>
              <w:t>3. 交换容量≥432Gbps，包转发率≥166Mpps；</w:t>
            </w:r>
            <w:r>
              <w:rPr>
                <w:rFonts w:hint="eastAsia" w:ascii="仿宋" w:hAnsi="仿宋" w:eastAsia="仿宋"/>
                <w:szCs w:val="21"/>
              </w:rPr>
              <w:br w:type="textWrapping"/>
            </w:r>
            <w:r>
              <w:rPr>
                <w:rFonts w:hint="eastAsia" w:ascii="仿宋" w:hAnsi="仿宋" w:eastAsia="仿宋"/>
                <w:szCs w:val="21"/>
              </w:rPr>
              <w:t>4. 支持堆叠；支持本地端口镜像，远程端口镜像；支持流镜像；</w:t>
            </w:r>
            <w:r>
              <w:rPr>
                <w:rFonts w:hint="eastAsia" w:ascii="仿宋" w:hAnsi="仿宋" w:eastAsia="仿宋"/>
                <w:szCs w:val="21"/>
              </w:rPr>
              <w:br w:type="textWrapping"/>
            </w:r>
            <w:r>
              <w:rPr>
                <w:rFonts w:hint="eastAsia" w:ascii="仿宋" w:hAnsi="仿宋" w:eastAsia="仿宋"/>
                <w:szCs w:val="21"/>
              </w:rPr>
              <w:t>5. 支持基于标准、扩展、VLAN、MAC、时间的IPv4/v6ACL报文过滤;</w:t>
            </w:r>
            <w:r>
              <w:rPr>
                <w:rFonts w:hint="eastAsia" w:ascii="仿宋" w:hAnsi="仿宋" w:eastAsia="仿宋"/>
                <w:szCs w:val="21"/>
              </w:rPr>
              <w:br w:type="textWrapping"/>
            </w:r>
            <w:r>
              <w:rPr>
                <w:rFonts w:hint="eastAsia" w:ascii="仿宋" w:hAnsi="仿宋" w:eastAsia="仿宋"/>
                <w:szCs w:val="21"/>
              </w:rPr>
              <w:t>6.为了保证整个项目完成性，所投产品须支持零配置上线，支持二层广播自动发现网管中心平台；支持配置静态IP地址三层发现网管中心平台；支持DHCP Option43方式发现网管中心平台；支持DNS域名发现网管中心平台，提供功能截图并加盖厂商公章；</w:t>
            </w:r>
            <w:r>
              <w:rPr>
                <w:rFonts w:hint="eastAsia" w:ascii="仿宋" w:hAnsi="仿宋" w:eastAsia="仿宋"/>
                <w:szCs w:val="21"/>
              </w:rPr>
              <w:br w:type="textWrapping"/>
            </w:r>
            <w:r>
              <w:rPr>
                <w:rFonts w:hint="eastAsia" w:ascii="仿宋" w:hAnsi="仿宋" w:eastAsia="仿宋"/>
                <w:szCs w:val="21"/>
              </w:rPr>
              <w:t>7.要求提供具有CMA和CNAS认证章的第三方权威机构测试报告；</w:t>
            </w:r>
            <w:r>
              <w:rPr>
                <w:rFonts w:hint="eastAsia" w:ascii="仿宋" w:hAnsi="仿宋" w:eastAsia="仿宋"/>
                <w:szCs w:val="21"/>
              </w:rPr>
              <w:br w:type="textWrapping"/>
            </w:r>
            <w:r>
              <w:rPr>
                <w:rFonts w:hint="eastAsia" w:ascii="仿宋" w:hAnsi="仿宋" w:eastAsia="仿宋"/>
                <w:szCs w:val="21"/>
              </w:rPr>
              <w:t>8.支持通过APP进行远程管理，并且可以修改交换机网络配置，提供功能截图证明并加盖厂商公章；</w:t>
            </w:r>
            <w:r>
              <w:rPr>
                <w:rFonts w:hint="eastAsia" w:ascii="仿宋" w:hAnsi="仿宋" w:eastAsia="仿宋"/>
                <w:szCs w:val="21"/>
              </w:rPr>
              <w:br w:type="textWrapping"/>
            </w:r>
            <w:r>
              <w:rPr>
                <w:rFonts w:hint="eastAsia" w:ascii="仿宋" w:hAnsi="仿宋" w:eastAsia="仿宋"/>
                <w:szCs w:val="21"/>
              </w:rPr>
              <w:t>9.支持通过网管中心平台查看交换机端口负载情况；</w:t>
            </w:r>
            <w:r>
              <w:rPr>
                <w:rFonts w:hint="eastAsia" w:ascii="仿宋" w:hAnsi="仿宋" w:eastAsia="仿宋"/>
                <w:szCs w:val="21"/>
              </w:rPr>
              <w:br w:type="textWrapping"/>
            </w:r>
            <w:r>
              <w:rPr>
                <w:rFonts w:hint="eastAsia" w:ascii="仿宋" w:hAnsi="仿宋" w:eastAsia="仿宋"/>
                <w:szCs w:val="21"/>
              </w:rPr>
              <w:t>10.支持IPV4和IPV6。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861"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区县接入交换机2</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1.国产知名品牌，具有自主知识产权。</w:t>
            </w:r>
            <w:r>
              <w:rPr>
                <w:rFonts w:hint="eastAsia" w:ascii="仿宋" w:hAnsi="仿宋" w:eastAsia="仿宋"/>
                <w:szCs w:val="21"/>
              </w:rPr>
              <w:br w:type="textWrapping"/>
            </w:r>
            <w:r>
              <w:rPr>
                <w:rFonts w:hint="eastAsia" w:ascii="仿宋" w:hAnsi="仿宋" w:eastAsia="仿宋"/>
                <w:szCs w:val="21"/>
              </w:rPr>
              <w:t>2.千兆电口≥24个，万兆 SFP光口≥4个；</w:t>
            </w:r>
            <w:r>
              <w:rPr>
                <w:rFonts w:hint="eastAsia" w:ascii="仿宋" w:hAnsi="仿宋" w:eastAsia="仿宋"/>
                <w:szCs w:val="21"/>
              </w:rPr>
              <w:br w:type="textWrapping"/>
            </w:r>
            <w:r>
              <w:rPr>
                <w:rFonts w:hint="eastAsia" w:ascii="仿宋" w:hAnsi="仿宋" w:eastAsia="仿宋"/>
                <w:szCs w:val="21"/>
              </w:rPr>
              <w:t>3.交换容量≥336Gbps，包转发率≥126Mpps；</w:t>
            </w:r>
            <w:r>
              <w:rPr>
                <w:rFonts w:hint="eastAsia" w:ascii="仿宋" w:hAnsi="仿宋" w:eastAsia="仿宋"/>
                <w:szCs w:val="21"/>
              </w:rPr>
              <w:br w:type="textWrapping"/>
            </w:r>
            <w:r>
              <w:rPr>
                <w:rFonts w:hint="eastAsia" w:ascii="仿宋" w:hAnsi="仿宋" w:eastAsia="仿宋"/>
                <w:szCs w:val="21"/>
              </w:rPr>
              <w:t>4. 支持堆叠；支持本地端口镜像，远程端口镜像；支持流镜像；</w:t>
            </w:r>
            <w:r>
              <w:rPr>
                <w:rFonts w:hint="eastAsia" w:ascii="仿宋" w:hAnsi="仿宋" w:eastAsia="仿宋"/>
                <w:szCs w:val="21"/>
              </w:rPr>
              <w:br w:type="textWrapping"/>
            </w:r>
            <w:r>
              <w:rPr>
                <w:rFonts w:hint="eastAsia" w:ascii="仿宋" w:hAnsi="仿宋" w:eastAsia="仿宋"/>
                <w:szCs w:val="21"/>
              </w:rPr>
              <w:t>5. 支持基于标准、扩展、VLAN、MAC、时间的IPv4/v6ACL报文过滤;</w:t>
            </w:r>
            <w:r>
              <w:rPr>
                <w:rFonts w:hint="eastAsia" w:ascii="仿宋" w:hAnsi="仿宋" w:eastAsia="仿宋"/>
                <w:szCs w:val="21"/>
              </w:rPr>
              <w:br w:type="textWrapping"/>
            </w:r>
            <w:r>
              <w:rPr>
                <w:rFonts w:hint="eastAsia" w:ascii="仿宋" w:hAnsi="仿宋" w:eastAsia="仿宋"/>
                <w:szCs w:val="21"/>
              </w:rPr>
              <w:t>6.为了保证整个项目完成性，所投产品须支持零配置上线，支持二层广播自动发现网管中心平台；支持配置静态IP地址三层发现网管中心平台；支持DHCP Option43方式发现网管中心平台；支持DNS域名发现网管中心平台，提供功能截图并加盖厂商公章；</w:t>
            </w:r>
            <w:r>
              <w:rPr>
                <w:rFonts w:hint="eastAsia" w:ascii="仿宋" w:hAnsi="仿宋" w:eastAsia="仿宋"/>
                <w:szCs w:val="21"/>
              </w:rPr>
              <w:br w:type="textWrapping"/>
            </w:r>
            <w:r>
              <w:rPr>
                <w:rFonts w:hint="eastAsia" w:ascii="仿宋" w:hAnsi="仿宋" w:eastAsia="仿宋"/>
                <w:szCs w:val="21"/>
              </w:rPr>
              <w:t>7.要求提供具有CMA和CNAS认证章的第三方权威机构测试报告；</w:t>
            </w:r>
            <w:r>
              <w:rPr>
                <w:rFonts w:hint="eastAsia" w:ascii="仿宋" w:hAnsi="仿宋" w:eastAsia="仿宋"/>
                <w:szCs w:val="21"/>
              </w:rPr>
              <w:br w:type="textWrapping"/>
            </w:r>
            <w:r>
              <w:rPr>
                <w:rFonts w:hint="eastAsia" w:ascii="仿宋" w:hAnsi="仿宋" w:eastAsia="仿宋"/>
                <w:szCs w:val="21"/>
              </w:rPr>
              <w:t>8.支持通过APP进行远程管理，并且可以修改交换机网络配置，提供功能截图证明并加盖厂商公章；</w:t>
            </w:r>
            <w:r>
              <w:rPr>
                <w:rFonts w:hint="eastAsia" w:ascii="仿宋" w:hAnsi="仿宋" w:eastAsia="仿宋"/>
                <w:szCs w:val="21"/>
              </w:rPr>
              <w:br w:type="textWrapping"/>
            </w:r>
            <w:r>
              <w:rPr>
                <w:rFonts w:hint="eastAsia" w:ascii="仿宋" w:hAnsi="仿宋" w:eastAsia="仿宋"/>
                <w:szCs w:val="21"/>
              </w:rPr>
              <w:t>9.支持通过网管中心平台查看交换机端口负载情况；</w:t>
            </w:r>
            <w:r>
              <w:rPr>
                <w:rFonts w:hint="eastAsia" w:ascii="仿宋" w:hAnsi="仿宋" w:eastAsia="仿宋"/>
                <w:szCs w:val="21"/>
              </w:rPr>
              <w:br w:type="textWrapping"/>
            </w:r>
            <w:r>
              <w:rPr>
                <w:rFonts w:hint="eastAsia" w:ascii="仿宋" w:hAnsi="仿宋" w:eastAsia="仿宋"/>
                <w:szCs w:val="21"/>
              </w:rPr>
              <w:t>10.支持IPV4和IPV6。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78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终端软件实施费</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包含13个县（市、区）审计专网国产终端软件实施，每个终端部署防病毒系统、主机审计系统、终端准入控制系统等客户端软件，最终实现防病毒系统、主机审计系统、终端准入控制系统与省上控制平台互联，并激活终端软件按照要求配置好安全策略，使其发挥安全防护与审计管控的作用。</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462" w:hRule="atLeast"/>
        </w:trPr>
        <w:tc>
          <w:tcPr>
            <w:tcW w:w="937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二、审计数据分析室建设</w:t>
            </w:r>
          </w:p>
        </w:tc>
      </w:tr>
      <w:tr>
        <w:tblPrEx>
          <w:tblCellMar>
            <w:top w:w="0" w:type="dxa"/>
            <w:left w:w="0" w:type="dxa"/>
            <w:bottom w:w="0" w:type="dxa"/>
            <w:right w:w="0" w:type="dxa"/>
          </w:tblCellMar>
        </w:tblPrEx>
        <w:trPr>
          <w:trHeight w:val="420" w:hRule="atLeast"/>
        </w:trPr>
        <w:tc>
          <w:tcPr>
            <w:tcW w:w="937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（一）网络及安全设备</w:t>
            </w:r>
          </w:p>
        </w:tc>
      </w:tr>
      <w:tr>
        <w:tblPrEx>
          <w:tblCellMar>
            <w:top w:w="0" w:type="dxa"/>
            <w:left w:w="0" w:type="dxa"/>
            <w:bottom w:w="0" w:type="dxa"/>
            <w:right w:w="0" w:type="dxa"/>
          </w:tblCellMar>
        </w:tblPrEx>
        <w:trPr>
          <w:trHeight w:val="178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数据分析室防火墙</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1.网络层吞吐量≥6G，应用层吞吐量≥1G，防病毒吞吐量≥500M，IPS吞吐量≥300M，全威胁吞吐量≥250M，并发连接数≥100万，HTTP新建连接数≥2.5万；</w:t>
            </w:r>
            <w:r>
              <w:rPr>
                <w:rFonts w:hint="eastAsia" w:ascii="仿宋" w:hAnsi="仿宋" w:eastAsia="仿宋"/>
                <w:szCs w:val="21"/>
              </w:rPr>
              <w:br w:type="textWrapping"/>
            </w:r>
            <w:r>
              <w:rPr>
                <w:rFonts w:hint="eastAsia" w:ascii="仿宋" w:hAnsi="仿宋" w:eastAsia="仿宋"/>
                <w:szCs w:val="21"/>
              </w:rPr>
              <w:t>2.交流电源，接口≥8千兆电口，≥2千兆光口；</w:t>
            </w:r>
            <w:r>
              <w:rPr>
                <w:rFonts w:hint="eastAsia" w:ascii="仿宋" w:hAnsi="仿宋" w:eastAsia="仿宋"/>
                <w:szCs w:val="21"/>
              </w:rPr>
              <w:br w:type="textWrapping"/>
            </w:r>
            <w:r>
              <w:rPr>
                <w:rFonts w:hint="eastAsia" w:ascii="仿宋" w:hAnsi="仿宋" w:eastAsia="仿宋"/>
                <w:szCs w:val="21"/>
              </w:rPr>
              <w:t>3.支持IPV6环境部署，包括接口/国家区域配置、路由配置等网络适应性功能，支持IPV6级别常用安全功能，包括僵尸网络，应用防护等；</w:t>
            </w:r>
            <w:r>
              <w:rPr>
                <w:rFonts w:hint="eastAsia" w:ascii="仿宋" w:hAnsi="仿宋" w:eastAsia="仿宋"/>
                <w:szCs w:val="21"/>
              </w:rPr>
              <w:br w:type="textWrapping"/>
            </w:r>
            <w:r>
              <w:rPr>
                <w:rFonts w:hint="eastAsia" w:ascii="仿宋" w:hAnsi="仿宋" w:eastAsia="仿宋"/>
                <w:szCs w:val="21"/>
              </w:rPr>
              <w:t>4.支持僵尸主机检测功能，产品内置僵尸网络特征库超过128万种；</w:t>
            </w:r>
            <w:r>
              <w:rPr>
                <w:rFonts w:hint="eastAsia" w:ascii="仿宋" w:hAnsi="仿宋" w:eastAsia="仿宋"/>
                <w:szCs w:val="21"/>
              </w:rPr>
              <w:br w:type="textWrapping"/>
            </w:r>
            <w:r>
              <w:rPr>
                <w:rFonts w:hint="eastAsia" w:ascii="仿宋" w:hAnsi="仿宋" w:eastAsia="仿宋"/>
                <w:szCs w:val="21"/>
              </w:rPr>
              <w:t>5.产品内置超过4500种WEB应用攻击特征，支持对跨站脚本（XSS）攻击、SQL注入、文件包含攻击、信息泄露攻击、WEBSHELL、网站扫描、网页木马等攻击类型进行防护；</w:t>
            </w:r>
            <w:r>
              <w:rPr>
                <w:rFonts w:hint="eastAsia" w:ascii="仿宋" w:hAnsi="仿宋" w:eastAsia="仿宋"/>
                <w:szCs w:val="21"/>
              </w:rPr>
              <w:br w:type="textWrapping"/>
            </w:r>
            <w:r>
              <w:rPr>
                <w:rFonts w:hint="eastAsia" w:ascii="仿宋" w:hAnsi="仿宋" w:eastAsia="仿宋"/>
                <w:szCs w:val="21"/>
              </w:rPr>
              <w:t>6.支持勒索病毒防护，可以对勒索病毒实现检测与防御，提供中国合格评定国家认可委员会下属的第三方权威机构检测报告证明；</w:t>
            </w:r>
            <w:r>
              <w:rPr>
                <w:rFonts w:hint="eastAsia" w:ascii="仿宋" w:hAnsi="仿宋" w:eastAsia="仿宋"/>
                <w:szCs w:val="21"/>
              </w:rPr>
              <w:br w:type="textWrapping"/>
            </w:r>
            <w:r>
              <w:rPr>
                <w:rFonts w:hint="eastAsia" w:ascii="仿宋" w:hAnsi="仿宋" w:eastAsia="仿宋"/>
                <w:szCs w:val="21"/>
              </w:rPr>
              <w:t>7.支持蜜罐功能，可以伪装业务诱捕内外网攻击行为，自动封锁高危IP；提供截图并加盖厂商公章；</w:t>
            </w:r>
            <w:r>
              <w:rPr>
                <w:rFonts w:hint="eastAsia" w:ascii="仿宋" w:hAnsi="仿宋" w:eastAsia="仿宋"/>
                <w:szCs w:val="21"/>
              </w:rPr>
              <w:br w:type="textWrapping"/>
            </w:r>
            <w:r>
              <w:rPr>
                <w:rFonts w:hint="eastAsia" w:ascii="仿宋" w:hAnsi="仿宋" w:eastAsia="仿宋"/>
                <w:szCs w:val="21"/>
              </w:rPr>
              <w:t>8．为保障产品具备较强的市场成熟度，产品在IDC近年集成类防火墙(UTM)市场占有率排名前三；提供证明材料并加盖厂商公章。</w:t>
            </w:r>
            <w:r>
              <w:rPr>
                <w:rFonts w:hint="eastAsia" w:ascii="仿宋" w:hAnsi="仿宋" w:eastAsia="仿宋"/>
                <w:szCs w:val="21"/>
              </w:rPr>
              <w:br w:type="textWrapping"/>
            </w:r>
            <w:r>
              <w:rPr>
                <w:rFonts w:hint="eastAsia" w:ascii="仿宋" w:hAnsi="仿宋" w:eastAsia="仿宋"/>
                <w:szCs w:val="21"/>
              </w:rPr>
              <w:t>9.产品应具备IT产品信息安全认证证书EAL4增强级，提供证明材料并加盖厂商公章。</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13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数据分析室交换机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1.国产知名品牌，具有自主知识产权。</w:t>
            </w:r>
            <w:r>
              <w:rPr>
                <w:rFonts w:hint="eastAsia" w:ascii="仿宋" w:hAnsi="仿宋" w:eastAsia="仿宋"/>
                <w:szCs w:val="21"/>
              </w:rPr>
              <w:br w:type="textWrapping"/>
            </w:r>
            <w:r>
              <w:rPr>
                <w:rFonts w:hint="eastAsia" w:ascii="仿宋" w:hAnsi="仿宋" w:eastAsia="仿宋"/>
                <w:szCs w:val="21"/>
              </w:rPr>
              <w:t>2.千兆电口≥24个，万兆 SFP光口≥4个；</w:t>
            </w:r>
            <w:r>
              <w:rPr>
                <w:rFonts w:hint="eastAsia" w:ascii="仿宋" w:hAnsi="仿宋" w:eastAsia="仿宋"/>
                <w:szCs w:val="21"/>
              </w:rPr>
              <w:br w:type="textWrapping"/>
            </w:r>
            <w:r>
              <w:rPr>
                <w:rFonts w:hint="eastAsia" w:ascii="仿宋" w:hAnsi="仿宋" w:eastAsia="仿宋"/>
                <w:szCs w:val="21"/>
              </w:rPr>
              <w:t>3.交换容量≥432Gbps，包转发率≥156Mpps；</w:t>
            </w:r>
            <w:r>
              <w:rPr>
                <w:rFonts w:hint="eastAsia" w:ascii="仿宋" w:hAnsi="仿宋" w:eastAsia="仿宋"/>
                <w:szCs w:val="21"/>
              </w:rPr>
              <w:br w:type="textWrapping"/>
            </w:r>
            <w:r>
              <w:rPr>
                <w:rFonts w:hint="eastAsia" w:ascii="仿宋" w:hAnsi="仿宋" w:eastAsia="仿宋"/>
                <w:szCs w:val="21"/>
              </w:rPr>
              <w:t>4、支持防网关ARP欺骗，支持端口保护、隔离，支持防止DOS、ARP攻击功能，支持CPU保护功能；</w:t>
            </w:r>
            <w:r>
              <w:rPr>
                <w:rFonts w:hint="eastAsia" w:ascii="仿宋" w:hAnsi="仿宋" w:eastAsia="仿宋"/>
                <w:szCs w:val="21"/>
              </w:rPr>
              <w:br w:type="textWrapping"/>
            </w:r>
            <w:r>
              <w:rPr>
                <w:rFonts w:hint="eastAsia" w:ascii="仿宋" w:hAnsi="仿宋" w:eastAsia="仿宋"/>
                <w:szCs w:val="21"/>
              </w:rPr>
              <w:t>5、支持通过APP进行远程管理，并且可以修改交换机网络配置，提供APP软件功能配置截图证明；</w:t>
            </w:r>
            <w:r>
              <w:rPr>
                <w:rFonts w:hint="eastAsia" w:ascii="仿宋" w:hAnsi="仿宋" w:eastAsia="仿宋"/>
                <w:szCs w:val="21"/>
              </w:rPr>
              <w:br w:type="textWrapping"/>
            </w:r>
            <w:r>
              <w:rPr>
                <w:rFonts w:hint="eastAsia" w:ascii="仿宋" w:hAnsi="仿宋" w:eastAsia="仿宋"/>
                <w:szCs w:val="21"/>
              </w:rPr>
              <w:t>6、支持M-LAG技术，跨设备链路聚合（非堆叠技术实现），要求配对的设备有独立的控制平面，要求提供工信部或下属实验室出具的第三方测试报告；</w:t>
            </w:r>
            <w:r>
              <w:rPr>
                <w:rFonts w:hint="eastAsia" w:ascii="仿宋" w:hAnsi="仿宋" w:eastAsia="仿宋"/>
                <w:szCs w:val="21"/>
              </w:rPr>
              <w:br w:type="textWrapping"/>
            </w:r>
            <w:r>
              <w:rPr>
                <w:rFonts w:hint="eastAsia" w:ascii="仿宋" w:hAnsi="仿宋" w:eastAsia="仿宋"/>
                <w:szCs w:val="21"/>
              </w:rPr>
              <w:t>7．支持IPV4和IPV6。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终端光模块</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多模、千兆</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多模光纤跳线</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LC-LC,15米</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根</w:t>
            </w:r>
          </w:p>
        </w:tc>
      </w:tr>
      <w:tr>
        <w:tblPrEx>
          <w:tblCellMar>
            <w:top w:w="0" w:type="dxa"/>
            <w:left w:w="0" w:type="dxa"/>
            <w:bottom w:w="0" w:type="dxa"/>
            <w:right w:w="0" w:type="dxa"/>
          </w:tblCellMar>
        </w:tblPrEx>
        <w:trPr>
          <w:trHeight w:val="270" w:hRule="atLeast"/>
        </w:trPr>
        <w:tc>
          <w:tcPr>
            <w:tcW w:w="937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（二）机房建设</w:t>
            </w:r>
          </w:p>
        </w:tc>
      </w:tr>
      <w:tr>
        <w:tblPrEx>
          <w:tblCellMar>
            <w:top w:w="0" w:type="dxa"/>
            <w:left w:w="0" w:type="dxa"/>
            <w:bottom w:w="0" w:type="dxa"/>
            <w:right w:w="0" w:type="dxa"/>
          </w:tblCellMar>
        </w:tblPrEx>
        <w:trPr>
          <w:trHeight w:val="270" w:hRule="atLeast"/>
        </w:trPr>
        <w:tc>
          <w:tcPr>
            <w:tcW w:w="7953"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1.主要涉密设备</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　</w:t>
            </w:r>
          </w:p>
        </w:tc>
      </w:tr>
      <w:tr>
        <w:tblPrEx>
          <w:tblCellMar>
            <w:top w:w="0" w:type="dxa"/>
            <w:left w:w="0" w:type="dxa"/>
            <w:bottom w:w="0" w:type="dxa"/>
            <w:right w:w="0" w:type="dxa"/>
          </w:tblCellMar>
        </w:tblPrEx>
        <w:trPr>
          <w:trHeight w:val="169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手机屏蔽柜</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1.规格：≥10格；</w:t>
            </w:r>
            <w:r>
              <w:rPr>
                <w:rFonts w:hint="eastAsia" w:ascii="仿宋" w:hAnsi="仿宋" w:eastAsia="仿宋"/>
                <w:szCs w:val="21"/>
              </w:rPr>
              <w:br w:type="textWrapping"/>
            </w:r>
            <w:r>
              <w:rPr>
                <w:rFonts w:hint="eastAsia" w:ascii="仿宋" w:hAnsi="仿宋" w:eastAsia="仿宋"/>
                <w:szCs w:val="21"/>
              </w:rPr>
              <w:t>2.外壳连续焊接，保证外壳的整体强度和电磁连续性；</w:t>
            </w:r>
            <w:r>
              <w:rPr>
                <w:rFonts w:hint="eastAsia" w:ascii="仿宋" w:hAnsi="仿宋" w:eastAsia="仿宋"/>
                <w:szCs w:val="21"/>
              </w:rPr>
              <w:br w:type="textWrapping"/>
            </w:r>
            <w:r>
              <w:rPr>
                <w:rFonts w:hint="eastAsia" w:ascii="仿宋" w:hAnsi="仿宋" w:eastAsia="仿宋"/>
                <w:szCs w:val="21"/>
              </w:rPr>
              <w:t>3.每个抽屉采用安全式信箱锁，独立式管理；</w:t>
            </w:r>
            <w:r>
              <w:rPr>
                <w:rFonts w:hint="eastAsia" w:ascii="仿宋" w:hAnsi="仿宋" w:eastAsia="仿宋"/>
                <w:szCs w:val="21"/>
              </w:rPr>
              <w:br w:type="textWrapping"/>
            </w:r>
            <w:r>
              <w:rPr>
                <w:rFonts w:hint="eastAsia" w:ascii="仿宋" w:hAnsi="仿宋" w:eastAsia="仿宋"/>
                <w:szCs w:val="21"/>
              </w:rPr>
              <w:t>4.屏蔽效能好，有效抑制移动电话信号的泄漏，并可同时存放多部移动电话；</w:t>
            </w:r>
            <w:r>
              <w:rPr>
                <w:rFonts w:hint="eastAsia" w:ascii="仿宋" w:hAnsi="仿宋" w:eastAsia="仿宋"/>
                <w:szCs w:val="21"/>
              </w:rPr>
              <w:br w:type="textWrapping"/>
            </w:r>
            <w:r>
              <w:rPr>
                <w:rFonts w:hint="eastAsia" w:ascii="仿宋" w:hAnsi="仿宋" w:eastAsia="仿宋"/>
                <w:szCs w:val="21"/>
              </w:rPr>
              <w:t>5.备用钥匙一套；</w:t>
            </w:r>
            <w:r>
              <w:rPr>
                <w:rFonts w:hint="eastAsia" w:ascii="仿宋" w:hAnsi="仿宋" w:eastAsia="仿宋"/>
                <w:szCs w:val="21"/>
              </w:rPr>
              <w:br w:type="textWrapping"/>
            </w:r>
            <w:r>
              <w:rPr>
                <w:rFonts w:hint="eastAsia" w:ascii="仿宋" w:hAnsi="仿宋" w:eastAsia="仿宋"/>
                <w:szCs w:val="21"/>
              </w:rPr>
              <w:t>6.提供第三方测评机构出具的检测证书。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133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红黑电源隔离插座</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1.外观描述：外观类似普通电源插座；</w:t>
            </w:r>
            <w:r>
              <w:rPr>
                <w:rFonts w:hint="eastAsia" w:ascii="仿宋" w:hAnsi="仿宋" w:eastAsia="仿宋"/>
                <w:szCs w:val="21"/>
              </w:rPr>
              <w:br w:type="textWrapping"/>
            </w:r>
            <w:r>
              <w:rPr>
                <w:rFonts w:hint="eastAsia" w:ascii="仿宋" w:hAnsi="仿宋" w:eastAsia="仿宋"/>
                <w:szCs w:val="21"/>
              </w:rPr>
              <w:t>2.隔离度：≥50dB（150KHz-30MHz ）；</w:t>
            </w:r>
            <w:r>
              <w:rPr>
                <w:rFonts w:hint="eastAsia" w:ascii="仿宋" w:hAnsi="仿宋" w:eastAsia="仿宋"/>
                <w:szCs w:val="21"/>
              </w:rPr>
              <w:br w:type="textWrapping"/>
            </w:r>
            <w:r>
              <w:rPr>
                <w:rFonts w:hint="eastAsia" w:ascii="仿宋" w:hAnsi="仿宋" w:eastAsia="仿宋"/>
                <w:szCs w:val="21"/>
              </w:rPr>
              <w:t>3.电流：10A；</w:t>
            </w:r>
            <w:r>
              <w:rPr>
                <w:rFonts w:hint="eastAsia" w:ascii="仿宋" w:hAnsi="仿宋" w:eastAsia="仿宋"/>
                <w:szCs w:val="21"/>
              </w:rPr>
              <w:br w:type="textWrapping"/>
            </w:r>
            <w:r>
              <w:rPr>
                <w:rFonts w:hint="eastAsia" w:ascii="仿宋" w:hAnsi="仿宋" w:eastAsia="仿宋"/>
                <w:szCs w:val="21"/>
              </w:rPr>
              <w:t>4.工作电压：220V/50Hz；</w:t>
            </w:r>
            <w:r>
              <w:rPr>
                <w:rFonts w:hint="eastAsia" w:ascii="仿宋" w:hAnsi="仿宋" w:eastAsia="仿宋"/>
                <w:szCs w:val="21"/>
              </w:rPr>
              <w:br w:type="textWrapping"/>
            </w:r>
            <w:r>
              <w:rPr>
                <w:rFonts w:hint="eastAsia" w:ascii="仿宋" w:hAnsi="仿宋" w:eastAsia="仿宋"/>
                <w:szCs w:val="21"/>
              </w:rPr>
              <w:t>5.提供第三方测评机构出具的检测证书。</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142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屏蔽机柜</w:t>
            </w:r>
          </w:p>
        </w:tc>
        <w:tc>
          <w:tcPr>
            <w:tcW w:w="549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含电源滤波器，波导管，具有国家保密局BMB19-2006《电磁泄露发射屏蔽机柜技术要求和测试方法》C级认证的检测证书及检测报告，测试方法按GB12190-2006标准屏蔽性能指标 磁场：14KHz≥70dB；150KHz≥95dB。电场：200KHz~50MHz≥100dB；平面波：50MHz~1GHz≥100dB。微波：1GHz~10GHz≥95dB。</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270" w:hRule="atLeast"/>
        </w:trPr>
        <w:tc>
          <w:tcPr>
            <w:tcW w:w="7953"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2.装修部分</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顶面防尘处理</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顶面防尘处理</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微孔铝合金天花</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600*600*32mm</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r>
              <w:rPr>
                <w:rFonts w:hint="eastAsia" w:ascii="宋体" w:hAnsi="宋体" w:cs="宋体"/>
                <w:szCs w:val="21"/>
              </w:rPr>
              <w:t>²</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抗静电架空地板</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抗静电架空地板600*600*32mm</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地板四周角铁</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地板四周角铁</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防水围堰</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xml:space="preserve">12红砖水泥砂浆砌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设备支架</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50角钢</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7</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彩墙板</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一体化彩钢板</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r>
              <w:rPr>
                <w:rFonts w:hint="eastAsia" w:ascii="宋体" w:hAnsi="宋体" w:cs="宋体"/>
                <w:szCs w:val="21"/>
              </w:rPr>
              <w:t>²</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轻钢龙骨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75系列轻钢龙骨</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r>
              <w:rPr>
                <w:rFonts w:hint="eastAsia" w:ascii="宋体" w:hAnsi="宋体" w:cs="宋体"/>
                <w:szCs w:val="21"/>
              </w:rPr>
              <w:t>²</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9</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保温</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保温棉/20mm</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r>
              <w:rPr>
                <w:rFonts w:hint="eastAsia" w:ascii="宋体" w:hAnsi="宋体" w:cs="宋体"/>
                <w:szCs w:val="21"/>
              </w:rPr>
              <w:t>²</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红砖砌墙，粉刷</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24砖墙，粉刷</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r>
              <w:rPr>
                <w:rFonts w:hint="eastAsia" w:ascii="宋体" w:hAnsi="宋体" w:cs="宋体"/>
                <w:szCs w:val="21"/>
              </w:rPr>
              <w:t>²</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钢制防火门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定制钢制防火门（含门把手，闭门器）</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樘</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防盗门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甲级防盗门</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樘</w:t>
            </w:r>
          </w:p>
        </w:tc>
      </w:tr>
      <w:tr>
        <w:tblPrEx>
          <w:tblCellMar>
            <w:top w:w="0" w:type="dxa"/>
            <w:left w:w="0" w:type="dxa"/>
            <w:bottom w:w="0" w:type="dxa"/>
            <w:right w:w="0" w:type="dxa"/>
          </w:tblCellMar>
        </w:tblPrEx>
        <w:trPr>
          <w:trHeight w:val="270" w:hRule="atLeast"/>
        </w:trPr>
        <w:tc>
          <w:tcPr>
            <w:tcW w:w="7953"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3.供配电系统</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墙面插座</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墙面86明装插座</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插座、新排风机电缆</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BV2.5</w:t>
            </w:r>
            <w:r>
              <w:rPr>
                <w:rFonts w:hint="eastAsia" w:ascii="宋体" w:hAnsi="宋体" w:cs="宋体"/>
                <w:szCs w:val="21"/>
              </w:rPr>
              <w:t>²</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涉密区主配电线缆</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ZR-YJV 4*10+1*6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工业连接器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国产/220V，32A输入</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电源模块PDU</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220V32A/PDU</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机柜线缆</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RVV3*4</w:t>
            </w:r>
            <w:r>
              <w:rPr>
                <w:rFonts w:hint="eastAsia" w:ascii="宋体" w:hAnsi="宋体" w:cs="宋体"/>
                <w:szCs w:val="21"/>
              </w:rPr>
              <w:t>²</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7</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电源避雷器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/V25-B+C/3+NPE+AS</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xml:space="preserve">电源避雷器 </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/V20-C/3+NPE+AS</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9</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等电位接地端子箱</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国产/4*25</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等电位汇流排</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等电位汇流排/8位</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静电泄露网</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100*0.3mm</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xml:space="preserve">设备接地线 </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ZR-BVR6mm2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xml:space="preserve">接地干线 </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ZR-BVR16mm2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照明</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LED灯/600*600/白光</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7</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xml:space="preserve"> 应急照明</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双头应急灯</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16</w:t>
            </w:r>
          </w:p>
        </w:tc>
        <w:tc>
          <w:tcPr>
            <w:tcW w:w="186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安全出口灯</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安全出口提示灯</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17</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翘板开关</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国产/单控</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27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18</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照明管线敷设</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ZR-BV2.5mm2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270" w:hRule="atLeast"/>
        </w:trPr>
        <w:tc>
          <w:tcPr>
            <w:tcW w:w="7953"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4.视频监控及门禁部分</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r>
      <w:tr>
        <w:tblPrEx>
          <w:tblCellMar>
            <w:top w:w="0" w:type="dxa"/>
            <w:left w:w="0" w:type="dxa"/>
            <w:bottom w:w="0" w:type="dxa"/>
            <w:right w:w="0" w:type="dxa"/>
          </w:tblCellMar>
        </w:tblPrEx>
        <w:trPr>
          <w:trHeight w:val="163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网络硬盘录象机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视频输入：≥8路；</w:t>
            </w:r>
            <w:r>
              <w:rPr>
                <w:rFonts w:hint="eastAsia" w:ascii="仿宋" w:hAnsi="仿宋" w:eastAsia="仿宋"/>
                <w:szCs w:val="21"/>
              </w:rPr>
              <w:br w:type="textWrapping"/>
            </w:r>
            <w:r>
              <w:rPr>
                <w:rFonts w:hint="eastAsia" w:ascii="仿宋" w:hAnsi="仿宋" w:eastAsia="仿宋"/>
                <w:szCs w:val="21"/>
              </w:rPr>
              <w:t>视频解码格式：H.265，H.264，预览分屏：1/4/6/8/9/16；网络输入带宽：160Mbps</w:t>
            </w:r>
            <w:r>
              <w:rPr>
                <w:rFonts w:hint="eastAsia" w:ascii="仿宋" w:hAnsi="仿宋" w:eastAsia="仿宋"/>
                <w:szCs w:val="21"/>
              </w:rPr>
              <w:br w:type="textWrapping"/>
            </w:r>
            <w:r>
              <w:rPr>
                <w:rFonts w:hint="eastAsia" w:ascii="仿宋" w:hAnsi="仿宋" w:eastAsia="仿宋"/>
                <w:szCs w:val="21"/>
              </w:rPr>
              <w:t>网络输出带宽：160Mbps</w:t>
            </w:r>
            <w:r>
              <w:rPr>
                <w:rFonts w:hint="eastAsia" w:ascii="仿宋" w:hAnsi="仿宋" w:eastAsia="仿宋"/>
                <w:szCs w:val="21"/>
              </w:rPr>
              <w:br w:type="textWrapping"/>
            </w:r>
            <w:r>
              <w:rPr>
                <w:rFonts w:hint="eastAsia" w:ascii="仿宋" w:hAnsi="仿宋" w:eastAsia="仿宋"/>
                <w:szCs w:val="21"/>
              </w:rPr>
              <w:t>视频解码能力：8*1080P</w:t>
            </w:r>
            <w:r>
              <w:rPr>
                <w:rFonts w:hint="eastAsia" w:ascii="仿宋" w:hAnsi="仿宋" w:eastAsia="仿宋"/>
                <w:szCs w:val="21"/>
              </w:rPr>
              <w:br w:type="textWrapping"/>
            </w:r>
            <w:r>
              <w:rPr>
                <w:rFonts w:hint="eastAsia" w:ascii="仿宋" w:hAnsi="仿宋" w:eastAsia="仿宋"/>
                <w:szCs w:val="21"/>
              </w:rPr>
              <w:t>（含8T硬盘）</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半球摄像机</w:t>
            </w:r>
          </w:p>
        </w:tc>
        <w:tc>
          <w:tcPr>
            <w:tcW w:w="54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≥200万半球摄像机，≥2.8mm镜头</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96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8口POE交换机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1、千兆POE电口数≥8个，千兆SFP光口≥4个；Console口≥1个；支持IEEE 802.3af/at供电标准，整机最大输出功率≥120W；</w:t>
            </w:r>
            <w:r>
              <w:rPr>
                <w:rFonts w:hint="eastAsia" w:ascii="仿宋" w:hAnsi="仿宋" w:eastAsia="仿宋"/>
                <w:szCs w:val="21"/>
              </w:rPr>
              <w:br w:type="textWrapping"/>
            </w:r>
            <w:r>
              <w:rPr>
                <w:rFonts w:hint="eastAsia" w:ascii="仿宋" w:hAnsi="仿宋" w:eastAsia="仿宋"/>
                <w:szCs w:val="21"/>
              </w:rPr>
              <w:t>2、交换性能≥330Gbps，包转发率≥25Mpps；</w:t>
            </w:r>
            <w:r>
              <w:rPr>
                <w:rFonts w:hint="eastAsia" w:ascii="仿宋" w:hAnsi="仿宋" w:eastAsia="仿宋"/>
                <w:szCs w:val="21"/>
              </w:rPr>
              <w:br w:type="textWrapping"/>
            </w:r>
            <w:r>
              <w:rPr>
                <w:rFonts w:hint="eastAsia" w:ascii="仿宋" w:hAnsi="仿宋" w:eastAsia="仿宋"/>
                <w:szCs w:val="21"/>
              </w:rPr>
              <w:t>3、支持智能交换机和普通交换机两种工作模式，可以根据不同的组网需要，随时在SDN网络控制器平台灵活的进行切换；</w:t>
            </w:r>
            <w:r>
              <w:rPr>
                <w:rFonts w:hint="eastAsia" w:ascii="仿宋" w:hAnsi="仿宋" w:eastAsia="仿宋"/>
                <w:szCs w:val="21"/>
              </w:rPr>
              <w:br w:type="textWrapping"/>
            </w:r>
            <w:r>
              <w:rPr>
                <w:rFonts w:hint="eastAsia" w:ascii="仿宋" w:hAnsi="仿宋" w:eastAsia="仿宋"/>
                <w:szCs w:val="21"/>
              </w:rPr>
              <w:t>4、支持基于交换机端口组实现通过检测设备供电特征，防止仿冒设备接入；支持基于交换机端口组实现通过检测终端有无流量特征，实现POE终端自动重启，解决POE终端假死问题（提供平台系统功能截图证明，并加盖厂商公章）。</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门禁控制器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门禁控制器、指纹、密码一体机</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出门按钮</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出门按钮/86明装型</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门锁（电磁锁）</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电磁锁/12V/80KG</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270" w:hRule="atLeast"/>
        </w:trPr>
        <w:tc>
          <w:tcPr>
            <w:tcW w:w="7953"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5.消防系统</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r>
      <w:tr>
        <w:tblPrEx>
          <w:tblCellMar>
            <w:top w:w="0" w:type="dxa"/>
            <w:left w:w="0" w:type="dxa"/>
            <w:bottom w:w="0" w:type="dxa"/>
            <w:right w:w="0" w:type="dxa"/>
          </w:tblCellMar>
        </w:tblPrEx>
        <w:trPr>
          <w:trHeight w:val="157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点型感烟探测器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xml:space="preserve">超大指示灯指示，360度范围可见；  </w:t>
            </w:r>
            <w:r>
              <w:rPr>
                <w:rFonts w:hint="eastAsia" w:ascii="仿宋" w:hAnsi="仿宋" w:eastAsia="仿宋"/>
                <w:szCs w:val="21"/>
              </w:rPr>
              <w:br w:type="textWrapping"/>
            </w:r>
            <w:r>
              <w:rPr>
                <w:rFonts w:hint="eastAsia" w:ascii="仿宋" w:hAnsi="仿宋" w:eastAsia="仿宋"/>
                <w:szCs w:val="21"/>
              </w:rPr>
              <w:t xml:space="preserve">具有溢水孔设计，防止积水渗漏；  </w:t>
            </w:r>
            <w:r>
              <w:rPr>
                <w:rFonts w:hint="eastAsia" w:ascii="仿宋" w:hAnsi="仿宋" w:eastAsia="仿宋"/>
                <w:szCs w:val="21"/>
              </w:rPr>
              <w:br w:type="textWrapping"/>
            </w:r>
            <w:r>
              <w:rPr>
                <w:rFonts w:hint="eastAsia" w:ascii="仿宋" w:hAnsi="仿宋" w:eastAsia="仿宋"/>
                <w:szCs w:val="21"/>
              </w:rPr>
              <w:t xml:space="preserve">迷宫设计独特，抗灰尘污染性强；  </w:t>
            </w:r>
            <w:r>
              <w:rPr>
                <w:rFonts w:hint="eastAsia" w:ascii="仿宋" w:hAnsi="仿宋" w:eastAsia="仿宋"/>
                <w:szCs w:val="21"/>
              </w:rPr>
              <w:br w:type="textWrapping"/>
            </w:r>
            <w:r>
              <w:rPr>
                <w:rFonts w:hint="eastAsia" w:ascii="仿宋" w:hAnsi="仿宋" w:eastAsia="仿宋"/>
                <w:szCs w:val="21"/>
              </w:rPr>
              <w:t xml:space="preserve">在线电子编码；  </w:t>
            </w:r>
            <w:r>
              <w:rPr>
                <w:rFonts w:hint="eastAsia" w:ascii="仿宋" w:hAnsi="仿宋" w:eastAsia="仿宋"/>
                <w:szCs w:val="21"/>
              </w:rPr>
              <w:br w:type="textWrapping"/>
            </w:r>
            <w:r>
              <w:rPr>
                <w:rFonts w:hint="eastAsia" w:ascii="仿宋" w:hAnsi="仿宋" w:eastAsia="仿宋"/>
                <w:szCs w:val="21"/>
              </w:rPr>
              <w:t xml:space="preserve">自诊断、自补偿、自学习；  </w:t>
            </w:r>
            <w:r>
              <w:rPr>
                <w:rFonts w:hint="eastAsia" w:ascii="仿宋" w:hAnsi="仿宋" w:eastAsia="仿宋"/>
                <w:szCs w:val="21"/>
              </w:rPr>
              <w:br w:type="textWrapping"/>
            </w:r>
            <w:r>
              <w:rPr>
                <w:rFonts w:hint="eastAsia" w:ascii="仿宋" w:hAnsi="仿宋" w:eastAsia="仿宋"/>
                <w:szCs w:val="21"/>
              </w:rPr>
              <w:t xml:space="preserve">支持数字化总线。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只</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点型感温探测器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总线24V，温度-10°C~55°C，十进制编码</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只</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紧急启/停按钮</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工作电压：16V~28V;监视电流≤0.8mA；常开无源触点</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只</w:t>
            </w:r>
          </w:p>
        </w:tc>
      </w:tr>
      <w:tr>
        <w:tblPrEx>
          <w:tblCellMar>
            <w:top w:w="0" w:type="dxa"/>
            <w:left w:w="0" w:type="dxa"/>
            <w:bottom w:w="0" w:type="dxa"/>
            <w:right w:w="0" w:type="dxa"/>
          </w:tblCellMar>
        </w:tblPrEx>
        <w:trPr>
          <w:trHeight w:val="48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气体喷洒指示灯</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电源总线电压：24V;电子编码；温度-10°C~55°C</w:t>
            </w:r>
            <w:r>
              <w:rPr>
                <w:rFonts w:hint="eastAsia" w:ascii="仿宋" w:hAnsi="仿宋" w:eastAsia="仿宋"/>
                <w:szCs w:val="21"/>
              </w:rPr>
              <w:br w:type="textWrapping"/>
            </w:r>
            <w:r>
              <w:rPr>
                <w:rFonts w:hint="eastAsia" w:ascii="仿宋" w:hAnsi="仿宋" w:eastAsia="仿宋"/>
                <w:szCs w:val="21"/>
              </w:rPr>
              <w:t>348mm*159mm*25mm</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只</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声光报警器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ABS阻燃材料，12~24v，大于100分贝</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只</w:t>
            </w:r>
          </w:p>
        </w:tc>
      </w:tr>
      <w:tr>
        <w:tblPrEx>
          <w:tblCellMar>
            <w:top w:w="0" w:type="dxa"/>
            <w:left w:w="0" w:type="dxa"/>
            <w:bottom w:w="0" w:type="dxa"/>
            <w:right w:w="0" w:type="dxa"/>
          </w:tblCellMar>
        </w:tblPrEx>
        <w:trPr>
          <w:trHeight w:val="600"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火灾报警控制器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地址编码容量＞240个；可配置6个多线控制点，220V输入</w:t>
            </w:r>
            <w:r>
              <w:rPr>
                <w:rFonts w:hint="eastAsia" w:ascii="仿宋" w:hAnsi="仿宋" w:eastAsia="仿宋"/>
                <w:szCs w:val="21"/>
              </w:rPr>
              <w:br w:type="textWrapping"/>
            </w:r>
            <w:r>
              <w:rPr>
                <w:rFonts w:hint="eastAsia" w:ascii="仿宋" w:hAnsi="仿宋" w:eastAsia="仿宋"/>
                <w:szCs w:val="21"/>
              </w:rPr>
              <w:t>24v、GND控制直流输出端子；</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只</w:t>
            </w:r>
          </w:p>
        </w:tc>
      </w:tr>
      <w:tr>
        <w:tblPrEx>
          <w:tblCellMar>
            <w:top w:w="0" w:type="dxa"/>
            <w:left w:w="0" w:type="dxa"/>
            <w:bottom w:w="0" w:type="dxa"/>
            <w:right w:w="0" w:type="dxa"/>
          </w:tblCellMar>
        </w:tblPrEx>
        <w:trPr>
          <w:trHeight w:val="79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7</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气体灭火控制器</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监视功耗小于30W，最大功耗小于380W；备用电源24V</w:t>
            </w:r>
            <w:r>
              <w:rPr>
                <w:rFonts w:hint="eastAsia" w:ascii="仿宋" w:hAnsi="仿宋" w:eastAsia="仿宋"/>
                <w:szCs w:val="21"/>
              </w:rPr>
              <w:br w:type="textWrapping"/>
            </w:r>
            <w:r>
              <w:rPr>
                <w:rFonts w:hint="eastAsia" w:ascii="仿宋" w:hAnsi="仿宋" w:eastAsia="仿宋"/>
                <w:szCs w:val="21"/>
              </w:rPr>
              <w:t>工作电压220V 50/60Hz；相对湿度小于95%</w:t>
            </w:r>
            <w:r>
              <w:rPr>
                <w:rFonts w:hint="eastAsia" w:ascii="仿宋" w:hAnsi="仿宋" w:eastAsia="仿宋"/>
                <w:szCs w:val="21"/>
              </w:rPr>
              <w:br w:type="textWrapping"/>
            </w:r>
            <w:r>
              <w:rPr>
                <w:rFonts w:hint="eastAsia" w:ascii="仿宋" w:hAnsi="仿宋" w:eastAsia="仿宋"/>
                <w:szCs w:val="21"/>
              </w:rPr>
              <w:t>工作温度：0°C~40°C</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只</w:t>
            </w:r>
          </w:p>
        </w:tc>
      </w:tr>
      <w:tr>
        <w:tblPrEx>
          <w:tblCellMar>
            <w:top w:w="0" w:type="dxa"/>
            <w:left w:w="0" w:type="dxa"/>
            <w:bottom w:w="0" w:type="dxa"/>
            <w:right w:w="0" w:type="dxa"/>
          </w:tblCellMar>
        </w:tblPrEx>
        <w:trPr>
          <w:trHeight w:val="61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七氟丙烷灭火装置</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容量50KG以上，304金属软管，耐高温，耐低温，高压，自由弯曲，柜体外形尺寸500*430*1400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9</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七氟丙烷灭火剂</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七氟丙烷灭火剂（HFC-227EA)</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kg</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自动泄压装置</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自动泄压装置（300*300）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270" w:hRule="atLeast"/>
        </w:trPr>
        <w:tc>
          <w:tcPr>
            <w:tcW w:w="7953"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b/>
                <w:bCs/>
                <w:szCs w:val="21"/>
              </w:rPr>
            </w:pPr>
            <w:r>
              <w:rPr>
                <w:rFonts w:hint="eastAsia" w:ascii="仿宋" w:hAnsi="仿宋" w:eastAsia="仿宋"/>
                <w:b/>
                <w:bCs/>
                <w:szCs w:val="21"/>
              </w:rPr>
              <w:t>6.其他</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　</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不间断电源UPS</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≥10KVA  单相输入单相输出;</w:t>
            </w:r>
            <w:r>
              <w:rPr>
                <w:rFonts w:hint="eastAsia" w:ascii="仿宋" w:hAnsi="仿宋" w:eastAsia="仿宋"/>
                <w:szCs w:val="21"/>
              </w:rPr>
              <w:br w:type="textWrapping"/>
            </w:r>
            <w:r>
              <w:rPr>
                <w:rFonts w:hint="eastAsia" w:ascii="仿宋" w:hAnsi="仿宋" w:eastAsia="仿宋"/>
                <w:szCs w:val="21"/>
              </w:rPr>
              <w:t>真正实现在线双转换，微处理器控制技术保证高性能；</w:t>
            </w:r>
            <w:r>
              <w:rPr>
                <w:rFonts w:hint="eastAsia" w:ascii="仿宋" w:hAnsi="仿宋" w:eastAsia="仿宋"/>
                <w:szCs w:val="21"/>
              </w:rPr>
              <w:br w:type="textWrapping"/>
            </w:r>
            <w:r>
              <w:rPr>
                <w:rFonts w:hint="eastAsia" w:ascii="仿宋" w:hAnsi="仿宋" w:eastAsia="仿宋"/>
                <w:szCs w:val="21"/>
              </w:rPr>
              <w:t>输入功率因数校正，高输出功率因数；</w:t>
            </w:r>
            <w:r>
              <w:rPr>
                <w:rFonts w:hint="eastAsia" w:ascii="仿宋" w:hAnsi="仿宋" w:eastAsia="仿宋"/>
                <w:szCs w:val="21"/>
              </w:rPr>
              <w:br w:type="textWrapping"/>
            </w:r>
            <w:r>
              <w:rPr>
                <w:rFonts w:hint="eastAsia" w:ascii="仿宋" w:hAnsi="仿宋" w:eastAsia="仿宋"/>
                <w:szCs w:val="21"/>
              </w:rPr>
              <w:t>宽输入电压，高效的变频转换模式；</w:t>
            </w:r>
            <w:r>
              <w:rPr>
                <w:rFonts w:hint="eastAsia" w:ascii="仿宋" w:hAnsi="仿宋" w:eastAsia="仿宋"/>
                <w:szCs w:val="21"/>
              </w:rPr>
              <w:br w:type="textWrapping"/>
            </w:r>
            <w:r>
              <w:rPr>
                <w:rFonts w:hint="eastAsia" w:ascii="仿宋" w:hAnsi="仿宋" w:eastAsia="仿宋"/>
                <w:szCs w:val="21"/>
              </w:rPr>
              <w:t>ECO模式可有效节能</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UPS蓄电池</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≥100AH(可供现有设备使用2小时）</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16</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节</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电池柜</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黑色电池柜/775*460*1170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定制动力配电柜</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定制动力配电柜（含输入输出模块开关）</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w:t>
            </w:r>
          </w:p>
        </w:tc>
        <w:tc>
          <w:tcPr>
            <w:tcW w:w="186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精密空调</w:t>
            </w:r>
          </w:p>
        </w:tc>
        <w:tc>
          <w:tcPr>
            <w:tcW w:w="549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精密空调-风冷-定频-EC风机-上前送风；</w:t>
            </w:r>
            <w:r>
              <w:rPr>
                <w:rFonts w:hint="eastAsia" w:ascii="仿宋" w:hAnsi="仿宋" w:eastAsia="仿宋"/>
                <w:szCs w:val="21"/>
              </w:rPr>
              <w:br w:type="textWrapping"/>
            </w:r>
            <w:r>
              <w:rPr>
                <w:rFonts w:hint="eastAsia" w:ascii="仿宋" w:hAnsi="仿宋" w:eastAsia="仿宋"/>
                <w:szCs w:val="21"/>
              </w:rPr>
              <w:t>制冷量≥7.5kw，风量≥2200m</w:t>
            </w:r>
            <w:r>
              <w:rPr>
                <w:rFonts w:hint="eastAsia" w:ascii="宋体" w:hAnsi="宋体" w:cs="宋体"/>
                <w:szCs w:val="21"/>
              </w:rPr>
              <w:t>³</w:t>
            </w:r>
            <w:r>
              <w:rPr>
                <w:rFonts w:hint="eastAsia" w:ascii="仿宋" w:hAnsi="仿宋" w:eastAsia="仿宋"/>
                <w:szCs w:val="21"/>
              </w:rPr>
              <w:t>/h；</w:t>
            </w:r>
            <w:r>
              <w:rPr>
                <w:rFonts w:hint="eastAsia" w:ascii="仿宋" w:hAnsi="仿宋" w:eastAsia="仿宋"/>
                <w:szCs w:val="21"/>
              </w:rPr>
              <w:br w:type="textWrapping"/>
            </w:r>
            <w:r>
              <w:rPr>
                <w:rFonts w:hint="eastAsia" w:ascii="仿宋" w:hAnsi="仿宋" w:eastAsia="仿宋"/>
                <w:szCs w:val="21"/>
              </w:rPr>
              <w:t>具有大风量，小焓差，高显热比，高能效比，高可靠性的特点，提供全年24小时不间断运行保障。</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6</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空调铜管</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ascii="仿宋" w:hAnsi="仿宋" w:eastAsia="仿宋"/>
                <w:szCs w:val="21"/>
              </w:rPr>
              <w:t>φ</w:t>
            </w:r>
            <w:r>
              <w:rPr>
                <w:rFonts w:hint="eastAsia" w:ascii="仿宋" w:hAnsi="仿宋" w:eastAsia="仿宋"/>
                <w:szCs w:val="21"/>
              </w:rPr>
              <w:t>20mm</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7</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室外机支架</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室外机支架50角铁</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主机供电线缆</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ZR-RVV5*2.5mm2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9</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室外机供电线缆</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ZR-RVV5*2.5mm2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10</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室内外机通讯线</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ZR-RVV2*1.5mm2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电池间连接线</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定制电池间连接线</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50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总开关箱至UPS间电缆</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ZR-RVV5*6mm2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UPS输入输出电缆</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ZR-RVV5*6mm2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20</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m</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机房新风</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25D</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新风开口</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φ100</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个</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16</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新风机风管及风口安装</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定制/国产</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17</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原有吊顶及地面装饰拆除</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原有吊顶及地面装饰拆除</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55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18</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音响、功放、投影仪等设备拆除及移装</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音响、功放、投影仪等设备拆除及移装</w:t>
            </w:r>
          </w:p>
        </w:tc>
        <w:tc>
          <w:tcPr>
            <w:tcW w:w="709"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19</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动环监控系统</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1、千兆以太网口数≥4个；RJ-45 Console管理口≥1个；USB接口≥2; 最大支持256个终端接入；</w:t>
            </w:r>
            <w:r>
              <w:rPr>
                <w:rFonts w:hint="eastAsia" w:ascii="仿宋" w:hAnsi="仿宋" w:eastAsia="仿宋"/>
                <w:szCs w:val="21"/>
              </w:rPr>
              <w:br w:type="textWrapping"/>
            </w:r>
            <w:r>
              <w:rPr>
                <w:rFonts w:hint="eastAsia" w:ascii="仿宋" w:hAnsi="仿宋" w:eastAsia="仿宋"/>
                <w:szCs w:val="21"/>
              </w:rPr>
              <w:t>2、支持对接市电监测模块、三相电量仪、UPS、蓄电池、柴油发电机等动力系统，实现对机房动力系统物理安全状态的实时感知；</w:t>
            </w:r>
            <w:r>
              <w:rPr>
                <w:rFonts w:hint="eastAsia" w:ascii="仿宋" w:hAnsi="仿宋" w:eastAsia="仿宋"/>
                <w:szCs w:val="21"/>
              </w:rPr>
              <w:br w:type="textWrapping"/>
            </w:r>
            <w:r>
              <w:rPr>
                <w:rFonts w:hint="eastAsia" w:ascii="仿宋" w:hAnsi="仿宋" w:eastAsia="仿宋"/>
                <w:szCs w:val="21"/>
              </w:rPr>
              <w:t>3、支持接入温湿传感器、精密空调、普通空调、漏水传感器等，实现对机房环境物理安全状态的实时感知；</w:t>
            </w:r>
            <w:r>
              <w:rPr>
                <w:rFonts w:hint="eastAsia" w:ascii="仿宋" w:hAnsi="仿宋" w:eastAsia="仿宋"/>
                <w:szCs w:val="21"/>
              </w:rPr>
              <w:br w:type="textWrapping"/>
            </w:r>
            <w:r>
              <w:rPr>
                <w:rFonts w:hint="eastAsia" w:ascii="仿宋" w:hAnsi="仿宋" w:eastAsia="仿宋"/>
                <w:szCs w:val="21"/>
              </w:rPr>
              <w:t>4、支持接入门禁、门磁、烟雾传感器、视频等，实现对机房安防系统物理安全状态的实时感知；</w:t>
            </w:r>
            <w:r>
              <w:rPr>
                <w:rFonts w:hint="eastAsia" w:ascii="仿宋" w:hAnsi="仿宋" w:eastAsia="仿宋"/>
                <w:szCs w:val="21"/>
              </w:rPr>
              <w:br w:type="textWrapping"/>
            </w:r>
            <w:r>
              <w:rPr>
                <w:rFonts w:hint="eastAsia" w:ascii="仿宋" w:hAnsi="仿宋" w:eastAsia="仿宋"/>
                <w:szCs w:val="21"/>
              </w:rPr>
              <w:t>5、支持对交换机、服务器、路由器、防火墙等网络设备进行健康检查，实现对CPU使用率、内存、端口状态、流量情况、链路质量等实时监测，并联动告警系统进行告警；</w:t>
            </w:r>
            <w:r>
              <w:rPr>
                <w:rFonts w:hint="eastAsia" w:ascii="仿宋" w:hAnsi="仿宋" w:eastAsia="仿宋"/>
                <w:szCs w:val="21"/>
              </w:rPr>
              <w:br w:type="textWrapping"/>
            </w:r>
            <w:r>
              <w:rPr>
                <w:rFonts w:hint="eastAsia" w:ascii="仿宋" w:hAnsi="仿宋" w:eastAsia="仿宋"/>
                <w:szCs w:val="21"/>
              </w:rPr>
              <w:t>6、支持接入智能PDU，实现对配电单元远程管理和控制；</w:t>
            </w:r>
            <w:r>
              <w:rPr>
                <w:rFonts w:hint="eastAsia" w:ascii="仿宋" w:hAnsi="仿宋" w:eastAsia="仿宋"/>
                <w:szCs w:val="21"/>
              </w:rPr>
              <w:br w:type="textWrapping"/>
            </w:r>
            <w:r>
              <w:rPr>
                <w:rFonts w:hint="eastAsia" w:ascii="仿宋" w:hAnsi="仿宋" w:eastAsia="仿宋"/>
                <w:szCs w:val="21"/>
              </w:rPr>
              <w:t xml:space="preserve">7、支持3D智能引擎，内置网络设备、机柜、UPS、办公资产等素材，可以基于机房真实情况，通过拖拽式真实还原，实现所画即所得； </w:t>
            </w:r>
            <w:r>
              <w:rPr>
                <w:rFonts w:hint="eastAsia" w:ascii="仿宋" w:hAnsi="仿宋" w:eastAsia="仿宋"/>
                <w:szCs w:val="21"/>
              </w:rPr>
              <w:br w:type="textWrapping"/>
            </w:r>
            <w:r>
              <w:rPr>
                <w:rFonts w:hint="eastAsia" w:ascii="仿宋" w:hAnsi="仿宋" w:eastAsia="仿宋"/>
                <w:szCs w:val="21"/>
              </w:rPr>
              <w:t>8、支持基于数字孪生技术的大屏展示，向管理人员展示整体机房整体运行状态，包括UPS状态、精密空调状态、电力系统、温湿度情况、告警情况等信息，数据通过友好的大屏直观呈现展示，实现管理可视化；</w:t>
            </w:r>
            <w:r>
              <w:rPr>
                <w:rFonts w:hint="eastAsia" w:ascii="仿宋" w:hAnsi="仿宋" w:eastAsia="仿宋"/>
                <w:szCs w:val="21"/>
              </w:rPr>
              <w:br w:type="textWrapping"/>
            </w:r>
            <w:r>
              <w:rPr>
                <w:rFonts w:hint="eastAsia" w:ascii="仿宋" w:hAnsi="仿宋" w:eastAsia="仿宋"/>
                <w:szCs w:val="21"/>
              </w:rPr>
              <w:t>9、支持远端云守护服务，告警信息一段时间未处理，系统自动将告警信息发送到远端云平台，由值守人员第一时间通知到运维人员（提供界面截图并加盖原厂公章）</w:t>
            </w:r>
            <w:r>
              <w:rPr>
                <w:rFonts w:hint="eastAsia" w:ascii="仿宋" w:hAnsi="仿宋" w:eastAsia="仿宋"/>
                <w:szCs w:val="21"/>
              </w:rPr>
              <w:br w:type="textWrapping"/>
            </w:r>
            <w:r>
              <w:rPr>
                <w:rFonts w:hint="eastAsia" w:ascii="仿宋" w:hAnsi="仿宋" w:eastAsia="仿宋"/>
                <w:szCs w:val="21"/>
              </w:rPr>
              <w:t>10、支持与视频监控对接，实现视频弹窗告警，联动抓拍；支持内置视频中心；支持实时录制告警发生的全过程，并内置视频中心随时查看，实现告警回溯（提供界面截图并加盖原厂公章）；</w:t>
            </w:r>
            <w:r>
              <w:rPr>
                <w:rFonts w:hint="eastAsia" w:ascii="仿宋" w:hAnsi="仿宋" w:eastAsia="仿宋"/>
                <w:szCs w:val="21"/>
              </w:rPr>
              <w:br w:type="textWrapping"/>
            </w:r>
            <w:r>
              <w:rPr>
                <w:rFonts w:hint="eastAsia" w:ascii="仿宋" w:hAnsi="仿宋" w:eastAsia="仿宋"/>
                <w:szCs w:val="21"/>
              </w:rPr>
              <w:t>11、支持多种传感器设备联动策略配置，比如人体红外感应装置联动空调恒温器进行空调的开关，实现高效节能；</w:t>
            </w:r>
            <w:r>
              <w:rPr>
                <w:rFonts w:hint="eastAsia" w:ascii="仿宋" w:hAnsi="仿宋" w:eastAsia="仿宋"/>
                <w:szCs w:val="21"/>
              </w:rPr>
              <w:br w:type="textWrapping"/>
            </w:r>
            <w:r>
              <w:rPr>
                <w:rFonts w:hint="eastAsia" w:ascii="仿宋" w:hAnsi="仿宋" w:eastAsia="仿宋"/>
                <w:szCs w:val="21"/>
              </w:rPr>
              <w:t>12、支持巡检策略设定，记录并存储巡检报告，比如平台定时对全部设备进行巡检，及时发现异常设备，消除隐患。</w:t>
            </w:r>
            <w:r>
              <w:rPr>
                <w:rFonts w:hint="eastAsia" w:ascii="仿宋" w:hAnsi="仿宋" w:eastAsia="仿宋"/>
                <w:szCs w:val="21"/>
              </w:rPr>
              <w:br w:type="textWrapping"/>
            </w:r>
            <w:r>
              <w:rPr>
                <w:rFonts w:hint="eastAsia" w:ascii="仿宋" w:hAnsi="仿宋" w:eastAsia="仿宋"/>
                <w:szCs w:val="21"/>
              </w:rPr>
              <w:t>13、为保证设备扩展性，要求设备制造商软件开发能力达到CMMI五级，提供相应证书复印件并要求设备制造商盖章证明。</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20</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综合布线</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综合布线</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21</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辅材</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辅材</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项</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22</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分析室办公桌椅</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包含8人位座椅</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23</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小会议室桌椅</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会议桌含椅子（8人位）</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套</w:t>
            </w:r>
          </w:p>
        </w:tc>
      </w:tr>
      <w:tr>
        <w:tblPrEx>
          <w:tblCellMar>
            <w:top w:w="0" w:type="dxa"/>
            <w:left w:w="0" w:type="dxa"/>
            <w:bottom w:w="0" w:type="dxa"/>
            <w:right w:w="0" w:type="dxa"/>
          </w:tblCellMar>
        </w:tblPrEx>
        <w:trPr>
          <w:trHeight w:val="55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24</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文件柜</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85*39*180cm</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r>
        <w:tblPrEx>
          <w:tblCellMar>
            <w:top w:w="0" w:type="dxa"/>
            <w:left w:w="0" w:type="dxa"/>
            <w:bottom w:w="0" w:type="dxa"/>
            <w:right w:w="0" w:type="dxa"/>
          </w:tblCellMar>
        </w:tblPrEx>
        <w:trPr>
          <w:trHeight w:val="5539" w:hRule="atLeast"/>
        </w:trPr>
        <w:tc>
          <w:tcPr>
            <w:tcW w:w="6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25</w:t>
            </w:r>
          </w:p>
        </w:tc>
        <w:tc>
          <w:tcPr>
            <w:tcW w:w="18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触控一体机</w:t>
            </w:r>
          </w:p>
        </w:tc>
        <w:tc>
          <w:tcPr>
            <w:tcW w:w="54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rPr>
                <w:rFonts w:ascii="仿宋" w:hAnsi="仿宋" w:eastAsia="仿宋" w:cs="宋体"/>
                <w:szCs w:val="21"/>
              </w:rPr>
            </w:pPr>
            <w:r>
              <w:rPr>
                <w:rFonts w:hint="eastAsia" w:ascii="仿宋" w:hAnsi="仿宋" w:eastAsia="仿宋"/>
                <w:szCs w:val="21"/>
              </w:rPr>
              <w:t>1. 有效显示面积≥1895.04mm(H)×1065.96mm(V)，大尺寸显示，清晰画面；</w:t>
            </w:r>
            <w:r>
              <w:rPr>
                <w:rFonts w:hint="eastAsia" w:ascii="仿宋" w:hAnsi="仿宋" w:eastAsia="仿宋"/>
                <w:szCs w:val="21"/>
              </w:rPr>
              <w:br w:type="textWrapping"/>
            </w:r>
            <w:r>
              <w:rPr>
                <w:rFonts w:hint="eastAsia" w:ascii="仿宋" w:hAnsi="仿宋" w:eastAsia="仿宋"/>
                <w:szCs w:val="21"/>
              </w:rPr>
              <w:t>2. 交互平板具有抗强光干扰功能：抗光试验室外阳光照射试验将显示器置于室外阳光下，用十点触摸笔在屏幕上划线十点划线连贯无断线无诡点。室内白炽灯照射试验将显示器置于200w高功率白炽灯照射下，用十点触摸笔在屏幕上划线十点划线连贯无断线无诡点；</w:t>
            </w:r>
            <w:r>
              <w:rPr>
                <w:rFonts w:hint="eastAsia" w:ascii="仿宋" w:hAnsi="仿宋" w:eastAsia="仿宋"/>
                <w:szCs w:val="21"/>
              </w:rPr>
              <w:br w:type="textWrapping"/>
            </w:r>
            <w:r>
              <w:rPr>
                <w:rFonts w:hint="eastAsia" w:ascii="仿宋" w:hAnsi="仿宋" w:eastAsia="仿宋"/>
                <w:szCs w:val="21"/>
              </w:rPr>
              <w:t>3. 物理分辨率支持3840*2160，亮度≥460nit，对比度≥5080:1，色彩度1.07B，可视角度≥178°，使用寿命≥135000小时；</w:t>
            </w:r>
            <w:r>
              <w:rPr>
                <w:rFonts w:hint="eastAsia" w:ascii="仿宋" w:hAnsi="仿宋" w:eastAsia="仿宋"/>
                <w:szCs w:val="21"/>
              </w:rPr>
              <w:br w:type="textWrapping"/>
            </w:r>
            <w:r>
              <w:rPr>
                <w:rFonts w:hint="eastAsia" w:ascii="仿宋" w:hAnsi="仿宋" w:eastAsia="仿宋"/>
                <w:szCs w:val="21"/>
              </w:rPr>
              <w:t>4. 响应时间≤8ms，频率60Hz，色彩覆盖率≥NTSC90%；</w:t>
            </w:r>
            <w:r>
              <w:rPr>
                <w:rFonts w:hint="eastAsia" w:ascii="仿宋" w:hAnsi="仿宋" w:eastAsia="仿宋"/>
                <w:szCs w:val="21"/>
              </w:rPr>
              <w:br w:type="textWrapping"/>
            </w:r>
            <w:r>
              <w:rPr>
                <w:rFonts w:hint="eastAsia" w:ascii="仿宋" w:hAnsi="仿宋" w:eastAsia="仿宋"/>
                <w:szCs w:val="21"/>
              </w:rPr>
              <w:t>5. 屏幕表面采用4mm厚全钢化防爆玻璃，莫氏7级硬度，透光率不低于90%，且具备防眩光效果；</w:t>
            </w:r>
            <w:r>
              <w:rPr>
                <w:rFonts w:hint="eastAsia" w:ascii="仿宋" w:hAnsi="仿宋" w:eastAsia="仿宋"/>
                <w:szCs w:val="21"/>
              </w:rPr>
              <w:br w:type="textWrapping"/>
            </w:r>
            <w:r>
              <w:rPr>
                <w:rFonts w:hint="eastAsia" w:ascii="仿宋" w:hAnsi="仿宋" w:eastAsia="仿宋"/>
                <w:szCs w:val="21"/>
              </w:rPr>
              <w:t>6. 交互平板需要标配OPS接口，方便后期随时插入ops；接口支持HDMI（4K）输入*3、HDMI输出*1、VGA输入*1、PC-audio*1、YPBPR*1、LAN*2、TV*1、AV输入*1、AV输出*1、DP输入*1、PC-USB*2、TOUCH-USB*2、SPDIF*1；远程控制接口支持RS232 IN*1、RS232 OUT*1；</w:t>
            </w:r>
            <w:r>
              <w:rPr>
                <w:rFonts w:hint="eastAsia" w:ascii="仿宋" w:hAnsi="仿宋" w:eastAsia="仿宋"/>
                <w:szCs w:val="21"/>
              </w:rPr>
              <w:br w:type="textWrapping"/>
            </w:r>
            <w:r>
              <w:rPr>
                <w:rFonts w:hint="eastAsia" w:ascii="仿宋" w:hAnsi="仿宋" w:eastAsia="仿宋"/>
                <w:szCs w:val="21"/>
              </w:rPr>
              <w:t>7. 交互平板RJ45网口，支持10/100/1000M自适应功能;</w:t>
            </w:r>
            <w:r>
              <w:rPr>
                <w:rFonts w:hint="eastAsia" w:ascii="仿宋" w:hAnsi="仿宋" w:eastAsia="仿宋"/>
                <w:szCs w:val="21"/>
              </w:rPr>
              <w:br w:type="textWrapping"/>
            </w:r>
            <w:r>
              <w:rPr>
                <w:rFonts w:hint="eastAsia" w:ascii="仿宋" w:hAnsi="仿宋" w:eastAsia="仿宋"/>
                <w:szCs w:val="21"/>
              </w:rPr>
              <w:t xml:space="preserve">8. 交互平板具备一键黑屏节能功能，交互平板功耗降低超过80%，节能关机、系统开关三合一按键开关（节能、环保，提升使用寿命）； </w:t>
            </w:r>
            <w:r>
              <w:rPr>
                <w:rFonts w:hint="eastAsia" w:ascii="仿宋" w:hAnsi="仿宋" w:eastAsia="仿宋"/>
                <w:szCs w:val="21"/>
              </w:rPr>
              <w:br w:type="textWrapping"/>
            </w:r>
            <w:r>
              <w:rPr>
                <w:rFonts w:hint="eastAsia" w:ascii="仿宋" w:hAnsi="仿宋" w:eastAsia="仿宋"/>
                <w:szCs w:val="21"/>
              </w:rPr>
              <w:t>9. 为方便移动存储设备接入双系统，前置接口中需要具备不少于两个USB接口满足usb跟随功能；</w:t>
            </w:r>
            <w:r>
              <w:rPr>
                <w:rFonts w:hint="eastAsia" w:ascii="仿宋" w:hAnsi="仿宋" w:eastAsia="仿宋"/>
                <w:szCs w:val="21"/>
              </w:rPr>
              <w:br w:type="textWrapping"/>
            </w:r>
            <w:r>
              <w:rPr>
                <w:rFonts w:hint="eastAsia" w:ascii="仿宋" w:hAnsi="仿宋" w:eastAsia="仿宋"/>
                <w:szCs w:val="21"/>
              </w:rPr>
              <w:t>10. 为清晰展示会议内容，交互平板需要具备至少三个HDMI2.0和至少一个DP1.2输入接口。</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1</w:t>
            </w:r>
          </w:p>
        </w:tc>
        <w:tc>
          <w:tcPr>
            <w:tcW w:w="7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400" w:lineRule="exact"/>
              <w:jc w:val="center"/>
              <w:rPr>
                <w:rFonts w:ascii="仿宋" w:hAnsi="仿宋" w:eastAsia="仿宋" w:cs="宋体"/>
                <w:szCs w:val="21"/>
              </w:rPr>
            </w:pPr>
            <w:r>
              <w:rPr>
                <w:rFonts w:hint="eastAsia" w:ascii="仿宋" w:hAnsi="仿宋" w:eastAsia="仿宋"/>
                <w:szCs w:val="21"/>
              </w:rPr>
              <w:t>台</w:t>
            </w:r>
          </w:p>
        </w:tc>
      </w:tr>
    </w:tbl>
    <w:p>
      <w:pPr>
        <w:widowControl/>
        <w:jc w:val="left"/>
        <w:rPr>
          <w:rFonts w:ascii="仿宋" w:hAnsi="仿宋" w:eastAsia="仿宋" w:cs="仿宋_GB2312"/>
          <w:b/>
          <w:bCs/>
          <w:sz w:val="32"/>
          <w:szCs w:val="32"/>
        </w:rPr>
      </w:pPr>
      <w:r>
        <w:rPr>
          <w:rFonts w:ascii="仿宋" w:hAnsi="仿宋" w:eastAsia="仿宋"/>
        </w:rPr>
        <w:t xml:space="preserve"> </w:t>
      </w:r>
      <w:r>
        <w:rPr>
          <w:rFonts w:ascii="仿宋" w:hAnsi="仿宋" w:eastAsia="仿宋"/>
        </w:rPr>
        <w:br w:type="page"/>
      </w:r>
      <w:bookmarkStart w:id="259" w:name="_Toc110013788"/>
    </w:p>
    <w:p>
      <w:pPr>
        <w:pStyle w:val="34"/>
        <w:spacing w:before="0" w:after="0" w:line="360" w:lineRule="auto"/>
        <w:rPr>
          <w:rFonts w:ascii="仿宋" w:hAnsi="仿宋" w:eastAsia="仿宋" w:cs="仿宋_GB2312"/>
        </w:rPr>
      </w:pPr>
      <w:r>
        <w:rPr>
          <w:rFonts w:ascii="仿宋" w:hAnsi="仿宋" w:eastAsia="仿宋" w:cs="仿宋_GB2312"/>
        </w:rPr>
        <w:t>第六章投标文件格式</w:t>
      </w:r>
      <w:bookmarkEnd w:id="239"/>
      <w:bookmarkEnd w:id="240"/>
      <w:bookmarkEnd w:id="241"/>
      <w:bookmarkEnd w:id="242"/>
      <w:bookmarkEnd w:id="243"/>
      <w:bookmarkEnd w:id="259"/>
    </w:p>
    <w:p>
      <w:pPr>
        <w:jc w:val="right"/>
        <w:rPr>
          <w:rFonts w:ascii="仿宋" w:hAnsi="仿宋" w:eastAsia="仿宋" w:cs="宋体"/>
          <w:b/>
          <w:bCs/>
          <w:sz w:val="30"/>
          <w:szCs w:val="30"/>
          <w:lang w:val="zh-CN"/>
        </w:rPr>
      </w:pPr>
    </w:p>
    <w:p>
      <w:pPr>
        <w:jc w:val="right"/>
        <w:rPr>
          <w:rFonts w:ascii="仿宋" w:hAnsi="仿宋" w:eastAsia="仿宋" w:cs="宋体"/>
          <w:b/>
          <w:bCs/>
          <w:sz w:val="30"/>
          <w:szCs w:val="30"/>
          <w:lang w:val="zh-CN"/>
        </w:rPr>
      </w:pPr>
      <w:r>
        <w:rPr>
          <w:rFonts w:hint="eastAsia" w:ascii="仿宋" w:hAnsi="仿宋" w:eastAsia="仿宋" w:cs="宋体"/>
          <w:b/>
          <w:bCs/>
          <w:sz w:val="30"/>
          <w:szCs w:val="30"/>
          <w:lang w:val="zh-CN"/>
        </w:rPr>
        <w:t>正本/副本</w:t>
      </w:r>
    </w:p>
    <w:p>
      <w:pPr>
        <w:rPr>
          <w:rFonts w:ascii="仿宋" w:hAnsi="仿宋" w:eastAsia="仿宋" w:cs="宋体"/>
          <w:b/>
          <w:bCs/>
          <w:sz w:val="30"/>
          <w:szCs w:val="30"/>
          <w:lang w:val="zh-CN"/>
        </w:rPr>
      </w:pPr>
      <w:r>
        <w:rPr>
          <w:rFonts w:hint="eastAsia" w:ascii="仿宋" w:hAnsi="仿宋" w:eastAsia="仿宋" w:cs="宋体"/>
          <w:b/>
          <w:bCs/>
          <w:sz w:val="30"/>
          <w:szCs w:val="30"/>
          <w:lang w:val="zh-CN"/>
        </w:rPr>
        <w:t>政府采购项目</w:t>
      </w:r>
    </w:p>
    <w:p>
      <w:pPr>
        <w:rPr>
          <w:rFonts w:ascii="仿宋" w:hAnsi="仿宋" w:eastAsia="仿宋" w:cs="宋体"/>
          <w:b/>
          <w:bCs/>
          <w:sz w:val="30"/>
          <w:szCs w:val="30"/>
          <w:lang w:val="zh-CN"/>
        </w:rPr>
      </w:pPr>
      <w:r>
        <w:rPr>
          <w:rFonts w:hint="eastAsia" w:ascii="仿宋" w:hAnsi="仿宋" w:eastAsia="仿宋" w:cs="宋体"/>
          <w:b/>
          <w:bCs/>
          <w:sz w:val="30"/>
          <w:szCs w:val="30"/>
          <w:lang w:val="zh-CN"/>
        </w:rPr>
        <w:t>采购项目编号：</w:t>
      </w:r>
      <w:r>
        <w:rPr>
          <w:rFonts w:ascii="仿宋" w:hAnsi="仿宋" w:eastAsia="仿宋" w:cs="宋体"/>
          <w:b/>
          <w:bCs/>
          <w:sz w:val="30"/>
          <w:szCs w:val="30"/>
          <w:lang w:val="zh-CN"/>
        </w:rPr>
        <w:t>SCZD2022-ZB-2</w:t>
      </w:r>
      <w:r>
        <w:rPr>
          <w:rFonts w:hint="eastAsia" w:ascii="仿宋" w:hAnsi="仿宋" w:eastAsia="仿宋" w:cs="宋体"/>
          <w:b/>
          <w:bCs/>
          <w:sz w:val="30"/>
          <w:szCs w:val="30"/>
          <w:lang w:val="zh-CN"/>
        </w:rPr>
        <w:t>914</w:t>
      </w:r>
      <w:r>
        <w:rPr>
          <w:rFonts w:ascii="仿宋" w:hAnsi="仿宋" w:eastAsia="仿宋" w:cs="宋体"/>
          <w:b/>
          <w:bCs/>
          <w:sz w:val="30"/>
          <w:szCs w:val="30"/>
          <w:lang w:val="zh-CN"/>
        </w:rPr>
        <w:t>/001</w:t>
      </w:r>
    </w:p>
    <w:p>
      <w:pPr>
        <w:spacing w:line="240" w:lineRule="atLeast"/>
        <w:ind w:left="1080" w:leftChars="257" w:hanging="540"/>
        <w:jc w:val="center"/>
        <w:rPr>
          <w:rFonts w:ascii="仿宋" w:hAnsi="仿宋" w:eastAsia="仿宋"/>
          <w:b/>
          <w:sz w:val="52"/>
          <w:szCs w:val="52"/>
        </w:rPr>
      </w:pPr>
    </w:p>
    <w:p>
      <w:pPr>
        <w:pStyle w:val="13"/>
        <w:rPr>
          <w:rFonts w:ascii="仿宋" w:hAnsi="仿宋" w:eastAsia="仿宋"/>
        </w:rPr>
      </w:pPr>
    </w:p>
    <w:p>
      <w:pPr>
        <w:pStyle w:val="13"/>
        <w:rPr>
          <w:rFonts w:ascii="仿宋" w:hAnsi="仿宋" w:eastAsia="仿宋"/>
        </w:rPr>
      </w:pPr>
    </w:p>
    <w:p>
      <w:pPr>
        <w:pStyle w:val="13"/>
        <w:rPr>
          <w:rFonts w:ascii="仿宋" w:hAnsi="仿宋" w:eastAsia="仿宋"/>
        </w:rPr>
      </w:pPr>
    </w:p>
    <w:p>
      <w:pPr>
        <w:pStyle w:val="13"/>
        <w:rPr>
          <w:rFonts w:ascii="仿宋" w:hAnsi="仿宋" w:eastAsia="仿宋"/>
        </w:rPr>
      </w:pPr>
    </w:p>
    <w:p>
      <w:pPr>
        <w:pStyle w:val="13"/>
        <w:rPr>
          <w:rFonts w:ascii="仿宋" w:hAnsi="仿宋" w:eastAsia="仿宋"/>
        </w:rPr>
      </w:pPr>
    </w:p>
    <w:p>
      <w:pPr>
        <w:pStyle w:val="13"/>
        <w:rPr>
          <w:rFonts w:ascii="仿宋" w:hAnsi="仿宋" w:eastAsia="仿宋"/>
        </w:rPr>
      </w:pPr>
    </w:p>
    <w:p>
      <w:pPr>
        <w:pStyle w:val="13"/>
        <w:rPr>
          <w:rFonts w:ascii="仿宋" w:hAnsi="仿宋" w:eastAsia="仿宋"/>
        </w:rPr>
      </w:pPr>
    </w:p>
    <w:p>
      <w:pPr>
        <w:tabs>
          <w:tab w:val="left" w:pos="5670"/>
        </w:tabs>
        <w:autoSpaceDE w:val="0"/>
        <w:autoSpaceDN w:val="0"/>
        <w:adjustRightInd w:val="0"/>
        <w:snapToGrid w:val="0"/>
        <w:spacing w:line="360" w:lineRule="auto"/>
        <w:jc w:val="center"/>
        <w:rPr>
          <w:rFonts w:ascii="仿宋" w:hAnsi="仿宋" w:eastAsia="仿宋"/>
          <w:b/>
          <w:bCs/>
          <w:sz w:val="52"/>
          <w:szCs w:val="52"/>
        </w:rPr>
      </w:pPr>
      <w:r>
        <w:rPr>
          <w:rFonts w:hint="eastAsia" w:ascii="仿宋" w:hAnsi="仿宋" w:eastAsia="仿宋"/>
          <w:b/>
          <w:bCs/>
          <w:sz w:val="52"/>
          <w:szCs w:val="52"/>
        </w:rPr>
        <w:t>陕西省“金审三期”延安市配套建设服务项目</w:t>
      </w:r>
    </w:p>
    <w:p>
      <w:pPr>
        <w:tabs>
          <w:tab w:val="left" w:pos="5670"/>
        </w:tabs>
        <w:autoSpaceDE w:val="0"/>
        <w:autoSpaceDN w:val="0"/>
        <w:adjustRightInd w:val="0"/>
        <w:snapToGrid w:val="0"/>
        <w:spacing w:line="360" w:lineRule="auto"/>
        <w:jc w:val="center"/>
        <w:rPr>
          <w:rFonts w:ascii="仿宋" w:hAnsi="仿宋" w:eastAsia="仿宋"/>
          <w:b/>
          <w:bCs/>
          <w:sz w:val="52"/>
          <w:szCs w:val="52"/>
          <w:lang w:val="zh-CN"/>
        </w:rPr>
      </w:pPr>
      <w:r>
        <w:rPr>
          <w:rFonts w:ascii="仿宋" w:hAnsi="仿宋" w:eastAsia="仿宋"/>
          <w:b/>
          <w:bCs/>
          <w:sz w:val="52"/>
          <w:szCs w:val="52"/>
          <w:lang w:val="zh-CN"/>
        </w:rPr>
        <w:t>投标文件</w:t>
      </w:r>
    </w:p>
    <w:p>
      <w:pPr>
        <w:spacing w:line="240" w:lineRule="atLeast"/>
        <w:ind w:left="1080" w:leftChars="257" w:hanging="540"/>
        <w:jc w:val="center"/>
        <w:rPr>
          <w:rFonts w:ascii="仿宋" w:hAnsi="仿宋" w:eastAsia="仿宋" w:cs="黑体"/>
          <w:sz w:val="32"/>
          <w:szCs w:val="40"/>
        </w:rPr>
      </w:pPr>
    </w:p>
    <w:p>
      <w:pPr>
        <w:pStyle w:val="2"/>
        <w:ind w:left="1470" w:right="1470"/>
        <w:rPr>
          <w:rFonts w:ascii="仿宋" w:hAnsi="仿宋" w:eastAsia="仿宋"/>
        </w:rPr>
      </w:pPr>
    </w:p>
    <w:p>
      <w:pPr>
        <w:autoSpaceDE w:val="0"/>
        <w:autoSpaceDN w:val="0"/>
        <w:adjustRightInd w:val="0"/>
        <w:snapToGrid w:val="0"/>
        <w:spacing w:line="360" w:lineRule="auto"/>
        <w:jc w:val="center"/>
        <w:rPr>
          <w:rFonts w:ascii="仿宋" w:hAnsi="仿宋" w:eastAsia="仿宋"/>
          <w:b/>
          <w:bCs/>
          <w:sz w:val="32"/>
          <w:szCs w:val="32"/>
        </w:rPr>
      </w:pPr>
    </w:p>
    <w:p>
      <w:pPr>
        <w:pStyle w:val="2"/>
        <w:ind w:left="1470" w:right="1470"/>
        <w:rPr>
          <w:rFonts w:ascii="仿宋" w:hAnsi="仿宋" w:eastAsia="仿宋"/>
        </w:rPr>
      </w:pPr>
    </w:p>
    <w:p>
      <w:pPr>
        <w:pStyle w:val="13"/>
        <w:rPr>
          <w:rFonts w:ascii="仿宋" w:hAnsi="仿宋" w:eastAsia="仿宋"/>
        </w:rPr>
      </w:pPr>
    </w:p>
    <w:p>
      <w:pPr>
        <w:pStyle w:val="13"/>
        <w:rPr>
          <w:rFonts w:ascii="仿宋" w:hAnsi="仿宋" w:eastAsia="仿宋"/>
        </w:rPr>
      </w:pPr>
    </w:p>
    <w:p>
      <w:pPr>
        <w:pStyle w:val="13"/>
        <w:rPr>
          <w:rFonts w:ascii="仿宋" w:hAnsi="仿宋" w:eastAsia="仿宋"/>
        </w:rPr>
      </w:pPr>
    </w:p>
    <w:p>
      <w:pPr>
        <w:pStyle w:val="13"/>
        <w:rPr>
          <w:rFonts w:ascii="仿宋" w:hAnsi="仿宋" w:eastAsia="仿宋"/>
        </w:rPr>
      </w:pPr>
    </w:p>
    <w:p>
      <w:pPr>
        <w:autoSpaceDE w:val="0"/>
        <w:autoSpaceDN w:val="0"/>
        <w:adjustRightInd w:val="0"/>
        <w:snapToGrid w:val="0"/>
        <w:spacing w:line="360" w:lineRule="auto"/>
        <w:rPr>
          <w:rFonts w:ascii="仿宋" w:hAnsi="仿宋" w:eastAsia="仿宋"/>
          <w:sz w:val="30"/>
          <w:szCs w:val="30"/>
        </w:rPr>
      </w:pPr>
    </w:p>
    <w:p>
      <w:pPr>
        <w:autoSpaceDE w:val="0"/>
        <w:autoSpaceDN w:val="0"/>
        <w:adjustRightInd w:val="0"/>
        <w:snapToGrid w:val="0"/>
        <w:spacing w:line="360" w:lineRule="auto"/>
        <w:ind w:firstLine="2570" w:firstLineChars="800"/>
        <w:rPr>
          <w:rFonts w:ascii="仿宋" w:hAnsi="仿宋" w:eastAsia="仿宋"/>
          <w:b/>
          <w:bCs/>
          <w:sz w:val="32"/>
          <w:szCs w:val="32"/>
          <w:lang w:val="zh-CN"/>
        </w:rPr>
      </w:pPr>
      <w:r>
        <w:rPr>
          <w:rFonts w:ascii="仿宋" w:hAnsi="仿宋" w:eastAsia="仿宋"/>
          <w:b/>
          <w:bCs/>
          <w:sz w:val="32"/>
          <w:szCs w:val="32"/>
          <w:lang w:val="zh-CN"/>
        </w:rPr>
        <w:t>投标人：</w:t>
      </w:r>
    </w:p>
    <w:p>
      <w:pPr>
        <w:autoSpaceDE w:val="0"/>
        <w:autoSpaceDN w:val="0"/>
        <w:adjustRightInd w:val="0"/>
        <w:snapToGrid w:val="0"/>
        <w:spacing w:line="360" w:lineRule="auto"/>
        <w:ind w:firstLine="2570" w:firstLineChars="800"/>
        <w:rPr>
          <w:rFonts w:ascii="仿宋" w:hAnsi="仿宋" w:eastAsia="仿宋"/>
          <w:b/>
          <w:bCs/>
          <w:sz w:val="32"/>
          <w:szCs w:val="32"/>
        </w:rPr>
      </w:pPr>
      <w:r>
        <w:rPr>
          <w:rFonts w:ascii="仿宋" w:hAnsi="仿宋" w:eastAsia="仿宋"/>
          <w:b/>
          <w:bCs/>
          <w:sz w:val="32"/>
          <w:szCs w:val="32"/>
          <w:lang w:val="zh-CN"/>
        </w:rPr>
        <w:t>时间：</w:t>
      </w:r>
      <w:bookmarkStart w:id="260" w:name="_Toc60929126"/>
      <w:bookmarkStart w:id="261" w:name="_Toc18974"/>
      <w:bookmarkStart w:id="262" w:name="_Toc515647803"/>
      <w:bookmarkStart w:id="263" w:name="_Toc532473494"/>
      <w:bookmarkStart w:id="264" w:name="_Toc18694"/>
    </w:p>
    <w:p>
      <w:pPr>
        <w:pStyle w:val="6"/>
        <w:ind w:firstLine="0" w:firstLineChars="0"/>
        <w:jc w:val="center"/>
        <w:rPr>
          <w:rFonts w:ascii="仿宋" w:hAnsi="仿宋" w:eastAsia="仿宋"/>
          <w:b w:val="0"/>
          <w:sz w:val="28"/>
          <w:szCs w:val="28"/>
        </w:rPr>
      </w:pPr>
      <w:bookmarkStart w:id="265" w:name="_Toc110013789"/>
      <w:bookmarkStart w:id="266" w:name="_Toc108721143"/>
      <w:r>
        <w:rPr>
          <w:rFonts w:ascii="仿宋" w:hAnsi="仿宋" w:eastAsia="仿宋"/>
          <w:sz w:val="32"/>
          <w:szCs w:val="32"/>
        </w:rPr>
        <w:t>目录</w:t>
      </w:r>
      <w:bookmarkEnd w:id="265"/>
      <w:bookmarkEnd w:id="266"/>
    </w:p>
    <w:p>
      <w:pPr>
        <w:pStyle w:val="13"/>
        <w:rPr>
          <w:rFonts w:ascii="仿宋" w:hAnsi="仿宋" w:eastAsia="仿宋"/>
        </w:rPr>
      </w:pPr>
      <w:r>
        <w:rPr>
          <w:rFonts w:ascii="仿宋" w:hAnsi="仿宋" w:eastAsia="仿宋"/>
        </w:rPr>
        <w:t xml:space="preserve">第一部分  </w:t>
      </w:r>
      <w:r>
        <w:rPr>
          <w:rFonts w:hint="eastAsia" w:ascii="仿宋" w:hAnsi="仿宋" w:eastAsia="仿宋"/>
        </w:rPr>
        <w:t>资格证明文件</w:t>
      </w:r>
    </w:p>
    <w:p>
      <w:pPr>
        <w:pStyle w:val="13"/>
        <w:numPr>
          <w:ilvl w:val="0"/>
          <w:numId w:val="2"/>
        </w:numPr>
        <w:rPr>
          <w:rFonts w:ascii="仿宋" w:hAnsi="仿宋" w:eastAsia="仿宋"/>
        </w:rPr>
      </w:pPr>
      <w:r>
        <w:rPr>
          <w:rFonts w:hint="eastAsia" w:ascii="仿宋" w:hAnsi="仿宋" w:eastAsia="仿宋"/>
        </w:rPr>
        <w:t>法定代表人（或单位负责人）授权书</w:t>
      </w:r>
    </w:p>
    <w:p>
      <w:pPr>
        <w:pStyle w:val="13"/>
        <w:rPr>
          <w:rFonts w:ascii="仿宋" w:hAnsi="仿宋" w:eastAsia="仿宋"/>
        </w:rPr>
      </w:pPr>
      <w:r>
        <w:rPr>
          <w:rFonts w:ascii="仿宋" w:hAnsi="仿宋" w:eastAsia="仿宋"/>
        </w:rPr>
        <w:t>2</w:t>
      </w:r>
      <w:r>
        <w:rPr>
          <w:rFonts w:hint="eastAsia" w:ascii="仿宋" w:hAnsi="仿宋" w:eastAsia="仿宋"/>
        </w:rPr>
        <w:t>、法定代表人（或单位负责人）身份证明</w:t>
      </w:r>
    </w:p>
    <w:p>
      <w:pPr>
        <w:pStyle w:val="13"/>
        <w:rPr>
          <w:rFonts w:ascii="仿宋" w:hAnsi="仿宋" w:eastAsia="仿宋"/>
        </w:rPr>
      </w:pPr>
      <w:r>
        <w:rPr>
          <w:rFonts w:hint="eastAsia" w:ascii="仿宋" w:hAnsi="仿宋" w:eastAsia="仿宋"/>
        </w:rPr>
        <w:t>3、授权代表本单位证明</w:t>
      </w:r>
    </w:p>
    <w:p>
      <w:pPr>
        <w:pStyle w:val="13"/>
        <w:rPr>
          <w:rFonts w:ascii="仿宋" w:hAnsi="仿宋" w:eastAsia="仿宋"/>
        </w:rPr>
      </w:pPr>
      <w:r>
        <w:rPr>
          <w:rFonts w:hint="eastAsia" w:ascii="仿宋" w:hAnsi="仿宋" w:eastAsia="仿宋"/>
        </w:rPr>
        <w:t>4、符合《政府采购法》第二十二条的规定投标人条件，并提供以下证明材料</w:t>
      </w:r>
    </w:p>
    <w:p>
      <w:pPr>
        <w:pStyle w:val="13"/>
        <w:rPr>
          <w:rFonts w:ascii="仿宋" w:hAnsi="仿宋" w:eastAsia="仿宋"/>
        </w:rPr>
      </w:pPr>
      <w:r>
        <w:rPr>
          <w:rFonts w:hint="eastAsia" w:ascii="仿宋" w:hAnsi="仿宋" w:eastAsia="仿宋"/>
        </w:rPr>
        <w:t xml:space="preserve">第二部分  </w:t>
      </w:r>
      <w:r>
        <w:rPr>
          <w:rFonts w:ascii="仿宋" w:hAnsi="仿宋" w:eastAsia="仿宋"/>
        </w:rPr>
        <w:t>商务及技术文件</w:t>
      </w:r>
    </w:p>
    <w:p>
      <w:pPr>
        <w:pStyle w:val="13"/>
        <w:rPr>
          <w:rFonts w:ascii="仿宋" w:hAnsi="仿宋" w:eastAsia="仿宋"/>
        </w:rPr>
      </w:pPr>
      <w:r>
        <w:rPr>
          <w:rFonts w:hint="eastAsia" w:ascii="仿宋" w:hAnsi="仿宋" w:eastAsia="仿宋"/>
        </w:rPr>
        <w:t>1、投标函（见投标文件格式一）</w:t>
      </w:r>
    </w:p>
    <w:p>
      <w:pPr>
        <w:pStyle w:val="13"/>
        <w:rPr>
          <w:rFonts w:ascii="仿宋" w:hAnsi="仿宋" w:eastAsia="仿宋"/>
        </w:rPr>
      </w:pPr>
      <w:r>
        <w:rPr>
          <w:rFonts w:hint="eastAsia" w:ascii="仿宋" w:hAnsi="仿宋" w:eastAsia="仿宋"/>
        </w:rPr>
        <w:t>2、开标一览表（见投标文件格式二）</w:t>
      </w:r>
    </w:p>
    <w:p>
      <w:pPr>
        <w:pStyle w:val="13"/>
        <w:rPr>
          <w:rFonts w:ascii="仿宋" w:hAnsi="仿宋" w:eastAsia="仿宋"/>
        </w:rPr>
      </w:pPr>
      <w:r>
        <w:rPr>
          <w:rFonts w:hint="eastAsia" w:ascii="仿宋" w:hAnsi="仿宋" w:eastAsia="仿宋"/>
        </w:rPr>
        <w:t>3、投标分项报价表（见投标文件格式三）</w:t>
      </w:r>
    </w:p>
    <w:p>
      <w:pPr>
        <w:pStyle w:val="13"/>
        <w:rPr>
          <w:rFonts w:ascii="仿宋" w:hAnsi="仿宋" w:eastAsia="仿宋"/>
        </w:rPr>
      </w:pPr>
      <w:r>
        <w:rPr>
          <w:rFonts w:hint="eastAsia" w:ascii="仿宋" w:hAnsi="仿宋" w:eastAsia="仿宋"/>
        </w:rPr>
        <w:t>4、技术偏离表（见投标文件格式四）</w:t>
      </w:r>
    </w:p>
    <w:p>
      <w:pPr>
        <w:pStyle w:val="13"/>
        <w:rPr>
          <w:rFonts w:ascii="仿宋" w:hAnsi="仿宋" w:eastAsia="仿宋"/>
        </w:rPr>
      </w:pPr>
      <w:r>
        <w:rPr>
          <w:rFonts w:hint="eastAsia" w:ascii="仿宋" w:hAnsi="仿宋" w:eastAsia="仿宋"/>
        </w:rPr>
        <w:t>5、商务条款偏离表（见投标文件格式五）</w:t>
      </w:r>
    </w:p>
    <w:p>
      <w:pPr>
        <w:pStyle w:val="13"/>
        <w:rPr>
          <w:rFonts w:ascii="仿宋" w:hAnsi="仿宋" w:eastAsia="仿宋"/>
        </w:rPr>
      </w:pPr>
      <w:r>
        <w:rPr>
          <w:rFonts w:hint="eastAsia" w:ascii="仿宋" w:hAnsi="仿宋" w:eastAsia="仿宋"/>
        </w:rPr>
        <w:t>6、符合《政府采购促进中小企业发展管理办法》、《关于政府采购支持监狱企业发展有关问题的通知》和《三部门联合发布关于促进残疾人就业政府采购政策的通知》价格扣减条件的投标人须提交：</w:t>
      </w:r>
    </w:p>
    <w:p>
      <w:pPr>
        <w:pStyle w:val="13"/>
        <w:rPr>
          <w:rFonts w:ascii="仿宋" w:hAnsi="仿宋" w:eastAsia="仿宋"/>
        </w:rPr>
      </w:pPr>
      <w:r>
        <w:rPr>
          <w:rFonts w:hint="eastAsia" w:ascii="仿宋" w:hAnsi="仿宋" w:eastAsia="仿宋"/>
        </w:rPr>
        <w:t>6-1《中小企业声明函》（见投标文件格式六）</w:t>
      </w:r>
    </w:p>
    <w:p>
      <w:pPr>
        <w:pStyle w:val="13"/>
        <w:rPr>
          <w:rFonts w:ascii="仿宋" w:hAnsi="仿宋" w:eastAsia="仿宋"/>
        </w:rPr>
      </w:pPr>
      <w:r>
        <w:rPr>
          <w:rFonts w:hint="eastAsia" w:ascii="仿宋" w:hAnsi="仿宋" w:eastAsia="仿宋"/>
        </w:rPr>
        <w:t>6-2《投标人监狱企业声明函》（见投标文件格式七）</w:t>
      </w:r>
    </w:p>
    <w:p>
      <w:pPr>
        <w:pStyle w:val="13"/>
        <w:rPr>
          <w:rFonts w:ascii="仿宋" w:hAnsi="仿宋" w:eastAsia="仿宋"/>
        </w:rPr>
      </w:pPr>
      <w:r>
        <w:rPr>
          <w:rFonts w:hint="eastAsia" w:ascii="仿宋" w:hAnsi="仿宋" w:eastAsia="仿宋"/>
        </w:rPr>
        <w:t>6-3《残疾人福利性单位声明函》（见投标文件格式八）</w:t>
      </w:r>
    </w:p>
    <w:p>
      <w:pPr>
        <w:pStyle w:val="13"/>
        <w:rPr>
          <w:rFonts w:ascii="仿宋" w:hAnsi="仿宋" w:eastAsia="仿宋"/>
        </w:rPr>
      </w:pPr>
      <w:r>
        <w:rPr>
          <w:rFonts w:hint="eastAsia" w:ascii="仿宋" w:hAnsi="仿宋" w:eastAsia="仿宋"/>
        </w:rPr>
        <w:t>7、符合评分标准要求的商务文件</w:t>
      </w:r>
    </w:p>
    <w:p>
      <w:pPr>
        <w:pStyle w:val="13"/>
        <w:rPr>
          <w:rFonts w:ascii="仿宋" w:hAnsi="仿宋" w:eastAsia="仿宋"/>
        </w:rPr>
      </w:pPr>
      <w:r>
        <w:rPr>
          <w:rFonts w:hint="eastAsia" w:ascii="仿宋" w:hAnsi="仿宋" w:eastAsia="仿宋"/>
        </w:rPr>
        <w:t>8、投标人须知第10条要求的所有技术文件</w:t>
      </w:r>
    </w:p>
    <w:p>
      <w:pPr>
        <w:pStyle w:val="13"/>
        <w:rPr>
          <w:rFonts w:ascii="仿宋" w:hAnsi="仿宋" w:eastAsia="仿宋"/>
        </w:rPr>
      </w:pPr>
      <w:r>
        <w:rPr>
          <w:rFonts w:hint="eastAsia" w:ascii="仿宋" w:hAnsi="仿宋" w:eastAsia="仿宋"/>
        </w:rPr>
        <w:t>9、投标方案或技术方案</w:t>
      </w:r>
    </w:p>
    <w:p>
      <w:pPr>
        <w:pStyle w:val="13"/>
        <w:rPr>
          <w:rFonts w:ascii="仿宋" w:hAnsi="仿宋" w:eastAsia="仿宋"/>
        </w:rPr>
      </w:pPr>
      <w:r>
        <w:rPr>
          <w:rFonts w:hint="eastAsia" w:ascii="仿宋" w:hAnsi="仿宋" w:eastAsia="仿宋"/>
        </w:rPr>
        <w:t>10、业绩一览表</w:t>
      </w:r>
    </w:p>
    <w:p>
      <w:pPr>
        <w:pStyle w:val="13"/>
        <w:rPr>
          <w:rFonts w:ascii="仿宋" w:hAnsi="仿宋" w:eastAsia="仿宋"/>
        </w:rPr>
      </w:pPr>
      <w:r>
        <w:rPr>
          <w:rFonts w:hint="eastAsia" w:ascii="仿宋" w:hAnsi="仿宋" w:eastAsia="仿宋"/>
        </w:rPr>
        <w:t>11、投标人须知前附表要求的其他文件</w:t>
      </w:r>
    </w:p>
    <w:p>
      <w:pPr>
        <w:widowControl/>
        <w:jc w:val="left"/>
        <w:rPr>
          <w:rFonts w:ascii="仿宋" w:hAnsi="仿宋" w:eastAsia="仿宋"/>
          <w:sz w:val="32"/>
          <w:szCs w:val="32"/>
        </w:rPr>
      </w:pPr>
    </w:p>
    <w:p>
      <w:pPr>
        <w:spacing w:line="360" w:lineRule="auto"/>
        <w:ind w:firstLine="480"/>
        <w:jc w:val="center"/>
        <w:rPr>
          <w:rFonts w:ascii="仿宋" w:hAnsi="仿宋" w:eastAsia="仿宋"/>
          <w:sz w:val="32"/>
          <w:szCs w:val="32"/>
        </w:rPr>
      </w:pPr>
    </w:p>
    <w:p>
      <w:pPr>
        <w:spacing w:line="360" w:lineRule="auto"/>
        <w:ind w:firstLine="480"/>
        <w:jc w:val="center"/>
        <w:rPr>
          <w:rFonts w:ascii="仿宋" w:hAnsi="仿宋" w:eastAsia="仿宋"/>
          <w:sz w:val="32"/>
          <w:szCs w:val="32"/>
        </w:rPr>
      </w:pPr>
    </w:p>
    <w:p>
      <w:pPr>
        <w:widowControl/>
        <w:jc w:val="left"/>
        <w:rPr>
          <w:rStyle w:val="58"/>
          <w:rFonts w:ascii="仿宋" w:hAnsi="仿宋" w:eastAsia="仿宋" w:cs="仿宋_GB2312"/>
          <w:sz w:val="32"/>
          <w:szCs w:val="32"/>
        </w:rPr>
      </w:pPr>
      <w:r>
        <w:rPr>
          <w:rStyle w:val="58"/>
          <w:rFonts w:ascii="仿宋" w:hAnsi="仿宋" w:eastAsia="仿宋" w:cs="仿宋_GB2312"/>
          <w:sz w:val="32"/>
          <w:szCs w:val="32"/>
        </w:rPr>
        <w:br w:type="page"/>
      </w:r>
    </w:p>
    <w:bookmarkEnd w:id="260"/>
    <w:bookmarkEnd w:id="261"/>
    <w:bookmarkEnd w:id="262"/>
    <w:bookmarkEnd w:id="263"/>
    <w:bookmarkEnd w:id="264"/>
    <w:p>
      <w:pPr>
        <w:pStyle w:val="4"/>
        <w:rPr>
          <w:rFonts w:ascii="仿宋" w:hAnsi="仿宋" w:eastAsia="仿宋"/>
          <w:b w:val="0"/>
          <w:lang w:val="zh-CN"/>
        </w:rPr>
      </w:pPr>
      <w:bookmarkStart w:id="267" w:name="_Toc110013790"/>
      <w:r>
        <w:rPr>
          <w:rFonts w:hint="eastAsia" w:ascii="仿宋" w:hAnsi="仿宋" w:eastAsia="仿宋"/>
          <w:b w:val="0"/>
          <w:lang w:val="zh-CN"/>
        </w:rPr>
        <w:t>第一部分  资格证明文件</w:t>
      </w:r>
      <w:bookmarkEnd w:id="267"/>
    </w:p>
    <w:p>
      <w:pPr>
        <w:pStyle w:val="2"/>
        <w:ind w:left="1470" w:right="1470"/>
        <w:rPr>
          <w:rFonts w:ascii="仿宋" w:hAnsi="仿宋" w:eastAsia="仿宋"/>
        </w:rPr>
      </w:pPr>
    </w:p>
    <w:p>
      <w:pPr>
        <w:jc w:val="center"/>
        <w:rPr>
          <w:rFonts w:ascii="仿宋" w:hAnsi="仿宋" w:eastAsia="仿宋"/>
          <w:b/>
          <w:sz w:val="28"/>
          <w:szCs w:val="28"/>
        </w:rPr>
      </w:pPr>
      <w:bookmarkStart w:id="268" w:name="_Toc60929127"/>
      <w:r>
        <w:rPr>
          <w:rFonts w:ascii="仿宋" w:hAnsi="仿宋" w:eastAsia="仿宋"/>
          <w:b/>
          <w:sz w:val="28"/>
          <w:szCs w:val="28"/>
        </w:rPr>
        <w:t>1、法定代表人（或单位负责人）授权书</w:t>
      </w:r>
      <w:bookmarkEnd w:id="268"/>
    </w:p>
    <w:p>
      <w:pPr>
        <w:pStyle w:val="18"/>
        <w:tabs>
          <w:tab w:val="left" w:pos="5580"/>
        </w:tabs>
        <w:spacing w:line="360" w:lineRule="auto"/>
        <w:ind w:firstLine="480" w:firstLineChars="200"/>
        <w:rPr>
          <w:rFonts w:ascii="仿宋" w:hAnsi="仿宋" w:eastAsia="仿宋"/>
          <w:sz w:val="24"/>
        </w:rPr>
      </w:pPr>
      <w:r>
        <w:rPr>
          <w:rFonts w:ascii="仿宋" w:hAnsi="仿宋" w:eastAsia="仿宋"/>
          <w:sz w:val="24"/>
        </w:rPr>
        <w:t>本授权书声明：注册于</w:t>
      </w:r>
      <w:r>
        <w:rPr>
          <w:rFonts w:ascii="仿宋" w:hAnsi="仿宋" w:eastAsia="仿宋"/>
          <w:sz w:val="24"/>
          <w:u w:val="single"/>
        </w:rPr>
        <w:t>（国家或地区的名称）</w:t>
      </w:r>
      <w:r>
        <w:rPr>
          <w:rFonts w:ascii="仿宋" w:hAnsi="仿宋" w:eastAsia="仿宋"/>
          <w:sz w:val="24"/>
        </w:rPr>
        <w:t>的（</w:t>
      </w:r>
      <w:r>
        <w:rPr>
          <w:rFonts w:ascii="仿宋" w:hAnsi="仿宋" w:eastAsia="仿宋"/>
          <w:sz w:val="24"/>
          <w:u w:val="single"/>
        </w:rPr>
        <w:t>投标人</w:t>
      </w:r>
      <w:r>
        <w:rPr>
          <w:rFonts w:ascii="仿宋" w:hAnsi="仿宋" w:eastAsia="仿宋"/>
          <w:sz w:val="24"/>
        </w:rPr>
        <w:t>）的（</w:t>
      </w:r>
      <w:r>
        <w:rPr>
          <w:rFonts w:ascii="仿宋" w:hAnsi="仿宋" w:eastAsia="仿宋"/>
          <w:sz w:val="24"/>
          <w:u w:val="single"/>
        </w:rPr>
        <w:t>法人代表姓名、职务</w:t>
      </w:r>
      <w:r>
        <w:rPr>
          <w:rFonts w:ascii="仿宋" w:hAnsi="仿宋" w:eastAsia="仿宋"/>
          <w:sz w:val="24"/>
        </w:rPr>
        <w:t>）为我单位法定代表人，代表我单位授权（</w:t>
      </w:r>
      <w:r>
        <w:rPr>
          <w:rFonts w:ascii="仿宋" w:hAnsi="仿宋" w:eastAsia="仿宋"/>
          <w:sz w:val="24"/>
          <w:u w:val="single"/>
        </w:rPr>
        <w:t>被授权人的姓名</w:t>
      </w:r>
      <w:r>
        <w:rPr>
          <w:rFonts w:ascii="仿宋" w:hAnsi="仿宋" w:eastAsia="仿宋"/>
          <w:sz w:val="24"/>
        </w:rPr>
        <w:t>）为我单位的合法代理人，就（</w:t>
      </w:r>
      <w:r>
        <w:rPr>
          <w:rFonts w:hint="eastAsia" w:ascii="仿宋" w:hAnsi="仿宋" w:eastAsia="仿宋"/>
          <w:sz w:val="24"/>
          <w:u w:val="single"/>
        </w:rPr>
        <w:t>陕西省“金审三期”延安市配套建设服务项目</w:t>
      </w:r>
      <w:r>
        <w:rPr>
          <w:rFonts w:ascii="仿宋" w:hAnsi="仿宋" w:eastAsia="仿宋"/>
          <w:sz w:val="24"/>
          <w:u w:val="single"/>
        </w:rPr>
        <w:t>SCZD2022-ZB-2</w:t>
      </w:r>
      <w:r>
        <w:rPr>
          <w:rFonts w:hint="eastAsia" w:ascii="仿宋" w:hAnsi="仿宋" w:eastAsia="仿宋"/>
          <w:sz w:val="24"/>
          <w:u w:val="single"/>
        </w:rPr>
        <w:t>914</w:t>
      </w:r>
      <w:r>
        <w:rPr>
          <w:rFonts w:ascii="仿宋" w:hAnsi="仿宋" w:eastAsia="仿宋"/>
          <w:sz w:val="24"/>
          <w:u w:val="single"/>
        </w:rPr>
        <w:t>/001</w:t>
      </w:r>
      <w:r>
        <w:rPr>
          <w:rFonts w:ascii="仿宋" w:hAnsi="仿宋" w:eastAsia="仿宋"/>
          <w:sz w:val="24"/>
        </w:rPr>
        <w:t>）投标，以我单位名义处理一切与之有关的事务。</w:t>
      </w:r>
      <w:r>
        <w:rPr>
          <w:rFonts w:ascii="仿宋" w:hAnsi="仿宋" w:eastAsia="仿宋"/>
          <w:sz w:val="24"/>
        </w:rPr>
        <w:cr/>
      </w:r>
      <w:r>
        <w:rPr>
          <w:rFonts w:ascii="仿宋" w:hAnsi="仿宋" w:eastAsia="仿宋"/>
          <w:sz w:val="24"/>
        </w:rPr>
        <w:t>　　本授权书于年月日签字生效</w:t>
      </w:r>
      <w:r>
        <w:rPr>
          <w:rFonts w:hint="eastAsia" w:ascii="仿宋" w:hAnsi="仿宋" w:eastAsia="仿宋"/>
          <w:sz w:val="24"/>
        </w:rPr>
        <w:t>，</w:t>
      </w:r>
      <w:r>
        <w:rPr>
          <w:rFonts w:ascii="仿宋" w:hAnsi="仿宋" w:eastAsia="仿宋"/>
          <w:sz w:val="24"/>
        </w:rPr>
        <w:t>特此声明。（提示：此日期应不晚于投标函签署日期）</w:t>
      </w:r>
      <w:r>
        <w:rPr>
          <w:rFonts w:ascii="仿宋" w:hAnsi="仿宋" w:eastAsia="仿宋"/>
          <w:sz w:val="24"/>
        </w:rPr>
        <w:cr/>
      </w:r>
    </w:p>
    <w:p>
      <w:pPr>
        <w:pStyle w:val="18"/>
        <w:tabs>
          <w:tab w:val="left" w:pos="5580"/>
        </w:tabs>
        <w:spacing w:line="360" w:lineRule="auto"/>
        <w:rPr>
          <w:rFonts w:ascii="仿宋" w:hAnsi="仿宋" w:eastAsia="仿宋"/>
          <w:sz w:val="24"/>
        </w:rPr>
      </w:pPr>
      <w:r>
        <w:rPr>
          <w:rFonts w:ascii="仿宋" w:hAnsi="仿宋" w:eastAsia="仿宋"/>
          <w:sz w:val="24"/>
          <w:lang w:val="zh-CN"/>
        </w:rPr>
        <w:t>附：授权代表姓名：性别：年龄：</w:t>
      </w:r>
    </w:p>
    <w:p>
      <w:pPr>
        <w:autoSpaceDE w:val="0"/>
        <w:autoSpaceDN w:val="0"/>
        <w:adjustRightInd w:val="0"/>
        <w:spacing w:line="360" w:lineRule="auto"/>
        <w:ind w:firstLine="630"/>
        <w:rPr>
          <w:rFonts w:ascii="仿宋" w:hAnsi="仿宋" w:eastAsia="仿宋"/>
          <w:sz w:val="24"/>
        </w:rPr>
      </w:pPr>
      <w:r>
        <w:rPr>
          <w:rFonts w:ascii="仿宋" w:hAnsi="仿宋" w:eastAsia="仿宋"/>
          <w:sz w:val="24"/>
          <w:lang w:val="zh-CN"/>
        </w:rPr>
        <w:t>职务：身份证号码：</w:t>
      </w:r>
    </w:p>
    <w:p>
      <w:pPr>
        <w:autoSpaceDE w:val="0"/>
        <w:autoSpaceDN w:val="0"/>
        <w:adjustRightInd w:val="0"/>
        <w:spacing w:line="360" w:lineRule="auto"/>
        <w:ind w:firstLine="630"/>
        <w:rPr>
          <w:rFonts w:ascii="仿宋" w:hAnsi="仿宋" w:eastAsia="仿宋"/>
          <w:sz w:val="24"/>
          <w:u w:val="single"/>
        </w:rPr>
      </w:pPr>
      <w:r>
        <w:rPr>
          <w:rFonts w:ascii="仿宋" w:hAnsi="仿宋" w:eastAsia="仿宋"/>
          <w:sz w:val="24"/>
          <w:lang w:val="zh-CN"/>
        </w:rPr>
        <w:t>通讯地址：</w:t>
      </w:r>
    </w:p>
    <w:p>
      <w:pPr>
        <w:autoSpaceDE w:val="0"/>
        <w:autoSpaceDN w:val="0"/>
        <w:adjustRightInd w:val="0"/>
        <w:spacing w:line="360" w:lineRule="auto"/>
        <w:ind w:firstLine="630"/>
        <w:rPr>
          <w:rFonts w:ascii="仿宋" w:hAnsi="仿宋" w:eastAsia="仿宋"/>
          <w:sz w:val="24"/>
          <w:u w:val="single"/>
        </w:rPr>
      </w:pPr>
      <w:r>
        <w:rPr>
          <w:rFonts w:ascii="仿宋" w:hAnsi="仿宋" w:eastAsia="仿宋"/>
          <w:sz w:val="24"/>
          <w:lang w:val="zh-CN"/>
        </w:rPr>
        <w:t>邮政编码：电话：</w:t>
      </w:r>
    </w:p>
    <w:p>
      <w:pPr>
        <w:autoSpaceDE w:val="0"/>
        <w:autoSpaceDN w:val="0"/>
        <w:adjustRightInd w:val="0"/>
        <w:spacing w:line="360" w:lineRule="auto"/>
        <w:rPr>
          <w:rFonts w:ascii="仿宋" w:hAnsi="仿宋" w:eastAsia="仿宋"/>
          <w:sz w:val="24"/>
        </w:rPr>
      </w:pPr>
    </w:p>
    <w:p>
      <w:pPr>
        <w:autoSpaceDE w:val="0"/>
        <w:autoSpaceDN w:val="0"/>
        <w:adjustRightInd w:val="0"/>
        <w:spacing w:line="360" w:lineRule="auto"/>
        <w:ind w:firstLine="360" w:firstLineChars="150"/>
        <w:rPr>
          <w:rFonts w:ascii="仿宋" w:hAnsi="仿宋" w:eastAsia="仿宋"/>
          <w:sz w:val="24"/>
        </w:rPr>
      </w:pPr>
      <w:r>
        <w:rPr>
          <w:rFonts w:ascii="仿宋" w:hAnsi="仿宋" w:eastAsia="仿宋"/>
          <w:sz w:val="24"/>
          <w:lang w:val="zh-CN"/>
        </w:rPr>
        <w:t>法定代表人</w:t>
      </w:r>
      <w:r>
        <w:rPr>
          <w:rFonts w:ascii="仿宋" w:hAnsi="仿宋" w:eastAsia="仿宋"/>
          <w:sz w:val="24"/>
        </w:rPr>
        <w:t>及</w:t>
      </w:r>
      <w:r>
        <w:rPr>
          <w:rFonts w:ascii="仿宋" w:hAnsi="仿宋" w:eastAsia="仿宋"/>
          <w:sz w:val="24"/>
          <w:lang w:val="zh-CN"/>
        </w:rPr>
        <w:t>授权代表身份证复印件</w:t>
      </w:r>
    </w:p>
    <w:tbl>
      <w:tblPr>
        <w:tblStyle w:val="37"/>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仿宋" w:hAnsi="仿宋" w:eastAsia="仿宋"/>
                <w:sz w:val="24"/>
                <w:lang w:val="zh-CN"/>
              </w:rPr>
            </w:pPr>
            <w:r>
              <w:rPr>
                <w:rFonts w:ascii="仿宋" w:hAnsi="仿宋" w:eastAsia="仿宋"/>
                <w:sz w:val="24"/>
                <w:lang w:val="zh-CN"/>
              </w:rPr>
              <w:t>法定代表人身份证复印件</w:t>
            </w:r>
          </w:p>
          <w:p>
            <w:pPr>
              <w:autoSpaceDE w:val="0"/>
              <w:autoSpaceDN w:val="0"/>
              <w:adjustRightInd w:val="0"/>
              <w:spacing w:line="312" w:lineRule="auto"/>
              <w:jc w:val="center"/>
              <w:rPr>
                <w:rFonts w:ascii="仿宋" w:hAnsi="仿宋" w:eastAsia="仿宋"/>
                <w:sz w:val="24"/>
                <w:u w:val="single"/>
              </w:rPr>
            </w:pPr>
            <w:r>
              <w:rPr>
                <w:rFonts w:ascii="仿宋" w:hAnsi="仿宋" w:eastAsia="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12" w:lineRule="auto"/>
              <w:jc w:val="center"/>
              <w:rPr>
                <w:rFonts w:ascii="仿宋" w:hAnsi="仿宋" w:eastAsia="仿宋"/>
                <w:sz w:val="24"/>
                <w:lang w:val="zh-CN"/>
              </w:rPr>
            </w:pPr>
            <w:r>
              <w:rPr>
                <w:rFonts w:ascii="仿宋" w:hAnsi="仿宋" w:eastAsia="仿宋"/>
                <w:sz w:val="24"/>
                <w:lang w:val="zh-CN"/>
              </w:rPr>
              <w:t>授权代表身份证复印件</w:t>
            </w:r>
          </w:p>
          <w:p>
            <w:pPr>
              <w:autoSpaceDE w:val="0"/>
              <w:autoSpaceDN w:val="0"/>
              <w:adjustRightInd w:val="0"/>
              <w:spacing w:line="312" w:lineRule="auto"/>
              <w:jc w:val="center"/>
              <w:rPr>
                <w:rFonts w:ascii="仿宋" w:hAnsi="仿宋" w:eastAsia="仿宋"/>
                <w:sz w:val="24"/>
                <w:u w:val="single"/>
              </w:rPr>
            </w:pPr>
            <w:r>
              <w:rPr>
                <w:rFonts w:ascii="仿宋" w:hAnsi="仿宋" w:eastAsia="仿宋"/>
                <w:sz w:val="24"/>
                <w:lang w:val="zh-CN"/>
              </w:rPr>
              <w:t>（正反面）</w:t>
            </w:r>
          </w:p>
        </w:tc>
      </w:tr>
    </w:tbl>
    <w:p>
      <w:pPr>
        <w:adjustRightInd w:val="0"/>
        <w:snapToGrid w:val="0"/>
        <w:spacing w:line="360" w:lineRule="auto"/>
        <w:rPr>
          <w:rFonts w:ascii="仿宋" w:hAnsi="仿宋" w:eastAsia="仿宋"/>
          <w:sz w:val="24"/>
        </w:rPr>
      </w:pPr>
    </w:p>
    <w:p>
      <w:pPr>
        <w:adjustRightInd w:val="0"/>
        <w:snapToGrid w:val="0"/>
        <w:spacing w:line="360" w:lineRule="auto"/>
        <w:ind w:firstLine="360" w:firstLineChars="150"/>
        <w:rPr>
          <w:rFonts w:ascii="仿宋" w:hAnsi="仿宋" w:eastAsia="仿宋"/>
          <w:sz w:val="24"/>
        </w:rPr>
      </w:pPr>
      <w:r>
        <w:rPr>
          <w:rFonts w:ascii="仿宋" w:hAnsi="仿宋" w:eastAsia="仿宋"/>
          <w:sz w:val="24"/>
        </w:rPr>
        <w:t>投标人（</w:t>
      </w:r>
      <w:r>
        <w:rPr>
          <w:rFonts w:hint="eastAsia" w:ascii="仿宋" w:hAnsi="仿宋" w:eastAsia="仿宋"/>
          <w:sz w:val="24"/>
        </w:rPr>
        <w:t>盖</w:t>
      </w:r>
      <w:r>
        <w:rPr>
          <w:rFonts w:ascii="仿宋" w:hAnsi="仿宋" w:eastAsia="仿宋"/>
          <w:sz w:val="24"/>
        </w:rPr>
        <w:t xml:space="preserve">公章） ：                </w:t>
      </w:r>
    </w:p>
    <w:p>
      <w:pPr>
        <w:adjustRightInd w:val="0"/>
        <w:snapToGrid w:val="0"/>
        <w:spacing w:line="360" w:lineRule="auto"/>
        <w:ind w:firstLine="360" w:firstLineChars="150"/>
        <w:rPr>
          <w:rFonts w:ascii="仿宋" w:hAnsi="仿宋" w:eastAsia="仿宋"/>
          <w:sz w:val="24"/>
        </w:rPr>
      </w:pPr>
    </w:p>
    <w:p>
      <w:pPr>
        <w:adjustRightInd w:val="0"/>
        <w:snapToGrid w:val="0"/>
        <w:spacing w:line="360" w:lineRule="auto"/>
        <w:ind w:firstLine="360" w:firstLineChars="150"/>
        <w:rPr>
          <w:rFonts w:ascii="仿宋" w:hAnsi="仿宋" w:eastAsia="仿宋"/>
          <w:sz w:val="24"/>
        </w:rPr>
      </w:pPr>
      <w:r>
        <w:rPr>
          <w:rFonts w:ascii="仿宋" w:hAnsi="仿宋" w:eastAsia="仿宋"/>
          <w:sz w:val="24"/>
        </w:rPr>
        <w:t>法定代表人</w:t>
      </w:r>
      <w:r>
        <w:rPr>
          <w:rFonts w:hint="eastAsia" w:ascii="仿宋" w:hAnsi="仿宋" w:eastAsia="仿宋"/>
          <w:sz w:val="24"/>
        </w:rPr>
        <w:t>（或单位负责人）</w:t>
      </w:r>
      <w:r>
        <w:rPr>
          <w:rFonts w:ascii="仿宋" w:hAnsi="仿宋" w:eastAsia="仿宋"/>
          <w:sz w:val="24"/>
        </w:rPr>
        <w:t>（签字</w:t>
      </w:r>
      <w:r>
        <w:rPr>
          <w:rFonts w:hint="eastAsia" w:ascii="仿宋" w:hAnsi="仿宋" w:eastAsia="仿宋"/>
          <w:sz w:val="24"/>
        </w:rPr>
        <w:t>或盖章</w:t>
      </w:r>
      <w:r>
        <w:rPr>
          <w:rFonts w:ascii="仿宋" w:hAnsi="仿宋" w:eastAsia="仿宋"/>
          <w:sz w:val="24"/>
        </w:rPr>
        <w:t>）：</w:t>
      </w:r>
    </w:p>
    <w:p>
      <w:pPr>
        <w:pStyle w:val="18"/>
        <w:tabs>
          <w:tab w:val="left" w:pos="5580"/>
        </w:tabs>
        <w:spacing w:line="360" w:lineRule="auto"/>
        <w:ind w:firstLine="480" w:firstLineChars="200"/>
        <w:rPr>
          <w:rFonts w:ascii="仿宋" w:hAnsi="仿宋" w:eastAsia="仿宋"/>
          <w:sz w:val="24"/>
        </w:rPr>
      </w:pPr>
    </w:p>
    <w:p>
      <w:pPr>
        <w:spacing w:line="360" w:lineRule="auto"/>
        <w:ind w:firstLine="480"/>
        <w:rPr>
          <w:rFonts w:ascii="仿宋" w:hAnsi="仿宋" w:eastAsia="仿宋"/>
          <w:sz w:val="24"/>
        </w:rPr>
      </w:pPr>
      <w:r>
        <w:rPr>
          <w:rFonts w:ascii="仿宋" w:hAnsi="仿宋" w:eastAsia="仿宋"/>
          <w:sz w:val="24"/>
        </w:rPr>
        <w:t>注：自然人投标的或法定代表人投标的无需提供</w:t>
      </w:r>
    </w:p>
    <w:p>
      <w:pPr>
        <w:spacing w:line="360" w:lineRule="auto"/>
        <w:ind w:firstLine="480"/>
        <w:rPr>
          <w:rFonts w:ascii="仿宋" w:hAnsi="仿宋" w:eastAsia="仿宋"/>
          <w:sz w:val="24"/>
        </w:rPr>
      </w:pPr>
    </w:p>
    <w:p>
      <w:pPr>
        <w:ind w:firstLine="1827" w:firstLineChars="650"/>
        <w:rPr>
          <w:rFonts w:ascii="仿宋" w:hAnsi="仿宋" w:eastAsia="仿宋"/>
          <w:b/>
          <w:sz w:val="28"/>
          <w:szCs w:val="28"/>
        </w:rPr>
      </w:pPr>
      <w:bookmarkStart w:id="269" w:name="_Toc60929128"/>
    </w:p>
    <w:p>
      <w:pPr>
        <w:jc w:val="center"/>
        <w:rPr>
          <w:rFonts w:ascii="仿宋" w:hAnsi="仿宋" w:eastAsia="仿宋"/>
          <w:b/>
          <w:sz w:val="28"/>
          <w:szCs w:val="28"/>
        </w:rPr>
      </w:pPr>
      <w:r>
        <w:rPr>
          <w:rFonts w:ascii="仿宋" w:hAnsi="仿宋" w:eastAsia="仿宋"/>
          <w:b/>
          <w:sz w:val="28"/>
          <w:szCs w:val="28"/>
        </w:rPr>
        <w:br w:type="page"/>
      </w:r>
      <w:r>
        <w:rPr>
          <w:rFonts w:ascii="仿宋" w:hAnsi="仿宋" w:eastAsia="仿宋"/>
          <w:b/>
          <w:sz w:val="28"/>
          <w:szCs w:val="28"/>
        </w:rPr>
        <w:t>2、法定代表人（或单位负责人）身份证明</w:t>
      </w:r>
      <w:bookmarkEnd w:id="269"/>
    </w:p>
    <w:p>
      <w:pPr>
        <w:spacing w:line="360" w:lineRule="auto"/>
        <w:rPr>
          <w:rFonts w:ascii="仿宋" w:hAnsi="仿宋" w:eastAsia="仿宋"/>
          <w:sz w:val="24"/>
        </w:rPr>
      </w:pPr>
      <w:r>
        <w:rPr>
          <w:rFonts w:ascii="仿宋" w:hAnsi="仿宋" w:eastAsia="仿宋"/>
          <w:sz w:val="24"/>
          <w:u w:val="single"/>
        </w:rPr>
        <w:t>（采购代理机构名称）</w:t>
      </w:r>
      <w:r>
        <w:rPr>
          <w:rFonts w:ascii="仿宋" w:hAnsi="仿宋" w:eastAsia="仿宋"/>
          <w:sz w:val="24"/>
        </w:rPr>
        <w:t>：</w:t>
      </w:r>
    </w:p>
    <w:p>
      <w:pPr>
        <w:spacing w:line="360" w:lineRule="auto"/>
        <w:ind w:firstLine="600" w:firstLineChars="250"/>
        <w:rPr>
          <w:rFonts w:ascii="仿宋" w:hAnsi="仿宋" w:eastAsia="仿宋"/>
          <w:sz w:val="24"/>
        </w:rPr>
      </w:pPr>
      <w:r>
        <w:rPr>
          <w:rFonts w:ascii="仿宋" w:hAnsi="仿宋" w:eastAsia="仿宋"/>
          <w:sz w:val="24"/>
        </w:rPr>
        <w:t>（姓名、性别、年龄、身份证号码）在我</w:t>
      </w:r>
      <w:r>
        <w:fldChar w:fldCharType="begin"/>
      </w:r>
      <w:r>
        <w:instrText xml:space="preserve"> HYPERLINK "https://baike.baidu.com/item/%E5%8D%95%E4%BD%8D/32292" \t "_blank" </w:instrText>
      </w:r>
      <w:r>
        <w:fldChar w:fldCharType="separate"/>
      </w:r>
      <w:r>
        <w:rPr>
          <w:rFonts w:ascii="仿宋" w:hAnsi="仿宋" w:eastAsia="仿宋"/>
          <w:sz w:val="24"/>
        </w:rPr>
        <w:t>单位</w:t>
      </w:r>
      <w:r>
        <w:rPr>
          <w:rFonts w:ascii="仿宋" w:hAnsi="仿宋" w:eastAsia="仿宋"/>
          <w:sz w:val="24"/>
        </w:rPr>
        <w:fldChar w:fldCharType="end"/>
      </w:r>
      <w:r>
        <w:rPr>
          <w:rFonts w:ascii="仿宋" w:hAnsi="仿宋" w:eastAsia="仿宋"/>
          <w:sz w:val="24"/>
        </w:rPr>
        <w:t>任（董事长、总经理等）职务，是我单位的法定代表人。</w:t>
      </w:r>
    </w:p>
    <w:p>
      <w:pPr>
        <w:spacing w:line="360" w:lineRule="auto"/>
        <w:ind w:firstLine="480"/>
        <w:rPr>
          <w:rFonts w:ascii="仿宋" w:hAnsi="仿宋" w:eastAsia="仿宋"/>
          <w:sz w:val="24"/>
        </w:rPr>
      </w:pPr>
    </w:p>
    <w:p>
      <w:pPr>
        <w:spacing w:line="360" w:lineRule="auto"/>
        <w:ind w:firstLine="480"/>
        <w:rPr>
          <w:rFonts w:ascii="仿宋" w:hAnsi="仿宋" w:eastAsia="仿宋"/>
          <w:sz w:val="24"/>
        </w:rPr>
      </w:pPr>
    </w:p>
    <w:p>
      <w:pPr>
        <w:spacing w:line="360" w:lineRule="auto"/>
        <w:ind w:firstLine="480"/>
        <w:rPr>
          <w:rFonts w:ascii="仿宋" w:hAnsi="仿宋" w:eastAsia="仿宋"/>
          <w:sz w:val="24"/>
        </w:rPr>
      </w:pPr>
      <w:r>
        <w:rPr>
          <w:rFonts w:ascii="仿宋" w:hAnsi="仿宋" w:eastAsia="仿宋"/>
          <w:sz w:val="24"/>
        </w:rPr>
        <w:t>特此证明。</w:t>
      </w:r>
    </w:p>
    <w:p>
      <w:pPr>
        <w:spacing w:line="360" w:lineRule="auto"/>
        <w:ind w:firstLine="480"/>
        <w:rPr>
          <w:rFonts w:ascii="仿宋" w:hAnsi="仿宋" w:eastAsia="仿宋"/>
          <w:sz w:val="24"/>
        </w:rPr>
      </w:pPr>
    </w:p>
    <w:p>
      <w:pPr>
        <w:spacing w:line="360" w:lineRule="auto"/>
        <w:ind w:firstLine="480"/>
        <w:rPr>
          <w:rFonts w:ascii="仿宋" w:hAnsi="仿宋" w:eastAsia="仿宋"/>
          <w:sz w:val="24"/>
        </w:rPr>
      </w:pPr>
    </w:p>
    <w:p>
      <w:pPr>
        <w:spacing w:line="360" w:lineRule="auto"/>
        <w:ind w:firstLine="480"/>
        <w:rPr>
          <w:rFonts w:ascii="仿宋" w:hAnsi="仿宋" w:eastAsia="仿宋"/>
          <w:sz w:val="24"/>
        </w:rPr>
      </w:pPr>
    </w:p>
    <w:p>
      <w:pPr>
        <w:pStyle w:val="18"/>
        <w:tabs>
          <w:tab w:val="left" w:pos="5580"/>
        </w:tabs>
        <w:spacing w:line="360" w:lineRule="auto"/>
        <w:ind w:left="-540" w:leftChars="-257" w:firstLine="900" w:firstLineChars="375"/>
        <w:rPr>
          <w:rFonts w:ascii="仿宋" w:hAnsi="仿宋" w:eastAsia="仿宋"/>
          <w:sz w:val="24"/>
        </w:rPr>
      </w:pPr>
      <w:r>
        <w:rPr>
          <w:rFonts w:ascii="仿宋" w:hAnsi="仿宋" w:eastAsia="仿宋"/>
          <w:sz w:val="24"/>
        </w:rPr>
        <w:t>投标人（盖公章）：</w:t>
      </w:r>
    </w:p>
    <w:p>
      <w:pPr>
        <w:pStyle w:val="18"/>
        <w:tabs>
          <w:tab w:val="left" w:pos="5580"/>
        </w:tabs>
        <w:spacing w:line="360" w:lineRule="auto"/>
        <w:ind w:left="269" w:leftChars="128" w:firstLine="120" w:firstLineChars="50"/>
        <w:rPr>
          <w:rFonts w:ascii="仿宋" w:hAnsi="仿宋" w:eastAsia="仿宋"/>
          <w:sz w:val="24"/>
        </w:rPr>
      </w:pPr>
      <w:r>
        <w:rPr>
          <w:rFonts w:ascii="仿宋" w:hAnsi="仿宋" w:eastAsia="仿宋"/>
          <w:sz w:val="24"/>
        </w:rPr>
        <w:t>详细通讯地址：</w:t>
      </w:r>
    </w:p>
    <w:p>
      <w:pPr>
        <w:pStyle w:val="18"/>
        <w:tabs>
          <w:tab w:val="left" w:pos="5580"/>
        </w:tabs>
        <w:spacing w:line="360" w:lineRule="auto"/>
        <w:ind w:firstLine="360" w:firstLineChars="150"/>
        <w:rPr>
          <w:rFonts w:ascii="仿宋" w:hAnsi="仿宋" w:eastAsia="仿宋"/>
          <w:sz w:val="24"/>
        </w:rPr>
      </w:pPr>
      <w:r>
        <w:rPr>
          <w:rFonts w:ascii="仿宋" w:hAnsi="仿宋" w:eastAsia="仿宋"/>
          <w:sz w:val="24"/>
        </w:rPr>
        <w:t>邮政编码：</w:t>
      </w:r>
    </w:p>
    <w:p>
      <w:pPr>
        <w:pStyle w:val="18"/>
        <w:tabs>
          <w:tab w:val="left" w:pos="5580"/>
        </w:tabs>
        <w:spacing w:line="360" w:lineRule="auto"/>
        <w:ind w:firstLine="360" w:firstLineChars="150"/>
        <w:rPr>
          <w:rFonts w:ascii="仿宋" w:hAnsi="仿宋" w:eastAsia="仿宋"/>
          <w:sz w:val="24"/>
        </w:rPr>
      </w:pPr>
      <w:r>
        <w:rPr>
          <w:rFonts w:ascii="仿宋" w:hAnsi="仿宋" w:eastAsia="仿宋"/>
          <w:sz w:val="24"/>
        </w:rPr>
        <w:t>电　　　　话：</w:t>
      </w:r>
    </w:p>
    <w:p>
      <w:pPr>
        <w:spacing w:line="360" w:lineRule="auto"/>
        <w:ind w:firstLine="480"/>
        <w:rPr>
          <w:rFonts w:ascii="仿宋" w:hAnsi="仿宋" w:eastAsia="仿宋"/>
          <w:sz w:val="24"/>
        </w:rPr>
      </w:pPr>
    </w:p>
    <w:p>
      <w:pPr>
        <w:spacing w:line="360" w:lineRule="auto"/>
        <w:ind w:firstLine="480"/>
        <w:rPr>
          <w:rFonts w:ascii="仿宋" w:hAnsi="仿宋" w:eastAsia="仿宋"/>
          <w:sz w:val="24"/>
        </w:rPr>
      </w:pPr>
    </w:p>
    <w:p>
      <w:pPr>
        <w:spacing w:line="360" w:lineRule="auto"/>
        <w:ind w:firstLine="480"/>
        <w:jc w:val="center"/>
        <w:rPr>
          <w:rFonts w:ascii="仿宋" w:hAnsi="仿宋" w:eastAsia="仿宋"/>
          <w:sz w:val="24"/>
        </w:rPr>
      </w:pPr>
      <w:r>
        <w:rPr>
          <w:rFonts w:ascii="仿宋" w:hAnsi="仿宋" w:eastAsia="仿宋"/>
          <w:sz w:val="24"/>
        </w:rPr>
        <w:t>注：自然人投标的仅需提供身份证</w:t>
      </w:r>
    </w:p>
    <w:p>
      <w:pPr>
        <w:jc w:val="center"/>
        <w:rPr>
          <w:rFonts w:ascii="仿宋" w:hAnsi="仿宋" w:eastAsia="仿宋" w:cs="仿宋_GB2312"/>
          <w:b/>
          <w:sz w:val="28"/>
          <w:szCs w:val="28"/>
        </w:rPr>
      </w:pPr>
      <w:r>
        <w:rPr>
          <w:rFonts w:ascii="仿宋" w:hAnsi="仿宋" w:eastAsia="仿宋"/>
          <w:sz w:val="24"/>
        </w:rPr>
        <w:br w:type="page"/>
      </w:r>
      <w:bookmarkStart w:id="270" w:name="_Toc60929129"/>
      <w:r>
        <w:rPr>
          <w:rFonts w:hint="eastAsia" w:ascii="仿宋" w:hAnsi="仿宋" w:eastAsia="仿宋" w:cs="仿宋_GB2312"/>
          <w:b/>
          <w:sz w:val="28"/>
          <w:szCs w:val="28"/>
        </w:rPr>
        <w:t>3、授权代表本单位证明</w:t>
      </w:r>
      <w:bookmarkEnd w:id="270"/>
    </w:p>
    <w:p>
      <w:pPr>
        <w:autoSpaceDE w:val="0"/>
        <w:autoSpaceDN w:val="0"/>
        <w:adjustRightInd w:val="0"/>
        <w:spacing w:line="348" w:lineRule="auto"/>
        <w:jc w:val="center"/>
        <w:rPr>
          <w:rFonts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养老保险缴纳证明或劳动合同复印件</w:t>
      </w:r>
      <w:r>
        <w:rPr>
          <w:rFonts w:hint="eastAsia" w:ascii="仿宋" w:hAnsi="仿宋" w:eastAsia="仿宋"/>
          <w:sz w:val="28"/>
          <w:szCs w:val="28"/>
          <w:lang w:val="zh-CN"/>
        </w:rPr>
        <w:t>）</w:t>
      </w:r>
    </w:p>
    <w:p>
      <w:pPr>
        <w:spacing w:line="360" w:lineRule="auto"/>
        <w:rPr>
          <w:rFonts w:ascii="仿宋" w:hAnsi="仿宋" w:eastAsia="仿宋"/>
          <w:b/>
          <w:sz w:val="32"/>
          <w:szCs w:val="32"/>
        </w:rPr>
      </w:pPr>
    </w:p>
    <w:p>
      <w:pPr>
        <w:widowControl/>
        <w:jc w:val="left"/>
        <w:rPr>
          <w:rFonts w:ascii="仿宋" w:hAnsi="仿宋" w:eastAsia="仿宋"/>
          <w:sz w:val="24"/>
        </w:rPr>
      </w:pPr>
      <w:r>
        <w:rPr>
          <w:rFonts w:ascii="仿宋" w:hAnsi="仿宋" w:eastAsia="仿宋"/>
          <w:sz w:val="24"/>
        </w:rPr>
        <w:br w:type="page"/>
      </w:r>
    </w:p>
    <w:p>
      <w:pPr>
        <w:rPr>
          <w:rFonts w:ascii="仿宋" w:hAnsi="仿宋" w:eastAsia="仿宋"/>
          <w:b/>
          <w:bCs/>
          <w:sz w:val="24"/>
        </w:rPr>
      </w:pPr>
      <w:r>
        <w:rPr>
          <w:rFonts w:ascii="仿宋" w:hAnsi="仿宋" w:eastAsia="仿宋"/>
          <w:b/>
          <w:bCs/>
          <w:sz w:val="24"/>
        </w:rPr>
        <w:t>4</w:t>
      </w:r>
      <w:r>
        <w:rPr>
          <w:rFonts w:hint="eastAsia" w:ascii="仿宋" w:hAnsi="仿宋" w:eastAsia="仿宋"/>
          <w:b/>
          <w:bCs/>
          <w:sz w:val="24"/>
        </w:rPr>
        <w:t>、</w:t>
      </w:r>
      <w:r>
        <w:rPr>
          <w:rFonts w:ascii="仿宋" w:hAnsi="仿宋" w:eastAsia="仿宋"/>
          <w:b/>
          <w:bCs/>
          <w:sz w:val="24"/>
        </w:rPr>
        <w:t>符合《政府采购法》第二十二条的规定投标人条件，并提供以下证明材料；</w:t>
      </w:r>
    </w:p>
    <w:p>
      <w:pPr>
        <w:snapToGrid w:val="0"/>
        <w:spacing w:line="360" w:lineRule="auto"/>
        <w:ind w:firstLine="480" w:firstLineChars="200"/>
        <w:rPr>
          <w:rFonts w:ascii="仿宋" w:hAnsi="仿宋" w:eastAsia="仿宋"/>
          <w:sz w:val="24"/>
        </w:rPr>
      </w:pPr>
      <w:r>
        <w:rPr>
          <w:rFonts w:ascii="仿宋" w:hAnsi="仿宋" w:eastAsia="仿宋"/>
          <w:sz w:val="24"/>
        </w:rPr>
        <w:t>（1）投标人合法注册的法人或其他组织的营业执照等证明文件，自然人的身份证明（格式要求见附件4-1）；</w:t>
      </w:r>
    </w:p>
    <w:p>
      <w:pPr>
        <w:snapToGrid w:val="0"/>
        <w:spacing w:line="360" w:lineRule="auto"/>
        <w:ind w:firstLine="480" w:firstLineChars="200"/>
        <w:rPr>
          <w:rFonts w:ascii="仿宋" w:hAnsi="仿宋" w:eastAsia="仿宋"/>
          <w:sz w:val="24"/>
        </w:rPr>
      </w:pPr>
      <w:r>
        <w:rPr>
          <w:rFonts w:ascii="仿宋" w:hAnsi="仿宋" w:eastAsia="仿宋"/>
          <w:sz w:val="24"/>
        </w:rPr>
        <w:t>（2）投标人上一年度经审计的财务报表复印件（包括资产负债表、现金流量表、利润表），或本年度基本开户银行出具的资信证明（格式要求见附件4-2）；</w:t>
      </w:r>
    </w:p>
    <w:p>
      <w:pPr>
        <w:snapToGrid w:val="0"/>
        <w:spacing w:line="360" w:lineRule="auto"/>
        <w:ind w:firstLine="480" w:firstLineChars="200"/>
        <w:rPr>
          <w:rFonts w:ascii="仿宋" w:hAnsi="仿宋" w:eastAsia="仿宋"/>
          <w:sz w:val="24"/>
        </w:rPr>
      </w:pPr>
      <w:r>
        <w:rPr>
          <w:rFonts w:ascii="仿宋" w:hAnsi="仿宋" w:eastAsia="仿宋"/>
          <w:sz w:val="24"/>
        </w:rPr>
        <w:t>依法缴纳税收和社会保障资金的证明材料复印件（格式见附件4-3、4-4）</w:t>
      </w:r>
    </w:p>
    <w:p>
      <w:pPr>
        <w:snapToGrid w:val="0"/>
        <w:spacing w:line="360" w:lineRule="auto"/>
        <w:ind w:firstLine="480" w:firstLineChars="200"/>
        <w:rPr>
          <w:rFonts w:ascii="仿宋" w:hAnsi="仿宋" w:eastAsia="仿宋"/>
          <w:sz w:val="24"/>
        </w:rPr>
      </w:pPr>
      <w:r>
        <w:rPr>
          <w:rFonts w:hint="eastAsia" w:ascii="宋体" w:hAnsi="宋体" w:cs="宋体"/>
          <w:sz w:val="24"/>
        </w:rPr>
        <w:t> </w:t>
      </w:r>
      <w:r>
        <w:rPr>
          <w:rFonts w:ascii="仿宋" w:hAnsi="仿宋" w:eastAsia="仿宋"/>
          <w:sz w:val="24"/>
        </w:rPr>
        <w:t>（3）具备履行合同所必需的设备和专业技术能力的承诺原件（格式见附件4-5）</w:t>
      </w:r>
    </w:p>
    <w:p>
      <w:pPr>
        <w:snapToGrid w:val="0"/>
        <w:spacing w:line="360" w:lineRule="auto"/>
        <w:ind w:firstLine="480" w:firstLineChars="200"/>
        <w:rPr>
          <w:rFonts w:ascii="仿宋" w:hAnsi="仿宋" w:eastAsia="仿宋"/>
          <w:sz w:val="24"/>
        </w:rPr>
      </w:pPr>
      <w:r>
        <w:rPr>
          <w:rFonts w:hint="eastAsia" w:ascii="宋体" w:hAnsi="宋体" w:cs="宋体"/>
          <w:sz w:val="24"/>
        </w:rPr>
        <w:t>  </w:t>
      </w:r>
      <w:r>
        <w:rPr>
          <w:rFonts w:ascii="仿宋" w:hAnsi="仿宋" w:eastAsia="仿宋"/>
          <w:sz w:val="24"/>
        </w:rPr>
        <w:t>（4）投标人参加政府采购活动前3年内在经营活动中没有重大违法记录的书面声明原件（格式见附件4-6）</w:t>
      </w:r>
    </w:p>
    <w:p>
      <w:pPr>
        <w:snapToGrid w:val="0"/>
        <w:spacing w:line="360" w:lineRule="auto"/>
        <w:ind w:firstLine="480" w:firstLineChars="200"/>
        <w:rPr>
          <w:rFonts w:ascii="仿宋" w:hAnsi="仿宋" w:eastAsia="仿宋"/>
          <w:sz w:val="24"/>
        </w:rPr>
      </w:pPr>
      <w:r>
        <w:rPr>
          <w:rFonts w:ascii="仿宋" w:hAnsi="仿宋" w:eastAsia="仿宋"/>
          <w:sz w:val="24"/>
        </w:rPr>
        <w:t>（5）投标人控股股东名称、控股公司的名称和存在管理、被管理关系的单位名称说明（格式见附件4-7）</w:t>
      </w:r>
    </w:p>
    <w:p>
      <w:pPr>
        <w:snapToGrid w:val="0"/>
        <w:spacing w:line="360" w:lineRule="auto"/>
        <w:ind w:firstLine="480" w:firstLineChars="200"/>
        <w:rPr>
          <w:rFonts w:ascii="仿宋" w:hAnsi="仿宋" w:eastAsia="仿宋"/>
          <w:sz w:val="24"/>
        </w:rPr>
      </w:pPr>
      <w:r>
        <w:rPr>
          <w:rFonts w:ascii="仿宋" w:hAnsi="仿宋" w:eastAsia="仿宋"/>
          <w:sz w:val="24"/>
        </w:rPr>
        <w:t>（6）投标人是否属于为本项目提供整体设计、规范编制或者项目管理、监理、检测等服务的投标人声明原件（格式见附件4-8）</w:t>
      </w:r>
    </w:p>
    <w:p>
      <w:pPr>
        <w:snapToGrid w:val="0"/>
        <w:spacing w:line="360" w:lineRule="auto"/>
        <w:ind w:firstLine="480" w:firstLineChars="200"/>
        <w:rPr>
          <w:rFonts w:ascii="仿宋" w:hAnsi="仿宋" w:eastAsia="仿宋"/>
          <w:sz w:val="24"/>
        </w:rPr>
      </w:pPr>
      <w:r>
        <w:rPr>
          <w:rFonts w:ascii="仿宋" w:hAnsi="仿宋" w:eastAsia="仿宋"/>
          <w:sz w:val="24"/>
        </w:rPr>
        <w:t>（7）证明投标人符合特定资格条件的证明材料</w:t>
      </w:r>
      <w:r>
        <w:rPr>
          <w:rFonts w:hint="eastAsia" w:ascii="仿宋" w:hAnsi="仿宋" w:eastAsia="仿宋"/>
          <w:sz w:val="24"/>
        </w:rPr>
        <w:t>：详见本项目招标公告</w:t>
      </w:r>
      <w:r>
        <w:rPr>
          <w:rFonts w:ascii="仿宋" w:hAnsi="仿宋" w:eastAsia="仿宋"/>
          <w:sz w:val="24"/>
        </w:rPr>
        <w:t>（格式见附件4-9）</w:t>
      </w:r>
    </w:p>
    <w:p>
      <w:pPr>
        <w:tabs>
          <w:tab w:val="left" w:pos="5580"/>
        </w:tabs>
        <w:spacing w:line="360" w:lineRule="auto"/>
        <w:ind w:left="1" w:firstLine="564" w:firstLineChars="235"/>
        <w:rPr>
          <w:rFonts w:ascii="仿宋" w:hAnsi="仿宋" w:eastAsia="仿宋"/>
          <w:sz w:val="24"/>
        </w:rPr>
      </w:pPr>
    </w:p>
    <w:p>
      <w:pPr>
        <w:pStyle w:val="18"/>
        <w:tabs>
          <w:tab w:val="left" w:pos="5580"/>
        </w:tabs>
        <w:spacing w:line="360" w:lineRule="auto"/>
        <w:ind w:left="1080" w:leftChars="257" w:hanging="540"/>
        <w:rPr>
          <w:rFonts w:ascii="仿宋" w:hAnsi="仿宋" w:eastAsia="仿宋"/>
          <w:b/>
          <w:sz w:val="24"/>
        </w:rPr>
      </w:pPr>
      <w:r>
        <w:rPr>
          <w:rFonts w:hint="eastAsia" w:ascii="仿宋" w:hAnsi="仿宋" w:eastAsia="仿宋"/>
          <w:b/>
          <w:sz w:val="24"/>
        </w:rPr>
        <w:t>要求：以上资格证明文件须提供原件或加盖投标人公章的复印件（内容不清导致的后果自负）。</w:t>
      </w:r>
    </w:p>
    <w:p>
      <w:pPr>
        <w:pStyle w:val="18"/>
        <w:tabs>
          <w:tab w:val="left" w:pos="5580"/>
        </w:tabs>
        <w:spacing w:line="360" w:lineRule="auto"/>
        <w:ind w:left="1077" w:leftChars="513" w:firstLine="241" w:firstLineChars="100"/>
        <w:rPr>
          <w:rFonts w:ascii="仿宋" w:hAnsi="仿宋" w:eastAsia="仿宋"/>
          <w:b/>
          <w:sz w:val="24"/>
        </w:rPr>
      </w:pPr>
      <w:r>
        <w:rPr>
          <w:rFonts w:ascii="仿宋" w:hAnsi="仿宋" w:eastAsia="仿宋"/>
          <w:b/>
          <w:sz w:val="24"/>
        </w:rPr>
        <w:br w:type="page"/>
      </w:r>
    </w:p>
    <w:p>
      <w:pPr>
        <w:rPr>
          <w:rFonts w:ascii="仿宋" w:hAnsi="仿宋" w:eastAsia="仿宋"/>
          <w:b/>
        </w:rPr>
      </w:pPr>
      <w:bookmarkStart w:id="271" w:name="_Toc7005120"/>
      <w:r>
        <w:rPr>
          <w:rFonts w:ascii="仿宋" w:hAnsi="仿宋" w:eastAsia="仿宋"/>
          <w:b/>
        </w:rPr>
        <w:t>4-1  投标人的企业法人营业执照副本复印件（加盖公章）</w:t>
      </w:r>
      <w:bookmarkEnd w:id="271"/>
    </w:p>
    <w:p>
      <w:pPr>
        <w:jc w:val="left"/>
        <w:rPr>
          <w:rFonts w:ascii="仿宋" w:hAnsi="仿宋" w:eastAsia="仿宋"/>
          <w:sz w:val="24"/>
        </w:rPr>
      </w:pPr>
    </w:p>
    <w:p>
      <w:pPr>
        <w:tabs>
          <w:tab w:val="left" w:pos="993"/>
          <w:tab w:val="left" w:pos="1030"/>
          <w:tab w:val="left" w:pos="8364"/>
        </w:tabs>
        <w:snapToGrid w:val="0"/>
        <w:spacing w:after="120" w:afterLines="50"/>
        <w:ind w:right="-57" w:rightChars="-27"/>
        <w:rPr>
          <w:rFonts w:ascii="仿宋" w:hAnsi="仿宋" w:eastAsia="仿宋"/>
          <w:sz w:val="24"/>
        </w:rPr>
      </w:pPr>
      <w:r>
        <w:rPr>
          <w:rFonts w:ascii="仿宋" w:hAnsi="仿宋" w:eastAsia="仿宋"/>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ascii="仿宋" w:hAnsi="仿宋" w:eastAsia="仿宋"/>
          <w:b/>
          <w:sz w:val="28"/>
        </w:rPr>
      </w:pPr>
    </w:p>
    <w:p>
      <w:pPr>
        <w:adjustRightInd w:val="0"/>
        <w:spacing w:line="360" w:lineRule="atLeast"/>
        <w:jc w:val="left"/>
        <w:textAlignment w:val="baseline"/>
        <w:rPr>
          <w:rFonts w:ascii="仿宋" w:hAnsi="仿宋" w:eastAsia="仿宋"/>
          <w:b/>
          <w:sz w:val="28"/>
        </w:rPr>
      </w:pPr>
    </w:p>
    <w:p>
      <w:pPr>
        <w:rPr>
          <w:rFonts w:ascii="仿宋" w:hAnsi="仿宋" w:eastAsia="仿宋"/>
          <w:b/>
        </w:rPr>
      </w:pPr>
      <w:bookmarkStart w:id="272" w:name="_Toc7005121"/>
      <w:bookmarkStart w:id="273" w:name="_Ref527015333"/>
      <w:r>
        <w:rPr>
          <w:rFonts w:ascii="仿宋" w:hAnsi="仿宋" w:eastAsia="仿宋"/>
          <w:b/>
        </w:rPr>
        <w:t>4-2  上一年度经审计的财务报表</w:t>
      </w:r>
      <w:bookmarkEnd w:id="272"/>
      <w:bookmarkEnd w:id="273"/>
    </w:p>
    <w:p>
      <w:pPr>
        <w:spacing w:line="360" w:lineRule="auto"/>
        <w:rPr>
          <w:rFonts w:ascii="仿宋" w:hAnsi="仿宋" w:eastAsia="仿宋"/>
          <w:szCs w:val="21"/>
        </w:rPr>
      </w:pPr>
    </w:p>
    <w:p>
      <w:pPr>
        <w:tabs>
          <w:tab w:val="left" w:pos="993"/>
          <w:tab w:val="left" w:pos="1030"/>
          <w:tab w:val="left" w:pos="8364"/>
        </w:tabs>
        <w:snapToGrid w:val="0"/>
        <w:spacing w:after="120" w:afterLines="50"/>
        <w:ind w:right="-57" w:rightChars="-27"/>
        <w:rPr>
          <w:rFonts w:ascii="仿宋" w:hAnsi="仿宋" w:eastAsia="仿宋"/>
          <w:sz w:val="24"/>
        </w:rPr>
      </w:pPr>
      <w:r>
        <w:rPr>
          <w:rFonts w:ascii="仿宋" w:hAnsi="仿宋" w:eastAsia="仿宋"/>
          <w:sz w:val="24"/>
        </w:rPr>
        <w:t>提供投标人上一年度</w:t>
      </w:r>
      <w:r>
        <w:rPr>
          <w:rFonts w:hint="eastAsia" w:ascii="仿宋" w:hAnsi="仿宋" w:eastAsia="仿宋"/>
          <w:sz w:val="24"/>
        </w:rPr>
        <w:t>（2021年度）</w:t>
      </w:r>
      <w:r>
        <w:rPr>
          <w:rFonts w:ascii="仿宋" w:hAnsi="仿宋" w:eastAsia="仿宋"/>
          <w:sz w:val="24"/>
        </w:rPr>
        <w:t>经审计的财务报表（包括资产负债表、现金流量表、利润表）复印件或扫描件、所有复印件或扫描件需加盖单位公章。</w:t>
      </w:r>
    </w:p>
    <w:p>
      <w:pPr>
        <w:spacing w:line="360" w:lineRule="auto"/>
        <w:rPr>
          <w:rFonts w:ascii="仿宋" w:hAnsi="仿宋" w:eastAsia="仿宋"/>
          <w:szCs w:val="21"/>
        </w:rPr>
      </w:pPr>
    </w:p>
    <w:p>
      <w:pPr>
        <w:rPr>
          <w:rFonts w:ascii="仿宋" w:hAnsi="仿宋" w:eastAsia="仿宋"/>
          <w:b/>
        </w:rPr>
      </w:pPr>
      <w:bookmarkStart w:id="274" w:name="_Toc7005122"/>
      <w:r>
        <w:rPr>
          <w:rFonts w:ascii="仿宋" w:hAnsi="仿宋" w:eastAsia="仿宋"/>
          <w:b/>
        </w:rPr>
        <w:t>或  4-2  本年度基本开户银行出具的资信证明</w:t>
      </w:r>
      <w:bookmarkEnd w:id="274"/>
    </w:p>
    <w:p>
      <w:pPr>
        <w:spacing w:line="360" w:lineRule="auto"/>
        <w:rPr>
          <w:rFonts w:ascii="仿宋" w:hAnsi="仿宋" w:eastAsia="仿宋"/>
          <w:szCs w:val="21"/>
        </w:rPr>
      </w:pPr>
    </w:p>
    <w:p>
      <w:pPr>
        <w:widowControl/>
        <w:jc w:val="left"/>
        <w:rPr>
          <w:rFonts w:ascii="仿宋" w:hAnsi="仿宋" w:eastAsia="仿宋"/>
          <w:b/>
          <w:spacing w:val="20"/>
          <w:sz w:val="24"/>
        </w:rPr>
      </w:pPr>
    </w:p>
    <w:p>
      <w:pPr>
        <w:tabs>
          <w:tab w:val="left" w:pos="5580"/>
        </w:tabs>
        <w:spacing w:before="120" w:line="360" w:lineRule="auto"/>
        <w:ind w:firstLine="480" w:firstLineChars="200"/>
        <w:rPr>
          <w:rFonts w:ascii="仿宋" w:hAnsi="仿宋" w:eastAsia="仿宋"/>
          <w:sz w:val="24"/>
        </w:rPr>
      </w:pPr>
    </w:p>
    <w:p>
      <w:pPr>
        <w:rPr>
          <w:rFonts w:ascii="仿宋" w:hAnsi="仿宋" w:eastAsia="仿宋"/>
          <w:b/>
        </w:rPr>
      </w:pPr>
      <w:bookmarkStart w:id="275" w:name="_Toc7005123"/>
      <w:r>
        <w:rPr>
          <w:rFonts w:ascii="仿宋" w:hAnsi="仿宋" w:eastAsia="仿宋"/>
          <w:b/>
        </w:rPr>
        <w:t>4-3  依法缴纳税收的证明</w:t>
      </w:r>
      <w:bookmarkEnd w:id="275"/>
    </w:p>
    <w:p>
      <w:pPr>
        <w:tabs>
          <w:tab w:val="left" w:pos="993"/>
          <w:tab w:val="left" w:pos="1030"/>
          <w:tab w:val="left" w:pos="8364"/>
        </w:tabs>
        <w:snapToGrid w:val="0"/>
        <w:spacing w:after="120" w:afterLines="50"/>
        <w:ind w:left="420" w:right="-57" w:rightChars="-27" w:firstLine="480" w:firstLineChars="200"/>
        <w:jc w:val="left"/>
        <w:rPr>
          <w:rFonts w:ascii="仿宋" w:hAnsi="仿宋" w:eastAsia="仿宋"/>
          <w:sz w:val="24"/>
        </w:rPr>
      </w:pPr>
    </w:p>
    <w:p>
      <w:pPr>
        <w:tabs>
          <w:tab w:val="left" w:pos="993"/>
          <w:tab w:val="left" w:pos="1030"/>
          <w:tab w:val="left" w:pos="8364"/>
        </w:tabs>
        <w:snapToGrid w:val="0"/>
        <w:spacing w:after="120" w:afterLines="50"/>
        <w:ind w:right="-57" w:rightChars="-27"/>
        <w:jc w:val="left"/>
        <w:rPr>
          <w:rFonts w:ascii="仿宋" w:hAnsi="仿宋" w:eastAsia="仿宋"/>
          <w:sz w:val="24"/>
        </w:rPr>
      </w:pPr>
      <w:r>
        <w:rPr>
          <w:rFonts w:ascii="仿宋" w:hAnsi="仿宋" w:eastAsia="仿宋"/>
          <w:sz w:val="24"/>
        </w:rPr>
        <w:t>说明：</w:t>
      </w:r>
    </w:p>
    <w:p>
      <w:pPr>
        <w:tabs>
          <w:tab w:val="left" w:pos="993"/>
          <w:tab w:val="left" w:pos="1030"/>
          <w:tab w:val="left" w:pos="8364"/>
        </w:tabs>
        <w:snapToGrid w:val="0"/>
        <w:spacing w:after="120" w:afterLines="50"/>
        <w:ind w:left="420" w:right="-57" w:rightChars="-27" w:firstLine="480" w:firstLineChars="200"/>
        <w:jc w:val="left"/>
        <w:rPr>
          <w:rFonts w:ascii="仿宋" w:hAnsi="仿宋" w:eastAsia="仿宋"/>
          <w:sz w:val="24"/>
        </w:rPr>
      </w:pPr>
      <w:r>
        <w:rPr>
          <w:rFonts w:ascii="仿宋" w:hAnsi="仿宋" w:eastAsia="仿宋"/>
          <w:sz w:val="24"/>
        </w:rPr>
        <w:t>1、投标人应提供近六个月中任何一个月缴纳增值税和企业所得税的凭证（银行出具的缴税凭证或税务机关出具的证明的复印件，并加盖本单位公章）。</w:t>
      </w:r>
    </w:p>
    <w:p>
      <w:pPr>
        <w:tabs>
          <w:tab w:val="left" w:pos="993"/>
          <w:tab w:val="left" w:pos="1030"/>
          <w:tab w:val="left" w:pos="8364"/>
        </w:tabs>
        <w:snapToGrid w:val="0"/>
        <w:spacing w:after="120" w:afterLines="50"/>
        <w:ind w:right="-57" w:rightChars="-27" w:firstLine="960" w:firstLineChars="400"/>
        <w:jc w:val="left"/>
        <w:rPr>
          <w:rFonts w:ascii="仿宋" w:hAnsi="仿宋" w:eastAsia="仿宋"/>
          <w:sz w:val="24"/>
        </w:rPr>
      </w:pPr>
      <w:r>
        <w:rPr>
          <w:rFonts w:ascii="仿宋" w:hAnsi="仿宋" w:eastAsia="仿宋"/>
          <w:sz w:val="24"/>
        </w:rPr>
        <w:t>2、依法免税的投标人，应提供相应文件证明其依法免税。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ascii="仿宋" w:hAnsi="仿宋" w:eastAsia="仿宋"/>
          <w:sz w:val="24"/>
        </w:rPr>
      </w:pPr>
    </w:p>
    <w:p>
      <w:pPr>
        <w:rPr>
          <w:rFonts w:ascii="仿宋" w:hAnsi="仿宋" w:eastAsia="仿宋"/>
          <w:b/>
        </w:rPr>
      </w:pPr>
    </w:p>
    <w:p>
      <w:pPr>
        <w:rPr>
          <w:rFonts w:ascii="仿宋" w:hAnsi="仿宋" w:eastAsia="仿宋"/>
          <w:b/>
        </w:rPr>
      </w:pPr>
      <w:bookmarkStart w:id="276" w:name="_Toc7005124"/>
      <w:r>
        <w:rPr>
          <w:rFonts w:ascii="仿宋" w:hAnsi="仿宋" w:eastAsia="仿宋"/>
          <w:b/>
        </w:rPr>
        <w:t>4-4  社会保障资金缴纳记录</w:t>
      </w:r>
      <w:bookmarkEnd w:id="276"/>
    </w:p>
    <w:p>
      <w:pPr>
        <w:tabs>
          <w:tab w:val="left" w:pos="993"/>
          <w:tab w:val="left" w:pos="1030"/>
          <w:tab w:val="left" w:pos="8364"/>
        </w:tabs>
        <w:snapToGrid w:val="0"/>
        <w:spacing w:after="120" w:afterLines="50"/>
        <w:ind w:left="420" w:leftChars="200" w:right="-57" w:rightChars="-27"/>
        <w:jc w:val="left"/>
        <w:rPr>
          <w:rFonts w:ascii="仿宋" w:hAnsi="仿宋" w:eastAsia="仿宋"/>
          <w:sz w:val="24"/>
        </w:rPr>
      </w:pPr>
      <w:r>
        <w:rPr>
          <w:rFonts w:ascii="仿宋" w:hAnsi="仿宋" w:eastAsia="仿宋"/>
          <w:sz w:val="24"/>
        </w:rPr>
        <w:cr/>
      </w:r>
    </w:p>
    <w:p>
      <w:pPr>
        <w:tabs>
          <w:tab w:val="left" w:pos="993"/>
          <w:tab w:val="left" w:pos="1030"/>
          <w:tab w:val="left" w:pos="8364"/>
        </w:tabs>
        <w:snapToGrid w:val="0"/>
        <w:spacing w:after="120" w:afterLines="50"/>
        <w:ind w:left="420" w:leftChars="200" w:right="-57" w:rightChars="-27"/>
        <w:jc w:val="left"/>
        <w:rPr>
          <w:rFonts w:ascii="仿宋" w:hAnsi="仿宋" w:eastAsia="仿宋"/>
          <w:sz w:val="24"/>
        </w:rPr>
      </w:pPr>
      <w:r>
        <w:rPr>
          <w:rFonts w:ascii="仿宋" w:hAnsi="仿宋" w:eastAsia="仿宋"/>
          <w:sz w:val="24"/>
        </w:rPr>
        <w:t>说明：</w:t>
      </w:r>
    </w:p>
    <w:p>
      <w:pPr>
        <w:tabs>
          <w:tab w:val="left" w:pos="993"/>
          <w:tab w:val="left" w:pos="1030"/>
          <w:tab w:val="left" w:pos="8364"/>
        </w:tabs>
        <w:snapToGrid w:val="0"/>
        <w:spacing w:after="120" w:afterLines="50"/>
        <w:ind w:left="420" w:leftChars="200" w:right="-57" w:rightChars="-27" w:firstLine="420" w:firstLineChars="175"/>
        <w:jc w:val="left"/>
        <w:rPr>
          <w:rFonts w:ascii="仿宋" w:hAnsi="仿宋" w:eastAsia="仿宋"/>
          <w:sz w:val="24"/>
        </w:rPr>
      </w:pPr>
      <w:r>
        <w:rPr>
          <w:rFonts w:ascii="仿宋" w:hAnsi="仿宋" w:eastAsia="仿宋"/>
          <w:sz w:val="24"/>
        </w:rPr>
        <w:t>1、投标人应提供近六个月中至少一个月的社会缴纳社会保险的凭据（专用收据或社会保险缴纳清单），并加盖本单位公章。</w:t>
      </w:r>
    </w:p>
    <w:p>
      <w:pPr>
        <w:tabs>
          <w:tab w:val="left" w:pos="993"/>
          <w:tab w:val="left" w:pos="1030"/>
          <w:tab w:val="left" w:pos="8364"/>
        </w:tabs>
        <w:snapToGrid w:val="0"/>
        <w:spacing w:after="120" w:afterLines="50"/>
        <w:ind w:left="420" w:leftChars="200" w:right="-57" w:rightChars="-27" w:firstLine="420" w:firstLineChars="175"/>
        <w:jc w:val="left"/>
        <w:rPr>
          <w:rFonts w:ascii="仿宋" w:hAnsi="仿宋" w:eastAsia="仿宋"/>
          <w:sz w:val="24"/>
        </w:rPr>
      </w:pPr>
      <w:r>
        <w:rPr>
          <w:rFonts w:ascii="仿宋" w:hAnsi="仿宋" w:eastAsia="仿宋"/>
          <w:sz w:val="24"/>
        </w:rPr>
        <w:t>2、不需要缴纳社会保障资金的投标人，应提供相应文件证明其不需要缴纳社会保障资金。</w:t>
      </w:r>
    </w:p>
    <w:p>
      <w:pPr>
        <w:tabs>
          <w:tab w:val="left" w:pos="5580"/>
        </w:tabs>
        <w:spacing w:before="120" w:line="360" w:lineRule="auto"/>
        <w:ind w:firstLine="480" w:firstLineChars="200"/>
        <w:rPr>
          <w:rFonts w:ascii="仿宋" w:hAnsi="仿宋" w:eastAsia="仿宋"/>
          <w:sz w:val="24"/>
        </w:rPr>
      </w:pPr>
    </w:p>
    <w:p>
      <w:pPr>
        <w:tabs>
          <w:tab w:val="left" w:pos="5580"/>
        </w:tabs>
        <w:spacing w:before="120" w:line="360" w:lineRule="auto"/>
        <w:rPr>
          <w:rFonts w:ascii="仿宋" w:hAnsi="仿宋" w:eastAsia="仿宋"/>
          <w:sz w:val="24"/>
        </w:rPr>
      </w:pPr>
    </w:p>
    <w:p>
      <w:pPr>
        <w:rPr>
          <w:rFonts w:ascii="仿宋" w:hAnsi="仿宋" w:eastAsia="仿宋"/>
          <w:b/>
        </w:rPr>
      </w:pPr>
      <w:bookmarkStart w:id="277" w:name="_Toc7005125"/>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sz w:val="24"/>
        </w:rPr>
      </w:pPr>
      <w:r>
        <w:rPr>
          <w:rFonts w:ascii="仿宋" w:hAnsi="仿宋" w:eastAsia="仿宋"/>
          <w:b/>
        </w:rPr>
        <w:t>4-5  具备履行合同所必需的设备和专业技术能力承诺书</w:t>
      </w:r>
      <w:bookmarkEnd w:id="277"/>
    </w:p>
    <w:p>
      <w:pPr>
        <w:ind w:firstLine="480"/>
        <w:rPr>
          <w:rFonts w:ascii="仿宋" w:hAnsi="仿宋" w:eastAsia="仿宋"/>
          <w:kern w:val="0"/>
          <w:sz w:val="24"/>
        </w:rPr>
      </w:pPr>
    </w:p>
    <w:p>
      <w:pPr>
        <w:ind w:firstLine="480"/>
        <w:rPr>
          <w:rFonts w:ascii="仿宋" w:hAnsi="仿宋" w:eastAsia="仿宋"/>
          <w:kern w:val="0"/>
          <w:sz w:val="24"/>
        </w:rPr>
      </w:pPr>
    </w:p>
    <w:p>
      <w:pPr>
        <w:rPr>
          <w:rFonts w:ascii="仿宋" w:hAnsi="仿宋" w:eastAsia="仿宋"/>
          <w:kern w:val="0"/>
          <w:sz w:val="24"/>
        </w:rPr>
      </w:pPr>
      <w:r>
        <w:rPr>
          <w:rFonts w:ascii="仿宋" w:hAnsi="仿宋" w:eastAsia="仿宋"/>
          <w:kern w:val="0"/>
          <w:sz w:val="24"/>
        </w:rPr>
        <w:t>陕西省采购招标有限责任公司：</w:t>
      </w:r>
    </w:p>
    <w:p>
      <w:pPr>
        <w:ind w:firstLine="480"/>
        <w:rPr>
          <w:rFonts w:ascii="仿宋" w:hAnsi="仿宋" w:eastAsia="仿宋"/>
          <w:kern w:val="0"/>
          <w:sz w:val="24"/>
        </w:rPr>
      </w:pPr>
    </w:p>
    <w:p>
      <w:pPr>
        <w:ind w:firstLine="480"/>
        <w:rPr>
          <w:rFonts w:ascii="仿宋" w:hAnsi="仿宋" w:eastAsia="仿宋"/>
          <w:kern w:val="0"/>
          <w:sz w:val="24"/>
        </w:rPr>
      </w:pPr>
      <w:r>
        <w:rPr>
          <w:rFonts w:ascii="仿宋" w:hAnsi="仿宋" w:eastAsia="仿宋"/>
          <w:kern w:val="0"/>
          <w:sz w:val="24"/>
        </w:rPr>
        <w:t>我公司承诺</w:t>
      </w:r>
      <w:r>
        <w:rPr>
          <w:rFonts w:ascii="仿宋" w:hAnsi="仿宋" w:eastAsia="仿宋"/>
          <w:sz w:val="24"/>
        </w:rPr>
        <w:t>具备履行合同所必需的设备和专业技术能力</w:t>
      </w:r>
      <w:r>
        <w:rPr>
          <w:rFonts w:ascii="仿宋" w:hAnsi="仿宋" w:eastAsia="仿宋"/>
          <w:kern w:val="0"/>
          <w:sz w:val="24"/>
        </w:rPr>
        <w:t>。</w:t>
      </w:r>
    </w:p>
    <w:p>
      <w:pPr>
        <w:ind w:firstLine="480"/>
        <w:rPr>
          <w:rFonts w:ascii="仿宋" w:hAnsi="仿宋" w:eastAsia="仿宋"/>
          <w:b/>
          <w:sz w:val="24"/>
        </w:rPr>
      </w:pPr>
    </w:p>
    <w:p>
      <w:pPr>
        <w:ind w:firstLine="480"/>
        <w:rPr>
          <w:rFonts w:ascii="仿宋" w:hAnsi="仿宋" w:eastAsia="仿宋"/>
          <w:b/>
          <w:sz w:val="24"/>
        </w:rPr>
      </w:pPr>
    </w:p>
    <w:p>
      <w:pPr>
        <w:spacing w:before="120" w:after="120" w:line="360" w:lineRule="auto"/>
        <w:ind w:firstLine="480" w:firstLineChars="200"/>
        <w:rPr>
          <w:rFonts w:ascii="仿宋" w:hAnsi="仿宋" w:eastAsia="仿宋"/>
          <w:sz w:val="24"/>
          <w:u w:val="single"/>
        </w:rPr>
      </w:pPr>
      <w:r>
        <w:rPr>
          <w:rFonts w:ascii="仿宋" w:hAnsi="仿宋" w:eastAsia="仿宋"/>
          <w:sz w:val="24"/>
        </w:rPr>
        <w:t>投标人名称（公章）：</w:t>
      </w:r>
    </w:p>
    <w:p>
      <w:pPr>
        <w:spacing w:before="120" w:after="120" w:line="360" w:lineRule="auto"/>
        <w:ind w:firstLine="480" w:firstLineChars="200"/>
        <w:rPr>
          <w:rFonts w:ascii="仿宋" w:hAnsi="仿宋" w:eastAsia="仿宋"/>
          <w:sz w:val="24"/>
          <w:u w:val="single"/>
        </w:rPr>
      </w:pPr>
      <w:r>
        <w:rPr>
          <w:rFonts w:ascii="仿宋" w:hAnsi="仿宋" w:eastAsia="仿宋"/>
          <w:sz w:val="24"/>
        </w:rPr>
        <w:t>法定代表人或其授权代表（签字或加盖人名章）：</w:t>
      </w:r>
    </w:p>
    <w:p>
      <w:pPr>
        <w:spacing w:before="120" w:after="120" w:line="360" w:lineRule="auto"/>
        <w:ind w:firstLine="480" w:firstLineChars="200"/>
        <w:rPr>
          <w:rFonts w:ascii="仿宋" w:hAnsi="仿宋" w:eastAsia="仿宋"/>
          <w:sz w:val="24"/>
        </w:rPr>
      </w:pPr>
      <w:r>
        <w:rPr>
          <w:rFonts w:ascii="仿宋" w:hAnsi="仿宋" w:eastAsia="仿宋"/>
          <w:sz w:val="24"/>
        </w:rPr>
        <w:t>日期：年月日</w:t>
      </w:r>
    </w:p>
    <w:p>
      <w:pPr>
        <w:ind w:right="280"/>
        <w:rPr>
          <w:rFonts w:ascii="仿宋" w:hAnsi="仿宋" w:eastAsia="仿宋"/>
          <w:sz w:val="24"/>
        </w:rPr>
      </w:pPr>
    </w:p>
    <w:p>
      <w:pPr>
        <w:tabs>
          <w:tab w:val="left" w:pos="5580"/>
        </w:tabs>
        <w:spacing w:before="120" w:line="360" w:lineRule="auto"/>
        <w:ind w:firstLine="480" w:firstLineChars="200"/>
        <w:rPr>
          <w:rFonts w:ascii="仿宋" w:hAnsi="仿宋" w:eastAsia="仿宋"/>
          <w:sz w:val="24"/>
        </w:rPr>
      </w:pPr>
    </w:p>
    <w:p>
      <w:pPr>
        <w:widowControl/>
        <w:jc w:val="left"/>
        <w:rPr>
          <w:rFonts w:ascii="仿宋" w:hAnsi="仿宋" w:eastAsia="仿宋"/>
          <w:b/>
          <w:sz w:val="24"/>
        </w:rPr>
      </w:pPr>
    </w:p>
    <w:p>
      <w:pPr>
        <w:rPr>
          <w:rFonts w:ascii="仿宋" w:hAnsi="仿宋" w:eastAsia="仿宋"/>
          <w:b/>
        </w:rPr>
      </w:pPr>
      <w:bookmarkStart w:id="278" w:name="_Toc60928899"/>
      <w:bookmarkStart w:id="279" w:name="_Toc60928818"/>
      <w:bookmarkStart w:id="280" w:name="_Toc7005126"/>
      <w:bookmarkStart w:id="281" w:name="_Toc60929131"/>
      <w:r>
        <w:rPr>
          <w:rFonts w:ascii="仿宋" w:hAnsi="仿宋" w:eastAsia="仿宋"/>
          <w:b/>
        </w:rPr>
        <w:t>4-6  投标人参加政府采购活动前3年内在经营活动中没有重大违法记录的书面声明</w:t>
      </w:r>
      <w:bookmarkEnd w:id="278"/>
      <w:bookmarkEnd w:id="279"/>
      <w:bookmarkEnd w:id="280"/>
      <w:bookmarkEnd w:id="281"/>
    </w:p>
    <w:p>
      <w:pPr>
        <w:jc w:val="center"/>
        <w:rPr>
          <w:rFonts w:ascii="仿宋" w:hAnsi="仿宋" w:eastAsia="仿宋"/>
          <w:sz w:val="24"/>
        </w:rPr>
      </w:pPr>
    </w:p>
    <w:p>
      <w:pPr>
        <w:tabs>
          <w:tab w:val="left" w:pos="5580"/>
        </w:tabs>
        <w:spacing w:before="120" w:line="360" w:lineRule="auto"/>
        <w:rPr>
          <w:rFonts w:ascii="仿宋" w:hAnsi="仿宋" w:eastAsia="仿宋"/>
          <w:sz w:val="24"/>
        </w:rPr>
      </w:pPr>
      <w:r>
        <w:rPr>
          <w:rFonts w:ascii="仿宋" w:hAnsi="仿宋" w:eastAsia="仿宋"/>
          <w:sz w:val="24"/>
        </w:rPr>
        <w:t>陕西省采购招标有限责任公司：</w:t>
      </w:r>
    </w:p>
    <w:p>
      <w:pPr>
        <w:tabs>
          <w:tab w:val="left" w:pos="5580"/>
        </w:tabs>
        <w:spacing w:before="120" w:line="360" w:lineRule="auto"/>
        <w:ind w:firstLine="480" w:firstLineChars="200"/>
        <w:rPr>
          <w:rFonts w:ascii="仿宋" w:hAnsi="仿宋" w:eastAsia="仿宋"/>
          <w:sz w:val="24"/>
        </w:rPr>
      </w:pPr>
      <w:r>
        <w:rPr>
          <w:rFonts w:ascii="仿宋" w:hAnsi="仿宋" w:eastAsia="仿宋"/>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仿宋" w:hAnsi="仿宋" w:eastAsia="仿宋"/>
          <w:sz w:val="24"/>
        </w:rPr>
      </w:pPr>
      <w:r>
        <w:rPr>
          <w:rFonts w:ascii="仿宋" w:hAnsi="仿宋" w:eastAsia="仿宋"/>
          <w:sz w:val="24"/>
        </w:rPr>
        <w:t>特此声明。</w:t>
      </w:r>
    </w:p>
    <w:p>
      <w:pPr>
        <w:tabs>
          <w:tab w:val="left" w:pos="5580"/>
        </w:tabs>
        <w:spacing w:before="120" w:line="360" w:lineRule="auto"/>
        <w:ind w:firstLine="480" w:firstLineChars="200"/>
        <w:rPr>
          <w:rFonts w:ascii="仿宋" w:hAnsi="仿宋" w:eastAsia="仿宋"/>
          <w:sz w:val="24"/>
        </w:rPr>
      </w:pPr>
    </w:p>
    <w:p>
      <w:pPr>
        <w:spacing w:before="120" w:after="120" w:line="360" w:lineRule="auto"/>
        <w:ind w:firstLine="480" w:firstLineChars="200"/>
        <w:rPr>
          <w:rFonts w:ascii="仿宋" w:hAnsi="仿宋" w:eastAsia="仿宋"/>
          <w:sz w:val="24"/>
          <w:u w:val="single"/>
        </w:rPr>
      </w:pPr>
      <w:r>
        <w:rPr>
          <w:rFonts w:ascii="仿宋" w:hAnsi="仿宋" w:eastAsia="仿宋"/>
          <w:sz w:val="24"/>
        </w:rPr>
        <w:t>投标人名称（公章）：</w:t>
      </w:r>
    </w:p>
    <w:p>
      <w:pPr>
        <w:spacing w:before="120" w:after="120" w:line="360" w:lineRule="auto"/>
        <w:ind w:firstLine="480" w:firstLineChars="200"/>
        <w:rPr>
          <w:rFonts w:ascii="仿宋" w:hAnsi="仿宋" w:eastAsia="仿宋"/>
          <w:sz w:val="24"/>
          <w:u w:val="single"/>
        </w:rPr>
      </w:pPr>
      <w:r>
        <w:rPr>
          <w:rFonts w:ascii="仿宋" w:hAnsi="仿宋" w:eastAsia="仿宋"/>
          <w:sz w:val="24"/>
        </w:rPr>
        <w:t>法定代表人或其授权代表（签字或加盖人名章）：</w:t>
      </w:r>
    </w:p>
    <w:p>
      <w:pPr>
        <w:spacing w:before="120" w:after="120" w:line="360" w:lineRule="auto"/>
        <w:ind w:firstLine="480" w:firstLineChars="200"/>
        <w:rPr>
          <w:rFonts w:ascii="仿宋" w:hAnsi="仿宋" w:eastAsia="仿宋"/>
          <w:sz w:val="24"/>
        </w:rPr>
      </w:pPr>
      <w:r>
        <w:rPr>
          <w:rFonts w:ascii="仿宋" w:hAnsi="仿宋" w:eastAsia="仿宋"/>
          <w:sz w:val="24"/>
        </w:rPr>
        <w:t>日期：年月日</w:t>
      </w:r>
    </w:p>
    <w:p>
      <w:pPr>
        <w:spacing w:after="120"/>
        <w:rPr>
          <w:rFonts w:ascii="仿宋" w:hAnsi="仿宋" w:eastAsia="仿宋"/>
        </w:rPr>
      </w:pPr>
    </w:p>
    <w:p>
      <w:pPr>
        <w:jc w:val="left"/>
        <w:rPr>
          <w:rFonts w:ascii="仿宋" w:hAnsi="仿宋" w:eastAsia="仿宋"/>
          <w:b/>
        </w:rPr>
      </w:pPr>
      <w:bookmarkStart w:id="282" w:name="_Toc60928900"/>
      <w:bookmarkStart w:id="283" w:name="_Toc60929132"/>
      <w:bookmarkStart w:id="284" w:name="_Toc60928819"/>
      <w:bookmarkStart w:id="285" w:name="_Toc7005127"/>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r>
        <w:rPr>
          <w:rFonts w:ascii="仿宋" w:hAnsi="仿宋" w:eastAsia="仿宋"/>
          <w:b/>
        </w:rPr>
        <w:t>4-7  投标人控股股东名称、控股公司的名称和存在管理、被管理关系的单位名称说明</w:t>
      </w:r>
      <w:bookmarkEnd w:id="282"/>
      <w:bookmarkEnd w:id="283"/>
      <w:bookmarkEnd w:id="284"/>
      <w:bookmarkEnd w:id="285"/>
    </w:p>
    <w:p>
      <w:pPr>
        <w:ind w:firstLine="420"/>
        <w:rPr>
          <w:rFonts w:ascii="仿宋" w:hAnsi="仿宋" w:eastAsia="仿宋"/>
          <w:szCs w:val="21"/>
        </w:rPr>
      </w:pPr>
    </w:p>
    <w:p>
      <w:pPr>
        <w:rPr>
          <w:rFonts w:ascii="仿宋" w:hAnsi="仿宋" w:eastAsia="仿宋"/>
          <w:sz w:val="24"/>
        </w:rPr>
      </w:pPr>
    </w:p>
    <w:p>
      <w:pPr>
        <w:rPr>
          <w:rFonts w:ascii="仿宋" w:hAnsi="仿宋" w:eastAsia="仿宋"/>
          <w:sz w:val="24"/>
        </w:rPr>
      </w:pPr>
      <w:r>
        <w:rPr>
          <w:rFonts w:ascii="仿宋" w:hAnsi="仿宋" w:eastAsia="仿宋"/>
          <w:sz w:val="24"/>
        </w:rPr>
        <w:t>陕西省采购招标有限责任公司：</w:t>
      </w:r>
    </w:p>
    <w:p>
      <w:pPr>
        <w:pStyle w:val="13"/>
        <w:rPr>
          <w:rFonts w:ascii="仿宋" w:hAnsi="仿宋" w:eastAsia="仿宋"/>
        </w:rPr>
      </w:pPr>
    </w:p>
    <w:p>
      <w:pPr>
        <w:ind w:firstLine="426"/>
        <w:rPr>
          <w:rFonts w:ascii="仿宋" w:hAnsi="仿宋" w:eastAsia="仿宋"/>
          <w:sz w:val="24"/>
        </w:rPr>
      </w:pPr>
      <w:r>
        <w:rPr>
          <w:rFonts w:ascii="仿宋" w:hAnsi="仿宋" w:eastAsia="仿宋"/>
          <w:sz w:val="24"/>
        </w:rPr>
        <w:t>与我方的法定代表人（单位负责人）为同一人的企业如下：</w:t>
      </w:r>
    </w:p>
    <w:p>
      <w:pPr>
        <w:ind w:firstLine="426"/>
        <w:rPr>
          <w:rFonts w:ascii="仿宋" w:hAnsi="仿宋" w:eastAsia="仿宋"/>
          <w:sz w:val="24"/>
        </w:rPr>
      </w:pPr>
    </w:p>
    <w:p>
      <w:pPr>
        <w:ind w:firstLine="426"/>
        <w:rPr>
          <w:rFonts w:ascii="仿宋" w:hAnsi="仿宋" w:eastAsia="仿宋"/>
          <w:sz w:val="24"/>
        </w:rPr>
      </w:pPr>
      <w:r>
        <w:rPr>
          <w:rFonts w:ascii="仿宋" w:hAnsi="仿宋" w:eastAsia="仿宋"/>
          <w:sz w:val="24"/>
        </w:rPr>
        <w:t>我方的控股股东如下：</w:t>
      </w:r>
    </w:p>
    <w:p>
      <w:pPr>
        <w:ind w:firstLine="426"/>
        <w:rPr>
          <w:rFonts w:ascii="仿宋" w:hAnsi="仿宋" w:eastAsia="仿宋"/>
          <w:sz w:val="24"/>
        </w:rPr>
      </w:pPr>
    </w:p>
    <w:p>
      <w:pPr>
        <w:ind w:firstLine="426"/>
        <w:rPr>
          <w:rFonts w:ascii="仿宋" w:hAnsi="仿宋" w:eastAsia="仿宋"/>
          <w:sz w:val="24"/>
        </w:rPr>
      </w:pPr>
      <w:r>
        <w:rPr>
          <w:rFonts w:ascii="仿宋" w:hAnsi="仿宋" w:eastAsia="仿宋"/>
          <w:sz w:val="24"/>
        </w:rPr>
        <w:t>我方直接控股的企业如下：</w:t>
      </w:r>
    </w:p>
    <w:p>
      <w:pPr>
        <w:ind w:firstLine="426"/>
        <w:rPr>
          <w:rFonts w:ascii="仿宋" w:hAnsi="仿宋" w:eastAsia="仿宋"/>
          <w:sz w:val="24"/>
        </w:rPr>
      </w:pPr>
    </w:p>
    <w:p>
      <w:pPr>
        <w:ind w:firstLine="426"/>
        <w:rPr>
          <w:rFonts w:ascii="仿宋" w:hAnsi="仿宋" w:eastAsia="仿宋"/>
          <w:sz w:val="24"/>
        </w:rPr>
      </w:pPr>
      <w:r>
        <w:rPr>
          <w:rFonts w:ascii="仿宋" w:hAnsi="仿宋" w:eastAsia="仿宋"/>
          <w:sz w:val="24"/>
        </w:rPr>
        <w:t>与我方存在管理、被管理关系的单位名称如下：</w:t>
      </w:r>
    </w:p>
    <w:p>
      <w:pPr>
        <w:ind w:firstLine="426"/>
        <w:rPr>
          <w:rFonts w:ascii="仿宋" w:hAnsi="仿宋" w:eastAsia="仿宋"/>
          <w:sz w:val="24"/>
        </w:rPr>
      </w:pPr>
    </w:p>
    <w:p>
      <w:pPr>
        <w:ind w:firstLine="426"/>
        <w:rPr>
          <w:rFonts w:ascii="仿宋" w:hAnsi="仿宋" w:eastAsia="仿宋"/>
          <w:szCs w:val="21"/>
        </w:rPr>
      </w:pPr>
    </w:p>
    <w:p>
      <w:pPr>
        <w:spacing w:before="120" w:after="120" w:line="360" w:lineRule="auto"/>
        <w:ind w:firstLine="480" w:firstLineChars="200"/>
        <w:rPr>
          <w:rFonts w:ascii="仿宋" w:hAnsi="仿宋" w:eastAsia="仿宋"/>
          <w:sz w:val="24"/>
          <w:u w:val="single"/>
        </w:rPr>
      </w:pPr>
      <w:r>
        <w:rPr>
          <w:rFonts w:ascii="仿宋" w:hAnsi="仿宋" w:eastAsia="仿宋"/>
          <w:sz w:val="24"/>
        </w:rPr>
        <w:t>投标人名称（公章）：</w:t>
      </w:r>
    </w:p>
    <w:p>
      <w:pPr>
        <w:spacing w:before="120" w:after="120" w:line="360" w:lineRule="auto"/>
        <w:ind w:firstLine="480" w:firstLineChars="200"/>
        <w:rPr>
          <w:rFonts w:ascii="仿宋" w:hAnsi="仿宋" w:eastAsia="仿宋"/>
          <w:sz w:val="24"/>
          <w:u w:val="single"/>
        </w:rPr>
      </w:pPr>
      <w:r>
        <w:rPr>
          <w:rFonts w:ascii="仿宋" w:hAnsi="仿宋" w:eastAsia="仿宋"/>
          <w:sz w:val="24"/>
        </w:rPr>
        <w:t>法定代表人或其授权代表（签字或加盖人名章）：</w:t>
      </w:r>
    </w:p>
    <w:p>
      <w:pPr>
        <w:spacing w:before="120" w:after="120" w:line="360" w:lineRule="auto"/>
        <w:ind w:firstLine="480" w:firstLineChars="200"/>
        <w:rPr>
          <w:rFonts w:ascii="仿宋" w:hAnsi="仿宋" w:eastAsia="仿宋"/>
          <w:sz w:val="24"/>
        </w:rPr>
      </w:pPr>
      <w:r>
        <w:rPr>
          <w:rFonts w:ascii="仿宋" w:hAnsi="仿宋" w:eastAsia="仿宋"/>
          <w:sz w:val="24"/>
        </w:rPr>
        <w:t>日期：年月日</w:t>
      </w:r>
    </w:p>
    <w:p>
      <w:pPr>
        <w:ind w:firstLine="420" w:firstLineChars="200"/>
        <w:rPr>
          <w:rFonts w:ascii="仿宋" w:hAnsi="仿宋" w:eastAsia="仿宋"/>
          <w:szCs w:val="21"/>
        </w:rPr>
      </w:pPr>
    </w:p>
    <w:p>
      <w:pPr>
        <w:jc w:val="left"/>
        <w:rPr>
          <w:rFonts w:ascii="仿宋" w:hAnsi="仿宋" w:eastAsia="仿宋"/>
          <w:b/>
          <w:sz w:val="24"/>
        </w:rPr>
      </w:pPr>
    </w:p>
    <w:p>
      <w:pPr>
        <w:rPr>
          <w:rFonts w:ascii="仿宋" w:hAnsi="仿宋" w:eastAsia="仿宋"/>
          <w:b/>
        </w:rPr>
      </w:pPr>
      <w:bookmarkStart w:id="286" w:name="_Toc60929133"/>
      <w:bookmarkStart w:id="287" w:name="_Toc7005128"/>
      <w:bookmarkStart w:id="288" w:name="_Toc60928820"/>
      <w:bookmarkStart w:id="289" w:name="_Toc60928901"/>
      <w:r>
        <w:rPr>
          <w:rFonts w:ascii="仿宋" w:hAnsi="仿宋" w:eastAsia="仿宋"/>
          <w:b/>
        </w:rPr>
        <w:t>4-8  投标人是否属于为本项目提供整体设计、规范编制或者项目管理、监理、检测等服务的投标人声明</w:t>
      </w:r>
      <w:bookmarkEnd w:id="286"/>
      <w:bookmarkEnd w:id="287"/>
      <w:bookmarkEnd w:id="288"/>
      <w:bookmarkEnd w:id="289"/>
    </w:p>
    <w:p>
      <w:pPr>
        <w:ind w:firstLine="420"/>
        <w:rPr>
          <w:rFonts w:ascii="仿宋" w:hAnsi="仿宋" w:eastAsia="仿宋"/>
          <w:szCs w:val="21"/>
        </w:rPr>
      </w:pPr>
    </w:p>
    <w:p>
      <w:pPr>
        <w:spacing w:line="360" w:lineRule="auto"/>
        <w:rPr>
          <w:rFonts w:ascii="仿宋" w:hAnsi="仿宋" w:eastAsia="仿宋"/>
          <w:szCs w:val="21"/>
        </w:rPr>
      </w:pPr>
    </w:p>
    <w:p>
      <w:pPr>
        <w:spacing w:line="360" w:lineRule="auto"/>
        <w:rPr>
          <w:rFonts w:ascii="仿宋" w:hAnsi="仿宋" w:eastAsia="仿宋"/>
          <w:sz w:val="24"/>
        </w:rPr>
      </w:pPr>
      <w:r>
        <w:rPr>
          <w:rFonts w:ascii="仿宋" w:hAnsi="仿宋" w:eastAsia="仿宋"/>
          <w:sz w:val="24"/>
        </w:rPr>
        <w:t>陕西省采购招标有限责任公司：</w:t>
      </w:r>
    </w:p>
    <w:p>
      <w:pPr>
        <w:spacing w:line="360" w:lineRule="auto"/>
        <w:ind w:firstLine="480" w:firstLineChars="200"/>
        <w:rPr>
          <w:rFonts w:ascii="仿宋" w:hAnsi="仿宋" w:eastAsia="仿宋"/>
          <w:sz w:val="24"/>
        </w:rPr>
      </w:pPr>
      <w:r>
        <w:rPr>
          <w:rFonts w:ascii="仿宋" w:hAnsi="仿宋" w:eastAsia="仿宋"/>
          <w:sz w:val="24"/>
        </w:rPr>
        <w:t>我方</w:t>
      </w:r>
      <w:r>
        <w:rPr>
          <w:rFonts w:ascii="仿宋" w:hAnsi="仿宋" w:eastAsia="仿宋"/>
          <w:sz w:val="24"/>
          <w:u w:val="single"/>
        </w:rPr>
        <w:t>不属于</w:t>
      </w:r>
      <w:r>
        <w:rPr>
          <w:rFonts w:ascii="仿宋" w:hAnsi="仿宋" w:eastAsia="仿宋"/>
          <w:sz w:val="24"/>
        </w:rPr>
        <w:t>为本项目提供整体设计、规范编制或者项目管理、监理、检测等服务的投标人。</w:t>
      </w:r>
    </w:p>
    <w:p>
      <w:pPr>
        <w:ind w:firstLine="426"/>
        <w:rPr>
          <w:rFonts w:ascii="仿宋" w:hAnsi="仿宋" w:eastAsia="仿宋"/>
          <w:sz w:val="24"/>
        </w:rPr>
      </w:pPr>
    </w:p>
    <w:p>
      <w:pPr>
        <w:ind w:firstLine="426"/>
        <w:rPr>
          <w:rFonts w:ascii="仿宋" w:hAnsi="仿宋" w:eastAsia="仿宋"/>
          <w:szCs w:val="21"/>
        </w:rPr>
      </w:pPr>
    </w:p>
    <w:p>
      <w:pPr>
        <w:spacing w:before="120" w:after="120" w:line="360" w:lineRule="auto"/>
        <w:ind w:firstLine="480" w:firstLineChars="200"/>
        <w:rPr>
          <w:rFonts w:ascii="仿宋" w:hAnsi="仿宋" w:eastAsia="仿宋"/>
          <w:sz w:val="24"/>
          <w:u w:val="single"/>
        </w:rPr>
      </w:pPr>
      <w:r>
        <w:rPr>
          <w:rFonts w:ascii="仿宋" w:hAnsi="仿宋" w:eastAsia="仿宋"/>
          <w:sz w:val="24"/>
        </w:rPr>
        <w:t>投标人名称（公章）：</w:t>
      </w:r>
    </w:p>
    <w:p>
      <w:pPr>
        <w:spacing w:before="120" w:after="120" w:line="360" w:lineRule="auto"/>
        <w:ind w:firstLine="480" w:firstLineChars="200"/>
        <w:rPr>
          <w:rFonts w:ascii="仿宋" w:hAnsi="仿宋" w:eastAsia="仿宋"/>
          <w:sz w:val="24"/>
          <w:u w:val="single"/>
        </w:rPr>
      </w:pPr>
      <w:r>
        <w:rPr>
          <w:rFonts w:ascii="仿宋" w:hAnsi="仿宋" w:eastAsia="仿宋"/>
          <w:sz w:val="24"/>
        </w:rPr>
        <w:t>法定代表人或其授权代表（签字或加盖人名章）：</w:t>
      </w:r>
    </w:p>
    <w:p>
      <w:pPr>
        <w:spacing w:before="120" w:after="120" w:line="360" w:lineRule="auto"/>
        <w:ind w:firstLine="480" w:firstLineChars="200"/>
        <w:rPr>
          <w:rFonts w:ascii="仿宋" w:hAnsi="仿宋" w:eastAsia="仿宋"/>
          <w:sz w:val="24"/>
        </w:rPr>
      </w:pPr>
      <w:r>
        <w:rPr>
          <w:rFonts w:ascii="仿宋" w:hAnsi="仿宋" w:eastAsia="仿宋"/>
          <w:sz w:val="24"/>
        </w:rPr>
        <w:t>日期：年月日</w:t>
      </w:r>
    </w:p>
    <w:p>
      <w:pPr>
        <w:rPr>
          <w:rFonts w:ascii="仿宋" w:hAnsi="仿宋" w:eastAsia="仿宋"/>
          <w:b/>
        </w:rPr>
      </w:pPr>
      <w:bookmarkStart w:id="290" w:name="_Toc7005129"/>
      <w:bookmarkStart w:id="291" w:name="_Toc60929134"/>
      <w:bookmarkStart w:id="292" w:name="_Toc60928821"/>
      <w:bookmarkStart w:id="293" w:name="_Toc60928902"/>
    </w:p>
    <w:p>
      <w:pPr>
        <w:rPr>
          <w:rFonts w:ascii="仿宋" w:hAnsi="仿宋" w:eastAsia="仿宋"/>
          <w:b/>
        </w:rPr>
      </w:pPr>
    </w:p>
    <w:p>
      <w:pPr>
        <w:rPr>
          <w:rFonts w:ascii="仿宋" w:hAnsi="仿宋" w:eastAsia="仿宋"/>
          <w:b/>
        </w:rPr>
      </w:pPr>
      <w:r>
        <w:rPr>
          <w:rFonts w:ascii="仿宋" w:hAnsi="仿宋" w:eastAsia="仿宋"/>
          <w:b/>
        </w:rPr>
        <w:t>4-9  证明投标人符合特定资格条件的证明材料</w:t>
      </w:r>
      <w:bookmarkEnd w:id="290"/>
      <w:r>
        <w:rPr>
          <w:rFonts w:ascii="仿宋" w:hAnsi="仿宋" w:eastAsia="仿宋"/>
          <w:b/>
        </w:rPr>
        <w:t>：</w:t>
      </w:r>
      <w:bookmarkEnd w:id="291"/>
      <w:bookmarkEnd w:id="292"/>
      <w:bookmarkEnd w:id="293"/>
      <w:bookmarkStart w:id="294" w:name="_Toc22472"/>
      <w:bookmarkStart w:id="295" w:name="_Toc515647807"/>
      <w:bookmarkStart w:id="296" w:name="_Toc1083"/>
      <w:bookmarkStart w:id="297" w:name="_Toc532473497"/>
      <w:bookmarkStart w:id="298" w:name="_Toc480942349"/>
      <w:bookmarkStart w:id="299" w:name="_Ref467988698"/>
      <w:bookmarkStart w:id="300" w:name="_Toc520356217"/>
      <w:bookmarkStart w:id="301" w:name="_Toc216582813"/>
    </w:p>
    <w:bookmarkEnd w:id="294"/>
    <w:bookmarkEnd w:id="295"/>
    <w:bookmarkEnd w:id="296"/>
    <w:bookmarkEnd w:id="297"/>
    <w:p>
      <w:pPr>
        <w:pStyle w:val="4"/>
        <w:rPr>
          <w:rFonts w:ascii="仿宋" w:hAnsi="仿宋" w:eastAsia="仿宋"/>
          <w:b w:val="0"/>
          <w:lang w:val="zh-CN"/>
        </w:rPr>
      </w:pPr>
      <w:r>
        <w:rPr>
          <w:rFonts w:ascii="仿宋" w:hAnsi="仿宋" w:eastAsia="仿宋"/>
          <w:lang w:val="zh-CN"/>
        </w:rPr>
        <w:br w:type="page"/>
      </w:r>
      <w:bookmarkStart w:id="302" w:name="_Toc110013791"/>
      <w:r>
        <w:rPr>
          <w:rFonts w:hint="eastAsia" w:ascii="仿宋" w:hAnsi="仿宋" w:eastAsia="仿宋"/>
          <w:b w:val="0"/>
          <w:lang w:val="zh-CN"/>
        </w:rPr>
        <w:t xml:space="preserve">第二部分 </w:t>
      </w:r>
      <w:r>
        <w:rPr>
          <w:rFonts w:ascii="仿宋" w:hAnsi="仿宋" w:eastAsia="仿宋"/>
          <w:b w:val="0"/>
          <w:lang w:val="zh-CN"/>
        </w:rPr>
        <w:t xml:space="preserve">  商务及技术文件</w:t>
      </w:r>
      <w:bookmarkEnd w:id="302"/>
    </w:p>
    <w:p>
      <w:pPr>
        <w:pStyle w:val="18"/>
        <w:tabs>
          <w:tab w:val="left" w:pos="5580"/>
        </w:tabs>
        <w:snapToGrid w:val="0"/>
        <w:spacing w:line="360" w:lineRule="auto"/>
        <w:rPr>
          <w:rFonts w:ascii="仿宋" w:hAnsi="仿宋" w:eastAsia="仿宋"/>
          <w:sz w:val="24"/>
        </w:rPr>
      </w:pPr>
      <w:r>
        <w:rPr>
          <w:rFonts w:ascii="仿宋" w:hAnsi="仿宋" w:eastAsia="仿宋"/>
          <w:sz w:val="24"/>
        </w:rPr>
        <w:t>（投标文件格式一）</w:t>
      </w:r>
    </w:p>
    <w:bookmarkEnd w:id="298"/>
    <w:bookmarkEnd w:id="299"/>
    <w:bookmarkEnd w:id="300"/>
    <w:p>
      <w:pPr>
        <w:pStyle w:val="18"/>
        <w:spacing w:line="360" w:lineRule="auto"/>
        <w:jc w:val="center"/>
        <w:rPr>
          <w:rFonts w:ascii="仿宋" w:hAnsi="仿宋" w:eastAsia="仿宋"/>
          <w:b/>
          <w:sz w:val="32"/>
        </w:rPr>
      </w:pPr>
      <w:bookmarkStart w:id="303" w:name="_Hlt520355504"/>
      <w:bookmarkEnd w:id="303"/>
      <w:bookmarkStart w:id="304" w:name="_Toc2041"/>
      <w:bookmarkStart w:id="305" w:name="_Toc14915"/>
      <w:bookmarkStart w:id="306" w:name="_Toc60929136"/>
      <w:bookmarkStart w:id="307" w:name="_Toc60928904"/>
      <w:bookmarkStart w:id="308" w:name="_Toc515647817"/>
      <w:bookmarkStart w:id="309" w:name="_Toc532473505"/>
      <w:r>
        <w:rPr>
          <w:rFonts w:ascii="仿宋" w:hAnsi="仿宋" w:eastAsia="仿宋"/>
          <w:b/>
          <w:sz w:val="32"/>
        </w:rPr>
        <w:t>投标函</w:t>
      </w:r>
      <w:bookmarkEnd w:id="301"/>
      <w:bookmarkEnd w:id="304"/>
      <w:bookmarkEnd w:id="305"/>
      <w:bookmarkEnd w:id="306"/>
      <w:bookmarkEnd w:id="307"/>
      <w:bookmarkEnd w:id="308"/>
      <w:bookmarkEnd w:id="309"/>
    </w:p>
    <w:p>
      <w:pPr>
        <w:tabs>
          <w:tab w:val="left" w:pos="5580"/>
        </w:tabs>
        <w:snapToGrid w:val="0"/>
        <w:spacing w:line="360" w:lineRule="auto"/>
        <w:ind w:left="1080" w:hanging="1080"/>
        <w:rPr>
          <w:rFonts w:ascii="仿宋" w:hAnsi="仿宋" w:eastAsia="仿宋"/>
          <w:sz w:val="24"/>
        </w:rPr>
      </w:pPr>
      <w:r>
        <w:rPr>
          <w:rFonts w:ascii="仿宋" w:hAnsi="仿宋" w:eastAsia="仿宋"/>
          <w:sz w:val="24"/>
          <w:u w:val="single"/>
        </w:rPr>
        <w:t>（采购人或采购代理机构名称）</w:t>
      </w:r>
    </w:p>
    <w:p>
      <w:pPr>
        <w:pStyle w:val="18"/>
        <w:tabs>
          <w:tab w:val="left" w:pos="5580"/>
        </w:tabs>
        <w:snapToGrid w:val="0"/>
        <w:spacing w:line="360" w:lineRule="auto"/>
        <w:ind w:left="107" w:leftChars="51" w:firstLine="480" w:firstLineChars="200"/>
        <w:rPr>
          <w:rFonts w:ascii="仿宋" w:hAnsi="仿宋" w:eastAsia="仿宋"/>
          <w:sz w:val="24"/>
        </w:rPr>
      </w:pPr>
      <w:r>
        <w:rPr>
          <w:rFonts w:ascii="仿宋" w:hAnsi="仿宋" w:eastAsia="仿宋"/>
          <w:sz w:val="24"/>
        </w:rPr>
        <w:t>根据贵方(</w:t>
      </w:r>
      <w:r>
        <w:rPr>
          <w:rFonts w:ascii="仿宋" w:hAnsi="仿宋" w:eastAsia="仿宋"/>
          <w:sz w:val="24"/>
          <w:u w:val="single"/>
        </w:rPr>
        <w:t>项目名称、采购项目编号</w:t>
      </w:r>
      <w:r>
        <w:rPr>
          <w:rFonts w:ascii="仿宋" w:hAnsi="仿宋" w:eastAsia="仿宋"/>
          <w:sz w:val="24"/>
        </w:rPr>
        <w:t>)项目的招标文件，签字代表(</w:t>
      </w:r>
      <w:r>
        <w:rPr>
          <w:rFonts w:ascii="仿宋" w:hAnsi="仿宋" w:eastAsia="仿宋"/>
          <w:sz w:val="24"/>
          <w:u w:val="single"/>
        </w:rPr>
        <w:t>姓名、职务</w:t>
      </w:r>
      <w:r>
        <w:rPr>
          <w:rFonts w:ascii="仿宋" w:hAnsi="仿宋" w:eastAsia="仿宋"/>
          <w:sz w:val="24"/>
        </w:rPr>
        <w:t>)经正式授权并代表投标人（</w:t>
      </w:r>
      <w:r>
        <w:rPr>
          <w:rFonts w:ascii="仿宋" w:hAnsi="仿宋" w:eastAsia="仿宋"/>
          <w:sz w:val="24"/>
          <w:u w:val="single"/>
        </w:rPr>
        <w:t>名称</w:t>
      </w:r>
      <w:r>
        <w:rPr>
          <w:rFonts w:ascii="仿宋" w:hAnsi="仿宋" w:eastAsia="仿宋"/>
          <w:sz w:val="24"/>
        </w:rPr>
        <w:t>）提交下述文件正本份、副本份及电子文档份。</w:t>
      </w:r>
      <w:r>
        <w:rPr>
          <w:rFonts w:ascii="仿宋" w:hAnsi="仿宋" w:eastAsia="仿宋"/>
          <w:sz w:val="24"/>
          <w:szCs w:val="24"/>
          <w:lang w:val="zh-CN"/>
        </w:rPr>
        <w:t>为此，我方郑重声明以下诸点，并负法律责任。</w:t>
      </w:r>
    </w:p>
    <w:p>
      <w:pPr>
        <w:pStyle w:val="18"/>
        <w:tabs>
          <w:tab w:val="left" w:pos="720"/>
          <w:tab w:val="left" w:pos="900"/>
        </w:tabs>
        <w:snapToGrid w:val="0"/>
        <w:spacing w:line="360" w:lineRule="auto"/>
        <w:ind w:left="769" w:leftChars="257" w:hanging="229"/>
        <w:rPr>
          <w:rFonts w:ascii="仿宋" w:hAnsi="仿宋" w:eastAsia="仿宋"/>
          <w:sz w:val="24"/>
          <w:u w:val="single"/>
        </w:rPr>
      </w:pPr>
      <w:r>
        <w:rPr>
          <w:rFonts w:ascii="仿宋" w:hAnsi="仿宋" w:eastAsia="仿宋"/>
          <w:sz w:val="24"/>
        </w:rPr>
        <w:t>（1）按照招标文件的规定，我公司投标总价为：</w:t>
      </w:r>
      <w:r>
        <w:rPr>
          <w:rFonts w:ascii="仿宋" w:hAnsi="仿宋" w:eastAsia="仿宋"/>
          <w:sz w:val="24"/>
          <w:u w:val="single"/>
        </w:rPr>
        <w:t>人民币（大写）　　  元（￥：   元）</w:t>
      </w:r>
      <w:r>
        <w:rPr>
          <w:rFonts w:ascii="仿宋" w:hAnsi="仿宋" w:eastAsia="仿宋"/>
          <w:sz w:val="24"/>
        </w:rPr>
        <w:t>，其中联合协议或分包意向协议（如有）约定由小型和微型企业制造产品的价格为</w:t>
      </w:r>
      <w:r>
        <w:rPr>
          <w:rFonts w:ascii="仿宋" w:hAnsi="仿宋" w:eastAsia="仿宋"/>
          <w:sz w:val="24"/>
          <w:u w:val="single"/>
        </w:rPr>
        <w:t>人民币（大写）　　  元（￥：   元），占投标总价的   %</w:t>
      </w:r>
      <w:r>
        <w:rPr>
          <w:rFonts w:ascii="仿宋" w:hAnsi="仿宋" w:eastAsia="仿宋"/>
          <w:sz w:val="24"/>
        </w:rPr>
        <w:t>。</w:t>
      </w:r>
    </w:p>
    <w:p>
      <w:pPr>
        <w:pStyle w:val="18"/>
        <w:tabs>
          <w:tab w:val="left" w:pos="5580"/>
        </w:tabs>
        <w:snapToGrid w:val="0"/>
        <w:spacing w:line="360" w:lineRule="auto"/>
        <w:ind w:left="1080" w:leftChars="257" w:hanging="540"/>
        <w:rPr>
          <w:rFonts w:ascii="仿宋" w:hAnsi="仿宋" w:eastAsia="仿宋"/>
          <w:sz w:val="24"/>
        </w:rPr>
      </w:pPr>
      <w:r>
        <w:rPr>
          <w:rFonts w:ascii="仿宋" w:hAnsi="仿宋" w:eastAsia="仿宋"/>
          <w:sz w:val="24"/>
        </w:rPr>
        <w:t>（2）本投标有效期为自</w:t>
      </w:r>
      <w:r>
        <w:rPr>
          <w:rFonts w:ascii="仿宋" w:hAnsi="仿宋" w:eastAsia="仿宋"/>
          <w:sz w:val="24"/>
          <w:szCs w:val="24"/>
        </w:rPr>
        <w:t>投标截止之日起个日历日</w:t>
      </w:r>
      <w:r>
        <w:rPr>
          <w:rFonts w:ascii="仿宋" w:hAnsi="仿宋" w:eastAsia="仿宋"/>
          <w:sz w:val="24"/>
          <w:szCs w:val="24"/>
          <w:lang w:val="zh-CN"/>
        </w:rPr>
        <w:t>，若我方中标，投标文件有效期自动延长至合同执行完毕。</w:t>
      </w:r>
    </w:p>
    <w:p>
      <w:pPr>
        <w:pStyle w:val="18"/>
        <w:tabs>
          <w:tab w:val="left" w:pos="5580"/>
        </w:tabs>
        <w:snapToGrid w:val="0"/>
        <w:spacing w:line="360" w:lineRule="auto"/>
        <w:ind w:left="1080" w:leftChars="257" w:hanging="540"/>
        <w:rPr>
          <w:rFonts w:ascii="仿宋" w:hAnsi="仿宋" w:eastAsia="仿宋"/>
          <w:sz w:val="24"/>
        </w:rPr>
      </w:pPr>
      <w:r>
        <w:rPr>
          <w:rFonts w:ascii="仿宋" w:hAnsi="仿宋" w:eastAsia="仿宋"/>
          <w:sz w:val="24"/>
        </w:rPr>
        <w:t>（3）已详细审查全部招标文件，包括所有补充通知，完全理解并同意放弃对这方面有不明、误解的权利。</w:t>
      </w:r>
    </w:p>
    <w:p>
      <w:pPr>
        <w:pStyle w:val="18"/>
        <w:tabs>
          <w:tab w:val="left" w:pos="5580"/>
        </w:tabs>
        <w:snapToGrid w:val="0"/>
        <w:spacing w:line="360" w:lineRule="auto"/>
        <w:ind w:left="1080" w:leftChars="257" w:hanging="540"/>
        <w:rPr>
          <w:rFonts w:ascii="仿宋" w:hAnsi="仿宋" w:eastAsia="仿宋"/>
          <w:sz w:val="24"/>
        </w:rPr>
      </w:pPr>
      <w:r>
        <w:rPr>
          <w:rFonts w:ascii="仿宋" w:hAnsi="仿宋" w:eastAsia="仿宋"/>
          <w:sz w:val="24"/>
        </w:rPr>
        <w:t>（4）按照招标文件的规定，在中标后向贵方一次性支付招标代理费。</w:t>
      </w:r>
    </w:p>
    <w:p>
      <w:pPr>
        <w:pStyle w:val="18"/>
        <w:tabs>
          <w:tab w:val="left" w:pos="5580"/>
        </w:tabs>
        <w:snapToGrid w:val="0"/>
        <w:spacing w:line="360" w:lineRule="auto"/>
        <w:ind w:left="1080" w:leftChars="257" w:hanging="540"/>
        <w:rPr>
          <w:rFonts w:ascii="仿宋" w:hAnsi="仿宋" w:eastAsia="仿宋"/>
          <w:sz w:val="24"/>
        </w:rPr>
      </w:pPr>
      <w:r>
        <w:rPr>
          <w:rFonts w:ascii="仿宋" w:hAnsi="仿宋" w:eastAsia="仿宋"/>
          <w:sz w:val="24"/>
        </w:rPr>
        <w:t>（5）按照贵方可能的要求，提供与投标有关的一切数据或资料，我们完全理解最低投标报价不作为中标的唯一条件，且尊重评标结论和定标结果。</w:t>
      </w:r>
    </w:p>
    <w:p>
      <w:pPr>
        <w:pStyle w:val="18"/>
        <w:tabs>
          <w:tab w:val="left" w:pos="5580"/>
        </w:tabs>
        <w:snapToGrid w:val="0"/>
        <w:spacing w:line="360" w:lineRule="auto"/>
        <w:ind w:left="1080" w:leftChars="257" w:hanging="540"/>
        <w:rPr>
          <w:rFonts w:ascii="仿宋" w:hAnsi="仿宋" w:eastAsia="仿宋"/>
          <w:sz w:val="24"/>
        </w:rPr>
      </w:pPr>
      <w:r>
        <w:rPr>
          <w:rFonts w:ascii="仿宋" w:hAnsi="仿宋" w:eastAsia="仿宋"/>
          <w:sz w:val="24"/>
        </w:rPr>
        <w:t>（6）完全理解并无条件承担中标后不依法与采购人签订合同的法律后果。</w:t>
      </w:r>
    </w:p>
    <w:p>
      <w:pPr>
        <w:pStyle w:val="18"/>
        <w:tabs>
          <w:tab w:val="left" w:pos="5580"/>
        </w:tabs>
        <w:snapToGrid w:val="0"/>
        <w:spacing w:line="360" w:lineRule="auto"/>
        <w:ind w:left="344" w:leftChars="118" w:hanging="96" w:hangingChars="40"/>
        <w:rPr>
          <w:rFonts w:ascii="仿宋" w:hAnsi="仿宋" w:eastAsia="仿宋"/>
          <w:sz w:val="24"/>
        </w:rPr>
      </w:pPr>
    </w:p>
    <w:p>
      <w:pPr>
        <w:autoSpaceDE w:val="0"/>
        <w:autoSpaceDN w:val="0"/>
        <w:adjustRightInd w:val="0"/>
        <w:snapToGrid w:val="0"/>
        <w:spacing w:line="360" w:lineRule="auto"/>
        <w:rPr>
          <w:rFonts w:ascii="仿宋" w:hAnsi="仿宋" w:eastAsia="仿宋"/>
          <w:sz w:val="24"/>
        </w:rPr>
      </w:pPr>
      <w:bookmarkStart w:id="310" w:name="_Toc1266"/>
      <w:bookmarkStart w:id="311" w:name="_Toc23473"/>
      <w:bookmarkStart w:id="312" w:name="_Toc532473506"/>
      <w:r>
        <w:rPr>
          <w:rFonts w:ascii="仿宋" w:hAnsi="仿宋" w:eastAsia="仿宋"/>
          <w:sz w:val="24"/>
          <w:lang w:val="zh-CN"/>
        </w:rPr>
        <w:t>投标人全称（</w:t>
      </w:r>
      <w:r>
        <w:rPr>
          <w:rFonts w:hint="eastAsia" w:ascii="仿宋" w:hAnsi="仿宋" w:eastAsia="仿宋"/>
          <w:sz w:val="24"/>
        </w:rPr>
        <w:t>盖</w:t>
      </w:r>
      <w:r>
        <w:rPr>
          <w:rFonts w:ascii="仿宋" w:hAnsi="仿宋" w:eastAsia="仿宋"/>
          <w:sz w:val="24"/>
          <w:lang w:val="zh-CN"/>
        </w:rPr>
        <w:t>公章）：</w:t>
      </w:r>
      <w:r>
        <w:rPr>
          <w:rFonts w:ascii="仿宋" w:hAnsi="仿宋" w:eastAsia="仿宋"/>
          <w:sz w:val="24"/>
        </w:rPr>
        <w:t>__________________________________________</w:t>
      </w:r>
    </w:p>
    <w:p>
      <w:pPr>
        <w:autoSpaceDE w:val="0"/>
        <w:autoSpaceDN w:val="0"/>
        <w:adjustRightInd w:val="0"/>
        <w:snapToGrid w:val="0"/>
        <w:spacing w:line="360" w:lineRule="auto"/>
        <w:ind w:firstLine="720" w:firstLineChars="300"/>
        <w:rPr>
          <w:rFonts w:ascii="仿宋" w:hAnsi="仿宋" w:eastAsia="仿宋"/>
          <w:sz w:val="24"/>
        </w:rPr>
      </w:pPr>
      <w:r>
        <w:rPr>
          <w:rFonts w:ascii="仿宋" w:hAnsi="仿宋" w:eastAsia="仿宋"/>
          <w:sz w:val="24"/>
          <w:lang w:val="zh-CN"/>
        </w:rPr>
        <w:t>地址：</w:t>
      </w:r>
      <w:r>
        <w:rPr>
          <w:rFonts w:ascii="仿宋" w:hAnsi="仿宋" w:eastAsia="仿宋"/>
          <w:sz w:val="24"/>
        </w:rPr>
        <w:t>__________________________________________</w:t>
      </w:r>
    </w:p>
    <w:p>
      <w:pPr>
        <w:autoSpaceDE w:val="0"/>
        <w:autoSpaceDN w:val="0"/>
        <w:adjustRightInd w:val="0"/>
        <w:snapToGrid w:val="0"/>
        <w:spacing w:line="360" w:lineRule="auto"/>
        <w:ind w:firstLine="720" w:firstLineChars="300"/>
        <w:rPr>
          <w:rFonts w:ascii="仿宋" w:hAnsi="仿宋" w:eastAsia="仿宋"/>
          <w:sz w:val="24"/>
        </w:rPr>
      </w:pPr>
      <w:r>
        <w:rPr>
          <w:rFonts w:ascii="仿宋" w:hAnsi="仿宋" w:eastAsia="仿宋"/>
          <w:sz w:val="24"/>
          <w:lang w:val="zh-CN"/>
        </w:rPr>
        <w:t>开户银行：</w:t>
      </w:r>
      <w:r>
        <w:rPr>
          <w:rFonts w:ascii="仿宋" w:hAnsi="仿宋" w:eastAsia="仿宋"/>
          <w:sz w:val="24"/>
        </w:rPr>
        <w:t>__________________________________________</w:t>
      </w:r>
    </w:p>
    <w:p>
      <w:pPr>
        <w:autoSpaceDE w:val="0"/>
        <w:autoSpaceDN w:val="0"/>
        <w:adjustRightInd w:val="0"/>
        <w:snapToGrid w:val="0"/>
        <w:spacing w:line="360" w:lineRule="auto"/>
        <w:ind w:firstLine="720" w:firstLineChars="300"/>
        <w:rPr>
          <w:rFonts w:ascii="仿宋" w:hAnsi="仿宋" w:eastAsia="仿宋"/>
          <w:sz w:val="24"/>
        </w:rPr>
      </w:pPr>
      <w:r>
        <w:rPr>
          <w:rFonts w:ascii="仿宋" w:hAnsi="仿宋" w:eastAsia="仿宋"/>
          <w:sz w:val="24"/>
          <w:lang w:val="zh-CN"/>
        </w:rPr>
        <w:t>账号：</w:t>
      </w:r>
      <w:r>
        <w:rPr>
          <w:rFonts w:ascii="仿宋" w:hAnsi="仿宋" w:eastAsia="仿宋"/>
          <w:sz w:val="24"/>
        </w:rPr>
        <w:t>__________________________________________</w:t>
      </w:r>
    </w:p>
    <w:p>
      <w:pPr>
        <w:autoSpaceDE w:val="0"/>
        <w:autoSpaceDN w:val="0"/>
        <w:adjustRightInd w:val="0"/>
        <w:snapToGrid w:val="0"/>
        <w:spacing w:line="360" w:lineRule="auto"/>
        <w:ind w:firstLine="720" w:firstLineChars="300"/>
        <w:rPr>
          <w:rFonts w:ascii="仿宋" w:hAnsi="仿宋" w:eastAsia="仿宋"/>
          <w:sz w:val="24"/>
        </w:rPr>
      </w:pPr>
      <w:r>
        <w:rPr>
          <w:rFonts w:ascii="仿宋" w:hAnsi="仿宋" w:eastAsia="仿宋"/>
          <w:sz w:val="24"/>
          <w:lang w:val="zh-CN"/>
        </w:rPr>
        <w:t>电话：</w:t>
      </w:r>
      <w:r>
        <w:rPr>
          <w:rFonts w:ascii="仿宋" w:hAnsi="仿宋" w:eastAsia="仿宋"/>
          <w:sz w:val="24"/>
        </w:rPr>
        <w:t>__________________________________________</w:t>
      </w:r>
    </w:p>
    <w:p>
      <w:pPr>
        <w:autoSpaceDE w:val="0"/>
        <w:autoSpaceDN w:val="0"/>
        <w:adjustRightInd w:val="0"/>
        <w:snapToGrid w:val="0"/>
        <w:spacing w:line="360" w:lineRule="auto"/>
        <w:ind w:firstLine="720" w:firstLineChars="300"/>
        <w:rPr>
          <w:rFonts w:ascii="仿宋" w:hAnsi="仿宋" w:eastAsia="仿宋"/>
          <w:sz w:val="24"/>
        </w:rPr>
      </w:pPr>
      <w:r>
        <w:rPr>
          <w:rFonts w:ascii="仿宋" w:hAnsi="仿宋" w:eastAsia="仿宋"/>
          <w:sz w:val="24"/>
          <w:lang w:val="zh-CN"/>
        </w:rPr>
        <w:t>法定代表人</w:t>
      </w:r>
      <w:r>
        <w:rPr>
          <w:rFonts w:ascii="仿宋" w:hAnsi="仿宋" w:eastAsia="仿宋"/>
          <w:sz w:val="24"/>
        </w:rPr>
        <w:t>或</w:t>
      </w:r>
      <w:r>
        <w:rPr>
          <w:rFonts w:ascii="仿宋" w:hAnsi="仿宋" w:eastAsia="仿宋"/>
          <w:sz w:val="24"/>
          <w:lang w:val="zh-CN"/>
        </w:rPr>
        <w:t>授权代表（</w:t>
      </w:r>
      <w:r>
        <w:rPr>
          <w:rFonts w:ascii="仿宋" w:hAnsi="仿宋" w:eastAsia="仿宋"/>
          <w:b/>
          <w:sz w:val="24"/>
          <w:lang w:val="zh-CN"/>
        </w:rPr>
        <w:t>签字</w:t>
      </w:r>
      <w:r>
        <w:rPr>
          <w:rFonts w:hint="eastAsia" w:ascii="仿宋" w:hAnsi="仿宋" w:eastAsia="仿宋"/>
          <w:b/>
          <w:sz w:val="24"/>
          <w:lang w:val="zh-CN"/>
        </w:rPr>
        <w:t>或盖章</w:t>
      </w:r>
      <w:r>
        <w:rPr>
          <w:rFonts w:ascii="仿宋" w:hAnsi="仿宋" w:eastAsia="仿宋"/>
          <w:sz w:val="24"/>
          <w:lang w:val="zh-CN"/>
        </w:rPr>
        <w:t>）：</w:t>
      </w:r>
      <w:r>
        <w:rPr>
          <w:rFonts w:ascii="仿宋" w:hAnsi="仿宋" w:eastAsia="仿宋"/>
          <w:sz w:val="24"/>
        </w:rPr>
        <w:t>_____________</w:t>
      </w:r>
    </w:p>
    <w:p>
      <w:pPr>
        <w:snapToGrid w:val="0"/>
        <w:spacing w:line="360" w:lineRule="auto"/>
        <w:ind w:firstLine="560"/>
        <w:jc w:val="right"/>
        <w:rPr>
          <w:rFonts w:ascii="仿宋" w:hAnsi="仿宋" w:eastAsia="仿宋"/>
          <w:sz w:val="24"/>
        </w:rPr>
      </w:pPr>
      <w:r>
        <w:rPr>
          <w:rFonts w:ascii="仿宋" w:hAnsi="仿宋" w:eastAsia="仿宋"/>
          <w:sz w:val="24"/>
        </w:rPr>
        <w:t xml:space="preserve">                 _____</w:t>
      </w:r>
      <w:r>
        <w:rPr>
          <w:rFonts w:ascii="仿宋" w:hAnsi="仿宋" w:eastAsia="仿宋"/>
          <w:sz w:val="24"/>
          <w:lang w:val="zh-CN"/>
        </w:rPr>
        <w:t>年</w:t>
      </w:r>
      <w:r>
        <w:rPr>
          <w:rFonts w:ascii="仿宋" w:hAnsi="仿宋" w:eastAsia="仿宋"/>
          <w:sz w:val="24"/>
        </w:rPr>
        <w:t>_____</w:t>
      </w:r>
      <w:r>
        <w:rPr>
          <w:rFonts w:ascii="仿宋" w:hAnsi="仿宋" w:eastAsia="仿宋"/>
          <w:sz w:val="24"/>
          <w:lang w:val="zh-CN"/>
        </w:rPr>
        <w:t>月</w:t>
      </w:r>
      <w:r>
        <w:rPr>
          <w:rFonts w:ascii="仿宋" w:hAnsi="仿宋" w:eastAsia="仿宋"/>
          <w:sz w:val="24"/>
        </w:rPr>
        <w:t>_____</w:t>
      </w:r>
      <w:r>
        <w:rPr>
          <w:rFonts w:ascii="仿宋" w:hAnsi="仿宋" w:eastAsia="仿宋"/>
          <w:sz w:val="24"/>
          <w:lang w:val="zh-CN"/>
        </w:rPr>
        <w:t>日</w:t>
      </w:r>
      <w:bookmarkEnd w:id="310"/>
      <w:bookmarkEnd w:id="311"/>
      <w:bookmarkEnd w:id="312"/>
      <w:bookmarkStart w:id="313" w:name="_Hlt520355938"/>
      <w:bookmarkEnd w:id="313"/>
      <w:bookmarkStart w:id="314" w:name="_Hlt520356243"/>
      <w:bookmarkEnd w:id="314"/>
    </w:p>
    <w:p>
      <w:pPr>
        <w:tabs>
          <w:tab w:val="left" w:pos="1800"/>
          <w:tab w:val="left" w:pos="5580"/>
        </w:tabs>
        <w:spacing w:line="360" w:lineRule="auto"/>
        <w:ind w:right="-867" w:rightChars="-413"/>
        <w:rPr>
          <w:rFonts w:ascii="仿宋" w:hAnsi="仿宋" w:eastAsia="仿宋"/>
          <w:sz w:val="24"/>
        </w:rPr>
      </w:pPr>
      <w:r>
        <w:rPr>
          <w:rFonts w:ascii="仿宋" w:hAnsi="仿宋" w:eastAsia="仿宋"/>
          <w:sz w:val="24"/>
        </w:rPr>
        <w:br w:type="page"/>
      </w:r>
      <w:r>
        <w:rPr>
          <w:rFonts w:ascii="仿宋" w:hAnsi="仿宋" w:eastAsia="仿宋"/>
          <w:sz w:val="24"/>
        </w:rPr>
        <w:t>（投标文件格式二）</w:t>
      </w:r>
    </w:p>
    <w:p>
      <w:pPr>
        <w:pStyle w:val="18"/>
        <w:spacing w:line="360" w:lineRule="auto"/>
        <w:jc w:val="center"/>
        <w:rPr>
          <w:rFonts w:ascii="仿宋" w:hAnsi="仿宋" w:eastAsia="仿宋"/>
          <w:b/>
          <w:sz w:val="32"/>
        </w:rPr>
      </w:pPr>
      <w:bookmarkStart w:id="315" w:name="_Toc30524"/>
      <w:bookmarkStart w:id="316" w:name="_Toc16568"/>
      <w:bookmarkStart w:id="317" w:name="_Toc515647804"/>
      <w:bookmarkStart w:id="318" w:name="_Toc532473495"/>
      <w:bookmarkStart w:id="319" w:name="_Toc60929137"/>
      <w:bookmarkStart w:id="320" w:name="_Toc60928905"/>
      <w:r>
        <w:rPr>
          <w:rFonts w:ascii="仿宋" w:hAnsi="仿宋" w:eastAsia="仿宋"/>
          <w:b/>
          <w:sz w:val="32"/>
        </w:rPr>
        <w:t>开标一览表</w:t>
      </w:r>
      <w:bookmarkEnd w:id="315"/>
      <w:bookmarkEnd w:id="316"/>
      <w:bookmarkEnd w:id="317"/>
      <w:bookmarkEnd w:id="318"/>
      <w:bookmarkEnd w:id="319"/>
      <w:bookmarkEnd w:id="320"/>
    </w:p>
    <w:p>
      <w:pPr>
        <w:pStyle w:val="5"/>
        <w:tabs>
          <w:tab w:val="left" w:pos="5580"/>
        </w:tabs>
        <w:spacing w:line="360" w:lineRule="auto"/>
        <w:ind w:left="1080" w:leftChars="257" w:hanging="540"/>
        <w:rPr>
          <w:rFonts w:ascii="仿宋" w:hAnsi="仿宋" w:eastAsia="仿宋"/>
        </w:rPr>
      </w:pPr>
      <w:bookmarkStart w:id="321" w:name="_Hlt520356241"/>
      <w:bookmarkEnd w:id="321"/>
    </w:p>
    <w:p>
      <w:pPr>
        <w:tabs>
          <w:tab w:val="left" w:pos="1800"/>
          <w:tab w:val="left" w:pos="5580"/>
        </w:tabs>
        <w:spacing w:line="360" w:lineRule="auto"/>
        <w:ind w:right="-867" w:rightChars="-413"/>
        <w:rPr>
          <w:rFonts w:ascii="仿宋" w:hAnsi="仿宋" w:eastAsia="仿宋"/>
          <w:sz w:val="24"/>
        </w:rPr>
      </w:pPr>
      <w:r>
        <w:rPr>
          <w:rFonts w:ascii="仿宋" w:hAnsi="仿宋" w:eastAsia="仿宋"/>
          <w:sz w:val="24"/>
        </w:rPr>
        <w:t>项目名称：</w:t>
      </w:r>
      <w:r>
        <w:rPr>
          <w:rFonts w:hint="eastAsia" w:ascii="仿宋" w:hAnsi="仿宋" w:eastAsia="仿宋"/>
          <w:sz w:val="24"/>
        </w:rPr>
        <w:t>陕西省“金审三期”延安市配套建设服务项目</w:t>
      </w:r>
    </w:p>
    <w:p>
      <w:pPr>
        <w:tabs>
          <w:tab w:val="left" w:pos="1800"/>
          <w:tab w:val="left" w:pos="5580"/>
        </w:tabs>
        <w:spacing w:line="360" w:lineRule="auto"/>
        <w:ind w:right="-867" w:rightChars="-413"/>
        <w:rPr>
          <w:rFonts w:ascii="仿宋" w:hAnsi="仿宋" w:eastAsia="仿宋"/>
          <w:sz w:val="24"/>
        </w:rPr>
      </w:pPr>
      <w:r>
        <w:rPr>
          <w:rFonts w:ascii="仿宋" w:hAnsi="仿宋" w:eastAsia="仿宋"/>
          <w:sz w:val="24"/>
        </w:rPr>
        <w:t>项目编号：SCZD2022-ZB-2</w:t>
      </w:r>
      <w:r>
        <w:rPr>
          <w:rFonts w:hint="eastAsia" w:ascii="仿宋" w:hAnsi="仿宋" w:eastAsia="仿宋"/>
          <w:sz w:val="24"/>
        </w:rPr>
        <w:t>914-</w:t>
      </w:r>
      <w:r>
        <w:rPr>
          <w:rFonts w:ascii="仿宋" w:hAnsi="仿宋" w:eastAsia="仿宋"/>
          <w:sz w:val="24"/>
        </w:rPr>
        <w:t>001</w:t>
      </w:r>
    </w:p>
    <w:tbl>
      <w:tblPr>
        <w:tblStyle w:val="37"/>
        <w:tblW w:w="4623" w:type="pct"/>
        <w:jc w:val="center"/>
        <w:tblLayout w:type="autofit"/>
        <w:tblCellMar>
          <w:top w:w="0" w:type="dxa"/>
          <w:left w:w="0" w:type="dxa"/>
          <w:bottom w:w="0" w:type="dxa"/>
          <w:right w:w="0" w:type="dxa"/>
        </w:tblCellMar>
      </w:tblPr>
      <w:tblGrid>
        <w:gridCol w:w="3003"/>
        <w:gridCol w:w="2039"/>
        <w:gridCol w:w="1773"/>
        <w:gridCol w:w="1853"/>
      </w:tblGrid>
      <w:tr>
        <w:tblPrEx>
          <w:tblCellMar>
            <w:top w:w="0" w:type="dxa"/>
            <w:left w:w="0" w:type="dxa"/>
            <w:bottom w:w="0" w:type="dxa"/>
            <w:right w:w="0" w:type="dxa"/>
          </w:tblCellMar>
        </w:tblPrEx>
        <w:trPr>
          <w:trHeight w:val="662" w:hRule="atLeast"/>
          <w:jc w:val="center"/>
        </w:trPr>
        <w:tc>
          <w:tcPr>
            <w:tcW w:w="1732" w:type="pct"/>
            <w:tcBorders>
              <w:top w:val="single" w:color="auto" w:sz="4" w:space="0"/>
              <w:left w:val="single" w:color="auto" w:sz="8" w:space="0"/>
              <w:bottom w:val="single" w:color="auto" w:sz="8" w:space="0"/>
              <w:right w:val="single" w:color="auto" w:sz="4" w:space="0"/>
            </w:tcBorders>
            <w:vAlign w:val="center"/>
          </w:tcPr>
          <w:p>
            <w:pPr>
              <w:tabs>
                <w:tab w:val="left" w:pos="5580"/>
              </w:tabs>
              <w:jc w:val="center"/>
              <w:rPr>
                <w:rFonts w:ascii="仿宋" w:hAnsi="仿宋" w:eastAsia="仿宋"/>
                <w:sz w:val="24"/>
              </w:rPr>
            </w:pPr>
            <w:r>
              <w:rPr>
                <w:rFonts w:ascii="仿宋" w:hAnsi="仿宋" w:eastAsia="仿宋"/>
                <w:sz w:val="24"/>
              </w:rPr>
              <w:t>投标总价（单位：元）</w:t>
            </w:r>
          </w:p>
        </w:tc>
        <w:tc>
          <w:tcPr>
            <w:tcW w:w="1176" w:type="pct"/>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sz w:val="24"/>
              </w:rPr>
            </w:pPr>
            <w:r>
              <w:rPr>
                <w:rFonts w:hint="eastAsia" w:ascii="仿宋" w:hAnsi="仿宋" w:eastAsia="仿宋"/>
                <w:sz w:val="24"/>
              </w:rPr>
              <w:t>交货期</w:t>
            </w:r>
          </w:p>
        </w:tc>
        <w:tc>
          <w:tcPr>
            <w:tcW w:w="1023" w:type="pct"/>
            <w:tcBorders>
              <w:top w:val="single" w:color="auto" w:sz="8" w:space="0"/>
              <w:left w:val="nil"/>
              <w:bottom w:val="single" w:color="auto" w:sz="8" w:space="0"/>
              <w:right w:val="single" w:color="auto" w:sz="4" w:space="0"/>
            </w:tcBorders>
            <w:vAlign w:val="center"/>
          </w:tcPr>
          <w:p>
            <w:pPr>
              <w:tabs>
                <w:tab w:val="left" w:pos="5580"/>
              </w:tabs>
              <w:jc w:val="center"/>
              <w:rPr>
                <w:rFonts w:ascii="仿宋" w:hAnsi="仿宋" w:eastAsia="仿宋"/>
                <w:sz w:val="24"/>
              </w:rPr>
            </w:pPr>
            <w:r>
              <w:rPr>
                <w:rFonts w:hint="eastAsia" w:ascii="仿宋" w:hAnsi="仿宋" w:eastAsia="仿宋"/>
                <w:sz w:val="24"/>
              </w:rPr>
              <w:t>交货地点</w:t>
            </w:r>
          </w:p>
        </w:tc>
        <w:tc>
          <w:tcPr>
            <w:tcW w:w="1069" w:type="pct"/>
            <w:tcBorders>
              <w:top w:val="single" w:color="auto" w:sz="8" w:space="0"/>
              <w:left w:val="single" w:color="auto" w:sz="4" w:space="0"/>
              <w:bottom w:val="single" w:color="auto" w:sz="8" w:space="0"/>
              <w:right w:val="single" w:color="auto" w:sz="8" w:space="0"/>
            </w:tcBorders>
            <w:vAlign w:val="center"/>
          </w:tcPr>
          <w:p>
            <w:pPr>
              <w:tabs>
                <w:tab w:val="left" w:pos="5580"/>
              </w:tabs>
              <w:jc w:val="center"/>
              <w:rPr>
                <w:rFonts w:ascii="仿宋" w:hAnsi="仿宋" w:eastAsia="仿宋"/>
                <w:sz w:val="24"/>
              </w:rPr>
            </w:pPr>
            <w:r>
              <w:rPr>
                <w:rFonts w:ascii="仿宋" w:hAnsi="仿宋" w:eastAsia="仿宋"/>
                <w:sz w:val="24"/>
              </w:rPr>
              <w:t>备注</w:t>
            </w:r>
          </w:p>
        </w:tc>
      </w:tr>
      <w:tr>
        <w:tblPrEx>
          <w:tblCellMar>
            <w:top w:w="0" w:type="dxa"/>
            <w:left w:w="0" w:type="dxa"/>
            <w:bottom w:w="0" w:type="dxa"/>
            <w:right w:w="0" w:type="dxa"/>
          </w:tblCellMar>
        </w:tblPrEx>
        <w:trPr>
          <w:cantSplit/>
          <w:trHeight w:val="1640" w:hRule="atLeast"/>
          <w:jc w:val="center"/>
        </w:trPr>
        <w:tc>
          <w:tcPr>
            <w:tcW w:w="1732" w:type="pct"/>
            <w:tcBorders>
              <w:top w:val="single" w:color="auto" w:sz="8" w:space="0"/>
              <w:left w:val="single" w:color="auto" w:sz="8" w:space="0"/>
              <w:bottom w:val="single" w:color="auto" w:sz="4" w:space="0"/>
              <w:right w:val="single" w:color="auto" w:sz="4" w:space="0"/>
            </w:tcBorders>
            <w:vAlign w:val="center"/>
          </w:tcPr>
          <w:p>
            <w:pPr>
              <w:tabs>
                <w:tab w:val="left" w:pos="5580"/>
              </w:tabs>
              <w:spacing w:line="360" w:lineRule="auto"/>
              <w:jc w:val="left"/>
              <w:rPr>
                <w:rFonts w:ascii="仿宋" w:hAnsi="仿宋" w:eastAsia="仿宋"/>
                <w:sz w:val="24"/>
              </w:rPr>
            </w:pPr>
            <w:r>
              <w:rPr>
                <w:rFonts w:ascii="仿宋" w:hAnsi="仿宋" w:eastAsia="仿宋"/>
                <w:sz w:val="24"/>
              </w:rPr>
              <w:t>大写：</w:t>
            </w:r>
          </w:p>
          <w:p>
            <w:pPr>
              <w:tabs>
                <w:tab w:val="left" w:pos="5580"/>
              </w:tabs>
              <w:spacing w:line="360" w:lineRule="auto"/>
              <w:jc w:val="left"/>
              <w:rPr>
                <w:rFonts w:ascii="仿宋" w:hAnsi="仿宋" w:eastAsia="仿宋"/>
                <w:sz w:val="24"/>
              </w:rPr>
            </w:pPr>
            <w:r>
              <w:rPr>
                <w:rFonts w:ascii="仿宋" w:hAnsi="仿宋" w:eastAsia="仿宋"/>
                <w:sz w:val="24"/>
              </w:rPr>
              <w:t>小写：</w:t>
            </w:r>
          </w:p>
        </w:tc>
        <w:tc>
          <w:tcPr>
            <w:tcW w:w="1176" w:type="pct"/>
            <w:tcBorders>
              <w:top w:val="single" w:color="auto" w:sz="8" w:space="0"/>
              <w:left w:val="nil"/>
              <w:bottom w:val="single" w:color="auto" w:sz="4" w:space="0"/>
              <w:right w:val="single" w:color="auto" w:sz="4" w:space="0"/>
            </w:tcBorders>
            <w:vAlign w:val="center"/>
          </w:tcPr>
          <w:p>
            <w:pPr>
              <w:tabs>
                <w:tab w:val="left" w:pos="5580"/>
              </w:tabs>
              <w:jc w:val="center"/>
              <w:rPr>
                <w:rFonts w:ascii="仿宋" w:hAnsi="仿宋" w:eastAsia="仿宋"/>
                <w:sz w:val="24"/>
              </w:rPr>
            </w:pPr>
            <w:r>
              <w:rPr>
                <w:rFonts w:hint="eastAsia" w:ascii="仿宋" w:hAnsi="仿宋" w:eastAsia="仿宋"/>
                <w:sz w:val="24"/>
              </w:rPr>
              <w:t>合同签订后</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个月交货</w:t>
            </w:r>
          </w:p>
        </w:tc>
        <w:tc>
          <w:tcPr>
            <w:tcW w:w="1023" w:type="pct"/>
            <w:tcBorders>
              <w:top w:val="single" w:color="auto" w:sz="8" w:space="0"/>
              <w:left w:val="nil"/>
              <w:bottom w:val="single" w:color="auto" w:sz="4" w:space="0"/>
              <w:right w:val="single" w:color="auto" w:sz="4" w:space="0"/>
            </w:tcBorders>
            <w:vAlign w:val="center"/>
          </w:tcPr>
          <w:p>
            <w:pPr>
              <w:tabs>
                <w:tab w:val="left" w:pos="5580"/>
              </w:tabs>
              <w:ind w:left="539" w:hanging="539"/>
              <w:jc w:val="center"/>
              <w:rPr>
                <w:rFonts w:ascii="仿宋" w:hAnsi="仿宋" w:eastAsia="仿宋"/>
                <w:sz w:val="24"/>
              </w:rPr>
            </w:pPr>
            <w:r>
              <w:rPr>
                <w:rFonts w:hint="eastAsia" w:ascii="仿宋" w:hAnsi="仿宋" w:eastAsia="仿宋"/>
                <w:sz w:val="24"/>
              </w:rPr>
              <w:t>延安市审计局</w:t>
            </w:r>
          </w:p>
        </w:tc>
        <w:tc>
          <w:tcPr>
            <w:tcW w:w="1069" w:type="pct"/>
            <w:tcBorders>
              <w:top w:val="single" w:color="auto" w:sz="8" w:space="0"/>
              <w:left w:val="single" w:color="auto" w:sz="4" w:space="0"/>
              <w:bottom w:val="single" w:color="auto" w:sz="4" w:space="0"/>
              <w:right w:val="single" w:color="auto" w:sz="8" w:space="0"/>
            </w:tcBorders>
            <w:vAlign w:val="center"/>
          </w:tcPr>
          <w:p>
            <w:pPr>
              <w:tabs>
                <w:tab w:val="left" w:pos="5580"/>
              </w:tabs>
              <w:spacing w:line="360" w:lineRule="auto"/>
              <w:ind w:left="1080" w:leftChars="257" w:hanging="540"/>
              <w:jc w:val="center"/>
              <w:rPr>
                <w:rFonts w:ascii="仿宋" w:hAnsi="仿宋" w:eastAsia="仿宋"/>
                <w:sz w:val="24"/>
              </w:rPr>
            </w:pPr>
          </w:p>
        </w:tc>
      </w:tr>
    </w:tbl>
    <w:p>
      <w:pPr>
        <w:pStyle w:val="18"/>
        <w:tabs>
          <w:tab w:val="left" w:pos="5580"/>
        </w:tabs>
        <w:spacing w:line="360" w:lineRule="auto"/>
        <w:rPr>
          <w:rFonts w:ascii="仿宋" w:hAnsi="仿宋" w:eastAsia="仿宋"/>
          <w:sz w:val="24"/>
          <w:u w:val="single"/>
        </w:rPr>
      </w:pPr>
    </w:p>
    <w:p>
      <w:pPr>
        <w:pStyle w:val="18"/>
        <w:tabs>
          <w:tab w:val="left" w:pos="5580"/>
        </w:tabs>
        <w:spacing w:line="360" w:lineRule="auto"/>
        <w:ind w:left="1080" w:leftChars="257" w:hanging="540"/>
        <w:rPr>
          <w:rFonts w:ascii="仿宋" w:hAnsi="仿宋" w:eastAsia="仿宋"/>
          <w:sz w:val="24"/>
        </w:rPr>
      </w:pPr>
      <w:r>
        <w:rPr>
          <w:rFonts w:ascii="仿宋" w:hAnsi="仿宋" w:eastAsia="仿宋"/>
          <w:sz w:val="24"/>
        </w:rPr>
        <w:t>投标人（盖公章）：</w:t>
      </w:r>
    </w:p>
    <w:p>
      <w:pPr>
        <w:pStyle w:val="18"/>
        <w:tabs>
          <w:tab w:val="left" w:pos="5580"/>
        </w:tabs>
        <w:spacing w:line="360" w:lineRule="auto"/>
        <w:ind w:left="1080" w:leftChars="257" w:hanging="540"/>
        <w:rPr>
          <w:rFonts w:ascii="仿宋" w:hAnsi="仿宋" w:eastAsia="仿宋"/>
          <w:sz w:val="24"/>
          <w:u w:val="single"/>
        </w:rPr>
      </w:pPr>
      <w:r>
        <w:rPr>
          <w:rFonts w:ascii="仿宋" w:hAnsi="仿宋" w:eastAsia="仿宋"/>
          <w:sz w:val="24"/>
        </w:rPr>
        <w:t>法定代表人或授权代表（</w:t>
      </w:r>
      <w:r>
        <w:rPr>
          <w:rFonts w:hint="eastAsia" w:ascii="仿宋" w:hAnsi="仿宋" w:eastAsia="仿宋"/>
          <w:b/>
          <w:sz w:val="24"/>
        </w:rPr>
        <w:t>签字或盖章</w:t>
      </w:r>
      <w:r>
        <w:rPr>
          <w:rFonts w:ascii="仿宋" w:hAnsi="仿宋" w:eastAsia="仿宋"/>
          <w:sz w:val="24"/>
        </w:rPr>
        <w:t>）:</w:t>
      </w:r>
      <w:r>
        <w:rPr>
          <w:rFonts w:ascii="仿宋" w:hAnsi="仿宋" w:eastAsia="仿宋"/>
          <w:sz w:val="24"/>
          <w:u w:val="single"/>
        </w:rPr>
        <w:tab/>
      </w:r>
    </w:p>
    <w:p>
      <w:pPr>
        <w:pStyle w:val="18"/>
        <w:tabs>
          <w:tab w:val="left" w:pos="5580"/>
        </w:tabs>
        <w:spacing w:line="360" w:lineRule="auto"/>
        <w:ind w:left="1080" w:leftChars="257" w:hanging="540"/>
        <w:rPr>
          <w:rFonts w:ascii="仿宋" w:hAnsi="仿宋" w:eastAsia="仿宋"/>
          <w:sz w:val="24"/>
        </w:rPr>
      </w:pPr>
      <w:r>
        <w:rPr>
          <w:rFonts w:hint="eastAsia" w:ascii="仿宋" w:hAnsi="仿宋" w:eastAsia="仿宋"/>
          <w:sz w:val="24"/>
        </w:rPr>
        <w:t>·</w:t>
      </w:r>
    </w:p>
    <w:p>
      <w:pPr>
        <w:pStyle w:val="18"/>
        <w:tabs>
          <w:tab w:val="left" w:pos="5580"/>
        </w:tabs>
        <w:spacing w:line="360" w:lineRule="auto"/>
        <w:ind w:left="1080" w:leftChars="257" w:hanging="540"/>
        <w:rPr>
          <w:rFonts w:ascii="仿宋" w:hAnsi="仿宋" w:eastAsia="仿宋"/>
          <w:sz w:val="24"/>
        </w:rPr>
      </w:pPr>
    </w:p>
    <w:p>
      <w:pPr>
        <w:pStyle w:val="18"/>
        <w:tabs>
          <w:tab w:val="left" w:pos="5580"/>
        </w:tabs>
        <w:spacing w:line="360" w:lineRule="auto"/>
        <w:ind w:left="1080" w:leftChars="257" w:hanging="540"/>
        <w:rPr>
          <w:rFonts w:ascii="仿宋" w:hAnsi="仿宋" w:eastAsia="仿宋"/>
          <w:b/>
          <w:sz w:val="24"/>
        </w:rPr>
      </w:pPr>
      <w:r>
        <w:rPr>
          <w:rFonts w:ascii="仿宋" w:hAnsi="仿宋" w:eastAsia="仿宋"/>
          <w:sz w:val="24"/>
        </w:rPr>
        <w:t>注:此表中，每标段的投标总价应和投标分项报价表的总价相一致。</w:t>
      </w:r>
    </w:p>
    <w:p>
      <w:pPr>
        <w:widowControl/>
        <w:jc w:val="left"/>
        <w:rPr>
          <w:rFonts w:ascii="仿宋" w:hAnsi="仿宋" w:eastAsia="仿宋"/>
          <w:sz w:val="24"/>
          <w:szCs w:val="32"/>
        </w:rPr>
      </w:pPr>
      <w:bookmarkStart w:id="322" w:name="_Toc60928906"/>
      <w:bookmarkStart w:id="323" w:name="_Toc60929138"/>
      <w:bookmarkStart w:id="324" w:name="_Toc1881"/>
      <w:bookmarkStart w:id="325" w:name="_Toc216582815"/>
      <w:bookmarkStart w:id="326" w:name="_Toc20897"/>
      <w:bookmarkStart w:id="327" w:name="_Toc532473507"/>
      <w:bookmarkStart w:id="328" w:name="_Toc515647818"/>
      <w:r>
        <w:rPr>
          <w:rFonts w:ascii="仿宋" w:hAnsi="仿宋" w:eastAsia="仿宋"/>
          <w:sz w:val="24"/>
          <w:szCs w:val="32"/>
        </w:rPr>
        <w:br w:type="page"/>
      </w:r>
    </w:p>
    <w:p>
      <w:pPr>
        <w:rPr>
          <w:rFonts w:ascii="仿宋" w:hAnsi="仿宋" w:eastAsia="仿宋"/>
          <w:sz w:val="24"/>
          <w:szCs w:val="32"/>
        </w:rPr>
      </w:pPr>
      <w:r>
        <w:rPr>
          <w:rFonts w:ascii="仿宋" w:hAnsi="仿宋" w:eastAsia="仿宋"/>
          <w:sz w:val="24"/>
          <w:szCs w:val="32"/>
        </w:rPr>
        <w:t>（投标文件格式三）</w:t>
      </w:r>
      <w:bookmarkEnd w:id="322"/>
      <w:bookmarkEnd w:id="323"/>
    </w:p>
    <w:bookmarkEnd w:id="324"/>
    <w:bookmarkEnd w:id="325"/>
    <w:bookmarkEnd w:id="326"/>
    <w:bookmarkEnd w:id="327"/>
    <w:bookmarkEnd w:id="328"/>
    <w:p>
      <w:pPr>
        <w:pStyle w:val="18"/>
        <w:spacing w:line="360" w:lineRule="auto"/>
        <w:jc w:val="center"/>
        <w:rPr>
          <w:rFonts w:ascii="仿宋" w:hAnsi="仿宋" w:eastAsia="仿宋"/>
          <w:b/>
          <w:sz w:val="32"/>
        </w:rPr>
      </w:pPr>
      <w:bookmarkStart w:id="329" w:name="投标分项报价表"/>
      <w:bookmarkEnd w:id="329"/>
      <w:r>
        <w:rPr>
          <w:rFonts w:ascii="仿宋" w:hAnsi="仿宋" w:eastAsia="仿宋"/>
          <w:b/>
          <w:sz w:val="32"/>
        </w:rPr>
        <w:t>分项报价表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8"/>
        <w:gridCol w:w="1188"/>
        <w:gridCol w:w="1560"/>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序号</w:t>
            </w:r>
          </w:p>
        </w:tc>
        <w:tc>
          <w:tcPr>
            <w:tcW w:w="1428" w:type="dxa"/>
            <w:vAlign w:val="center"/>
          </w:tcPr>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产品</w:t>
            </w:r>
          </w:p>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名称</w:t>
            </w:r>
          </w:p>
        </w:tc>
        <w:tc>
          <w:tcPr>
            <w:tcW w:w="1188" w:type="dxa"/>
            <w:vAlign w:val="center"/>
          </w:tcPr>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规格</w:t>
            </w:r>
          </w:p>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型号</w:t>
            </w:r>
          </w:p>
        </w:tc>
        <w:tc>
          <w:tcPr>
            <w:tcW w:w="1560" w:type="dxa"/>
            <w:vAlign w:val="center"/>
          </w:tcPr>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制造</w:t>
            </w:r>
          </w:p>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厂家</w:t>
            </w:r>
          </w:p>
        </w:tc>
        <w:tc>
          <w:tcPr>
            <w:tcW w:w="992" w:type="dxa"/>
            <w:vAlign w:val="center"/>
          </w:tcPr>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数量</w:t>
            </w:r>
          </w:p>
        </w:tc>
        <w:tc>
          <w:tcPr>
            <w:tcW w:w="1276" w:type="dxa"/>
            <w:vAlign w:val="center"/>
          </w:tcPr>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单价</w:t>
            </w:r>
          </w:p>
        </w:tc>
        <w:tc>
          <w:tcPr>
            <w:tcW w:w="1134" w:type="dxa"/>
            <w:vAlign w:val="center"/>
          </w:tcPr>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小计</w:t>
            </w:r>
          </w:p>
        </w:tc>
        <w:tc>
          <w:tcPr>
            <w:tcW w:w="708" w:type="dxa"/>
            <w:vAlign w:val="center"/>
          </w:tcPr>
          <w:p>
            <w:pPr>
              <w:adjustRightInd w:val="0"/>
              <w:snapToGrid w:val="0"/>
              <w:spacing w:line="360" w:lineRule="auto"/>
              <w:jc w:val="center"/>
              <w:rPr>
                <w:rFonts w:ascii="仿宋" w:hAnsi="仿宋" w:eastAsia="仿宋" w:cs="黑体"/>
                <w:sz w:val="24"/>
              </w:rPr>
            </w:pPr>
            <w:r>
              <w:rPr>
                <w:rFonts w:hint="eastAsia" w:ascii="仿宋" w:hAnsi="仿宋" w:eastAsia="仿宋"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6" w:type="dxa"/>
            <w:vAlign w:val="center"/>
          </w:tcPr>
          <w:p>
            <w:pPr>
              <w:adjustRightInd w:val="0"/>
              <w:snapToGrid w:val="0"/>
              <w:spacing w:line="360" w:lineRule="auto"/>
              <w:rPr>
                <w:rFonts w:ascii="仿宋" w:hAnsi="仿宋" w:eastAsia="仿宋"/>
                <w:sz w:val="24"/>
              </w:rPr>
            </w:pPr>
          </w:p>
        </w:tc>
        <w:tc>
          <w:tcPr>
            <w:tcW w:w="1428" w:type="dxa"/>
            <w:vAlign w:val="center"/>
          </w:tcPr>
          <w:p>
            <w:pPr>
              <w:adjustRightInd w:val="0"/>
              <w:snapToGrid w:val="0"/>
              <w:spacing w:line="360" w:lineRule="auto"/>
              <w:rPr>
                <w:rFonts w:ascii="仿宋" w:hAnsi="仿宋" w:eastAsia="仿宋"/>
                <w:sz w:val="24"/>
              </w:rPr>
            </w:pPr>
          </w:p>
        </w:tc>
        <w:tc>
          <w:tcPr>
            <w:tcW w:w="1188" w:type="dxa"/>
          </w:tcPr>
          <w:p>
            <w:pPr>
              <w:adjustRightInd w:val="0"/>
              <w:snapToGrid w:val="0"/>
              <w:spacing w:line="360" w:lineRule="auto"/>
              <w:rPr>
                <w:rFonts w:ascii="仿宋" w:hAnsi="仿宋" w:eastAsia="仿宋"/>
                <w:sz w:val="24"/>
              </w:rPr>
            </w:pPr>
          </w:p>
        </w:tc>
        <w:tc>
          <w:tcPr>
            <w:tcW w:w="1560" w:type="dxa"/>
          </w:tcPr>
          <w:p>
            <w:pPr>
              <w:adjustRightInd w:val="0"/>
              <w:snapToGrid w:val="0"/>
              <w:spacing w:line="360" w:lineRule="auto"/>
              <w:rPr>
                <w:rFonts w:ascii="仿宋" w:hAnsi="仿宋" w:eastAsia="仿宋"/>
                <w:sz w:val="24"/>
              </w:rPr>
            </w:pPr>
          </w:p>
        </w:tc>
        <w:tc>
          <w:tcPr>
            <w:tcW w:w="992" w:type="dxa"/>
            <w:vAlign w:val="center"/>
          </w:tcPr>
          <w:p>
            <w:pPr>
              <w:adjustRightInd w:val="0"/>
              <w:snapToGrid w:val="0"/>
              <w:spacing w:line="360" w:lineRule="auto"/>
              <w:rPr>
                <w:rFonts w:ascii="仿宋" w:hAnsi="仿宋" w:eastAsia="仿宋"/>
                <w:sz w:val="24"/>
              </w:rPr>
            </w:pPr>
          </w:p>
        </w:tc>
        <w:tc>
          <w:tcPr>
            <w:tcW w:w="1276" w:type="dxa"/>
            <w:vAlign w:val="center"/>
          </w:tcPr>
          <w:p>
            <w:pPr>
              <w:adjustRightInd w:val="0"/>
              <w:snapToGrid w:val="0"/>
              <w:spacing w:line="360" w:lineRule="auto"/>
              <w:rPr>
                <w:rFonts w:ascii="仿宋" w:hAnsi="仿宋" w:eastAsia="仿宋"/>
                <w:sz w:val="24"/>
              </w:rPr>
            </w:pPr>
          </w:p>
        </w:tc>
        <w:tc>
          <w:tcPr>
            <w:tcW w:w="1134" w:type="dxa"/>
            <w:vAlign w:val="center"/>
          </w:tcPr>
          <w:p>
            <w:pPr>
              <w:adjustRightInd w:val="0"/>
              <w:snapToGrid w:val="0"/>
              <w:spacing w:line="360" w:lineRule="auto"/>
              <w:rPr>
                <w:rFonts w:ascii="仿宋" w:hAnsi="仿宋" w:eastAsia="仿宋"/>
                <w:sz w:val="24"/>
              </w:rPr>
            </w:pPr>
          </w:p>
        </w:tc>
        <w:tc>
          <w:tcPr>
            <w:tcW w:w="708" w:type="dxa"/>
            <w:vAlign w:val="center"/>
          </w:tcPr>
          <w:p>
            <w:pPr>
              <w:adjustRightInd w:val="0"/>
              <w:snapToGrid w:val="0"/>
              <w:spacing w:line="360" w:lineRule="auto"/>
              <w:rPr>
                <w:rFonts w:ascii="仿宋" w:hAnsi="仿宋" w:eastAsia="仿宋"/>
                <w:sz w:val="24"/>
              </w:rPr>
            </w:pPr>
          </w:p>
        </w:tc>
      </w:tr>
    </w:tbl>
    <w:p>
      <w:pPr>
        <w:autoSpaceDE w:val="0"/>
        <w:autoSpaceDN w:val="0"/>
        <w:adjustRightInd w:val="0"/>
        <w:snapToGrid w:val="0"/>
        <w:spacing w:before="120" w:line="360" w:lineRule="auto"/>
        <w:ind w:left="-206" w:leftChars="-98"/>
        <w:jc w:val="left"/>
        <w:rPr>
          <w:rFonts w:ascii="仿宋" w:hAnsi="仿宋" w:eastAsia="仿宋"/>
          <w:kern w:val="0"/>
          <w:sz w:val="24"/>
          <w:szCs w:val="28"/>
        </w:rPr>
      </w:pPr>
    </w:p>
    <w:p>
      <w:pPr>
        <w:pStyle w:val="13"/>
        <w:rPr>
          <w:rFonts w:ascii="仿宋" w:hAnsi="仿宋" w:eastAsia="仿宋"/>
        </w:rPr>
      </w:pPr>
    </w:p>
    <w:p>
      <w:pPr>
        <w:adjustRightInd w:val="0"/>
        <w:snapToGrid w:val="0"/>
        <w:spacing w:line="360" w:lineRule="auto"/>
        <w:ind w:firstLine="480" w:firstLineChars="200"/>
        <w:rPr>
          <w:rFonts w:ascii="仿宋" w:hAnsi="仿宋" w:eastAsia="仿宋"/>
          <w:sz w:val="24"/>
        </w:rPr>
      </w:pPr>
      <w:r>
        <w:rPr>
          <w:rFonts w:ascii="仿宋" w:hAnsi="仿宋" w:eastAsia="仿宋"/>
          <w:sz w:val="24"/>
        </w:rPr>
        <w:t>投标人法定代表人或授权代表</w:t>
      </w:r>
    </w:p>
    <w:p>
      <w:pPr>
        <w:adjustRightInd w:val="0"/>
        <w:snapToGrid w:val="0"/>
        <w:spacing w:line="360" w:lineRule="auto"/>
        <w:ind w:left="-525" w:leftChars="-250" w:firstLine="720" w:firstLineChars="300"/>
        <w:rPr>
          <w:rFonts w:ascii="仿宋" w:hAnsi="仿宋" w:eastAsia="仿宋"/>
          <w:sz w:val="24"/>
        </w:rPr>
      </w:pPr>
      <w:r>
        <w:rPr>
          <w:rFonts w:ascii="仿宋" w:hAnsi="仿宋" w:eastAsia="仿宋"/>
          <w:sz w:val="24"/>
        </w:rPr>
        <w:t>（公章）：（签字）：</w:t>
      </w:r>
    </w:p>
    <w:p>
      <w:pPr>
        <w:pStyle w:val="2"/>
        <w:ind w:left="1470" w:right="1470"/>
        <w:rPr>
          <w:rFonts w:ascii="仿宋" w:hAnsi="仿宋" w:eastAsia="仿宋"/>
        </w:rPr>
      </w:pPr>
      <w:r>
        <w:rPr>
          <w:rFonts w:ascii="仿宋" w:hAnsi="仿宋" w:eastAsia="仿宋"/>
        </w:rPr>
        <w:br w:type="page"/>
      </w:r>
    </w:p>
    <w:p>
      <w:pPr>
        <w:pStyle w:val="18"/>
        <w:spacing w:line="360" w:lineRule="auto"/>
        <w:rPr>
          <w:rFonts w:ascii="仿宋" w:hAnsi="仿宋" w:eastAsia="仿宋"/>
          <w:sz w:val="24"/>
        </w:rPr>
      </w:pPr>
      <w:r>
        <w:rPr>
          <w:rFonts w:ascii="仿宋" w:hAnsi="仿宋" w:eastAsia="仿宋"/>
          <w:sz w:val="24"/>
        </w:rPr>
        <w:t>（投标文件格式四）</w:t>
      </w:r>
    </w:p>
    <w:p>
      <w:pPr>
        <w:pStyle w:val="18"/>
        <w:spacing w:line="360" w:lineRule="auto"/>
        <w:jc w:val="center"/>
        <w:rPr>
          <w:rFonts w:ascii="仿宋" w:hAnsi="仿宋" w:eastAsia="仿宋"/>
          <w:b/>
          <w:sz w:val="32"/>
        </w:rPr>
      </w:pPr>
      <w:bookmarkStart w:id="330" w:name="_Toc216582817"/>
      <w:bookmarkStart w:id="331" w:name="_Toc60929140"/>
      <w:bookmarkStart w:id="332" w:name="_Toc60928908"/>
      <w:bookmarkStart w:id="333" w:name="_Toc515647820"/>
      <w:bookmarkStart w:id="334" w:name="_Toc22563"/>
      <w:bookmarkStart w:id="335" w:name="_Toc28959"/>
      <w:bookmarkStart w:id="336" w:name="_Toc532473509"/>
      <w:r>
        <w:rPr>
          <w:rFonts w:ascii="仿宋" w:hAnsi="仿宋" w:eastAsia="仿宋"/>
          <w:b/>
          <w:sz w:val="32"/>
        </w:rPr>
        <w:t>技术偏离表</w:t>
      </w:r>
      <w:bookmarkEnd w:id="330"/>
      <w:bookmarkEnd w:id="331"/>
      <w:bookmarkEnd w:id="332"/>
      <w:bookmarkEnd w:id="333"/>
      <w:bookmarkEnd w:id="334"/>
      <w:bookmarkEnd w:id="335"/>
      <w:bookmarkEnd w:id="336"/>
    </w:p>
    <w:p>
      <w:pPr>
        <w:pStyle w:val="13"/>
        <w:rPr>
          <w:rFonts w:ascii="仿宋" w:hAnsi="仿宋" w:eastAsia="仿宋" w:cs="微软雅黑"/>
        </w:rPr>
      </w:pPr>
      <w:r>
        <w:rPr>
          <w:rFonts w:ascii="仿宋" w:hAnsi="仿宋" w:eastAsia="仿宋" w:cs="微软雅黑"/>
        </w:rPr>
        <w:t>项目编号：SCZD2022-ZB-2</w:t>
      </w:r>
      <w:r>
        <w:rPr>
          <w:rFonts w:hint="eastAsia" w:ascii="仿宋" w:hAnsi="仿宋" w:eastAsia="仿宋" w:cs="微软雅黑"/>
        </w:rPr>
        <w:t>914-</w:t>
      </w:r>
      <w:r>
        <w:rPr>
          <w:rFonts w:ascii="仿宋" w:hAnsi="仿宋" w:eastAsia="仿宋" w:cs="微软雅黑"/>
        </w:rPr>
        <w:t>001</w:t>
      </w:r>
    </w:p>
    <w:p>
      <w:pPr>
        <w:pStyle w:val="13"/>
        <w:rPr>
          <w:rFonts w:ascii="仿宋" w:hAnsi="仿宋" w:eastAsia="仿宋"/>
        </w:rPr>
      </w:pPr>
      <w:bookmarkStart w:id="337" w:name="_Hlk117611078"/>
      <w:r>
        <w:rPr>
          <w:rFonts w:hint="eastAsia" w:ascii="仿宋" w:hAnsi="仿宋" w:eastAsia="仿宋" w:cs="微软雅黑"/>
        </w:rPr>
        <w:t>包</w:t>
      </w:r>
      <w:r>
        <w:rPr>
          <w:rFonts w:ascii="仿宋" w:hAnsi="仿宋" w:eastAsia="仿宋" w:cs="微软雅黑"/>
        </w:rPr>
        <w:t>名称</w:t>
      </w:r>
      <w:bookmarkEnd w:id="337"/>
      <w:r>
        <w:rPr>
          <w:rFonts w:ascii="仿宋" w:hAnsi="仿宋" w:eastAsia="仿宋" w:cs="微软雅黑"/>
        </w:rPr>
        <w:t>：</w:t>
      </w:r>
      <w:r>
        <w:rPr>
          <w:rFonts w:hint="eastAsia" w:ascii="仿宋" w:hAnsi="仿宋" w:eastAsia="仿宋" w:cs="微软雅黑"/>
        </w:rPr>
        <w:t>陕西省“金审三期”延安市配套建设服务项目</w:t>
      </w:r>
    </w:p>
    <w:tbl>
      <w:tblPr>
        <w:tblStyle w:val="37"/>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33"/>
        <w:gridCol w:w="1842"/>
        <w:gridCol w:w="1560"/>
        <w:gridCol w:w="113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vAlign w:val="center"/>
          </w:tcPr>
          <w:p>
            <w:pPr>
              <w:pStyle w:val="18"/>
              <w:ind w:left="-31" w:leftChars="-15"/>
              <w:jc w:val="center"/>
              <w:rPr>
                <w:rFonts w:ascii="仿宋" w:hAnsi="仿宋" w:eastAsia="仿宋"/>
                <w:sz w:val="24"/>
              </w:rPr>
            </w:pPr>
            <w:r>
              <w:rPr>
                <w:rFonts w:ascii="仿宋" w:hAnsi="仿宋" w:eastAsia="仿宋"/>
                <w:sz w:val="24"/>
              </w:rPr>
              <w:t>序号</w:t>
            </w:r>
          </w:p>
        </w:tc>
        <w:tc>
          <w:tcPr>
            <w:tcW w:w="1833" w:type="dxa"/>
            <w:vAlign w:val="center"/>
          </w:tcPr>
          <w:p>
            <w:pPr>
              <w:pStyle w:val="18"/>
              <w:ind w:left="-149" w:leftChars="-71"/>
              <w:jc w:val="center"/>
              <w:rPr>
                <w:rFonts w:ascii="仿宋" w:hAnsi="仿宋" w:eastAsia="仿宋"/>
                <w:sz w:val="24"/>
              </w:rPr>
            </w:pPr>
            <w:r>
              <w:rPr>
                <w:rFonts w:hint="eastAsia" w:ascii="仿宋" w:hAnsi="仿宋" w:eastAsia="仿宋"/>
                <w:sz w:val="24"/>
              </w:rPr>
              <w:t>设备名称</w:t>
            </w:r>
          </w:p>
        </w:tc>
        <w:tc>
          <w:tcPr>
            <w:tcW w:w="1842" w:type="dxa"/>
            <w:vAlign w:val="center"/>
          </w:tcPr>
          <w:p>
            <w:pPr>
              <w:pStyle w:val="18"/>
              <w:ind w:left="-206" w:leftChars="-98" w:right="-166" w:rightChars="-79"/>
              <w:jc w:val="center"/>
              <w:rPr>
                <w:rFonts w:ascii="仿宋" w:hAnsi="仿宋" w:eastAsia="仿宋"/>
                <w:sz w:val="24"/>
              </w:rPr>
            </w:pPr>
            <w:r>
              <w:rPr>
                <w:rFonts w:ascii="仿宋" w:hAnsi="仿宋" w:eastAsia="仿宋"/>
                <w:sz w:val="24"/>
              </w:rPr>
              <w:t>招标要求</w:t>
            </w:r>
          </w:p>
        </w:tc>
        <w:tc>
          <w:tcPr>
            <w:tcW w:w="1560" w:type="dxa"/>
            <w:vAlign w:val="center"/>
          </w:tcPr>
          <w:p>
            <w:pPr>
              <w:pStyle w:val="18"/>
              <w:ind w:left="-48" w:leftChars="-23"/>
              <w:jc w:val="center"/>
              <w:rPr>
                <w:rFonts w:ascii="仿宋" w:hAnsi="仿宋" w:eastAsia="仿宋"/>
                <w:sz w:val="24"/>
              </w:rPr>
            </w:pPr>
            <w:r>
              <w:rPr>
                <w:rFonts w:ascii="仿宋" w:hAnsi="仿宋" w:eastAsia="仿宋"/>
                <w:sz w:val="24"/>
              </w:rPr>
              <w:t>投标响应</w:t>
            </w:r>
          </w:p>
        </w:tc>
        <w:tc>
          <w:tcPr>
            <w:tcW w:w="1134" w:type="dxa"/>
            <w:vAlign w:val="center"/>
          </w:tcPr>
          <w:p>
            <w:pPr>
              <w:pStyle w:val="18"/>
              <w:ind w:left="-34" w:leftChars="-16"/>
              <w:jc w:val="center"/>
              <w:rPr>
                <w:rFonts w:ascii="仿宋" w:hAnsi="仿宋" w:eastAsia="仿宋"/>
                <w:sz w:val="24"/>
              </w:rPr>
            </w:pPr>
            <w:r>
              <w:rPr>
                <w:rFonts w:ascii="仿宋" w:hAnsi="仿宋" w:eastAsia="仿宋"/>
                <w:sz w:val="24"/>
              </w:rPr>
              <w:t>偏离</w:t>
            </w:r>
          </w:p>
        </w:tc>
        <w:tc>
          <w:tcPr>
            <w:tcW w:w="1112" w:type="dxa"/>
            <w:vAlign w:val="center"/>
          </w:tcPr>
          <w:p>
            <w:pPr>
              <w:pStyle w:val="18"/>
              <w:ind w:left="-82" w:leftChars="-39"/>
              <w:jc w:val="center"/>
              <w:rPr>
                <w:rFonts w:ascii="仿宋" w:hAnsi="仿宋" w:eastAsia="仿宋"/>
                <w:sz w:val="24"/>
              </w:rPr>
            </w:pPr>
            <w:r>
              <w:rPr>
                <w:rFonts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8" w:type="dxa"/>
          </w:tcPr>
          <w:p>
            <w:pPr>
              <w:pStyle w:val="18"/>
              <w:spacing w:line="360" w:lineRule="auto"/>
              <w:ind w:left="1080" w:leftChars="257" w:hanging="540"/>
              <w:rPr>
                <w:rFonts w:ascii="仿宋" w:hAnsi="仿宋" w:eastAsia="仿宋"/>
                <w:sz w:val="24"/>
              </w:rPr>
            </w:pPr>
          </w:p>
        </w:tc>
        <w:tc>
          <w:tcPr>
            <w:tcW w:w="1833" w:type="dxa"/>
          </w:tcPr>
          <w:p>
            <w:pPr>
              <w:pStyle w:val="18"/>
              <w:spacing w:line="360" w:lineRule="auto"/>
              <w:ind w:left="1080" w:leftChars="257" w:hanging="540"/>
              <w:rPr>
                <w:rFonts w:ascii="仿宋" w:hAnsi="仿宋" w:eastAsia="仿宋"/>
                <w:sz w:val="24"/>
              </w:rPr>
            </w:pPr>
          </w:p>
        </w:tc>
        <w:tc>
          <w:tcPr>
            <w:tcW w:w="1842" w:type="dxa"/>
          </w:tcPr>
          <w:p>
            <w:pPr>
              <w:pStyle w:val="18"/>
              <w:spacing w:line="360" w:lineRule="auto"/>
              <w:ind w:left="1080" w:leftChars="257" w:hanging="540"/>
              <w:rPr>
                <w:rFonts w:ascii="仿宋" w:hAnsi="仿宋" w:eastAsia="仿宋"/>
                <w:sz w:val="24"/>
              </w:rPr>
            </w:pPr>
          </w:p>
        </w:tc>
        <w:tc>
          <w:tcPr>
            <w:tcW w:w="1560" w:type="dxa"/>
          </w:tcPr>
          <w:p>
            <w:pPr>
              <w:pStyle w:val="18"/>
              <w:spacing w:line="360" w:lineRule="auto"/>
              <w:ind w:left="1080" w:leftChars="257" w:hanging="540"/>
              <w:rPr>
                <w:rFonts w:ascii="仿宋" w:hAnsi="仿宋" w:eastAsia="仿宋"/>
                <w:sz w:val="24"/>
              </w:rPr>
            </w:pPr>
          </w:p>
        </w:tc>
        <w:tc>
          <w:tcPr>
            <w:tcW w:w="1134" w:type="dxa"/>
          </w:tcPr>
          <w:p>
            <w:pPr>
              <w:pStyle w:val="18"/>
              <w:spacing w:line="360" w:lineRule="auto"/>
              <w:ind w:left="1080" w:leftChars="257" w:hanging="540"/>
              <w:rPr>
                <w:rFonts w:ascii="仿宋" w:hAnsi="仿宋" w:eastAsia="仿宋"/>
                <w:sz w:val="24"/>
              </w:rPr>
            </w:pPr>
          </w:p>
        </w:tc>
        <w:tc>
          <w:tcPr>
            <w:tcW w:w="1112" w:type="dxa"/>
          </w:tcPr>
          <w:p>
            <w:pPr>
              <w:pStyle w:val="18"/>
              <w:spacing w:line="360" w:lineRule="auto"/>
              <w:ind w:left="1080" w:leftChars="257" w:hanging="540"/>
              <w:rPr>
                <w:rFonts w:ascii="仿宋" w:hAnsi="仿宋" w:eastAsia="仿宋"/>
                <w:sz w:val="24"/>
              </w:rPr>
            </w:pPr>
          </w:p>
        </w:tc>
      </w:tr>
    </w:tbl>
    <w:p>
      <w:pPr>
        <w:pStyle w:val="18"/>
        <w:tabs>
          <w:tab w:val="left" w:pos="5370"/>
        </w:tabs>
        <w:spacing w:line="360" w:lineRule="auto"/>
        <w:ind w:left="1080" w:leftChars="257" w:hanging="540"/>
        <w:rPr>
          <w:rFonts w:ascii="仿宋" w:hAnsi="仿宋" w:eastAsia="仿宋"/>
          <w:sz w:val="24"/>
          <w:u w:val="single"/>
        </w:rPr>
      </w:pPr>
      <w:r>
        <w:rPr>
          <w:rFonts w:ascii="仿宋" w:hAnsi="仿宋" w:eastAsia="仿宋"/>
          <w:sz w:val="24"/>
        </w:rPr>
        <w:t>投标人(公章):</w:t>
      </w:r>
      <w:r>
        <w:rPr>
          <w:rFonts w:ascii="仿宋" w:hAnsi="仿宋" w:eastAsia="仿宋"/>
          <w:sz w:val="24"/>
          <w:u w:val="single"/>
        </w:rPr>
        <w:tab/>
      </w:r>
    </w:p>
    <w:p>
      <w:pPr>
        <w:pStyle w:val="18"/>
        <w:spacing w:line="360" w:lineRule="auto"/>
        <w:ind w:left="1080" w:leftChars="257" w:hanging="540"/>
        <w:rPr>
          <w:rFonts w:ascii="仿宋" w:hAnsi="仿宋" w:eastAsia="仿宋"/>
          <w:sz w:val="24"/>
          <w:u w:val="single"/>
        </w:rPr>
      </w:pPr>
      <w:r>
        <w:rPr>
          <w:rFonts w:ascii="仿宋" w:hAnsi="仿宋" w:eastAsia="仿宋"/>
          <w:sz w:val="24"/>
        </w:rPr>
        <w:t>法定代表人或授权代表（签字）:</w:t>
      </w:r>
      <w:r>
        <w:rPr>
          <w:rFonts w:ascii="仿宋" w:hAnsi="仿宋" w:eastAsia="仿宋"/>
          <w:sz w:val="24"/>
          <w:u w:val="single"/>
        </w:rPr>
        <w:tab/>
      </w:r>
    </w:p>
    <w:p>
      <w:pPr>
        <w:pStyle w:val="18"/>
        <w:spacing w:line="360" w:lineRule="auto"/>
        <w:rPr>
          <w:rFonts w:ascii="仿宋" w:hAnsi="仿宋" w:eastAsia="仿宋"/>
          <w:sz w:val="24"/>
          <w:u w:val="single"/>
        </w:rPr>
      </w:pPr>
    </w:p>
    <w:p>
      <w:pPr>
        <w:pStyle w:val="18"/>
        <w:spacing w:line="360" w:lineRule="auto"/>
        <w:rPr>
          <w:rFonts w:ascii="仿宋" w:hAnsi="仿宋" w:eastAsia="仿宋" w:cs="宋体"/>
          <w:szCs w:val="21"/>
        </w:rPr>
      </w:pPr>
      <w:r>
        <w:rPr>
          <w:rFonts w:hint="eastAsia" w:ascii="仿宋" w:hAnsi="仿宋" w:eastAsia="仿宋" w:cs="宋体"/>
          <w:szCs w:val="21"/>
        </w:rPr>
        <w:t>注：1.投标文件技术参数指标响应内容必须按照投标产品实际参数指标填写，与相关证明材料一致，不得直接将采购文件的技术参数指标要求完全复制作为投标文件响应内容，否则将会影响评审得分。</w:t>
      </w:r>
    </w:p>
    <w:p>
      <w:pPr>
        <w:pStyle w:val="18"/>
        <w:spacing w:line="360" w:lineRule="auto"/>
        <w:rPr>
          <w:rFonts w:ascii="仿宋" w:hAnsi="仿宋" w:eastAsia="仿宋" w:cs="宋体"/>
          <w:szCs w:val="21"/>
        </w:rPr>
      </w:pPr>
      <w:r>
        <w:rPr>
          <w:rFonts w:hint="eastAsia" w:ascii="仿宋" w:hAnsi="仿宋" w:eastAsia="仿宋" w:cs="宋体"/>
          <w:szCs w:val="21"/>
        </w:rPr>
        <w:t>2.务必完整填写所有指标响应参数；必须在备注栏进行明确说明偏离情况，且偏离情况与实际相符，否则将会影响评审得分。</w:t>
      </w:r>
    </w:p>
    <w:p>
      <w:pPr>
        <w:pStyle w:val="18"/>
        <w:spacing w:line="360" w:lineRule="auto"/>
        <w:rPr>
          <w:rFonts w:ascii="仿宋" w:hAnsi="仿宋" w:eastAsia="仿宋" w:cs="宋体"/>
          <w:szCs w:val="21"/>
        </w:rPr>
      </w:pPr>
      <w:r>
        <w:rPr>
          <w:rFonts w:hint="eastAsia" w:ascii="仿宋" w:hAnsi="仿宋" w:eastAsia="仿宋" w:cs="宋体"/>
          <w:szCs w:val="21"/>
        </w:rPr>
        <w:t>3.采购文件中约定的每项采购内容的技术偏离情况都必须体现在此技术偏离表中，否则将会影响评审得分。</w:t>
      </w:r>
    </w:p>
    <w:p>
      <w:pPr>
        <w:pStyle w:val="18"/>
        <w:spacing w:line="360" w:lineRule="auto"/>
        <w:rPr>
          <w:rFonts w:ascii="仿宋" w:hAnsi="仿宋" w:eastAsia="仿宋"/>
          <w:sz w:val="24"/>
        </w:rPr>
      </w:pPr>
      <w:r>
        <w:rPr>
          <w:rFonts w:ascii="仿宋" w:hAnsi="仿宋" w:eastAsia="仿宋"/>
          <w:sz w:val="24"/>
        </w:rPr>
        <w:br w:type="page"/>
      </w:r>
      <w:r>
        <w:rPr>
          <w:rFonts w:ascii="仿宋" w:hAnsi="仿宋" w:eastAsia="仿宋"/>
          <w:sz w:val="24"/>
        </w:rPr>
        <w:t>（投标文件格式五）</w:t>
      </w:r>
    </w:p>
    <w:p>
      <w:pPr>
        <w:pStyle w:val="18"/>
        <w:spacing w:line="360" w:lineRule="auto"/>
        <w:jc w:val="center"/>
        <w:rPr>
          <w:rFonts w:ascii="仿宋" w:hAnsi="仿宋" w:eastAsia="仿宋"/>
          <w:b/>
          <w:sz w:val="32"/>
        </w:rPr>
      </w:pPr>
      <w:bookmarkStart w:id="338" w:name="_Toc216582818"/>
      <w:bookmarkStart w:id="339" w:name="_Toc60928909"/>
      <w:bookmarkStart w:id="340" w:name="_Toc60929141"/>
      <w:bookmarkStart w:id="341" w:name="_Toc532473510"/>
      <w:bookmarkStart w:id="342" w:name="_Toc1980"/>
      <w:bookmarkStart w:id="343" w:name="_Toc23"/>
      <w:bookmarkStart w:id="344" w:name="_Toc515647821"/>
      <w:r>
        <w:rPr>
          <w:rFonts w:ascii="仿宋" w:hAnsi="仿宋" w:eastAsia="仿宋"/>
          <w:b/>
          <w:sz w:val="32"/>
        </w:rPr>
        <w:t>商务条款偏离表</w:t>
      </w:r>
      <w:bookmarkEnd w:id="338"/>
      <w:bookmarkEnd w:id="339"/>
      <w:bookmarkEnd w:id="340"/>
    </w:p>
    <w:bookmarkEnd w:id="341"/>
    <w:bookmarkEnd w:id="342"/>
    <w:bookmarkEnd w:id="343"/>
    <w:bookmarkEnd w:id="344"/>
    <w:p>
      <w:pPr>
        <w:pStyle w:val="18"/>
        <w:wordWrap w:val="0"/>
        <w:spacing w:line="360" w:lineRule="auto"/>
        <w:ind w:left="1080" w:leftChars="257" w:hanging="540"/>
        <w:jc w:val="right"/>
        <w:rPr>
          <w:rFonts w:ascii="仿宋" w:hAnsi="仿宋" w:eastAsia="仿宋"/>
          <w:sz w:val="24"/>
        </w:rPr>
      </w:pPr>
    </w:p>
    <w:tbl>
      <w:tblPr>
        <w:tblStyle w:val="3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179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vAlign w:val="center"/>
          </w:tcPr>
          <w:p>
            <w:pPr>
              <w:pStyle w:val="18"/>
              <w:jc w:val="center"/>
              <w:rPr>
                <w:rFonts w:ascii="仿宋" w:hAnsi="仿宋" w:eastAsia="仿宋"/>
                <w:sz w:val="24"/>
              </w:rPr>
            </w:pPr>
            <w:r>
              <w:rPr>
                <w:rFonts w:ascii="仿宋" w:hAnsi="仿宋" w:eastAsia="仿宋"/>
                <w:sz w:val="24"/>
              </w:rPr>
              <w:t>序号</w:t>
            </w:r>
          </w:p>
        </w:tc>
        <w:tc>
          <w:tcPr>
            <w:tcW w:w="2040" w:type="dxa"/>
            <w:vAlign w:val="center"/>
          </w:tcPr>
          <w:p>
            <w:pPr>
              <w:pStyle w:val="18"/>
              <w:jc w:val="center"/>
              <w:rPr>
                <w:rFonts w:ascii="仿宋" w:hAnsi="仿宋" w:eastAsia="仿宋"/>
                <w:sz w:val="24"/>
              </w:rPr>
            </w:pPr>
            <w:r>
              <w:rPr>
                <w:rFonts w:ascii="仿宋" w:hAnsi="仿宋" w:eastAsia="仿宋"/>
                <w:sz w:val="24"/>
              </w:rPr>
              <w:t>招标要求</w:t>
            </w:r>
          </w:p>
        </w:tc>
        <w:tc>
          <w:tcPr>
            <w:tcW w:w="2520" w:type="dxa"/>
            <w:vAlign w:val="center"/>
          </w:tcPr>
          <w:p>
            <w:pPr>
              <w:pStyle w:val="18"/>
              <w:jc w:val="center"/>
              <w:rPr>
                <w:rFonts w:ascii="仿宋" w:hAnsi="仿宋" w:eastAsia="仿宋"/>
                <w:sz w:val="24"/>
              </w:rPr>
            </w:pPr>
            <w:r>
              <w:rPr>
                <w:rFonts w:ascii="仿宋" w:hAnsi="仿宋" w:eastAsia="仿宋"/>
                <w:sz w:val="24"/>
              </w:rPr>
              <w:t>投标响应</w:t>
            </w:r>
          </w:p>
        </w:tc>
        <w:tc>
          <w:tcPr>
            <w:tcW w:w="1792" w:type="dxa"/>
            <w:vAlign w:val="center"/>
          </w:tcPr>
          <w:p>
            <w:pPr>
              <w:pStyle w:val="18"/>
              <w:jc w:val="center"/>
              <w:rPr>
                <w:rFonts w:ascii="仿宋" w:hAnsi="仿宋" w:eastAsia="仿宋"/>
                <w:sz w:val="24"/>
              </w:rPr>
            </w:pPr>
            <w:r>
              <w:rPr>
                <w:rFonts w:ascii="仿宋" w:hAnsi="仿宋" w:eastAsia="仿宋"/>
                <w:sz w:val="24"/>
              </w:rPr>
              <w:t>偏离</w:t>
            </w:r>
          </w:p>
        </w:tc>
        <w:tc>
          <w:tcPr>
            <w:tcW w:w="1628" w:type="dxa"/>
            <w:vAlign w:val="center"/>
          </w:tcPr>
          <w:p>
            <w:pPr>
              <w:pStyle w:val="18"/>
              <w:jc w:val="center"/>
              <w:rPr>
                <w:rFonts w:ascii="仿宋" w:hAnsi="仿宋" w:eastAsia="仿宋"/>
                <w:sz w:val="24"/>
              </w:rPr>
            </w:pPr>
            <w:r>
              <w:rPr>
                <w:rFonts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jc w:val="center"/>
              <w:rPr>
                <w:rFonts w:ascii="仿宋" w:hAnsi="仿宋" w:eastAsia="仿宋"/>
                <w:bCs/>
                <w:sz w:val="24"/>
              </w:rPr>
            </w:pPr>
            <w:r>
              <w:rPr>
                <w:rFonts w:hint="eastAsia" w:ascii="仿宋" w:hAnsi="仿宋" w:eastAsia="仿宋"/>
                <w:bCs/>
                <w:sz w:val="24"/>
              </w:rPr>
              <w:t>交货期</w:t>
            </w: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jc w:val="center"/>
              <w:rPr>
                <w:rFonts w:ascii="仿宋" w:hAnsi="仿宋" w:eastAsia="仿宋"/>
                <w:bCs/>
                <w:sz w:val="24"/>
              </w:rPr>
            </w:pPr>
            <w:r>
              <w:rPr>
                <w:rFonts w:ascii="仿宋" w:hAnsi="仿宋" w:eastAsia="仿宋"/>
                <w:bCs/>
                <w:sz w:val="24"/>
              </w:rPr>
              <w:t>投标文件有效期</w:t>
            </w: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jc w:val="center"/>
              <w:rPr>
                <w:rFonts w:ascii="仿宋" w:hAnsi="仿宋" w:eastAsia="仿宋"/>
                <w:bCs/>
                <w:sz w:val="24"/>
              </w:rPr>
            </w:pPr>
            <w:r>
              <w:rPr>
                <w:rFonts w:ascii="仿宋" w:hAnsi="仿宋" w:eastAsia="仿宋"/>
                <w:bCs/>
                <w:sz w:val="24"/>
              </w:rPr>
              <w:t>投标保证金</w:t>
            </w: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jc w:val="center"/>
              <w:rPr>
                <w:rFonts w:ascii="仿宋" w:hAnsi="仿宋" w:eastAsia="仿宋"/>
                <w:bCs/>
                <w:sz w:val="24"/>
              </w:rPr>
            </w:pPr>
            <w:r>
              <w:rPr>
                <w:rFonts w:ascii="仿宋" w:hAnsi="仿宋" w:eastAsia="仿宋"/>
                <w:bCs/>
                <w:sz w:val="24"/>
              </w:rPr>
              <w:t>...</w:t>
            </w: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jc w:val="center"/>
              <w:rPr>
                <w:rFonts w:ascii="仿宋" w:hAnsi="仿宋" w:eastAsia="仿宋"/>
                <w:bCs/>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pPr>
              <w:pStyle w:val="18"/>
              <w:ind w:left="1080" w:leftChars="257" w:hanging="540"/>
              <w:jc w:val="center"/>
              <w:rPr>
                <w:rFonts w:ascii="仿宋" w:hAnsi="仿宋" w:eastAsia="仿宋"/>
                <w:sz w:val="24"/>
              </w:rPr>
            </w:pPr>
          </w:p>
        </w:tc>
        <w:tc>
          <w:tcPr>
            <w:tcW w:w="2040" w:type="dxa"/>
            <w:vAlign w:val="center"/>
          </w:tcPr>
          <w:p>
            <w:pPr>
              <w:pStyle w:val="18"/>
              <w:ind w:left="1080" w:leftChars="257" w:hanging="540"/>
              <w:jc w:val="center"/>
              <w:rPr>
                <w:rFonts w:ascii="仿宋" w:hAnsi="仿宋" w:eastAsia="仿宋"/>
                <w:sz w:val="24"/>
              </w:rPr>
            </w:pPr>
          </w:p>
        </w:tc>
        <w:tc>
          <w:tcPr>
            <w:tcW w:w="2520" w:type="dxa"/>
            <w:vAlign w:val="center"/>
          </w:tcPr>
          <w:p>
            <w:pPr>
              <w:pStyle w:val="18"/>
              <w:ind w:left="1080" w:leftChars="257" w:hanging="540"/>
              <w:jc w:val="center"/>
              <w:rPr>
                <w:rFonts w:ascii="仿宋" w:hAnsi="仿宋" w:eastAsia="仿宋"/>
                <w:sz w:val="24"/>
              </w:rPr>
            </w:pPr>
          </w:p>
        </w:tc>
        <w:tc>
          <w:tcPr>
            <w:tcW w:w="1792" w:type="dxa"/>
            <w:vAlign w:val="center"/>
          </w:tcPr>
          <w:p>
            <w:pPr>
              <w:pStyle w:val="18"/>
              <w:ind w:left="1080" w:leftChars="257" w:hanging="540"/>
              <w:jc w:val="center"/>
              <w:rPr>
                <w:rFonts w:ascii="仿宋" w:hAnsi="仿宋" w:eastAsia="仿宋"/>
                <w:sz w:val="24"/>
              </w:rPr>
            </w:pPr>
          </w:p>
        </w:tc>
        <w:tc>
          <w:tcPr>
            <w:tcW w:w="1628" w:type="dxa"/>
            <w:vAlign w:val="center"/>
          </w:tcPr>
          <w:p>
            <w:pPr>
              <w:pStyle w:val="18"/>
              <w:ind w:left="1080" w:leftChars="257" w:hanging="540"/>
              <w:jc w:val="center"/>
              <w:rPr>
                <w:rFonts w:ascii="仿宋" w:hAnsi="仿宋" w:eastAsia="仿宋"/>
                <w:sz w:val="24"/>
              </w:rPr>
            </w:pPr>
          </w:p>
        </w:tc>
      </w:tr>
    </w:tbl>
    <w:p>
      <w:pPr>
        <w:pStyle w:val="18"/>
        <w:tabs>
          <w:tab w:val="left" w:pos="5370"/>
        </w:tabs>
        <w:spacing w:line="360" w:lineRule="auto"/>
        <w:ind w:left="1080" w:leftChars="257" w:hanging="540"/>
        <w:rPr>
          <w:rFonts w:ascii="仿宋" w:hAnsi="仿宋" w:eastAsia="仿宋"/>
          <w:sz w:val="24"/>
          <w:u w:val="single"/>
        </w:rPr>
      </w:pPr>
      <w:r>
        <w:rPr>
          <w:rFonts w:hint="eastAsia" w:ascii="仿宋" w:hAnsi="仿宋" w:eastAsia="仿宋"/>
          <w:sz w:val="24"/>
        </w:rPr>
        <w:t>声明：除本商务偏离表中所列的偏离项目外，其他所有商务均完全响应“招标文件”中的要求</w:t>
      </w:r>
      <w:r>
        <w:rPr>
          <w:rFonts w:ascii="仿宋" w:hAnsi="仿宋" w:eastAsia="仿宋"/>
          <w:sz w:val="24"/>
        </w:rPr>
        <w:t>投标人(公章):</w:t>
      </w:r>
      <w:r>
        <w:rPr>
          <w:rFonts w:ascii="仿宋" w:hAnsi="仿宋" w:eastAsia="仿宋"/>
          <w:sz w:val="24"/>
          <w:u w:val="single"/>
        </w:rPr>
        <w:tab/>
      </w:r>
    </w:p>
    <w:p>
      <w:pPr>
        <w:pStyle w:val="18"/>
        <w:spacing w:line="360" w:lineRule="auto"/>
        <w:ind w:left="1080" w:leftChars="257" w:hanging="540"/>
        <w:rPr>
          <w:rFonts w:ascii="仿宋" w:hAnsi="仿宋" w:eastAsia="仿宋"/>
          <w:sz w:val="24"/>
          <w:u w:val="single"/>
        </w:rPr>
      </w:pPr>
      <w:r>
        <w:rPr>
          <w:rFonts w:ascii="仿宋" w:hAnsi="仿宋" w:eastAsia="仿宋"/>
          <w:sz w:val="24"/>
        </w:rPr>
        <w:t>法定代表人或授权代表（签字）:</w:t>
      </w:r>
      <w:r>
        <w:rPr>
          <w:rFonts w:ascii="仿宋" w:hAnsi="仿宋" w:eastAsia="仿宋"/>
          <w:sz w:val="24"/>
          <w:u w:val="single"/>
        </w:rPr>
        <w:tab/>
      </w:r>
      <w:bookmarkStart w:id="345" w:name="_Hlt520274911"/>
      <w:bookmarkEnd w:id="345"/>
      <w:bookmarkStart w:id="346" w:name="_Hlt520274065"/>
      <w:bookmarkEnd w:id="346"/>
      <w:bookmarkStart w:id="347" w:name="_Hlt520273711"/>
      <w:bookmarkEnd w:id="347"/>
      <w:bookmarkStart w:id="348" w:name="_Hlt520274393"/>
      <w:bookmarkEnd w:id="348"/>
      <w:bookmarkStart w:id="349" w:name="_Hlt520343392"/>
      <w:bookmarkEnd w:id="349"/>
      <w:bookmarkStart w:id="350" w:name="_Hlt520273973"/>
      <w:bookmarkEnd w:id="350"/>
      <w:bookmarkStart w:id="351" w:name="_Hlt520343000"/>
      <w:bookmarkEnd w:id="351"/>
      <w:bookmarkStart w:id="352" w:name="_Hlt520350918"/>
      <w:bookmarkEnd w:id="352"/>
      <w:bookmarkStart w:id="353" w:name="_Hlt520350957"/>
      <w:bookmarkEnd w:id="353"/>
      <w:bookmarkStart w:id="354" w:name="_Hlt520274407"/>
      <w:bookmarkEnd w:id="354"/>
      <w:bookmarkStart w:id="355" w:name="_Hlt520271212"/>
      <w:bookmarkEnd w:id="355"/>
      <w:r>
        <w:rPr>
          <w:rFonts w:hint="eastAsia" w:ascii="仿宋" w:hAnsi="仿宋" w:eastAsia="仿宋"/>
          <w:sz w:val="24"/>
          <w:u w:val="single"/>
        </w:rPr>
        <w:t xml:space="preserve">          </w:t>
      </w:r>
    </w:p>
    <w:p>
      <w:pPr>
        <w:widowControl/>
        <w:spacing w:before="100" w:beforeAutospacing="1" w:after="100" w:afterAutospacing="1" w:line="360" w:lineRule="auto"/>
        <w:rPr>
          <w:rFonts w:ascii="仿宋" w:hAnsi="仿宋" w:eastAsia="仿宋"/>
          <w:kern w:val="0"/>
          <w:sz w:val="24"/>
        </w:rPr>
      </w:pPr>
      <w:r>
        <w:rPr>
          <w:rFonts w:ascii="仿宋" w:hAnsi="仿宋" w:eastAsia="仿宋"/>
        </w:rPr>
        <w:br w:type="page"/>
      </w:r>
      <w:r>
        <w:rPr>
          <w:rFonts w:ascii="仿宋" w:hAnsi="仿宋" w:eastAsia="仿宋"/>
          <w:kern w:val="0"/>
          <w:sz w:val="24"/>
        </w:rPr>
        <w:t>（投标文件格式六）</w:t>
      </w:r>
    </w:p>
    <w:p>
      <w:pPr>
        <w:pStyle w:val="18"/>
        <w:spacing w:line="360" w:lineRule="auto"/>
        <w:jc w:val="center"/>
        <w:rPr>
          <w:rFonts w:ascii="仿宋" w:hAnsi="仿宋" w:eastAsia="仿宋"/>
          <w:b/>
          <w:sz w:val="32"/>
        </w:rPr>
      </w:pPr>
      <w:r>
        <w:rPr>
          <w:rFonts w:ascii="仿宋" w:hAnsi="仿宋" w:eastAsia="仿宋"/>
          <w:b/>
          <w:sz w:val="32"/>
        </w:rPr>
        <w:t>中小企业声明函(</w:t>
      </w:r>
      <w:r>
        <w:rPr>
          <w:rFonts w:hint="eastAsia" w:ascii="仿宋" w:hAnsi="仿宋" w:eastAsia="仿宋"/>
          <w:b/>
          <w:sz w:val="32"/>
        </w:rPr>
        <w:t>货物</w:t>
      </w:r>
      <w:r>
        <w:rPr>
          <w:rFonts w:ascii="仿宋" w:hAnsi="仿宋" w:eastAsia="仿宋"/>
          <w:b/>
          <w:sz w:val="32"/>
        </w:rPr>
        <w:t>)</w:t>
      </w:r>
    </w:p>
    <w:p>
      <w:pPr>
        <w:jc w:val="center"/>
        <w:rPr>
          <w:rFonts w:ascii="仿宋" w:hAnsi="仿宋" w:eastAsia="仿宋"/>
          <w:kern w:val="0"/>
          <w:sz w:val="30"/>
          <w:szCs w:val="30"/>
        </w:rPr>
      </w:pPr>
      <w:r>
        <w:rPr>
          <w:rFonts w:hint="eastAsia" w:ascii="仿宋" w:hAnsi="仿宋" w:eastAsia="仿宋"/>
          <w:sz w:val="24"/>
          <w:szCs w:val="22"/>
        </w:rPr>
        <w:t>（注：符合中小企业划型标准的企业请提供本函，不符合的不提供本函）</w:t>
      </w:r>
    </w:p>
    <w:p>
      <w:pPr>
        <w:spacing w:line="560" w:lineRule="exact"/>
        <w:ind w:firstLine="480" w:firstLineChars="200"/>
        <w:rPr>
          <w:rFonts w:ascii="仿宋" w:hAnsi="仿宋" w:eastAsia="仿宋"/>
          <w:kern w:val="0"/>
          <w:sz w:val="24"/>
        </w:rPr>
      </w:pPr>
      <w:r>
        <w:rPr>
          <w:rFonts w:hint="eastAsia" w:ascii="仿宋" w:hAnsi="仿宋" w:eastAsia="仿宋"/>
          <w:kern w:val="0"/>
          <w:sz w:val="24"/>
        </w:rPr>
        <w:t>本公司郑重声明，根据《政府采购促进中小企业发展管理办法》(财库(2020)46号)的规定，本公司参加(单位名称)的(陕西省“金审三期”延安市配套建设服务项目)采购活动，提供的货物全部由符合政策要求的中小企业制造。相关企业的具体情况如下：</w:t>
      </w:r>
    </w:p>
    <w:p>
      <w:pPr>
        <w:spacing w:line="560" w:lineRule="exact"/>
        <w:ind w:firstLine="480" w:firstLineChars="200"/>
        <w:rPr>
          <w:rFonts w:ascii="仿宋" w:hAnsi="仿宋" w:eastAsia="仿宋"/>
          <w:kern w:val="0"/>
          <w:sz w:val="24"/>
          <w:u w:val="single"/>
        </w:rPr>
      </w:pPr>
      <w:r>
        <w:rPr>
          <w:rFonts w:ascii="仿宋" w:hAnsi="仿宋" w:eastAsia="仿宋"/>
          <w:kern w:val="0"/>
          <w:sz w:val="24"/>
          <w:u w:val="single"/>
        </w:rPr>
        <w:t>1.</w:t>
      </w:r>
      <w:r>
        <w:rPr>
          <w:rFonts w:hint="eastAsia" w:ascii="仿宋" w:hAnsi="仿宋" w:eastAsia="仿宋"/>
          <w:kern w:val="0"/>
          <w:sz w:val="24"/>
          <w:u w:val="single"/>
        </w:rPr>
        <w:t xml:space="preserve">  (标的名称)  ，属于  ( 采购文件中明确的所属行业) 行业 ；制造商为 (企业名称)  ，从业人员      人，营业收入为     万元，资产总额为     万元，属于 (中型企业、小型企业、微型企业）；</w:t>
      </w:r>
    </w:p>
    <w:p>
      <w:pPr>
        <w:spacing w:line="560" w:lineRule="exact"/>
        <w:ind w:firstLine="480" w:firstLineChars="200"/>
        <w:rPr>
          <w:rFonts w:ascii="仿宋" w:hAnsi="仿宋" w:eastAsia="仿宋"/>
          <w:kern w:val="0"/>
          <w:sz w:val="24"/>
          <w:u w:val="single"/>
        </w:rPr>
      </w:pPr>
      <w:r>
        <w:rPr>
          <w:rFonts w:ascii="仿宋" w:hAnsi="仿宋" w:eastAsia="仿宋"/>
          <w:kern w:val="0"/>
          <w:sz w:val="24"/>
          <w:u w:val="single"/>
        </w:rPr>
        <w:t>2.</w:t>
      </w:r>
      <w:r>
        <w:rPr>
          <w:rFonts w:hint="eastAsia" w:ascii="仿宋" w:hAnsi="仿宋" w:eastAsia="仿宋"/>
          <w:kern w:val="0"/>
          <w:sz w:val="24"/>
          <w:u w:val="single"/>
        </w:rPr>
        <w:t xml:space="preserve">  (标的名称)  ，属于  ( 采购文件中明确的所属行业) 行业 ；制造商为 (企业名称)  ，从业人员      人，营业收入为     万元，资产总额为     万元，属于 (中型企业、小型企业、微型企业）；</w:t>
      </w:r>
    </w:p>
    <w:p>
      <w:pPr>
        <w:spacing w:line="560" w:lineRule="exact"/>
        <w:ind w:firstLine="480" w:firstLineChars="200"/>
        <w:rPr>
          <w:rFonts w:ascii="仿宋" w:hAnsi="仿宋" w:eastAsia="仿宋"/>
          <w:kern w:val="0"/>
          <w:sz w:val="24"/>
        </w:rPr>
      </w:pPr>
      <w:r>
        <w:rPr>
          <w:rFonts w:ascii="仿宋" w:hAnsi="仿宋" w:eastAsia="仿宋"/>
          <w:kern w:val="0"/>
          <w:sz w:val="24"/>
        </w:rPr>
        <w:t>……</w:t>
      </w:r>
    </w:p>
    <w:p>
      <w:pPr>
        <w:spacing w:line="560" w:lineRule="exact"/>
        <w:ind w:firstLine="480" w:firstLineChars="200"/>
        <w:rPr>
          <w:rFonts w:ascii="仿宋" w:hAnsi="仿宋" w:eastAsia="仿宋"/>
          <w:kern w:val="0"/>
          <w:sz w:val="24"/>
        </w:rPr>
      </w:pPr>
      <w:r>
        <w:rPr>
          <w:rFonts w:hint="eastAsia" w:ascii="仿宋" w:hAnsi="仿宋" w:eastAsia="仿宋"/>
          <w:kern w:val="0"/>
          <w:sz w:val="24"/>
        </w:rPr>
        <w:t>以上企业，不属于大企业的分支机构，不存在控股股东为大企业的情形，也不存在与大企业的负责人为同一人的情形。</w:t>
      </w:r>
    </w:p>
    <w:p>
      <w:pPr>
        <w:spacing w:line="560" w:lineRule="exact"/>
        <w:ind w:firstLine="480" w:firstLineChars="200"/>
        <w:rPr>
          <w:rFonts w:ascii="仿宋" w:hAnsi="仿宋" w:eastAsia="仿宋"/>
          <w:kern w:val="0"/>
          <w:sz w:val="24"/>
        </w:rPr>
      </w:pPr>
      <w:r>
        <w:rPr>
          <w:rFonts w:hint="eastAsia" w:ascii="仿宋" w:hAnsi="仿宋" w:eastAsia="仿宋"/>
          <w:kern w:val="0"/>
          <w:sz w:val="24"/>
        </w:rPr>
        <w:t>本企业对上述声明内容的真实性负责。如有虚假，将依法承担相应责任。</w:t>
      </w:r>
    </w:p>
    <w:p>
      <w:pPr>
        <w:spacing w:line="560" w:lineRule="exact"/>
        <w:ind w:firstLine="4200" w:firstLineChars="1750"/>
        <w:rPr>
          <w:rFonts w:ascii="仿宋" w:hAnsi="仿宋" w:eastAsia="仿宋"/>
          <w:kern w:val="0"/>
          <w:sz w:val="24"/>
        </w:rPr>
      </w:pPr>
    </w:p>
    <w:p>
      <w:pPr>
        <w:spacing w:line="560" w:lineRule="exact"/>
        <w:ind w:firstLine="4200" w:firstLineChars="1750"/>
        <w:rPr>
          <w:rFonts w:ascii="仿宋" w:hAnsi="仿宋" w:eastAsia="仿宋"/>
          <w:kern w:val="0"/>
          <w:sz w:val="24"/>
        </w:rPr>
      </w:pPr>
      <w:r>
        <w:rPr>
          <w:rFonts w:ascii="仿宋" w:hAnsi="仿宋" w:eastAsia="仿宋"/>
          <w:kern w:val="0"/>
          <w:sz w:val="24"/>
        </w:rPr>
        <w:t>企业名称(盖章):</w:t>
      </w:r>
    </w:p>
    <w:p>
      <w:pPr>
        <w:spacing w:line="560" w:lineRule="exact"/>
        <w:ind w:firstLine="4200" w:firstLineChars="1750"/>
        <w:rPr>
          <w:rFonts w:ascii="仿宋" w:hAnsi="仿宋" w:eastAsia="仿宋"/>
          <w:kern w:val="0"/>
          <w:sz w:val="24"/>
        </w:rPr>
      </w:pPr>
      <w:r>
        <w:rPr>
          <w:rFonts w:ascii="仿宋" w:hAnsi="仿宋" w:eastAsia="仿宋"/>
          <w:kern w:val="0"/>
          <w:sz w:val="24"/>
        </w:rPr>
        <w:t>日期：</w:t>
      </w:r>
    </w:p>
    <w:p>
      <w:pPr>
        <w:spacing w:line="560" w:lineRule="exact"/>
        <w:ind w:firstLine="5400" w:firstLineChars="1800"/>
        <w:rPr>
          <w:rFonts w:ascii="仿宋" w:hAnsi="仿宋" w:eastAsia="仿宋"/>
          <w:kern w:val="0"/>
          <w:sz w:val="30"/>
          <w:szCs w:val="30"/>
        </w:rPr>
      </w:pPr>
    </w:p>
    <w:p>
      <w:pPr>
        <w:rPr>
          <w:rFonts w:ascii="仿宋" w:hAnsi="仿宋" w:eastAsia="仿宋"/>
          <w:kern w:val="0"/>
          <w:sz w:val="30"/>
          <w:szCs w:val="30"/>
          <w:u w:val="single"/>
        </w:rPr>
      </w:pPr>
    </w:p>
    <w:p>
      <w:pPr>
        <w:ind w:firstLine="90" w:firstLineChars="50"/>
        <w:rPr>
          <w:rFonts w:ascii="仿宋" w:hAnsi="仿宋" w:eastAsia="仿宋"/>
          <w:kern w:val="0"/>
          <w:sz w:val="18"/>
          <w:szCs w:val="18"/>
        </w:rPr>
      </w:pPr>
      <w:r>
        <w:rPr>
          <w:rFonts w:ascii="仿宋" w:hAnsi="仿宋" w:eastAsia="仿宋"/>
          <w:kern w:val="0"/>
          <w:sz w:val="18"/>
          <w:szCs w:val="18"/>
        </w:rPr>
        <w:t>（从业人员、营业收入、资产总额填报上一年度数据，无上一年度数据的新成立企业可不填报）</w:t>
      </w:r>
    </w:p>
    <w:p>
      <w:pPr>
        <w:widowControl/>
        <w:jc w:val="left"/>
        <w:rPr>
          <w:rFonts w:ascii="仿宋" w:hAnsi="仿宋" w:eastAsia="仿宋"/>
          <w:sz w:val="24"/>
        </w:rPr>
      </w:pPr>
      <w:r>
        <w:rPr>
          <w:rFonts w:ascii="仿宋" w:hAnsi="仿宋" w:eastAsia="仿宋"/>
          <w:sz w:val="24"/>
        </w:rPr>
        <w:br w:type="page"/>
      </w:r>
    </w:p>
    <w:p>
      <w:pPr>
        <w:spacing w:line="360" w:lineRule="auto"/>
        <w:rPr>
          <w:rFonts w:ascii="仿宋" w:hAnsi="仿宋" w:eastAsia="仿宋"/>
          <w:bCs/>
          <w:kern w:val="0"/>
          <w:sz w:val="24"/>
          <w:szCs w:val="20"/>
        </w:rPr>
      </w:pPr>
      <w:bookmarkStart w:id="356" w:name="_Toc532473512"/>
      <w:bookmarkStart w:id="357" w:name="_Toc10977"/>
      <w:bookmarkStart w:id="358" w:name="_Toc11803"/>
      <w:bookmarkStart w:id="359" w:name="_Toc515647824"/>
      <w:r>
        <w:rPr>
          <w:rFonts w:ascii="仿宋" w:hAnsi="仿宋" w:eastAsia="仿宋"/>
          <w:bCs/>
          <w:kern w:val="0"/>
          <w:sz w:val="24"/>
          <w:szCs w:val="20"/>
        </w:rPr>
        <w:t>（投标文件格式七）</w:t>
      </w:r>
    </w:p>
    <w:p>
      <w:pPr>
        <w:pStyle w:val="18"/>
        <w:spacing w:line="360" w:lineRule="auto"/>
        <w:jc w:val="center"/>
        <w:rPr>
          <w:rFonts w:ascii="仿宋" w:hAnsi="仿宋" w:eastAsia="仿宋"/>
          <w:b/>
          <w:sz w:val="32"/>
        </w:rPr>
      </w:pPr>
      <w:bookmarkStart w:id="360" w:name="_Toc60928911"/>
      <w:bookmarkStart w:id="361" w:name="_Toc60929143"/>
      <w:r>
        <w:rPr>
          <w:rFonts w:ascii="仿宋" w:hAnsi="仿宋" w:eastAsia="仿宋"/>
          <w:b/>
          <w:sz w:val="32"/>
        </w:rPr>
        <w:t>投标人监狱企业声明函</w:t>
      </w:r>
      <w:bookmarkEnd w:id="356"/>
      <w:bookmarkEnd w:id="360"/>
      <w:bookmarkEnd w:id="361"/>
    </w:p>
    <w:p>
      <w:pPr>
        <w:widowControl/>
        <w:spacing w:before="100" w:beforeAutospacing="1" w:after="100" w:afterAutospacing="1" w:line="360" w:lineRule="auto"/>
        <w:ind w:firstLine="480" w:firstLineChars="200"/>
        <w:jc w:val="left"/>
        <w:rPr>
          <w:rFonts w:ascii="仿宋" w:hAnsi="仿宋" w:eastAsia="仿宋"/>
          <w:kern w:val="0"/>
          <w:sz w:val="24"/>
        </w:rPr>
      </w:pPr>
      <w:r>
        <w:rPr>
          <w:rFonts w:ascii="仿宋" w:hAnsi="仿宋" w:eastAsia="仿宋"/>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ascii="仿宋" w:hAnsi="仿宋" w:eastAsia="仿宋"/>
          <w:kern w:val="0"/>
          <w:sz w:val="24"/>
        </w:rPr>
      </w:pPr>
      <w:r>
        <w:rPr>
          <w:rFonts w:ascii="仿宋" w:hAnsi="仿宋" w:eastAsia="仿宋"/>
          <w:kern w:val="0"/>
          <w:sz w:val="24"/>
        </w:rPr>
        <w:t>本单位为直接投标人提供本单位制造的货物。</w:t>
      </w:r>
    </w:p>
    <w:p>
      <w:pPr>
        <w:widowControl/>
        <w:spacing w:before="100" w:beforeAutospacing="1" w:after="100" w:afterAutospacing="1" w:line="360" w:lineRule="auto"/>
        <w:ind w:firstLine="360" w:firstLineChars="150"/>
        <w:jc w:val="left"/>
        <w:rPr>
          <w:rFonts w:ascii="仿宋" w:hAnsi="仿宋" w:eastAsia="仿宋"/>
          <w:kern w:val="0"/>
          <w:sz w:val="24"/>
        </w:rPr>
      </w:pPr>
      <w:r>
        <w:rPr>
          <w:rFonts w:ascii="仿宋" w:hAnsi="仿宋" w:eastAsia="仿宋"/>
          <w:kern w:val="0"/>
          <w:sz w:val="24"/>
        </w:rPr>
        <w:t>（1）本企业（单位）（请填写：是、不是）监狱企业。如果是，后附省级以上监狱管理局、戒毒管理局（含新疆生产建设兵团）出具的属于监狱企业的证明文件。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 w:hAnsi="仿宋" w:eastAsia="仿宋"/>
          <w:kern w:val="0"/>
          <w:sz w:val="24"/>
        </w:rPr>
      </w:pPr>
      <w:r>
        <w:rPr>
          <w:rFonts w:ascii="仿宋" w:hAnsi="仿宋" w:eastAsia="仿宋"/>
          <w:kern w:val="0"/>
          <w:sz w:val="24"/>
        </w:rPr>
        <w:t>（2）本企业（单位）（请填写：是、不是）为联合体一方，提供本企业（单位）制造的货物，由本企业（单位）承担工程、提供服务。本企业（单位）提供协议合同金额占到共同投标协议合同总金额的比例为。</w:t>
      </w:r>
    </w:p>
    <w:p>
      <w:pPr>
        <w:widowControl/>
        <w:spacing w:before="100" w:beforeAutospacing="1" w:after="100" w:afterAutospacing="1" w:line="360" w:lineRule="auto"/>
        <w:ind w:firstLine="480"/>
        <w:jc w:val="left"/>
        <w:rPr>
          <w:rFonts w:ascii="仿宋" w:hAnsi="仿宋" w:eastAsia="仿宋"/>
          <w:kern w:val="0"/>
          <w:sz w:val="24"/>
        </w:rPr>
      </w:pPr>
      <w:r>
        <w:rPr>
          <w:rFonts w:ascii="仿宋" w:hAnsi="仿宋" w:eastAsia="仿宋"/>
          <w:kern w:val="0"/>
          <w:sz w:val="24"/>
        </w:rPr>
        <w:t>本企业（单位）对上述声明的真实性负责。如有虚假，将依法承担相应责任。</w:t>
      </w:r>
    </w:p>
    <w:p>
      <w:pPr>
        <w:pStyle w:val="13"/>
        <w:ind w:firstLine="480"/>
        <w:rPr>
          <w:rFonts w:ascii="仿宋" w:hAnsi="仿宋" w:eastAsia="仿宋"/>
        </w:rPr>
      </w:pPr>
    </w:p>
    <w:p>
      <w:pPr>
        <w:widowControl/>
        <w:spacing w:before="100" w:beforeAutospacing="1" w:after="100" w:afterAutospacing="1" w:line="360" w:lineRule="auto"/>
        <w:ind w:firstLine="480" w:firstLineChars="200"/>
        <w:jc w:val="left"/>
        <w:rPr>
          <w:rFonts w:ascii="仿宋" w:hAnsi="仿宋" w:eastAsia="仿宋"/>
          <w:kern w:val="0"/>
          <w:sz w:val="24"/>
          <w:u w:val="single"/>
        </w:rPr>
      </w:pPr>
      <w:r>
        <w:rPr>
          <w:rFonts w:ascii="仿宋" w:hAnsi="仿宋" w:eastAsia="仿宋"/>
          <w:kern w:val="0"/>
          <w:sz w:val="24"/>
        </w:rPr>
        <w:t>投标人（盖公章）：</w:t>
      </w:r>
    </w:p>
    <w:p>
      <w:pPr>
        <w:widowControl/>
        <w:spacing w:before="100" w:beforeAutospacing="1" w:after="100" w:afterAutospacing="1" w:line="360" w:lineRule="auto"/>
        <w:ind w:firstLine="480" w:firstLineChars="200"/>
        <w:jc w:val="left"/>
        <w:rPr>
          <w:rFonts w:ascii="仿宋" w:hAnsi="仿宋" w:eastAsia="仿宋"/>
          <w:kern w:val="0"/>
          <w:sz w:val="24"/>
        </w:rPr>
      </w:pPr>
      <w:r>
        <w:rPr>
          <w:rFonts w:ascii="仿宋" w:hAnsi="仿宋" w:eastAsia="仿宋"/>
          <w:kern w:val="0"/>
          <w:sz w:val="24"/>
        </w:rPr>
        <w:t xml:space="preserve">法定代表人或授权代表（签字）:  </w:t>
      </w:r>
    </w:p>
    <w:p>
      <w:pPr>
        <w:widowControl/>
        <w:spacing w:before="100" w:beforeAutospacing="1" w:after="100" w:afterAutospacing="1" w:line="360" w:lineRule="auto"/>
        <w:ind w:firstLine="480" w:firstLineChars="200"/>
        <w:jc w:val="left"/>
        <w:rPr>
          <w:rFonts w:ascii="仿宋" w:hAnsi="仿宋" w:eastAsia="仿宋"/>
          <w:kern w:val="0"/>
          <w:sz w:val="24"/>
          <w:u w:val="single"/>
        </w:rPr>
      </w:pPr>
      <w:r>
        <w:rPr>
          <w:rFonts w:ascii="仿宋" w:hAnsi="仿宋" w:eastAsia="仿宋"/>
          <w:kern w:val="0"/>
          <w:sz w:val="24"/>
        </w:rPr>
        <w:t>日期：</w:t>
      </w:r>
    </w:p>
    <w:p>
      <w:pPr>
        <w:widowControl/>
        <w:spacing w:before="100" w:beforeAutospacing="1" w:after="100" w:afterAutospacing="1" w:line="360" w:lineRule="auto"/>
        <w:jc w:val="left"/>
        <w:rPr>
          <w:rFonts w:ascii="仿宋" w:hAnsi="仿宋" w:eastAsia="仿宋"/>
          <w:kern w:val="0"/>
          <w:sz w:val="24"/>
          <w:u w:val="single"/>
        </w:rPr>
      </w:pPr>
    </w:p>
    <w:p>
      <w:pPr>
        <w:widowControl/>
        <w:spacing w:before="100" w:beforeAutospacing="1" w:after="100" w:afterAutospacing="1" w:line="360" w:lineRule="auto"/>
        <w:jc w:val="left"/>
        <w:rPr>
          <w:rFonts w:ascii="仿宋" w:hAnsi="仿宋" w:eastAsia="仿宋"/>
          <w:kern w:val="0"/>
          <w:sz w:val="24"/>
          <w:u w:val="single"/>
        </w:rPr>
      </w:pPr>
      <w:r>
        <w:rPr>
          <w:rFonts w:ascii="仿宋" w:hAnsi="仿宋" w:eastAsia="仿宋"/>
          <w:kern w:val="0"/>
          <w:sz w:val="24"/>
          <w:u w:val="single"/>
        </w:rPr>
        <w:t>注：符合《关于政府采购支持监狱企业发展有关问题的通知》价格扣减条件的投标人须提交。</w:t>
      </w:r>
    </w:p>
    <w:p>
      <w:pPr>
        <w:spacing w:line="360" w:lineRule="auto"/>
        <w:rPr>
          <w:rFonts w:ascii="仿宋" w:hAnsi="仿宋" w:eastAsia="仿宋"/>
          <w:kern w:val="0"/>
          <w:sz w:val="24"/>
          <w:szCs w:val="20"/>
        </w:rPr>
      </w:pPr>
      <w:r>
        <w:rPr>
          <w:rFonts w:ascii="仿宋" w:hAnsi="仿宋" w:eastAsia="仿宋"/>
          <w:sz w:val="24"/>
        </w:rPr>
        <w:br w:type="page"/>
      </w:r>
      <w:r>
        <w:rPr>
          <w:rFonts w:ascii="仿宋" w:hAnsi="仿宋" w:eastAsia="仿宋"/>
          <w:kern w:val="0"/>
          <w:sz w:val="24"/>
          <w:szCs w:val="20"/>
        </w:rPr>
        <w:t>（投标文件格式八）</w:t>
      </w:r>
    </w:p>
    <w:p>
      <w:pPr>
        <w:pStyle w:val="18"/>
        <w:spacing w:line="360" w:lineRule="auto"/>
        <w:jc w:val="center"/>
        <w:rPr>
          <w:rFonts w:ascii="仿宋" w:hAnsi="仿宋" w:eastAsia="仿宋"/>
          <w:b/>
          <w:sz w:val="32"/>
        </w:rPr>
      </w:pPr>
      <w:bookmarkStart w:id="362" w:name="_Toc60929144"/>
      <w:bookmarkStart w:id="363" w:name="_Toc60928912"/>
      <w:bookmarkStart w:id="364" w:name="_Toc532473513"/>
      <w:r>
        <w:rPr>
          <w:rFonts w:ascii="仿宋" w:hAnsi="仿宋" w:eastAsia="仿宋"/>
          <w:b/>
          <w:sz w:val="32"/>
        </w:rPr>
        <w:t>残疾人福利性单位声明函</w:t>
      </w:r>
      <w:bookmarkEnd w:id="362"/>
      <w:bookmarkEnd w:id="363"/>
    </w:p>
    <w:bookmarkEnd w:id="364"/>
    <w:p>
      <w:pPr>
        <w:spacing w:line="360" w:lineRule="auto"/>
        <w:ind w:left="1080" w:leftChars="257" w:hanging="540"/>
        <w:jc w:val="center"/>
        <w:rPr>
          <w:rFonts w:ascii="仿宋" w:hAnsi="仿宋" w:eastAsia="仿宋"/>
          <w:kern w:val="0"/>
          <w:sz w:val="24"/>
          <w:szCs w:val="20"/>
        </w:rPr>
      </w:pPr>
    </w:p>
    <w:p>
      <w:pPr>
        <w:spacing w:line="360" w:lineRule="auto"/>
        <w:ind w:firstLine="567"/>
        <w:rPr>
          <w:rFonts w:ascii="仿宋" w:hAnsi="仿宋" w:eastAsia="仿宋"/>
          <w:kern w:val="0"/>
          <w:sz w:val="24"/>
          <w:szCs w:val="20"/>
        </w:rPr>
      </w:pPr>
      <w:r>
        <w:rPr>
          <w:rFonts w:ascii="仿宋" w:hAnsi="仿宋" w:eastAsia="仿宋"/>
          <w:kern w:val="0"/>
          <w:sz w:val="24"/>
          <w:szCs w:val="20"/>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w:t>
      </w:r>
      <w:r>
        <w:rPr>
          <w:rFonts w:ascii="仿宋" w:hAnsi="仿宋" w:eastAsia="仿宋"/>
          <w:kern w:val="0"/>
          <w:sz w:val="24"/>
        </w:rPr>
        <w:t>（由本单位承担提供服务）</w:t>
      </w:r>
      <w:r>
        <w:rPr>
          <w:rFonts w:ascii="仿宋" w:hAnsi="仿宋" w:eastAsia="仿宋"/>
          <w:kern w:val="0"/>
          <w:sz w:val="24"/>
          <w:szCs w:val="20"/>
        </w:rPr>
        <w:t>，或者提供其他残疾人福利性单位制造的货物（不包括使用非残疾人福利性单位注册商标的货物）。</w:t>
      </w:r>
    </w:p>
    <w:p>
      <w:pPr>
        <w:spacing w:line="360" w:lineRule="auto"/>
        <w:ind w:left="1080" w:leftChars="257" w:hanging="540"/>
        <w:rPr>
          <w:rFonts w:ascii="仿宋" w:hAnsi="仿宋" w:eastAsia="仿宋"/>
          <w:kern w:val="0"/>
          <w:sz w:val="24"/>
          <w:szCs w:val="20"/>
        </w:rPr>
      </w:pPr>
      <w:r>
        <w:rPr>
          <w:rFonts w:ascii="仿宋" w:hAnsi="仿宋" w:eastAsia="仿宋"/>
          <w:kern w:val="0"/>
          <w:sz w:val="24"/>
          <w:szCs w:val="20"/>
        </w:rPr>
        <w:t>本单位对上述声明的真实性负责。如有虚假，将依法承担相应责任。</w:t>
      </w:r>
    </w:p>
    <w:p>
      <w:pPr>
        <w:spacing w:line="360" w:lineRule="auto"/>
        <w:ind w:left="1080" w:leftChars="257" w:hanging="540"/>
        <w:jc w:val="center"/>
        <w:rPr>
          <w:rFonts w:ascii="仿宋" w:hAnsi="仿宋" w:eastAsia="仿宋"/>
          <w:kern w:val="0"/>
          <w:sz w:val="24"/>
          <w:szCs w:val="20"/>
        </w:rPr>
      </w:pPr>
    </w:p>
    <w:p>
      <w:pPr>
        <w:spacing w:line="360" w:lineRule="auto"/>
        <w:ind w:left="1080" w:leftChars="257" w:hanging="540"/>
        <w:jc w:val="center"/>
        <w:rPr>
          <w:rFonts w:ascii="仿宋" w:hAnsi="仿宋" w:eastAsia="仿宋"/>
          <w:kern w:val="0"/>
          <w:sz w:val="24"/>
          <w:szCs w:val="20"/>
        </w:rPr>
      </w:pPr>
    </w:p>
    <w:p>
      <w:pPr>
        <w:spacing w:line="360" w:lineRule="auto"/>
        <w:ind w:left="1080" w:leftChars="257" w:hanging="540"/>
        <w:rPr>
          <w:rFonts w:ascii="仿宋" w:hAnsi="仿宋" w:eastAsia="仿宋"/>
          <w:kern w:val="0"/>
          <w:sz w:val="24"/>
          <w:szCs w:val="20"/>
          <w:u w:val="single"/>
        </w:rPr>
      </w:pPr>
      <w:r>
        <w:rPr>
          <w:rFonts w:ascii="仿宋" w:hAnsi="仿宋" w:eastAsia="仿宋"/>
          <w:kern w:val="0"/>
          <w:sz w:val="24"/>
          <w:szCs w:val="20"/>
        </w:rPr>
        <w:t>残疾人福利性单位（盖公章）：</w:t>
      </w:r>
    </w:p>
    <w:p>
      <w:pPr>
        <w:spacing w:line="360" w:lineRule="auto"/>
        <w:ind w:left="1080" w:leftChars="257" w:hanging="540"/>
        <w:rPr>
          <w:rFonts w:ascii="仿宋" w:hAnsi="仿宋" w:eastAsia="仿宋"/>
          <w:kern w:val="0"/>
          <w:sz w:val="24"/>
          <w:szCs w:val="20"/>
        </w:rPr>
      </w:pPr>
      <w:r>
        <w:rPr>
          <w:rFonts w:ascii="仿宋" w:hAnsi="仿宋" w:eastAsia="仿宋"/>
          <w:kern w:val="0"/>
          <w:sz w:val="24"/>
        </w:rPr>
        <w:t xml:space="preserve">法定代表人或授权代表（签字）:  </w:t>
      </w:r>
    </w:p>
    <w:p>
      <w:pPr>
        <w:spacing w:line="360" w:lineRule="auto"/>
        <w:ind w:firstLine="600" w:firstLineChars="250"/>
        <w:rPr>
          <w:rFonts w:ascii="仿宋" w:hAnsi="仿宋" w:eastAsia="仿宋"/>
          <w:kern w:val="0"/>
          <w:sz w:val="24"/>
          <w:szCs w:val="20"/>
          <w:u w:val="single"/>
        </w:rPr>
      </w:pPr>
      <w:r>
        <w:rPr>
          <w:rFonts w:ascii="仿宋" w:hAnsi="仿宋" w:eastAsia="仿宋"/>
          <w:kern w:val="0"/>
          <w:sz w:val="24"/>
          <w:szCs w:val="20"/>
        </w:rPr>
        <w:t>日期：</w:t>
      </w:r>
    </w:p>
    <w:p>
      <w:pPr>
        <w:spacing w:line="360" w:lineRule="auto"/>
        <w:ind w:firstLine="600" w:firstLineChars="250"/>
        <w:rPr>
          <w:rFonts w:ascii="仿宋" w:hAnsi="仿宋" w:eastAsia="仿宋"/>
          <w:kern w:val="0"/>
          <w:sz w:val="24"/>
          <w:szCs w:val="20"/>
          <w:u w:val="single"/>
        </w:rPr>
      </w:pPr>
    </w:p>
    <w:p>
      <w:pPr>
        <w:spacing w:line="360" w:lineRule="auto"/>
        <w:ind w:firstLine="600" w:firstLineChars="250"/>
        <w:rPr>
          <w:rFonts w:ascii="仿宋" w:hAnsi="仿宋" w:eastAsia="仿宋"/>
          <w:kern w:val="0"/>
          <w:sz w:val="24"/>
          <w:szCs w:val="20"/>
          <w:u w:val="single"/>
        </w:rPr>
      </w:pPr>
    </w:p>
    <w:p>
      <w:pPr>
        <w:spacing w:line="360" w:lineRule="auto"/>
        <w:ind w:firstLine="600" w:firstLineChars="250"/>
        <w:rPr>
          <w:rFonts w:ascii="仿宋" w:hAnsi="仿宋" w:eastAsia="仿宋"/>
          <w:kern w:val="0"/>
          <w:sz w:val="24"/>
          <w:szCs w:val="20"/>
          <w:u w:val="single"/>
        </w:rPr>
      </w:pPr>
    </w:p>
    <w:p>
      <w:pPr>
        <w:spacing w:line="360" w:lineRule="auto"/>
        <w:ind w:firstLine="600" w:firstLineChars="250"/>
        <w:rPr>
          <w:rFonts w:ascii="仿宋" w:hAnsi="仿宋" w:eastAsia="仿宋"/>
          <w:kern w:val="0"/>
          <w:sz w:val="24"/>
          <w:szCs w:val="20"/>
          <w:u w:val="single"/>
        </w:rPr>
      </w:pPr>
    </w:p>
    <w:p>
      <w:pPr>
        <w:spacing w:line="360" w:lineRule="auto"/>
        <w:ind w:firstLine="600" w:firstLineChars="250"/>
        <w:rPr>
          <w:rFonts w:ascii="仿宋" w:hAnsi="仿宋" w:eastAsia="仿宋"/>
          <w:kern w:val="0"/>
          <w:sz w:val="24"/>
          <w:szCs w:val="20"/>
          <w:u w:val="single"/>
        </w:rPr>
      </w:pPr>
    </w:p>
    <w:p>
      <w:pPr>
        <w:spacing w:line="360" w:lineRule="auto"/>
        <w:ind w:firstLine="600" w:firstLineChars="250"/>
        <w:rPr>
          <w:rFonts w:ascii="仿宋" w:hAnsi="仿宋" w:eastAsia="仿宋"/>
          <w:kern w:val="0"/>
          <w:sz w:val="24"/>
          <w:szCs w:val="20"/>
          <w:u w:val="single"/>
        </w:rPr>
      </w:pPr>
    </w:p>
    <w:p>
      <w:pPr>
        <w:spacing w:line="360" w:lineRule="auto"/>
        <w:rPr>
          <w:rFonts w:ascii="仿宋" w:hAnsi="仿宋" w:eastAsia="仿宋"/>
          <w:kern w:val="0"/>
          <w:sz w:val="24"/>
          <w:szCs w:val="20"/>
          <w:u w:val="single"/>
        </w:rPr>
      </w:pPr>
      <w:r>
        <w:rPr>
          <w:rFonts w:ascii="仿宋" w:hAnsi="仿宋" w:eastAsia="仿宋"/>
          <w:kern w:val="0"/>
          <w:sz w:val="24"/>
          <w:szCs w:val="20"/>
          <w:u w:val="single"/>
        </w:rPr>
        <w:t>注：符合《三部门联合发布关于促进残疾人就业政府采购政策的通知》价格扣减条件的投标人须提交。</w:t>
      </w:r>
    </w:p>
    <w:p>
      <w:pPr>
        <w:widowControl/>
        <w:spacing w:before="100" w:beforeAutospacing="1" w:after="100" w:afterAutospacing="1" w:line="360" w:lineRule="auto"/>
        <w:ind w:firstLine="420"/>
        <w:rPr>
          <w:rFonts w:ascii="仿宋" w:hAnsi="仿宋" w:eastAsia="仿宋"/>
          <w:sz w:val="24"/>
        </w:rPr>
      </w:pPr>
      <w:r>
        <w:rPr>
          <w:rFonts w:ascii="仿宋" w:hAnsi="仿宋" w:eastAsia="仿宋"/>
          <w:b/>
          <w:sz w:val="24"/>
        </w:rPr>
        <w:br w:type="page"/>
      </w:r>
      <w:bookmarkEnd w:id="357"/>
      <w:bookmarkEnd w:id="358"/>
      <w:bookmarkEnd w:id="359"/>
    </w:p>
    <w:p>
      <w:pPr>
        <w:pStyle w:val="18"/>
        <w:spacing w:line="360" w:lineRule="auto"/>
        <w:jc w:val="center"/>
        <w:rPr>
          <w:rFonts w:ascii="仿宋" w:hAnsi="仿宋" w:eastAsia="仿宋"/>
          <w:b/>
          <w:sz w:val="32"/>
        </w:rPr>
      </w:pPr>
      <w:r>
        <w:rPr>
          <w:rFonts w:ascii="仿宋" w:hAnsi="仿宋" w:eastAsia="仿宋"/>
          <w:b/>
          <w:sz w:val="32"/>
        </w:rPr>
        <w:t>符合评分标准要求的商务文件</w:t>
      </w:r>
    </w:p>
    <w:p>
      <w:pPr>
        <w:pStyle w:val="5"/>
        <w:spacing w:line="360" w:lineRule="auto"/>
        <w:ind w:firstLine="480" w:firstLineChars="200"/>
        <w:rPr>
          <w:rFonts w:ascii="仿宋" w:hAnsi="仿宋" w:eastAsia="仿宋"/>
        </w:rPr>
      </w:pPr>
      <w:r>
        <w:rPr>
          <w:rFonts w:ascii="仿宋" w:hAnsi="仿宋" w:eastAsia="仿宋"/>
        </w:rPr>
        <w:br w:type="page"/>
      </w:r>
    </w:p>
    <w:p>
      <w:pPr>
        <w:pStyle w:val="18"/>
        <w:spacing w:line="360" w:lineRule="auto"/>
        <w:jc w:val="center"/>
        <w:rPr>
          <w:rFonts w:ascii="仿宋" w:hAnsi="仿宋" w:eastAsia="仿宋"/>
          <w:b/>
          <w:sz w:val="32"/>
        </w:rPr>
      </w:pPr>
      <w:r>
        <w:rPr>
          <w:rFonts w:ascii="仿宋" w:hAnsi="仿宋" w:eastAsia="仿宋"/>
          <w:b/>
          <w:sz w:val="32"/>
        </w:rPr>
        <w:t>投标人须知第10条要求的所有技术文件</w:t>
      </w:r>
      <w:r>
        <w:rPr>
          <w:rFonts w:ascii="仿宋" w:hAnsi="仿宋" w:eastAsia="仿宋"/>
          <w:b/>
          <w:sz w:val="32"/>
        </w:rPr>
        <w:br w:type="page"/>
      </w:r>
      <w:bookmarkStart w:id="365" w:name="_Toc60929148"/>
      <w:bookmarkStart w:id="366" w:name="_Toc60928916"/>
    </w:p>
    <w:p>
      <w:pPr>
        <w:pStyle w:val="18"/>
        <w:spacing w:line="360" w:lineRule="auto"/>
        <w:jc w:val="center"/>
        <w:rPr>
          <w:rFonts w:ascii="仿宋" w:hAnsi="仿宋" w:eastAsia="仿宋"/>
          <w:b/>
          <w:sz w:val="32"/>
        </w:rPr>
      </w:pPr>
      <w:r>
        <w:rPr>
          <w:rFonts w:ascii="仿宋" w:hAnsi="仿宋" w:eastAsia="仿宋"/>
          <w:b/>
          <w:sz w:val="32"/>
        </w:rPr>
        <w:t>投标方案或技术方案</w:t>
      </w:r>
      <w:bookmarkEnd w:id="365"/>
      <w:bookmarkEnd w:id="366"/>
      <w:bookmarkStart w:id="367" w:name="_Toc60929149"/>
      <w:bookmarkStart w:id="368" w:name="_Toc60928917"/>
    </w:p>
    <w:p>
      <w:pPr>
        <w:pStyle w:val="13"/>
        <w:jc w:val="center"/>
        <w:rPr>
          <w:rFonts w:ascii="仿宋" w:hAnsi="仿宋" w:eastAsia="仿宋" w:cs="仿宋_GB2312"/>
        </w:rPr>
      </w:pPr>
      <w:r>
        <w:rPr>
          <w:rFonts w:hint="eastAsia" w:ascii="仿宋" w:hAnsi="仿宋" w:eastAsia="仿宋" w:cs="仿宋_GB2312"/>
        </w:rPr>
        <w:t>（格式自拟，内容应包含评标办法中要求的内容）</w:t>
      </w:r>
      <w:bookmarkEnd w:id="367"/>
      <w:bookmarkEnd w:id="368"/>
    </w:p>
    <w:p>
      <w:pPr>
        <w:rPr>
          <w:rFonts w:ascii="仿宋" w:hAnsi="仿宋" w:eastAsia="仿宋"/>
        </w:rPr>
      </w:pPr>
    </w:p>
    <w:p>
      <w:pPr>
        <w:pStyle w:val="5"/>
        <w:spacing w:line="360" w:lineRule="auto"/>
        <w:ind w:firstLine="480" w:firstLineChars="200"/>
        <w:rPr>
          <w:rFonts w:ascii="仿宋" w:hAnsi="仿宋" w:eastAsia="仿宋"/>
        </w:rPr>
      </w:pPr>
      <w:r>
        <w:rPr>
          <w:rFonts w:ascii="仿宋" w:hAnsi="仿宋" w:eastAsia="仿宋"/>
        </w:rPr>
        <w:br w:type="page"/>
      </w:r>
    </w:p>
    <w:p>
      <w:pPr>
        <w:pStyle w:val="18"/>
        <w:spacing w:line="360" w:lineRule="auto"/>
        <w:jc w:val="center"/>
        <w:rPr>
          <w:rFonts w:ascii="仿宋" w:hAnsi="仿宋" w:eastAsia="仿宋"/>
          <w:b/>
          <w:sz w:val="32"/>
        </w:rPr>
      </w:pPr>
      <w:bookmarkStart w:id="369" w:name="_Toc60929150"/>
      <w:bookmarkStart w:id="370" w:name="_Toc60928918"/>
      <w:r>
        <w:rPr>
          <w:rFonts w:ascii="仿宋" w:hAnsi="仿宋" w:eastAsia="仿宋"/>
          <w:b/>
          <w:sz w:val="32"/>
        </w:rPr>
        <w:t>业绩一览表</w:t>
      </w:r>
      <w:bookmarkEnd w:id="369"/>
      <w:bookmarkEnd w:id="370"/>
    </w:p>
    <w:tbl>
      <w:tblPr>
        <w:tblStyle w:val="3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1"/>
        <w:gridCol w:w="2150"/>
        <w:gridCol w:w="1954"/>
        <w:gridCol w:w="1564"/>
        <w:gridCol w:w="29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r>
              <w:rPr>
                <w:rFonts w:ascii="仿宋" w:hAnsi="仿宋" w:eastAsia="仿宋"/>
                <w:sz w:val="24"/>
              </w:rPr>
              <w:t>序号</w:t>
            </w:r>
          </w:p>
        </w:tc>
        <w:tc>
          <w:tcPr>
            <w:tcW w:w="1142" w:type="pct"/>
            <w:vAlign w:val="center"/>
          </w:tcPr>
          <w:p>
            <w:pPr>
              <w:jc w:val="center"/>
              <w:rPr>
                <w:rFonts w:ascii="仿宋" w:hAnsi="仿宋" w:eastAsia="仿宋"/>
                <w:sz w:val="24"/>
              </w:rPr>
            </w:pPr>
            <w:r>
              <w:rPr>
                <w:rFonts w:ascii="仿宋" w:hAnsi="仿宋" w:eastAsia="仿宋"/>
                <w:sz w:val="24"/>
              </w:rPr>
              <w:t>项目名称</w:t>
            </w:r>
          </w:p>
        </w:tc>
        <w:tc>
          <w:tcPr>
            <w:tcW w:w="1038" w:type="pct"/>
            <w:tcBorders>
              <w:left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合同金额（万元）</w:t>
            </w:r>
          </w:p>
        </w:tc>
        <w:tc>
          <w:tcPr>
            <w:tcW w:w="831" w:type="pct"/>
            <w:vAlign w:val="center"/>
          </w:tcPr>
          <w:p>
            <w:pPr>
              <w:jc w:val="center"/>
              <w:rPr>
                <w:rFonts w:ascii="仿宋" w:hAnsi="仿宋" w:eastAsia="仿宋"/>
                <w:sz w:val="24"/>
              </w:rPr>
            </w:pPr>
            <w:r>
              <w:rPr>
                <w:rFonts w:ascii="仿宋" w:hAnsi="仿宋" w:eastAsia="仿宋"/>
                <w:sz w:val="24"/>
              </w:rPr>
              <w:t>完成日期</w:t>
            </w:r>
          </w:p>
        </w:tc>
        <w:tc>
          <w:tcPr>
            <w:tcW w:w="1557" w:type="pct"/>
            <w:vAlign w:val="center"/>
          </w:tcPr>
          <w:p>
            <w:pPr>
              <w:jc w:val="center"/>
              <w:rPr>
                <w:rFonts w:ascii="仿宋" w:hAnsi="仿宋" w:eastAsia="仿宋"/>
                <w:sz w:val="24"/>
              </w:rPr>
            </w:pPr>
            <w:r>
              <w:rPr>
                <w:rFonts w:ascii="仿宋" w:hAnsi="仿宋" w:eastAsia="仿宋"/>
                <w:sz w:val="24"/>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r>
              <w:rPr>
                <w:rFonts w:ascii="仿宋" w:hAnsi="仿宋" w:eastAsia="仿宋"/>
                <w:sz w:val="24"/>
              </w:rPr>
              <w:t>1</w:t>
            </w: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r>
              <w:rPr>
                <w:rFonts w:ascii="仿宋" w:hAnsi="仿宋" w:eastAsia="仿宋"/>
                <w:sz w:val="24"/>
              </w:rPr>
              <w:t>2</w:t>
            </w: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r>
              <w:rPr>
                <w:rFonts w:ascii="仿宋" w:hAnsi="仿宋" w:eastAsia="仿宋"/>
                <w:sz w:val="24"/>
              </w:rPr>
              <w:t>3</w:t>
            </w: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r>
              <w:rPr>
                <w:rFonts w:ascii="仿宋" w:hAnsi="仿宋" w:eastAsia="仿宋"/>
                <w:sz w:val="24"/>
              </w:rPr>
              <w:t>4</w:t>
            </w: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r>
              <w:rPr>
                <w:rFonts w:ascii="仿宋" w:hAnsi="仿宋" w:eastAsia="仿宋"/>
                <w:sz w:val="24"/>
              </w:rPr>
              <w:t>5</w:t>
            </w: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r>
              <w:rPr>
                <w:rFonts w:ascii="仿宋" w:hAnsi="仿宋" w:eastAsia="仿宋"/>
                <w:sz w:val="24"/>
              </w:rPr>
              <w:t>…</w:t>
            </w: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431" w:type="pct"/>
            <w:vAlign w:val="center"/>
          </w:tcPr>
          <w:p>
            <w:pPr>
              <w:jc w:val="center"/>
              <w:rPr>
                <w:rFonts w:ascii="仿宋" w:hAnsi="仿宋" w:eastAsia="仿宋"/>
                <w:sz w:val="24"/>
              </w:rPr>
            </w:pPr>
          </w:p>
        </w:tc>
        <w:tc>
          <w:tcPr>
            <w:tcW w:w="1142" w:type="pct"/>
            <w:vAlign w:val="center"/>
          </w:tcPr>
          <w:p>
            <w:pPr>
              <w:jc w:val="center"/>
              <w:rPr>
                <w:rFonts w:ascii="仿宋" w:hAnsi="仿宋" w:eastAsia="仿宋"/>
                <w:sz w:val="24"/>
              </w:rPr>
            </w:pPr>
          </w:p>
        </w:tc>
        <w:tc>
          <w:tcPr>
            <w:tcW w:w="1038" w:type="pct"/>
            <w:tcBorders>
              <w:left w:val="single" w:color="auto" w:sz="4" w:space="0"/>
              <w:right w:val="single" w:color="auto" w:sz="4" w:space="0"/>
            </w:tcBorders>
            <w:vAlign w:val="center"/>
          </w:tcPr>
          <w:p>
            <w:pPr>
              <w:jc w:val="center"/>
              <w:rPr>
                <w:rFonts w:ascii="仿宋" w:hAnsi="仿宋" w:eastAsia="仿宋"/>
                <w:sz w:val="24"/>
              </w:rPr>
            </w:pPr>
          </w:p>
        </w:tc>
        <w:tc>
          <w:tcPr>
            <w:tcW w:w="831" w:type="pct"/>
            <w:vAlign w:val="center"/>
          </w:tcPr>
          <w:p>
            <w:pPr>
              <w:jc w:val="center"/>
              <w:rPr>
                <w:rFonts w:ascii="仿宋" w:hAnsi="仿宋" w:eastAsia="仿宋"/>
                <w:sz w:val="24"/>
              </w:rPr>
            </w:pPr>
          </w:p>
        </w:tc>
        <w:tc>
          <w:tcPr>
            <w:tcW w:w="1557" w:type="pct"/>
          </w:tcPr>
          <w:p>
            <w:pPr>
              <w:jc w:val="center"/>
              <w:rPr>
                <w:rFonts w:ascii="仿宋" w:hAnsi="仿宋" w:eastAsia="仿宋"/>
                <w:sz w:val="24"/>
              </w:rPr>
            </w:pPr>
          </w:p>
        </w:tc>
      </w:tr>
    </w:tbl>
    <w:p>
      <w:pPr>
        <w:snapToGrid w:val="0"/>
        <w:ind w:left="349" w:hanging="348" w:hangingChars="166"/>
        <w:rPr>
          <w:rFonts w:ascii="仿宋" w:hAnsi="仿宋" w:eastAsia="仿宋"/>
        </w:rPr>
      </w:pPr>
    </w:p>
    <w:p>
      <w:pPr>
        <w:snapToGrid w:val="0"/>
        <w:ind w:left="349" w:hanging="348" w:hangingChars="166"/>
        <w:rPr>
          <w:rFonts w:ascii="仿宋" w:hAnsi="仿宋" w:eastAsia="仿宋"/>
        </w:rPr>
      </w:pPr>
      <w:r>
        <w:rPr>
          <w:rFonts w:ascii="仿宋" w:hAnsi="仿宋" w:eastAsia="仿宋"/>
        </w:rPr>
        <w:t>注：1. 投标人应如实列出以上情况，如有隐瞒，一经查实将导致其投标申请被拒绝。</w:t>
      </w:r>
    </w:p>
    <w:p>
      <w:pPr>
        <w:rPr>
          <w:rFonts w:ascii="仿宋" w:hAnsi="仿宋" w:eastAsia="仿宋"/>
        </w:rPr>
      </w:pPr>
      <w:r>
        <w:rPr>
          <w:rFonts w:ascii="仿宋" w:hAnsi="仿宋" w:eastAsia="仿宋"/>
        </w:rPr>
        <w:t>2、每个项目合同须单独具表，提供双方签订的合同复印件加盖公章，无相关证明的项目在评审时将不予确认。</w:t>
      </w:r>
    </w:p>
    <w:p>
      <w:pPr>
        <w:rPr>
          <w:rFonts w:ascii="仿宋" w:hAnsi="仿宋" w:eastAsia="仿宋"/>
        </w:rPr>
      </w:pPr>
      <w:r>
        <w:rPr>
          <w:rFonts w:ascii="仿宋" w:hAnsi="仿宋" w:eastAsia="仿宋"/>
        </w:rPr>
        <w:br w:type="page"/>
      </w:r>
    </w:p>
    <w:p>
      <w:pPr>
        <w:pStyle w:val="18"/>
        <w:spacing w:line="360" w:lineRule="auto"/>
        <w:jc w:val="center"/>
        <w:rPr>
          <w:rFonts w:ascii="仿宋" w:hAnsi="仿宋" w:eastAsia="仿宋"/>
          <w:b/>
          <w:sz w:val="32"/>
        </w:rPr>
      </w:pPr>
      <w:bookmarkStart w:id="371" w:name="_Toc60928919"/>
      <w:bookmarkStart w:id="372" w:name="_Toc60929151"/>
      <w:r>
        <w:rPr>
          <w:rFonts w:ascii="仿宋" w:hAnsi="仿宋" w:eastAsia="仿宋"/>
          <w:b/>
          <w:sz w:val="32"/>
        </w:rPr>
        <w:t>投标人须知前附表要求的其他文件</w:t>
      </w:r>
      <w:bookmarkEnd w:id="371"/>
      <w:bookmarkEnd w:id="372"/>
    </w:p>
    <w:sectPr>
      <w:footerReference r:id="rId3" w:type="default"/>
      <w:pgSz w:w="11907" w:h="16840"/>
      <w:pgMar w:top="1134" w:right="1134" w:bottom="1134" w:left="1134" w:header="851" w:footer="851" w:gutter="284"/>
      <w:pgNumType w:start="1"/>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91E719-C53F-49BC-84B6-F03531423F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roman"/>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embedRegular r:id="rId2" w:fontKey="{F05EC26F-290F-4121-9B3F-02D5D9BBED52}"/>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embedRegular r:id="rId3" w:fontKey="{7B731BC4-6E31-49D2-AC3A-117C719C8C35}"/>
  </w:font>
  <w:font w:name="SourceHanSansCN-Regular">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4" w:fontKey="{1B6E9A51-C61F-4619-9AC7-D6369026BC4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993493"/>
    </w:sdtPr>
    <w:sdtContent>
      <w:p>
        <w:pPr>
          <w:pStyle w:val="23"/>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
    <w:nsid w:val="72E76435"/>
    <w:multiLevelType w:val="multilevel"/>
    <w:tmpl w:val="72E76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jg4OTJkODcyMzg4YWYzZWJjZTgxY2RlOWY3ZDNkMjIifQ=="/>
    <w:docVar w:name="VTCASE" w:val="4"/>
    <w:docVar w:name="VTCommandPending" w:val="NONE"/>
  </w:docVars>
  <w:rsids>
    <w:rsidRoot w:val="00887D93"/>
    <w:rsid w:val="000003F8"/>
    <w:rsid w:val="000004CD"/>
    <w:rsid w:val="00000B88"/>
    <w:rsid w:val="00000CC8"/>
    <w:rsid w:val="00001783"/>
    <w:rsid w:val="00001797"/>
    <w:rsid w:val="000018E2"/>
    <w:rsid w:val="0000273B"/>
    <w:rsid w:val="000041A8"/>
    <w:rsid w:val="00004277"/>
    <w:rsid w:val="00004D81"/>
    <w:rsid w:val="000055D7"/>
    <w:rsid w:val="00006413"/>
    <w:rsid w:val="000078F7"/>
    <w:rsid w:val="00013C70"/>
    <w:rsid w:val="00014763"/>
    <w:rsid w:val="00014892"/>
    <w:rsid w:val="0001529F"/>
    <w:rsid w:val="000157E2"/>
    <w:rsid w:val="0001668B"/>
    <w:rsid w:val="0001697A"/>
    <w:rsid w:val="000169E1"/>
    <w:rsid w:val="00017A5D"/>
    <w:rsid w:val="00020D78"/>
    <w:rsid w:val="00021486"/>
    <w:rsid w:val="00021AE8"/>
    <w:rsid w:val="00021CB0"/>
    <w:rsid w:val="00021ED8"/>
    <w:rsid w:val="00022E94"/>
    <w:rsid w:val="0003033F"/>
    <w:rsid w:val="00030B4B"/>
    <w:rsid w:val="00030FAA"/>
    <w:rsid w:val="000313B5"/>
    <w:rsid w:val="000315C4"/>
    <w:rsid w:val="00032B33"/>
    <w:rsid w:val="00032B95"/>
    <w:rsid w:val="000333A8"/>
    <w:rsid w:val="0003349B"/>
    <w:rsid w:val="000422D6"/>
    <w:rsid w:val="0004316D"/>
    <w:rsid w:val="000434F9"/>
    <w:rsid w:val="00043533"/>
    <w:rsid w:val="000457F2"/>
    <w:rsid w:val="00045D67"/>
    <w:rsid w:val="0004677C"/>
    <w:rsid w:val="00047F5E"/>
    <w:rsid w:val="000538CC"/>
    <w:rsid w:val="000541C7"/>
    <w:rsid w:val="00054A8E"/>
    <w:rsid w:val="00055A71"/>
    <w:rsid w:val="00056583"/>
    <w:rsid w:val="00056932"/>
    <w:rsid w:val="00057BB2"/>
    <w:rsid w:val="0006019D"/>
    <w:rsid w:val="000608CE"/>
    <w:rsid w:val="000612B3"/>
    <w:rsid w:val="000619FE"/>
    <w:rsid w:val="00061B68"/>
    <w:rsid w:val="0006254B"/>
    <w:rsid w:val="00062F6D"/>
    <w:rsid w:val="000634E0"/>
    <w:rsid w:val="00063504"/>
    <w:rsid w:val="00063750"/>
    <w:rsid w:val="00063848"/>
    <w:rsid w:val="00064D90"/>
    <w:rsid w:val="00065379"/>
    <w:rsid w:val="000673C5"/>
    <w:rsid w:val="00070907"/>
    <w:rsid w:val="00070E4A"/>
    <w:rsid w:val="000710A4"/>
    <w:rsid w:val="000719AB"/>
    <w:rsid w:val="00071A8D"/>
    <w:rsid w:val="000731AC"/>
    <w:rsid w:val="00073668"/>
    <w:rsid w:val="00073852"/>
    <w:rsid w:val="0007437C"/>
    <w:rsid w:val="00076670"/>
    <w:rsid w:val="00077381"/>
    <w:rsid w:val="00080A9E"/>
    <w:rsid w:val="00080B56"/>
    <w:rsid w:val="00080FC7"/>
    <w:rsid w:val="00081B91"/>
    <w:rsid w:val="00081D11"/>
    <w:rsid w:val="00083115"/>
    <w:rsid w:val="00087D90"/>
    <w:rsid w:val="00091306"/>
    <w:rsid w:val="00092DF6"/>
    <w:rsid w:val="00093269"/>
    <w:rsid w:val="00093645"/>
    <w:rsid w:val="0009376D"/>
    <w:rsid w:val="000938B0"/>
    <w:rsid w:val="00094850"/>
    <w:rsid w:val="00094D7A"/>
    <w:rsid w:val="00096150"/>
    <w:rsid w:val="00096ABA"/>
    <w:rsid w:val="00096F54"/>
    <w:rsid w:val="000A0F1C"/>
    <w:rsid w:val="000A31C4"/>
    <w:rsid w:val="000A3727"/>
    <w:rsid w:val="000A378F"/>
    <w:rsid w:val="000A49C1"/>
    <w:rsid w:val="000A799B"/>
    <w:rsid w:val="000B097D"/>
    <w:rsid w:val="000B0FD5"/>
    <w:rsid w:val="000B1F67"/>
    <w:rsid w:val="000B3242"/>
    <w:rsid w:val="000B3392"/>
    <w:rsid w:val="000B362F"/>
    <w:rsid w:val="000B366A"/>
    <w:rsid w:val="000B3958"/>
    <w:rsid w:val="000B41E2"/>
    <w:rsid w:val="000B4D5A"/>
    <w:rsid w:val="000B54A2"/>
    <w:rsid w:val="000B6C50"/>
    <w:rsid w:val="000B7166"/>
    <w:rsid w:val="000B7F8A"/>
    <w:rsid w:val="000C0FDF"/>
    <w:rsid w:val="000C15AF"/>
    <w:rsid w:val="000C26CA"/>
    <w:rsid w:val="000C3524"/>
    <w:rsid w:val="000C383E"/>
    <w:rsid w:val="000C3A1F"/>
    <w:rsid w:val="000C5071"/>
    <w:rsid w:val="000C55ED"/>
    <w:rsid w:val="000C5F8B"/>
    <w:rsid w:val="000C6555"/>
    <w:rsid w:val="000C6B1E"/>
    <w:rsid w:val="000C6F86"/>
    <w:rsid w:val="000C78AE"/>
    <w:rsid w:val="000D10E4"/>
    <w:rsid w:val="000D1613"/>
    <w:rsid w:val="000D19C1"/>
    <w:rsid w:val="000D1D95"/>
    <w:rsid w:val="000D27A3"/>
    <w:rsid w:val="000D4821"/>
    <w:rsid w:val="000D498D"/>
    <w:rsid w:val="000D4E69"/>
    <w:rsid w:val="000D5125"/>
    <w:rsid w:val="000D51DB"/>
    <w:rsid w:val="000D5894"/>
    <w:rsid w:val="000D6197"/>
    <w:rsid w:val="000D751E"/>
    <w:rsid w:val="000D7812"/>
    <w:rsid w:val="000D7971"/>
    <w:rsid w:val="000E1288"/>
    <w:rsid w:val="000E3784"/>
    <w:rsid w:val="000E37E0"/>
    <w:rsid w:val="000E47A0"/>
    <w:rsid w:val="000E56F6"/>
    <w:rsid w:val="000E597F"/>
    <w:rsid w:val="000E5BFC"/>
    <w:rsid w:val="000E6242"/>
    <w:rsid w:val="000E67B9"/>
    <w:rsid w:val="000E694F"/>
    <w:rsid w:val="000E7158"/>
    <w:rsid w:val="000E74D4"/>
    <w:rsid w:val="000F2D05"/>
    <w:rsid w:val="000F2EEE"/>
    <w:rsid w:val="000F349B"/>
    <w:rsid w:val="000F3ED4"/>
    <w:rsid w:val="000F4234"/>
    <w:rsid w:val="000F5B22"/>
    <w:rsid w:val="000F6215"/>
    <w:rsid w:val="000F63C8"/>
    <w:rsid w:val="000F6581"/>
    <w:rsid w:val="00102417"/>
    <w:rsid w:val="001032CC"/>
    <w:rsid w:val="00105B0B"/>
    <w:rsid w:val="00106A8B"/>
    <w:rsid w:val="001078E3"/>
    <w:rsid w:val="0011024E"/>
    <w:rsid w:val="0011113E"/>
    <w:rsid w:val="00111480"/>
    <w:rsid w:val="00112163"/>
    <w:rsid w:val="00114579"/>
    <w:rsid w:val="0011463E"/>
    <w:rsid w:val="00114CA2"/>
    <w:rsid w:val="00115BF1"/>
    <w:rsid w:val="00120292"/>
    <w:rsid w:val="0012032C"/>
    <w:rsid w:val="0012244B"/>
    <w:rsid w:val="001224B5"/>
    <w:rsid w:val="00122643"/>
    <w:rsid w:val="00122E9B"/>
    <w:rsid w:val="0012425B"/>
    <w:rsid w:val="001244F8"/>
    <w:rsid w:val="001247F0"/>
    <w:rsid w:val="001252D8"/>
    <w:rsid w:val="001257D4"/>
    <w:rsid w:val="001313C6"/>
    <w:rsid w:val="00131E0D"/>
    <w:rsid w:val="0013289C"/>
    <w:rsid w:val="0013359E"/>
    <w:rsid w:val="00137694"/>
    <w:rsid w:val="0014049E"/>
    <w:rsid w:val="001410EF"/>
    <w:rsid w:val="001411D8"/>
    <w:rsid w:val="00141EAC"/>
    <w:rsid w:val="00141EC4"/>
    <w:rsid w:val="00142833"/>
    <w:rsid w:val="00143412"/>
    <w:rsid w:val="00143652"/>
    <w:rsid w:val="0014470E"/>
    <w:rsid w:val="0014488E"/>
    <w:rsid w:val="0014627C"/>
    <w:rsid w:val="00146D60"/>
    <w:rsid w:val="00146E10"/>
    <w:rsid w:val="00146E19"/>
    <w:rsid w:val="00147659"/>
    <w:rsid w:val="001504F4"/>
    <w:rsid w:val="001507FB"/>
    <w:rsid w:val="00150E43"/>
    <w:rsid w:val="0015142E"/>
    <w:rsid w:val="001532F0"/>
    <w:rsid w:val="00154FB3"/>
    <w:rsid w:val="001550F4"/>
    <w:rsid w:val="00155D60"/>
    <w:rsid w:val="00156F33"/>
    <w:rsid w:val="00157612"/>
    <w:rsid w:val="00157C74"/>
    <w:rsid w:val="00157D8E"/>
    <w:rsid w:val="00161678"/>
    <w:rsid w:val="00161D71"/>
    <w:rsid w:val="00162805"/>
    <w:rsid w:val="00164959"/>
    <w:rsid w:val="00165014"/>
    <w:rsid w:val="0017180F"/>
    <w:rsid w:val="00172939"/>
    <w:rsid w:val="00172F97"/>
    <w:rsid w:val="001733C3"/>
    <w:rsid w:val="00173BFF"/>
    <w:rsid w:val="00173D06"/>
    <w:rsid w:val="00173DC3"/>
    <w:rsid w:val="00174749"/>
    <w:rsid w:val="00174764"/>
    <w:rsid w:val="00174FCA"/>
    <w:rsid w:val="001758A8"/>
    <w:rsid w:val="00175AFB"/>
    <w:rsid w:val="00176F12"/>
    <w:rsid w:val="001770BE"/>
    <w:rsid w:val="00177A3E"/>
    <w:rsid w:val="001839F8"/>
    <w:rsid w:val="00183E4B"/>
    <w:rsid w:val="00185E58"/>
    <w:rsid w:val="001871F8"/>
    <w:rsid w:val="00187B13"/>
    <w:rsid w:val="00187EB4"/>
    <w:rsid w:val="0019282C"/>
    <w:rsid w:val="001952EC"/>
    <w:rsid w:val="00195570"/>
    <w:rsid w:val="0019618B"/>
    <w:rsid w:val="001963DD"/>
    <w:rsid w:val="00196FA0"/>
    <w:rsid w:val="00197710"/>
    <w:rsid w:val="001A282B"/>
    <w:rsid w:val="001A3B44"/>
    <w:rsid w:val="001A3BEB"/>
    <w:rsid w:val="001A3DFF"/>
    <w:rsid w:val="001A4172"/>
    <w:rsid w:val="001A5B0B"/>
    <w:rsid w:val="001A5EEB"/>
    <w:rsid w:val="001A62A5"/>
    <w:rsid w:val="001A6980"/>
    <w:rsid w:val="001A7068"/>
    <w:rsid w:val="001B05CA"/>
    <w:rsid w:val="001B3B4C"/>
    <w:rsid w:val="001B4216"/>
    <w:rsid w:val="001B49A4"/>
    <w:rsid w:val="001B521B"/>
    <w:rsid w:val="001B5C9A"/>
    <w:rsid w:val="001B5CC8"/>
    <w:rsid w:val="001B6587"/>
    <w:rsid w:val="001C0582"/>
    <w:rsid w:val="001C058D"/>
    <w:rsid w:val="001C4E93"/>
    <w:rsid w:val="001C54C3"/>
    <w:rsid w:val="001C577E"/>
    <w:rsid w:val="001D027D"/>
    <w:rsid w:val="001D0412"/>
    <w:rsid w:val="001D4A1E"/>
    <w:rsid w:val="001D6C02"/>
    <w:rsid w:val="001D70E9"/>
    <w:rsid w:val="001E181E"/>
    <w:rsid w:val="001E1DCD"/>
    <w:rsid w:val="001E25CB"/>
    <w:rsid w:val="001E4481"/>
    <w:rsid w:val="001E44EF"/>
    <w:rsid w:val="001E4724"/>
    <w:rsid w:val="001E5225"/>
    <w:rsid w:val="001E5AD9"/>
    <w:rsid w:val="001E5D0C"/>
    <w:rsid w:val="001E62FA"/>
    <w:rsid w:val="001E674E"/>
    <w:rsid w:val="001E6C1A"/>
    <w:rsid w:val="001E7629"/>
    <w:rsid w:val="001E7846"/>
    <w:rsid w:val="001E7E8B"/>
    <w:rsid w:val="001F02D8"/>
    <w:rsid w:val="001F0B08"/>
    <w:rsid w:val="001F20DA"/>
    <w:rsid w:val="001F2F0B"/>
    <w:rsid w:val="001F3130"/>
    <w:rsid w:val="001F325D"/>
    <w:rsid w:val="001F3E0A"/>
    <w:rsid w:val="001F48F3"/>
    <w:rsid w:val="001F5620"/>
    <w:rsid w:val="001F5903"/>
    <w:rsid w:val="001F6135"/>
    <w:rsid w:val="001F624A"/>
    <w:rsid w:val="001F7292"/>
    <w:rsid w:val="001F7B07"/>
    <w:rsid w:val="002001DC"/>
    <w:rsid w:val="002032B0"/>
    <w:rsid w:val="00203618"/>
    <w:rsid w:val="00203778"/>
    <w:rsid w:val="0020407A"/>
    <w:rsid w:val="00206B42"/>
    <w:rsid w:val="00207B86"/>
    <w:rsid w:val="00210AE7"/>
    <w:rsid w:val="0021140A"/>
    <w:rsid w:val="002123C7"/>
    <w:rsid w:val="002124BD"/>
    <w:rsid w:val="00213411"/>
    <w:rsid w:val="00214C91"/>
    <w:rsid w:val="0021518F"/>
    <w:rsid w:val="00215B2E"/>
    <w:rsid w:val="00216D4F"/>
    <w:rsid w:val="00216E43"/>
    <w:rsid w:val="00220866"/>
    <w:rsid w:val="00220E32"/>
    <w:rsid w:val="00220F85"/>
    <w:rsid w:val="00221DE5"/>
    <w:rsid w:val="00221E50"/>
    <w:rsid w:val="002231A4"/>
    <w:rsid w:val="00223245"/>
    <w:rsid w:val="00224447"/>
    <w:rsid w:val="00224A77"/>
    <w:rsid w:val="0022671D"/>
    <w:rsid w:val="0022758C"/>
    <w:rsid w:val="0023090E"/>
    <w:rsid w:val="00231C64"/>
    <w:rsid w:val="00232C22"/>
    <w:rsid w:val="002330C7"/>
    <w:rsid w:val="0023318A"/>
    <w:rsid w:val="00233ADF"/>
    <w:rsid w:val="0023688B"/>
    <w:rsid w:val="00236A9B"/>
    <w:rsid w:val="00236C4A"/>
    <w:rsid w:val="0023715B"/>
    <w:rsid w:val="00237592"/>
    <w:rsid w:val="002402C0"/>
    <w:rsid w:val="0024141B"/>
    <w:rsid w:val="00242361"/>
    <w:rsid w:val="00244A0E"/>
    <w:rsid w:val="00244F73"/>
    <w:rsid w:val="00245783"/>
    <w:rsid w:val="00247E67"/>
    <w:rsid w:val="002501BB"/>
    <w:rsid w:val="002509CA"/>
    <w:rsid w:val="00250C1D"/>
    <w:rsid w:val="00251A29"/>
    <w:rsid w:val="00251B89"/>
    <w:rsid w:val="00252AAF"/>
    <w:rsid w:val="00253615"/>
    <w:rsid w:val="002537D1"/>
    <w:rsid w:val="00253950"/>
    <w:rsid w:val="00254F7E"/>
    <w:rsid w:val="0025569E"/>
    <w:rsid w:val="002564FE"/>
    <w:rsid w:val="00257E0B"/>
    <w:rsid w:val="002603EB"/>
    <w:rsid w:val="00261FEB"/>
    <w:rsid w:val="00262A4F"/>
    <w:rsid w:val="00264327"/>
    <w:rsid w:val="002650F1"/>
    <w:rsid w:val="0026511C"/>
    <w:rsid w:val="002657C5"/>
    <w:rsid w:val="00266403"/>
    <w:rsid w:val="00266406"/>
    <w:rsid w:val="002679CA"/>
    <w:rsid w:val="00270373"/>
    <w:rsid w:val="00272722"/>
    <w:rsid w:val="002745E7"/>
    <w:rsid w:val="00275D57"/>
    <w:rsid w:val="002760AC"/>
    <w:rsid w:val="00276A3B"/>
    <w:rsid w:val="00277935"/>
    <w:rsid w:val="00277E8E"/>
    <w:rsid w:val="002804D8"/>
    <w:rsid w:val="002807CC"/>
    <w:rsid w:val="00280DD6"/>
    <w:rsid w:val="002810E7"/>
    <w:rsid w:val="002822AE"/>
    <w:rsid w:val="00282496"/>
    <w:rsid w:val="00283033"/>
    <w:rsid w:val="00283F76"/>
    <w:rsid w:val="002854DC"/>
    <w:rsid w:val="002859A3"/>
    <w:rsid w:val="0028616B"/>
    <w:rsid w:val="002878D2"/>
    <w:rsid w:val="00290CDE"/>
    <w:rsid w:val="00290DE2"/>
    <w:rsid w:val="00291E87"/>
    <w:rsid w:val="00294129"/>
    <w:rsid w:val="002941B7"/>
    <w:rsid w:val="002959CC"/>
    <w:rsid w:val="002968A8"/>
    <w:rsid w:val="00297ED3"/>
    <w:rsid w:val="002A0AA2"/>
    <w:rsid w:val="002A0C27"/>
    <w:rsid w:val="002A2315"/>
    <w:rsid w:val="002A2732"/>
    <w:rsid w:val="002A2D72"/>
    <w:rsid w:val="002A3153"/>
    <w:rsid w:val="002A5529"/>
    <w:rsid w:val="002A6C9C"/>
    <w:rsid w:val="002A7A68"/>
    <w:rsid w:val="002B06AA"/>
    <w:rsid w:val="002B0793"/>
    <w:rsid w:val="002B14D3"/>
    <w:rsid w:val="002B17A6"/>
    <w:rsid w:val="002B36A1"/>
    <w:rsid w:val="002B5274"/>
    <w:rsid w:val="002B64E4"/>
    <w:rsid w:val="002B73D6"/>
    <w:rsid w:val="002C05B8"/>
    <w:rsid w:val="002C0F6F"/>
    <w:rsid w:val="002C10AC"/>
    <w:rsid w:val="002C1F27"/>
    <w:rsid w:val="002C2AE8"/>
    <w:rsid w:val="002C2FF3"/>
    <w:rsid w:val="002C3A5A"/>
    <w:rsid w:val="002C4227"/>
    <w:rsid w:val="002C4ABE"/>
    <w:rsid w:val="002C71EC"/>
    <w:rsid w:val="002C7548"/>
    <w:rsid w:val="002C780B"/>
    <w:rsid w:val="002C7E47"/>
    <w:rsid w:val="002D1BA1"/>
    <w:rsid w:val="002D2C13"/>
    <w:rsid w:val="002D2FFB"/>
    <w:rsid w:val="002D4E0A"/>
    <w:rsid w:val="002D4E16"/>
    <w:rsid w:val="002D4F0F"/>
    <w:rsid w:val="002D505C"/>
    <w:rsid w:val="002D5DF8"/>
    <w:rsid w:val="002D7759"/>
    <w:rsid w:val="002E127E"/>
    <w:rsid w:val="002E334D"/>
    <w:rsid w:val="002E486A"/>
    <w:rsid w:val="002E53C0"/>
    <w:rsid w:val="002E66A5"/>
    <w:rsid w:val="002E766C"/>
    <w:rsid w:val="002E7A9E"/>
    <w:rsid w:val="002F02C8"/>
    <w:rsid w:val="002F0A07"/>
    <w:rsid w:val="002F2D5F"/>
    <w:rsid w:val="002F3072"/>
    <w:rsid w:val="002F3AF8"/>
    <w:rsid w:val="002F46DC"/>
    <w:rsid w:val="002F5145"/>
    <w:rsid w:val="002F539A"/>
    <w:rsid w:val="002F5CB9"/>
    <w:rsid w:val="002F659B"/>
    <w:rsid w:val="002F683C"/>
    <w:rsid w:val="00300262"/>
    <w:rsid w:val="00305764"/>
    <w:rsid w:val="0030765A"/>
    <w:rsid w:val="00310C52"/>
    <w:rsid w:val="0031140B"/>
    <w:rsid w:val="00312F1A"/>
    <w:rsid w:val="00314E3D"/>
    <w:rsid w:val="00317120"/>
    <w:rsid w:val="003171BB"/>
    <w:rsid w:val="0032100C"/>
    <w:rsid w:val="003212C2"/>
    <w:rsid w:val="0032144E"/>
    <w:rsid w:val="00321921"/>
    <w:rsid w:val="00321926"/>
    <w:rsid w:val="00322C1C"/>
    <w:rsid w:val="00322E43"/>
    <w:rsid w:val="003238BD"/>
    <w:rsid w:val="00324EDC"/>
    <w:rsid w:val="00327707"/>
    <w:rsid w:val="00330334"/>
    <w:rsid w:val="0033060D"/>
    <w:rsid w:val="003318F3"/>
    <w:rsid w:val="00331A7D"/>
    <w:rsid w:val="00331ECA"/>
    <w:rsid w:val="00333153"/>
    <w:rsid w:val="00333919"/>
    <w:rsid w:val="00333D91"/>
    <w:rsid w:val="00334F3E"/>
    <w:rsid w:val="003379AF"/>
    <w:rsid w:val="00337C5C"/>
    <w:rsid w:val="00343299"/>
    <w:rsid w:val="00343E4C"/>
    <w:rsid w:val="003466C4"/>
    <w:rsid w:val="0034779B"/>
    <w:rsid w:val="003478FB"/>
    <w:rsid w:val="00351ABD"/>
    <w:rsid w:val="00352BC8"/>
    <w:rsid w:val="00355D82"/>
    <w:rsid w:val="00356CAF"/>
    <w:rsid w:val="0035739A"/>
    <w:rsid w:val="0036041B"/>
    <w:rsid w:val="00361177"/>
    <w:rsid w:val="003612A6"/>
    <w:rsid w:val="00363EC8"/>
    <w:rsid w:val="0036400E"/>
    <w:rsid w:val="00364B1F"/>
    <w:rsid w:val="00364C2D"/>
    <w:rsid w:val="003671F3"/>
    <w:rsid w:val="00367712"/>
    <w:rsid w:val="00367C88"/>
    <w:rsid w:val="00367DB2"/>
    <w:rsid w:val="00370155"/>
    <w:rsid w:val="00370B19"/>
    <w:rsid w:val="00371139"/>
    <w:rsid w:val="00371C8C"/>
    <w:rsid w:val="00372779"/>
    <w:rsid w:val="00373408"/>
    <w:rsid w:val="003748EB"/>
    <w:rsid w:val="00375DCD"/>
    <w:rsid w:val="00376F36"/>
    <w:rsid w:val="003800A6"/>
    <w:rsid w:val="0038151E"/>
    <w:rsid w:val="00382FFA"/>
    <w:rsid w:val="003839DF"/>
    <w:rsid w:val="00383B0A"/>
    <w:rsid w:val="0038491D"/>
    <w:rsid w:val="00385E7A"/>
    <w:rsid w:val="00386A20"/>
    <w:rsid w:val="00387606"/>
    <w:rsid w:val="00387983"/>
    <w:rsid w:val="0039012C"/>
    <w:rsid w:val="0039056C"/>
    <w:rsid w:val="00391DD2"/>
    <w:rsid w:val="003925E1"/>
    <w:rsid w:val="00393D74"/>
    <w:rsid w:val="003943A7"/>
    <w:rsid w:val="00396A66"/>
    <w:rsid w:val="00396F4F"/>
    <w:rsid w:val="003A0D00"/>
    <w:rsid w:val="003A0E06"/>
    <w:rsid w:val="003A1A69"/>
    <w:rsid w:val="003A27D9"/>
    <w:rsid w:val="003A3460"/>
    <w:rsid w:val="003A37B8"/>
    <w:rsid w:val="003A582F"/>
    <w:rsid w:val="003A6B72"/>
    <w:rsid w:val="003B020F"/>
    <w:rsid w:val="003B26A2"/>
    <w:rsid w:val="003B3917"/>
    <w:rsid w:val="003B41D9"/>
    <w:rsid w:val="003B4356"/>
    <w:rsid w:val="003B4CEF"/>
    <w:rsid w:val="003B5422"/>
    <w:rsid w:val="003B6694"/>
    <w:rsid w:val="003B7293"/>
    <w:rsid w:val="003C4C52"/>
    <w:rsid w:val="003C53B2"/>
    <w:rsid w:val="003C6422"/>
    <w:rsid w:val="003C6C9A"/>
    <w:rsid w:val="003C7950"/>
    <w:rsid w:val="003D299F"/>
    <w:rsid w:val="003D352C"/>
    <w:rsid w:val="003D359E"/>
    <w:rsid w:val="003D4B1E"/>
    <w:rsid w:val="003D51FB"/>
    <w:rsid w:val="003D6961"/>
    <w:rsid w:val="003D6BCD"/>
    <w:rsid w:val="003D6E2A"/>
    <w:rsid w:val="003E22FA"/>
    <w:rsid w:val="003E2C77"/>
    <w:rsid w:val="003E2C89"/>
    <w:rsid w:val="003E3C14"/>
    <w:rsid w:val="003E63BB"/>
    <w:rsid w:val="003E6516"/>
    <w:rsid w:val="003E747A"/>
    <w:rsid w:val="003F0149"/>
    <w:rsid w:val="003F0992"/>
    <w:rsid w:val="003F11BD"/>
    <w:rsid w:val="003F17CA"/>
    <w:rsid w:val="003F4748"/>
    <w:rsid w:val="003F61AC"/>
    <w:rsid w:val="00401267"/>
    <w:rsid w:val="00401B70"/>
    <w:rsid w:val="00402836"/>
    <w:rsid w:val="0040298F"/>
    <w:rsid w:val="0040367C"/>
    <w:rsid w:val="00404B23"/>
    <w:rsid w:val="00405154"/>
    <w:rsid w:val="00405DA6"/>
    <w:rsid w:val="004064DA"/>
    <w:rsid w:val="004109B8"/>
    <w:rsid w:val="00412221"/>
    <w:rsid w:val="0041238C"/>
    <w:rsid w:val="00412524"/>
    <w:rsid w:val="00412829"/>
    <w:rsid w:val="0041314E"/>
    <w:rsid w:val="00414EDB"/>
    <w:rsid w:val="00415334"/>
    <w:rsid w:val="004164DF"/>
    <w:rsid w:val="00417107"/>
    <w:rsid w:val="00417EAE"/>
    <w:rsid w:val="00420C2B"/>
    <w:rsid w:val="0042141B"/>
    <w:rsid w:val="0042259C"/>
    <w:rsid w:val="00423C26"/>
    <w:rsid w:val="00423F6F"/>
    <w:rsid w:val="004249CB"/>
    <w:rsid w:val="004257D5"/>
    <w:rsid w:val="00425ED5"/>
    <w:rsid w:val="00425FB2"/>
    <w:rsid w:val="004261AF"/>
    <w:rsid w:val="00426BB0"/>
    <w:rsid w:val="00427BE9"/>
    <w:rsid w:val="004317BA"/>
    <w:rsid w:val="004317F4"/>
    <w:rsid w:val="00433EEA"/>
    <w:rsid w:val="00433F68"/>
    <w:rsid w:val="00436CDF"/>
    <w:rsid w:val="00436D8A"/>
    <w:rsid w:val="0044052A"/>
    <w:rsid w:val="004408B0"/>
    <w:rsid w:val="004408EE"/>
    <w:rsid w:val="00441C7F"/>
    <w:rsid w:val="00441E5E"/>
    <w:rsid w:val="00443F3A"/>
    <w:rsid w:val="0044515D"/>
    <w:rsid w:val="0044524F"/>
    <w:rsid w:val="004460A0"/>
    <w:rsid w:val="0044654E"/>
    <w:rsid w:val="00446B2D"/>
    <w:rsid w:val="004504F2"/>
    <w:rsid w:val="00450C1F"/>
    <w:rsid w:val="00455240"/>
    <w:rsid w:val="0045705D"/>
    <w:rsid w:val="00457157"/>
    <w:rsid w:val="00457AEF"/>
    <w:rsid w:val="00457FD7"/>
    <w:rsid w:val="0046046C"/>
    <w:rsid w:val="00462DE7"/>
    <w:rsid w:val="00463430"/>
    <w:rsid w:val="004634A3"/>
    <w:rsid w:val="004645F0"/>
    <w:rsid w:val="004653F6"/>
    <w:rsid w:val="004663F3"/>
    <w:rsid w:val="00467553"/>
    <w:rsid w:val="0046779A"/>
    <w:rsid w:val="004704B7"/>
    <w:rsid w:val="00471F78"/>
    <w:rsid w:val="00473B94"/>
    <w:rsid w:val="00473DC2"/>
    <w:rsid w:val="0047547F"/>
    <w:rsid w:val="0047556E"/>
    <w:rsid w:val="00475991"/>
    <w:rsid w:val="00475B13"/>
    <w:rsid w:val="00476DBB"/>
    <w:rsid w:val="004801F5"/>
    <w:rsid w:val="00480D8D"/>
    <w:rsid w:val="004814E5"/>
    <w:rsid w:val="0048151D"/>
    <w:rsid w:val="00484641"/>
    <w:rsid w:val="004846F8"/>
    <w:rsid w:val="00485EFC"/>
    <w:rsid w:val="00490080"/>
    <w:rsid w:val="0049045E"/>
    <w:rsid w:val="00490A94"/>
    <w:rsid w:val="004911E4"/>
    <w:rsid w:val="004912F4"/>
    <w:rsid w:val="00491574"/>
    <w:rsid w:val="00491D00"/>
    <w:rsid w:val="004922BC"/>
    <w:rsid w:val="00492522"/>
    <w:rsid w:val="00492CE8"/>
    <w:rsid w:val="00492FCC"/>
    <w:rsid w:val="00493558"/>
    <w:rsid w:val="00493B59"/>
    <w:rsid w:val="00493EC9"/>
    <w:rsid w:val="00494ECE"/>
    <w:rsid w:val="00495251"/>
    <w:rsid w:val="00495B0C"/>
    <w:rsid w:val="004962FC"/>
    <w:rsid w:val="004963A5"/>
    <w:rsid w:val="004A05E5"/>
    <w:rsid w:val="004A09BD"/>
    <w:rsid w:val="004A1759"/>
    <w:rsid w:val="004A2275"/>
    <w:rsid w:val="004A3872"/>
    <w:rsid w:val="004A3AC0"/>
    <w:rsid w:val="004A42D0"/>
    <w:rsid w:val="004A4ED0"/>
    <w:rsid w:val="004A5081"/>
    <w:rsid w:val="004A6F61"/>
    <w:rsid w:val="004B0706"/>
    <w:rsid w:val="004B0F5D"/>
    <w:rsid w:val="004B22B1"/>
    <w:rsid w:val="004B3467"/>
    <w:rsid w:val="004B46E5"/>
    <w:rsid w:val="004B6542"/>
    <w:rsid w:val="004B72A3"/>
    <w:rsid w:val="004C1E33"/>
    <w:rsid w:val="004C5E73"/>
    <w:rsid w:val="004C6870"/>
    <w:rsid w:val="004D29A3"/>
    <w:rsid w:val="004D4D48"/>
    <w:rsid w:val="004D5168"/>
    <w:rsid w:val="004D5250"/>
    <w:rsid w:val="004D6AD9"/>
    <w:rsid w:val="004E0517"/>
    <w:rsid w:val="004E0C12"/>
    <w:rsid w:val="004E13F0"/>
    <w:rsid w:val="004E2C84"/>
    <w:rsid w:val="004E4838"/>
    <w:rsid w:val="004E4854"/>
    <w:rsid w:val="004E4889"/>
    <w:rsid w:val="004E5FCE"/>
    <w:rsid w:val="004F036B"/>
    <w:rsid w:val="004F052D"/>
    <w:rsid w:val="004F0E54"/>
    <w:rsid w:val="004F21C3"/>
    <w:rsid w:val="004F4BEF"/>
    <w:rsid w:val="004F5B43"/>
    <w:rsid w:val="004F7B7E"/>
    <w:rsid w:val="00501785"/>
    <w:rsid w:val="00503724"/>
    <w:rsid w:val="00504E3C"/>
    <w:rsid w:val="0050520F"/>
    <w:rsid w:val="00506888"/>
    <w:rsid w:val="00507970"/>
    <w:rsid w:val="00507AD5"/>
    <w:rsid w:val="00513F7C"/>
    <w:rsid w:val="005149B8"/>
    <w:rsid w:val="005168FA"/>
    <w:rsid w:val="005175C0"/>
    <w:rsid w:val="00520001"/>
    <w:rsid w:val="00521717"/>
    <w:rsid w:val="0052391C"/>
    <w:rsid w:val="0052393A"/>
    <w:rsid w:val="00527C12"/>
    <w:rsid w:val="00530942"/>
    <w:rsid w:val="00530C3F"/>
    <w:rsid w:val="005322F7"/>
    <w:rsid w:val="00532B1D"/>
    <w:rsid w:val="00533524"/>
    <w:rsid w:val="00534347"/>
    <w:rsid w:val="005373CA"/>
    <w:rsid w:val="00540C55"/>
    <w:rsid w:val="0054145D"/>
    <w:rsid w:val="00542227"/>
    <w:rsid w:val="005422EB"/>
    <w:rsid w:val="00542C08"/>
    <w:rsid w:val="0054426F"/>
    <w:rsid w:val="0054508F"/>
    <w:rsid w:val="00546DE6"/>
    <w:rsid w:val="00546F3A"/>
    <w:rsid w:val="005475C6"/>
    <w:rsid w:val="00547EA1"/>
    <w:rsid w:val="00550C61"/>
    <w:rsid w:val="0055225A"/>
    <w:rsid w:val="00552FBA"/>
    <w:rsid w:val="005540D3"/>
    <w:rsid w:val="005547AE"/>
    <w:rsid w:val="00554D9D"/>
    <w:rsid w:val="00555A82"/>
    <w:rsid w:val="00556C52"/>
    <w:rsid w:val="00557EC6"/>
    <w:rsid w:val="0056008C"/>
    <w:rsid w:val="00560E97"/>
    <w:rsid w:val="0056550E"/>
    <w:rsid w:val="0056641B"/>
    <w:rsid w:val="00567862"/>
    <w:rsid w:val="005678CA"/>
    <w:rsid w:val="00570A8A"/>
    <w:rsid w:val="00571BE1"/>
    <w:rsid w:val="0057268E"/>
    <w:rsid w:val="00573C95"/>
    <w:rsid w:val="005744DE"/>
    <w:rsid w:val="005750B7"/>
    <w:rsid w:val="005806C7"/>
    <w:rsid w:val="00581193"/>
    <w:rsid w:val="00581D60"/>
    <w:rsid w:val="005825DD"/>
    <w:rsid w:val="00582CA5"/>
    <w:rsid w:val="00582FE9"/>
    <w:rsid w:val="00584703"/>
    <w:rsid w:val="0058511B"/>
    <w:rsid w:val="005852AF"/>
    <w:rsid w:val="00585E1D"/>
    <w:rsid w:val="00586027"/>
    <w:rsid w:val="005867FB"/>
    <w:rsid w:val="00586FF5"/>
    <w:rsid w:val="005873AC"/>
    <w:rsid w:val="00590048"/>
    <w:rsid w:val="00591FF8"/>
    <w:rsid w:val="00596ED3"/>
    <w:rsid w:val="005A0332"/>
    <w:rsid w:val="005A1634"/>
    <w:rsid w:val="005A1737"/>
    <w:rsid w:val="005A1914"/>
    <w:rsid w:val="005A1D6F"/>
    <w:rsid w:val="005A378B"/>
    <w:rsid w:val="005A3804"/>
    <w:rsid w:val="005A40B3"/>
    <w:rsid w:val="005A5694"/>
    <w:rsid w:val="005A6376"/>
    <w:rsid w:val="005A7536"/>
    <w:rsid w:val="005A7B43"/>
    <w:rsid w:val="005A7FAA"/>
    <w:rsid w:val="005B1361"/>
    <w:rsid w:val="005B177D"/>
    <w:rsid w:val="005B3074"/>
    <w:rsid w:val="005B3B4A"/>
    <w:rsid w:val="005B4C4C"/>
    <w:rsid w:val="005B71D2"/>
    <w:rsid w:val="005B7966"/>
    <w:rsid w:val="005C0341"/>
    <w:rsid w:val="005C3CDD"/>
    <w:rsid w:val="005C46E4"/>
    <w:rsid w:val="005C6801"/>
    <w:rsid w:val="005D10C8"/>
    <w:rsid w:val="005D2B33"/>
    <w:rsid w:val="005D2FE9"/>
    <w:rsid w:val="005D33EE"/>
    <w:rsid w:val="005D3437"/>
    <w:rsid w:val="005D43ED"/>
    <w:rsid w:val="005D4B36"/>
    <w:rsid w:val="005D5B37"/>
    <w:rsid w:val="005D5B5C"/>
    <w:rsid w:val="005D6D35"/>
    <w:rsid w:val="005E1062"/>
    <w:rsid w:val="005E12BD"/>
    <w:rsid w:val="005E132E"/>
    <w:rsid w:val="005E1F41"/>
    <w:rsid w:val="005E305E"/>
    <w:rsid w:val="005E330B"/>
    <w:rsid w:val="005E3907"/>
    <w:rsid w:val="005E3ECC"/>
    <w:rsid w:val="005E4686"/>
    <w:rsid w:val="005E53A4"/>
    <w:rsid w:val="005F1F63"/>
    <w:rsid w:val="005F324D"/>
    <w:rsid w:val="005F42C9"/>
    <w:rsid w:val="005F4C0F"/>
    <w:rsid w:val="005F58B2"/>
    <w:rsid w:val="005F5BD6"/>
    <w:rsid w:val="005F60A0"/>
    <w:rsid w:val="006011F9"/>
    <w:rsid w:val="006016B0"/>
    <w:rsid w:val="00602247"/>
    <w:rsid w:val="00602B16"/>
    <w:rsid w:val="006054AE"/>
    <w:rsid w:val="006061E9"/>
    <w:rsid w:val="006065BA"/>
    <w:rsid w:val="00606661"/>
    <w:rsid w:val="00612A91"/>
    <w:rsid w:val="006156AB"/>
    <w:rsid w:val="00615BD4"/>
    <w:rsid w:val="00617367"/>
    <w:rsid w:val="006176D9"/>
    <w:rsid w:val="0062063C"/>
    <w:rsid w:val="00620ACB"/>
    <w:rsid w:val="00621EEA"/>
    <w:rsid w:val="00622049"/>
    <w:rsid w:val="00622333"/>
    <w:rsid w:val="00622E7C"/>
    <w:rsid w:val="00625082"/>
    <w:rsid w:val="00625736"/>
    <w:rsid w:val="00625BF4"/>
    <w:rsid w:val="006266E4"/>
    <w:rsid w:val="006267AC"/>
    <w:rsid w:val="00626E16"/>
    <w:rsid w:val="006275F8"/>
    <w:rsid w:val="006301A7"/>
    <w:rsid w:val="00630C8F"/>
    <w:rsid w:val="0063126C"/>
    <w:rsid w:val="006321D9"/>
    <w:rsid w:val="00633399"/>
    <w:rsid w:val="00635ACD"/>
    <w:rsid w:val="006379BF"/>
    <w:rsid w:val="00641758"/>
    <w:rsid w:val="00645F9B"/>
    <w:rsid w:val="006462F4"/>
    <w:rsid w:val="00646C7B"/>
    <w:rsid w:val="00650EEA"/>
    <w:rsid w:val="00652109"/>
    <w:rsid w:val="00653EEF"/>
    <w:rsid w:val="00653F33"/>
    <w:rsid w:val="00654361"/>
    <w:rsid w:val="00656A74"/>
    <w:rsid w:val="00656DB1"/>
    <w:rsid w:val="0065706C"/>
    <w:rsid w:val="006570F3"/>
    <w:rsid w:val="006574CA"/>
    <w:rsid w:val="00661D58"/>
    <w:rsid w:val="00662D1D"/>
    <w:rsid w:val="00663087"/>
    <w:rsid w:val="00663681"/>
    <w:rsid w:val="00664A96"/>
    <w:rsid w:val="0066518E"/>
    <w:rsid w:val="00666E6E"/>
    <w:rsid w:val="00667926"/>
    <w:rsid w:val="00672312"/>
    <w:rsid w:val="00672A07"/>
    <w:rsid w:val="00672A3D"/>
    <w:rsid w:val="00673284"/>
    <w:rsid w:val="00673C56"/>
    <w:rsid w:val="0067463F"/>
    <w:rsid w:val="00674E3C"/>
    <w:rsid w:val="00675947"/>
    <w:rsid w:val="00675C7B"/>
    <w:rsid w:val="00684218"/>
    <w:rsid w:val="00684A17"/>
    <w:rsid w:val="0068548A"/>
    <w:rsid w:val="00686ACA"/>
    <w:rsid w:val="006875D7"/>
    <w:rsid w:val="00687A0D"/>
    <w:rsid w:val="006904AF"/>
    <w:rsid w:val="006915CB"/>
    <w:rsid w:val="00692F01"/>
    <w:rsid w:val="006956E4"/>
    <w:rsid w:val="00695821"/>
    <w:rsid w:val="006959CB"/>
    <w:rsid w:val="0069607D"/>
    <w:rsid w:val="006960C5"/>
    <w:rsid w:val="0069704C"/>
    <w:rsid w:val="006A05F8"/>
    <w:rsid w:val="006A0897"/>
    <w:rsid w:val="006A27B1"/>
    <w:rsid w:val="006A4246"/>
    <w:rsid w:val="006A56B9"/>
    <w:rsid w:val="006A64A6"/>
    <w:rsid w:val="006A64EB"/>
    <w:rsid w:val="006A7750"/>
    <w:rsid w:val="006A7FD4"/>
    <w:rsid w:val="006B0E91"/>
    <w:rsid w:val="006B1891"/>
    <w:rsid w:val="006B2A2D"/>
    <w:rsid w:val="006B37AE"/>
    <w:rsid w:val="006B3A39"/>
    <w:rsid w:val="006B3C07"/>
    <w:rsid w:val="006B476E"/>
    <w:rsid w:val="006B5B6A"/>
    <w:rsid w:val="006B65AA"/>
    <w:rsid w:val="006B679D"/>
    <w:rsid w:val="006B7254"/>
    <w:rsid w:val="006B73B9"/>
    <w:rsid w:val="006C0F43"/>
    <w:rsid w:val="006C16FB"/>
    <w:rsid w:val="006C2D51"/>
    <w:rsid w:val="006C4B81"/>
    <w:rsid w:val="006C517C"/>
    <w:rsid w:val="006C55EF"/>
    <w:rsid w:val="006C5BA3"/>
    <w:rsid w:val="006C5CAA"/>
    <w:rsid w:val="006C6855"/>
    <w:rsid w:val="006C7F43"/>
    <w:rsid w:val="006D16F3"/>
    <w:rsid w:val="006D3332"/>
    <w:rsid w:val="006D341E"/>
    <w:rsid w:val="006D49E3"/>
    <w:rsid w:val="006D4C2C"/>
    <w:rsid w:val="006D4EFB"/>
    <w:rsid w:val="006D59BA"/>
    <w:rsid w:val="006D62FF"/>
    <w:rsid w:val="006D68D1"/>
    <w:rsid w:val="006D7628"/>
    <w:rsid w:val="006D7B30"/>
    <w:rsid w:val="006E019F"/>
    <w:rsid w:val="006E18C4"/>
    <w:rsid w:val="006E2C10"/>
    <w:rsid w:val="006E3E50"/>
    <w:rsid w:val="006E402A"/>
    <w:rsid w:val="006E4B20"/>
    <w:rsid w:val="006E525F"/>
    <w:rsid w:val="006E5670"/>
    <w:rsid w:val="006E6666"/>
    <w:rsid w:val="006E74F5"/>
    <w:rsid w:val="006E7DCA"/>
    <w:rsid w:val="006F2035"/>
    <w:rsid w:val="006F28EE"/>
    <w:rsid w:val="006F40CB"/>
    <w:rsid w:val="006F42C2"/>
    <w:rsid w:val="006F602A"/>
    <w:rsid w:val="006F63B1"/>
    <w:rsid w:val="006F7412"/>
    <w:rsid w:val="007008FB"/>
    <w:rsid w:val="007017FB"/>
    <w:rsid w:val="00704E65"/>
    <w:rsid w:val="0071025E"/>
    <w:rsid w:val="007102AC"/>
    <w:rsid w:val="007105A5"/>
    <w:rsid w:val="00710B8D"/>
    <w:rsid w:val="00712CF9"/>
    <w:rsid w:val="00713024"/>
    <w:rsid w:val="00713EA1"/>
    <w:rsid w:val="0071421C"/>
    <w:rsid w:val="00715D6B"/>
    <w:rsid w:val="0071772E"/>
    <w:rsid w:val="00717F6B"/>
    <w:rsid w:val="00720864"/>
    <w:rsid w:val="007212F0"/>
    <w:rsid w:val="007226CF"/>
    <w:rsid w:val="00722EC6"/>
    <w:rsid w:val="00723C5D"/>
    <w:rsid w:val="00723FF6"/>
    <w:rsid w:val="0072460B"/>
    <w:rsid w:val="00724FB9"/>
    <w:rsid w:val="00726876"/>
    <w:rsid w:val="007269B1"/>
    <w:rsid w:val="00730433"/>
    <w:rsid w:val="00730DF7"/>
    <w:rsid w:val="0073123A"/>
    <w:rsid w:val="007331F6"/>
    <w:rsid w:val="0073362F"/>
    <w:rsid w:val="00733A3E"/>
    <w:rsid w:val="00736B54"/>
    <w:rsid w:val="00740605"/>
    <w:rsid w:val="00740FA5"/>
    <w:rsid w:val="00741E76"/>
    <w:rsid w:val="007423EC"/>
    <w:rsid w:val="00742FE2"/>
    <w:rsid w:val="007440A8"/>
    <w:rsid w:val="00744F00"/>
    <w:rsid w:val="00747B97"/>
    <w:rsid w:val="00747DD4"/>
    <w:rsid w:val="00750912"/>
    <w:rsid w:val="00751413"/>
    <w:rsid w:val="00751598"/>
    <w:rsid w:val="00751820"/>
    <w:rsid w:val="00751B7E"/>
    <w:rsid w:val="00752AB2"/>
    <w:rsid w:val="00753A0F"/>
    <w:rsid w:val="00754193"/>
    <w:rsid w:val="007556C8"/>
    <w:rsid w:val="00756C9B"/>
    <w:rsid w:val="00756FA1"/>
    <w:rsid w:val="0075756F"/>
    <w:rsid w:val="007605DF"/>
    <w:rsid w:val="0076244A"/>
    <w:rsid w:val="00762D9D"/>
    <w:rsid w:val="00762FAD"/>
    <w:rsid w:val="00763FD6"/>
    <w:rsid w:val="0076431D"/>
    <w:rsid w:val="00765260"/>
    <w:rsid w:val="00766DE9"/>
    <w:rsid w:val="007678A5"/>
    <w:rsid w:val="00767CF9"/>
    <w:rsid w:val="00770841"/>
    <w:rsid w:val="00771F67"/>
    <w:rsid w:val="00772012"/>
    <w:rsid w:val="00772112"/>
    <w:rsid w:val="0077294E"/>
    <w:rsid w:val="007739AB"/>
    <w:rsid w:val="00773E3F"/>
    <w:rsid w:val="0077418F"/>
    <w:rsid w:val="00774C01"/>
    <w:rsid w:val="00777875"/>
    <w:rsid w:val="00777BD2"/>
    <w:rsid w:val="00781A87"/>
    <w:rsid w:val="00781BED"/>
    <w:rsid w:val="007823C9"/>
    <w:rsid w:val="00782CCA"/>
    <w:rsid w:val="007835B7"/>
    <w:rsid w:val="00784268"/>
    <w:rsid w:val="00786373"/>
    <w:rsid w:val="007863E1"/>
    <w:rsid w:val="0078743C"/>
    <w:rsid w:val="00790B71"/>
    <w:rsid w:val="007910D3"/>
    <w:rsid w:val="007922B4"/>
    <w:rsid w:val="0079336E"/>
    <w:rsid w:val="007A14D6"/>
    <w:rsid w:val="007A28AA"/>
    <w:rsid w:val="007A40C4"/>
    <w:rsid w:val="007A52CC"/>
    <w:rsid w:val="007A5BD0"/>
    <w:rsid w:val="007A64F8"/>
    <w:rsid w:val="007A7066"/>
    <w:rsid w:val="007B0A61"/>
    <w:rsid w:val="007B140A"/>
    <w:rsid w:val="007B17C5"/>
    <w:rsid w:val="007B351A"/>
    <w:rsid w:val="007B4B46"/>
    <w:rsid w:val="007B55A4"/>
    <w:rsid w:val="007B5E5F"/>
    <w:rsid w:val="007B6CA0"/>
    <w:rsid w:val="007B6F71"/>
    <w:rsid w:val="007C06F8"/>
    <w:rsid w:val="007C13FE"/>
    <w:rsid w:val="007C27E5"/>
    <w:rsid w:val="007C28AC"/>
    <w:rsid w:val="007C2E24"/>
    <w:rsid w:val="007C323B"/>
    <w:rsid w:val="007C3F78"/>
    <w:rsid w:val="007C4009"/>
    <w:rsid w:val="007C4B09"/>
    <w:rsid w:val="007C6167"/>
    <w:rsid w:val="007C6EB8"/>
    <w:rsid w:val="007C7048"/>
    <w:rsid w:val="007C7809"/>
    <w:rsid w:val="007D0393"/>
    <w:rsid w:val="007D13B9"/>
    <w:rsid w:val="007D1E6D"/>
    <w:rsid w:val="007D2774"/>
    <w:rsid w:val="007D562C"/>
    <w:rsid w:val="007D62C5"/>
    <w:rsid w:val="007D6E28"/>
    <w:rsid w:val="007D71F7"/>
    <w:rsid w:val="007E024C"/>
    <w:rsid w:val="007E160E"/>
    <w:rsid w:val="007E1BDD"/>
    <w:rsid w:val="007E290A"/>
    <w:rsid w:val="007E700C"/>
    <w:rsid w:val="007E7284"/>
    <w:rsid w:val="007E7388"/>
    <w:rsid w:val="007E7C08"/>
    <w:rsid w:val="007F04FC"/>
    <w:rsid w:val="007F0C63"/>
    <w:rsid w:val="007F1BAF"/>
    <w:rsid w:val="007F1F1C"/>
    <w:rsid w:val="007F2277"/>
    <w:rsid w:val="007F433C"/>
    <w:rsid w:val="007F439F"/>
    <w:rsid w:val="007F4428"/>
    <w:rsid w:val="007F63B8"/>
    <w:rsid w:val="007F77FD"/>
    <w:rsid w:val="008004B0"/>
    <w:rsid w:val="0080133F"/>
    <w:rsid w:val="008045D9"/>
    <w:rsid w:val="00806C8A"/>
    <w:rsid w:val="0080702C"/>
    <w:rsid w:val="00807165"/>
    <w:rsid w:val="008073C9"/>
    <w:rsid w:val="0081164B"/>
    <w:rsid w:val="00812094"/>
    <w:rsid w:val="00812CEA"/>
    <w:rsid w:val="0081333B"/>
    <w:rsid w:val="008140D7"/>
    <w:rsid w:val="0081653B"/>
    <w:rsid w:val="00817ADA"/>
    <w:rsid w:val="00820CBE"/>
    <w:rsid w:val="00821026"/>
    <w:rsid w:val="00821DF6"/>
    <w:rsid w:val="0082358D"/>
    <w:rsid w:val="00823984"/>
    <w:rsid w:val="00823CCC"/>
    <w:rsid w:val="008270BA"/>
    <w:rsid w:val="00827179"/>
    <w:rsid w:val="0083029A"/>
    <w:rsid w:val="00830426"/>
    <w:rsid w:val="00830E02"/>
    <w:rsid w:val="00831C83"/>
    <w:rsid w:val="00831E0A"/>
    <w:rsid w:val="00833EC8"/>
    <w:rsid w:val="008343C4"/>
    <w:rsid w:val="00834418"/>
    <w:rsid w:val="0083496A"/>
    <w:rsid w:val="00835847"/>
    <w:rsid w:val="00835C6F"/>
    <w:rsid w:val="00836EAC"/>
    <w:rsid w:val="00837429"/>
    <w:rsid w:val="0083745B"/>
    <w:rsid w:val="00840252"/>
    <w:rsid w:val="00840420"/>
    <w:rsid w:val="00841AEA"/>
    <w:rsid w:val="00841F9D"/>
    <w:rsid w:val="00842DE3"/>
    <w:rsid w:val="00843B85"/>
    <w:rsid w:val="00844F5E"/>
    <w:rsid w:val="008454FE"/>
    <w:rsid w:val="0084585B"/>
    <w:rsid w:val="00846701"/>
    <w:rsid w:val="00847C72"/>
    <w:rsid w:val="0085122C"/>
    <w:rsid w:val="0085232F"/>
    <w:rsid w:val="00854E2A"/>
    <w:rsid w:val="008550CD"/>
    <w:rsid w:val="00855A6E"/>
    <w:rsid w:val="00857E3A"/>
    <w:rsid w:val="00861135"/>
    <w:rsid w:val="00861C99"/>
    <w:rsid w:val="00862848"/>
    <w:rsid w:val="00862C19"/>
    <w:rsid w:val="0086330D"/>
    <w:rsid w:val="00863C12"/>
    <w:rsid w:val="00864495"/>
    <w:rsid w:val="0086449D"/>
    <w:rsid w:val="00864C3F"/>
    <w:rsid w:val="008651B2"/>
    <w:rsid w:val="008651BC"/>
    <w:rsid w:val="00867059"/>
    <w:rsid w:val="00867A5A"/>
    <w:rsid w:val="008711B1"/>
    <w:rsid w:val="00871C01"/>
    <w:rsid w:val="00871FBA"/>
    <w:rsid w:val="00872119"/>
    <w:rsid w:val="008722FB"/>
    <w:rsid w:val="00872906"/>
    <w:rsid w:val="00875C37"/>
    <w:rsid w:val="00877A3A"/>
    <w:rsid w:val="00877EA2"/>
    <w:rsid w:val="008808CA"/>
    <w:rsid w:val="0088232A"/>
    <w:rsid w:val="0088251B"/>
    <w:rsid w:val="008878E2"/>
    <w:rsid w:val="00887D93"/>
    <w:rsid w:val="00890912"/>
    <w:rsid w:val="00890D7D"/>
    <w:rsid w:val="00891548"/>
    <w:rsid w:val="008917B4"/>
    <w:rsid w:val="00892E7B"/>
    <w:rsid w:val="00892FC2"/>
    <w:rsid w:val="008933C7"/>
    <w:rsid w:val="008941B9"/>
    <w:rsid w:val="00894216"/>
    <w:rsid w:val="00894A76"/>
    <w:rsid w:val="008959F9"/>
    <w:rsid w:val="0089623F"/>
    <w:rsid w:val="00896786"/>
    <w:rsid w:val="008969E8"/>
    <w:rsid w:val="00897413"/>
    <w:rsid w:val="008A08EB"/>
    <w:rsid w:val="008A118C"/>
    <w:rsid w:val="008A2319"/>
    <w:rsid w:val="008A2391"/>
    <w:rsid w:val="008A3618"/>
    <w:rsid w:val="008A46DC"/>
    <w:rsid w:val="008A4806"/>
    <w:rsid w:val="008A4BF4"/>
    <w:rsid w:val="008A510D"/>
    <w:rsid w:val="008A5EDE"/>
    <w:rsid w:val="008A7A4E"/>
    <w:rsid w:val="008A7C4F"/>
    <w:rsid w:val="008B2FA8"/>
    <w:rsid w:val="008B3253"/>
    <w:rsid w:val="008B33CF"/>
    <w:rsid w:val="008B4415"/>
    <w:rsid w:val="008B73BA"/>
    <w:rsid w:val="008C020E"/>
    <w:rsid w:val="008C2F9E"/>
    <w:rsid w:val="008C4103"/>
    <w:rsid w:val="008C604C"/>
    <w:rsid w:val="008C74F5"/>
    <w:rsid w:val="008C76A6"/>
    <w:rsid w:val="008D03EA"/>
    <w:rsid w:val="008D16BD"/>
    <w:rsid w:val="008D17A7"/>
    <w:rsid w:val="008D21ED"/>
    <w:rsid w:val="008D2C15"/>
    <w:rsid w:val="008D2C51"/>
    <w:rsid w:val="008D2E91"/>
    <w:rsid w:val="008D3E9A"/>
    <w:rsid w:val="008D58E2"/>
    <w:rsid w:val="008D6283"/>
    <w:rsid w:val="008D7DD5"/>
    <w:rsid w:val="008D7FB0"/>
    <w:rsid w:val="008E050B"/>
    <w:rsid w:val="008E0FC2"/>
    <w:rsid w:val="008E1010"/>
    <w:rsid w:val="008E28BF"/>
    <w:rsid w:val="008E2C2E"/>
    <w:rsid w:val="008E328A"/>
    <w:rsid w:val="008E71A8"/>
    <w:rsid w:val="008E72A8"/>
    <w:rsid w:val="008F0611"/>
    <w:rsid w:val="008F0627"/>
    <w:rsid w:val="008F1FF1"/>
    <w:rsid w:val="008F2498"/>
    <w:rsid w:val="008F41FB"/>
    <w:rsid w:val="008F4B49"/>
    <w:rsid w:val="008F5977"/>
    <w:rsid w:val="008F5C9B"/>
    <w:rsid w:val="00901C83"/>
    <w:rsid w:val="00902206"/>
    <w:rsid w:val="0090330F"/>
    <w:rsid w:val="009039C8"/>
    <w:rsid w:val="0090481A"/>
    <w:rsid w:val="00904BCF"/>
    <w:rsid w:val="00905B77"/>
    <w:rsid w:val="009063B3"/>
    <w:rsid w:val="00906FD6"/>
    <w:rsid w:val="00907383"/>
    <w:rsid w:val="009079D0"/>
    <w:rsid w:val="00907DCD"/>
    <w:rsid w:val="009104AA"/>
    <w:rsid w:val="00910F16"/>
    <w:rsid w:val="00911EFF"/>
    <w:rsid w:val="0091288F"/>
    <w:rsid w:val="00912F00"/>
    <w:rsid w:val="00914466"/>
    <w:rsid w:val="00915D8A"/>
    <w:rsid w:val="00917609"/>
    <w:rsid w:val="00917746"/>
    <w:rsid w:val="009209A5"/>
    <w:rsid w:val="00920F98"/>
    <w:rsid w:val="00922448"/>
    <w:rsid w:val="009228BB"/>
    <w:rsid w:val="00922FDA"/>
    <w:rsid w:val="0092336C"/>
    <w:rsid w:val="009234E4"/>
    <w:rsid w:val="00923FF1"/>
    <w:rsid w:val="009244DF"/>
    <w:rsid w:val="009266E4"/>
    <w:rsid w:val="00926BBF"/>
    <w:rsid w:val="00927EF6"/>
    <w:rsid w:val="00930D45"/>
    <w:rsid w:val="00930E14"/>
    <w:rsid w:val="00933885"/>
    <w:rsid w:val="009338DA"/>
    <w:rsid w:val="009355D2"/>
    <w:rsid w:val="00936E93"/>
    <w:rsid w:val="00937FDA"/>
    <w:rsid w:val="0094239A"/>
    <w:rsid w:val="00943E73"/>
    <w:rsid w:val="009444F2"/>
    <w:rsid w:val="00944736"/>
    <w:rsid w:val="00944FC5"/>
    <w:rsid w:val="00947632"/>
    <w:rsid w:val="0094786C"/>
    <w:rsid w:val="00947907"/>
    <w:rsid w:val="00947B9F"/>
    <w:rsid w:val="00947FB4"/>
    <w:rsid w:val="00947FE9"/>
    <w:rsid w:val="00952CF3"/>
    <w:rsid w:val="00952D2F"/>
    <w:rsid w:val="00952D60"/>
    <w:rsid w:val="00952E44"/>
    <w:rsid w:val="009535C0"/>
    <w:rsid w:val="00953733"/>
    <w:rsid w:val="00955447"/>
    <w:rsid w:val="00955A17"/>
    <w:rsid w:val="00957C50"/>
    <w:rsid w:val="00960E12"/>
    <w:rsid w:val="0096331F"/>
    <w:rsid w:val="00963914"/>
    <w:rsid w:val="00963A90"/>
    <w:rsid w:val="00963A94"/>
    <w:rsid w:val="00963D62"/>
    <w:rsid w:val="00964992"/>
    <w:rsid w:val="009679C3"/>
    <w:rsid w:val="009703AC"/>
    <w:rsid w:val="00971418"/>
    <w:rsid w:val="009729D8"/>
    <w:rsid w:val="0097354B"/>
    <w:rsid w:val="0097453F"/>
    <w:rsid w:val="00974577"/>
    <w:rsid w:val="00975045"/>
    <w:rsid w:val="00976670"/>
    <w:rsid w:val="00976BC3"/>
    <w:rsid w:val="00976CD1"/>
    <w:rsid w:val="00976E64"/>
    <w:rsid w:val="00977929"/>
    <w:rsid w:val="00982FAB"/>
    <w:rsid w:val="0098410B"/>
    <w:rsid w:val="0098426D"/>
    <w:rsid w:val="0098690E"/>
    <w:rsid w:val="00986AB6"/>
    <w:rsid w:val="00987D55"/>
    <w:rsid w:val="0099016E"/>
    <w:rsid w:val="00993B1F"/>
    <w:rsid w:val="00993F70"/>
    <w:rsid w:val="0099428D"/>
    <w:rsid w:val="009942EF"/>
    <w:rsid w:val="00995932"/>
    <w:rsid w:val="00996586"/>
    <w:rsid w:val="00996D49"/>
    <w:rsid w:val="009A1C77"/>
    <w:rsid w:val="009A27D1"/>
    <w:rsid w:val="009A2A1C"/>
    <w:rsid w:val="009A3287"/>
    <w:rsid w:val="009A51E6"/>
    <w:rsid w:val="009A5BC5"/>
    <w:rsid w:val="009A61AA"/>
    <w:rsid w:val="009A7153"/>
    <w:rsid w:val="009A747C"/>
    <w:rsid w:val="009A77EA"/>
    <w:rsid w:val="009A7DAC"/>
    <w:rsid w:val="009B2B6E"/>
    <w:rsid w:val="009B3C1F"/>
    <w:rsid w:val="009B4FCD"/>
    <w:rsid w:val="009B6063"/>
    <w:rsid w:val="009B70A2"/>
    <w:rsid w:val="009B7D7E"/>
    <w:rsid w:val="009C0814"/>
    <w:rsid w:val="009C10F7"/>
    <w:rsid w:val="009C11B1"/>
    <w:rsid w:val="009C1722"/>
    <w:rsid w:val="009C1A23"/>
    <w:rsid w:val="009C5448"/>
    <w:rsid w:val="009C6235"/>
    <w:rsid w:val="009C6482"/>
    <w:rsid w:val="009C6E76"/>
    <w:rsid w:val="009D00B8"/>
    <w:rsid w:val="009D3E42"/>
    <w:rsid w:val="009D3E6C"/>
    <w:rsid w:val="009D4E11"/>
    <w:rsid w:val="009D682E"/>
    <w:rsid w:val="009D724A"/>
    <w:rsid w:val="009D7FA7"/>
    <w:rsid w:val="009E039D"/>
    <w:rsid w:val="009E0D88"/>
    <w:rsid w:val="009E1067"/>
    <w:rsid w:val="009E1FBC"/>
    <w:rsid w:val="009E3216"/>
    <w:rsid w:val="009E40F9"/>
    <w:rsid w:val="009E5844"/>
    <w:rsid w:val="009E5E63"/>
    <w:rsid w:val="009E5F4C"/>
    <w:rsid w:val="009E653F"/>
    <w:rsid w:val="009E7C9A"/>
    <w:rsid w:val="009F23AE"/>
    <w:rsid w:val="009F3EE2"/>
    <w:rsid w:val="009F4BBF"/>
    <w:rsid w:val="009F4C6D"/>
    <w:rsid w:val="009F5062"/>
    <w:rsid w:val="009F51C8"/>
    <w:rsid w:val="009F7746"/>
    <w:rsid w:val="00A000C1"/>
    <w:rsid w:val="00A01D25"/>
    <w:rsid w:val="00A02A23"/>
    <w:rsid w:val="00A03F2C"/>
    <w:rsid w:val="00A0500D"/>
    <w:rsid w:val="00A0624A"/>
    <w:rsid w:val="00A06830"/>
    <w:rsid w:val="00A12892"/>
    <w:rsid w:val="00A14577"/>
    <w:rsid w:val="00A149DF"/>
    <w:rsid w:val="00A14F9A"/>
    <w:rsid w:val="00A157A1"/>
    <w:rsid w:val="00A1634D"/>
    <w:rsid w:val="00A1707B"/>
    <w:rsid w:val="00A1785A"/>
    <w:rsid w:val="00A179BF"/>
    <w:rsid w:val="00A26247"/>
    <w:rsid w:val="00A3051B"/>
    <w:rsid w:val="00A31E66"/>
    <w:rsid w:val="00A32694"/>
    <w:rsid w:val="00A33A18"/>
    <w:rsid w:val="00A3415B"/>
    <w:rsid w:val="00A3442B"/>
    <w:rsid w:val="00A348F9"/>
    <w:rsid w:val="00A350BE"/>
    <w:rsid w:val="00A358B2"/>
    <w:rsid w:val="00A35C8A"/>
    <w:rsid w:val="00A36343"/>
    <w:rsid w:val="00A36638"/>
    <w:rsid w:val="00A36B9A"/>
    <w:rsid w:val="00A40131"/>
    <w:rsid w:val="00A40946"/>
    <w:rsid w:val="00A4129F"/>
    <w:rsid w:val="00A4149B"/>
    <w:rsid w:val="00A41D58"/>
    <w:rsid w:val="00A507FF"/>
    <w:rsid w:val="00A50A4B"/>
    <w:rsid w:val="00A50C88"/>
    <w:rsid w:val="00A51030"/>
    <w:rsid w:val="00A51611"/>
    <w:rsid w:val="00A51ECF"/>
    <w:rsid w:val="00A5335D"/>
    <w:rsid w:val="00A5387A"/>
    <w:rsid w:val="00A53BA7"/>
    <w:rsid w:val="00A55251"/>
    <w:rsid w:val="00A56524"/>
    <w:rsid w:val="00A610B8"/>
    <w:rsid w:val="00A61208"/>
    <w:rsid w:val="00A62660"/>
    <w:rsid w:val="00A62D2C"/>
    <w:rsid w:val="00A64699"/>
    <w:rsid w:val="00A64D6A"/>
    <w:rsid w:val="00A66A0F"/>
    <w:rsid w:val="00A67FB0"/>
    <w:rsid w:val="00A700BE"/>
    <w:rsid w:val="00A7038D"/>
    <w:rsid w:val="00A70640"/>
    <w:rsid w:val="00A71551"/>
    <w:rsid w:val="00A73440"/>
    <w:rsid w:val="00A74B85"/>
    <w:rsid w:val="00A75908"/>
    <w:rsid w:val="00A75D01"/>
    <w:rsid w:val="00A762C8"/>
    <w:rsid w:val="00A76B01"/>
    <w:rsid w:val="00A8120E"/>
    <w:rsid w:val="00A813D7"/>
    <w:rsid w:val="00A8152F"/>
    <w:rsid w:val="00A824D3"/>
    <w:rsid w:val="00A83BB1"/>
    <w:rsid w:val="00A83EE4"/>
    <w:rsid w:val="00A84857"/>
    <w:rsid w:val="00A87807"/>
    <w:rsid w:val="00A87A13"/>
    <w:rsid w:val="00A90332"/>
    <w:rsid w:val="00A93936"/>
    <w:rsid w:val="00A94426"/>
    <w:rsid w:val="00A95D76"/>
    <w:rsid w:val="00A95DAC"/>
    <w:rsid w:val="00A9679A"/>
    <w:rsid w:val="00A96CD8"/>
    <w:rsid w:val="00A9734B"/>
    <w:rsid w:val="00A979E7"/>
    <w:rsid w:val="00A97D26"/>
    <w:rsid w:val="00AA06C5"/>
    <w:rsid w:val="00AA1669"/>
    <w:rsid w:val="00AA1BF8"/>
    <w:rsid w:val="00AA2C92"/>
    <w:rsid w:val="00AA3A8E"/>
    <w:rsid w:val="00AA3B38"/>
    <w:rsid w:val="00AA4352"/>
    <w:rsid w:val="00AA5BB8"/>
    <w:rsid w:val="00AA5D50"/>
    <w:rsid w:val="00AA6066"/>
    <w:rsid w:val="00AA6487"/>
    <w:rsid w:val="00AA7CED"/>
    <w:rsid w:val="00AB001E"/>
    <w:rsid w:val="00AB0FDA"/>
    <w:rsid w:val="00AB1C79"/>
    <w:rsid w:val="00AB245D"/>
    <w:rsid w:val="00AB24DF"/>
    <w:rsid w:val="00AB27BA"/>
    <w:rsid w:val="00AB29A5"/>
    <w:rsid w:val="00AB2D04"/>
    <w:rsid w:val="00AB2F70"/>
    <w:rsid w:val="00AB318B"/>
    <w:rsid w:val="00AB31C3"/>
    <w:rsid w:val="00AB781D"/>
    <w:rsid w:val="00AB7D6A"/>
    <w:rsid w:val="00AC03EE"/>
    <w:rsid w:val="00AC0A22"/>
    <w:rsid w:val="00AC2A24"/>
    <w:rsid w:val="00AC2F2D"/>
    <w:rsid w:val="00AC3A3F"/>
    <w:rsid w:val="00AC3B0B"/>
    <w:rsid w:val="00AC4131"/>
    <w:rsid w:val="00AC4A8B"/>
    <w:rsid w:val="00AC4D81"/>
    <w:rsid w:val="00AC6A56"/>
    <w:rsid w:val="00AC7241"/>
    <w:rsid w:val="00AD0A7D"/>
    <w:rsid w:val="00AD0EDE"/>
    <w:rsid w:val="00AD190D"/>
    <w:rsid w:val="00AD204D"/>
    <w:rsid w:val="00AD2389"/>
    <w:rsid w:val="00AD2DAB"/>
    <w:rsid w:val="00AD5CB1"/>
    <w:rsid w:val="00AD6726"/>
    <w:rsid w:val="00AD6AC1"/>
    <w:rsid w:val="00AE1BBB"/>
    <w:rsid w:val="00AE2141"/>
    <w:rsid w:val="00AE26C9"/>
    <w:rsid w:val="00AE2F4C"/>
    <w:rsid w:val="00AE3B4A"/>
    <w:rsid w:val="00AE4A87"/>
    <w:rsid w:val="00AE4E4F"/>
    <w:rsid w:val="00AE5591"/>
    <w:rsid w:val="00AE57FF"/>
    <w:rsid w:val="00AE673D"/>
    <w:rsid w:val="00AE749B"/>
    <w:rsid w:val="00AE7D3C"/>
    <w:rsid w:val="00AF0629"/>
    <w:rsid w:val="00AF1BF1"/>
    <w:rsid w:val="00AF211E"/>
    <w:rsid w:val="00AF32B8"/>
    <w:rsid w:val="00AF3CB3"/>
    <w:rsid w:val="00AF3CFF"/>
    <w:rsid w:val="00AF4F66"/>
    <w:rsid w:val="00AF531B"/>
    <w:rsid w:val="00AF5337"/>
    <w:rsid w:val="00AF53C2"/>
    <w:rsid w:val="00AF71F6"/>
    <w:rsid w:val="00AF7C60"/>
    <w:rsid w:val="00B005C5"/>
    <w:rsid w:val="00B018F5"/>
    <w:rsid w:val="00B02305"/>
    <w:rsid w:val="00B02E23"/>
    <w:rsid w:val="00B060D5"/>
    <w:rsid w:val="00B1175D"/>
    <w:rsid w:val="00B11981"/>
    <w:rsid w:val="00B12731"/>
    <w:rsid w:val="00B12AA5"/>
    <w:rsid w:val="00B146BC"/>
    <w:rsid w:val="00B14DF1"/>
    <w:rsid w:val="00B153B3"/>
    <w:rsid w:val="00B15CD2"/>
    <w:rsid w:val="00B17CBB"/>
    <w:rsid w:val="00B204CB"/>
    <w:rsid w:val="00B20BBF"/>
    <w:rsid w:val="00B21481"/>
    <w:rsid w:val="00B21672"/>
    <w:rsid w:val="00B217CC"/>
    <w:rsid w:val="00B23531"/>
    <w:rsid w:val="00B24977"/>
    <w:rsid w:val="00B25447"/>
    <w:rsid w:val="00B264D8"/>
    <w:rsid w:val="00B271C9"/>
    <w:rsid w:val="00B27CD4"/>
    <w:rsid w:val="00B30AEA"/>
    <w:rsid w:val="00B31BF4"/>
    <w:rsid w:val="00B31C57"/>
    <w:rsid w:val="00B32F09"/>
    <w:rsid w:val="00B33D96"/>
    <w:rsid w:val="00B33E36"/>
    <w:rsid w:val="00B3465A"/>
    <w:rsid w:val="00B34F0E"/>
    <w:rsid w:val="00B35F5F"/>
    <w:rsid w:val="00B36F78"/>
    <w:rsid w:val="00B3755E"/>
    <w:rsid w:val="00B404A6"/>
    <w:rsid w:val="00B40A63"/>
    <w:rsid w:val="00B40D70"/>
    <w:rsid w:val="00B44426"/>
    <w:rsid w:val="00B45C45"/>
    <w:rsid w:val="00B47277"/>
    <w:rsid w:val="00B4799D"/>
    <w:rsid w:val="00B51047"/>
    <w:rsid w:val="00B53D99"/>
    <w:rsid w:val="00B561BA"/>
    <w:rsid w:val="00B564D9"/>
    <w:rsid w:val="00B56FB7"/>
    <w:rsid w:val="00B57221"/>
    <w:rsid w:val="00B57619"/>
    <w:rsid w:val="00B577A6"/>
    <w:rsid w:val="00B5787D"/>
    <w:rsid w:val="00B607BE"/>
    <w:rsid w:val="00B61E09"/>
    <w:rsid w:val="00B6274D"/>
    <w:rsid w:val="00B62B63"/>
    <w:rsid w:val="00B632E5"/>
    <w:rsid w:val="00B64D41"/>
    <w:rsid w:val="00B650FB"/>
    <w:rsid w:val="00B66CB3"/>
    <w:rsid w:val="00B66D6E"/>
    <w:rsid w:val="00B67351"/>
    <w:rsid w:val="00B67D20"/>
    <w:rsid w:val="00B706C6"/>
    <w:rsid w:val="00B739CF"/>
    <w:rsid w:val="00B7475F"/>
    <w:rsid w:val="00B7508D"/>
    <w:rsid w:val="00B75AAF"/>
    <w:rsid w:val="00B76206"/>
    <w:rsid w:val="00B80B07"/>
    <w:rsid w:val="00B8178C"/>
    <w:rsid w:val="00B81BF0"/>
    <w:rsid w:val="00B82E33"/>
    <w:rsid w:val="00B82ECB"/>
    <w:rsid w:val="00B8310B"/>
    <w:rsid w:val="00B83C6B"/>
    <w:rsid w:val="00B83C8B"/>
    <w:rsid w:val="00B85BAF"/>
    <w:rsid w:val="00B90874"/>
    <w:rsid w:val="00B90BFA"/>
    <w:rsid w:val="00B91DA7"/>
    <w:rsid w:val="00B91E9A"/>
    <w:rsid w:val="00B93044"/>
    <w:rsid w:val="00B931B0"/>
    <w:rsid w:val="00B932C9"/>
    <w:rsid w:val="00B93ED9"/>
    <w:rsid w:val="00B947D6"/>
    <w:rsid w:val="00B9524C"/>
    <w:rsid w:val="00B95E2C"/>
    <w:rsid w:val="00BA18BD"/>
    <w:rsid w:val="00BA2C17"/>
    <w:rsid w:val="00BA2D53"/>
    <w:rsid w:val="00BA40F3"/>
    <w:rsid w:val="00BA55DE"/>
    <w:rsid w:val="00BA5F6B"/>
    <w:rsid w:val="00BA6BD0"/>
    <w:rsid w:val="00BA7ECF"/>
    <w:rsid w:val="00BB0589"/>
    <w:rsid w:val="00BB09D6"/>
    <w:rsid w:val="00BB1682"/>
    <w:rsid w:val="00BB1AF8"/>
    <w:rsid w:val="00BB26B1"/>
    <w:rsid w:val="00BB2E2A"/>
    <w:rsid w:val="00BB4B39"/>
    <w:rsid w:val="00BB5F65"/>
    <w:rsid w:val="00BB6F58"/>
    <w:rsid w:val="00BB7E40"/>
    <w:rsid w:val="00BC0A1A"/>
    <w:rsid w:val="00BC170A"/>
    <w:rsid w:val="00BC243B"/>
    <w:rsid w:val="00BC3515"/>
    <w:rsid w:val="00BC4A64"/>
    <w:rsid w:val="00BC59C2"/>
    <w:rsid w:val="00BC6AAD"/>
    <w:rsid w:val="00BD02CC"/>
    <w:rsid w:val="00BD079D"/>
    <w:rsid w:val="00BD20FB"/>
    <w:rsid w:val="00BD22C7"/>
    <w:rsid w:val="00BD277B"/>
    <w:rsid w:val="00BD2C00"/>
    <w:rsid w:val="00BD530D"/>
    <w:rsid w:val="00BE01A0"/>
    <w:rsid w:val="00BE205B"/>
    <w:rsid w:val="00BE264E"/>
    <w:rsid w:val="00BE27B1"/>
    <w:rsid w:val="00BE3868"/>
    <w:rsid w:val="00BE3D81"/>
    <w:rsid w:val="00BE4952"/>
    <w:rsid w:val="00BE4E80"/>
    <w:rsid w:val="00BE4FAF"/>
    <w:rsid w:val="00BE5DDE"/>
    <w:rsid w:val="00BE68B4"/>
    <w:rsid w:val="00BE70C9"/>
    <w:rsid w:val="00BF0BCC"/>
    <w:rsid w:val="00BF3999"/>
    <w:rsid w:val="00BF4B30"/>
    <w:rsid w:val="00BF5376"/>
    <w:rsid w:val="00BF6CBB"/>
    <w:rsid w:val="00C00497"/>
    <w:rsid w:val="00C029B6"/>
    <w:rsid w:val="00C03B0F"/>
    <w:rsid w:val="00C03E68"/>
    <w:rsid w:val="00C05139"/>
    <w:rsid w:val="00C058A5"/>
    <w:rsid w:val="00C07D8E"/>
    <w:rsid w:val="00C124B7"/>
    <w:rsid w:val="00C15CE7"/>
    <w:rsid w:val="00C15DD3"/>
    <w:rsid w:val="00C15F74"/>
    <w:rsid w:val="00C16AB3"/>
    <w:rsid w:val="00C17224"/>
    <w:rsid w:val="00C17685"/>
    <w:rsid w:val="00C20CBD"/>
    <w:rsid w:val="00C223A5"/>
    <w:rsid w:val="00C229EF"/>
    <w:rsid w:val="00C23A93"/>
    <w:rsid w:val="00C23BCF"/>
    <w:rsid w:val="00C2546E"/>
    <w:rsid w:val="00C2648A"/>
    <w:rsid w:val="00C26EA0"/>
    <w:rsid w:val="00C2711D"/>
    <w:rsid w:val="00C275B4"/>
    <w:rsid w:val="00C27616"/>
    <w:rsid w:val="00C310A0"/>
    <w:rsid w:val="00C3114B"/>
    <w:rsid w:val="00C351DB"/>
    <w:rsid w:val="00C36A88"/>
    <w:rsid w:val="00C36B0F"/>
    <w:rsid w:val="00C36DA3"/>
    <w:rsid w:val="00C36E66"/>
    <w:rsid w:val="00C3720E"/>
    <w:rsid w:val="00C406DE"/>
    <w:rsid w:val="00C40C71"/>
    <w:rsid w:val="00C4111F"/>
    <w:rsid w:val="00C412D5"/>
    <w:rsid w:val="00C4150B"/>
    <w:rsid w:val="00C420E4"/>
    <w:rsid w:val="00C433A2"/>
    <w:rsid w:val="00C43DB8"/>
    <w:rsid w:val="00C44141"/>
    <w:rsid w:val="00C46039"/>
    <w:rsid w:val="00C47496"/>
    <w:rsid w:val="00C50B0E"/>
    <w:rsid w:val="00C53EEF"/>
    <w:rsid w:val="00C54389"/>
    <w:rsid w:val="00C5542B"/>
    <w:rsid w:val="00C55A01"/>
    <w:rsid w:val="00C56A39"/>
    <w:rsid w:val="00C57DD6"/>
    <w:rsid w:val="00C607D5"/>
    <w:rsid w:val="00C61780"/>
    <w:rsid w:val="00C62A8F"/>
    <w:rsid w:val="00C63263"/>
    <w:rsid w:val="00C634E0"/>
    <w:rsid w:val="00C664E7"/>
    <w:rsid w:val="00C671BC"/>
    <w:rsid w:val="00C67C67"/>
    <w:rsid w:val="00C70919"/>
    <w:rsid w:val="00C7141B"/>
    <w:rsid w:val="00C71C68"/>
    <w:rsid w:val="00C759E4"/>
    <w:rsid w:val="00C75BEC"/>
    <w:rsid w:val="00C808AA"/>
    <w:rsid w:val="00C80D96"/>
    <w:rsid w:val="00C83560"/>
    <w:rsid w:val="00C836E3"/>
    <w:rsid w:val="00C83A19"/>
    <w:rsid w:val="00C84D79"/>
    <w:rsid w:val="00C8527E"/>
    <w:rsid w:val="00C855C3"/>
    <w:rsid w:val="00C855D2"/>
    <w:rsid w:val="00C85E96"/>
    <w:rsid w:val="00C86FBD"/>
    <w:rsid w:val="00C9128F"/>
    <w:rsid w:val="00C91666"/>
    <w:rsid w:val="00C916F0"/>
    <w:rsid w:val="00C91F93"/>
    <w:rsid w:val="00C9219D"/>
    <w:rsid w:val="00C923D5"/>
    <w:rsid w:val="00C92DAA"/>
    <w:rsid w:val="00C92EB0"/>
    <w:rsid w:val="00C9406A"/>
    <w:rsid w:val="00C94D3C"/>
    <w:rsid w:val="00C94E84"/>
    <w:rsid w:val="00C9502B"/>
    <w:rsid w:val="00CA0D9F"/>
    <w:rsid w:val="00CA18FB"/>
    <w:rsid w:val="00CA1A36"/>
    <w:rsid w:val="00CA1BD1"/>
    <w:rsid w:val="00CA1CEF"/>
    <w:rsid w:val="00CA1E6A"/>
    <w:rsid w:val="00CA5575"/>
    <w:rsid w:val="00CB030A"/>
    <w:rsid w:val="00CB11E7"/>
    <w:rsid w:val="00CB125C"/>
    <w:rsid w:val="00CB26D4"/>
    <w:rsid w:val="00CB455B"/>
    <w:rsid w:val="00CB4D87"/>
    <w:rsid w:val="00CB53B6"/>
    <w:rsid w:val="00CB572C"/>
    <w:rsid w:val="00CB7AE4"/>
    <w:rsid w:val="00CC0EC9"/>
    <w:rsid w:val="00CC2188"/>
    <w:rsid w:val="00CC4E6E"/>
    <w:rsid w:val="00CC6E0A"/>
    <w:rsid w:val="00CC743D"/>
    <w:rsid w:val="00CC7617"/>
    <w:rsid w:val="00CC7935"/>
    <w:rsid w:val="00CD1286"/>
    <w:rsid w:val="00CD17D1"/>
    <w:rsid w:val="00CD20F9"/>
    <w:rsid w:val="00CD33BC"/>
    <w:rsid w:val="00CD66FB"/>
    <w:rsid w:val="00CD67D5"/>
    <w:rsid w:val="00CE2EED"/>
    <w:rsid w:val="00CE6D2A"/>
    <w:rsid w:val="00CE70E4"/>
    <w:rsid w:val="00CF075B"/>
    <w:rsid w:val="00CF0889"/>
    <w:rsid w:val="00CF106A"/>
    <w:rsid w:val="00CF2156"/>
    <w:rsid w:val="00CF2F06"/>
    <w:rsid w:val="00CF3A91"/>
    <w:rsid w:val="00CF41C5"/>
    <w:rsid w:val="00CF4D7B"/>
    <w:rsid w:val="00CF6914"/>
    <w:rsid w:val="00CF7F30"/>
    <w:rsid w:val="00D003A3"/>
    <w:rsid w:val="00D003AF"/>
    <w:rsid w:val="00D0264B"/>
    <w:rsid w:val="00D049C3"/>
    <w:rsid w:val="00D0747E"/>
    <w:rsid w:val="00D07715"/>
    <w:rsid w:val="00D106FE"/>
    <w:rsid w:val="00D10ED3"/>
    <w:rsid w:val="00D125E8"/>
    <w:rsid w:val="00D12D3B"/>
    <w:rsid w:val="00D14535"/>
    <w:rsid w:val="00D14699"/>
    <w:rsid w:val="00D14AA5"/>
    <w:rsid w:val="00D15FDA"/>
    <w:rsid w:val="00D161B7"/>
    <w:rsid w:val="00D16728"/>
    <w:rsid w:val="00D20810"/>
    <w:rsid w:val="00D21ED8"/>
    <w:rsid w:val="00D22504"/>
    <w:rsid w:val="00D22A32"/>
    <w:rsid w:val="00D23012"/>
    <w:rsid w:val="00D23BC7"/>
    <w:rsid w:val="00D23F3B"/>
    <w:rsid w:val="00D25D69"/>
    <w:rsid w:val="00D26EC1"/>
    <w:rsid w:val="00D2709A"/>
    <w:rsid w:val="00D302D1"/>
    <w:rsid w:val="00D30569"/>
    <w:rsid w:val="00D31737"/>
    <w:rsid w:val="00D31F30"/>
    <w:rsid w:val="00D31F45"/>
    <w:rsid w:val="00D335BB"/>
    <w:rsid w:val="00D34B05"/>
    <w:rsid w:val="00D35259"/>
    <w:rsid w:val="00D35489"/>
    <w:rsid w:val="00D37504"/>
    <w:rsid w:val="00D37996"/>
    <w:rsid w:val="00D40E20"/>
    <w:rsid w:val="00D41D3D"/>
    <w:rsid w:val="00D42530"/>
    <w:rsid w:val="00D42B89"/>
    <w:rsid w:val="00D43AEE"/>
    <w:rsid w:val="00D4725F"/>
    <w:rsid w:val="00D5173F"/>
    <w:rsid w:val="00D54091"/>
    <w:rsid w:val="00D54B9A"/>
    <w:rsid w:val="00D54F2F"/>
    <w:rsid w:val="00D557F5"/>
    <w:rsid w:val="00D61100"/>
    <w:rsid w:val="00D612CD"/>
    <w:rsid w:val="00D61C45"/>
    <w:rsid w:val="00D62AEF"/>
    <w:rsid w:val="00D62CE1"/>
    <w:rsid w:val="00D64DD6"/>
    <w:rsid w:val="00D65874"/>
    <w:rsid w:val="00D6587C"/>
    <w:rsid w:val="00D662D3"/>
    <w:rsid w:val="00D6730F"/>
    <w:rsid w:val="00D72563"/>
    <w:rsid w:val="00D72C4E"/>
    <w:rsid w:val="00D74B04"/>
    <w:rsid w:val="00D756CA"/>
    <w:rsid w:val="00D75A5B"/>
    <w:rsid w:val="00D75C81"/>
    <w:rsid w:val="00D76061"/>
    <w:rsid w:val="00D77713"/>
    <w:rsid w:val="00D7798A"/>
    <w:rsid w:val="00D80053"/>
    <w:rsid w:val="00D82E02"/>
    <w:rsid w:val="00D82EDA"/>
    <w:rsid w:val="00D8307B"/>
    <w:rsid w:val="00D8327C"/>
    <w:rsid w:val="00D836F7"/>
    <w:rsid w:val="00D844A6"/>
    <w:rsid w:val="00D84645"/>
    <w:rsid w:val="00D84B55"/>
    <w:rsid w:val="00D864F8"/>
    <w:rsid w:val="00D86ACF"/>
    <w:rsid w:val="00D879A3"/>
    <w:rsid w:val="00D918A9"/>
    <w:rsid w:val="00D92BCC"/>
    <w:rsid w:val="00D93123"/>
    <w:rsid w:val="00D9320C"/>
    <w:rsid w:val="00D95878"/>
    <w:rsid w:val="00DA154B"/>
    <w:rsid w:val="00DA527C"/>
    <w:rsid w:val="00DA5B6B"/>
    <w:rsid w:val="00DA5EEB"/>
    <w:rsid w:val="00DA603F"/>
    <w:rsid w:val="00DA700C"/>
    <w:rsid w:val="00DA75C7"/>
    <w:rsid w:val="00DB2EF0"/>
    <w:rsid w:val="00DB4640"/>
    <w:rsid w:val="00DB70DE"/>
    <w:rsid w:val="00DB72D0"/>
    <w:rsid w:val="00DB790F"/>
    <w:rsid w:val="00DC045F"/>
    <w:rsid w:val="00DC2AD5"/>
    <w:rsid w:val="00DC3269"/>
    <w:rsid w:val="00DC350C"/>
    <w:rsid w:val="00DC437A"/>
    <w:rsid w:val="00DC44F4"/>
    <w:rsid w:val="00DC45DF"/>
    <w:rsid w:val="00DC6605"/>
    <w:rsid w:val="00DD027E"/>
    <w:rsid w:val="00DD0447"/>
    <w:rsid w:val="00DD66BE"/>
    <w:rsid w:val="00DD67BF"/>
    <w:rsid w:val="00DD688C"/>
    <w:rsid w:val="00DD6E09"/>
    <w:rsid w:val="00DE07FB"/>
    <w:rsid w:val="00DE2607"/>
    <w:rsid w:val="00DE2783"/>
    <w:rsid w:val="00DE27B8"/>
    <w:rsid w:val="00DE3D55"/>
    <w:rsid w:val="00DE466D"/>
    <w:rsid w:val="00DE4C62"/>
    <w:rsid w:val="00DE55BC"/>
    <w:rsid w:val="00DE5707"/>
    <w:rsid w:val="00DE70C6"/>
    <w:rsid w:val="00DF07DB"/>
    <w:rsid w:val="00DF0DB1"/>
    <w:rsid w:val="00DF20FB"/>
    <w:rsid w:val="00DF21A8"/>
    <w:rsid w:val="00DF2DC3"/>
    <w:rsid w:val="00DF3A84"/>
    <w:rsid w:val="00DF4EB7"/>
    <w:rsid w:val="00DF5271"/>
    <w:rsid w:val="00DF70F6"/>
    <w:rsid w:val="00DF7939"/>
    <w:rsid w:val="00DF7C6E"/>
    <w:rsid w:val="00E0106C"/>
    <w:rsid w:val="00E01663"/>
    <w:rsid w:val="00E01A46"/>
    <w:rsid w:val="00E03F1C"/>
    <w:rsid w:val="00E04FDE"/>
    <w:rsid w:val="00E070B6"/>
    <w:rsid w:val="00E07A39"/>
    <w:rsid w:val="00E104EF"/>
    <w:rsid w:val="00E125CB"/>
    <w:rsid w:val="00E13C7D"/>
    <w:rsid w:val="00E13EBC"/>
    <w:rsid w:val="00E13EDF"/>
    <w:rsid w:val="00E146EE"/>
    <w:rsid w:val="00E15076"/>
    <w:rsid w:val="00E165C9"/>
    <w:rsid w:val="00E17165"/>
    <w:rsid w:val="00E202E6"/>
    <w:rsid w:val="00E21B3E"/>
    <w:rsid w:val="00E21F7E"/>
    <w:rsid w:val="00E224C3"/>
    <w:rsid w:val="00E2288B"/>
    <w:rsid w:val="00E23B83"/>
    <w:rsid w:val="00E23FD1"/>
    <w:rsid w:val="00E24482"/>
    <w:rsid w:val="00E246D8"/>
    <w:rsid w:val="00E25D87"/>
    <w:rsid w:val="00E27377"/>
    <w:rsid w:val="00E300EC"/>
    <w:rsid w:val="00E305F5"/>
    <w:rsid w:val="00E30DEA"/>
    <w:rsid w:val="00E31E46"/>
    <w:rsid w:val="00E3293B"/>
    <w:rsid w:val="00E332F5"/>
    <w:rsid w:val="00E341E1"/>
    <w:rsid w:val="00E34AE2"/>
    <w:rsid w:val="00E36A37"/>
    <w:rsid w:val="00E372FA"/>
    <w:rsid w:val="00E37601"/>
    <w:rsid w:val="00E42235"/>
    <w:rsid w:val="00E434B4"/>
    <w:rsid w:val="00E43B3E"/>
    <w:rsid w:val="00E4414C"/>
    <w:rsid w:val="00E443BA"/>
    <w:rsid w:val="00E450D5"/>
    <w:rsid w:val="00E454CC"/>
    <w:rsid w:val="00E45FB7"/>
    <w:rsid w:val="00E470CE"/>
    <w:rsid w:val="00E478AC"/>
    <w:rsid w:val="00E50F94"/>
    <w:rsid w:val="00E515EB"/>
    <w:rsid w:val="00E528C9"/>
    <w:rsid w:val="00E53D40"/>
    <w:rsid w:val="00E5462E"/>
    <w:rsid w:val="00E61A5B"/>
    <w:rsid w:val="00E64BE9"/>
    <w:rsid w:val="00E65605"/>
    <w:rsid w:val="00E65AFF"/>
    <w:rsid w:val="00E6767D"/>
    <w:rsid w:val="00E71E5D"/>
    <w:rsid w:val="00E73327"/>
    <w:rsid w:val="00E7411A"/>
    <w:rsid w:val="00E76BD7"/>
    <w:rsid w:val="00E77A83"/>
    <w:rsid w:val="00E80977"/>
    <w:rsid w:val="00E82D1B"/>
    <w:rsid w:val="00E83645"/>
    <w:rsid w:val="00E84E98"/>
    <w:rsid w:val="00E85972"/>
    <w:rsid w:val="00E85C9A"/>
    <w:rsid w:val="00E85CB5"/>
    <w:rsid w:val="00E9034A"/>
    <w:rsid w:val="00E90E9C"/>
    <w:rsid w:val="00E94FB0"/>
    <w:rsid w:val="00E9512C"/>
    <w:rsid w:val="00EA0077"/>
    <w:rsid w:val="00EA0E38"/>
    <w:rsid w:val="00EA1872"/>
    <w:rsid w:val="00EA22A9"/>
    <w:rsid w:val="00EA477B"/>
    <w:rsid w:val="00EA604E"/>
    <w:rsid w:val="00EA6069"/>
    <w:rsid w:val="00EA6536"/>
    <w:rsid w:val="00EA6ED4"/>
    <w:rsid w:val="00EA714C"/>
    <w:rsid w:val="00EA7167"/>
    <w:rsid w:val="00EA78D0"/>
    <w:rsid w:val="00EB0026"/>
    <w:rsid w:val="00EB0384"/>
    <w:rsid w:val="00EB0D56"/>
    <w:rsid w:val="00EB31BB"/>
    <w:rsid w:val="00EB39F8"/>
    <w:rsid w:val="00EB3AE8"/>
    <w:rsid w:val="00EB3DE5"/>
    <w:rsid w:val="00EB6196"/>
    <w:rsid w:val="00EB67F0"/>
    <w:rsid w:val="00EB6B0C"/>
    <w:rsid w:val="00EB6F46"/>
    <w:rsid w:val="00EC058C"/>
    <w:rsid w:val="00EC0B25"/>
    <w:rsid w:val="00EC1BDE"/>
    <w:rsid w:val="00EC1F4B"/>
    <w:rsid w:val="00EC311D"/>
    <w:rsid w:val="00EC3F67"/>
    <w:rsid w:val="00EC5097"/>
    <w:rsid w:val="00EC53C0"/>
    <w:rsid w:val="00EC5A56"/>
    <w:rsid w:val="00ED1413"/>
    <w:rsid w:val="00ED1663"/>
    <w:rsid w:val="00ED230F"/>
    <w:rsid w:val="00ED23A4"/>
    <w:rsid w:val="00ED3A2D"/>
    <w:rsid w:val="00ED4106"/>
    <w:rsid w:val="00ED4499"/>
    <w:rsid w:val="00ED50F5"/>
    <w:rsid w:val="00ED5149"/>
    <w:rsid w:val="00ED6BE1"/>
    <w:rsid w:val="00ED7099"/>
    <w:rsid w:val="00ED7757"/>
    <w:rsid w:val="00EE009A"/>
    <w:rsid w:val="00EE027B"/>
    <w:rsid w:val="00EE0630"/>
    <w:rsid w:val="00EE13A1"/>
    <w:rsid w:val="00EE285F"/>
    <w:rsid w:val="00EE2893"/>
    <w:rsid w:val="00EE31DF"/>
    <w:rsid w:val="00EE3AE5"/>
    <w:rsid w:val="00EE3EBF"/>
    <w:rsid w:val="00EE5B77"/>
    <w:rsid w:val="00EE7702"/>
    <w:rsid w:val="00EE7916"/>
    <w:rsid w:val="00EF13A0"/>
    <w:rsid w:val="00EF1C6E"/>
    <w:rsid w:val="00EF2AE5"/>
    <w:rsid w:val="00EF2C80"/>
    <w:rsid w:val="00EF4D3B"/>
    <w:rsid w:val="00EF52FD"/>
    <w:rsid w:val="00EF6A34"/>
    <w:rsid w:val="00EF7579"/>
    <w:rsid w:val="00EF75D5"/>
    <w:rsid w:val="00EF7B34"/>
    <w:rsid w:val="00F00BE0"/>
    <w:rsid w:val="00F016BD"/>
    <w:rsid w:val="00F026F0"/>
    <w:rsid w:val="00F04496"/>
    <w:rsid w:val="00F05814"/>
    <w:rsid w:val="00F0680A"/>
    <w:rsid w:val="00F06ED0"/>
    <w:rsid w:val="00F12013"/>
    <w:rsid w:val="00F126FC"/>
    <w:rsid w:val="00F12999"/>
    <w:rsid w:val="00F12C0D"/>
    <w:rsid w:val="00F12DA5"/>
    <w:rsid w:val="00F13822"/>
    <w:rsid w:val="00F13E50"/>
    <w:rsid w:val="00F1410C"/>
    <w:rsid w:val="00F14565"/>
    <w:rsid w:val="00F14A70"/>
    <w:rsid w:val="00F175A5"/>
    <w:rsid w:val="00F176ED"/>
    <w:rsid w:val="00F1796C"/>
    <w:rsid w:val="00F17CC1"/>
    <w:rsid w:val="00F230F1"/>
    <w:rsid w:val="00F275C3"/>
    <w:rsid w:val="00F27B8D"/>
    <w:rsid w:val="00F304FB"/>
    <w:rsid w:val="00F313F8"/>
    <w:rsid w:val="00F315AB"/>
    <w:rsid w:val="00F33E41"/>
    <w:rsid w:val="00F33F07"/>
    <w:rsid w:val="00F34D85"/>
    <w:rsid w:val="00F35871"/>
    <w:rsid w:val="00F35D52"/>
    <w:rsid w:val="00F35F8C"/>
    <w:rsid w:val="00F360BF"/>
    <w:rsid w:val="00F36C93"/>
    <w:rsid w:val="00F373E1"/>
    <w:rsid w:val="00F377E0"/>
    <w:rsid w:val="00F410E0"/>
    <w:rsid w:val="00F42574"/>
    <w:rsid w:val="00F43AAC"/>
    <w:rsid w:val="00F43D37"/>
    <w:rsid w:val="00F45064"/>
    <w:rsid w:val="00F45257"/>
    <w:rsid w:val="00F45805"/>
    <w:rsid w:val="00F45CA2"/>
    <w:rsid w:val="00F45D78"/>
    <w:rsid w:val="00F46154"/>
    <w:rsid w:val="00F462F3"/>
    <w:rsid w:val="00F46AD5"/>
    <w:rsid w:val="00F47598"/>
    <w:rsid w:val="00F476B5"/>
    <w:rsid w:val="00F47DCD"/>
    <w:rsid w:val="00F47ED2"/>
    <w:rsid w:val="00F50813"/>
    <w:rsid w:val="00F509F7"/>
    <w:rsid w:val="00F50CA4"/>
    <w:rsid w:val="00F50CE7"/>
    <w:rsid w:val="00F51438"/>
    <w:rsid w:val="00F515D3"/>
    <w:rsid w:val="00F523F0"/>
    <w:rsid w:val="00F5301A"/>
    <w:rsid w:val="00F538BB"/>
    <w:rsid w:val="00F53EC3"/>
    <w:rsid w:val="00F549E7"/>
    <w:rsid w:val="00F54AA2"/>
    <w:rsid w:val="00F55237"/>
    <w:rsid w:val="00F5550D"/>
    <w:rsid w:val="00F55934"/>
    <w:rsid w:val="00F57CF3"/>
    <w:rsid w:val="00F60C92"/>
    <w:rsid w:val="00F60E82"/>
    <w:rsid w:val="00F618BB"/>
    <w:rsid w:val="00F623CB"/>
    <w:rsid w:val="00F62689"/>
    <w:rsid w:val="00F62FB3"/>
    <w:rsid w:val="00F6302F"/>
    <w:rsid w:val="00F64EF0"/>
    <w:rsid w:val="00F65518"/>
    <w:rsid w:val="00F67625"/>
    <w:rsid w:val="00F70AD4"/>
    <w:rsid w:val="00F71828"/>
    <w:rsid w:val="00F7191C"/>
    <w:rsid w:val="00F7197C"/>
    <w:rsid w:val="00F72032"/>
    <w:rsid w:val="00F73671"/>
    <w:rsid w:val="00F73CB5"/>
    <w:rsid w:val="00F76B14"/>
    <w:rsid w:val="00F77AE5"/>
    <w:rsid w:val="00F80938"/>
    <w:rsid w:val="00F81487"/>
    <w:rsid w:val="00F849F9"/>
    <w:rsid w:val="00F85F21"/>
    <w:rsid w:val="00F870DB"/>
    <w:rsid w:val="00F90CF5"/>
    <w:rsid w:val="00F90D68"/>
    <w:rsid w:val="00F90E69"/>
    <w:rsid w:val="00F91AD8"/>
    <w:rsid w:val="00F922B1"/>
    <w:rsid w:val="00FA0E80"/>
    <w:rsid w:val="00FA1CBD"/>
    <w:rsid w:val="00FA2C07"/>
    <w:rsid w:val="00FA32BE"/>
    <w:rsid w:val="00FA56EF"/>
    <w:rsid w:val="00FA5D99"/>
    <w:rsid w:val="00FA5F0B"/>
    <w:rsid w:val="00FA6505"/>
    <w:rsid w:val="00FA6F1C"/>
    <w:rsid w:val="00FA72F6"/>
    <w:rsid w:val="00FB0E58"/>
    <w:rsid w:val="00FB0FB6"/>
    <w:rsid w:val="00FB10A3"/>
    <w:rsid w:val="00FB36D4"/>
    <w:rsid w:val="00FB3B0F"/>
    <w:rsid w:val="00FB510B"/>
    <w:rsid w:val="00FB5690"/>
    <w:rsid w:val="00FB5D1B"/>
    <w:rsid w:val="00FB68C8"/>
    <w:rsid w:val="00FB75F9"/>
    <w:rsid w:val="00FB76D2"/>
    <w:rsid w:val="00FB7C5A"/>
    <w:rsid w:val="00FC154B"/>
    <w:rsid w:val="00FC1C97"/>
    <w:rsid w:val="00FC26BF"/>
    <w:rsid w:val="00FC2D26"/>
    <w:rsid w:val="00FC423E"/>
    <w:rsid w:val="00FC523E"/>
    <w:rsid w:val="00FC6CE0"/>
    <w:rsid w:val="00FC7232"/>
    <w:rsid w:val="00FC7525"/>
    <w:rsid w:val="00FD02C5"/>
    <w:rsid w:val="00FD1A30"/>
    <w:rsid w:val="00FD383D"/>
    <w:rsid w:val="00FD418F"/>
    <w:rsid w:val="00FD4365"/>
    <w:rsid w:val="00FD4ACC"/>
    <w:rsid w:val="00FD4D39"/>
    <w:rsid w:val="00FD4F52"/>
    <w:rsid w:val="00FD532F"/>
    <w:rsid w:val="00FD53F2"/>
    <w:rsid w:val="00FD5E40"/>
    <w:rsid w:val="00FD6485"/>
    <w:rsid w:val="00FD7589"/>
    <w:rsid w:val="00FE1CF6"/>
    <w:rsid w:val="00FE1EF3"/>
    <w:rsid w:val="00FE315D"/>
    <w:rsid w:val="00FE3182"/>
    <w:rsid w:val="00FE3707"/>
    <w:rsid w:val="00FE41E1"/>
    <w:rsid w:val="00FE42AE"/>
    <w:rsid w:val="00FE55F1"/>
    <w:rsid w:val="00FE6567"/>
    <w:rsid w:val="00FF07E9"/>
    <w:rsid w:val="00FF213C"/>
    <w:rsid w:val="00FF2285"/>
    <w:rsid w:val="00FF2C66"/>
    <w:rsid w:val="00FF410C"/>
    <w:rsid w:val="00FF4D81"/>
    <w:rsid w:val="00FF57F9"/>
    <w:rsid w:val="00FF5E9F"/>
    <w:rsid w:val="00FF6CBD"/>
    <w:rsid w:val="00FF75F5"/>
    <w:rsid w:val="00FF7C3A"/>
    <w:rsid w:val="01592D24"/>
    <w:rsid w:val="01775986"/>
    <w:rsid w:val="01885E23"/>
    <w:rsid w:val="018E7ABF"/>
    <w:rsid w:val="01940E85"/>
    <w:rsid w:val="0198796C"/>
    <w:rsid w:val="019A0A09"/>
    <w:rsid w:val="01C133B8"/>
    <w:rsid w:val="020F2171"/>
    <w:rsid w:val="023B2AFC"/>
    <w:rsid w:val="02A27E2B"/>
    <w:rsid w:val="02A3645B"/>
    <w:rsid w:val="02B53906"/>
    <w:rsid w:val="02F778BD"/>
    <w:rsid w:val="03070BD7"/>
    <w:rsid w:val="030B2999"/>
    <w:rsid w:val="03121468"/>
    <w:rsid w:val="03822C68"/>
    <w:rsid w:val="039F2BBC"/>
    <w:rsid w:val="03D96AC5"/>
    <w:rsid w:val="04883EB2"/>
    <w:rsid w:val="05071955"/>
    <w:rsid w:val="050B36B6"/>
    <w:rsid w:val="051E3875"/>
    <w:rsid w:val="0533125B"/>
    <w:rsid w:val="054F4EE9"/>
    <w:rsid w:val="056B1EC6"/>
    <w:rsid w:val="05C42AA9"/>
    <w:rsid w:val="0650730D"/>
    <w:rsid w:val="06AB5586"/>
    <w:rsid w:val="06C41BC0"/>
    <w:rsid w:val="06CB44B7"/>
    <w:rsid w:val="06CC42F7"/>
    <w:rsid w:val="06EE20B1"/>
    <w:rsid w:val="073F4A62"/>
    <w:rsid w:val="075B63E2"/>
    <w:rsid w:val="07B1625B"/>
    <w:rsid w:val="07D96E9C"/>
    <w:rsid w:val="080612A7"/>
    <w:rsid w:val="08534B88"/>
    <w:rsid w:val="08996192"/>
    <w:rsid w:val="08D107D5"/>
    <w:rsid w:val="08F062C2"/>
    <w:rsid w:val="090A2990"/>
    <w:rsid w:val="090B19E1"/>
    <w:rsid w:val="0910646C"/>
    <w:rsid w:val="09920286"/>
    <w:rsid w:val="09AC6517"/>
    <w:rsid w:val="09BB48A6"/>
    <w:rsid w:val="09BE4894"/>
    <w:rsid w:val="09E15530"/>
    <w:rsid w:val="0A1B58FF"/>
    <w:rsid w:val="0A6D7B49"/>
    <w:rsid w:val="0AD11D45"/>
    <w:rsid w:val="0AE903B8"/>
    <w:rsid w:val="0B1873A5"/>
    <w:rsid w:val="0B7462A1"/>
    <w:rsid w:val="0BA16641"/>
    <w:rsid w:val="0CAC6BB6"/>
    <w:rsid w:val="0CBB26FC"/>
    <w:rsid w:val="0CC34F37"/>
    <w:rsid w:val="0CEA1C84"/>
    <w:rsid w:val="0CEC3980"/>
    <w:rsid w:val="0D7041A5"/>
    <w:rsid w:val="0D784644"/>
    <w:rsid w:val="0D864353"/>
    <w:rsid w:val="0DBC6828"/>
    <w:rsid w:val="0DD505F0"/>
    <w:rsid w:val="0DEA5E6A"/>
    <w:rsid w:val="0DF75996"/>
    <w:rsid w:val="0DFC36FB"/>
    <w:rsid w:val="0EB37705"/>
    <w:rsid w:val="0F0D26CC"/>
    <w:rsid w:val="0F184ADA"/>
    <w:rsid w:val="0F566293"/>
    <w:rsid w:val="0FA1669B"/>
    <w:rsid w:val="104A5783"/>
    <w:rsid w:val="108958F5"/>
    <w:rsid w:val="10EF538B"/>
    <w:rsid w:val="10F32A84"/>
    <w:rsid w:val="11312DC0"/>
    <w:rsid w:val="114701EB"/>
    <w:rsid w:val="118848CF"/>
    <w:rsid w:val="11B67DC6"/>
    <w:rsid w:val="11C11380"/>
    <w:rsid w:val="11D74C92"/>
    <w:rsid w:val="11DE1DC1"/>
    <w:rsid w:val="12092462"/>
    <w:rsid w:val="120F2891"/>
    <w:rsid w:val="121D403F"/>
    <w:rsid w:val="129F7C67"/>
    <w:rsid w:val="12C53BE4"/>
    <w:rsid w:val="13380DD8"/>
    <w:rsid w:val="133B4C77"/>
    <w:rsid w:val="1344521A"/>
    <w:rsid w:val="135D4BC9"/>
    <w:rsid w:val="13645ACB"/>
    <w:rsid w:val="13E957B5"/>
    <w:rsid w:val="13F54664"/>
    <w:rsid w:val="14412BB2"/>
    <w:rsid w:val="146F2D0E"/>
    <w:rsid w:val="14942891"/>
    <w:rsid w:val="14D43335"/>
    <w:rsid w:val="151E215B"/>
    <w:rsid w:val="15516C03"/>
    <w:rsid w:val="156B5F7D"/>
    <w:rsid w:val="15A078BC"/>
    <w:rsid w:val="15AE733A"/>
    <w:rsid w:val="15B31140"/>
    <w:rsid w:val="15BE3D91"/>
    <w:rsid w:val="15E50ECA"/>
    <w:rsid w:val="16133A9B"/>
    <w:rsid w:val="161F6D30"/>
    <w:rsid w:val="164C6D98"/>
    <w:rsid w:val="1661486F"/>
    <w:rsid w:val="16CF48C3"/>
    <w:rsid w:val="16F93153"/>
    <w:rsid w:val="1714775C"/>
    <w:rsid w:val="172A1253"/>
    <w:rsid w:val="17680005"/>
    <w:rsid w:val="176B41F6"/>
    <w:rsid w:val="17C25FFF"/>
    <w:rsid w:val="17F43C69"/>
    <w:rsid w:val="18904498"/>
    <w:rsid w:val="18A3471E"/>
    <w:rsid w:val="18DE057F"/>
    <w:rsid w:val="18FC6C57"/>
    <w:rsid w:val="190A23F2"/>
    <w:rsid w:val="192B2C0A"/>
    <w:rsid w:val="192B4DF7"/>
    <w:rsid w:val="194440D5"/>
    <w:rsid w:val="198A4D50"/>
    <w:rsid w:val="19BA6371"/>
    <w:rsid w:val="19E5256C"/>
    <w:rsid w:val="19F90D7B"/>
    <w:rsid w:val="1A4964D8"/>
    <w:rsid w:val="1AF6583C"/>
    <w:rsid w:val="1B7B66B5"/>
    <w:rsid w:val="1B990FB2"/>
    <w:rsid w:val="1C225F98"/>
    <w:rsid w:val="1C272EF4"/>
    <w:rsid w:val="1CF64D1B"/>
    <w:rsid w:val="1D320A97"/>
    <w:rsid w:val="1D3541D9"/>
    <w:rsid w:val="1D3E6FE0"/>
    <w:rsid w:val="1D4F2685"/>
    <w:rsid w:val="1D570895"/>
    <w:rsid w:val="1DC4028C"/>
    <w:rsid w:val="1DE30A61"/>
    <w:rsid w:val="1E2F098E"/>
    <w:rsid w:val="1E3E2D25"/>
    <w:rsid w:val="1E4507E4"/>
    <w:rsid w:val="1E6210B8"/>
    <w:rsid w:val="1EC014EF"/>
    <w:rsid w:val="1EC664F8"/>
    <w:rsid w:val="1EDA6951"/>
    <w:rsid w:val="1EF45F00"/>
    <w:rsid w:val="1F8261F3"/>
    <w:rsid w:val="1FA84089"/>
    <w:rsid w:val="1FF91559"/>
    <w:rsid w:val="20375D57"/>
    <w:rsid w:val="20703503"/>
    <w:rsid w:val="207A43B8"/>
    <w:rsid w:val="21A3266E"/>
    <w:rsid w:val="21B5131F"/>
    <w:rsid w:val="22155EFF"/>
    <w:rsid w:val="2254242E"/>
    <w:rsid w:val="226006F6"/>
    <w:rsid w:val="22810B01"/>
    <w:rsid w:val="22BB44F7"/>
    <w:rsid w:val="23207452"/>
    <w:rsid w:val="234B1DF5"/>
    <w:rsid w:val="2364528E"/>
    <w:rsid w:val="2395665B"/>
    <w:rsid w:val="24EA2F6A"/>
    <w:rsid w:val="24F36825"/>
    <w:rsid w:val="24FC2019"/>
    <w:rsid w:val="25445D9E"/>
    <w:rsid w:val="263D4A6F"/>
    <w:rsid w:val="269B5967"/>
    <w:rsid w:val="26A10C53"/>
    <w:rsid w:val="26CF57CC"/>
    <w:rsid w:val="27022042"/>
    <w:rsid w:val="276C29FF"/>
    <w:rsid w:val="27B13177"/>
    <w:rsid w:val="28855A7D"/>
    <w:rsid w:val="2990258A"/>
    <w:rsid w:val="29910649"/>
    <w:rsid w:val="29EB624B"/>
    <w:rsid w:val="2A10592D"/>
    <w:rsid w:val="2A472991"/>
    <w:rsid w:val="2AB93EF7"/>
    <w:rsid w:val="2ABF25ED"/>
    <w:rsid w:val="2B2A3917"/>
    <w:rsid w:val="2BE95450"/>
    <w:rsid w:val="2C0440A1"/>
    <w:rsid w:val="2C2643AF"/>
    <w:rsid w:val="2C496214"/>
    <w:rsid w:val="2CC76232"/>
    <w:rsid w:val="2CF271A5"/>
    <w:rsid w:val="2D105839"/>
    <w:rsid w:val="2D177576"/>
    <w:rsid w:val="2D2F4F9F"/>
    <w:rsid w:val="2D395076"/>
    <w:rsid w:val="2D426A09"/>
    <w:rsid w:val="2D69305E"/>
    <w:rsid w:val="2D7A12FE"/>
    <w:rsid w:val="2D8400D7"/>
    <w:rsid w:val="2D851D9A"/>
    <w:rsid w:val="2D951634"/>
    <w:rsid w:val="2DCF73D0"/>
    <w:rsid w:val="2DDD1629"/>
    <w:rsid w:val="2DF018E0"/>
    <w:rsid w:val="2E016CBA"/>
    <w:rsid w:val="2EC25D45"/>
    <w:rsid w:val="2EDE0726"/>
    <w:rsid w:val="2F7B10A8"/>
    <w:rsid w:val="2FD023CF"/>
    <w:rsid w:val="2FE7396B"/>
    <w:rsid w:val="2FE778C1"/>
    <w:rsid w:val="300D7D4A"/>
    <w:rsid w:val="304A4274"/>
    <w:rsid w:val="309350C7"/>
    <w:rsid w:val="30D0318D"/>
    <w:rsid w:val="30EA437C"/>
    <w:rsid w:val="31FE7C49"/>
    <w:rsid w:val="324442AF"/>
    <w:rsid w:val="324463DD"/>
    <w:rsid w:val="32A30797"/>
    <w:rsid w:val="32E5584C"/>
    <w:rsid w:val="33524ECE"/>
    <w:rsid w:val="33DB2E25"/>
    <w:rsid w:val="346644D8"/>
    <w:rsid w:val="34CC4AF9"/>
    <w:rsid w:val="34D84DA0"/>
    <w:rsid w:val="35766601"/>
    <w:rsid w:val="35B6520A"/>
    <w:rsid w:val="35DA593B"/>
    <w:rsid w:val="35DD7FC5"/>
    <w:rsid w:val="360607D9"/>
    <w:rsid w:val="36190C5C"/>
    <w:rsid w:val="363D616D"/>
    <w:rsid w:val="364B2ECB"/>
    <w:rsid w:val="366E65EA"/>
    <w:rsid w:val="3680580C"/>
    <w:rsid w:val="369E6599"/>
    <w:rsid w:val="37146332"/>
    <w:rsid w:val="37254742"/>
    <w:rsid w:val="37497E2D"/>
    <w:rsid w:val="37F16728"/>
    <w:rsid w:val="385A07E5"/>
    <w:rsid w:val="38731510"/>
    <w:rsid w:val="389E008F"/>
    <w:rsid w:val="38A94C99"/>
    <w:rsid w:val="38D6246F"/>
    <w:rsid w:val="38F00189"/>
    <w:rsid w:val="39135500"/>
    <w:rsid w:val="399B0D3D"/>
    <w:rsid w:val="3A3C70DA"/>
    <w:rsid w:val="3A6442C7"/>
    <w:rsid w:val="3A8E5D10"/>
    <w:rsid w:val="3AE11A4E"/>
    <w:rsid w:val="3B10495E"/>
    <w:rsid w:val="3B121111"/>
    <w:rsid w:val="3B2338B7"/>
    <w:rsid w:val="3B275C48"/>
    <w:rsid w:val="3B2A4FB6"/>
    <w:rsid w:val="3B7C326A"/>
    <w:rsid w:val="3B932D9C"/>
    <w:rsid w:val="3BA725FA"/>
    <w:rsid w:val="3BD26834"/>
    <w:rsid w:val="3C19288C"/>
    <w:rsid w:val="3CBA43FC"/>
    <w:rsid w:val="3CCE5FE8"/>
    <w:rsid w:val="3D573AAE"/>
    <w:rsid w:val="3D76583D"/>
    <w:rsid w:val="3DB35BA7"/>
    <w:rsid w:val="3DBB5D2E"/>
    <w:rsid w:val="3DDC6AF7"/>
    <w:rsid w:val="3E1521CA"/>
    <w:rsid w:val="3E5F1E94"/>
    <w:rsid w:val="3EA6436B"/>
    <w:rsid w:val="3EEC1D93"/>
    <w:rsid w:val="3EF545D9"/>
    <w:rsid w:val="3EFE0737"/>
    <w:rsid w:val="3F022944"/>
    <w:rsid w:val="3F125943"/>
    <w:rsid w:val="3F817D6A"/>
    <w:rsid w:val="3FAA11A4"/>
    <w:rsid w:val="3FAF4912"/>
    <w:rsid w:val="3FB7625E"/>
    <w:rsid w:val="406A72FF"/>
    <w:rsid w:val="40A857C2"/>
    <w:rsid w:val="40CD787E"/>
    <w:rsid w:val="41822731"/>
    <w:rsid w:val="421B7832"/>
    <w:rsid w:val="42254A34"/>
    <w:rsid w:val="429462ED"/>
    <w:rsid w:val="42BC7DDF"/>
    <w:rsid w:val="42D90CD3"/>
    <w:rsid w:val="42E5365A"/>
    <w:rsid w:val="43076C51"/>
    <w:rsid w:val="43251383"/>
    <w:rsid w:val="435A272F"/>
    <w:rsid w:val="437E2698"/>
    <w:rsid w:val="43903FBC"/>
    <w:rsid w:val="43AD43B9"/>
    <w:rsid w:val="43F565F9"/>
    <w:rsid w:val="44201AAB"/>
    <w:rsid w:val="448A72D9"/>
    <w:rsid w:val="44EF1B82"/>
    <w:rsid w:val="45797C51"/>
    <w:rsid w:val="4594698E"/>
    <w:rsid w:val="45A168B6"/>
    <w:rsid w:val="45E77275"/>
    <w:rsid w:val="45EE4E64"/>
    <w:rsid w:val="45EE6863"/>
    <w:rsid w:val="461B2714"/>
    <w:rsid w:val="46492C2C"/>
    <w:rsid w:val="46F41301"/>
    <w:rsid w:val="46FC6C97"/>
    <w:rsid w:val="473671FB"/>
    <w:rsid w:val="473D2DF8"/>
    <w:rsid w:val="47BB1907"/>
    <w:rsid w:val="47F66832"/>
    <w:rsid w:val="483E4CD6"/>
    <w:rsid w:val="492A6366"/>
    <w:rsid w:val="4A934670"/>
    <w:rsid w:val="4ABF5B70"/>
    <w:rsid w:val="4AC07CF5"/>
    <w:rsid w:val="4B807D59"/>
    <w:rsid w:val="4B985D35"/>
    <w:rsid w:val="4BA72EF2"/>
    <w:rsid w:val="4C005968"/>
    <w:rsid w:val="4C3E203F"/>
    <w:rsid w:val="4C4A2448"/>
    <w:rsid w:val="4CF6285E"/>
    <w:rsid w:val="4D516E2B"/>
    <w:rsid w:val="4D720271"/>
    <w:rsid w:val="4DED52D5"/>
    <w:rsid w:val="4E19615A"/>
    <w:rsid w:val="4E1B0EA4"/>
    <w:rsid w:val="4E3B2540"/>
    <w:rsid w:val="4E402FFB"/>
    <w:rsid w:val="4E545D2B"/>
    <w:rsid w:val="4ECF17A1"/>
    <w:rsid w:val="4F1A65F1"/>
    <w:rsid w:val="4F6D5F06"/>
    <w:rsid w:val="4F73779A"/>
    <w:rsid w:val="4FB97DFA"/>
    <w:rsid w:val="4FBD65B6"/>
    <w:rsid w:val="504D144E"/>
    <w:rsid w:val="508F050A"/>
    <w:rsid w:val="50902684"/>
    <w:rsid w:val="50BA02B4"/>
    <w:rsid w:val="50D6296C"/>
    <w:rsid w:val="50DF56DA"/>
    <w:rsid w:val="51693F36"/>
    <w:rsid w:val="516A1F01"/>
    <w:rsid w:val="51B318A1"/>
    <w:rsid w:val="51C0452D"/>
    <w:rsid w:val="51CA2205"/>
    <w:rsid w:val="51E05D03"/>
    <w:rsid w:val="52693681"/>
    <w:rsid w:val="527103FC"/>
    <w:rsid w:val="529A792F"/>
    <w:rsid w:val="52A4759B"/>
    <w:rsid w:val="52A51CE2"/>
    <w:rsid w:val="52B35629"/>
    <w:rsid w:val="52D32AFD"/>
    <w:rsid w:val="53481136"/>
    <w:rsid w:val="539F3171"/>
    <w:rsid w:val="542E5537"/>
    <w:rsid w:val="54C97D27"/>
    <w:rsid w:val="5580491C"/>
    <w:rsid w:val="55992337"/>
    <w:rsid w:val="55E510BF"/>
    <w:rsid w:val="560066D7"/>
    <w:rsid w:val="561F1F50"/>
    <w:rsid w:val="56262AA1"/>
    <w:rsid w:val="562E2336"/>
    <w:rsid w:val="562F13A1"/>
    <w:rsid w:val="56381C23"/>
    <w:rsid w:val="565F1615"/>
    <w:rsid w:val="570B7257"/>
    <w:rsid w:val="581F25C1"/>
    <w:rsid w:val="582A7B05"/>
    <w:rsid w:val="588747F1"/>
    <w:rsid w:val="58B77DDD"/>
    <w:rsid w:val="58C12619"/>
    <w:rsid w:val="58DF6CF4"/>
    <w:rsid w:val="5904132B"/>
    <w:rsid w:val="590579B7"/>
    <w:rsid w:val="59157827"/>
    <w:rsid w:val="592B3A1B"/>
    <w:rsid w:val="594400A5"/>
    <w:rsid w:val="59460EC7"/>
    <w:rsid w:val="59610174"/>
    <w:rsid w:val="59961D8E"/>
    <w:rsid w:val="59C90F05"/>
    <w:rsid w:val="5A257920"/>
    <w:rsid w:val="5A7C7A26"/>
    <w:rsid w:val="5A9410D3"/>
    <w:rsid w:val="5AB23A35"/>
    <w:rsid w:val="5AD87BF2"/>
    <w:rsid w:val="5AF413B3"/>
    <w:rsid w:val="5AF848DA"/>
    <w:rsid w:val="5B4F7AA0"/>
    <w:rsid w:val="5B9A2150"/>
    <w:rsid w:val="5C1734C7"/>
    <w:rsid w:val="5C2D4130"/>
    <w:rsid w:val="5C3914B8"/>
    <w:rsid w:val="5C6D68F5"/>
    <w:rsid w:val="5C85755D"/>
    <w:rsid w:val="5CA81224"/>
    <w:rsid w:val="5CEA4EE8"/>
    <w:rsid w:val="5D2827BE"/>
    <w:rsid w:val="5D5C72F2"/>
    <w:rsid w:val="5D7647EC"/>
    <w:rsid w:val="5DBA1FF8"/>
    <w:rsid w:val="5E1D3725"/>
    <w:rsid w:val="5E37668B"/>
    <w:rsid w:val="5E9C51FA"/>
    <w:rsid w:val="5EC42D73"/>
    <w:rsid w:val="5ED54C52"/>
    <w:rsid w:val="5F1849E5"/>
    <w:rsid w:val="5F365D96"/>
    <w:rsid w:val="5F92436A"/>
    <w:rsid w:val="60A6372F"/>
    <w:rsid w:val="60A94A40"/>
    <w:rsid w:val="60C346C6"/>
    <w:rsid w:val="60C73328"/>
    <w:rsid w:val="61141727"/>
    <w:rsid w:val="61D41829"/>
    <w:rsid w:val="61EE2027"/>
    <w:rsid w:val="625E1FC6"/>
    <w:rsid w:val="62B1554A"/>
    <w:rsid w:val="62EB763E"/>
    <w:rsid w:val="630048F7"/>
    <w:rsid w:val="63215DB8"/>
    <w:rsid w:val="632757F0"/>
    <w:rsid w:val="633E47F1"/>
    <w:rsid w:val="634525D5"/>
    <w:rsid w:val="63B77B8E"/>
    <w:rsid w:val="645079A9"/>
    <w:rsid w:val="64BE130D"/>
    <w:rsid w:val="650417B4"/>
    <w:rsid w:val="650A4AEB"/>
    <w:rsid w:val="656E2D6F"/>
    <w:rsid w:val="658F3B57"/>
    <w:rsid w:val="661105A8"/>
    <w:rsid w:val="666E595E"/>
    <w:rsid w:val="667C184F"/>
    <w:rsid w:val="668F7750"/>
    <w:rsid w:val="67224EF6"/>
    <w:rsid w:val="67907B2C"/>
    <w:rsid w:val="67FA2386"/>
    <w:rsid w:val="6849484D"/>
    <w:rsid w:val="6878082B"/>
    <w:rsid w:val="68F10571"/>
    <w:rsid w:val="692B0CE1"/>
    <w:rsid w:val="69F63A40"/>
    <w:rsid w:val="6A160FCF"/>
    <w:rsid w:val="6A296146"/>
    <w:rsid w:val="6A601EDE"/>
    <w:rsid w:val="6A8F72B9"/>
    <w:rsid w:val="6AAB7F50"/>
    <w:rsid w:val="6AE05D7A"/>
    <w:rsid w:val="6AF20FCD"/>
    <w:rsid w:val="6BB46349"/>
    <w:rsid w:val="6BDF5356"/>
    <w:rsid w:val="6C285D9C"/>
    <w:rsid w:val="6C310293"/>
    <w:rsid w:val="6C5D7FE5"/>
    <w:rsid w:val="6C9E5D5C"/>
    <w:rsid w:val="6CC90D79"/>
    <w:rsid w:val="6D352759"/>
    <w:rsid w:val="6D407738"/>
    <w:rsid w:val="6D9956BA"/>
    <w:rsid w:val="6DD62D9A"/>
    <w:rsid w:val="6DD97399"/>
    <w:rsid w:val="6DFC351E"/>
    <w:rsid w:val="6E1B6D1C"/>
    <w:rsid w:val="6E625129"/>
    <w:rsid w:val="6EA16987"/>
    <w:rsid w:val="6F484143"/>
    <w:rsid w:val="6F574271"/>
    <w:rsid w:val="6F626ABC"/>
    <w:rsid w:val="6F750F26"/>
    <w:rsid w:val="6F7B72E9"/>
    <w:rsid w:val="6F8445D4"/>
    <w:rsid w:val="6F8D5C1A"/>
    <w:rsid w:val="6F8E342E"/>
    <w:rsid w:val="6FA8133A"/>
    <w:rsid w:val="6FD27139"/>
    <w:rsid w:val="6FF12841"/>
    <w:rsid w:val="70086198"/>
    <w:rsid w:val="703A6478"/>
    <w:rsid w:val="705D337D"/>
    <w:rsid w:val="70822EF1"/>
    <w:rsid w:val="70CD2B48"/>
    <w:rsid w:val="71126EE7"/>
    <w:rsid w:val="711F2F6E"/>
    <w:rsid w:val="71284CC5"/>
    <w:rsid w:val="715E5BE8"/>
    <w:rsid w:val="71654E27"/>
    <w:rsid w:val="719E73CE"/>
    <w:rsid w:val="71A02A13"/>
    <w:rsid w:val="71A67164"/>
    <w:rsid w:val="71F6500C"/>
    <w:rsid w:val="71FD0107"/>
    <w:rsid w:val="72851954"/>
    <w:rsid w:val="72A97CC2"/>
    <w:rsid w:val="72AB1549"/>
    <w:rsid w:val="737E24ED"/>
    <w:rsid w:val="73986296"/>
    <w:rsid w:val="73D72776"/>
    <w:rsid w:val="742025C2"/>
    <w:rsid w:val="74203020"/>
    <w:rsid w:val="74F11F08"/>
    <w:rsid w:val="757C043C"/>
    <w:rsid w:val="76134845"/>
    <w:rsid w:val="76236D07"/>
    <w:rsid w:val="762E4008"/>
    <w:rsid w:val="763922F4"/>
    <w:rsid w:val="774B075C"/>
    <w:rsid w:val="77896DD2"/>
    <w:rsid w:val="782A7F03"/>
    <w:rsid w:val="7841648A"/>
    <w:rsid w:val="78966177"/>
    <w:rsid w:val="78B95140"/>
    <w:rsid w:val="79616DC4"/>
    <w:rsid w:val="79E820BE"/>
    <w:rsid w:val="7A3A404A"/>
    <w:rsid w:val="7A862644"/>
    <w:rsid w:val="7A894083"/>
    <w:rsid w:val="7AAC2154"/>
    <w:rsid w:val="7B4128F5"/>
    <w:rsid w:val="7B681A01"/>
    <w:rsid w:val="7B86410F"/>
    <w:rsid w:val="7BD3539E"/>
    <w:rsid w:val="7C47478B"/>
    <w:rsid w:val="7C7D6ABA"/>
    <w:rsid w:val="7CB137EB"/>
    <w:rsid w:val="7CB42860"/>
    <w:rsid w:val="7CE63D38"/>
    <w:rsid w:val="7D021F92"/>
    <w:rsid w:val="7D9B726B"/>
    <w:rsid w:val="7E0B4B18"/>
    <w:rsid w:val="7E235C52"/>
    <w:rsid w:val="7E6E2E4D"/>
    <w:rsid w:val="7EBE6F11"/>
    <w:rsid w:val="7EC40A46"/>
    <w:rsid w:val="7EE30DF1"/>
    <w:rsid w:val="7F833D8D"/>
    <w:rsid w:val="7F835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8"/>
    <w:qFormat/>
    <w:uiPriority w:val="0"/>
    <w:pPr>
      <w:keepNext/>
      <w:keepLines/>
      <w:autoSpaceDE w:val="0"/>
      <w:autoSpaceDN w:val="0"/>
      <w:adjustRightInd w:val="0"/>
      <w:spacing w:line="360" w:lineRule="auto"/>
      <w:ind w:firstLine="3453" w:firstLineChars="1150"/>
      <w:jc w:val="left"/>
      <w:outlineLvl w:val="2"/>
    </w:pPr>
    <w:rPr>
      <w:rFonts w:ascii="宋体" w:hAnsi="宋体"/>
      <w:b/>
      <w:kern w:val="0"/>
      <w:sz w:val="30"/>
      <w:szCs w:val="30"/>
      <w:shd w:val="clear" w:color="auto" w:fill="FFFFFF"/>
    </w:rPr>
  </w:style>
  <w:style w:type="paragraph" w:styleId="7">
    <w:name w:val="heading 4"/>
    <w:basedOn w:val="1"/>
    <w:next w:val="1"/>
    <w:link w:val="192"/>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link w:val="193"/>
    <w:qFormat/>
    <w:uiPriority w:val="0"/>
    <w:pPr>
      <w:keepNext/>
      <w:keepLines/>
      <w:spacing w:before="280" w:after="290" w:line="372" w:lineRule="auto"/>
      <w:outlineLvl w:val="4"/>
    </w:pPr>
    <w:rPr>
      <w:rFonts w:ascii="Calibri" w:hAnsi="Calibri"/>
      <w:b/>
      <w:sz w:val="28"/>
    </w:rPr>
  </w:style>
  <w:style w:type="paragraph" w:styleId="9">
    <w:name w:val="heading 6"/>
    <w:basedOn w:val="1"/>
    <w:next w:val="1"/>
    <w:link w:val="19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rFonts w:ascii="Calibri" w:hAnsi="Calibri"/>
      <w:szCs w:val="20"/>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10">
    <w:name w:val="toc 7"/>
    <w:basedOn w:val="1"/>
    <w:next w:val="1"/>
    <w:qFormat/>
    <w:uiPriority w:val="39"/>
    <w:pPr>
      <w:ind w:left="2520" w:leftChars="1200"/>
    </w:pPr>
  </w:style>
  <w:style w:type="paragraph" w:styleId="11">
    <w:name w:val="Document Map"/>
    <w:basedOn w:val="1"/>
    <w:link w:val="59"/>
    <w:qFormat/>
    <w:uiPriority w:val="0"/>
    <w:rPr>
      <w:rFonts w:ascii="宋体"/>
      <w:sz w:val="18"/>
      <w:szCs w:val="18"/>
    </w:rPr>
  </w:style>
  <w:style w:type="paragraph" w:styleId="12">
    <w:name w:val="annotation text"/>
    <w:basedOn w:val="1"/>
    <w:link w:val="60"/>
    <w:qFormat/>
    <w:uiPriority w:val="99"/>
    <w:pPr>
      <w:jc w:val="left"/>
    </w:pPr>
  </w:style>
  <w:style w:type="paragraph" w:styleId="13">
    <w:name w:val="Body Text"/>
    <w:basedOn w:val="1"/>
    <w:link w:val="55"/>
    <w:qFormat/>
    <w:uiPriority w:val="0"/>
    <w:pPr>
      <w:tabs>
        <w:tab w:val="left" w:pos="567"/>
      </w:tabs>
      <w:spacing w:before="120" w:line="22" w:lineRule="atLeast"/>
    </w:pPr>
    <w:rPr>
      <w:rFonts w:ascii="宋体" w:hAnsi="宋体"/>
      <w:sz w:val="24"/>
    </w:rPr>
  </w:style>
  <w:style w:type="paragraph" w:styleId="14">
    <w:name w:val="Body Text Indent"/>
    <w:basedOn w:val="1"/>
    <w:link w:val="208"/>
    <w:qFormat/>
    <w:uiPriority w:val="0"/>
    <w:pPr>
      <w:spacing w:line="360" w:lineRule="auto"/>
      <w:ind w:firstLine="570"/>
    </w:pPr>
    <w:rPr>
      <w:sz w:val="24"/>
    </w:rPr>
  </w:style>
  <w:style w:type="paragraph" w:styleId="15">
    <w:name w:val="HTML Address"/>
    <w:basedOn w:val="1"/>
    <w:link w:val="194"/>
    <w:qFormat/>
    <w:uiPriority w:val="0"/>
    <w:rPr>
      <w:rFonts w:ascii="Calibri" w:hAnsi="Calibri"/>
      <w:i/>
    </w:rPr>
  </w:style>
  <w:style w:type="paragraph" w:styleId="16">
    <w:name w:val="toc 5"/>
    <w:basedOn w:val="1"/>
    <w:next w:val="1"/>
    <w:qFormat/>
    <w:uiPriority w:val="39"/>
    <w:pPr>
      <w:ind w:left="1680" w:leftChars="800"/>
    </w:p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link w:val="61"/>
    <w:qFormat/>
    <w:uiPriority w:val="0"/>
    <w:rPr>
      <w:rFonts w:ascii="宋体" w:hAnsi="Courier New"/>
      <w:szCs w:val="20"/>
    </w:rPr>
  </w:style>
  <w:style w:type="paragraph" w:styleId="19">
    <w:name w:val="toc 8"/>
    <w:basedOn w:val="1"/>
    <w:next w:val="1"/>
    <w:qFormat/>
    <w:uiPriority w:val="39"/>
    <w:pPr>
      <w:ind w:left="2940" w:leftChars="1400"/>
    </w:pPr>
  </w:style>
  <w:style w:type="paragraph" w:styleId="20">
    <w:name w:val="Date"/>
    <w:basedOn w:val="1"/>
    <w:next w:val="1"/>
    <w:link w:val="62"/>
    <w:qFormat/>
    <w:uiPriority w:val="0"/>
    <w:pPr>
      <w:ind w:left="100" w:leftChars="2500"/>
    </w:pPr>
    <w:rPr>
      <w:rFonts w:ascii="仿宋_GB2312" w:hAnsi="宋体" w:eastAsia="仿宋_GB2312"/>
      <w:color w:val="000000"/>
      <w:sz w:val="24"/>
    </w:rPr>
  </w:style>
  <w:style w:type="paragraph" w:styleId="21">
    <w:name w:val="Body Text Indent 2"/>
    <w:basedOn w:val="1"/>
    <w:qFormat/>
    <w:uiPriority w:val="0"/>
    <w:pPr>
      <w:ind w:firstLine="480" w:firstLineChars="200"/>
    </w:pPr>
    <w:rPr>
      <w:rFonts w:ascii="仿宋_GB2312" w:eastAsia="仿宋_GB2312"/>
      <w:sz w:val="24"/>
    </w:rPr>
  </w:style>
  <w:style w:type="paragraph" w:styleId="22">
    <w:name w:val="Balloon Text"/>
    <w:basedOn w:val="1"/>
    <w:link w:val="63"/>
    <w:qFormat/>
    <w:uiPriority w:val="0"/>
    <w:rPr>
      <w:sz w:val="18"/>
      <w:szCs w:val="18"/>
    </w:rPr>
  </w:style>
  <w:style w:type="paragraph" w:styleId="23">
    <w:name w:val="footer"/>
    <w:basedOn w:val="1"/>
    <w:link w:val="64"/>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link w:val="213"/>
    <w:semiHidden/>
    <w:unhideWhenUsed/>
    <w:qFormat/>
    <w:uiPriority w:val="0"/>
    <w:pPr>
      <w:spacing w:after="120" w:line="480" w:lineRule="auto"/>
    </w:p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semiHidden/>
    <w:qFormat/>
    <w:uiPriority w:val="0"/>
    <w:rPr>
      <w:szCs w:val="20"/>
    </w:rPr>
  </w:style>
  <w:style w:type="paragraph" w:styleId="34">
    <w:name w:val="Title"/>
    <w:basedOn w:val="1"/>
    <w:next w:val="1"/>
    <w:link w:val="66"/>
    <w:qFormat/>
    <w:uiPriority w:val="0"/>
    <w:pPr>
      <w:spacing w:before="240" w:after="60"/>
      <w:jc w:val="center"/>
      <w:outlineLvl w:val="0"/>
    </w:pPr>
    <w:rPr>
      <w:rFonts w:ascii="Cambria" w:hAnsi="Cambria"/>
      <w:b/>
      <w:bCs/>
      <w:sz w:val="32"/>
      <w:szCs w:val="32"/>
    </w:rPr>
  </w:style>
  <w:style w:type="paragraph" w:styleId="35">
    <w:name w:val="annotation subject"/>
    <w:basedOn w:val="12"/>
    <w:next w:val="12"/>
    <w:link w:val="67"/>
    <w:qFormat/>
    <w:uiPriority w:val="0"/>
    <w:rPr>
      <w:b/>
      <w:bCs/>
    </w:rPr>
  </w:style>
  <w:style w:type="paragraph" w:styleId="36">
    <w:name w:val="Body Text First Indent 2"/>
    <w:basedOn w:val="14"/>
    <w:link w:val="209"/>
    <w:unhideWhenUsed/>
    <w:qFormat/>
    <w:uiPriority w:val="0"/>
    <w:pPr>
      <w:spacing w:after="120" w:line="240" w:lineRule="auto"/>
      <w:ind w:left="420" w:leftChars="200" w:firstLine="420" w:firstLineChars="200"/>
    </w:pPr>
    <w:rPr>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qFormat/>
    <w:uiPriority w:val="0"/>
  </w:style>
  <w:style w:type="character" w:styleId="42">
    <w:name w:val="FollowedHyperlink"/>
    <w:qFormat/>
    <w:uiPriority w:val="0"/>
    <w:rPr>
      <w:color w:val="000000"/>
      <w:u w:val="none"/>
    </w:rPr>
  </w:style>
  <w:style w:type="character" w:styleId="43">
    <w:name w:val="Emphasis"/>
    <w:qFormat/>
    <w:uiPriority w:val="0"/>
  </w:style>
  <w:style w:type="character" w:styleId="44">
    <w:name w:val="HTML Definition"/>
    <w:qFormat/>
    <w:uiPriority w:val="0"/>
    <w:rPr>
      <w:i/>
      <w:iCs/>
    </w:rPr>
  </w:style>
  <w:style w:type="character" w:styleId="45">
    <w:name w:val="HTML Acronym"/>
    <w:qFormat/>
    <w:uiPriority w:val="0"/>
  </w:style>
  <w:style w:type="character" w:styleId="46">
    <w:name w:val="HTML Variable"/>
    <w:qFormat/>
    <w:uiPriority w:val="0"/>
  </w:style>
  <w:style w:type="character" w:styleId="47">
    <w:name w:val="Hyperlink"/>
    <w:qFormat/>
    <w:uiPriority w:val="99"/>
    <w:rPr>
      <w:color w:val="000000"/>
      <w:u w:val="none"/>
    </w:rPr>
  </w:style>
  <w:style w:type="character" w:styleId="48">
    <w:name w:val="HTML Code"/>
    <w:qFormat/>
    <w:uiPriority w:val="0"/>
    <w:rPr>
      <w:rFonts w:hint="default" w:ascii="Consolas" w:hAnsi="Consolas" w:eastAsia="Consolas" w:cs="Consolas"/>
      <w:color w:val="C7254E"/>
      <w:sz w:val="21"/>
      <w:szCs w:val="21"/>
      <w:shd w:val="clear" w:color="auto" w:fill="F9F2F4"/>
    </w:rPr>
  </w:style>
  <w:style w:type="character" w:styleId="49">
    <w:name w:val="annotation reference"/>
    <w:qFormat/>
    <w:uiPriority w:val="99"/>
    <w:rPr>
      <w:sz w:val="21"/>
      <w:szCs w:val="21"/>
    </w:rPr>
  </w:style>
  <w:style w:type="character" w:styleId="50">
    <w:name w:val="HTML Cite"/>
    <w:qFormat/>
    <w:uiPriority w:val="0"/>
  </w:style>
  <w:style w:type="character" w:styleId="51">
    <w:name w:val="HTML Keyboard"/>
    <w:qFormat/>
    <w:uiPriority w:val="0"/>
    <w:rPr>
      <w:rFonts w:hint="default" w:ascii="Consolas" w:hAnsi="Consolas" w:eastAsia="Consolas" w:cs="Consolas"/>
      <w:color w:val="FFFFFF"/>
      <w:sz w:val="21"/>
      <w:szCs w:val="21"/>
      <w:shd w:val="clear" w:color="auto" w:fill="333333"/>
    </w:rPr>
  </w:style>
  <w:style w:type="character" w:styleId="52">
    <w:name w:val="HTML Sample"/>
    <w:qFormat/>
    <w:uiPriority w:val="0"/>
    <w:rPr>
      <w:rFonts w:ascii="Consolas" w:hAnsi="Consolas" w:eastAsia="Consolas" w:cs="Consolas"/>
      <w:sz w:val="21"/>
      <w:szCs w:val="21"/>
    </w:rPr>
  </w:style>
  <w:style w:type="character" w:customStyle="1" w:styleId="53">
    <w:name w:val="标题 2 字符"/>
    <w:qFormat/>
    <w:uiPriority w:val="0"/>
    <w:rPr>
      <w:rFonts w:ascii="Arial" w:hAnsi="Arial" w:eastAsia="黑体"/>
      <w:b/>
      <w:sz w:val="30"/>
    </w:rPr>
  </w:style>
  <w:style w:type="character" w:customStyle="1" w:styleId="54">
    <w:name w:val="标题 3 字符"/>
    <w:qFormat/>
    <w:uiPriority w:val="0"/>
    <w:rPr>
      <w:rFonts w:ascii="宋体"/>
      <w:b/>
      <w:sz w:val="24"/>
      <w:u w:val="single"/>
    </w:rPr>
  </w:style>
  <w:style w:type="character" w:customStyle="1" w:styleId="55">
    <w:name w:val="正文文本 Char"/>
    <w:link w:val="13"/>
    <w:qFormat/>
    <w:uiPriority w:val="0"/>
    <w:rPr>
      <w:rFonts w:ascii="宋体" w:hAnsi="宋体"/>
      <w:kern w:val="2"/>
      <w:sz w:val="24"/>
      <w:szCs w:val="24"/>
    </w:rPr>
  </w:style>
  <w:style w:type="character" w:customStyle="1" w:styleId="56">
    <w:name w:val="标题 1 Char"/>
    <w:link w:val="3"/>
    <w:qFormat/>
    <w:uiPriority w:val="0"/>
    <w:rPr>
      <w:rFonts w:ascii="宋体"/>
      <w:b/>
      <w:kern w:val="44"/>
      <w:sz w:val="32"/>
    </w:rPr>
  </w:style>
  <w:style w:type="character" w:customStyle="1" w:styleId="57">
    <w:name w:val="标题 2 Char1"/>
    <w:link w:val="4"/>
    <w:qFormat/>
    <w:uiPriority w:val="0"/>
    <w:rPr>
      <w:rFonts w:ascii="Arial" w:hAnsi="Arial" w:eastAsia="黑体"/>
      <w:b/>
      <w:sz w:val="30"/>
    </w:rPr>
  </w:style>
  <w:style w:type="character" w:customStyle="1" w:styleId="58">
    <w:name w:val="标题 3 Char1"/>
    <w:link w:val="6"/>
    <w:qFormat/>
    <w:uiPriority w:val="0"/>
    <w:rPr>
      <w:rFonts w:ascii="宋体" w:hAnsi="宋体"/>
      <w:b/>
      <w:sz w:val="30"/>
      <w:szCs w:val="30"/>
    </w:rPr>
  </w:style>
  <w:style w:type="character" w:customStyle="1" w:styleId="59">
    <w:name w:val="文档结构图 Char"/>
    <w:link w:val="11"/>
    <w:qFormat/>
    <w:uiPriority w:val="0"/>
    <w:rPr>
      <w:rFonts w:ascii="宋体"/>
      <w:kern w:val="2"/>
      <w:sz w:val="18"/>
      <w:szCs w:val="18"/>
    </w:rPr>
  </w:style>
  <w:style w:type="character" w:customStyle="1" w:styleId="60">
    <w:name w:val="批注文字 Char"/>
    <w:link w:val="12"/>
    <w:qFormat/>
    <w:uiPriority w:val="99"/>
    <w:rPr>
      <w:kern w:val="2"/>
      <w:sz w:val="21"/>
      <w:szCs w:val="24"/>
    </w:rPr>
  </w:style>
  <w:style w:type="character" w:customStyle="1" w:styleId="61">
    <w:name w:val="纯文本 Char2"/>
    <w:link w:val="18"/>
    <w:qFormat/>
    <w:uiPriority w:val="0"/>
    <w:rPr>
      <w:rFonts w:ascii="宋体" w:hAnsi="Courier New"/>
      <w:kern w:val="2"/>
      <w:sz w:val="21"/>
    </w:rPr>
  </w:style>
  <w:style w:type="character" w:customStyle="1" w:styleId="62">
    <w:name w:val="日期 Char"/>
    <w:link w:val="20"/>
    <w:qFormat/>
    <w:uiPriority w:val="0"/>
    <w:rPr>
      <w:rFonts w:ascii="仿宋_GB2312" w:hAnsi="宋体" w:eastAsia="仿宋_GB2312"/>
      <w:color w:val="000000"/>
      <w:kern w:val="2"/>
      <w:sz w:val="24"/>
      <w:szCs w:val="24"/>
    </w:rPr>
  </w:style>
  <w:style w:type="character" w:customStyle="1" w:styleId="63">
    <w:name w:val="批注框文本 Char"/>
    <w:link w:val="22"/>
    <w:qFormat/>
    <w:uiPriority w:val="0"/>
    <w:rPr>
      <w:kern w:val="2"/>
      <w:sz w:val="18"/>
      <w:szCs w:val="18"/>
    </w:rPr>
  </w:style>
  <w:style w:type="character" w:customStyle="1" w:styleId="64">
    <w:name w:val="页脚 Char1"/>
    <w:link w:val="23"/>
    <w:qFormat/>
    <w:uiPriority w:val="99"/>
    <w:rPr>
      <w:rFonts w:ascii="宋体"/>
      <w:sz w:val="18"/>
    </w:rPr>
  </w:style>
  <w:style w:type="character" w:customStyle="1" w:styleId="65">
    <w:name w:val="页眉 Char"/>
    <w:link w:val="24"/>
    <w:qFormat/>
    <w:uiPriority w:val="0"/>
    <w:rPr>
      <w:kern w:val="2"/>
      <w:sz w:val="18"/>
      <w:szCs w:val="18"/>
    </w:rPr>
  </w:style>
  <w:style w:type="character" w:customStyle="1" w:styleId="66">
    <w:name w:val="标题 Char"/>
    <w:link w:val="34"/>
    <w:qFormat/>
    <w:uiPriority w:val="0"/>
    <w:rPr>
      <w:rFonts w:ascii="Cambria" w:hAnsi="Cambria" w:cs="Times New Roman"/>
      <w:b/>
      <w:bCs/>
      <w:kern w:val="2"/>
      <w:sz w:val="32"/>
      <w:szCs w:val="32"/>
    </w:rPr>
  </w:style>
  <w:style w:type="character" w:customStyle="1" w:styleId="67">
    <w:name w:val="批注主题 Char"/>
    <w:link w:val="35"/>
    <w:qFormat/>
    <w:uiPriority w:val="0"/>
    <w:rPr>
      <w:b/>
      <w:bCs/>
      <w:kern w:val="2"/>
      <w:sz w:val="21"/>
      <w:szCs w:val="24"/>
    </w:rPr>
  </w:style>
  <w:style w:type="character" w:customStyle="1" w:styleId="68">
    <w:name w:val="批注文字 Char1"/>
    <w:semiHidden/>
    <w:qFormat/>
    <w:uiPriority w:val="99"/>
    <w:rPr>
      <w:kern w:val="2"/>
      <w:sz w:val="21"/>
      <w:szCs w:val="24"/>
    </w:rPr>
  </w:style>
  <w:style w:type="character" w:customStyle="1" w:styleId="69">
    <w:name w:val="正文文本 字符"/>
    <w:qFormat/>
    <w:uiPriority w:val="0"/>
    <w:rPr>
      <w:rFonts w:ascii="宋体" w:hAnsi="宋体"/>
      <w:kern w:val="2"/>
      <w:sz w:val="24"/>
      <w:szCs w:val="24"/>
    </w:rPr>
  </w:style>
  <w:style w:type="character" w:customStyle="1" w:styleId="70">
    <w:name w:val="正文缩进 Char1"/>
    <w:link w:val="71"/>
    <w:qFormat/>
    <w:uiPriority w:val="0"/>
    <w:rPr>
      <w:rFonts w:ascii="宋体"/>
      <w:sz w:val="24"/>
    </w:rPr>
  </w:style>
  <w:style w:type="paragraph" w:customStyle="1" w:styleId="71">
    <w:name w:val="正文缩进1"/>
    <w:basedOn w:val="1"/>
    <w:link w:val="70"/>
    <w:qFormat/>
    <w:uiPriority w:val="0"/>
    <w:pPr>
      <w:autoSpaceDE w:val="0"/>
      <w:autoSpaceDN w:val="0"/>
      <w:adjustRightInd w:val="0"/>
      <w:ind w:firstLine="420"/>
      <w:jc w:val="left"/>
    </w:pPr>
    <w:rPr>
      <w:rFonts w:ascii="宋体"/>
      <w:kern w:val="0"/>
      <w:sz w:val="24"/>
      <w:szCs w:val="20"/>
    </w:rPr>
  </w:style>
  <w:style w:type="character" w:customStyle="1" w:styleId="72">
    <w:name w:val="批注主题 Char1"/>
    <w:semiHidden/>
    <w:qFormat/>
    <w:uiPriority w:val="99"/>
    <w:rPr>
      <w:b/>
      <w:bCs/>
      <w:kern w:val="2"/>
      <w:sz w:val="21"/>
      <w:szCs w:val="24"/>
    </w:rPr>
  </w:style>
  <w:style w:type="character" w:customStyle="1" w:styleId="73">
    <w:name w:val="纯文本 Char1"/>
    <w:link w:val="74"/>
    <w:qFormat/>
    <w:uiPriority w:val="0"/>
    <w:rPr>
      <w:rFonts w:ascii="宋体" w:hAnsi="Courier New"/>
    </w:rPr>
  </w:style>
  <w:style w:type="paragraph" w:customStyle="1" w:styleId="74">
    <w:name w:val="纯文本1"/>
    <w:basedOn w:val="1"/>
    <w:link w:val="73"/>
    <w:qFormat/>
    <w:uiPriority w:val="0"/>
    <w:rPr>
      <w:rFonts w:ascii="宋体" w:hAnsi="Courier New"/>
      <w:kern w:val="0"/>
      <w:sz w:val="20"/>
      <w:szCs w:val="20"/>
    </w:rPr>
  </w:style>
  <w:style w:type="character" w:customStyle="1" w:styleId="75">
    <w:name w:val="批注框文本 Char1"/>
    <w:semiHidden/>
    <w:qFormat/>
    <w:uiPriority w:val="99"/>
    <w:rPr>
      <w:kern w:val="2"/>
      <w:sz w:val="18"/>
      <w:szCs w:val="18"/>
    </w:rPr>
  </w:style>
  <w:style w:type="character" w:customStyle="1" w:styleId="76">
    <w:name w:val="纯文本 字符"/>
    <w:qFormat/>
    <w:uiPriority w:val="0"/>
    <w:rPr>
      <w:rFonts w:ascii="宋体" w:hAnsi="Courier New"/>
      <w:kern w:val="2"/>
      <w:sz w:val="21"/>
    </w:rPr>
  </w:style>
  <w:style w:type="character" w:customStyle="1" w:styleId="77">
    <w:name w:val="页眉 Char1"/>
    <w:semiHidden/>
    <w:qFormat/>
    <w:uiPriority w:val="99"/>
    <w:rPr>
      <w:kern w:val="2"/>
      <w:sz w:val="18"/>
      <w:szCs w:val="18"/>
    </w:rPr>
  </w:style>
  <w:style w:type="paragraph" w:customStyle="1" w:styleId="78">
    <w:name w:val="图"/>
    <w:basedOn w:val="1"/>
    <w:next w:val="1"/>
    <w:qFormat/>
    <w:uiPriority w:val="0"/>
    <w:pPr>
      <w:tabs>
        <w:tab w:val="left" w:pos="1755"/>
        <w:tab w:val="left" w:pos="3134"/>
        <w:tab w:val="left" w:pos="4834"/>
      </w:tabs>
      <w:adjustRightInd w:val="0"/>
      <w:spacing w:before="60" w:after="60" w:line="360" w:lineRule="atLeast"/>
      <w:ind w:left="4834" w:hanging="1290"/>
      <w:jc w:val="center"/>
      <w:textAlignment w:val="baseline"/>
    </w:pPr>
    <w:rPr>
      <w:rFonts w:eastAsia="黑体"/>
      <w:b/>
      <w:kern w:val="0"/>
      <w:sz w:val="24"/>
      <w:szCs w:val="20"/>
    </w:rPr>
  </w:style>
  <w:style w:type="paragraph" w:customStyle="1" w:styleId="79">
    <w:name w:val="索引 11"/>
    <w:basedOn w:val="1"/>
    <w:next w:val="1"/>
    <w:qFormat/>
    <w:uiPriority w:val="0"/>
    <w:pPr>
      <w:spacing w:line="360" w:lineRule="auto"/>
    </w:pPr>
    <w:rPr>
      <w:rFonts w:ascii="仿宋_GB2312" w:eastAsia="仿宋_GB2312"/>
      <w:sz w:val="24"/>
      <w:szCs w:val="20"/>
    </w:rPr>
  </w:style>
  <w:style w:type="paragraph" w:customStyle="1" w:styleId="80">
    <w:name w:val="TOC 标题1"/>
    <w:basedOn w:val="3"/>
    <w:next w:val="1"/>
    <w:qFormat/>
    <w:uiPriority w:val="39"/>
    <w:pPr>
      <w:widowControl/>
      <w:autoSpaceDE/>
      <w:autoSpaceDN/>
      <w:adjustRightInd/>
      <w:spacing w:after="0" w:line="259" w:lineRule="auto"/>
      <w:jc w:val="left"/>
      <w:outlineLvl w:val="9"/>
    </w:pPr>
    <w:rPr>
      <w:rFonts w:ascii="等线 Light" w:hAnsi="等线 Light" w:eastAsia="等线 Light"/>
      <w:b w:val="0"/>
      <w:color w:val="2F5496"/>
      <w:kern w:val="0"/>
      <w:szCs w:val="32"/>
    </w:rPr>
  </w:style>
  <w:style w:type="paragraph" w:customStyle="1" w:styleId="81">
    <w:name w:val="title1"/>
    <w:basedOn w:val="1"/>
    <w:qFormat/>
    <w:uiPriority w:val="0"/>
    <w:pPr>
      <w:widowControl/>
      <w:jc w:val="left"/>
    </w:pPr>
    <w:rPr>
      <w:rFonts w:ascii="宋体" w:hAnsi="宋体" w:cs="宋体"/>
      <w:kern w:val="0"/>
      <w:sz w:val="24"/>
    </w:rPr>
  </w:style>
  <w:style w:type="paragraph" w:customStyle="1" w:styleId="82">
    <w:name w:val="Char"/>
    <w:basedOn w:val="1"/>
    <w:qFormat/>
    <w:uiPriority w:val="0"/>
    <w:pPr>
      <w:tabs>
        <w:tab w:val="left" w:pos="360"/>
      </w:tabs>
    </w:pPr>
    <w:rPr>
      <w:sz w:val="24"/>
    </w:rPr>
  </w:style>
  <w:style w:type="paragraph" w:styleId="83">
    <w:name w:val="List Paragraph"/>
    <w:basedOn w:val="1"/>
    <w:link w:val="211"/>
    <w:qFormat/>
    <w:uiPriority w:val="34"/>
    <w:pPr>
      <w:widowControl/>
      <w:ind w:firstLine="420" w:firstLineChars="200"/>
      <w:jc w:val="left"/>
    </w:pPr>
    <w:rPr>
      <w:kern w:val="0"/>
      <w:sz w:val="24"/>
    </w:rPr>
  </w:style>
  <w:style w:type="character" w:customStyle="1" w:styleId="84">
    <w:name w:val="next"/>
    <w:qFormat/>
    <w:uiPriority w:val="0"/>
    <w:rPr>
      <w:rFonts w:ascii="微软雅黑" w:hAnsi="微软雅黑" w:eastAsia="微软雅黑" w:cs="微软雅黑"/>
      <w:sz w:val="21"/>
      <w:szCs w:val="21"/>
    </w:rPr>
  </w:style>
  <w:style w:type="character" w:customStyle="1" w:styleId="85">
    <w:name w:val="next1"/>
    <w:qFormat/>
    <w:uiPriority w:val="0"/>
    <w:rPr>
      <w:color w:val="888888"/>
    </w:rPr>
  </w:style>
  <w:style w:type="character" w:customStyle="1" w:styleId="86">
    <w:name w:val="prev"/>
    <w:qFormat/>
    <w:uiPriority w:val="0"/>
    <w:rPr>
      <w:rFonts w:hint="eastAsia" w:ascii="微软雅黑" w:hAnsi="微软雅黑" w:eastAsia="微软雅黑" w:cs="微软雅黑"/>
      <w:sz w:val="21"/>
      <w:szCs w:val="21"/>
    </w:rPr>
  </w:style>
  <w:style w:type="character" w:customStyle="1" w:styleId="87">
    <w:name w:val="prev1"/>
    <w:qFormat/>
    <w:uiPriority w:val="0"/>
    <w:rPr>
      <w:color w:val="888888"/>
    </w:rPr>
  </w:style>
  <w:style w:type="character" w:customStyle="1" w:styleId="88">
    <w:name w:val="cfdate"/>
    <w:qFormat/>
    <w:uiPriority w:val="0"/>
    <w:rPr>
      <w:color w:val="333333"/>
      <w:sz w:val="18"/>
      <w:szCs w:val="18"/>
    </w:rPr>
  </w:style>
  <w:style w:type="character" w:customStyle="1" w:styleId="89">
    <w:name w:val="qxdate"/>
    <w:qFormat/>
    <w:uiPriority w:val="0"/>
    <w:rPr>
      <w:color w:val="333333"/>
      <w:sz w:val="18"/>
      <w:szCs w:val="18"/>
    </w:rPr>
  </w:style>
  <w:style w:type="character" w:customStyle="1" w:styleId="90">
    <w:name w:val="gjfg"/>
    <w:qFormat/>
    <w:uiPriority w:val="0"/>
  </w:style>
  <w:style w:type="character" w:customStyle="1" w:styleId="91">
    <w:name w:val="redfilefwwh"/>
    <w:qFormat/>
    <w:uiPriority w:val="0"/>
    <w:rPr>
      <w:color w:val="BA2636"/>
      <w:sz w:val="18"/>
      <w:szCs w:val="18"/>
    </w:rPr>
  </w:style>
  <w:style w:type="character" w:customStyle="1" w:styleId="92">
    <w:name w:val="displayarti"/>
    <w:qFormat/>
    <w:uiPriority w:val="0"/>
    <w:rPr>
      <w:color w:val="FFFFFF"/>
      <w:shd w:val="clear" w:color="auto" w:fill="A00000"/>
    </w:rPr>
  </w:style>
  <w:style w:type="character" w:customStyle="1" w:styleId="93">
    <w:name w:val="redfilenumber"/>
    <w:qFormat/>
    <w:uiPriority w:val="0"/>
    <w:rPr>
      <w:color w:val="BA2636"/>
      <w:sz w:val="18"/>
      <w:szCs w:val="18"/>
    </w:rPr>
  </w:style>
  <w:style w:type="character" w:customStyle="1" w:styleId="94">
    <w:name w:val="prev2"/>
    <w:qFormat/>
    <w:uiPriority w:val="0"/>
    <w:rPr>
      <w:rFonts w:hint="eastAsia" w:ascii="微软雅黑" w:hAnsi="微软雅黑" w:eastAsia="微软雅黑" w:cs="微软雅黑"/>
      <w:sz w:val="21"/>
      <w:szCs w:val="21"/>
    </w:rPr>
  </w:style>
  <w:style w:type="character" w:customStyle="1" w:styleId="95">
    <w:name w:val="prev3"/>
    <w:qFormat/>
    <w:uiPriority w:val="0"/>
    <w:rPr>
      <w:color w:val="888888"/>
    </w:rPr>
  </w:style>
  <w:style w:type="character" w:customStyle="1" w:styleId="96">
    <w:name w:val="next2"/>
    <w:qFormat/>
    <w:uiPriority w:val="0"/>
    <w:rPr>
      <w:color w:val="888888"/>
    </w:rPr>
  </w:style>
  <w:style w:type="character" w:customStyle="1" w:styleId="97">
    <w:name w:val="nth-of-type(8)"/>
    <w:qFormat/>
    <w:uiPriority w:val="0"/>
  </w:style>
  <w:style w:type="character" w:customStyle="1" w:styleId="98">
    <w:name w:val="lineshow"/>
    <w:qFormat/>
    <w:uiPriority w:val="0"/>
  </w:style>
  <w:style w:type="character" w:customStyle="1" w:styleId="99">
    <w:name w:val="lineshow1"/>
    <w:qFormat/>
    <w:uiPriority w:val="0"/>
  </w:style>
  <w:style w:type="character" w:customStyle="1" w:styleId="100">
    <w:name w:val="layui-laypage-curr"/>
    <w:qFormat/>
    <w:uiPriority w:val="0"/>
  </w:style>
  <w:style w:type="character" w:customStyle="1" w:styleId="101">
    <w:name w:val="nth-of-type(1)"/>
    <w:qFormat/>
    <w:uiPriority w:val="0"/>
  </w:style>
  <w:style w:type="character" w:customStyle="1" w:styleId="102">
    <w:name w:val="nth-of-type(1)1"/>
    <w:qFormat/>
    <w:uiPriority w:val="0"/>
  </w:style>
  <w:style w:type="character" w:customStyle="1" w:styleId="103">
    <w:name w:val="nth-of-type(1)2"/>
    <w:qFormat/>
    <w:uiPriority w:val="0"/>
  </w:style>
  <w:style w:type="character" w:customStyle="1" w:styleId="104">
    <w:name w:val="nth-of-type(1)3"/>
    <w:qFormat/>
    <w:uiPriority w:val="0"/>
  </w:style>
  <w:style w:type="character" w:customStyle="1" w:styleId="105">
    <w:name w:val="nth-of-type(1)4"/>
    <w:qFormat/>
    <w:uiPriority w:val="0"/>
  </w:style>
  <w:style w:type="character" w:customStyle="1" w:styleId="106">
    <w:name w:val="nth-of-type(1)5"/>
    <w:qFormat/>
    <w:uiPriority w:val="0"/>
  </w:style>
  <w:style w:type="character" w:customStyle="1" w:styleId="107">
    <w:name w:val="nth-of-type(1)6"/>
    <w:qFormat/>
    <w:uiPriority w:val="0"/>
  </w:style>
  <w:style w:type="character" w:customStyle="1" w:styleId="108">
    <w:name w:val="nth-of-type(1)7"/>
    <w:qFormat/>
    <w:uiPriority w:val="0"/>
    <w:rPr>
      <w:sz w:val="21"/>
      <w:szCs w:val="21"/>
    </w:rPr>
  </w:style>
  <w:style w:type="character" w:customStyle="1" w:styleId="109">
    <w:name w:val="nth-of-type(1)8"/>
    <w:qFormat/>
    <w:uiPriority w:val="0"/>
  </w:style>
  <w:style w:type="character" w:customStyle="1" w:styleId="110">
    <w:name w:val="nth-of-type(1)9"/>
    <w:qFormat/>
    <w:uiPriority w:val="0"/>
  </w:style>
  <w:style w:type="character" w:customStyle="1" w:styleId="111">
    <w:name w:val="nth-of-type(1)10"/>
    <w:qFormat/>
    <w:uiPriority w:val="0"/>
    <w:rPr>
      <w:rFonts w:ascii="SourceHanSansCN-Regular" w:hAnsi="SourceHanSansCN-Regular" w:eastAsia="SourceHanSansCN-Regular" w:cs="SourceHanSansCN-Regular"/>
      <w:color w:val="FB560A"/>
      <w:sz w:val="21"/>
      <w:szCs w:val="21"/>
    </w:rPr>
  </w:style>
  <w:style w:type="character" w:customStyle="1" w:styleId="112">
    <w:name w:val="nth-of-type(1)11"/>
    <w:qFormat/>
    <w:uiPriority w:val="0"/>
  </w:style>
  <w:style w:type="character" w:customStyle="1" w:styleId="113">
    <w:name w:val="nth-of-type(1)12"/>
    <w:qFormat/>
    <w:uiPriority w:val="0"/>
  </w:style>
  <w:style w:type="character" w:customStyle="1" w:styleId="114">
    <w:name w:val="nth-of-type(1)13"/>
    <w:qFormat/>
    <w:uiPriority w:val="0"/>
  </w:style>
  <w:style w:type="character" w:customStyle="1" w:styleId="115">
    <w:name w:val="nth-of-type(1)14"/>
    <w:qFormat/>
    <w:uiPriority w:val="0"/>
  </w:style>
  <w:style w:type="character" w:customStyle="1" w:styleId="116">
    <w:name w:val="nth-of-type(1)15"/>
    <w:qFormat/>
    <w:uiPriority w:val="0"/>
  </w:style>
  <w:style w:type="character" w:customStyle="1" w:styleId="117">
    <w:name w:val="nth-of-type(1)16"/>
    <w:qFormat/>
    <w:uiPriority w:val="0"/>
  </w:style>
  <w:style w:type="character" w:customStyle="1" w:styleId="118">
    <w:name w:val="nth-of-type(1)17"/>
    <w:qFormat/>
    <w:uiPriority w:val="0"/>
  </w:style>
  <w:style w:type="character" w:customStyle="1" w:styleId="119">
    <w:name w:val="nth-of-type(1)18"/>
    <w:qFormat/>
    <w:uiPriority w:val="0"/>
  </w:style>
  <w:style w:type="character" w:customStyle="1" w:styleId="120">
    <w:name w:val="nth-of-type(5)"/>
    <w:qFormat/>
    <w:uiPriority w:val="0"/>
  </w:style>
  <w:style w:type="character" w:customStyle="1" w:styleId="121">
    <w:name w:val="nth-of-type(5)1"/>
    <w:qFormat/>
    <w:uiPriority w:val="0"/>
    <w:rPr>
      <w:sz w:val="21"/>
      <w:szCs w:val="21"/>
    </w:rPr>
  </w:style>
  <w:style w:type="character" w:customStyle="1" w:styleId="122">
    <w:name w:val="nth-of-type(5)2"/>
    <w:qFormat/>
    <w:uiPriority w:val="0"/>
  </w:style>
  <w:style w:type="character" w:customStyle="1" w:styleId="123">
    <w:name w:val="nth-of-type(5)3"/>
    <w:qFormat/>
    <w:uiPriority w:val="0"/>
  </w:style>
  <w:style w:type="character" w:customStyle="1" w:styleId="124">
    <w:name w:val="nth-of-type(5)4"/>
    <w:qFormat/>
    <w:uiPriority w:val="0"/>
  </w:style>
  <w:style w:type="character" w:customStyle="1" w:styleId="125">
    <w:name w:val="nth-of-type(5)5"/>
    <w:qFormat/>
    <w:uiPriority w:val="0"/>
  </w:style>
  <w:style w:type="character" w:customStyle="1" w:styleId="126">
    <w:name w:val="nth-of-type(5)6"/>
    <w:qFormat/>
    <w:uiPriority w:val="0"/>
  </w:style>
  <w:style w:type="character" w:customStyle="1" w:styleId="127">
    <w:name w:val="nth-of-type(2)"/>
    <w:qFormat/>
    <w:uiPriority w:val="0"/>
  </w:style>
  <w:style w:type="character" w:customStyle="1" w:styleId="128">
    <w:name w:val="nth-of-type(2)1"/>
    <w:qFormat/>
    <w:uiPriority w:val="0"/>
  </w:style>
  <w:style w:type="character" w:customStyle="1" w:styleId="129">
    <w:name w:val="nth-of-type(2)2"/>
    <w:qFormat/>
    <w:uiPriority w:val="0"/>
  </w:style>
  <w:style w:type="character" w:customStyle="1" w:styleId="130">
    <w:name w:val="nth-of-type(2)3"/>
    <w:qFormat/>
    <w:uiPriority w:val="0"/>
  </w:style>
  <w:style w:type="character" w:customStyle="1" w:styleId="131">
    <w:name w:val="nth-of-type(2)4"/>
    <w:qFormat/>
    <w:uiPriority w:val="0"/>
  </w:style>
  <w:style w:type="character" w:customStyle="1" w:styleId="132">
    <w:name w:val="nth-of-type(2)5"/>
    <w:qFormat/>
    <w:uiPriority w:val="0"/>
    <w:rPr>
      <w:sz w:val="21"/>
      <w:szCs w:val="21"/>
    </w:rPr>
  </w:style>
  <w:style w:type="character" w:customStyle="1" w:styleId="133">
    <w:name w:val="nth-of-type(2)6"/>
    <w:qFormat/>
    <w:uiPriority w:val="0"/>
  </w:style>
  <w:style w:type="character" w:customStyle="1" w:styleId="134">
    <w:name w:val="nth-of-type(2)7"/>
    <w:qFormat/>
    <w:uiPriority w:val="0"/>
  </w:style>
  <w:style w:type="character" w:customStyle="1" w:styleId="135">
    <w:name w:val="nth-of-type(2)8"/>
    <w:qFormat/>
    <w:uiPriority w:val="0"/>
  </w:style>
  <w:style w:type="character" w:customStyle="1" w:styleId="136">
    <w:name w:val="nth-of-type(2)9"/>
    <w:qFormat/>
    <w:uiPriority w:val="0"/>
  </w:style>
  <w:style w:type="character" w:customStyle="1" w:styleId="137">
    <w:name w:val="nth-of-type(2)10"/>
    <w:qFormat/>
    <w:uiPriority w:val="0"/>
  </w:style>
  <w:style w:type="character" w:customStyle="1" w:styleId="138">
    <w:name w:val="nth-of-type(2)11"/>
    <w:qFormat/>
    <w:uiPriority w:val="0"/>
  </w:style>
  <w:style w:type="character" w:customStyle="1" w:styleId="139">
    <w:name w:val="nth-of-type(2)12"/>
    <w:qFormat/>
    <w:uiPriority w:val="0"/>
  </w:style>
  <w:style w:type="character" w:customStyle="1" w:styleId="140">
    <w:name w:val="nth-of-type(2)13"/>
    <w:qFormat/>
    <w:uiPriority w:val="0"/>
  </w:style>
  <w:style w:type="character" w:customStyle="1" w:styleId="141">
    <w:name w:val="nth-of-type(2)14"/>
    <w:qFormat/>
    <w:uiPriority w:val="0"/>
  </w:style>
  <w:style w:type="character" w:customStyle="1" w:styleId="142">
    <w:name w:val="nth-of-type(3)"/>
    <w:qFormat/>
    <w:uiPriority w:val="0"/>
  </w:style>
  <w:style w:type="character" w:customStyle="1" w:styleId="143">
    <w:name w:val="nth-of-type(3)1"/>
    <w:qFormat/>
    <w:uiPriority w:val="0"/>
    <w:rPr>
      <w:sz w:val="21"/>
      <w:szCs w:val="21"/>
    </w:rPr>
  </w:style>
  <w:style w:type="character" w:customStyle="1" w:styleId="144">
    <w:name w:val="nth-of-type(3)2"/>
    <w:qFormat/>
    <w:uiPriority w:val="0"/>
  </w:style>
  <w:style w:type="character" w:customStyle="1" w:styleId="145">
    <w:name w:val="nth-of-type(3)3"/>
    <w:qFormat/>
    <w:uiPriority w:val="0"/>
  </w:style>
  <w:style w:type="character" w:customStyle="1" w:styleId="146">
    <w:name w:val="nth-of-type(3)4"/>
    <w:qFormat/>
    <w:uiPriority w:val="0"/>
  </w:style>
  <w:style w:type="character" w:customStyle="1" w:styleId="147">
    <w:name w:val="nth-of-type(3)5"/>
    <w:qFormat/>
    <w:uiPriority w:val="0"/>
  </w:style>
  <w:style w:type="character" w:customStyle="1" w:styleId="148">
    <w:name w:val="nth-of-type(3)6"/>
    <w:qFormat/>
    <w:uiPriority w:val="0"/>
  </w:style>
  <w:style w:type="character" w:customStyle="1" w:styleId="149">
    <w:name w:val="nth-of-type(3)7"/>
    <w:qFormat/>
    <w:uiPriority w:val="0"/>
  </w:style>
  <w:style w:type="character" w:customStyle="1" w:styleId="150">
    <w:name w:val="nth-of-type(4)"/>
    <w:qFormat/>
    <w:uiPriority w:val="0"/>
  </w:style>
  <w:style w:type="character" w:customStyle="1" w:styleId="151">
    <w:name w:val="nth-of-type(4)1"/>
    <w:qFormat/>
    <w:uiPriority w:val="0"/>
    <w:rPr>
      <w:sz w:val="21"/>
      <w:szCs w:val="21"/>
    </w:rPr>
  </w:style>
  <w:style w:type="character" w:customStyle="1" w:styleId="152">
    <w:name w:val="nth-of-type(4)2"/>
    <w:qFormat/>
    <w:uiPriority w:val="0"/>
  </w:style>
  <w:style w:type="character" w:customStyle="1" w:styleId="153">
    <w:name w:val="nth-of-type(4)3"/>
    <w:qFormat/>
    <w:uiPriority w:val="0"/>
  </w:style>
  <w:style w:type="character" w:customStyle="1" w:styleId="154">
    <w:name w:val="nth-of-type(4)4"/>
    <w:qFormat/>
    <w:uiPriority w:val="0"/>
  </w:style>
  <w:style w:type="character" w:customStyle="1" w:styleId="155">
    <w:name w:val="nth-of-type(4)5"/>
    <w:qFormat/>
    <w:uiPriority w:val="0"/>
  </w:style>
  <w:style w:type="character" w:customStyle="1" w:styleId="156">
    <w:name w:val="nth-of-type(4)6"/>
    <w:qFormat/>
    <w:uiPriority w:val="0"/>
  </w:style>
  <w:style w:type="character" w:customStyle="1" w:styleId="157">
    <w:name w:val="nth-of-type(4)7"/>
    <w:qFormat/>
    <w:uiPriority w:val="0"/>
  </w:style>
  <w:style w:type="character" w:customStyle="1" w:styleId="158">
    <w:name w:val="nth-of-type(4)8"/>
    <w:qFormat/>
    <w:uiPriority w:val="0"/>
  </w:style>
  <w:style w:type="character" w:customStyle="1" w:styleId="159">
    <w:name w:val="nth-of-type(6)"/>
    <w:qFormat/>
    <w:uiPriority w:val="0"/>
  </w:style>
  <w:style w:type="character" w:customStyle="1" w:styleId="160">
    <w:name w:val="nth-of-type(6)1"/>
    <w:qFormat/>
    <w:uiPriority w:val="0"/>
  </w:style>
  <w:style w:type="character" w:customStyle="1" w:styleId="161">
    <w:name w:val="nth-of-type(6)2"/>
    <w:qFormat/>
    <w:uiPriority w:val="0"/>
  </w:style>
  <w:style w:type="character" w:customStyle="1" w:styleId="162">
    <w:name w:val="nth-of-type(6)3"/>
    <w:qFormat/>
    <w:uiPriority w:val="0"/>
  </w:style>
  <w:style w:type="character" w:customStyle="1" w:styleId="163">
    <w:name w:val="nth-of-type(6)4"/>
    <w:qFormat/>
    <w:uiPriority w:val="0"/>
  </w:style>
  <w:style w:type="character" w:customStyle="1" w:styleId="164">
    <w:name w:val="nth-of-type(6)5"/>
    <w:qFormat/>
    <w:uiPriority w:val="0"/>
    <w:rPr>
      <w:color w:val="0082DF"/>
    </w:rPr>
  </w:style>
  <w:style w:type="character" w:customStyle="1" w:styleId="165">
    <w:name w:val="nth-of-type(7)"/>
    <w:qFormat/>
    <w:uiPriority w:val="0"/>
  </w:style>
  <w:style w:type="character" w:customStyle="1" w:styleId="166">
    <w:name w:val="nth-of-type(7)1"/>
    <w:qFormat/>
    <w:uiPriority w:val="0"/>
  </w:style>
  <w:style w:type="character" w:customStyle="1" w:styleId="167">
    <w:name w:val="nth-of-type(7)2"/>
    <w:qFormat/>
    <w:uiPriority w:val="0"/>
  </w:style>
  <w:style w:type="character" w:customStyle="1" w:styleId="168">
    <w:name w:val="nth-of-type(9)"/>
    <w:qFormat/>
    <w:uiPriority w:val="0"/>
  </w:style>
  <w:style w:type="character" w:customStyle="1" w:styleId="169">
    <w:name w:val="nth-of-type(10)"/>
    <w:qFormat/>
    <w:uiPriority w:val="0"/>
  </w:style>
  <w:style w:type="character" w:customStyle="1" w:styleId="170">
    <w:name w:val="hover25"/>
    <w:qFormat/>
    <w:uiPriority w:val="0"/>
  </w:style>
  <w:style w:type="character" w:customStyle="1" w:styleId="171">
    <w:name w:val="hover26"/>
    <w:qFormat/>
    <w:uiPriority w:val="0"/>
    <w:rPr>
      <w:color w:val="167AE0"/>
    </w:rPr>
  </w:style>
  <w:style w:type="character" w:customStyle="1" w:styleId="172">
    <w:name w:val="nth-child(3)"/>
    <w:qFormat/>
    <w:uiPriority w:val="0"/>
  </w:style>
  <w:style w:type="character" w:customStyle="1" w:styleId="173">
    <w:name w:val="titleshow"/>
    <w:qFormat/>
    <w:uiPriority w:val="0"/>
    <w:rPr>
      <w:color w:val="3E464C"/>
    </w:rPr>
  </w:style>
  <w:style w:type="character" w:customStyle="1" w:styleId="174">
    <w:name w:val="nth-child(1)"/>
    <w:qFormat/>
    <w:uiPriority w:val="0"/>
  </w:style>
  <w:style w:type="character" w:customStyle="1" w:styleId="175">
    <w:name w:val="nth-child(2)"/>
    <w:qFormat/>
    <w:uiPriority w:val="0"/>
  </w:style>
  <w:style w:type="character" w:customStyle="1" w:styleId="176">
    <w:name w:val="last-child1"/>
    <w:qFormat/>
    <w:uiPriority w:val="0"/>
    <w:rPr>
      <w:color w:val="FFFFFF"/>
    </w:rPr>
  </w:style>
  <w:style w:type="character" w:customStyle="1" w:styleId="177">
    <w:name w:val="last-child2"/>
    <w:qFormat/>
    <w:uiPriority w:val="0"/>
  </w:style>
  <w:style w:type="character" w:customStyle="1" w:styleId="178">
    <w:name w:val="last-child3"/>
    <w:qFormat/>
    <w:uiPriority w:val="0"/>
  </w:style>
  <w:style w:type="character" w:customStyle="1" w:styleId="179">
    <w:name w:val="first-child"/>
    <w:qFormat/>
    <w:uiPriority w:val="0"/>
  </w:style>
  <w:style w:type="character" w:customStyle="1" w:styleId="180">
    <w:name w:val="first-child1"/>
    <w:qFormat/>
    <w:uiPriority w:val="0"/>
  </w:style>
  <w:style w:type="character" w:customStyle="1" w:styleId="181">
    <w:name w:val="first-child2"/>
    <w:qFormat/>
    <w:uiPriority w:val="0"/>
  </w:style>
  <w:style w:type="character" w:customStyle="1" w:styleId="182">
    <w:name w:val="first-child3"/>
    <w:qFormat/>
    <w:uiPriority w:val="0"/>
  </w:style>
  <w:style w:type="character" w:customStyle="1" w:styleId="183">
    <w:name w:val="before2"/>
    <w:qFormat/>
    <w:uiPriority w:val="0"/>
    <w:rPr>
      <w:shd w:val="clear" w:color="auto" w:fill="C20E0C"/>
    </w:rPr>
  </w:style>
  <w:style w:type="character" w:customStyle="1" w:styleId="184">
    <w:name w:val="layui-this4"/>
    <w:qFormat/>
    <w:uiPriority w:val="0"/>
    <w:rPr>
      <w:bdr w:val="single" w:color="EEEEEE" w:sz="6" w:space="0"/>
      <w:shd w:val="clear" w:color="auto" w:fill="FFFFFF"/>
    </w:rPr>
  </w:style>
  <w:style w:type="character" w:customStyle="1" w:styleId="185">
    <w:name w:val="titles"/>
    <w:qFormat/>
    <w:uiPriority w:val="0"/>
    <w:rPr>
      <w:b/>
      <w:bCs/>
      <w:color w:val="FFFFFF"/>
      <w:sz w:val="30"/>
      <w:szCs w:val="30"/>
    </w:rPr>
  </w:style>
  <w:style w:type="character" w:customStyle="1" w:styleId="186">
    <w:name w:val="yjs"/>
    <w:qFormat/>
    <w:uiPriority w:val="0"/>
    <w:rPr>
      <w:color w:val="14A900"/>
    </w:rPr>
  </w:style>
  <w:style w:type="character" w:customStyle="1" w:styleId="187">
    <w:name w:val="yjs1"/>
    <w:qFormat/>
    <w:uiPriority w:val="0"/>
    <w:rPr>
      <w:color w:val="14A900"/>
    </w:rPr>
  </w:style>
  <w:style w:type="character" w:customStyle="1" w:styleId="188">
    <w:name w:val="time"/>
    <w:qFormat/>
    <w:uiPriority w:val="0"/>
  </w:style>
  <w:style w:type="character" w:customStyle="1" w:styleId="189">
    <w:name w:val="jxz"/>
    <w:qFormat/>
    <w:uiPriority w:val="0"/>
    <w:rPr>
      <w:color w:val="FF5400"/>
    </w:rPr>
  </w:style>
  <w:style w:type="character" w:customStyle="1" w:styleId="190">
    <w:name w:val="jxz1"/>
    <w:qFormat/>
    <w:uiPriority w:val="0"/>
    <w:rPr>
      <w:color w:val="FF5400"/>
    </w:rPr>
  </w:style>
  <w:style w:type="character" w:customStyle="1" w:styleId="191">
    <w:name w:val="标题 字符"/>
    <w:qFormat/>
    <w:uiPriority w:val="0"/>
    <w:rPr>
      <w:rFonts w:ascii="Cambria" w:hAnsi="Cambria"/>
      <w:b/>
      <w:bCs/>
      <w:kern w:val="2"/>
      <w:sz w:val="32"/>
      <w:szCs w:val="32"/>
    </w:rPr>
  </w:style>
  <w:style w:type="character" w:customStyle="1" w:styleId="192">
    <w:name w:val="标题 4 Char"/>
    <w:basedOn w:val="39"/>
    <w:link w:val="7"/>
    <w:qFormat/>
    <w:uiPriority w:val="0"/>
    <w:rPr>
      <w:rFonts w:ascii="Arial" w:hAnsi="Arial" w:eastAsia="黑体"/>
      <w:b/>
      <w:kern w:val="2"/>
      <w:sz w:val="28"/>
      <w:szCs w:val="24"/>
    </w:rPr>
  </w:style>
  <w:style w:type="character" w:customStyle="1" w:styleId="193">
    <w:name w:val="标题 5 Char"/>
    <w:basedOn w:val="39"/>
    <w:link w:val="8"/>
    <w:qFormat/>
    <w:uiPriority w:val="0"/>
    <w:rPr>
      <w:rFonts w:ascii="Calibri" w:hAnsi="Calibri"/>
      <w:b/>
      <w:kern w:val="2"/>
      <w:sz w:val="28"/>
      <w:szCs w:val="24"/>
    </w:rPr>
  </w:style>
  <w:style w:type="character" w:customStyle="1" w:styleId="194">
    <w:name w:val="HTML 地址 Char"/>
    <w:basedOn w:val="39"/>
    <w:link w:val="15"/>
    <w:qFormat/>
    <w:uiPriority w:val="0"/>
    <w:rPr>
      <w:rFonts w:ascii="Calibri" w:hAnsi="Calibri"/>
      <w:i/>
      <w:kern w:val="2"/>
      <w:sz w:val="21"/>
      <w:szCs w:val="24"/>
    </w:rPr>
  </w:style>
  <w:style w:type="character" w:customStyle="1" w:styleId="195">
    <w:name w:val="font11"/>
    <w:qFormat/>
    <w:uiPriority w:val="0"/>
    <w:rPr>
      <w:rFonts w:hint="eastAsia" w:ascii="宋体" w:hAnsi="宋体" w:eastAsia="宋体" w:cs="宋体"/>
      <w:b/>
      <w:color w:val="000000"/>
      <w:sz w:val="24"/>
      <w:szCs w:val="24"/>
      <w:u w:val="none"/>
    </w:rPr>
  </w:style>
  <w:style w:type="character" w:customStyle="1" w:styleId="196">
    <w:name w:val="font01"/>
    <w:qFormat/>
    <w:uiPriority w:val="0"/>
    <w:rPr>
      <w:rFonts w:hint="eastAsia" w:ascii="宋体" w:hAnsi="宋体" w:eastAsia="宋体" w:cs="宋体"/>
      <w:b/>
      <w:color w:val="000000"/>
      <w:sz w:val="24"/>
      <w:szCs w:val="24"/>
      <w:u w:val="none"/>
    </w:rPr>
  </w:style>
  <w:style w:type="character" w:customStyle="1" w:styleId="19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98">
    <w:name w:val="标题 6 Char"/>
    <w:basedOn w:val="39"/>
    <w:link w:val="9"/>
    <w:semiHidden/>
    <w:qFormat/>
    <w:uiPriority w:val="0"/>
    <w:rPr>
      <w:rFonts w:asciiTheme="majorHAnsi" w:hAnsiTheme="majorHAnsi" w:eastAsiaTheme="majorEastAsia" w:cstheme="majorBidi"/>
      <w:b/>
      <w:bCs/>
      <w:kern w:val="2"/>
      <w:sz w:val="24"/>
      <w:szCs w:val="24"/>
    </w:rPr>
  </w:style>
  <w:style w:type="character" w:customStyle="1" w:styleId="199">
    <w:name w:val="noticegetfile-getbidfileaddress"/>
    <w:basedOn w:val="39"/>
    <w:qFormat/>
    <w:uiPriority w:val="0"/>
  </w:style>
  <w:style w:type="character" w:customStyle="1" w:styleId="200">
    <w:name w:val="noticepurchasetime-noticepurchasetime"/>
    <w:basedOn w:val="39"/>
    <w:qFormat/>
    <w:uiPriority w:val="0"/>
  </w:style>
  <w:style w:type="paragraph" w:customStyle="1" w:styleId="201">
    <w:name w:val="u-cont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02">
    <w:name w:val="u-content1"/>
    <w:basedOn w:val="39"/>
    <w:qFormat/>
    <w:uiPriority w:val="0"/>
  </w:style>
  <w:style w:type="character" w:customStyle="1" w:styleId="203">
    <w:name w:val="noticebidtime-bidaddress"/>
    <w:basedOn w:val="39"/>
    <w:qFormat/>
    <w:uiPriority w:val="0"/>
  </w:style>
  <w:style w:type="character" w:customStyle="1" w:styleId="204">
    <w:name w:val="标题 3 Char"/>
    <w:qFormat/>
    <w:uiPriority w:val="0"/>
    <w:rPr>
      <w:rFonts w:ascii="宋体" w:hAnsi="宋体"/>
      <w:b/>
      <w:sz w:val="30"/>
      <w:szCs w:val="30"/>
    </w:rPr>
  </w:style>
  <w:style w:type="character" w:customStyle="1" w:styleId="205">
    <w:name w:val="纯文本 Char"/>
    <w:qFormat/>
    <w:uiPriority w:val="0"/>
    <w:rPr>
      <w:rFonts w:ascii="宋体" w:hAnsi="Courier New"/>
      <w:kern w:val="2"/>
      <w:sz w:val="21"/>
    </w:rPr>
  </w:style>
  <w:style w:type="character" w:customStyle="1" w:styleId="206">
    <w:name w:val="页脚 Char"/>
    <w:qFormat/>
    <w:uiPriority w:val="99"/>
    <w:rPr>
      <w:rFonts w:ascii="宋体"/>
      <w:sz w:val="18"/>
    </w:rPr>
  </w:style>
  <w:style w:type="character" w:customStyle="1" w:styleId="207">
    <w:name w:val="标题 2 Char"/>
    <w:qFormat/>
    <w:uiPriority w:val="0"/>
    <w:rPr>
      <w:rFonts w:ascii="Arial" w:hAnsi="Arial" w:eastAsia="黑体"/>
      <w:b/>
      <w:sz w:val="30"/>
    </w:rPr>
  </w:style>
  <w:style w:type="character" w:customStyle="1" w:styleId="208">
    <w:name w:val="正文文本缩进 Char"/>
    <w:basedOn w:val="39"/>
    <w:link w:val="14"/>
    <w:qFormat/>
    <w:uiPriority w:val="0"/>
    <w:rPr>
      <w:kern w:val="2"/>
      <w:sz w:val="24"/>
      <w:szCs w:val="24"/>
    </w:rPr>
  </w:style>
  <w:style w:type="character" w:customStyle="1" w:styleId="209">
    <w:name w:val="正文首行缩进 2 Char"/>
    <w:basedOn w:val="208"/>
    <w:link w:val="36"/>
    <w:semiHidden/>
    <w:qFormat/>
    <w:uiPriority w:val="0"/>
    <w:rPr>
      <w:kern w:val="2"/>
      <w:sz w:val="21"/>
      <w:szCs w:val="24"/>
    </w:rPr>
  </w:style>
  <w:style w:type="paragraph" w:customStyle="1" w:styleId="210">
    <w:name w:val="__正文"/>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character" w:customStyle="1" w:styleId="211">
    <w:name w:val="列出段落 Char"/>
    <w:link w:val="83"/>
    <w:qFormat/>
    <w:uiPriority w:val="99"/>
    <w:rPr>
      <w:sz w:val="24"/>
      <w:szCs w:val="24"/>
    </w:rPr>
  </w:style>
  <w:style w:type="paragraph" w:customStyle="1" w:styleId="212">
    <w:name w:val="正式正文"/>
    <w:basedOn w:val="5"/>
    <w:qFormat/>
    <w:uiPriority w:val="0"/>
    <w:pPr>
      <w:autoSpaceDE/>
      <w:autoSpaceDN/>
      <w:adjustRightInd/>
      <w:spacing w:line="360" w:lineRule="auto"/>
      <w:ind w:firstLine="480"/>
      <w:jc w:val="both"/>
    </w:pPr>
    <w:rPr>
      <w:rFonts w:ascii="Times New Roman"/>
      <w:kern w:val="2"/>
    </w:rPr>
  </w:style>
  <w:style w:type="character" w:customStyle="1" w:styleId="213">
    <w:name w:val="正文文本 2 Char"/>
    <w:basedOn w:val="39"/>
    <w:link w:val="31"/>
    <w:semiHidden/>
    <w:qFormat/>
    <w:uiPriority w:val="0"/>
    <w:rPr>
      <w:kern w:val="2"/>
      <w:sz w:val="21"/>
      <w:szCs w:val="24"/>
    </w:rPr>
  </w:style>
  <w:style w:type="paragraph" w:customStyle="1" w:styleId="214">
    <w:name w:val="样式 首行缩进:  2 字符"/>
    <w:basedOn w:val="1"/>
    <w:qFormat/>
    <w:uiPriority w:val="0"/>
    <w:pPr>
      <w:spacing w:line="400" w:lineRule="exact"/>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5D22-427A-45C2-8211-96DECF8104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7072</Words>
  <Characters>40311</Characters>
  <Lines>335</Lines>
  <Paragraphs>94</Paragraphs>
  <TotalTime>46</TotalTime>
  <ScaleCrop>false</ScaleCrop>
  <LinksUpToDate>false</LinksUpToDate>
  <CharactersWithSpaces>47289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2022-07-29T11:04:00Z</dcterms:created>
  <dc:creator>USER-</dc:creator>
  <cp:lastModifiedBy>小琦 ✨</cp:lastModifiedBy>
  <cp:lastPrinted>2019-10-12T06:53:00Z</cp:lastPrinted>
  <dcterms:modified xsi:type="dcterms:W3CDTF">2023-01-06T07:54:02Z</dcterms:modified>
  <dc:title>02年杜范本稿</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B031E280B7B44B5C90F8CF24C901EA1F</vt:lpwstr>
  </property>
</Properties>
</file>