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3138"/>
        <w:gridCol w:w="1115"/>
        <w:gridCol w:w="1477"/>
      </w:tblGrid>
      <w:tr w:rsidR="00AD34B0" w:rsidTr="00FF1236">
        <w:trPr>
          <w:trHeight w:val="581"/>
        </w:trPr>
        <w:tc>
          <w:tcPr>
            <w:tcW w:w="4077" w:type="dxa"/>
          </w:tcPr>
          <w:p w:rsidR="00AD34B0" w:rsidRDefault="00AD34B0" w:rsidP="00FF1236">
            <w:pPr>
              <w:snapToGrid w:val="0"/>
              <w:spacing w:line="336" w:lineRule="auto"/>
              <w:jc w:val="center"/>
              <w:outlineLvl w:val="0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sz w:val="28"/>
                <w:szCs w:val="28"/>
              </w:rPr>
              <w:t>技术参数</w:t>
            </w:r>
          </w:p>
        </w:tc>
        <w:tc>
          <w:tcPr>
            <w:tcW w:w="3138" w:type="dxa"/>
          </w:tcPr>
          <w:p w:rsidR="00AD34B0" w:rsidRDefault="00AD34B0" w:rsidP="00FF1236">
            <w:pPr>
              <w:snapToGrid w:val="0"/>
              <w:spacing w:line="336" w:lineRule="auto"/>
              <w:jc w:val="center"/>
              <w:outlineLvl w:val="0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sz w:val="28"/>
                <w:szCs w:val="28"/>
              </w:rPr>
              <w:t>图形模型</w:t>
            </w:r>
          </w:p>
        </w:tc>
        <w:tc>
          <w:tcPr>
            <w:tcW w:w="1115" w:type="dxa"/>
          </w:tcPr>
          <w:p w:rsidR="00AD34B0" w:rsidRDefault="00AD34B0" w:rsidP="00FF1236">
            <w:pPr>
              <w:snapToGrid w:val="0"/>
              <w:spacing w:line="336" w:lineRule="auto"/>
              <w:jc w:val="center"/>
              <w:outlineLvl w:val="0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sz w:val="28"/>
                <w:szCs w:val="28"/>
              </w:rPr>
              <w:t>数量</w:t>
            </w:r>
          </w:p>
        </w:tc>
        <w:tc>
          <w:tcPr>
            <w:tcW w:w="1477" w:type="dxa"/>
          </w:tcPr>
          <w:p w:rsidR="00AD34B0" w:rsidRDefault="00AD34B0" w:rsidP="00FF1236">
            <w:pPr>
              <w:snapToGrid w:val="0"/>
              <w:spacing w:line="336" w:lineRule="auto"/>
              <w:jc w:val="center"/>
              <w:outlineLvl w:val="0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sz w:val="28"/>
                <w:szCs w:val="28"/>
              </w:rPr>
              <w:t>备注</w:t>
            </w:r>
          </w:p>
        </w:tc>
      </w:tr>
      <w:tr w:rsidR="00AD34B0" w:rsidTr="00FF1236">
        <w:tc>
          <w:tcPr>
            <w:tcW w:w="4077" w:type="dxa"/>
          </w:tcPr>
          <w:p w:rsidR="00AD34B0" w:rsidRDefault="00AD34B0" w:rsidP="00FF1236">
            <w:pPr>
              <w:pStyle w:val="a6"/>
              <w:rPr>
                <w:rStyle w:val="2Char"/>
                <w:u w:val="single"/>
              </w:rPr>
            </w:pPr>
            <w:bookmarkStart w:id="0" w:name="_Toc47105320"/>
            <w:bookmarkStart w:id="1" w:name="_Toc13753636"/>
            <w:r>
              <w:rPr>
                <w:rStyle w:val="2Char"/>
                <w:rFonts w:hint="eastAsia"/>
                <w:u w:val="single"/>
              </w:rPr>
              <w:t>1</w:t>
            </w:r>
            <w:r>
              <w:rPr>
                <w:rStyle w:val="2Char"/>
                <w:rFonts w:hint="eastAsia"/>
                <w:u w:val="single"/>
              </w:rPr>
              <w:t>、</w:t>
            </w:r>
            <w:r>
              <w:rPr>
                <w:rStyle w:val="2Char"/>
                <w:u w:val="single"/>
              </w:rPr>
              <w:t>公司印章</w:t>
            </w:r>
            <w:bookmarkEnd w:id="0"/>
            <w:bookmarkEnd w:id="1"/>
          </w:p>
          <w:p w:rsidR="00AD34B0" w:rsidRDefault="00AD34B0" w:rsidP="00FF1236">
            <w:pPr>
              <w:pStyle w:val="a6"/>
              <w:spacing w:line="360" w:lineRule="auto"/>
              <w:rPr>
                <w:b/>
                <w:bCs/>
              </w:rPr>
            </w:pPr>
            <w:r>
              <w:t>一律为圆形</w:t>
            </w:r>
            <w:r>
              <w:rPr>
                <w:rFonts w:hint="eastAsia"/>
              </w:rPr>
              <w:t>，</w:t>
            </w:r>
            <w:r>
              <w:t>直径为4.2cm</w:t>
            </w:r>
            <w:r>
              <w:rPr>
                <w:rFonts w:hint="eastAsia"/>
              </w:rPr>
              <w:t>，</w:t>
            </w:r>
            <w:r>
              <w:t>圆边宽0.12cm</w:t>
            </w:r>
            <w:r>
              <w:rPr>
                <w:rFonts w:hint="eastAsia"/>
              </w:rPr>
              <w:t>，</w:t>
            </w:r>
            <w:r>
              <w:t>中央刊五角星（五角星直径1.4cm）五角星外刊企业名称自左而右环行印文使用简化的宋体字，材质为：硬质</w:t>
            </w:r>
            <w:r>
              <w:rPr>
                <w:rFonts w:hint="eastAsia"/>
              </w:rPr>
              <w:t>/回墨。</w:t>
            </w:r>
          </w:p>
          <w:p w:rsidR="00AD34B0" w:rsidRDefault="00AD34B0" w:rsidP="00FF1236"/>
        </w:tc>
        <w:tc>
          <w:tcPr>
            <w:tcW w:w="3138" w:type="dxa"/>
          </w:tcPr>
          <w:p w:rsidR="00AD34B0" w:rsidRDefault="00AD34B0" w:rsidP="00FF1236">
            <w:pPr>
              <w:jc w:val="center"/>
            </w:pPr>
          </w:p>
          <w:p w:rsidR="00AD34B0" w:rsidRDefault="00AD34B0" w:rsidP="00FF12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21485" cy="1721485"/>
                  <wp:effectExtent l="19050" t="0" r="0" b="0"/>
                  <wp:docPr id="3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172148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AD34B0" w:rsidRDefault="00AD34B0" w:rsidP="00FF1236">
            <w:pPr>
              <w:widowControl/>
              <w:jc w:val="center"/>
            </w:pPr>
            <w:r>
              <w:t>约</w:t>
            </w:r>
            <w:r>
              <w:rPr>
                <w:rFonts w:hint="eastAsia"/>
              </w:rPr>
              <w:t>2666</w:t>
            </w:r>
            <w:r>
              <w:rPr>
                <w:rFonts w:hint="eastAsia"/>
              </w:rPr>
              <w:t>套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AD34B0" w:rsidRDefault="00AD34B0" w:rsidP="00FF1236">
            <w:pPr>
              <w:widowControl/>
              <w:jc w:val="center"/>
            </w:pPr>
            <w:r>
              <w:t>本次项目采购数量是根据宝塔区行政</w:t>
            </w:r>
            <w:proofErr w:type="gramStart"/>
            <w:r>
              <w:t>审批局</w:t>
            </w:r>
            <w:proofErr w:type="gramEnd"/>
            <w:r>
              <w:t>上一年度新增企业印章刻制数量预估数，具体合同数量及金额据实结算</w:t>
            </w:r>
          </w:p>
        </w:tc>
      </w:tr>
      <w:tr w:rsidR="00AD34B0" w:rsidTr="00FF1236">
        <w:tc>
          <w:tcPr>
            <w:tcW w:w="4077" w:type="dxa"/>
          </w:tcPr>
          <w:p w:rsidR="00AD34B0" w:rsidRDefault="00AD34B0" w:rsidP="00FF1236">
            <w:pPr>
              <w:pStyle w:val="a6"/>
              <w:rPr>
                <w:rStyle w:val="2Char"/>
                <w:u w:val="single"/>
              </w:rPr>
            </w:pPr>
            <w:bookmarkStart w:id="2" w:name="_Toc13753637"/>
            <w:bookmarkStart w:id="3" w:name="_Toc47105321"/>
            <w:r>
              <w:rPr>
                <w:rStyle w:val="2Char"/>
                <w:rFonts w:hint="eastAsia"/>
                <w:u w:val="single"/>
              </w:rPr>
              <w:t>2</w:t>
            </w:r>
            <w:r>
              <w:rPr>
                <w:rStyle w:val="2Char"/>
                <w:rFonts w:hint="eastAsia"/>
                <w:u w:val="single"/>
              </w:rPr>
              <w:t>、</w:t>
            </w:r>
            <w:r>
              <w:rPr>
                <w:rStyle w:val="2Char"/>
                <w:u w:val="single"/>
              </w:rPr>
              <w:t>合同专用章</w:t>
            </w:r>
            <w:bookmarkEnd w:id="2"/>
            <w:bookmarkEnd w:id="3"/>
          </w:p>
          <w:p w:rsidR="00AD34B0" w:rsidRDefault="00AD34B0" w:rsidP="00FF1236">
            <w:pPr>
              <w:pStyle w:val="a6"/>
              <w:spacing w:line="360" w:lineRule="auto"/>
              <w:rPr>
                <w:rStyle w:val="2Char"/>
                <w:u w:val="single"/>
              </w:rPr>
            </w:pPr>
            <w:r>
              <w:t>一律为圆形</w:t>
            </w:r>
            <w:r>
              <w:rPr>
                <w:rFonts w:hint="eastAsia"/>
              </w:rPr>
              <w:t>，直径4.5</w:t>
            </w:r>
            <w:r>
              <w:t>cm</w:t>
            </w:r>
            <w:r>
              <w:rPr>
                <w:rFonts w:hint="eastAsia"/>
              </w:rPr>
              <w:t>，圆边宽0.12</w:t>
            </w:r>
            <w:r>
              <w:t>cm</w:t>
            </w:r>
            <w:r>
              <w:rPr>
                <w:rFonts w:hint="eastAsia"/>
              </w:rPr>
              <w:t>，</w:t>
            </w:r>
            <w:r>
              <w:t>中央刊五角星（五角星直径1.4cm）</w:t>
            </w:r>
            <w:r>
              <w:rPr>
                <w:rFonts w:hint="eastAsia"/>
              </w:rPr>
              <w:t>，</w:t>
            </w:r>
            <w:r>
              <w:t>五角星外刊企业名称自左而右环行印文</w:t>
            </w:r>
            <w:r>
              <w:rPr>
                <w:rFonts w:hint="eastAsia"/>
              </w:rPr>
              <w:t>，</w:t>
            </w:r>
            <w:r>
              <w:t>使用简化的宋体字</w:t>
            </w:r>
            <w:r>
              <w:rPr>
                <w:rFonts w:hint="eastAsia"/>
              </w:rPr>
              <w:t>，下横排</w:t>
            </w:r>
            <w:proofErr w:type="gramStart"/>
            <w:r>
              <w:rPr>
                <w:rFonts w:hint="eastAsia"/>
              </w:rPr>
              <w:t>刊合同</w:t>
            </w:r>
            <w:proofErr w:type="gramEnd"/>
            <w:r>
              <w:rPr>
                <w:rFonts w:hint="eastAsia"/>
              </w:rPr>
              <w:t>专用章，如需多枚章则在下加数字</w:t>
            </w:r>
            <w:r>
              <w:t>，材质为：硬质</w:t>
            </w:r>
            <w:r>
              <w:rPr>
                <w:rFonts w:hint="eastAsia"/>
              </w:rPr>
              <w:t>/回墨。</w:t>
            </w:r>
          </w:p>
        </w:tc>
        <w:tc>
          <w:tcPr>
            <w:tcW w:w="3138" w:type="dxa"/>
          </w:tcPr>
          <w:p w:rsidR="00AD34B0" w:rsidRDefault="00AD34B0" w:rsidP="00FF1236">
            <w:pPr>
              <w:jc w:val="center"/>
            </w:pPr>
          </w:p>
          <w:p w:rsidR="00AD34B0" w:rsidRDefault="00AD34B0" w:rsidP="00FF12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36420" cy="1836420"/>
                  <wp:effectExtent l="19050" t="0" r="0" b="0"/>
                  <wp:docPr id="3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8364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4B0" w:rsidRDefault="00AD34B0" w:rsidP="00FF1236">
            <w:pPr>
              <w:jc w:val="center"/>
            </w:pPr>
          </w:p>
        </w:tc>
        <w:tc>
          <w:tcPr>
            <w:tcW w:w="1115" w:type="dxa"/>
            <w:vMerge/>
            <w:shd w:val="clear" w:color="auto" w:fill="auto"/>
          </w:tcPr>
          <w:p w:rsidR="00AD34B0" w:rsidRDefault="00AD34B0" w:rsidP="00FF1236">
            <w:pPr>
              <w:widowControl/>
              <w:jc w:val="left"/>
            </w:pPr>
          </w:p>
        </w:tc>
        <w:tc>
          <w:tcPr>
            <w:tcW w:w="1477" w:type="dxa"/>
            <w:vMerge/>
            <w:shd w:val="clear" w:color="auto" w:fill="auto"/>
          </w:tcPr>
          <w:p w:rsidR="00AD34B0" w:rsidRDefault="00AD34B0" w:rsidP="00FF1236">
            <w:pPr>
              <w:widowControl/>
              <w:jc w:val="left"/>
            </w:pPr>
          </w:p>
        </w:tc>
      </w:tr>
      <w:tr w:rsidR="00AD34B0" w:rsidTr="00FF1236">
        <w:tc>
          <w:tcPr>
            <w:tcW w:w="4077" w:type="dxa"/>
          </w:tcPr>
          <w:p w:rsidR="00AD34B0" w:rsidRDefault="00AD34B0" w:rsidP="00FF1236">
            <w:pPr>
              <w:pStyle w:val="a6"/>
              <w:rPr>
                <w:rStyle w:val="2Char"/>
                <w:u w:val="single"/>
              </w:rPr>
            </w:pPr>
            <w:bookmarkStart w:id="4" w:name="_Toc13753638"/>
            <w:bookmarkStart w:id="5" w:name="_Toc47105322"/>
            <w:r>
              <w:rPr>
                <w:rStyle w:val="2Char"/>
                <w:rFonts w:hint="eastAsia"/>
                <w:u w:val="single"/>
              </w:rPr>
              <w:t>3</w:t>
            </w:r>
            <w:r>
              <w:rPr>
                <w:rStyle w:val="2Char"/>
                <w:rFonts w:hint="eastAsia"/>
                <w:u w:val="single"/>
              </w:rPr>
              <w:t>、</w:t>
            </w:r>
            <w:r>
              <w:rPr>
                <w:rStyle w:val="2Char"/>
                <w:u w:val="single"/>
              </w:rPr>
              <w:t>发票专用章（加税号）</w:t>
            </w:r>
            <w:bookmarkEnd w:id="4"/>
            <w:bookmarkEnd w:id="5"/>
          </w:p>
          <w:p w:rsidR="00AD34B0" w:rsidRDefault="00AD34B0" w:rsidP="00FF1236">
            <w:pPr>
              <w:pStyle w:val="a6"/>
            </w:pPr>
            <w:r>
              <w:rPr>
                <w:rFonts w:hint="eastAsia"/>
              </w:rPr>
              <w:t>（1）发票专用章的形状为椭圆形，长轴为4.0</w:t>
            </w:r>
            <w:r>
              <w:t>cm</w:t>
            </w:r>
            <w:r>
              <w:rPr>
                <w:rFonts w:hint="eastAsia"/>
              </w:rPr>
              <w:t>、短轴为3.0</w:t>
            </w:r>
            <w:r>
              <w:t xml:space="preserve"> cm</w:t>
            </w:r>
            <w:r>
              <w:rPr>
                <w:rFonts w:hint="eastAsia"/>
              </w:rPr>
              <w:t>、边宽0.1cm；</w:t>
            </w:r>
          </w:p>
          <w:p w:rsidR="00AD34B0" w:rsidRDefault="00AD34B0" w:rsidP="00FF1236">
            <w:pPr>
              <w:pStyle w:val="a6"/>
            </w:pPr>
            <w:r>
              <w:rPr>
                <w:rFonts w:hint="eastAsia"/>
              </w:rPr>
              <w:t>中间为税号， 18位阿拉伯数字字高3.7mm，字宽1.3mm，18位阿拉伯数字总宽度26m m（字体为Arial）；</w:t>
            </w:r>
          </w:p>
          <w:p w:rsidR="00AD34B0" w:rsidRDefault="00AD34B0" w:rsidP="00FF1236">
            <w:pPr>
              <w:pStyle w:val="a6"/>
            </w:pPr>
            <w:r>
              <w:rPr>
                <w:rFonts w:hint="eastAsia"/>
              </w:rPr>
              <w:t>（2）税号</w:t>
            </w:r>
            <w:proofErr w:type="gramStart"/>
            <w:r>
              <w:rPr>
                <w:rFonts w:hint="eastAsia"/>
              </w:rPr>
              <w:t>上方环排中文</w:t>
            </w:r>
            <w:proofErr w:type="gramEnd"/>
            <w:r>
              <w:rPr>
                <w:rFonts w:hint="eastAsia"/>
              </w:rPr>
              <w:t>文字高为4.2mm，</w:t>
            </w:r>
            <w:proofErr w:type="gramStart"/>
            <w:r>
              <w:rPr>
                <w:rFonts w:hint="eastAsia"/>
              </w:rPr>
              <w:t>环排角度</w:t>
            </w:r>
            <w:proofErr w:type="gramEnd"/>
            <w:r>
              <w:rPr>
                <w:rFonts w:hint="eastAsia"/>
              </w:rPr>
              <w:t>（夹角）210-260度，字与边线内侧的距离0.5mm（字体为仿宋体）；</w:t>
            </w:r>
          </w:p>
          <w:p w:rsidR="00AD34B0" w:rsidRDefault="00AD34B0" w:rsidP="00FF1236">
            <w:pPr>
              <w:pStyle w:val="a6"/>
            </w:pPr>
            <w:r>
              <w:rPr>
                <w:rFonts w:hint="eastAsia"/>
              </w:rPr>
              <w:t>（3）税号下横排“发票专用章”文字</w:t>
            </w:r>
            <w:proofErr w:type="gramStart"/>
            <w:r>
              <w:rPr>
                <w:rFonts w:hint="eastAsia"/>
              </w:rPr>
              <w:t>字</w:t>
            </w:r>
            <w:proofErr w:type="gramEnd"/>
            <w:r>
              <w:rPr>
                <w:rFonts w:hint="eastAsia"/>
              </w:rPr>
              <w:t>高4.6mm，字宽3mm，延章中心线到</w:t>
            </w:r>
            <w:r>
              <w:rPr>
                <w:rFonts w:hint="eastAsia"/>
              </w:rPr>
              <w:lastRenderedPageBreak/>
              <w:t>下横排字顶端距离4.2mm（字体为仿宋体）</w:t>
            </w:r>
            <w:r>
              <w:t>，材质为：硬质</w:t>
            </w:r>
            <w:r>
              <w:rPr>
                <w:rFonts w:hint="eastAsia"/>
              </w:rPr>
              <w:t>/回墨；</w:t>
            </w:r>
          </w:p>
          <w:p w:rsidR="00AD34B0" w:rsidRDefault="00AD34B0" w:rsidP="00FF1236">
            <w:pPr>
              <w:pStyle w:val="a6"/>
              <w:rPr>
                <w:rStyle w:val="2Char"/>
                <w:u w:val="single"/>
              </w:rPr>
            </w:pPr>
            <w:r>
              <w:rPr>
                <w:rFonts w:hint="eastAsia"/>
              </w:rPr>
              <w:t>（4）发票专用章下横排号码字高2.2mm，字宽1.7mm，延章中心线到下横排号码顶端距离10mm（字体为Arial），省去此不需编号时可省去此横排号码：</w:t>
            </w:r>
          </w:p>
        </w:tc>
        <w:tc>
          <w:tcPr>
            <w:tcW w:w="3138" w:type="dxa"/>
          </w:tcPr>
          <w:p w:rsidR="00AD34B0" w:rsidRDefault="00AD34B0" w:rsidP="00FF1236">
            <w:pPr>
              <w:jc w:val="center"/>
            </w:pPr>
          </w:p>
          <w:p w:rsidR="00AD34B0" w:rsidRDefault="00AD34B0" w:rsidP="00FF1236">
            <w:pPr>
              <w:jc w:val="center"/>
            </w:pPr>
          </w:p>
          <w:p w:rsidR="00AD34B0" w:rsidRDefault="00AD34B0" w:rsidP="00FF12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59890" cy="1290955"/>
                  <wp:effectExtent l="19050" t="0" r="0" b="0"/>
                  <wp:docPr id="33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2909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4B0" w:rsidRDefault="00AD34B0" w:rsidP="00FF1236">
            <w:pPr>
              <w:jc w:val="center"/>
            </w:pPr>
          </w:p>
          <w:p w:rsidR="00AD34B0" w:rsidRDefault="00AD34B0" w:rsidP="00FF1236">
            <w:pPr>
              <w:jc w:val="center"/>
            </w:pPr>
          </w:p>
          <w:p w:rsidR="00AD34B0" w:rsidRDefault="00AD34B0" w:rsidP="00FF12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59890" cy="1298575"/>
                  <wp:effectExtent l="19050" t="0" r="0" b="0"/>
                  <wp:docPr id="3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2985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  <w:vMerge/>
            <w:shd w:val="clear" w:color="auto" w:fill="auto"/>
          </w:tcPr>
          <w:p w:rsidR="00AD34B0" w:rsidRDefault="00AD34B0" w:rsidP="00FF1236">
            <w:pPr>
              <w:widowControl/>
              <w:jc w:val="left"/>
            </w:pPr>
          </w:p>
        </w:tc>
        <w:tc>
          <w:tcPr>
            <w:tcW w:w="1477" w:type="dxa"/>
            <w:vMerge/>
            <w:shd w:val="clear" w:color="auto" w:fill="auto"/>
          </w:tcPr>
          <w:p w:rsidR="00AD34B0" w:rsidRDefault="00AD34B0" w:rsidP="00FF1236">
            <w:pPr>
              <w:widowControl/>
              <w:jc w:val="left"/>
            </w:pPr>
          </w:p>
        </w:tc>
      </w:tr>
      <w:tr w:rsidR="00AD34B0" w:rsidTr="00FF1236">
        <w:tc>
          <w:tcPr>
            <w:tcW w:w="4077" w:type="dxa"/>
          </w:tcPr>
          <w:p w:rsidR="00AD34B0" w:rsidRDefault="00AD34B0" w:rsidP="00FF1236">
            <w:pPr>
              <w:pStyle w:val="a6"/>
              <w:rPr>
                <w:rStyle w:val="2Char"/>
                <w:u w:val="single"/>
              </w:rPr>
            </w:pPr>
            <w:bookmarkStart w:id="6" w:name="_Toc13753639"/>
            <w:bookmarkStart w:id="7" w:name="_Toc47105323"/>
            <w:r>
              <w:rPr>
                <w:rStyle w:val="2Char"/>
                <w:rFonts w:hint="eastAsia"/>
                <w:u w:val="single"/>
              </w:rPr>
              <w:lastRenderedPageBreak/>
              <w:t>4</w:t>
            </w:r>
            <w:r>
              <w:rPr>
                <w:rStyle w:val="2Char"/>
                <w:rFonts w:hint="eastAsia"/>
                <w:u w:val="single"/>
              </w:rPr>
              <w:t>、财务专用章</w:t>
            </w:r>
            <w:bookmarkEnd w:id="6"/>
            <w:bookmarkEnd w:id="7"/>
          </w:p>
          <w:p w:rsidR="00AD34B0" w:rsidRDefault="00AD34B0" w:rsidP="00FF1236">
            <w:pPr>
              <w:pStyle w:val="a6"/>
              <w:spacing w:line="360" w:lineRule="auto"/>
            </w:pPr>
            <w:r>
              <w:t>一律为圆形</w:t>
            </w:r>
            <w:r>
              <w:rPr>
                <w:rFonts w:hint="eastAsia"/>
              </w:rPr>
              <w:t>，直径3.8</w:t>
            </w:r>
            <w:r>
              <w:t xml:space="preserve"> cm</w:t>
            </w:r>
            <w:r>
              <w:rPr>
                <w:rFonts w:hint="eastAsia"/>
              </w:rPr>
              <w:t>，圆边宽0.12</w:t>
            </w:r>
            <w:r>
              <w:t>cm</w:t>
            </w:r>
            <w:r>
              <w:rPr>
                <w:rFonts w:hint="eastAsia"/>
              </w:rPr>
              <w:t>，</w:t>
            </w:r>
            <w:r>
              <w:t>中央刊五角星（五角星直径1.</w:t>
            </w:r>
            <w:r>
              <w:rPr>
                <w:rFonts w:hint="eastAsia"/>
              </w:rPr>
              <w:t>1</w:t>
            </w:r>
            <w:r>
              <w:t>cm）</w:t>
            </w:r>
            <w:r>
              <w:rPr>
                <w:rFonts w:hint="eastAsia"/>
              </w:rPr>
              <w:t>，</w:t>
            </w:r>
            <w:r>
              <w:t>五角星外刊企业名称自左而右环行印文</w:t>
            </w:r>
            <w:r>
              <w:rPr>
                <w:rFonts w:hint="eastAsia"/>
              </w:rPr>
              <w:t>，</w:t>
            </w:r>
            <w:r>
              <w:t>使用简化的宋体字</w:t>
            </w:r>
            <w:r>
              <w:rPr>
                <w:rFonts w:hint="eastAsia"/>
              </w:rPr>
              <w:t>，下横排刊财务专用章</w:t>
            </w:r>
            <w:r>
              <w:t>，材质为：硬质</w:t>
            </w:r>
            <w:r>
              <w:rPr>
                <w:rFonts w:hint="eastAsia"/>
              </w:rPr>
              <w:t>/回墨。</w:t>
            </w:r>
          </w:p>
          <w:p w:rsidR="00AD34B0" w:rsidRDefault="00AD34B0" w:rsidP="00FF1236">
            <w:pPr>
              <w:rPr>
                <w:rStyle w:val="2Char"/>
                <w:u w:val="single"/>
              </w:rPr>
            </w:pPr>
          </w:p>
        </w:tc>
        <w:tc>
          <w:tcPr>
            <w:tcW w:w="3138" w:type="dxa"/>
          </w:tcPr>
          <w:p w:rsidR="00AD34B0" w:rsidRDefault="00AD34B0" w:rsidP="00FF1236">
            <w:pPr>
              <w:jc w:val="center"/>
            </w:pPr>
          </w:p>
          <w:p w:rsidR="00AD34B0" w:rsidRDefault="00AD34B0" w:rsidP="00FF12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83055" cy="1583055"/>
                  <wp:effectExtent l="19050" t="0" r="0" b="0"/>
                  <wp:docPr id="35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55" cy="15830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  <w:vMerge/>
            <w:shd w:val="clear" w:color="auto" w:fill="auto"/>
          </w:tcPr>
          <w:p w:rsidR="00AD34B0" w:rsidRDefault="00AD34B0" w:rsidP="00FF1236">
            <w:pPr>
              <w:widowControl/>
              <w:jc w:val="left"/>
            </w:pPr>
          </w:p>
        </w:tc>
        <w:tc>
          <w:tcPr>
            <w:tcW w:w="1477" w:type="dxa"/>
            <w:vMerge/>
            <w:shd w:val="clear" w:color="auto" w:fill="auto"/>
          </w:tcPr>
          <w:p w:rsidR="00AD34B0" w:rsidRDefault="00AD34B0" w:rsidP="00FF1236">
            <w:pPr>
              <w:widowControl/>
              <w:jc w:val="left"/>
            </w:pPr>
          </w:p>
        </w:tc>
      </w:tr>
      <w:tr w:rsidR="00AD34B0" w:rsidTr="00FF1236">
        <w:tc>
          <w:tcPr>
            <w:tcW w:w="4077" w:type="dxa"/>
          </w:tcPr>
          <w:p w:rsidR="00AD34B0" w:rsidRDefault="00AD34B0" w:rsidP="00FF1236">
            <w:pPr>
              <w:pStyle w:val="a6"/>
              <w:rPr>
                <w:rStyle w:val="2Char"/>
                <w:u w:val="single"/>
              </w:rPr>
            </w:pPr>
            <w:bookmarkStart w:id="8" w:name="_Toc47105324"/>
            <w:bookmarkStart w:id="9" w:name="_Toc13753640"/>
            <w:r>
              <w:rPr>
                <w:rStyle w:val="2Char"/>
                <w:rFonts w:hint="eastAsia"/>
                <w:u w:val="single"/>
              </w:rPr>
              <w:t>5</w:t>
            </w:r>
            <w:r>
              <w:rPr>
                <w:rStyle w:val="2Char"/>
                <w:rFonts w:hint="eastAsia"/>
                <w:u w:val="single"/>
              </w:rPr>
              <w:t>、法人名章</w:t>
            </w:r>
            <w:bookmarkEnd w:id="8"/>
            <w:bookmarkEnd w:id="9"/>
          </w:p>
          <w:p w:rsidR="00AD34B0" w:rsidRDefault="00AD34B0" w:rsidP="00FF1236">
            <w:pPr>
              <w:pStyle w:val="a6"/>
              <w:spacing w:line="360" w:lineRule="auto"/>
              <w:rPr>
                <w:rStyle w:val="2Char"/>
                <w:u w:val="single"/>
              </w:rPr>
            </w:pPr>
            <w:r>
              <w:t>通常为正方形,尺寸为18*18mm或者20*20mm.法人章主要用于公司支票上,故又称为印鉴章.根据银行要求,法人</w:t>
            </w:r>
            <w:proofErr w:type="gramStart"/>
            <w:r>
              <w:t>章需要</w:t>
            </w:r>
            <w:proofErr w:type="gramEnd"/>
            <w:r>
              <w:t>使用质地坚硬的材料</w:t>
            </w:r>
            <w:r>
              <w:rPr>
                <w:rFonts w:hint="eastAsia"/>
              </w:rPr>
              <w:t>,</w:t>
            </w:r>
            <w:r>
              <w:t>法人章字体上没有统一要求,可根据个人自行选择.可以选择的字体为:楷体,宋体,魏碑,篆书,隶书,等笔画较为方正的</w:t>
            </w:r>
            <w:r>
              <w:rPr>
                <w:rFonts w:hint="eastAsia"/>
              </w:rPr>
              <w:t>字体</w:t>
            </w:r>
            <w:r>
              <w:t>，材质为：硬质</w:t>
            </w:r>
            <w:r>
              <w:rPr>
                <w:rFonts w:hint="eastAsia"/>
              </w:rPr>
              <w:t>/回墨。</w:t>
            </w:r>
          </w:p>
        </w:tc>
        <w:tc>
          <w:tcPr>
            <w:tcW w:w="3138" w:type="dxa"/>
          </w:tcPr>
          <w:p w:rsidR="00AD34B0" w:rsidRDefault="00AD34B0" w:rsidP="00FF1236">
            <w:pPr>
              <w:jc w:val="center"/>
            </w:pPr>
          </w:p>
          <w:p w:rsidR="00AD34B0" w:rsidRDefault="00AD34B0" w:rsidP="00FF1236">
            <w:pPr>
              <w:jc w:val="center"/>
            </w:pPr>
          </w:p>
          <w:p w:rsidR="00AD34B0" w:rsidRDefault="00AD34B0" w:rsidP="00FF1236">
            <w:pPr>
              <w:jc w:val="center"/>
            </w:pPr>
          </w:p>
          <w:p w:rsidR="00AD34B0" w:rsidRDefault="00AD34B0" w:rsidP="00FF12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9640" cy="1160145"/>
                  <wp:effectExtent l="19050" t="0" r="3810" b="0"/>
                  <wp:docPr id="36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11601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  <w:vMerge/>
            <w:shd w:val="clear" w:color="auto" w:fill="auto"/>
          </w:tcPr>
          <w:p w:rsidR="00AD34B0" w:rsidRDefault="00AD34B0" w:rsidP="00FF1236">
            <w:pPr>
              <w:widowControl/>
              <w:jc w:val="left"/>
            </w:pPr>
          </w:p>
        </w:tc>
        <w:tc>
          <w:tcPr>
            <w:tcW w:w="1477" w:type="dxa"/>
            <w:vMerge/>
            <w:shd w:val="clear" w:color="auto" w:fill="auto"/>
          </w:tcPr>
          <w:p w:rsidR="00AD34B0" w:rsidRDefault="00AD34B0" w:rsidP="00FF1236">
            <w:pPr>
              <w:widowControl/>
              <w:jc w:val="left"/>
            </w:pPr>
          </w:p>
        </w:tc>
      </w:tr>
    </w:tbl>
    <w:p w:rsidR="00D06C35" w:rsidRDefault="004000E5"/>
    <w:sectPr w:rsidR="00D06C35" w:rsidSect="000C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0E5" w:rsidRDefault="004000E5" w:rsidP="00AD34B0">
      <w:r>
        <w:separator/>
      </w:r>
    </w:p>
  </w:endnote>
  <w:endnote w:type="continuationSeparator" w:id="0">
    <w:p w:rsidR="004000E5" w:rsidRDefault="004000E5" w:rsidP="00AD3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0E5" w:rsidRDefault="004000E5" w:rsidP="00AD34B0">
      <w:r>
        <w:separator/>
      </w:r>
    </w:p>
  </w:footnote>
  <w:footnote w:type="continuationSeparator" w:id="0">
    <w:p w:rsidR="004000E5" w:rsidRDefault="004000E5" w:rsidP="00AD3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4B0"/>
    <w:rsid w:val="000C5E10"/>
    <w:rsid w:val="004000E5"/>
    <w:rsid w:val="00AD34B0"/>
    <w:rsid w:val="00B22FB8"/>
    <w:rsid w:val="00CA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B0"/>
    <w:pPr>
      <w:widowControl w:val="0"/>
      <w:jc w:val="both"/>
    </w:pPr>
  </w:style>
  <w:style w:type="paragraph" w:styleId="2">
    <w:name w:val="heading 2"/>
    <w:basedOn w:val="a"/>
    <w:next w:val="a0"/>
    <w:link w:val="2Char"/>
    <w:uiPriority w:val="99"/>
    <w:qFormat/>
    <w:rsid w:val="00AD34B0"/>
    <w:pPr>
      <w:keepNext/>
      <w:spacing w:line="720" w:lineRule="exact"/>
      <w:outlineLvl w:val="1"/>
    </w:pPr>
    <w:rPr>
      <w:rFonts w:ascii="黑体" w:eastAsia="楷体_GB2312" w:hAnsi="Copperplate Gothic Bold" w:cs="楷体_GB231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D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D34B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3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D34B0"/>
    <w:rPr>
      <w:sz w:val="18"/>
      <w:szCs w:val="18"/>
    </w:rPr>
  </w:style>
  <w:style w:type="character" w:customStyle="1" w:styleId="2Char">
    <w:name w:val="标题 2 Char"/>
    <w:basedOn w:val="a1"/>
    <w:link w:val="2"/>
    <w:uiPriority w:val="99"/>
    <w:rsid w:val="00AD34B0"/>
    <w:rPr>
      <w:rFonts w:ascii="黑体" w:eastAsia="楷体_GB2312" w:hAnsi="Copperplate Gothic Bold" w:cs="楷体_GB2312"/>
      <w:sz w:val="28"/>
      <w:szCs w:val="28"/>
    </w:rPr>
  </w:style>
  <w:style w:type="paragraph" w:styleId="a6">
    <w:name w:val="Normal (Web)"/>
    <w:basedOn w:val="a"/>
    <w:uiPriority w:val="99"/>
    <w:rsid w:val="00AD34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AD34B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D34B0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AD34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2022-11-03T07:21:00Z</dcterms:created>
  <dcterms:modified xsi:type="dcterms:W3CDTF">2022-11-03T07:21:00Z</dcterms:modified>
</cp:coreProperties>
</file>