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auto"/>
        <w:jc w:val="center"/>
        <w:rPr>
          <w:rFonts w:asciiTheme="majorEastAsia" w:hAnsiTheme="majorEastAsia" w:eastAsiaTheme="majorEastAsia" w:cstheme="majorEastAsia"/>
          <w:b/>
          <w:bCs/>
          <w:color w:val="000000" w:themeColor="text1"/>
          <w:kern w:val="1"/>
          <w:sz w:val="44"/>
          <w:szCs w:val="44"/>
        </w:rPr>
      </w:pPr>
    </w:p>
    <w:p>
      <w:pPr>
        <w:spacing w:line="960" w:lineRule="auto"/>
        <w:jc w:val="center"/>
        <w:rPr>
          <w:rFonts w:asciiTheme="majorEastAsia" w:hAnsiTheme="majorEastAsia" w:eastAsiaTheme="majorEastAsia" w:cstheme="majorEastAsia"/>
          <w:b/>
          <w:bCs/>
          <w:color w:val="000000" w:themeColor="text1"/>
          <w:kern w:val="1"/>
          <w:sz w:val="44"/>
          <w:szCs w:val="44"/>
        </w:rPr>
      </w:pPr>
    </w:p>
    <w:p>
      <w:pPr>
        <w:spacing w:line="960" w:lineRule="auto"/>
        <w:jc w:val="center"/>
        <w:rPr>
          <w:rFonts w:hint="eastAsia" w:asciiTheme="majorEastAsia" w:hAnsiTheme="majorEastAsia" w:eastAsiaTheme="majorEastAsia" w:cstheme="majorEastAsia"/>
          <w:color w:val="000000" w:themeColor="text1"/>
          <w:kern w:val="1"/>
          <w:sz w:val="44"/>
          <w:szCs w:val="44"/>
          <w:lang w:eastAsia="zh-CN"/>
        </w:rPr>
      </w:pPr>
      <w:r>
        <w:rPr>
          <w:rFonts w:hint="eastAsia" w:asciiTheme="majorEastAsia" w:hAnsiTheme="majorEastAsia" w:eastAsiaTheme="majorEastAsia" w:cstheme="majorEastAsia"/>
          <w:b/>
          <w:bCs/>
          <w:color w:val="000000" w:themeColor="text1"/>
          <w:kern w:val="1"/>
          <w:sz w:val="44"/>
          <w:szCs w:val="44"/>
          <w:lang w:eastAsia="zh-CN"/>
        </w:rPr>
        <w:t>延川县河道管理站延川县乡镇及移民安置点生活污水处理站建设项目工程勘察</w:t>
      </w:r>
    </w:p>
    <w:p>
      <w:pPr>
        <w:pStyle w:val="20"/>
        <w:ind w:firstLine="440"/>
        <w:rPr>
          <w:rFonts w:asciiTheme="majorEastAsia" w:hAnsiTheme="majorEastAsia" w:eastAsiaTheme="majorEastAsia" w:cstheme="majorEastAsia"/>
          <w:color w:val="000000" w:themeColor="text1"/>
          <w:kern w:val="1"/>
          <w:sz w:val="44"/>
          <w:szCs w:val="44"/>
        </w:rPr>
      </w:pPr>
    </w:p>
    <w:p>
      <w:pPr>
        <w:pStyle w:val="20"/>
        <w:ind w:firstLine="180"/>
        <w:rPr>
          <w:rFonts w:asciiTheme="majorEastAsia" w:hAnsiTheme="majorEastAsia" w:eastAsiaTheme="majorEastAsia" w:cstheme="majorEastAsia"/>
          <w:color w:val="000000" w:themeColor="text1"/>
        </w:rPr>
      </w:pPr>
    </w:p>
    <w:p>
      <w:pPr>
        <w:spacing w:line="960" w:lineRule="auto"/>
        <w:jc w:val="center"/>
        <w:rPr>
          <w:rFonts w:asciiTheme="majorEastAsia" w:hAnsiTheme="majorEastAsia" w:eastAsiaTheme="majorEastAsia" w:cstheme="majorEastAsia"/>
          <w:color w:val="000000" w:themeColor="text1"/>
          <w:sz w:val="40"/>
          <w:szCs w:val="40"/>
        </w:rPr>
      </w:pPr>
      <w:r>
        <w:rPr>
          <w:rFonts w:hint="eastAsia" w:asciiTheme="majorEastAsia" w:hAnsiTheme="majorEastAsia" w:eastAsiaTheme="majorEastAsia" w:cstheme="majorEastAsia"/>
          <w:b/>
          <w:bCs/>
          <w:color w:val="000000" w:themeColor="text1"/>
          <w:kern w:val="1"/>
          <w:sz w:val="36"/>
          <w:szCs w:val="36"/>
        </w:rPr>
        <w:t>政府采购竞争性磋商文件</w:t>
      </w:r>
    </w:p>
    <w:p>
      <w:pPr>
        <w:spacing w:line="360" w:lineRule="atLeast"/>
        <w:rPr>
          <w:rFonts w:asciiTheme="majorEastAsia" w:hAnsiTheme="majorEastAsia" w:eastAsiaTheme="majorEastAsia" w:cstheme="majorEastAsia"/>
          <w:color w:val="000000" w:themeColor="text1"/>
          <w:sz w:val="52"/>
          <w:szCs w:val="52"/>
        </w:rPr>
      </w:pPr>
    </w:p>
    <w:p>
      <w:pPr>
        <w:spacing w:line="480" w:lineRule="auto"/>
        <w:rPr>
          <w:rFonts w:asciiTheme="majorEastAsia" w:hAnsiTheme="majorEastAsia" w:eastAsiaTheme="majorEastAsia" w:cstheme="majorEastAsia"/>
          <w:color w:val="000000" w:themeColor="text1"/>
          <w:kern w:val="1"/>
          <w:sz w:val="32"/>
          <w:szCs w:val="32"/>
        </w:rPr>
      </w:pPr>
    </w:p>
    <w:p>
      <w:pPr>
        <w:spacing w:line="600" w:lineRule="auto"/>
        <w:ind w:firstLine="960" w:firstLineChars="300"/>
        <w:rPr>
          <w:rFonts w:asciiTheme="majorEastAsia" w:hAnsiTheme="majorEastAsia" w:eastAsiaTheme="majorEastAsia" w:cstheme="majorEastAsia"/>
          <w:color w:val="000000" w:themeColor="text1"/>
          <w:kern w:val="1"/>
          <w:sz w:val="32"/>
          <w:szCs w:val="32"/>
        </w:rPr>
      </w:pPr>
    </w:p>
    <w:p>
      <w:pPr>
        <w:spacing w:line="600" w:lineRule="auto"/>
        <w:ind w:firstLine="960" w:firstLineChars="300"/>
        <w:rPr>
          <w:rFonts w:asciiTheme="majorEastAsia" w:hAnsiTheme="majorEastAsia" w:eastAsiaTheme="majorEastAsia" w:cstheme="majorEastAsia"/>
          <w:color w:val="000000" w:themeColor="text1"/>
          <w:kern w:val="1"/>
          <w:sz w:val="32"/>
          <w:szCs w:val="32"/>
        </w:rPr>
      </w:pPr>
    </w:p>
    <w:p>
      <w:pPr>
        <w:spacing w:line="600" w:lineRule="auto"/>
        <w:ind w:firstLine="1285" w:firstLineChars="400"/>
        <w:rPr>
          <w:rFonts w:hint="eastAsia" w:asciiTheme="majorEastAsia" w:hAnsiTheme="majorEastAsia" w:eastAsiaTheme="majorEastAsia" w:cstheme="majorEastAsia"/>
          <w:b/>
          <w:bCs/>
          <w:color w:val="0000FF"/>
          <w:kern w:val="1"/>
          <w:sz w:val="32"/>
          <w:szCs w:val="32"/>
          <w:lang w:eastAsia="zh-CN"/>
        </w:rPr>
      </w:pPr>
      <w:r>
        <w:rPr>
          <w:rFonts w:hint="eastAsia" w:asciiTheme="majorEastAsia" w:hAnsiTheme="majorEastAsia" w:eastAsiaTheme="majorEastAsia" w:cstheme="majorEastAsia"/>
          <w:b/>
          <w:bCs/>
          <w:color w:val="000000" w:themeColor="text1"/>
          <w:kern w:val="1"/>
          <w:sz w:val="32"/>
          <w:szCs w:val="32"/>
        </w:rPr>
        <w:t>项 目 编 号：</w:t>
      </w:r>
      <w:r>
        <w:rPr>
          <w:rFonts w:hint="eastAsia" w:asciiTheme="majorEastAsia" w:hAnsiTheme="majorEastAsia" w:eastAsiaTheme="majorEastAsia" w:cstheme="majorEastAsia"/>
          <w:b/>
          <w:bCs/>
          <w:color w:val="0000FF"/>
          <w:kern w:val="1"/>
          <w:sz w:val="32"/>
          <w:szCs w:val="32"/>
          <w:lang w:eastAsia="zh-CN"/>
        </w:rPr>
        <w:t>ZCSP-延川县-2022-00322</w:t>
      </w:r>
    </w:p>
    <w:p>
      <w:pPr>
        <w:pStyle w:val="18"/>
        <w:spacing w:before="0" w:beforeAutospacing="0" w:after="0" w:afterAutospacing="0" w:line="360" w:lineRule="auto"/>
        <w:rPr>
          <w:rFonts w:hint="eastAsia" w:asciiTheme="majorEastAsia" w:hAnsiTheme="majorEastAsia" w:eastAsiaTheme="majorEastAsia" w:cstheme="majorEastAsia"/>
          <w:b/>
          <w:bCs/>
          <w:color w:val="000000" w:themeColor="text1"/>
          <w:kern w:val="1"/>
          <w:sz w:val="32"/>
          <w:szCs w:val="32"/>
          <w:lang w:eastAsia="zh-CN"/>
        </w:rPr>
      </w:pPr>
      <w:r>
        <w:rPr>
          <w:rFonts w:hint="eastAsia" w:asciiTheme="majorEastAsia" w:hAnsiTheme="majorEastAsia" w:eastAsiaTheme="majorEastAsia" w:cstheme="majorEastAsia"/>
          <w:b/>
          <w:bCs/>
          <w:color w:val="000000" w:themeColor="text1"/>
          <w:kern w:val="1"/>
          <w:sz w:val="32"/>
          <w:szCs w:val="32"/>
        </w:rPr>
        <w:t xml:space="preserve">        采   购   人：</w:t>
      </w:r>
      <w:r>
        <w:rPr>
          <w:rFonts w:hint="eastAsia" w:asciiTheme="majorEastAsia" w:hAnsiTheme="majorEastAsia" w:eastAsiaTheme="majorEastAsia" w:cstheme="majorEastAsia"/>
          <w:b/>
          <w:bCs/>
          <w:color w:val="000000" w:themeColor="text1"/>
          <w:kern w:val="1"/>
          <w:sz w:val="32"/>
          <w:szCs w:val="32"/>
          <w:lang w:eastAsia="zh-CN"/>
        </w:rPr>
        <w:t>延川县河道管理站</w:t>
      </w:r>
    </w:p>
    <w:p>
      <w:pPr>
        <w:spacing w:line="600" w:lineRule="auto"/>
        <w:ind w:firstLine="1285" w:firstLineChars="400"/>
        <w:rPr>
          <w:rFonts w:asciiTheme="majorEastAsia" w:hAnsiTheme="majorEastAsia" w:eastAsiaTheme="majorEastAsia" w:cstheme="majorEastAsia"/>
          <w:b/>
          <w:bCs/>
          <w:color w:val="000000" w:themeColor="text1"/>
          <w:kern w:val="1"/>
          <w:sz w:val="32"/>
          <w:szCs w:val="32"/>
        </w:rPr>
      </w:pPr>
      <w:r>
        <w:rPr>
          <w:rFonts w:hint="eastAsia" w:asciiTheme="majorEastAsia" w:hAnsiTheme="majorEastAsia" w:eastAsiaTheme="majorEastAsia" w:cstheme="majorEastAsia"/>
          <w:b/>
          <w:bCs/>
          <w:color w:val="000000" w:themeColor="text1"/>
          <w:kern w:val="1"/>
          <w:sz w:val="32"/>
          <w:szCs w:val="32"/>
        </w:rPr>
        <w:t>采购代理机构：延川县政府采购中心</w:t>
      </w:r>
    </w:p>
    <w:p>
      <w:pPr>
        <w:pStyle w:val="11"/>
        <w:spacing w:line="600" w:lineRule="auto"/>
        <w:ind w:left="-1" w:hanging="419"/>
        <w:jc w:val="center"/>
        <w:rPr>
          <w:rFonts w:asciiTheme="majorEastAsia" w:hAnsiTheme="majorEastAsia" w:eastAsiaTheme="majorEastAsia" w:cstheme="majorEastAsia"/>
          <w:color w:val="000000" w:themeColor="text1"/>
          <w:sz w:val="42"/>
          <w:szCs w:val="42"/>
        </w:rPr>
        <w:sectPr>
          <w:headerReference r:id="rId3" w:type="default"/>
          <w:footerReference r:id="rId4" w:type="default"/>
          <w:pgSz w:w="11906" w:h="16838"/>
          <w:pgMar w:top="1440" w:right="1133" w:bottom="1440" w:left="1600" w:header="851" w:footer="992" w:gutter="0"/>
          <w:cols w:space="720" w:num="1"/>
          <w:docGrid w:type="lines" w:linePitch="312" w:charSpace="0"/>
        </w:sectPr>
      </w:pPr>
      <w:r>
        <w:rPr>
          <w:rFonts w:hint="eastAsia" w:asciiTheme="majorEastAsia" w:hAnsiTheme="majorEastAsia" w:eastAsiaTheme="majorEastAsia" w:cstheme="majorEastAsia"/>
          <w:b/>
          <w:bCs/>
          <w:color w:val="000000" w:themeColor="text1"/>
          <w:sz w:val="32"/>
          <w:szCs w:val="32"/>
        </w:rPr>
        <w:t xml:space="preserve">  </w:t>
      </w:r>
      <w:r>
        <w:rPr>
          <w:rFonts w:hint="eastAsia" w:asciiTheme="majorEastAsia" w:hAnsiTheme="majorEastAsia" w:eastAsiaTheme="majorEastAsia" w:cstheme="majorEastAsia"/>
          <w:b/>
          <w:bCs/>
          <w:color w:val="000000" w:themeColor="text1"/>
          <w:sz w:val="32"/>
          <w:szCs w:val="32"/>
          <w:lang w:val="en-US" w:eastAsia="zh-CN"/>
        </w:rPr>
        <w:t>2022</w:t>
      </w:r>
      <w:r>
        <w:rPr>
          <w:rFonts w:hint="eastAsia" w:asciiTheme="majorEastAsia" w:hAnsiTheme="majorEastAsia" w:eastAsiaTheme="majorEastAsia" w:cstheme="majorEastAsia"/>
          <w:b/>
          <w:bCs/>
          <w:color w:val="000000" w:themeColor="text1"/>
          <w:sz w:val="32"/>
          <w:szCs w:val="32"/>
        </w:rPr>
        <w:t>年</w:t>
      </w:r>
      <w:r>
        <w:rPr>
          <w:rFonts w:hint="eastAsia" w:asciiTheme="majorEastAsia" w:hAnsiTheme="majorEastAsia" w:eastAsiaTheme="majorEastAsia" w:cstheme="majorEastAsia"/>
          <w:b/>
          <w:bCs/>
          <w:color w:val="000000" w:themeColor="text1"/>
          <w:sz w:val="32"/>
          <w:szCs w:val="32"/>
          <w:lang w:val="en-US" w:eastAsia="zh-CN"/>
        </w:rPr>
        <w:t>8</w:t>
      </w:r>
      <w:r>
        <w:rPr>
          <w:rFonts w:hint="eastAsia" w:asciiTheme="majorEastAsia" w:hAnsiTheme="majorEastAsia" w:eastAsiaTheme="majorEastAsia" w:cstheme="majorEastAsia"/>
          <w:b/>
          <w:bCs/>
          <w:color w:val="000000" w:themeColor="text1"/>
          <w:sz w:val="32"/>
          <w:szCs w:val="32"/>
        </w:rPr>
        <w:t>月</w:t>
      </w:r>
    </w:p>
    <w:p>
      <w:pPr>
        <w:pStyle w:val="20"/>
        <w:ind w:firstLine="181"/>
        <w:rPr>
          <w:rFonts w:asciiTheme="majorEastAsia" w:hAnsiTheme="majorEastAsia" w:eastAsiaTheme="majorEastAsia" w:cstheme="majorEastAsia"/>
          <w:b/>
          <w:color w:val="000000" w:themeColor="text1"/>
        </w:rPr>
      </w:pPr>
    </w:p>
    <w:p>
      <w:pPr>
        <w:pStyle w:val="20"/>
        <w:ind w:firstLine="241"/>
        <w:rPr>
          <w:rFonts w:asciiTheme="majorEastAsia" w:hAnsiTheme="majorEastAsia" w:eastAsiaTheme="majorEastAsia" w:cstheme="majorEastAsia"/>
          <w:b/>
          <w:color w:val="000000" w:themeColor="text1"/>
          <w:sz w:val="24"/>
          <w:szCs w:val="24"/>
        </w:rPr>
      </w:pPr>
    </w:p>
    <w:sdt>
      <w:sdtPr>
        <w:rPr>
          <w:rFonts w:ascii="宋体" w:hAnsi="宋体"/>
          <w:color w:val="000000" w:themeColor="text1"/>
          <w:kern w:val="0"/>
          <w:sz w:val="32"/>
          <w:szCs w:val="40"/>
        </w:rPr>
        <w:id w:val="147457654"/>
        <w:docPartObj>
          <w:docPartGallery w:val="Table of Contents"/>
          <w:docPartUnique/>
        </w:docPartObj>
      </w:sdtPr>
      <w:sdtEndPr>
        <w:rPr>
          <w:rFonts w:ascii="宋体" w:hAnsi="宋体"/>
          <w:color w:val="000000" w:themeColor="text1"/>
          <w:kern w:val="0"/>
          <w:sz w:val="28"/>
          <w:szCs w:val="28"/>
        </w:rPr>
      </w:sdtEndPr>
      <w:sdtContent>
        <w:p>
          <w:pPr>
            <w:jc w:val="center"/>
            <w:rPr>
              <w:b/>
              <w:bCs/>
              <w:color w:val="000000" w:themeColor="text1"/>
              <w:sz w:val="32"/>
              <w:szCs w:val="40"/>
            </w:rPr>
          </w:pPr>
          <w:r>
            <w:rPr>
              <w:rFonts w:ascii="宋体" w:hAnsi="宋体"/>
              <w:b/>
              <w:bCs/>
              <w:color w:val="000000" w:themeColor="text1"/>
              <w:sz w:val="32"/>
              <w:szCs w:val="40"/>
            </w:rPr>
            <w:t>目录</w:t>
          </w:r>
        </w:p>
        <w:p>
          <w:pPr>
            <w:pStyle w:val="69"/>
            <w:tabs>
              <w:tab w:val="right" w:leader="dot" w:pos="8306"/>
            </w:tabs>
            <w:rPr>
              <w:color w:val="000000" w:themeColor="text1"/>
              <w:sz w:val="28"/>
              <w:szCs w:val="28"/>
            </w:rPr>
          </w:pPr>
          <w:r>
            <w:fldChar w:fldCharType="begin"/>
          </w:r>
          <w:r>
            <w:instrText xml:space="preserve"> HYPERLINK \l "_Toc22737_WPSOffice_Level1" </w:instrText>
          </w:r>
          <w:r>
            <w:fldChar w:fldCharType="separate"/>
          </w:r>
          <w:r>
            <w:rPr>
              <w:rFonts w:hint="eastAsia" w:asciiTheme="majorEastAsia" w:hAnsiTheme="majorEastAsia" w:eastAsiaTheme="majorEastAsia" w:cstheme="majorEastAsia"/>
              <w:color w:val="000000" w:themeColor="text1"/>
              <w:sz w:val="28"/>
              <w:szCs w:val="28"/>
            </w:rPr>
            <w:t>第一章  竞争性磋商公告</w:t>
          </w:r>
          <w:r>
            <w:rPr>
              <w:color w:val="000000" w:themeColor="text1"/>
              <w:sz w:val="28"/>
              <w:szCs w:val="28"/>
            </w:rPr>
            <w:tab/>
          </w:r>
          <w:r>
            <w:rPr>
              <w:rFonts w:hint="eastAsia"/>
              <w:color w:val="000000" w:themeColor="text1"/>
              <w:sz w:val="28"/>
              <w:szCs w:val="28"/>
            </w:rPr>
            <w:t xml:space="preserve"> </w:t>
          </w:r>
          <w:r>
            <w:rPr>
              <w:rFonts w:hint="eastAsia"/>
              <w:color w:val="000000" w:themeColor="text1"/>
              <w:sz w:val="28"/>
              <w:szCs w:val="28"/>
            </w:rPr>
            <w:fldChar w:fldCharType="end"/>
          </w:r>
        </w:p>
        <w:p>
          <w:pPr>
            <w:pStyle w:val="69"/>
            <w:tabs>
              <w:tab w:val="right" w:leader="dot" w:pos="8306"/>
            </w:tabs>
            <w:rPr>
              <w:color w:val="000000" w:themeColor="text1"/>
              <w:sz w:val="28"/>
              <w:szCs w:val="28"/>
            </w:rPr>
          </w:pPr>
          <w:r>
            <w:fldChar w:fldCharType="begin"/>
          </w:r>
          <w:r>
            <w:instrText xml:space="preserve"> HYPERLINK \l "_Toc23910_WPSOffice_Level1" </w:instrText>
          </w:r>
          <w:r>
            <w:fldChar w:fldCharType="separate"/>
          </w:r>
          <w:r>
            <w:rPr>
              <w:rFonts w:hint="eastAsia" w:asciiTheme="majorEastAsia" w:hAnsiTheme="majorEastAsia" w:eastAsiaTheme="majorEastAsia" w:cstheme="majorEastAsia"/>
              <w:color w:val="000000" w:themeColor="text1"/>
              <w:sz w:val="28"/>
              <w:szCs w:val="28"/>
            </w:rPr>
            <w:t>第二章  磋商供应商须知</w:t>
          </w:r>
          <w:r>
            <w:rPr>
              <w:color w:val="000000" w:themeColor="text1"/>
              <w:sz w:val="28"/>
              <w:szCs w:val="28"/>
            </w:rPr>
            <w:tab/>
          </w:r>
          <w:r>
            <w:rPr>
              <w:rFonts w:hint="eastAsia"/>
              <w:color w:val="000000" w:themeColor="text1"/>
              <w:sz w:val="28"/>
              <w:szCs w:val="28"/>
            </w:rPr>
            <w:t xml:space="preserve"> </w:t>
          </w:r>
          <w:r>
            <w:rPr>
              <w:rFonts w:hint="eastAsia"/>
              <w:color w:val="000000" w:themeColor="text1"/>
              <w:sz w:val="28"/>
              <w:szCs w:val="28"/>
            </w:rPr>
            <w:fldChar w:fldCharType="end"/>
          </w:r>
        </w:p>
        <w:p>
          <w:pPr>
            <w:pStyle w:val="69"/>
            <w:tabs>
              <w:tab w:val="right" w:leader="dot" w:pos="8306"/>
            </w:tabs>
            <w:rPr>
              <w:color w:val="000000" w:themeColor="text1"/>
              <w:sz w:val="28"/>
              <w:szCs w:val="28"/>
            </w:rPr>
          </w:pPr>
          <w:r>
            <w:fldChar w:fldCharType="begin"/>
          </w:r>
          <w:r>
            <w:instrText xml:space="preserve"> HYPERLINK \l "_Toc2975_WPSOffice_Level1" </w:instrText>
          </w:r>
          <w:r>
            <w:fldChar w:fldCharType="separate"/>
          </w:r>
          <w:r>
            <w:rPr>
              <w:rFonts w:hint="eastAsia" w:ascii="宋体" w:hAnsi="宋体" w:cs="宋体"/>
              <w:color w:val="000000" w:themeColor="text1"/>
              <w:sz w:val="28"/>
              <w:szCs w:val="28"/>
            </w:rPr>
            <w:t>第三章  评审办法</w:t>
          </w:r>
          <w:r>
            <w:rPr>
              <w:color w:val="000000" w:themeColor="text1"/>
              <w:sz w:val="28"/>
              <w:szCs w:val="28"/>
            </w:rPr>
            <w:tab/>
          </w:r>
          <w:r>
            <w:rPr>
              <w:rFonts w:hint="eastAsia"/>
              <w:color w:val="000000" w:themeColor="text1"/>
              <w:sz w:val="28"/>
              <w:szCs w:val="28"/>
            </w:rPr>
            <w:t xml:space="preserve"> </w:t>
          </w:r>
          <w:r>
            <w:rPr>
              <w:rFonts w:hint="eastAsia"/>
              <w:color w:val="000000" w:themeColor="text1"/>
              <w:sz w:val="28"/>
              <w:szCs w:val="28"/>
            </w:rPr>
            <w:fldChar w:fldCharType="end"/>
          </w:r>
        </w:p>
        <w:p>
          <w:pPr>
            <w:pStyle w:val="69"/>
            <w:tabs>
              <w:tab w:val="right" w:leader="dot" w:pos="8306"/>
            </w:tabs>
            <w:rPr>
              <w:color w:val="000000" w:themeColor="text1"/>
              <w:sz w:val="28"/>
              <w:szCs w:val="28"/>
            </w:rPr>
          </w:pPr>
          <w:r>
            <w:fldChar w:fldCharType="begin"/>
          </w:r>
          <w:r>
            <w:instrText xml:space="preserve"> HYPERLINK \l "_Toc11896_WPSOffice_Level1" </w:instrText>
          </w:r>
          <w:r>
            <w:fldChar w:fldCharType="separate"/>
          </w:r>
          <w:r>
            <w:rPr>
              <w:rFonts w:hint="eastAsia" w:asciiTheme="majorEastAsia" w:hAnsiTheme="majorEastAsia" w:eastAsiaTheme="majorEastAsia" w:cstheme="majorEastAsia"/>
              <w:color w:val="000000" w:themeColor="text1"/>
              <w:sz w:val="28"/>
              <w:szCs w:val="28"/>
            </w:rPr>
            <w:t>第四章  采购内容及具体要求</w:t>
          </w:r>
          <w:r>
            <w:rPr>
              <w:color w:val="000000" w:themeColor="text1"/>
              <w:sz w:val="28"/>
              <w:szCs w:val="28"/>
            </w:rPr>
            <w:tab/>
          </w:r>
          <w:r>
            <w:rPr>
              <w:rFonts w:hint="eastAsia"/>
              <w:color w:val="000000" w:themeColor="text1"/>
              <w:sz w:val="28"/>
              <w:szCs w:val="28"/>
            </w:rPr>
            <w:t xml:space="preserve"> </w:t>
          </w:r>
          <w:r>
            <w:rPr>
              <w:rFonts w:hint="eastAsia"/>
              <w:color w:val="000000" w:themeColor="text1"/>
              <w:sz w:val="28"/>
              <w:szCs w:val="28"/>
            </w:rPr>
            <w:fldChar w:fldCharType="end"/>
          </w:r>
        </w:p>
        <w:p>
          <w:pPr>
            <w:pStyle w:val="69"/>
            <w:tabs>
              <w:tab w:val="right" w:leader="dot" w:pos="8306"/>
            </w:tabs>
            <w:rPr>
              <w:color w:val="000000" w:themeColor="text1"/>
              <w:sz w:val="28"/>
              <w:szCs w:val="28"/>
            </w:rPr>
          </w:pPr>
          <w:r>
            <w:fldChar w:fldCharType="begin"/>
          </w:r>
          <w:r>
            <w:instrText xml:space="preserve"> HYPERLINK \l "_Toc12435_WPSOffice_Level1" </w:instrText>
          </w:r>
          <w:r>
            <w:fldChar w:fldCharType="separate"/>
          </w:r>
          <w:r>
            <w:rPr>
              <w:rFonts w:hint="eastAsia" w:ascii="宋体" w:hAnsi="宋体" w:cs="宋体"/>
              <w:color w:val="000000" w:themeColor="text1"/>
              <w:sz w:val="28"/>
              <w:szCs w:val="28"/>
            </w:rPr>
            <w:t>第五章  合同格式及条款</w:t>
          </w:r>
          <w:r>
            <w:rPr>
              <w:color w:val="000000" w:themeColor="text1"/>
              <w:sz w:val="28"/>
              <w:szCs w:val="28"/>
            </w:rPr>
            <w:tab/>
          </w:r>
          <w:r>
            <w:rPr>
              <w:rFonts w:hint="eastAsia"/>
              <w:color w:val="000000" w:themeColor="text1"/>
              <w:sz w:val="28"/>
              <w:szCs w:val="28"/>
            </w:rPr>
            <w:t xml:space="preserve"> </w:t>
          </w:r>
          <w:r>
            <w:rPr>
              <w:rFonts w:hint="eastAsia"/>
              <w:color w:val="000000" w:themeColor="text1"/>
              <w:sz w:val="28"/>
              <w:szCs w:val="28"/>
            </w:rPr>
            <w:fldChar w:fldCharType="end"/>
          </w:r>
        </w:p>
        <w:p>
          <w:pPr>
            <w:pStyle w:val="69"/>
            <w:tabs>
              <w:tab w:val="right" w:leader="dot" w:pos="8306"/>
            </w:tabs>
            <w:rPr>
              <w:color w:val="000000" w:themeColor="text1"/>
              <w:sz w:val="28"/>
              <w:szCs w:val="28"/>
            </w:rPr>
          </w:pPr>
          <w:r>
            <w:fldChar w:fldCharType="begin"/>
          </w:r>
          <w:r>
            <w:instrText xml:space="preserve"> HYPERLINK \l "_Toc20670_WPSOffice_Level1" </w:instrText>
          </w:r>
          <w:r>
            <w:fldChar w:fldCharType="separate"/>
          </w:r>
          <w:r>
            <w:rPr>
              <w:rFonts w:hint="eastAsia" w:asciiTheme="majorEastAsia" w:hAnsiTheme="majorEastAsia" w:eastAsiaTheme="majorEastAsia" w:cstheme="majorEastAsia"/>
              <w:color w:val="000000" w:themeColor="text1"/>
              <w:sz w:val="28"/>
              <w:szCs w:val="28"/>
            </w:rPr>
            <w:t>第六章   磋商响应文件格式及构成</w:t>
          </w:r>
          <w:r>
            <w:rPr>
              <w:color w:val="000000" w:themeColor="text1"/>
              <w:sz w:val="28"/>
              <w:szCs w:val="28"/>
            </w:rPr>
            <w:tab/>
          </w:r>
          <w:r>
            <w:rPr>
              <w:rFonts w:hint="eastAsia"/>
              <w:color w:val="000000" w:themeColor="text1"/>
              <w:sz w:val="28"/>
              <w:szCs w:val="28"/>
            </w:rPr>
            <w:t xml:space="preserve"> </w:t>
          </w:r>
          <w:r>
            <w:rPr>
              <w:rFonts w:hint="eastAsia"/>
              <w:color w:val="000000" w:themeColor="text1"/>
              <w:sz w:val="28"/>
              <w:szCs w:val="28"/>
            </w:rPr>
            <w:fldChar w:fldCharType="end"/>
          </w:r>
        </w:p>
        <w:p>
          <w:pPr>
            <w:pStyle w:val="69"/>
            <w:tabs>
              <w:tab w:val="right" w:leader="dot" w:pos="8306"/>
            </w:tabs>
            <w:rPr>
              <w:color w:val="000000" w:themeColor="text1"/>
              <w:sz w:val="28"/>
              <w:szCs w:val="28"/>
            </w:rPr>
          </w:pPr>
          <w:r>
            <w:fldChar w:fldCharType="begin"/>
          </w:r>
          <w:r>
            <w:instrText xml:space="preserve"> HYPERLINK \l "_Toc9506_WPSOffice_Level1" </w:instrText>
          </w:r>
          <w:r>
            <w:fldChar w:fldCharType="separate"/>
          </w:r>
          <w:r>
            <w:rPr>
              <w:rFonts w:hint="eastAsia" w:asciiTheme="majorEastAsia" w:hAnsiTheme="majorEastAsia" w:eastAsiaTheme="majorEastAsia" w:cstheme="majorEastAsia"/>
              <w:color w:val="000000" w:themeColor="text1"/>
              <w:sz w:val="28"/>
              <w:szCs w:val="28"/>
            </w:rPr>
            <w:t>磋商响应文件封袋正面标识式样</w:t>
          </w:r>
          <w:r>
            <w:rPr>
              <w:color w:val="000000" w:themeColor="text1"/>
              <w:sz w:val="28"/>
              <w:szCs w:val="28"/>
            </w:rPr>
            <w:tab/>
          </w:r>
          <w:r>
            <w:rPr>
              <w:rFonts w:hint="eastAsia"/>
              <w:color w:val="000000" w:themeColor="text1"/>
              <w:sz w:val="28"/>
              <w:szCs w:val="28"/>
            </w:rPr>
            <w:t xml:space="preserve"> </w:t>
          </w:r>
          <w:r>
            <w:rPr>
              <w:rFonts w:hint="eastAsia"/>
              <w:color w:val="000000" w:themeColor="text1"/>
              <w:sz w:val="28"/>
              <w:szCs w:val="28"/>
            </w:rPr>
            <w:fldChar w:fldCharType="end"/>
          </w:r>
        </w:p>
      </w:sdtContent>
    </w:sdt>
    <w:p>
      <w:pPr>
        <w:pStyle w:val="20"/>
        <w:ind w:firstLine="241"/>
        <w:rPr>
          <w:rFonts w:asciiTheme="majorEastAsia" w:hAnsiTheme="majorEastAsia" w:eastAsiaTheme="majorEastAsia" w:cstheme="majorEastAsia"/>
          <w:b/>
          <w:color w:val="000000" w:themeColor="text1"/>
          <w:sz w:val="24"/>
          <w:szCs w:val="24"/>
        </w:rPr>
      </w:pPr>
    </w:p>
    <w:p>
      <w:pPr>
        <w:pStyle w:val="20"/>
        <w:ind w:firstLine="181"/>
        <w:rPr>
          <w:rFonts w:asciiTheme="majorEastAsia" w:hAnsiTheme="majorEastAsia" w:eastAsiaTheme="majorEastAsia" w:cstheme="majorEastAsia"/>
          <w:b/>
          <w:color w:val="000000" w:themeColor="text1"/>
        </w:rPr>
      </w:pPr>
    </w:p>
    <w:p>
      <w:pPr>
        <w:pStyle w:val="20"/>
        <w:ind w:firstLine="181"/>
        <w:rPr>
          <w:rFonts w:asciiTheme="majorEastAsia" w:hAnsiTheme="majorEastAsia" w:eastAsiaTheme="majorEastAsia" w:cstheme="majorEastAsia"/>
          <w:b/>
          <w:color w:val="000000" w:themeColor="text1"/>
        </w:rPr>
      </w:pPr>
    </w:p>
    <w:p>
      <w:pPr>
        <w:pStyle w:val="20"/>
        <w:ind w:firstLine="181"/>
        <w:rPr>
          <w:rFonts w:asciiTheme="majorEastAsia" w:hAnsiTheme="majorEastAsia" w:eastAsiaTheme="majorEastAsia" w:cstheme="majorEastAsia"/>
          <w:b/>
          <w:color w:val="000000" w:themeColor="text1"/>
        </w:rPr>
      </w:pPr>
    </w:p>
    <w:p>
      <w:pPr>
        <w:pStyle w:val="20"/>
        <w:ind w:firstLine="181"/>
        <w:rPr>
          <w:rFonts w:asciiTheme="majorEastAsia" w:hAnsiTheme="majorEastAsia" w:eastAsiaTheme="majorEastAsia" w:cstheme="majorEastAsia"/>
          <w:b/>
          <w:color w:val="000000" w:themeColor="text1"/>
        </w:rPr>
      </w:pPr>
    </w:p>
    <w:p>
      <w:pPr>
        <w:pStyle w:val="20"/>
        <w:ind w:firstLine="181"/>
        <w:rPr>
          <w:rFonts w:asciiTheme="majorEastAsia" w:hAnsiTheme="majorEastAsia" w:eastAsiaTheme="majorEastAsia" w:cstheme="majorEastAsia"/>
          <w:b/>
          <w:color w:val="000000" w:themeColor="text1"/>
        </w:rPr>
      </w:pPr>
    </w:p>
    <w:p>
      <w:pPr>
        <w:rPr>
          <w:rFonts w:asciiTheme="majorEastAsia" w:hAnsiTheme="majorEastAsia" w:eastAsiaTheme="majorEastAsia" w:cstheme="majorEastAsia"/>
          <w:b/>
          <w:color w:val="000000" w:themeColor="text1"/>
        </w:rPr>
      </w:pPr>
      <w:r>
        <w:rPr>
          <w:rFonts w:asciiTheme="majorEastAsia" w:hAnsiTheme="majorEastAsia" w:eastAsiaTheme="majorEastAsia" w:cstheme="majorEastAsia"/>
          <w:b/>
          <w:color w:val="000000" w:themeColor="text1"/>
        </w:rPr>
        <w:br w:type="page"/>
      </w:r>
    </w:p>
    <w:p>
      <w:pPr>
        <w:pStyle w:val="20"/>
        <w:ind w:firstLine="181"/>
        <w:rPr>
          <w:rFonts w:asciiTheme="majorEastAsia" w:hAnsiTheme="majorEastAsia" w:eastAsiaTheme="majorEastAsia" w:cstheme="majorEastAsia"/>
          <w:b/>
          <w:color w:val="000000" w:themeColor="text1"/>
        </w:rPr>
      </w:pPr>
    </w:p>
    <w:p>
      <w:pPr>
        <w:kinsoku w:val="0"/>
        <w:spacing w:line="600" w:lineRule="exact"/>
        <w:jc w:val="center"/>
        <w:rPr>
          <w:rFonts w:asciiTheme="majorEastAsia" w:hAnsiTheme="majorEastAsia" w:eastAsiaTheme="majorEastAsia" w:cstheme="majorEastAsia"/>
          <w:color w:val="000000" w:themeColor="text1"/>
        </w:rPr>
      </w:pPr>
      <w:bookmarkStart w:id="0" w:name="_Toc22857_WPSOffice_Level1"/>
      <w:bookmarkStart w:id="1" w:name="_Toc16979_WPSOffice_Level1"/>
      <w:bookmarkStart w:id="2" w:name="_Toc22737_WPSOffice_Level1"/>
      <w:r>
        <w:rPr>
          <w:rFonts w:hint="eastAsia" w:asciiTheme="majorEastAsia" w:hAnsiTheme="majorEastAsia" w:eastAsiaTheme="majorEastAsia" w:cstheme="majorEastAsia"/>
          <w:b/>
          <w:color w:val="000000" w:themeColor="text1"/>
          <w:sz w:val="36"/>
          <w:szCs w:val="36"/>
        </w:rPr>
        <w:t>第一章  竞争性磋商公告</w:t>
      </w:r>
      <w:bookmarkEnd w:id="0"/>
      <w:bookmarkEnd w:id="1"/>
      <w:bookmarkEnd w:id="2"/>
    </w:p>
    <w:p>
      <w:pPr>
        <w:pStyle w:val="3"/>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sz w:val="44"/>
          <w:szCs w:val="44"/>
        </w:rPr>
      </w:pPr>
      <w:bookmarkStart w:id="3" w:name="_Toc23910_WPSOffice_Level1"/>
      <w:bookmarkStart w:id="4" w:name="_Toc18912_WPSOffice_Level1"/>
      <w:bookmarkStart w:id="5" w:name="_Toc27088_WPSOffice_Level1"/>
      <w:r>
        <w:rPr>
          <w:sz w:val="44"/>
          <w:szCs w:val="44"/>
        </w:rPr>
        <w:t>延川县河道管理站延川县乡镇及移民安置点生活污水处理站建设项目工程勘察竞争性磋商公告</w:t>
      </w:r>
    </w:p>
    <w:p>
      <w:pPr>
        <w:pStyle w:val="7"/>
        <w:keepNext w:val="0"/>
        <w:keepLines w:val="0"/>
        <w:widowControl/>
        <w:suppressLineNumbers w:val="0"/>
        <w:spacing w:before="150" w:beforeAutospacing="0" w:after="150" w:afterAutospacing="0" w:line="420" w:lineRule="atLeast"/>
        <w:ind w:left="0" w:right="0"/>
      </w:pPr>
      <w:r>
        <w:rPr>
          <w:rStyle w:val="25"/>
          <w:b/>
        </w:rPr>
        <w:t xml:space="preserve">项目概况 </w:t>
      </w:r>
    </w:p>
    <w:p>
      <w:pPr>
        <w:pStyle w:val="18"/>
        <w:keepNext w:val="0"/>
        <w:keepLines w:val="0"/>
        <w:widowControl/>
        <w:suppressLineNumbers w:val="0"/>
        <w:spacing w:before="150" w:beforeAutospacing="0" w:after="150" w:afterAutospacing="0" w:line="420" w:lineRule="atLeast"/>
        <w:ind w:left="0" w:right="0"/>
      </w:pPr>
      <w:r>
        <w:t xml:space="preserve">延川县乡镇及移民安置点生活污水处理站建设项目工程勘察采购项目的潜在供应商应在延川县财政局一楼101室获取采购文件，并于 2022年08月23日 10时00分 （北京时间）前提交响应文件。 </w:t>
      </w:r>
    </w:p>
    <w:p>
      <w:pPr>
        <w:pStyle w:val="6"/>
        <w:keepNext w:val="0"/>
        <w:keepLines w:val="0"/>
        <w:widowControl/>
        <w:suppressLineNumbers w:val="0"/>
        <w:jc w:val="left"/>
      </w:pPr>
      <w:r>
        <w:rPr>
          <w:rStyle w:val="25"/>
          <w:b/>
        </w:rPr>
        <w:t>一、项目基本情况</w:t>
      </w:r>
    </w:p>
    <w:p>
      <w:pPr>
        <w:pStyle w:val="18"/>
        <w:keepNext w:val="0"/>
        <w:keepLines w:val="0"/>
        <w:widowControl/>
        <w:suppressLineNumbers w:val="0"/>
      </w:pPr>
      <w:r>
        <w:t>项目编号：ZCSP-延川县-2022-00322</w:t>
      </w:r>
    </w:p>
    <w:p>
      <w:pPr>
        <w:pStyle w:val="18"/>
        <w:keepNext w:val="0"/>
        <w:keepLines w:val="0"/>
        <w:widowControl/>
        <w:suppressLineNumbers w:val="0"/>
      </w:pPr>
      <w:r>
        <w:t>项目名称：延川县乡镇及移民安置点生活污水处理站建设项目工程勘察</w:t>
      </w:r>
    </w:p>
    <w:p>
      <w:pPr>
        <w:pStyle w:val="18"/>
        <w:keepNext w:val="0"/>
        <w:keepLines w:val="0"/>
        <w:widowControl/>
        <w:suppressLineNumbers w:val="0"/>
      </w:pPr>
      <w:r>
        <w:t>采购方式：竞争性磋商</w:t>
      </w:r>
    </w:p>
    <w:p>
      <w:pPr>
        <w:pStyle w:val="18"/>
        <w:keepNext w:val="0"/>
        <w:keepLines w:val="0"/>
        <w:widowControl/>
        <w:suppressLineNumbers w:val="0"/>
      </w:pPr>
      <w:r>
        <w:t>预算金额：198,700.00元</w:t>
      </w:r>
    </w:p>
    <w:p>
      <w:pPr>
        <w:pStyle w:val="18"/>
        <w:keepNext w:val="0"/>
        <w:keepLines w:val="0"/>
        <w:widowControl/>
        <w:suppressLineNumbers w:val="0"/>
      </w:pPr>
      <w:r>
        <w:t>采购需求：</w:t>
      </w:r>
    </w:p>
    <w:p>
      <w:pPr>
        <w:pStyle w:val="18"/>
        <w:keepNext w:val="0"/>
        <w:keepLines w:val="0"/>
        <w:widowControl/>
        <w:suppressLineNumbers w:val="0"/>
        <w:spacing w:before="0" w:beforeAutospacing="1" w:after="0" w:afterAutospacing="1"/>
        <w:ind w:left="0" w:right="0"/>
      </w:pPr>
      <w:r>
        <w:t>合同包1(延川县乡镇及移民安置点生活污水处理站建设项目工程勘察):</w:t>
      </w:r>
    </w:p>
    <w:p>
      <w:pPr>
        <w:pStyle w:val="18"/>
        <w:keepNext w:val="0"/>
        <w:keepLines w:val="0"/>
        <w:widowControl/>
        <w:suppressLineNumbers w:val="0"/>
        <w:ind w:left="0" w:firstLine="630"/>
      </w:pPr>
      <w:r>
        <w:t>合同包预算金额：198,700.00元</w:t>
      </w:r>
    </w:p>
    <w:p>
      <w:pPr>
        <w:pStyle w:val="18"/>
        <w:keepNext w:val="0"/>
        <w:keepLines w:val="0"/>
        <w:widowControl/>
        <w:suppressLineNumbers w:val="0"/>
        <w:ind w:left="0" w:firstLine="630"/>
      </w:pPr>
      <w:r>
        <w:t xml:space="preserve">合同包最高限价：198,700.00元 </w:t>
      </w:r>
    </w:p>
    <w:tbl>
      <w:tblPr>
        <w:tblStyle w:val="2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28"/>
        <w:gridCol w:w="1423"/>
        <w:gridCol w:w="1423"/>
        <w:gridCol w:w="884"/>
        <w:gridCol w:w="1199"/>
        <w:gridCol w:w="1404"/>
        <w:gridCol w:w="14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8" w:hRule="atLeast"/>
          <w:tblHeader/>
          <w:tblCellSpacing w:w="0" w:type="dxa"/>
        </w:trPr>
        <w:tc>
          <w:tcPr>
            <w:tcW w:w="12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品目号</w:t>
            </w:r>
          </w:p>
        </w:tc>
        <w:tc>
          <w:tcPr>
            <w:tcW w:w="45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品目名称</w:t>
            </w:r>
          </w:p>
        </w:tc>
        <w:tc>
          <w:tcPr>
            <w:tcW w:w="45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采购标的</w:t>
            </w:r>
          </w:p>
        </w:tc>
        <w:tc>
          <w:tcPr>
            <w:tcW w:w="15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数量（单位）</w:t>
            </w:r>
          </w:p>
        </w:tc>
        <w:tc>
          <w:tcPr>
            <w:tcW w:w="30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技术规格、参数及要求</w:t>
            </w:r>
          </w:p>
        </w:tc>
        <w:tc>
          <w:tcPr>
            <w:tcW w:w="18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品目预算(元)</w:t>
            </w:r>
          </w:p>
        </w:tc>
        <w:tc>
          <w:tcPr>
            <w:tcW w:w="1800" w:type="dxa"/>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地质勘测服务</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工程勘察</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1(项)</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详见采购文件</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198,700.00 </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198,700.00 </w:t>
            </w:r>
          </w:p>
        </w:tc>
      </w:tr>
    </w:tbl>
    <w:p>
      <w:pPr>
        <w:pStyle w:val="18"/>
        <w:keepNext w:val="0"/>
        <w:keepLines w:val="0"/>
        <w:widowControl/>
        <w:suppressLineNumbers w:val="0"/>
        <w:ind w:left="0" w:firstLine="630"/>
      </w:pPr>
      <w:r>
        <w:t xml:space="preserve">本合同包不接受联合体投标 </w:t>
      </w:r>
    </w:p>
    <w:p>
      <w:pPr>
        <w:pStyle w:val="18"/>
        <w:keepNext w:val="0"/>
        <w:keepLines w:val="0"/>
        <w:widowControl/>
        <w:suppressLineNumbers w:val="0"/>
        <w:ind w:left="0" w:firstLine="630"/>
      </w:pPr>
      <w:r>
        <w:t xml:space="preserve">合同履行期限：无 </w:t>
      </w:r>
    </w:p>
    <w:p>
      <w:pPr>
        <w:pStyle w:val="6"/>
        <w:keepNext w:val="0"/>
        <w:keepLines w:val="0"/>
        <w:widowControl/>
        <w:suppressLineNumbers w:val="0"/>
      </w:pPr>
      <w:r>
        <w:rPr>
          <w:rStyle w:val="25"/>
          <w:b/>
        </w:rPr>
        <w:t>二、申请人的资格要求：</w:t>
      </w:r>
    </w:p>
    <w:p>
      <w:pPr>
        <w:pStyle w:val="18"/>
        <w:keepNext w:val="0"/>
        <w:keepLines w:val="0"/>
        <w:widowControl/>
        <w:suppressLineNumbers w:val="0"/>
      </w:pPr>
      <w:r>
        <w:t>1.满足《中华人民共和国政府采购法》第二十二条规定;</w:t>
      </w:r>
    </w:p>
    <w:p>
      <w:pPr>
        <w:pStyle w:val="18"/>
        <w:keepNext w:val="0"/>
        <w:keepLines w:val="0"/>
        <w:widowControl/>
        <w:suppressLineNumbers w:val="0"/>
      </w:pPr>
      <w:r>
        <w:t xml:space="preserve">2.落实政府采购政策需满足的资格要求： </w:t>
      </w:r>
    </w:p>
    <w:p>
      <w:pPr>
        <w:pStyle w:val="18"/>
        <w:keepNext w:val="0"/>
        <w:keepLines w:val="0"/>
        <w:widowControl/>
        <w:suppressLineNumbers w:val="0"/>
      </w:pPr>
      <w:r>
        <w:t>合同包1(延川县乡镇及移民安置点生活污水处理站建设项目工程勘察)落实政府采购政策需满足的资格要求如下:</w:t>
      </w:r>
    </w:p>
    <w:p>
      <w:pPr>
        <w:pStyle w:val="18"/>
        <w:keepNext w:val="0"/>
        <w:keepLines w:val="0"/>
        <w:widowControl/>
        <w:suppressLineNumbers w:val="0"/>
        <w:spacing w:before="0" w:beforeAutospacing="1" w:after="0" w:afterAutospacing="1"/>
        <w:ind w:left="480" w:right="0" w:firstLine="0"/>
      </w:pPr>
      <w:r>
        <w:t>（1）《关于在政府采购活动中查询及使用信用记录有关问题的通知》（财库〔2016〕125号）。</w:t>
      </w:r>
      <w:r>
        <w:br w:type="textWrapping"/>
      </w:r>
      <w:r>
        <w:t>（2）《政府采购促进中小企业发展管理办法》（财库〔2020〕46号）、《关于政府采购支持监狱企业发展有关问题的通知》（财库〔2014〕68号）以及《关于促进残疾人就业政府采购政策的通知》（财库〔2017〕141号）。</w:t>
      </w:r>
      <w:r>
        <w:br w:type="textWrapping"/>
      </w:r>
      <w: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br w:type="textWrapping"/>
      </w:r>
      <w:r>
        <w:t>（4）《财政部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r>
        <w:br w:type="textWrapping"/>
      </w:r>
      <w:r>
        <w:t>（5）《陕西省财政厅关于加快推进我省中小企业政府采购信用融资工作的通知》（陕财办采〔2020〕15号）、陕西省财政厅关于印发《陕西省中小企业政府采购信用融资办法》（陕财办采〔2018〕23号）。</w:t>
      </w:r>
    </w:p>
    <w:p>
      <w:pPr>
        <w:pStyle w:val="18"/>
        <w:keepNext w:val="0"/>
        <w:keepLines w:val="0"/>
        <w:widowControl/>
        <w:suppressLineNumbers w:val="0"/>
      </w:pPr>
      <w:r>
        <w:t>3.本项目的特定资格要求：</w:t>
      </w:r>
    </w:p>
    <w:p>
      <w:pPr>
        <w:pStyle w:val="18"/>
        <w:keepNext w:val="0"/>
        <w:keepLines w:val="0"/>
        <w:widowControl/>
        <w:suppressLineNumbers w:val="0"/>
      </w:pPr>
      <w:r>
        <w:t>合同包1(延川县乡镇及移民安置点生活污水处理站建设项目工程勘察)特定资格要求如下:</w:t>
      </w:r>
    </w:p>
    <w:p>
      <w:pPr>
        <w:pStyle w:val="18"/>
        <w:keepNext w:val="0"/>
        <w:keepLines w:val="0"/>
        <w:widowControl/>
        <w:suppressLineNumbers w:val="0"/>
        <w:spacing w:before="0" w:beforeAutospacing="1" w:after="0" w:afterAutospacing="1"/>
        <w:ind w:left="480" w:right="0" w:firstLine="0"/>
      </w:pPr>
      <w:r>
        <w:t>（1）营业执照等主体资格证明文件：提供有效存续的企业营业执照（副本）/事业单位法人证书/专业服务机构执业许可证/民办非企业单位登记证书/其他组织或自然人。</w:t>
      </w:r>
      <w:r>
        <w:br w:type="textWrapping"/>
      </w:r>
      <w:r>
        <w:t>（2）法定代表人授权委托书：法定代表人参加磋商的，须提供本人身份证复印件（附在资格证明文件中）；法定代表人授权他人参加磋商的，须提供法定代表人授权委托书。</w:t>
      </w:r>
      <w:r>
        <w:br w:type="textWrapping"/>
      </w:r>
      <w:r>
        <w:t>（3）财务状况报告：提供2020年度或2021年度经审计的财务会计报告，或其开标前三个月内基本存款账户开户银行出具的资信证明，或信用担保机构出具的投标担保函。（以上三种形式的资料提供任何一种即可）。</w:t>
      </w:r>
      <w:r>
        <w:br w:type="textWrapping"/>
      </w:r>
      <w:r>
        <w:t>（4）税收缴纳证明：提供已缴纳的2021年1月1日以来至少一个月的纳税证明或完税证明。依法免税的供应商应提供相关文件证明。</w:t>
      </w:r>
      <w:r>
        <w:br w:type="textWrapping"/>
      </w:r>
      <w:r>
        <w:t>（5）信用记录：提供《供应商信用记录书面声明函》。经查，供应商未被列入“信用中国”网站记录的“失信被执行人”或“重大税收违法案件当事人”名单；不处于“中国政府采购网”记录的“政府采购严重违法失信行为记录名单 ”中的禁止参加政府采购活动期间。</w:t>
      </w:r>
      <w:r>
        <w:br w:type="textWrapping"/>
      </w:r>
      <w:r>
        <w:t>（6）控股管理关系：提供直接控股和管理关系清单。若与其他供应商存在单位负责人为同一人或者存在直接控股、管理关系的，则响应无效。</w:t>
      </w:r>
      <w:r>
        <w:br w:type="textWrapping"/>
      </w:r>
      <w:r>
        <w:t>（7）书面声明：提供书面声明，包括声明具有履行合同所必需的设备和专业技术能力；未为本项目提供整体设计、规范编制或者项目管理、监理、检测等服务；提供参加本次政府采购活动前三年内在经营活动中没有重大违法记录的书面声明。</w:t>
      </w:r>
      <w:r>
        <w:br w:type="textWrapping"/>
      </w:r>
      <w:r>
        <w:t>（8）资质要求：工程勘察资质岩土工程或水文地质专业乙级</w:t>
      </w:r>
    </w:p>
    <w:p>
      <w:pPr>
        <w:pStyle w:val="6"/>
        <w:keepNext w:val="0"/>
        <w:keepLines w:val="0"/>
        <w:widowControl/>
        <w:suppressLineNumbers w:val="0"/>
      </w:pPr>
      <w:r>
        <w:rPr>
          <w:rStyle w:val="25"/>
          <w:b/>
        </w:rPr>
        <w:t>三、获取采购文件</w:t>
      </w:r>
    </w:p>
    <w:p>
      <w:pPr>
        <w:pStyle w:val="18"/>
        <w:keepNext w:val="0"/>
        <w:keepLines w:val="0"/>
        <w:widowControl/>
        <w:suppressLineNumbers w:val="0"/>
      </w:pPr>
      <w:r>
        <w:t>时间： 2022年08月10日 至 2022年08月17日 ，每天上午 08:00:00 至 12:00:00 ，下午 15:00:00 至 18:00:00 （北京时间,法定节假日除外）</w:t>
      </w:r>
    </w:p>
    <w:p>
      <w:pPr>
        <w:pStyle w:val="18"/>
        <w:keepNext w:val="0"/>
        <w:keepLines w:val="0"/>
        <w:widowControl/>
        <w:suppressLineNumbers w:val="0"/>
      </w:pPr>
      <w:r>
        <w:t>地点：延川县财政局一楼101室</w:t>
      </w:r>
    </w:p>
    <w:p>
      <w:pPr>
        <w:pStyle w:val="18"/>
        <w:keepNext w:val="0"/>
        <w:keepLines w:val="0"/>
        <w:widowControl/>
        <w:suppressLineNumbers w:val="0"/>
      </w:pPr>
      <w:r>
        <w:t>方式：现场获取</w:t>
      </w:r>
    </w:p>
    <w:p>
      <w:pPr>
        <w:pStyle w:val="18"/>
        <w:keepNext w:val="0"/>
        <w:keepLines w:val="0"/>
        <w:widowControl/>
        <w:suppressLineNumbers w:val="0"/>
      </w:pPr>
      <w:r>
        <w:t xml:space="preserve">售价： 免费获取 </w:t>
      </w:r>
    </w:p>
    <w:p>
      <w:pPr>
        <w:pStyle w:val="6"/>
        <w:keepNext w:val="0"/>
        <w:keepLines w:val="0"/>
        <w:widowControl/>
        <w:suppressLineNumbers w:val="0"/>
      </w:pPr>
      <w:r>
        <w:rPr>
          <w:rStyle w:val="25"/>
          <w:b/>
        </w:rPr>
        <w:t>四、响应文件提交</w:t>
      </w:r>
    </w:p>
    <w:p>
      <w:pPr>
        <w:pStyle w:val="18"/>
        <w:keepNext w:val="0"/>
        <w:keepLines w:val="0"/>
        <w:widowControl/>
        <w:suppressLineNumbers w:val="0"/>
      </w:pPr>
      <w:r>
        <w:t>截止时间： 2022年08月23日 10时00分00秒 （北京时间）</w:t>
      </w:r>
    </w:p>
    <w:p>
      <w:pPr>
        <w:pStyle w:val="18"/>
        <w:keepNext w:val="0"/>
        <w:keepLines w:val="0"/>
        <w:widowControl/>
        <w:suppressLineNumbers w:val="0"/>
      </w:pPr>
      <w:r>
        <w:t xml:space="preserve">地点：延川县财政局一楼会议室 </w:t>
      </w:r>
    </w:p>
    <w:p>
      <w:pPr>
        <w:pStyle w:val="6"/>
        <w:keepNext w:val="0"/>
        <w:keepLines w:val="0"/>
        <w:widowControl/>
        <w:suppressLineNumbers w:val="0"/>
      </w:pPr>
      <w:r>
        <w:rPr>
          <w:rStyle w:val="25"/>
          <w:b/>
        </w:rPr>
        <w:t>五、开启</w:t>
      </w:r>
    </w:p>
    <w:p>
      <w:pPr>
        <w:pStyle w:val="18"/>
        <w:keepNext w:val="0"/>
        <w:keepLines w:val="0"/>
        <w:widowControl/>
        <w:suppressLineNumbers w:val="0"/>
      </w:pPr>
      <w:r>
        <w:t>时间： 2022年08月23日 10时00分00秒 （北京时间）</w:t>
      </w:r>
    </w:p>
    <w:p>
      <w:pPr>
        <w:pStyle w:val="18"/>
        <w:keepNext w:val="0"/>
        <w:keepLines w:val="0"/>
        <w:widowControl/>
        <w:suppressLineNumbers w:val="0"/>
      </w:pPr>
      <w:r>
        <w:t>地点：延川县财政局一楼会议室</w:t>
      </w:r>
    </w:p>
    <w:p>
      <w:pPr>
        <w:pStyle w:val="6"/>
        <w:keepNext w:val="0"/>
        <w:keepLines w:val="0"/>
        <w:widowControl/>
        <w:suppressLineNumbers w:val="0"/>
      </w:pPr>
      <w:r>
        <w:rPr>
          <w:rStyle w:val="25"/>
          <w:b/>
        </w:rPr>
        <w:t>六、公告期限</w:t>
      </w:r>
    </w:p>
    <w:p>
      <w:pPr>
        <w:pStyle w:val="18"/>
        <w:keepNext w:val="0"/>
        <w:keepLines w:val="0"/>
        <w:widowControl/>
        <w:suppressLineNumbers w:val="0"/>
      </w:pPr>
      <w:r>
        <w:t>自本公告发布之日起3个工作日。</w:t>
      </w:r>
    </w:p>
    <w:p>
      <w:pPr>
        <w:pStyle w:val="6"/>
        <w:keepNext w:val="0"/>
        <w:keepLines w:val="0"/>
        <w:widowControl/>
        <w:suppressLineNumbers w:val="0"/>
      </w:pPr>
      <w:r>
        <w:rPr>
          <w:rStyle w:val="25"/>
          <w:b/>
        </w:rPr>
        <w:t>七、其他补充事宜</w:t>
      </w:r>
    </w:p>
    <w:p>
      <w:pPr>
        <w:pStyle w:val="18"/>
        <w:keepNext w:val="0"/>
        <w:keepLines w:val="0"/>
        <w:widowControl/>
        <w:suppressLineNumbers w:val="0"/>
        <w:spacing w:before="105" w:beforeAutospacing="0" w:after="105" w:afterAutospacing="0"/>
        <w:ind w:left="0" w:right="0"/>
        <w:jc w:val="both"/>
      </w:pPr>
      <w:r>
        <w:rPr>
          <w:rFonts w:hint="eastAsia" w:ascii="宋体" w:hAnsi="宋体" w:eastAsia="宋体" w:cs="宋体"/>
          <w:sz w:val="24"/>
          <w:szCs w:val="24"/>
        </w:rPr>
        <w:t>1.供应商在报名时持投标单位介绍信原件（见附件），公告第二项要求的所有供应商资格证明文件原件及加盖公章（鲜章）的复印件壹套（不接受扫描件），所提供的资质复印件概不退还。提示：请供应商按照陕西省财政厅关于政府采购供应商注册登记有关事项的通知中的要求，通过陕西省政府采购网（http://www.ccgp-shaanxi.gov.cn/）注册登记加入陕西省政府采购供应商库。2.供应商代表在报名和开标时出示“陕西健康码”（绿码）及身份证原件；所有省外及省内有确诊病例的重点地区来延返延人员必须持有48小时内的核酸检测阴性证明。</w:t>
      </w:r>
    </w:p>
    <w:p>
      <w:pPr>
        <w:pStyle w:val="6"/>
        <w:keepNext w:val="0"/>
        <w:keepLines w:val="0"/>
        <w:widowControl/>
        <w:suppressLineNumbers w:val="0"/>
      </w:pPr>
      <w:r>
        <w:rPr>
          <w:rStyle w:val="25"/>
          <w:b/>
        </w:rPr>
        <w:t>八、凡对本次采购提出询问，请按以下方式联系。</w:t>
      </w:r>
    </w:p>
    <w:p>
      <w:pPr>
        <w:pStyle w:val="7"/>
        <w:keepNext w:val="0"/>
        <w:keepLines w:val="0"/>
        <w:widowControl/>
        <w:suppressLineNumbers w:val="0"/>
      </w:pPr>
      <w:r>
        <w:t>1.采购人信息</w:t>
      </w:r>
    </w:p>
    <w:p>
      <w:pPr>
        <w:pStyle w:val="18"/>
        <w:keepNext w:val="0"/>
        <w:keepLines w:val="0"/>
        <w:widowControl/>
        <w:suppressLineNumbers w:val="0"/>
      </w:pPr>
      <w:r>
        <w:t>名称：延川县河道管理站</w:t>
      </w:r>
    </w:p>
    <w:p>
      <w:pPr>
        <w:pStyle w:val="18"/>
        <w:keepNext w:val="0"/>
        <w:keepLines w:val="0"/>
        <w:widowControl/>
        <w:suppressLineNumbers w:val="0"/>
      </w:pPr>
      <w:r>
        <w:t>地址：延川县水务局楼</w:t>
      </w:r>
    </w:p>
    <w:p>
      <w:pPr>
        <w:pStyle w:val="18"/>
        <w:keepNext w:val="0"/>
        <w:keepLines w:val="0"/>
        <w:widowControl/>
        <w:suppressLineNumbers w:val="0"/>
      </w:pPr>
      <w:r>
        <w:t>联系方式：0911-3393818</w:t>
      </w:r>
    </w:p>
    <w:p>
      <w:pPr>
        <w:pStyle w:val="7"/>
        <w:keepNext w:val="0"/>
        <w:keepLines w:val="0"/>
        <w:widowControl/>
        <w:suppressLineNumbers w:val="0"/>
      </w:pPr>
      <w:r>
        <w:t>2.采购代理机构信息</w:t>
      </w:r>
    </w:p>
    <w:p>
      <w:pPr>
        <w:pStyle w:val="18"/>
        <w:keepNext w:val="0"/>
        <w:keepLines w:val="0"/>
        <w:widowControl/>
        <w:suppressLineNumbers w:val="0"/>
      </w:pPr>
      <w:r>
        <w:t>名称：延川县政府采购中心</w:t>
      </w:r>
    </w:p>
    <w:p>
      <w:pPr>
        <w:pStyle w:val="18"/>
        <w:keepNext w:val="0"/>
        <w:keepLines w:val="0"/>
        <w:widowControl/>
        <w:suppressLineNumbers w:val="0"/>
      </w:pPr>
      <w:r>
        <w:t>地址：陕西省延安市延川县延川县河东财政办公大楼（延川县财政局1楼）</w:t>
      </w:r>
    </w:p>
    <w:p>
      <w:pPr>
        <w:pStyle w:val="18"/>
        <w:keepNext w:val="0"/>
        <w:keepLines w:val="0"/>
        <w:widowControl/>
        <w:suppressLineNumbers w:val="0"/>
      </w:pPr>
      <w:r>
        <w:t>联系方式：0911-8331531</w:t>
      </w:r>
    </w:p>
    <w:p>
      <w:pPr>
        <w:pStyle w:val="7"/>
        <w:keepNext w:val="0"/>
        <w:keepLines w:val="0"/>
        <w:widowControl/>
        <w:suppressLineNumbers w:val="0"/>
      </w:pPr>
      <w:r>
        <w:t xml:space="preserve">3.项目联系方式 </w:t>
      </w:r>
    </w:p>
    <w:p>
      <w:pPr>
        <w:pStyle w:val="18"/>
        <w:keepNext w:val="0"/>
        <w:keepLines w:val="0"/>
        <w:widowControl/>
        <w:suppressLineNumbers w:val="0"/>
      </w:pPr>
      <w:r>
        <w:t>项目联系人：王工</w:t>
      </w:r>
    </w:p>
    <w:p>
      <w:pPr>
        <w:pStyle w:val="18"/>
        <w:keepNext w:val="0"/>
        <w:keepLines w:val="0"/>
        <w:widowControl/>
        <w:suppressLineNumbers w:val="0"/>
      </w:pPr>
      <w:r>
        <w:t>电话：0911-8331531</w:t>
      </w:r>
    </w:p>
    <w:p>
      <w:r>
        <w:br w:type="page"/>
      </w:r>
    </w:p>
    <w:p>
      <w:pPr>
        <w:kinsoku w:val="0"/>
        <w:spacing w:line="600" w:lineRule="exact"/>
        <w:jc w:val="center"/>
        <w:rPr>
          <w:rFonts w:asciiTheme="majorEastAsia" w:hAnsiTheme="majorEastAsia" w:eastAsiaTheme="majorEastAsia" w:cstheme="majorEastAsia"/>
          <w:b/>
          <w:color w:val="000000" w:themeColor="text1"/>
          <w:sz w:val="36"/>
          <w:szCs w:val="36"/>
        </w:rPr>
      </w:pPr>
      <w:r>
        <w:rPr>
          <w:rFonts w:hint="eastAsia" w:asciiTheme="majorEastAsia" w:hAnsiTheme="majorEastAsia" w:eastAsiaTheme="majorEastAsia" w:cstheme="majorEastAsia"/>
          <w:b/>
          <w:color w:val="000000" w:themeColor="text1"/>
          <w:sz w:val="36"/>
          <w:szCs w:val="36"/>
        </w:rPr>
        <w:t>第二章  磋商供应商须知</w:t>
      </w:r>
      <w:bookmarkEnd w:id="3"/>
      <w:bookmarkEnd w:id="4"/>
      <w:bookmarkEnd w:id="5"/>
    </w:p>
    <w:p>
      <w:pPr>
        <w:pStyle w:val="17"/>
        <w:spacing w:line="360" w:lineRule="auto"/>
        <w:ind w:firstLine="0"/>
        <w:jc w:val="center"/>
        <w:rPr>
          <w:rFonts w:asciiTheme="majorEastAsia" w:hAnsiTheme="majorEastAsia" w:eastAsiaTheme="majorEastAsia" w:cstheme="majorEastAsia"/>
          <w:b/>
          <w:bCs/>
          <w:color w:val="000000" w:themeColor="text1"/>
          <w:sz w:val="30"/>
        </w:rPr>
      </w:pPr>
      <w:r>
        <w:rPr>
          <w:rFonts w:hint="eastAsia" w:asciiTheme="majorEastAsia" w:hAnsiTheme="majorEastAsia" w:eastAsiaTheme="majorEastAsia" w:cstheme="majorEastAsia"/>
          <w:b/>
          <w:bCs/>
          <w:color w:val="000000" w:themeColor="text1"/>
          <w:sz w:val="30"/>
        </w:rPr>
        <w:t>1、磋商供应商须知前附表</w:t>
      </w:r>
    </w:p>
    <w:tbl>
      <w:tblPr>
        <w:tblStyle w:val="22"/>
        <w:tblW w:w="9485" w:type="dxa"/>
        <w:jc w:val="center"/>
        <w:tblLayout w:type="fixed"/>
        <w:tblCellMar>
          <w:top w:w="0" w:type="dxa"/>
          <w:left w:w="108" w:type="dxa"/>
          <w:bottom w:w="0" w:type="dxa"/>
          <w:right w:w="108" w:type="dxa"/>
        </w:tblCellMar>
      </w:tblPr>
      <w:tblGrid>
        <w:gridCol w:w="703"/>
        <w:gridCol w:w="2146"/>
        <w:gridCol w:w="6636"/>
      </w:tblGrid>
      <w:tr>
        <w:tblPrEx>
          <w:tblCellMar>
            <w:top w:w="0" w:type="dxa"/>
            <w:left w:w="108" w:type="dxa"/>
            <w:bottom w:w="0" w:type="dxa"/>
            <w:right w:w="108" w:type="dxa"/>
          </w:tblCellMar>
        </w:tblPrEx>
        <w:trPr>
          <w:trHeight w:val="498" w:hRule="atLeast"/>
          <w:jc w:val="center"/>
        </w:trPr>
        <w:tc>
          <w:tcPr>
            <w:tcW w:w="703" w:type="dxa"/>
            <w:tcBorders>
              <w:top w:val="single" w:color="000000" w:sz="4" w:space="0"/>
              <w:left w:val="single" w:color="000000" w:sz="4" w:space="0"/>
              <w:bottom w:val="single" w:color="000000" w:sz="4" w:space="0"/>
              <w:right w:val="single" w:color="000000" w:sz="4" w:space="0"/>
            </w:tcBorders>
            <w:noWrap/>
            <w:vAlign w:val="center"/>
          </w:tcPr>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内容</w:t>
            </w:r>
          </w:p>
        </w:tc>
        <w:tc>
          <w:tcPr>
            <w:tcW w:w="6636" w:type="dxa"/>
            <w:tcBorders>
              <w:top w:val="single" w:color="000000" w:sz="4" w:space="0"/>
              <w:left w:val="single" w:color="000000" w:sz="4" w:space="0"/>
              <w:bottom w:val="single" w:color="000000" w:sz="4" w:space="0"/>
              <w:right w:val="single" w:color="000000" w:sz="4" w:space="0"/>
            </w:tcBorders>
            <w:noWrap/>
            <w:vAlign w:val="center"/>
          </w:tcPr>
          <w:p>
            <w:pPr>
              <w:pStyle w:val="17"/>
              <w:spacing w:line="340" w:lineRule="exact"/>
              <w:ind w:left="840" w:hanging="42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要求与说明</w:t>
            </w:r>
          </w:p>
        </w:tc>
      </w:tr>
      <w:tr>
        <w:tblPrEx>
          <w:tblCellMar>
            <w:top w:w="0" w:type="dxa"/>
            <w:left w:w="108" w:type="dxa"/>
            <w:bottom w:w="0" w:type="dxa"/>
            <w:right w:w="108" w:type="dxa"/>
          </w:tblCellMar>
        </w:tblPrEx>
        <w:trPr>
          <w:trHeight w:val="500" w:hRule="atLeast"/>
          <w:jc w:val="center"/>
        </w:trPr>
        <w:tc>
          <w:tcPr>
            <w:tcW w:w="703"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w:t>
            </w:r>
          </w:p>
        </w:tc>
        <w:tc>
          <w:tcPr>
            <w:tcW w:w="2146" w:type="dxa"/>
            <w:tcBorders>
              <w:top w:val="single" w:color="000000" w:sz="4" w:space="0"/>
              <w:left w:val="single" w:color="000000" w:sz="4" w:space="0"/>
              <w:bottom w:val="single" w:color="auto" w:sz="4" w:space="0"/>
              <w:right w:val="single" w:color="000000" w:sz="4" w:space="0"/>
            </w:tcBorders>
            <w:noWrap/>
            <w:vAlign w:val="center"/>
          </w:tcPr>
          <w:p>
            <w:pPr>
              <w:pStyle w:val="17"/>
              <w:spacing w:line="340" w:lineRule="exact"/>
              <w:ind w:firstLine="210" w:firstLineChars="10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项目名称</w:t>
            </w:r>
          </w:p>
        </w:tc>
        <w:tc>
          <w:tcPr>
            <w:tcW w:w="6636" w:type="dxa"/>
            <w:tcBorders>
              <w:top w:val="single" w:color="000000" w:sz="4" w:space="0"/>
              <w:left w:val="single" w:color="000000" w:sz="4" w:space="0"/>
              <w:bottom w:val="single" w:color="000000" w:sz="4" w:space="0"/>
              <w:right w:val="single" w:color="000000" w:sz="4" w:space="0"/>
            </w:tcBorders>
            <w:noWrap/>
            <w:vAlign w:val="center"/>
          </w:tcPr>
          <w:p>
            <w:pPr>
              <w:pStyle w:val="17"/>
              <w:spacing w:line="340" w:lineRule="exact"/>
              <w:ind w:firstLine="0"/>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延川县河道管理站延川县乡镇及移民安置点生活污水处理站建设项目工程勘察</w:t>
            </w:r>
          </w:p>
        </w:tc>
      </w:tr>
      <w:tr>
        <w:tblPrEx>
          <w:tblCellMar>
            <w:top w:w="0" w:type="dxa"/>
            <w:left w:w="108" w:type="dxa"/>
            <w:bottom w:w="0" w:type="dxa"/>
            <w:right w:w="108" w:type="dxa"/>
          </w:tblCellMar>
        </w:tblPrEx>
        <w:trPr>
          <w:trHeight w:val="489" w:hRule="atLeast"/>
          <w:jc w:val="center"/>
        </w:trPr>
        <w:tc>
          <w:tcPr>
            <w:tcW w:w="703"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w:t>
            </w:r>
          </w:p>
        </w:tc>
        <w:tc>
          <w:tcPr>
            <w:tcW w:w="2146" w:type="dxa"/>
            <w:tcBorders>
              <w:top w:val="single" w:color="000000" w:sz="4" w:space="0"/>
              <w:left w:val="single" w:color="000000" w:sz="4" w:space="0"/>
              <w:bottom w:val="single" w:color="auto" w:sz="4" w:space="0"/>
              <w:right w:val="single" w:color="000000" w:sz="4" w:space="0"/>
            </w:tcBorders>
            <w:noWrap/>
            <w:vAlign w:val="center"/>
          </w:tcPr>
          <w:p>
            <w:pPr>
              <w:pStyle w:val="17"/>
              <w:spacing w:line="340" w:lineRule="exact"/>
              <w:ind w:left="4"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采购项目编号</w:t>
            </w:r>
          </w:p>
        </w:tc>
        <w:tc>
          <w:tcPr>
            <w:tcW w:w="6636" w:type="dxa"/>
            <w:tcBorders>
              <w:top w:val="single" w:color="000000" w:sz="4" w:space="0"/>
              <w:left w:val="single" w:color="000000" w:sz="4" w:space="0"/>
              <w:bottom w:val="single" w:color="000000" w:sz="4" w:space="0"/>
              <w:right w:val="single" w:color="000000" w:sz="4" w:space="0"/>
            </w:tcBorders>
            <w:noWrap/>
            <w:vAlign w:val="center"/>
          </w:tcPr>
          <w:p>
            <w:pPr>
              <w:pStyle w:val="17"/>
              <w:spacing w:line="340" w:lineRule="exact"/>
              <w:ind w:firstLine="0"/>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ZCSP-延川县-2022-00322</w:t>
            </w:r>
          </w:p>
        </w:tc>
      </w:tr>
      <w:tr>
        <w:tblPrEx>
          <w:tblCellMar>
            <w:top w:w="0" w:type="dxa"/>
            <w:left w:w="108" w:type="dxa"/>
            <w:bottom w:w="0" w:type="dxa"/>
            <w:right w:w="108" w:type="dxa"/>
          </w:tblCellMar>
        </w:tblPrEx>
        <w:trPr>
          <w:trHeight w:val="589" w:hRule="atLeast"/>
          <w:jc w:val="center"/>
        </w:trPr>
        <w:tc>
          <w:tcPr>
            <w:tcW w:w="703" w:type="dxa"/>
            <w:tcBorders>
              <w:top w:val="single" w:color="000000" w:sz="4" w:space="0"/>
              <w:left w:val="single" w:color="000000" w:sz="4" w:space="0"/>
              <w:bottom w:val="single" w:color="000000" w:sz="4" w:space="0"/>
              <w:right w:val="single" w:color="000000" w:sz="4" w:space="0"/>
            </w:tcBorders>
            <w:noWrap/>
            <w:vAlign w:val="center"/>
          </w:tcPr>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3</w:t>
            </w:r>
          </w:p>
        </w:tc>
        <w:tc>
          <w:tcPr>
            <w:tcW w:w="2146" w:type="dxa"/>
            <w:tcBorders>
              <w:top w:val="single" w:color="000000" w:sz="4" w:space="0"/>
              <w:left w:val="single" w:color="000000" w:sz="4" w:space="0"/>
              <w:bottom w:val="single" w:color="auto" w:sz="4" w:space="0"/>
              <w:right w:val="single" w:color="000000" w:sz="4" w:space="0"/>
            </w:tcBorders>
            <w:noWrap/>
            <w:vAlign w:val="center"/>
          </w:tcPr>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采购人信息</w:t>
            </w:r>
          </w:p>
        </w:tc>
        <w:tc>
          <w:tcPr>
            <w:tcW w:w="6636" w:type="dxa"/>
            <w:tcBorders>
              <w:top w:val="single" w:color="000000" w:sz="4" w:space="0"/>
              <w:left w:val="single" w:color="000000" w:sz="4" w:space="0"/>
              <w:bottom w:val="single" w:color="000000" w:sz="4" w:space="0"/>
              <w:right w:val="single" w:color="000000" w:sz="4" w:space="0"/>
            </w:tcBorders>
            <w:noWrap/>
            <w:vAlign w:val="center"/>
          </w:tcPr>
          <w:p>
            <w:pPr>
              <w:pStyle w:val="18"/>
              <w:keepNext w:val="0"/>
              <w:keepLines w:val="0"/>
              <w:widowControl/>
              <w:suppressLineNumbers w:val="0"/>
            </w:pPr>
            <w:r>
              <w:t>名称：延川县河道管理站</w:t>
            </w:r>
          </w:p>
          <w:p>
            <w:pPr>
              <w:pStyle w:val="18"/>
              <w:keepNext w:val="0"/>
              <w:keepLines w:val="0"/>
              <w:widowControl/>
              <w:suppressLineNumbers w:val="0"/>
            </w:pPr>
            <w:r>
              <w:t>地址：延川县水务局楼</w:t>
            </w:r>
          </w:p>
          <w:p>
            <w:pPr>
              <w:pStyle w:val="18"/>
              <w:keepNext w:val="0"/>
              <w:keepLines w:val="0"/>
              <w:widowControl/>
              <w:suppressLineNumbers w:val="0"/>
              <w:rPr>
                <w:rFonts w:hint="eastAsia" w:eastAsia="宋体" w:asciiTheme="minorEastAsia" w:hAnsiTheme="minorEastAsia" w:cstheme="minorEastAsia"/>
                <w:color w:val="000000" w:themeColor="text1"/>
                <w:sz w:val="21"/>
                <w:szCs w:val="21"/>
                <w:lang w:eastAsia="zh-CN"/>
              </w:rPr>
            </w:pPr>
            <w:r>
              <w:t>联系方式：0911-3393818</w:t>
            </w:r>
          </w:p>
        </w:tc>
      </w:tr>
      <w:tr>
        <w:tblPrEx>
          <w:tblCellMar>
            <w:top w:w="0" w:type="dxa"/>
            <w:left w:w="108" w:type="dxa"/>
            <w:bottom w:w="0" w:type="dxa"/>
            <w:right w:w="108" w:type="dxa"/>
          </w:tblCellMar>
        </w:tblPrEx>
        <w:trPr>
          <w:trHeight w:val="126" w:hRule="atLeast"/>
          <w:jc w:val="center"/>
        </w:trPr>
        <w:tc>
          <w:tcPr>
            <w:tcW w:w="703"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w:t>
            </w:r>
          </w:p>
        </w:tc>
        <w:tc>
          <w:tcPr>
            <w:tcW w:w="2146" w:type="dxa"/>
            <w:tcBorders>
              <w:top w:val="single" w:color="000000" w:sz="4" w:space="0"/>
              <w:left w:val="single" w:color="000000" w:sz="4" w:space="0"/>
              <w:bottom w:val="single" w:color="auto" w:sz="4" w:space="0"/>
              <w:right w:val="single" w:color="000000" w:sz="4" w:space="0"/>
            </w:tcBorders>
            <w:noWrap/>
            <w:vAlign w:val="center"/>
          </w:tcPr>
          <w:p>
            <w:pPr>
              <w:pStyle w:val="17"/>
              <w:spacing w:line="340" w:lineRule="exact"/>
              <w:ind w:left="4"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采购代理机构信息</w:t>
            </w:r>
          </w:p>
        </w:tc>
        <w:tc>
          <w:tcPr>
            <w:tcW w:w="6636" w:type="dxa"/>
            <w:tcBorders>
              <w:top w:val="single" w:color="000000" w:sz="4" w:space="0"/>
              <w:left w:val="single" w:color="000000" w:sz="4" w:space="0"/>
              <w:bottom w:val="single" w:color="000000" w:sz="4" w:space="0"/>
              <w:right w:val="single" w:color="000000" w:sz="4" w:space="0"/>
            </w:tcBorders>
            <w:noWrap/>
            <w:vAlign w:val="center"/>
          </w:tcPr>
          <w:p>
            <w:pPr>
              <w:pStyle w:val="17"/>
              <w:spacing w:line="340" w:lineRule="exact"/>
              <w:ind w:firstLine="0"/>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采购代理机构：延川县政府采购中心</w:t>
            </w:r>
          </w:p>
          <w:p>
            <w:pPr>
              <w:pStyle w:val="17"/>
              <w:spacing w:line="340" w:lineRule="exact"/>
              <w:ind w:firstLine="0"/>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地址：延川县财政局一楼</w:t>
            </w:r>
          </w:p>
          <w:p>
            <w:pPr>
              <w:pStyle w:val="17"/>
              <w:spacing w:line="340" w:lineRule="exact"/>
              <w:ind w:firstLine="0"/>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联系方式：0911-8331531</w:t>
            </w:r>
          </w:p>
        </w:tc>
      </w:tr>
      <w:tr>
        <w:tblPrEx>
          <w:tblCellMar>
            <w:top w:w="0" w:type="dxa"/>
            <w:left w:w="108" w:type="dxa"/>
            <w:bottom w:w="0" w:type="dxa"/>
            <w:right w:w="108" w:type="dxa"/>
          </w:tblCellMar>
        </w:tblPrEx>
        <w:trPr>
          <w:trHeight w:val="362" w:hRule="atLeast"/>
          <w:jc w:val="center"/>
        </w:trPr>
        <w:tc>
          <w:tcPr>
            <w:tcW w:w="703"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5</w:t>
            </w:r>
          </w:p>
        </w:tc>
        <w:tc>
          <w:tcPr>
            <w:tcW w:w="2146" w:type="dxa"/>
            <w:tcBorders>
              <w:top w:val="single" w:color="auto" w:sz="4" w:space="0"/>
              <w:left w:val="single" w:color="000000" w:sz="4" w:space="0"/>
              <w:bottom w:val="single" w:color="auto" w:sz="4" w:space="0"/>
              <w:right w:val="single" w:color="000000" w:sz="4" w:space="0"/>
            </w:tcBorders>
            <w:noWrap/>
            <w:vAlign w:val="center"/>
          </w:tcPr>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采购内容</w:t>
            </w:r>
          </w:p>
        </w:tc>
        <w:tc>
          <w:tcPr>
            <w:tcW w:w="6636" w:type="dxa"/>
            <w:tcBorders>
              <w:top w:val="single" w:color="000000" w:sz="4" w:space="0"/>
              <w:left w:val="single" w:color="000000" w:sz="4" w:space="0"/>
              <w:bottom w:val="single" w:color="000000" w:sz="4" w:space="0"/>
              <w:right w:val="single" w:color="000000" w:sz="4" w:space="0"/>
            </w:tcBorders>
            <w:noWrap/>
            <w:vAlign w:val="center"/>
          </w:tcPr>
          <w:p>
            <w:pPr>
              <w:pStyle w:val="17"/>
              <w:spacing w:line="340" w:lineRule="exact"/>
              <w:ind w:firstLine="0"/>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主要采购内容见第四章</w:t>
            </w:r>
          </w:p>
        </w:tc>
      </w:tr>
      <w:tr>
        <w:tblPrEx>
          <w:tblCellMar>
            <w:top w:w="0" w:type="dxa"/>
            <w:left w:w="108" w:type="dxa"/>
            <w:bottom w:w="0" w:type="dxa"/>
            <w:right w:w="108" w:type="dxa"/>
          </w:tblCellMar>
        </w:tblPrEx>
        <w:trPr>
          <w:trHeight w:val="90" w:hRule="atLeast"/>
          <w:jc w:val="center"/>
        </w:trPr>
        <w:tc>
          <w:tcPr>
            <w:tcW w:w="703"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6</w:t>
            </w:r>
          </w:p>
        </w:tc>
        <w:tc>
          <w:tcPr>
            <w:tcW w:w="2146" w:type="dxa"/>
            <w:tcBorders>
              <w:top w:val="single" w:color="auto" w:sz="4" w:space="0"/>
              <w:left w:val="single" w:color="000000" w:sz="4" w:space="0"/>
              <w:bottom w:val="single" w:color="auto" w:sz="4" w:space="0"/>
              <w:right w:val="single" w:color="000000" w:sz="4" w:space="0"/>
            </w:tcBorders>
            <w:noWrap/>
            <w:vAlign w:val="center"/>
          </w:tcPr>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组织方式</w:t>
            </w:r>
          </w:p>
        </w:tc>
        <w:tc>
          <w:tcPr>
            <w:tcW w:w="6636" w:type="dxa"/>
            <w:tcBorders>
              <w:top w:val="single" w:color="000000" w:sz="4" w:space="0"/>
              <w:left w:val="single" w:color="000000" w:sz="4" w:space="0"/>
              <w:bottom w:val="single" w:color="000000" w:sz="4" w:space="0"/>
              <w:right w:val="single" w:color="000000" w:sz="4" w:space="0"/>
            </w:tcBorders>
            <w:noWrap/>
            <w:vAlign w:val="center"/>
          </w:tcPr>
          <w:p>
            <w:pPr>
              <w:pStyle w:val="17"/>
              <w:spacing w:line="340" w:lineRule="exact"/>
              <w:ind w:firstLine="0"/>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eastAsia="zh-CN"/>
              </w:rPr>
              <w:t>政府</w:t>
            </w:r>
            <w:r>
              <w:rPr>
                <w:rFonts w:hint="eastAsia" w:asciiTheme="minorEastAsia" w:hAnsiTheme="minorEastAsia" w:eastAsiaTheme="minorEastAsia" w:cstheme="minorEastAsia"/>
                <w:color w:val="000000" w:themeColor="text1"/>
                <w:sz w:val="21"/>
                <w:szCs w:val="21"/>
              </w:rPr>
              <w:t>集中采购</w:t>
            </w:r>
          </w:p>
        </w:tc>
      </w:tr>
      <w:tr>
        <w:tblPrEx>
          <w:tblCellMar>
            <w:top w:w="0" w:type="dxa"/>
            <w:left w:w="108" w:type="dxa"/>
            <w:bottom w:w="0" w:type="dxa"/>
            <w:right w:w="108" w:type="dxa"/>
          </w:tblCellMar>
        </w:tblPrEx>
        <w:trPr>
          <w:trHeight w:val="915"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40" w:lineRule="exact"/>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7</w:t>
            </w:r>
          </w:p>
        </w:tc>
        <w:tc>
          <w:tcPr>
            <w:tcW w:w="2146"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采购最高限价</w:t>
            </w:r>
          </w:p>
        </w:tc>
        <w:tc>
          <w:tcPr>
            <w:tcW w:w="6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17"/>
              <w:spacing w:line="340" w:lineRule="exact"/>
              <w:ind w:firstLine="0"/>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sz w:val="21"/>
                <w:szCs w:val="21"/>
              </w:rPr>
              <w:t>采购最高限价：</w:t>
            </w:r>
            <w:r>
              <w:rPr>
                <w:rFonts w:hint="eastAsia" w:asciiTheme="minorEastAsia" w:hAnsiTheme="minorEastAsia" w:eastAsiaTheme="minorEastAsia" w:cstheme="minorEastAsia"/>
                <w:color w:val="1552D1"/>
                <w:sz w:val="21"/>
                <w:szCs w:val="21"/>
                <w:lang w:val="en-US" w:eastAsia="zh-CN"/>
              </w:rPr>
              <w:t>198700</w:t>
            </w:r>
            <w:r>
              <w:rPr>
                <w:rFonts w:hint="eastAsia" w:asciiTheme="minorEastAsia" w:hAnsiTheme="minorEastAsia" w:eastAsiaTheme="minorEastAsia" w:cstheme="minorEastAsia"/>
                <w:color w:val="1552D1"/>
                <w:sz w:val="21"/>
                <w:szCs w:val="21"/>
              </w:rPr>
              <w:t>元（</w:t>
            </w:r>
            <w:r>
              <w:rPr>
                <w:rFonts w:hint="eastAsia" w:asciiTheme="minorEastAsia" w:hAnsiTheme="minorEastAsia" w:eastAsiaTheme="minorEastAsia" w:cstheme="minorEastAsia"/>
                <w:color w:val="1552D1"/>
                <w:sz w:val="21"/>
                <w:szCs w:val="21"/>
                <w:lang w:val="en-US" w:eastAsia="zh-CN"/>
              </w:rPr>
              <w:t>壹拾玖万捌仟柒佰</w:t>
            </w:r>
            <w:r>
              <w:rPr>
                <w:rFonts w:hint="eastAsia" w:asciiTheme="minorEastAsia" w:hAnsiTheme="minorEastAsia" w:eastAsiaTheme="minorEastAsia" w:cstheme="minorEastAsia"/>
                <w:color w:val="1552D1"/>
                <w:sz w:val="21"/>
                <w:szCs w:val="21"/>
              </w:rPr>
              <w:t>元整）（凡超过此限价的报价按无效标处理）</w:t>
            </w:r>
          </w:p>
        </w:tc>
      </w:tr>
      <w:tr>
        <w:tblPrEx>
          <w:tblCellMar>
            <w:top w:w="0" w:type="dxa"/>
            <w:left w:w="108" w:type="dxa"/>
            <w:bottom w:w="0" w:type="dxa"/>
            <w:right w:w="108" w:type="dxa"/>
          </w:tblCellMar>
        </w:tblPrEx>
        <w:trPr>
          <w:trHeight w:val="2468" w:hRule="atLeast"/>
          <w:jc w:val="center"/>
        </w:trPr>
        <w:tc>
          <w:tcPr>
            <w:tcW w:w="703" w:type="dxa"/>
            <w:tcBorders>
              <w:top w:val="single" w:color="000000" w:sz="4" w:space="0"/>
              <w:left w:val="single" w:color="000000" w:sz="4" w:space="0"/>
              <w:bottom w:val="single" w:color="auto" w:sz="4" w:space="0"/>
              <w:right w:val="single" w:color="000000" w:sz="4" w:space="0"/>
            </w:tcBorders>
            <w:noWrap/>
            <w:vAlign w:val="center"/>
          </w:tcPr>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8</w:t>
            </w:r>
          </w:p>
        </w:tc>
        <w:tc>
          <w:tcPr>
            <w:tcW w:w="2146" w:type="dxa"/>
            <w:tcBorders>
              <w:top w:val="single" w:color="auto" w:sz="4" w:space="0"/>
              <w:left w:val="single" w:color="000000" w:sz="4" w:space="0"/>
              <w:bottom w:val="single" w:color="auto" w:sz="4" w:space="0"/>
              <w:right w:val="single" w:color="000000" w:sz="4" w:space="0"/>
            </w:tcBorders>
            <w:noWrap/>
            <w:vAlign w:val="center"/>
          </w:tcPr>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磋商供应商</w:t>
            </w:r>
          </w:p>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资格要求</w:t>
            </w:r>
          </w:p>
        </w:tc>
        <w:tc>
          <w:tcPr>
            <w:tcW w:w="6636" w:type="dxa"/>
            <w:tcBorders>
              <w:top w:val="single" w:color="000000" w:sz="4" w:space="0"/>
              <w:left w:val="single" w:color="000000" w:sz="4" w:space="0"/>
              <w:bottom w:val="single" w:color="auto" w:sz="4" w:space="0"/>
              <w:right w:val="single" w:color="000000" w:sz="4" w:space="0"/>
            </w:tcBorders>
            <w:noWrap/>
            <w:vAlign w:val="center"/>
          </w:tcPr>
          <w:p>
            <w:pPr>
              <w:rPr>
                <w:color w:val="000000" w:themeColor="text1"/>
              </w:rPr>
            </w:pPr>
            <w:r>
              <w:rPr>
                <w:rFonts w:hint="eastAsia"/>
                <w:color w:val="000000" w:themeColor="text1"/>
              </w:rPr>
              <w:t>一、基本资格条件：符合《中华人民共和国政府采购法》第二十二条的规定；</w:t>
            </w:r>
          </w:p>
          <w:p>
            <w:pPr>
              <w:pStyle w:val="20"/>
              <w:ind w:firstLine="0" w:firstLineChars="0"/>
              <w:rPr>
                <w:color w:val="000000" w:themeColor="text1"/>
                <w:sz w:val="21"/>
                <w:szCs w:val="24"/>
              </w:rPr>
            </w:pPr>
            <w:r>
              <w:rPr>
                <w:rFonts w:hint="eastAsia"/>
                <w:color w:val="000000" w:themeColor="text1"/>
                <w:sz w:val="21"/>
                <w:szCs w:val="24"/>
              </w:rPr>
              <w:t>二、特定资格条件</w:t>
            </w:r>
          </w:p>
          <w:p>
            <w:pPr>
              <w:pStyle w:val="20"/>
              <w:ind w:firstLine="0" w:firstLineChars="0"/>
              <w:rPr>
                <w:rFonts w:hint="eastAsia"/>
                <w:b/>
                <w:bCs/>
                <w:color w:val="000000" w:themeColor="text1"/>
                <w:sz w:val="21"/>
                <w:szCs w:val="21"/>
              </w:rPr>
            </w:pPr>
            <w:r>
              <w:rPr>
                <w:rFonts w:hint="eastAsia"/>
                <w:b/>
                <w:bCs/>
                <w:color w:val="000000" w:themeColor="text1"/>
                <w:sz w:val="21"/>
                <w:szCs w:val="21"/>
              </w:rPr>
              <w:t>（1）营业执照等主体资格证明文件：提供有效存续的企业营业执照（副本）/事业单位法人证书/专业服务机构执业许可证/民办非企业单位登记证书/其他组织或自然人。</w:t>
            </w:r>
            <w:r>
              <w:rPr>
                <w:rFonts w:hint="eastAsia"/>
                <w:b/>
                <w:bCs/>
                <w:color w:val="000000" w:themeColor="text1"/>
                <w:sz w:val="21"/>
                <w:szCs w:val="21"/>
              </w:rPr>
              <w:br w:type="textWrapping"/>
            </w:r>
            <w:r>
              <w:rPr>
                <w:rFonts w:hint="eastAsia"/>
                <w:b/>
                <w:bCs/>
                <w:color w:val="000000" w:themeColor="text1"/>
                <w:sz w:val="21"/>
                <w:szCs w:val="21"/>
              </w:rPr>
              <w:t>（2）法定代表人授权委托书：法定代表人参加磋商的，须提供本人身份证复印件（附在资格证明文件中）；法定代表人授权他人参加磋商的，须提供法定代表人授权委托书。</w:t>
            </w:r>
            <w:r>
              <w:rPr>
                <w:rFonts w:hint="eastAsia"/>
                <w:b/>
                <w:bCs/>
                <w:color w:val="000000" w:themeColor="text1"/>
                <w:sz w:val="21"/>
                <w:szCs w:val="21"/>
              </w:rPr>
              <w:br w:type="textWrapping"/>
            </w:r>
            <w:r>
              <w:rPr>
                <w:rFonts w:hint="eastAsia"/>
                <w:b/>
                <w:bCs/>
                <w:color w:val="000000" w:themeColor="text1"/>
                <w:sz w:val="21"/>
                <w:szCs w:val="21"/>
              </w:rPr>
              <w:t>（3）财务状况报告：提供2020年度或2021年度经审计的财务会计报告，或其开标前三个月内基本存款账户开户银行出具的资信证明，或信用担保机构出具的投标担保函。（以上三种形式的资料提供任何一种即可）。</w:t>
            </w:r>
            <w:r>
              <w:rPr>
                <w:rFonts w:hint="eastAsia"/>
                <w:b/>
                <w:bCs/>
                <w:color w:val="000000" w:themeColor="text1"/>
                <w:sz w:val="21"/>
                <w:szCs w:val="21"/>
              </w:rPr>
              <w:br w:type="textWrapping"/>
            </w:r>
            <w:r>
              <w:rPr>
                <w:rFonts w:hint="eastAsia"/>
                <w:b/>
                <w:bCs/>
                <w:color w:val="000000" w:themeColor="text1"/>
                <w:sz w:val="21"/>
                <w:szCs w:val="21"/>
              </w:rPr>
              <w:t>（4）税收缴纳证明：提供已缴纳的2021年1月1日以来至少一个月的纳税证明或完税证明。依法免税的供应商应提供相关文件证明。</w:t>
            </w:r>
            <w:r>
              <w:rPr>
                <w:rFonts w:hint="eastAsia"/>
                <w:b/>
                <w:bCs/>
                <w:color w:val="000000" w:themeColor="text1"/>
                <w:sz w:val="21"/>
                <w:szCs w:val="21"/>
              </w:rPr>
              <w:br w:type="textWrapping"/>
            </w:r>
            <w:r>
              <w:rPr>
                <w:rFonts w:hint="eastAsia"/>
                <w:b/>
                <w:bCs/>
                <w:color w:val="000000" w:themeColor="text1"/>
                <w:sz w:val="21"/>
                <w:szCs w:val="21"/>
              </w:rPr>
              <w:t>（5）信用记录：提供《供应商信用记录书面声明函》。经查，供应商未被列入“信用中国”网站记录的“失信被执行人”或“重大税收违法案件当事人”名单；不处于“中国政府采购网”记录的“政府采购严重违法失信行为记录名单 ”中的禁止参加政府采购活动期间。</w:t>
            </w:r>
            <w:r>
              <w:rPr>
                <w:rFonts w:hint="eastAsia"/>
                <w:b/>
                <w:bCs/>
                <w:color w:val="000000" w:themeColor="text1"/>
                <w:sz w:val="21"/>
                <w:szCs w:val="21"/>
              </w:rPr>
              <w:br w:type="textWrapping"/>
            </w:r>
            <w:r>
              <w:rPr>
                <w:rFonts w:hint="eastAsia"/>
                <w:b/>
                <w:bCs/>
                <w:color w:val="000000" w:themeColor="text1"/>
                <w:sz w:val="21"/>
                <w:szCs w:val="21"/>
              </w:rPr>
              <w:t>（6）控股管理关系：提供直接控股和管理关系清单。若与其他供应商存在单位负责人为同一人或者存在直接控股、管理关系的，则响应无效。</w:t>
            </w:r>
            <w:r>
              <w:rPr>
                <w:rFonts w:hint="eastAsia"/>
                <w:b/>
                <w:bCs/>
                <w:color w:val="000000" w:themeColor="text1"/>
                <w:sz w:val="21"/>
                <w:szCs w:val="21"/>
              </w:rPr>
              <w:br w:type="textWrapping"/>
            </w:r>
            <w:r>
              <w:rPr>
                <w:rFonts w:hint="eastAsia"/>
                <w:b/>
                <w:bCs/>
                <w:color w:val="000000" w:themeColor="text1"/>
                <w:sz w:val="21"/>
                <w:szCs w:val="21"/>
              </w:rPr>
              <w:t>（7）书面声明：提供书面声明，包括声明具有履行合同所必需的设备和专业技术能力；未为本项目提供整体设计、规范编制或者项目管理、监理、检测等服务；提供参加本次政府采购活动前三年内在经营活动中没有重大违法记录的书面声明。</w:t>
            </w:r>
            <w:r>
              <w:rPr>
                <w:rFonts w:hint="eastAsia"/>
                <w:b/>
                <w:bCs/>
                <w:color w:val="000000" w:themeColor="text1"/>
                <w:sz w:val="21"/>
                <w:szCs w:val="21"/>
              </w:rPr>
              <w:br w:type="textWrapping"/>
            </w:r>
            <w:r>
              <w:rPr>
                <w:rFonts w:hint="eastAsia"/>
                <w:b/>
                <w:bCs/>
                <w:color w:val="000000" w:themeColor="text1"/>
                <w:sz w:val="21"/>
                <w:szCs w:val="21"/>
              </w:rPr>
              <w:t>（8）资质要求：工程勘察资质岩土工程或水文地质专业乙级</w:t>
            </w:r>
          </w:p>
          <w:p>
            <w:pPr>
              <w:pStyle w:val="20"/>
              <w:ind w:firstLine="0" w:firstLineChars="0"/>
              <w:rPr>
                <w:rFonts w:hint="eastAsia" w:eastAsia="宋体"/>
                <w:color w:val="000000" w:themeColor="text1"/>
                <w:lang w:eastAsia="zh-CN"/>
              </w:rPr>
            </w:pPr>
            <w:r>
              <w:rPr>
                <w:rFonts w:hint="eastAsia"/>
                <w:b/>
                <w:bCs/>
                <w:color w:val="000000" w:themeColor="text1"/>
                <w:sz w:val="21"/>
                <w:szCs w:val="21"/>
              </w:rPr>
              <w:t>注：以上特定资格条件内容均为磋商供应商必备资格，</w:t>
            </w:r>
            <w:r>
              <w:rPr>
                <w:rFonts w:hint="eastAsia"/>
                <w:b/>
                <w:bCs/>
                <w:color w:val="000000" w:themeColor="text1"/>
                <w:sz w:val="21"/>
                <w:szCs w:val="21"/>
                <w:lang w:eastAsia="zh-CN"/>
              </w:rPr>
              <w:t>开标现场需提供</w:t>
            </w:r>
            <w:r>
              <w:rPr>
                <w:rFonts w:hint="eastAsia"/>
                <w:b/>
                <w:bCs/>
                <w:color w:val="000000" w:themeColor="text1"/>
                <w:sz w:val="21"/>
                <w:szCs w:val="21"/>
              </w:rPr>
              <w:t>一套加盖单位红色公章的证明材料复印件</w:t>
            </w:r>
            <w:r>
              <w:rPr>
                <w:rFonts w:hint="eastAsia"/>
                <w:b/>
                <w:bCs/>
                <w:color w:val="000000" w:themeColor="text1"/>
                <w:sz w:val="21"/>
                <w:szCs w:val="21"/>
                <w:lang w:eastAsia="zh-CN"/>
              </w:rPr>
              <w:t>。</w:t>
            </w:r>
          </w:p>
        </w:tc>
      </w:tr>
      <w:tr>
        <w:tblPrEx>
          <w:tblCellMar>
            <w:top w:w="0" w:type="dxa"/>
            <w:left w:w="108" w:type="dxa"/>
            <w:bottom w:w="0" w:type="dxa"/>
            <w:right w:w="108" w:type="dxa"/>
          </w:tblCellMar>
        </w:tblPrEx>
        <w:trPr>
          <w:trHeight w:val="532" w:hRule="atLeast"/>
          <w:jc w:val="center"/>
        </w:trPr>
        <w:tc>
          <w:tcPr>
            <w:tcW w:w="703" w:type="dxa"/>
            <w:tcBorders>
              <w:top w:val="single" w:color="auto" w:sz="4" w:space="0"/>
              <w:left w:val="single" w:color="000000" w:sz="4" w:space="0"/>
              <w:bottom w:val="single" w:color="auto" w:sz="4" w:space="0"/>
              <w:right w:val="single" w:color="000000" w:sz="4" w:space="0"/>
            </w:tcBorders>
            <w:noWrap/>
            <w:vAlign w:val="center"/>
          </w:tcPr>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9</w:t>
            </w:r>
          </w:p>
        </w:tc>
        <w:tc>
          <w:tcPr>
            <w:tcW w:w="2146" w:type="dxa"/>
            <w:tcBorders>
              <w:top w:val="single" w:color="auto" w:sz="4" w:space="0"/>
              <w:left w:val="single" w:color="000000" w:sz="4" w:space="0"/>
              <w:bottom w:val="single" w:color="auto" w:sz="4" w:space="0"/>
              <w:right w:val="single" w:color="000000" w:sz="4" w:space="0"/>
            </w:tcBorders>
            <w:noWrap/>
            <w:vAlign w:val="center"/>
          </w:tcPr>
          <w:p>
            <w:pPr>
              <w:pStyle w:val="18"/>
              <w:spacing w:beforeAutospacing="0" w:afterAutospacing="0"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磋商响应文件有效期</w:t>
            </w:r>
          </w:p>
        </w:tc>
        <w:tc>
          <w:tcPr>
            <w:tcW w:w="6636" w:type="dxa"/>
            <w:tcBorders>
              <w:top w:val="single" w:color="auto" w:sz="4" w:space="0"/>
              <w:left w:val="single" w:color="000000" w:sz="4" w:space="0"/>
              <w:bottom w:val="single" w:color="auto" w:sz="4" w:space="0"/>
              <w:right w:val="single" w:color="000000" w:sz="4" w:space="0"/>
            </w:tcBorders>
            <w:noWrap/>
            <w:vAlign w:val="center"/>
          </w:tcPr>
          <w:p>
            <w:pPr>
              <w:pStyle w:val="18"/>
              <w:spacing w:beforeAutospacing="0" w:afterAutospacing="0"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有效期为 90 天（法人授权书、投标函）</w:t>
            </w:r>
          </w:p>
        </w:tc>
      </w:tr>
      <w:tr>
        <w:tblPrEx>
          <w:tblCellMar>
            <w:top w:w="0" w:type="dxa"/>
            <w:left w:w="108" w:type="dxa"/>
            <w:bottom w:w="0" w:type="dxa"/>
            <w:right w:w="108" w:type="dxa"/>
          </w:tblCellMar>
        </w:tblPrEx>
        <w:trPr>
          <w:trHeight w:val="718" w:hRule="atLeast"/>
          <w:jc w:val="center"/>
        </w:trPr>
        <w:tc>
          <w:tcPr>
            <w:tcW w:w="703" w:type="dxa"/>
            <w:tcBorders>
              <w:top w:val="single" w:color="000000" w:sz="4" w:space="0"/>
              <w:left w:val="single" w:color="000000" w:sz="4" w:space="0"/>
              <w:bottom w:val="single" w:color="auto" w:sz="4" w:space="0"/>
              <w:right w:val="single" w:color="000000" w:sz="4" w:space="0"/>
            </w:tcBorders>
            <w:noWrap/>
            <w:vAlign w:val="center"/>
          </w:tcPr>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10</w:t>
            </w:r>
          </w:p>
        </w:tc>
        <w:tc>
          <w:tcPr>
            <w:tcW w:w="2146" w:type="dxa"/>
            <w:tcBorders>
              <w:top w:val="single" w:color="000000" w:sz="4" w:space="0"/>
              <w:left w:val="single" w:color="000000" w:sz="4" w:space="0"/>
              <w:bottom w:val="single" w:color="auto" w:sz="4" w:space="0"/>
              <w:right w:val="single" w:color="000000" w:sz="4" w:space="0"/>
            </w:tcBorders>
            <w:noWrap/>
            <w:vAlign w:val="center"/>
          </w:tcPr>
          <w:p>
            <w:pPr>
              <w:pStyle w:val="18"/>
              <w:spacing w:beforeAutospacing="0" w:afterAutospacing="0" w:line="360" w:lineRule="auto"/>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文件份数</w:t>
            </w:r>
          </w:p>
        </w:tc>
        <w:tc>
          <w:tcPr>
            <w:tcW w:w="6636" w:type="dxa"/>
            <w:tcBorders>
              <w:top w:val="single" w:color="000000" w:sz="4" w:space="0"/>
              <w:left w:val="single" w:color="000000" w:sz="4" w:space="0"/>
              <w:bottom w:val="single" w:color="000000" w:sz="4" w:space="0"/>
              <w:right w:val="single" w:color="000000" w:sz="4" w:space="0"/>
            </w:tcBorders>
            <w:noWrap/>
            <w:vAlign w:val="center"/>
          </w:tcPr>
          <w:p>
            <w:pPr>
              <w:pStyle w:val="18"/>
              <w:rPr>
                <w:color w:val="000000" w:themeColor="text1"/>
              </w:rPr>
            </w:pPr>
            <w:r>
              <w:rPr>
                <w:rFonts w:hint="eastAsia"/>
                <w:color w:val="000000" w:themeColor="text1"/>
              </w:rPr>
              <w:t>磋商响应文件包含正本1份、副本2份、响应报价表1份(内附报价一览表文字版原件及电子版各1份)</w:t>
            </w:r>
          </w:p>
        </w:tc>
      </w:tr>
      <w:tr>
        <w:tblPrEx>
          <w:tblCellMar>
            <w:top w:w="0" w:type="dxa"/>
            <w:left w:w="108" w:type="dxa"/>
            <w:bottom w:w="0" w:type="dxa"/>
            <w:right w:w="108" w:type="dxa"/>
          </w:tblCellMar>
        </w:tblPrEx>
        <w:trPr>
          <w:trHeight w:val="459" w:hRule="atLeast"/>
          <w:jc w:val="center"/>
        </w:trPr>
        <w:tc>
          <w:tcPr>
            <w:tcW w:w="703" w:type="dxa"/>
            <w:tcBorders>
              <w:top w:val="single" w:color="auto" w:sz="4" w:space="0"/>
              <w:left w:val="single" w:color="auto" w:sz="4" w:space="0"/>
              <w:bottom w:val="single" w:color="auto" w:sz="4" w:space="0"/>
              <w:right w:val="single" w:color="000000" w:sz="4" w:space="0"/>
            </w:tcBorders>
            <w:noWrap/>
            <w:vAlign w:val="center"/>
          </w:tcPr>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11</w:t>
            </w:r>
          </w:p>
        </w:tc>
        <w:tc>
          <w:tcPr>
            <w:tcW w:w="2146" w:type="dxa"/>
            <w:tcBorders>
              <w:top w:val="single" w:color="auto" w:sz="4" w:space="0"/>
              <w:left w:val="single" w:color="000000" w:sz="4" w:space="0"/>
              <w:bottom w:val="single" w:color="auto" w:sz="4" w:space="0"/>
              <w:right w:val="single" w:color="auto" w:sz="4" w:space="0"/>
            </w:tcBorders>
            <w:noWrap/>
            <w:vAlign w:val="center"/>
          </w:tcPr>
          <w:p>
            <w:pPr>
              <w:pStyle w:val="17"/>
              <w:spacing w:line="340" w:lineRule="exact"/>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评审方法</w:t>
            </w:r>
          </w:p>
        </w:tc>
        <w:tc>
          <w:tcPr>
            <w:tcW w:w="6636" w:type="dxa"/>
            <w:tcBorders>
              <w:top w:val="single" w:color="000000" w:sz="4" w:space="0"/>
              <w:left w:val="single" w:color="auto" w:sz="4" w:space="0"/>
              <w:bottom w:val="single" w:color="000000" w:sz="4" w:space="0"/>
              <w:right w:val="single" w:color="000000" w:sz="4" w:space="0"/>
            </w:tcBorders>
            <w:noWrap/>
            <w:vAlign w:val="center"/>
          </w:tcPr>
          <w:p>
            <w:pPr>
              <w:pStyle w:val="18"/>
              <w:spacing w:beforeAutospacing="0" w:afterAutospacing="0" w:line="360" w:lineRule="auto"/>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详见《第三章》评审方法（综合评分法）</w:t>
            </w:r>
          </w:p>
        </w:tc>
      </w:tr>
    </w:tbl>
    <w:p>
      <w:pPr>
        <w:pStyle w:val="17"/>
        <w:spacing w:line="360" w:lineRule="auto"/>
        <w:ind w:firstLine="0"/>
        <w:jc w:val="left"/>
        <w:rPr>
          <w:rFonts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color w:val="000000" w:themeColor="text1"/>
          <w:sz w:val="21"/>
          <w:szCs w:val="21"/>
        </w:rPr>
        <w:t>注：供应商须知前附表与磋商文件正文不一致的以供应商须知前附表为准。</w:t>
      </w:r>
    </w:p>
    <w:p>
      <w:pPr>
        <w:pStyle w:val="17"/>
        <w:spacing w:line="360" w:lineRule="auto"/>
        <w:ind w:firstLine="0"/>
        <w:rPr>
          <w:rFonts w:asciiTheme="minorEastAsia" w:hAnsiTheme="minorEastAsia" w:eastAsiaTheme="minorEastAsia" w:cstheme="minorEastAsia"/>
          <w:b/>
          <w:bCs/>
          <w:color w:val="000000" w:themeColor="text1"/>
          <w:sz w:val="21"/>
          <w:szCs w:val="21"/>
        </w:rPr>
      </w:pPr>
    </w:p>
    <w:p>
      <w:pPr>
        <w:pStyle w:val="17"/>
        <w:spacing w:line="360" w:lineRule="auto"/>
        <w:ind w:firstLine="0"/>
        <w:jc w:val="center"/>
        <w:rPr>
          <w:rFonts w:asciiTheme="minorEastAsia" w:hAnsiTheme="minorEastAsia" w:eastAsiaTheme="minorEastAsia" w:cstheme="minorEastAsia"/>
          <w:b/>
          <w:bCs/>
          <w:color w:val="000000" w:themeColor="text1"/>
          <w:sz w:val="21"/>
          <w:szCs w:val="21"/>
        </w:rPr>
      </w:pPr>
    </w:p>
    <w:p>
      <w:pPr>
        <w:pStyle w:val="17"/>
        <w:spacing w:line="360" w:lineRule="auto"/>
        <w:ind w:firstLine="0"/>
        <w:jc w:val="center"/>
        <w:rPr>
          <w:rFonts w:asciiTheme="minorEastAsia" w:hAnsiTheme="minorEastAsia" w:eastAsiaTheme="minorEastAsia" w:cstheme="minorEastAsia"/>
          <w:b/>
          <w:bCs/>
          <w:color w:val="000000" w:themeColor="text1"/>
          <w:sz w:val="21"/>
          <w:szCs w:val="21"/>
        </w:rPr>
      </w:pPr>
    </w:p>
    <w:p>
      <w:pPr>
        <w:pStyle w:val="17"/>
        <w:spacing w:line="360" w:lineRule="auto"/>
        <w:ind w:firstLine="0"/>
        <w:jc w:val="center"/>
        <w:rPr>
          <w:rFonts w:asciiTheme="minorEastAsia" w:hAnsiTheme="minorEastAsia" w:eastAsiaTheme="minorEastAsia" w:cstheme="minorEastAsia"/>
          <w:b/>
          <w:bCs/>
          <w:color w:val="000000" w:themeColor="text1"/>
          <w:sz w:val="21"/>
          <w:szCs w:val="21"/>
        </w:rPr>
      </w:pPr>
    </w:p>
    <w:p>
      <w:pPr>
        <w:pStyle w:val="17"/>
        <w:spacing w:line="360" w:lineRule="auto"/>
        <w:ind w:firstLine="0"/>
        <w:jc w:val="center"/>
        <w:rPr>
          <w:rFonts w:asciiTheme="minorEastAsia" w:hAnsiTheme="minorEastAsia" w:eastAsiaTheme="minorEastAsia" w:cstheme="minorEastAsia"/>
          <w:b/>
          <w:bCs/>
          <w:color w:val="000000" w:themeColor="text1"/>
          <w:sz w:val="21"/>
          <w:szCs w:val="21"/>
        </w:rPr>
      </w:pPr>
    </w:p>
    <w:p>
      <w:pPr>
        <w:rPr>
          <w:rFonts w:asciiTheme="minorEastAsia" w:hAnsiTheme="minorEastAsia" w:eastAsiaTheme="minorEastAsia" w:cstheme="minorEastAsia"/>
          <w:b/>
          <w:bCs/>
          <w:color w:val="000000" w:themeColor="text1"/>
          <w:sz w:val="21"/>
          <w:szCs w:val="21"/>
        </w:rPr>
      </w:pPr>
      <w:r>
        <w:rPr>
          <w:rFonts w:asciiTheme="minorEastAsia" w:hAnsiTheme="minorEastAsia" w:eastAsiaTheme="minorEastAsia" w:cstheme="minorEastAsia"/>
          <w:b/>
          <w:bCs/>
          <w:color w:val="000000" w:themeColor="text1"/>
          <w:sz w:val="21"/>
          <w:szCs w:val="21"/>
        </w:rPr>
        <w:br w:type="page"/>
      </w:r>
    </w:p>
    <w:p>
      <w:pPr>
        <w:pStyle w:val="17"/>
        <w:spacing w:line="360" w:lineRule="auto"/>
        <w:ind w:firstLine="0"/>
        <w:jc w:val="center"/>
        <w:rPr>
          <w:rFonts w:asciiTheme="minorEastAsia" w:hAnsiTheme="minorEastAsia" w:eastAsiaTheme="minorEastAsia" w:cstheme="minorEastAsia"/>
          <w:b/>
          <w:bCs/>
          <w:color w:val="000000" w:themeColor="text1"/>
          <w:sz w:val="21"/>
          <w:szCs w:val="21"/>
        </w:rPr>
      </w:pPr>
    </w:p>
    <w:p>
      <w:pPr>
        <w:pStyle w:val="17"/>
        <w:spacing w:line="360" w:lineRule="auto"/>
        <w:ind w:firstLine="0"/>
        <w:jc w:val="center"/>
        <w:rPr>
          <w:rFonts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sz w:val="21"/>
          <w:szCs w:val="21"/>
        </w:rPr>
        <w:t>2、日程安排表</w:t>
      </w:r>
    </w:p>
    <w:tbl>
      <w:tblPr>
        <w:tblStyle w:val="22"/>
        <w:tblW w:w="97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12"/>
        <w:gridCol w:w="67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tcPr>
          <w:p>
            <w:pPr>
              <w:pStyle w:val="5"/>
              <w:spacing w:beforeLines="50" w:line="276" w:lineRule="auto"/>
              <w:ind w:firstLine="0"/>
              <w:jc w:val="center"/>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b/>
                <w:color w:val="000000" w:themeColor="text1"/>
                <w:szCs w:val="21"/>
              </w:rPr>
              <w:t>序号</w:t>
            </w:r>
          </w:p>
        </w:tc>
        <w:tc>
          <w:tcPr>
            <w:tcW w:w="2112" w:type="dxa"/>
            <w:noWrap/>
          </w:tcPr>
          <w:p>
            <w:pPr>
              <w:pStyle w:val="5"/>
              <w:spacing w:beforeLines="50" w:line="276" w:lineRule="auto"/>
              <w:ind w:firstLine="0"/>
              <w:jc w:val="center"/>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b/>
                <w:color w:val="000000" w:themeColor="text1"/>
                <w:szCs w:val="21"/>
              </w:rPr>
              <w:t>工作内容</w:t>
            </w:r>
          </w:p>
        </w:tc>
        <w:tc>
          <w:tcPr>
            <w:tcW w:w="6792" w:type="dxa"/>
            <w:noWrap/>
            <w:vAlign w:val="center"/>
          </w:tcPr>
          <w:p>
            <w:pPr>
              <w:pStyle w:val="5"/>
              <w:spacing w:beforeLines="50" w:line="276" w:lineRule="auto"/>
              <w:ind w:firstLine="0"/>
              <w:jc w:val="center"/>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b/>
                <w:color w:val="000000" w:themeColor="text1"/>
                <w:szCs w:val="21"/>
              </w:rPr>
              <w:t>时间安排及注意事项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76"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w:t>
            </w:r>
          </w:p>
        </w:tc>
        <w:tc>
          <w:tcPr>
            <w:tcW w:w="2112"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发布公告</w:t>
            </w:r>
          </w:p>
        </w:tc>
        <w:tc>
          <w:tcPr>
            <w:tcW w:w="6792" w:type="dxa"/>
            <w:noWrap/>
            <w:vAlign w:val="center"/>
          </w:tcPr>
          <w:p>
            <w:pPr>
              <w:pStyle w:val="5"/>
              <w:spacing w:beforeLines="50" w:line="276" w:lineRule="auto"/>
              <w:ind w:right="115" w:rightChars="55"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发布时间：202</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日</w:t>
            </w:r>
          </w:p>
          <w:p>
            <w:pPr>
              <w:pStyle w:val="5"/>
              <w:spacing w:beforeLines="50" w:line="276" w:lineRule="auto"/>
              <w:ind w:right="115" w:rightChars="55"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公告媒体：陕西省政府采购网</w:t>
            </w:r>
          </w:p>
          <w:p>
            <w:pPr>
              <w:pStyle w:val="5"/>
              <w:spacing w:afterLines="50" w:line="276" w:lineRule="auto"/>
              <w:ind w:right="115" w:rightChars="55"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公告期限：5个工作日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876"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w:t>
            </w:r>
          </w:p>
        </w:tc>
        <w:tc>
          <w:tcPr>
            <w:tcW w:w="2112"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竞争性磋商文件领取</w:t>
            </w:r>
          </w:p>
        </w:tc>
        <w:tc>
          <w:tcPr>
            <w:tcW w:w="6792" w:type="dxa"/>
            <w:noWrap/>
            <w:vAlign w:val="center"/>
          </w:tcPr>
          <w:p>
            <w:pPr>
              <w:pStyle w:val="18"/>
              <w:keepNext w:val="0"/>
              <w:keepLines w:val="0"/>
              <w:widowControl/>
              <w:suppressLineNumbers w:val="0"/>
              <w:rPr>
                <w:rFonts w:asciiTheme="minorEastAsia" w:hAnsiTheme="minorEastAsia" w:eastAsiaTheme="minorEastAsia" w:cstheme="minorEastAsia"/>
                <w:szCs w:val="21"/>
              </w:rPr>
            </w:pPr>
            <w:r>
              <w:t>时间： 2022年08月10日 至 2022年08月17日 ，每天上午 08:00:00 至 12:00:00 ，下午 15:00:00 至 18:00:00 （北京时间,法定节假日除外）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76" w:type="dxa"/>
            <w:noWrap/>
            <w:vAlign w:val="center"/>
          </w:tcPr>
          <w:p>
            <w:pPr>
              <w:pStyle w:val="5"/>
              <w:spacing w:beforeLines="50" w:line="276" w:lineRule="auto"/>
              <w:ind w:firstLine="0"/>
              <w:jc w:val="center"/>
              <w:rPr>
                <w:rFonts w:asciiTheme="minorEastAsia" w:hAnsiTheme="minorEastAsia" w:eastAsiaTheme="minorEastAsia" w:cstheme="minorEastAsia"/>
                <w:b/>
                <w:bCs/>
                <w:color w:val="000000" w:themeColor="text1"/>
                <w:szCs w:val="21"/>
              </w:rPr>
            </w:pPr>
            <w:r>
              <w:rPr>
                <w:rFonts w:hint="eastAsia" w:asciiTheme="minorEastAsia" w:hAnsiTheme="minorEastAsia" w:eastAsiaTheme="minorEastAsia" w:cstheme="minorEastAsia"/>
                <w:b/>
                <w:bCs/>
                <w:color w:val="000000" w:themeColor="text1"/>
                <w:szCs w:val="21"/>
              </w:rPr>
              <w:t>3</w:t>
            </w:r>
          </w:p>
        </w:tc>
        <w:tc>
          <w:tcPr>
            <w:tcW w:w="2112"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踏勘现场</w:t>
            </w:r>
          </w:p>
        </w:tc>
        <w:tc>
          <w:tcPr>
            <w:tcW w:w="6792" w:type="dxa"/>
            <w:noWrap/>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本项目不组织统一踏勘时间，磋商供应商可自行进行踏勘,费用自理。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876"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w:t>
            </w:r>
          </w:p>
        </w:tc>
        <w:tc>
          <w:tcPr>
            <w:tcW w:w="2112"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答疑时间</w:t>
            </w:r>
          </w:p>
        </w:tc>
        <w:tc>
          <w:tcPr>
            <w:tcW w:w="6792" w:type="dxa"/>
            <w:noWrap/>
            <w:vAlign w:val="center"/>
          </w:tcPr>
          <w:p>
            <w:pPr>
              <w:pStyle w:val="5"/>
              <w:spacing w:line="276" w:lineRule="auto"/>
              <w:ind w:right="115" w:rightChars="55"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答疑时间：202</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日17时前（逾期者不再受理）</w:t>
            </w:r>
          </w:p>
          <w:p>
            <w:pPr>
              <w:pStyle w:val="5"/>
              <w:spacing w:line="276" w:lineRule="auto"/>
              <w:ind w:right="115" w:rightChars="55"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答疑递交方式：书面提交，送延川县政府采购中心一楼101室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5</w:t>
            </w:r>
          </w:p>
        </w:tc>
        <w:tc>
          <w:tcPr>
            <w:tcW w:w="2112"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竞争性磋商文件澄清</w:t>
            </w:r>
          </w:p>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或修改时间</w:t>
            </w:r>
          </w:p>
        </w:tc>
        <w:tc>
          <w:tcPr>
            <w:tcW w:w="6792" w:type="dxa"/>
            <w:noWrap/>
            <w:vAlign w:val="center"/>
          </w:tcPr>
          <w:p>
            <w:pPr>
              <w:pStyle w:val="5"/>
              <w:spacing w:line="276" w:lineRule="auto"/>
              <w:ind w:right="115" w:rightChars="55"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澄清（修改）时间：磋商响应文件递交截至时间5日前</w:t>
            </w:r>
          </w:p>
          <w:p>
            <w:pPr>
              <w:pStyle w:val="5"/>
              <w:spacing w:beforeLines="50" w:line="276" w:lineRule="auto"/>
              <w:ind w:right="115" w:rightChars="55"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获取方式：采购代理机构书面通知所有报名磋商供应商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76" w:type="dxa"/>
            <w:noWrap/>
            <w:vAlign w:val="center"/>
          </w:tcPr>
          <w:p>
            <w:pPr>
              <w:pStyle w:val="5"/>
              <w:spacing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6</w:t>
            </w:r>
          </w:p>
        </w:tc>
        <w:tc>
          <w:tcPr>
            <w:tcW w:w="2112"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lang w:val="zh-CN"/>
              </w:rPr>
            </w:pPr>
            <w:r>
              <w:rPr>
                <w:rFonts w:hint="eastAsia" w:asciiTheme="minorEastAsia" w:hAnsiTheme="minorEastAsia" w:eastAsiaTheme="minorEastAsia" w:cstheme="minorEastAsia"/>
                <w:color w:val="000000" w:themeColor="text1"/>
                <w:szCs w:val="21"/>
                <w:lang w:val="zh-CN"/>
              </w:rPr>
              <w:t>磋商响应文件递交</w:t>
            </w:r>
          </w:p>
          <w:p>
            <w:pPr>
              <w:pStyle w:val="5"/>
              <w:spacing w:after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zh-CN"/>
              </w:rPr>
              <w:t>截止时间</w:t>
            </w:r>
          </w:p>
        </w:tc>
        <w:tc>
          <w:tcPr>
            <w:tcW w:w="6792" w:type="dxa"/>
            <w:noWrap/>
            <w:vAlign w:val="center"/>
          </w:tcPr>
          <w:p>
            <w:pPr>
              <w:tabs>
                <w:tab w:val="left" w:pos="1440"/>
              </w:tabs>
              <w:spacing w:line="276" w:lineRule="auto"/>
              <w:ind w:right="115" w:rightChars="5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磋商响应文件递交截止时间：20</w:t>
            </w: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lang w:val="zh-CN"/>
              </w:rPr>
              <w:t>月</w:t>
            </w:r>
            <w:r>
              <w:rPr>
                <w:rFonts w:hint="eastAsia" w:asciiTheme="minorEastAsia" w:hAnsiTheme="minorEastAsia" w:eastAsiaTheme="minorEastAsia" w:cstheme="minorEastAsia"/>
                <w:szCs w:val="21"/>
                <w:lang w:val="en-US" w:eastAsia="zh-CN"/>
              </w:rPr>
              <w:t>23</w:t>
            </w:r>
            <w:r>
              <w:rPr>
                <w:rFonts w:hint="eastAsia" w:asciiTheme="minorEastAsia" w:hAnsiTheme="minorEastAsia" w:eastAsiaTheme="minorEastAsia" w:cstheme="minorEastAsia"/>
                <w:szCs w:val="21"/>
                <w:lang w:val="zh-CN"/>
              </w:rPr>
              <w:t>日</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lang w:val="zh-CN"/>
              </w:rPr>
              <w:t>时</w:t>
            </w:r>
            <w:r>
              <w:rPr>
                <w:rFonts w:hint="eastAsia" w:asciiTheme="minorEastAsia" w:hAnsiTheme="minorEastAsia" w:eastAsiaTheme="minorEastAsia" w:cstheme="minorEastAsia"/>
                <w:szCs w:val="21"/>
              </w:rPr>
              <w:t>00</w:t>
            </w:r>
            <w:r>
              <w:rPr>
                <w:rFonts w:hint="eastAsia" w:asciiTheme="minorEastAsia" w:hAnsiTheme="minorEastAsia" w:eastAsiaTheme="minorEastAsia" w:cstheme="minorEastAsia"/>
                <w:szCs w:val="21"/>
                <w:lang w:val="zh-CN"/>
              </w:rPr>
              <w:t>分（北京时间）</w:t>
            </w:r>
          </w:p>
          <w:p>
            <w:pPr>
              <w:tabs>
                <w:tab w:val="left" w:pos="1440"/>
              </w:tabs>
              <w:spacing w:line="276" w:lineRule="auto"/>
              <w:ind w:right="115" w:rightChars="55"/>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，磋商截止时间后送达的磋商响应文件将被拒收。</w:t>
            </w:r>
          </w:p>
          <w:p>
            <w:pPr>
              <w:spacing w:line="350" w:lineRule="exact"/>
              <w:jc w:val="left"/>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磋商响应文件递交地点：延川县政府采购中心会议室</w:t>
            </w:r>
            <w:r>
              <w:rPr>
                <w:rFonts w:hint="eastAsia" w:asciiTheme="minorEastAsia" w:hAnsiTheme="minorEastAsia" w:eastAsiaTheme="minorEastAsia" w:cstheme="minorEastAsia"/>
                <w:szCs w:val="21"/>
              </w:rPr>
              <w:t>(延川县财政局一楼）。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ign w:val="center"/>
          </w:tcPr>
          <w:p>
            <w:pPr>
              <w:pStyle w:val="5"/>
              <w:spacing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7</w:t>
            </w:r>
          </w:p>
        </w:tc>
        <w:tc>
          <w:tcPr>
            <w:tcW w:w="2112" w:type="dxa"/>
            <w:noWrap/>
            <w:vAlign w:val="center"/>
          </w:tcPr>
          <w:p>
            <w:pPr>
              <w:pStyle w:val="17"/>
              <w:spacing w:line="276" w:lineRule="auto"/>
              <w:ind w:firstLine="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磋商保证金交纳金额、账户及方式</w:t>
            </w:r>
          </w:p>
        </w:tc>
        <w:tc>
          <w:tcPr>
            <w:tcW w:w="6792" w:type="dxa"/>
            <w:noWrap/>
            <w:vAlign w:val="center"/>
          </w:tcPr>
          <w:p>
            <w:pPr>
              <w:tabs>
                <w:tab w:val="left" w:pos="0"/>
              </w:tabs>
              <w:spacing w:line="276" w:lineRule="auto"/>
              <w:ind w:left="14" w:right="115" w:rightChars="55" w:hanging="14"/>
              <w:rPr>
                <w:rFonts w:hint="eastAsia" w:asciiTheme="minorEastAsia" w:hAnsiTheme="minorEastAsia" w:eastAsiaTheme="minorEastAsia" w:cstheme="minorEastAsia"/>
                <w:color w:val="000000" w:themeColor="text1"/>
                <w:szCs w:val="21"/>
                <w:lang w:eastAsia="zh-CN"/>
              </w:rPr>
            </w:pPr>
            <w:r>
              <w:rPr>
                <w:rFonts w:hint="eastAsia" w:ascii="宋体" w:hAnsi="宋体" w:eastAsiaTheme="minorEastAsia"/>
                <w:sz w:val="24"/>
                <w:lang w:eastAsia="zh-CN"/>
              </w:rPr>
              <w:t>本项目不设保证金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76" w:type="dxa"/>
            <w:noWrap/>
            <w:vAlign w:val="center"/>
          </w:tcPr>
          <w:p>
            <w:pPr>
              <w:pStyle w:val="5"/>
              <w:spacing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8</w:t>
            </w:r>
          </w:p>
        </w:tc>
        <w:tc>
          <w:tcPr>
            <w:tcW w:w="2112" w:type="dxa"/>
            <w:noWrap/>
            <w:vAlign w:val="center"/>
          </w:tcPr>
          <w:p>
            <w:pPr>
              <w:pStyle w:val="5"/>
              <w:spacing w:after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开标时间和地点</w:t>
            </w:r>
          </w:p>
        </w:tc>
        <w:tc>
          <w:tcPr>
            <w:tcW w:w="6792" w:type="dxa"/>
            <w:noWrap/>
            <w:vAlign w:val="center"/>
          </w:tcPr>
          <w:p>
            <w:pPr>
              <w:pStyle w:val="5"/>
              <w:spacing w:beforeLines="50" w:line="276" w:lineRule="auto"/>
              <w:ind w:right="115" w:rightChars="55" w:firstLine="0"/>
              <w:rPr>
                <w:rFonts w:asciiTheme="minorEastAsia" w:hAnsiTheme="minorEastAsia" w:eastAsiaTheme="minorEastAsia" w:cstheme="minorEastAsia"/>
                <w:color w:val="FF0000"/>
                <w:szCs w:val="21"/>
                <w:lang w:val="zh-CN"/>
              </w:rPr>
            </w:pPr>
            <w:r>
              <w:rPr>
                <w:rFonts w:hint="eastAsia" w:asciiTheme="minorEastAsia" w:hAnsiTheme="minorEastAsia" w:eastAsiaTheme="minorEastAsia" w:cstheme="minorEastAsia"/>
                <w:color w:val="000000" w:themeColor="text1"/>
                <w:szCs w:val="21"/>
              </w:rPr>
              <w:t>开标时间</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zh-CN"/>
              </w:rPr>
              <w:t>20</w:t>
            </w: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lang w:val="zh-CN"/>
              </w:rPr>
              <w:t>月</w:t>
            </w:r>
            <w:r>
              <w:rPr>
                <w:rFonts w:hint="eastAsia" w:asciiTheme="minorEastAsia" w:hAnsiTheme="minorEastAsia" w:eastAsiaTheme="minorEastAsia" w:cstheme="minorEastAsia"/>
                <w:szCs w:val="21"/>
                <w:lang w:val="en-US" w:eastAsia="zh-CN"/>
              </w:rPr>
              <w:t>23</w:t>
            </w:r>
            <w:r>
              <w:rPr>
                <w:rFonts w:hint="eastAsia" w:asciiTheme="minorEastAsia" w:hAnsiTheme="minorEastAsia" w:eastAsiaTheme="minorEastAsia" w:cstheme="minorEastAsia"/>
                <w:szCs w:val="21"/>
                <w:lang w:val="zh-CN"/>
              </w:rPr>
              <w:t>日</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lang w:val="zh-CN"/>
              </w:rPr>
              <w:t>时</w:t>
            </w:r>
            <w:r>
              <w:rPr>
                <w:rFonts w:hint="eastAsia" w:asciiTheme="minorEastAsia" w:hAnsiTheme="minorEastAsia" w:eastAsiaTheme="minorEastAsia" w:cstheme="minorEastAsia"/>
                <w:szCs w:val="21"/>
              </w:rPr>
              <w:t>00</w:t>
            </w:r>
            <w:r>
              <w:rPr>
                <w:rFonts w:hint="eastAsia" w:asciiTheme="minorEastAsia" w:hAnsiTheme="minorEastAsia" w:eastAsiaTheme="minorEastAsia" w:cstheme="minorEastAsia"/>
                <w:szCs w:val="21"/>
                <w:lang w:val="zh-CN"/>
              </w:rPr>
              <w:t>分</w:t>
            </w:r>
          </w:p>
          <w:p>
            <w:pPr>
              <w:pStyle w:val="5"/>
              <w:spacing w:beforeLines="50" w:line="276" w:lineRule="auto"/>
              <w:ind w:right="115" w:rightChars="55" w:firstLine="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开标地点: 延川县政府采购中心会议室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ign w:val="center"/>
          </w:tcPr>
          <w:p>
            <w:pPr>
              <w:pStyle w:val="5"/>
              <w:spacing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9</w:t>
            </w:r>
          </w:p>
        </w:tc>
        <w:tc>
          <w:tcPr>
            <w:tcW w:w="2112"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成交公告</w:t>
            </w:r>
          </w:p>
        </w:tc>
        <w:tc>
          <w:tcPr>
            <w:tcW w:w="6792" w:type="dxa"/>
            <w:noWrap/>
            <w:vAlign w:val="center"/>
          </w:tcPr>
          <w:p>
            <w:pPr>
              <w:pStyle w:val="5"/>
              <w:spacing w:beforeLines="50" w:line="276" w:lineRule="auto"/>
              <w:ind w:right="115" w:rightChars="55" w:firstLine="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成交公告发布时间：在确定成交供应商后2个工作日内</w:t>
            </w:r>
          </w:p>
          <w:p>
            <w:pPr>
              <w:pStyle w:val="5"/>
              <w:spacing w:line="276" w:lineRule="auto"/>
              <w:ind w:right="115" w:rightChars="55" w:firstLine="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公告期限：1天</w:t>
            </w:r>
          </w:p>
          <w:p>
            <w:pPr>
              <w:pStyle w:val="5"/>
              <w:spacing w:line="276" w:lineRule="auto"/>
              <w:ind w:right="115" w:rightChars="55" w:firstLine="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公告媒体：陕西省政府采购网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ign w:val="center"/>
          </w:tcPr>
          <w:p>
            <w:pPr>
              <w:pStyle w:val="5"/>
              <w:spacing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10</w:t>
            </w:r>
          </w:p>
        </w:tc>
        <w:tc>
          <w:tcPr>
            <w:tcW w:w="2112"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成交通知书</w:t>
            </w:r>
          </w:p>
        </w:tc>
        <w:tc>
          <w:tcPr>
            <w:tcW w:w="6792" w:type="dxa"/>
            <w:noWrap/>
            <w:vAlign w:val="center"/>
          </w:tcPr>
          <w:p>
            <w:pPr>
              <w:pStyle w:val="5"/>
              <w:spacing w:beforeLines="50" w:line="276" w:lineRule="auto"/>
              <w:ind w:right="115" w:rightChars="55" w:firstLine="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发送时间：在确定成交供应商后2个工作日内</w:t>
            </w:r>
          </w:p>
          <w:p>
            <w:pPr>
              <w:pStyle w:val="5"/>
              <w:spacing w:line="276" w:lineRule="auto"/>
              <w:ind w:right="115" w:rightChars="55" w:firstLine="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发送方式：由采购人与采购代理机构共同盖章后书面发送给成交供应商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76" w:type="dxa"/>
            <w:noWrap/>
            <w:vAlign w:val="center"/>
          </w:tcPr>
          <w:p>
            <w:pPr>
              <w:pStyle w:val="5"/>
              <w:spacing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11</w:t>
            </w:r>
          </w:p>
        </w:tc>
        <w:tc>
          <w:tcPr>
            <w:tcW w:w="2112"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签订合同</w:t>
            </w:r>
          </w:p>
        </w:tc>
        <w:tc>
          <w:tcPr>
            <w:tcW w:w="6792" w:type="dxa"/>
            <w:noWrap/>
            <w:vAlign w:val="center"/>
          </w:tcPr>
          <w:p>
            <w:pPr>
              <w:pStyle w:val="5"/>
              <w:spacing w:beforeLines="50" w:line="276" w:lineRule="auto"/>
              <w:ind w:right="115" w:rightChars="55" w:firstLine="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签订时间：在成交通知书发出之日起30日内</w:t>
            </w:r>
          </w:p>
          <w:p>
            <w:pPr>
              <w:pStyle w:val="5"/>
              <w:spacing w:line="276" w:lineRule="auto"/>
              <w:ind w:right="115" w:rightChars="55" w:firstLine="0"/>
              <w:rPr>
                <w:rFonts w:hint="eastAsia" w:asciiTheme="minorEastAsia" w:hAnsiTheme="minorEastAsia" w:eastAsiaTheme="minorEastAsia" w:cstheme="minorEastAsia"/>
                <w:color w:val="000000" w:themeColor="text1"/>
                <w:szCs w:val="21"/>
                <w:lang w:eastAsia="zh-CN"/>
              </w:rPr>
            </w:pPr>
            <w:r>
              <w:rPr>
                <w:rFonts w:hint="eastAsia" w:asciiTheme="minorEastAsia" w:hAnsiTheme="minorEastAsia" w:eastAsiaTheme="minorEastAsia" w:cstheme="minorEastAsia"/>
                <w:color w:val="000000" w:themeColor="text1"/>
                <w:szCs w:val="21"/>
              </w:rPr>
              <w:t>签订地点：</w:t>
            </w:r>
            <w:r>
              <w:rPr>
                <w:rFonts w:hint="eastAsia" w:asciiTheme="minorEastAsia" w:hAnsiTheme="minorEastAsia" w:eastAsiaTheme="minorEastAsia" w:cstheme="minorEastAsia"/>
                <w:color w:val="000000" w:themeColor="text1"/>
                <w:szCs w:val="21"/>
                <w:lang w:eastAsia="zh-CN"/>
              </w:rPr>
              <w:t>延川县河道管理站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ign w:val="center"/>
          </w:tcPr>
          <w:p>
            <w:pPr>
              <w:pStyle w:val="5"/>
              <w:spacing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12</w:t>
            </w:r>
          </w:p>
        </w:tc>
        <w:tc>
          <w:tcPr>
            <w:tcW w:w="2112" w:type="dxa"/>
            <w:noWrap/>
            <w:vAlign w:val="center"/>
          </w:tcPr>
          <w:p>
            <w:pPr>
              <w:pStyle w:val="5"/>
              <w:spacing w:beforeLines="50" w:line="276" w:lineRule="auto"/>
              <w:ind w:firstLine="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磋商保证金的退还</w:t>
            </w:r>
          </w:p>
        </w:tc>
        <w:tc>
          <w:tcPr>
            <w:tcW w:w="6792" w:type="dxa"/>
            <w:noWrap/>
            <w:vAlign w:val="center"/>
          </w:tcPr>
          <w:p>
            <w:pPr>
              <w:pStyle w:val="5"/>
              <w:spacing w:beforeLines="50" w:afterLines="50" w:line="276" w:lineRule="auto"/>
              <w:ind w:right="115" w:rightChars="55" w:firstLine="0"/>
              <w:rPr>
                <w:rFonts w:hint="eastAsia" w:asciiTheme="minorEastAsia" w:hAnsiTheme="minorEastAsia" w:eastAsiaTheme="minorEastAsia" w:cstheme="minorEastAsia"/>
                <w:color w:val="000000" w:themeColor="text1"/>
                <w:szCs w:val="21"/>
                <w:lang w:eastAsia="zh-CN"/>
              </w:rPr>
            </w:pPr>
            <w:r>
              <w:rPr>
                <w:rFonts w:hint="eastAsia" w:asciiTheme="minorEastAsia" w:hAnsiTheme="minorEastAsia" w:eastAsiaTheme="minorEastAsia" w:cstheme="minorEastAsia"/>
                <w:color w:val="000000" w:themeColor="text1"/>
                <w:szCs w:val="21"/>
                <w:lang w:val="en-US" w:eastAsia="zh-CN"/>
              </w:rPr>
              <w:t>无</w:t>
            </w:r>
          </w:p>
        </w:tc>
      </w:tr>
    </w:tbl>
    <w:p>
      <w:pPr>
        <w:kinsoku w:val="0"/>
        <w:spacing w:line="360" w:lineRule="auto"/>
        <w:rPr>
          <w:rFonts w:asciiTheme="majorEastAsia" w:hAnsiTheme="majorEastAsia" w:eastAsiaTheme="majorEastAsia" w:cstheme="majorEastAsia"/>
          <w:b/>
          <w:color w:val="000000" w:themeColor="text1"/>
          <w:sz w:val="28"/>
        </w:rPr>
      </w:pPr>
      <w:r>
        <w:rPr>
          <w:rFonts w:hint="eastAsia" w:asciiTheme="majorEastAsia" w:hAnsiTheme="majorEastAsia" w:eastAsiaTheme="majorEastAsia" w:cstheme="majorEastAsia"/>
          <w:b/>
          <w:color w:val="000000" w:themeColor="text1"/>
          <w:sz w:val="28"/>
        </w:rPr>
        <w:t>一、总则</w:t>
      </w:r>
    </w:p>
    <w:p>
      <w:pPr>
        <w:kinsoku w:val="0"/>
        <w:spacing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1、释义</w:t>
      </w:r>
    </w:p>
    <w:p>
      <w:pPr>
        <w:kinsoku w:val="0"/>
        <w:spacing w:line="360" w:lineRule="auto"/>
        <w:ind w:firstLine="480" w:firstLineChars="200"/>
        <w:rPr>
          <w:rFonts w:hint="eastAsia" w:asciiTheme="majorEastAsia" w:hAnsiTheme="majorEastAsia" w:eastAsiaTheme="majorEastAsia" w:cstheme="majorEastAsia"/>
          <w:color w:val="000000" w:themeColor="text1"/>
          <w:sz w:val="24"/>
          <w:lang w:eastAsia="zh-CN"/>
        </w:rPr>
      </w:pPr>
      <w:r>
        <w:rPr>
          <w:rFonts w:hint="eastAsia" w:asciiTheme="majorEastAsia" w:hAnsiTheme="majorEastAsia" w:eastAsiaTheme="majorEastAsia" w:cstheme="majorEastAsia"/>
          <w:color w:val="000000" w:themeColor="text1"/>
          <w:sz w:val="24"/>
        </w:rPr>
        <w:t>1.1、采   购   人：</w:t>
      </w:r>
      <w:r>
        <w:rPr>
          <w:rFonts w:hint="eastAsia" w:asciiTheme="majorEastAsia" w:hAnsiTheme="majorEastAsia" w:eastAsiaTheme="majorEastAsia" w:cstheme="majorEastAsia"/>
          <w:color w:val="000000" w:themeColor="text1"/>
          <w:sz w:val="24"/>
          <w:lang w:eastAsia="zh-CN"/>
        </w:rPr>
        <w:t>延川县河道管理站</w:t>
      </w:r>
    </w:p>
    <w:p>
      <w:pPr>
        <w:tabs>
          <w:tab w:val="left" w:pos="980"/>
        </w:tabs>
        <w:kinsoku w:val="0"/>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1.2、采购代理机构：延川县政府采购中心</w:t>
      </w:r>
    </w:p>
    <w:p>
      <w:pPr>
        <w:tabs>
          <w:tab w:val="left" w:pos="980"/>
        </w:tabs>
        <w:kinsoku w:val="0"/>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1.3、监督管理部门：延川县财政局</w:t>
      </w:r>
    </w:p>
    <w:p>
      <w:pPr>
        <w:pStyle w:val="18"/>
        <w:spacing w:line="360" w:lineRule="auto"/>
        <w:ind w:firstLine="42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1.4、标        书：磋商文件与磋商响应文件的统称，竞争性磋商文件编制依据为《中华人民共和国政府采购法》、《中华人民共和国政府采购法实施条例》（第658号）、《政府采购货物和服务招标投标管理办法》（财政部令第87号）《政府采购竞争性磋商采购方式管理暂行办法》等相关的文件。</w:t>
      </w:r>
    </w:p>
    <w:p>
      <w:pPr>
        <w:tabs>
          <w:tab w:val="left" w:pos="980"/>
        </w:tabs>
        <w:kinsoku w:val="0"/>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1.5、磋商供应商：符合《中华人民共和国政府采购法》第二十二条及《中华人民共和国国务院令（第658号）》第十七条规定的条件，且从采购代理机构领取竞争性磋商文件，并自愿参加投标活动的磋商供应商。</w:t>
      </w:r>
    </w:p>
    <w:p>
      <w:pPr>
        <w:tabs>
          <w:tab w:val="left" w:pos="980"/>
        </w:tabs>
        <w:kinsoku w:val="0"/>
        <w:spacing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2、磋商供应商</w:t>
      </w:r>
    </w:p>
    <w:p>
      <w:pPr>
        <w:tabs>
          <w:tab w:val="left" w:pos="7665"/>
        </w:tabs>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2.1、合格的磋商供应商应具备以下条件：</w:t>
      </w:r>
    </w:p>
    <w:p>
      <w:pPr>
        <w:tabs>
          <w:tab w:val="left" w:pos="7665"/>
        </w:tabs>
        <w:spacing w:line="360" w:lineRule="auto"/>
        <w:ind w:firstLine="480" w:firstLineChars="200"/>
        <w:rPr>
          <w:rFonts w:asciiTheme="majorEastAsia" w:hAnsiTheme="majorEastAsia" w:eastAsiaTheme="majorEastAsia" w:cstheme="majorEastAsia"/>
          <w:color w:val="000000" w:themeColor="text1"/>
          <w:spacing w:val="-4"/>
          <w:sz w:val="24"/>
        </w:rPr>
      </w:pPr>
      <w:r>
        <w:rPr>
          <w:rFonts w:hint="eastAsia" w:asciiTheme="majorEastAsia" w:hAnsiTheme="majorEastAsia" w:eastAsiaTheme="majorEastAsia" w:cstheme="majorEastAsia"/>
          <w:color w:val="000000" w:themeColor="text1"/>
          <w:sz w:val="24"/>
        </w:rPr>
        <w:t>2.1.1、具备且满足《竞争性磋商公告》要求的</w:t>
      </w:r>
      <w:r>
        <w:rPr>
          <w:rFonts w:hint="eastAsia" w:asciiTheme="majorEastAsia" w:hAnsiTheme="majorEastAsia" w:eastAsiaTheme="majorEastAsia" w:cstheme="majorEastAsia"/>
          <w:color w:val="000000" w:themeColor="text1"/>
          <w:spacing w:val="-4"/>
          <w:sz w:val="24"/>
        </w:rPr>
        <w:t>；</w:t>
      </w:r>
    </w:p>
    <w:p>
      <w:pPr>
        <w:tabs>
          <w:tab w:val="left" w:pos="7665"/>
        </w:tabs>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2.1.2、向采购代理机构领取了竞争性磋商文件并登记备案的；</w:t>
      </w:r>
    </w:p>
    <w:p>
      <w:pPr>
        <w:tabs>
          <w:tab w:val="left" w:pos="7665"/>
        </w:tabs>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2.1.3、向采购代理机构缴纳了磋商保证金的；</w:t>
      </w:r>
    </w:p>
    <w:p>
      <w:pPr>
        <w:tabs>
          <w:tab w:val="left" w:pos="7665"/>
        </w:tabs>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2.1.4、一个磋商供应商只能提交一个磋商响应文件，法定代表人为同一人的两个及两个以上法人，不得同时参加本项目投标；</w:t>
      </w:r>
    </w:p>
    <w:p>
      <w:pPr>
        <w:tabs>
          <w:tab w:val="left" w:pos="7665"/>
        </w:tabs>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2.1.5、有隶属关系的两个公司或有控股关系的两个公司不能同时参加同一项目的投标；</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2.1.6、遵守国家、陕西省有关政府采购的法律、条例和法规；</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2.1.7、竞争性磋商文件和法律、行政法规规定的其他条件。</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2.2、磋商供应商存在下列情形之一，属于不合格磋商供应商，其磋商响应文件或中标资格将被取消：</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2.2.1、与采购人、采购代理机构存在隶属关系或者其他利害关系；</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2.2.2、与其他磋商供应商的法定代表人（或者负责人）为同一人，或者与其他磋商供应商存在控股、管理关系；</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2.2.3、提供虚假材料谋取成交资格；</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2.2.4、采取不正当手段诋毁、排挤其他磋商供应商；</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2.2.5、与采购人、采购代理机构、其他磋商供应商恶意串通；</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 xml:space="preserve">2.2.6、向采购人、采购代理机构、磋商小组成员行贿或者提供其他不正当利益；  </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2.2.7、拒绝有关部门的监督检查或者向监督检查部门提供虚假情况。</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2.2.8、受到刑事处罚，或者受到壹万元以上的罚款、责令停产停业、在一至三年内禁止参加政府采购活动、暂扣或者吊销许可证、暂扣或者吊销执照等情形之一的行政处罚，或者存在财政部门认定的其他重大违法记录。</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2.3、有下列情形之一的，视为磋商供应商相互恶意串通投标，其磋商响应文件或中标资格将被取消：</w:t>
      </w:r>
    </w:p>
    <w:p>
      <w:pPr>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color w:val="000000" w:themeColor="text1"/>
          <w:sz w:val="24"/>
        </w:rPr>
        <w:t>2.3.1、不同磋商供应商的磋商响应文件由同一单位或者个人编制；</w:t>
      </w:r>
    </w:p>
    <w:p>
      <w:pPr>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sz w:val="24"/>
        </w:rPr>
        <w:t>2.3.2、本项目依据《中华人民共和国政府采购法》和《中华人民共和国政府采购实施条例》的有关规定，落实政府采购“优先领取节能环保产品、扶持小微企业、监狱企业、福利企业”等相关政策</w:t>
      </w:r>
      <w:r>
        <w:rPr>
          <w:rFonts w:hint="eastAsia" w:asciiTheme="majorEastAsia" w:hAnsiTheme="majorEastAsia" w:eastAsiaTheme="majorEastAsia" w:cstheme="majorEastAsia"/>
          <w:color w:val="000000" w:themeColor="text1"/>
          <w:kern w:val="1"/>
          <w:sz w:val="24"/>
        </w:rPr>
        <w:t>。若不提供相关证明资料的或提供的证明资料有瑕疵的，在评审时不享受政府采购优惠政策。</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2.3.2.1、节能产品或者环保产品：依据《国务院办公厅关于建立政府强制采购节能产品制度的通知》（国办发〔2007〕51号）、《节能产品政府采购实施意见》（财库[2004]185号）、《环境标志产品政府采购实施的意见》（财库[2006]90号）之规定执行。</w:t>
      </w:r>
    </w:p>
    <w:p>
      <w:pPr>
        <w:tabs>
          <w:tab w:val="left" w:pos="980"/>
        </w:tabs>
        <w:kinsoku w:val="0"/>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2.3.2.2、中小企业：依据</w:t>
      </w:r>
      <w:r>
        <w:rPr>
          <w:rFonts w:hint="eastAsia" w:asciiTheme="majorEastAsia" w:hAnsiTheme="majorEastAsia" w:eastAsiaTheme="majorEastAsia" w:cstheme="majorEastAsia"/>
          <w:color w:val="000000" w:themeColor="text1"/>
          <w:sz w:val="24"/>
          <w:lang w:eastAsia="zh-CN"/>
        </w:rPr>
        <w:t>《政府采购促进中小企业发展管理办法》（财库〔2020〕46号）</w:t>
      </w:r>
      <w:r>
        <w:rPr>
          <w:rFonts w:hint="eastAsia" w:asciiTheme="majorEastAsia" w:hAnsiTheme="majorEastAsia" w:eastAsiaTheme="majorEastAsia" w:cstheme="majorEastAsia"/>
          <w:color w:val="000000" w:themeColor="text1"/>
          <w:sz w:val="24"/>
        </w:rPr>
        <w:t>之规定执行。参加政府采购活动的中小企业应当提供《中小企业声明函》（见第六章响应文件格式），不提供或提供有瑕疵的，在评审时不享受政府采购优惠政策。</w:t>
      </w:r>
    </w:p>
    <w:p>
      <w:pPr>
        <w:adjustRightInd w:val="0"/>
        <w:snapToGrid w:val="0"/>
        <w:spacing w:line="360" w:lineRule="auto"/>
        <w:ind w:firstLine="420" w:firstLineChars="175"/>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2.3.2.3、监狱企业：依照&lt;财政部、司法部关于政府采购支持监狱企业发展有关问题的通知&gt;（财库〔2014〕68号文件）之规定执行。</w:t>
      </w:r>
    </w:p>
    <w:p>
      <w:pPr>
        <w:adjustRightInd w:val="0"/>
        <w:snapToGrid w:val="0"/>
        <w:spacing w:line="360" w:lineRule="auto"/>
        <w:ind w:firstLine="420" w:firstLineChars="175"/>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sz w:val="24"/>
        </w:rPr>
        <w:t>2.3.2.4、残疾人福利性单位：依据《三部门联合发布关于促进残疾人就业政府采购政策的通知》（财库【2017】141号）之规定执行。</w:t>
      </w:r>
    </w:p>
    <w:p>
      <w:pPr>
        <w:adjustRightInd w:val="0"/>
        <w:snapToGrid w:val="0"/>
        <w:spacing w:line="360" w:lineRule="auto"/>
        <w:ind w:firstLine="420" w:firstLineChars="175"/>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2.4、磋商供应商的风险：竞争性磋商文件各章内容已对投标事宜提出明确要求，磋商供应商应认真阅读和充分理解竞争性磋商文件中所有的事项、格式条款和规范要求，任何对竞争性磋商文件的忽略或误解不能作为磋商响应文件存在缺陷或瑕疵的理由；磋商供应商没有按照竞争性磋商文件要求提供全部资料，或对竞争性磋商文件未全面做出实质性响应是磋商供应商的风险，而导致投标不利后果或其磋商响应文件被拒绝、被废标的，其责任由磋商供应商自负。</w:t>
      </w:r>
    </w:p>
    <w:p>
      <w:pPr>
        <w:adjustRightInd w:val="0"/>
        <w:snapToGrid w:val="0"/>
        <w:spacing w:line="360" w:lineRule="auto"/>
        <w:rPr>
          <w:rFonts w:asciiTheme="majorEastAsia" w:hAnsiTheme="majorEastAsia" w:eastAsiaTheme="majorEastAsia" w:cstheme="majorEastAsia"/>
          <w:b/>
          <w:bCs/>
          <w:color w:val="000000" w:themeColor="text1"/>
          <w:sz w:val="32"/>
          <w:szCs w:val="32"/>
        </w:rPr>
      </w:pPr>
      <w:r>
        <w:rPr>
          <w:rFonts w:hint="eastAsia" w:asciiTheme="majorEastAsia" w:hAnsiTheme="majorEastAsia" w:eastAsiaTheme="majorEastAsia" w:cstheme="majorEastAsia"/>
          <w:b/>
          <w:bCs/>
          <w:color w:val="000000" w:themeColor="text1"/>
          <w:sz w:val="32"/>
          <w:szCs w:val="32"/>
        </w:rPr>
        <w:t>二、竞争性磋商文件</w:t>
      </w:r>
    </w:p>
    <w:p>
      <w:pPr>
        <w:kinsoku w:val="0"/>
        <w:spacing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3、竞争性磋商文件的构成</w:t>
      </w:r>
    </w:p>
    <w:p>
      <w:pPr>
        <w:tabs>
          <w:tab w:val="left" w:pos="7665"/>
        </w:tabs>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竞争性磋商文件是磋商供应商准备磋商响应文件和参加投标的依据，同时也是评审的重要依据。竞争性磋商文件用以阐明采购项目所需的资质、技术、服务及报价等要求、采购程序、评审办法与标准、有关规定和注意事项以及合同主要条款等。</w:t>
      </w:r>
      <w:bookmarkStart w:id="6" w:name="_Toc183682348"/>
      <w:bookmarkStart w:id="7" w:name="_Toc183582211"/>
      <w:bookmarkStart w:id="8" w:name="_Toc217446040"/>
    </w:p>
    <w:p>
      <w:pPr>
        <w:spacing w:beforeLines="50"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4、踏勘现场</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4.1、本项目不组织统一踏勘时间，磋商供应商可自行进行踏勘。</w:t>
      </w:r>
    </w:p>
    <w:p>
      <w:pPr>
        <w:adjustRightInd w:val="0"/>
        <w:snapToGrid w:val="0"/>
        <w:spacing w:line="360" w:lineRule="auto"/>
        <w:ind w:firstLine="420" w:firstLineChars="175"/>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4.2、经采购方允许，供应商可为踏勘目的进入采购方的项目现场，但供应商不得因此使采购方承担有关的责任和蒙受损失；供应商应承担踏勘现场的责任和风险；供应商在现场踏勘期间发生的费用由供应商自负。</w:t>
      </w:r>
    </w:p>
    <w:p>
      <w:pPr>
        <w:adjustRightInd w:val="0"/>
        <w:snapToGrid w:val="0"/>
        <w:spacing w:line="360" w:lineRule="auto"/>
        <w:ind w:firstLine="420" w:firstLineChars="175"/>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4.3、采购方不对磋商供应商因踏勘现场而做出的推论、理解和结论负责。一旦成交，成交供应商不得以任何借口，提出额外补偿或延长合同期限的要求。</w:t>
      </w:r>
    </w:p>
    <w:p>
      <w:pPr>
        <w:tabs>
          <w:tab w:val="left" w:pos="7665"/>
        </w:tabs>
        <w:spacing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5.竞争性磋商文件的澄清</w:t>
      </w:r>
      <w:bookmarkEnd w:id="6"/>
      <w:bookmarkEnd w:id="7"/>
      <w:r>
        <w:rPr>
          <w:rFonts w:hint="eastAsia" w:asciiTheme="majorEastAsia" w:hAnsiTheme="majorEastAsia" w:eastAsiaTheme="majorEastAsia" w:cstheme="majorEastAsia"/>
          <w:b/>
          <w:color w:val="000000" w:themeColor="text1"/>
          <w:sz w:val="24"/>
        </w:rPr>
        <w:t>和修改</w:t>
      </w:r>
      <w:bookmarkEnd w:id="8"/>
    </w:p>
    <w:p>
      <w:pPr>
        <w:tabs>
          <w:tab w:val="left" w:pos="720"/>
        </w:tabs>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5.1、在磋商截止时间前，采购代理机构无论出于何种原因，可以对竞争性磋商文件进行澄清或者修改。</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5.2、采购代理机构对已发出的竞争性磋商文件进行澄清或者修改，将在竞争性磋商文件要求的提交磋商响应文件截止时间</w:t>
      </w:r>
      <w:r>
        <w:rPr>
          <w:rFonts w:hint="eastAsia" w:asciiTheme="majorEastAsia" w:hAnsiTheme="majorEastAsia" w:eastAsiaTheme="majorEastAsia" w:cstheme="majorEastAsia"/>
          <w:b/>
          <w:color w:val="000000" w:themeColor="text1"/>
          <w:sz w:val="24"/>
        </w:rPr>
        <w:t>5</w:t>
      </w:r>
      <w:r>
        <w:rPr>
          <w:rFonts w:hint="eastAsia" w:asciiTheme="majorEastAsia" w:hAnsiTheme="majorEastAsia" w:eastAsiaTheme="majorEastAsia" w:cstheme="majorEastAsia"/>
          <w:color w:val="000000" w:themeColor="text1"/>
          <w:sz w:val="24"/>
        </w:rPr>
        <w:t>日前进行，并以书面形式将澄清或者修改的内容通知所有领取了竞争性磋商文件的磋商供应商，同时在原信息发布媒体上发布更正公告。该澄清或者修改的内容为竞争性磋商文件的组成部分。磋商供应商在收到上述通知后，应立即以书面形式向采购代理机构确认。如果澄清或者修改发出的时间距规定的递交磋商响应文件截止时间不足5日，将相应顺延其截止时间。</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5</w:t>
      </w:r>
      <w:r>
        <w:rPr>
          <w:rFonts w:hint="eastAsia" w:asciiTheme="majorEastAsia" w:hAnsiTheme="majorEastAsia" w:eastAsiaTheme="majorEastAsia" w:cstheme="majorEastAsia"/>
          <w:b/>
          <w:bCs/>
          <w:color w:val="000000" w:themeColor="text1"/>
          <w:sz w:val="24"/>
        </w:rPr>
        <w:t>.</w:t>
      </w:r>
      <w:r>
        <w:rPr>
          <w:rFonts w:hint="eastAsia" w:asciiTheme="majorEastAsia" w:hAnsiTheme="majorEastAsia" w:eastAsiaTheme="majorEastAsia" w:cstheme="majorEastAsia"/>
          <w:color w:val="000000" w:themeColor="text1"/>
          <w:sz w:val="24"/>
        </w:rPr>
        <w:t>3、任何对竞争性磋商文件进行澄清的磋商供应商，或认为有必要与采购代理机构进行技术交流的，均应将澄清的内容，按照竞争性磋商文件日程安排表中的要求方式递交采购代理机构，采购代理机构以书面形式予以答复（答复中不包括问题的来源），或认为有必要召开答疑会。各磋商供应商须按竞争性磋商文件日程安排表中的要求时间，将准备澄清内容送达采购代理机构，超过该时间收到的需澄清的内容，采购代理机构有权不予答复。</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5.4、在递交磋商响应文件截止时间前，采购代理机构可以视采购具体情况，延长截止时间，并在竞争性磋商文件要求提交磋商响应文件的截止时间前，将变更时间以书面形式通知所有领取了竞争性磋商文件的磋商供应商，同时在原信息发布媒体上发布变更公告。</w:t>
      </w:r>
      <w:bookmarkStart w:id="9" w:name="_Toc183682350"/>
      <w:bookmarkStart w:id="10" w:name="_Toc208848971"/>
      <w:bookmarkStart w:id="11" w:name="_Toc183582213"/>
      <w:bookmarkStart w:id="12" w:name="_Toc217446041"/>
    </w:p>
    <w:bookmarkEnd w:id="9"/>
    <w:bookmarkEnd w:id="10"/>
    <w:bookmarkEnd w:id="11"/>
    <w:bookmarkEnd w:id="12"/>
    <w:p>
      <w:pPr>
        <w:adjustRightInd w:val="0"/>
        <w:snapToGrid w:val="0"/>
        <w:spacing w:beforeLines="50" w:afterLines="50"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6.竞争性磋商文件的解释权：</w:t>
      </w:r>
    </w:p>
    <w:p>
      <w:pPr>
        <w:adjustRightInd w:val="0"/>
        <w:snapToGrid w:val="0"/>
        <w:spacing w:beforeLines="50" w:afterLines="50"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本项目竞争性磋商文件的解释权归采购代理机构所有，如发现竞争性磋商文件内容与现行法律法规不相符的情况，以现行法律法规为准。</w:t>
      </w:r>
    </w:p>
    <w:p>
      <w:pPr>
        <w:tabs>
          <w:tab w:val="left" w:pos="7665"/>
        </w:tabs>
        <w:spacing w:beforeLines="50" w:afterLines="50" w:line="360" w:lineRule="auto"/>
        <w:rPr>
          <w:rFonts w:asciiTheme="majorEastAsia" w:hAnsiTheme="majorEastAsia" w:eastAsiaTheme="majorEastAsia" w:cstheme="majorEastAsia"/>
          <w:b/>
          <w:color w:val="000000" w:themeColor="text1"/>
          <w:kern w:val="0"/>
          <w:sz w:val="32"/>
          <w:szCs w:val="32"/>
        </w:rPr>
      </w:pPr>
      <w:r>
        <w:rPr>
          <w:rFonts w:hint="eastAsia" w:asciiTheme="majorEastAsia" w:hAnsiTheme="majorEastAsia" w:eastAsiaTheme="majorEastAsia" w:cstheme="majorEastAsia"/>
          <w:b/>
          <w:bCs/>
          <w:color w:val="000000" w:themeColor="text1"/>
          <w:sz w:val="32"/>
          <w:szCs w:val="32"/>
        </w:rPr>
        <w:t>三、磋商响应文件</w:t>
      </w:r>
    </w:p>
    <w:p>
      <w:pPr>
        <w:tabs>
          <w:tab w:val="left" w:pos="720"/>
        </w:tabs>
        <w:snapToGrid w:val="0"/>
        <w:spacing w:beforeLines="50" w:afterLines="50"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7、磋商响应文件的组成</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7.1、磋商响应文件由下列部分组成：</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7.1.1、磋商报价部分：</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7.1.1.1、本项目报价采用固定总价承包，磋商供应商自行考虑并承担风险。即磋商供应商的报价是磋商供应商响应本项目要求的全部工作内容的价格体现，包括磋商供应商完成本项目所需的一切费用，即服务费、售后服务、验收费用（包括第三方验收）、税金及其他所有费用的总和。</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7.1.1.2、磋商供应商不得以低于成本的报价参与磋商。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7.1.2、技术部分：磋商供应商按照竞争性磋商文件要求做出技术响应，主要是针对采购项目的技术指标、参数和技术要求做出的实质性响应和满足。</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7.1.3、商务部分：</w:t>
      </w:r>
      <w:r>
        <w:rPr>
          <w:rFonts w:hint="eastAsia" w:asciiTheme="majorEastAsia" w:hAnsiTheme="majorEastAsia" w:eastAsiaTheme="majorEastAsia" w:cstheme="majorEastAsia"/>
          <w:bCs/>
          <w:color w:val="000000" w:themeColor="text1"/>
          <w:sz w:val="24"/>
        </w:rPr>
        <w:t>磋商供应商</w:t>
      </w:r>
      <w:r>
        <w:rPr>
          <w:rFonts w:hint="eastAsia" w:asciiTheme="majorEastAsia" w:hAnsiTheme="majorEastAsia" w:eastAsiaTheme="majorEastAsia" w:cstheme="majorEastAsia"/>
          <w:color w:val="000000" w:themeColor="text1"/>
          <w:sz w:val="24"/>
        </w:rPr>
        <w:t>按照竞争性磋商文件要求做出完全响应。</w:t>
      </w:r>
    </w:p>
    <w:p>
      <w:pPr>
        <w:pStyle w:val="5"/>
        <w:spacing w:beforeLines="50" w:afterLines="50" w:line="360" w:lineRule="auto"/>
        <w:ind w:firstLine="0"/>
        <w:rPr>
          <w:rFonts w:asciiTheme="majorEastAsia" w:hAnsiTheme="majorEastAsia" w:eastAsiaTheme="majorEastAsia" w:cstheme="majorEastAsia"/>
          <w:b/>
          <w:color w:val="000000" w:themeColor="text1"/>
          <w:sz w:val="24"/>
          <w:szCs w:val="24"/>
        </w:rPr>
      </w:pPr>
      <w:r>
        <w:rPr>
          <w:rFonts w:hint="eastAsia" w:asciiTheme="majorEastAsia" w:hAnsiTheme="majorEastAsia" w:eastAsiaTheme="majorEastAsia" w:cstheme="majorEastAsia"/>
          <w:b/>
          <w:bCs/>
          <w:color w:val="000000" w:themeColor="text1"/>
          <w:sz w:val="24"/>
          <w:szCs w:val="24"/>
        </w:rPr>
        <w:t>8、磋商保证金</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8.1、磋商保证金数额见磋商供应商须知前列表。磋商供应商参加投标时，应当以人民币提交足额的磋商保证金，并作为其磋商响应文件的一部分。</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8.2、磋商保证金是为了保护采购人和采购代理机构免遭磋商供应商的不良行为而蒙受损失。采购人和采购代理机构在因磋商供应商的不良行为受到损害时，可根据竞争性磋商文件的规定不予退还其磋商保证金。</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8.3、磋商保证金的提交</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8.3.1、磋商保证金逾期缴纳的磋商供应商磋商响应文件将被拒绝。</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8.3.2、磋商保证金应以银行转账或者金融机构、担保机构出具的保函等非现金形式提交。</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8.3.2.1、以银行转账缴纳磋商保证金的，可以采取支票、电汇、网银、汇票、本票等方式，应从其基本账户转出。</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8.3.2.2、以信用担保函形式交纳磋商保证金的，应按照竞争性磋商文件规定的格式提交，且是陕西省有关部门认定的具有开具保函资格的单位开具的保函。磋商供应商违约，开具保函单位承担连带责任。</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8.4、磋商保证金的退还：</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8.4.1、未成交供应商的磋商保证金，将在成交通知书发出之日起5个工作日内不计利息全额退还。成交供应商的磋商保证金，将在采购合同签订生效后5个工作日内不计利息全额退还。未及时办理退还者，由磋商供应商自行负责。</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8.4.2、下列任何情况发生时，采购代理机构将不予退还磋商供应商交纳的磋商保证金：</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8.4.2.1、供应商在提交响应文件截止时间后撤回响应文件的；</w:t>
      </w:r>
    </w:p>
    <w:p>
      <w:pPr>
        <w:spacing w:line="360" w:lineRule="auto"/>
        <w:ind w:firstLine="470" w:firstLineChars="196"/>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8.4.2.2、由于成交供应商的原因未能按照竞争性磋商文件的规定与采购人签订合同的；</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8.4.2.3、由于成交供应商的原因未能在规定时间内领取《成交通知书》的；</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8.4.2.4、由于成交供应商的原因未能按竞争性磋商文件规定缴纳履约磋商保证金的；</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8.4.2.5、磋商供应商违反磋商响应文件中承诺函相关内容和条款的；</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8.4.2.6、投标有效期内，磋商供应商在政府采购活动中有违规、违纪和违法行为的；</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8.4.2.7、法律法规规定的其他情况。</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8.4.3、磋商保证金退还方式：代理机构通过银行转账将磋商保证金退还至磋商供应商基本账户。</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8.4.4、磋商保证金退还程序：</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详见《投标保证金退款申请书》要求</w:t>
      </w:r>
    </w:p>
    <w:p>
      <w:pPr>
        <w:snapToGrid w:val="0"/>
        <w:spacing w:line="360" w:lineRule="auto"/>
        <w:outlineLvl w:val="2"/>
        <w:rPr>
          <w:rFonts w:asciiTheme="majorEastAsia" w:hAnsiTheme="majorEastAsia" w:eastAsiaTheme="majorEastAsia" w:cstheme="majorEastAsia"/>
          <w:b/>
          <w:bCs/>
          <w:color w:val="000000" w:themeColor="text1"/>
          <w:sz w:val="24"/>
        </w:rPr>
      </w:pPr>
      <w:r>
        <w:rPr>
          <w:rFonts w:hint="eastAsia" w:asciiTheme="majorEastAsia" w:hAnsiTheme="majorEastAsia" w:eastAsiaTheme="majorEastAsia" w:cstheme="majorEastAsia"/>
          <w:b/>
          <w:bCs/>
          <w:color w:val="000000" w:themeColor="text1"/>
          <w:sz w:val="24"/>
        </w:rPr>
        <w:t>9、磋商响应文件的编制</w:t>
      </w:r>
    </w:p>
    <w:p>
      <w:pPr>
        <w:tabs>
          <w:tab w:val="left" w:pos="720"/>
        </w:tabs>
        <w:snapToGrid w:val="0"/>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9.1、磋商供应商应仔细阅读竞争性磋商文件的所有内容，按竞争性磋商文件规定及要求编制，应当对竞争性磋商文件提出的实质性要求做出响应，并提交完整的磋商响应文件。磋商供应商应填写全称，同时加盖公章，签署、盖章和内容应完整，如有遗漏，将被视为无效。</w:t>
      </w:r>
    </w:p>
    <w:p>
      <w:pPr>
        <w:tabs>
          <w:tab w:val="left" w:pos="720"/>
        </w:tabs>
        <w:snapToGrid w:val="0"/>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color w:val="000000" w:themeColor="text1"/>
          <w:sz w:val="24"/>
        </w:rPr>
        <w:t>9.2、</w:t>
      </w:r>
      <w:r>
        <w:rPr>
          <w:rFonts w:hint="eastAsia" w:asciiTheme="majorEastAsia" w:hAnsiTheme="majorEastAsia" w:eastAsiaTheme="majorEastAsia" w:cstheme="majorEastAsia"/>
          <w:bCs/>
          <w:color w:val="000000" w:themeColor="text1"/>
          <w:kern w:val="1"/>
          <w:sz w:val="24"/>
        </w:rPr>
        <w:t>磋商供应商必须保证其编制、递交的磋商响应文件所有内容真实、合法、有效，并承担相应的法律责任。</w:t>
      </w:r>
    </w:p>
    <w:p>
      <w:pPr>
        <w:tabs>
          <w:tab w:val="left" w:pos="720"/>
        </w:tabs>
        <w:snapToGrid w:val="0"/>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bCs/>
          <w:color w:val="000000" w:themeColor="text1"/>
          <w:sz w:val="24"/>
        </w:rPr>
        <w:t>9.3、磋商响应文件的语言：磋商供应商</w:t>
      </w:r>
      <w:r>
        <w:rPr>
          <w:rFonts w:hint="eastAsia" w:asciiTheme="majorEastAsia" w:hAnsiTheme="majorEastAsia" w:eastAsiaTheme="majorEastAsia" w:cstheme="majorEastAsia"/>
          <w:color w:val="000000" w:themeColor="text1"/>
          <w:sz w:val="24"/>
        </w:rPr>
        <w:t>提交的磋商响应文件以及磋商供应商与采购代理机构就有关本项目所有文件、资料、函电文字均应使用中文（通用缩写、代号、名称除外）。磋商响应文件中如附有外文资料，必须逐一对应翻译成中文并加盖磋商供应商公章后附在相关外文资料后面，否则，其磋商响应文件将作为无效磋商响应文件处理。</w:t>
      </w:r>
    </w:p>
    <w:p>
      <w:pPr>
        <w:tabs>
          <w:tab w:val="left" w:pos="720"/>
        </w:tabs>
        <w:snapToGrid w:val="0"/>
        <w:spacing w:line="360" w:lineRule="auto"/>
        <w:ind w:firstLine="48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9.4、磋商响应文件的计量单位：</w:t>
      </w:r>
      <w:r>
        <w:rPr>
          <w:rFonts w:hint="eastAsia" w:asciiTheme="majorEastAsia" w:hAnsiTheme="majorEastAsia" w:eastAsiaTheme="majorEastAsia" w:cstheme="majorEastAsia"/>
          <w:color w:val="000000" w:themeColor="text1"/>
          <w:kern w:val="0"/>
          <w:sz w:val="24"/>
        </w:rPr>
        <w:t>竞争性磋商文件已有明确规定的，使用竞争性磋商文件规定的计量单位；竞争性磋商文件没有规定的，应采用中华人民共和国法定计量单位</w:t>
      </w:r>
      <w:r>
        <w:rPr>
          <w:rFonts w:hint="eastAsia" w:asciiTheme="majorEastAsia" w:hAnsiTheme="majorEastAsia" w:eastAsiaTheme="majorEastAsia" w:cstheme="majorEastAsia"/>
          <w:color w:val="000000" w:themeColor="text1"/>
          <w:sz w:val="24"/>
        </w:rPr>
        <w:t>(国际单位制和国家选定的其他计量单位)</w:t>
      </w:r>
      <w:r>
        <w:rPr>
          <w:rFonts w:hint="eastAsia" w:asciiTheme="majorEastAsia" w:hAnsiTheme="majorEastAsia" w:eastAsiaTheme="majorEastAsia" w:cstheme="majorEastAsia"/>
          <w:color w:val="000000" w:themeColor="text1"/>
          <w:kern w:val="0"/>
          <w:sz w:val="24"/>
        </w:rPr>
        <w:t>。否则，视为对竞争性磋商文件未作出实质性响应。</w:t>
      </w:r>
    </w:p>
    <w:p>
      <w:pPr>
        <w:tabs>
          <w:tab w:val="left" w:pos="720"/>
        </w:tabs>
        <w:snapToGrid w:val="0"/>
        <w:spacing w:line="360" w:lineRule="auto"/>
        <w:ind w:firstLine="48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9.5、报价使用货币：本次采购项目的报价均以人民币报价。</w:t>
      </w:r>
    </w:p>
    <w:p>
      <w:pPr>
        <w:pStyle w:val="11"/>
        <w:adjustRightInd w:val="0"/>
        <w:snapToGrid w:val="0"/>
        <w:spacing w:line="360" w:lineRule="auto"/>
        <w:ind w:firstLine="480" w:firstLineChars="200"/>
        <w:rPr>
          <w:rFonts w:asciiTheme="majorEastAsia" w:hAnsiTheme="majorEastAsia" w:eastAsiaTheme="majorEastAsia" w:cstheme="majorEastAsia"/>
          <w:color w:val="000000" w:themeColor="text1"/>
          <w:kern w:val="1"/>
          <w:sz w:val="24"/>
          <w:szCs w:val="24"/>
        </w:rPr>
      </w:pPr>
      <w:r>
        <w:rPr>
          <w:rFonts w:hint="eastAsia" w:asciiTheme="majorEastAsia" w:hAnsiTheme="majorEastAsia" w:eastAsiaTheme="majorEastAsia" w:cstheme="majorEastAsia"/>
          <w:color w:val="000000" w:themeColor="text1"/>
          <w:sz w:val="24"/>
        </w:rPr>
        <w:t>9.6、磋商响应文件</w:t>
      </w:r>
      <w:r>
        <w:rPr>
          <w:rFonts w:hint="eastAsia" w:asciiTheme="majorEastAsia" w:hAnsiTheme="majorEastAsia" w:eastAsiaTheme="majorEastAsia" w:cstheme="majorEastAsia"/>
          <w:color w:val="000000" w:themeColor="text1"/>
          <w:sz w:val="24"/>
          <w:szCs w:val="24"/>
        </w:rPr>
        <w:t>形式</w:t>
      </w:r>
      <w:r>
        <w:rPr>
          <w:rFonts w:hint="eastAsia" w:asciiTheme="majorEastAsia" w:hAnsiTheme="majorEastAsia" w:eastAsiaTheme="majorEastAsia" w:cstheme="majorEastAsia"/>
          <w:color w:val="000000" w:themeColor="text1"/>
          <w:sz w:val="24"/>
        </w:rPr>
        <w:t>：本项目磋商响应文件</w:t>
      </w:r>
      <w:r>
        <w:rPr>
          <w:rFonts w:hint="eastAsia" w:asciiTheme="majorEastAsia" w:hAnsiTheme="majorEastAsia" w:eastAsiaTheme="majorEastAsia" w:cstheme="majorEastAsia"/>
          <w:color w:val="000000" w:themeColor="text1"/>
          <w:sz w:val="24"/>
          <w:szCs w:val="24"/>
        </w:rPr>
        <w:t>应采用书面文件形式，电报、传真、</w:t>
      </w:r>
      <w:r>
        <w:rPr>
          <w:rFonts w:hint="eastAsia" w:asciiTheme="majorEastAsia" w:hAnsiTheme="majorEastAsia" w:eastAsiaTheme="majorEastAsia" w:cstheme="majorEastAsia"/>
          <w:color w:val="000000" w:themeColor="text1"/>
          <w:kern w:val="1"/>
          <w:sz w:val="24"/>
          <w:szCs w:val="24"/>
        </w:rPr>
        <w:t>电子邮件形式的磋商响应文件不予接受。</w:t>
      </w:r>
    </w:p>
    <w:p>
      <w:pPr>
        <w:tabs>
          <w:tab w:val="left" w:pos="0"/>
          <w:tab w:val="left" w:pos="420"/>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9.7、备选方案：本项目不接受备选响应方案，磋商响应文件的报价只允许有一个报价，不接受有任何选择或具有附加条件的报价，否则，在评审时将其视为无效报价。</w:t>
      </w:r>
    </w:p>
    <w:p>
      <w:pPr>
        <w:tabs>
          <w:tab w:val="left" w:pos="0"/>
          <w:tab w:val="left" w:pos="420"/>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9.8、磋商响应文件有效期：磋商响应文件有效期自开标大会之日起计算不得少于90天。</w:t>
      </w:r>
    </w:p>
    <w:p>
      <w:pPr>
        <w:tabs>
          <w:tab w:val="left" w:pos="0"/>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9.9、磋商响应文件格式：磋商供应商应严格按照竞争性磋商文件《第六章磋商响应文件格式及构成》填写相关内容。除明确允许磋商供应商可以自行编写的外，磋商供应商不得以规定之外的方式填写相关内容。否则，磋商供应商提供的磋商响应文件将作为无效响应文件处理。</w:t>
      </w:r>
    </w:p>
    <w:p>
      <w:pPr>
        <w:tabs>
          <w:tab w:val="left" w:pos="0"/>
          <w:tab w:val="left" w:pos="420"/>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9.10、磋商响应文件的签署</w:t>
      </w:r>
    </w:p>
    <w:p>
      <w:pPr>
        <w:tabs>
          <w:tab w:val="left" w:pos="0"/>
        </w:tabs>
        <w:spacing w:line="360" w:lineRule="auto"/>
        <w:rPr>
          <w:rFonts w:asciiTheme="majorEastAsia" w:hAnsiTheme="majorEastAsia" w:eastAsiaTheme="majorEastAsia" w:cstheme="majorEastAsia"/>
          <w:bCs/>
          <w:color w:val="000000" w:themeColor="text1"/>
          <w:kern w:val="1"/>
          <w:sz w:val="24"/>
        </w:rPr>
      </w:pPr>
      <w:r>
        <w:rPr>
          <w:rFonts w:hint="eastAsia" w:asciiTheme="majorEastAsia" w:hAnsiTheme="majorEastAsia" w:eastAsiaTheme="majorEastAsia" w:cstheme="majorEastAsia"/>
          <w:bCs/>
          <w:color w:val="000000" w:themeColor="text1"/>
          <w:kern w:val="1"/>
          <w:sz w:val="24"/>
        </w:rPr>
        <w:t>9.10.1、</w:t>
      </w:r>
      <w:r>
        <w:rPr>
          <w:rFonts w:hint="eastAsia" w:asciiTheme="majorEastAsia" w:hAnsiTheme="majorEastAsia" w:eastAsiaTheme="majorEastAsia" w:cstheme="majorEastAsia"/>
          <w:color w:val="000000" w:themeColor="text1"/>
          <w:sz w:val="24"/>
        </w:rPr>
        <w:t>磋商响应文件须由磋商供应商法定代表人或其授权委托人逐页签署姓名包括封面及封底（本页正文内容已由供应商法定代表人或其授权委托人签署姓名的可不签署），不得使用印章、签名章或其他电子制版签名；</w:t>
      </w:r>
      <w:r>
        <w:rPr>
          <w:rFonts w:hint="eastAsia" w:asciiTheme="majorEastAsia" w:hAnsiTheme="majorEastAsia" w:eastAsiaTheme="majorEastAsia" w:cstheme="majorEastAsia"/>
          <w:bCs/>
          <w:color w:val="000000" w:themeColor="text1"/>
          <w:kern w:val="1"/>
          <w:sz w:val="24"/>
        </w:rPr>
        <w:t>磋商响应文件的任何行间插字、涂改和增删，改动处须由法定代表人签字并加盖公章方为有效；因字迹潦草或表达不清所引起的后果由磋商供应商自行负责。</w:t>
      </w:r>
    </w:p>
    <w:p>
      <w:pPr>
        <w:tabs>
          <w:tab w:val="left" w:pos="0"/>
          <w:tab w:val="left" w:pos="420"/>
        </w:tabs>
        <w:spacing w:line="360" w:lineRule="auto"/>
        <w:ind w:firstLine="481"/>
        <w:rPr>
          <w:rFonts w:asciiTheme="majorEastAsia" w:hAnsiTheme="majorEastAsia" w:eastAsiaTheme="majorEastAsia" w:cstheme="majorEastAsia"/>
          <w:bCs/>
          <w:color w:val="000000" w:themeColor="text1"/>
          <w:kern w:val="1"/>
          <w:sz w:val="24"/>
        </w:rPr>
      </w:pPr>
      <w:r>
        <w:rPr>
          <w:rFonts w:hint="eastAsia" w:asciiTheme="majorEastAsia" w:hAnsiTheme="majorEastAsia" w:eastAsiaTheme="majorEastAsia" w:cstheme="majorEastAsia"/>
          <w:bCs/>
          <w:color w:val="000000" w:themeColor="text1"/>
          <w:kern w:val="1"/>
          <w:sz w:val="24"/>
        </w:rPr>
        <w:t>9.10.2、磋商供应商须按竞争性磋商文件要求在指定页面落款处，加盖法人公章以及由法定代表人或其被授权委托人签字或盖章。</w:t>
      </w:r>
    </w:p>
    <w:p>
      <w:pPr>
        <w:tabs>
          <w:tab w:val="left" w:pos="0"/>
          <w:tab w:val="left" w:pos="420"/>
        </w:tabs>
        <w:spacing w:line="360" w:lineRule="auto"/>
        <w:ind w:firstLine="48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9.11、磋商响应文件的装订、密封及标识</w:t>
      </w:r>
    </w:p>
    <w:p>
      <w:pPr>
        <w:tabs>
          <w:tab w:val="left" w:pos="0"/>
          <w:tab w:val="left" w:pos="420"/>
        </w:tabs>
        <w:spacing w:line="360" w:lineRule="auto"/>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 xml:space="preserve">   9.11.1、磋商供应商应编制磋商响应文件正本1份、副本2份、响应报价表1份（含电子版光盘或U盘1份），各自装订成册并加盖骑缝章单独密封，磋商响应文件须在封面及封袋注明“正本”和“副本”字样。如果正本与副本不符，以正本磋商响应文件为准。</w:t>
      </w:r>
    </w:p>
    <w:p>
      <w:pPr>
        <w:tabs>
          <w:tab w:val="left" w:pos="0"/>
          <w:tab w:val="left" w:pos="420"/>
        </w:tabs>
        <w:spacing w:line="360" w:lineRule="auto"/>
        <w:ind w:firstLine="48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9.11.2、磋商响应文件的正本、副本、响应报价表要求各自分装密封（封袋不得有破损），同时在封口处加贴封条并在骑缝处加盖磋商供应商公章。</w:t>
      </w:r>
    </w:p>
    <w:p>
      <w:pPr>
        <w:tabs>
          <w:tab w:val="left" w:pos="0"/>
          <w:tab w:val="left" w:pos="420"/>
        </w:tabs>
        <w:spacing w:line="360" w:lineRule="auto"/>
        <w:ind w:firstLine="48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9.11.3、正本、副本、响应报价表封袋标识式样详见格式。</w:t>
      </w:r>
    </w:p>
    <w:p>
      <w:pPr>
        <w:tabs>
          <w:tab w:val="left" w:pos="0"/>
          <w:tab w:val="left" w:pos="420"/>
        </w:tabs>
        <w:spacing w:line="360" w:lineRule="auto"/>
        <w:ind w:firstLine="48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kern w:val="1"/>
          <w:sz w:val="24"/>
        </w:rPr>
        <w:t>9.11.4、</w:t>
      </w:r>
      <w:r>
        <w:rPr>
          <w:rFonts w:hint="eastAsia" w:asciiTheme="majorEastAsia" w:hAnsiTheme="majorEastAsia" w:eastAsiaTheme="majorEastAsia" w:cstheme="majorEastAsia"/>
          <w:color w:val="000000" w:themeColor="text1"/>
          <w:sz w:val="24"/>
        </w:rPr>
        <w:t>磋商响应文件正本和副本</w:t>
      </w:r>
      <w:r>
        <w:rPr>
          <w:rFonts w:hint="eastAsia" w:asciiTheme="majorEastAsia" w:hAnsiTheme="majorEastAsia" w:eastAsiaTheme="majorEastAsia" w:cstheme="majorEastAsia"/>
          <w:color w:val="000000" w:themeColor="text1"/>
          <w:sz w:val="24"/>
          <w:lang w:val="zh-CN"/>
        </w:rPr>
        <w:t>一律采用A4纸幅面加胶装分别装订成册，</w:t>
      </w:r>
      <w:r>
        <w:rPr>
          <w:rFonts w:hint="eastAsia" w:asciiTheme="majorEastAsia" w:hAnsiTheme="majorEastAsia" w:eastAsiaTheme="majorEastAsia" w:cstheme="majorEastAsia"/>
          <w:bCs/>
          <w:color w:val="000000" w:themeColor="text1"/>
          <w:kern w:val="1"/>
          <w:sz w:val="24"/>
        </w:rPr>
        <w:t>按序从目录开始编制页码“第几页,共几页”。</w:t>
      </w:r>
      <w:r>
        <w:rPr>
          <w:rFonts w:hint="eastAsia" w:asciiTheme="majorEastAsia" w:hAnsiTheme="majorEastAsia" w:eastAsiaTheme="majorEastAsia" w:cstheme="majorEastAsia"/>
          <w:color w:val="000000" w:themeColor="text1"/>
          <w:sz w:val="24"/>
        </w:rPr>
        <w:t>文件胶装装订后，页面不可抽取，不得有活动页，无破损、不可拆分。</w:t>
      </w:r>
    </w:p>
    <w:p>
      <w:pPr>
        <w:tabs>
          <w:tab w:val="left" w:pos="0"/>
          <w:tab w:val="left" w:pos="420"/>
        </w:tabs>
        <w:spacing w:line="360" w:lineRule="auto"/>
        <w:ind w:firstLine="480"/>
        <w:rPr>
          <w:rFonts w:asciiTheme="majorEastAsia" w:hAnsiTheme="majorEastAsia" w:eastAsiaTheme="majorEastAsia" w:cstheme="majorEastAsia"/>
          <w:b/>
          <w:bCs/>
          <w:color w:val="000000" w:themeColor="text1"/>
          <w:kern w:val="1"/>
          <w:sz w:val="24"/>
        </w:rPr>
      </w:pPr>
      <w:r>
        <w:rPr>
          <w:rFonts w:hint="eastAsia" w:asciiTheme="majorEastAsia" w:hAnsiTheme="majorEastAsia" w:eastAsiaTheme="majorEastAsia" w:cstheme="majorEastAsia"/>
          <w:b/>
          <w:bCs/>
          <w:color w:val="000000" w:themeColor="text1"/>
          <w:kern w:val="1"/>
          <w:sz w:val="24"/>
        </w:rPr>
        <w:t>9.12、磋商响应文件的递交</w:t>
      </w:r>
    </w:p>
    <w:p>
      <w:pPr>
        <w:tabs>
          <w:tab w:val="left" w:pos="0"/>
        </w:tabs>
        <w:spacing w:line="360" w:lineRule="auto"/>
        <w:rPr>
          <w:rFonts w:asciiTheme="majorEastAsia" w:hAnsiTheme="majorEastAsia" w:eastAsiaTheme="majorEastAsia" w:cstheme="majorEastAsia"/>
          <w:b/>
          <w:color w:val="000000" w:themeColor="text1"/>
          <w:kern w:val="1"/>
          <w:sz w:val="24"/>
        </w:rPr>
      </w:pPr>
      <w:r>
        <w:rPr>
          <w:rFonts w:hint="eastAsia" w:asciiTheme="majorEastAsia" w:hAnsiTheme="majorEastAsia" w:eastAsiaTheme="majorEastAsia" w:cstheme="majorEastAsia"/>
          <w:color w:val="000000" w:themeColor="text1"/>
          <w:kern w:val="1"/>
          <w:sz w:val="24"/>
        </w:rPr>
        <w:t xml:space="preserve">    9.12.1、</w:t>
      </w:r>
      <w:r>
        <w:rPr>
          <w:rFonts w:hint="eastAsia" w:asciiTheme="majorEastAsia" w:hAnsiTheme="majorEastAsia" w:eastAsiaTheme="majorEastAsia" w:cstheme="majorEastAsia"/>
          <w:color w:val="000000" w:themeColor="text1"/>
          <w:sz w:val="24"/>
        </w:rPr>
        <w:t>磋商供应商应仔细阅读竞争性磋商文件中的所有事项、格式、条款和要求，对竞争性磋商文件的全部内容及要求作出实质性响应，提交相应资料。</w:t>
      </w:r>
    </w:p>
    <w:p>
      <w:pPr>
        <w:tabs>
          <w:tab w:val="left" w:pos="0"/>
        </w:tabs>
        <w:spacing w:line="360" w:lineRule="auto"/>
        <w:ind w:firstLine="480"/>
        <w:rPr>
          <w:rFonts w:asciiTheme="majorEastAsia" w:hAnsiTheme="majorEastAsia" w:eastAsiaTheme="majorEastAsia" w:cstheme="majorEastAsia"/>
          <w:color w:val="000000" w:themeColor="text1"/>
          <w:kern w:val="0"/>
          <w:sz w:val="24"/>
        </w:rPr>
      </w:pPr>
      <w:r>
        <w:rPr>
          <w:rFonts w:hint="eastAsia" w:asciiTheme="majorEastAsia" w:hAnsiTheme="majorEastAsia" w:eastAsiaTheme="majorEastAsia" w:cstheme="majorEastAsia"/>
          <w:color w:val="000000" w:themeColor="text1"/>
          <w:kern w:val="1"/>
          <w:sz w:val="24"/>
        </w:rPr>
        <w:t>9.11.2、截止磋商响应文件递交时间前</w:t>
      </w:r>
      <w:r>
        <w:rPr>
          <w:rFonts w:hint="eastAsia" w:asciiTheme="majorEastAsia" w:hAnsiTheme="majorEastAsia" w:eastAsiaTheme="majorEastAsia" w:cstheme="majorEastAsia"/>
          <w:color w:val="000000" w:themeColor="text1"/>
          <w:kern w:val="0"/>
          <w:sz w:val="24"/>
        </w:rPr>
        <w:t>磋商供应商应将磋商响应文件所有正本、副本、开标一览表按要求密封递交.</w:t>
      </w:r>
    </w:p>
    <w:p>
      <w:pPr>
        <w:tabs>
          <w:tab w:val="left" w:pos="0"/>
        </w:tabs>
        <w:spacing w:line="360" w:lineRule="auto"/>
        <w:ind w:firstLine="480"/>
        <w:rPr>
          <w:rFonts w:asciiTheme="majorEastAsia" w:hAnsiTheme="majorEastAsia" w:eastAsiaTheme="majorEastAsia" w:cstheme="majorEastAsia"/>
          <w:bCs/>
          <w:color w:val="000000" w:themeColor="text1"/>
          <w:kern w:val="1"/>
          <w:sz w:val="24"/>
        </w:rPr>
      </w:pPr>
      <w:r>
        <w:rPr>
          <w:rFonts w:hint="eastAsia" w:asciiTheme="majorEastAsia" w:hAnsiTheme="majorEastAsia" w:eastAsiaTheme="majorEastAsia" w:cstheme="majorEastAsia"/>
          <w:bCs/>
          <w:color w:val="000000" w:themeColor="text1"/>
          <w:kern w:val="1"/>
          <w:sz w:val="24"/>
        </w:rPr>
        <w:t>9.11.3、</w:t>
      </w:r>
      <w:r>
        <w:rPr>
          <w:rFonts w:hint="eastAsia" w:asciiTheme="majorEastAsia" w:hAnsiTheme="majorEastAsia" w:eastAsiaTheme="majorEastAsia" w:cstheme="majorEastAsia"/>
          <w:color w:val="000000" w:themeColor="text1"/>
          <w:kern w:val="1"/>
          <w:sz w:val="24"/>
        </w:rPr>
        <w:t>采购代理机构仅负责对磋商响应文件的接收时间、份数和递交人等信息的确认。在宣布递交磋商响应文件时间截止之后，任何人送达、递交的磋商响应文件和文书资料，采购代理机构拒绝接收。</w:t>
      </w:r>
    </w:p>
    <w:p>
      <w:pPr>
        <w:tabs>
          <w:tab w:val="left" w:pos="0"/>
        </w:tabs>
        <w:spacing w:line="360" w:lineRule="auto"/>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 xml:space="preserve">    9.11.4、信息确认完毕的磋商响应文件由采购代理机构妥善保管，任何人不得擅自拆封、调换和退回。</w:t>
      </w:r>
    </w:p>
    <w:p>
      <w:pPr>
        <w:tabs>
          <w:tab w:val="left" w:pos="0"/>
        </w:tabs>
        <w:spacing w:line="360" w:lineRule="auto"/>
        <w:rPr>
          <w:rFonts w:asciiTheme="majorEastAsia" w:hAnsiTheme="majorEastAsia" w:eastAsiaTheme="majorEastAsia" w:cstheme="majorEastAsia"/>
          <w:b/>
          <w:color w:val="000000" w:themeColor="text1"/>
          <w:kern w:val="1"/>
          <w:sz w:val="24"/>
        </w:rPr>
      </w:pPr>
      <w:r>
        <w:rPr>
          <w:rFonts w:hint="eastAsia" w:asciiTheme="majorEastAsia" w:hAnsiTheme="majorEastAsia" w:eastAsiaTheme="majorEastAsia" w:cstheme="majorEastAsia"/>
          <w:b/>
          <w:color w:val="000000" w:themeColor="text1"/>
          <w:kern w:val="1"/>
          <w:sz w:val="24"/>
        </w:rPr>
        <w:t>10、磋商响应文件的修改和撤回</w:t>
      </w:r>
    </w:p>
    <w:p>
      <w:pPr>
        <w:tabs>
          <w:tab w:val="left" w:pos="0"/>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10.1、磋商供应商在递交了磋商响应文件后，可以修改或撤回其磋商响应文件，但必须在规定的磋商响应文件截止时间前，以书面形式通知采购代理机构。</w:t>
      </w:r>
    </w:p>
    <w:p>
      <w:pPr>
        <w:tabs>
          <w:tab w:val="left" w:pos="0"/>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10.2、磋商供应商的修改书或撤回通知书，应由其法定代表人或其被授权委托人签署并盖单位公章，并在密封袋上标注“磋商响应文件修改”或“磋商响应文件撤回通知”字样，“修改文件”作为磋商响应文件的组成部分；采购代理机构不退还磋商供应商已撤回的磋商响应文件（包括纸质和电子版）。</w:t>
      </w:r>
    </w:p>
    <w:p>
      <w:pPr>
        <w:tabs>
          <w:tab w:val="left" w:pos="0"/>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10.3、磋商供应商撤回磋商响应文件的，采购代理机构自收到磋商供应商书面撤回通知之日起5个工作日内退还已收取的磋商保证金。</w:t>
      </w:r>
    </w:p>
    <w:p>
      <w:pPr>
        <w:tabs>
          <w:tab w:val="left" w:pos="0"/>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10.4、在磋商响应文件递交截止时间之后，磋商供应商不得对其递交的磋商响应文件做任何修改或撤回，否则，磋商保证金将不予退还；但磋商供应商在提交最后报价之前，可以根据情况退出投标。</w:t>
      </w:r>
    </w:p>
    <w:p>
      <w:pPr>
        <w:tabs>
          <w:tab w:val="left" w:pos="0"/>
          <w:tab w:val="left" w:pos="420"/>
        </w:tabs>
        <w:spacing w:line="360" w:lineRule="auto"/>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 xml:space="preserve">    10.5、无论磋商供应商中标与否，其磋商响应文件不予退还。</w:t>
      </w:r>
    </w:p>
    <w:p>
      <w:pPr>
        <w:adjustRightInd w:val="0"/>
        <w:spacing w:line="360" w:lineRule="auto"/>
        <w:rPr>
          <w:rFonts w:asciiTheme="minorEastAsia" w:hAnsiTheme="minorEastAsia" w:eastAsiaTheme="minorEastAsia" w:cstheme="minorEastAsia"/>
          <w:b/>
          <w:bCs/>
          <w:color w:val="000000" w:themeColor="text1"/>
          <w:sz w:val="24"/>
        </w:rPr>
      </w:pPr>
      <w:r>
        <w:rPr>
          <w:rFonts w:hint="eastAsia" w:asciiTheme="minorEastAsia" w:hAnsiTheme="minorEastAsia" w:eastAsiaTheme="minorEastAsia" w:cstheme="minorEastAsia"/>
          <w:b/>
          <w:bCs/>
          <w:color w:val="000000" w:themeColor="text1"/>
          <w:sz w:val="24"/>
        </w:rPr>
        <w:t>11、关于开标现场转变采购方式问题。</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依据《陕西省财政厅关于政府采购有关问题的通知（陕财办采资[2016]53号）》、《财政部关于政府采购竞争性磋商采购方式管理暂行办法有关问题的补充通知（财库〔2015〕124号）》</w:t>
      </w:r>
    </w:p>
    <w:p>
      <w:pPr>
        <w:adjustRightInd w:val="0"/>
        <w:snapToGrid w:val="0"/>
        <w:spacing w:beforeLines="50" w:afterLines="50"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bCs/>
          <w:color w:val="000000" w:themeColor="text1"/>
          <w:sz w:val="32"/>
          <w:szCs w:val="32"/>
        </w:rPr>
        <w:t>四、采购程序：</w:t>
      </w:r>
    </w:p>
    <w:p>
      <w:pPr>
        <w:spacing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12、评审工作按下列工作程序进行：</w:t>
      </w:r>
    </w:p>
    <w:p>
      <w:pPr>
        <w:spacing w:line="360" w:lineRule="auto"/>
        <w:ind w:firstLine="493"/>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12.1、组建磋商小组；</w:t>
      </w:r>
    </w:p>
    <w:p>
      <w:pPr>
        <w:spacing w:line="360" w:lineRule="auto"/>
        <w:ind w:firstLine="493"/>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12.2、开标会议；</w:t>
      </w:r>
    </w:p>
    <w:p>
      <w:pPr>
        <w:spacing w:line="360" w:lineRule="auto"/>
        <w:ind w:firstLine="493"/>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12.3、磋商响应文件初步评审；</w:t>
      </w:r>
    </w:p>
    <w:p>
      <w:pPr>
        <w:spacing w:line="360" w:lineRule="auto"/>
        <w:ind w:firstLine="493"/>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12.4、磋商响应文件的澄清（如有）；</w:t>
      </w:r>
    </w:p>
    <w:p>
      <w:pPr>
        <w:spacing w:line="360" w:lineRule="auto"/>
        <w:ind w:firstLine="493"/>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12.5、磋商响应文件详细评审；</w:t>
      </w:r>
    </w:p>
    <w:p>
      <w:pPr>
        <w:spacing w:line="360" w:lineRule="auto"/>
        <w:ind w:firstLine="493"/>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12.6、磋商及二次报价</w:t>
      </w:r>
    </w:p>
    <w:p>
      <w:pPr>
        <w:spacing w:line="360" w:lineRule="auto"/>
        <w:ind w:firstLine="493"/>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12.7、汇总评审结果；</w:t>
      </w:r>
    </w:p>
    <w:p>
      <w:pPr>
        <w:spacing w:line="360" w:lineRule="auto"/>
        <w:ind w:firstLine="493"/>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12.8、推荐成交供应商；</w:t>
      </w:r>
    </w:p>
    <w:p>
      <w:pPr>
        <w:spacing w:line="360" w:lineRule="auto"/>
        <w:ind w:firstLine="493"/>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12.9、编写评审报告。</w:t>
      </w:r>
    </w:p>
    <w:p>
      <w:pPr>
        <w:spacing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13、开标会议：</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13.1、开标会议由采购代理机构主持。主持人按照竞争性磋商文件规定的开标时间宣布会议开始，会议将按以下程序进行（但不限于）；</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13.1.1、宣布评审开始并致辞；</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13.1.2、宣布会场纪律和有关注意事项。</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13.1.3、宣布参加会议的现场监督人员和主持人、会议记录等会议工作人员，根据磋商响应文件递交签到表宣布参加会议的磋商供应商名单。</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13.1.4、介绍竞争性磋商文件中规定的评审定标原则，并复核磋商供应商证书证件原件有效性，并公布复审结果。</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13.1.5、宣布检查磋商响应文件的密封情况。由磋商供应商法定代表人或其被授权委托人与采购人共同检查磋商响应文件密封情况，经检查无误后，签字确认。对检查出的不符合密封规定要求的磋商响应文件作为无效文件处理不得启封，经该磋商供应商签字确认将其磋商响应文件退回。</w:t>
      </w:r>
    </w:p>
    <w:p>
      <w:pPr>
        <w:spacing w:line="360" w:lineRule="auto"/>
        <w:ind w:firstLine="460" w:firstLineChars="19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13.1.6、启封磋商响应文件。主持人宣布启封后，由现场工作人员按顺序对磋商供应商的磋商响应文件正本、副本当众进行拆封，经现场监督人员核实后，磋商响应文件送至磋商小组进行评审。</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13.1.7、若无样品展示将宣布开标会议结束，磋商供应商通过《陕西省政府采购网》查看评审结果。</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13.2、采购代理机构对评审会议过程进行全程语音同步监控记录，并存档备查。</w:t>
      </w:r>
    </w:p>
    <w:p>
      <w:pPr>
        <w:spacing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14、磋商小组</w:t>
      </w:r>
    </w:p>
    <w:p>
      <w:pPr>
        <w:spacing w:line="360" w:lineRule="auto"/>
        <w:ind w:left="120" w:leftChars="57" w:firstLine="360" w:firstLineChars="15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14.1、采购人或者采购代理机构应当从省级以上财政部门设立的政府采购评审专家库中，通过随机方式抽取评审专家。磋商小组由采购人代表和评审专家组成，成员人数应当为不少于3人以上单数，其中评审专家不得少于成员总数的三分之二。</w:t>
      </w:r>
    </w:p>
    <w:p>
      <w:pPr>
        <w:spacing w:line="360" w:lineRule="auto"/>
        <w:ind w:left="120" w:leftChars="57" w:firstLine="360" w:firstLineChars="15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14.2、磋商小组成员到位后，推荐一名评审委员成员担任磋商小组组长，并由磋商小组组长负责组织该项目评审工作。采购人授权的代表，不得担任磋商小组组长。</w:t>
      </w:r>
    </w:p>
    <w:p>
      <w:pPr>
        <w:spacing w:line="360" w:lineRule="auto"/>
        <w:ind w:left="120" w:leftChars="57" w:firstLine="360" w:firstLineChars="15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14.3、磋商小组成员有下列情形之一的，应当回避：</w:t>
      </w:r>
    </w:p>
    <w:p>
      <w:pPr>
        <w:spacing w:line="360" w:lineRule="auto"/>
        <w:ind w:left="120" w:leftChars="57" w:firstLine="360" w:firstLineChars="15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14.3.1、采购人或磋商供应商的主要负责人的近亲属；</w:t>
      </w:r>
    </w:p>
    <w:p>
      <w:pPr>
        <w:spacing w:line="360" w:lineRule="auto"/>
        <w:ind w:left="120" w:leftChars="57" w:firstLine="360" w:firstLineChars="15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14.3.2、与磋商供应商有经济利益关系，可能影响对磋商响应文件公正评审的；</w:t>
      </w:r>
    </w:p>
    <w:p>
      <w:pPr>
        <w:spacing w:line="360" w:lineRule="auto"/>
        <w:ind w:left="120" w:leftChars="57" w:firstLine="360" w:firstLineChars="15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14.3.3、曾因在招标、评审以及其他与招标投标有关活动中从事违法行为而受过行政处罚或刑事处罚的。</w:t>
      </w:r>
    </w:p>
    <w:p>
      <w:pPr>
        <w:spacing w:line="360" w:lineRule="auto"/>
        <w:ind w:firstLine="461"/>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14.4、本项目采用综合评分法，具体评审方法、评审工作程序等详见《第三章评审方法》章节的规定。</w:t>
      </w:r>
    </w:p>
    <w:p>
      <w:pPr>
        <w:spacing w:line="360" w:lineRule="auto"/>
        <w:rPr>
          <w:rFonts w:asciiTheme="majorEastAsia" w:hAnsiTheme="majorEastAsia" w:eastAsiaTheme="majorEastAsia" w:cstheme="majorEastAsia"/>
          <w:b/>
          <w:color w:val="000000" w:themeColor="text1"/>
          <w:kern w:val="1"/>
          <w:sz w:val="24"/>
        </w:rPr>
      </w:pPr>
      <w:r>
        <w:rPr>
          <w:rFonts w:hint="eastAsia" w:asciiTheme="majorEastAsia" w:hAnsiTheme="majorEastAsia" w:eastAsiaTheme="majorEastAsia" w:cstheme="majorEastAsia"/>
          <w:b/>
          <w:color w:val="000000" w:themeColor="text1"/>
          <w:kern w:val="1"/>
          <w:sz w:val="24"/>
        </w:rPr>
        <w:t>15、定标</w:t>
      </w:r>
    </w:p>
    <w:p>
      <w:pPr>
        <w:spacing w:line="360" w:lineRule="auto"/>
        <w:ind w:left="120" w:leftChars="57" w:firstLine="360" w:firstLineChars="15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15.1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磋商文件规定的方式确定成交人。采购人在收到评标报告5个工作日内未按评标报告推荐的成交候选人顺序确定中标人，又不能说明合法理由的，视同按评标报告推荐的顺序确定排名第一的成交候选人为成交人。</w:t>
      </w:r>
    </w:p>
    <w:p>
      <w:pPr>
        <w:spacing w:line="360" w:lineRule="auto"/>
        <w:ind w:left="120" w:leftChars="57" w:firstLine="360" w:firstLineChars="15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 xml:space="preserve"> 15.2、采购人或者采购代理机构应当自成交人确定之日起2个工作日内，在省级以上财政部门指定的媒体（《陕西省政府采购网》）公告成交结果，磋商文件应当随成交结果同时公告。成交结果公告内容应当包括采购人及其委托的采购代理机构的名称、地址、联系方式，项目名称和项目编号，成交人名称、地址和成交金额，主要成交标的的名称、规格型号、数量、单价、服务要求，成交公告期限以及评审专家名单。成交公告期限为1个工作日。</w:t>
      </w:r>
    </w:p>
    <w:p>
      <w:pPr>
        <w:tabs>
          <w:tab w:val="left" w:pos="0"/>
        </w:tabs>
        <w:spacing w:line="360" w:lineRule="auto"/>
        <w:ind w:left="19" w:leftChars="9" w:firstLine="458" w:firstLineChars="191"/>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15.3、在公告成交结果的同时，采购人或者采购代理机构应当向成交人发出成交通知书。</w:t>
      </w:r>
    </w:p>
    <w:p>
      <w:pPr>
        <w:spacing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15.4、成交通知书发出后，采购人不得违法改变中标结果，成交人无正当理由不得放弃。成交供应商因不可抗力或者自身原因不能履行政府采购合同的，采购人可以与排序在成交供应商之后第一位的中标候选人签订政府采购合同，以此类推至第二位。</w:t>
      </w:r>
    </w:p>
    <w:p>
      <w:pPr>
        <w:spacing w:line="360" w:lineRule="auto"/>
        <w:rPr>
          <w:rFonts w:asciiTheme="majorEastAsia" w:hAnsiTheme="majorEastAsia" w:eastAsiaTheme="majorEastAsia" w:cstheme="majorEastAsia"/>
          <w:b/>
          <w:color w:val="000000" w:themeColor="text1"/>
          <w:sz w:val="32"/>
        </w:rPr>
      </w:pPr>
      <w:r>
        <w:rPr>
          <w:rFonts w:hint="eastAsia" w:asciiTheme="majorEastAsia" w:hAnsiTheme="majorEastAsia" w:eastAsiaTheme="majorEastAsia" w:cstheme="majorEastAsia"/>
          <w:b/>
          <w:color w:val="000000" w:themeColor="text1"/>
          <w:sz w:val="32"/>
        </w:rPr>
        <w:t>五.签订合同</w:t>
      </w:r>
    </w:p>
    <w:p>
      <w:pPr>
        <w:spacing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16、签订合同</w:t>
      </w:r>
    </w:p>
    <w:p>
      <w:pPr>
        <w:tabs>
          <w:tab w:val="left" w:pos="1155"/>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16.1、采购人应当自成交通知书发出之日起30日内，按照磋商文件和成交人响应文件的规定，与成交人签订书面合同。所签订的合同不得对磋商文件确定的事项和成交人响应文件作实质性修改。采购代理机构应当督促采购人、成交供应商签订书面合同，并对采购合同内容进行审核确认。由于成交供应商的原因逾期未与采购人签订采购合同的，将视为放弃招标，取消其中标资格，其磋商保证金不予退还；给采购人造成的损失超过磋商保证金数额的，采购人将对其超过部分予以追偿。</w:t>
      </w:r>
    </w:p>
    <w:p>
      <w:pPr>
        <w:tabs>
          <w:tab w:val="left" w:pos="1155"/>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16.2、政府采购合同应当包括采购人与中标人的名称和住所、标的、数量、质量、价款或者报酬、履行期限及地点和方式、验收要求、违约责任、解决争议的方法等内容。采购人与中标人应当根据合同的约定依法履行合同义务。政府采购合同的履行、违约责任和解决争议的方法等适用《中华人民共和国合同法》。</w:t>
      </w:r>
    </w:p>
    <w:p>
      <w:pPr>
        <w:tabs>
          <w:tab w:val="left" w:pos="1155"/>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16.3、采购人应当自合同签订之日起七个工作日内，按照有关规定将合同副本报政府采购监管机关备案。</w:t>
      </w:r>
    </w:p>
    <w:p>
      <w:pPr>
        <w:tabs>
          <w:tab w:val="left" w:pos="1155"/>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16.4、采购人应当及时对采购项目进行验收。采购人可以邀请参加本项目的其他供应商或者第三方机构参与验收。参与验收的供应商或者第三方机构的意见作为验收书的参考资料一并存档。</w:t>
      </w:r>
    </w:p>
    <w:p>
      <w:pPr>
        <w:tabs>
          <w:tab w:val="left" w:pos="1155"/>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16.5、成交供应商有下列情形之一的，责令限期改正，情节严重的，列入不良行为记录名单，在1至3年内禁止参加政府采购活动，并予以通报：</w:t>
      </w:r>
    </w:p>
    <w:p>
      <w:pPr>
        <w:tabs>
          <w:tab w:val="left" w:pos="1155"/>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16.5.1、成交后无正当理由不与采购人签订合同的；</w:t>
      </w:r>
    </w:p>
    <w:p>
      <w:pPr>
        <w:tabs>
          <w:tab w:val="left" w:pos="1155"/>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16.5.2、未按照采购文件确定的事项签订政府采购合同，或者与采购人另行订立背离合同实质性内容的协议的；</w:t>
      </w:r>
    </w:p>
    <w:p>
      <w:pPr>
        <w:tabs>
          <w:tab w:val="left" w:pos="1155"/>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16.5.3、拒绝履行合同义务的；</w:t>
      </w:r>
    </w:p>
    <w:p>
      <w:pPr>
        <w:tabs>
          <w:tab w:val="left" w:pos="1155"/>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16.5.4、违反法律、规章、规范性文件规定的。</w:t>
      </w:r>
    </w:p>
    <w:p>
      <w:pPr>
        <w:tabs>
          <w:tab w:val="left" w:pos="1155"/>
        </w:tabs>
        <w:spacing w:line="360" w:lineRule="auto"/>
        <w:rPr>
          <w:rFonts w:asciiTheme="majorEastAsia" w:hAnsiTheme="majorEastAsia" w:eastAsiaTheme="majorEastAsia" w:cstheme="majorEastAsia"/>
          <w:b/>
          <w:bCs/>
          <w:color w:val="000000" w:themeColor="text1"/>
          <w:kern w:val="1"/>
          <w:sz w:val="24"/>
        </w:rPr>
      </w:pPr>
      <w:r>
        <w:rPr>
          <w:rFonts w:hint="eastAsia" w:asciiTheme="majorEastAsia" w:hAnsiTheme="majorEastAsia" w:eastAsiaTheme="majorEastAsia" w:cstheme="majorEastAsia"/>
          <w:b/>
          <w:color w:val="000000" w:themeColor="text1"/>
          <w:kern w:val="1"/>
          <w:sz w:val="24"/>
        </w:rPr>
        <w:t>17.</w:t>
      </w:r>
      <w:r>
        <w:rPr>
          <w:rFonts w:hint="eastAsia" w:asciiTheme="majorEastAsia" w:hAnsiTheme="majorEastAsia" w:eastAsiaTheme="majorEastAsia" w:cstheme="majorEastAsia"/>
          <w:b/>
          <w:bCs/>
          <w:color w:val="000000" w:themeColor="text1"/>
          <w:kern w:val="1"/>
          <w:sz w:val="24"/>
        </w:rPr>
        <w:t>合同履行</w:t>
      </w:r>
    </w:p>
    <w:p>
      <w:pPr>
        <w:tabs>
          <w:tab w:val="left" w:pos="1155"/>
        </w:tabs>
        <w:spacing w:line="360" w:lineRule="auto"/>
        <w:ind w:firstLine="480" w:firstLineChars="200"/>
        <w:rPr>
          <w:rFonts w:asciiTheme="majorEastAsia" w:hAnsiTheme="majorEastAsia" w:eastAsiaTheme="majorEastAsia" w:cstheme="majorEastAsia"/>
          <w:b/>
          <w:bCs/>
          <w:color w:val="000000" w:themeColor="text1"/>
          <w:kern w:val="1"/>
          <w:sz w:val="24"/>
        </w:rPr>
      </w:pPr>
      <w:r>
        <w:rPr>
          <w:rFonts w:hint="eastAsia" w:asciiTheme="majorEastAsia" w:hAnsiTheme="majorEastAsia" w:eastAsiaTheme="majorEastAsia" w:cstheme="majorEastAsia"/>
          <w:color w:val="000000" w:themeColor="text1"/>
          <w:kern w:val="1"/>
          <w:sz w:val="24"/>
        </w:rPr>
        <w:t>17.1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1155"/>
        </w:tabs>
        <w:spacing w:line="360" w:lineRule="auto"/>
        <w:ind w:firstLine="480" w:firstLineChars="200"/>
        <w:rPr>
          <w:rFonts w:asciiTheme="majorEastAsia" w:hAnsiTheme="majorEastAsia" w:eastAsiaTheme="majorEastAsia" w:cstheme="majorEastAsia"/>
          <w:color w:val="000000" w:themeColor="text1"/>
          <w:kern w:val="1"/>
          <w:sz w:val="24"/>
        </w:rPr>
      </w:pPr>
      <w:r>
        <w:rPr>
          <w:rFonts w:hint="eastAsia" w:asciiTheme="majorEastAsia" w:hAnsiTheme="majorEastAsia" w:eastAsiaTheme="majorEastAsia" w:cstheme="majorEastAsia"/>
          <w:color w:val="000000" w:themeColor="text1"/>
          <w:kern w:val="1"/>
          <w:sz w:val="24"/>
        </w:rPr>
        <w:t>17.2、政府采购合同履行中，采购人需追加与合同标的相同的服务或货物的，在不改变合同其他条款的前提下，可以与磋商供应商签订补充合同。</w:t>
      </w:r>
    </w:p>
    <w:p>
      <w:pPr>
        <w:spacing w:line="360" w:lineRule="auto"/>
        <w:rPr>
          <w:rFonts w:asciiTheme="majorEastAsia" w:hAnsiTheme="majorEastAsia" w:eastAsiaTheme="majorEastAsia" w:cstheme="majorEastAsia"/>
          <w:b/>
          <w:bCs/>
          <w:color w:val="000000" w:themeColor="text1"/>
          <w:sz w:val="24"/>
          <w:szCs w:val="32"/>
        </w:rPr>
      </w:pPr>
      <w:r>
        <w:rPr>
          <w:rFonts w:hint="eastAsia" w:asciiTheme="majorEastAsia" w:hAnsiTheme="majorEastAsia" w:eastAsiaTheme="majorEastAsia" w:cstheme="majorEastAsia"/>
          <w:b/>
          <w:color w:val="000000" w:themeColor="text1"/>
          <w:kern w:val="1"/>
          <w:sz w:val="32"/>
        </w:rPr>
        <w:t>六、终止采购</w:t>
      </w:r>
    </w:p>
    <w:p>
      <w:pPr>
        <w:widowControl/>
        <w:spacing w:line="360" w:lineRule="auto"/>
        <w:ind w:firstLine="636"/>
        <w:rPr>
          <w:rFonts w:asciiTheme="majorEastAsia" w:hAnsiTheme="majorEastAsia" w:eastAsiaTheme="majorEastAsia" w:cstheme="majorEastAsia"/>
          <w:snapToGrid w:val="0"/>
          <w:color w:val="000000" w:themeColor="text1"/>
          <w:kern w:val="0"/>
          <w:sz w:val="24"/>
        </w:rPr>
      </w:pPr>
      <w:r>
        <w:rPr>
          <w:rFonts w:hint="eastAsia" w:asciiTheme="majorEastAsia" w:hAnsiTheme="majorEastAsia" w:eastAsiaTheme="majorEastAsia" w:cstheme="majorEastAsia"/>
          <w:bCs/>
          <w:color w:val="000000" w:themeColor="text1"/>
          <w:szCs w:val="32"/>
        </w:rPr>
        <w:t>18.、</w:t>
      </w:r>
      <w:r>
        <w:rPr>
          <w:rFonts w:hint="eastAsia" w:asciiTheme="majorEastAsia" w:hAnsiTheme="majorEastAsia" w:eastAsiaTheme="majorEastAsia" w:cstheme="majorEastAsia"/>
          <w:snapToGrid w:val="0"/>
          <w:color w:val="000000" w:themeColor="text1"/>
          <w:kern w:val="0"/>
          <w:sz w:val="24"/>
        </w:rPr>
        <w:t>出现下列情形之一的，采购人或者采购代理机构应当终止采购活动，发布项目终止公告并说明原因，重新开展采购活动：</w:t>
      </w:r>
    </w:p>
    <w:p>
      <w:pPr>
        <w:widowControl/>
        <w:spacing w:line="360" w:lineRule="auto"/>
        <w:ind w:firstLine="636"/>
        <w:rPr>
          <w:rFonts w:asciiTheme="majorEastAsia" w:hAnsiTheme="majorEastAsia" w:eastAsiaTheme="majorEastAsia" w:cstheme="majorEastAsia"/>
          <w:snapToGrid w:val="0"/>
          <w:color w:val="000000" w:themeColor="text1"/>
          <w:kern w:val="0"/>
          <w:sz w:val="24"/>
        </w:rPr>
      </w:pPr>
      <w:r>
        <w:rPr>
          <w:rFonts w:hint="eastAsia" w:asciiTheme="majorEastAsia" w:hAnsiTheme="majorEastAsia" w:eastAsiaTheme="majorEastAsia" w:cstheme="majorEastAsia"/>
          <w:snapToGrid w:val="0"/>
          <w:color w:val="000000" w:themeColor="text1"/>
          <w:kern w:val="0"/>
          <w:sz w:val="24"/>
        </w:rPr>
        <w:t>18.1、因情况变化，不再符合规定的采购方式适用情形的；</w:t>
      </w:r>
    </w:p>
    <w:p>
      <w:pPr>
        <w:widowControl/>
        <w:spacing w:line="360" w:lineRule="auto"/>
        <w:ind w:firstLine="645"/>
        <w:rPr>
          <w:rFonts w:asciiTheme="majorEastAsia" w:hAnsiTheme="majorEastAsia" w:eastAsiaTheme="majorEastAsia" w:cstheme="majorEastAsia"/>
          <w:snapToGrid w:val="0"/>
          <w:color w:val="000000" w:themeColor="text1"/>
          <w:kern w:val="0"/>
          <w:sz w:val="24"/>
        </w:rPr>
      </w:pPr>
      <w:r>
        <w:rPr>
          <w:rFonts w:hint="eastAsia" w:asciiTheme="majorEastAsia" w:hAnsiTheme="majorEastAsia" w:eastAsiaTheme="majorEastAsia" w:cstheme="majorEastAsia"/>
          <w:snapToGrid w:val="0"/>
          <w:color w:val="000000" w:themeColor="text1"/>
          <w:kern w:val="0"/>
          <w:sz w:val="24"/>
        </w:rPr>
        <w:t>18.2、出现影响采购公正的违法、违规行为的；</w:t>
      </w:r>
    </w:p>
    <w:p>
      <w:pPr>
        <w:widowControl/>
        <w:spacing w:line="360" w:lineRule="auto"/>
        <w:ind w:firstLine="636"/>
        <w:rPr>
          <w:rFonts w:asciiTheme="majorEastAsia" w:hAnsiTheme="majorEastAsia" w:eastAsiaTheme="majorEastAsia" w:cstheme="majorEastAsia"/>
          <w:snapToGrid w:val="0"/>
          <w:color w:val="000000" w:themeColor="text1"/>
          <w:kern w:val="0"/>
          <w:sz w:val="24"/>
        </w:rPr>
      </w:pPr>
      <w:r>
        <w:rPr>
          <w:rFonts w:hint="eastAsia" w:asciiTheme="majorEastAsia" w:hAnsiTheme="majorEastAsia" w:eastAsiaTheme="majorEastAsia" w:cstheme="majorEastAsia"/>
          <w:snapToGrid w:val="0"/>
          <w:color w:val="000000" w:themeColor="text1"/>
          <w:kern w:val="0"/>
          <w:sz w:val="24"/>
        </w:rPr>
        <w:t>18.3、采购过程中符合要求的供应商（社会资本）只有1家的，采购人（项目实施机构）或者采购代理机构应当终止竞争性磋商采购活动，发布项目终止公告并说明原因，重新开展采购活动。</w:t>
      </w:r>
    </w:p>
    <w:p>
      <w:pPr>
        <w:spacing w:line="360" w:lineRule="auto"/>
        <w:rPr>
          <w:rFonts w:asciiTheme="majorEastAsia" w:hAnsiTheme="majorEastAsia" w:eastAsiaTheme="majorEastAsia" w:cstheme="majorEastAsia"/>
          <w:b/>
          <w:bCs/>
          <w:color w:val="000000" w:themeColor="text1"/>
          <w:sz w:val="32"/>
          <w:szCs w:val="32"/>
        </w:rPr>
      </w:pPr>
      <w:r>
        <w:rPr>
          <w:rFonts w:hint="eastAsia" w:asciiTheme="majorEastAsia" w:hAnsiTheme="majorEastAsia" w:eastAsiaTheme="majorEastAsia" w:cstheme="majorEastAsia"/>
          <w:b/>
          <w:color w:val="000000" w:themeColor="text1"/>
          <w:sz w:val="32"/>
          <w:szCs w:val="32"/>
        </w:rPr>
        <w:t>七、</w:t>
      </w:r>
      <w:r>
        <w:rPr>
          <w:rFonts w:hint="eastAsia" w:asciiTheme="majorEastAsia" w:hAnsiTheme="majorEastAsia" w:eastAsiaTheme="majorEastAsia" w:cstheme="majorEastAsia"/>
          <w:b/>
          <w:bCs/>
          <w:color w:val="000000" w:themeColor="text1"/>
          <w:sz w:val="32"/>
          <w:szCs w:val="32"/>
        </w:rPr>
        <w:t>质疑与投诉</w:t>
      </w:r>
    </w:p>
    <w:p>
      <w:pPr>
        <w:tabs>
          <w:tab w:val="left" w:pos="1155"/>
        </w:tabs>
        <w:spacing w:line="360" w:lineRule="auto"/>
        <w:rPr>
          <w:rFonts w:asciiTheme="majorEastAsia" w:hAnsiTheme="majorEastAsia" w:eastAsiaTheme="majorEastAsia" w:cstheme="majorEastAsia"/>
          <w:b/>
          <w:bCs/>
          <w:color w:val="000000" w:themeColor="text1"/>
          <w:sz w:val="24"/>
        </w:rPr>
      </w:pPr>
      <w:r>
        <w:rPr>
          <w:rFonts w:hint="eastAsia" w:asciiTheme="majorEastAsia" w:hAnsiTheme="majorEastAsia" w:eastAsiaTheme="majorEastAsia" w:cstheme="majorEastAsia"/>
          <w:b/>
          <w:bCs/>
          <w:color w:val="000000" w:themeColor="text1"/>
          <w:sz w:val="24"/>
        </w:rPr>
        <w:t>19、关于质疑函的提出与答复：</w:t>
      </w:r>
    </w:p>
    <w:p>
      <w:pPr>
        <w:tabs>
          <w:tab w:val="left" w:pos="1155"/>
        </w:tabs>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19.1、供应商质疑与投诉应当实名署名，其质疑与投诉应当有明确的请求和必要的证明材料。供应商可以委托代理人进行质疑与投诉。代理人应当提交授权委托书，授权委托书应当载明委托代理的具体权限、期限和相关事项。本项目接收质疑函法定信息：</w:t>
      </w:r>
    </w:p>
    <w:p>
      <w:pPr>
        <w:tabs>
          <w:tab w:val="left" w:pos="1155"/>
        </w:tabs>
        <w:spacing w:line="360" w:lineRule="auto"/>
        <w:ind w:firstLine="482" w:firstLineChars="200"/>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 xml:space="preserve">联系电话：0911-8331531         </w:t>
      </w:r>
    </w:p>
    <w:p>
      <w:pPr>
        <w:tabs>
          <w:tab w:val="left" w:pos="1155"/>
        </w:tabs>
        <w:spacing w:line="360" w:lineRule="auto"/>
        <w:ind w:firstLine="482"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
          <w:color w:val="000000" w:themeColor="text1"/>
          <w:sz w:val="24"/>
        </w:rPr>
        <w:t>通讯地址：延川县政府采购中心（延川县财政局一楼）</w:t>
      </w:r>
    </w:p>
    <w:p>
      <w:pPr>
        <w:tabs>
          <w:tab w:val="left" w:pos="1155"/>
        </w:tabs>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19.2、供应商提出质疑应当提交质疑函。质疑函应当包括但不限于下列内容：供应商的名称、地址、邮编、联系人及联系电话，质疑项目的名称、编号，质疑事项，</w:t>
      </w:r>
    </w:p>
    <w:p>
      <w:pPr>
        <w:tabs>
          <w:tab w:val="left" w:pos="1155"/>
        </w:tabs>
        <w:spacing w:line="360" w:lineRule="auto"/>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事实依据和证明材料，法律依据，提出质疑的日期。质疑函应当署名。供应商为自然人的，应当由本人签字；供应商为法人或者其他组织的，应当由法定代表人或者主要负责人签字盖章并加盖公章。</w:t>
      </w:r>
    </w:p>
    <w:p>
      <w:pPr>
        <w:tabs>
          <w:tab w:val="left" w:pos="1155"/>
        </w:tabs>
        <w:spacing w:line="360" w:lineRule="auto"/>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 xml:space="preserve"> 19.3、出现磋商供应商认为采购文件、采购过程和中标、成交结果使自己的权益受到损害的，可以在知道或者应知其权益受到损害之日起七个工作日内，以书面形式向采购人提出质疑。磋商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针对同一采购程序环节的质疑原则上应当一次性提出）。</w:t>
      </w:r>
    </w:p>
    <w:p>
      <w:pPr>
        <w:tabs>
          <w:tab w:val="left" w:pos="1155"/>
        </w:tabs>
        <w:spacing w:line="360" w:lineRule="auto"/>
        <w:ind w:firstLine="48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19.4、采购人、采购代理机构认为供应商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供应商仍不少于3家时，可以从合格的中标或者成交候选人中另行确定中标、成交供应商的，应当依法另行确定中标、成交供应商，否则应当重新开展采购活动。质疑答复导致中标、成交结果改变的，采购人或者采购代理机构应当将有关情况书面报告本级财政部门。</w:t>
      </w:r>
    </w:p>
    <w:p>
      <w:pPr>
        <w:tabs>
          <w:tab w:val="left" w:pos="1155"/>
        </w:tabs>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19.5、出现磋商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磋商供应商可以在答复期满后15个工作日内向同级财政部门提起投诉。</w:t>
      </w:r>
    </w:p>
    <w:p>
      <w:pPr>
        <w:tabs>
          <w:tab w:val="left" w:pos="1155"/>
        </w:tabs>
        <w:spacing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20、投诉提出</w:t>
      </w:r>
    </w:p>
    <w:p>
      <w:pPr>
        <w:tabs>
          <w:tab w:val="left" w:pos="1155"/>
        </w:tabs>
        <w:spacing w:line="360" w:lineRule="auto"/>
        <w:ind w:firstLine="481"/>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20.1、质疑供应商对采购人、采购代理机构的答复不满意，或者采购人、采购代理机构未在规定时间内作出答复的，可以在答复期满后15个工作日内向同级财政部门提起投诉。</w:t>
      </w:r>
    </w:p>
    <w:p>
      <w:pPr>
        <w:tabs>
          <w:tab w:val="left" w:pos="1155"/>
        </w:tabs>
        <w:spacing w:line="360" w:lineRule="auto"/>
        <w:ind w:firstLine="481"/>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20.2、投诉人投诉时,应当提交投诉书，并按照被投诉采购人、采购代理机构（以下简称被投诉人）和与投诉事项有关的供应商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pPr>
        <w:tabs>
          <w:tab w:val="left" w:pos="1155"/>
        </w:tabs>
        <w:spacing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21、法律责任</w:t>
      </w:r>
    </w:p>
    <w:p>
      <w:pPr>
        <w:tabs>
          <w:tab w:val="left" w:pos="1155"/>
        </w:tabs>
        <w:spacing w:line="360" w:lineRule="auto"/>
        <w:ind w:firstLine="48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21.1、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tabs>
          <w:tab w:val="left" w:pos="1155"/>
        </w:tabs>
        <w:spacing w:line="360" w:lineRule="auto"/>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22、其他说明</w:t>
      </w:r>
    </w:p>
    <w:p>
      <w:pPr>
        <w:tabs>
          <w:tab w:val="left" w:pos="1155"/>
        </w:tabs>
        <w:spacing w:line="360" w:lineRule="auto"/>
        <w:ind w:firstLine="48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22.1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pPr>
        <w:tabs>
          <w:tab w:val="left" w:pos="1155"/>
        </w:tabs>
        <w:spacing w:line="360" w:lineRule="auto"/>
        <w:ind w:firstLine="48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22.2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pStyle w:val="3"/>
        <w:widowControl/>
        <w:spacing w:before="0" w:after="0" w:line="360" w:lineRule="auto"/>
        <w:ind w:firstLine="480" w:firstLineChars="200"/>
        <w:rPr>
          <w:rFonts w:hint="default" w:asciiTheme="majorEastAsia" w:hAnsiTheme="majorEastAsia" w:eastAsiaTheme="majorEastAsia" w:cstheme="majorEastAsia"/>
          <w:b w:val="0"/>
          <w:color w:val="000000" w:themeColor="text1"/>
          <w:sz w:val="44"/>
          <w:szCs w:val="44"/>
        </w:rPr>
      </w:pPr>
      <w:r>
        <w:rPr>
          <w:rFonts w:asciiTheme="majorEastAsia" w:hAnsiTheme="majorEastAsia" w:eastAsiaTheme="majorEastAsia" w:cstheme="majorEastAsia"/>
          <w:b w:val="0"/>
          <w:color w:val="000000" w:themeColor="text1"/>
          <w:sz w:val="24"/>
        </w:rPr>
        <w:t>22.3、质疑与投诉事宜依据《中华人民共和国政府采购法》、《政府采购法实施条例（国务院第658号令）》、《中华人民共和国财政部令第94号--政府采购质疑和投诉办法》及《陕财办采资（2016）53号》规定执行。</w:t>
      </w:r>
    </w:p>
    <w:p>
      <w:pPr>
        <w:spacing w:line="360" w:lineRule="auto"/>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八、关于供应商注册登记提醒</w:t>
      </w:r>
    </w:p>
    <w:p>
      <w:pPr>
        <w:spacing w:afterLines="50" w:line="360" w:lineRule="auto"/>
        <w:ind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 xml:space="preserve">25.1根据陕西省财政厅关于政府采购供应商注册登记有关事项的通知，如所投本项目的供应商未在陕西省政府采购网（http://www.ccgp-shaanxi.gov.cn/）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 </w:t>
      </w:r>
    </w:p>
    <w:p>
      <w:pPr>
        <w:spacing w:afterLines="50" w:line="360" w:lineRule="auto"/>
        <w:ind w:firstLine="480" w:firstLineChars="200"/>
        <w:jc w:val="left"/>
        <w:rPr>
          <w:rFonts w:asciiTheme="majorEastAsia" w:hAnsiTheme="majorEastAsia" w:eastAsiaTheme="majorEastAsia" w:cstheme="majorEastAsia"/>
          <w:b/>
          <w:color w:val="000000" w:themeColor="text1"/>
          <w:sz w:val="44"/>
          <w:szCs w:val="44"/>
        </w:rPr>
      </w:pPr>
      <w:r>
        <w:rPr>
          <w:rFonts w:hint="eastAsia" w:asciiTheme="majorEastAsia" w:hAnsiTheme="majorEastAsia" w:eastAsiaTheme="majorEastAsia" w:cstheme="majorEastAsia"/>
          <w:bCs/>
          <w:color w:val="000000" w:themeColor="text1"/>
          <w:sz w:val="24"/>
        </w:rPr>
        <w:t>25.2请各供应商自行在陕西省政府采购网主页面资料下载区下载《陕西省政府采购管理系统供应商用户手册》，并按操作手册流程注册登记。</w:t>
      </w:r>
    </w:p>
    <w:p>
      <w:pPr>
        <w:spacing w:afterLines="50" w:line="360" w:lineRule="auto"/>
        <w:ind w:firstLine="2650" w:firstLineChars="600"/>
        <w:rPr>
          <w:rFonts w:asciiTheme="majorEastAsia" w:hAnsiTheme="majorEastAsia" w:eastAsiaTheme="majorEastAsia" w:cstheme="majorEastAsia"/>
          <w:b/>
          <w:color w:val="000000" w:themeColor="text1"/>
          <w:sz w:val="44"/>
          <w:szCs w:val="44"/>
        </w:rPr>
      </w:pPr>
    </w:p>
    <w:p>
      <w:pPr>
        <w:spacing w:afterLines="50" w:line="360" w:lineRule="auto"/>
        <w:rPr>
          <w:rFonts w:asciiTheme="majorEastAsia" w:hAnsiTheme="majorEastAsia" w:eastAsiaTheme="majorEastAsia" w:cstheme="majorEastAsia"/>
          <w:b/>
          <w:color w:val="000000" w:themeColor="text1"/>
          <w:sz w:val="44"/>
          <w:szCs w:val="44"/>
        </w:rPr>
      </w:pPr>
    </w:p>
    <w:p>
      <w:pPr>
        <w:pStyle w:val="2"/>
        <w:rPr>
          <w:rFonts w:asciiTheme="majorEastAsia" w:hAnsiTheme="majorEastAsia" w:eastAsiaTheme="majorEastAsia" w:cstheme="majorEastAsia"/>
          <w:b/>
          <w:color w:val="000000" w:themeColor="text1"/>
          <w:sz w:val="44"/>
          <w:szCs w:val="44"/>
        </w:rPr>
      </w:pPr>
    </w:p>
    <w:p/>
    <w:p>
      <w:pPr>
        <w:spacing w:afterLines="50" w:line="360" w:lineRule="auto"/>
        <w:ind w:firstLine="2168" w:firstLineChars="600"/>
        <w:rPr>
          <w:rFonts w:ascii="宋体" w:hAnsi="宋体" w:cs="宋体"/>
          <w:b/>
          <w:color w:val="000000" w:themeColor="text1"/>
          <w:szCs w:val="21"/>
        </w:rPr>
      </w:pPr>
      <w:bookmarkStart w:id="13" w:name="_Toc18185_WPSOffice_Level1"/>
      <w:bookmarkStart w:id="14" w:name="_Toc2975_WPSOffice_Level1"/>
      <w:bookmarkStart w:id="15" w:name="_Toc27546_WPSOffice_Level1"/>
      <w:r>
        <w:rPr>
          <w:rFonts w:hint="eastAsia" w:ascii="宋体" w:hAnsi="宋体" w:cs="宋体"/>
          <w:b/>
          <w:color w:val="000000" w:themeColor="text1"/>
          <w:sz w:val="36"/>
          <w:szCs w:val="36"/>
        </w:rPr>
        <w:t>第三章 评审办法</w:t>
      </w:r>
      <w:bookmarkEnd w:id="13"/>
      <w:bookmarkEnd w:id="14"/>
      <w:bookmarkEnd w:id="15"/>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本项目是根据《中华人民共和国政府采购法》及《政府采购法实施条例》等法律法规的规定，结合采购项目特点制定的评审办法。</w:t>
      </w:r>
    </w:p>
    <w:p>
      <w:pPr>
        <w:spacing w:beforeLines="50" w:afterLines="50" w:line="360" w:lineRule="auto"/>
        <w:rPr>
          <w:rFonts w:ascii="宋体" w:hAnsi="宋体" w:cs="宋体"/>
          <w:b/>
          <w:color w:val="000000" w:themeColor="text1"/>
          <w:sz w:val="32"/>
          <w:szCs w:val="32"/>
        </w:rPr>
      </w:pPr>
      <w:r>
        <w:rPr>
          <w:rFonts w:hint="eastAsia" w:ascii="宋体" w:hAnsi="宋体" w:cs="宋体"/>
          <w:color w:val="000000" w:themeColor="text1"/>
          <w:sz w:val="32"/>
          <w:szCs w:val="32"/>
        </w:rPr>
        <w:t>一、</w:t>
      </w:r>
      <w:r>
        <w:rPr>
          <w:rFonts w:hint="eastAsia" w:ascii="宋体" w:hAnsi="宋体" w:cs="宋体"/>
          <w:b/>
          <w:color w:val="000000" w:themeColor="text1"/>
          <w:sz w:val="32"/>
          <w:szCs w:val="32"/>
        </w:rPr>
        <w:t xml:space="preserve">总则 </w:t>
      </w:r>
    </w:p>
    <w:p>
      <w:pPr>
        <w:spacing w:beforeLines="50" w:afterLines="50" w:line="360" w:lineRule="auto"/>
        <w:rPr>
          <w:rFonts w:ascii="宋体" w:hAnsi="宋体" w:cs="宋体"/>
          <w:color w:val="000000" w:themeColor="text1"/>
          <w:sz w:val="24"/>
        </w:rPr>
      </w:pPr>
      <w:r>
        <w:rPr>
          <w:rFonts w:hint="eastAsia" w:ascii="宋体" w:hAnsi="宋体" w:cs="宋体"/>
          <w:b/>
          <w:color w:val="000000" w:themeColor="text1"/>
          <w:sz w:val="24"/>
        </w:rPr>
        <w:t>1、原则</w:t>
      </w:r>
    </w:p>
    <w:p>
      <w:pPr>
        <w:tabs>
          <w:tab w:val="left" w:pos="0"/>
        </w:tabs>
        <w:adjustRightInd w:val="0"/>
        <w:snapToGrid w:val="0"/>
        <w:spacing w:line="360" w:lineRule="auto"/>
        <w:ind w:firstLine="470" w:firstLineChars="196"/>
        <w:rPr>
          <w:rFonts w:ascii="宋体" w:hAnsi="宋体" w:cs="宋体"/>
          <w:color w:val="000000" w:themeColor="text1"/>
          <w:sz w:val="24"/>
        </w:rPr>
      </w:pPr>
      <w:r>
        <w:rPr>
          <w:rFonts w:hint="eastAsia" w:ascii="宋体" w:hAnsi="宋体" w:cs="宋体"/>
          <w:color w:val="000000" w:themeColor="text1"/>
          <w:sz w:val="24"/>
        </w:rPr>
        <w:t>1.1、“公平、公正、择优、效益”为本次评审的基本原则，磋商小组按照这一原则的要求，公正、平等地对待各磋商供应商。同时，在评审中恪守以下原则：</w:t>
      </w:r>
    </w:p>
    <w:p>
      <w:pPr>
        <w:tabs>
          <w:tab w:val="left" w:pos="0"/>
        </w:tabs>
        <w:adjustRightInd w:val="0"/>
        <w:snapToGrid w:val="0"/>
        <w:spacing w:line="360" w:lineRule="auto"/>
        <w:ind w:firstLine="470" w:firstLineChars="196"/>
        <w:rPr>
          <w:rFonts w:ascii="宋体" w:hAnsi="宋体" w:cs="宋体"/>
          <w:color w:val="000000" w:themeColor="text1"/>
          <w:sz w:val="24"/>
        </w:rPr>
      </w:pPr>
      <w:r>
        <w:rPr>
          <w:rFonts w:hint="eastAsia" w:ascii="宋体" w:hAnsi="宋体" w:cs="宋体"/>
          <w:color w:val="000000" w:themeColor="text1"/>
          <w:sz w:val="24"/>
        </w:rPr>
        <w:t>1.1.1、统一性原则：磋商小组将按照统一的原则和方法，用统一标准进行评审。</w:t>
      </w:r>
    </w:p>
    <w:p>
      <w:pPr>
        <w:tabs>
          <w:tab w:val="left" w:pos="0"/>
        </w:tabs>
        <w:adjustRightInd w:val="0"/>
        <w:snapToGrid w:val="0"/>
        <w:spacing w:line="360" w:lineRule="auto"/>
        <w:ind w:firstLine="470" w:firstLineChars="196"/>
        <w:rPr>
          <w:rFonts w:ascii="宋体" w:hAnsi="宋体" w:cs="宋体"/>
          <w:color w:val="000000" w:themeColor="text1"/>
          <w:sz w:val="24"/>
        </w:rPr>
      </w:pPr>
      <w:r>
        <w:rPr>
          <w:rFonts w:hint="eastAsia" w:ascii="宋体" w:hAnsi="宋体" w:cs="宋体"/>
          <w:color w:val="000000" w:themeColor="text1"/>
          <w:sz w:val="24"/>
        </w:rPr>
        <w:t>1.1.2、独立性原则:评审工作在磋商小组内部独立进行，不受外界任何因素的干扰和影响。磋商小组成员对其出具的意见承担个人责任。</w:t>
      </w:r>
      <w:r>
        <w:rPr>
          <w:rFonts w:hint="eastAsia" w:ascii="宋体" w:hAnsi="宋体" w:cs="宋体"/>
          <w:color w:val="000000" w:themeColor="text1"/>
          <w:kern w:val="0"/>
          <w:sz w:val="24"/>
        </w:rPr>
        <w:t>磋商供应商试图影响或干预评审的任何行为，将导致其丧失磋商的资格，并承担相应的法律责任。</w:t>
      </w:r>
    </w:p>
    <w:p>
      <w:pPr>
        <w:tabs>
          <w:tab w:val="left" w:pos="0"/>
        </w:tabs>
        <w:adjustRightInd w:val="0"/>
        <w:snapToGrid w:val="0"/>
        <w:spacing w:line="360" w:lineRule="auto"/>
        <w:ind w:firstLine="470" w:firstLineChars="196"/>
        <w:rPr>
          <w:rFonts w:ascii="宋体" w:hAnsi="宋体" w:cs="宋体"/>
          <w:color w:val="000000" w:themeColor="text1"/>
          <w:sz w:val="24"/>
        </w:rPr>
      </w:pPr>
      <w:r>
        <w:rPr>
          <w:rFonts w:hint="eastAsia" w:ascii="宋体" w:hAnsi="宋体" w:cs="宋体"/>
          <w:color w:val="000000" w:themeColor="text1"/>
          <w:sz w:val="24"/>
        </w:rPr>
        <w:t>1.1.3、客观性原则：磋商小组将严格按照竞争性磋商文件要求，对磋商供应商的磋商响应文件进行认真评审；磋商小组对磋商响应文件的评审仅依据磋商响应文件本身，而不依据磋商响应文件以外的任何因素。</w:t>
      </w:r>
    </w:p>
    <w:p>
      <w:pPr>
        <w:tabs>
          <w:tab w:val="left" w:pos="0"/>
        </w:tabs>
        <w:adjustRightInd w:val="0"/>
        <w:snapToGrid w:val="0"/>
        <w:spacing w:line="360" w:lineRule="auto"/>
        <w:ind w:firstLine="470" w:firstLineChars="196"/>
        <w:rPr>
          <w:rFonts w:ascii="宋体" w:hAnsi="宋体" w:cs="宋体"/>
          <w:color w:val="000000" w:themeColor="text1"/>
          <w:sz w:val="24"/>
        </w:rPr>
      </w:pPr>
      <w:r>
        <w:rPr>
          <w:rFonts w:hint="eastAsia" w:ascii="宋体" w:hAnsi="宋体" w:cs="宋体"/>
          <w:color w:val="000000" w:themeColor="text1"/>
          <w:sz w:val="24"/>
        </w:rPr>
        <w:t>1.1.4、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pPr>
        <w:tabs>
          <w:tab w:val="left" w:pos="0"/>
        </w:tabs>
        <w:adjustRightInd w:val="0"/>
        <w:snapToGrid w:val="0"/>
        <w:spacing w:line="360" w:lineRule="auto"/>
        <w:ind w:firstLine="470" w:firstLineChars="196"/>
        <w:rPr>
          <w:rFonts w:ascii="宋体" w:hAnsi="宋体" w:cs="宋体"/>
          <w:color w:val="000000" w:themeColor="text1"/>
          <w:sz w:val="24"/>
        </w:rPr>
      </w:pPr>
      <w:r>
        <w:rPr>
          <w:rFonts w:hint="eastAsia" w:ascii="宋体" w:hAnsi="宋体" w:cs="宋体"/>
          <w:color w:val="000000" w:themeColor="text1"/>
          <w:sz w:val="24"/>
        </w:rPr>
        <w:t>1.1.5、综合性原则:磋商小组将综合分析磋商供应商的各项指标，而不以单项指标的优劣评定出成交供应商。</w:t>
      </w:r>
    </w:p>
    <w:p>
      <w:pPr>
        <w:tabs>
          <w:tab w:val="left" w:pos="0"/>
        </w:tabs>
        <w:adjustRightInd w:val="0"/>
        <w:snapToGrid w:val="0"/>
        <w:spacing w:line="360" w:lineRule="auto"/>
        <w:ind w:firstLine="470" w:firstLineChars="196"/>
        <w:rPr>
          <w:rFonts w:ascii="宋体" w:hAnsi="宋体" w:cs="宋体"/>
          <w:color w:val="000000" w:themeColor="text1"/>
          <w:sz w:val="24"/>
        </w:rPr>
      </w:pPr>
      <w:r>
        <w:rPr>
          <w:rFonts w:hint="eastAsia" w:ascii="宋体" w:hAnsi="宋体" w:cs="宋体"/>
          <w:color w:val="000000" w:themeColor="text1"/>
          <w:sz w:val="24"/>
        </w:rPr>
        <w:t>1.2、磋商小组有权对整个投标和评审过程中出现的所有问题，根据《中华人民共和国政府采购法》、《中华人民共和国政府采购法实施条例》（第658号）、《政府采购货物和服务招标投标管理办法》（财政部令第87号）等相关规定进行处理。</w:t>
      </w:r>
    </w:p>
    <w:p>
      <w:pPr>
        <w:spacing w:beforeLines="50" w:afterLines="50" w:line="360" w:lineRule="auto"/>
        <w:rPr>
          <w:rFonts w:ascii="宋体" w:hAnsi="宋体" w:cs="宋体"/>
          <w:b/>
          <w:color w:val="000000" w:themeColor="text1"/>
          <w:sz w:val="24"/>
        </w:rPr>
      </w:pPr>
      <w:r>
        <w:rPr>
          <w:rFonts w:hint="eastAsia" w:ascii="宋体" w:hAnsi="宋体" w:cs="宋体"/>
          <w:b/>
          <w:color w:val="000000" w:themeColor="text1"/>
          <w:sz w:val="24"/>
        </w:rPr>
        <w:t>2、磋商小组职责</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2.1、磋商小组独立履行下列职责：</w:t>
      </w:r>
    </w:p>
    <w:p>
      <w:pPr>
        <w:spacing w:line="360" w:lineRule="auto"/>
        <w:ind w:right="-239" w:rightChars="-114" w:firstLine="480" w:firstLineChars="200"/>
        <w:rPr>
          <w:rFonts w:ascii="宋体" w:hAnsi="宋体" w:cs="宋体"/>
          <w:color w:val="000000" w:themeColor="text1"/>
          <w:sz w:val="24"/>
        </w:rPr>
      </w:pPr>
      <w:r>
        <w:rPr>
          <w:rFonts w:hint="eastAsia" w:ascii="宋体" w:hAnsi="宋体" w:cs="宋体"/>
          <w:color w:val="000000" w:themeColor="text1"/>
          <w:sz w:val="24"/>
        </w:rPr>
        <w:t>2.1.1、审查、评价磋商响应文件是否符合竞争性磋商文件的商务、技术、服务等实质性要求；</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2.1.2、要求磋商供应商对磋商响应文件有关事项作出解释或者澄清；</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2.1.3、与入围的磋商供应商进行技术和商务评审；</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2.1.4、对磋商响应文件进行比较和评价；</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2.1.5、推荐成交候选磋商供应商名单；</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2.1.6、向采购人、采购代理机构或者有关部门报告非法干预评审工作的行为。</w:t>
      </w:r>
    </w:p>
    <w:p>
      <w:pPr>
        <w:pStyle w:val="18"/>
        <w:shd w:val="clear" w:color="auto" w:fill="FFFFFF"/>
        <w:spacing w:before="0" w:beforeAutospacing="0" w:after="0" w:afterAutospacing="0" w:line="360" w:lineRule="auto"/>
        <w:ind w:left="479" w:leftChars="228"/>
        <w:rPr>
          <w:color w:val="000000" w:themeColor="text1"/>
        </w:rPr>
      </w:pPr>
      <w:r>
        <w:rPr>
          <w:rFonts w:hint="eastAsia"/>
          <w:color w:val="000000" w:themeColor="text1"/>
        </w:rPr>
        <w:t>2.2、采购代理机构负责组织评审工作并履行下列职责：</w:t>
      </w:r>
    </w:p>
    <w:p>
      <w:pPr>
        <w:pStyle w:val="18"/>
        <w:shd w:val="clear" w:color="auto" w:fill="FFFFFF"/>
        <w:spacing w:before="0" w:beforeAutospacing="0" w:after="0" w:afterAutospacing="0" w:line="360" w:lineRule="auto"/>
        <w:ind w:left="479" w:leftChars="228"/>
        <w:rPr>
          <w:color w:val="000000" w:themeColor="text1"/>
        </w:rPr>
      </w:pPr>
      <w:r>
        <w:rPr>
          <w:rFonts w:hint="eastAsia"/>
          <w:color w:val="000000" w:themeColor="text1"/>
        </w:rPr>
        <w:t>2.2.1、核对磋商小组成员身份和采购人代表授权函；</w:t>
      </w:r>
    </w:p>
    <w:p>
      <w:pPr>
        <w:pStyle w:val="18"/>
        <w:shd w:val="clear" w:color="auto" w:fill="FFFFFF"/>
        <w:spacing w:before="0" w:beforeAutospacing="0" w:after="0" w:afterAutospacing="0" w:line="360" w:lineRule="auto"/>
        <w:ind w:firstLine="480" w:firstLineChars="200"/>
        <w:rPr>
          <w:color w:val="000000" w:themeColor="text1"/>
        </w:rPr>
      </w:pPr>
      <w:r>
        <w:rPr>
          <w:rFonts w:hint="eastAsia"/>
          <w:color w:val="000000" w:themeColor="text1"/>
        </w:rPr>
        <w:t>2.2.2、宣布评审纪律；</w:t>
      </w:r>
    </w:p>
    <w:p>
      <w:pPr>
        <w:pStyle w:val="18"/>
        <w:shd w:val="clear" w:color="auto" w:fill="FFFFFF"/>
        <w:spacing w:before="0" w:beforeAutospacing="0" w:after="0" w:afterAutospacing="0" w:line="360" w:lineRule="auto"/>
        <w:ind w:firstLine="480" w:firstLineChars="200"/>
        <w:rPr>
          <w:color w:val="000000" w:themeColor="text1"/>
        </w:rPr>
      </w:pPr>
      <w:r>
        <w:rPr>
          <w:rFonts w:hint="eastAsia"/>
          <w:color w:val="000000" w:themeColor="text1"/>
        </w:rPr>
        <w:t>2.2.3、公布响应磋商供应商名单，告知磋商小组成员应当回避的情形；</w:t>
      </w:r>
    </w:p>
    <w:p>
      <w:pPr>
        <w:pStyle w:val="18"/>
        <w:shd w:val="clear" w:color="auto" w:fill="FFFFFF"/>
        <w:spacing w:before="0" w:beforeAutospacing="0" w:after="0" w:afterAutospacing="0" w:line="360" w:lineRule="auto"/>
        <w:ind w:firstLine="480" w:firstLineChars="200"/>
        <w:rPr>
          <w:color w:val="000000" w:themeColor="text1"/>
        </w:rPr>
      </w:pPr>
      <w:r>
        <w:rPr>
          <w:rFonts w:hint="eastAsia"/>
          <w:color w:val="000000" w:themeColor="text1"/>
        </w:rPr>
        <w:t>2.2.4、组织磋商小组成员推选评审小组组长，采购人代表不得担任组长；</w:t>
      </w:r>
    </w:p>
    <w:p>
      <w:pPr>
        <w:pStyle w:val="18"/>
        <w:shd w:val="clear" w:color="auto" w:fill="FFFFFF"/>
        <w:spacing w:before="0" w:beforeAutospacing="0" w:after="0" w:afterAutospacing="0" w:line="360" w:lineRule="auto"/>
        <w:ind w:firstLine="480" w:firstLineChars="200"/>
        <w:rPr>
          <w:color w:val="000000" w:themeColor="text1"/>
        </w:rPr>
      </w:pPr>
      <w:r>
        <w:rPr>
          <w:rFonts w:hint="eastAsia"/>
          <w:color w:val="000000" w:themeColor="text1"/>
        </w:rPr>
        <w:t>2.2.5、集中保管磋商小组成员及现场工作人员的通讯工具；</w:t>
      </w:r>
    </w:p>
    <w:p>
      <w:pPr>
        <w:pStyle w:val="18"/>
        <w:shd w:val="clear" w:color="auto" w:fill="FFFFFF"/>
        <w:spacing w:before="0" w:beforeAutospacing="0" w:after="0" w:afterAutospacing="0" w:line="360" w:lineRule="auto"/>
        <w:ind w:firstLine="480" w:firstLineChars="200"/>
        <w:rPr>
          <w:color w:val="000000" w:themeColor="text1"/>
        </w:rPr>
      </w:pPr>
      <w:r>
        <w:rPr>
          <w:rFonts w:hint="eastAsia"/>
          <w:color w:val="000000" w:themeColor="text1"/>
        </w:rPr>
        <w:t>2.2.6、根据磋商小组的要求介绍政府采购相关政策法规、竞争性磋商文件；</w:t>
      </w:r>
    </w:p>
    <w:p>
      <w:pPr>
        <w:pStyle w:val="18"/>
        <w:shd w:val="clear" w:color="auto" w:fill="FFFFFF"/>
        <w:spacing w:before="0" w:beforeAutospacing="0" w:after="0" w:afterAutospacing="0" w:line="360" w:lineRule="auto"/>
        <w:ind w:firstLine="480" w:firstLineChars="200"/>
        <w:rPr>
          <w:color w:val="000000" w:themeColor="text1"/>
        </w:rPr>
      </w:pPr>
      <w:r>
        <w:rPr>
          <w:rFonts w:hint="eastAsia"/>
          <w:color w:val="000000" w:themeColor="text1"/>
        </w:rPr>
        <w:t>2.2.7、维护评审秩序，监督磋商小组依照竞争性磋商文件规定的采购程序、评审方法和标准进行独立评审，对采购人代表、磋商小组成员的倾向性言论或违法违规行为及时制止和纠正；</w:t>
      </w:r>
    </w:p>
    <w:p>
      <w:pPr>
        <w:pStyle w:val="18"/>
        <w:shd w:val="clear" w:color="auto" w:fill="FFFFFF"/>
        <w:spacing w:before="0" w:beforeAutospacing="0" w:after="0" w:afterAutospacing="0" w:line="360" w:lineRule="auto"/>
        <w:ind w:firstLine="480" w:firstLineChars="200"/>
        <w:rPr>
          <w:color w:val="000000" w:themeColor="text1"/>
        </w:rPr>
      </w:pPr>
      <w:r>
        <w:rPr>
          <w:rFonts w:hint="eastAsia"/>
          <w:color w:val="000000" w:themeColor="text1"/>
        </w:rPr>
        <w:t>2.2.8、核对评审结果，采购过程中提交磋商响应文件或者经评审实质性响应竞争性磋商文件要求的磋商供应商只有2家时，经采购人书面请示政府采购管理机构同意后，可以现场转变采购方式。否则，按废标处理，重新开展采购活动；采购过程中，提交磋商响应文件或者经评审实质性响应竞争性磋商文件要求的磋商供应商只有1家时，按废标处理，重新开展采购活动。采购人如需申请转为单一来源采购方式的，按单一来源采购程序进行。要求磋商小组复核或书面说明理由，磋商小组拒绝的，应予记录并向采购人本级财政部门报告；</w:t>
      </w:r>
    </w:p>
    <w:p>
      <w:pPr>
        <w:pStyle w:val="18"/>
        <w:shd w:val="clear" w:color="auto" w:fill="FFFFFF"/>
        <w:spacing w:before="0" w:beforeAutospacing="0" w:after="0" w:afterAutospacing="0" w:line="360" w:lineRule="auto"/>
        <w:ind w:firstLine="480" w:firstLineChars="200"/>
        <w:rPr>
          <w:color w:val="000000" w:themeColor="text1"/>
        </w:rPr>
      </w:pPr>
      <w:r>
        <w:rPr>
          <w:rFonts w:hint="eastAsia"/>
          <w:color w:val="000000" w:themeColor="text1"/>
        </w:rPr>
        <w:t>2.2.9、处理与评审有关的其他事项。</w:t>
      </w:r>
    </w:p>
    <w:p>
      <w:pPr>
        <w:pStyle w:val="18"/>
        <w:shd w:val="clear" w:color="auto" w:fill="FFFFFF"/>
        <w:spacing w:before="0" w:beforeAutospacing="0" w:after="0" w:afterAutospacing="0" w:line="360" w:lineRule="auto"/>
        <w:ind w:firstLine="480" w:firstLineChars="200"/>
        <w:rPr>
          <w:color w:val="000000" w:themeColor="text1"/>
        </w:rPr>
      </w:pPr>
      <w:r>
        <w:rPr>
          <w:rFonts w:hint="eastAsia"/>
          <w:color w:val="000000" w:themeColor="text1"/>
        </w:rPr>
        <w:t>2.3、采购人可以在评审前介绍项目背景和采购需求，介绍内容不得含有歧视性、倾向性意见，不得超出竞争性磋商文件所述范围。介绍应当提交书面介绍材料，并随采购文件一并存档。</w:t>
      </w:r>
    </w:p>
    <w:p>
      <w:pPr>
        <w:widowControl/>
        <w:autoSpaceDE w:val="0"/>
        <w:autoSpaceDN w:val="0"/>
        <w:spacing w:line="360" w:lineRule="auto"/>
        <w:ind w:right="51" w:firstLine="480" w:firstLineChars="200"/>
        <w:textAlignment w:val="bottom"/>
        <w:rPr>
          <w:rFonts w:ascii="宋体" w:hAnsi="宋体" w:cs="宋体"/>
          <w:color w:val="000000" w:themeColor="text1"/>
          <w:sz w:val="24"/>
          <w:szCs w:val="22"/>
        </w:rPr>
      </w:pPr>
      <w:r>
        <w:rPr>
          <w:rFonts w:hint="eastAsia" w:ascii="宋体" w:hAnsi="宋体" w:cs="宋体"/>
          <w:color w:val="000000" w:themeColor="text1"/>
          <w:sz w:val="24"/>
          <w:szCs w:val="22"/>
        </w:rPr>
        <w:t>2.4、磋商小组及其成员，在评审中不得有下列行为：</w:t>
      </w:r>
    </w:p>
    <w:p>
      <w:pPr>
        <w:pStyle w:val="18"/>
        <w:shd w:val="clear" w:color="auto" w:fill="FFFFFF"/>
        <w:spacing w:before="0" w:beforeAutospacing="0" w:after="0" w:afterAutospacing="0" w:line="360" w:lineRule="auto"/>
        <w:ind w:firstLine="480" w:firstLineChars="200"/>
        <w:rPr>
          <w:color w:val="000000" w:themeColor="text1"/>
          <w:szCs w:val="22"/>
        </w:rPr>
      </w:pPr>
      <w:r>
        <w:rPr>
          <w:rFonts w:hint="eastAsia"/>
          <w:color w:val="000000" w:themeColor="text1"/>
          <w:szCs w:val="22"/>
        </w:rPr>
        <w:t>2.4.1、确定参与评审至评审结束前私自接触供应商；</w:t>
      </w:r>
    </w:p>
    <w:p>
      <w:pPr>
        <w:pStyle w:val="18"/>
        <w:shd w:val="clear" w:color="auto" w:fill="FFFFFF"/>
        <w:spacing w:before="0" w:beforeAutospacing="0" w:after="0" w:afterAutospacing="0" w:line="360" w:lineRule="auto"/>
        <w:ind w:firstLine="480" w:firstLineChars="200"/>
        <w:rPr>
          <w:color w:val="000000" w:themeColor="text1"/>
          <w:szCs w:val="22"/>
        </w:rPr>
      </w:pPr>
      <w:r>
        <w:rPr>
          <w:rFonts w:hint="eastAsia"/>
          <w:color w:val="000000" w:themeColor="text1"/>
          <w:szCs w:val="22"/>
        </w:rPr>
        <w:t>2.4.2、接受供应商提出的与磋商响应文件不一致的澄清或者说明，本章第4.1条规定的情形除外；</w:t>
      </w:r>
    </w:p>
    <w:p>
      <w:pPr>
        <w:pStyle w:val="18"/>
        <w:shd w:val="clear" w:color="auto" w:fill="FFFFFF"/>
        <w:spacing w:before="0" w:beforeAutospacing="0" w:after="0" w:afterAutospacing="0" w:line="360" w:lineRule="auto"/>
        <w:ind w:firstLine="480" w:firstLineChars="200"/>
        <w:rPr>
          <w:color w:val="000000" w:themeColor="text1"/>
          <w:szCs w:val="22"/>
        </w:rPr>
      </w:pPr>
      <w:r>
        <w:rPr>
          <w:rFonts w:hint="eastAsia"/>
          <w:color w:val="000000" w:themeColor="text1"/>
          <w:szCs w:val="22"/>
        </w:rPr>
        <w:t>2.4.3、违反评审纪律发表倾向性意见或者征询采购人的倾向性意见；</w:t>
      </w:r>
    </w:p>
    <w:p>
      <w:pPr>
        <w:pStyle w:val="18"/>
        <w:shd w:val="clear" w:color="auto" w:fill="FFFFFF"/>
        <w:spacing w:before="0" w:beforeAutospacing="0" w:after="0" w:afterAutospacing="0" w:line="360" w:lineRule="auto"/>
        <w:ind w:firstLine="480" w:firstLineChars="200"/>
        <w:rPr>
          <w:color w:val="000000" w:themeColor="text1"/>
          <w:szCs w:val="22"/>
        </w:rPr>
      </w:pPr>
      <w:r>
        <w:rPr>
          <w:rFonts w:hint="eastAsia"/>
          <w:color w:val="000000" w:themeColor="text1"/>
          <w:szCs w:val="22"/>
        </w:rPr>
        <w:t>2.4.4、对需要专业判断的主观评审因素协商评分；</w:t>
      </w:r>
    </w:p>
    <w:p>
      <w:pPr>
        <w:pStyle w:val="18"/>
        <w:shd w:val="clear" w:color="auto" w:fill="FFFFFF"/>
        <w:spacing w:before="0" w:beforeAutospacing="0" w:after="0" w:afterAutospacing="0" w:line="360" w:lineRule="auto"/>
        <w:ind w:firstLine="480" w:firstLineChars="200"/>
        <w:rPr>
          <w:color w:val="000000" w:themeColor="text1"/>
          <w:szCs w:val="22"/>
        </w:rPr>
      </w:pPr>
      <w:r>
        <w:rPr>
          <w:rFonts w:hint="eastAsia"/>
          <w:color w:val="000000" w:themeColor="text1"/>
          <w:szCs w:val="22"/>
        </w:rPr>
        <w:t>2.4.5、在评审过程中擅离职守，影响评审程序正常进行的；</w:t>
      </w:r>
    </w:p>
    <w:p>
      <w:pPr>
        <w:pStyle w:val="18"/>
        <w:shd w:val="clear" w:color="auto" w:fill="FFFFFF"/>
        <w:spacing w:before="0" w:beforeAutospacing="0" w:after="0" w:afterAutospacing="0" w:line="360" w:lineRule="auto"/>
        <w:ind w:firstLine="480" w:firstLineChars="200"/>
        <w:rPr>
          <w:color w:val="000000" w:themeColor="text1"/>
          <w:szCs w:val="22"/>
        </w:rPr>
      </w:pPr>
      <w:r>
        <w:rPr>
          <w:rFonts w:hint="eastAsia"/>
          <w:color w:val="000000" w:themeColor="text1"/>
          <w:szCs w:val="22"/>
        </w:rPr>
        <w:t>2.4.6、记录、复制或者带走任何评审资料；</w:t>
      </w:r>
    </w:p>
    <w:p>
      <w:pPr>
        <w:pStyle w:val="18"/>
        <w:shd w:val="clear" w:color="auto" w:fill="FFFFFF"/>
        <w:spacing w:before="0" w:beforeAutospacing="0" w:after="0" w:afterAutospacing="0" w:line="360" w:lineRule="auto"/>
        <w:ind w:firstLine="480" w:firstLineChars="200"/>
        <w:rPr>
          <w:color w:val="000000" w:themeColor="text1"/>
          <w:szCs w:val="22"/>
        </w:rPr>
      </w:pPr>
      <w:r>
        <w:rPr>
          <w:rFonts w:hint="eastAsia"/>
          <w:color w:val="000000" w:themeColor="text1"/>
          <w:szCs w:val="22"/>
        </w:rPr>
        <w:t>2.4.7、其他不遵守评审纪律的行为；</w:t>
      </w:r>
    </w:p>
    <w:p>
      <w:pPr>
        <w:pStyle w:val="18"/>
        <w:shd w:val="clear" w:color="auto" w:fill="FFFFFF"/>
        <w:spacing w:before="0" w:beforeAutospacing="0" w:after="0" w:afterAutospacing="0" w:line="360" w:lineRule="auto"/>
        <w:ind w:firstLine="480" w:firstLineChars="200"/>
        <w:rPr>
          <w:color w:val="000000" w:themeColor="text1"/>
          <w:szCs w:val="22"/>
        </w:rPr>
      </w:pPr>
      <w:r>
        <w:rPr>
          <w:rFonts w:hint="eastAsia"/>
          <w:color w:val="000000" w:themeColor="text1"/>
          <w:szCs w:val="22"/>
        </w:rPr>
        <w:t>2.4.8、磋商小组成员有前款第一至五项行为之一的，其评审意见无效，</w:t>
      </w:r>
    </w:p>
    <w:p>
      <w:pPr>
        <w:spacing w:beforeLines="50" w:afterLines="50" w:line="360" w:lineRule="auto"/>
        <w:rPr>
          <w:rFonts w:ascii="宋体" w:hAnsi="宋体" w:cs="宋体"/>
          <w:b/>
          <w:color w:val="000000" w:themeColor="text1"/>
          <w:sz w:val="32"/>
          <w:szCs w:val="32"/>
        </w:rPr>
      </w:pPr>
      <w:r>
        <w:rPr>
          <w:rFonts w:hint="eastAsia" w:ascii="宋体" w:hAnsi="宋体" w:cs="宋体"/>
          <w:b/>
          <w:color w:val="000000" w:themeColor="text1"/>
          <w:sz w:val="32"/>
          <w:szCs w:val="32"/>
        </w:rPr>
        <w:t>二、评审步骤与评审方法</w:t>
      </w:r>
    </w:p>
    <w:p>
      <w:pPr>
        <w:spacing w:beforeLines="50" w:afterLines="50" w:line="360" w:lineRule="auto"/>
        <w:rPr>
          <w:rFonts w:ascii="宋体" w:hAnsi="宋体" w:cs="宋体"/>
          <w:b/>
          <w:color w:val="000000" w:themeColor="text1"/>
          <w:sz w:val="24"/>
        </w:rPr>
      </w:pPr>
      <w:r>
        <w:rPr>
          <w:rFonts w:hint="eastAsia" w:ascii="宋体" w:hAnsi="宋体" w:cs="宋体"/>
          <w:b/>
          <w:color w:val="000000" w:themeColor="text1"/>
          <w:sz w:val="24"/>
        </w:rPr>
        <w:t>3、磋商响应文件初审</w:t>
      </w:r>
    </w:p>
    <w:p>
      <w:pPr>
        <w:tabs>
          <w:tab w:val="left" w:pos="0"/>
        </w:tabs>
        <w:adjustRightInd w:val="0"/>
        <w:snapToGrid w:val="0"/>
        <w:spacing w:beforeLines="100" w:line="360" w:lineRule="auto"/>
        <w:rPr>
          <w:rFonts w:ascii="宋体" w:hAnsi="宋体" w:cs="宋体"/>
          <w:color w:val="000000" w:themeColor="text1"/>
          <w:kern w:val="0"/>
          <w:sz w:val="24"/>
        </w:rPr>
      </w:pPr>
      <w:r>
        <w:rPr>
          <w:rFonts w:hint="eastAsia" w:ascii="宋体" w:hAnsi="宋体" w:cs="宋体"/>
          <w:color w:val="000000" w:themeColor="text1"/>
          <w:sz w:val="24"/>
        </w:rPr>
        <w:t>3.1、资格性审查。磋商小组将依据竞争性磋商文件对磋商供应商进行资格审查，以确定其是否具备相应资格。</w:t>
      </w:r>
      <w:r>
        <w:rPr>
          <w:rFonts w:hint="eastAsia" w:ascii="宋体" w:hAnsi="宋体" w:cs="宋体"/>
          <w:color w:val="000000" w:themeColor="text1"/>
          <w:kern w:val="0"/>
          <w:sz w:val="24"/>
        </w:rPr>
        <w:t>如果磋商供应商不具备资格、不满足竞争性磋商文件所规定的资格标准或提供资格证明文件不全,将被视为未实质性响应竞争性磋商文件。</w:t>
      </w:r>
    </w:p>
    <w:p>
      <w:pPr>
        <w:tabs>
          <w:tab w:val="left" w:pos="0"/>
        </w:tabs>
        <w:adjustRightInd w:val="0"/>
        <w:snapToGrid w:val="0"/>
        <w:spacing w:line="360" w:lineRule="auto"/>
        <w:rPr>
          <w:rFonts w:ascii="宋体" w:hAnsi="宋体" w:cs="宋体"/>
          <w:color w:val="000000" w:themeColor="text1"/>
          <w:sz w:val="24"/>
        </w:rPr>
      </w:pPr>
      <w:r>
        <w:rPr>
          <w:rFonts w:hint="eastAsia" w:ascii="宋体" w:hAnsi="宋体" w:cs="宋体"/>
          <w:color w:val="000000" w:themeColor="text1"/>
          <w:sz w:val="24"/>
        </w:rPr>
        <w:t>3.2、符合性审查。磋商小组从磋商响应文件的有效性、完整性和对竞争性磋商文件的响应程度进行符合性审查，以确定其是否对竞争性磋商文件实质性内容作出响应</w:t>
      </w:r>
      <w:r>
        <w:rPr>
          <w:rFonts w:hint="eastAsia" w:ascii="宋体" w:hAnsi="宋体" w:cs="宋体"/>
          <w:color w:val="000000" w:themeColor="text1"/>
          <w:kern w:val="0"/>
          <w:sz w:val="24"/>
        </w:rPr>
        <w:t>（采购人可根据具体项目的情况对实质性要求作特别的具体规定）</w:t>
      </w:r>
      <w:r>
        <w:rPr>
          <w:rFonts w:hint="eastAsia" w:ascii="宋体" w:hAnsi="宋体" w:cs="宋体"/>
          <w:color w:val="000000" w:themeColor="text1"/>
          <w:sz w:val="24"/>
        </w:rPr>
        <w:t>。</w:t>
      </w:r>
    </w:p>
    <w:p>
      <w:pPr>
        <w:tabs>
          <w:tab w:val="left" w:pos="1080"/>
          <w:tab w:val="left" w:pos="1155"/>
        </w:tabs>
        <w:spacing w:line="360" w:lineRule="auto"/>
        <w:rPr>
          <w:rFonts w:ascii="宋体" w:hAnsi="宋体" w:cs="宋体"/>
          <w:bCs/>
          <w:color w:val="000000" w:themeColor="text1"/>
          <w:sz w:val="24"/>
        </w:rPr>
      </w:pPr>
      <w:r>
        <w:rPr>
          <w:rFonts w:hint="eastAsia" w:ascii="宋体" w:hAnsi="宋体" w:cs="宋体"/>
          <w:color w:val="000000" w:themeColor="text1"/>
          <w:sz w:val="24"/>
        </w:rPr>
        <w:t>3.3、</w:t>
      </w:r>
      <w:r>
        <w:rPr>
          <w:rFonts w:hint="eastAsia" w:ascii="宋体" w:hAnsi="宋体" w:cs="宋体"/>
          <w:bCs/>
          <w:color w:val="000000" w:themeColor="text1"/>
          <w:sz w:val="24"/>
        </w:rPr>
        <w:t>在初步审查中，磋商文件属下列情形之一的，按无效处理：</w:t>
      </w:r>
    </w:p>
    <w:p>
      <w:pPr>
        <w:tabs>
          <w:tab w:val="left" w:pos="1080"/>
          <w:tab w:val="left" w:pos="1155"/>
        </w:tabs>
        <w:spacing w:line="360" w:lineRule="auto"/>
        <w:ind w:firstLine="240" w:firstLineChars="100"/>
        <w:rPr>
          <w:rFonts w:ascii="宋体" w:hAnsi="宋体" w:cs="宋体"/>
          <w:bCs/>
          <w:color w:val="000000" w:themeColor="text1"/>
          <w:sz w:val="24"/>
        </w:rPr>
      </w:pPr>
      <w:r>
        <w:rPr>
          <w:rFonts w:hint="eastAsia" w:ascii="宋体" w:hAnsi="宋体" w:cs="宋体"/>
          <w:bCs/>
          <w:color w:val="000000" w:themeColor="text1"/>
          <w:sz w:val="24"/>
        </w:rPr>
        <w:t>3.3.1未交、或未按规定交纳磋商保证金的；</w:t>
      </w:r>
    </w:p>
    <w:p>
      <w:pPr>
        <w:tabs>
          <w:tab w:val="left" w:pos="1080"/>
          <w:tab w:val="left" w:pos="1155"/>
        </w:tabs>
        <w:spacing w:line="360" w:lineRule="auto"/>
        <w:ind w:firstLine="240" w:firstLineChars="100"/>
        <w:rPr>
          <w:rFonts w:ascii="宋体" w:hAnsi="宋体" w:cs="宋体"/>
          <w:bCs/>
          <w:color w:val="000000" w:themeColor="text1"/>
          <w:sz w:val="24"/>
        </w:rPr>
      </w:pPr>
      <w:r>
        <w:rPr>
          <w:rFonts w:hint="eastAsia" w:ascii="宋体" w:hAnsi="宋体" w:cs="宋体"/>
          <w:bCs/>
          <w:color w:val="000000" w:themeColor="text1"/>
          <w:sz w:val="24"/>
        </w:rPr>
        <w:t>3.3.2未按磋商文件规定要求装订、签署、盖章、密封及标识的；</w:t>
      </w:r>
    </w:p>
    <w:p>
      <w:pPr>
        <w:tabs>
          <w:tab w:val="left" w:pos="1080"/>
          <w:tab w:val="left" w:pos="1155"/>
        </w:tabs>
        <w:spacing w:line="360" w:lineRule="auto"/>
        <w:ind w:firstLine="240" w:firstLineChars="100"/>
        <w:rPr>
          <w:rFonts w:ascii="宋体" w:hAnsi="宋体" w:cs="宋体"/>
          <w:bCs/>
          <w:color w:val="000000" w:themeColor="text1"/>
          <w:sz w:val="24"/>
        </w:rPr>
      </w:pPr>
      <w:r>
        <w:rPr>
          <w:rFonts w:hint="eastAsia" w:ascii="宋体" w:hAnsi="宋体" w:cs="宋体"/>
          <w:bCs/>
          <w:color w:val="000000" w:themeColor="text1"/>
          <w:sz w:val="24"/>
        </w:rPr>
        <w:t>3.3.3不符合资格证明文件要求的；</w:t>
      </w:r>
    </w:p>
    <w:p>
      <w:pPr>
        <w:tabs>
          <w:tab w:val="left" w:pos="1080"/>
          <w:tab w:val="left" w:pos="1155"/>
        </w:tabs>
        <w:spacing w:line="360" w:lineRule="auto"/>
        <w:ind w:firstLine="240" w:firstLineChars="100"/>
        <w:rPr>
          <w:rFonts w:ascii="宋体" w:hAnsi="宋体" w:cs="宋体"/>
          <w:bCs/>
          <w:color w:val="000000" w:themeColor="text1"/>
          <w:sz w:val="24"/>
        </w:rPr>
      </w:pPr>
      <w:r>
        <w:rPr>
          <w:rFonts w:hint="eastAsia" w:ascii="宋体" w:hAnsi="宋体" w:cs="宋体"/>
          <w:bCs/>
          <w:color w:val="000000" w:themeColor="text1"/>
          <w:sz w:val="24"/>
        </w:rPr>
        <w:t>3.3.4以他人名义响应磋商的；</w:t>
      </w:r>
    </w:p>
    <w:p>
      <w:pPr>
        <w:tabs>
          <w:tab w:val="left" w:pos="1080"/>
          <w:tab w:val="left" w:pos="1155"/>
        </w:tabs>
        <w:spacing w:line="360" w:lineRule="auto"/>
        <w:ind w:firstLine="240" w:firstLineChars="100"/>
        <w:rPr>
          <w:rFonts w:ascii="宋体" w:hAnsi="宋体" w:cs="宋体"/>
          <w:bCs/>
          <w:color w:val="000000" w:themeColor="text1"/>
          <w:sz w:val="24"/>
        </w:rPr>
      </w:pPr>
      <w:r>
        <w:rPr>
          <w:rFonts w:hint="eastAsia" w:ascii="宋体" w:hAnsi="宋体" w:cs="宋体"/>
          <w:bCs/>
          <w:color w:val="000000" w:themeColor="text1"/>
          <w:sz w:val="24"/>
        </w:rPr>
        <w:t>3.3.5磋商响应文件有效期不符合磋商文件要求的；</w:t>
      </w:r>
    </w:p>
    <w:p>
      <w:pPr>
        <w:tabs>
          <w:tab w:val="left" w:pos="1080"/>
          <w:tab w:val="left" w:pos="1155"/>
        </w:tabs>
        <w:spacing w:line="360" w:lineRule="auto"/>
        <w:ind w:firstLine="240" w:firstLineChars="100"/>
        <w:rPr>
          <w:rFonts w:ascii="宋体" w:hAnsi="宋体" w:cs="宋体"/>
          <w:bCs/>
          <w:color w:val="000000" w:themeColor="text1"/>
          <w:sz w:val="24"/>
        </w:rPr>
      </w:pPr>
      <w:r>
        <w:rPr>
          <w:rFonts w:hint="eastAsia" w:ascii="宋体" w:hAnsi="宋体" w:cs="宋体"/>
          <w:bCs/>
          <w:color w:val="000000" w:themeColor="text1"/>
          <w:sz w:val="24"/>
        </w:rPr>
        <w:t>3.3.6明显不符合技术规格、标准和商务要求的；</w:t>
      </w:r>
    </w:p>
    <w:p>
      <w:pPr>
        <w:tabs>
          <w:tab w:val="left" w:pos="1080"/>
          <w:tab w:val="left" w:pos="1155"/>
        </w:tabs>
        <w:spacing w:line="360" w:lineRule="auto"/>
        <w:ind w:firstLine="240" w:firstLineChars="100"/>
        <w:rPr>
          <w:rFonts w:ascii="宋体" w:hAnsi="宋体" w:cs="宋体"/>
          <w:bCs/>
          <w:color w:val="000000" w:themeColor="text1"/>
          <w:sz w:val="24"/>
        </w:rPr>
      </w:pPr>
      <w:r>
        <w:rPr>
          <w:rFonts w:hint="eastAsia" w:ascii="宋体" w:hAnsi="宋体" w:cs="宋体"/>
          <w:bCs/>
          <w:color w:val="000000" w:themeColor="text1"/>
          <w:sz w:val="24"/>
        </w:rPr>
        <w:t>3.3.7有重大缺漏项的；</w:t>
      </w:r>
    </w:p>
    <w:p>
      <w:pPr>
        <w:tabs>
          <w:tab w:val="left" w:pos="1080"/>
          <w:tab w:val="left" w:pos="1155"/>
        </w:tabs>
        <w:spacing w:line="360" w:lineRule="auto"/>
        <w:ind w:firstLine="240" w:firstLineChars="100"/>
        <w:rPr>
          <w:rFonts w:ascii="宋体" w:hAnsi="宋体" w:cs="宋体"/>
          <w:bCs/>
          <w:color w:val="000000" w:themeColor="text1"/>
          <w:sz w:val="24"/>
        </w:rPr>
      </w:pPr>
      <w:r>
        <w:rPr>
          <w:rFonts w:hint="eastAsia" w:ascii="宋体" w:hAnsi="宋体" w:cs="宋体"/>
          <w:bCs/>
          <w:color w:val="000000" w:themeColor="text1"/>
          <w:sz w:val="24"/>
        </w:rPr>
        <w:t>3.3.8响应文件被磋商小组判定为雷同的；</w:t>
      </w:r>
    </w:p>
    <w:p>
      <w:pPr>
        <w:tabs>
          <w:tab w:val="left" w:pos="1080"/>
          <w:tab w:val="left" w:pos="1155"/>
        </w:tabs>
        <w:spacing w:line="360" w:lineRule="auto"/>
        <w:ind w:firstLine="240" w:firstLineChars="100"/>
        <w:rPr>
          <w:rFonts w:ascii="宋体" w:hAnsi="宋体" w:cs="宋体"/>
          <w:bCs/>
          <w:color w:val="000000" w:themeColor="text1"/>
          <w:sz w:val="24"/>
        </w:rPr>
      </w:pPr>
      <w:r>
        <w:rPr>
          <w:rFonts w:hint="eastAsia" w:ascii="宋体" w:hAnsi="宋体" w:cs="宋体"/>
          <w:bCs/>
          <w:color w:val="000000" w:themeColor="text1"/>
          <w:sz w:val="24"/>
        </w:rPr>
        <w:t>3.3.9附有采购人、磋商组织机构不能接受的条款和商务要求的；</w:t>
      </w:r>
    </w:p>
    <w:p>
      <w:pPr>
        <w:tabs>
          <w:tab w:val="left" w:pos="1080"/>
          <w:tab w:val="left" w:pos="1155"/>
        </w:tabs>
        <w:spacing w:line="360" w:lineRule="auto"/>
        <w:ind w:firstLine="240" w:firstLineChars="100"/>
        <w:rPr>
          <w:rFonts w:ascii="宋体" w:hAnsi="宋体" w:cs="宋体"/>
          <w:bCs/>
          <w:color w:val="000000" w:themeColor="text1"/>
          <w:sz w:val="24"/>
        </w:rPr>
      </w:pPr>
      <w:r>
        <w:rPr>
          <w:rFonts w:hint="eastAsia" w:ascii="宋体" w:hAnsi="宋体" w:cs="宋体"/>
          <w:bCs/>
          <w:color w:val="000000" w:themeColor="text1"/>
          <w:sz w:val="24"/>
        </w:rPr>
        <w:t>3.3.10响应人响应报价明显低于社会公认成本价的；</w:t>
      </w:r>
    </w:p>
    <w:p>
      <w:pPr>
        <w:tabs>
          <w:tab w:val="left" w:pos="1080"/>
          <w:tab w:val="left" w:pos="1155"/>
        </w:tabs>
        <w:spacing w:line="360" w:lineRule="auto"/>
        <w:ind w:firstLine="235" w:firstLineChars="98"/>
        <w:rPr>
          <w:rFonts w:ascii="宋体" w:hAnsi="宋体" w:cs="宋体"/>
          <w:bCs/>
          <w:color w:val="000000" w:themeColor="text1"/>
          <w:sz w:val="24"/>
        </w:rPr>
      </w:pPr>
      <w:r>
        <w:rPr>
          <w:rFonts w:hint="eastAsia" w:ascii="宋体" w:hAnsi="宋体" w:cs="宋体"/>
          <w:bCs/>
          <w:color w:val="000000" w:themeColor="text1"/>
          <w:sz w:val="24"/>
        </w:rPr>
        <w:t>3.3.11不符合法律、法规和磋商文件中规定的其他实质性要求的。</w:t>
      </w:r>
    </w:p>
    <w:p>
      <w:pPr>
        <w:pStyle w:val="20"/>
        <w:spacing w:line="360" w:lineRule="auto"/>
        <w:ind w:firstLine="240"/>
        <w:rPr>
          <w:rFonts w:ascii="宋体" w:hAnsi="宋体" w:cs="宋体"/>
          <w:color w:val="000000" w:themeColor="text1"/>
          <w:sz w:val="24"/>
        </w:rPr>
      </w:pPr>
      <w:r>
        <w:rPr>
          <w:rFonts w:hint="eastAsia" w:ascii="宋体" w:hAnsi="宋体" w:cs="宋体"/>
          <w:color w:val="000000" w:themeColor="text1"/>
          <w:sz w:val="24"/>
        </w:rPr>
        <w:t>3.3.12提供虚假证明或材料，开具虚假业绩，除按无效文件处理外，还将报请政府采购监督管理部门对其进行相应处罚；</w:t>
      </w:r>
    </w:p>
    <w:p>
      <w:pPr>
        <w:pStyle w:val="20"/>
        <w:spacing w:line="360" w:lineRule="auto"/>
        <w:ind w:firstLine="240"/>
        <w:rPr>
          <w:rFonts w:ascii="宋体" w:hAnsi="宋体" w:cs="宋体"/>
          <w:color w:val="000000" w:themeColor="text1"/>
          <w:sz w:val="24"/>
        </w:rPr>
      </w:pPr>
      <w:r>
        <w:rPr>
          <w:rFonts w:hint="eastAsia" w:ascii="宋体" w:hAnsi="宋体" w:cs="宋体"/>
          <w:color w:val="000000" w:themeColor="text1"/>
          <w:sz w:val="24"/>
        </w:rPr>
        <w:t>3.4、磋商小组通过上述评审，确定入围磋商供应商名单，只有入围的磋商供应商才能进入后续评审环节。</w:t>
      </w:r>
    </w:p>
    <w:p>
      <w:pPr>
        <w:spacing w:beforeLines="50" w:afterLines="50" w:line="360" w:lineRule="auto"/>
        <w:rPr>
          <w:rFonts w:ascii="宋体" w:hAnsi="宋体" w:cs="宋体"/>
          <w:b/>
          <w:color w:val="000000" w:themeColor="text1"/>
          <w:sz w:val="24"/>
        </w:rPr>
      </w:pPr>
      <w:r>
        <w:rPr>
          <w:rFonts w:hint="eastAsia" w:ascii="宋体" w:hAnsi="宋体" w:cs="宋体"/>
          <w:b/>
          <w:color w:val="000000" w:themeColor="text1"/>
          <w:sz w:val="24"/>
        </w:rPr>
        <w:t>4、磋商响应文件的澄清</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4.1、磋商小组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pPr>
        <w:tabs>
          <w:tab w:val="left" w:pos="7665"/>
        </w:tabs>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4.1.7、磋商响应文件有上述情形的，磋商小组应当书面要求磋商供应商在规定的时间内予以澄清、说明或补正。磋商供应商有关澄清、说明或者更正不得超出磋商响应文件的范围或者改变磋商响应文件的实质性内容。磋商供应商必须按照磋商小组通知的内容和时间作出书面答复，有关澄清、说明或者更正应以书面形式提交，并由法定代表人或其被授权委托代理人签字；磋商供应商拒不按照要求或不在规定的时间内进行澄清、说明，磋商小组将根据其磋商响应文件按最大风险进行评审。磋商小组不接受磋商供应商主动提出的澄清、说明。</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4.2、有效的书面澄清材料，是磋商供应商磋商响应文件的补充材料，成为磋商供应商磋商响应文件的组成部分。</w:t>
      </w:r>
    </w:p>
    <w:p>
      <w:pPr>
        <w:tabs>
          <w:tab w:val="left" w:pos="7665"/>
        </w:tabs>
        <w:spacing w:line="360" w:lineRule="auto"/>
        <w:rPr>
          <w:rFonts w:ascii="宋体" w:hAnsi="宋体" w:cs="宋体"/>
          <w:color w:val="000000" w:themeColor="text1"/>
          <w:sz w:val="24"/>
        </w:rPr>
      </w:pPr>
      <w:r>
        <w:rPr>
          <w:rFonts w:hint="eastAsia" w:ascii="宋体" w:hAnsi="宋体" w:cs="宋体"/>
          <w:b/>
          <w:bCs/>
          <w:color w:val="000000" w:themeColor="text1"/>
          <w:sz w:val="24"/>
        </w:rPr>
        <w:t>5、磋商</w:t>
      </w:r>
    </w:p>
    <w:p>
      <w:pPr>
        <w:spacing w:line="360" w:lineRule="auto"/>
        <w:rPr>
          <w:rFonts w:ascii="宋体" w:hAnsi="宋体"/>
          <w:color w:val="000000" w:themeColor="text1"/>
          <w:sz w:val="24"/>
        </w:rPr>
      </w:pPr>
      <w:r>
        <w:rPr>
          <w:rFonts w:hint="eastAsia" w:ascii="宋体" w:hAnsi="宋体"/>
          <w:color w:val="000000" w:themeColor="text1"/>
          <w:sz w:val="24"/>
        </w:rPr>
        <w:t>5.1磋商方式：</w:t>
      </w:r>
    </w:p>
    <w:p>
      <w:pPr>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5.1.1对资格性检查和符合性检查合格的供应商，即入围供应商，进入本次磋商程序。</w:t>
      </w:r>
    </w:p>
    <w:p>
      <w:pPr>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5.1.2在磋商期间，供应商应派代表参加磋商。</w:t>
      </w:r>
    </w:p>
    <w:p>
      <w:pPr>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5.1.3磋商小组通过随机方式确定参加磋商供应商的磋商顺序，所有成员集中与单一供应商按照顺序分别进行磋商，并给予所有参加磋商的供应商平等的磋商机会。在磋商中，磋商的任何一方不得透露与磋商有关的其他供应商的技术资料、价格和其他信息。</w:t>
      </w:r>
    </w:p>
    <w:p>
      <w:pPr>
        <w:spacing w:line="360" w:lineRule="auto"/>
        <w:rPr>
          <w:color w:val="000000" w:themeColor="text1"/>
          <w:sz w:val="24"/>
        </w:rPr>
      </w:pPr>
      <w:r>
        <w:rPr>
          <w:rFonts w:hint="eastAsia" w:ascii="宋体" w:hAnsi="宋体" w:cs="宋体"/>
          <w:color w:val="000000" w:themeColor="text1"/>
          <w:kern w:val="0"/>
          <w:sz w:val="24"/>
        </w:rPr>
        <w:t>5.1.4技术磋商。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小组应当根据规定对供应商重新提交的响应文件进行符合性审查。供应商重新提交的响应文件未通过符合性审查的，不得进入商务磋商，也不得要求提交最后报价。</w:t>
      </w:r>
    </w:p>
    <w:p>
      <w:pPr>
        <w:spacing w:line="360" w:lineRule="auto"/>
        <w:rPr>
          <w:rFonts w:ascii="宋体" w:hAnsi="宋体" w:cs="宋体"/>
          <w:color w:val="000000" w:themeColor="text1"/>
          <w:kern w:val="0"/>
          <w:sz w:val="24"/>
        </w:rPr>
      </w:pPr>
      <w:r>
        <w:rPr>
          <w:rFonts w:hint="eastAsia" w:ascii="宋体" w:hAnsi="宋体"/>
          <w:color w:val="000000" w:themeColor="text1"/>
          <w:sz w:val="24"/>
        </w:rPr>
        <w:t>5.1.5商务磋商。技术磋商结束后，进行商务磋商</w:t>
      </w:r>
      <w:r>
        <w:rPr>
          <w:rFonts w:hint="eastAsia" w:ascii="宋体" w:hAnsi="宋体" w:cs="宋体"/>
          <w:color w:val="000000" w:themeColor="text1"/>
          <w:kern w:val="0"/>
          <w:sz w:val="24"/>
        </w:rPr>
        <w:t>。磋商文件能够详细列明采购标的的技术、服务要求的，磋商小组应当要求所有实质性响应的供应商在规定时间内提交最后报价，提交最后报价的供应商不得少于3家；磋商文件不能详细列明采购标的的技术、服务要求，需经磋商由供应商提供最终设计方案或解决方案的，磋商小组应当按照少数服从多数的原则投票推荐3家以上供应商的设计方案或者解决方案，并要求其在规定时间内提交最后报价。最后报价是供应商响应文件的有效组成部分。</w:t>
      </w:r>
    </w:p>
    <w:p>
      <w:pPr>
        <w:spacing w:line="360" w:lineRule="auto"/>
        <w:rPr>
          <w:color w:val="000000" w:themeColor="text1"/>
          <w:sz w:val="24"/>
        </w:rPr>
      </w:pPr>
      <w:r>
        <w:rPr>
          <w:rFonts w:hint="eastAsia" w:ascii="宋体" w:hAnsi="宋体"/>
          <w:color w:val="000000" w:themeColor="text1"/>
          <w:sz w:val="24"/>
        </w:rPr>
        <w:t>5.1.6</w:t>
      </w:r>
      <w:r>
        <w:rPr>
          <w:rFonts w:hint="eastAsia"/>
          <w:color w:val="000000" w:themeColor="text1"/>
          <w:sz w:val="24"/>
        </w:rPr>
        <w:t>已提交响应文件的供应商，在提交最后报价之前，可以根据磋商情况退出磋商，采购代理机构应当退还其磋商保证金。</w:t>
      </w:r>
    </w:p>
    <w:p>
      <w:pPr>
        <w:spacing w:line="360" w:lineRule="auto"/>
        <w:rPr>
          <w:rFonts w:ascii="宋体" w:hAnsi="宋体"/>
          <w:color w:val="000000" w:themeColor="text1"/>
          <w:sz w:val="24"/>
        </w:rPr>
      </w:pPr>
      <w:r>
        <w:rPr>
          <w:rFonts w:hint="eastAsia" w:ascii="宋体" w:hAnsi="宋体"/>
          <w:color w:val="000000" w:themeColor="text1"/>
          <w:sz w:val="24"/>
        </w:rPr>
        <w:t>5.2磋商步骤：</w:t>
      </w:r>
    </w:p>
    <w:p>
      <w:pPr>
        <w:spacing w:line="360" w:lineRule="auto"/>
        <w:rPr>
          <w:rFonts w:ascii="宋体" w:hAnsi="宋体"/>
          <w:color w:val="000000" w:themeColor="text1"/>
          <w:sz w:val="24"/>
        </w:rPr>
      </w:pPr>
      <w:r>
        <w:rPr>
          <w:rFonts w:hint="eastAsia" w:ascii="宋体" w:hAnsi="宋体"/>
          <w:color w:val="000000" w:themeColor="text1"/>
          <w:sz w:val="24"/>
        </w:rPr>
        <w:t>5.2.1第一轮磋商。对进入第一轮磋商的供应商再次进行评审、质疑和澄清。在此阶段，磋商小组依据参加磋商的供应商递交的响应文件进行技术和商务磋商，磋商小组可根据实际需要提出方案和技术参数要求，与单一供应商分别进行磋商，</w:t>
      </w:r>
      <w:r>
        <w:rPr>
          <w:rFonts w:hint="eastAsia"/>
          <w:color w:val="000000" w:themeColor="text1"/>
          <w:sz w:val="24"/>
        </w:rPr>
        <w:t>并给予所有参加磋商的供应商平等的磋商机会。要求</w:t>
      </w:r>
      <w:r>
        <w:rPr>
          <w:rFonts w:hint="eastAsia" w:ascii="宋体" w:hAnsi="宋体"/>
          <w:color w:val="000000" w:themeColor="text1"/>
          <w:sz w:val="24"/>
        </w:rPr>
        <w:t>参加磋商的供应商重新承诺技术参数和第二次商务总报价，以满足采购人的最大需求。</w:t>
      </w:r>
    </w:p>
    <w:p>
      <w:pPr>
        <w:spacing w:line="360" w:lineRule="auto"/>
        <w:rPr>
          <w:rFonts w:ascii="宋体" w:hAnsi="宋体"/>
          <w:color w:val="000000" w:themeColor="text1"/>
          <w:sz w:val="24"/>
        </w:rPr>
      </w:pPr>
      <w:r>
        <w:rPr>
          <w:rFonts w:hint="eastAsia" w:ascii="宋体" w:hAnsi="宋体"/>
          <w:color w:val="000000" w:themeColor="text1"/>
          <w:sz w:val="24"/>
        </w:rPr>
        <w:t>5.2.2第二轮磋商。对第一轮磋商结果不满意，磋商小组可以再次要求参加磋商的供应商进行第二轮磋商，磋商内容及要求与第一轮磋商相同。</w:t>
      </w:r>
    </w:p>
    <w:p>
      <w:pPr>
        <w:spacing w:line="360" w:lineRule="auto"/>
        <w:rPr>
          <w:rFonts w:ascii="宋体" w:hAnsi="宋体"/>
          <w:color w:val="000000" w:themeColor="text1"/>
          <w:sz w:val="24"/>
        </w:rPr>
      </w:pPr>
      <w:r>
        <w:rPr>
          <w:rFonts w:hint="eastAsia" w:ascii="宋体" w:hAnsi="宋体"/>
          <w:color w:val="000000" w:themeColor="text1"/>
          <w:sz w:val="24"/>
        </w:rPr>
        <w:t>5.2.3每轮磋商结束后，磋商小组对磋商情况进行讨论，综合考虑供应商提供的技术参数和性价比，有权对技术参数最差供应商或性价比最低的供应商进行淘汰，并将淘汰理由写入评审报告。</w:t>
      </w:r>
    </w:p>
    <w:p>
      <w:pPr>
        <w:spacing w:line="360" w:lineRule="auto"/>
        <w:rPr>
          <w:rFonts w:ascii="宋体" w:hAnsi="宋体"/>
          <w:color w:val="000000" w:themeColor="text1"/>
          <w:sz w:val="24"/>
        </w:rPr>
      </w:pPr>
      <w:r>
        <w:rPr>
          <w:rFonts w:hint="eastAsia" w:ascii="宋体" w:hAnsi="宋体"/>
          <w:color w:val="000000" w:themeColor="text1"/>
          <w:sz w:val="24"/>
        </w:rPr>
        <w:t>5.2.4磋商小组应在最后一轮磋商前告知所有符合磋商的供应商是否是最后一次磋商环节。</w:t>
      </w:r>
    </w:p>
    <w:p>
      <w:pPr>
        <w:spacing w:line="360" w:lineRule="auto"/>
        <w:rPr>
          <w:rFonts w:ascii="宋体" w:hAnsi="宋体"/>
          <w:color w:val="000000" w:themeColor="text1"/>
          <w:sz w:val="24"/>
        </w:rPr>
      </w:pPr>
      <w:r>
        <w:rPr>
          <w:rFonts w:hint="eastAsia" w:ascii="宋体" w:hAnsi="宋体"/>
          <w:color w:val="000000" w:themeColor="text1"/>
          <w:sz w:val="24"/>
        </w:rPr>
        <w:t>5.2.5最后一轮结束后，磋商小组将对进入最后一轮的供应商进行综合评分。</w:t>
      </w:r>
    </w:p>
    <w:p>
      <w:pPr>
        <w:spacing w:beforeLines="50" w:afterLines="50" w:line="360" w:lineRule="auto"/>
        <w:rPr>
          <w:rFonts w:ascii="宋体" w:hAnsi="宋体" w:cs="宋体"/>
          <w:b/>
          <w:color w:val="000000" w:themeColor="text1"/>
          <w:sz w:val="24"/>
        </w:rPr>
      </w:pPr>
      <w:r>
        <w:rPr>
          <w:rFonts w:hint="eastAsia" w:ascii="宋体" w:hAnsi="宋体" w:cs="宋体"/>
          <w:b/>
          <w:color w:val="000000" w:themeColor="text1"/>
          <w:sz w:val="24"/>
        </w:rPr>
        <w:t>6、磋商响应文件详细评审</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6.1</w:t>
      </w:r>
      <w:r>
        <w:rPr>
          <w:rFonts w:hint="eastAsia" w:ascii="宋体" w:hAnsi="宋体" w:cs="宋体"/>
          <w:color w:val="000000" w:themeColor="text1"/>
          <w:kern w:val="1"/>
          <w:sz w:val="24"/>
        </w:rPr>
        <w:t>比较与评价。磋商小组应当按照磋商文件中规定的评审方法和标准，只对资格审查和符合性审查合格的响应文件进行商务和技术评估，综合比较与评价，不合格的不再参与评审。</w:t>
      </w:r>
    </w:p>
    <w:p>
      <w:pPr>
        <w:spacing w:line="360" w:lineRule="auto"/>
        <w:ind w:firstLine="480" w:firstLineChars="200"/>
        <w:rPr>
          <w:rFonts w:ascii="宋体" w:hAnsi="宋体" w:cs="宋体"/>
          <w:color w:val="000000" w:themeColor="text1"/>
          <w:kern w:val="1"/>
          <w:sz w:val="24"/>
        </w:rPr>
      </w:pPr>
      <w:r>
        <w:rPr>
          <w:rFonts w:hint="eastAsia" w:ascii="宋体" w:hAnsi="宋体" w:cs="宋体"/>
          <w:color w:val="000000" w:themeColor="text1"/>
          <w:kern w:val="1"/>
          <w:sz w:val="24"/>
        </w:rPr>
        <w:t>6.2、评审因素的设定与供应商所提供货物服务的质量相关，包括投标报价、技术或者服务水平、履约能力、售后服务等。资格条件不作为评审因素。综合评分法评审标准中的分值设置与评审因素的量化指标相对应。竞争性磋商文件中没有规定的评审标准不得作为评审依据。</w:t>
      </w:r>
    </w:p>
    <w:p>
      <w:pPr>
        <w:spacing w:line="360" w:lineRule="auto"/>
        <w:ind w:firstLine="480" w:firstLineChars="200"/>
        <w:rPr>
          <w:rFonts w:ascii="宋体" w:hAnsi="宋体" w:cs="宋体"/>
          <w:color w:val="000000" w:themeColor="text1"/>
          <w:kern w:val="1"/>
          <w:sz w:val="24"/>
        </w:rPr>
      </w:pPr>
      <w:r>
        <w:rPr>
          <w:rFonts w:hint="eastAsia" w:ascii="宋体" w:hAnsi="宋体" w:cs="宋体"/>
          <w:color w:val="000000" w:themeColor="text1"/>
          <w:kern w:val="1"/>
          <w:sz w:val="24"/>
        </w:rPr>
        <w:t>6.3、由磋商小组成员独立地根据各项因素的评分标准，结合各磋商供应商的实际情况，分别就报价以外的各项评审因素对各磋商供应商独立评审赋分。</w:t>
      </w:r>
    </w:p>
    <w:p>
      <w:pPr>
        <w:spacing w:line="360" w:lineRule="auto"/>
        <w:ind w:firstLine="480" w:firstLineChars="200"/>
        <w:rPr>
          <w:rFonts w:ascii="宋体" w:hAnsi="宋体" w:cs="宋体"/>
          <w:color w:val="000000" w:themeColor="text1"/>
          <w:kern w:val="1"/>
          <w:sz w:val="24"/>
        </w:rPr>
      </w:pPr>
      <w:r>
        <w:rPr>
          <w:rFonts w:hint="eastAsia" w:ascii="宋体" w:hAnsi="宋体" w:cs="宋体"/>
          <w:color w:val="000000" w:themeColor="text1"/>
          <w:kern w:val="1"/>
          <w:sz w:val="24"/>
        </w:rPr>
        <w:t>6.4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spacing w:line="360" w:lineRule="auto"/>
        <w:ind w:firstLine="480" w:firstLineChars="200"/>
        <w:rPr>
          <w:rFonts w:ascii="宋体" w:hAnsi="宋体" w:cs="宋体"/>
          <w:color w:val="000000" w:themeColor="text1"/>
          <w:kern w:val="1"/>
          <w:sz w:val="24"/>
        </w:rPr>
      </w:pPr>
      <w:r>
        <w:rPr>
          <w:rFonts w:hint="eastAsia" w:ascii="宋体" w:hAnsi="宋体" w:cs="宋体"/>
          <w:color w:val="000000" w:themeColor="text1"/>
          <w:kern w:val="1"/>
          <w:sz w:val="24"/>
        </w:rPr>
        <w:t>6.5、磋商小组成员对需要共同认定的事项存在争议的，应当按照少数服从多数的原则作出结论。持不同意见的磋商小组成员应当在评审报告上签署不同意见及理由，否则视为同意评审报告。</w:t>
      </w:r>
    </w:p>
    <w:p>
      <w:pPr>
        <w:spacing w:beforeLines="50" w:afterLines="50" w:line="360" w:lineRule="auto"/>
        <w:rPr>
          <w:rFonts w:ascii="宋体" w:hAnsi="宋体" w:cs="宋体"/>
          <w:b/>
          <w:color w:val="000000" w:themeColor="text1"/>
          <w:sz w:val="32"/>
          <w:szCs w:val="32"/>
        </w:rPr>
      </w:pPr>
      <w:r>
        <w:rPr>
          <w:rFonts w:hint="eastAsia" w:ascii="宋体" w:hAnsi="宋体" w:cs="宋体"/>
          <w:b/>
          <w:color w:val="000000" w:themeColor="text1"/>
          <w:sz w:val="32"/>
          <w:szCs w:val="32"/>
        </w:rPr>
        <w:t>三、评审细则及标准</w:t>
      </w:r>
    </w:p>
    <w:p>
      <w:pPr>
        <w:spacing w:line="360" w:lineRule="auto"/>
        <w:rPr>
          <w:rFonts w:ascii="宋体" w:hAnsi="宋体" w:cs="宋体"/>
          <w:b/>
          <w:color w:val="000000" w:themeColor="text1"/>
          <w:kern w:val="1"/>
          <w:sz w:val="24"/>
        </w:rPr>
      </w:pPr>
      <w:r>
        <w:rPr>
          <w:rFonts w:hint="eastAsia" w:ascii="宋体" w:hAnsi="宋体" w:cs="宋体"/>
          <w:b/>
          <w:color w:val="000000" w:themeColor="text1"/>
          <w:kern w:val="1"/>
          <w:sz w:val="24"/>
        </w:rPr>
        <w:t>7、综合评分法</w:t>
      </w:r>
    </w:p>
    <w:p>
      <w:pPr>
        <w:spacing w:line="360" w:lineRule="auto"/>
        <w:ind w:firstLine="480" w:firstLineChars="200"/>
        <w:rPr>
          <w:rFonts w:ascii="宋体" w:hAnsi="宋体" w:cs="宋体"/>
          <w:color w:val="000000" w:themeColor="text1"/>
          <w:kern w:val="1"/>
          <w:sz w:val="24"/>
        </w:rPr>
      </w:pPr>
      <w:r>
        <w:rPr>
          <w:rFonts w:hint="eastAsia" w:ascii="宋体" w:hAnsi="宋体" w:cs="宋体"/>
          <w:color w:val="000000" w:themeColor="text1"/>
          <w:kern w:val="1"/>
          <w:sz w:val="24"/>
        </w:rPr>
        <w:t>7.1、本采购项目评审方法采用综合评分法。即磋商响应文件能够最大限度的满足竞争性磋商文件规定的各项综合评分标准，且经评审得分最高的磋商供应商为中标候选人。</w:t>
      </w:r>
    </w:p>
    <w:p>
      <w:pPr>
        <w:spacing w:line="360" w:lineRule="auto"/>
        <w:ind w:firstLine="480" w:firstLineChars="200"/>
        <w:rPr>
          <w:rFonts w:ascii="宋体" w:hAnsi="宋体" w:cs="宋体"/>
          <w:color w:val="000000" w:themeColor="text1"/>
          <w:kern w:val="1"/>
          <w:sz w:val="24"/>
        </w:rPr>
      </w:pPr>
      <w:r>
        <w:rPr>
          <w:rFonts w:hint="eastAsia" w:ascii="宋体" w:hAnsi="宋体" w:cs="宋体"/>
          <w:color w:val="000000" w:themeColor="text1"/>
          <w:kern w:val="1"/>
          <w:sz w:val="24"/>
        </w:rPr>
        <w:t>7.2、综合评分法评审标准中的分值设置应当与评审因素的量化指标相对应。竞争性磋商文件中没有规定的评审标准不得作为评审依据。</w:t>
      </w:r>
    </w:p>
    <w:p>
      <w:pPr>
        <w:widowControl/>
        <w:autoSpaceDE w:val="0"/>
        <w:autoSpaceDN w:val="0"/>
        <w:spacing w:beforeLines="50" w:afterLines="50" w:line="360" w:lineRule="auto"/>
        <w:ind w:right="51"/>
        <w:textAlignment w:val="bottom"/>
        <w:rPr>
          <w:rFonts w:ascii="宋体" w:hAnsi="宋体" w:cs="宋体"/>
          <w:b/>
          <w:color w:val="000000" w:themeColor="text1"/>
          <w:sz w:val="24"/>
        </w:rPr>
      </w:pPr>
      <w:r>
        <w:rPr>
          <w:rFonts w:hint="eastAsia" w:ascii="宋体" w:hAnsi="宋体" w:cs="宋体"/>
          <w:b/>
          <w:color w:val="000000" w:themeColor="text1"/>
          <w:sz w:val="24"/>
        </w:rPr>
        <w:t>8.评审细则及标准</w:t>
      </w:r>
    </w:p>
    <w:p>
      <w:pPr>
        <w:spacing w:line="360" w:lineRule="auto"/>
        <w:ind w:firstLine="480" w:firstLineChars="200"/>
        <w:rPr>
          <w:rFonts w:ascii="宋体" w:hAnsi="宋体" w:cs="宋体"/>
          <w:color w:val="000000" w:themeColor="text1"/>
          <w:kern w:val="1"/>
          <w:sz w:val="24"/>
        </w:rPr>
      </w:pPr>
      <w:r>
        <w:rPr>
          <w:rFonts w:hint="eastAsia" w:ascii="宋体" w:hAnsi="宋体" w:cs="宋体"/>
          <w:color w:val="000000" w:themeColor="text1"/>
          <w:kern w:val="1"/>
          <w:sz w:val="24"/>
        </w:rPr>
        <w:t>8.1、磋商小组将综合分析磋商供应商的各项评审因素，而不以单项评审因素的优劣评选出成交供应商。对所有磋商供应商的响应评估，都采用相同的程序和标准，严格按照竞争性磋商文件的要求和条件进行。</w:t>
      </w:r>
    </w:p>
    <w:p>
      <w:pPr>
        <w:spacing w:line="360" w:lineRule="auto"/>
        <w:ind w:firstLine="480" w:firstLineChars="200"/>
        <w:rPr>
          <w:rFonts w:ascii="宋体" w:hAnsi="宋体" w:cs="宋体"/>
          <w:color w:val="000000" w:themeColor="text1"/>
          <w:kern w:val="1"/>
          <w:sz w:val="24"/>
        </w:rPr>
      </w:pPr>
      <w:r>
        <w:rPr>
          <w:rFonts w:hint="eastAsia" w:ascii="宋体" w:hAnsi="宋体" w:cs="宋体"/>
          <w:color w:val="000000" w:themeColor="text1"/>
          <w:kern w:val="1"/>
          <w:sz w:val="24"/>
        </w:rPr>
        <w:t>8.2、评审因素包括：报价、技术、商务及对竞争性磋商文件的响应程度。</w:t>
      </w:r>
    </w:p>
    <w:p>
      <w:pPr>
        <w:spacing w:line="360" w:lineRule="auto"/>
        <w:ind w:firstLine="480" w:firstLineChars="200"/>
        <w:rPr>
          <w:rFonts w:ascii="宋体" w:hAnsi="宋体" w:cs="宋体"/>
          <w:color w:val="000000" w:themeColor="text1"/>
          <w:kern w:val="1"/>
          <w:sz w:val="24"/>
        </w:rPr>
      </w:pPr>
      <w:r>
        <w:rPr>
          <w:rFonts w:hint="eastAsia" w:ascii="宋体" w:hAnsi="宋体" w:cs="宋体"/>
          <w:color w:val="000000" w:themeColor="text1"/>
          <w:kern w:val="1"/>
          <w:sz w:val="24"/>
        </w:rPr>
        <w:t>8.3、全部符合政策优惠条件的（即小微企业自身生产或中小企业代理的小微企业生产的产品），报价按下列公示计算：磋商报价=报价×（1-6%）</w:t>
      </w:r>
    </w:p>
    <w:p>
      <w:pPr>
        <w:spacing w:line="360" w:lineRule="auto"/>
        <w:ind w:firstLine="480" w:firstLineChars="200"/>
        <w:rPr>
          <w:rFonts w:ascii="宋体" w:hAnsi="宋体" w:cs="宋体"/>
          <w:color w:val="000000" w:themeColor="text1"/>
          <w:kern w:val="1"/>
          <w:sz w:val="24"/>
        </w:rPr>
      </w:pPr>
      <w:r>
        <w:rPr>
          <w:rFonts w:hint="eastAsia" w:ascii="宋体" w:hAnsi="宋体" w:cs="宋体"/>
          <w:color w:val="000000" w:themeColor="text1"/>
          <w:kern w:val="1"/>
          <w:sz w:val="24"/>
        </w:rPr>
        <w:t>8.4、小型和微型企业磋商报价折扣幅度标准：</w:t>
      </w:r>
    </w:p>
    <w:p>
      <w:pPr>
        <w:spacing w:line="360" w:lineRule="auto"/>
        <w:ind w:firstLine="480" w:firstLineChars="200"/>
        <w:rPr>
          <w:rFonts w:ascii="宋体" w:hAnsi="宋体" w:cs="宋体"/>
          <w:color w:val="000000" w:themeColor="text1"/>
          <w:kern w:val="1"/>
          <w:sz w:val="24"/>
        </w:rPr>
      </w:pPr>
      <w:r>
        <w:rPr>
          <w:rFonts w:hint="eastAsia" w:ascii="宋体" w:hAnsi="宋体" w:cs="宋体"/>
          <w:color w:val="000000" w:themeColor="text1"/>
          <w:kern w:val="1"/>
          <w:sz w:val="24"/>
        </w:rPr>
        <w:t>8.4.1、对小型、微型企业提供产品的磋商报价给予6%折扣。</w:t>
      </w:r>
    </w:p>
    <w:p>
      <w:pPr>
        <w:tabs>
          <w:tab w:val="left" w:pos="1575"/>
        </w:tabs>
        <w:spacing w:line="440" w:lineRule="exact"/>
        <w:ind w:firstLine="480" w:firstLineChars="200"/>
        <w:rPr>
          <w:rFonts w:ascii="宋体" w:hAnsi="宋体" w:cs="宋体"/>
          <w:color w:val="000000" w:themeColor="text1"/>
          <w:kern w:val="1"/>
          <w:sz w:val="24"/>
        </w:rPr>
      </w:pPr>
      <w:r>
        <w:rPr>
          <w:rFonts w:hint="eastAsia" w:ascii="宋体" w:hAnsi="宋体" w:cs="宋体"/>
          <w:color w:val="000000" w:themeColor="text1"/>
          <w:kern w:val="1"/>
          <w:sz w:val="24"/>
        </w:rPr>
        <w:t>8.4.2、小、微企业提供本企业生产的产品或中小型企业（代理商）代理的小、微企业生产的产品享受磋商报价折扣条件；中小型企业（代理商）代理的中型及以上企业生产的产品不享受磋商报价折扣条件。</w:t>
      </w:r>
      <w:bookmarkStart w:id="118" w:name="_GoBack"/>
      <w:bookmarkEnd w:id="118"/>
    </w:p>
    <w:p>
      <w:pPr>
        <w:tabs>
          <w:tab w:val="left" w:pos="1575"/>
        </w:tabs>
        <w:spacing w:line="360" w:lineRule="auto"/>
        <w:rPr>
          <w:rFonts w:ascii="宋体" w:hAnsi="宋体" w:cs="宋体"/>
          <w:b/>
          <w:bCs/>
          <w:color w:val="000000" w:themeColor="text1"/>
          <w:kern w:val="1"/>
          <w:sz w:val="24"/>
        </w:rPr>
      </w:pPr>
      <w:r>
        <w:rPr>
          <w:rFonts w:hint="eastAsia" w:ascii="宋体" w:hAnsi="宋体" w:cs="宋体"/>
          <w:b/>
          <w:bCs/>
          <w:color w:val="000000" w:themeColor="text1"/>
          <w:kern w:val="1"/>
          <w:sz w:val="24"/>
        </w:rPr>
        <w:t>9、评审要素一览表如下：</w:t>
      </w:r>
    </w:p>
    <w:p>
      <w:pPr>
        <w:pStyle w:val="2"/>
        <w:rPr>
          <w:rFonts w:ascii="宋体" w:hAnsi="宋体" w:cs="宋体"/>
          <w:b/>
          <w:bCs/>
          <w:color w:val="000000" w:themeColor="text1"/>
          <w:kern w:val="1"/>
          <w:sz w:val="24"/>
        </w:rPr>
      </w:pPr>
    </w:p>
    <w:tbl>
      <w:tblPr>
        <w:tblStyle w:val="22"/>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716"/>
        <w:gridCol w:w="890"/>
        <w:gridCol w:w="6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jc w:val="center"/>
        </w:trPr>
        <w:tc>
          <w:tcPr>
            <w:tcW w:w="3514" w:type="dxa"/>
            <w:gridSpan w:val="3"/>
            <w:vAlign w:val="center"/>
          </w:tcPr>
          <w:p>
            <w:pPr>
              <w:pStyle w:val="54"/>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项别及总分值</w:t>
            </w:r>
          </w:p>
          <w:p>
            <w:pPr>
              <w:pStyle w:val="54"/>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（100分）</w:t>
            </w:r>
          </w:p>
        </w:tc>
        <w:tc>
          <w:tcPr>
            <w:tcW w:w="6196" w:type="dxa"/>
            <w:vAlign w:val="center"/>
          </w:tcPr>
          <w:p>
            <w:pPr>
              <w:pStyle w:val="54"/>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评标要素一览表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3" w:hRule="exact"/>
          <w:jc w:val="center"/>
        </w:trPr>
        <w:tc>
          <w:tcPr>
            <w:tcW w:w="2624" w:type="dxa"/>
            <w:gridSpan w:val="2"/>
            <w:tcBorders>
              <w:left w:val="single" w:color="auto" w:sz="4" w:space="0"/>
              <w:bottom w:val="single" w:color="auto" w:sz="4" w:space="0"/>
            </w:tcBorders>
            <w:vAlign w:val="center"/>
          </w:tcPr>
          <w:p>
            <w:pPr>
              <w:pStyle w:val="54"/>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报价得分</w:t>
            </w:r>
          </w:p>
        </w:tc>
        <w:tc>
          <w:tcPr>
            <w:tcW w:w="890" w:type="dxa"/>
            <w:tcBorders>
              <w:bottom w:val="single" w:color="auto" w:sz="4" w:space="0"/>
            </w:tcBorders>
            <w:vAlign w:val="center"/>
          </w:tcPr>
          <w:p>
            <w:pPr>
              <w:pStyle w:val="54"/>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10分</w:t>
            </w:r>
          </w:p>
        </w:tc>
        <w:tc>
          <w:tcPr>
            <w:tcW w:w="6196" w:type="dxa"/>
            <w:tcBorders>
              <w:bottom w:val="single" w:color="auto" w:sz="4" w:space="0"/>
            </w:tcBorders>
            <w:vAlign w:val="center"/>
          </w:tcPr>
          <w:p>
            <w:pP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1、上限为采购最高限价，即报价大于上限价视为无效标；</w:t>
            </w:r>
          </w:p>
          <w:p>
            <w:pP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2、以满足本次竞争性磋商文件要求的最低报价为评审基准价，其价格为满分；</w:t>
            </w:r>
          </w:p>
          <w:p>
            <w:pP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3、不享有政策优惠条件的磋商供应商报价得分=（评审基准价/报价）×10</w:t>
            </w:r>
          </w:p>
          <w:p>
            <w:pP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4、全部符合政策优惠条件的磋商供应商报价得分=[评审基准价/报价*(1-6%)]×10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jc w:val="center"/>
        </w:trPr>
        <w:tc>
          <w:tcPr>
            <w:tcW w:w="908" w:type="dxa"/>
            <w:vMerge w:val="restart"/>
            <w:tcBorders>
              <w:top w:val="single" w:color="auto" w:sz="4" w:space="0"/>
              <w:left w:val="single" w:color="auto" w:sz="4" w:space="0"/>
            </w:tcBorders>
            <w:vAlign w:val="center"/>
          </w:tcPr>
          <w:p>
            <w:pPr>
              <w:pStyle w:val="54"/>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技术标</w:t>
            </w:r>
          </w:p>
          <w:p>
            <w:pPr>
              <w:pStyle w:val="54"/>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Cs w:val="24"/>
              </w:rPr>
              <w:t>（70分）</w:t>
            </w:r>
          </w:p>
        </w:tc>
        <w:tc>
          <w:tcPr>
            <w:tcW w:w="1716" w:type="dxa"/>
            <w:tcBorders>
              <w:top w:val="single" w:color="auto" w:sz="4" w:space="0"/>
              <w:bottom w:val="single" w:color="auto" w:sz="4" w:space="0"/>
            </w:tcBorders>
            <w:vAlign w:val="center"/>
          </w:tcPr>
          <w:p>
            <w:pPr>
              <w:pStyle w:val="54"/>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响应说明</w:t>
            </w:r>
          </w:p>
        </w:tc>
        <w:tc>
          <w:tcPr>
            <w:tcW w:w="890" w:type="dxa"/>
            <w:tcBorders>
              <w:top w:val="single" w:color="auto" w:sz="4" w:space="0"/>
              <w:bottom w:val="single" w:color="auto" w:sz="4" w:space="0"/>
              <w:right w:val="single" w:color="auto" w:sz="4" w:space="0"/>
            </w:tcBorders>
            <w:vAlign w:val="center"/>
          </w:tcPr>
          <w:p>
            <w:pPr>
              <w:pStyle w:val="54"/>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15分</w:t>
            </w:r>
          </w:p>
        </w:tc>
        <w:tc>
          <w:tcPr>
            <w:tcW w:w="6196" w:type="dxa"/>
            <w:tcBorders>
              <w:top w:val="single" w:color="auto" w:sz="4" w:space="0"/>
              <w:bottom w:val="single" w:color="auto" w:sz="4" w:space="0"/>
              <w:right w:val="single" w:color="auto" w:sz="4" w:space="0"/>
            </w:tcBorders>
            <w:vAlign w:val="center"/>
          </w:tcPr>
          <w:p>
            <w:pPr>
              <w:pStyle w:val="5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供应商响应文件中对完成时间、服务质量、合同主要条款等要求全面响应并提供响应说明，由评委按各投标文件优劣评分0-15分。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exact"/>
          <w:jc w:val="center"/>
        </w:trPr>
        <w:tc>
          <w:tcPr>
            <w:tcW w:w="908" w:type="dxa"/>
            <w:vMerge w:val="continue"/>
            <w:tcBorders>
              <w:left w:val="single" w:color="auto" w:sz="4" w:space="0"/>
            </w:tcBorders>
            <w:vAlign w:val="center"/>
          </w:tcPr>
          <w:p>
            <w:pPr>
              <w:pStyle w:val="54"/>
              <w:jc w:val="center"/>
              <w:rPr>
                <w:rFonts w:asciiTheme="minorEastAsia" w:hAnsiTheme="minorEastAsia" w:eastAsiaTheme="minorEastAsia"/>
                <w:color w:val="000000" w:themeColor="text1"/>
                <w:sz w:val="24"/>
                <w:szCs w:val="24"/>
              </w:rPr>
            </w:pPr>
          </w:p>
        </w:tc>
        <w:tc>
          <w:tcPr>
            <w:tcW w:w="1716" w:type="dxa"/>
            <w:tcBorders>
              <w:top w:val="single" w:color="auto" w:sz="4" w:space="0"/>
              <w:bottom w:val="single" w:color="auto" w:sz="4" w:space="0"/>
            </w:tcBorders>
            <w:vAlign w:val="center"/>
          </w:tcPr>
          <w:p>
            <w:pPr>
              <w:pStyle w:val="54"/>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实施方案</w:t>
            </w:r>
          </w:p>
        </w:tc>
        <w:tc>
          <w:tcPr>
            <w:tcW w:w="890" w:type="dxa"/>
            <w:tcBorders>
              <w:top w:val="single" w:color="auto" w:sz="4" w:space="0"/>
              <w:bottom w:val="single" w:color="auto" w:sz="4" w:space="0"/>
              <w:right w:val="single" w:color="auto" w:sz="4" w:space="0"/>
            </w:tcBorders>
            <w:vAlign w:val="center"/>
          </w:tcPr>
          <w:p>
            <w:pPr>
              <w:pStyle w:val="54"/>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15分</w:t>
            </w:r>
          </w:p>
        </w:tc>
        <w:tc>
          <w:tcPr>
            <w:tcW w:w="6196" w:type="dxa"/>
            <w:tcBorders>
              <w:top w:val="single" w:color="auto" w:sz="4" w:space="0"/>
              <w:bottom w:val="single" w:color="auto" w:sz="4" w:space="0"/>
              <w:right w:val="single" w:color="auto" w:sz="4" w:space="0"/>
            </w:tcBorders>
            <w:vAlign w:val="center"/>
          </w:tcPr>
          <w:p>
            <w:pPr>
              <w:pStyle w:val="5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供应商了解采购项目要求，制定切实可行的实施方案，并满足国家规范条款等要求全面响应并提供响应说明，由评委按各投标文件优劣评分0-15分。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7" w:hRule="exact"/>
          <w:jc w:val="center"/>
        </w:trPr>
        <w:tc>
          <w:tcPr>
            <w:tcW w:w="908" w:type="dxa"/>
            <w:vMerge w:val="continue"/>
            <w:tcBorders>
              <w:left w:val="single" w:color="auto" w:sz="4" w:space="0"/>
            </w:tcBorders>
            <w:vAlign w:val="center"/>
          </w:tcPr>
          <w:p>
            <w:pPr>
              <w:pStyle w:val="54"/>
              <w:rPr>
                <w:rFonts w:asciiTheme="minorEastAsia" w:hAnsiTheme="minorEastAsia" w:eastAsiaTheme="minorEastAsia"/>
                <w:color w:val="000000" w:themeColor="text1"/>
                <w:sz w:val="24"/>
                <w:szCs w:val="24"/>
              </w:rPr>
            </w:pPr>
          </w:p>
        </w:tc>
        <w:tc>
          <w:tcPr>
            <w:tcW w:w="1716" w:type="dxa"/>
            <w:tcBorders>
              <w:top w:val="single" w:color="auto" w:sz="4" w:space="0"/>
              <w:bottom w:val="single" w:color="auto" w:sz="4" w:space="0"/>
            </w:tcBorders>
            <w:vAlign w:val="center"/>
          </w:tcPr>
          <w:p>
            <w:pPr>
              <w:pStyle w:val="5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人员管理</w:t>
            </w:r>
          </w:p>
        </w:tc>
        <w:tc>
          <w:tcPr>
            <w:tcW w:w="890" w:type="dxa"/>
            <w:tcBorders>
              <w:top w:val="single" w:color="auto" w:sz="4" w:space="0"/>
              <w:bottom w:val="single" w:color="auto" w:sz="4" w:space="0"/>
              <w:right w:val="single" w:color="auto" w:sz="4" w:space="0"/>
            </w:tcBorders>
            <w:vAlign w:val="center"/>
          </w:tcPr>
          <w:p>
            <w:pPr>
              <w:pStyle w:val="5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15分</w:t>
            </w:r>
          </w:p>
        </w:tc>
        <w:tc>
          <w:tcPr>
            <w:tcW w:w="6196" w:type="dxa"/>
            <w:tcBorders>
              <w:top w:val="single" w:color="auto" w:sz="4" w:space="0"/>
              <w:bottom w:val="single" w:color="auto" w:sz="4" w:space="0"/>
              <w:right w:val="single" w:color="auto" w:sz="4" w:space="0"/>
            </w:tcBorders>
            <w:vAlign w:val="center"/>
          </w:tcPr>
          <w:p>
            <w:pPr>
              <w:pStyle w:val="5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供应商提供完成一个项目的专业人员配置清单，根据本项目情况，派驻本工程现场的专业技术人员专业及数量搭配是否合理，由评委按各投标文件优劣评分0-15分。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exact"/>
          <w:jc w:val="center"/>
        </w:trPr>
        <w:tc>
          <w:tcPr>
            <w:tcW w:w="908" w:type="dxa"/>
            <w:vMerge w:val="continue"/>
            <w:tcBorders>
              <w:left w:val="single" w:color="auto" w:sz="4" w:space="0"/>
            </w:tcBorders>
            <w:vAlign w:val="center"/>
          </w:tcPr>
          <w:p>
            <w:pPr>
              <w:pStyle w:val="54"/>
              <w:rPr>
                <w:rFonts w:asciiTheme="minorEastAsia" w:hAnsiTheme="minorEastAsia" w:eastAsiaTheme="minorEastAsia"/>
                <w:color w:val="000000" w:themeColor="text1"/>
                <w:sz w:val="24"/>
                <w:szCs w:val="24"/>
              </w:rPr>
            </w:pPr>
          </w:p>
        </w:tc>
        <w:tc>
          <w:tcPr>
            <w:tcW w:w="1716" w:type="dxa"/>
            <w:tcBorders>
              <w:top w:val="single" w:color="auto" w:sz="4" w:space="0"/>
              <w:bottom w:val="single" w:color="auto" w:sz="4" w:space="0"/>
            </w:tcBorders>
            <w:vAlign w:val="center"/>
          </w:tcPr>
          <w:p>
            <w:pPr>
              <w:adjustRightInd w:val="0"/>
              <w:snapToGrid w:val="0"/>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拟投入的机械设备仪器</w:t>
            </w:r>
          </w:p>
        </w:tc>
        <w:tc>
          <w:tcPr>
            <w:tcW w:w="890"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10分</w:t>
            </w:r>
          </w:p>
        </w:tc>
        <w:tc>
          <w:tcPr>
            <w:tcW w:w="6196" w:type="dxa"/>
            <w:tcBorders>
              <w:top w:val="single" w:color="auto" w:sz="4" w:space="0"/>
              <w:bottom w:val="single" w:color="auto" w:sz="4" w:space="0"/>
              <w:right w:val="single" w:color="auto" w:sz="4" w:space="0"/>
            </w:tcBorders>
            <w:vAlign w:val="center"/>
          </w:tcPr>
          <w:p>
            <w:pPr>
              <w:adjustRightInd w:val="0"/>
              <w:snapToGrid w:val="0"/>
              <w:spacing w:line="360" w:lineRule="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拟投入的机械设备仪器配置合理、状况良好，依据其配置情况，由评标委员会自主赋分0～10分。</w:t>
            </w:r>
          </w:p>
          <w:p>
            <w:pPr>
              <w:adjustRightInd w:val="0"/>
              <w:snapToGrid w:val="0"/>
              <w:spacing w:line="360" w:lineRule="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提供具有履行合同所必需的设备和专业技术能力的证明资料，</w:t>
            </w:r>
            <w:r>
              <w:rPr>
                <w:rFonts w:asciiTheme="minorEastAsia" w:hAnsiTheme="minorEastAsia" w:eastAsiaTheme="minorEastAsia"/>
                <w:color w:val="000000" w:themeColor="text1"/>
                <w:sz w:val="24"/>
              </w:rPr>
              <w:t>未提供者此项不得分</w:t>
            </w:r>
            <w:r>
              <w:rPr>
                <w:rFonts w:hint="eastAsia" w:asciiTheme="minorEastAsia" w:hAnsiTheme="minorEastAsia" w:eastAsiaTheme="minorEastAsia"/>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exact"/>
          <w:jc w:val="center"/>
        </w:trPr>
        <w:tc>
          <w:tcPr>
            <w:tcW w:w="908" w:type="dxa"/>
            <w:vMerge w:val="continue"/>
            <w:tcBorders>
              <w:left w:val="single" w:color="auto" w:sz="4" w:space="0"/>
            </w:tcBorders>
            <w:vAlign w:val="center"/>
          </w:tcPr>
          <w:p>
            <w:pPr>
              <w:pStyle w:val="54"/>
              <w:rPr>
                <w:rFonts w:asciiTheme="minorEastAsia" w:hAnsiTheme="minorEastAsia" w:eastAsiaTheme="minorEastAsia"/>
                <w:color w:val="000000" w:themeColor="text1"/>
                <w:sz w:val="24"/>
                <w:szCs w:val="24"/>
              </w:rPr>
            </w:pPr>
          </w:p>
        </w:tc>
        <w:tc>
          <w:tcPr>
            <w:tcW w:w="1716" w:type="dxa"/>
            <w:tcBorders>
              <w:top w:val="single" w:color="auto" w:sz="4" w:space="0"/>
              <w:bottom w:val="single" w:color="auto" w:sz="4" w:space="0"/>
            </w:tcBorders>
            <w:vAlign w:val="center"/>
          </w:tcPr>
          <w:p>
            <w:pPr>
              <w:adjustRightInd w:val="0"/>
              <w:snapToGrid w:val="0"/>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质量保证措施</w:t>
            </w:r>
          </w:p>
        </w:tc>
        <w:tc>
          <w:tcPr>
            <w:tcW w:w="890"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5分</w:t>
            </w:r>
          </w:p>
        </w:tc>
        <w:tc>
          <w:tcPr>
            <w:tcW w:w="6196" w:type="dxa"/>
            <w:tcBorders>
              <w:top w:val="single" w:color="auto" w:sz="4" w:space="0"/>
              <w:bottom w:val="single" w:color="auto" w:sz="4" w:space="0"/>
              <w:right w:val="single" w:color="auto" w:sz="4" w:space="0"/>
            </w:tcBorders>
            <w:vAlign w:val="center"/>
          </w:tcPr>
          <w:p>
            <w:pPr>
              <w:adjustRightInd w:val="0"/>
              <w:snapToGrid w:val="0"/>
              <w:spacing w:line="360" w:lineRule="auto"/>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计划周密，措施有力（0-5分）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jc w:val="center"/>
        </w:trPr>
        <w:tc>
          <w:tcPr>
            <w:tcW w:w="908" w:type="dxa"/>
            <w:vMerge w:val="continue"/>
            <w:tcBorders>
              <w:left w:val="single" w:color="auto" w:sz="4" w:space="0"/>
            </w:tcBorders>
            <w:vAlign w:val="center"/>
          </w:tcPr>
          <w:p>
            <w:pPr>
              <w:pStyle w:val="54"/>
              <w:rPr>
                <w:rFonts w:asciiTheme="minorEastAsia" w:hAnsiTheme="minorEastAsia" w:eastAsiaTheme="minorEastAsia"/>
                <w:color w:val="000000" w:themeColor="text1"/>
                <w:sz w:val="24"/>
                <w:szCs w:val="24"/>
              </w:rPr>
            </w:pPr>
          </w:p>
        </w:tc>
        <w:tc>
          <w:tcPr>
            <w:tcW w:w="1716" w:type="dxa"/>
            <w:tcBorders>
              <w:top w:val="single" w:color="auto" w:sz="4" w:space="0"/>
              <w:bottom w:val="single" w:color="auto" w:sz="4" w:space="0"/>
            </w:tcBorders>
            <w:vAlign w:val="center"/>
          </w:tcPr>
          <w:p>
            <w:pPr>
              <w:adjustRightInd w:val="0"/>
              <w:snapToGrid w:val="0"/>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安全保障措施</w:t>
            </w:r>
          </w:p>
        </w:tc>
        <w:tc>
          <w:tcPr>
            <w:tcW w:w="890"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5分</w:t>
            </w:r>
          </w:p>
        </w:tc>
        <w:tc>
          <w:tcPr>
            <w:tcW w:w="6196" w:type="dxa"/>
            <w:tcBorders>
              <w:top w:val="single" w:color="auto" w:sz="4" w:space="0"/>
              <w:bottom w:val="single" w:color="auto" w:sz="4" w:space="0"/>
              <w:right w:val="single" w:color="auto" w:sz="4" w:space="0"/>
            </w:tcBorders>
            <w:vAlign w:val="center"/>
          </w:tcPr>
          <w:p>
            <w:pPr>
              <w:adjustRightInd w:val="0"/>
              <w:snapToGrid w:val="0"/>
              <w:spacing w:line="360" w:lineRule="auto"/>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安全保证措施周全、有力（0-5分）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jc w:val="center"/>
        </w:trPr>
        <w:tc>
          <w:tcPr>
            <w:tcW w:w="908" w:type="dxa"/>
            <w:vMerge w:val="continue"/>
            <w:tcBorders>
              <w:left w:val="single" w:color="auto" w:sz="4" w:space="0"/>
            </w:tcBorders>
            <w:vAlign w:val="center"/>
          </w:tcPr>
          <w:p>
            <w:pPr>
              <w:pStyle w:val="54"/>
              <w:rPr>
                <w:rFonts w:asciiTheme="minorEastAsia" w:hAnsiTheme="minorEastAsia" w:eastAsiaTheme="minorEastAsia"/>
                <w:color w:val="000000" w:themeColor="text1"/>
                <w:sz w:val="24"/>
                <w:szCs w:val="24"/>
              </w:rPr>
            </w:pPr>
          </w:p>
        </w:tc>
        <w:tc>
          <w:tcPr>
            <w:tcW w:w="1716" w:type="dxa"/>
            <w:tcBorders>
              <w:top w:val="single" w:color="auto" w:sz="4" w:space="0"/>
              <w:bottom w:val="single" w:color="auto" w:sz="4" w:space="0"/>
            </w:tcBorders>
            <w:vAlign w:val="center"/>
          </w:tcPr>
          <w:p>
            <w:pPr>
              <w:adjustRightInd w:val="0"/>
              <w:snapToGrid w:val="0"/>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服务承诺</w:t>
            </w:r>
          </w:p>
        </w:tc>
        <w:tc>
          <w:tcPr>
            <w:tcW w:w="890"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5分</w:t>
            </w:r>
          </w:p>
        </w:tc>
        <w:tc>
          <w:tcPr>
            <w:tcW w:w="6196" w:type="dxa"/>
            <w:tcBorders>
              <w:top w:val="single" w:color="auto" w:sz="4" w:space="0"/>
              <w:bottom w:val="single" w:color="auto" w:sz="4" w:space="0"/>
              <w:right w:val="single" w:color="auto" w:sz="4" w:space="0"/>
            </w:tcBorders>
            <w:vAlign w:val="center"/>
          </w:tcPr>
          <w:p>
            <w:pPr>
              <w:adjustRightInd w:val="0"/>
              <w:snapToGrid w:val="0"/>
              <w:spacing w:line="360" w:lineRule="auto"/>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满足本次招标需要，视其完整性、科学性（0-5分）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5" w:hRule="exact"/>
          <w:jc w:val="center"/>
        </w:trPr>
        <w:tc>
          <w:tcPr>
            <w:tcW w:w="908" w:type="dxa"/>
            <w:vMerge w:val="restart"/>
            <w:vAlign w:val="center"/>
          </w:tcPr>
          <w:p>
            <w:pPr>
              <w:pStyle w:val="5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商务标</w:t>
            </w:r>
          </w:p>
          <w:p>
            <w:pPr>
              <w:pStyle w:val="5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Cs w:val="24"/>
              </w:rPr>
              <w:t>（20分）</w:t>
            </w:r>
          </w:p>
        </w:tc>
        <w:tc>
          <w:tcPr>
            <w:tcW w:w="1716" w:type="dxa"/>
            <w:vAlign w:val="center"/>
          </w:tcPr>
          <w:p>
            <w:pPr>
              <w:pStyle w:val="5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业绩证明</w:t>
            </w:r>
          </w:p>
        </w:tc>
        <w:tc>
          <w:tcPr>
            <w:tcW w:w="890" w:type="dxa"/>
            <w:vAlign w:val="center"/>
          </w:tcPr>
          <w:p>
            <w:pPr>
              <w:pStyle w:val="5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10分</w:t>
            </w:r>
          </w:p>
        </w:tc>
        <w:tc>
          <w:tcPr>
            <w:tcW w:w="6196" w:type="dxa"/>
            <w:vAlign w:val="center"/>
          </w:tcPr>
          <w:p>
            <w:pPr>
              <w:autoSpaceDE w:val="0"/>
              <w:autoSpaceDN w:val="0"/>
              <w:adjustRightInd w:val="0"/>
              <w:snapToGrid w:val="0"/>
              <w:spacing w:line="276" w:lineRule="auto"/>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供应商提供自2017年1月1日起至今同类项目业绩，每提供一份得2.5分，最多得10分。</w:t>
            </w:r>
          </w:p>
          <w:p>
            <w:pPr>
              <w:autoSpaceDE w:val="0"/>
              <w:autoSpaceDN w:val="0"/>
              <w:adjustRightInd w:val="0"/>
              <w:snapToGrid w:val="0"/>
              <w:spacing w:line="276" w:lineRule="auto"/>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注：</w:t>
            </w:r>
            <w:r>
              <w:rPr>
                <w:rFonts w:asciiTheme="minorEastAsia" w:hAnsiTheme="minorEastAsia" w:eastAsiaTheme="minorEastAsia"/>
                <w:color w:val="000000" w:themeColor="text1"/>
                <w:sz w:val="24"/>
              </w:rPr>
              <w:t>合同提供原件</w:t>
            </w:r>
            <w:r>
              <w:rPr>
                <w:rFonts w:hint="eastAsia" w:asciiTheme="minorEastAsia" w:hAnsiTheme="minorEastAsia" w:eastAsiaTheme="minorEastAsia"/>
                <w:color w:val="000000" w:themeColor="text1"/>
                <w:sz w:val="24"/>
              </w:rPr>
              <w:t>，</w:t>
            </w:r>
            <w:r>
              <w:rPr>
                <w:rFonts w:asciiTheme="minorEastAsia" w:hAnsiTheme="minorEastAsia" w:eastAsiaTheme="minorEastAsia"/>
                <w:color w:val="000000" w:themeColor="text1"/>
                <w:sz w:val="24"/>
              </w:rPr>
              <w:t>未提供者此项不得分</w:t>
            </w:r>
            <w:r>
              <w:rPr>
                <w:rFonts w:hint="eastAsia" w:asciiTheme="minorEastAsia" w:hAnsiTheme="minorEastAsia" w:eastAsiaTheme="minorEastAsia"/>
                <w:color w:val="000000" w:themeColor="text1"/>
                <w:sz w:val="24"/>
              </w:rPr>
              <w:t>；（业绩合同原件随磋商响应文件正本一起密封，现场评审结束后退回。）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3" w:hRule="exact"/>
          <w:jc w:val="center"/>
        </w:trPr>
        <w:tc>
          <w:tcPr>
            <w:tcW w:w="908" w:type="dxa"/>
            <w:vMerge w:val="continue"/>
            <w:vAlign w:val="center"/>
          </w:tcPr>
          <w:p>
            <w:pPr>
              <w:pStyle w:val="54"/>
              <w:rPr>
                <w:rFonts w:asciiTheme="minorEastAsia" w:hAnsiTheme="minorEastAsia" w:eastAsiaTheme="minorEastAsia"/>
                <w:color w:val="000000" w:themeColor="text1"/>
                <w:sz w:val="24"/>
                <w:szCs w:val="24"/>
              </w:rPr>
            </w:pPr>
          </w:p>
        </w:tc>
        <w:tc>
          <w:tcPr>
            <w:tcW w:w="1716" w:type="dxa"/>
            <w:vAlign w:val="center"/>
          </w:tcPr>
          <w:p>
            <w:pPr>
              <w:pStyle w:val="5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执业规模</w:t>
            </w:r>
          </w:p>
        </w:tc>
        <w:tc>
          <w:tcPr>
            <w:tcW w:w="890" w:type="dxa"/>
            <w:vAlign w:val="center"/>
          </w:tcPr>
          <w:p>
            <w:pPr>
              <w:pStyle w:val="5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10分</w:t>
            </w:r>
          </w:p>
        </w:tc>
        <w:tc>
          <w:tcPr>
            <w:tcW w:w="6196" w:type="dxa"/>
            <w:vAlign w:val="center"/>
          </w:tcPr>
          <w:p>
            <w:pPr>
              <w:numPr>
                <w:ilvl w:val="0"/>
                <w:numId w:val="1"/>
              </w:numPr>
              <w:spacing w:after="200" w:line="276" w:lineRule="auto"/>
              <w:rPr>
                <w:rFonts w:asciiTheme="minorEastAsia" w:hAnsiTheme="minorEastAsia"/>
                <w:color w:val="000000" w:themeColor="text1"/>
                <w:sz w:val="24"/>
                <w:lang w:val="zh-CN"/>
              </w:rPr>
            </w:pPr>
            <w:r>
              <w:rPr>
                <w:rFonts w:hint="eastAsia" w:asciiTheme="minorEastAsia" w:hAnsiTheme="minorEastAsia" w:eastAsiaTheme="minorEastAsia"/>
                <w:color w:val="000000" w:themeColor="text1"/>
                <w:sz w:val="24"/>
              </w:rPr>
              <w:t>评委</w:t>
            </w:r>
            <w:r>
              <w:rPr>
                <w:rFonts w:hint="eastAsia" w:asciiTheme="minorEastAsia" w:hAnsiTheme="minorEastAsia" w:eastAsiaTheme="minorEastAsia"/>
                <w:color w:val="000000" w:themeColor="text1"/>
                <w:sz w:val="24"/>
                <w:lang w:val="zh-CN"/>
              </w:rPr>
              <w:t>根据各供应商售后服务场所、维护、服务响应时间、应急处理方案的响应程度赋分</w:t>
            </w:r>
            <w:r>
              <w:rPr>
                <w:rFonts w:hint="eastAsia" w:asciiTheme="minorEastAsia" w:hAnsiTheme="minorEastAsia" w:eastAsiaTheme="minorEastAsia"/>
                <w:color w:val="000000" w:themeColor="text1"/>
                <w:sz w:val="24"/>
              </w:rPr>
              <w:t>0</w:t>
            </w:r>
            <w:r>
              <w:rPr>
                <w:rFonts w:hint="eastAsia" w:asciiTheme="minorEastAsia" w:hAnsiTheme="minorEastAsia" w:eastAsiaTheme="minorEastAsia"/>
                <w:color w:val="000000" w:themeColor="text1"/>
                <w:sz w:val="24"/>
                <w:lang w:val="zh-CN"/>
              </w:rPr>
              <w:t>-</w:t>
            </w:r>
            <w:r>
              <w:rPr>
                <w:rFonts w:hint="eastAsia" w:asciiTheme="minorEastAsia" w:hAnsiTheme="minorEastAsia" w:eastAsiaTheme="minorEastAsia"/>
                <w:color w:val="000000" w:themeColor="text1"/>
                <w:sz w:val="24"/>
              </w:rPr>
              <w:t>10</w:t>
            </w:r>
            <w:r>
              <w:rPr>
                <w:rFonts w:hint="eastAsia" w:asciiTheme="minorEastAsia" w:hAnsiTheme="minorEastAsia" w:eastAsiaTheme="minorEastAsia"/>
                <w:color w:val="000000" w:themeColor="text1"/>
                <w:sz w:val="24"/>
                <w:lang w:val="zh-CN"/>
              </w:rPr>
              <w:t>分</w:t>
            </w:r>
          </w:p>
          <w:p>
            <w:pPr>
              <w:spacing w:after="200" w:line="276" w:lineRule="auto"/>
              <w:rPr>
                <w:rFonts w:asciiTheme="minorEastAsia" w:hAnsiTheme="minorEastAsia" w:eastAsiaTheme="minorEastAsia"/>
                <w:color w:val="000000" w:themeColor="text1"/>
                <w:sz w:val="24"/>
                <w:lang w:val="zh-CN"/>
              </w:rPr>
            </w:pPr>
            <w:r>
              <w:rPr>
                <w:rFonts w:hint="eastAsia" w:asciiTheme="minorEastAsia" w:hAnsiTheme="minorEastAsia"/>
                <w:color w:val="000000" w:themeColor="text1"/>
                <w:sz w:val="24"/>
                <w:lang w:val="zh-CN"/>
              </w:rPr>
              <w:t>注：</w:t>
            </w:r>
            <w:r>
              <w:rPr>
                <w:rFonts w:hint="eastAsia" w:asciiTheme="minorEastAsia" w:hAnsiTheme="minorEastAsia" w:eastAsiaTheme="minorEastAsia"/>
                <w:color w:val="000000" w:themeColor="text1"/>
                <w:sz w:val="24"/>
                <w:lang w:val="zh-CN"/>
              </w:rPr>
              <w:t>提供包括但不限于本地工商注册资料以及距采购人最近的服务网点情况表、售后服务机构地址、人员名单、联系方式等证明材料。</w:t>
            </w:r>
          </w:p>
        </w:tc>
      </w:tr>
    </w:tbl>
    <w:p>
      <w:pPr>
        <w:rPr>
          <w:color w:val="000000" w:themeColor="text1"/>
        </w:rPr>
      </w:pPr>
    </w:p>
    <w:p>
      <w:pPr>
        <w:spacing w:line="336" w:lineRule="auto"/>
        <w:rPr>
          <w:rFonts w:ascii="宋体" w:hAnsi="宋体" w:cs="宋体"/>
          <w:b/>
          <w:color w:val="000000" w:themeColor="text1"/>
          <w:sz w:val="24"/>
        </w:rPr>
      </w:pPr>
      <w:bookmarkStart w:id="16" w:name="_Toc25010_WPSOffice_Level1"/>
      <w:r>
        <w:rPr>
          <w:rFonts w:hint="eastAsia" w:ascii="宋体" w:hAnsi="宋体" w:cs="宋体"/>
          <w:b/>
          <w:color w:val="000000" w:themeColor="text1"/>
          <w:sz w:val="24"/>
        </w:rPr>
        <w:t>备注：</w:t>
      </w:r>
    </w:p>
    <w:p>
      <w:pPr>
        <w:spacing w:line="336" w:lineRule="auto"/>
        <w:ind w:firstLine="470" w:firstLineChars="196"/>
        <w:rPr>
          <w:rFonts w:ascii="宋体" w:hAnsi="宋体" w:cs="宋体"/>
          <w:color w:val="000000" w:themeColor="text1"/>
          <w:sz w:val="24"/>
        </w:rPr>
      </w:pPr>
      <w:r>
        <w:rPr>
          <w:rFonts w:hint="eastAsia" w:ascii="宋体" w:hAnsi="宋体" w:cs="宋体"/>
          <w:color w:val="000000" w:themeColor="text1"/>
          <w:sz w:val="24"/>
        </w:rPr>
        <w:t>1) 若出现综合得分并列时，比较技术得分，此分项得分高者排序在前；若技术得分仍相同，比较价格得分，此分项得分高者排序在前；若投标报价得分仍相同，则由磋商小组无记名投票，得票高者排序在前；</w:t>
      </w:r>
    </w:p>
    <w:p>
      <w:pPr>
        <w:spacing w:line="336" w:lineRule="auto"/>
        <w:ind w:firstLine="470" w:firstLineChars="196"/>
        <w:rPr>
          <w:rFonts w:ascii="宋体" w:hAnsi="宋体" w:cs="宋体"/>
          <w:color w:val="000000" w:themeColor="text1"/>
          <w:sz w:val="24"/>
        </w:rPr>
      </w:pPr>
      <w:r>
        <w:rPr>
          <w:rFonts w:hint="eastAsia" w:ascii="宋体" w:hAnsi="宋体" w:cs="宋体"/>
          <w:color w:val="000000" w:themeColor="text1"/>
          <w:sz w:val="24"/>
        </w:rPr>
        <w:t>2) 各种计算采用插入法，数字均保留两位小数，第三位“四舍五入”；</w:t>
      </w:r>
    </w:p>
    <w:p>
      <w:pPr>
        <w:spacing w:line="336" w:lineRule="auto"/>
        <w:ind w:firstLine="470" w:firstLineChars="196"/>
        <w:rPr>
          <w:rFonts w:ascii="宋体" w:hAnsi="宋体" w:cs="宋体"/>
          <w:color w:val="000000" w:themeColor="text1"/>
          <w:sz w:val="24"/>
        </w:rPr>
      </w:pPr>
      <w:r>
        <w:rPr>
          <w:rFonts w:hint="eastAsia" w:ascii="宋体" w:hAnsi="宋体" w:cs="宋体"/>
          <w:color w:val="000000" w:themeColor="text1"/>
          <w:sz w:val="24"/>
        </w:rPr>
        <w:t>3）磋商响应文件对评标内容无响应的，该项评分按照0分计算；</w:t>
      </w:r>
    </w:p>
    <w:p>
      <w:pPr>
        <w:spacing w:line="336" w:lineRule="auto"/>
        <w:ind w:firstLine="470" w:firstLineChars="196"/>
        <w:rPr>
          <w:rFonts w:ascii="宋体" w:hAnsi="宋体" w:cs="宋体"/>
          <w:color w:val="000000" w:themeColor="text1"/>
          <w:sz w:val="24"/>
        </w:rPr>
      </w:pPr>
      <w:r>
        <w:rPr>
          <w:rFonts w:hint="eastAsia" w:ascii="宋体" w:hAnsi="宋体" w:cs="宋体"/>
          <w:color w:val="000000" w:themeColor="text1"/>
          <w:sz w:val="24"/>
        </w:rPr>
        <w:t>4）本项目以人民币为计量币种进行评审。</w:t>
      </w:r>
    </w:p>
    <w:p>
      <w:pPr>
        <w:spacing w:line="336" w:lineRule="auto"/>
        <w:rPr>
          <w:rFonts w:ascii="宋体" w:hAnsi="宋体" w:cs="宋体"/>
          <w:b/>
          <w:color w:val="000000" w:themeColor="text1"/>
          <w:sz w:val="24"/>
        </w:rPr>
      </w:pPr>
      <w:r>
        <w:rPr>
          <w:rFonts w:hint="eastAsia" w:ascii="宋体" w:hAnsi="宋体" w:cs="宋体"/>
          <w:b/>
          <w:color w:val="000000" w:themeColor="text1"/>
          <w:sz w:val="24"/>
        </w:rPr>
        <w:t>10、特殊情况的处理</w:t>
      </w:r>
    </w:p>
    <w:p>
      <w:pPr>
        <w:widowControl/>
        <w:autoSpaceDE w:val="0"/>
        <w:autoSpaceDN w:val="0"/>
        <w:spacing w:line="450" w:lineRule="exact"/>
        <w:ind w:right="53" w:firstLine="480" w:firstLineChars="200"/>
        <w:textAlignment w:val="bottom"/>
        <w:rPr>
          <w:rFonts w:ascii="宋体" w:hAnsi="宋体" w:cs="宋体"/>
          <w:color w:val="000000" w:themeColor="text1"/>
          <w:sz w:val="24"/>
        </w:rPr>
      </w:pPr>
      <w:r>
        <w:rPr>
          <w:rFonts w:hint="eastAsia" w:ascii="宋体" w:hAnsi="宋体" w:cs="宋体"/>
          <w:color w:val="000000" w:themeColor="text1"/>
          <w:sz w:val="24"/>
        </w:rPr>
        <w:t>10.1、磋商响应文件中如果出现前后不一致的，按照下列规定修正：</w:t>
      </w:r>
    </w:p>
    <w:p>
      <w:pPr>
        <w:widowControl/>
        <w:autoSpaceDE w:val="0"/>
        <w:autoSpaceDN w:val="0"/>
        <w:spacing w:line="450" w:lineRule="exact"/>
        <w:ind w:right="53" w:firstLine="480" w:firstLineChars="200"/>
        <w:textAlignment w:val="bottom"/>
        <w:rPr>
          <w:rFonts w:ascii="宋体" w:hAnsi="宋体" w:cs="宋体"/>
          <w:color w:val="000000" w:themeColor="text1"/>
          <w:sz w:val="24"/>
        </w:rPr>
      </w:pPr>
      <w:r>
        <w:rPr>
          <w:rFonts w:hint="eastAsia" w:ascii="宋体" w:hAnsi="宋体" w:cs="宋体"/>
          <w:color w:val="000000" w:themeColor="text1"/>
          <w:sz w:val="24"/>
        </w:rPr>
        <w:t>10.1.1、响应文件中开标一览表（报价表）内容与响应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pPr>
        <w:spacing w:line="45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10.1.2、磋商响应文件中图表与文字表述不一致的，以文字表述为准；</w:t>
      </w:r>
    </w:p>
    <w:p>
      <w:pPr>
        <w:widowControl/>
        <w:autoSpaceDE w:val="0"/>
        <w:autoSpaceDN w:val="0"/>
        <w:spacing w:line="450" w:lineRule="exact"/>
        <w:ind w:right="53" w:firstLine="480" w:firstLineChars="200"/>
        <w:textAlignment w:val="bottom"/>
        <w:rPr>
          <w:rFonts w:ascii="宋体" w:hAnsi="宋体" w:cs="宋体"/>
          <w:color w:val="000000" w:themeColor="text1"/>
          <w:sz w:val="24"/>
        </w:rPr>
      </w:pPr>
      <w:r>
        <w:rPr>
          <w:rFonts w:hint="eastAsia" w:ascii="宋体" w:hAnsi="宋体" w:cs="宋体"/>
          <w:color w:val="000000" w:themeColor="text1"/>
          <w:sz w:val="24"/>
        </w:rPr>
        <w:t>10.1.3、磋商响应文件正本与副本不一致的，以正本为准；</w:t>
      </w:r>
    </w:p>
    <w:p>
      <w:pPr>
        <w:spacing w:line="450" w:lineRule="exact"/>
        <w:ind w:left="479" w:leftChars="228"/>
        <w:rPr>
          <w:rFonts w:ascii="宋体" w:hAnsi="宋体" w:cs="宋体"/>
          <w:color w:val="000000" w:themeColor="text1"/>
          <w:sz w:val="24"/>
        </w:rPr>
      </w:pPr>
      <w:r>
        <w:rPr>
          <w:rFonts w:hint="eastAsia" w:ascii="宋体" w:hAnsi="宋体" w:cs="宋体"/>
          <w:color w:val="000000" w:themeColor="text1"/>
          <w:sz w:val="24"/>
        </w:rPr>
        <w:t>10.1.4、对不同文字文本磋商响应文件的解释发生异议的，以中文文本为准。；</w:t>
      </w:r>
    </w:p>
    <w:p>
      <w:pPr>
        <w:spacing w:line="450" w:lineRule="exact"/>
        <w:ind w:left="479" w:leftChars="228"/>
        <w:rPr>
          <w:rFonts w:ascii="宋体" w:hAnsi="宋体" w:cs="宋体"/>
          <w:bCs/>
          <w:color w:val="000000" w:themeColor="text1"/>
          <w:sz w:val="24"/>
        </w:rPr>
      </w:pPr>
      <w:r>
        <w:rPr>
          <w:rFonts w:hint="eastAsia" w:ascii="宋体" w:hAnsi="宋体" w:cs="宋体"/>
          <w:bCs/>
          <w:color w:val="000000" w:themeColor="text1"/>
          <w:sz w:val="24"/>
        </w:rPr>
        <w:t>10.1.5、同时出现两种以上不一致的，按照前款规定的顺序修正。修正后的报价按照本章4.1条的规定经供应商确认后产生约束力，供应商不确认的，其磋商无效。</w:t>
      </w:r>
    </w:p>
    <w:p>
      <w:pPr>
        <w:widowControl/>
        <w:autoSpaceDE w:val="0"/>
        <w:autoSpaceDN w:val="0"/>
        <w:spacing w:line="450" w:lineRule="exact"/>
        <w:ind w:right="53" w:firstLine="480" w:firstLineChars="200"/>
        <w:textAlignment w:val="bottom"/>
        <w:rPr>
          <w:rFonts w:ascii="宋体" w:hAnsi="宋体" w:cs="宋体"/>
          <w:color w:val="000000" w:themeColor="text1"/>
          <w:sz w:val="24"/>
        </w:rPr>
      </w:pPr>
      <w:r>
        <w:rPr>
          <w:rFonts w:hint="eastAsia" w:ascii="宋体" w:hAnsi="宋体" w:cs="宋体"/>
          <w:color w:val="000000" w:themeColor="text1"/>
          <w:sz w:val="24"/>
        </w:rPr>
        <w:t>10.2、磋商响应文件中，若某项内容为零报价、无报价，经磋商小组评审后，报价得分为零，不参与磋商报价分值的计算。</w:t>
      </w:r>
    </w:p>
    <w:p>
      <w:pPr>
        <w:pStyle w:val="18"/>
        <w:shd w:val="clear" w:color="auto" w:fill="FFFFFF"/>
        <w:spacing w:before="0" w:beforeAutospacing="0" w:after="0" w:afterAutospacing="0" w:line="450" w:lineRule="exact"/>
        <w:ind w:firstLine="480" w:firstLineChars="200"/>
        <w:rPr>
          <w:color w:val="000000" w:themeColor="text1"/>
        </w:rPr>
      </w:pPr>
      <w:r>
        <w:rPr>
          <w:rFonts w:hint="eastAsia"/>
          <w:color w:val="000000" w:themeColor="text1"/>
        </w:rPr>
        <w:t>10.3、评审过程中，若出现本评审办法以外的特殊情况时，将暂停评审，待磋商小组商榷后，再进行评定。</w:t>
      </w:r>
    </w:p>
    <w:p>
      <w:pPr>
        <w:pStyle w:val="18"/>
        <w:shd w:val="clear" w:color="auto" w:fill="FFFFFF"/>
        <w:spacing w:before="0" w:beforeAutospacing="0" w:after="0" w:afterAutospacing="0" w:line="450" w:lineRule="exact"/>
        <w:ind w:firstLine="480" w:firstLineChars="200"/>
        <w:rPr>
          <w:color w:val="000000" w:themeColor="text1"/>
        </w:rPr>
      </w:pPr>
      <w:r>
        <w:rPr>
          <w:rFonts w:hint="eastAsia"/>
          <w:color w:val="000000" w:themeColor="text1"/>
        </w:rPr>
        <w:t>10.4、评审结果汇总完成后，除下列情形外，任何人不得修改评审结果：</w:t>
      </w:r>
    </w:p>
    <w:p>
      <w:pPr>
        <w:pStyle w:val="18"/>
        <w:shd w:val="clear" w:color="auto" w:fill="FFFFFF"/>
        <w:spacing w:before="0" w:beforeAutospacing="0" w:after="0" w:afterAutospacing="0" w:line="450" w:lineRule="exact"/>
        <w:ind w:firstLine="480" w:firstLineChars="200"/>
        <w:rPr>
          <w:color w:val="000000" w:themeColor="text1"/>
        </w:rPr>
      </w:pPr>
      <w:r>
        <w:rPr>
          <w:rFonts w:hint="eastAsia"/>
          <w:color w:val="000000" w:themeColor="text1"/>
        </w:rPr>
        <w:t>10.4.1、分值汇总计算错误的；</w:t>
      </w:r>
    </w:p>
    <w:p>
      <w:pPr>
        <w:pStyle w:val="18"/>
        <w:shd w:val="clear" w:color="auto" w:fill="FFFFFF"/>
        <w:spacing w:before="0" w:beforeAutospacing="0" w:after="0" w:afterAutospacing="0" w:line="450" w:lineRule="exact"/>
        <w:ind w:firstLine="480" w:firstLineChars="200"/>
        <w:rPr>
          <w:color w:val="000000" w:themeColor="text1"/>
        </w:rPr>
      </w:pPr>
      <w:r>
        <w:rPr>
          <w:rFonts w:hint="eastAsia"/>
          <w:color w:val="000000" w:themeColor="text1"/>
        </w:rPr>
        <w:t>10.4.2、分项评分超出评分标准范围的；</w:t>
      </w:r>
    </w:p>
    <w:p>
      <w:pPr>
        <w:pStyle w:val="18"/>
        <w:shd w:val="clear" w:color="auto" w:fill="FFFFFF"/>
        <w:spacing w:before="0" w:beforeAutospacing="0" w:after="0" w:afterAutospacing="0" w:line="450" w:lineRule="exact"/>
        <w:ind w:firstLine="480" w:firstLineChars="200"/>
        <w:rPr>
          <w:color w:val="000000" w:themeColor="text1"/>
        </w:rPr>
      </w:pPr>
      <w:r>
        <w:rPr>
          <w:rFonts w:hint="eastAsia"/>
          <w:color w:val="000000" w:themeColor="text1"/>
        </w:rPr>
        <w:t>10.4.3、磋商小组成员对客观评审因素评分不一致的；</w:t>
      </w:r>
    </w:p>
    <w:p>
      <w:pPr>
        <w:pStyle w:val="18"/>
        <w:shd w:val="clear" w:color="auto" w:fill="FFFFFF"/>
        <w:spacing w:before="0" w:beforeAutospacing="0" w:after="0" w:afterAutospacing="0" w:line="450" w:lineRule="exact"/>
        <w:ind w:firstLine="480" w:firstLineChars="200"/>
        <w:rPr>
          <w:color w:val="000000" w:themeColor="text1"/>
        </w:rPr>
      </w:pPr>
      <w:r>
        <w:rPr>
          <w:rFonts w:hint="eastAsia"/>
          <w:color w:val="000000" w:themeColor="text1"/>
        </w:rPr>
        <w:t>10.4.4、经磋商小组认定评分畸高、畸低的。</w:t>
      </w:r>
    </w:p>
    <w:p>
      <w:pPr>
        <w:pStyle w:val="18"/>
        <w:shd w:val="clear" w:color="auto" w:fill="FFFFFF"/>
        <w:spacing w:before="0" w:beforeAutospacing="0" w:after="0" w:afterAutospacing="0" w:line="450" w:lineRule="exact"/>
        <w:ind w:firstLine="480" w:firstLineChars="200"/>
        <w:rPr>
          <w:color w:val="000000" w:themeColor="text1"/>
        </w:rPr>
      </w:pPr>
      <w:r>
        <w:rPr>
          <w:rFonts w:hint="eastAsia"/>
          <w:color w:val="000000" w:themeColor="text1"/>
        </w:rPr>
        <w:t>10.5、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供应商对评标报告提出质疑的，采购人或者采购代理机构可以组织原磋商小组进行重新评审，重新评审改变评标结果的，应当书面报告本级财政部门。</w:t>
      </w:r>
    </w:p>
    <w:p>
      <w:pPr>
        <w:pStyle w:val="18"/>
        <w:shd w:val="clear" w:color="auto" w:fill="FFFFFF"/>
        <w:spacing w:before="0" w:beforeAutospacing="0" w:after="0" w:afterAutospacing="0" w:line="450" w:lineRule="exact"/>
        <w:ind w:firstLine="480" w:firstLineChars="200"/>
        <w:rPr>
          <w:color w:val="000000" w:themeColor="text1"/>
        </w:rPr>
      </w:pPr>
      <w:r>
        <w:rPr>
          <w:rFonts w:hint="eastAsia"/>
          <w:color w:val="000000" w:themeColor="text1"/>
        </w:rPr>
        <w:t>10.6、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widowControl/>
        <w:autoSpaceDE w:val="0"/>
        <w:autoSpaceDN w:val="0"/>
        <w:spacing w:line="360" w:lineRule="auto"/>
        <w:ind w:right="51" w:firstLine="480" w:firstLineChars="200"/>
        <w:textAlignment w:val="bottom"/>
        <w:rPr>
          <w:rFonts w:ascii="宋体" w:hAnsi="宋体" w:cs="宋体"/>
          <w:color w:val="000000" w:themeColor="text1"/>
          <w:sz w:val="24"/>
        </w:rPr>
      </w:pPr>
      <w:r>
        <w:rPr>
          <w:rFonts w:hint="eastAsia" w:ascii="宋体" w:hAnsi="宋体" w:cs="宋体"/>
          <w:color w:val="000000" w:themeColor="text1"/>
          <w:sz w:val="24"/>
        </w:rPr>
        <w:t>10.7、排名第一的中标候选人，主动放弃成交或因不可抗力不能履行合同、或被查实存在影响成交结果的违法行为等情形，已不再符合成交条件的，采购人可以按照磋商小组提出的中标候选人名单排序依次确定第二中标候选人为成交供应商，也可以根据实际情况需要，依法重新组织采购活动。</w:t>
      </w:r>
    </w:p>
    <w:p>
      <w:pPr>
        <w:widowControl/>
        <w:autoSpaceDE w:val="0"/>
        <w:autoSpaceDN w:val="0"/>
        <w:spacing w:line="450" w:lineRule="exact"/>
        <w:ind w:right="53"/>
        <w:textAlignment w:val="bottom"/>
        <w:rPr>
          <w:rFonts w:ascii="宋体" w:hAnsi="宋体" w:cs="宋体"/>
          <w:b/>
          <w:color w:val="000000" w:themeColor="text1"/>
          <w:sz w:val="32"/>
          <w:szCs w:val="32"/>
        </w:rPr>
      </w:pPr>
      <w:r>
        <w:rPr>
          <w:rFonts w:hint="eastAsia" w:ascii="宋体" w:hAnsi="宋体" w:cs="宋体"/>
          <w:b/>
          <w:color w:val="000000" w:themeColor="text1"/>
          <w:sz w:val="32"/>
          <w:szCs w:val="32"/>
        </w:rPr>
        <w:t>四、中标结果</w:t>
      </w:r>
    </w:p>
    <w:p>
      <w:pPr>
        <w:widowControl/>
        <w:shd w:val="clear" w:color="auto" w:fill="FFFFFF"/>
        <w:spacing w:beforeLines="50"/>
        <w:jc w:val="left"/>
        <w:rPr>
          <w:rFonts w:ascii="宋体" w:hAnsi="宋体" w:cs="宋体"/>
          <w:b/>
          <w:bCs/>
          <w:color w:val="000000" w:themeColor="text1"/>
          <w:kern w:val="0"/>
          <w:sz w:val="24"/>
        </w:rPr>
      </w:pPr>
      <w:r>
        <w:rPr>
          <w:rFonts w:hint="eastAsia" w:ascii="宋体" w:hAnsi="宋体" w:cs="宋体"/>
          <w:b/>
          <w:bCs/>
          <w:color w:val="000000" w:themeColor="text1"/>
          <w:kern w:val="0"/>
          <w:sz w:val="24"/>
        </w:rPr>
        <w:t>11、中标原则</w:t>
      </w:r>
    </w:p>
    <w:p>
      <w:pPr>
        <w:widowControl/>
        <w:shd w:val="clear" w:color="auto" w:fill="FFFFFF"/>
        <w:spacing w:beforeLines="50"/>
        <w:ind w:firstLine="470" w:firstLineChars="196"/>
        <w:jc w:val="left"/>
        <w:rPr>
          <w:rFonts w:ascii="宋体" w:hAnsi="宋体" w:cs="宋体"/>
          <w:color w:val="000000" w:themeColor="text1"/>
          <w:sz w:val="24"/>
        </w:rPr>
      </w:pPr>
      <w:bookmarkStart w:id="17" w:name="_Toc183682375"/>
      <w:bookmarkStart w:id="18" w:name="_Toc183582238"/>
      <w:bookmarkStart w:id="19" w:name="_Toc217446063"/>
      <w:r>
        <w:rPr>
          <w:rFonts w:hint="eastAsia" w:ascii="宋体" w:hAnsi="宋体" w:cs="宋体"/>
          <w:color w:val="000000" w:themeColor="text1"/>
          <w:sz w:val="24"/>
        </w:rPr>
        <w:t>11.1、采购人从评审报告中推荐的中标候选磋商供应商中，按照排序由高到低的原则确定成交供应商。</w:t>
      </w:r>
    </w:p>
    <w:p>
      <w:pPr>
        <w:widowControl/>
        <w:shd w:val="clear" w:color="auto" w:fill="FFFFFF"/>
        <w:spacing w:beforeLines="50" w:line="360" w:lineRule="auto"/>
        <w:ind w:firstLine="470" w:firstLineChars="196"/>
        <w:jc w:val="left"/>
        <w:rPr>
          <w:rFonts w:ascii="宋体" w:hAnsi="宋体" w:cs="宋体"/>
          <w:b/>
          <w:bCs/>
          <w:color w:val="000000" w:themeColor="text1"/>
          <w:kern w:val="0"/>
          <w:sz w:val="24"/>
        </w:rPr>
      </w:pPr>
      <w:r>
        <w:rPr>
          <w:rFonts w:hint="eastAsia" w:ascii="宋体" w:hAnsi="宋体" w:cs="宋体"/>
          <w:color w:val="000000" w:themeColor="text1"/>
          <w:sz w:val="24"/>
        </w:rPr>
        <w:t>11.2、评标结果按评审后得分由高到低顺序排列。得分相同的，按投标报价由低到高顺序排列。得分且投标报价相同的并列。磋商响应文件满足磋商文件全部实质性要求，且按照评审因素的量化指标评审得分最高的供应商为排名第一的中标候选人。</w:t>
      </w:r>
    </w:p>
    <w:p>
      <w:pPr>
        <w:widowControl/>
        <w:shd w:val="clear" w:color="auto" w:fill="FFFFFF"/>
        <w:spacing w:beforeLines="50" w:afterLines="50" w:line="450" w:lineRule="exact"/>
        <w:jc w:val="left"/>
        <w:rPr>
          <w:rFonts w:ascii="宋体" w:hAnsi="宋体" w:cs="宋体"/>
          <w:b/>
          <w:color w:val="000000" w:themeColor="text1"/>
          <w:sz w:val="24"/>
        </w:rPr>
      </w:pPr>
      <w:r>
        <w:rPr>
          <w:rFonts w:hint="eastAsia" w:ascii="宋体" w:hAnsi="宋体" w:cs="宋体"/>
          <w:b/>
          <w:color w:val="000000" w:themeColor="text1"/>
          <w:sz w:val="24"/>
        </w:rPr>
        <w:t>12、确定中标候选人</w:t>
      </w:r>
    </w:p>
    <w:p>
      <w:pPr>
        <w:tabs>
          <w:tab w:val="left" w:pos="0"/>
        </w:tabs>
        <w:spacing w:line="450" w:lineRule="exact"/>
        <w:ind w:firstLine="480"/>
        <w:rPr>
          <w:rFonts w:ascii="宋体" w:hAnsi="宋体" w:cs="宋体"/>
          <w:bCs/>
          <w:color w:val="000000" w:themeColor="text1"/>
          <w:kern w:val="1"/>
          <w:sz w:val="24"/>
        </w:rPr>
      </w:pPr>
      <w:r>
        <w:rPr>
          <w:rFonts w:hint="eastAsia" w:ascii="宋体" w:hAnsi="宋体" w:cs="宋体"/>
          <w:bCs/>
          <w:color w:val="000000" w:themeColor="text1"/>
          <w:kern w:val="1"/>
          <w:sz w:val="24"/>
        </w:rPr>
        <w:t>12.1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磋商文件规定的方式确定成交人。采购人在收到评标报告5个工作日内未按评标报告推荐的成交候选人顺序确定中标人，又不能说明合法理由的，视同按评标报告推荐的顺序确定排名第一的成交候选人为成交人。</w:t>
      </w:r>
    </w:p>
    <w:p>
      <w:pPr>
        <w:tabs>
          <w:tab w:val="left" w:pos="0"/>
        </w:tabs>
        <w:spacing w:line="450" w:lineRule="exact"/>
        <w:rPr>
          <w:rFonts w:ascii="宋体" w:hAnsi="宋体" w:cs="宋体"/>
          <w:color w:val="000000" w:themeColor="text1"/>
          <w:kern w:val="1"/>
          <w:sz w:val="24"/>
        </w:rPr>
      </w:pPr>
      <w:r>
        <w:rPr>
          <w:rFonts w:hint="eastAsia" w:ascii="宋体" w:hAnsi="宋体" w:cs="宋体"/>
          <w:color w:val="000000" w:themeColor="text1"/>
          <w:kern w:val="1"/>
          <w:sz w:val="24"/>
        </w:rPr>
        <w:t xml:space="preserve">   12.2、采购人或者采购代理机构应当自成交人确定之日起2个工作日内，在省级以上财政部门指定的媒体（《陕西省政府采购网》）公告成交结果，磋商文件应当随成交结果同时公告。成交结果公告内容应当包括采购人及其委托的采购代理机构的名称、地址、联系方式，项目名称和项目编号，成交人名称、地址和成交金额，主要成交标的的名称、规格型号、数量、单价、服务要求，成交公告期限以及评审专家名单。成交公告期限为1个工作日。</w:t>
      </w:r>
    </w:p>
    <w:p>
      <w:pPr>
        <w:tabs>
          <w:tab w:val="left" w:pos="0"/>
        </w:tabs>
        <w:spacing w:line="450" w:lineRule="exact"/>
        <w:rPr>
          <w:rFonts w:ascii="宋体" w:hAnsi="宋体" w:cs="宋体"/>
          <w:color w:val="000000" w:themeColor="text1"/>
          <w:kern w:val="1"/>
          <w:sz w:val="24"/>
        </w:rPr>
      </w:pPr>
      <w:r>
        <w:rPr>
          <w:rFonts w:hint="eastAsia" w:ascii="宋体" w:hAnsi="宋体" w:cs="宋体"/>
          <w:color w:val="000000" w:themeColor="text1"/>
          <w:kern w:val="1"/>
          <w:sz w:val="24"/>
        </w:rPr>
        <w:t xml:space="preserve">  12.3、在公告成交结果的同时，采购人或者采购代理机构应当向成交人发出成交通知书。</w:t>
      </w:r>
    </w:p>
    <w:p>
      <w:pPr>
        <w:spacing w:line="450" w:lineRule="exact"/>
        <w:ind w:firstLine="240" w:firstLineChars="100"/>
        <w:rPr>
          <w:rFonts w:ascii="宋体" w:hAnsi="宋体" w:cs="宋体"/>
          <w:color w:val="000000" w:themeColor="text1"/>
          <w:sz w:val="24"/>
        </w:rPr>
      </w:pPr>
      <w:r>
        <w:rPr>
          <w:rFonts w:hint="eastAsia" w:ascii="宋体" w:hAnsi="宋体" w:cs="宋体"/>
          <w:color w:val="000000" w:themeColor="text1"/>
          <w:sz w:val="24"/>
        </w:rPr>
        <w:t xml:space="preserve"> 12.4、采购代理机构将评审过程与采购人情况书面报送有关监督机构备案。</w:t>
      </w:r>
    </w:p>
    <w:p>
      <w:pPr>
        <w:spacing w:beforeLines="50" w:afterLines="50" w:line="450" w:lineRule="exact"/>
        <w:rPr>
          <w:rFonts w:ascii="宋体" w:hAnsi="宋体" w:cs="宋体"/>
          <w:b/>
          <w:color w:val="000000" w:themeColor="text1"/>
          <w:sz w:val="24"/>
        </w:rPr>
      </w:pPr>
      <w:r>
        <w:rPr>
          <w:rFonts w:hint="eastAsia" w:ascii="宋体" w:hAnsi="宋体" w:cs="宋体"/>
          <w:b/>
          <w:bCs/>
          <w:color w:val="000000" w:themeColor="text1"/>
          <w:sz w:val="24"/>
        </w:rPr>
        <w:t>13、</w:t>
      </w:r>
      <w:bookmarkEnd w:id="17"/>
      <w:bookmarkEnd w:id="18"/>
      <w:bookmarkEnd w:id="19"/>
      <w:r>
        <w:rPr>
          <w:rFonts w:hint="eastAsia" w:ascii="宋体" w:hAnsi="宋体" w:cs="宋体"/>
          <w:b/>
          <w:bCs/>
          <w:color w:val="000000" w:themeColor="text1"/>
          <w:sz w:val="24"/>
        </w:rPr>
        <w:t>成交通知书</w:t>
      </w:r>
    </w:p>
    <w:p>
      <w:pPr>
        <w:widowControl/>
        <w:shd w:val="clear" w:color="auto" w:fill="FFFFFF"/>
        <w:spacing w:line="450" w:lineRule="exact"/>
        <w:ind w:firstLine="470" w:firstLineChars="196"/>
        <w:jc w:val="left"/>
        <w:rPr>
          <w:rFonts w:ascii="宋体" w:hAnsi="宋体" w:cs="宋体"/>
          <w:color w:val="000000" w:themeColor="text1"/>
          <w:kern w:val="0"/>
          <w:sz w:val="24"/>
        </w:rPr>
      </w:pPr>
      <w:r>
        <w:rPr>
          <w:rFonts w:hint="eastAsia" w:ascii="宋体" w:hAnsi="宋体" w:cs="宋体"/>
          <w:color w:val="000000" w:themeColor="text1"/>
          <w:sz w:val="24"/>
        </w:rPr>
        <w:t>13.1、成交通知书是合同文件的组成部分，对采购人和成交供应商具有同等法律效力。</w:t>
      </w:r>
      <w:r>
        <w:rPr>
          <w:rFonts w:hint="eastAsia" w:ascii="宋体" w:hAnsi="宋体" w:cs="宋体"/>
          <w:color w:val="000000" w:themeColor="text1"/>
          <w:kern w:val="0"/>
          <w:sz w:val="24"/>
        </w:rPr>
        <w:t>成交通知书发出后，采购人改变中标结果或者成交供应商放弃成交，应按相关法律、规章、规范性文件的要求承担相应的法律责任。</w:t>
      </w:r>
    </w:p>
    <w:p>
      <w:pPr>
        <w:tabs>
          <w:tab w:val="left" w:pos="7665"/>
        </w:tabs>
        <w:spacing w:line="450" w:lineRule="exact"/>
        <w:ind w:firstLine="480"/>
        <w:rPr>
          <w:rFonts w:ascii="宋体" w:hAnsi="宋体" w:cs="宋体"/>
          <w:color w:val="000000" w:themeColor="text1"/>
          <w:sz w:val="24"/>
        </w:rPr>
      </w:pPr>
      <w:r>
        <w:rPr>
          <w:rFonts w:hint="eastAsia" w:ascii="宋体" w:hAnsi="宋体" w:cs="宋体"/>
          <w:color w:val="000000" w:themeColor="text1"/>
          <w:sz w:val="24"/>
        </w:rPr>
        <w:t>13.2、成交供应商应当在接到采购代理机构通知之日起5个工作日内，领取《成交通知书》。</w:t>
      </w:r>
    </w:p>
    <w:p>
      <w:pPr>
        <w:tabs>
          <w:tab w:val="left" w:pos="7665"/>
        </w:tabs>
        <w:spacing w:line="450" w:lineRule="exact"/>
        <w:ind w:firstLine="480"/>
        <w:rPr>
          <w:rFonts w:ascii="宋体" w:hAnsi="宋体" w:cs="宋体"/>
          <w:color w:val="000000" w:themeColor="text1"/>
          <w:sz w:val="24"/>
        </w:rPr>
      </w:pPr>
      <w:r>
        <w:rPr>
          <w:rFonts w:hint="eastAsia" w:ascii="宋体" w:hAnsi="宋体" w:cs="宋体"/>
          <w:color w:val="000000" w:themeColor="text1"/>
          <w:sz w:val="24"/>
        </w:rPr>
        <w:t>13.3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pPr>
        <w:tabs>
          <w:tab w:val="left" w:pos="7665"/>
        </w:tabs>
        <w:spacing w:line="450" w:lineRule="exact"/>
        <w:ind w:firstLine="482"/>
        <w:rPr>
          <w:rFonts w:ascii="宋体" w:hAnsi="宋体" w:cs="宋体"/>
          <w:color w:val="000000" w:themeColor="text1"/>
          <w:sz w:val="24"/>
        </w:rPr>
      </w:pPr>
      <w:r>
        <w:rPr>
          <w:rFonts w:hint="eastAsia" w:ascii="宋体" w:hAnsi="宋体" w:cs="宋体"/>
          <w:color w:val="000000" w:themeColor="text1"/>
          <w:sz w:val="24"/>
        </w:rPr>
        <w:t>13.4、成交供应商在收到采购代理机构的成交通知书后5日内，应按照磋商供应商须知前列表的规定，向采购人提交履约磋商保证金或履约担保。</w:t>
      </w:r>
    </w:p>
    <w:p>
      <w:pPr>
        <w:tabs>
          <w:tab w:val="left" w:pos="7665"/>
        </w:tabs>
        <w:spacing w:line="450" w:lineRule="exact"/>
        <w:ind w:firstLine="482"/>
        <w:rPr>
          <w:rFonts w:ascii="宋体" w:hAnsi="宋体" w:cs="宋体"/>
          <w:color w:val="000000" w:themeColor="text1"/>
          <w:spacing w:val="2"/>
          <w:sz w:val="24"/>
        </w:rPr>
      </w:pPr>
      <w:r>
        <w:rPr>
          <w:rFonts w:hint="eastAsia" w:ascii="宋体" w:hAnsi="宋体" w:cs="宋体"/>
          <w:color w:val="000000" w:themeColor="text1"/>
          <w:sz w:val="24"/>
        </w:rPr>
        <w:t>13.5、成交供应商</w:t>
      </w:r>
      <w:r>
        <w:rPr>
          <w:rFonts w:hint="eastAsia" w:ascii="宋体" w:hAnsi="宋体" w:cs="宋体"/>
          <w:color w:val="000000" w:themeColor="text1"/>
          <w:spacing w:val="4"/>
          <w:sz w:val="24"/>
        </w:rPr>
        <w:t>没有按照本章第13.4条</w:t>
      </w:r>
      <w:r>
        <w:rPr>
          <w:rFonts w:hint="eastAsia" w:ascii="宋体" w:hAnsi="宋体" w:cs="宋体"/>
          <w:color w:val="000000" w:themeColor="text1"/>
          <w:kern w:val="0"/>
          <w:sz w:val="24"/>
          <w:lang w:val="zh-CN"/>
        </w:rPr>
        <w:t>款</w:t>
      </w:r>
      <w:r>
        <w:rPr>
          <w:rFonts w:hint="eastAsia" w:ascii="宋体" w:hAnsi="宋体" w:cs="宋体"/>
          <w:color w:val="000000" w:themeColor="text1"/>
          <w:spacing w:val="4"/>
          <w:sz w:val="24"/>
        </w:rPr>
        <w:t>规定</w:t>
      </w:r>
      <w:r>
        <w:rPr>
          <w:rFonts w:hint="eastAsia" w:ascii="宋体" w:hAnsi="宋体" w:cs="宋体"/>
          <w:color w:val="000000" w:themeColor="text1"/>
          <w:sz w:val="24"/>
        </w:rPr>
        <w:t>提交履约磋商保证金或履约担保的</w:t>
      </w:r>
      <w:r>
        <w:rPr>
          <w:rFonts w:hint="eastAsia" w:ascii="宋体" w:hAnsi="宋体" w:cs="宋体"/>
          <w:color w:val="000000" w:themeColor="text1"/>
          <w:spacing w:val="4"/>
          <w:sz w:val="24"/>
        </w:rPr>
        <w:t>，视为放弃</w:t>
      </w:r>
      <w:r>
        <w:rPr>
          <w:rFonts w:hint="eastAsia" w:ascii="宋体" w:hAnsi="宋体" w:cs="宋体"/>
          <w:color w:val="000000" w:themeColor="text1"/>
          <w:sz w:val="24"/>
        </w:rPr>
        <w:t>中标资格</w:t>
      </w:r>
      <w:r>
        <w:rPr>
          <w:rFonts w:hint="eastAsia" w:ascii="宋体" w:hAnsi="宋体" w:cs="宋体"/>
          <w:color w:val="000000" w:themeColor="text1"/>
          <w:spacing w:val="4"/>
          <w:sz w:val="24"/>
        </w:rPr>
        <w:t>，</w:t>
      </w:r>
      <w:r>
        <w:rPr>
          <w:rFonts w:hint="eastAsia" w:ascii="宋体" w:hAnsi="宋体" w:cs="宋体"/>
          <w:color w:val="000000" w:themeColor="text1"/>
          <w:spacing w:val="2"/>
          <w:sz w:val="24"/>
        </w:rPr>
        <w:t>其磋商保证金不予退还。</w:t>
      </w:r>
    </w:p>
    <w:p>
      <w:pPr>
        <w:spacing w:line="500" w:lineRule="exact"/>
        <w:rPr>
          <w:rFonts w:ascii="宋体" w:hAnsi="宋体" w:cs="宋体"/>
          <w:b/>
          <w:color w:val="000000" w:themeColor="text1"/>
          <w:sz w:val="36"/>
          <w:szCs w:val="36"/>
        </w:rPr>
        <w:sectPr>
          <w:footerReference r:id="rId5" w:type="default"/>
          <w:pgSz w:w="11906" w:h="16838"/>
          <w:pgMar w:top="1440" w:right="1800" w:bottom="1440" w:left="1800" w:header="851" w:footer="992" w:gutter="0"/>
          <w:pgNumType w:start="1"/>
          <w:cols w:space="720" w:num="1"/>
          <w:docGrid w:type="lines" w:linePitch="312" w:charSpace="0"/>
        </w:sectPr>
      </w:pPr>
    </w:p>
    <w:p>
      <w:pPr>
        <w:adjustRightInd w:val="0"/>
        <w:snapToGrid w:val="0"/>
        <w:spacing w:line="360" w:lineRule="auto"/>
        <w:jc w:val="center"/>
        <w:rPr>
          <w:rFonts w:asciiTheme="majorEastAsia" w:hAnsiTheme="majorEastAsia" w:eastAsiaTheme="majorEastAsia" w:cstheme="majorEastAsia"/>
          <w:b/>
          <w:color w:val="000000" w:themeColor="text1"/>
          <w:sz w:val="36"/>
          <w:szCs w:val="36"/>
        </w:rPr>
      </w:pPr>
      <w:bookmarkStart w:id="20" w:name="_Toc12943_WPSOffice_Level1"/>
      <w:bookmarkStart w:id="21" w:name="_Toc11896_WPSOffice_Level1"/>
      <w:r>
        <w:rPr>
          <w:rFonts w:hint="eastAsia" w:asciiTheme="majorEastAsia" w:hAnsiTheme="majorEastAsia" w:eastAsiaTheme="majorEastAsia" w:cstheme="majorEastAsia"/>
          <w:b/>
          <w:color w:val="000000" w:themeColor="text1"/>
          <w:sz w:val="36"/>
          <w:szCs w:val="36"/>
        </w:rPr>
        <w:t>第四章  采购内容及具体要求</w:t>
      </w:r>
      <w:bookmarkEnd w:id="16"/>
      <w:bookmarkEnd w:id="20"/>
      <w:bookmarkEnd w:id="21"/>
    </w:p>
    <w:p>
      <w:pPr>
        <w:adjustRightInd w:val="0"/>
        <w:snapToGrid w:val="0"/>
        <w:spacing w:line="360" w:lineRule="auto"/>
        <w:ind w:firstLine="482" w:firstLineChars="200"/>
        <w:rPr>
          <w:rFonts w:hint="eastAsia" w:ascii="宋体" w:hAnsi="宋体" w:eastAsia="宋体" w:cs="宋体"/>
          <w:b/>
          <w:bCs/>
          <w:color w:val="000000"/>
          <w:sz w:val="24"/>
          <w:lang w:val="en-US" w:eastAsia="zh-CN"/>
        </w:rPr>
      </w:pPr>
      <w:bookmarkStart w:id="22" w:name="_Toc12435_WPSOffice_Level1"/>
      <w:bookmarkStart w:id="23" w:name="_Toc22187_WPSOffice_Level1"/>
      <w:bookmarkStart w:id="24" w:name="_Toc17266_WPSOffice_Level1"/>
      <w:r>
        <w:rPr>
          <w:rFonts w:hint="eastAsia" w:ascii="宋体" w:hAnsi="宋体" w:eastAsia="宋体" w:cs="宋体"/>
          <w:b/>
          <w:bCs/>
          <w:color w:val="000000"/>
          <w:sz w:val="24"/>
          <w:lang w:val="en-US" w:eastAsia="zh-CN"/>
        </w:rPr>
        <w:t>一、项目概况：</w:t>
      </w:r>
    </w:p>
    <w:p>
      <w:pPr>
        <w:adjustRightInd w:val="0"/>
        <w:snapToGrid w:val="0"/>
        <w:spacing w:line="360" w:lineRule="auto"/>
        <w:ind w:firstLine="640" w:firstLineChars="200"/>
        <w:rPr>
          <w:rFonts w:hint="eastAsia" w:ascii="Times New Roman" w:hAnsi="Times New Roman" w:eastAsia="Times New Roman" w:cs="Times New Roman"/>
          <w:sz w:val="32"/>
          <w:szCs w:val="40"/>
          <w:lang w:val="en-US" w:eastAsia="zh-CN"/>
        </w:rPr>
      </w:pPr>
      <w:r>
        <w:rPr>
          <w:rFonts w:hint="eastAsia"/>
          <w:sz w:val="32"/>
          <w:szCs w:val="40"/>
          <w:lang w:val="en-US" w:eastAsia="zh-CN"/>
        </w:rPr>
        <w:t>延川县乡镇及移民安置点生活污水处理站建设工程勘</w:t>
      </w:r>
      <w:r>
        <w:rPr>
          <w:rFonts w:hint="eastAsia" w:ascii="Times New Roman" w:hAnsi="Times New Roman" w:eastAsia="Times New Roman" w:cs="Times New Roman"/>
          <w:sz w:val="32"/>
          <w:szCs w:val="40"/>
          <w:lang w:val="en-US" w:eastAsia="zh-CN"/>
        </w:rPr>
        <w:t>察，主要涉及杨家圪台镇、稍道河移民搬迁社区、王家河移民搬迁社区、乾坤湾镇、马家河社区、郭家塔移民搬迁社区、甄家湾及贾家坪镇8个污水处理站。</w:t>
      </w:r>
    </w:p>
    <w:p>
      <w:pPr>
        <w:adjustRightInd w:val="0"/>
        <w:snapToGrid w:val="0"/>
        <w:spacing w:line="360" w:lineRule="auto"/>
        <w:ind w:firstLine="640" w:firstLineChars="200"/>
        <w:rPr>
          <w:rFonts w:hint="eastAsia" w:ascii="Times New Roman" w:hAnsi="Times New Roman" w:eastAsia="Times New Roman" w:cs="Times New Roman"/>
          <w:kern w:val="2"/>
          <w:sz w:val="28"/>
          <w:szCs w:val="36"/>
          <w:lang w:val="en-US" w:eastAsia="zh-CN" w:bidi="ar-SA"/>
        </w:rPr>
      </w:pPr>
      <w:r>
        <w:rPr>
          <w:rFonts w:hint="eastAsia"/>
          <w:sz w:val="32"/>
          <w:szCs w:val="40"/>
          <w:lang w:val="en-US" w:eastAsia="zh-CN"/>
        </w:rPr>
        <w:t xml:space="preserve"> </w:t>
      </w:r>
      <w:r>
        <w:rPr>
          <w:rFonts w:hint="eastAsia" w:ascii="Times New Roman" w:hAnsi="Times New Roman" w:eastAsia="Times New Roman" w:cs="Times New Roman"/>
          <w:kern w:val="2"/>
          <w:sz w:val="28"/>
          <w:szCs w:val="36"/>
          <w:lang w:val="en-US" w:eastAsia="zh-CN" w:bidi="ar-SA"/>
        </w:rPr>
        <w:t>二、设计依据</w:t>
      </w:r>
    </w:p>
    <w:p>
      <w:pPr>
        <w:adjustRightInd w:val="0"/>
        <w:snapToGrid w:val="0"/>
        <w:spacing w:line="360" w:lineRule="auto"/>
        <w:ind w:firstLine="480" w:firstLineChars="200"/>
        <w:rPr>
          <w:rFonts w:ascii="宋体" w:hAnsi="宋体" w:eastAsia="宋体" w:cs="宋体"/>
          <w:color w:val="000000"/>
          <w:sz w:val="24"/>
        </w:rPr>
      </w:pPr>
      <w:r>
        <w:rPr>
          <w:rFonts w:ascii="宋体" w:hAnsi="宋体" w:eastAsia="宋体" w:cs="宋体"/>
          <w:color w:val="000000"/>
          <w:sz w:val="24"/>
        </w:rPr>
        <w:t>1.国家及地方相关法律法规和</w:t>
      </w:r>
      <w:r>
        <w:rPr>
          <w:rFonts w:hint="eastAsia" w:ascii="宋体" w:hAnsi="宋体" w:eastAsia="宋体" w:cs="宋体"/>
          <w:color w:val="000000"/>
          <w:sz w:val="24"/>
          <w:lang w:eastAsia="zh-CN"/>
        </w:rPr>
        <w:t>勘察</w:t>
      </w:r>
      <w:r>
        <w:rPr>
          <w:rFonts w:ascii="宋体" w:hAnsi="宋体" w:eastAsia="宋体" w:cs="宋体"/>
          <w:color w:val="000000"/>
          <w:sz w:val="24"/>
        </w:rPr>
        <w:t>设计规范；</w:t>
      </w:r>
    </w:p>
    <w:p>
      <w:pPr>
        <w:adjustRightInd w:val="0"/>
        <w:snapToGrid w:val="0"/>
        <w:spacing w:line="360" w:lineRule="auto"/>
        <w:ind w:firstLine="480" w:firstLineChars="200"/>
        <w:rPr>
          <w:rFonts w:ascii="宋体" w:hAnsi="宋体" w:eastAsia="宋体" w:cs="宋体"/>
          <w:color w:val="000000"/>
          <w:sz w:val="24"/>
        </w:rPr>
      </w:pPr>
      <w:r>
        <w:rPr>
          <w:rFonts w:ascii="宋体" w:hAnsi="宋体" w:eastAsia="宋体" w:cs="宋体"/>
          <w:color w:val="000000"/>
          <w:sz w:val="24"/>
        </w:rPr>
        <w:t>2.甲方提供的</w:t>
      </w:r>
      <w:r>
        <w:rPr>
          <w:rFonts w:hint="eastAsia" w:ascii="宋体" w:hAnsi="宋体" w:eastAsia="宋体" w:cs="宋体"/>
          <w:color w:val="000000"/>
          <w:sz w:val="24"/>
          <w:lang w:eastAsia="zh-CN"/>
        </w:rPr>
        <w:t>勘察</w:t>
      </w:r>
      <w:r>
        <w:rPr>
          <w:rFonts w:ascii="宋体" w:hAnsi="宋体" w:eastAsia="宋体" w:cs="宋体"/>
          <w:color w:val="000000"/>
          <w:sz w:val="24"/>
        </w:rPr>
        <w:t>任务书；、</w:t>
      </w:r>
    </w:p>
    <w:p>
      <w:pPr>
        <w:adjustRightInd w:val="0"/>
        <w:snapToGrid w:val="0"/>
        <w:spacing w:line="360" w:lineRule="auto"/>
        <w:ind w:firstLine="482" w:firstLineChars="200"/>
        <w:rPr>
          <w:rFonts w:ascii="宋体" w:hAnsi="宋体" w:eastAsia="宋体" w:cs="宋体"/>
          <w:color w:val="000000"/>
        </w:rPr>
      </w:pPr>
      <w:r>
        <w:rPr>
          <w:rFonts w:ascii="宋体" w:hAnsi="宋体" w:eastAsia="宋体" w:cs="宋体"/>
          <w:b/>
          <w:bCs/>
          <w:color w:val="000000"/>
          <w:sz w:val="24"/>
        </w:rPr>
        <w:t>三、</w:t>
      </w:r>
      <w:r>
        <w:rPr>
          <w:rFonts w:hint="eastAsia" w:ascii="宋体" w:hAnsi="宋体" w:eastAsia="宋体" w:cs="宋体"/>
          <w:b/>
          <w:bCs/>
          <w:color w:val="000000"/>
          <w:sz w:val="24"/>
          <w:lang w:eastAsia="zh-CN"/>
        </w:rPr>
        <w:t>勘察</w:t>
      </w:r>
      <w:r>
        <w:rPr>
          <w:rFonts w:ascii="宋体" w:hAnsi="宋体" w:eastAsia="宋体" w:cs="宋体"/>
          <w:b/>
          <w:bCs/>
          <w:color w:val="000000"/>
          <w:sz w:val="24"/>
        </w:rPr>
        <w:t>范围与要求</w:t>
      </w:r>
    </w:p>
    <w:p>
      <w:pPr>
        <w:adjustRightInd w:val="0"/>
        <w:snapToGrid w:val="0"/>
        <w:spacing w:line="360" w:lineRule="auto"/>
        <w:ind w:firstLine="640" w:firstLineChars="200"/>
        <w:rPr>
          <w:rFonts w:hint="eastAsia" w:ascii="Times New Roman" w:hAnsi="Times New Roman" w:eastAsia="Times New Roman" w:cs="Times New Roman"/>
          <w:sz w:val="32"/>
          <w:szCs w:val="40"/>
          <w:lang w:val="en-US" w:eastAsia="zh-CN"/>
        </w:rPr>
      </w:pPr>
      <w:r>
        <w:rPr>
          <w:rFonts w:hint="eastAsia"/>
          <w:sz w:val="32"/>
          <w:szCs w:val="40"/>
          <w:lang w:val="en-US" w:eastAsia="zh-CN"/>
        </w:rPr>
        <w:t>延川县乡镇及移民安置点生活污水处理站建设工程勘</w:t>
      </w:r>
      <w:r>
        <w:rPr>
          <w:rFonts w:hint="eastAsia" w:ascii="Times New Roman" w:hAnsi="Times New Roman" w:eastAsia="Times New Roman" w:cs="Times New Roman"/>
          <w:sz w:val="32"/>
          <w:szCs w:val="40"/>
          <w:lang w:val="en-US" w:eastAsia="zh-CN"/>
        </w:rPr>
        <w:t>察，主要涉及杨家圪台镇、稍道河移民搬迁社区、王家河移民搬迁社区、乾坤湾镇、马家河社区、郭家塔移民搬迁社区、甄家湾及贾家坪镇8个污水处理站。</w:t>
      </w:r>
    </w:p>
    <w:p>
      <w:pPr>
        <w:adjustRightInd w:val="0"/>
        <w:snapToGrid w:val="0"/>
        <w:spacing w:line="360" w:lineRule="auto"/>
        <w:ind w:firstLine="482" w:firstLineChars="200"/>
        <w:rPr>
          <w:rFonts w:ascii="宋体" w:hAnsi="宋体" w:eastAsia="宋体" w:cs="宋体"/>
          <w:b/>
          <w:bCs/>
          <w:color w:val="000000"/>
          <w:sz w:val="24"/>
        </w:rPr>
      </w:pPr>
      <w:r>
        <w:rPr>
          <w:rFonts w:ascii="宋体" w:hAnsi="宋体" w:eastAsia="宋体" w:cs="宋体"/>
          <w:b/>
          <w:bCs/>
          <w:color w:val="000000"/>
          <w:sz w:val="24"/>
        </w:rPr>
        <w:t>四、成果要求</w:t>
      </w:r>
    </w:p>
    <w:p>
      <w:pPr>
        <w:adjustRightInd w:val="0"/>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eastAsia="zh-CN"/>
        </w:rPr>
        <w:t>勘察</w:t>
      </w:r>
      <w:r>
        <w:rPr>
          <w:rFonts w:ascii="宋体" w:hAnsi="宋体" w:eastAsia="宋体" w:cs="宋体"/>
          <w:color w:val="000000"/>
          <w:sz w:val="24"/>
        </w:rPr>
        <w:t>文件</w:t>
      </w:r>
      <w:r>
        <w:rPr>
          <w:rFonts w:hint="eastAsia" w:ascii="宋体" w:hAnsi="宋体" w:eastAsia="宋体" w:cs="宋体"/>
          <w:color w:val="000000"/>
          <w:sz w:val="24"/>
          <w:lang w:val="en-US" w:eastAsia="zh-CN"/>
        </w:rPr>
        <w:t>5</w:t>
      </w:r>
      <w:r>
        <w:rPr>
          <w:rFonts w:ascii="宋体" w:hAnsi="宋体" w:eastAsia="宋体" w:cs="宋体"/>
          <w:color w:val="000000"/>
          <w:sz w:val="24"/>
        </w:rPr>
        <w:t>套及PDF格式电子版文件。</w:t>
      </w:r>
    </w:p>
    <w:p>
      <w:pPr>
        <w:adjustRightInd w:val="0"/>
        <w:snapToGrid w:val="0"/>
        <w:spacing w:line="360" w:lineRule="auto"/>
        <w:ind w:firstLine="482" w:firstLineChars="200"/>
        <w:rPr>
          <w:rFonts w:ascii="宋体" w:hAnsi="宋体" w:eastAsia="宋体" w:cs="宋体"/>
          <w:b/>
          <w:bCs/>
          <w:color w:val="000000"/>
          <w:sz w:val="24"/>
        </w:rPr>
      </w:pPr>
      <w:r>
        <w:rPr>
          <w:rFonts w:ascii="宋体" w:hAnsi="宋体" w:eastAsia="宋体" w:cs="宋体"/>
          <w:b/>
          <w:bCs/>
          <w:color w:val="000000"/>
          <w:sz w:val="24"/>
        </w:rPr>
        <w:t>五、踏勘现场</w:t>
      </w:r>
    </w:p>
    <w:p>
      <w:pPr>
        <w:adjustRightInd w:val="0"/>
        <w:snapToGrid w:val="0"/>
        <w:spacing w:line="360" w:lineRule="auto"/>
        <w:ind w:firstLine="480" w:firstLineChars="200"/>
        <w:rPr>
          <w:rFonts w:ascii="宋体" w:hAnsi="宋体" w:eastAsia="宋体" w:cs="宋体"/>
          <w:color w:val="000000"/>
          <w:sz w:val="24"/>
        </w:rPr>
      </w:pPr>
      <w:r>
        <w:rPr>
          <w:rFonts w:ascii="宋体" w:hAnsi="宋体" w:eastAsia="宋体" w:cs="宋体"/>
          <w:color w:val="000000"/>
          <w:sz w:val="24"/>
        </w:rPr>
        <w:t>响应供应商根据需要，对工程现场及周围环境进行踏勘，以便响应供应商获取须自己负责的有关编制响应文件和签署合同所需的所有资料。踏勘现场所发生的费用由响应供应商自己承担。</w:t>
      </w:r>
    </w:p>
    <w:p>
      <w:pPr>
        <w:adjustRightInd w:val="0"/>
        <w:snapToGrid w:val="0"/>
        <w:spacing w:line="360" w:lineRule="auto"/>
        <w:ind w:firstLine="482" w:firstLineChars="200"/>
        <w:rPr>
          <w:rFonts w:ascii="宋体" w:hAnsi="宋体" w:eastAsia="宋体" w:cs="宋体"/>
          <w:color w:val="000000"/>
          <w:sz w:val="24"/>
        </w:rPr>
      </w:pPr>
      <w:r>
        <w:rPr>
          <w:rFonts w:ascii="宋体" w:hAnsi="宋体" w:eastAsia="宋体" w:cs="宋体"/>
          <w:b/>
          <w:bCs/>
          <w:color w:val="000000"/>
          <w:sz w:val="24"/>
        </w:rPr>
        <w:t>六、售后服务承诺</w:t>
      </w:r>
    </w:p>
    <w:p>
      <w:pPr>
        <w:adjustRightInd w:val="0"/>
        <w:snapToGrid w:val="0"/>
        <w:spacing w:line="360" w:lineRule="auto"/>
        <w:ind w:firstLine="480" w:firstLineChars="200"/>
        <w:rPr>
          <w:rFonts w:ascii="宋体" w:hAnsi="宋体" w:eastAsia="宋体" w:cs="宋体"/>
          <w:color w:val="000000"/>
          <w:sz w:val="24"/>
        </w:rPr>
      </w:pPr>
      <w:r>
        <w:rPr>
          <w:rFonts w:ascii="宋体" w:hAnsi="宋体" w:eastAsia="宋体" w:cs="宋体"/>
          <w:color w:val="000000"/>
          <w:sz w:val="24"/>
        </w:rPr>
        <w:t>1.为确保服务质量及与采购人沟通联络，成交供应商须设置专职主管，负责对本项目的服务范围、服务质量的检查监督及与采购人日常业务联系。</w:t>
      </w:r>
    </w:p>
    <w:p>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2.成交供应商须主动接受采购人的指导、检查、监督及协调。</w:t>
      </w:r>
    </w:p>
    <w:p>
      <w:pPr>
        <w:adjustRightInd w:val="0"/>
        <w:snapToGrid w:val="0"/>
        <w:spacing w:line="360" w:lineRule="auto"/>
        <w:ind w:firstLine="482" w:firstLineChars="200"/>
        <w:rPr>
          <w:rFonts w:ascii="宋体" w:hAnsi="宋体" w:eastAsia="宋体" w:cs="宋体"/>
          <w:b/>
          <w:bCs/>
          <w:color w:val="000000"/>
          <w:sz w:val="24"/>
        </w:rPr>
      </w:pPr>
      <w:r>
        <w:rPr>
          <w:rFonts w:ascii="宋体" w:hAnsi="宋体" w:eastAsia="宋体" w:cs="宋体"/>
          <w:b/>
          <w:bCs/>
          <w:color w:val="000000"/>
          <w:sz w:val="24"/>
        </w:rPr>
        <w:t>七、工期要求</w:t>
      </w:r>
    </w:p>
    <w:p>
      <w:pPr>
        <w:adjustRightInd w:val="0"/>
        <w:snapToGrid w:val="0"/>
        <w:spacing w:line="360" w:lineRule="auto"/>
        <w:ind w:firstLine="560" w:firstLineChars="200"/>
        <w:rPr>
          <w:rFonts w:hint="eastAsia" w:ascii="Times New Roman" w:hAnsi="Times New Roman" w:eastAsia="Times New Roman" w:cs="Times New Roman"/>
          <w:sz w:val="28"/>
          <w:szCs w:val="36"/>
          <w:lang w:val="en-US" w:eastAsia="zh-CN"/>
        </w:rPr>
      </w:pPr>
      <w:r>
        <w:rPr>
          <w:rFonts w:hint="eastAsia" w:ascii="Times New Roman" w:hAnsi="Times New Roman" w:eastAsia="Times New Roman" w:cs="Times New Roman"/>
          <w:sz w:val="28"/>
          <w:szCs w:val="36"/>
          <w:lang w:val="en-US" w:eastAsia="zh-CN"/>
        </w:rPr>
        <w:t>本设计在合同签订和采购人提供资料齐全后20天内提供全套成果资料。</w:t>
      </w:r>
    </w:p>
    <w:p>
      <w:pPr>
        <w:rPr>
          <w:rFonts w:asciiTheme="majorEastAsia" w:hAnsiTheme="majorEastAsia" w:eastAsiaTheme="majorEastAsia"/>
          <w:b/>
          <w:bCs/>
          <w:color w:val="000000" w:themeColor="text1"/>
          <w:sz w:val="28"/>
        </w:rPr>
      </w:pPr>
    </w:p>
    <w:p>
      <w:pPr>
        <w:pStyle w:val="18"/>
        <w:numPr>
          <w:ilvl w:val="0"/>
          <w:numId w:val="2"/>
        </w:numPr>
        <w:spacing w:beforeAutospacing="0" w:afterAutospacing="0" w:line="360" w:lineRule="auto"/>
        <w:jc w:val="center"/>
        <w:rPr>
          <w:rFonts w:asciiTheme="majorEastAsia" w:hAnsiTheme="majorEastAsia" w:eastAsiaTheme="majorEastAsia"/>
          <w:b/>
          <w:bCs/>
          <w:color w:val="000000" w:themeColor="text1"/>
          <w:sz w:val="28"/>
        </w:rPr>
      </w:pPr>
      <w:r>
        <w:rPr>
          <w:rFonts w:hint="eastAsia" w:asciiTheme="majorEastAsia" w:hAnsiTheme="majorEastAsia" w:eastAsiaTheme="majorEastAsia"/>
          <w:b/>
          <w:bCs/>
          <w:color w:val="000000" w:themeColor="text1"/>
          <w:sz w:val="28"/>
        </w:rPr>
        <w:t xml:space="preserve"> 合同格式及条款</w:t>
      </w:r>
      <w:bookmarkEnd w:id="22"/>
      <w:bookmarkEnd w:id="23"/>
      <w:bookmarkEnd w:id="24"/>
    </w:p>
    <w:p>
      <w:pPr>
        <w:pStyle w:val="20"/>
        <w:ind w:firstLine="2168" w:firstLineChars="900"/>
        <w:rPr>
          <w:rFonts w:ascii="宋体" w:hAnsi="宋体" w:cs="宋体"/>
          <w:b/>
          <w:bCs/>
          <w:color w:val="000000" w:themeColor="text1"/>
          <w:sz w:val="24"/>
          <w:szCs w:val="24"/>
        </w:rPr>
      </w:pPr>
      <w:r>
        <w:rPr>
          <w:rFonts w:hint="eastAsia" w:ascii="宋体" w:hAnsi="宋体" w:cs="宋体"/>
          <w:b/>
          <w:bCs/>
          <w:color w:val="000000" w:themeColor="text1"/>
          <w:sz w:val="24"/>
          <w:szCs w:val="24"/>
        </w:rPr>
        <w:t>（具体合同内容，签订时以甲方要求为准）</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甲方(采购人)：</w:t>
      </w:r>
      <w:r>
        <w:rPr>
          <w:rFonts w:hint="eastAsia" w:cs="宋体" w:asciiTheme="majorEastAsia" w:hAnsiTheme="majorEastAsia" w:eastAsiaTheme="majorEastAsia"/>
          <w:color w:val="000000" w:themeColor="text1"/>
          <w:sz w:val="24"/>
          <w:u w:val="single"/>
        </w:rPr>
        <w:t xml:space="preserve">                                   .</w:t>
      </w:r>
    </w:p>
    <w:p>
      <w:pPr>
        <w:tabs>
          <w:tab w:val="left" w:pos="9030"/>
        </w:tabs>
        <w:snapToGrid w:val="0"/>
        <w:spacing w:line="360" w:lineRule="auto"/>
        <w:ind w:right="-65" w:firstLine="420" w:firstLineChars="200"/>
        <w:rPr>
          <w:rFonts w:cs="宋体" w:asciiTheme="majorEastAsia" w:hAnsiTheme="majorEastAsia" w:eastAsiaTheme="majorEastAsia"/>
          <w:color w:val="000000" w:themeColor="text1"/>
          <w:sz w:val="24"/>
        </w:rPr>
      </w:pPr>
      <w:r>
        <w:fldChar w:fldCharType="begin"/>
      </w:r>
      <w:r>
        <w:instrText xml:space="preserve"> HYPERLINK "http://set2.mail.qq.com/cgi-bin/mail_spam?action=check_link&amp;spam=0&amp;url=http%3A%2F%2Fwww%2Ebaidu%2Ecom%2Fs%3Fwd%3D%25E4%25B9%2599%25E6%2596%25B9%26hl_tag%3Dtextlink%26tn%3DSE_hldp01350_v6v6zkg6" </w:instrText>
      </w:r>
      <w:r>
        <w:fldChar w:fldCharType="separate"/>
      </w:r>
      <w:r>
        <w:rPr>
          <w:rStyle w:val="29"/>
          <w:rFonts w:asciiTheme="majorEastAsia" w:hAnsiTheme="majorEastAsia" w:eastAsiaTheme="majorEastAsia"/>
          <w:color w:val="000000" w:themeColor="text1"/>
          <w:sz w:val="24"/>
        </w:rPr>
        <w:t>乙方</w:t>
      </w:r>
      <w:r>
        <w:rPr>
          <w:rStyle w:val="29"/>
          <w:rFonts w:asciiTheme="majorEastAsia" w:hAnsiTheme="majorEastAsia" w:eastAsiaTheme="majorEastAsia"/>
          <w:color w:val="000000" w:themeColor="text1"/>
          <w:sz w:val="24"/>
        </w:rPr>
        <w:fldChar w:fldCharType="end"/>
      </w:r>
      <w:r>
        <w:rPr>
          <w:rFonts w:hint="eastAsia" w:cs="宋体" w:asciiTheme="majorEastAsia" w:hAnsiTheme="majorEastAsia" w:eastAsiaTheme="majorEastAsia"/>
          <w:color w:val="000000" w:themeColor="text1"/>
          <w:sz w:val="24"/>
        </w:rPr>
        <w:t>(供应商)：</w:t>
      </w:r>
      <w:r>
        <w:rPr>
          <w:rFonts w:hint="eastAsia" w:cs="宋体" w:asciiTheme="majorEastAsia" w:hAnsiTheme="majorEastAsia" w:eastAsiaTheme="majorEastAsia"/>
          <w:color w:val="000000" w:themeColor="text1"/>
          <w:sz w:val="24"/>
          <w:u w:val="single"/>
        </w:rPr>
        <w:t xml:space="preserve">                                   .</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甲乙双方根据</w:t>
      </w:r>
      <w:r>
        <w:rPr>
          <w:rFonts w:hint="eastAsia" w:cs="宋体" w:asciiTheme="majorEastAsia" w:hAnsiTheme="majorEastAsia" w:eastAsiaTheme="majorEastAsia"/>
          <w:color w:val="000000" w:themeColor="text1"/>
          <w:sz w:val="24"/>
          <w:u w:val="single"/>
        </w:rPr>
        <w:t xml:space="preserve">    </w:t>
      </w:r>
      <w:r>
        <w:rPr>
          <w:rFonts w:hint="eastAsia" w:cs="宋体" w:asciiTheme="majorEastAsia" w:hAnsiTheme="majorEastAsia" w:eastAsiaTheme="majorEastAsia"/>
          <w:color w:val="000000" w:themeColor="text1"/>
          <w:sz w:val="24"/>
        </w:rPr>
        <w:t>年</w:t>
      </w:r>
      <w:r>
        <w:rPr>
          <w:rFonts w:hint="eastAsia" w:cs="宋体" w:asciiTheme="majorEastAsia" w:hAnsiTheme="majorEastAsia" w:eastAsiaTheme="majorEastAsia"/>
          <w:color w:val="000000" w:themeColor="text1"/>
          <w:sz w:val="24"/>
          <w:u w:val="single"/>
        </w:rPr>
        <w:t xml:space="preserve">  </w:t>
      </w:r>
      <w:r>
        <w:rPr>
          <w:rFonts w:hint="eastAsia" w:cs="宋体" w:asciiTheme="majorEastAsia" w:hAnsiTheme="majorEastAsia" w:eastAsiaTheme="majorEastAsia"/>
          <w:color w:val="000000" w:themeColor="text1"/>
          <w:sz w:val="24"/>
        </w:rPr>
        <w:t>月</w:t>
      </w:r>
      <w:r>
        <w:rPr>
          <w:rFonts w:hint="eastAsia" w:cs="宋体" w:asciiTheme="majorEastAsia" w:hAnsiTheme="majorEastAsia" w:eastAsiaTheme="majorEastAsia"/>
          <w:color w:val="000000" w:themeColor="text1"/>
          <w:sz w:val="24"/>
          <w:u w:val="single"/>
        </w:rPr>
        <w:t xml:space="preserve">  </w:t>
      </w:r>
      <w:r>
        <w:rPr>
          <w:rFonts w:hint="eastAsia" w:cs="宋体" w:asciiTheme="majorEastAsia" w:hAnsiTheme="majorEastAsia" w:eastAsiaTheme="majorEastAsia"/>
          <w:color w:val="000000" w:themeColor="text1"/>
          <w:sz w:val="24"/>
        </w:rPr>
        <w:t>日</w:t>
      </w:r>
      <w:r>
        <w:rPr>
          <w:rFonts w:hint="eastAsia" w:cs="宋体" w:asciiTheme="majorEastAsia" w:hAnsiTheme="majorEastAsia" w:eastAsiaTheme="majorEastAsia"/>
          <w:color w:val="000000" w:themeColor="text1"/>
          <w:sz w:val="24"/>
          <w:u w:val="single"/>
        </w:rPr>
        <w:t>（项目名称）</w:t>
      </w:r>
      <w:r>
        <w:rPr>
          <w:rFonts w:hint="eastAsia" w:cs="宋体" w:asciiTheme="majorEastAsia" w:hAnsiTheme="majorEastAsia" w:eastAsiaTheme="majorEastAsia"/>
          <w:color w:val="000000" w:themeColor="text1"/>
          <w:sz w:val="24"/>
        </w:rPr>
        <w:t>采购结果及相关招标文件以及投标</w:t>
      </w:r>
      <w:r>
        <w:fldChar w:fldCharType="begin"/>
      </w:r>
      <w:r>
        <w:instrText xml:space="preserve"> HYPERLINK "http://set2.mail.qq.com/cgi-bin/mail_spam?action=check_link&amp;spam=0&amp;url=http%3A%2F%2Fwww%2Ebaidu%2Ecom%2Fs%3Fwd%3D%25E6%258A%2595%25E6%25A0%2587%25E6%2596%2587%25E4%25BB%25B6%26hl_tag%3Dtextlink%26tn%3DSE_hldp01350_v6v6zkg6" </w:instrText>
      </w:r>
      <w:r>
        <w:fldChar w:fldCharType="separate"/>
      </w:r>
      <w:r>
        <w:rPr>
          <w:rFonts w:cs="宋体" w:asciiTheme="majorEastAsia" w:hAnsiTheme="majorEastAsia" w:eastAsiaTheme="majorEastAsia"/>
          <w:color w:val="000000" w:themeColor="text1"/>
          <w:sz w:val="24"/>
        </w:rPr>
        <w:t>文件</w:t>
      </w:r>
      <w:r>
        <w:rPr>
          <w:rFonts w:cs="宋体" w:asciiTheme="majorEastAsia" w:hAnsiTheme="majorEastAsia" w:eastAsiaTheme="majorEastAsia"/>
          <w:color w:val="000000" w:themeColor="text1"/>
          <w:sz w:val="24"/>
        </w:rPr>
        <w:fldChar w:fldCharType="end"/>
      </w:r>
      <w:r>
        <w:rPr>
          <w:rFonts w:hint="eastAsia" w:cs="宋体" w:asciiTheme="majorEastAsia" w:hAnsiTheme="majorEastAsia" w:eastAsiaTheme="majorEastAsia"/>
          <w:color w:val="000000" w:themeColor="text1"/>
          <w:sz w:val="24"/>
        </w:rPr>
        <w:t>，经协商一致，订立本合同，供双方共同遵守：</w:t>
      </w:r>
    </w:p>
    <w:p>
      <w:pPr>
        <w:tabs>
          <w:tab w:val="left" w:pos="9030"/>
        </w:tabs>
        <w:snapToGrid w:val="0"/>
        <w:spacing w:line="360" w:lineRule="auto"/>
        <w:ind w:right="-65" w:firstLine="480" w:firstLineChars="200"/>
        <w:rPr>
          <w:rFonts w:cs="宋体" w:asciiTheme="majorEastAsia" w:hAnsiTheme="majorEastAsia" w:eastAsiaTheme="majorEastAsia"/>
          <w:bCs/>
          <w:color w:val="000000" w:themeColor="text1"/>
          <w:kern w:val="0"/>
          <w:sz w:val="24"/>
        </w:rPr>
      </w:pPr>
      <w:r>
        <w:rPr>
          <w:rFonts w:hint="eastAsia" w:cs="宋体" w:asciiTheme="majorEastAsia" w:hAnsiTheme="majorEastAsia" w:eastAsiaTheme="majorEastAsia"/>
          <w:bCs/>
          <w:color w:val="000000" w:themeColor="text1"/>
          <w:kern w:val="0"/>
          <w:sz w:val="24"/>
        </w:rPr>
        <w:t>第一条、项目概况</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项目内容：                      .</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合同金额价格：         (金额单位：人民币元)</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乙方负责项目实施过程中的所有费用，甲方不再另付任何费用。</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拟派本项目勘察负责人姓名：</w:t>
      </w:r>
      <w:r>
        <w:rPr>
          <w:rFonts w:hint="eastAsia" w:cs="宋体" w:asciiTheme="majorEastAsia" w:hAnsiTheme="majorEastAsia" w:eastAsiaTheme="majorEastAsia"/>
          <w:color w:val="000000" w:themeColor="text1"/>
          <w:kern w:val="0"/>
          <w:sz w:val="24"/>
          <w:u w:val="single"/>
        </w:rPr>
        <w:t xml:space="preserve">           ，</w:t>
      </w:r>
      <w:r>
        <w:rPr>
          <w:rFonts w:hint="eastAsia" w:cs="宋体" w:asciiTheme="majorEastAsia" w:hAnsiTheme="majorEastAsia" w:eastAsiaTheme="majorEastAsia"/>
          <w:color w:val="000000" w:themeColor="text1"/>
          <w:kern w:val="0"/>
          <w:sz w:val="24"/>
        </w:rPr>
        <w:t>身份证号：</w:t>
      </w:r>
      <w:r>
        <w:rPr>
          <w:rFonts w:hint="eastAsia" w:cs="宋体" w:asciiTheme="majorEastAsia" w:hAnsiTheme="majorEastAsia" w:eastAsiaTheme="majorEastAsia"/>
          <w:color w:val="000000" w:themeColor="text1"/>
          <w:kern w:val="0"/>
          <w:sz w:val="24"/>
          <w:u w:val="single"/>
        </w:rPr>
        <w:t xml:space="preserve">           </w:t>
      </w:r>
      <w:r>
        <w:rPr>
          <w:rFonts w:hint="eastAsia" w:cs="宋体" w:asciiTheme="majorEastAsia" w:hAnsiTheme="majorEastAsia" w:eastAsiaTheme="majorEastAsia"/>
          <w:color w:val="000000" w:themeColor="text1"/>
          <w:kern w:val="0"/>
          <w:sz w:val="24"/>
        </w:rPr>
        <w:t>。</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第二条  成果及要求</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1、项目成果由以下几个部分组成：</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成果提交清单包括但不限于：提供服务的勘察过程文件、最终成果文件（</w:t>
      </w:r>
      <w:r>
        <w:fldChar w:fldCharType="begin"/>
      </w:r>
      <w:r>
        <w:instrText xml:space="preserve"> HYPERLINK "http://www.so.com/s?q=%E5%9C%B0%E5%BD%A2&amp;ie=utf-8&amp;src=internal_wenda_recommend_textn" \t "https://wenda.so.com/q/_blank" </w:instrText>
      </w:r>
      <w:r>
        <w:fldChar w:fldCharType="separate"/>
      </w:r>
      <w:r>
        <w:rPr>
          <w:rFonts w:hint="eastAsia" w:cs="宋体" w:asciiTheme="majorEastAsia" w:hAnsiTheme="majorEastAsia" w:eastAsiaTheme="majorEastAsia"/>
          <w:color w:val="000000" w:themeColor="text1"/>
          <w:kern w:val="0"/>
          <w:sz w:val="24"/>
        </w:rPr>
        <w:t>地形</w:t>
      </w:r>
      <w:r>
        <w:rPr>
          <w:rFonts w:hint="eastAsia" w:cs="宋体" w:asciiTheme="majorEastAsia" w:hAnsiTheme="majorEastAsia" w:eastAsiaTheme="majorEastAsia"/>
          <w:color w:val="000000" w:themeColor="text1"/>
          <w:kern w:val="0"/>
          <w:sz w:val="24"/>
        </w:rPr>
        <w:fldChar w:fldCharType="end"/>
      </w:r>
      <w:r>
        <w:fldChar w:fldCharType="begin"/>
      </w:r>
      <w:r>
        <w:instrText xml:space="preserve"> HYPERLINK "http://www.so.com/s?q=%E5%B9%B3%E9%9D%A2%E5%9B%BE&amp;ie=utf-8&amp;src=internal_wenda_recommend_textn" \t "https://wenda.so.com/q/_blank" </w:instrText>
      </w:r>
      <w:r>
        <w:fldChar w:fldCharType="separate"/>
      </w:r>
      <w:r>
        <w:rPr>
          <w:rFonts w:hint="eastAsia" w:cs="宋体" w:asciiTheme="majorEastAsia" w:hAnsiTheme="majorEastAsia" w:eastAsiaTheme="majorEastAsia"/>
          <w:color w:val="000000" w:themeColor="text1"/>
          <w:kern w:val="0"/>
          <w:sz w:val="24"/>
        </w:rPr>
        <w:t>平面图</w:t>
      </w:r>
      <w:r>
        <w:rPr>
          <w:rFonts w:hint="eastAsia" w:cs="宋体" w:asciiTheme="majorEastAsia" w:hAnsiTheme="majorEastAsia" w:eastAsiaTheme="majorEastAsia"/>
          <w:color w:val="000000" w:themeColor="text1"/>
          <w:kern w:val="0"/>
          <w:sz w:val="24"/>
        </w:rPr>
        <w:fldChar w:fldCharType="end"/>
      </w:r>
      <w:r>
        <w:rPr>
          <w:rFonts w:hint="eastAsia" w:cs="宋体" w:asciiTheme="majorEastAsia" w:hAnsiTheme="majorEastAsia" w:eastAsiaTheme="majorEastAsia"/>
          <w:color w:val="000000" w:themeColor="text1"/>
          <w:kern w:val="0"/>
          <w:sz w:val="24"/>
        </w:rPr>
        <w:t>，地形</w:t>
      </w:r>
      <w:r>
        <w:fldChar w:fldCharType="begin"/>
      </w:r>
      <w:r>
        <w:instrText xml:space="preserve"> HYPERLINK "http://www.so.com/s?q=%E6%96%AD%E9%9D%A2%E5%9B%BE&amp;ie=utf-8&amp;src=internal_wenda_recommend_textn" \t "https://wenda.so.com/q/_blank" </w:instrText>
      </w:r>
      <w:r>
        <w:fldChar w:fldCharType="separate"/>
      </w:r>
      <w:r>
        <w:rPr>
          <w:rFonts w:hint="eastAsia" w:cs="宋体" w:asciiTheme="majorEastAsia" w:hAnsiTheme="majorEastAsia" w:eastAsiaTheme="majorEastAsia"/>
          <w:color w:val="000000" w:themeColor="text1"/>
          <w:kern w:val="0"/>
          <w:sz w:val="24"/>
        </w:rPr>
        <w:t>断面图</w:t>
      </w:r>
      <w:r>
        <w:rPr>
          <w:rFonts w:hint="eastAsia" w:cs="宋体" w:asciiTheme="majorEastAsia" w:hAnsiTheme="majorEastAsia" w:eastAsiaTheme="majorEastAsia"/>
          <w:color w:val="000000" w:themeColor="text1"/>
          <w:kern w:val="0"/>
          <w:sz w:val="24"/>
        </w:rPr>
        <w:fldChar w:fldCharType="end"/>
      </w:r>
      <w:r>
        <w:rPr>
          <w:rFonts w:hint="eastAsia" w:cs="宋体" w:asciiTheme="majorEastAsia" w:hAnsiTheme="majorEastAsia" w:eastAsiaTheme="majorEastAsia"/>
          <w:color w:val="000000" w:themeColor="text1"/>
          <w:kern w:val="0"/>
          <w:sz w:val="24"/>
        </w:rPr>
        <w:t>，</w:t>
      </w:r>
      <w:r>
        <w:fldChar w:fldCharType="begin"/>
      </w:r>
      <w:r>
        <w:instrText xml:space="preserve"> HYPERLINK "http://www.so.com/s?q=%E5%9C%B0%E8%B4%A8&amp;ie=utf-8&amp;src=internal_wenda_recommend_textn" \t "https://wenda.so.com/q/_blank" </w:instrText>
      </w:r>
      <w:r>
        <w:fldChar w:fldCharType="separate"/>
      </w:r>
      <w:r>
        <w:rPr>
          <w:rFonts w:hint="eastAsia" w:cs="宋体" w:asciiTheme="majorEastAsia" w:hAnsiTheme="majorEastAsia" w:eastAsiaTheme="majorEastAsia"/>
          <w:color w:val="000000" w:themeColor="text1"/>
          <w:kern w:val="0"/>
          <w:sz w:val="24"/>
        </w:rPr>
        <w:t>地质</w:t>
      </w:r>
      <w:r>
        <w:rPr>
          <w:rFonts w:hint="eastAsia" w:cs="宋体" w:asciiTheme="majorEastAsia" w:hAnsiTheme="majorEastAsia" w:eastAsiaTheme="majorEastAsia"/>
          <w:color w:val="000000" w:themeColor="text1"/>
          <w:kern w:val="0"/>
          <w:sz w:val="24"/>
        </w:rPr>
        <w:fldChar w:fldCharType="end"/>
      </w:r>
      <w:r>
        <w:rPr>
          <w:rFonts w:hint="eastAsia" w:cs="宋体" w:asciiTheme="majorEastAsia" w:hAnsiTheme="majorEastAsia" w:eastAsiaTheme="majorEastAsia"/>
          <w:color w:val="000000" w:themeColor="text1"/>
          <w:kern w:val="0"/>
          <w:sz w:val="24"/>
        </w:rPr>
        <w:t>断面图及</w:t>
      </w:r>
      <w:r>
        <w:fldChar w:fldCharType="begin"/>
      </w:r>
      <w:r>
        <w:instrText xml:space="preserve"> HYPERLINK "http://www.so.com/s?q=%E5%9C%B0%E8%B4%A8%E6%8A%A5%E5%91%8A&amp;ie=utf-8&amp;src=internal_wenda_recommend_textn" \t "https://wenda.so.com/q/_blank" </w:instrText>
      </w:r>
      <w:r>
        <w:fldChar w:fldCharType="separate"/>
      </w:r>
      <w:r>
        <w:rPr>
          <w:rFonts w:hint="eastAsia" w:cs="宋体" w:asciiTheme="majorEastAsia" w:hAnsiTheme="majorEastAsia" w:eastAsiaTheme="majorEastAsia"/>
          <w:color w:val="000000" w:themeColor="text1"/>
          <w:kern w:val="0"/>
          <w:sz w:val="24"/>
        </w:rPr>
        <w:t>地质报告</w:t>
      </w:r>
      <w:r>
        <w:rPr>
          <w:rFonts w:hint="eastAsia" w:cs="宋体" w:asciiTheme="majorEastAsia" w:hAnsiTheme="majorEastAsia" w:eastAsiaTheme="majorEastAsia"/>
          <w:color w:val="000000" w:themeColor="text1"/>
          <w:kern w:val="0"/>
          <w:sz w:val="24"/>
        </w:rPr>
        <w:fldChar w:fldCharType="end"/>
      </w:r>
      <w:r>
        <w:rPr>
          <w:rFonts w:hint="eastAsia" w:cs="宋体" w:asciiTheme="majorEastAsia" w:hAnsiTheme="majorEastAsia" w:eastAsiaTheme="majorEastAsia"/>
          <w:color w:val="000000" w:themeColor="text1"/>
          <w:kern w:val="0"/>
          <w:sz w:val="24"/>
        </w:rPr>
        <w:t>等）及其他资料文件等，载体必须是纸张，并相应有电子光盘或磁盘等。</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成果清单文件提供份数：勘察工作结束后，勘察人向采购人提交勘察成果资料并对其质量负责，勘察人负责向采购人提交勘察报告八份（按甲方要求份数提供）。</w:t>
      </w:r>
    </w:p>
    <w:p>
      <w:pPr>
        <w:tabs>
          <w:tab w:val="left" w:pos="9030"/>
        </w:tabs>
        <w:snapToGrid w:val="0"/>
        <w:spacing w:line="360" w:lineRule="auto"/>
        <w:ind w:right="-65" w:firstLine="482" w:firstLineChars="20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第三条  交付和验收</w:t>
      </w:r>
    </w:p>
    <w:p>
      <w:pPr>
        <w:tabs>
          <w:tab w:val="left" w:pos="9030"/>
        </w:tabs>
        <w:snapToGrid w:val="0"/>
        <w:spacing w:line="360" w:lineRule="auto"/>
        <w:ind w:right="-65" w:firstLine="480" w:firstLineChars="200"/>
        <w:rPr>
          <w:rFonts w:cs="宋体" w:asciiTheme="majorEastAsia" w:hAnsiTheme="majorEastAsia" w:eastAsiaTheme="majorEastAsia"/>
          <w:color w:val="0000FF"/>
          <w:sz w:val="24"/>
        </w:rPr>
      </w:pPr>
      <w:r>
        <w:rPr>
          <w:rFonts w:hint="eastAsia" w:cs="宋体" w:asciiTheme="majorEastAsia" w:hAnsiTheme="majorEastAsia" w:eastAsiaTheme="majorEastAsia"/>
          <w:color w:val="000000" w:themeColor="text1"/>
          <w:kern w:val="0"/>
          <w:sz w:val="24"/>
        </w:rPr>
        <w:t>1、勘察服务期限：</w:t>
      </w:r>
      <w:r>
        <w:rPr>
          <w:rFonts w:hint="eastAsia" w:cs="宋体" w:asciiTheme="majorEastAsia" w:hAnsiTheme="majorEastAsia" w:eastAsiaTheme="majorEastAsia"/>
          <w:color w:val="0000FF"/>
          <w:kern w:val="0"/>
          <w:sz w:val="24"/>
        </w:rPr>
        <w:t>合同签订后</w:t>
      </w:r>
      <w:r>
        <w:rPr>
          <w:rFonts w:hint="eastAsia" w:cs="宋体" w:asciiTheme="majorEastAsia" w:hAnsiTheme="majorEastAsia" w:eastAsiaTheme="majorEastAsia"/>
          <w:color w:val="0000FF"/>
          <w:kern w:val="0"/>
          <w:sz w:val="24"/>
          <w:lang w:val="en-US" w:eastAsia="zh-CN"/>
        </w:rPr>
        <w:t>20</w:t>
      </w:r>
      <w:r>
        <w:rPr>
          <w:rFonts w:hint="eastAsia" w:cs="宋体" w:asciiTheme="majorEastAsia" w:hAnsiTheme="majorEastAsia" w:eastAsiaTheme="majorEastAsia"/>
          <w:color w:val="0000FF"/>
          <w:kern w:val="0"/>
          <w:sz w:val="24"/>
        </w:rPr>
        <w:t xml:space="preserve">个日历天 </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kern w:val="0"/>
          <w:sz w:val="24"/>
        </w:rPr>
        <w:t>2、服务区域：甲方指定区域</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3、验收标准：</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符合国家法律法规规定的标准、行业标准、招标文件和投标文件所要求的</w:t>
      </w:r>
      <w:r>
        <w:fldChar w:fldCharType="begin"/>
      </w:r>
      <w:r>
        <w:instrText xml:space="preserve"> HYPERLINK "http://set2.mail.qq.com/cgi-bin/mail_spam?action=check_link&amp;spam=0&amp;url=http%3A%2F%2Fwww%2Ebaidu%2Ecom%2Fs%3Fwd%3D%25E6%258A%2580%25E6%259C%25AF%25E6%25A0%2587%25E5%2587%2586%26hl_tag%3Dtextlink%26tn%3DSE_hldp01350_v6v6zkg6" </w:instrText>
      </w:r>
      <w:r>
        <w:fldChar w:fldCharType="separate"/>
      </w:r>
      <w:r>
        <w:rPr>
          <w:rFonts w:hint="eastAsia" w:cs="宋体" w:asciiTheme="majorEastAsia" w:hAnsiTheme="majorEastAsia" w:eastAsiaTheme="majorEastAsia"/>
          <w:color w:val="000000" w:themeColor="text1"/>
          <w:kern w:val="0"/>
          <w:sz w:val="24"/>
        </w:rPr>
        <w:t>技术标准</w:t>
      </w:r>
      <w:r>
        <w:rPr>
          <w:rFonts w:hint="eastAsia" w:cs="宋体" w:asciiTheme="majorEastAsia" w:hAnsiTheme="majorEastAsia" w:eastAsiaTheme="majorEastAsia"/>
          <w:color w:val="000000" w:themeColor="text1"/>
          <w:kern w:val="0"/>
          <w:sz w:val="24"/>
        </w:rPr>
        <w:fldChar w:fldCharType="end"/>
      </w:r>
      <w:r>
        <w:rPr>
          <w:rFonts w:hint="eastAsia" w:cs="宋体" w:asciiTheme="majorEastAsia" w:hAnsiTheme="majorEastAsia" w:eastAsiaTheme="majorEastAsia"/>
          <w:color w:val="000000" w:themeColor="text1"/>
          <w:kern w:val="0"/>
          <w:sz w:val="24"/>
        </w:rPr>
        <w:t>。</w:t>
      </w:r>
    </w:p>
    <w:p>
      <w:pPr>
        <w:tabs>
          <w:tab w:val="left" w:pos="9030"/>
        </w:tabs>
        <w:snapToGrid w:val="0"/>
        <w:spacing w:line="360" w:lineRule="auto"/>
        <w:ind w:right="-65" w:firstLine="482" w:firstLineChars="20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第四条：合同</w:t>
      </w:r>
      <w:r>
        <w:rPr>
          <w:rFonts w:cs="宋体" w:asciiTheme="majorEastAsia" w:hAnsiTheme="majorEastAsia" w:eastAsiaTheme="majorEastAsia"/>
          <w:b/>
          <w:bCs/>
          <w:color w:val="000000" w:themeColor="text1"/>
          <w:kern w:val="0"/>
          <w:sz w:val="24"/>
        </w:rPr>
        <w:t>价款、</w:t>
      </w:r>
      <w:r>
        <w:rPr>
          <w:rFonts w:hint="eastAsia" w:cs="宋体" w:asciiTheme="majorEastAsia" w:hAnsiTheme="majorEastAsia" w:eastAsiaTheme="majorEastAsia"/>
          <w:b/>
          <w:bCs/>
          <w:color w:val="000000" w:themeColor="text1"/>
          <w:kern w:val="0"/>
          <w:sz w:val="24"/>
        </w:rPr>
        <w:t>开工及提交勘察成果资料的时间及付款方式</w:t>
      </w:r>
    </w:p>
    <w:p>
      <w:pPr>
        <w:tabs>
          <w:tab w:val="left" w:pos="9030"/>
        </w:tabs>
        <w:snapToGrid w:val="0"/>
        <w:spacing w:line="360" w:lineRule="auto"/>
        <w:ind w:right="-65" w:firstLine="480" w:firstLineChars="200"/>
        <w:rPr>
          <w:rFonts w:cs="宋体" w:asciiTheme="majorEastAsia" w:hAnsiTheme="majorEastAsia" w:eastAsiaTheme="majorEastAsia"/>
          <w:bCs/>
          <w:color w:val="000000" w:themeColor="text1"/>
          <w:kern w:val="0"/>
          <w:sz w:val="24"/>
        </w:rPr>
      </w:pPr>
      <w:r>
        <w:rPr>
          <w:rFonts w:hint="eastAsia" w:cs="宋体" w:asciiTheme="majorEastAsia" w:hAnsiTheme="majorEastAsia" w:eastAsiaTheme="majorEastAsia"/>
          <w:bCs/>
          <w:color w:val="000000" w:themeColor="text1"/>
          <w:kern w:val="0"/>
          <w:sz w:val="24"/>
        </w:rPr>
        <w:t>1、开工及提交勘察成果资料的时间均以甲方要求的时间为准</w:t>
      </w:r>
      <w:r>
        <w:rPr>
          <w:rFonts w:cs="宋体" w:asciiTheme="majorEastAsia" w:hAnsiTheme="majorEastAsia" w:eastAsiaTheme="majorEastAsia"/>
          <w:bCs/>
          <w:color w:val="000000" w:themeColor="text1"/>
          <w:kern w:val="0"/>
          <w:sz w:val="24"/>
        </w:rPr>
        <w:t xml:space="preserve"> </w:t>
      </w:r>
    </w:p>
    <w:p>
      <w:pPr>
        <w:tabs>
          <w:tab w:val="left" w:pos="9030"/>
        </w:tabs>
        <w:snapToGrid w:val="0"/>
        <w:spacing w:line="360" w:lineRule="auto"/>
        <w:ind w:right="-65" w:firstLine="480" w:firstLineChars="200"/>
        <w:rPr>
          <w:rFonts w:cs="宋体" w:asciiTheme="majorEastAsia" w:hAnsiTheme="majorEastAsia" w:eastAsiaTheme="majorEastAsia"/>
          <w:bCs/>
          <w:color w:val="000000" w:themeColor="text1"/>
          <w:kern w:val="0"/>
          <w:sz w:val="24"/>
        </w:rPr>
      </w:pPr>
      <w:r>
        <w:rPr>
          <w:rFonts w:hint="eastAsia" w:cs="宋体" w:asciiTheme="majorEastAsia" w:hAnsiTheme="majorEastAsia" w:eastAsiaTheme="majorEastAsia"/>
          <w:bCs/>
          <w:color w:val="000000" w:themeColor="text1"/>
          <w:kern w:val="0"/>
          <w:sz w:val="24"/>
        </w:rPr>
        <w:t>2、合同</w:t>
      </w:r>
      <w:r>
        <w:rPr>
          <w:rFonts w:cs="宋体" w:asciiTheme="majorEastAsia" w:hAnsiTheme="majorEastAsia" w:eastAsiaTheme="majorEastAsia"/>
          <w:bCs/>
          <w:color w:val="000000" w:themeColor="text1"/>
          <w:kern w:val="0"/>
          <w:sz w:val="24"/>
        </w:rPr>
        <w:t>价款</w:t>
      </w:r>
    </w:p>
    <w:p>
      <w:pPr>
        <w:tabs>
          <w:tab w:val="left" w:pos="9030"/>
        </w:tabs>
        <w:snapToGrid w:val="0"/>
        <w:spacing w:line="360" w:lineRule="auto"/>
        <w:ind w:right="-65" w:firstLine="480" w:firstLineChars="200"/>
        <w:rPr>
          <w:rFonts w:cs="宋体" w:asciiTheme="majorEastAsia" w:hAnsiTheme="majorEastAsia" w:eastAsiaTheme="majorEastAsia"/>
          <w:bCs/>
          <w:color w:val="000000" w:themeColor="text1"/>
          <w:kern w:val="0"/>
          <w:sz w:val="24"/>
        </w:rPr>
      </w:pPr>
      <w:r>
        <w:rPr>
          <w:rFonts w:hint="eastAsia" w:cs="宋体" w:asciiTheme="majorEastAsia" w:hAnsiTheme="majorEastAsia" w:eastAsiaTheme="majorEastAsia"/>
          <w:bCs/>
          <w:color w:val="000000" w:themeColor="text1"/>
          <w:kern w:val="0"/>
          <w:sz w:val="24"/>
        </w:rPr>
        <w:t>本勘察费包干总价为</w:t>
      </w:r>
      <w:r>
        <w:rPr>
          <w:rFonts w:hint="eastAsia" w:cs="宋体" w:asciiTheme="majorEastAsia" w:hAnsiTheme="majorEastAsia" w:eastAsiaTheme="majorEastAsia"/>
          <w:bCs/>
          <w:color w:val="000000" w:themeColor="text1"/>
          <w:kern w:val="0"/>
          <w:sz w:val="24"/>
          <w:u w:val="single"/>
        </w:rPr>
        <w:t xml:space="preserve">   </w:t>
      </w:r>
      <w:r>
        <w:rPr>
          <w:rFonts w:hint="eastAsia" w:cs="宋体" w:asciiTheme="majorEastAsia" w:hAnsiTheme="majorEastAsia" w:eastAsiaTheme="majorEastAsia"/>
          <w:bCs/>
          <w:color w:val="000000" w:themeColor="text1"/>
          <w:kern w:val="0"/>
          <w:sz w:val="24"/>
        </w:rPr>
        <w:t>元</w:t>
      </w:r>
      <w:r>
        <w:rPr>
          <w:rFonts w:cs="宋体" w:asciiTheme="majorEastAsia" w:hAnsiTheme="majorEastAsia" w:eastAsiaTheme="majorEastAsia"/>
          <w:bCs/>
          <w:color w:val="000000" w:themeColor="text1"/>
          <w:kern w:val="0"/>
          <w:sz w:val="24"/>
        </w:rPr>
        <w:t>(</w:t>
      </w:r>
      <w:r>
        <w:rPr>
          <w:rFonts w:hint="eastAsia" w:cs="宋体" w:asciiTheme="majorEastAsia" w:hAnsiTheme="majorEastAsia" w:eastAsiaTheme="majorEastAsia"/>
          <w:bCs/>
          <w:color w:val="000000" w:themeColor="text1"/>
          <w:kern w:val="0"/>
          <w:sz w:val="24"/>
        </w:rPr>
        <w:t>大写</w:t>
      </w:r>
      <w:r>
        <w:rPr>
          <w:rFonts w:hint="eastAsia" w:cs="宋体" w:asciiTheme="majorEastAsia" w:hAnsiTheme="majorEastAsia" w:eastAsiaTheme="majorEastAsia"/>
          <w:bCs/>
          <w:color w:val="000000" w:themeColor="text1"/>
          <w:kern w:val="0"/>
          <w:sz w:val="24"/>
          <w:u w:val="single"/>
        </w:rPr>
        <w:t xml:space="preserve">：   </w:t>
      </w:r>
      <w:r>
        <w:rPr>
          <w:rFonts w:cs="宋体" w:asciiTheme="majorEastAsia" w:hAnsiTheme="majorEastAsia" w:eastAsiaTheme="majorEastAsia"/>
          <w:bCs/>
          <w:color w:val="000000" w:themeColor="text1"/>
          <w:kern w:val="0"/>
          <w:sz w:val="24"/>
        </w:rPr>
        <w:t>)</w:t>
      </w:r>
      <w:r>
        <w:rPr>
          <w:rFonts w:hint="eastAsia" w:cs="宋体" w:asciiTheme="majorEastAsia" w:hAnsiTheme="majorEastAsia" w:eastAsiaTheme="majorEastAsia"/>
          <w:bCs/>
          <w:color w:val="000000" w:themeColor="text1"/>
          <w:kern w:val="0"/>
          <w:sz w:val="24"/>
        </w:rPr>
        <w:t>，</w:t>
      </w:r>
      <w:r>
        <w:rPr>
          <w:rFonts w:cs="宋体" w:asciiTheme="majorEastAsia" w:hAnsiTheme="majorEastAsia" w:eastAsiaTheme="majorEastAsia"/>
          <w:color w:val="000000" w:themeColor="text1"/>
          <w:sz w:val="24"/>
        </w:rPr>
        <w:t>供应商的报价包括完成本项目</w:t>
      </w:r>
      <w:r>
        <w:rPr>
          <w:rFonts w:hint="eastAsia" w:cs="宋体" w:asciiTheme="majorEastAsia" w:hAnsiTheme="majorEastAsia" w:eastAsiaTheme="majorEastAsia"/>
          <w:color w:val="000000" w:themeColor="text1"/>
          <w:sz w:val="24"/>
        </w:rPr>
        <w:t>招标</w:t>
      </w:r>
      <w:r>
        <w:rPr>
          <w:rFonts w:cs="宋体" w:asciiTheme="majorEastAsia" w:hAnsiTheme="majorEastAsia" w:eastAsiaTheme="majorEastAsia"/>
          <w:color w:val="000000" w:themeColor="text1"/>
          <w:sz w:val="24"/>
        </w:rPr>
        <w:t>文件中所提出的工作范围及要求的全部内容，并达到采购人验收标准的所有费用，任何错报、漏报由供应商自行负责。</w:t>
      </w:r>
    </w:p>
    <w:p>
      <w:pPr>
        <w:tabs>
          <w:tab w:val="left" w:pos="9030"/>
        </w:tabs>
        <w:snapToGrid w:val="0"/>
        <w:spacing w:line="360" w:lineRule="auto"/>
        <w:ind w:right="-65" w:firstLine="480" w:firstLineChars="200"/>
        <w:rPr>
          <w:rFonts w:cs="宋体" w:asciiTheme="majorEastAsia" w:hAnsiTheme="majorEastAsia" w:eastAsiaTheme="majorEastAsia"/>
          <w:bCs/>
          <w:color w:val="000000" w:themeColor="text1"/>
          <w:kern w:val="0"/>
          <w:sz w:val="24"/>
        </w:rPr>
      </w:pPr>
      <w:r>
        <w:rPr>
          <w:rFonts w:hint="eastAsia" w:cs="宋体" w:asciiTheme="majorEastAsia" w:hAnsiTheme="majorEastAsia" w:eastAsiaTheme="majorEastAsia"/>
          <w:bCs/>
          <w:color w:val="000000" w:themeColor="text1"/>
          <w:kern w:val="0"/>
          <w:sz w:val="24"/>
        </w:rPr>
        <w:t>3、付款方式：由甲乙双方商议约定。</w:t>
      </w:r>
    </w:p>
    <w:p>
      <w:pPr>
        <w:tabs>
          <w:tab w:val="left" w:pos="9030"/>
        </w:tabs>
        <w:snapToGrid w:val="0"/>
        <w:spacing w:line="360" w:lineRule="auto"/>
        <w:ind w:right="-65" w:firstLine="480" w:firstLineChars="200"/>
        <w:rPr>
          <w:rFonts w:cs="宋体" w:asciiTheme="majorEastAsia" w:hAnsiTheme="majorEastAsia" w:eastAsiaTheme="majorEastAsia"/>
          <w:bCs/>
          <w:color w:val="000000" w:themeColor="text1"/>
          <w:kern w:val="0"/>
          <w:sz w:val="24"/>
        </w:rPr>
      </w:pPr>
      <w:r>
        <w:rPr>
          <w:rFonts w:hint="eastAsia" w:cs="宋体" w:asciiTheme="majorEastAsia" w:hAnsiTheme="majorEastAsia" w:eastAsiaTheme="majorEastAsia"/>
          <w:bCs/>
          <w:color w:val="000000" w:themeColor="text1"/>
          <w:kern w:val="0"/>
          <w:sz w:val="24"/>
        </w:rPr>
        <w:t>4、支付方式：由甲乙双方商议约定。</w:t>
      </w:r>
    </w:p>
    <w:p>
      <w:pPr>
        <w:tabs>
          <w:tab w:val="left" w:pos="9030"/>
        </w:tabs>
        <w:snapToGrid w:val="0"/>
        <w:spacing w:line="360" w:lineRule="auto"/>
        <w:ind w:right="-65" w:firstLine="482" w:firstLineChars="20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第五条  双方的权利、义务</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1、甲方应及时向乙方提供资料及文件，并对其完整性、正确性、及时性负责，甲方不得要求乙方违反国家有关标准进行编制。</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2、乙方在中途需更换所指派的项目负责人，应事先征得甲方同意。</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3、如乙方交付成果，经甲方审核连续3次不能通过的，甲方有权单方解除合同，并依据有关规定向乙方主张违约责任。</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4、乙方所交成果不符合国家法律法规和合同规定的，甲方有权拒收，并由乙方承担一切费用。</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5、乙方需保证本成果或其授予的权利不会侵犯任何第三人的知识产权或其他权利，也没有其他针对乙方拥有本成果权利的未决诉讼，或甲方行使乙方所提供的成果权利会侵犯任何第三人的合法权利。</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6、乙方应按国家技术规范、标准、规程和甲方的任务委托书及技术要求进行工程勘察，按本合同规定的时间提交质量合格的勘察成果资料，并对其负责。</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7、由于乙方提供的勘察成果资料质量不合格，乙方应负责无偿给予补充完善使其达到质量合格；若乙方无力补充完善，需另委托其他单位时，乙方应承担全部勘察费用；或因勘察质量造成重大经济损失或工程事故时，乙方除应负法律责任和免收直接受损失部分的勘察费外，并应向甲方支付合同金额10%的违约金。</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8、在工程勘察前，提出勘察纲要或勘察组织设计，派人与甲方的人员一起核对甲方提供的材料。</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9、勘察过程中，根据工程的岩土工程条件</w:t>
      </w:r>
      <w:r>
        <w:rPr>
          <w:rFonts w:cs="宋体" w:asciiTheme="majorEastAsia" w:hAnsiTheme="majorEastAsia" w:eastAsiaTheme="majorEastAsia"/>
          <w:color w:val="000000" w:themeColor="text1"/>
          <w:kern w:val="0"/>
          <w:sz w:val="24"/>
        </w:rPr>
        <w:t>(</w:t>
      </w:r>
      <w:r>
        <w:rPr>
          <w:rFonts w:hint="eastAsia" w:cs="宋体" w:asciiTheme="majorEastAsia" w:hAnsiTheme="majorEastAsia" w:eastAsiaTheme="majorEastAsia"/>
          <w:color w:val="000000" w:themeColor="text1"/>
          <w:kern w:val="0"/>
          <w:sz w:val="24"/>
        </w:rPr>
        <w:t>或工作现场地形地貌、地质和水文地质条件</w:t>
      </w:r>
      <w:r>
        <w:rPr>
          <w:rFonts w:cs="宋体" w:asciiTheme="majorEastAsia" w:hAnsiTheme="majorEastAsia" w:eastAsiaTheme="majorEastAsia"/>
          <w:color w:val="000000" w:themeColor="text1"/>
          <w:kern w:val="0"/>
          <w:sz w:val="24"/>
        </w:rPr>
        <w:t>)</w:t>
      </w:r>
      <w:r>
        <w:rPr>
          <w:rFonts w:hint="eastAsia" w:cs="宋体" w:asciiTheme="majorEastAsia" w:hAnsiTheme="majorEastAsia" w:eastAsiaTheme="majorEastAsia"/>
          <w:color w:val="000000" w:themeColor="text1"/>
          <w:kern w:val="0"/>
          <w:sz w:val="24"/>
        </w:rPr>
        <w:t>及技术规范要求，向甲方提出增减工作量或修改勘察工作意见时，需办理正式变更手续。</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10、在现场工作的乙方的人员，应遵守甲方的安全保卫及其它有关的</w:t>
      </w:r>
      <w:r>
        <w:rPr>
          <w:rFonts w:hint="eastAsia" w:asciiTheme="majorEastAsia" w:hAnsiTheme="majorEastAsia" w:eastAsiaTheme="majorEastAsia"/>
          <w:color w:val="000000" w:themeColor="text1"/>
          <w:sz w:val="24"/>
          <w:lang w:val="zh-CN"/>
        </w:rPr>
        <w:t>规章制度</w:t>
      </w:r>
      <w:r>
        <w:rPr>
          <w:rFonts w:hint="eastAsia" w:cs="宋体" w:asciiTheme="majorEastAsia" w:hAnsiTheme="majorEastAsia" w:eastAsiaTheme="majorEastAsia"/>
          <w:color w:val="000000" w:themeColor="text1"/>
          <w:kern w:val="0"/>
          <w:sz w:val="24"/>
        </w:rPr>
        <w:t>，承担其有关资料保密义务。</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11、乙方应该确保取土质量，若发现图样有裂隙或出现影响勘察结果的情况时，必须重新采土。</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12、乙方严格相关的规范进行勘察，确保勘察质量及报告质量，若由于勘察质量或报告质量等原因给甲方后期设计及施工造成严重损失或产生相关费用，则由乙方承担全部的损失，并向甲方支付合同金额10%得质量违约金。</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13、乙方应按照《建筑工程施工质量验收统一标准》在甲方地基基础、主体结构分部分项工程验收时参与验收并签字确认。</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14、保证本项目的安全施工作业及参与该工程作业的所使用的全部人员的安全负责，且负责全部责任。如果在生产中发生生产安全隐患或产生安全事故，则由乙方承担全部的事故责任和经济责任。</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15、本合同有关条款规定和补充协议中乙方应负的其它责任。</w:t>
      </w:r>
    </w:p>
    <w:p>
      <w:pPr>
        <w:tabs>
          <w:tab w:val="left" w:pos="9030"/>
        </w:tabs>
        <w:snapToGrid w:val="0"/>
        <w:spacing w:line="360" w:lineRule="auto"/>
        <w:ind w:right="-65" w:firstLine="482" w:firstLineChars="20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第六条  违约条款</w:t>
      </w:r>
    </w:p>
    <w:p>
      <w:pPr>
        <w:tabs>
          <w:tab w:val="left" w:pos="9030"/>
        </w:tabs>
        <w:snapToGrid w:val="0"/>
        <w:spacing w:line="360" w:lineRule="auto"/>
        <w:ind w:right="-65" w:firstLine="480" w:firstLineChars="20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color w:val="000000" w:themeColor="text1"/>
          <w:kern w:val="0"/>
          <w:sz w:val="24"/>
        </w:rPr>
        <w:t>由于乙方原因未按合同规定时间</w:t>
      </w:r>
      <w:r>
        <w:rPr>
          <w:rFonts w:cs="宋体" w:asciiTheme="majorEastAsia" w:hAnsiTheme="majorEastAsia" w:eastAsiaTheme="majorEastAsia"/>
          <w:color w:val="000000" w:themeColor="text1"/>
          <w:kern w:val="0"/>
          <w:sz w:val="24"/>
        </w:rPr>
        <w:t>(</w:t>
      </w:r>
      <w:r>
        <w:rPr>
          <w:rFonts w:hint="eastAsia" w:cs="宋体" w:asciiTheme="majorEastAsia" w:hAnsiTheme="majorEastAsia" w:eastAsiaTheme="majorEastAsia"/>
          <w:color w:val="000000" w:themeColor="text1"/>
          <w:kern w:val="0"/>
          <w:sz w:val="24"/>
        </w:rPr>
        <w:t>日期</w:t>
      </w:r>
      <w:r>
        <w:rPr>
          <w:rFonts w:cs="宋体" w:asciiTheme="majorEastAsia" w:hAnsiTheme="majorEastAsia" w:eastAsiaTheme="majorEastAsia"/>
          <w:color w:val="000000" w:themeColor="text1"/>
          <w:kern w:val="0"/>
          <w:sz w:val="24"/>
        </w:rPr>
        <w:t>)</w:t>
      </w:r>
      <w:r>
        <w:rPr>
          <w:rFonts w:hint="eastAsia" w:cs="宋体" w:asciiTheme="majorEastAsia" w:hAnsiTheme="majorEastAsia" w:eastAsiaTheme="majorEastAsia"/>
          <w:color w:val="000000" w:themeColor="text1"/>
          <w:kern w:val="0"/>
          <w:sz w:val="24"/>
        </w:rPr>
        <w:t>提交勘察成果资料，每超过一日，应减收勘察费的百分之一；超过规定的日期5日后，再每超一日，减收勘察费百分之十；超过规定的日期10日后，甲方有权单方面解除本合同，乙方应向甲方支付本合同总价款的20%的违约金，并向甲方返还已付全部款项及利息。</w:t>
      </w:r>
    </w:p>
    <w:p>
      <w:pPr>
        <w:tabs>
          <w:tab w:val="left" w:pos="9030"/>
        </w:tabs>
        <w:snapToGrid w:val="0"/>
        <w:spacing w:line="360" w:lineRule="auto"/>
        <w:ind w:right="-65" w:firstLine="482" w:firstLineChars="20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 xml:space="preserve">第七条  </w:t>
      </w:r>
      <w:r>
        <w:fldChar w:fldCharType="begin"/>
      </w:r>
      <w:r>
        <w:instrText xml:space="preserve"> HYPERLINK "http://set2.mail.qq.com/cgi-bin/mail_spam?action=check_link&amp;spam=0&amp;url=http%3A%2F%2Fwww%2Ebaidu%2Ecom%2Fs%3Fwd%3D%25E4%25B8%258D%25E5%258F%25AF%25E6%258A%2597%25E5%258A%259B%26hl_tag%3Dtextlink%26tn%3DSE_hldp01350_v6v6zkg6" </w:instrText>
      </w:r>
      <w:r>
        <w:fldChar w:fldCharType="separate"/>
      </w:r>
      <w:r>
        <w:rPr>
          <w:rFonts w:hint="eastAsia" w:cs="宋体" w:asciiTheme="majorEastAsia" w:hAnsiTheme="majorEastAsia" w:eastAsiaTheme="majorEastAsia"/>
          <w:b/>
          <w:bCs/>
          <w:color w:val="000000" w:themeColor="text1"/>
          <w:kern w:val="0"/>
          <w:sz w:val="24"/>
        </w:rPr>
        <w:t>不可抗力</w:t>
      </w:r>
      <w:r>
        <w:rPr>
          <w:rFonts w:hint="eastAsia" w:cs="宋体" w:asciiTheme="majorEastAsia" w:hAnsiTheme="majorEastAsia" w:eastAsiaTheme="majorEastAsia"/>
          <w:b/>
          <w:bCs/>
          <w:color w:val="000000" w:themeColor="text1"/>
          <w:kern w:val="0"/>
          <w:sz w:val="24"/>
        </w:rPr>
        <w:fldChar w:fldCharType="end"/>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甲乙双方任何一方由于</w:t>
      </w:r>
      <w:r>
        <w:fldChar w:fldCharType="begin"/>
      </w:r>
      <w:r>
        <w:instrText xml:space="preserve"> HYPERLINK "http://set2.mail.qq.com/cgi-bin/mail_spam?action=check_link&amp;spam=0&amp;url=http%3A%2F%2Fwww%2Ebaidu%2Ecom%2Fs%3Fwd%3D%25E4%25B8%258D%25E5%258F%25AF%25E6%258A%2597%25E5%258A%259B%26hl_tag%3Dtextlink%26tn%3DSE_hldp01350_v6v6zkg6" </w:instrText>
      </w:r>
      <w:r>
        <w:fldChar w:fldCharType="separate"/>
      </w:r>
      <w:r>
        <w:rPr>
          <w:rFonts w:hint="eastAsia" w:cs="宋体" w:asciiTheme="majorEastAsia" w:hAnsiTheme="majorEastAsia" w:eastAsiaTheme="majorEastAsia"/>
          <w:color w:val="000000" w:themeColor="text1"/>
          <w:kern w:val="0"/>
          <w:sz w:val="24"/>
        </w:rPr>
        <w:t>不可抗力</w:t>
      </w:r>
      <w:r>
        <w:rPr>
          <w:rFonts w:hint="eastAsia" w:cs="宋体" w:asciiTheme="majorEastAsia" w:hAnsiTheme="majorEastAsia" w:eastAsiaTheme="majorEastAsia"/>
          <w:color w:val="000000" w:themeColor="text1"/>
          <w:kern w:val="0"/>
          <w:sz w:val="24"/>
        </w:rPr>
        <w:fldChar w:fldCharType="end"/>
      </w:r>
      <w:r>
        <w:rPr>
          <w:rFonts w:hint="eastAsia" w:cs="宋体" w:asciiTheme="majorEastAsia" w:hAnsiTheme="majorEastAsia" w:eastAsiaTheme="majorEastAsia"/>
          <w:color w:val="000000" w:themeColor="text1"/>
          <w:kern w:val="0"/>
          <w:sz w:val="24"/>
        </w:rPr>
        <w:t>原因不能履行合同时，应及时向对</w:t>
      </w:r>
      <w:r>
        <w:fldChar w:fldCharType="begin"/>
      </w:r>
      <w:r>
        <w:instrText xml:space="preserve"> HYPERLINK "http://set2.mail.qq.com/cgi-bin/mail_spam?action=check_link&amp;spam=0&amp;url=http%3A%2F%2Fwww%2Ebaidu%2Ecom%2Fs%3Fwd%3D%25E6%2596%25B9%25E9%2580%259A%26hl_tag%3Dtextlink%26tn%3DSE_hldp01350_v6v6zkg6" </w:instrText>
      </w:r>
      <w:r>
        <w:fldChar w:fldCharType="separate"/>
      </w:r>
      <w:r>
        <w:rPr>
          <w:rFonts w:hint="eastAsia" w:cs="宋体" w:asciiTheme="majorEastAsia" w:hAnsiTheme="majorEastAsia" w:eastAsiaTheme="majorEastAsia"/>
          <w:color w:val="000000" w:themeColor="text1"/>
          <w:kern w:val="0"/>
          <w:sz w:val="24"/>
        </w:rPr>
        <w:t>方通</w:t>
      </w:r>
      <w:r>
        <w:rPr>
          <w:rFonts w:hint="eastAsia" w:cs="宋体" w:asciiTheme="majorEastAsia" w:hAnsiTheme="majorEastAsia" w:eastAsiaTheme="majorEastAsia"/>
          <w:color w:val="000000" w:themeColor="text1"/>
          <w:kern w:val="0"/>
          <w:sz w:val="24"/>
        </w:rPr>
        <w:fldChar w:fldCharType="end"/>
      </w:r>
      <w:r>
        <w:rPr>
          <w:rFonts w:hint="eastAsia" w:cs="宋体" w:asciiTheme="majorEastAsia" w:hAnsiTheme="majorEastAsia" w:eastAsiaTheme="majorEastAsia"/>
          <w:color w:val="000000" w:themeColor="text1"/>
          <w:kern w:val="0"/>
          <w:sz w:val="24"/>
        </w:rPr>
        <w:t>报不能履行或不能完全履行的理由，以减轻可能给对方造成的损失，在取得有关机构证明后，允许延期履行、部分履行或不履行合同，并根据情况可部分或全部免予承担</w:t>
      </w:r>
      <w:r>
        <w:fldChar w:fldCharType="begin"/>
      </w:r>
      <w:r>
        <w:instrText xml:space="preserve"> HYPERLINK "http://set2.mail.qq.com/cgi-bin/mail_spam?action=check_link&amp;spam=0&amp;url=http%3A%2F%2Fwww%2Ebaidu%2Ecom%2Fs%3Fwd%3D%25E8%25BF%259D%25E7%25BA%25A6%25E8%25B4%25A3%25E4%25BB%25BB%26hl_tag%3Dtextlink%26tn%3DSE_hldp01350_v6v6zkg6" </w:instrText>
      </w:r>
      <w:r>
        <w:fldChar w:fldCharType="separate"/>
      </w:r>
      <w:r>
        <w:rPr>
          <w:rFonts w:hint="eastAsia" w:cs="宋体" w:asciiTheme="majorEastAsia" w:hAnsiTheme="majorEastAsia" w:eastAsiaTheme="majorEastAsia"/>
          <w:color w:val="000000" w:themeColor="text1"/>
          <w:kern w:val="0"/>
          <w:sz w:val="24"/>
        </w:rPr>
        <w:t>违约责任</w:t>
      </w:r>
      <w:r>
        <w:rPr>
          <w:rFonts w:hint="eastAsia" w:cs="宋体" w:asciiTheme="majorEastAsia" w:hAnsiTheme="majorEastAsia" w:eastAsiaTheme="majorEastAsia"/>
          <w:color w:val="000000" w:themeColor="text1"/>
          <w:kern w:val="0"/>
          <w:sz w:val="24"/>
        </w:rPr>
        <w:fldChar w:fldCharType="end"/>
      </w:r>
      <w:r>
        <w:rPr>
          <w:rFonts w:hint="eastAsia" w:cs="宋体" w:asciiTheme="majorEastAsia" w:hAnsiTheme="majorEastAsia" w:eastAsiaTheme="majorEastAsia"/>
          <w:color w:val="000000" w:themeColor="text1"/>
          <w:kern w:val="0"/>
          <w:sz w:val="24"/>
        </w:rPr>
        <w:t>。</w:t>
      </w:r>
    </w:p>
    <w:p>
      <w:pPr>
        <w:tabs>
          <w:tab w:val="left" w:pos="9030"/>
        </w:tabs>
        <w:snapToGrid w:val="0"/>
        <w:spacing w:line="360" w:lineRule="auto"/>
        <w:ind w:right="-65" w:firstLine="482" w:firstLineChars="20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第八条  争议解决</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双方本着友好合作的态度,对合同履行过程中发生的</w:t>
      </w:r>
      <w:r>
        <w:fldChar w:fldCharType="begin"/>
      </w:r>
      <w:r>
        <w:instrText xml:space="preserve"> HYPERLINK "http://set2.mail.qq.com/cgi-bin/mail_spam?action=check_link&amp;spam=0&amp;url=http%3A%2F%2Fbaike%2Ebaidu%2Ecom%2Fview%2F322875%2Ehtm" </w:instrText>
      </w:r>
      <w:r>
        <w:fldChar w:fldCharType="separate"/>
      </w:r>
      <w:r>
        <w:rPr>
          <w:rFonts w:hint="eastAsia" w:cs="宋体" w:asciiTheme="majorEastAsia" w:hAnsiTheme="majorEastAsia" w:eastAsiaTheme="majorEastAsia"/>
          <w:color w:val="000000" w:themeColor="text1"/>
          <w:kern w:val="0"/>
          <w:sz w:val="24"/>
        </w:rPr>
        <w:t>纠纷</w:t>
      </w:r>
      <w:r>
        <w:rPr>
          <w:rFonts w:hint="eastAsia" w:cs="宋体" w:asciiTheme="majorEastAsia" w:hAnsiTheme="majorEastAsia" w:eastAsiaTheme="majorEastAsia"/>
          <w:color w:val="000000" w:themeColor="text1"/>
          <w:kern w:val="0"/>
          <w:sz w:val="24"/>
        </w:rPr>
        <w:fldChar w:fldCharType="end"/>
      </w:r>
      <w:r>
        <w:rPr>
          <w:rFonts w:hint="eastAsia" w:cs="宋体" w:asciiTheme="majorEastAsia" w:hAnsiTheme="majorEastAsia" w:eastAsiaTheme="majorEastAsia"/>
          <w:color w:val="000000" w:themeColor="text1"/>
          <w:kern w:val="0"/>
          <w:sz w:val="24"/>
        </w:rPr>
        <w:t>应及时协商解决,协商不成，向甲方所在地人民法院诉讼解决。</w:t>
      </w:r>
    </w:p>
    <w:p>
      <w:pPr>
        <w:tabs>
          <w:tab w:val="left" w:pos="9030"/>
        </w:tabs>
        <w:snapToGrid w:val="0"/>
        <w:spacing w:line="360" w:lineRule="auto"/>
        <w:ind w:right="-65" w:firstLine="482" w:firstLineChars="20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第九条  监督和管理</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u w:color="000000"/>
        </w:rPr>
      </w:pPr>
      <w:r>
        <w:rPr>
          <w:rFonts w:hint="eastAsia" w:cs="宋体" w:asciiTheme="majorEastAsia" w:hAnsiTheme="majorEastAsia" w:eastAsiaTheme="majorEastAsia"/>
          <w:color w:val="000000" w:themeColor="text1"/>
          <w:kern w:val="0"/>
          <w:sz w:val="24"/>
          <w:u w:color="000000"/>
        </w:rPr>
        <w:t>1.政府采购合同履行中，甲方需追加与合同标的相同的货物、工程或者服务的，在不改变合同其他条款的前提下，可以与乙方协商签订补充合同，但所有补充合同的采购金额不得超过原合同采购金额的百分之十。</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2、甲乙双方均应自觉配合有关监督管理部门对</w:t>
      </w:r>
      <w:r>
        <w:fldChar w:fldCharType="begin"/>
      </w:r>
      <w:r>
        <w:instrText xml:space="preserve"> HYPERLINK "http://set2.mail.qq.com/cgi-bin/mail_spam?action=check_link&amp;spam=0&amp;url=http%3A%2F%2Fwww%2Ebaidu%2Ecom%2Fs%3Fwd%3D%25E5%2590%2588%25E5%2590%258C%25E5%25B1%25A5%25E8%25A1%258C%26hl_tag%3Dtextlink%26tn%3DSE_hldp01350_v6v6zkg6" </w:instrText>
      </w:r>
      <w:r>
        <w:fldChar w:fldCharType="separate"/>
      </w:r>
      <w:r>
        <w:rPr>
          <w:rFonts w:hint="eastAsia" w:cs="宋体" w:asciiTheme="majorEastAsia" w:hAnsiTheme="majorEastAsia" w:eastAsiaTheme="majorEastAsia"/>
          <w:color w:val="000000" w:themeColor="text1"/>
          <w:kern w:val="0"/>
          <w:sz w:val="24"/>
        </w:rPr>
        <w:t>合同履行</w:t>
      </w:r>
      <w:r>
        <w:rPr>
          <w:rFonts w:hint="eastAsia" w:cs="宋体" w:asciiTheme="majorEastAsia" w:hAnsiTheme="majorEastAsia" w:eastAsiaTheme="majorEastAsia"/>
          <w:color w:val="000000" w:themeColor="text1"/>
          <w:kern w:val="0"/>
          <w:sz w:val="24"/>
        </w:rPr>
        <w:fldChar w:fldCharType="end"/>
      </w:r>
      <w:r>
        <w:rPr>
          <w:rFonts w:hint="eastAsia" w:cs="宋体" w:asciiTheme="majorEastAsia" w:hAnsiTheme="majorEastAsia" w:eastAsiaTheme="majorEastAsia"/>
          <w:color w:val="000000" w:themeColor="text1"/>
          <w:kern w:val="0"/>
          <w:sz w:val="24"/>
        </w:rPr>
        <w:t>情况的监督检查，如实反映情况，提供有关资料；否则，将对有关单位、当事人按照有关规定予以处罚。</w:t>
      </w:r>
    </w:p>
    <w:p>
      <w:pPr>
        <w:tabs>
          <w:tab w:val="left" w:pos="9030"/>
        </w:tabs>
        <w:snapToGrid w:val="0"/>
        <w:spacing w:line="360" w:lineRule="auto"/>
        <w:ind w:right="-65" w:firstLine="482" w:firstLineChars="20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 xml:space="preserve">第十条  </w:t>
      </w:r>
      <w:r>
        <w:fldChar w:fldCharType="begin"/>
      </w:r>
      <w:r>
        <w:instrText xml:space="preserve"> HYPERLINK "http://set2.mail.qq.com/cgi-bin/mail_spam?action=check_link&amp;spam=0&amp;url=http%3A%2F%2Fwww%2Ebaidu%2Ecom%2Fs%3Fwd%3D%25E6%2597%25A0%25E6%2595%2588%25E5%2590%2588%25E5%2590%258C%26hl_tag%3Dtextlink%26tn%3DSE_hldp01350_v6v6zkg6" </w:instrText>
      </w:r>
      <w:r>
        <w:fldChar w:fldCharType="separate"/>
      </w:r>
      <w:r>
        <w:rPr>
          <w:rFonts w:hint="eastAsia" w:cs="宋体" w:asciiTheme="majorEastAsia" w:hAnsiTheme="majorEastAsia" w:eastAsiaTheme="majorEastAsia"/>
          <w:b/>
          <w:bCs/>
          <w:color w:val="000000" w:themeColor="text1"/>
          <w:kern w:val="0"/>
          <w:sz w:val="24"/>
        </w:rPr>
        <w:t>无效合同</w:t>
      </w:r>
      <w:r>
        <w:rPr>
          <w:rFonts w:hint="eastAsia" w:cs="宋体" w:asciiTheme="majorEastAsia" w:hAnsiTheme="majorEastAsia" w:eastAsiaTheme="majorEastAsia"/>
          <w:b/>
          <w:bCs/>
          <w:color w:val="000000" w:themeColor="text1"/>
          <w:kern w:val="0"/>
          <w:sz w:val="24"/>
        </w:rPr>
        <w:fldChar w:fldCharType="end"/>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甲乙双方如因违反政府采购法及相关法律法规的规定，被宣告</w:t>
      </w:r>
      <w:r>
        <w:fldChar w:fldCharType="begin"/>
      </w:r>
      <w:r>
        <w:instrText xml:space="preserve"> HYPERLINK "http://set2.mail.qq.com/cgi-bin/mail_spam?action=check_link&amp;spam=0&amp;url=http%3A%2F%2Fwww%2Ebaidu%2Ecom%2Fs%3Fwd%3D%25E5%2590%2588%25E5%2590%258C%25E6%2597%25A0%25E6%2595%2588%26hl_tag%3Dtextlink%26tn%3DSE_hldp01350_v6v6zkg6" </w:instrText>
      </w:r>
      <w:r>
        <w:fldChar w:fldCharType="separate"/>
      </w:r>
      <w:r>
        <w:rPr>
          <w:rFonts w:hint="eastAsia" w:cs="宋体" w:asciiTheme="majorEastAsia" w:hAnsiTheme="majorEastAsia" w:eastAsiaTheme="majorEastAsia"/>
          <w:color w:val="000000" w:themeColor="text1"/>
          <w:kern w:val="0"/>
          <w:sz w:val="24"/>
        </w:rPr>
        <w:t>合同无效</w:t>
      </w:r>
      <w:r>
        <w:rPr>
          <w:rFonts w:hint="eastAsia" w:cs="宋体" w:asciiTheme="majorEastAsia" w:hAnsiTheme="majorEastAsia" w:eastAsiaTheme="majorEastAsia"/>
          <w:color w:val="000000" w:themeColor="text1"/>
          <w:kern w:val="0"/>
          <w:sz w:val="24"/>
        </w:rPr>
        <w:fldChar w:fldCharType="end"/>
      </w:r>
      <w:r>
        <w:rPr>
          <w:rFonts w:hint="eastAsia" w:cs="宋体" w:asciiTheme="majorEastAsia" w:hAnsiTheme="majorEastAsia" w:eastAsiaTheme="majorEastAsia"/>
          <w:color w:val="000000" w:themeColor="text1"/>
          <w:kern w:val="0"/>
          <w:sz w:val="24"/>
        </w:rPr>
        <w:t>的，一切责任概由过错方承担。</w:t>
      </w:r>
    </w:p>
    <w:p>
      <w:pPr>
        <w:tabs>
          <w:tab w:val="left" w:pos="9030"/>
        </w:tabs>
        <w:snapToGrid w:val="0"/>
        <w:spacing w:line="360" w:lineRule="auto"/>
        <w:ind w:right="-65" w:firstLine="482" w:firstLineChars="20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第十一条  附则</w:t>
      </w:r>
    </w:p>
    <w:p>
      <w:pPr>
        <w:tabs>
          <w:tab w:val="left" w:pos="9030"/>
        </w:tabs>
        <w:snapToGrid w:val="0"/>
        <w:spacing w:line="360" w:lineRule="auto"/>
        <w:ind w:right="-65"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w:t>
      </w:r>
      <w:r>
        <w:rPr>
          <w:rFonts w:hint="eastAsia" w:cs="宋体" w:asciiTheme="majorEastAsia" w:hAnsiTheme="majorEastAsia" w:eastAsiaTheme="majorEastAsia"/>
          <w:color w:val="000000" w:themeColor="text1"/>
          <w:sz w:val="24"/>
          <w:u w:val="single"/>
        </w:rPr>
        <w:t></w:t>
      </w:r>
      <w:r>
        <w:rPr>
          <w:rFonts w:hint="eastAsia" w:cs="宋体" w:asciiTheme="majorEastAsia" w:hAnsiTheme="majorEastAsia" w:eastAsiaTheme="majorEastAsia"/>
          <w:color w:val="000000" w:themeColor="text1"/>
          <w:sz w:val="24"/>
        </w:rPr>
        <w:t>项目（项目编号：</w:t>
      </w:r>
      <w:r>
        <w:rPr>
          <w:rFonts w:hint="eastAsia" w:cs="宋体" w:asciiTheme="majorEastAsia" w:hAnsiTheme="majorEastAsia" w:eastAsiaTheme="majorEastAsia"/>
          <w:color w:val="000000" w:themeColor="text1"/>
          <w:sz w:val="24"/>
          <w:u w:val="single"/>
        </w:rPr>
        <w:t></w:t>
      </w:r>
      <w:r>
        <w:rPr>
          <w:rFonts w:hint="eastAsia" w:cs="宋体" w:asciiTheme="majorEastAsia" w:hAnsiTheme="majorEastAsia" w:eastAsiaTheme="majorEastAsia"/>
          <w:color w:val="000000" w:themeColor="text1"/>
          <w:sz w:val="24"/>
        </w:rPr>
        <w:t>）的</w:t>
      </w:r>
      <w:r>
        <w:fldChar w:fldCharType="begin"/>
      </w:r>
      <w:r>
        <w:instrText xml:space="preserve"> HYPERLINK "http://set2.mail.qq.com/cgi-bin/mail_spam?action=check_link&amp;spam=0&amp;url=http%3A%2F%2Fwww%2Ebaidu%2Ecom%2Fs%3Fwd%3D%25E6%258B%259B%25E6%25A0%2587%25E6%2596%2587%25E4%25BB%25B6%26hl_tag%3Dtextlink%26tn%3DSE_hldp01350_v6v6zkg6" </w:instrText>
      </w:r>
      <w:r>
        <w:fldChar w:fldCharType="separate"/>
      </w:r>
      <w:r>
        <w:rPr>
          <w:rFonts w:hint="eastAsia" w:cs="宋体" w:asciiTheme="majorEastAsia" w:hAnsiTheme="majorEastAsia" w:eastAsiaTheme="majorEastAsia"/>
          <w:color w:val="000000" w:themeColor="text1"/>
          <w:sz w:val="24"/>
        </w:rPr>
        <w:t>招标文件</w:t>
      </w:r>
      <w:r>
        <w:rPr>
          <w:rFonts w:hint="eastAsia" w:cs="宋体" w:asciiTheme="majorEastAsia" w:hAnsiTheme="majorEastAsia" w:eastAsiaTheme="majorEastAsia"/>
          <w:color w:val="000000" w:themeColor="text1"/>
          <w:sz w:val="24"/>
        </w:rPr>
        <w:fldChar w:fldCharType="end"/>
      </w:r>
      <w:r>
        <w:rPr>
          <w:rFonts w:hint="eastAsia" w:cs="宋体" w:asciiTheme="majorEastAsia" w:hAnsiTheme="majorEastAsia" w:eastAsiaTheme="majorEastAsia"/>
          <w:color w:val="000000" w:themeColor="text1"/>
          <w:sz w:val="24"/>
        </w:rPr>
        <w:t>、中标通知书、乙方投标文件及澄清说明及承诺文件都是本合同的组成部分，甲、乙双方必须全面遵守，如有违反，应承担违约责任。</w:t>
      </w:r>
    </w:p>
    <w:p>
      <w:pPr>
        <w:tabs>
          <w:tab w:val="left" w:pos="9030"/>
        </w:tabs>
        <w:snapToGrid w:val="0"/>
        <w:spacing w:line="360" w:lineRule="auto"/>
        <w:ind w:right="-65" w:firstLine="480" w:firstLineChars="200"/>
        <w:rPr>
          <w:rFonts w:asciiTheme="majorEastAsia" w:hAnsiTheme="majorEastAsia" w:eastAsiaTheme="majorEastAsia"/>
          <w:color w:val="000000" w:themeColor="text1"/>
          <w:sz w:val="24"/>
          <w:lang w:val="zh-CN"/>
        </w:rPr>
      </w:pPr>
      <w:r>
        <w:rPr>
          <w:rFonts w:hint="eastAsia" w:asciiTheme="majorEastAsia" w:hAnsiTheme="majorEastAsia" w:eastAsiaTheme="majorEastAsia"/>
          <w:color w:val="000000" w:themeColor="text1"/>
          <w:sz w:val="24"/>
          <w:lang w:val="zh-CN"/>
        </w:rPr>
        <w:t>2、本合同未尽事宜，双方共同协商达成补充协议，补充协议和附件与本合同具有同等法律效力。</w:t>
      </w:r>
    </w:p>
    <w:p>
      <w:pPr>
        <w:tabs>
          <w:tab w:val="left" w:pos="9030"/>
        </w:tabs>
        <w:snapToGrid w:val="0"/>
        <w:spacing w:line="360" w:lineRule="auto"/>
        <w:ind w:right="-65" w:firstLine="480" w:firstLineChars="200"/>
        <w:rPr>
          <w:rFonts w:asciiTheme="majorEastAsia" w:hAnsiTheme="majorEastAsia" w:eastAsiaTheme="majorEastAsia"/>
          <w:color w:val="000000" w:themeColor="text1"/>
          <w:sz w:val="24"/>
          <w:lang w:val="zh-CN"/>
        </w:rPr>
      </w:pPr>
      <w:r>
        <w:rPr>
          <w:rFonts w:hint="eastAsia" w:asciiTheme="majorEastAsia" w:hAnsiTheme="majorEastAsia" w:eastAsiaTheme="majorEastAsia"/>
          <w:color w:val="000000" w:themeColor="text1"/>
          <w:sz w:val="24"/>
          <w:lang w:val="zh-CN"/>
        </w:rPr>
        <w:t>3、本合同一式五份,甲乙双方各执一份,政府采购监督管理机构一份,政府采购代理机构两份。</w:t>
      </w:r>
    </w:p>
    <w:p>
      <w:pPr>
        <w:tabs>
          <w:tab w:val="left" w:pos="9030"/>
        </w:tabs>
        <w:snapToGrid w:val="0"/>
        <w:spacing w:line="360" w:lineRule="auto"/>
        <w:ind w:right="-65" w:firstLine="480" w:firstLineChars="200"/>
        <w:rPr>
          <w:rFonts w:asciiTheme="majorEastAsia" w:hAnsiTheme="majorEastAsia" w:eastAsiaTheme="majorEastAsia"/>
          <w:color w:val="000000" w:themeColor="text1"/>
          <w:sz w:val="24"/>
          <w:lang w:val="zh-CN"/>
        </w:rPr>
      </w:pPr>
      <w:r>
        <w:rPr>
          <w:rFonts w:hint="eastAsia" w:asciiTheme="majorEastAsia" w:hAnsiTheme="majorEastAsia" w:eastAsiaTheme="majorEastAsia"/>
          <w:color w:val="000000" w:themeColor="text1"/>
          <w:sz w:val="24"/>
          <w:lang w:val="zh-CN"/>
        </w:rPr>
        <w:t>4、本合同自签订之日起生效。</w:t>
      </w:r>
    </w:p>
    <w:p>
      <w:pPr>
        <w:tabs>
          <w:tab w:val="left" w:pos="9030"/>
        </w:tabs>
        <w:snapToGrid w:val="0"/>
        <w:spacing w:line="360" w:lineRule="auto"/>
        <w:ind w:right="-65" w:firstLine="480" w:firstLineChars="200"/>
        <w:rPr>
          <w:rFonts w:asciiTheme="majorEastAsia" w:hAnsiTheme="majorEastAsia" w:eastAsiaTheme="majorEastAsia"/>
          <w:color w:val="000000" w:themeColor="text1"/>
          <w:sz w:val="24"/>
          <w:lang w:val="zh-CN"/>
        </w:rPr>
      </w:pPr>
      <w:r>
        <w:rPr>
          <w:rFonts w:hint="eastAsia" w:asciiTheme="majorEastAsia" w:hAnsiTheme="majorEastAsia" w:eastAsiaTheme="majorEastAsia"/>
          <w:color w:val="000000" w:themeColor="text1"/>
          <w:sz w:val="24"/>
          <w:lang w:val="zh-CN"/>
        </w:rPr>
        <w:t>5、附件：</w:t>
      </w:r>
    </w:p>
    <w:p>
      <w:pPr>
        <w:tabs>
          <w:tab w:val="left" w:pos="9030"/>
        </w:tabs>
        <w:snapToGrid w:val="0"/>
        <w:spacing w:line="360" w:lineRule="auto"/>
        <w:ind w:right="-65" w:firstLine="480" w:firstLineChars="200"/>
        <w:rPr>
          <w:rFonts w:asciiTheme="majorEastAsia" w:hAnsiTheme="majorEastAsia" w:eastAsiaTheme="majorEastAsia"/>
          <w:color w:val="000000" w:themeColor="text1"/>
          <w:sz w:val="24"/>
          <w:lang w:val="zh-CN"/>
        </w:rPr>
      </w:pPr>
      <w:r>
        <w:rPr>
          <w:rFonts w:hint="eastAsia" w:asciiTheme="majorEastAsia" w:hAnsiTheme="majorEastAsia" w:eastAsiaTheme="majorEastAsia"/>
          <w:color w:val="000000" w:themeColor="text1"/>
          <w:sz w:val="24"/>
          <w:lang w:val="zh-CN"/>
        </w:rPr>
        <w:t>采购人(甲方)：供应商(乙方)：</w:t>
      </w:r>
    </w:p>
    <w:p>
      <w:pPr>
        <w:tabs>
          <w:tab w:val="left" w:pos="9030"/>
        </w:tabs>
        <w:snapToGrid w:val="0"/>
        <w:spacing w:line="360" w:lineRule="auto"/>
        <w:ind w:right="-65" w:firstLine="420" w:firstLineChars="200"/>
        <w:rPr>
          <w:rFonts w:asciiTheme="majorEastAsia" w:hAnsiTheme="majorEastAsia" w:eastAsiaTheme="majorEastAsia"/>
          <w:color w:val="000000" w:themeColor="text1"/>
          <w:sz w:val="24"/>
          <w:lang w:val="zh-CN"/>
        </w:rPr>
      </w:pPr>
      <w:r>
        <w:fldChar w:fldCharType="begin"/>
      </w:r>
      <w:r>
        <w:instrText xml:space="preserve"> HYPERLINK "http://set2.mail.qq.com/cgi-bin/mail_spam?action=check_link&amp;spam=0&amp;url=http%3A%2F%2Fwww%2Ebaidu%2Ecom%2Fs%3Fwd%3D%25E6%25B3%2595%25E5%25AE%259A%25E4%25BB%25A3%25E8%25A1%25A8%25E4%25BA%25BA%26hl_tag%3Dtextlink%26tn%3DSE_hldp01350_v6v6zkg6" </w:instrText>
      </w:r>
      <w:r>
        <w:fldChar w:fldCharType="separate"/>
      </w:r>
      <w:r>
        <w:rPr>
          <w:rFonts w:hint="eastAsia" w:asciiTheme="majorEastAsia" w:hAnsiTheme="majorEastAsia" w:eastAsiaTheme="majorEastAsia"/>
          <w:color w:val="000000" w:themeColor="text1"/>
          <w:sz w:val="24"/>
          <w:lang w:val="zh-CN"/>
        </w:rPr>
        <w:t>法定代表人</w:t>
      </w:r>
      <w:r>
        <w:rPr>
          <w:rFonts w:hint="eastAsia" w:asciiTheme="majorEastAsia" w:hAnsiTheme="majorEastAsia" w:eastAsiaTheme="majorEastAsia"/>
          <w:color w:val="000000" w:themeColor="text1"/>
          <w:sz w:val="24"/>
          <w:lang w:val="zh-CN"/>
        </w:rPr>
        <w:fldChar w:fldCharType="end"/>
      </w:r>
      <w:r>
        <w:rPr>
          <w:rFonts w:hint="eastAsia" w:asciiTheme="majorEastAsia" w:hAnsiTheme="majorEastAsia" w:eastAsiaTheme="majorEastAsia"/>
          <w:color w:val="000000" w:themeColor="text1"/>
          <w:sz w:val="24"/>
          <w:lang w:val="zh-CN"/>
        </w:rPr>
        <w:t>：</w:t>
      </w:r>
      <w:r>
        <w:fldChar w:fldCharType="begin"/>
      </w:r>
      <w:r>
        <w:instrText xml:space="preserve"> HYPERLINK "http://set2.mail.qq.com/cgi-bin/mail_spam?action=check_link&amp;spam=0&amp;url=http%3A%2F%2Fwww%2Ebaidu%2Ecom%2Fs%3Fwd%3D%25E6%25B3%2595%25E5%25AE%259A%25E4%25BB%25A3%25E8%25A1%25A8%25E4%25BA%25BA%26hl_tag%3Dtextlink%26tn%3DSE_hldp01350_v6v6zkg6" </w:instrText>
      </w:r>
      <w:r>
        <w:fldChar w:fldCharType="separate"/>
      </w:r>
      <w:r>
        <w:rPr>
          <w:rFonts w:hint="eastAsia" w:asciiTheme="majorEastAsia" w:hAnsiTheme="majorEastAsia" w:eastAsiaTheme="majorEastAsia"/>
          <w:color w:val="000000" w:themeColor="text1"/>
          <w:sz w:val="24"/>
          <w:lang w:val="zh-CN"/>
        </w:rPr>
        <w:t>法定代表人</w:t>
      </w:r>
      <w:r>
        <w:rPr>
          <w:rFonts w:hint="eastAsia" w:asciiTheme="majorEastAsia" w:hAnsiTheme="majorEastAsia" w:eastAsiaTheme="majorEastAsia"/>
          <w:color w:val="000000" w:themeColor="text1"/>
          <w:sz w:val="24"/>
          <w:lang w:val="zh-CN"/>
        </w:rPr>
        <w:fldChar w:fldCharType="end"/>
      </w:r>
      <w:r>
        <w:rPr>
          <w:rFonts w:hint="eastAsia" w:asciiTheme="majorEastAsia" w:hAnsiTheme="majorEastAsia" w:eastAsiaTheme="majorEastAsia"/>
          <w:color w:val="000000" w:themeColor="text1"/>
          <w:sz w:val="24"/>
          <w:lang w:val="zh-CN"/>
        </w:rPr>
        <w:t>：</w:t>
      </w:r>
    </w:p>
    <w:p>
      <w:pPr>
        <w:tabs>
          <w:tab w:val="left" w:pos="9030"/>
        </w:tabs>
        <w:snapToGrid w:val="0"/>
        <w:spacing w:line="360" w:lineRule="auto"/>
        <w:ind w:right="-65" w:firstLine="420" w:firstLineChars="200"/>
        <w:rPr>
          <w:rFonts w:asciiTheme="majorEastAsia" w:hAnsiTheme="majorEastAsia" w:eastAsiaTheme="majorEastAsia"/>
          <w:color w:val="000000" w:themeColor="text1"/>
          <w:sz w:val="24"/>
          <w:lang w:val="zh-CN"/>
        </w:rPr>
      </w:pPr>
      <w:r>
        <w:fldChar w:fldCharType="begin"/>
      </w:r>
      <w:r>
        <w:instrText xml:space="preserve"> HYPERLINK "http://set2.mail.qq.com/cgi-bin/mail_spam?action=check_link&amp;spam=0&amp;url=http%3A%2F%2Fwww%2Ebaidu%2Ecom%2Fs%3Fwd%3D%25E5%25A7%2594%25E6%2589%2598%25E4%25BB%25A3%25E7%2590%2586%25E4%25BA%25BA%26hl_tag%3Dtextlink%26tn%3DSE_hldp01350_v6v6zkg6" </w:instrText>
      </w:r>
      <w:r>
        <w:fldChar w:fldCharType="separate"/>
      </w:r>
      <w:r>
        <w:rPr>
          <w:rFonts w:hint="eastAsia" w:asciiTheme="majorEastAsia" w:hAnsiTheme="majorEastAsia" w:eastAsiaTheme="majorEastAsia"/>
          <w:color w:val="000000" w:themeColor="text1"/>
          <w:sz w:val="24"/>
          <w:lang w:val="zh-CN"/>
        </w:rPr>
        <w:t>委托代理人</w:t>
      </w:r>
      <w:r>
        <w:rPr>
          <w:rFonts w:hint="eastAsia" w:asciiTheme="majorEastAsia" w:hAnsiTheme="majorEastAsia" w:eastAsiaTheme="majorEastAsia"/>
          <w:color w:val="000000" w:themeColor="text1"/>
          <w:sz w:val="24"/>
          <w:lang w:val="zh-CN"/>
        </w:rPr>
        <w:fldChar w:fldCharType="end"/>
      </w:r>
      <w:r>
        <w:rPr>
          <w:rFonts w:hint="eastAsia" w:asciiTheme="majorEastAsia" w:hAnsiTheme="majorEastAsia" w:eastAsiaTheme="majorEastAsia"/>
          <w:color w:val="000000" w:themeColor="text1"/>
          <w:sz w:val="24"/>
          <w:lang w:val="zh-CN"/>
        </w:rPr>
        <w:t>：</w:t>
      </w:r>
      <w:r>
        <w:fldChar w:fldCharType="begin"/>
      </w:r>
      <w:r>
        <w:instrText xml:space="preserve"> HYPERLINK "http://set2.mail.qq.com/cgi-bin/mail_spam?action=check_link&amp;spam=0&amp;url=http%3A%2F%2Fwww%2Ebaidu%2Ecom%2Fs%3Fwd%3D%25E5%25A7%2594%25E6%2589%2598%25E4%25BB%25A3%25E7%2590%2586%25E4%25BA%25BA%26hl_tag%3Dtextlink%26tn%3DSE_hldp01350_v6v6zkg6" </w:instrText>
      </w:r>
      <w:r>
        <w:fldChar w:fldCharType="separate"/>
      </w:r>
      <w:r>
        <w:rPr>
          <w:rFonts w:hint="eastAsia" w:asciiTheme="majorEastAsia" w:hAnsiTheme="majorEastAsia" w:eastAsiaTheme="majorEastAsia"/>
          <w:color w:val="000000" w:themeColor="text1"/>
          <w:sz w:val="24"/>
          <w:lang w:val="zh-CN"/>
        </w:rPr>
        <w:t>委托代理人</w:t>
      </w:r>
      <w:r>
        <w:rPr>
          <w:rFonts w:hint="eastAsia" w:asciiTheme="majorEastAsia" w:hAnsiTheme="majorEastAsia" w:eastAsiaTheme="majorEastAsia"/>
          <w:color w:val="000000" w:themeColor="text1"/>
          <w:sz w:val="24"/>
          <w:lang w:val="zh-CN"/>
        </w:rPr>
        <w:fldChar w:fldCharType="end"/>
      </w:r>
      <w:r>
        <w:rPr>
          <w:rFonts w:hint="eastAsia" w:asciiTheme="majorEastAsia" w:hAnsiTheme="majorEastAsia" w:eastAsiaTheme="majorEastAsia"/>
          <w:color w:val="000000" w:themeColor="text1"/>
          <w:sz w:val="24"/>
          <w:lang w:val="zh-CN"/>
        </w:rPr>
        <w:t>：</w:t>
      </w:r>
    </w:p>
    <w:p>
      <w:pPr>
        <w:tabs>
          <w:tab w:val="left" w:pos="9030"/>
        </w:tabs>
        <w:snapToGrid w:val="0"/>
        <w:spacing w:line="360" w:lineRule="auto"/>
        <w:ind w:right="-65" w:firstLine="420" w:firstLineChars="200"/>
        <w:rPr>
          <w:rFonts w:asciiTheme="majorEastAsia" w:hAnsiTheme="majorEastAsia" w:eastAsiaTheme="majorEastAsia"/>
          <w:color w:val="000000" w:themeColor="text1"/>
          <w:sz w:val="24"/>
          <w:lang w:val="zh-CN"/>
        </w:rPr>
      </w:pPr>
      <w:r>
        <w:fldChar w:fldCharType="begin"/>
      </w:r>
      <w:r>
        <w:instrText xml:space="preserve"> HYPERLINK "http://set2.mail.qq.com/cgi-bin/mail_spam?action=check_link&amp;spam=0&amp;url=http%3A%2F%2Fwww%2Ebaidu%2Ecom%2Fs%3Fwd%3D%25E5%25BC%2580%25E6%2588%25B7%25E9%2593%25B6%25E8%25A1%258C%26hl_tag%3Dtextlink%26tn%3DSE_hldp01350_v6v6zkg6" </w:instrText>
      </w:r>
      <w:r>
        <w:fldChar w:fldCharType="separate"/>
      </w:r>
      <w:r>
        <w:rPr>
          <w:rFonts w:hint="eastAsia" w:asciiTheme="majorEastAsia" w:hAnsiTheme="majorEastAsia" w:eastAsiaTheme="majorEastAsia"/>
          <w:color w:val="000000" w:themeColor="text1"/>
          <w:sz w:val="24"/>
          <w:lang w:val="zh-CN"/>
        </w:rPr>
        <w:t>开户银行</w:t>
      </w:r>
      <w:r>
        <w:rPr>
          <w:rFonts w:hint="eastAsia" w:asciiTheme="majorEastAsia" w:hAnsiTheme="majorEastAsia" w:eastAsiaTheme="majorEastAsia"/>
          <w:color w:val="000000" w:themeColor="text1"/>
          <w:sz w:val="24"/>
          <w:lang w:val="zh-CN"/>
        </w:rPr>
        <w:fldChar w:fldCharType="end"/>
      </w:r>
      <w:r>
        <w:rPr>
          <w:rFonts w:hint="eastAsia" w:asciiTheme="majorEastAsia" w:hAnsiTheme="majorEastAsia" w:eastAsiaTheme="majorEastAsia"/>
          <w:color w:val="000000" w:themeColor="text1"/>
          <w:sz w:val="24"/>
          <w:lang w:val="zh-CN"/>
        </w:rPr>
        <w:t>：</w:t>
      </w:r>
      <w:r>
        <w:fldChar w:fldCharType="begin"/>
      </w:r>
      <w:r>
        <w:instrText xml:space="preserve"> HYPERLINK "http://set2.mail.qq.com/cgi-bin/mail_spam?action=check_link&amp;spam=0&amp;url=http%3A%2F%2Fwww%2Ebaidu%2Ecom%2Fs%3Fwd%3D%25E5%25BC%2580%25E6%2588%25B7%25E9%2593%25B6%25E8%25A1%258C%26hl_tag%3Dtextlink%26tn%3DSE_hldp01350_v6v6zkg6" </w:instrText>
      </w:r>
      <w:r>
        <w:fldChar w:fldCharType="separate"/>
      </w:r>
      <w:r>
        <w:rPr>
          <w:rFonts w:hint="eastAsia" w:asciiTheme="majorEastAsia" w:hAnsiTheme="majorEastAsia" w:eastAsiaTheme="majorEastAsia"/>
          <w:color w:val="000000" w:themeColor="text1"/>
          <w:sz w:val="24"/>
          <w:lang w:val="zh-CN"/>
        </w:rPr>
        <w:t>开户银行</w:t>
      </w:r>
      <w:r>
        <w:rPr>
          <w:rFonts w:hint="eastAsia" w:asciiTheme="majorEastAsia" w:hAnsiTheme="majorEastAsia" w:eastAsiaTheme="majorEastAsia"/>
          <w:color w:val="000000" w:themeColor="text1"/>
          <w:sz w:val="24"/>
          <w:lang w:val="zh-CN"/>
        </w:rPr>
        <w:fldChar w:fldCharType="end"/>
      </w:r>
      <w:r>
        <w:rPr>
          <w:rFonts w:hint="eastAsia" w:asciiTheme="majorEastAsia" w:hAnsiTheme="majorEastAsia" w:eastAsiaTheme="majorEastAsia"/>
          <w:color w:val="000000" w:themeColor="text1"/>
          <w:sz w:val="24"/>
          <w:lang w:val="zh-CN"/>
        </w:rPr>
        <w:t>：</w:t>
      </w:r>
    </w:p>
    <w:p>
      <w:pPr>
        <w:tabs>
          <w:tab w:val="left" w:pos="9030"/>
        </w:tabs>
        <w:snapToGrid w:val="0"/>
        <w:spacing w:line="360" w:lineRule="auto"/>
        <w:ind w:right="-65" w:firstLine="480" w:firstLineChars="200"/>
        <w:rPr>
          <w:rFonts w:asciiTheme="majorEastAsia" w:hAnsiTheme="majorEastAsia" w:eastAsiaTheme="majorEastAsia"/>
          <w:color w:val="000000" w:themeColor="text1"/>
          <w:sz w:val="24"/>
          <w:lang w:val="zh-CN"/>
        </w:rPr>
      </w:pPr>
      <w:r>
        <w:rPr>
          <w:rFonts w:hint="eastAsia" w:asciiTheme="majorEastAsia" w:hAnsiTheme="majorEastAsia" w:eastAsiaTheme="majorEastAsia"/>
          <w:color w:val="000000" w:themeColor="text1"/>
          <w:sz w:val="24"/>
          <w:lang w:val="zh-CN"/>
        </w:rPr>
        <w:t>帐    号：帐    号：</w:t>
      </w:r>
    </w:p>
    <w:p>
      <w:pPr>
        <w:tabs>
          <w:tab w:val="left" w:pos="9030"/>
        </w:tabs>
        <w:snapToGrid w:val="0"/>
        <w:spacing w:line="360" w:lineRule="auto"/>
        <w:ind w:right="-65" w:firstLine="480" w:firstLineChars="200"/>
        <w:rPr>
          <w:rFonts w:asciiTheme="majorEastAsia" w:hAnsiTheme="majorEastAsia" w:eastAsiaTheme="majorEastAsia"/>
          <w:color w:val="000000" w:themeColor="text1"/>
          <w:sz w:val="24"/>
          <w:lang w:val="zh-CN"/>
        </w:rPr>
      </w:pPr>
      <w:r>
        <w:rPr>
          <w:rFonts w:hint="eastAsia" w:asciiTheme="majorEastAsia" w:hAnsiTheme="majorEastAsia" w:eastAsiaTheme="majorEastAsia"/>
          <w:color w:val="000000" w:themeColor="text1"/>
          <w:sz w:val="24"/>
          <w:lang w:val="zh-CN"/>
        </w:rPr>
        <w:t>电    话：电    话：</w:t>
      </w:r>
    </w:p>
    <w:p>
      <w:pPr>
        <w:tabs>
          <w:tab w:val="left" w:pos="9030"/>
        </w:tabs>
        <w:snapToGrid w:val="0"/>
        <w:spacing w:line="360" w:lineRule="auto"/>
        <w:ind w:right="-65" w:firstLine="480" w:firstLineChars="200"/>
        <w:rPr>
          <w:rFonts w:asciiTheme="majorEastAsia" w:hAnsiTheme="majorEastAsia" w:eastAsiaTheme="majorEastAsia"/>
          <w:color w:val="000000" w:themeColor="text1"/>
          <w:sz w:val="24"/>
          <w:lang w:val="zh-CN"/>
        </w:rPr>
      </w:pPr>
      <w:r>
        <w:rPr>
          <w:rFonts w:hint="eastAsia" w:asciiTheme="majorEastAsia" w:hAnsiTheme="majorEastAsia" w:eastAsiaTheme="majorEastAsia"/>
          <w:color w:val="000000" w:themeColor="text1"/>
          <w:sz w:val="24"/>
          <w:lang w:val="zh-CN"/>
        </w:rPr>
        <w:t>地    址：地    址：</w:t>
      </w:r>
    </w:p>
    <w:p>
      <w:pPr>
        <w:tabs>
          <w:tab w:val="left" w:pos="9030"/>
        </w:tabs>
        <w:snapToGrid w:val="0"/>
        <w:spacing w:line="360" w:lineRule="auto"/>
        <w:ind w:right="-65" w:firstLine="480" w:firstLineChars="200"/>
        <w:rPr>
          <w:rFonts w:asciiTheme="majorEastAsia" w:hAnsiTheme="majorEastAsia" w:eastAsiaTheme="majorEastAsia"/>
          <w:color w:val="000000" w:themeColor="text1"/>
          <w:sz w:val="24"/>
          <w:lang w:val="zh-CN"/>
        </w:rPr>
      </w:pPr>
      <w:r>
        <w:rPr>
          <w:rFonts w:hint="eastAsia" w:asciiTheme="majorEastAsia" w:hAnsiTheme="majorEastAsia" w:eastAsiaTheme="majorEastAsia"/>
          <w:color w:val="000000" w:themeColor="text1"/>
          <w:sz w:val="24"/>
          <w:lang w:val="zh-CN"/>
        </w:rPr>
        <w:t>时    间：  年月日    时    间： 年月日</w:t>
      </w:r>
    </w:p>
    <w:p>
      <w:pPr>
        <w:pStyle w:val="2"/>
        <w:spacing w:after="0" w:line="360" w:lineRule="auto"/>
        <w:ind w:firstLine="1446" w:firstLineChars="600"/>
        <w:rPr>
          <w:rFonts w:asciiTheme="majorEastAsia" w:hAnsiTheme="majorEastAsia" w:eastAsiaTheme="majorEastAsia" w:cstheme="majorEastAsia"/>
          <w:b/>
          <w:bCs/>
          <w:color w:val="000000" w:themeColor="text1"/>
          <w:sz w:val="24"/>
        </w:rPr>
      </w:pPr>
    </w:p>
    <w:p>
      <w:pPr>
        <w:rPr>
          <w:color w:val="000000" w:themeColor="text1"/>
        </w:rPr>
      </w:pPr>
    </w:p>
    <w:p>
      <w:pPr>
        <w:pStyle w:val="2"/>
        <w:rPr>
          <w:color w:val="000000" w:themeColor="text1"/>
        </w:rPr>
      </w:pPr>
    </w:p>
    <w:p>
      <w:pPr>
        <w:rPr>
          <w:color w:val="000000" w:themeColor="text1"/>
        </w:rPr>
      </w:pPr>
    </w:p>
    <w:p>
      <w:pPr>
        <w:pStyle w:val="2"/>
        <w:rPr>
          <w:color w:val="000000" w:themeColor="text1"/>
        </w:rPr>
      </w:pPr>
    </w:p>
    <w:p>
      <w:pPr>
        <w:rPr>
          <w:color w:val="000000" w:themeColor="text1"/>
        </w:rPr>
      </w:pPr>
    </w:p>
    <w:p>
      <w:pPr>
        <w:pStyle w:val="2"/>
        <w:rPr>
          <w:color w:val="000000" w:themeColor="text1"/>
        </w:rPr>
      </w:pPr>
    </w:p>
    <w:p>
      <w:pPr>
        <w:rPr>
          <w:color w:val="000000" w:themeColor="text1"/>
        </w:rPr>
      </w:pPr>
    </w:p>
    <w:p>
      <w:pPr>
        <w:pStyle w:val="2"/>
        <w:rPr>
          <w:color w:val="000000" w:themeColor="text1"/>
        </w:rPr>
      </w:pPr>
    </w:p>
    <w:p>
      <w:pPr>
        <w:rPr>
          <w:color w:val="000000" w:themeColor="text1"/>
        </w:rPr>
      </w:pPr>
    </w:p>
    <w:p>
      <w:pPr>
        <w:rPr>
          <w:color w:val="000000" w:themeColor="text1"/>
        </w:rPr>
      </w:pPr>
    </w:p>
    <w:p>
      <w:pPr>
        <w:pStyle w:val="2"/>
        <w:rPr>
          <w:color w:val="000000" w:themeColor="text1"/>
        </w:rPr>
      </w:pPr>
    </w:p>
    <w:p>
      <w:pPr>
        <w:pStyle w:val="2"/>
        <w:spacing w:after="0" w:line="360" w:lineRule="auto"/>
        <w:ind w:firstLine="1446" w:firstLineChars="600"/>
        <w:rPr>
          <w:rFonts w:asciiTheme="majorEastAsia" w:hAnsiTheme="majorEastAsia" w:eastAsiaTheme="majorEastAsia" w:cstheme="majorEastAsia"/>
          <w:b/>
          <w:bCs/>
          <w:color w:val="000000" w:themeColor="text1"/>
          <w:sz w:val="24"/>
        </w:rPr>
      </w:pPr>
      <w:r>
        <w:rPr>
          <w:rFonts w:asciiTheme="majorEastAsia" w:hAnsiTheme="majorEastAsia" w:eastAsiaTheme="majorEastAsia" w:cstheme="majorEastAsia"/>
          <w:b/>
          <w:bCs/>
          <w:color w:val="000000" w:themeColor="text1"/>
          <w:sz w:val="24"/>
        </w:rPr>
        <w:br w:type="textWrapping"/>
      </w:r>
    </w:p>
    <w:p>
      <w:pPr>
        <w:rPr>
          <w:rFonts w:asciiTheme="majorEastAsia" w:hAnsiTheme="majorEastAsia" w:eastAsiaTheme="majorEastAsia" w:cstheme="majorEastAsia"/>
          <w:b/>
          <w:bCs/>
          <w:color w:val="000000" w:themeColor="text1"/>
          <w:sz w:val="24"/>
        </w:rPr>
      </w:pPr>
      <w:r>
        <w:rPr>
          <w:rFonts w:asciiTheme="majorEastAsia" w:hAnsiTheme="majorEastAsia" w:eastAsiaTheme="majorEastAsia" w:cstheme="majorEastAsia"/>
          <w:b/>
          <w:bCs/>
          <w:color w:val="000000" w:themeColor="text1"/>
          <w:sz w:val="24"/>
        </w:rPr>
        <w:br w:type="page"/>
      </w:r>
    </w:p>
    <w:p/>
    <w:p>
      <w:pPr>
        <w:rPr>
          <w:rFonts w:asciiTheme="majorEastAsia" w:hAnsiTheme="majorEastAsia" w:eastAsiaTheme="majorEastAsia" w:cstheme="majorEastAsia"/>
          <w:b/>
          <w:bCs/>
          <w:color w:val="000000" w:themeColor="text1"/>
          <w:sz w:val="24"/>
        </w:rPr>
      </w:pPr>
    </w:p>
    <w:p>
      <w:pPr>
        <w:pStyle w:val="2"/>
        <w:jc w:val="center"/>
        <w:rPr>
          <w:rFonts w:asciiTheme="majorEastAsia" w:hAnsiTheme="majorEastAsia" w:eastAsiaTheme="majorEastAsia" w:cstheme="majorEastAsia"/>
          <w:b/>
          <w:bCs/>
          <w:color w:val="000000" w:themeColor="text1"/>
          <w:sz w:val="32"/>
          <w:szCs w:val="32"/>
        </w:rPr>
      </w:pPr>
      <w:bookmarkStart w:id="25" w:name="_Toc18233_WPSOffice_Level1"/>
      <w:bookmarkStart w:id="26" w:name="_Toc20670_WPSOffice_Level1"/>
      <w:bookmarkStart w:id="27" w:name="_Toc28395_WPSOffice_Level1"/>
      <w:r>
        <w:rPr>
          <w:rFonts w:hint="eastAsia" w:asciiTheme="majorEastAsia" w:hAnsiTheme="majorEastAsia" w:eastAsiaTheme="majorEastAsia" w:cstheme="majorEastAsia"/>
          <w:b/>
          <w:bCs/>
          <w:color w:val="000000" w:themeColor="text1"/>
          <w:sz w:val="32"/>
          <w:szCs w:val="32"/>
        </w:rPr>
        <w:t>第六章磋商响应文件格式及构成</w:t>
      </w:r>
      <w:bookmarkEnd w:id="25"/>
      <w:bookmarkEnd w:id="26"/>
      <w:bookmarkEnd w:id="27"/>
    </w:p>
    <w:p>
      <w:pPr>
        <w:spacing w:line="360" w:lineRule="auto"/>
        <w:ind w:firstLine="480" w:firstLineChars="150"/>
        <w:rPr>
          <w:rFonts w:asciiTheme="majorEastAsia" w:hAnsiTheme="majorEastAsia" w:eastAsiaTheme="majorEastAsia" w:cstheme="majorEastAsia"/>
          <w:color w:val="000000" w:themeColor="text1"/>
          <w:sz w:val="32"/>
          <w:szCs w:val="32"/>
        </w:rPr>
      </w:pPr>
    </w:p>
    <w:p>
      <w:pPr>
        <w:spacing w:line="360" w:lineRule="auto"/>
        <w:ind w:firstLine="360" w:firstLineChars="15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1、磋商响应文件格式由本章目录所列第1部分至第8部分构成。</w:t>
      </w:r>
    </w:p>
    <w:p>
      <w:pPr>
        <w:spacing w:line="360" w:lineRule="auto"/>
        <w:ind w:firstLine="360" w:firstLineChars="15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2、磋商供应商应认真审阅本章内容，并参照格式要求编制磋商响应文件。凡未按格式要求编制磋商响应文件而造成的不利后果，由磋商供应商自行承担。</w:t>
      </w:r>
    </w:p>
    <w:p>
      <w:pPr>
        <w:spacing w:line="360" w:lineRule="auto"/>
        <w:ind w:firstLine="360" w:firstLineChars="15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3、磋商响应文件的正、副本必须按照要求编制，凡正、副本不相符的，以正本为准。</w:t>
      </w:r>
    </w:p>
    <w:p>
      <w:pPr>
        <w:spacing w:line="360" w:lineRule="auto"/>
        <w:jc w:val="center"/>
        <w:rPr>
          <w:rFonts w:asciiTheme="majorEastAsia" w:hAnsiTheme="majorEastAsia" w:eastAsiaTheme="majorEastAsia" w:cstheme="majorEastAsia"/>
          <w:color w:val="000000" w:themeColor="text1"/>
          <w:sz w:val="48"/>
          <w:szCs w:val="44"/>
        </w:rPr>
      </w:pPr>
    </w:p>
    <w:p>
      <w:pPr>
        <w:pStyle w:val="2"/>
        <w:rPr>
          <w:rFonts w:asciiTheme="majorEastAsia" w:hAnsiTheme="majorEastAsia" w:eastAsiaTheme="majorEastAsia" w:cstheme="majorEastAsia"/>
          <w:color w:val="000000" w:themeColor="text1"/>
          <w:sz w:val="48"/>
          <w:szCs w:val="44"/>
        </w:rPr>
      </w:pPr>
    </w:p>
    <w:p>
      <w:pPr>
        <w:pStyle w:val="2"/>
        <w:rPr>
          <w:rFonts w:asciiTheme="majorEastAsia" w:hAnsiTheme="majorEastAsia" w:eastAsiaTheme="majorEastAsia" w:cstheme="majorEastAsia"/>
          <w:color w:val="000000" w:themeColor="text1"/>
          <w:sz w:val="48"/>
          <w:szCs w:val="44"/>
        </w:rPr>
      </w:pPr>
    </w:p>
    <w:p>
      <w:pPr>
        <w:pStyle w:val="2"/>
        <w:rPr>
          <w:rFonts w:asciiTheme="majorEastAsia" w:hAnsiTheme="majorEastAsia" w:eastAsiaTheme="majorEastAsia" w:cstheme="majorEastAsia"/>
          <w:color w:val="000000" w:themeColor="text1"/>
          <w:sz w:val="48"/>
          <w:szCs w:val="44"/>
        </w:rPr>
      </w:pPr>
    </w:p>
    <w:p>
      <w:pPr>
        <w:pStyle w:val="2"/>
        <w:rPr>
          <w:rFonts w:asciiTheme="majorEastAsia" w:hAnsiTheme="majorEastAsia" w:eastAsiaTheme="majorEastAsia" w:cstheme="majorEastAsia"/>
          <w:color w:val="000000" w:themeColor="text1"/>
          <w:sz w:val="48"/>
          <w:szCs w:val="44"/>
        </w:rPr>
      </w:pPr>
    </w:p>
    <w:p>
      <w:pPr>
        <w:pStyle w:val="2"/>
        <w:rPr>
          <w:rFonts w:asciiTheme="majorEastAsia" w:hAnsiTheme="majorEastAsia" w:eastAsiaTheme="majorEastAsia" w:cstheme="majorEastAsia"/>
          <w:color w:val="000000" w:themeColor="text1"/>
          <w:sz w:val="48"/>
          <w:szCs w:val="44"/>
        </w:rPr>
      </w:pPr>
    </w:p>
    <w:p>
      <w:pPr>
        <w:pStyle w:val="2"/>
        <w:rPr>
          <w:rFonts w:asciiTheme="majorEastAsia" w:hAnsiTheme="majorEastAsia" w:eastAsiaTheme="majorEastAsia" w:cstheme="majorEastAsia"/>
          <w:color w:val="000000" w:themeColor="text1"/>
          <w:sz w:val="48"/>
          <w:szCs w:val="44"/>
        </w:rPr>
      </w:pPr>
    </w:p>
    <w:p>
      <w:pPr>
        <w:pStyle w:val="2"/>
        <w:rPr>
          <w:rFonts w:asciiTheme="majorEastAsia" w:hAnsiTheme="majorEastAsia" w:eastAsiaTheme="majorEastAsia" w:cstheme="majorEastAsia"/>
          <w:color w:val="000000" w:themeColor="text1"/>
          <w:sz w:val="48"/>
          <w:szCs w:val="44"/>
        </w:rPr>
      </w:pPr>
    </w:p>
    <w:p>
      <w:pPr>
        <w:pStyle w:val="2"/>
        <w:rPr>
          <w:rFonts w:asciiTheme="majorEastAsia" w:hAnsiTheme="majorEastAsia" w:eastAsiaTheme="majorEastAsia" w:cstheme="majorEastAsia"/>
          <w:color w:val="000000" w:themeColor="text1"/>
          <w:sz w:val="48"/>
          <w:szCs w:val="44"/>
        </w:rPr>
      </w:pPr>
    </w:p>
    <w:p>
      <w:pPr>
        <w:pStyle w:val="2"/>
        <w:rPr>
          <w:rFonts w:asciiTheme="majorEastAsia" w:hAnsiTheme="majorEastAsia" w:eastAsiaTheme="majorEastAsia" w:cstheme="majorEastAsia"/>
          <w:color w:val="000000" w:themeColor="text1"/>
          <w:sz w:val="48"/>
          <w:szCs w:val="44"/>
        </w:rPr>
      </w:pPr>
    </w:p>
    <w:p>
      <w:pPr>
        <w:pStyle w:val="2"/>
        <w:rPr>
          <w:rFonts w:asciiTheme="majorEastAsia" w:hAnsiTheme="majorEastAsia" w:eastAsiaTheme="majorEastAsia" w:cstheme="majorEastAsia"/>
          <w:color w:val="000000" w:themeColor="text1"/>
          <w:sz w:val="48"/>
          <w:szCs w:val="44"/>
        </w:rPr>
      </w:pPr>
    </w:p>
    <w:p>
      <w:pPr>
        <w:pStyle w:val="2"/>
        <w:rPr>
          <w:rFonts w:asciiTheme="majorEastAsia" w:hAnsiTheme="majorEastAsia" w:eastAsiaTheme="majorEastAsia" w:cstheme="majorEastAsia"/>
          <w:color w:val="000000" w:themeColor="text1"/>
          <w:sz w:val="48"/>
          <w:szCs w:val="44"/>
        </w:rPr>
      </w:pPr>
    </w:p>
    <w:p>
      <w:pPr>
        <w:rPr>
          <w:rFonts w:asciiTheme="majorEastAsia" w:hAnsiTheme="majorEastAsia" w:eastAsiaTheme="majorEastAsia" w:cstheme="majorEastAsia"/>
          <w:color w:val="000000" w:themeColor="text1"/>
          <w:sz w:val="44"/>
          <w:szCs w:val="44"/>
        </w:rPr>
      </w:pPr>
    </w:p>
    <w:p>
      <w:pPr>
        <w:pStyle w:val="2"/>
        <w:rPr>
          <w:color w:val="000000" w:themeColor="text1"/>
        </w:rPr>
      </w:pPr>
    </w:p>
    <w:p>
      <w:pPr>
        <w:spacing w:line="360" w:lineRule="auto"/>
        <w:jc w:val="center"/>
        <w:rPr>
          <w:rFonts w:asciiTheme="majorEastAsia" w:hAnsiTheme="majorEastAsia" w:eastAsiaTheme="majorEastAsia" w:cstheme="majorEastAsia"/>
          <w:b/>
          <w:color w:val="000000" w:themeColor="text1"/>
          <w:sz w:val="36"/>
          <w:szCs w:val="36"/>
        </w:rPr>
      </w:pPr>
    </w:p>
    <w:p>
      <w:pPr>
        <w:spacing w:line="360" w:lineRule="auto"/>
        <w:jc w:val="center"/>
        <w:rPr>
          <w:rFonts w:asciiTheme="majorEastAsia" w:hAnsiTheme="majorEastAsia" w:eastAsiaTheme="majorEastAsia" w:cstheme="majorEastAsia"/>
          <w:b/>
          <w:color w:val="000000" w:themeColor="text1"/>
          <w:sz w:val="36"/>
          <w:szCs w:val="36"/>
        </w:rPr>
      </w:pPr>
    </w:p>
    <w:p>
      <w:pPr>
        <w:spacing w:line="360" w:lineRule="auto"/>
        <w:jc w:val="center"/>
        <w:rPr>
          <w:rFonts w:hint="eastAsia" w:asciiTheme="majorEastAsia" w:hAnsiTheme="majorEastAsia" w:eastAsiaTheme="majorEastAsia" w:cstheme="majorEastAsia"/>
          <w:b/>
          <w:color w:val="000000" w:themeColor="text1"/>
          <w:sz w:val="36"/>
          <w:szCs w:val="36"/>
          <w:lang w:eastAsia="zh-CN"/>
        </w:rPr>
      </w:pPr>
      <w:r>
        <w:rPr>
          <w:rFonts w:hint="eastAsia" w:asciiTheme="majorEastAsia" w:hAnsiTheme="majorEastAsia" w:eastAsiaTheme="majorEastAsia" w:cstheme="majorEastAsia"/>
          <w:b/>
          <w:color w:val="000000" w:themeColor="text1"/>
          <w:sz w:val="36"/>
          <w:szCs w:val="36"/>
          <w:lang w:eastAsia="zh-CN"/>
        </w:rPr>
        <w:t>延川县河道管理站延川县乡镇及移民安置点生活污水处理站建设项目工程勘察</w:t>
      </w:r>
    </w:p>
    <w:p>
      <w:pPr>
        <w:pStyle w:val="20"/>
        <w:ind w:firstLine="180"/>
        <w:rPr>
          <w:color w:val="000000" w:themeColor="text1"/>
        </w:rPr>
      </w:pPr>
    </w:p>
    <w:p>
      <w:pPr>
        <w:rPr>
          <w:rFonts w:asciiTheme="majorEastAsia" w:hAnsiTheme="majorEastAsia" w:eastAsiaTheme="majorEastAsia" w:cstheme="majorEastAsia"/>
          <w:color w:val="000000" w:themeColor="text1"/>
        </w:rPr>
      </w:pPr>
    </w:p>
    <w:p>
      <w:pPr>
        <w:pStyle w:val="2"/>
        <w:rPr>
          <w:rFonts w:asciiTheme="majorEastAsia" w:hAnsiTheme="majorEastAsia" w:eastAsiaTheme="majorEastAsia" w:cstheme="majorEastAsia"/>
          <w:color w:val="000000" w:themeColor="text1"/>
        </w:rPr>
      </w:pPr>
    </w:p>
    <w:p>
      <w:pPr>
        <w:rPr>
          <w:color w:val="000000" w:themeColor="text1"/>
        </w:rPr>
      </w:pPr>
    </w:p>
    <w:p>
      <w:pPr>
        <w:pStyle w:val="2"/>
      </w:pPr>
    </w:p>
    <w:p>
      <w:pPr>
        <w:pStyle w:val="2"/>
        <w:rPr>
          <w:color w:val="000000" w:themeColor="text1"/>
        </w:rPr>
      </w:pPr>
    </w:p>
    <w:p>
      <w:pPr>
        <w:pStyle w:val="2"/>
        <w:rPr>
          <w:rFonts w:asciiTheme="majorEastAsia" w:hAnsiTheme="majorEastAsia" w:eastAsiaTheme="majorEastAsia" w:cstheme="majorEastAsia"/>
          <w:color w:val="000000" w:themeColor="text1"/>
        </w:rPr>
      </w:pPr>
    </w:p>
    <w:p>
      <w:pPr>
        <w:pStyle w:val="2"/>
        <w:rPr>
          <w:rFonts w:asciiTheme="majorEastAsia" w:hAnsiTheme="majorEastAsia" w:eastAsiaTheme="majorEastAsia" w:cstheme="majorEastAsia"/>
          <w:color w:val="000000" w:themeColor="text1"/>
        </w:rPr>
      </w:pPr>
    </w:p>
    <w:p>
      <w:pPr>
        <w:spacing w:line="360" w:lineRule="auto"/>
        <w:jc w:val="center"/>
        <w:rPr>
          <w:rFonts w:asciiTheme="majorEastAsia" w:hAnsiTheme="majorEastAsia" w:eastAsiaTheme="majorEastAsia" w:cstheme="majorEastAsia"/>
          <w:b/>
          <w:color w:val="000000" w:themeColor="text1"/>
          <w:sz w:val="52"/>
          <w:szCs w:val="48"/>
        </w:rPr>
      </w:pPr>
      <w:bookmarkStart w:id="28" w:name="_Toc9461_WPSOffice_Level1"/>
      <w:bookmarkStart w:id="29" w:name="_Toc11646_WPSOffice_Level1"/>
      <w:bookmarkStart w:id="30" w:name="_Toc5922_WPSOffice_Level1"/>
      <w:bookmarkStart w:id="31" w:name="_Toc12869_WPSOffice_Level1"/>
      <w:r>
        <w:rPr>
          <w:rFonts w:hint="eastAsia" w:asciiTheme="majorEastAsia" w:hAnsiTheme="majorEastAsia" w:eastAsiaTheme="majorEastAsia" w:cstheme="majorEastAsia"/>
          <w:b/>
          <w:color w:val="000000" w:themeColor="text1"/>
          <w:sz w:val="52"/>
          <w:szCs w:val="48"/>
        </w:rPr>
        <w:t>磋商响应文件（格式）</w:t>
      </w:r>
      <w:bookmarkEnd w:id="28"/>
      <w:bookmarkEnd w:id="29"/>
      <w:bookmarkEnd w:id="30"/>
      <w:bookmarkEnd w:id="31"/>
    </w:p>
    <w:p>
      <w:pPr>
        <w:spacing w:line="360" w:lineRule="auto"/>
        <w:jc w:val="center"/>
        <w:rPr>
          <w:rFonts w:asciiTheme="majorEastAsia" w:hAnsiTheme="majorEastAsia" w:eastAsiaTheme="majorEastAsia" w:cstheme="majorEastAsia"/>
          <w:color w:val="000000" w:themeColor="text1"/>
          <w:sz w:val="28"/>
        </w:rPr>
      </w:pPr>
      <w:bookmarkStart w:id="32" w:name="_Toc18686_WPSOffice_Level1"/>
      <w:bookmarkStart w:id="33" w:name="_Toc5927_WPSOffice_Level1"/>
      <w:bookmarkStart w:id="34" w:name="_Toc14348_WPSOffice_Level1"/>
      <w:bookmarkStart w:id="35" w:name="_Toc9529_WPSOffice_Level1"/>
      <w:r>
        <w:rPr>
          <w:rFonts w:hint="eastAsia" w:asciiTheme="majorEastAsia" w:hAnsiTheme="majorEastAsia" w:eastAsiaTheme="majorEastAsia" w:cstheme="majorEastAsia"/>
          <w:color w:val="000000" w:themeColor="text1"/>
          <w:sz w:val="28"/>
        </w:rPr>
        <w:t>（正本或副本）</w:t>
      </w:r>
      <w:bookmarkEnd w:id="32"/>
      <w:bookmarkEnd w:id="33"/>
      <w:bookmarkEnd w:id="34"/>
      <w:bookmarkEnd w:id="35"/>
    </w:p>
    <w:p>
      <w:pPr>
        <w:rPr>
          <w:rFonts w:asciiTheme="majorEastAsia" w:hAnsiTheme="majorEastAsia" w:eastAsiaTheme="majorEastAsia" w:cstheme="majorEastAsia"/>
          <w:color w:val="000000" w:themeColor="text1"/>
          <w:sz w:val="32"/>
        </w:rPr>
      </w:pPr>
    </w:p>
    <w:p>
      <w:pPr>
        <w:pStyle w:val="2"/>
        <w:rPr>
          <w:rFonts w:asciiTheme="majorEastAsia" w:hAnsiTheme="majorEastAsia" w:eastAsiaTheme="majorEastAsia" w:cstheme="majorEastAsia"/>
          <w:color w:val="000000" w:themeColor="text1"/>
        </w:rPr>
      </w:pPr>
    </w:p>
    <w:p>
      <w:pPr>
        <w:pStyle w:val="2"/>
        <w:rPr>
          <w:rFonts w:asciiTheme="majorEastAsia" w:hAnsiTheme="majorEastAsia" w:eastAsiaTheme="majorEastAsia" w:cstheme="majorEastAsia"/>
          <w:color w:val="000000" w:themeColor="text1"/>
        </w:rPr>
      </w:pPr>
    </w:p>
    <w:p>
      <w:pPr>
        <w:rPr>
          <w:rFonts w:asciiTheme="majorEastAsia" w:hAnsiTheme="majorEastAsia" w:eastAsiaTheme="majorEastAsia" w:cstheme="majorEastAsia"/>
          <w:color w:val="000000" w:themeColor="text1"/>
          <w:sz w:val="32"/>
        </w:rPr>
      </w:pPr>
    </w:p>
    <w:p>
      <w:pPr>
        <w:pStyle w:val="20"/>
        <w:ind w:firstLine="320"/>
        <w:rPr>
          <w:rFonts w:asciiTheme="majorEastAsia" w:hAnsiTheme="majorEastAsia" w:eastAsiaTheme="majorEastAsia" w:cstheme="majorEastAsia"/>
          <w:color w:val="000000" w:themeColor="text1"/>
          <w:sz w:val="32"/>
        </w:rPr>
      </w:pPr>
    </w:p>
    <w:p>
      <w:pPr>
        <w:pStyle w:val="20"/>
        <w:ind w:firstLine="320"/>
        <w:rPr>
          <w:rFonts w:asciiTheme="majorEastAsia" w:hAnsiTheme="majorEastAsia" w:eastAsiaTheme="majorEastAsia" w:cstheme="majorEastAsia"/>
          <w:color w:val="000000" w:themeColor="text1"/>
          <w:sz w:val="32"/>
        </w:rPr>
      </w:pPr>
    </w:p>
    <w:p>
      <w:pPr>
        <w:pStyle w:val="20"/>
        <w:ind w:firstLine="320"/>
        <w:rPr>
          <w:rFonts w:asciiTheme="majorEastAsia" w:hAnsiTheme="majorEastAsia" w:eastAsiaTheme="majorEastAsia" w:cstheme="majorEastAsia"/>
          <w:color w:val="000000" w:themeColor="text1"/>
          <w:sz w:val="32"/>
        </w:rPr>
      </w:pPr>
    </w:p>
    <w:p>
      <w:pPr>
        <w:spacing w:line="360" w:lineRule="auto"/>
        <w:ind w:firstLine="495" w:firstLineChars="177"/>
        <w:rPr>
          <w:rFonts w:asciiTheme="majorEastAsia" w:hAnsiTheme="majorEastAsia" w:eastAsiaTheme="majorEastAsia" w:cstheme="majorEastAsia"/>
          <w:color w:val="000000" w:themeColor="text1"/>
          <w:sz w:val="28"/>
          <w:u w:val="single"/>
        </w:rPr>
      </w:pPr>
      <w:bookmarkStart w:id="36" w:name="_Toc18763_WPSOffice_Level1"/>
      <w:bookmarkStart w:id="37" w:name="_Toc10382_WPSOffice_Level1"/>
      <w:bookmarkStart w:id="38" w:name="_Toc10977_WPSOffice_Level1"/>
      <w:bookmarkStart w:id="39" w:name="_Toc31189_WPSOffice_Level1"/>
      <w:r>
        <w:rPr>
          <w:rFonts w:hint="eastAsia" w:asciiTheme="majorEastAsia" w:hAnsiTheme="majorEastAsia" w:eastAsiaTheme="majorEastAsia" w:cstheme="majorEastAsia"/>
          <w:color w:val="000000" w:themeColor="text1"/>
          <w:sz w:val="28"/>
        </w:rPr>
        <w:t>项目名称：</w:t>
      </w:r>
      <w:bookmarkEnd w:id="36"/>
      <w:bookmarkEnd w:id="37"/>
      <w:bookmarkEnd w:id="38"/>
      <w:bookmarkEnd w:id="39"/>
    </w:p>
    <w:p>
      <w:pPr>
        <w:spacing w:line="360" w:lineRule="auto"/>
        <w:ind w:firstLine="495" w:firstLineChars="177"/>
        <w:rPr>
          <w:rFonts w:asciiTheme="majorEastAsia" w:hAnsiTheme="majorEastAsia" w:eastAsiaTheme="majorEastAsia" w:cstheme="majorEastAsia"/>
          <w:color w:val="000000" w:themeColor="text1"/>
          <w:sz w:val="28"/>
        </w:rPr>
      </w:pPr>
      <w:bookmarkStart w:id="40" w:name="_Toc21420_WPSOffice_Level1"/>
      <w:bookmarkStart w:id="41" w:name="_Toc26449_WPSOffice_Level1"/>
      <w:bookmarkStart w:id="42" w:name="_Toc3443_WPSOffice_Level1"/>
      <w:bookmarkStart w:id="43" w:name="_Toc23478_WPSOffice_Level1"/>
      <w:r>
        <w:rPr>
          <w:rFonts w:hint="eastAsia" w:asciiTheme="majorEastAsia" w:hAnsiTheme="majorEastAsia" w:eastAsiaTheme="majorEastAsia" w:cstheme="majorEastAsia"/>
          <w:color w:val="000000" w:themeColor="text1"/>
          <w:sz w:val="28"/>
        </w:rPr>
        <w:t>项目编号：</w:t>
      </w:r>
      <w:bookmarkEnd w:id="40"/>
      <w:bookmarkEnd w:id="41"/>
      <w:bookmarkEnd w:id="42"/>
      <w:bookmarkEnd w:id="43"/>
    </w:p>
    <w:p>
      <w:pPr>
        <w:spacing w:line="360" w:lineRule="auto"/>
        <w:ind w:firstLine="495" w:firstLineChars="177"/>
        <w:rPr>
          <w:rFonts w:asciiTheme="majorEastAsia" w:hAnsiTheme="majorEastAsia" w:eastAsiaTheme="majorEastAsia" w:cstheme="majorEastAsia"/>
          <w:color w:val="000000" w:themeColor="text1"/>
          <w:sz w:val="28"/>
          <w:szCs w:val="32"/>
        </w:rPr>
      </w:pPr>
      <w:bookmarkStart w:id="44" w:name="_Toc16836_WPSOffice_Level1"/>
      <w:bookmarkStart w:id="45" w:name="_Toc30972_WPSOffice_Level1"/>
      <w:bookmarkStart w:id="46" w:name="_Toc13929_WPSOffice_Level1"/>
      <w:bookmarkStart w:id="47" w:name="_Toc18333_WPSOffice_Level1"/>
      <w:r>
        <w:rPr>
          <w:rFonts w:hint="eastAsia" w:asciiTheme="majorEastAsia" w:hAnsiTheme="majorEastAsia" w:eastAsiaTheme="majorEastAsia" w:cstheme="majorEastAsia"/>
          <w:color w:val="000000" w:themeColor="text1"/>
          <w:sz w:val="28"/>
          <w:szCs w:val="32"/>
        </w:rPr>
        <w:t>供 应 商：</w:t>
      </w:r>
      <w:bookmarkEnd w:id="44"/>
      <w:bookmarkEnd w:id="45"/>
      <w:bookmarkEnd w:id="46"/>
      <w:bookmarkEnd w:id="47"/>
    </w:p>
    <w:p>
      <w:pPr>
        <w:spacing w:line="360" w:lineRule="auto"/>
        <w:ind w:firstLine="495" w:firstLineChars="177"/>
        <w:rPr>
          <w:rFonts w:asciiTheme="majorEastAsia" w:hAnsiTheme="majorEastAsia" w:eastAsiaTheme="majorEastAsia" w:cstheme="majorEastAsia"/>
          <w:color w:val="000000" w:themeColor="text1"/>
          <w:sz w:val="28"/>
          <w:u w:val="single"/>
        </w:rPr>
      </w:pPr>
      <w:bookmarkStart w:id="48" w:name="_Toc2999_WPSOffice_Level1"/>
      <w:bookmarkStart w:id="49" w:name="_Toc29277_WPSOffice_Level1"/>
      <w:bookmarkStart w:id="50" w:name="_Toc21431_WPSOffice_Level1"/>
      <w:bookmarkStart w:id="51" w:name="_Toc22373_WPSOffice_Level1"/>
      <w:r>
        <w:rPr>
          <w:rFonts w:hint="eastAsia" w:asciiTheme="majorEastAsia" w:hAnsiTheme="majorEastAsia" w:eastAsiaTheme="majorEastAsia" w:cstheme="majorEastAsia"/>
          <w:color w:val="000000" w:themeColor="text1"/>
          <w:sz w:val="28"/>
        </w:rPr>
        <w:t>法定代表人或其被授权委托代理人 ：</w:t>
      </w:r>
      <w:r>
        <w:rPr>
          <w:rFonts w:hint="eastAsia" w:asciiTheme="majorEastAsia" w:hAnsiTheme="majorEastAsia" w:eastAsiaTheme="majorEastAsia" w:cstheme="majorEastAsia"/>
          <w:color w:val="000000" w:themeColor="text1"/>
          <w:sz w:val="28"/>
          <w:u w:val="single"/>
        </w:rPr>
        <w:t xml:space="preserve">      （签字或盖章）</w:t>
      </w:r>
      <w:bookmarkEnd w:id="48"/>
      <w:bookmarkEnd w:id="49"/>
      <w:bookmarkEnd w:id="50"/>
      <w:bookmarkEnd w:id="51"/>
    </w:p>
    <w:p>
      <w:pPr>
        <w:spacing w:line="360" w:lineRule="auto"/>
        <w:ind w:firstLine="495" w:firstLineChars="177"/>
        <w:rPr>
          <w:rFonts w:asciiTheme="majorEastAsia" w:hAnsiTheme="majorEastAsia" w:eastAsiaTheme="majorEastAsia" w:cstheme="majorEastAsia"/>
          <w:color w:val="000000" w:themeColor="text1"/>
          <w:sz w:val="48"/>
          <w:szCs w:val="48"/>
        </w:rPr>
      </w:pPr>
      <w:bookmarkStart w:id="52" w:name="_Toc21525_WPSOffice_Level1"/>
      <w:bookmarkStart w:id="53" w:name="_Toc29262_WPSOffice_Level1"/>
      <w:bookmarkStart w:id="54" w:name="_Toc16006_WPSOffice_Level1"/>
      <w:bookmarkStart w:id="55" w:name="_Toc5293_WPSOffice_Level1"/>
      <w:r>
        <w:rPr>
          <w:rFonts w:hint="eastAsia" w:asciiTheme="majorEastAsia" w:hAnsiTheme="majorEastAsia" w:eastAsiaTheme="majorEastAsia" w:cstheme="majorEastAsia"/>
          <w:color w:val="000000" w:themeColor="text1"/>
          <w:sz w:val="28"/>
        </w:rPr>
        <w:t>日    期：</w:t>
      </w:r>
      <w:bookmarkEnd w:id="52"/>
      <w:bookmarkEnd w:id="53"/>
      <w:bookmarkEnd w:id="54"/>
      <w:bookmarkEnd w:id="55"/>
    </w:p>
    <w:p>
      <w:pPr>
        <w:rPr>
          <w:rFonts w:asciiTheme="majorEastAsia" w:hAnsiTheme="majorEastAsia" w:eastAsiaTheme="majorEastAsia" w:cstheme="majorEastAsia"/>
          <w:b/>
          <w:bCs/>
          <w:color w:val="000000" w:themeColor="text1"/>
          <w:sz w:val="48"/>
          <w:szCs w:val="48"/>
        </w:rPr>
      </w:pPr>
    </w:p>
    <w:p>
      <w:pPr>
        <w:jc w:val="center"/>
        <w:rPr>
          <w:rFonts w:asciiTheme="majorEastAsia" w:hAnsiTheme="majorEastAsia" w:eastAsiaTheme="majorEastAsia" w:cstheme="majorEastAsia"/>
          <w:b/>
          <w:bCs/>
          <w:color w:val="000000" w:themeColor="text1"/>
          <w:sz w:val="48"/>
          <w:szCs w:val="48"/>
        </w:rPr>
      </w:pPr>
    </w:p>
    <w:p>
      <w:pPr>
        <w:jc w:val="center"/>
        <w:rPr>
          <w:rFonts w:asciiTheme="majorEastAsia" w:hAnsiTheme="majorEastAsia" w:eastAsiaTheme="majorEastAsia" w:cstheme="majorEastAsia"/>
          <w:b/>
          <w:bCs/>
          <w:color w:val="000000" w:themeColor="text1"/>
          <w:sz w:val="52"/>
          <w:szCs w:val="52"/>
        </w:rPr>
      </w:pPr>
      <w:bookmarkStart w:id="56" w:name="_Toc4009_WPSOffice_Level1"/>
      <w:bookmarkStart w:id="57" w:name="_Toc20271_WPSOffice_Level1"/>
      <w:bookmarkStart w:id="58" w:name="_Toc3139_WPSOffice_Level1"/>
      <w:bookmarkStart w:id="59" w:name="_Toc13017_WPSOffice_Level1"/>
      <w:r>
        <w:rPr>
          <w:rFonts w:hint="eastAsia" w:asciiTheme="majorEastAsia" w:hAnsiTheme="majorEastAsia" w:eastAsiaTheme="majorEastAsia" w:cstheme="majorEastAsia"/>
          <w:b/>
          <w:bCs/>
          <w:color w:val="000000" w:themeColor="text1"/>
          <w:sz w:val="48"/>
          <w:szCs w:val="48"/>
        </w:rPr>
        <w:t>目    录</w:t>
      </w:r>
      <w:bookmarkEnd w:id="56"/>
      <w:bookmarkEnd w:id="57"/>
      <w:bookmarkEnd w:id="58"/>
      <w:bookmarkEnd w:id="59"/>
    </w:p>
    <w:p>
      <w:pPr>
        <w:spacing w:line="480" w:lineRule="exact"/>
        <w:ind w:firstLine="640" w:firstLineChars="200"/>
        <w:rPr>
          <w:rFonts w:asciiTheme="majorEastAsia" w:hAnsiTheme="majorEastAsia" w:eastAsiaTheme="majorEastAsia" w:cstheme="majorEastAsia"/>
          <w:color w:val="000000" w:themeColor="text1"/>
          <w:sz w:val="32"/>
          <w:szCs w:val="32"/>
        </w:rPr>
      </w:pPr>
    </w:p>
    <w:p>
      <w:pPr>
        <w:spacing w:line="480" w:lineRule="exact"/>
        <w:ind w:firstLine="640" w:firstLineChars="200"/>
        <w:rPr>
          <w:rFonts w:asciiTheme="majorEastAsia" w:hAnsiTheme="majorEastAsia" w:eastAsiaTheme="majorEastAsia" w:cstheme="majorEastAsia"/>
          <w:color w:val="000000" w:themeColor="text1"/>
          <w:sz w:val="32"/>
          <w:szCs w:val="32"/>
        </w:rPr>
      </w:pPr>
    </w:p>
    <w:p>
      <w:pPr>
        <w:spacing w:line="360" w:lineRule="exact"/>
        <w:ind w:firstLine="560" w:firstLineChars="200"/>
        <w:rPr>
          <w:rFonts w:asciiTheme="majorEastAsia" w:hAnsiTheme="majorEastAsia" w:eastAsiaTheme="majorEastAsia" w:cstheme="majorEastAsia"/>
          <w:color w:val="000000" w:themeColor="text1"/>
          <w:sz w:val="28"/>
          <w:szCs w:val="36"/>
        </w:rPr>
      </w:pPr>
      <w:bookmarkStart w:id="60" w:name="_Toc29215_WPSOffice_Level1"/>
      <w:bookmarkStart w:id="61" w:name="_Toc26649_WPSOffice_Level1"/>
      <w:bookmarkStart w:id="62" w:name="_Toc32669_WPSOffice_Level1"/>
      <w:bookmarkStart w:id="63" w:name="_Toc26320_WPSOffice_Level1"/>
      <w:r>
        <w:rPr>
          <w:rFonts w:hint="eastAsia" w:asciiTheme="majorEastAsia" w:hAnsiTheme="majorEastAsia" w:eastAsiaTheme="majorEastAsia" w:cstheme="majorEastAsia"/>
          <w:color w:val="000000" w:themeColor="text1"/>
          <w:sz w:val="28"/>
          <w:szCs w:val="36"/>
        </w:rPr>
        <w:t>第1部分   法定代表人证明书及法定代表人授权书</w:t>
      </w:r>
      <w:bookmarkEnd w:id="60"/>
      <w:bookmarkEnd w:id="61"/>
      <w:bookmarkEnd w:id="62"/>
      <w:bookmarkEnd w:id="63"/>
    </w:p>
    <w:p>
      <w:pPr>
        <w:spacing w:line="360" w:lineRule="exact"/>
        <w:ind w:firstLine="560" w:firstLineChars="200"/>
        <w:rPr>
          <w:rFonts w:asciiTheme="majorEastAsia" w:hAnsiTheme="majorEastAsia" w:eastAsiaTheme="majorEastAsia" w:cstheme="majorEastAsia"/>
          <w:color w:val="000000" w:themeColor="text1"/>
          <w:sz w:val="28"/>
          <w:szCs w:val="36"/>
        </w:rPr>
      </w:pPr>
    </w:p>
    <w:p>
      <w:pPr>
        <w:spacing w:line="360" w:lineRule="exact"/>
        <w:ind w:firstLine="560" w:firstLineChars="200"/>
        <w:rPr>
          <w:rFonts w:asciiTheme="majorEastAsia" w:hAnsiTheme="majorEastAsia" w:eastAsiaTheme="majorEastAsia" w:cstheme="majorEastAsia"/>
          <w:color w:val="000000" w:themeColor="text1"/>
          <w:sz w:val="28"/>
          <w:szCs w:val="36"/>
        </w:rPr>
      </w:pPr>
      <w:bookmarkStart w:id="64" w:name="_Toc23071_WPSOffice_Level1"/>
      <w:bookmarkStart w:id="65" w:name="_Toc17379_WPSOffice_Level1"/>
      <w:bookmarkStart w:id="66" w:name="_Toc22556_WPSOffice_Level1"/>
      <w:bookmarkStart w:id="67" w:name="_Toc16788_WPSOffice_Level1"/>
      <w:r>
        <w:rPr>
          <w:rFonts w:hint="eastAsia" w:asciiTheme="majorEastAsia" w:hAnsiTheme="majorEastAsia" w:eastAsiaTheme="majorEastAsia" w:cstheme="majorEastAsia"/>
          <w:color w:val="000000" w:themeColor="text1"/>
          <w:sz w:val="28"/>
          <w:szCs w:val="36"/>
        </w:rPr>
        <w:t>第2部分   投标函</w:t>
      </w:r>
      <w:bookmarkEnd w:id="64"/>
      <w:bookmarkEnd w:id="65"/>
      <w:bookmarkEnd w:id="66"/>
      <w:bookmarkEnd w:id="67"/>
    </w:p>
    <w:p>
      <w:pPr>
        <w:spacing w:line="360" w:lineRule="exact"/>
        <w:ind w:firstLine="560" w:firstLineChars="200"/>
        <w:rPr>
          <w:rFonts w:asciiTheme="majorEastAsia" w:hAnsiTheme="majorEastAsia" w:eastAsiaTheme="majorEastAsia" w:cstheme="majorEastAsia"/>
          <w:color w:val="000000" w:themeColor="text1"/>
          <w:sz w:val="28"/>
          <w:szCs w:val="36"/>
        </w:rPr>
      </w:pPr>
    </w:p>
    <w:p>
      <w:pPr>
        <w:spacing w:line="360" w:lineRule="exact"/>
        <w:ind w:firstLine="560" w:firstLineChars="200"/>
        <w:rPr>
          <w:rFonts w:asciiTheme="majorEastAsia" w:hAnsiTheme="majorEastAsia" w:eastAsiaTheme="majorEastAsia" w:cstheme="majorEastAsia"/>
          <w:color w:val="000000" w:themeColor="text1"/>
          <w:sz w:val="28"/>
          <w:szCs w:val="36"/>
        </w:rPr>
      </w:pPr>
      <w:bookmarkStart w:id="68" w:name="_Toc17536_WPSOffice_Level1"/>
      <w:bookmarkStart w:id="69" w:name="_Toc18584_WPSOffice_Level1"/>
      <w:bookmarkStart w:id="70" w:name="_Toc13670_WPSOffice_Level1"/>
      <w:bookmarkStart w:id="71" w:name="_Toc10021_WPSOffice_Level1"/>
      <w:r>
        <w:rPr>
          <w:rFonts w:hint="eastAsia" w:asciiTheme="majorEastAsia" w:hAnsiTheme="majorEastAsia" w:eastAsiaTheme="majorEastAsia" w:cstheme="majorEastAsia"/>
          <w:color w:val="000000" w:themeColor="text1"/>
          <w:sz w:val="28"/>
          <w:szCs w:val="36"/>
        </w:rPr>
        <w:t>第3部分   响应报价表</w:t>
      </w:r>
      <w:bookmarkEnd w:id="68"/>
      <w:bookmarkEnd w:id="69"/>
      <w:bookmarkEnd w:id="70"/>
      <w:bookmarkEnd w:id="71"/>
    </w:p>
    <w:p>
      <w:pPr>
        <w:spacing w:line="360" w:lineRule="exact"/>
        <w:ind w:firstLine="560" w:firstLineChars="200"/>
        <w:rPr>
          <w:rFonts w:asciiTheme="majorEastAsia" w:hAnsiTheme="majorEastAsia" w:eastAsiaTheme="majorEastAsia" w:cstheme="majorEastAsia"/>
          <w:color w:val="000000" w:themeColor="text1"/>
          <w:sz w:val="28"/>
          <w:szCs w:val="36"/>
        </w:rPr>
      </w:pPr>
    </w:p>
    <w:p>
      <w:pPr>
        <w:spacing w:line="360" w:lineRule="exact"/>
        <w:ind w:firstLine="560" w:firstLineChars="200"/>
        <w:rPr>
          <w:rFonts w:asciiTheme="majorEastAsia" w:hAnsiTheme="majorEastAsia" w:eastAsiaTheme="majorEastAsia" w:cstheme="majorEastAsia"/>
          <w:color w:val="000000" w:themeColor="text1"/>
          <w:sz w:val="28"/>
          <w:szCs w:val="36"/>
        </w:rPr>
      </w:pPr>
      <w:bookmarkStart w:id="72" w:name="_Toc14525_WPSOffice_Level1"/>
      <w:bookmarkStart w:id="73" w:name="_Toc2488_WPSOffice_Level1"/>
      <w:bookmarkStart w:id="74" w:name="_Toc12732_WPSOffice_Level1"/>
      <w:bookmarkStart w:id="75" w:name="_Toc31964_WPSOffice_Level1"/>
      <w:r>
        <w:rPr>
          <w:rFonts w:hint="eastAsia" w:asciiTheme="majorEastAsia" w:hAnsiTheme="majorEastAsia" w:eastAsiaTheme="majorEastAsia" w:cstheme="majorEastAsia"/>
          <w:color w:val="000000" w:themeColor="text1"/>
          <w:sz w:val="28"/>
          <w:szCs w:val="36"/>
        </w:rPr>
        <w:t>第4部分   技术响应方案</w:t>
      </w:r>
      <w:bookmarkEnd w:id="72"/>
      <w:bookmarkEnd w:id="73"/>
      <w:bookmarkEnd w:id="74"/>
      <w:bookmarkEnd w:id="75"/>
    </w:p>
    <w:p>
      <w:pPr>
        <w:spacing w:line="360" w:lineRule="exact"/>
        <w:ind w:firstLine="560" w:firstLineChars="200"/>
        <w:rPr>
          <w:rFonts w:asciiTheme="majorEastAsia" w:hAnsiTheme="majorEastAsia" w:eastAsiaTheme="majorEastAsia" w:cstheme="majorEastAsia"/>
          <w:color w:val="000000" w:themeColor="text1"/>
          <w:sz w:val="28"/>
          <w:szCs w:val="36"/>
        </w:rPr>
      </w:pPr>
    </w:p>
    <w:p>
      <w:pPr>
        <w:spacing w:line="360" w:lineRule="exact"/>
        <w:ind w:firstLine="560" w:firstLineChars="200"/>
        <w:rPr>
          <w:rFonts w:asciiTheme="majorEastAsia" w:hAnsiTheme="majorEastAsia" w:eastAsiaTheme="majorEastAsia" w:cstheme="majorEastAsia"/>
          <w:color w:val="000000" w:themeColor="text1"/>
          <w:sz w:val="28"/>
          <w:szCs w:val="36"/>
        </w:rPr>
      </w:pPr>
      <w:bookmarkStart w:id="76" w:name="_Toc11202_WPSOffice_Level1"/>
      <w:bookmarkStart w:id="77" w:name="_Toc24609_WPSOffice_Level1"/>
      <w:bookmarkStart w:id="78" w:name="_Toc31438_WPSOffice_Level1"/>
      <w:bookmarkStart w:id="79" w:name="_Toc21739_WPSOffice_Level1"/>
      <w:r>
        <w:rPr>
          <w:rFonts w:hint="eastAsia" w:asciiTheme="majorEastAsia" w:hAnsiTheme="majorEastAsia" w:eastAsiaTheme="majorEastAsia" w:cstheme="majorEastAsia"/>
          <w:color w:val="000000" w:themeColor="text1"/>
          <w:sz w:val="28"/>
          <w:szCs w:val="36"/>
        </w:rPr>
        <w:t>第5部分   商务响应方案</w:t>
      </w:r>
      <w:bookmarkEnd w:id="76"/>
      <w:bookmarkEnd w:id="77"/>
      <w:bookmarkEnd w:id="78"/>
      <w:bookmarkEnd w:id="79"/>
    </w:p>
    <w:p>
      <w:pPr>
        <w:spacing w:line="360" w:lineRule="exact"/>
        <w:ind w:firstLine="560" w:firstLineChars="200"/>
        <w:rPr>
          <w:rFonts w:asciiTheme="majorEastAsia" w:hAnsiTheme="majorEastAsia" w:eastAsiaTheme="majorEastAsia" w:cstheme="majorEastAsia"/>
          <w:color w:val="000000" w:themeColor="text1"/>
          <w:sz w:val="28"/>
          <w:szCs w:val="36"/>
        </w:rPr>
      </w:pPr>
    </w:p>
    <w:p>
      <w:pPr>
        <w:spacing w:line="360" w:lineRule="exact"/>
        <w:ind w:firstLine="560" w:firstLineChars="200"/>
        <w:rPr>
          <w:rFonts w:asciiTheme="majorEastAsia" w:hAnsiTheme="majorEastAsia" w:eastAsiaTheme="majorEastAsia" w:cstheme="majorEastAsia"/>
          <w:color w:val="000000" w:themeColor="text1"/>
          <w:sz w:val="28"/>
          <w:szCs w:val="36"/>
        </w:rPr>
      </w:pPr>
      <w:bookmarkStart w:id="80" w:name="_Toc13397_WPSOffice_Level1"/>
      <w:bookmarkStart w:id="81" w:name="_Toc8308_WPSOffice_Level1"/>
      <w:bookmarkStart w:id="82" w:name="_Toc1534_WPSOffice_Level1"/>
      <w:bookmarkStart w:id="83" w:name="_Toc13637_WPSOffice_Level1"/>
      <w:r>
        <w:rPr>
          <w:rFonts w:hint="eastAsia" w:asciiTheme="majorEastAsia" w:hAnsiTheme="majorEastAsia" w:eastAsiaTheme="majorEastAsia" w:cstheme="majorEastAsia"/>
          <w:color w:val="000000" w:themeColor="text1"/>
          <w:sz w:val="28"/>
          <w:szCs w:val="36"/>
        </w:rPr>
        <w:t>第6部分   磋商供应商承诺</w:t>
      </w:r>
      <w:bookmarkEnd w:id="80"/>
      <w:bookmarkEnd w:id="81"/>
      <w:bookmarkEnd w:id="82"/>
      <w:bookmarkEnd w:id="83"/>
    </w:p>
    <w:p>
      <w:pPr>
        <w:spacing w:line="360" w:lineRule="exact"/>
        <w:ind w:firstLine="560" w:firstLineChars="200"/>
        <w:rPr>
          <w:rFonts w:asciiTheme="majorEastAsia" w:hAnsiTheme="majorEastAsia" w:eastAsiaTheme="majorEastAsia" w:cstheme="majorEastAsia"/>
          <w:color w:val="000000" w:themeColor="text1"/>
          <w:sz w:val="28"/>
          <w:szCs w:val="36"/>
        </w:rPr>
      </w:pPr>
    </w:p>
    <w:p>
      <w:pPr>
        <w:numPr>
          <w:ilvl w:val="0"/>
          <w:numId w:val="3"/>
        </w:numPr>
        <w:spacing w:line="360" w:lineRule="exact"/>
        <w:ind w:firstLine="560" w:firstLineChars="200"/>
        <w:rPr>
          <w:rFonts w:asciiTheme="majorEastAsia" w:hAnsiTheme="majorEastAsia" w:eastAsiaTheme="majorEastAsia" w:cstheme="majorEastAsia"/>
          <w:color w:val="000000" w:themeColor="text1"/>
          <w:sz w:val="28"/>
          <w:szCs w:val="36"/>
        </w:rPr>
      </w:pPr>
      <w:bookmarkStart w:id="84" w:name="_Toc16289_WPSOffice_Level1"/>
      <w:bookmarkStart w:id="85" w:name="_Toc5192_WPSOffice_Level1"/>
      <w:bookmarkStart w:id="86" w:name="_Toc11126_WPSOffice_Level1"/>
      <w:bookmarkStart w:id="87" w:name="_Toc13190_WPSOffice_Level1"/>
      <w:r>
        <w:rPr>
          <w:rFonts w:hint="eastAsia" w:asciiTheme="majorEastAsia" w:hAnsiTheme="majorEastAsia" w:eastAsiaTheme="majorEastAsia" w:cstheme="majorEastAsia"/>
          <w:color w:val="000000" w:themeColor="text1"/>
          <w:sz w:val="28"/>
          <w:szCs w:val="36"/>
        </w:rPr>
        <w:t xml:space="preserve">  </w:t>
      </w:r>
      <w:bookmarkEnd w:id="84"/>
      <w:bookmarkEnd w:id="85"/>
      <w:bookmarkEnd w:id="86"/>
      <w:bookmarkEnd w:id="87"/>
      <w:r>
        <w:rPr>
          <w:rFonts w:hint="eastAsia" w:asciiTheme="majorEastAsia" w:hAnsiTheme="majorEastAsia" w:eastAsiaTheme="majorEastAsia" w:cstheme="majorEastAsia"/>
          <w:color w:val="000000" w:themeColor="text1"/>
          <w:sz w:val="28"/>
          <w:szCs w:val="36"/>
        </w:rPr>
        <w:t>资格证明文件</w:t>
      </w:r>
    </w:p>
    <w:p>
      <w:pPr>
        <w:spacing w:line="360" w:lineRule="exact"/>
        <w:rPr>
          <w:rFonts w:asciiTheme="majorEastAsia" w:hAnsiTheme="majorEastAsia" w:eastAsiaTheme="majorEastAsia" w:cstheme="majorEastAsia"/>
          <w:color w:val="000000" w:themeColor="text1"/>
          <w:sz w:val="28"/>
          <w:szCs w:val="36"/>
        </w:rPr>
      </w:pPr>
    </w:p>
    <w:p>
      <w:pPr>
        <w:spacing w:line="360" w:lineRule="exact"/>
        <w:ind w:firstLine="440" w:firstLineChars="200"/>
        <w:rPr>
          <w:rFonts w:asciiTheme="majorEastAsia" w:hAnsiTheme="majorEastAsia" w:eastAsiaTheme="majorEastAsia" w:cstheme="majorEastAsia"/>
          <w:color w:val="000000" w:themeColor="text1"/>
          <w:sz w:val="22"/>
          <w:szCs w:val="32"/>
        </w:rPr>
      </w:pPr>
    </w:p>
    <w:p>
      <w:pPr>
        <w:spacing w:line="480" w:lineRule="exact"/>
        <w:ind w:firstLine="640" w:firstLineChars="200"/>
        <w:rPr>
          <w:rFonts w:asciiTheme="majorEastAsia" w:hAnsiTheme="majorEastAsia" w:eastAsiaTheme="majorEastAsia" w:cstheme="majorEastAsia"/>
          <w:color w:val="000000" w:themeColor="text1"/>
          <w:sz w:val="32"/>
          <w:szCs w:val="32"/>
        </w:rPr>
      </w:pPr>
    </w:p>
    <w:p>
      <w:pPr>
        <w:spacing w:line="480" w:lineRule="exact"/>
        <w:ind w:firstLine="640" w:firstLineChars="200"/>
        <w:rPr>
          <w:rFonts w:asciiTheme="majorEastAsia" w:hAnsiTheme="majorEastAsia" w:eastAsiaTheme="majorEastAsia" w:cstheme="majorEastAsia"/>
          <w:color w:val="000000" w:themeColor="text1"/>
          <w:sz w:val="32"/>
          <w:szCs w:val="32"/>
        </w:rPr>
      </w:pPr>
    </w:p>
    <w:p>
      <w:pPr>
        <w:spacing w:line="480" w:lineRule="exact"/>
        <w:ind w:firstLine="640" w:firstLineChars="200"/>
        <w:rPr>
          <w:rFonts w:asciiTheme="majorEastAsia" w:hAnsiTheme="majorEastAsia" w:eastAsiaTheme="majorEastAsia" w:cstheme="majorEastAsia"/>
          <w:color w:val="000000" w:themeColor="text1"/>
          <w:sz w:val="32"/>
          <w:szCs w:val="32"/>
        </w:rPr>
      </w:pPr>
    </w:p>
    <w:p>
      <w:pPr>
        <w:spacing w:line="480" w:lineRule="exact"/>
        <w:ind w:firstLine="640" w:firstLineChars="200"/>
        <w:rPr>
          <w:rFonts w:asciiTheme="majorEastAsia" w:hAnsiTheme="majorEastAsia" w:eastAsiaTheme="majorEastAsia" w:cstheme="majorEastAsia"/>
          <w:color w:val="000000" w:themeColor="text1"/>
          <w:sz w:val="32"/>
          <w:szCs w:val="32"/>
        </w:rPr>
      </w:pPr>
    </w:p>
    <w:p>
      <w:pPr>
        <w:spacing w:line="480" w:lineRule="exact"/>
        <w:ind w:firstLine="640" w:firstLineChars="200"/>
        <w:rPr>
          <w:rFonts w:asciiTheme="majorEastAsia" w:hAnsiTheme="majorEastAsia" w:eastAsiaTheme="majorEastAsia" w:cstheme="majorEastAsia"/>
          <w:color w:val="000000" w:themeColor="text1"/>
          <w:sz w:val="32"/>
          <w:szCs w:val="32"/>
        </w:rPr>
      </w:pPr>
    </w:p>
    <w:p>
      <w:pPr>
        <w:spacing w:line="480" w:lineRule="exact"/>
        <w:ind w:firstLine="640" w:firstLineChars="200"/>
        <w:rPr>
          <w:rFonts w:asciiTheme="majorEastAsia" w:hAnsiTheme="majorEastAsia" w:eastAsiaTheme="majorEastAsia" w:cstheme="majorEastAsia"/>
          <w:color w:val="000000" w:themeColor="text1"/>
          <w:sz w:val="32"/>
          <w:szCs w:val="32"/>
        </w:rPr>
      </w:pPr>
    </w:p>
    <w:p>
      <w:pPr>
        <w:spacing w:line="480" w:lineRule="exact"/>
        <w:ind w:firstLine="640" w:firstLineChars="200"/>
        <w:rPr>
          <w:rFonts w:asciiTheme="majorEastAsia" w:hAnsiTheme="majorEastAsia" w:eastAsiaTheme="majorEastAsia" w:cstheme="majorEastAsia"/>
          <w:color w:val="000000" w:themeColor="text1"/>
          <w:sz w:val="32"/>
          <w:szCs w:val="32"/>
        </w:rPr>
      </w:pPr>
    </w:p>
    <w:p>
      <w:pPr>
        <w:pStyle w:val="2"/>
        <w:rPr>
          <w:rFonts w:asciiTheme="majorEastAsia" w:hAnsiTheme="majorEastAsia" w:eastAsiaTheme="majorEastAsia" w:cstheme="majorEastAsia"/>
          <w:color w:val="000000" w:themeColor="text1"/>
          <w:sz w:val="32"/>
          <w:szCs w:val="32"/>
        </w:rPr>
      </w:pPr>
    </w:p>
    <w:p>
      <w:pPr>
        <w:pStyle w:val="2"/>
        <w:rPr>
          <w:rFonts w:asciiTheme="majorEastAsia" w:hAnsiTheme="majorEastAsia" w:eastAsiaTheme="majorEastAsia" w:cstheme="majorEastAsia"/>
          <w:color w:val="000000" w:themeColor="text1"/>
          <w:sz w:val="32"/>
          <w:szCs w:val="32"/>
        </w:rPr>
      </w:pPr>
    </w:p>
    <w:p>
      <w:pPr>
        <w:pStyle w:val="2"/>
        <w:rPr>
          <w:rFonts w:asciiTheme="majorEastAsia" w:hAnsiTheme="majorEastAsia" w:eastAsiaTheme="majorEastAsia" w:cstheme="majorEastAsia"/>
          <w:color w:val="000000" w:themeColor="text1"/>
          <w:sz w:val="32"/>
          <w:szCs w:val="32"/>
        </w:rPr>
      </w:pPr>
    </w:p>
    <w:p>
      <w:pPr>
        <w:pStyle w:val="2"/>
        <w:rPr>
          <w:rFonts w:asciiTheme="majorEastAsia" w:hAnsiTheme="majorEastAsia" w:eastAsiaTheme="majorEastAsia" w:cstheme="majorEastAsia"/>
          <w:color w:val="000000" w:themeColor="text1"/>
          <w:sz w:val="32"/>
          <w:szCs w:val="32"/>
        </w:rPr>
      </w:pPr>
    </w:p>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bookmarkStart w:id="88" w:name="_Toc8936_WPSOffice_Level1"/>
      <w:bookmarkStart w:id="89" w:name="_Toc3343_WPSOffice_Level1"/>
      <w:bookmarkStart w:id="90" w:name="_Toc26990_WPSOffice_Level1"/>
      <w:r>
        <w:rPr>
          <w:rFonts w:hint="eastAsia" w:asciiTheme="majorEastAsia" w:hAnsiTheme="majorEastAsia" w:eastAsiaTheme="majorEastAsia" w:cstheme="majorEastAsia"/>
          <w:b/>
          <w:bCs/>
          <w:color w:val="000000" w:themeColor="text1"/>
          <w:sz w:val="36"/>
          <w:szCs w:val="44"/>
        </w:rPr>
        <w:t>第1部分  法定代表人证明书与法定代表人授权书</w:t>
      </w:r>
      <w:bookmarkEnd w:id="88"/>
      <w:bookmarkEnd w:id="89"/>
      <w:bookmarkEnd w:id="90"/>
    </w:p>
    <w:p>
      <w:pPr>
        <w:spacing w:line="480" w:lineRule="exact"/>
        <w:ind w:firstLine="157" w:firstLineChars="49"/>
        <w:jc w:val="center"/>
        <w:rPr>
          <w:rFonts w:asciiTheme="majorEastAsia" w:hAnsiTheme="majorEastAsia" w:eastAsiaTheme="majorEastAsia" w:cstheme="majorEastAsia"/>
          <w:b/>
          <w:color w:val="000000" w:themeColor="text1"/>
          <w:sz w:val="32"/>
          <w:szCs w:val="32"/>
          <w:u w:val="single"/>
        </w:rPr>
      </w:pPr>
    </w:p>
    <w:p>
      <w:pPr>
        <w:spacing w:line="480" w:lineRule="exact"/>
        <w:ind w:firstLine="157" w:firstLineChars="49"/>
        <w:jc w:val="center"/>
        <w:rPr>
          <w:rFonts w:asciiTheme="majorEastAsia" w:hAnsiTheme="majorEastAsia" w:eastAsiaTheme="majorEastAsia" w:cstheme="majorEastAsia"/>
          <w:b/>
          <w:color w:val="000000" w:themeColor="text1"/>
          <w:sz w:val="32"/>
          <w:szCs w:val="32"/>
          <w:u w:val="single"/>
        </w:rPr>
      </w:pPr>
      <w:r>
        <w:rPr>
          <w:rFonts w:hint="eastAsia" w:asciiTheme="majorEastAsia" w:hAnsiTheme="majorEastAsia" w:eastAsiaTheme="majorEastAsia" w:cstheme="majorEastAsia"/>
          <w:b/>
          <w:color w:val="000000" w:themeColor="text1"/>
          <w:sz w:val="32"/>
          <w:szCs w:val="32"/>
          <w:u w:val="single"/>
        </w:rPr>
        <w:t>1.1法定代表人证明书</w:t>
      </w:r>
    </w:p>
    <w:p>
      <w:pPr>
        <w:spacing w:line="480" w:lineRule="exact"/>
        <w:ind w:firstLine="157" w:firstLineChars="49"/>
        <w:jc w:val="center"/>
        <w:rPr>
          <w:rFonts w:asciiTheme="majorEastAsia" w:hAnsiTheme="majorEastAsia" w:eastAsiaTheme="majorEastAsia" w:cstheme="majorEastAsia"/>
          <w:b/>
          <w:color w:val="000000" w:themeColor="text1"/>
          <w:sz w:val="32"/>
          <w:szCs w:val="32"/>
          <w:u w:val="single"/>
        </w:rPr>
      </w:pPr>
    </w:p>
    <w:p>
      <w:pPr>
        <w:tabs>
          <w:tab w:val="left" w:pos="1155"/>
        </w:tabs>
        <w:spacing w:line="180" w:lineRule="exact"/>
        <w:rPr>
          <w:rFonts w:asciiTheme="majorEastAsia" w:hAnsiTheme="majorEastAsia" w:eastAsiaTheme="majorEastAsia" w:cstheme="majorEastAsia"/>
          <w:color w:val="000000" w:themeColor="text1"/>
          <w:sz w:val="10"/>
          <w:szCs w:val="10"/>
        </w:rPr>
      </w:pPr>
    </w:p>
    <w:tbl>
      <w:tblPr>
        <w:tblStyle w:val="22"/>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837"/>
        <w:gridCol w:w="1693"/>
        <w:gridCol w:w="2022"/>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65" w:type="dxa"/>
            <w:gridSpan w:val="5"/>
            <w:noWrap/>
          </w:tcPr>
          <w:p>
            <w:pPr>
              <w:tabs>
                <w:tab w:val="left" w:pos="1260"/>
              </w:tabs>
              <w:spacing w:line="440" w:lineRule="exact"/>
              <w:rPr>
                <w:rFonts w:asciiTheme="majorEastAsia" w:hAnsiTheme="majorEastAsia" w:eastAsiaTheme="majorEastAsia" w:cstheme="majorEastAsia"/>
                <w:b/>
                <w:bCs/>
                <w:color w:val="000000" w:themeColor="text1"/>
                <w:sz w:val="36"/>
                <w:szCs w:val="44"/>
              </w:rPr>
            </w:pPr>
            <w:r>
              <w:rPr>
                <w:rFonts w:hint="eastAsia" w:asciiTheme="majorEastAsia" w:hAnsiTheme="majorEastAsia" w:eastAsiaTheme="majorEastAsia" w:cstheme="majorEastAsia"/>
                <w:color w:val="000000" w:themeColor="text1"/>
                <w:sz w:val="24"/>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企业基本信息</w:t>
            </w:r>
          </w:p>
        </w:tc>
        <w:tc>
          <w:tcPr>
            <w:tcW w:w="1837"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企业名称</w:t>
            </w:r>
          </w:p>
        </w:tc>
        <w:tc>
          <w:tcPr>
            <w:tcW w:w="5722" w:type="dxa"/>
            <w:gridSpan w:val="3"/>
            <w:noWrap/>
          </w:tcPr>
          <w:p>
            <w:pPr>
              <w:tabs>
                <w:tab w:val="left" w:pos="1260"/>
              </w:tabs>
              <w:spacing w:line="440" w:lineRule="exact"/>
              <w:rPr>
                <w:rFonts w:asciiTheme="majorEastAsia" w:hAnsiTheme="majorEastAsia" w:eastAsiaTheme="majorEastAsia" w:cstheme="majorEastAsia"/>
                <w:b/>
                <w:bCs/>
                <w:color w:val="000000" w:themeColor="text1"/>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ign w:val="center"/>
          </w:tcPr>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tc>
        <w:tc>
          <w:tcPr>
            <w:tcW w:w="1837"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法定地址</w:t>
            </w:r>
          </w:p>
        </w:tc>
        <w:tc>
          <w:tcPr>
            <w:tcW w:w="5722" w:type="dxa"/>
            <w:gridSpan w:val="3"/>
            <w:noWrap/>
          </w:tcPr>
          <w:p>
            <w:pPr>
              <w:tabs>
                <w:tab w:val="left" w:pos="1260"/>
              </w:tabs>
              <w:spacing w:line="440" w:lineRule="exact"/>
              <w:rPr>
                <w:rFonts w:asciiTheme="majorEastAsia" w:hAnsiTheme="majorEastAsia" w:eastAsiaTheme="majorEastAsia" w:cstheme="majorEastAsia"/>
                <w:b/>
                <w:bCs/>
                <w:color w:val="000000" w:themeColor="text1"/>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ign w:val="center"/>
          </w:tcPr>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tc>
        <w:tc>
          <w:tcPr>
            <w:tcW w:w="1837"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邮政编码</w:t>
            </w:r>
          </w:p>
        </w:tc>
        <w:tc>
          <w:tcPr>
            <w:tcW w:w="5722" w:type="dxa"/>
            <w:gridSpan w:val="3"/>
            <w:noWrap/>
          </w:tcPr>
          <w:p>
            <w:pPr>
              <w:tabs>
                <w:tab w:val="left" w:pos="1260"/>
              </w:tabs>
              <w:spacing w:line="440" w:lineRule="exact"/>
              <w:rPr>
                <w:rFonts w:asciiTheme="majorEastAsia" w:hAnsiTheme="majorEastAsia" w:eastAsiaTheme="majorEastAsia" w:cstheme="majorEastAsia"/>
                <w:b/>
                <w:bCs/>
                <w:color w:val="000000" w:themeColor="text1"/>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ign w:val="center"/>
          </w:tcPr>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tc>
        <w:tc>
          <w:tcPr>
            <w:tcW w:w="1837"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网    址</w:t>
            </w:r>
          </w:p>
        </w:tc>
        <w:tc>
          <w:tcPr>
            <w:tcW w:w="5722" w:type="dxa"/>
            <w:gridSpan w:val="3"/>
            <w:noWrap/>
          </w:tcPr>
          <w:p>
            <w:pPr>
              <w:tabs>
                <w:tab w:val="left" w:pos="1260"/>
              </w:tabs>
              <w:spacing w:line="440" w:lineRule="exact"/>
              <w:rPr>
                <w:rFonts w:asciiTheme="majorEastAsia" w:hAnsiTheme="majorEastAsia" w:eastAsiaTheme="majorEastAsia" w:cstheme="majorEastAsia"/>
                <w:b/>
                <w:bCs/>
                <w:color w:val="000000" w:themeColor="text1"/>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6" w:type="dxa"/>
            <w:vMerge w:val="continue"/>
            <w:noWrap/>
            <w:vAlign w:val="center"/>
          </w:tcPr>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tc>
        <w:tc>
          <w:tcPr>
            <w:tcW w:w="1837" w:type="dxa"/>
            <w:noWrap/>
          </w:tcPr>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r>
              <w:rPr>
                <w:rFonts w:hint="eastAsia" w:asciiTheme="majorEastAsia" w:hAnsiTheme="majorEastAsia" w:eastAsiaTheme="majorEastAsia" w:cstheme="majorEastAsia"/>
                <w:color w:val="000000" w:themeColor="text1"/>
              </w:rPr>
              <w:t>工商登记机关</w:t>
            </w:r>
          </w:p>
        </w:tc>
        <w:tc>
          <w:tcPr>
            <w:tcW w:w="5722" w:type="dxa"/>
            <w:gridSpan w:val="3"/>
            <w:noWrap/>
          </w:tcPr>
          <w:p>
            <w:pPr>
              <w:tabs>
                <w:tab w:val="left" w:pos="1260"/>
              </w:tabs>
              <w:spacing w:line="440" w:lineRule="exact"/>
              <w:rPr>
                <w:rFonts w:asciiTheme="majorEastAsia" w:hAnsiTheme="majorEastAsia" w:eastAsiaTheme="majorEastAsia" w:cstheme="majorEastAsia"/>
                <w:b/>
                <w:bCs/>
                <w:color w:val="000000" w:themeColor="text1"/>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706" w:type="dxa"/>
            <w:vMerge w:val="continue"/>
            <w:noWrap/>
            <w:vAlign w:val="center"/>
          </w:tcPr>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tc>
        <w:tc>
          <w:tcPr>
            <w:tcW w:w="1837"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税务登记机关</w:t>
            </w:r>
          </w:p>
        </w:tc>
        <w:tc>
          <w:tcPr>
            <w:tcW w:w="5722" w:type="dxa"/>
            <w:gridSpan w:val="3"/>
            <w:noWrap/>
          </w:tcPr>
          <w:p>
            <w:pPr>
              <w:tabs>
                <w:tab w:val="left" w:pos="1260"/>
              </w:tabs>
              <w:spacing w:line="440" w:lineRule="exact"/>
              <w:rPr>
                <w:rFonts w:asciiTheme="majorEastAsia" w:hAnsiTheme="majorEastAsia" w:eastAsiaTheme="majorEastAsia" w:cstheme="maj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ign w:val="center"/>
          </w:tcPr>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tc>
        <w:tc>
          <w:tcPr>
            <w:tcW w:w="1837" w:type="dxa"/>
            <w:noWrap/>
          </w:tcPr>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r>
              <w:rPr>
                <w:rFonts w:hint="eastAsia" w:asciiTheme="majorEastAsia" w:hAnsiTheme="majorEastAsia" w:eastAsiaTheme="majorEastAsia" w:cstheme="majorEastAsia"/>
                <w:color w:val="000000" w:themeColor="text1"/>
              </w:rPr>
              <w:t>机构代码证号</w:t>
            </w:r>
          </w:p>
        </w:tc>
        <w:tc>
          <w:tcPr>
            <w:tcW w:w="5722" w:type="dxa"/>
            <w:gridSpan w:val="3"/>
            <w:noWrap/>
          </w:tcPr>
          <w:p>
            <w:pPr>
              <w:tabs>
                <w:tab w:val="left" w:pos="1260"/>
              </w:tabs>
              <w:spacing w:line="440" w:lineRule="exact"/>
              <w:rPr>
                <w:rFonts w:asciiTheme="majorEastAsia" w:hAnsiTheme="majorEastAsia" w:eastAsiaTheme="majorEastAsia" w:cstheme="majorEastAsia"/>
                <w:b/>
                <w:bCs/>
                <w:color w:val="000000" w:themeColor="text1"/>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noWrap/>
            <w:vAlign w:val="center"/>
          </w:tcPr>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r>
              <w:rPr>
                <w:rFonts w:hint="eastAsia" w:asciiTheme="majorEastAsia" w:hAnsiTheme="majorEastAsia" w:eastAsiaTheme="majorEastAsia" w:cstheme="majorEastAsia"/>
                <w:color w:val="000000" w:themeColor="text1"/>
              </w:rPr>
              <w:t>法定代表人</w:t>
            </w:r>
          </w:p>
        </w:tc>
        <w:tc>
          <w:tcPr>
            <w:tcW w:w="1837"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姓    名</w:t>
            </w:r>
          </w:p>
        </w:tc>
        <w:tc>
          <w:tcPr>
            <w:tcW w:w="1693" w:type="dxa"/>
            <w:noWrap/>
          </w:tcPr>
          <w:p>
            <w:pPr>
              <w:tabs>
                <w:tab w:val="left" w:pos="1260"/>
              </w:tabs>
              <w:spacing w:line="440" w:lineRule="exact"/>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 xml:space="preserve"> </w:t>
            </w:r>
          </w:p>
        </w:tc>
        <w:tc>
          <w:tcPr>
            <w:tcW w:w="2022"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性    别</w:t>
            </w:r>
          </w:p>
        </w:tc>
        <w:tc>
          <w:tcPr>
            <w:tcW w:w="2007" w:type="dxa"/>
            <w:noWrap/>
          </w:tcPr>
          <w:p>
            <w:pPr>
              <w:tabs>
                <w:tab w:val="left" w:pos="1260"/>
              </w:tabs>
              <w:spacing w:line="440" w:lineRule="exact"/>
              <w:rPr>
                <w:rFonts w:asciiTheme="majorEastAsia" w:hAnsiTheme="majorEastAsia" w:eastAsiaTheme="majorEastAsia" w:cstheme="maj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ign w:val="center"/>
          </w:tcPr>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tc>
        <w:tc>
          <w:tcPr>
            <w:tcW w:w="1837"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职    务</w:t>
            </w:r>
          </w:p>
        </w:tc>
        <w:tc>
          <w:tcPr>
            <w:tcW w:w="1693" w:type="dxa"/>
            <w:noWrap/>
          </w:tcPr>
          <w:p>
            <w:pPr>
              <w:tabs>
                <w:tab w:val="left" w:pos="1260"/>
              </w:tabs>
              <w:spacing w:line="440" w:lineRule="exact"/>
              <w:rPr>
                <w:rFonts w:asciiTheme="majorEastAsia" w:hAnsiTheme="majorEastAsia" w:eastAsiaTheme="majorEastAsia" w:cstheme="majorEastAsia"/>
                <w:color w:val="000000" w:themeColor="text1"/>
              </w:rPr>
            </w:pPr>
          </w:p>
        </w:tc>
        <w:tc>
          <w:tcPr>
            <w:tcW w:w="2022"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联系电话</w:t>
            </w:r>
          </w:p>
        </w:tc>
        <w:tc>
          <w:tcPr>
            <w:tcW w:w="2007" w:type="dxa"/>
            <w:noWrap/>
          </w:tcPr>
          <w:p>
            <w:pPr>
              <w:tabs>
                <w:tab w:val="left" w:pos="1260"/>
              </w:tabs>
              <w:spacing w:line="440" w:lineRule="exact"/>
              <w:rPr>
                <w:rFonts w:asciiTheme="majorEastAsia" w:hAnsiTheme="majorEastAsia" w:eastAsiaTheme="majorEastAsia" w:cstheme="maj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ign w:val="center"/>
          </w:tcPr>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tc>
        <w:tc>
          <w:tcPr>
            <w:tcW w:w="1837"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传    真</w:t>
            </w:r>
          </w:p>
        </w:tc>
        <w:tc>
          <w:tcPr>
            <w:tcW w:w="5722" w:type="dxa"/>
            <w:gridSpan w:val="3"/>
            <w:noWrap/>
          </w:tcPr>
          <w:p>
            <w:pPr>
              <w:tabs>
                <w:tab w:val="left" w:pos="1260"/>
              </w:tabs>
              <w:spacing w:line="440" w:lineRule="exact"/>
              <w:rPr>
                <w:rFonts w:asciiTheme="majorEastAsia" w:hAnsiTheme="majorEastAsia" w:eastAsiaTheme="majorEastAsia" w:cstheme="maj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706" w:type="dxa"/>
            <w:vMerge w:val="restart"/>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法定代表人</w:t>
            </w:r>
          </w:p>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身份证复印件</w:t>
            </w:r>
          </w:p>
        </w:tc>
        <w:tc>
          <w:tcPr>
            <w:tcW w:w="3530" w:type="dxa"/>
            <w:gridSpan w:val="2"/>
            <w:vMerge w:val="restart"/>
            <w:noWrap/>
            <w:vAlign w:val="center"/>
          </w:tcPr>
          <w:p>
            <w:pPr>
              <w:tabs>
                <w:tab w:val="left" w:pos="1260"/>
              </w:tabs>
              <w:jc w:val="center"/>
              <w:rPr>
                <w:rFonts w:asciiTheme="majorEastAsia" w:hAnsiTheme="majorEastAsia" w:eastAsiaTheme="majorEastAsia" w:cstheme="majorEastAsia"/>
                <w:b/>
                <w:bCs/>
                <w:color w:val="000000" w:themeColor="text1"/>
                <w:sz w:val="36"/>
                <w:szCs w:val="44"/>
              </w:rPr>
            </w:pPr>
            <w:r>
              <w:rPr>
                <w:rFonts w:hint="eastAsia" w:asciiTheme="majorEastAsia" w:hAnsiTheme="majorEastAsia" w:eastAsiaTheme="majorEastAsia" w:cstheme="majorEastAsia"/>
                <w:color w:val="000000" w:themeColor="text1"/>
              </w:rPr>
              <w:t>（粘贴处）</w:t>
            </w:r>
          </w:p>
        </w:tc>
        <w:tc>
          <w:tcPr>
            <w:tcW w:w="4029" w:type="dxa"/>
            <w:gridSpan w:val="2"/>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706" w:type="dxa"/>
            <w:vMerge w:val="continue"/>
            <w:noWrap/>
          </w:tcPr>
          <w:p>
            <w:pPr>
              <w:tabs>
                <w:tab w:val="left" w:pos="1260"/>
              </w:tabs>
              <w:spacing w:line="440" w:lineRule="exact"/>
              <w:rPr>
                <w:rFonts w:asciiTheme="majorEastAsia" w:hAnsiTheme="majorEastAsia" w:eastAsiaTheme="majorEastAsia" w:cstheme="majorEastAsia"/>
                <w:b/>
                <w:bCs/>
                <w:color w:val="000000" w:themeColor="text1"/>
                <w:sz w:val="36"/>
                <w:szCs w:val="44"/>
              </w:rPr>
            </w:pPr>
          </w:p>
        </w:tc>
        <w:tc>
          <w:tcPr>
            <w:tcW w:w="3530" w:type="dxa"/>
            <w:gridSpan w:val="2"/>
            <w:vMerge w:val="continue"/>
            <w:noWrap/>
          </w:tcPr>
          <w:p>
            <w:pPr>
              <w:tabs>
                <w:tab w:val="left" w:pos="1260"/>
              </w:tabs>
              <w:spacing w:line="440" w:lineRule="exact"/>
              <w:rPr>
                <w:rFonts w:asciiTheme="majorEastAsia" w:hAnsiTheme="majorEastAsia" w:eastAsiaTheme="majorEastAsia" w:cstheme="majorEastAsia"/>
                <w:b/>
                <w:bCs/>
                <w:color w:val="000000" w:themeColor="text1"/>
                <w:sz w:val="36"/>
                <w:szCs w:val="44"/>
              </w:rPr>
            </w:pPr>
          </w:p>
        </w:tc>
        <w:tc>
          <w:tcPr>
            <w:tcW w:w="4029" w:type="dxa"/>
            <w:gridSpan w:val="2"/>
            <w:noWrap/>
            <w:vAlign w:val="center"/>
          </w:tcPr>
          <w:p>
            <w:pPr>
              <w:tabs>
                <w:tab w:val="left" w:pos="1260"/>
              </w:tabs>
              <w:spacing w:line="440" w:lineRule="exact"/>
              <w:ind w:firstLine="459"/>
              <w:jc w:val="center"/>
              <w:rPr>
                <w:rFonts w:asciiTheme="majorEastAsia" w:hAnsiTheme="majorEastAsia" w:eastAsiaTheme="majorEastAsia" w:cstheme="majorEastAsia"/>
                <w:color w:val="000000" w:themeColor="text1"/>
                <w:szCs w:val="32"/>
              </w:rPr>
            </w:pPr>
          </w:p>
          <w:p>
            <w:pPr>
              <w:tabs>
                <w:tab w:val="left" w:pos="1260"/>
              </w:tabs>
              <w:spacing w:line="440" w:lineRule="exact"/>
              <w:rPr>
                <w:rFonts w:asciiTheme="majorEastAsia" w:hAnsiTheme="majorEastAsia" w:eastAsiaTheme="majorEastAsia" w:cstheme="majorEastAsia"/>
                <w:color w:val="000000" w:themeColor="text1"/>
                <w:szCs w:val="32"/>
              </w:rPr>
            </w:pPr>
          </w:p>
          <w:p>
            <w:pPr>
              <w:tabs>
                <w:tab w:val="left" w:pos="1260"/>
              </w:tabs>
              <w:spacing w:line="440" w:lineRule="exact"/>
              <w:jc w:val="center"/>
              <w:rPr>
                <w:rFonts w:asciiTheme="majorEastAsia" w:hAnsiTheme="majorEastAsia" w:eastAsiaTheme="majorEastAsia" w:cstheme="majorEastAsia"/>
                <w:color w:val="000000" w:themeColor="text1"/>
                <w:szCs w:val="32"/>
              </w:rPr>
            </w:pPr>
            <w:r>
              <w:rPr>
                <w:rFonts w:hint="eastAsia" w:asciiTheme="majorEastAsia" w:hAnsiTheme="majorEastAsia" w:eastAsiaTheme="majorEastAsia" w:cstheme="majorEastAsia"/>
                <w:color w:val="000000" w:themeColor="text1"/>
                <w:szCs w:val="32"/>
              </w:rPr>
              <w:t>（法人公章）</w:t>
            </w:r>
          </w:p>
          <w:p>
            <w:pPr>
              <w:tabs>
                <w:tab w:val="left" w:pos="1260"/>
              </w:tabs>
              <w:spacing w:line="440" w:lineRule="exact"/>
              <w:ind w:firstLine="459"/>
              <w:jc w:val="center"/>
              <w:rPr>
                <w:rFonts w:asciiTheme="majorEastAsia" w:hAnsiTheme="majorEastAsia" w:eastAsiaTheme="majorEastAsia" w:cstheme="majorEastAsia"/>
                <w:color w:val="000000" w:themeColor="text1"/>
                <w:szCs w:val="32"/>
              </w:rPr>
            </w:pPr>
          </w:p>
          <w:p>
            <w:pPr>
              <w:tabs>
                <w:tab w:val="left" w:pos="1260"/>
              </w:tabs>
              <w:spacing w:line="440" w:lineRule="exact"/>
              <w:ind w:right="280" w:firstLine="459"/>
              <w:jc w:val="right"/>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szCs w:val="32"/>
              </w:rPr>
              <w:t>年   月   日</w:t>
            </w:r>
          </w:p>
        </w:tc>
      </w:tr>
    </w:tbl>
    <w:p>
      <w:pPr>
        <w:tabs>
          <w:tab w:val="left" w:pos="1260"/>
        </w:tabs>
        <w:spacing w:line="440" w:lineRule="exact"/>
        <w:rPr>
          <w:rFonts w:asciiTheme="majorEastAsia" w:hAnsiTheme="majorEastAsia" w:eastAsiaTheme="majorEastAsia" w:cstheme="majorEastAsia"/>
          <w:b/>
          <w:bCs/>
          <w:color w:val="000000" w:themeColor="text1"/>
          <w:sz w:val="32"/>
          <w:szCs w:val="32"/>
          <w:u w:val="single"/>
        </w:rPr>
      </w:pPr>
    </w:p>
    <w:p>
      <w:pPr>
        <w:tabs>
          <w:tab w:val="left" w:pos="1260"/>
        </w:tabs>
        <w:spacing w:line="440" w:lineRule="exact"/>
        <w:jc w:val="center"/>
        <w:rPr>
          <w:rFonts w:asciiTheme="majorEastAsia" w:hAnsiTheme="majorEastAsia" w:eastAsiaTheme="majorEastAsia" w:cstheme="majorEastAsia"/>
          <w:b/>
          <w:bCs/>
          <w:color w:val="000000" w:themeColor="text1"/>
          <w:sz w:val="32"/>
          <w:szCs w:val="32"/>
          <w:u w:val="single"/>
        </w:rPr>
      </w:pPr>
    </w:p>
    <w:p>
      <w:pPr>
        <w:tabs>
          <w:tab w:val="left" w:pos="1260"/>
        </w:tabs>
        <w:spacing w:line="440" w:lineRule="exact"/>
        <w:jc w:val="center"/>
        <w:rPr>
          <w:rFonts w:asciiTheme="majorEastAsia" w:hAnsiTheme="majorEastAsia" w:eastAsiaTheme="majorEastAsia" w:cstheme="majorEastAsia"/>
          <w:b/>
          <w:bCs/>
          <w:color w:val="000000" w:themeColor="text1"/>
          <w:sz w:val="32"/>
          <w:szCs w:val="32"/>
          <w:u w:val="single"/>
        </w:rPr>
      </w:pPr>
    </w:p>
    <w:p>
      <w:pPr>
        <w:pStyle w:val="2"/>
      </w:pPr>
    </w:p>
    <w:p>
      <w:pPr>
        <w:pStyle w:val="2"/>
        <w:rPr>
          <w:color w:val="000000" w:themeColor="text1"/>
        </w:rPr>
      </w:pPr>
    </w:p>
    <w:p>
      <w:pPr>
        <w:tabs>
          <w:tab w:val="left" w:pos="1260"/>
        </w:tabs>
        <w:spacing w:line="440" w:lineRule="exact"/>
        <w:jc w:val="center"/>
        <w:rPr>
          <w:rFonts w:asciiTheme="majorEastAsia" w:hAnsiTheme="majorEastAsia" w:eastAsiaTheme="majorEastAsia" w:cstheme="majorEastAsia"/>
          <w:b/>
          <w:bCs/>
          <w:color w:val="000000" w:themeColor="text1"/>
          <w:sz w:val="32"/>
          <w:szCs w:val="32"/>
          <w:u w:val="single"/>
        </w:rPr>
      </w:pPr>
      <w:r>
        <w:rPr>
          <w:rFonts w:hint="eastAsia" w:asciiTheme="majorEastAsia" w:hAnsiTheme="majorEastAsia" w:eastAsiaTheme="majorEastAsia" w:cstheme="majorEastAsia"/>
          <w:b/>
          <w:bCs/>
          <w:color w:val="000000" w:themeColor="text1"/>
          <w:sz w:val="32"/>
          <w:szCs w:val="32"/>
          <w:u w:val="single"/>
        </w:rPr>
        <w:t>1.2法定代表人授权书</w:t>
      </w:r>
    </w:p>
    <w:p>
      <w:pPr>
        <w:tabs>
          <w:tab w:val="left" w:pos="1260"/>
        </w:tabs>
        <w:spacing w:line="240" w:lineRule="exact"/>
        <w:rPr>
          <w:rFonts w:asciiTheme="majorEastAsia" w:hAnsiTheme="majorEastAsia" w:eastAsiaTheme="majorEastAsia" w:cstheme="majorEastAsia"/>
          <w:b/>
          <w:bCs/>
          <w:color w:val="000000" w:themeColor="text1"/>
          <w:sz w:val="36"/>
          <w:szCs w:val="44"/>
        </w:rPr>
      </w:pPr>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28"/>
        <w:gridCol w:w="10"/>
        <w:gridCol w:w="1559"/>
        <w:gridCol w:w="294"/>
        <w:gridCol w:w="2038"/>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944" w:type="dxa"/>
            <w:gridSpan w:val="7"/>
            <w:noWrap/>
            <w:vAlign w:val="center"/>
          </w:tcPr>
          <w:p>
            <w:pPr>
              <w:tabs>
                <w:tab w:val="left" w:pos="1260"/>
              </w:tabs>
              <w:spacing w:line="440" w:lineRule="exact"/>
              <w:ind w:firstLine="179" w:firstLineChars="56"/>
              <w:rPr>
                <w:rFonts w:asciiTheme="majorEastAsia" w:hAnsiTheme="majorEastAsia" w:eastAsiaTheme="majorEastAsia" w:cstheme="majorEastAsia"/>
                <w:color w:val="000000" w:themeColor="text1"/>
                <w:sz w:val="32"/>
                <w:szCs w:val="32"/>
              </w:rPr>
            </w:pPr>
            <w:r>
              <w:rPr>
                <w:rFonts w:hint="eastAsia" w:asciiTheme="majorEastAsia" w:hAnsiTheme="majorEastAsia" w:eastAsiaTheme="majorEastAsia" w:cstheme="majorEastAsia"/>
                <w:color w:val="000000" w:themeColor="text1"/>
                <w:sz w:val="32"/>
                <w:szCs w:val="32"/>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restart"/>
            <w:noWrap/>
            <w:vAlign w:val="center"/>
          </w:tcPr>
          <w:p>
            <w:pPr>
              <w:tabs>
                <w:tab w:val="left" w:pos="1260"/>
              </w:tabs>
              <w:spacing w:line="36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被授权人</w:t>
            </w:r>
          </w:p>
        </w:tc>
        <w:tc>
          <w:tcPr>
            <w:tcW w:w="2038" w:type="dxa"/>
            <w:gridSpan w:val="2"/>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姓    名</w:t>
            </w:r>
          </w:p>
        </w:tc>
        <w:tc>
          <w:tcPr>
            <w:tcW w:w="1853" w:type="dxa"/>
            <w:gridSpan w:val="2"/>
            <w:noWrap/>
          </w:tcPr>
          <w:p>
            <w:pPr>
              <w:tabs>
                <w:tab w:val="left" w:pos="1260"/>
              </w:tabs>
              <w:spacing w:line="440" w:lineRule="exact"/>
              <w:rPr>
                <w:rFonts w:asciiTheme="majorEastAsia" w:hAnsiTheme="majorEastAsia" w:eastAsiaTheme="majorEastAsia" w:cstheme="majorEastAsia"/>
                <w:color w:val="000000" w:themeColor="text1"/>
              </w:rPr>
            </w:pPr>
          </w:p>
        </w:tc>
        <w:tc>
          <w:tcPr>
            <w:tcW w:w="2038" w:type="dxa"/>
            <w:noWrap/>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性    别</w:t>
            </w:r>
          </w:p>
        </w:tc>
        <w:tc>
          <w:tcPr>
            <w:tcW w:w="2241" w:type="dxa"/>
            <w:noWrap/>
          </w:tcPr>
          <w:p>
            <w:pPr>
              <w:tabs>
                <w:tab w:val="left" w:pos="1260"/>
              </w:tabs>
              <w:spacing w:line="440" w:lineRule="exact"/>
              <w:rPr>
                <w:rFonts w:asciiTheme="majorEastAsia" w:hAnsiTheme="majorEastAsia" w:eastAsiaTheme="majorEastAsia" w:cstheme="maj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noWrap/>
            <w:vAlign w:val="center"/>
          </w:tcPr>
          <w:p>
            <w:pPr>
              <w:tabs>
                <w:tab w:val="left" w:pos="1260"/>
              </w:tabs>
              <w:spacing w:line="360" w:lineRule="exact"/>
              <w:jc w:val="center"/>
              <w:rPr>
                <w:rFonts w:asciiTheme="majorEastAsia" w:hAnsiTheme="majorEastAsia" w:eastAsiaTheme="majorEastAsia" w:cstheme="majorEastAsia"/>
                <w:color w:val="000000" w:themeColor="text1"/>
              </w:rPr>
            </w:pPr>
          </w:p>
        </w:tc>
        <w:tc>
          <w:tcPr>
            <w:tcW w:w="2038" w:type="dxa"/>
            <w:gridSpan w:val="2"/>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职    务</w:t>
            </w:r>
          </w:p>
        </w:tc>
        <w:tc>
          <w:tcPr>
            <w:tcW w:w="1853" w:type="dxa"/>
            <w:gridSpan w:val="2"/>
            <w:noWrap/>
          </w:tcPr>
          <w:p>
            <w:pPr>
              <w:tabs>
                <w:tab w:val="left" w:pos="1260"/>
              </w:tabs>
              <w:spacing w:line="440" w:lineRule="exact"/>
              <w:rPr>
                <w:rFonts w:asciiTheme="majorEastAsia" w:hAnsiTheme="majorEastAsia" w:eastAsiaTheme="majorEastAsia" w:cstheme="majorEastAsia"/>
                <w:color w:val="000000" w:themeColor="text1"/>
              </w:rPr>
            </w:pPr>
          </w:p>
        </w:tc>
        <w:tc>
          <w:tcPr>
            <w:tcW w:w="2038" w:type="dxa"/>
            <w:noWrap/>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手机号码</w:t>
            </w:r>
          </w:p>
        </w:tc>
        <w:tc>
          <w:tcPr>
            <w:tcW w:w="2241" w:type="dxa"/>
            <w:noWrap/>
          </w:tcPr>
          <w:p>
            <w:pPr>
              <w:tabs>
                <w:tab w:val="left" w:pos="1260"/>
              </w:tabs>
              <w:spacing w:line="440" w:lineRule="exact"/>
              <w:rPr>
                <w:rFonts w:asciiTheme="majorEastAsia" w:hAnsiTheme="majorEastAsia" w:eastAsiaTheme="majorEastAsia" w:cstheme="maj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noWrap/>
            <w:vAlign w:val="center"/>
          </w:tcPr>
          <w:p>
            <w:pPr>
              <w:tabs>
                <w:tab w:val="left" w:pos="1260"/>
              </w:tabs>
              <w:spacing w:line="360" w:lineRule="exact"/>
              <w:jc w:val="center"/>
              <w:rPr>
                <w:rFonts w:asciiTheme="majorEastAsia" w:hAnsiTheme="majorEastAsia" w:eastAsiaTheme="majorEastAsia" w:cstheme="majorEastAsia"/>
                <w:color w:val="000000" w:themeColor="text1"/>
              </w:rPr>
            </w:pPr>
          </w:p>
        </w:tc>
        <w:tc>
          <w:tcPr>
            <w:tcW w:w="2038" w:type="dxa"/>
            <w:gridSpan w:val="2"/>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联系电话</w:t>
            </w:r>
          </w:p>
        </w:tc>
        <w:tc>
          <w:tcPr>
            <w:tcW w:w="1853" w:type="dxa"/>
            <w:gridSpan w:val="2"/>
            <w:noWrap/>
          </w:tcPr>
          <w:p>
            <w:pPr>
              <w:tabs>
                <w:tab w:val="left" w:pos="1260"/>
              </w:tabs>
              <w:spacing w:line="440" w:lineRule="exact"/>
              <w:rPr>
                <w:rFonts w:asciiTheme="majorEastAsia" w:hAnsiTheme="majorEastAsia" w:eastAsiaTheme="majorEastAsia" w:cstheme="majorEastAsia"/>
                <w:color w:val="000000" w:themeColor="text1"/>
              </w:rPr>
            </w:pPr>
          </w:p>
        </w:tc>
        <w:tc>
          <w:tcPr>
            <w:tcW w:w="2038" w:type="dxa"/>
            <w:noWrap/>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图文传真</w:t>
            </w:r>
          </w:p>
        </w:tc>
        <w:tc>
          <w:tcPr>
            <w:tcW w:w="2241" w:type="dxa"/>
            <w:noWrap/>
          </w:tcPr>
          <w:p>
            <w:pPr>
              <w:tabs>
                <w:tab w:val="left" w:pos="1260"/>
              </w:tabs>
              <w:spacing w:line="440" w:lineRule="exact"/>
              <w:rPr>
                <w:rFonts w:asciiTheme="majorEastAsia" w:hAnsiTheme="majorEastAsia" w:eastAsiaTheme="majorEastAsia" w:cstheme="maj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noWrap/>
            <w:vAlign w:val="center"/>
          </w:tcPr>
          <w:p>
            <w:pPr>
              <w:tabs>
                <w:tab w:val="left" w:pos="1260"/>
              </w:tabs>
              <w:spacing w:line="360" w:lineRule="exact"/>
              <w:jc w:val="center"/>
              <w:rPr>
                <w:rFonts w:asciiTheme="majorEastAsia" w:hAnsiTheme="majorEastAsia" w:eastAsiaTheme="majorEastAsia" w:cstheme="majorEastAsia"/>
                <w:color w:val="000000" w:themeColor="text1"/>
              </w:rPr>
            </w:pPr>
          </w:p>
        </w:tc>
        <w:tc>
          <w:tcPr>
            <w:tcW w:w="2038" w:type="dxa"/>
            <w:gridSpan w:val="2"/>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通讯地址</w:t>
            </w:r>
          </w:p>
        </w:tc>
        <w:tc>
          <w:tcPr>
            <w:tcW w:w="6132" w:type="dxa"/>
            <w:gridSpan w:val="4"/>
            <w:noWrap/>
          </w:tcPr>
          <w:p>
            <w:pPr>
              <w:tabs>
                <w:tab w:val="left" w:pos="1260"/>
              </w:tabs>
              <w:spacing w:line="440" w:lineRule="exact"/>
              <w:rPr>
                <w:rFonts w:asciiTheme="majorEastAsia" w:hAnsiTheme="majorEastAsia" w:eastAsiaTheme="majorEastAsia" w:cstheme="maj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noWrap/>
            <w:vAlign w:val="center"/>
          </w:tcPr>
          <w:p>
            <w:pPr>
              <w:tabs>
                <w:tab w:val="left" w:pos="1260"/>
              </w:tabs>
              <w:spacing w:line="360" w:lineRule="exact"/>
              <w:jc w:val="center"/>
              <w:rPr>
                <w:rFonts w:asciiTheme="majorEastAsia" w:hAnsiTheme="majorEastAsia" w:eastAsiaTheme="majorEastAsia" w:cstheme="majorEastAsia"/>
                <w:color w:val="000000" w:themeColor="text1"/>
              </w:rPr>
            </w:pPr>
          </w:p>
        </w:tc>
        <w:tc>
          <w:tcPr>
            <w:tcW w:w="2038" w:type="dxa"/>
            <w:gridSpan w:val="2"/>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网    址</w:t>
            </w:r>
          </w:p>
        </w:tc>
        <w:tc>
          <w:tcPr>
            <w:tcW w:w="6132" w:type="dxa"/>
            <w:gridSpan w:val="4"/>
            <w:noWrap/>
          </w:tcPr>
          <w:p>
            <w:pPr>
              <w:tabs>
                <w:tab w:val="left" w:pos="1260"/>
              </w:tabs>
              <w:spacing w:line="440" w:lineRule="exact"/>
              <w:rPr>
                <w:rFonts w:asciiTheme="majorEastAsia" w:hAnsiTheme="majorEastAsia" w:eastAsiaTheme="majorEastAsia" w:cstheme="maj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restart"/>
            <w:noWrap/>
            <w:vAlign w:val="center"/>
          </w:tcPr>
          <w:p>
            <w:pPr>
              <w:tabs>
                <w:tab w:val="left" w:pos="1260"/>
              </w:tabs>
              <w:spacing w:line="32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被授权项目与内容</w:t>
            </w:r>
          </w:p>
        </w:tc>
        <w:tc>
          <w:tcPr>
            <w:tcW w:w="2028"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项目名称</w:t>
            </w:r>
          </w:p>
        </w:tc>
        <w:tc>
          <w:tcPr>
            <w:tcW w:w="6142" w:type="dxa"/>
            <w:gridSpan w:val="5"/>
            <w:noWrap/>
          </w:tcPr>
          <w:p>
            <w:pPr>
              <w:tabs>
                <w:tab w:val="left" w:pos="1260"/>
              </w:tabs>
              <w:spacing w:line="440" w:lineRule="exact"/>
              <w:rPr>
                <w:rFonts w:asciiTheme="majorEastAsia" w:hAnsiTheme="majorEastAsia" w:eastAsiaTheme="majorEastAsia" w:cstheme="maj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continue"/>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p>
        </w:tc>
        <w:tc>
          <w:tcPr>
            <w:tcW w:w="2028"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文件编号</w:t>
            </w:r>
          </w:p>
        </w:tc>
        <w:tc>
          <w:tcPr>
            <w:tcW w:w="6142" w:type="dxa"/>
            <w:gridSpan w:val="5"/>
            <w:noWrap/>
          </w:tcPr>
          <w:p>
            <w:pPr>
              <w:tabs>
                <w:tab w:val="left" w:pos="1260"/>
              </w:tabs>
              <w:spacing w:line="440" w:lineRule="exact"/>
              <w:rPr>
                <w:rFonts w:asciiTheme="majorEastAsia" w:hAnsiTheme="majorEastAsia" w:eastAsiaTheme="majorEastAsia" w:cstheme="majorEastAsia"/>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74" w:type="dxa"/>
            <w:vMerge w:val="continue"/>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p>
        </w:tc>
        <w:tc>
          <w:tcPr>
            <w:tcW w:w="2028"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授权范围</w:t>
            </w:r>
          </w:p>
        </w:tc>
        <w:tc>
          <w:tcPr>
            <w:tcW w:w="6142" w:type="dxa"/>
            <w:gridSpan w:val="5"/>
            <w:noWrap/>
            <w:vAlign w:val="center"/>
          </w:tcPr>
          <w:p>
            <w:pPr>
              <w:tabs>
                <w:tab w:val="left" w:pos="1260"/>
              </w:tabs>
              <w:spacing w:line="360" w:lineRule="exact"/>
              <w:ind w:firstLine="210" w:firstLineChars="100"/>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zCs w:val="21"/>
              </w:rPr>
              <w:t>全权办理本招标采购项目的投标、联系、洽谈、签约、执行等具体事务，签署全部有关的文件、文书、协议及合同。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4" w:type="dxa"/>
            <w:vMerge w:val="continue"/>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p>
        </w:tc>
        <w:tc>
          <w:tcPr>
            <w:tcW w:w="2028"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法律责任</w:t>
            </w:r>
          </w:p>
        </w:tc>
        <w:tc>
          <w:tcPr>
            <w:tcW w:w="6142" w:type="dxa"/>
            <w:gridSpan w:val="5"/>
            <w:noWrap/>
            <w:vAlign w:val="center"/>
          </w:tcPr>
          <w:p>
            <w:pPr>
              <w:tabs>
                <w:tab w:val="left" w:pos="1260"/>
              </w:tabs>
              <w:spacing w:line="360" w:lineRule="exact"/>
              <w:ind w:firstLine="210" w:firstLineChars="100"/>
              <w:rPr>
                <w:rFonts w:asciiTheme="majorEastAsia" w:hAnsiTheme="majorEastAsia" w:eastAsiaTheme="majorEastAsia" w:cstheme="majorEastAsia"/>
                <w:color w:val="000000" w:themeColor="text1"/>
                <w:szCs w:val="21"/>
              </w:rPr>
            </w:pPr>
            <w:r>
              <w:rPr>
                <w:rFonts w:hint="eastAsia" w:asciiTheme="majorEastAsia" w:hAnsiTheme="majorEastAsia" w:eastAsiaTheme="majorEastAsia" w:cstheme="majorEastAsia"/>
                <w:color w:val="000000" w:themeColor="text1"/>
                <w:szCs w:val="21"/>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continue"/>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p>
        </w:tc>
        <w:tc>
          <w:tcPr>
            <w:tcW w:w="2028" w:type="dxa"/>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授权期限</w:t>
            </w:r>
          </w:p>
        </w:tc>
        <w:tc>
          <w:tcPr>
            <w:tcW w:w="6142" w:type="dxa"/>
            <w:gridSpan w:val="5"/>
            <w:noWrap/>
            <w:vAlign w:val="center"/>
          </w:tcPr>
          <w:p>
            <w:pPr>
              <w:tabs>
                <w:tab w:val="left" w:pos="1260"/>
              </w:tabs>
              <w:spacing w:line="360" w:lineRule="exact"/>
              <w:ind w:firstLine="207" w:firstLineChars="98"/>
              <w:rPr>
                <w:rFonts w:asciiTheme="majorEastAsia" w:hAnsiTheme="majorEastAsia" w:eastAsiaTheme="majorEastAsia" w:cstheme="majorEastAsia"/>
                <w:b/>
                <w:color w:val="000000" w:themeColor="text1"/>
              </w:rPr>
            </w:pPr>
            <w:r>
              <w:rPr>
                <w:rFonts w:hint="eastAsia" w:asciiTheme="majorEastAsia" w:hAnsiTheme="majorEastAsia" w:eastAsiaTheme="majorEastAsia" w:cstheme="majorEastAsia"/>
                <w:b/>
                <w:color w:val="000000" w:themeColor="text1"/>
              </w:rPr>
              <w:t>本授权书自开标大会之日计算有效期为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71" w:type="dxa"/>
            <w:gridSpan w:val="4"/>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被授权人身份证复印件</w:t>
            </w:r>
          </w:p>
        </w:tc>
        <w:tc>
          <w:tcPr>
            <w:tcW w:w="4573" w:type="dxa"/>
            <w:gridSpan w:val="3"/>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szCs w:val="32"/>
              </w:rPr>
              <w:t>法定代表人</w:t>
            </w:r>
            <w:r>
              <w:rPr>
                <w:rFonts w:hint="eastAsia" w:asciiTheme="majorEastAsia" w:hAnsiTheme="majorEastAsia" w:eastAsiaTheme="majorEastAsia" w:cstheme="majorEastAsia"/>
                <w:color w:val="000000" w:themeColor="text1"/>
              </w:rPr>
              <w:t>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4371" w:type="dxa"/>
            <w:gridSpan w:val="4"/>
            <w:vMerge w:val="restart"/>
            <w:noWrap/>
            <w:vAlign w:val="center"/>
          </w:tcPr>
          <w:p>
            <w:pPr>
              <w:tabs>
                <w:tab w:val="left" w:pos="1260"/>
              </w:tabs>
              <w:spacing w:line="440" w:lineRule="exact"/>
              <w:jc w:val="center"/>
              <w:rPr>
                <w:rFonts w:asciiTheme="majorEastAsia" w:hAnsiTheme="majorEastAsia" w:eastAsiaTheme="majorEastAsia" w:cstheme="majorEastAsia"/>
                <w:color w:val="000000" w:themeColor="text1"/>
                <w:szCs w:val="32"/>
              </w:rPr>
            </w:pPr>
            <w:r>
              <w:rPr>
                <w:rFonts w:hint="eastAsia" w:asciiTheme="majorEastAsia" w:hAnsiTheme="majorEastAsia" w:eastAsiaTheme="majorEastAsia" w:cstheme="majorEastAsia"/>
                <w:color w:val="000000" w:themeColor="text1"/>
                <w:szCs w:val="32"/>
              </w:rPr>
              <w:t>（粘贴处）</w:t>
            </w:r>
          </w:p>
        </w:tc>
        <w:tc>
          <w:tcPr>
            <w:tcW w:w="4573" w:type="dxa"/>
            <w:gridSpan w:val="3"/>
            <w:noWrap/>
            <w:vAlign w:val="center"/>
          </w:tcPr>
          <w:p>
            <w:pPr>
              <w:tabs>
                <w:tab w:val="left" w:pos="1260"/>
              </w:tabs>
              <w:spacing w:line="44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szCs w:val="32"/>
              </w:rPr>
              <w:t>（法人公章）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jc w:val="center"/>
        </w:trPr>
        <w:tc>
          <w:tcPr>
            <w:tcW w:w="4371" w:type="dxa"/>
            <w:gridSpan w:val="4"/>
            <w:vMerge w:val="continue"/>
            <w:noWrap/>
            <w:vAlign w:val="center"/>
          </w:tcPr>
          <w:p>
            <w:pPr>
              <w:tabs>
                <w:tab w:val="left" w:pos="1260"/>
              </w:tabs>
              <w:spacing w:line="440" w:lineRule="exact"/>
              <w:rPr>
                <w:rFonts w:asciiTheme="majorEastAsia" w:hAnsiTheme="majorEastAsia" w:eastAsiaTheme="majorEastAsia" w:cstheme="majorEastAsia"/>
                <w:color w:val="000000" w:themeColor="text1"/>
                <w:szCs w:val="32"/>
              </w:rPr>
            </w:pPr>
          </w:p>
        </w:tc>
        <w:tc>
          <w:tcPr>
            <w:tcW w:w="4573" w:type="dxa"/>
            <w:gridSpan w:val="3"/>
            <w:noWrap/>
            <w:vAlign w:val="center"/>
          </w:tcPr>
          <w:p>
            <w:pPr>
              <w:tabs>
                <w:tab w:val="left" w:pos="1260"/>
              </w:tabs>
              <w:spacing w:line="440" w:lineRule="exact"/>
              <w:jc w:val="center"/>
              <w:rPr>
                <w:rFonts w:asciiTheme="majorEastAsia" w:hAnsiTheme="majorEastAsia" w:eastAsiaTheme="majorEastAsia" w:cstheme="majorEastAsia"/>
                <w:color w:val="000000" w:themeColor="text1"/>
                <w:szCs w:val="32"/>
              </w:rPr>
            </w:pPr>
            <w:r>
              <w:rPr>
                <w:rFonts w:hint="eastAsia" w:asciiTheme="majorEastAsia" w:hAnsiTheme="majorEastAsia" w:eastAsiaTheme="majorEastAsia" w:cstheme="majorEastAsia"/>
                <w:color w:val="000000" w:themeColor="text1"/>
                <w:szCs w:val="32"/>
              </w:rPr>
              <w:t>（签字或盖章）</w:t>
            </w:r>
          </w:p>
          <w:p>
            <w:pPr>
              <w:tabs>
                <w:tab w:val="left" w:pos="1260"/>
              </w:tabs>
              <w:spacing w:line="220" w:lineRule="exact"/>
              <w:jc w:val="center"/>
              <w:rPr>
                <w:rFonts w:asciiTheme="majorEastAsia" w:hAnsiTheme="majorEastAsia" w:eastAsiaTheme="majorEastAsia" w:cstheme="majorEastAsia"/>
                <w:color w:val="000000" w:themeColor="text1"/>
                <w:szCs w:val="32"/>
              </w:rPr>
            </w:pPr>
          </w:p>
          <w:p>
            <w:pPr>
              <w:tabs>
                <w:tab w:val="left" w:pos="1260"/>
              </w:tabs>
              <w:spacing w:line="440" w:lineRule="exact"/>
              <w:jc w:val="right"/>
              <w:rPr>
                <w:rFonts w:asciiTheme="majorEastAsia" w:hAnsiTheme="majorEastAsia" w:eastAsiaTheme="majorEastAsia" w:cstheme="majorEastAsia"/>
                <w:color w:val="000000" w:themeColor="text1"/>
                <w:szCs w:val="32"/>
              </w:rPr>
            </w:pPr>
            <w:r>
              <w:rPr>
                <w:rFonts w:hint="eastAsia" w:asciiTheme="majorEastAsia" w:hAnsiTheme="majorEastAsia" w:eastAsiaTheme="majorEastAsia" w:cstheme="majorEastAsia"/>
                <w:color w:val="000000" w:themeColor="text1"/>
                <w:szCs w:val="32"/>
              </w:rPr>
              <w:t>年   月   日</w:t>
            </w:r>
          </w:p>
        </w:tc>
      </w:tr>
    </w:tbl>
    <w:p>
      <w:pPr>
        <w:spacing w:line="480" w:lineRule="exact"/>
        <w:rPr>
          <w:rFonts w:asciiTheme="majorEastAsia" w:hAnsiTheme="majorEastAsia" w:eastAsiaTheme="majorEastAsia" w:cstheme="majorEastAsia"/>
          <w:b/>
          <w:color w:val="000000" w:themeColor="text1"/>
          <w:szCs w:val="32"/>
        </w:rPr>
      </w:pPr>
      <w:r>
        <w:rPr>
          <w:rFonts w:hint="eastAsia" w:asciiTheme="majorEastAsia" w:hAnsiTheme="majorEastAsia" w:eastAsiaTheme="majorEastAsia" w:cstheme="majorEastAsia"/>
          <w:b/>
          <w:color w:val="000000" w:themeColor="text1"/>
          <w:szCs w:val="32"/>
        </w:rPr>
        <w:t>重要提示：</w:t>
      </w:r>
    </w:p>
    <w:p>
      <w:pPr>
        <w:tabs>
          <w:tab w:val="left" w:pos="360"/>
        </w:tabs>
        <w:autoSpaceDE w:val="0"/>
        <w:autoSpaceDN w:val="0"/>
        <w:adjustRightInd w:val="0"/>
        <w:spacing w:line="400" w:lineRule="exact"/>
        <w:ind w:left="269" w:leftChars="128"/>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非法定代表人投标的须有法定代表人授权，并要求投标</w:t>
      </w:r>
      <w:r>
        <w:rPr>
          <w:rFonts w:hint="eastAsia" w:asciiTheme="majorEastAsia" w:hAnsiTheme="majorEastAsia" w:eastAsiaTheme="majorEastAsia" w:cstheme="majorEastAsia"/>
          <w:bCs/>
          <w:color w:val="000000" w:themeColor="text1"/>
        </w:rPr>
        <w:t>文件正本内装订授权书原件</w:t>
      </w:r>
      <w:r>
        <w:rPr>
          <w:rFonts w:hint="eastAsia" w:asciiTheme="majorEastAsia" w:hAnsiTheme="majorEastAsia" w:eastAsiaTheme="majorEastAsia" w:cstheme="majorEastAsia"/>
          <w:color w:val="000000" w:themeColor="text1"/>
        </w:rPr>
        <w:t>，</w:t>
      </w:r>
      <w:r>
        <w:rPr>
          <w:rFonts w:hint="eastAsia" w:asciiTheme="majorEastAsia" w:hAnsiTheme="majorEastAsia" w:eastAsiaTheme="majorEastAsia" w:cstheme="majorEastAsia"/>
          <w:bCs/>
          <w:color w:val="000000" w:themeColor="text1"/>
        </w:rPr>
        <w:t xml:space="preserve">否则作为符合性审查不合格处理，投标文件自动失效。 </w:t>
      </w:r>
    </w:p>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p>
    <w:p>
      <w:pPr>
        <w:tabs>
          <w:tab w:val="left" w:pos="1260"/>
        </w:tabs>
        <w:spacing w:line="440" w:lineRule="exact"/>
        <w:jc w:val="center"/>
        <w:rPr>
          <w:rFonts w:asciiTheme="majorEastAsia" w:hAnsiTheme="majorEastAsia" w:eastAsiaTheme="majorEastAsia" w:cstheme="majorEastAsia"/>
          <w:b/>
          <w:bCs/>
          <w:color w:val="000000" w:themeColor="text1"/>
          <w:sz w:val="36"/>
          <w:szCs w:val="44"/>
        </w:rPr>
      </w:pPr>
      <w:bookmarkStart w:id="91" w:name="_Toc29539_WPSOffice_Level1"/>
      <w:bookmarkStart w:id="92" w:name="_Toc13445_WPSOffice_Level1"/>
      <w:bookmarkStart w:id="93" w:name="_Toc18426_WPSOffice_Level1"/>
      <w:r>
        <w:rPr>
          <w:rFonts w:hint="eastAsia" w:asciiTheme="majorEastAsia" w:hAnsiTheme="majorEastAsia" w:eastAsiaTheme="majorEastAsia" w:cstheme="majorEastAsia"/>
          <w:b/>
          <w:bCs/>
          <w:color w:val="000000" w:themeColor="text1"/>
          <w:sz w:val="36"/>
          <w:szCs w:val="44"/>
        </w:rPr>
        <w:t>第2部分  投标函</w:t>
      </w:r>
      <w:bookmarkEnd w:id="91"/>
      <w:bookmarkEnd w:id="92"/>
      <w:bookmarkEnd w:id="93"/>
    </w:p>
    <w:p>
      <w:pPr>
        <w:pStyle w:val="13"/>
        <w:spacing w:after="0" w:line="360" w:lineRule="auto"/>
        <w:rPr>
          <w:rFonts w:asciiTheme="majorEastAsia" w:hAnsiTheme="majorEastAsia" w:eastAsiaTheme="majorEastAsia" w:cstheme="majorEastAsia"/>
          <w:b/>
          <w:bCs/>
          <w:color w:val="000000" w:themeColor="text1"/>
          <w:sz w:val="24"/>
        </w:rPr>
      </w:pPr>
      <w:r>
        <w:rPr>
          <w:rFonts w:hint="eastAsia" w:asciiTheme="majorEastAsia" w:hAnsiTheme="majorEastAsia" w:eastAsiaTheme="majorEastAsia" w:cstheme="majorEastAsia"/>
          <w:b/>
          <w:bCs/>
          <w:color w:val="000000" w:themeColor="text1"/>
          <w:sz w:val="24"/>
        </w:rPr>
        <w:t>致：延川县政府采购中心</w:t>
      </w:r>
    </w:p>
    <w:p>
      <w:pPr>
        <w:pStyle w:val="13"/>
        <w:spacing w:after="0"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我方已仔细研究了(项目名称)的竞争性磋商文件（采购项目编号：；）的全部内容，知悉参加投标的风险，我方承诺接受竞争性磋商文件的全部条款且无任何异议，决定参加贵单位组织的本项目投标。我方正式授权</w:t>
      </w:r>
      <w:r>
        <w:rPr>
          <w:rFonts w:hint="eastAsia" w:asciiTheme="majorEastAsia" w:hAnsiTheme="majorEastAsia" w:eastAsiaTheme="majorEastAsia" w:cstheme="majorEastAsia"/>
          <w:color w:val="000000" w:themeColor="text1"/>
          <w:sz w:val="24"/>
          <w:u w:val="single"/>
        </w:rPr>
        <w:t>（姓名、职务）</w:t>
      </w:r>
      <w:r>
        <w:rPr>
          <w:rFonts w:hint="eastAsia" w:asciiTheme="majorEastAsia" w:hAnsiTheme="majorEastAsia" w:eastAsiaTheme="majorEastAsia" w:cstheme="majorEastAsia"/>
          <w:color w:val="000000" w:themeColor="text1"/>
          <w:sz w:val="24"/>
        </w:rPr>
        <w:t>代表我方（磋商供应商的名称）全权处理本项目投标的有关事宜。</w:t>
      </w:r>
    </w:p>
    <w:p>
      <w:pPr>
        <w:pStyle w:val="13"/>
        <w:spacing w:after="0"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一、我方提交响应文件正本1份、副本2份和开标一览表份（含电子版光盘或U盘1份）。并保证磋商响应文件提供的数据和材料真实、准确。否则，愿承担《中华人民共和国政府采购法》第七十七条规定的法律责任。</w:t>
      </w:r>
    </w:p>
    <w:p>
      <w:pPr>
        <w:pStyle w:val="13"/>
        <w:spacing w:after="0"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二、我方按竞争性磋商文件规定，磋商报价为人民币大写元 （￥）。</w:t>
      </w:r>
    </w:p>
    <w:p>
      <w:pPr>
        <w:pStyle w:val="13"/>
        <w:spacing w:after="0"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三、我方愿意按竞争性磋商文件规定的各项要求，向采购人提供所需所有货物（产品）及相应服务。</w:t>
      </w:r>
    </w:p>
    <w:p>
      <w:pPr>
        <w:pStyle w:val="13"/>
        <w:spacing w:after="0"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四、我方愿意向贵方提供任何与本项采购有关的数据、情况、样品和技术资料。若贵方需要，我方愿意提供我方作出的一切承诺的证明材料。</w:t>
      </w:r>
    </w:p>
    <w:p>
      <w:pPr>
        <w:pStyle w:val="13"/>
        <w:spacing w:after="0"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五、我方已仔细阅读了竞争性磋商文件的全部内容，并同意和放弃对竞争性磋商文件不明或误解而询问、质疑和投诉的权利。</w:t>
      </w:r>
    </w:p>
    <w:p>
      <w:pPr>
        <w:pStyle w:val="13"/>
        <w:spacing w:after="0"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六、我方承诺遵守《中华人民共和国政府采购法》及其实施条例的有关规定，保证在获得成交资格后：</w:t>
      </w:r>
    </w:p>
    <w:p>
      <w:pPr>
        <w:pStyle w:val="13"/>
        <w:spacing w:after="0"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（1）按照竞争性磋商文件确定的事项签订政府采购合同，履行双方所签订的合同，并承担合同规定的责任和义务；保证合同签订生效后日内完成项目的安装、调试，并交付采购人验收、使用；</w:t>
      </w:r>
    </w:p>
    <w:p>
      <w:pPr>
        <w:pStyle w:val="13"/>
        <w:spacing w:after="0"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（2）投标有效期自动延长至合同履行完毕。</w:t>
      </w:r>
    </w:p>
    <w:p>
      <w:pPr>
        <w:pStyle w:val="13"/>
        <w:spacing w:after="0"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七、我方愿意提供采购人可能另外要求的，与投标有关的任何文件资料，并保证我方已提供和将要提供的文件资料是真实、准确的，若提供虚假材料我方愿意按照国家相关法律法规接受处罚。</w:t>
      </w:r>
    </w:p>
    <w:p>
      <w:pPr>
        <w:pStyle w:val="13"/>
        <w:spacing w:after="0"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八、我方完全理解并同意竞争性磋商文件中有关不退还磋商保证金条款所规定的情形。</w:t>
      </w:r>
    </w:p>
    <w:p>
      <w:pPr>
        <w:pStyle w:val="13"/>
        <w:spacing w:after="0"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九、我方完全理解最低报价不是成交的唯一条件，并尊重磋商小组的评审结论和中标结果。</w:t>
      </w:r>
    </w:p>
    <w:p>
      <w:pPr>
        <w:pStyle w:val="13"/>
        <w:spacing w:after="0" w:line="360" w:lineRule="auto"/>
        <w:ind w:firstLine="480" w:firstLineChars="20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十、有关本项目的所有函电，请按下列地址联系：</w:t>
      </w:r>
    </w:p>
    <w:p>
      <w:pPr>
        <w:pStyle w:val="13"/>
        <w:spacing w:after="0" w:line="360" w:lineRule="auto"/>
        <w:rPr>
          <w:rFonts w:asciiTheme="majorEastAsia" w:hAnsiTheme="majorEastAsia" w:eastAsiaTheme="majorEastAsia" w:cstheme="majorEastAsia"/>
          <w:bCs/>
          <w:color w:val="000000" w:themeColor="text1"/>
          <w:sz w:val="24"/>
        </w:rPr>
      </w:pPr>
    </w:p>
    <w:p>
      <w:pPr>
        <w:pStyle w:val="13"/>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磋商供应商名称：（盖章）</w:t>
      </w:r>
    </w:p>
    <w:p>
      <w:pPr>
        <w:pStyle w:val="13"/>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法定代表人或其被授权委托代理人：（签名或盖章）</w:t>
      </w:r>
    </w:p>
    <w:p>
      <w:pPr>
        <w:pStyle w:val="13"/>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通讯地址：</w:t>
      </w:r>
    </w:p>
    <w:p>
      <w:pPr>
        <w:pStyle w:val="13"/>
        <w:spacing w:line="360" w:lineRule="auto"/>
        <w:ind w:firstLine="480" w:firstLineChars="200"/>
        <w:rPr>
          <w:rFonts w:asciiTheme="majorEastAsia" w:hAnsiTheme="majorEastAsia" w:eastAsiaTheme="majorEastAsia" w:cstheme="majorEastAsia"/>
          <w:bCs/>
          <w:color w:val="000000" w:themeColor="text1"/>
          <w:sz w:val="24"/>
          <w:u w:val="single"/>
        </w:rPr>
      </w:pPr>
      <w:r>
        <w:rPr>
          <w:rFonts w:hint="eastAsia" w:asciiTheme="majorEastAsia" w:hAnsiTheme="majorEastAsia" w:eastAsiaTheme="majorEastAsia" w:cstheme="majorEastAsia"/>
          <w:bCs/>
          <w:color w:val="000000" w:themeColor="text1"/>
          <w:sz w:val="24"/>
        </w:rPr>
        <w:t>邮政编码：</w:t>
      </w:r>
    </w:p>
    <w:p>
      <w:pPr>
        <w:pStyle w:val="13"/>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联系电话：</w:t>
      </w:r>
    </w:p>
    <w:p>
      <w:pPr>
        <w:pStyle w:val="13"/>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传    真：</w:t>
      </w:r>
    </w:p>
    <w:p>
      <w:pPr>
        <w:pStyle w:val="13"/>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电子邮件：</w:t>
      </w:r>
    </w:p>
    <w:p>
      <w:pPr>
        <w:pStyle w:val="13"/>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开户银行：</w:t>
      </w:r>
    </w:p>
    <w:p>
      <w:pPr>
        <w:pStyle w:val="13"/>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帐    号：</w:t>
      </w:r>
    </w:p>
    <w:p>
      <w:pPr>
        <w:pStyle w:val="13"/>
        <w:spacing w:line="360" w:lineRule="auto"/>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日    期：</w:t>
      </w:r>
    </w:p>
    <w:p>
      <w:pPr>
        <w:tabs>
          <w:tab w:val="left" w:pos="1155"/>
        </w:tabs>
        <w:spacing w:line="180" w:lineRule="exact"/>
        <w:rPr>
          <w:rFonts w:asciiTheme="majorEastAsia" w:hAnsiTheme="majorEastAsia" w:eastAsiaTheme="majorEastAsia" w:cstheme="majorEastAsia"/>
          <w:b/>
          <w:bCs/>
          <w:color w:val="000000" w:themeColor="text1"/>
          <w:sz w:val="36"/>
          <w:szCs w:val="44"/>
        </w:rPr>
      </w:pPr>
    </w:p>
    <w:p>
      <w:pPr>
        <w:tabs>
          <w:tab w:val="left" w:pos="1155"/>
        </w:tabs>
        <w:spacing w:line="180" w:lineRule="exact"/>
        <w:rPr>
          <w:rFonts w:asciiTheme="majorEastAsia" w:hAnsiTheme="majorEastAsia" w:eastAsiaTheme="majorEastAsia" w:cstheme="majorEastAsia"/>
          <w:b/>
          <w:bCs/>
          <w:color w:val="000000" w:themeColor="text1"/>
          <w:sz w:val="36"/>
          <w:szCs w:val="44"/>
        </w:rPr>
      </w:pPr>
    </w:p>
    <w:p>
      <w:pPr>
        <w:snapToGrid w:val="0"/>
        <w:spacing w:line="360" w:lineRule="auto"/>
        <w:jc w:val="center"/>
        <w:outlineLvl w:val="1"/>
        <w:rPr>
          <w:rFonts w:asciiTheme="majorEastAsia" w:hAnsiTheme="majorEastAsia" w:eastAsiaTheme="majorEastAsia" w:cstheme="majorEastAsia"/>
          <w:b/>
          <w:color w:val="000000" w:themeColor="text1"/>
          <w:sz w:val="32"/>
          <w:szCs w:val="32"/>
        </w:rPr>
      </w:pPr>
      <w:bookmarkStart w:id="94" w:name="_Toc523311247"/>
    </w:p>
    <w:p>
      <w:pPr>
        <w:snapToGrid w:val="0"/>
        <w:spacing w:line="360" w:lineRule="auto"/>
        <w:jc w:val="center"/>
        <w:outlineLvl w:val="1"/>
        <w:rPr>
          <w:rFonts w:asciiTheme="majorEastAsia" w:hAnsiTheme="majorEastAsia" w:eastAsiaTheme="majorEastAsia" w:cstheme="majorEastAsia"/>
          <w:b/>
          <w:color w:val="000000" w:themeColor="text1"/>
          <w:sz w:val="32"/>
          <w:szCs w:val="32"/>
        </w:rPr>
      </w:pPr>
    </w:p>
    <w:p>
      <w:pPr>
        <w:snapToGrid w:val="0"/>
        <w:spacing w:line="360" w:lineRule="auto"/>
        <w:jc w:val="center"/>
        <w:outlineLvl w:val="1"/>
        <w:rPr>
          <w:rFonts w:asciiTheme="majorEastAsia" w:hAnsiTheme="majorEastAsia" w:eastAsiaTheme="majorEastAsia" w:cstheme="majorEastAsia"/>
          <w:b/>
          <w:color w:val="000000" w:themeColor="text1"/>
          <w:sz w:val="32"/>
          <w:szCs w:val="32"/>
        </w:rPr>
      </w:pPr>
    </w:p>
    <w:p>
      <w:pPr>
        <w:pStyle w:val="2"/>
        <w:rPr>
          <w:rFonts w:asciiTheme="majorEastAsia" w:hAnsiTheme="majorEastAsia" w:eastAsiaTheme="majorEastAsia" w:cstheme="majorEastAsia"/>
          <w:b/>
          <w:color w:val="000000" w:themeColor="text1"/>
          <w:sz w:val="32"/>
          <w:szCs w:val="32"/>
        </w:rPr>
      </w:pPr>
    </w:p>
    <w:p>
      <w:pPr>
        <w:rPr>
          <w:rFonts w:asciiTheme="majorEastAsia" w:hAnsiTheme="majorEastAsia" w:eastAsiaTheme="majorEastAsia" w:cstheme="majorEastAsia"/>
          <w:b/>
          <w:color w:val="000000" w:themeColor="text1"/>
          <w:sz w:val="32"/>
          <w:szCs w:val="32"/>
        </w:rPr>
      </w:pPr>
    </w:p>
    <w:p>
      <w:pPr>
        <w:pStyle w:val="2"/>
        <w:rPr>
          <w:rFonts w:asciiTheme="majorEastAsia" w:hAnsiTheme="majorEastAsia" w:eastAsiaTheme="majorEastAsia" w:cstheme="majorEastAsia"/>
          <w:b/>
          <w:color w:val="000000" w:themeColor="text1"/>
          <w:sz w:val="32"/>
          <w:szCs w:val="32"/>
        </w:rPr>
      </w:pPr>
    </w:p>
    <w:p>
      <w:pPr>
        <w:rPr>
          <w:rFonts w:asciiTheme="majorEastAsia" w:hAnsiTheme="majorEastAsia" w:eastAsiaTheme="majorEastAsia" w:cstheme="majorEastAsia"/>
          <w:b/>
          <w:color w:val="000000" w:themeColor="text1"/>
          <w:sz w:val="32"/>
          <w:szCs w:val="32"/>
        </w:rPr>
      </w:pPr>
    </w:p>
    <w:p>
      <w:pPr>
        <w:pStyle w:val="2"/>
        <w:rPr>
          <w:rFonts w:asciiTheme="majorEastAsia" w:hAnsiTheme="majorEastAsia" w:eastAsiaTheme="majorEastAsia" w:cstheme="majorEastAsia"/>
          <w:b/>
          <w:color w:val="000000" w:themeColor="text1"/>
          <w:sz w:val="32"/>
          <w:szCs w:val="32"/>
        </w:rPr>
      </w:pPr>
    </w:p>
    <w:p>
      <w:pPr>
        <w:rPr>
          <w:color w:val="000000" w:themeColor="text1"/>
        </w:rPr>
      </w:pPr>
    </w:p>
    <w:p>
      <w:pPr>
        <w:pStyle w:val="19"/>
        <w:ind w:firstLine="643"/>
      </w:pPr>
    </w:p>
    <w:p>
      <w:pPr>
        <w:pStyle w:val="2"/>
        <w:rPr>
          <w:color w:val="000000" w:themeColor="text1"/>
        </w:rPr>
      </w:pPr>
    </w:p>
    <w:p>
      <w:pPr>
        <w:rPr>
          <w:color w:val="000000" w:themeColor="text1"/>
        </w:rPr>
      </w:pPr>
    </w:p>
    <w:p>
      <w:pPr>
        <w:pStyle w:val="2"/>
        <w:rPr>
          <w:color w:val="000000" w:themeColor="text1"/>
        </w:rPr>
      </w:pPr>
    </w:p>
    <w:p>
      <w:pPr>
        <w:rPr>
          <w:color w:val="000000" w:themeColor="text1"/>
        </w:rPr>
      </w:pPr>
    </w:p>
    <w:p>
      <w:pPr>
        <w:rPr>
          <w:rFonts w:asciiTheme="majorEastAsia" w:hAnsiTheme="majorEastAsia" w:eastAsiaTheme="majorEastAsia" w:cstheme="majorEastAsia"/>
          <w:b/>
          <w:color w:val="000000" w:themeColor="text1"/>
          <w:sz w:val="32"/>
          <w:szCs w:val="32"/>
        </w:rPr>
      </w:pPr>
    </w:p>
    <w:p>
      <w:pPr>
        <w:pStyle w:val="2"/>
        <w:rPr>
          <w:color w:val="000000" w:themeColor="text1"/>
        </w:rPr>
      </w:pPr>
    </w:p>
    <w:p>
      <w:pPr>
        <w:snapToGrid w:val="0"/>
        <w:spacing w:line="360" w:lineRule="auto"/>
        <w:jc w:val="center"/>
        <w:outlineLvl w:val="1"/>
        <w:rPr>
          <w:rFonts w:asciiTheme="majorEastAsia" w:hAnsiTheme="majorEastAsia" w:eastAsiaTheme="majorEastAsia" w:cstheme="majorEastAsia"/>
          <w:b/>
          <w:color w:val="000000" w:themeColor="text1"/>
          <w:sz w:val="32"/>
          <w:szCs w:val="32"/>
        </w:rPr>
      </w:pPr>
      <w:bookmarkStart w:id="95" w:name="_Toc26269_WPSOffice_Level1"/>
      <w:bookmarkStart w:id="96" w:name="_Toc18309_WPSOffice_Level1"/>
      <w:bookmarkStart w:id="97" w:name="_Toc1092_WPSOffice_Level1"/>
      <w:r>
        <w:rPr>
          <w:rFonts w:hint="eastAsia" w:asciiTheme="majorEastAsia" w:hAnsiTheme="majorEastAsia" w:eastAsiaTheme="majorEastAsia" w:cstheme="majorEastAsia"/>
          <w:b/>
          <w:color w:val="000000" w:themeColor="text1"/>
          <w:sz w:val="32"/>
          <w:szCs w:val="32"/>
        </w:rPr>
        <w:t>第3部分响应报价表</w:t>
      </w:r>
      <w:bookmarkEnd w:id="94"/>
      <w:bookmarkEnd w:id="95"/>
      <w:bookmarkEnd w:id="96"/>
      <w:bookmarkEnd w:id="97"/>
    </w:p>
    <w:p>
      <w:pPr>
        <w:tabs>
          <w:tab w:val="left" w:pos="7920"/>
        </w:tabs>
        <w:spacing w:line="240" w:lineRule="exact"/>
        <w:rPr>
          <w:rFonts w:asciiTheme="majorEastAsia" w:hAnsiTheme="majorEastAsia" w:eastAsiaTheme="majorEastAsia" w:cstheme="majorEastAsia"/>
          <w:color w:val="000000" w:themeColor="text1"/>
          <w:sz w:val="32"/>
          <w:szCs w:val="44"/>
        </w:rPr>
      </w:pPr>
    </w:p>
    <w:p>
      <w:pPr>
        <w:tabs>
          <w:tab w:val="left" w:pos="7920"/>
        </w:tabs>
        <w:jc w:val="center"/>
        <w:rPr>
          <w:rFonts w:asciiTheme="majorEastAsia" w:hAnsiTheme="majorEastAsia" w:eastAsiaTheme="majorEastAsia" w:cstheme="majorEastAsia"/>
          <w:b/>
          <w:color w:val="000000" w:themeColor="text1"/>
          <w:sz w:val="32"/>
          <w:szCs w:val="44"/>
        </w:rPr>
      </w:pPr>
      <w:r>
        <w:rPr>
          <w:rFonts w:hint="eastAsia" w:asciiTheme="majorEastAsia" w:hAnsiTheme="majorEastAsia" w:eastAsiaTheme="majorEastAsia" w:cstheme="majorEastAsia"/>
          <w:b/>
          <w:color w:val="000000" w:themeColor="text1"/>
          <w:sz w:val="32"/>
          <w:szCs w:val="44"/>
        </w:rPr>
        <w:t>3.1（首次）报价一览表</w:t>
      </w:r>
    </w:p>
    <w:p>
      <w:pPr>
        <w:pStyle w:val="20"/>
        <w:ind w:firstLine="180"/>
        <w:rPr>
          <w:color w:val="000000" w:themeColor="text1"/>
        </w:rPr>
      </w:pPr>
    </w:p>
    <w:p>
      <w:pPr>
        <w:tabs>
          <w:tab w:val="right" w:leader="dot" w:pos="9022"/>
        </w:tabs>
        <w:autoSpaceDE w:val="0"/>
        <w:autoSpaceDN w:val="0"/>
        <w:adjustRightInd w:val="0"/>
        <w:spacing w:line="400" w:lineRule="exact"/>
        <w:ind w:firstLine="120" w:firstLineChars="50"/>
        <w:jc w:val="left"/>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响应人名称：                                      人民币：元</w:t>
      </w:r>
    </w:p>
    <w:tbl>
      <w:tblPr>
        <w:tblStyle w:val="22"/>
        <w:tblW w:w="8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68"/>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980" w:type="dxa"/>
            <w:noWrap/>
            <w:vAlign w:val="center"/>
          </w:tcPr>
          <w:p>
            <w:pPr>
              <w:tabs>
                <w:tab w:val="right" w:leader="dot" w:pos="9022"/>
              </w:tabs>
              <w:spacing w:line="400" w:lineRule="exact"/>
              <w:jc w:val="center"/>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项目名称</w:t>
            </w:r>
          </w:p>
        </w:tc>
        <w:tc>
          <w:tcPr>
            <w:tcW w:w="6588" w:type="dxa"/>
            <w:gridSpan w:val="2"/>
            <w:noWrap/>
            <w:vAlign w:val="center"/>
          </w:tcPr>
          <w:p>
            <w:pPr>
              <w:tabs>
                <w:tab w:val="right" w:leader="dot" w:pos="9022"/>
              </w:tabs>
              <w:spacing w:line="400" w:lineRule="exact"/>
              <w:jc w:val="center"/>
              <w:rPr>
                <w:rFonts w:hint="eastAsia" w:asciiTheme="majorEastAsia" w:hAnsiTheme="majorEastAsia" w:eastAsiaTheme="majorEastAsia" w:cstheme="majorEastAsia"/>
                <w:color w:val="000000" w:themeColor="text1"/>
                <w:sz w:val="24"/>
                <w:lang w:eastAsia="zh-CN"/>
              </w:rPr>
            </w:pPr>
            <w:r>
              <w:rPr>
                <w:rFonts w:hint="eastAsia" w:eastAsiaTheme="majorEastAsia"/>
                <w:color w:val="000000" w:themeColor="text1"/>
                <w:sz w:val="24"/>
                <w:lang w:eastAsia="zh-CN"/>
              </w:rPr>
              <w:t>延川县河道管理站延川县乡镇及移民安置点生活污水处理站建设项目工程勘察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80" w:type="dxa"/>
            <w:noWrap/>
            <w:vAlign w:val="center"/>
          </w:tcPr>
          <w:p>
            <w:pPr>
              <w:tabs>
                <w:tab w:val="right" w:leader="dot" w:pos="9022"/>
              </w:tabs>
              <w:spacing w:line="400" w:lineRule="exact"/>
              <w:ind w:left="480" w:hanging="480" w:hangingChars="200"/>
              <w:jc w:val="center"/>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总报价小写：</w:t>
            </w:r>
          </w:p>
        </w:tc>
        <w:tc>
          <w:tcPr>
            <w:tcW w:w="6588" w:type="dxa"/>
            <w:gridSpan w:val="2"/>
            <w:noWrap/>
            <w:vAlign w:val="center"/>
          </w:tcPr>
          <w:p>
            <w:pPr>
              <w:tabs>
                <w:tab w:val="right" w:leader="dot" w:pos="9022"/>
              </w:tabs>
              <w:spacing w:line="400" w:lineRule="exact"/>
              <w:jc w:val="center"/>
              <w:rPr>
                <w:rFonts w:asciiTheme="majorEastAsia" w:hAnsiTheme="majorEastAsia" w:eastAsiaTheme="majorEastAsia" w:cstheme="majorEastAsia"/>
                <w:bCs/>
                <w:cap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80" w:type="dxa"/>
            <w:noWrap/>
            <w:vAlign w:val="center"/>
          </w:tcPr>
          <w:p>
            <w:pPr>
              <w:tabs>
                <w:tab w:val="right" w:leader="dot" w:pos="9022"/>
              </w:tabs>
              <w:spacing w:line="400" w:lineRule="exact"/>
              <w:ind w:left="480" w:hanging="480" w:hangingChars="200"/>
              <w:jc w:val="center"/>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总报价大写：</w:t>
            </w:r>
          </w:p>
        </w:tc>
        <w:tc>
          <w:tcPr>
            <w:tcW w:w="6588" w:type="dxa"/>
            <w:gridSpan w:val="2"/>
            <w:noWrap/>
            <w:vAlign w:val="center"/>
          </w:tcPr>
          <w:p>
            <w:pPr>
              <w:tabs>
                <w:tab w:val="right" w:leader="dot" w:pos="9022"/>
              </w:tabs>
              <w:spacing w:line="400" w:lineRule="exact"/>
              <w:jc w:val="center"/>
              <w:rPr>
                <w:rFonts w:asciiTheme="majorEastAsia" w:hAnsiTheme="majorEastAsia" w:eastAsiaTheme="majorEastAsia" w:cstheme="majorEastAsia"/>
                <w:bCs/>
                <w:cap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80" w:type="dxa"/>
            <w:noWrap/>
            <w:vAlign w:val="center"/>
          </w:tcPr>
          <w:p>
            <w:pPr>
              <w:tabs>
                <w:tab w:val="right" w:leader="dot" w:pos="9022"/>
              </w:tabs>
              <w:spacing w:line="400" w:lineRule="exact"/>
              <w:jc w:val="center"/>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完成期限：</w:t>
            </w:r>
          </w:p>
        </w:tc>
        <w:tc>
          <w:tcPr>
            <w:tcW w:w="6588" w:type="dxa"/>
            <w:gridSpan w:val="2"/>
            <w:noWrap/>
            <w:vAlign w:val="center"/>
          </w:tcPr>
          <w:p>
            <w:pPr>
              <w:tabs>
                <w:tab w:val="right" w:leader="dot" w:pos="9022"/>
              </w:tabs>
              <w:spacing w:line="400" w:lineRule="exact"/>
              <w:jc w:val="center"/>
              <w:rPr>
                <w:rFonts w:asciiTheme="majorEastAsia" w:hAnsiTheme="majorEastAsia" w:eastAsiaTheme="majorEastAsia" w:cstheme="majorEastAsia"/>
                <w:b/>
                <w:bCs/>
                <w:caps/>
                <w:color w:val="000000" w:themeColor="text1"/>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80" w:type="dxa"/>
            <w:noWrap/>
            <w:vAlign w:val="center"/>
          </w:tcPr>
          <w:p>
            <w:pPr>
              <w:tabs>
                <w:tab w:val="right" w:leader="dot" w:pos="9022"/>
              </w:tabs>
              <w:spacing w:line="400" w:lineRule="exact"/>
              <w:jc w:val="center"/>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响应人</w:t>
            </w:r>
          </w:p>
        </w:tc>
        <w:tc>
          <w:tcPr>
            <w:tcW w:w="4168" w:type="dxa"/>
            <w:noWrap/>
            <w:vAlign w:val="center"/>
          </w:tcPr>
          <w:p>
            <w:pPr>
              <w:tabs>
                <w:tab w:val="right" w:leader="dot" w:pos="9022"/>
              </w:tabs>
              <w:spacing w:line="400" w:lineRule="exact"/>
              <w:jc w:val="center"/>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被授权人</w:t>
            </w:r>
          </w:p>
        </w:tc>
        <w:tc>
          <w:tcPr>
            <w:tcW w:w="2420" w:type="dxa"/>
            <w:noWrap/>
            <w:vAlign w:val="center"/>
          </w:tcPr>
          <w:p>
            <w:pPr>
              <w:tabs>
                <w:tab w:val="right" w:leader="dot" w:pos="9022"/>
              </w:tabs>
              <w:spacing w:line="400" w:lineRule="exact"/>
              <w:ind w:firstLine="600" w:firstLineChars="250"/>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80" w:type="dxa"/>
            <w:noWrap/>
            <w:vAlign w:val="center"/>
          </w:tcPr>
          <w:p>
            <w:pPr>
              <w:tabs>
                <w:tab w:val="right" w:leader="dot" w:pos="9022"/>
              </w:tabs>
              <w:spacing w:line="400" w:lineRule="exact"/>
              <w:jc w:val="center"/>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（法人章）</w:t>
            </w:r>
          </w:p>
        </w:tc>
        <w:tc>
          <w:tcPr>
            <w:tcW w:w="4168" w:type="dxa"/>
            <w:noWrap/>
            <w:vAlign w:val="center"/>
          </w:tcPr>
          <w:p>
            <w:pPr>
              <w:tabs>
                <w:tab w:val="right" w:leader="dot" w:pos="9022"/>
              </w:tabs>
              <w:spacing w:line="400" w:lineRule="exact"/>
              <w:jc w:val="center"/>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（签字或盖章）</w:t>
            </w:r>
          </w:p>
        </w:tc>
        <w:tc>
          <w:tcPr>
            <w:tcW w:w="2420" w:type="dxa"/>
            <w:noWrap/>
            <w:vAlign w:val="center"/>
          </w:tcPr>
          <w:p>
            <w:pPr>
              <w:tabs>
                <w:tab w:val="right" w:leader="dot" w:pos="9022"/>
              </w:tabs>
              <w:spacing w:line="400" w:lineRule="exact"/>
              <w:jc w:val="center"/>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568" w:type="dxa"/>
            <w:gridSpan w:val="3"/>
            <w:noWrap/>
            <w:vAlign w:val="center"/>
          </w:tcPr>
          <w:p>
            <w:pPr>
              <w:tabs>
                <w:tab w:val="right" w:leader="dot" w:pos="9022"/>
              </w:tabs>
              <w:spacing w:line="400" w:lineRule="exact"/>
              <w:rPr>
                <w:rFonts w:asciiTheme="majorEastAsia" w:hAnsiTheme="majorEastAsia" w:eastAsiaTheme="majorEastAsia" w:cstheme="majorEastAsia"/>
                <w:bCs/>
                <w:caps/>
                <w:color w:val="000000" w:themeColor="text1"/>
                <w:sz w:val="24"/>
              </w:rPr>
            </w:pPr>
            <w:r>
              <w:rPr>
                <w:rFonts w:hint="eastAsia" w:ascii="宋体" w:hAnsi="宋体" w:cs="宋体"/>
                <w:color w:val="000000" w:themeColor="text1"/>
                <w:sz w:val="24"/>
              </w:rPr>
              <w:t>报价声明：报价中已包含完成本项目所需的一切费用，包括供应商完成本项目所需的一切费用，即实施本项目所需的人工费、检验检测费、验收费用（包括第三方验收）、后期服务费、税费、利润、市场服务费、配合费其他所有费用的总和。在工作中出现任何遗漏，均由成交供应商免费提供，采购人将不再支付任何费用。</w:t>
            </w:r>
          </w:p>
        </w:tc>
      </w:tr>
    </w:tbl>
    <w:p>
      <w:pPr>
        <w:spacing w:line="440" w:lineRule="exact"/>
        <w:rPr>
          <w:rFonts w:asciiTheme="majorEastAsia" w:hAnsiTheme="majorEastAsia" w:eastAsiaTheme="majorEastAsia" w:cstheme="majorEastAsia"/>
          <w:b/>
          <w:color w:val="000000" w:themeColor="text1"/>
          <w:sz w:val="24"/>
        </w:rPr>
      </w:pPr>
      <w:r>
        <w:rPr>
          <w:rFonts w:hint="eastAsia" w:asciiTheme="majorEastAsia" w:hAnsiTheme="majorEastAsia" w:eastAsiaTheme="majorEastAsia" w:cstheme="majorEastAsia"/>
          <w:b/>
          <w:color w:val="000000" w:themeColor="text1"/>
          <w:sz w:val="24"/>
        </w:rPr>
        <w:t>特别提示：</w:t>
      </w:r>
    </w:p>
    <w:p>
      <w:pPr>
        <w:spacing w:line="440" w:lineRule="exact"/>
        <w:ind w:left="1" w:firstLine="440" w:firstLineChars="200"/>
        <w:outlineLvl w:val="0"/>
        <w:rPr>
          <w:rFonts w:asciiTheme="majorEastAsia" w:hAnsiTheme="majorEastAsia" w:eastAsiaTheme="majorEastAsia" w:cstheme="majorEastAsia"/>
          <w:color w:val="000000" w:themeColor="text1"/>
          <w:sz w:val="20"/>
          <w:szCs w:val="22"/>
        </w:rPr>
      </w:pPr>
      <w:r>
        <w:rPr>
          <w:rFonts w:hint="eastAsia" w:asciiTheme="majorEastAsia" w:hAnsiTheme="majorEastAsia" w:eastAsiaTheme="majorEastAsia" w:cstheme="majorEastAsia"/>
          <w:color w:val="000000" w:themeColor="text1"/>
          <w:sz w:val="22"/>
          <w:szCs w:val="22"/>
        </w:rPr>
        <w:t>1、磋商供应商除按要求编制、装订磋商响应文件正、副本外，为便于唱标，还须提供本项目响应报价表（原件），并进行单独封装密封（参见格式），开标大会签到时，与磋商响应文件一并递交。</w:t>
      </w:r>
    </w:p>
    <w:p>
      <w:pPr>
        <w:spacing w:line="440" w:lineRule="exact"/>
        <w:ind w:firstLine="440" w:firstLineChars="200"/>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2、报价一览表与明细表不一致时，以报价一览表为准；</w:t>
      </w:r>
    </w:p>
    <w:p>
      <w:pPr>
        <w:spacing w:line="440" w:lineRule="exact"/>
        <w:ind w:firstLine="440" w:firstLineChars="200"/>
        <w:rPr>
          <w:rFonts w:asciiTheme="majorEastAsia" w:hAnsiTheme="majorEastAsia" w:eastAsiaTheme="majorEastAsia" w:cstheme="majorEastAsia"/>
          <w:color w:val="000000" w:themeColor="text1"/>
          <w:sz w:val="22"/>
          <w:szCs w:val="22"/>
        </w:rPr>
      </w:pPr>
      <w:r>
        <w:rPr>
          <w:rFonts w:hint="eastAsia" w:asciiTheme="majorEastAsia" w:hAnsiTheme="majorEastAsia" w:eastAsiaTheme="majorEastAsia" w:cstheme="majorEastAsia"/>
          <w:color w:val="000000" w:themeColor="text1"/>
          <w:sz w:val="22"/>
          <w:szCs w:val="22"/>
        </w:rPr>
        <w:t>3、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rPr>
          <w:rFonts w:asciiTheme="majorEastAsia" w:hAnsiTheme="majorEastAsia" w:eastAsiaTheme="majorEastAsia" w:cstheme="majorEastAsia"/>
          <w:color w:val="000000" w:themeColor="text1"/>
          <w:sz w:val="24"/>
        </w:rPr>
      </w:pPr>
    </w:p>
    <w:p>
      <w:pPr>
        <w:pStyle w:val="2"/>
      </w:pPr>
    </w:p>
    <w:p>
      <w:pPr>
        <w:pStyle w:val="2"/>
        <w:rPr>
          <w:color w:val="000000" w:themeColor="text1"/>
        </w:rPr>
      </w:pPr>
    </w:p>
    <w:p>
      <w:pPr>
        <w:jc w:val="center"/>
        <w:rPr>
          <w:rFonts w:asciiTheme="majorEastAsia" w:hAnsiTheme="majorEastAsia" w:eastAsiaTheme="majorEastAsia" w:cstheme="majorEastAsia"/>
          <w:b/>
          <w:color w:val="000000" w:themeColor="text1"/>
          <w:sz w:val="32"/>
          <w:szCs w:val="44"/>
        </w:rPr>
      </w:pPr>
    </w:p>
    <w:p>
      <w:pPr>
        <w:jc w:val="center"/>
        <w:rPr>
          <w:rFonts w:asciiTheme="majorEastAsia" w:hAnsiTheme="majorEastAsia" w:eastAsiaTheme="majorEastAsia" w:cstheme="majorEastAsia"/>
          <w:b/>
          <w:color w:val="000000" w:themeColor="text1"/>
          <w:sz w:val="32"/>
          <w:szCs w:val="44"/>
        </w:rPr>
      </w:pPr>
      <w:r>
        <w:rPr>
          <w:rFonts w:hint="eastAsia" w:asciiTheme="majorEastAsia" w:hAnsiTheme="majorEastAsia" w:eastAsiaTheme="majorEastAsia" w:cstheme="majorEastAsia"/>
          <w:b/>
          <w:color w:val="000000" w:themeColor="text1"/>
          <w:sz w:val="32"/>
          <w:szCs w:val="44"/>
        </w:rPr>
        <w:t>3.2分项报价表</w:t>
      </w:r>
    </w:p>
    <w:p>
      <w:pPr>
        <w:pStyle w:val="2"/>
        <w:rPr>
          <w:color w:val="000000" w:themeColor="text1"/>
        </w:rPr>
      </w:pPr>
    </w:p>
    <w:tbl>
      <w:tblPr>
        <w:tblStyle w:val="22"/>
        <w:tblW w:w="9200" w:type="dxa"/>
        <w:tblInd w:w="0" w:type="dxa"/>
        <w:tblLayout w:type="fixed"/>
        <w:tblCellMar>
          <w:top w:w="0" w:type="dxa"/>
          <w:left w:w="108" w:type="dxa"/>
          <w:bottom w:w="0" w:type="dxa"/>
          <w:right w:w="108" w:type="dxa"/>
        </w:tblCellMar>
      </w:tblPr>
      <w:tblGrid>
        <w:gridCol w:w="654"/>
        <w:gridCol w:w="1454"/>
        <w:gridCol w:w="2081"/>
        <w:gridCol w:w="937"/>
        <w:gridCol w:w="924"/>
        <w:gridCol w:w="1146"/>
        <w:gridCol w:w="1128"/>
        <w:gridCol w:w="876"/>
      </w:tblGrid>
      <w:tr>
        <w:tblPrEx>
          <w:tblCellMar>
            <w:top w:w="0" w:type="dxa"/>
            <w:left w:w="108" w:type="dxa"/>
            <w:bottom w:w="0" w:type="dxa"/>
            <w:right w:w="108" w:type="dxa"/>
          </w:tblCellMar>
        </w:tblPrEx>
        <w:trPr>
          <w:trHeight w:val="1555" w:hRule="exact"/>
        </w:trPr>
        <w:tc>
          <w:tcPr>
            <w:tcW w:w="65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105" w:leftChars="-50" w:right="-57"/>
              <w:jc w:val="center"/>
              <w:rPr>
                <w:rFonts w:ascii="宋体" w:hAnsi="宋体" w:cs="宋体"/>
                <w:color w:val="000000" w:themeColor="text1"/>
                <w:kern w:val="0"/>
                <w:sz w:val="24"/>
              </w:rPr>
            </w:pPr>
            <w:r>
              <w:rPr>
                <w:rFonts w:hint="eastAsia" w:ascii="宋体" w:hAnsi="宋体" w:cs="宋体"/>
                <w:color w:val="000000" w:themeColor="text1"/>
                <w:kern w:val="0"/>
                <w:sz w:val="24"/>
              </w:rPr>
              <w:t>序号</w:t>
            </w:r>
          </w:p>
        </w:tc>
        <w:tc>
          <w:tcPr>
            <w:tcW w:w="1454" w:type="dxa"/>
            <w:tcBorders>
              <w:top w:val="single" w:color="auto" w:sz="4" w:space="0"/>
              <w:left w:val="nil"/>
              <w:bottom w:val="single" w:color="auto" w:sz="4" w:space="0"/>
              <w:right w:val="single" w:color="auto" w:sz="4" w:space="0"/>
            </w:tcBorders>
            <w:noWrap/>
            <w:vAlign w:val="center"/>
          </w:tcPr>
          <w:p>
            <w:pPr>
              <w:widowControl/>
              <w:spacing w:line="360" w:lineRule="auto"/>
              <w:ind w:left="-105" w:leftChars="-50" w:right="-57"/>
              <w:jc w:val="center"/>
              <w:rPr>
                <w:rFonts w:ascii="宋体" w:hAnsi="宋体" w:cs="宋体"/>
                <w:color w:val="000000" w:themeColor="text1"/>
                <w:kern w:val="0"/>
                <w:sz w:val="24"/>
              </w:rPr>
            </w:pPr>
            <w:r>
              <w:rPr>
                <w:rFonts w:hint="eastAsia" w:ascii="宋体" w:hAnsi="宋体" w:cs="宋体"/>
                <w:color w:val="000000" w:themeColor="text1"/>
                <w:kern w:val="0"/>
                <w:sz w:val="24"/>
              </w:rPr>
              <w:t>项别</w:t>
            </w:r>
          </w:p>
        </w:tc>
        <w:tc>
          <w:tcPr>
            <w:tcW w:w="2081" w:type="dxa"/>
            <w:tcBorders>
              <w:top w:val="single" w:color="auto" w:sz="4" w:space="0"/>
              <w:left w:val="nil"/>
              <w:bottom w:val="single" w:color="auto" w:sz="4" w:space="0"/>
              <w:right w:val="single" w:color="auto" w:sz="4" w:space="0"/>
            </w:tcBorders>
            <w:noWrap/>
            <w:vAlign w:val="center"/>
          </w:tcPr>
          <w:p>
            <w:pPr>
              <w:widowControl/>
              <w:spacing w:line="360" w:lineRule="auto"/>
              <w:ind w:left="-105" w:leftChars="-50" w:right="-57"/>
              <w:jc w:val="center"/>
              <w:rPr>
                <w:rFonts w:ascii="宋体" w:hAnsi="宋体" w:cs="宋体"/>
                <w:color w:val="000000" w:themeColor="text1"/>
                <w:kern w:val="0"/>
                <w:sz w:val="24"/>
              </w:rPr>
            </w:pPr>
            <w:r>
              <w:rPr>
                <w:rFonts w:hint="eastAsia" w:ascii="宋体" w:hAnsi="宋体" w:cs="宋体"/>
                <w:color w:val="000000" w:themeColor="text1"/>
                <w:sz w:val="24"/>
              </w:rPr>
              <w:t>具体内容</w:t>
            </w:r>
          </w:p>
        </w:tc>
        <w:tc>
          <w:tcPr>
            <w:tcW w:w="937" w:type="dxa"/>
            <w:tcBorders>
              <w:top w:val="single" w:color="auto" w:sz="4" w:space="0"/>
              <w:left w:val="nil"/>
              <w:bottom w:val="single" w:color="auto" w:sz="4" w:space="0"/>
              <w:right w:val="single" w:color="auto" w:sz="4" w:space="0"/>
            </w:tcBorders>
            <w:noWrap/>
            <w:vAlign w:val="center"/>
          </w:tcPr>
          <w:p>
            <w:pPr>
              <w:widowControl/>
              <w:spacing w:line="360" w:lineRule="auto"/>
              <w:ind w:left="-105" w:leftChars="-50" w:right="-57"/>
              <w:jc w:val="center"/>
              <w:rPr>
                <w:rFonts w:ascii="宋体" w:hAnsi="宋体" w:cs="宋体"/>
                <w:color w:val="000000" w:themeColor="text1"/>
                <w:kern w:val="0"/>
                <w:sz w:val="24"/>
              </w:rPr>
            </w:pPr>
            <w:r>
              <w:rPr>
                <w:rFonts w:hint="eastAsia" w:ascii="宋体" w:hAnsi="宋体" w:cs="宋体"/>
                <w:color w:val="000000" w:themeColor="text1"/>
                <w:kern w:val="0"/>
                <w:sz w:val="24"/>
              </w:rPr>
              <w:t>单位</w:t>
            </w:r>
          </w:p>
        </w:tc>
        <w:tc>
          <w:tcPr>
            <w:tcW w:w="924" w:type="dxa"/>
            <w:tcBorders>
              <w:top w:val="single" w:color="auto" w:sz="4" w:space="0"/>
              <w:left w:val="nil"/>
              <w:bottom w:val="single" w:color="auto" w:sz="4" w:space="0"/>
              <w:right w:val="single" w:color="auto" w:sz="4" w:space="0"/>
            </w:tcBorders>
            <w:noWrap/>
            <w:vAlign w:val="center"/>
          </w:tcPr>
          <w:p>
            <w:pPr>
              <w:widowControl/>
              <w:spacing w:line="360" w:lineRule="auto"/>
              <w:ind w:left="-105" w:leftChars="-50" w:right="-57"/>
              <w:jc w:val="center"/>
              <w:rPr>
                <w:rFonts w:ascii="宋体" w:hAnsi="宋体" w:cs="宋体"/>
                <w:color w:val="000000" w:themeColor="text1"/>
                <w:kern w:val="0"/>
                <w:sz w:val="24"/>
              </w:rPr>
            </w:pPr>
            <w:r>
              <w:rPr>
                <w:rFonts w:hint="eastAsia" w:ascii="宋体" w:hAnsi="宋体" w:cs="宋体"/>
                <w:color w:val="000000" w:themeColor="text1"/>
                <w:kern w:val="0"/>
                <w:sz w:val="24"/>
              </w:rPr>
              <w:t>数量</w:t>
            </w:r>
          </w:p>
        </w:tc>
        <w:tc>
          <w:tcPr>
            <w:tcW w:w="1146" w:type="dxa"/>
            <w:tcBorders>
              <w:top w:val="single" w:color="auto" w:sz="4" w:space="0"/>
              <w:left w:val="nil"/>
              <w:bottom w:val="single" w:color="auto" w:sz="4" w:space="0"/>
              <w:right w:val="single" w:color="auto" w:sz="4" w:space="0"/>
            </w:tcBorders>
            <w:noWrap/>
            <w:vAlign w:val="center"/>
          </w:tcPr>
          <w:p>
            <w:pPr>
              <w:widowControl/>
              <w:spacing w:line="360" w:lineRule="auto"/>
              <w:ind w:left="-105" w:leftChars="-50" w:right="-57"/>
              <w:jc w:val="center"/>
              <w:rPr>
                <w:rFonts w:ascii="宋体" w:hAnsi="宋体" w:cs="宋体"/>
                <w:color w:val="000000" w:themeColor="text1"/>
                <w:kern w:val="0"/>
                <w:sz w:val="24"/>
              </w:rPr>
            </w:pPr>
            <w:r>
              <w:rPr>
                <w:rFonts w:hint="eastAsia" w:ascii="宋体" w:hAnsi="宋体" w:cs="宋体"/>
                <w:color w:val="000000" w:themeColor="text1"/>
                <w:kern w:val="0"/>
                <w:sz w:val="24"/>
              </w:rPr>
              <w:t>单价</w:t>
            </w:r>
          </w:p>
          <w:p>
            <w:pPr>
              <w:widowControl/>
              <w:spacing w:line="360" w:lineRule="auto"/>
              <w:ind w:left="-105" w:leftChars="-50" w:right="-57"/>
              <w:jc w:val="center"/>
              <w:rPr>
                <w:rFonts w:ascii="宋体" w:hAnsi="宋体" w:cs="宋体"/>
                <w:color w:val="000000" w:themeColor="text1"/>
                <w:kern w:val="0"/>
                <w:sz w:val="24"/>
              </w:rPr>
            </w:pPr>
            <w:r>
              <w:rPr>
                <w:rFonts w:hint="eastAsia" w:ascii="宋体" w:hAnsi="宋体" w:cs="宋体"/>
                <w:color w:val="000000" w:themeColor="text1"/>
                <w:kern w:val="0"/>
                <w:sz w:val="24"/>
              </w:rPr>
              <w:t>（元）</w:t>
            </w:r>
          </w:p>
        </w:tc>
        <w:tc>
          <w:tcPr>
            <w:tcW w:w="1128" w:type="dxa"/>
            <w:tcBorders>
              <w:top w:val="single" w:color="auto" w:sz="4" w:space="0"/>
              <w:left w:val="nil"/>
              <w:bottom w:val="single" w:color="auto" w:sz="4" w:space="0"/>
              <w:right w:val="single" w:color="auto" w:sz="4" w:space="0"/>
            </w:tcBorders>
            <w:noWrap/>
            <w:vAlign w:val="center"/>
          </w:tcPr>
          <w:p>
            <w:pPr>
              <w:widowControl/>
              <w:spacing w:line="360" w:lineRule="auto"/>
              <w:ind w:left="-105" w:leftChars="-50" w:right="-57"/>
              <w:jc w:val="center"/>
              <w:rPr>
                <w:rFonts w:ascii="宋体" w:hAnsi="宋体" w:cs="宋体"/>
                <w:color w:val="000000" w:themeColor="text1"/>
                <w:kern w:val="0"/>
                <w:sz w:val="24"/>
              </w:rPr>
            </w:pPr>
            <w:r>
              <w:rPr>
                <w:rFonts w:hint="eastAsia" w:ascii="宋体" w:hAnsi="宋体" w:cs="宋体"/>
                <w:color w:val="000000" w:themeColor="text1"/>
                <w:kern w:val="0"/>
                <w:sz w:val="24"/>
              </w:rPr>
              <w:t>合价</w:t>
            </w:r>
          </w:p>
          <w:p>
            <w:pPr>
              <w:widowControl/>
              <w:spacing w:line="360" w:lineRule="auto"/>
              <w:ind w:left="-105" w:leftChars="-50" w:right="-57"/>
              <w:jc w:val="center"/>
              <w:rPr>
                <w:rFonts w:ascii="宋体" w:hAnsi="宋体" w:cs="宋体"/>
                <w:color w:val="000000" w:themeColor="text1"/>
                <w:kern w:val="0"/>
                <w:sz w:val="24"/>
              </w:rPr>
            </w:pPr>
            <w:r>
              <w:rPr>
                <w:rFonts w:hint="eastAsia" w:ascii="宋体" w:hAnsi="宋体" w:cs="宋体"/>
                <w:color w:val="000000" w:themeColor="text1"/>
                <w:kern w:val="0"/>
                <w:sz w:val="24"/>
              </w:rPr>
              <w:t>（元）</w:t>
            </w:r>
          </w:p>
        </w:tc>
        <w:tc>
          <w:tcPr>
            <w:tcW w:w="876" w:type="dxa"/>
            <w:tcBorders>
              <w:top w:val="single" w:color="auto" w:sz="4" w:space="0"/>
              <w:left w:val="nil"/>
              <w:bottom w:val="single" w:color="auto" w:sz="4" w:space="0"/>
              <w:right w:val="single" w:color="auto" w:sz="4" w:space="0"/>
            </w:tcBorders>
            <w:noWrap/>
            <w:vAlign w:val="center"/>
          </w:tcPr>
          <w:p>
            <w:pPr>
              <w:widowControl/>
              <w:spacing w:line="360" w:lineRule="auto"/>
              <w:ind w:left="-105" w:leftChars="-50" w:right="-57"/>
              <w:jc w:val="center"/>
              <w:rPr>
                <w:rFonts w:ascii="宋体" w:hAnsi="宋体" w:cs="宋体"/>
                <w:color w:val="000000" w:themeColor="text1"/>
                <w:kern w:val="0"/>
                <w:sz w:val="24"/>
              </w:rPr>
            </w:pPr>
            <w:r>
              <w:rPr>
                <w:rFonts w:hint="eastAsia" w:ascii="宋体" w:hAnsi="宋体" w:cs="宋体"/>
                <w:color w:val="000000" w:themeColor="text1"/>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54" w:type="dxa"/>
            <w:noWrap/>
            <w:vAlign w:val="center"/>
          </w:tcPr>
          <w:p>
            <w:pPr>
              <w:spacing w:line="360" w:lineRule="auto"/>
              <w:ind w:left="-50" w:right="-50"/>
              <w:jc w:val="center"/>
              <w:rPr>
                <w:rFonts w:ascii="宋体" w:hAnsi="宋体" w:cs="宋体"/>
                <w:color w:val="000000" w:themeColor="text1"/>
                <w:sz w:val="24"/>
              </w:rPr>
            </w:pPr>
            <w:r>
              <w:rPr>
                <w:rFonts w:hint="eastAsia" w:ascii="宋体" w:hAnsi="宋体" w:cs="宋体"/>
                <w:color w:val="000000" w:themeColor="text1"/>
                <w:sz w:val="24"/>
              </w:rPr>
              <w:t>1</w:t>
            </w:r>
          </w:p>
        </w:tc>
        <w:tc>
          <w:tcPr>
            <w:tcW w:w="1454" w:type="dxa"/>
            <w:noWrap/>
            <w:vAlign w:val="center"/>
          </w:tcPr>
          <w:p>
            <w:pPr>
              <w:spacing w:line="360" w:lineRule="auto"/>
              <w:ind w:left="-50" w:right="-50"/>
              <w:jc w:val="center"/>
              <w:rPr>
                <w:rFonts w:ascii="宋体" w:hAnsi="宋体" w:cs="宋体"/>
                <w:color w:val="000000" w:themeColor="text1"/>
                <w:sz w:val="24"/>
              </w:rPr>
            </w:pPr>
          </w:p>
        </w:tc>
        <w:tc>
          <w:tcPr>
            <w:tcW w:w="2081" w:type="dxa"/>
            <w:noWrap/>
            <w:vAlign w:val="center"/>
          </w:tcPr>
          <w:p>
            <w:pPr>
              <w:spacing w:line="360" w:lineRule="auto"/>
              <w:ind w:left="-50" w:right="-50"/>
              <w:jc w:val="center"/>
              <w:rPr>
                <w:rFonts w:ascii="宋体" w:hAnsi="宋体" w:cs="宋体"/>
                <w:color w:val="000000" w:themeColor="text1"/>
                <w:sz w:val="24"/>
              </w:rPr>
            </w:pPr>
          </w:p>
        </w:tc>
        <w:tc>
          <w:tcPr>
            <w:tcW w:w="937" w:type="dxa"/>
            <w:noWrap/>
            <w:vAlign w:val="center"/>
          </w:tcPr>
          <w:p>
            <w:pPr>
              <w:spacing w:line="360" w:lineRule="auto"/>
              <w:ind w:left="-50" w:right="-50"/>
              <w:jc w:val="center"/>
              <w:rPr>
                <w:rFonts w:ascii="宋体" w:hAnsi="宋体" w:cs="宋体"/>
                <w:color w:val="000000" w:themeColor="text1"/>
                <w:sz w:val="24"/>
              </w:rPr>
            </w:pPr>
          </w:p>
        </w:tc>
        <w:tc>
          <w:tcPr>
            <w:tcW w:w="924" w:type="dxa"/>
            <w:noWrap/>
            <w:vAlign w:val="center"/>
          </w:tcPr>
          <w:p>
            <w:pPr>
              <w:spacing w:line="360" w:lineRule="auto"/>
              <w:ind w:left="-50" w:right="-50"/>
              <w:jc w:val="center"/>
              <w:rPr>
                <w:rFonts w:ascii="宋体" w:hAnsi="宋体" w:cs="宋体"/>
                <w:color w:val="000000" w:themeColor="text1"/>
                <w:sz w:val="24"/>
              </w:rPr>
            </w:pPr>
          </w:p>
        </w:tc>
        <w:tc>
          <w:tcPr>
            <w:tcW w:w="1146" w:type="dxa"/>
            <w:noWrap/>
            <w:vAlign w:val="center"/>
          </w:tcPr>
          <w:p>
            <w:pPr>
              <w:spacing w:line="360" w:lineRule="auto"/>
              <w:ind w:right="-50"/>
              <w:jc w:val="center"/>
              <w:rPr>
                <w:rFonts w:ascii="宋体" w:hAnsi="宋体" w:cs="宋体"/>
                <w:color w:val="000000" w:themeColor="text1"/>
                <w:sz w:val="24"/>
              </w:rPr>
            </w:pPr>
          </w:p>
        </w:tc>
        <w:tc>
          <w:tcPr>
            <w:tcW w:w="1128" w:type="dxa"/>
            <w:noWrap/>
            <w:vAlign w:val="center"/>
          </w:tcPr>
          <w:p>
            <w:pPr>
              <w:spacing w:line="360" w:lineRule="auto"/>
              <w:ind w:right="-50"/>
              <w:jc w:val="center"/>
              <w:rPr>
                <w:rFonts w:ascii="宋体" w:hAnsi="宋体" w:cs="宋体"/>
                <w:color w:val="000000" w:themeColor="text1"/>
                <w:sz w:val="24"/>
              </w:rPr>
            </w:pPr>
          </w:p>
        </w:tc>
        <w:tc>
          <w:tcPr>
            <w:tcW w:w="876" w:type="dxa"/>
            <w:noWrap/>
            <w:vAlign w:val="center"/>
          </w:tcPr>
          <w:p>
            <w:pPr>
              <w:spacing w:line="360" w:lineRule="auto"/>
              <w:ind w:right="-50"/>
              <w:jc w:val="center"/>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54" w:type="dxa"/>
            <w:noWrap/>
            <w:vAlign w:val="center"/>
          </w:tcPr>
          <w:p>
            <w:pPr>
              <w:spacing w:line="360" w:lineRule="auto"/>
              <w:ind w:left="-57" w:right="-57"/>
              <w:jc w:val="center"/>
              <w:rPr>
                <w:rFonts w:ascii="宋体" w:hAnsi="宋体" w:cs="宋体"/>
                <w:color w:val="000000" w:themeColor="text1"/>
                <w:sz w:val="24"/>
              </w:rPr>
            </w:pPr>
            <w:r>
              <w:rPr>
                <w:rFonts w:hint="eastAsia" w:ascii="宋体" w:hAnsi="宋体" w:cs="宋体"/>
                <w:color w:val="000000" w:themeColor="text1"/>
                <w:sz w:val="24"/>
              </w:rPr>
              <w:t>2</w:t>
            </w:r>
          </w:p>
        </w:tc>
        <w:tc>
          <w:tcPr>
            <w:tcW w:w="1454" w:type="dxa"/>
            <w:noWrap/>
            <w:vAlign w:val="center"/>
          </w:tcPr>
          <w:p>
            <w:pPr>
              <w:spacing w:line="360" w:lineRule="auto"/>
              <w:ind w:left="-57" w:right="-57"/>
              <w:jc w:val="center"/>
              <w:rPr>
                <w:rFonts w:ascii="宋体" w:hAnsi="宋体" w:cs="宋体"/>
                <w:color w:val="000000" w:themeColor="text1"/>
                <w:sz w:val="24"/>
              </w:rPr>
            </w:pPr>
          </w:p>
        </w:tc>
        <w:tc>
          <w:tcPr>
            <w:tcW w:w="2081" w:type="dxa"/>
            <w:noWrap/>
            <w:vAlign w:val="center"/>
          </w:tcPr>
          <w:p>
            <w:pPr>
              <w:spacing w:line="360" w:lineRule="auto"/>
              <w:ind w:left="-50" w:right="-50"/>
              <w:jc w:val="center"/>
              <w:rPr>
                <w:rFonts w:ascii="宋体" w:hAnsi="宋体" w:cs="宋体"/>
                <w:color w:val="000000" w:themeColor="text1"/>
                <w:sz w:val="24"/>
              </w:rPr>
            </w:pPr>
          </w:p>
        </w:tc>
        <w:tc>
          <w:tcPr>
            <w:tcW w:w="937" w:type="dxa"/>
            <w:noWrap/>
            <w:vAlign w:val="center"/>
          </w:tcPr>
          <w:p>
            <w:pPr>
              <w:spacing w:line="360" w:lineRule="auto"/>
              <w:ind w:left="-50" w:right="-50"/>
              <w:jc w:val="center"/>
              <w:rPr>
                <w:rFonts w:ascii="宋体" w:hAnsi="宋体" w:cs="宋体"/>
                <w:color w:val="000000" w:themeColor="text1"/>
                <w:sz w:val="24"/>
              </w:rPr>
            </w:pPr>
          </w:p>
        </w:tc>
        <w:tc>
          <w:tcPr>
            <w:tcW w:w="924" w:type="dxa"/>
            <w:noWrap/>
            <w:vAlign w:val="center"/>
          </w:tcPr>
          <w:p>
            <w:pPr>
              <w:spacing w:line="360" w:lineRule="auto"/>
              <w:ind w:left="-50" w:right="-50"/>
              <w:jc w:val="center"/>
              <w:rPr>
                <w:rFonts w:ascii="宋体" w:hAnsi="宋体" w:cs="宋体"/>
                <w:color w:val="000000" w:themeColor="text1"/>
                <w:sz w:val="24"/>
              </w:rPr>
            </w:pPr>
          </w:p>
        </w:tc>
        <w:tc>
          <w:tcPr>
            <w:tcW w:w="1146" w:type="dxa"/>
            <w:noWrap/>
            <w:vAlign w:val="center"/>
          </w:tcPr>
          <w:p>
            <w:pPr>
              <w:spacing w:line="360" w:lineRule="auto"/>
              <w:ind w:right="-50"/>
              <w:jc w:val="center"/>
              <w:rPr>
                <w:rFonts w:ascii="宋体" w:hAnsi="宋体" w:cs="宋体"/>
                <w:color w:val="000000" w:themeColor="text1"/>
                <w:sz w:val="24"/>
              </w:rPr>
            </w:pPr>
          </w:p>
        </w:tc>
        <w:tc>
          <w:tcPr>
            <w:tcW w:w="1128" w:type="dxa"/>
            <w:noWrap/>
            <w:vAlign w:val="center"/>
          </w:tcPr>
          <w:p>
            <w:pPr>
              <w:spacing w:line="360" w:lineRule="auto"/>
              <w:ind w:right="-50"/>
              <w:jc w:val="center"/>
              <w:rPr>
                <w:rFonts w:ascii="宋体" w:hAnsi="宋体" w:cs="宋体"/>
                <w:color w:val="000000" w:themeColor="text1"/>
                <w:sz w:val="24"/>
              </w:rPr>
            </w:pPr>
          </w:p>
        </w:tc>
        <w:tc>
          <w:tcPr>
            <w:tcW w:w="876" w:type="dxa"/>
            <w:noWrap/>
            <w:vAlign w:val="center"/>
          </w:tcPr>
          <w:p>
            <w:pPr>
              <w:spacing w:line="360" w:lineRule="auto"/>
              <w:ind w:right="-50"/>
              <w:jc w:val="center"/>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54" w:type="dxa"/>
            <w:noWrap/>
            <w:vAlign w:val="center"/>
          </w:tcPr>
          <w:p>
            <w:pPr>
              <w:spacing w:line="360" w:lineRule="auto"/>
              <w:ind w:left="-57" w:right="-57"/>
              <w:jc w:val="center"/>
              <w:rPr>
                <w:rFonts w:ascii="宋体" w:hAnsi="宋体" w:cs="宋体"/>
                <w:color w:val="000000" w:themeColor="text1"/>
                <w:sz w:val="24"/>
              </w:rPr>
            </w:pPr>
            <w:r>
              <w:rPr>
                <w:rFonts w:hint="eastAsia" w:ascii="宋体" w:hAnsi="宋体" w:cs="宋体"/>
                <w:color w:val="000000" w:themeColor="text1"/>
                <w:sz w:val="24"/>
              </w:rPr>
              <w:t>3</w:t>
            </w:r>
          </w:p>
        </w:tc>
        <w:tc>
          <w:tcPr>
            <w:tcW w:w="1454" w:type="dxa"/>
            <w:noWrap/>
            <w:vAlign w:val="center"/>
          </w:tcPr>
          <w:p>
            <w:pPr>
              <w:spacing w:line="360" w:lineRule="auto"/>
              <w:ind w:left="-57" w:right="-57"/>
              <w:jc w:val="center"/>
              <w:rPr>
                <w:rFonts w:ascii="宋体" w:hAnsi="宋体" w:cs="宋体"/>
                <w:color w:val="000000" w:themeColor="text1"/>
                <w:sz w:val="24"/>
              </w:rPr>
            </w:pPr>
          </w:p>
        </w:tc>
        <w:tc>
          <w:tcPr>
            <w:tcW w:w="2081" w:type="dxa"/>
            <w:noWrap/>
            <w:vAlign w:val="center"/>
          </w:tcPr>
          <w:p>
            <w:pPr>
              <w:spacing w:line="360" w:lineRule="auto"/>
              <w:ind w:left="-50" w:right="-50"/>
              <w:jc w:val="center"/>
              <w:rPr>
                <w:rFonts w:ascii="宋体" w:hAnsi="宋体" w:cs="宋体"/>
                <w:color w:val="000000" w:themeColor="text1"/>
                <w:sz w:val="24"/>
              </w:rPr>
            </w:pPr>
          </w:p>
        </w:tc>
        <w:tc>
          <w:tcPr>
            <w:tcW w:w="937" w:type="dxa"/>
            <w:noWrap/>
            <w:vAlign w:val="center"/>
          </w:tcPr>
          <w:p>
            <w:pPr>
              <w:spacing w:line="360" w:lineRule="auto"/>
              <w:ind w:left="-50" w:right="-50"/>
              <w:jc w:val="center"/>
              <w:rPr>
                <w:rFonts w:ascii="宋体" w:hAnsi="宋体" w:cs="宋体"/>
                <w:color w:val="000000" w:themeColor="text1"/>
                <w:sz w:val="24"/>
              </w:rPr>
            </w:pPr>
          </w:p>
        </w:tc>
        <w:tc>
          <w:tcPr>
            <w:tcW w:w="924" w:type="dxa"/>
            <w:noWrap/>
            <w:vAlign w:val="center"/>
          </w:tcPr>
          <w:p>
            <w:pPr>
              <w:spacing w:line="360" w:lineRule="auto"/>
              <w:ind w:left="-50" w:right="-50"/>
              <w:jc w:val="center"/>
              <w:rPr>
                <w:rFonts w:ascii="宋体" w:hAnsi="宋体" w:cs="宋体"/>
                <w:color w:val="000000" w:themeColor="text1"/>
                <w:sz w:val="24"/>
              </w:rPr>
            </w:pPr>
          </w:p>
        </w:tc>
        <w:tc>
          <w:tcPr>
            <w:tcW w:w="1146" w:type="dxa"/>
            <w:noWrap/>
            <w:vAlign w:val="center"/>
          </w:tcPr>
          <w:p>
            <w:pPr>
              <w:spacing w:line="360" w:lineRule="auto"/>
              <w:ind w:right="-50"/>
              <w:jc w:val="center"/>
              <w:rPr>
                <w:rFonts w:ascii="宋体" w:hAnsi="宋体" w:cs="宋体"/>
                <w:color w:val="000000" w:themeColor="text1"/>
                <w:sz w:val="24"/>
              </w:rPr>
            </w:pPr>
          </w:p>
        </w:tc>
        <w:tc>
          <w:tcPr>
            <w:tcW w:w="1128" w:type="dxa"/>
            <w:noWrap/>
            <w:vAlign w:val="center"/>
          </w:tcPr>
          <w:p>
            <w:pPr>
              <w:spacing w:line="360" w:lineRule="auto"/>
              <w:ind w:right="-50"/>
              <w:jc w:val="center"/>
              <w:rPr>
                <w:rFonts w:ascii="宋体" w:hAnsi="宋体" w:cs="宋体"/>
                <w:color w:val="000000" w:themeColor="text1"/>
                <w:sz w:val="24"/>
              </w:rPr>
            </w:pPr>
          </w:p>
        </w:tc>
        <w:tc>
          <w:tcPr>
            <w:tcW w:w="876" w:type="dxa"/>
            <w:noWrap/>
            <w:vAlign w:val="center"/>
          </w:tcPr>
          <w:p>
            <w:pPr>
              <w:spacing w:line="360" w:lineRule="auto"/>
              <w:ind w:right="-50"/>
              <w:jc w:val="center"/>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54" w:type="dxa"/>
            <w:noWrap/>
            <w:vAlign w:val="center"/>
          </w:tcPr>
          <w:p>
            <w:pPr>
              <w:spacing w:line="360" w:lineRule="auto"/>
              <w:ind w:left="-57" w:right="-57"/>
              <w:jc w:val="center"/>
              <w:rPr>
                <w:rFonts w:ascii="宋体" w:hAnsi="宋体" w:cs="宋体"/>
                <w:color w:val="000000" w:themeColor="text1"/>
                <w:sz w:val="24"/>
              </w:rPr>
            </w:pPr>
            <w:r>
              <w:rPr>
                <w:rFonts w:hint="eastAsia" w:ascii="宋体" w:hAnsi="宋体" w:cs="宋体"/>
                <w:color w:val="000000" w:themeColor="text1"/>
                <w:sz w:val="24"/>
              </w:rPr>
              <w:t>4</w:t>
            </w:r>
          </w:p>
        </w:tc>
        <w:tc>
          <w:tcPr>
            <w:tcW w:w="1454" w:type="dxa"/>
            <w:noWrap/>
            <w:vAlign w:val="center"/>
          </w:tcPr>
          <w:p>
            <w:pPr>
              <w:spacing w:line="360" w:lineRule="auto"/>
              <w:ind w:left="-57" w:right="-57"/>
              <w:jc w:val="center"/>
              <w:rPr>
                <w:rFonts w:ascii="宋体" w:hAnsi="宋体" w:cs="宋体"/>
                <w:color w:val="000000" w:themeColor="text1"/>
                <w:sz w:val="24"/>
              </w:rPr>
            </w:pPr>
          </w:p>
        </w:tc>
        <w:tc>
          <w:tcPr>
            <w:tcW w:w="2081" w:type="dxa"/>
            <w:noWrap/>
            <w:vAlign w:val="center"/>
          </w:tcPr>
          <w:p>
            <w:pPr>
              <w:spacing w:line="360" w:lineRule="auto"/>
              <w:ind w:left="-50" w:right="-50"/>
              <w:jc w:val="center"/>
              <w:rPr>
                <w:rFonts w:ascii="宋体" w:hAnsi="宋体" w:cs="宋体"/>
                <w:color w:val="000000" w:themeColor="text1"/>
                <w:sz w:val="24"/>
              </w:rPr>
            </w:pPr>
          </w:p>
        </w:tc>
        <w:tc>
          <w:tcPr>
            <w:tcW w:w="937" w:type="dxa"/>
            <w:noWrap/>
            <w:vAlign w:val="center"/>
          </w:tcPr>
          <w:p>
            <w:pPr>
              <w:spacing w:line="360" w:lineRule="auto"/>
              <w:ind w:left="-50" w:right="-50"/>
              <w:jc w:val="center"/>
              <w:rPr>
                <w:rFonts w:ascii="宋体" w:hAnsi="宋体" w:cs="宋体"/>
                <w:color w:val="000000" w:themeColor="text1"/>
                <w:sz w:val="24"/>
              </w:rPr>
            </w:pPr>
          </w:p>
        </w:tc>
        <w:tc>
          <w:tcPr>
            <w:tcW w:w="924" w:type="dxa"/>
            <w:noWrap/>
            <w:vAlign w:val="center"/>
          </w:tcPr>
          <w:p>
            <w:pPr>
              <w:spacing w:line="360" w:lineRule="auto"/>
              <w:ind w:left="-50" w:right="-50"/>
              <w:jc w:val="center"/>
              <w:rPr>
                <w:rFonts w:ascii="宋体" w:hAnsi="宋体" w:cs="宋体"/>
                <w:color w:val="000000" w:themeColor="text1"/>
                <w:sz w:val="24"/>
              </w:rPr>
            </w:pPr>
          </w:p>
        </w:tc>
        <w:tc>
          <w:tcPr>
            <w:tcW w:w="1146" w:type="dxa"/>
            <w:noWrap/>
            <w:vAlign w:val="center"/>
          </w:tcPr>
          <w:p>
            <w:pPr>
              <w:spacing w:line="360" w:lineRule="auto"/>
              <w:ind w:right="-50"/>
              <w:jc w:val="center"/>
              <w:rPr>
                <w:rFonts w:ascii="宋体" w:hAnsi="宋体" w:cs="宋体"/>
                <w:color w:val="000000" w:themeColor="text1"/>
                <w:sz w:val="24"/>
              </w:rPr>
            </w:pPr>
          </w:p>
        </w:tc>
        <w:tc>
          <w:tcPr>
            <w:tcW w:w="1128" w:type="dxa"/>
            <w:noWrap/>
            <w:vAlign w:val="center"/>
          </w:tcPr>
          <w:p>
            <w:pPr>
              <w:spacing w:line="360" w:lineRule="auto"/>
              <w:ind w:right="-50"/>
              <w:jc w:val="center"/>
              <w:rPr>
                <w:rFonts w:ascii="宋体" w:hAnsi="宋体" w:cs="宋体"/>
                <w:color w:val="000000" w:themeColor="text1"/>
                <w:sz w:val="24"/>
              </w:rPr>
            </w:pPr>
          </w:p>
        </w:tc>
        <w:tc>
          <w:tcPr>
            <w:tcW w:w="876" w:type="dxa"/>
            <w:noWrap/>
            <w:vAlign w:val="center"/>
          </w:tcPr>
          <w:p>
            <w:pPr>
              <w:spacing w:line="360" w:lineRule="auto"/>
              <w:ind w:right="-50"/>
              <w:jc w:val="center"/>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54" w:type="dxa"/>
            <w:noWrap/>
            <w:vAlign w:val="center"/>
          </w:tcPr>
          <w:p>
            <w:pPr>
              <w:spacing w:line="360" w:lineRule="auto"/>
              <w:ind w:left="-57" w:right="-57"/>
              <w:jc w:val="center"/>
              <w:rPr>
                <w:rFonts w:ascii="宋体" w:hAnsi="宋体" w:cs="宋体"/>
                <w:color w:val="000000" w:themeColor="text1"/>
                <w:sz w:val="24"/>
              </w:rPr>
            </w:pPr>
            <w:r>
              <w:rPr>
                <w:rFonts w:hint="eastAsia" w:ascii="宋体" w:hAnsi="宋体" w:cs="宋体"/>
                <w:color w:val="000000" w:themeColor="text1"/>
                <w:sz w:val="24"/>
              </w:rPr>
              <w:t>…</w:t>
            </w:r>
          </w:p>
        </w:tc>
        <w:tc>
          <w:tcPr>
            <w:tcW w:w="1454" w:type="dxa"/>
            <w:noWrap/>
            <w:vAlign w:val="center"/>
          </w:tcPr>
          <w:p>
            <w:pPr>
              <w:spacing w:line="360" w:lineRule="auto"/>
              <w:ind w:left="-57" w:right="-57"/>
              <w:jc w:val="center"/>
              <w:rPr>
                <w:rFonts w:ascii="宋体" w:hAnsi="宋体" w:cs="宋体"/>
                <w:color w:val="000000" w:themeColor="text1"/>
                <w:sz w:val="24"/>
              </w:rPr>
            </w:pPr>
          </w:p>
        </w:tc>
        <w:tc>
          <w:tcPr>
            <w:tcW w:w="2081" w:type="dxa"/>
            <w:noWrap/>
            <w:vAlign w:val="center"/>
          </w:tcPr>
          <w:p>
            <w:pPr>
              <w:spacing w:line="360" w:lineRule="auto"/>
              <w:ind w:left="-50" w:right="-50"/>
              <w:jc w:val="center"/>
              <w:rPr>
                <w:rFonts w:ascii="宋体" w:hAnsi="宋体" w:cs="宋体"/>
                <w:color w:val="000000" w:themeColor="text1"/>
                <w:sz w:val="24"/>
              </w:rPr>
            </w:pPr>
          </w:p>
        </w:tc>
        <w:tc>
          <w:tcPr>
            <w:tcW w:w="937" w:type="dxa"/>
            <w:noWrap/>
            <w:vAlign w:val="center"/>
          </w:tcPr>
          <w:p>
            <w:pPr>
              <w:spacing w:line="360" w:lineRule="auto"/>
              <w:ind w:left="-50" w:right="-50"/>
              <w:jc w:val="center"/>
              <w:rPr>
                <w:rFonts w:ascii="宋体" w:hAnsi="宋体" w:cs="宋体"/>
                <w:color w:val="000000" w:themeColor="text1"/>
                <w:sz w:val="24"/>
              </w:rPr>
            </w:pPr>
          </w:p>
        </w:tc>
        <w:tc>
          <w:tcPr>
            <w:tcW w:w="924" w:type="dxa"/>
            <w:noWrap/>
            <w:vAlign w:val="center"/>
          </w:tcPr>
          <w:p>
            <w:pPr>
              <w:spacing w:line="360" w:lineRule="auto"/>
              <w:ind w:left="-50" w:right="-50"/>
              <w:jc w:val="center"/>
              <w:rPr>
                <w:rFonts w:ascii="宋体" w:hAnsi="宋体" w:cs="宋体"/>
                <w:color w:val="000000" w:themeColor="text1"/>
                <w:sz w:val="24"/>
              </w:rPr>
            </w:pPr>
          </w:p>
        </w:tc>
        <w:tc>
          <w:tcPr>
            <w:tcW w:w="1146" w:type="dxa"/>
            <w:noWrap/>
            <w:vAlign w:val="center"/>
          </w:tcPr>
          <w:p>
            <w:pPr>
              <w:spacing w:line="360" w:lineRule="auto"/>
              <w:ind w:right="-50"/>
              <w:jc w:val="center"/>
              <w:rPr>
                <w:rFonts w:ascii="宋体" w:hAnsi="宋体" w:cs="宋体"/>
                <w:color w:val="000000" w:themeColor="text1"/>
                <w:sz w:val="24"/>
              </w:rPr>
            </w:pPr>
          </w:p>
        </w:tc>
        <w:tc>
          <w:tcPr>
            <w:tcW w:w="1128" w:type="dxa"/>
            <w:noWrap/>
            <w:vAlign w:val="center"/>
          </w:tcPr>
          <w:p>
            <w:pPr>
              <w:spacing w:line="360" w:lineRule="auto"/>
              <w:ind w:right="-50"/>
              <w:jc w:val="center"/>
              <w:rPr>
                <w:rFonts w:ascii="宋体" w:hAnsi="宋体" w:cs="宋体"/>
                <w:color w:val="000000" w:themeColor="text1"/>
                <w:sz w:val="24"/>
              </w:rPr>
            </w:pPr>
          </w:p>
        </w:tc>
        <w:tc>
          <w:tcPr>
            <w:tcW w:w="876" w:type="dxa"/>
            <w:noWrap/>
            <w:vAlign w:val="center"/>
          </w:tcPr>
          <w:p>
            <w:pPr>
              <w:spacing w:line="360" w:lineRule="auto"/>
              <w:ind w:right="-50"/>
              <w:jc w:val="center"/>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200" w:type="dxa"/>
            <w:gridSpan w:val="8"/>
            <w:noWrap/>
            <w:vAlign w:val="center"/>
          </w:tcPr>
          <w:p>
            <w:pPr>
              <w:spacing w:line="360" w:lineRule="auto"/>
              <w:ind w:right="-50"/>
              <w:rPr>
                <w:rFonts w:ascii="宋体" w:hAnsi="宋体" w:cs="宋体"/>
                <w:color w:val="000000" w:themeColor="text1"/>
                <w:sz w:val="24"/>
              </w:rPr>
            </w:pPr>
            <w:r>
              <w:rPr>
                <w:rFonts w:hint="eastAsia" w:ascii="宋体" w:hAnsi="宋体" w:cs="宋体"/>
                <w:color w:val="000000" w:themeColor="text1"/>
                <w:sz w:val="24"/>
              </w:rPr>
              <w:t>总合计：</w:t>
            </w:r>
          </w:p>
        </w:tc>
      </w:tr>
    </w:tbl>
    <w:p>
      <w:pPr>
        <w:spacing w:line="520" w:lineRule="exact"/>
        <w:jc w:val="center"/>
        <w:rPr>
          <w:rFonts w:asciiTheme="majorEastAsia" w:hAnsiTheme="majorEastAsia" w:eastAsiaTheme="majorEastAsia" w:cstheme="majorEastAsia"/>
          <w:b/>
          <w:color w:val="000000" w:themeColor="text1"/>
          <w:sz w:val="32"/>
          <w:szCs w:val="44"/>
        </w:rPr>
      </w:pPr>
    </w:p>
    <w:p>
      <w:pPr>
        <w:pStyle w:val="2"/>
        <w:rPr>
          <w:rFonts w:asciiTheme="majorEastAsia" w:hAnsiTheme="majorEastAsia" w:eastAsiaTheme="majorEastAsia" w:cstheme="majorEastAsia"/>
          <w:b/>
          <w:color w:val="000000" w:themeColor="text1"/>
          <w:sz w:val="32"/>
          <w:szCs w:val="44"/>
        </w:rPr>
      </w:pPr>
    </w:p>
    <w:p>
      <w:pPr>
        <w:pStyle w:val="2"/>
        <w:rPr>
          <w:rFonts w:asciiTheme="majorEastAsia" w:hAnsiTheme="majorEastAsia" w:eastAsiaTheme="majorEastAsia" w:cstheme="majorEastAsia"/>
          <w:b/>
          <w:color w:val="000000" w:themeColor="text1"/>
          <w:sz w:val="32"/>
          <w:szCs w:val="44"/>
        </w:rPr>
      </w:pPr>
    </w:p>
    <w:p>
      <w:pPr>
        <w:pStyle w:val="2"/>
        <w:rPr>
          <w:rFonts w:asciiTheme="majorEastAsia" w:hAnsiTheme="majorEastAsia" w:eastAsiaTheme="majorEastAsia" w:cstheme="majorEastAsia"/>
          <w:b/>
          <w:color w:val="000000" w:themeColor="text1"/>
          <w:sz w:val="32"/>
          <w:szCs w:val="44"/>
        </w:rPr>
      </w:pPr>
    </w:p>
    <w:p>
      <w:pPr>
        <w:pStyle w:val="2"/>
        <w:rPr>
          <w:rFonts w:asciiTheme="majorEastAsia" w:hAnsiTheme="majorEastAsia" w:eastAsiaTheme="majorEastAsia" w:cstheme="majorEastAsia"/>
          <w:b/>
          <w:color w:val="000000" w:themeColor="text1"/>
          <w:sz w:val="32"/>
          <w:szCs w:val="44"/>
        </w:rPr>
      </w:pPr>
    </w:p>
    <w:p>
      <w:pPr>
        <w:spacing w:line="360" w:lineRule="auto"/>
        <w:ind w:right="-161" w:firstLine="3360" w:firstLineChars="1400"/>
        <w:rPr>
          <w:rFonts w:ascii="宋体" w:hAnsi="宋体" w:cs="宋体"/>
          <w:color w:val="000000" w:themeColor="text1"/>
          <w:sz w:val="24"/>
        </w:rPr>
      </w:pPr>
      <w:r>
        <w:rPr>
          <w:rFonts w:hint="eastAsia" w:ascii="宋体" w:hAnsi="宋体" w:cs="宋体"/>
          <w:color w:val="000000" w:themeColor="text1"/>
          <w:sz w:val="24"/>
        </w:rPr>
        <w:t>投标单位：</w:t>
      </w:r>
      <w:r>
        <w:rPr>
          <w:rFonts w:hint="eastAsia" w:ascii="宋体" w:hAnsi="宋体" w:cs="宋体"/>
          <w:color w:val="000000" w:themeColor="text1"/>
          <w:sz w:val="24"/>
          <w:u w:val="single"/>
        </w:rPr>
        <w:t xml:space="preserve">    （公章）</w:t>
      </w:r>
    </w:p>
    <w:p>
      <w:pPr>
        <w:spacing w:line="360" w:lineRule="auto"/>
        <w:ind w:right="-161" w:firstLine="3360" w:firstLineChars="1400"/>
        <w:rPr>
          <w:rFonts w:ascii="宋体" w:hAnsi="宋体" w:cs="宋体"/>
          <w:color w:val="000000" w:themeColor="text1"/>
          <w:sz w:val="24"/>
          <w:u w:val="single"/>
        </w:rPr>
      </w:pPr>
      <w:r>
        <w:rPr>
          <w:rFonts w:hint="eastAsia" w:ascii="宋体" w:hAnsi="宋体" w:cs="宋体"/>
          <w:color w:val="000000" w:themeColor="text1"/>
          <w:sz w:val="24"/>
        </w:rPr>
        <w:t>法定代表人或被授权代表：</w:t>
      </w:r>
      <w:r>
        <w:rPr>
          <w:rFonts w:hint="eastAsia" w:ascii="宋体" w:hAnsi="宋体" w:cs="宋体"/>
          <w:color w:val="000000" w:themeColor="text1"/>
          <w:sz w:val="24"/>
          <w:u w:val="single"/>
        </w:rPr>
        <w:t xml:space="preserve">     （签字或盖章）</w:t>
      </w:r>
    </w:p>
    <w:p>
      <w:pPr>
        <w:spacing w:line="360" w:lineRule="auto"/>
        <w:ind w:firstLine="3360" w:firstLineChars="1400"/>
        <w:rPr>
          <w:rFonts w:ascii="宋体" w:hAnsi="宋体" w:cs="宋体"/>
          <w:color w:val="000000" w:themeColor="text1"/>
        </w:rPr>
      </w:pPr>
      <w:r>
        <w:rPr>
          <w:rFonts w:hint="eastAsia" w:ascii="宋体" w:hAnsi="宋体" w:cs="宋体"/>
          <w:color w:val="000000" w:themeColor="text1"/>
          <w:sz w:val="24"/>
        </w:rPr>
        <w:t>日    期：</w:t>
      </w:r>
    </w:p>
    <w:p>
      <w:pPr>
        <w:pStyle w:val="2"/>
        <w:rPr>
          <w:rFonts w:asciiTheme="majorEastAsia" w:hAnsiTheme="majorEastAsia" w:eastAsiaTheme="majorEastAsia" w:cstheme="majorEastAsia"/>
          <w:b/>
          <w:color w:val="000000" w:themeColor="text1"/>
          <w:sz w:val="32"/>
          <w:szCs w:val="44"/>
        </w:rPr>
      </w:pPr>
    </w:p>
    <w:p>
      <w:pPr>
        <w:spacing w:line="440" w:lineRule="exact"/>
        <w:ind w:left="1" w:firstLine="420" w:firstLineChars="200"/>
        <w:outlineLvl w:val="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rPr>
        <w:t>注：供应商可根据项目实际情况更改完善此表</w:t>
      </w:r>
    </w:p>
    <w:p>
      <w:pPr>
        <w:jc w:val="center"/>
        <w:rPr>
          <w:rFonts w:asciiTheme="majorEastAsia" w:hAnsiTheme="majorEastAsia" w:eastAsiaTheme="majorEastAsia" w:cstheme="majorEastAsia"/>
          <w:color w:val="000000" w:themeColor="text1"/>
        </w:rPr>
      </w:pPr>
    </w:p>
    <w:p>
      <w:pPr>
        <w:pStyle w:val="2"/>
        <w:rPr>
          <w:color w:val="000000" w:themeColor="text1"/>
        </w:rPr>
      </w:pPr>
    </w:p>
    <w:p>
      <w:pPr>
        <w:pStyle w:val="2"/>
        <w:rPr>
          <w:color w:val="000000" w:themeColor="text1"/>
        </w:rPr>
      </w:pPr>
    </w:p>
    <w:p>
      <w:pPr>
        <w:rPr>
          <w:color w:val="000000" w:themeColor="text1"/>
        </w:rPr>
      </w:pPr>
    </w:p>
    <w:p>
      <w:pPr>
        <w:jc w:val="center"/>
        <w:rPr>
          <w:rFonts w:asciiTheme="majorEastAsia" w:hAnsiTheme="majorEastAsia" w:eastAsiaTheme="majorEastAsia" w:cstheme="majorEastAsia"/>
          <w:color w:val="000000" w:themeColor="text1"/>
        </w:rPr>
      </w:pPr>
    </w:p>
    <w:p>
      <w:pPr>
        <w:spacing w:line="440" w:lineRule="exact"/>
        <w:ind w:left="1" w:firstLine="480" w:firstLineChars="200"/>
        <w:outlineLvl w:val="0"/>
        <w:rPr>
          <w:rFonts w:asciiTheme="majorEastAsia" w:hAnsiTheme="majorEastAsia" w:eastAsiaTheme="majorEastAsia" w:cstheme="majorEastAsia"/>
          <w:color w:val="000000" w:themeColor="text1"/>
          <w:sz w:val="24"/>
        </w:rPr>
      </w:pPr>
    </w:p>
    <w:p>
      <w:pPr>
        <w:jc w:val="center"/>
        <w:rPr>
          <w:rFonts w:asciiTheme="majorEastAsia" w:hAnsiTheme="majorEastAsia" w:eastAsiaTheme="majorEastAsia" w:cstheme="majorEastAsia"/>
          <w:color w:val="000000" w:themeColor="text1"/>
        </w:rPr>
      </w:pPr>
    </w:p>
    <w:p>
      <w:pPr>
        <w:jc w:val="center"/>
        <w:rPr>
          <w:rFonts w:asciiTheme="majorEastAsia" w:hAnsiTheme="majorEastAsia" w:eastAsiaTheme="majorEastAsia" w:cstheme="majorEastAsia"/>
          <w:b/>
          <w:color w:val="000000" w:themeColor="text1"/>
          <w:sz w:val="32"/>
          <w:szCs w:val="44"/>
          <w:u w:val="single"/>
        </w:rPr>
      </w:pPr>
      <w:r>
        <w:rPr>
          <w:rFonts w:hint="eastAsia" w:asciiTheme="majorEastAsia" w:hAnsiTheme="majorEastAsia" w:eastAsiaTheme="majorEastAsia" w:cstheme="majorEastAsia"/>
          <w:b/>
          <w:color w:val="000000" w:themeColor="text1"/>
          <w:sz w:val="32"/>
          <w:szCs w:val="44"/>
          <w:u w:val="single"/>
        </w:rPr>
        <w:t>3.3、提供可享受政府采购优惠政策的证明材料</w:t>
      </w:r>
    </w:p>
    <w:p>
      <w:pPr>
        <w:adjustRightInd w:val="0"/>
        <w:snapToGrid w:val="0"/>
        <w:spacing w:line="360" w:lineRule="auto"/>
        <w:ind w:firstLine="420" w:firstLineChars="175"/>
        <w:rPr>
          <w:rFonts w:asciiTheme="majorEastAsia" w:hAnsiTheme="majorEastAsia" w:eastAsiaTheme="majorEastAsia" w:cstheme="majorEastAsia"/>
          <w:color w:val="000000" w:themeColor="text1"/>
          <w:kern w:val="0"/>
          <w:sz w:val="24"/>
        </w:rPr>
      </w:pPr>
    </w:p>
    <w:p>
      <w:pPr>
        <w:adjustRightInd w:val="0"/>
        <w:snapToGrid w:val="0"/>
        <w:spacing w:line="360" w:lineRule="auto"/>
        <w:ind w:firstLine="420" w:firstLineChars="175"/>
        <w:rPr>
          <w:rFonts w:asciiTheme="majorEastAsia" w:hAnsiTheme="majorEastAsia" w:eastAsiaTheme="majorEastAsia" w:cstheme="majorEastAsia"/>
          <w:color w:val="000000" w:themeColor="text1"/>
          <w:kern w:val="0"/>
          <w:sz w:val="24"/>
        </w:rPr>
      </w:pPr>
      <w:r>
        <w:rPr>
          <w:rFonts w:hint="eastAsia" w:asciiTheme="majorEastAsia" w:hAnsiTheme="majorEastAsia" w:eastAsiaTheme="majorEastAsia" w:cstheme="majorEastAsia"/>
          <w:color w:val="000000" w:themeColor="text1"/>
          <w:kern w:val="0"/>
          <w:sz w:val="24"/>
        </w:rPr>
        <w:t xml:space="preserve">本项目依据《中华人民共和国政府采购法》和《中华人民共和国政府采购实施条例》的有关规定，落实政府采购政策。 </w:t>
      </w:r>
    </w:p>
    <w:p>
      <w:pPr>
        <w:pStyle w:val="40"/>
        <w:spacing w:line="360" w:lineRule="auto"/>
        <w:ind w:firstLine="480" w:firstLineChars="200"/>
        <w:rPr>
          <w:rFonts w:asciiTheme="majorEastAsia" w:hAnsiTheme="majorEastAsia" w:eastAsiaTheme="majorEastAsia" w:cstheme="majorEastAsia"/>
          <w:color w:val="000000" w:themeColor="text1"/>
          <w:kern w:val="0"/>
          <w:sz w:val="24"/>
          <w:szCs w:val="24"/>
        </w:rPr>
      </w:pPr>
      <w:r>
        <w:rPr>
          <w:rFonts w:hint="eastAsia" w:asciiTheme="majorEastAsia" w:hAnsiTheme="majorEastAsia" w:eastAsiaTheme="majorEastAsia" w:cstheme="majorEastAsia"/>
          <w:color w:val="000000" w:themeColor="text1"/>
          <w:kern w:val="0"/>
          <w:sz w:val="24"/>
          <w:szCs w:val="24"/>
        </w:rPr>
        <w:t xml:space="preserve">1、《政府采购促进中小企业发展暂行办法》的通知--财库[2011]181号 </w:t>
      </w:r>
    </w:p>
    <w:p>
      <w:pPr>
        <w:pStyle w:val="40"/>
        <w:spacing w:line="360" w:lineRule="auto"/>
        <w:ind w:firstLine="480" w:firstLineChars="200"/>
        <w:rPr>
          <w:rFonts w:asciiTheme="majorEastAsia" w:hAnsiTheme="majorEastAsia" w:eastAsiaTheme="majorEastAsia" w:cstheme="majorEastAsia"/>
          <w:color w:val="000000" w:themeColor="text1"/>
          <w:kern w:val="0"/>
          <w:sz w:val="24"/>
          <w:szCs w:val="24"/>
        </w:rPr>
      </w:pPr>
      <w:r>
        <w:rPr>
          <w:rFonts w:hint="eastAsia" w:asciiTheme="majorEastAsia" w:hAnsiTheme="majorEastAsia" w:eastAsiaTheme="majorEastAsia" w:cstheme="majorEastAsia"/>
          <w:color w:val="000000" w:themeColor="text1"/>
          <w:kern w:val="0"/>
          <w:sz w:val="24"/>
          <w:szCs w:val="24"/>
        </w:rPr>
        <w:t xml:space="preserve">2、财政部司法部关于政府采购支持监狱企业发展有关问题的通知--财库〔2014〕68号 </w:t>
      </w:r>
    </w:p>
    <w:p>
      <w:pPr>
        <w:pStyle w:val="40"/>
        <w:spacing w:line="360" w:lineRule="auto"/>
        <w:ind w:firstLine="480" w:firstLineChars="200"/>
        <w:rPr>
          <w:rFonts w:asciiTheme="majorEastAsia" w:hAnsiTheme="majorEastAsia" w:eastAsiaTheme="majorEastAsia" w:cstheme="majorEastAsia"/>
          <w:color w:val="000000" w:themeColor="text1"/>
          <w:kern w:val="0"/>
          <w:sz w:val="24"/>
          <w:szCs w:val="24"/>
        </w:rPr>
      </w:pPr>
      <w:r>
        <w:rPr>
          <w:rFonts w:hint="eastAsia" w:asciiTheme="majorEastAsia" w:hAnsiTheme="majorEastAsia" w:eastAsiaTheme="majorEastAsia" w:cstheme="majorEastAsia"/>
          <w:color w:val="000000" w:themeColor="text1"/>
          <w:kern w:val="0"/>
          <w:sz w:val="24"/>
          <w:szCs w:val="24"/>
        </w:rPr>
        <w:t xml:space="preserve">3、《国务院办公厅关于建立政府强制采购节能产品制度的通知》--国办发〔２００７〕５１号 </w:t>
      </w:r>
    </w:p>
    <w:p>
      <w:pPr>
        <w:pStyle w:val="40"/>
        <w:spacing w:line="360" w:lineRule="auto"/>
        <w:ind w:firstLine="480" w:firstLineChars="200"/>
        <w:rPr>
          <w:rFonts w:asciiTheme="majorEastAsia" w:hAnsiTheme="majorEastAsia" w:eastAsiaTheme="majorEastAsia" w:cstheme="majorEastAsia"/>
          <w:color w:val="000000" w:themeColor="text1"/>
          <w:kern w:val="0"/>
          <w:sz w:val="24"/>
          <w:szCs w:val="24"/>
        </w:rPr>
      </w:pPr>
      <w:r>
        <w:rPr>
          <w:rFonts w:hint="eastAsia" w:asciiTheme="majorEastAsia" w:hAnsiTheme="majorEastAsia" w:eastAsiaTheme="majorEastAsia" w:cstheme="majorEastAsia"/>
          <w:color w:val="000000" w:themeColor="text1"/>
          <w:kern w:val="0"/>
          <w:sz w:val="24"/>
          <w:szCs w:val="24"/>
        </w:rPr>
        <w:t xml:space="preserve">4、《节能产品政府采购实施意见》--（财库[2004]185号） </w:t>
      </w:r>
    </w:p>
    <w:p>
      <w:pPr>
        <w:pStyle w:val="40"/>
        <w:spacing w:line="360" w:lineRule="auto"/>
        <w:ind w:firstLine="480" w:firstLineChars="200"/>
        <w:rPr>
          <w:rFonts w:asciiTheme="majorEastAsia" w:hAnsiTheme="majorEastAsia" w:eastAsiaTheme="majorEastAsia" w:cstheme="majorEastAsia"/>
          <w:color w:val="000000" w:themeColor="text1"/>
          <w:kern w:val="0"/>
          <w:sz w:val="24"/>
          <w:szCs w:val="24"/>
        </w:rPr>
      </w:pPr>
      <w:r>
        <w:rPr>
          <w:rFonts w:hint="eastAsia" w:asciiTheme="majorEastAsia" w:hAnsiTheme="majorEastAsia" w:eastAsiaTheme="majorEastAsia" w:cstheme="majorEastAsia"/>
          <w:color w:val="000000" w:themeColor="text1"/>
          <w:kern w:val="0"/>
          <w:sz w:val="24"/>
          <w:szCs w:val="24"/>
        </w:rPr>
        <w:t xml:space="preserve">5、《环境标志产品政府采购实施的意见》--财库[2006]90号 </w:t>
      </w:r>
    </w:p>
    <w:p>
      <w:pPr>
        <w:pStyle w:val="40"/>
        <w:spacing w:line="360" w:lineRule="auto"/>
        <w:ind w:firstLine="480" w:firstLineChars="200"/>
        <w:rPr>
          <w:rFonts w:asciiTheme="majorEastAsia" w:hAnsiTheme="majorEastAsia" w:eastAsiaTheme="majorEastAsia" w:cstheme="majorEastAsia"/>
          <w:color w:val="000000" w:themeColor="text1"/>
          <w:kern w:val="0"/>
          <w:sz w:val="24"/>
          <w:szCs w:val="24"/>
        </w:rPr>
      </w:pPr>
      <w:r>
        <w:rPr>
          <w:rFonts w:hint="eastAsia" w:asciiTheme="majorEastAsia" w:hAnsiTheme="majorEastAsia" w:eastAsiaTheme="majorEastAsia" w:cstheme="majorEastAsia"/>
          <w:color w:val="000000" w:themeColor="text1"/>
          <w:kern w:val="0"/>
          <w:sz w:val="24"/>
          <w:szCs w:val="24"/>
        </w:rPr>
        <w:t xml:space="preserve">6、《财政部民政部中国残疾人联合会关于促进残疾人就业政府采购政策的通知》--（财库〔2017〕141号） </w:t>
      </w:r>
    </w:p>
    <w:p>
      <w:pPr>
        <w:pStyle w:val="40"/>
        <w:spacing w:line="360" w:lineRule="auto"/>
        <w:ind w:firstLine="480" w:firstLineChars="200"/>
        <w:rPr>
          <w:rFonts w:asciiTheme="majorEastAsia" w:hAnsiTheme="majorEastAsia" w:eastAsiaTheme="majorEastAsia" w:cstheme="majorEastAsia"/>
          <w:color w:val="000000" w:themeColor="text1"/>
          <w:kern w:val="0"/>
          <w:sz w:val="24"/>
          <w:szCs w:val="24"/>
        </w:rPr>
      </w:pPr>
    </w:p>
    <w:p>
      <w:pPr>
        <w:adjustRightInd w:val="0"/>
        <w:snapToGrid w:val="0"/>
        <w:spacing w:line="360" w:lineRule="auto"/>
        <w:ind w:firstLine="420" w:firstLineChars="175"/>
        <w:rPr>
          <w:rFonts w:asciiTheme="majorEastAsia" w:hAnsiTheme="majorEastAsia" w:eastAsiaTheme="majorEastAsia" w:cstheme="majorEastAsia"/>
          <w:color w:val="000000" w:themeColor="text1"/>
          <w:kern w:val="0"/>
          <w:sz w:val="24"/>
        </w:rPr>
      </w:pPr>
      <w:r>
        <w:rPr>
          <w:rFonts w:hint="eastAsia" w:asciiTheme="majorEastAsia" w:hAnsiTheme="majorEastAsia" w:eastAsiaTheme="majorEastAsia" w:cstheme="majorEastAsia"/>
          <w:color w:val="000000" w:themeColor="text1"/>
          <w:kern w:val="0"/>
          <w:sz w:val="24"/>
        </w:rPr>
        <w:t>注：请供应商按相应政策要求提供相关的证明材料，</w:t>
      </w:r>
      <w:r>
        <w:rPr>
          <w:rFonts w:hint="eastAsia" w:asciiTheme="majorEastAsia" w:hAnsiTheme="majorEastAsia" w:eastAsiaTheme="majorEastAsia" w:cstheme="majorEastAsia"/>
          <w:color w:val="000000" w:themeColor="text1"/>
          <w:sz w:val="24"/>
        </w:rPr>
        <w:t>未提供证明材料或提供的证明材料有瑕疵的，在评审时不享受政府采购优惠政策。经评审委员会查询供应商不属于中小型企业的，评审时不予以考虑。</w:t>
      </w:r>
    </w:p>
    <w:p>
      <w:pPr>
        <w:adjustRightInd w:val="0"/>
        <w:snapToGrid w:val="0"/>
        <w:spacing w:before="50" w:line="360" w:lineRule="auto"/>
        <w:ind w:firstLine="840" w:firstLineChars="350"/>
        <w:rPr>
          <w:rFonts w:asciiTheme="majorEastAsia" w:hAnsiTheme="majorEastAsia" w:eastAsiaTheme="majorEastAsia" w:cstheme="majorEastAsia"/>
          <w:color w:val="000000" w:themeColor="text1"/>
          <w:kern w:val="0"/>
          <w:sz w:val="24"/>
        </w:rPr>
      </w:pPr>
    </w:p>
    <w:p>
      <w:pPr>
        <w:adjustRightInd w:val="0"/>
        <w:snapToGrid w:val="0"/>
        <w:spacing w:before="50" w:line="360" w:lineRule="auto"/>
        <w:ind w:firstLine="840" w:firstLineChars="350"/>
        <w:rPr>
          <w:rFonts w:asciiTheme="majorEastAsia" w:hAnsiTheme="majorEastAsia" w:eastAsiaTheme="majorEastAsia" w:cstheme="majorEastAsia"/>
          <w:color w:val="000000" w:themeColor="text1"/>
          <w:kern w:val="0"/>
          <w:sz w:val="24"/>
        </w:rPr>
      </w:pPr>
    </w:p>
    <w:p>
      <w:pPr>
        <w:adjustRightInd w:val="0"/>
        <w:snapToGrid w:val="0"/>
        <w:spacing w:before="50" w:line="360" w:lineRule="auto"/>
        <w:ind w:firstLine="840" w:firstLineChars="350"/>
        <w:rPr>
          <w:rFonts w:asciiTheme="majorEastAsia" w:hAnsiTheme="majorEastAsia" w:eastAsiaTheme="majorEastAsia" w:cstheme="majorEastAsia"/>
          <w:color w:val="000000" w:themeColor="text1"/>
          <w:kern w:val="0"/>
          <w:sz w:val="24"/>
        </w:rPr>
      </w:pPr>
    </w:p>
    <w:p>
      <w:pPr>
        <w:adjustRightInd w:val="0"/>
        <w:snapToGrid w:val="0"/>
        <w:spacing w:before="50" w:line="360" w:lineRule="auto"/>
        <w:ind w:firstLine="840" w:firstLineChars="350"/>
        <w:rPr>
          <w:rFonts w:asciiTheme="majorEastAsia" w:hAnsiTheme="majorEastAsia" w:eastAsiaTheme="majorEastAsia" w:cstheme="majorEastAsia"/>
          <w:color w:val="000000" w:themeColor="text1"/>
          <w:kern w:val="0"/>
          <w:sz w:val="24"/>
        </w:rPr>
      </w:pPr>
    </w:p>
    <w:p>
      <w:pPr>
        <w:adjustRightInd w:val="0"/>
        <w:snapToGrid w:val="0"/>
        <w:spacing w:before="50" w:line="360" w:lineRule="auto"/>
        <w:ind w:firstLine="840" w:firstLineChars="350"/>
        <w:rPr>
          <w:rFonts w:asciiTheme="majorEastAsia" w:hAnsiTheme="majorEastAsia" w:eastAsiaTheme="majorEastAsia" w:cstheme="majorEastAsia"/>
          <w:color w:val="000000" w:themeColor="text1"/>
          <w:kern w:val="0"/>
          <w:sz w:val="24"/>
        </w:rPr>
      </w:pPr>
    </w:p>
    <w:p>
      <w:pPr>
        <w:adjustRightInd w:val="0"/>
        <w:snapToGrid w:val="0"/>
        <w:spacing w:before="50" w:line="360" w:lineRule="auto"/>
        <w:ind w:firstLine="840" w:firstLineChars="350"/>
        <w:rPr>
          <w:rFonts w:asciiTheme="majorEastAsia" w:hAnsiTheme="majorEastAsia" w:eastAsiaTheme="majorEastAsia" w:cstheme="majorEastAsia"/>
          <w:color w:val="000000" w:themeColor="text1"/>
          <w:kern w:val="0"/>
          <w:sz w:val="24"/>
        </w:rPr>
      </w:pPr>
    </w:p>
    <w:p>
      <w:pPr>
        <w:adjustRightInd w:val="0"/>
        <w:snapToGrid w:val="0"/>
        <w:spacing w:before="50" w:line="360" w:lineRule="auto"/>
        <w:ind w:firstLine="840" w:firstLineChars="350"/>
        <w:rPr>
          <w:rFonts w:asciiTheme="majorEastAsia" w:hAnsiTheme="majorEastAsia" w:eastAsiaTheme="majorEastAsia" w:cstheme="majorEastAsia"/>
          <w:color w:val="000000" w:themeColor="text1"/>
          <w:kern w:val="0"/>
          <w:sz w:val="24"/>
        </w:rPr>
      </w:pPr>
    </w:p>
    <w:p>
      <w:pPr>
        <w:adjustRightInd w:val="0"/>
        <w:snapToGrid w:val="0"/>
        <w:spacing w:before="50" w:line="360" w:lineRule="auto"/>
        <w:ind w:firstLine="840" w:firstLineChars="350"/>
        <w:rPr>
          <w:rFonts w:asciiTheme="majorEastAsia" w:hAnsiTheme="majorEastAsia" w:eastAsiaTheme="majorEastAsia" w:cstheme="majorEastAsia"/>
          <w:color w:val="000000" w:themeColor="text1"/>
          <w:kern w:val="0"/>
          <w:sz w:val="24"/>
        </w:rPr>
      </w:pPr>
    </w:p>
    <w:p>
      <w:pPr>
        <w:adjustRightInd w:val="0"/>
        <w:snapToGrid w:val="0"/>
        <w:spacing w:before="50" w:line="360" w:lineRule="auto"/>
        <w:ind w:firstLine="840" w:firstLineChars="350"/>
        <w:rPr>
          <w:rFonts w:asciiTheme="majorEastAsia" w:hAnsiTheme="majorEastAsia" w:eastAsiaTheme="majorEastAsia" w:cstheme="majorEastAsia"/>
          <w:color w:val="000000" w:themeColor="text1"/>
          <w:kern w:val="0"/>
          <w:sz w:val="24"/>
        </w:rPr>
      </w:pPr>
    </w:p>
    <w:p>
      <w:pPr>
        <w:adjustRightInd w:val="0"/>
        <w:snapToGrid w:val="0"/>
        <w:spacing w:before="50" w:line="360" w:lineRule="auto"/>
        <w:ind w:firstLine="840" w:firstLineChars="350"/>
        <w:rPr>
          <w:rFonts w:asciiTheme="majorEastAsia" w:hAnsiTheme="majorEastAsia" w:eastAsiaTheme="majorEastAsia" w:cstheme="majorEastAsia"/>
          <w:color w:val="000000" w:themeColor="text1"/>
          <w:kern w:val="0"/>
          <w:sz w:val="24"/>
        </w:rPr>
      </w:pPr>
    </w:p>
    <w:p>
      <w:pPr>
        <w:adjustRightInd w:val="0"/>
        <w:snapToGrid w:val="0"/>
        <w:spacing w:before="50" w:line="360" w:lineRule="auto"/>
        <w:ind w:firstLine="840" w:firstLineChars="350"/>
        <w:rPr>
          <w:rFonts w:asciiTheme="majorEastAsia" w:hAnsiTheme="majorEastAsia" w:eastAsiaTheme="majorEastAsia" w:cstheme="majorEastAsia"/>
          <w:color w:val="000000" w:themeColor="text1"/>
          <w:kern w:val="0"/>
          <w:sz w:val="24"/>
        </w:rPr>
      </w:pPr>
    </w:p>
    <w:p>
      <w:pPr>
        <w:spacing w:line="360" w:lineRule="auto"/>
        <w:ind w:firstLine="315" w:firstLineChars="98"/>
        <w:jc w:val="center"/>
        <w:rPr>
          <w:rFonts w:asciiTheme="majorEastAsia" w:hAnsiTheme="majorEastAsia" w:eastAsiaTheme="majorEastAsia" w:cstheme="majorEastAsia"/>
          <w:b/>
          <w:color w:val="000000" w:themeColor="text1"/>
          <w:sz w:val="32"/>
          <w:szCs w:val="44"/>
          <w:u w:val="single"/>
        </w:rPr>
      </w:pPr>
      <w:r>
        <w:rPr>
          <w:rFonts w:hint="eastAsia" w:asciiTheme="majorEastAsia" w:hAnsiTheme="majorEastAsia" w:eastAsiaTheme="majorEastAsia" w:cstheme="majorEastAsia"/>
          <w:b/>
          <w:color w:val="000000" w:themeColor="text1"/>
          <w:sz w:val="32"/>
          <w:szCs w:val="44"/>
          <w:u w:val="single"/>
        </w:rPr>
        <w:t>3.4、中小企业声明函（如是）</w:t>
      </w:r>
    </w:p>
    <w:p>
      <w:pPr>
        <w:adjustRightInd w:val="0"/>
        <w:snapToGrid w:val="0"/>
        <w:spacing w:before="50" w:line="360" w:lineRule="auto"/>
        <w:ind w:firstLine="840" w:firstLineChars="350"/>
        <w:rPr>
          <w:rFonts w:asciiTheme="majorEastAsia" w:hAnsiTheme="majorEastAsia" w:eastAsiaTheme="majorEastAsia" w:cstheme="majorEastAsia"/>
          <w:color w:val="000000" w:themeColor="text1"/>
          <w:kern w:val="0"/>
          <w:sz w:val="24"/>
        </w:rPr>
      </w:pPr>
    </w:p>
    <w:p>
      <w:pPr>
        <w:spacing w:line="360" w:lineRule="auto"/>
        <w:ind w:right="-60"/>
        <w:jc w:val="left"/>
        <w:rPr>
          <w:rFonts w:asciiTheme="majorEastAsia" w:hAnsiTheme="majorEastAsia" w:eastAsiaTheme="majorEastAsia" w:cstheme="majorEastAsia"/>
          <w:bCs/>
          <w:color w:val="000000" w:themeColor="text1"/>
          <w:sz w:val="24"/>
          <w:u w:val="single"/>
        </w:rPr>
      </w:pPr>
      <w:r>
        <w:rPr>
          <w:rFonts w:hint="eastAsia" w:asciiTheme="majorEastAsia" w:hAnsiTheme="majorEastAsia" w:eastAsiaTheme="majorEastAsia" w:cstheme="majorEastAsia"/>
          <w:bCs/>
          <w:color w:val="000000" w:themeColor="text1"/>
          <w:sz w:val="24"/>
        </w:rPr>
        <w:t>致：</w:t>
      </w:r>
    </w:p>
    <w:p>
      <w:p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本公司郑重声明，根据《政府采购促进中小企业发展暂行办法》（财库[2011]181号）的规定，本公司为______（请填写:中型、小型、微型）企业。即，本公司同时满足以下条件：</w:t>
      </w:r>
    </w:p>
    <w:p>
      <w:p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2.本公司参加______（采购人）的______项目采购活动提供本企业制造的货物，由本企业承担工程、提供服务，或者提供其他______（请填写：小型、微型）企业制造的货物。本条所称货物不包括使用大型企业注册商标的货物。</w:t>
      </w:r>
    </w:p>
    <w:p>
      <w:pPr>
        <w:spacing w:line="360" w:lineRule="auto"/>
        <w:ind w:right="-6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本公司对上述声明的真实性负责。如有虚假，将依法承担相应责任。</w:t>
      </w:r>
    </w:p>
    <w:p>
      <w:pPr>
        <w:spacing w:line="360" w:lineRule="auto"/>
        <w:ind w:right="-6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特此声明！</w:t>
      </w:r>
    </w:p>
    <w:p>
      <w:pPr>
        <w:spacing w:line="360" w:lineRule="auto"/>
        <w:ind w:right="-60"/>
        <w:jc w:val="left"/>
        <w:rPr>
          <w:rFonts w:asciiTheme="majorEastAsia" w:hAnsiTheme="majorEastAsia" w:eastAsiaTheme="majorEastAsia" w:cstheme="majorEastAsia"/>
          <w:bCs/>
          <w:color w:val="000000" w:themeColor="text1"/>
          <w:sz w:val="24"/>
        </w:rPr>
      </w:pPr>
    </w:p>
    <w:p>
      <w:p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声  明  人:(磋商供应商名称、公章)</w:t>
      </w:r>
    </w:p>
    <w:p>
      <w:p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法定代表人：      （签名或盖章）</w:t>
      </w:r>
    </w:p>
    <w:p>
      <w:p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日      期：</w:t>
      </w:r>
    </w:p>
    <w:p>
      <w:pPr>
        <w:spacing w:line="360" w:lineRule="auto"/>
        <w:ind w:right="-60"/>
        <w:jc w:val="left"/>
        <w:rPr>
          <w:rFonts w:asciiTheme="majorEastAsia" w:hAnsiTheme="majorEastAsia" w:eastAsiaTheme="majorEastAsia" w:cstheme="majorEastAsia"/>
          <w:bCs/>
          <w:color w:val="000000" w:themeColor="text1"/>
          <w:sz w:val="24"/>
        </w:rPr>
      </w:pPr>
    </w:p>
    <w:p>
      <w:p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说明：</w:t>
      </w:r>
    </w:p>
    <w:p>
      <w:pPr>
        <w:numPr>
          <w:ilvl w:val="0"/>
          <w:numId w:val="4"/>
        </w:num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pPr>
        <w:numPr>
          <w:ilvl w:val="0"/>
          <w:numId w:val="4"/>
        </w:num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经磋商小组查询供应商不属于中小型企业的，评审时不予以考虑。</w:t>
      </w:r>
    </w:p>
    <w:p>
      <w:pPr>
        <w:rPr>
          <w:rFonts w:asciiTheme="majorEastAsia" w:hAnsiTheme="majorEastAsia" w:eastAsiaTheme="majorEastAsia" w:cstheme="majorEastAsia"/>
          <w:b/>
          <w:color w:val="000000" w:themeColor="text1"/>
          <w:sz w:val="32"/>
          <w:szCs w:val="44"/>
          <w:u w:val="single"/>
        </w:rPr>
      </w:pPr>
    </w:p>
    <w:p>
      <w:pPr>
        <w:spacing w:line="480" w:lineRule="exact"/>
        <w:rPr>
          <w:rFonts w:asciiTheme="majorEastAsia" w:hAnsiTheme="majorEastAsia" w:eastAsiaTheme="majorEastAsia" w:cstheme="majorEastAsia"/>
          <w:b/>
          <w:bCs/>
          <w:color w:val="000000" w:themeColor="text1"/>
          <w:sz w:val="36"/>
          <w:szCs w:val="44"/>
        </w:rPr>
      </w:pPr>
    </w:p>
    <w:p>
      <w:pPr>
        <w:pStyle w:val="2"/>
        <w:rPr>
          <w:rFonts w:asciiTheme="majorEastAsia" w:hAnsiTheme="majorEastAsia" w:eastAsiaTheme="majorEastAsia" w:cstheme="majorEastAsia"/>
          <w:color w:val="000000" w:themeColor="text1"/>
        </w:rPr>
      </w:pPr>
    </w:p>
    <w:p>
      <w:pPr>
        <w:spacing w:line="480" w:lineRule="exact"/>
        <w:rPr>
          <w:rFonts w:asciiTheme="majorEastAsia" w:hAnsiTheme="majorEastAsia" w:eastAsiaTheme="majorEastAsia" w:cstheme="majorEastAsia"/>
          <w:b/>
          <w:bCs/>
          <w:color w:val="000000" w:themeColor="text1"/>
          <w:sz w:val="36"/>
          <w:szCs w:val="44"/>
        </w:rPr>
      </w:pPr>
    </w:p>
    <w:p>
      <w:pPr>
        <w:pStyle w:val="20"/>
        <w:ind w:firstLine="321"/>
        <w:jc w:val="center"/>
        <w:rPr>
          <w:rFonts w:asciiTheme="majorEastAsia" w:hAnsiTheme="majorEastAsia" w:eastAsiaTheme="majorEastAsia" w:cstheme="majorEastAsia"/>
          <w:b/>
          <w:color w:val="000000" w:themeColor="text1"/>
          <w:sz w:val="32"/>
          <w:szCs w:val="32"/>
        </w:rPr>
      </w:pPr>
      <w:r>
        <w:rPr>
          <w:rFonts w:hint="eastAsia" w:asciiTheme="majorEastAsia" w:hAnsiTheme="majorEastAsia" w:eastAsiaTheme="majorEastAsia" w:cstheme="majorEastAsia"/>
          <w:b/>
          <w:bCs/>
          <w:color w:val="000000" w:themeColor="text1"/>
          <w:sz w:val="32"/>
          <w:szCs w:val="32"/>
        </w:rPr>
        <w:t>3.5</w:t>
      </w:r>
      <w:r>
        <w:rPr>
          <w:rFonts w:hint="eastAsia" w:asciiTheme="majorEastAsia" w:hAnsiTheme="majorEastAsia" w:eastAsiaTheme="majorEastAsia" w:cstheme="majorEastAsia"/>
          <w:b/>
          <w:color w:val="000000" w:themeColor="text1"/>
          <w:sz w:val="32"/>
          <w:szCs w:val="32"/>
        </w:rPr>
        <w:t>磋商供应商声明</w:t>
      </w:r>
    </w:p>
    <w:p>
      <w:pPr>
        <w:pStyle w:val="20"/>
        <w:ind w:firstLine="240"/>
        <w:jc w:val="center"/>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近三年内在经营活动中无重大违法记录声明</w:t>
      </w:r>
    </w:p>
    <w:tbl>
      <w:tblPr>
        <w:tblStyle w:val="2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820"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ind w:firstLine="459"/>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致：延川县政府采购中心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8820" w:type="dxa"/>
            <w:gridSpan w:val="3"/>
            <w:tcBorders>
              <w:top w:val="single" w:color="auto" w:sz="4" w:space="0"/>
              <w:left w:val="single" w:color="auto" w:sz="4" w:space="0"/>
              <w:bottom w:val="single" w:color="auto" w:sz="4" w:space="0"/>
              <w:right w:val="single" w:color="auto" w:sz="4" w:space="0"/>
            </w:tcBorders>
            <w:noWrap/>
            <w:vAlign w:val="center"/>
          </w:tcPr>
          <w:p>
            <w:pPr>
              <w:ind w:firstLine="600" w:firstLineChars="25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本企业（公司）在参加本项目磋商活动之前3年内，经营活动中不存在《中华人民共和国政府采购法实施条例》第十九条所列指的重大违法记录（是指供应商因违法经营受到刑事处罚或者责令停产停业、吊销许可证或者执照、较大数额罚款等行政处罚），如有隐瞒实情，愿承担一切责任和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294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磋商供应商</w:t>
            </w:r>
          </w:p>
        </w:tc>
        <w:tc>
          <w:tcPr>
            <w:tcW w:w="294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法定代表人</w:t>
            </w:r>
          </w:p>
        </w:tc>
        <w:tc>
          <w:tcPr>
            <w:tcW w:w="294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294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（法人公章）</w:t>
            </w:r>
          </w:p>
        </w:tc>
        <w:tc>
          <w:tcPr>
            <w:tcW w:w="294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（签字或盖章）</w:t>
            </w:r>
          </w:p>
        </w:tc>
        <w:tc>
          <w:tcPr>
            <w:tcW w:w="294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年   月   日</w:t>
            </w:r>
          </w:p>
        </w:tc>
      </w:tr>
    </w:tbl>
    <w:p>
      <w:pPr>
        <w:spacing w:line="480" w:lineRule="exact"/>
        <w:jc w:val="center"/>
        <w:rPr>
          <w:rFonts w:asciiTheme="majorEastAsia" w:hAnsiTheme="majorEastAsia" w:eastAsiaTheme="majorEastAsia" w:cstheme="majorEastAsia"/>
          <w:b/>
          <w:bCs/>
          <w:color w:val="000000" w:themeColor="text1"/>
          <w:sz w:val="36"/>
          <w:szCs w:val="44"/>
        </w:rPr>
      </w:pPr>
    </w:p>
    <w:p>
      <w:pPr>
        <w:spacing w:line="480" w:lineRule="exact"/>
        <w:jc w:val="center"/>
        <w:rPr>
          <w:rFonts w:asciiTheme="majorEastAsia" w:hAnsiTheme="majorEastAsia" w:eastAsiaTheme="majorEastAsia" w:cstheme="majorEastAsia"/>
          <w:b/>
          <w:bCs/>
          <w:color w:val="000000" w:themeColor="text1"/>
          <w:sz w:val="36"/>
          <w:szCs w:val="44"/>
        </w:rPr>
      </w:pPr>
    </w:p>
    <w:p>
      <w:pPr>
        <w:spacing w:line="480" w:lineRule="exact"/>
        <w:jc w:val="center"/>
        <w:rPr>
          <w:rFonts w:asciiTheme="majorEastAsia" w:hAnsiTheme="majorEastAsia" w:eastAsiaTheme="majorEastAsia" w:cstheme="majorEastAsia"/>
          <w:b/>
          <w:bCs/>
          <w:color w:val="000000" w:themeColor="text1"/>
          <w:sz w:val="36"/>
          <w:szCs w:val="44"/>
        </w:rPr>
      </w:pPr>
    </w:p>
    <w:p>
      <w:pPr>
        <w:spacing w:line="480" w:lineRule="exact"/>
        <w:jc w:val="center"/>
        <w:rPr>
          <w:rFonts w:asciiTheme="majorEastAsia" w:hAnsiTheme="majorEastAsia" w:eastAsiaTheme="majorEastAsia" w:cstheme="majorEastAsia"/>
          <w:b/>
          <w:bCs/>
          <w:color w:val="000000" w:themeColor="text1"/>
          <w:sz w:val="36"/>
          <w:szCs w:val="44"/>
        </w:rPr>
      </w:pPr>
    </w:p>
    <w:p>
      <w:pPr>
        <w:spacing w:line="480" w:lineRule="exact"/>
        <w:jc w:val="center"/>
        <w:rPr>
          <w:rFonts w:asciiTheme="majorEastAsia" w:hAnsiTheme="majorEastAsia" w:eastAsiaTheme="majorEastAsia" w:cstheme="majorEastAsia"/>
          <w:b/>
          <w:bCs/>
          <w:color w:val="000000" w:themeColor="text1"/>
          <w:sz w:val="36"/>
          <w:szCs w:val="44"/>
        </w:rPr>
      </w:pPr>
    </w:p>
    <w:p>
      <w:pPr>
        <w:pStyle w:val="20"/>
        <w:ind w:firstLine="0" w:firstLineChars="0"/>
        <w:rPr>
          <w:rFonts w:asciiTheme="majorEastAsia" w:hAnsiTheme="majorEastAsia" w:eastAsiaTheme="majorEastAsia" w:cstheme="majorEastAsia"/>
          <w:b/>
          <w:bCs/>
          <w:color w:val="000000" w:themeColor="text1"/>
          <w:sz w:val="36"/>
          <w:szCs w:val="44"/>
        </w:rPr>
      </w:pPr>
    </w:p>
    <w:p>
      <w:pPr>
        <w:pStyle w:val="20"/>
        <w:ind w:firstLine="0" w:firstLineChars="0"/>
        <w:rPr>
          <w:rFonts w:asciiTheme="majorEastAsia" w:hAnsiTheme="majorEastAsia" w:eastAsiaTheme="majorEastAsia" w:cstheme="majorEastAsia"/>
          <w:b/>
          <w:bCs/>
          <w:color w:val="000000" w:themeColor="text1"/>
          <w:sz w:val="36"/>
          <w:szCs w:val="44"/>
        </w:rPr>
      </w:pPr>
    </w:p>
    <w:p>
      <w:pPr>
        <w:spacing w:line="480" w:lineRule="exact"/>
        <w:jc w:val="center"/>
        <w:rPr>
          <w:rFonts w:asciiTheme="majorEastAsia" w:hAnsiTheme="majorEastAsia" w:eastAsiaTheme="majorEastAsia" w:cstheme="majorEastAsia"/>
          <w:b/>
          <w:bCs/>
          <w:color w:val="000000" w:themeColor="text1"/>
          <w:sz w:val="36"/>
          <w:szCs w:val="44"/>
        </w:rPr>
      </w:pPr>
    </w:p>
    <w:p>
      <w:pPr>
        <w:spacing w:line="480" w:lineRule="exact"/>
        <w:jc w:val="center"/>
        <w:rPr>
          <w:rFonts w:asciiTheme="majorEastAsia" w:hAnsiTheme="majorEastAsia" w:eastAsiaTheme="majorEastAsia" w:cstheme="majorEastAsia"/>
          <w:b/>
          <w:bCs/>
          <w:color w:val="000000" w:themeColor="text1"/>
          <w:sz w:val="36"/>
          <w:szCs w:val="44"/>
        </w:rPr>
      </w:pPr>
      <w:bookmarkStart w:id="98" w:name="_Toc14825_WPSOffice_Level1"/>
      <w:bookmarkStart w:id="99" w:name="_Toc12509_WPSOffice_Level1"/>
      <w:bookmarkStart w:id="100" w:name="_Toc18419_WPSOffice_Level1"/>
      <w:r>
        <w:rPr>
          <w:rFonts w:hint="eastAsia" w:asciiTheme="majorEastAsia" w:hAnsiTheme="majorEastAsia" w:eastAsiaTheme="majorEastAsia" w:cstheme="majorEastAsia"/>
          <w:b/>
          <w:bCs/>
          <w:color w:val="000000" w:themeColor="text1"/>
          <w:sz w:val="36"/>
          <w:szCs w:val="44"/>
        </w:rPr>
        <w:t>第4部分  技术响应方案</w:t>
      </w:r>
      <w:bookmarkEnd w:id="98"/>
      <w:bookmarkEnd w:id="99"/>
      <w:bookmarkEnd w:id="100"/>
    </w:p>
    <w:p>
      <w:pPr>
        <w:tabs>
          <w:tab w:val="right" w:leader="dot" w:pos="9022"/>
        </w:tabs>
        <w:autoSpaceDE w:val="0"/>
        <w:autoSpaceDN w:val="0"/>
        <w:adjustRightInd w:val="0"/>
        <w:spacing w:line="460" w:lineRule="exact"/>
        <w:ind w:firstLine="560" w:firstLineChars="200"/>
        <w:jc w:val="left"/>
        <w:rPr>
          <w:rFonts w:asciiTheme="majorEastAsia" w:hAnsiTheme="majorEastAsia" w:eastAsiaTheme="majorEastAsia" w:cstheme="majorEastAsia"/>
          <w:bCs/>
          <w:caps/>
          <w:color w:val="000000" w:themeColor="text1"/>
          <w:sz w:val="28"/>
          <w:szCs w:val="28"/>
        </w:rPr>
      </w:pPr>
    </w:p>
    <w:p>
      <w:p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 xml:space="preserve"> 技术响应方案的主要内容（包含但不限于以下内容）</w:t>
      </w:r>
    </w:p>
    <w:p>
      <w:p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4.1、磋商供应商技术响应与指标说明（详见评审细则及标准》）：</w:t>
      </w:r>
    </w:p>
    <w:p>
      <w:p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A、项目实施方案；</w:t>
      </w:r>
    </w:p>
    <w:p>
      <w:p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B、售后服务方案及保障措施。</w:t>
      </w:r>
    </w:p>
    <w:p>
      <w:p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4.2、有必要说明的技术问题。</w:t>
      </w:r>
    </w:p>
    <w:p>
      <w:pPr>
        <w:spacing w:line="360" w:lineRule="auto"/>
        <w:ind w:right="-60" w:firstLine="480" w:firstLineChars="200"/>
        <w:jc w:val="left"/>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4.3、供应商技术承担能力说明</w:t>
      </w:r>
    </w:p>
    <w:p>
      <w:pPr>
        <w:ind w:firstLine="560" w:firstLineChars="200"/>
        <w:rPr>
          <w:rFonts w:asciiTheme="majorEastAsia" w:hAnsiTheme="majorEastAsia" w:eastAsiaTheme="majorEastAsia" w:cstheme="majorEastAsia"/>
          <w:bCs/>
          <w:caps/>
          <w:color w:val="000000" w:themeColor="text1"/>
          <w:sz w:val="28"/>
          <w:szCs w:val="28"/>
        </w:rPr>
      </w:pPr>
    </w:p>
    <w:p>
      <w:pPr>
        <w:ind w:firstLine="440" w:firstLineChars="200"/>
        <w:rPr>
          <w:rFonts w:asciiTheme="majorEastAsia" w:hAnsiTheme="majorEastAsia" w:eastAsiaTheme="majorEastAsia" w:cstheme="majorEastAsia"/>
          <w:color w:val="000000" w:themeColor="text1"/>
          <w:sz w:val="22"/>
          <w:szCs w:val="28"/>
        </w:rPr>
      </w:pPr>
      <w:r>
        <w:rPr>
          <w:rFonts w:hint="eastAsia" w:asciiTheme="majorEastAsia" w:hAnsiTheme="majorEastAsia" w:eastAsiaTheme="majorEastAsia" w:cstheme="majorEastAsia"/>
          <w:color w:val="000000" w:themeColor="text1"/>
          <w:sz w:val="22"/>
          <w:szCs w:val="28"/>
        </w:rPr>
        <w:br w:type="page"/>
      </w:r>
    </w:p>
    <w:p>
      <w:pPr>
        <w:spacing w:line="480" w:lineRule="exact"/>
        <w:jc w:val="center"/>
        <w:rPr>
          <w:rFonts w:asciiTheme="majorEastAsia" w:hAnsiTheme="majorEastAsia" w:eastAsiaTheme="majorEastAsia" w:cstheme="majorEastAsia"/>
          <w:b/>
          <w:bCs/>
          <w:color w:val="000000" w:themeColor="text1"/>
          <w:sz w:val="36"/>
          <w:szCs w:val="44"/>
        </w:rPr>
      </w:pPr>
    </w:p>
    <w:p>
      <w:pPr>
        <w:spacing w:line="480" w:lineRule="exact"/>
        <w:jc w:val="center"/>
        <w:rPr>
          <w:rFonts w:asciiTheme="majorEastAsia" w:hAnsiTheme="majorEastAsia" w:eastAsiaTheme="majorEastAsia" w:cstheme="majorEastAsia"/>
          <w:bCs/>
          <w:caps/>
          <w:color w:val="000000" w:themeColor="text1"/>
          <w:sz w:val="32"/>
          <w:szCs w:val="32"/>
        </w:rPr>
      </w:pPr>
      <w:bookmarkStart w:id="101" w:name="_Toc12423_WPSOffice_Level1"/>
      <w:bookmarkStart w:id="102" w:name="_Toc2053_WPSOffice_Level1"/>
      <w:bookmarkStart w:id="103" w:name="_Toc5170_WPSOffice_Level1"/>
      <w:r>
        <w:rPr>
          <w:rFonts w:hint="eastAsia" w:asciiTheme="majorEastAsia" w:hAnsiTheme="majorEastAsia" w:eastAsiaTheme="majorEastAsia" w:cstheme="majorEastAsia"/>
          <w:b/>
          <w:bCs/>
          <w:color w:val="000000" w:themeColor="text1"/>
          <w:sz w:val="36"/>
          <w:szCs w:val="44"/>
        </w:rPr>
        <w:t>第5部分  商务响应方案</w:t>
      </w:r>
      <w:bookmarkEnd w:id="101"/>
      <w:bookmarkEnd w:id="102"/>
      <w:bookmarkEnd w:id="103"/>
    </w:p>
    <w:p>
      <w:pPr>
        <w:tabs>
          <w:tab w:val="right" w:leader="dot" w:pos="9022"/>
        </w:tabs>
        <w:autoSpaceDE w:val="0"/>
        <w:autoSpaceDN w:val="0"/>
        <w:adjustRightInd w:val="0"/>
        <w:spacing w:line="520" w:lineRule="exact"/>
        <w:ind w:firstLine="537" w:firstLineChars="224"/>
        <w:rPr>
          <w:rFonts w:asciiTheme="majorEastAsia" w:hAnsiTheme="majorEastAsia" w:eastAsiaTheme="majorEastAsia" w:cstheme="majorEastAsia"/>
          <w:bCs/>
          <w:caps/>
          <w:color w:val="000000" w:themeColor="text1"/>
          <w:sz w:val="24"/>
        </w:rPr>
      </w:pPr>
    </w:p>
    <w:p>
      <w:pPr>
        <w:tabs>
          <w:tab w:val="right" w:leader="dot" w:pos="9022"/>
        </w:tabs>
        <w:autoSpaceDE w:val="0"/>
        <w:autoSpaceDN w:val="0"/>
        <w:adjustRightInd w:val="0"/>
        <w:spacing w:line="520" w:lineRule="exact"/>
        <w:ind w:firstLine="537" w:firstLineChars="224"/>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5.1商务响应方案的主要内容（包含但不限于以下内容）</w:t>
      </w:r>
    </w:p>
    <w:p>
      <w:pPr>
        <w:tabs>
          <w:tab w:val="right" w:leader="dot" w:pos="9022"/>
        </w:tabs>
        <w:autoSpaceDE w:val="0"/>
        <w:autoSpaceDN w:val="0"/>
        <w:adjustRightInd w:val="0"/>
        <w:spacing w:line="520" w:lineRule="exact"/>
        <w:ind w:firstLine="537" w:firstLineChars="224"/>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a、供应商商务投标响应与合同条款说明（详见第四章《采购内容及具体要求》及第五章《合同格式及条款》）。</w:t>
      </w:r>
    </w:p>
    <w:p>
      <w:pPr>
        <w:tabs>
          <w:tab w:val="right" w:leader="dot" w:pos="9022"/>
        </w:tabs>
        <w:autoSpaceDE w:val="0"/>
        <w:autoSpaceDN w:val="0"/>
        <w:adjustRightInd w:val="0"/>
        <w:spacing w:line="520" w:lineRule="exact"/>
        <w:ind w:firstLine="537" w:firstLineChars="224"/>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b、有必要说明的商务事宜。</w:t>
      </w:r>
    </w:p>
    <w:p>
      <w:pPr>
        <w:tabs>
          <w:tab w:val="right" w:leader="dot" w:pos="9022"/>
        </w:tabs>
        <w:autoSpaceDE w:val="0"/>
        <w:autoSpaceDN w:val="0"/>
        <w:adjustRightInd w:val="0"/>
        <w:spacing w:line="520" w:lineRule="exact"/>
        <w:ind w:firstLine="537" w:firstLineChars="224"/>
        <w:rPr>
          <w:rFonts w:asciiTheme="majorEastAsia" w:hAnsiTheme="majorEastAsia" w:eastAsiaTheme="majorEastAsia" w:cstheme="majorEastAsia"/>
          <w:bCs/>
          <w:caps/>
          <w:color w:val="000000" w:themeColor="text1"/>
          <w:sz w:val="24"/>
        </w:rPr>
      </w:pPr>
      <w:r>
        <w:rPr>
          <w:rFonts w:hint="eastAsia" w:asciiTheme="majorEastAsia" w:hAnsiTheme="majorEastAsia" w:eastAsiaTheme="majorEastAsia" w:cstheme="majorEastAsia"/>
          <w:bCs/>
          <w:caps/>
          <w:color w:val="000000" w:themeColor="text1"/>
          <w:sz w:val="24"/>
        </w:rPr>
        <w:t>5.2供应商商务承担能力说明；</w:t>
      </w:r>
    </w:p>
    <w:p>
      <w:pPr>
        <w:tabs>
          <w:tab w:val="right" w:leader="dot" w:pos="9022"/>
        </w:tabs>
        <w:autoSpaceDE w:val="0"/>
        <w:autoSpaceDN w:val="0"/>
        <w:adjustRightInd w:val="0"/>
        <w:spacing w:line="520" w:lineRule="exact"/>
        <w:ind w:firstLine="540" w:firstLineChars="224"/>
        <w:rPr>
          <w:rFonts w:asciiTheme="majorEastAsia" w:hAnsiTheme="majorEastAsia" w:eastAsiaTheme="majorEastAsia" w:cstheme="majorEastAsia"/>
          <w:b/>
          <w:bCs/>
          <w:caps/>
          <w:color w:val="000000" w:themeColor="text1"/>
          <w:sz w:val="24"/>
        </w:rPr>
      </w:pPr>
      <w:r>
        <w:rPr>
          <w:rFonts w:hint="eastAsia" w:asciiTheme="majorEastAsia" w:hAnsiTheme="majorEastAsia" w:eastAsiaTheme="majorEastAsia" w:cstheme="majorEastAsia"/>
          <w:b/>
          <w:bCs/>
          <w:caps/>
          <w:color w:val="000000" w:themeColor="text1"/>
          <w:sz w:val="24"/>
        </w:rPr>
        <w:br w:type="page"/>
      </w:r>
    </w:p>
    <w:p>
      <w:pPr>
        <w:ind w:right="-60"/>
        <w:jc w:val="center"/>
        <w:rPr>
          <w:rFonts w:asciiTheme="majorEastAsia" w:hAnsiTheme="majorEastAsia" w:eastAsiaTheme="majorEastAsia" w:cstheme="majorEastAsia"/>
          <w:b/>
          <w:bCs/>
          <w:color w:val="000000" w:themeColor="text1"/>
          <w:sz w:val="36"/>
          <w:szCs w:val="44"/>
        </w:rPr>
      </w:pPr>
      <w:r>
        <w:rPr>
          <w:rFonts w:hint="eastAsia" w:asciiTheme="majorEastAsia" w:hAnsiTheme="majorEastAsia" w:eastAsiaTheme="majorEastAsia" w:cstheme="majorEastAsia"/>
          <w:b/>
          <w:bCs/>
          <w:color w:val="000000" w:themeColor="text1"/>
          <w:sz w:val="32"/>
          <w:szCs w:val="32"/>
        </w:rPr>
        <w:t>同类或类似项目业绩情况表</w:t>
      </w:r>
    </w:p>
    <w:tbl>
      <w:tblPr>
        <w:tblStyle w:val="22"/>
        <w:tblpPr w:leftFromText="180" w:rightFromText="180" w:vertAnchor="text" w:horzAnchor="page" w:tblpX="1807" w:tblpY="408"/>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745"/>
        <w:gridCol w:w="2754"/>
        <w:gridCol w:w="179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vAlign w:val="center"/>
          </w:tcPr>
          <w:p>
            <w:pPr>
              <w:spacing w:line="400" w:lineRule="exact"/>
              <w:jc w:val="center"/>
              <w:rPr>
                <w:rFonts w:asciiTheme="minorEastAsia" w:hAnsiTheme="minorEastAsia" w:eastAsiaTheme="minorEastAsia" w:cstheme="minorEastAsia"/>
                <w:b/>
                <w:bCs/>
                <w:color w:val="000000" w:themeColor="text1"/>
                <w:sz w:val="24"/>
              </w:rPr>
            </w:pPr>
            <w:r>
              <w:rPr>
                <w:rFonts w:hint="eastAsia" w:asciiTheme="minorEastAsia" w:hAnsiTheme="minorEastAsia" w:eastAsiaTheme="minorEastAsia" w:cstheme="minorEastAsia"/>
                <w:b/>
                <w:bCs/>
                <w:color w:val="000000" w:themeColor="text1"/>
                <w:sz w:val="24"/>
              </w:rPr>
              <w:t>序号</w:t>
            </w:r>
          </w:p>
        </w:tc>
        <w:tc>
          <w:tcPr>
            <w:tcW w:w="1745" w:type="dxa"/>
            <w:noWrap/>
            <w:vAlign w:val="center"/>
          </w:tcPr>
          <w:p>
            <w:pPr>
              <w:spacing w:line="400" w:lineRule="exact"/>
              <w:jc w:val="center"/>
              <w:rPr>
                <w:rFonts w:asciiTheme="minorEastAsia" w:hAnsiTheme="minorEastAsia" w:eastAsiaTheme="minorEastAsia" w:cstheme="minorEastAsia"/>
                <w:b/>
                <w:bCs/>
                <w:color w:val="000000" w:themeColor="text1"/>
                <w:sz w:val="24"/>
              </w:rPr>
            </w:pPr>
            <w:r>
              <w:rPr>
                <w:rFonts w:hint="eastAsia" w:asciiTheme="minorEastAsia" w:hAnsiTheme="minorEastAsia" w:eastAsiaTheme="minorEastAsia" w:cstheme="minorEastAsia"/>
                <w:b/>
                <w:bCs/>
                <w:color w:val="000000" w:themeColor="text1"/>
                <w:sz w:val="24"/>
              </w:rPr>
              <w:t>业主</w:t>
            </w:r>
          </w:p>
        </w:tc>
        <w:tc>
          <w:tcPr>
            <w:tcW w:w="2754" w:type="dxa"/>
            <w:noWrap/>
            <w:vAlign w:val="center"/>
          </w:tcPr>
          <w:p>
            <w:pPr>
              <w:spacing w:line="400" w:lineRule="exact"/>
              <w:jc w:val="center"/>
              <w:rPr>
                <w:rFonts w:asciiTheme="minorEastAsia" w:hAnsiTheme="minorEastAsia" w:eastAsiaTheme="minorEastAsia" w:cstheme="minorEastAsia"/>
                <w:b/>
                <w:bCs/>
                <w:color w:val="000000" w:themeColor="text1"/>
                <w:sz w:val="24"/>
              </w:rPr>
            </w:pPr>
            <w:r>
              <w:rPr>
                <w:rFonts w:hint="eastAsia" w:asciiTheme="minorEastAsia" w:hAnsiTheme="minorEastAsia" w:eastAsiaTheme="minorEastAsia" w:cstheme="minorEastAsia"/>
                <w:b/>
                <w:bCs/>
                <w:color w:val="000000" w:themeColor="text1"/>
                <w:sz w:val="24"/>
              </w:rPr>
              <w:t>项目名称及合同金额</w:t>
            </w:r>
          </w:p>
          <w:p>
            <w:pPr>
              <w:spacing w:line="400" w:lineRule="exact"/>
              <w:jc w:val="center"/>
              <w:rPr>
                <w:rFonts w:asciiTheme="minorEastAsia" w:hAnsiTheme="minorEastAsia" w:eastAsiaTheme="minorEastAsia" w:cstheme="minorEastAsia"/>
                <w:b/>
                <w:bCs/>
                <w:color w:val="000000" w:themeColor="text1"/>
                <w:sz w:val="24"/>
              </w:rPr>
            </w:pPr>
            <w:r>
              <w:rPr>
                <w:rFonts w:hint="eastAsia" w:asciiTheme="minorEastAsia" w:hAnsiTheme="minorEastAsia" w:eastAsiaTheme="minorEastAsia" w:cstheme="minorEastAsia"/>
                <w:b/>
                <w:bCs/>
                <w:color w:val="000000" w:themeColor="text1"/>
                <w:sz w:val="24"/>
              </w:rPr>
              <w:t>（万元）</w:t>
            </w:r>
          </w:p>
        </w:tc>
        <w:tc>
          <w:tcPr>
            <w:tcW w:w="1798" w:type="dxa"/>
            <w:noWrap/>
            <w:vAlign w:val="center"/>
          </w:tcPr>
          <w:p>
            <w:pPr>
              <w:spacing w:line="400" w:lineRule="exact"/>
              <w:jc w:val="center"/>
              <w:rPr>
                <w:rFonts w:asciiTheme="minorEastAsia" w:hAnsiTheme="minorEastAsia" w:eastAsiaTheme="minorEastAsia" w:cstheme="minorEastAsia"/>
                <w:b/>
                <w:bCs/>
                <w:color w:val="000000" w:themeColor="text1"/>
                <w:sz w:val="24"/>
              </w:rPr>
            </w:pPr>
            <w:r>
              <w:rPr>
                <w:rFonts w:hint="eastAsia" w:asciiTheme="minorEastAsia" w:hAnsiTheme="minorEastAsia" w:eastAsiaTheme="minorEastAsia" w:cstheme="minorEastAsia"/>
                <w:b/>
                <w:bCs/>
                <w:color w:val="000000" w:themeColor="text1"/>
                <w:sz w:val="24"/>
              </w:rPr>
              <w:t>年度</w:t>
            </w:r>
          </w:p>
        </w:tc>
        <w:tc>
          <w:tcPr>
            <w:tcW w:w="1847" w:type="dxa"/>
            <w:noWrap/>
            <w:vAlign w:val="center"/>
          </w:tcPr>
          <w:p>
            <w:pPr>
              <w:spacing w:line="400" w:lineRule="exact"/>
              <w:jc w:val="center"/>
              <w:rPr>
                <w:rFonts w:asciiTheme="minorEastAsia" w:hAnsiTheme="minorEastAsia" w:eastAsiaTheme="minorEastAsia" w:cstheme="minorEastAsia"/>
                <w:b/>
                <w:bCs/>
                <w:color w:val="000000" w:themeColor="text1"/>
                <w:sz w:val="24"/>
              </w:rPr>
            </w:pPr>
            <w:r>
              <w:rPr>
                <w:rFonts w:hint="eastAsia" w:asciiTheme="minorEastAsia" w:hAnsiTheme="minorEastAsia" w:eastAsiaTheme="minorEastAsia" w:cstheme="minorEastAsia"/>
                <w:b/>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45"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2754"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798"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c>
          <w:tcPr>
            <w:tcW w:w="1847" w:type="dxa"/>
            <w:noWrap/>
          </w:tcPr>
          <w:p>
            <w:pPr>
              <w:autoSpaceDE w:val="0"/>
              <w:autoSpaceDN w:val="0"/>
              <w:adjustRightInd w:val="0"/>
              <w:spacing w:line="580" w:lineRule="exact"/>
              <w:jc w:val="center"/>
              <w:rPr>
                <w:rFonts w:asciiTheme="minorEastAsia" w:hAnsiTheme="minorEastAsia" w:eastAsiaTheme="minorEastAsia" w:cstheme="minorEastAsia"/>
                <w:b/>
                <w:bCs/>
                <w:color w:val="000000" w:themeColor="text1"/>
                <w:sz w:val="24"/>
              </w:rPr>
            </w:pPr>
          </w:p>
        </w:tc>
      </w:tr>
    </w:tbl>
    <w:p>
      <w:pPr>
        <w:ind w:right="-60"/>
        <w:jc w:val="center"/>
        <w:rPr>
          <w:rFonts w:asciiTheme="minorEastAsia" w:hAnsiTheme="minorEastAsia" w:eastAsiaTheme="minorEastAsia" w:cstheme="minorEastAsia"/>
          <w:b/>
          <w:bCs/>
          <w:color w:val="000000" w:themeColor="text1"/>
          <w:sz w:val="24"/>
        </w:rPr>
      </w:pPr>
    </w:p>
    <w:p>
      <w:pPr>
        <w:pStyle w:val="2"/>
        <w:rPr>
          <w:rFonts w:asciiTheme="majorEastAsia" w:hAnsiTheme="majorEastAsia" w:eastAsiaTheme="majorEastAsia" w:cstheme="majorEastAsia"/>
          <w:b/>
          <w:bCs/>
          <w:color w:val="000000" w:themeColor="text1"/>
          <w:sz w:val="36"/>
          <w:szCs w:val="44"/>
        </w:rPr>
      </w:pPr>
    </w:p>
    <w:p>
      <w:pPr>
        <w:pStyle w:val="2"/>
        <w:rPr>
          <w:rFonts w:asciiTheme="majorEastAsia" w:hAnsiTheme="majorEastAsia" w:eastAsiaTheme="majorEastAsia" w:cstheme="majorEastAsia"/>
          <w:b/>
          <w:bCs/>
          <w:color w:val="000000" w:themeColor="text1"/>
          <w:sz w:val="36"/>
          <w:szCs w:val="44"/>
        </w:rPr>
      </w:pPr>
    </w:p>
    <w:p>
      <w:pPr>
        <w:ind w:right="-60" w:firstLine="723" w:firstLineChars="200"/>
        <w:rPr>
          <w:rFonts w:asciiTheme="majorEastAsia" w:hAnsiTheme="majorEastAsia" w:eastAsiaTheme="majorEastAsia" w:cstheme="majorEastAsia"/>
          <w:b/>
          <w:bCs/>
          <w:color w:val="000000" w:themeColor="text1"/>
          <w:sz w:val="36"/>
          <w:szCs w:val="44"/>
        </w:rPr>
      </w:pPr>
    </w:p>
    <w:p>
      <w:pPr>
        <w:pStyle w:val="20"/>
        <w:ind w:firstLine="361"/>
        <w:rPr>
          <w:rFonts w:asciiTheme="majorEastAsia" w:hAnsiTheme="majorEastAsia" w:eastAsiaTheme="majorEastAsia" w:cstheme="majorEastAsia"/>
          <w:b/>
          <w:bCs/>
          <w:color w:val="000000" w:themeColor="text1"/>
          <w:sz w:val="36"/>
          <w:szCs w:val="44"/>
        </w:rPr>
      </w:pPr>
    </w:p>
    <w:p>
      <w:pPr>
        <w:pStyle w:val="20"/>
        <w:ind w:firstLine="361"/>
        <w:rPr>
          <w:rFonts w:asciiTheme="majorEastAsia" w:hAnsiTheme="majorEastAsia" w:eastAsiaTheme="majorEastAsia" w:cstheme="majorEastAsia"/>
          <w:b/>
          <w:bCs/>
          <w:color w:val="000000" w:themeColor="text1"/>
          <w:sz w:val="36"/>
          <w:szCs w:val="44"/>
        </w:rPr>
      </w:pPr>
    </w:p>
    <w:p>
      <w:pPr>
        <w:spacing w:line="480" w:lineRule="exact"/>
        <w:jc w:val="center"/>
        <w:rPr>
          <w:rFonts w:asciiTheme="majorEastAsia" w:hAnsiTheme="majorEastAsia" w:eastAsiaTheme="majorEastAsia" w:cstheme="majorEastAsia"/>
          <w:b/>
          <w:bCs/>
          <w:color w:val="000000" w:themeColor="text1"/>
          <w:sz w:val="36"/>
          <w:szCs w:val="44"/>
        </w:rPr>
      </w:pPr>
      <w:bookmarkStart w:id="104" w:name="_Toc30604_WPSOffice_Level1"/>
      <w:bookmarkStart w:id="105" w:name="_Toc30653_WPSOffice_Level1"/>
      <w:bookmarkStart w:id="106" w:name="_Toc9916_WPSOffice_Level1"/>
      <w:r>
        <w:rPr>
          <w:rFonts w:hint="eastAsia" w:asciiTheme="majorEastAsia" w:hAnsiTheme="majorEastAsia" w:eastAsiaTheme="majorEastAsia" w:cstheme="majorEastAsia"/>
          <w:b/>
          <w:bCs/>
          <w:color w:val="000000" w:themeColor="text1"/>
          <w:sz w:val="36"/>
          <w:szCs w:val="44"/>
        </w:rPr>
        <w:t>第6部分  磋商供应商承诺</w:t>
      </w:r>
      <w:bookmarkEnd w:id="104"/>
      <w:bookmarkEnd w:id="105"/>
      <w:bookmarkEnd w:id="106"/>
    </w:p>
    <w:p>
      <w:pPr>
        <w:spacing w:line="440" w:lineRule="exact"/>
        <w:rPr>
          <w:rFonts w:asciiTheme="majorEastAsia" w:hAnsiTheme="majorEastAsia" w:eastAsiaTheme="majorEastAsia" w:cstheme="majorEastAsia"/>
          <w:b/>
          <w:bCs/>
          <w:color w:val="000000" w:themeColor="text1"/>
        </w:rPr>
      </w:pPr>
    </w:p>
    <w:p>
      <w:pPr>
        <w:spacing w:line="520" w:lineRule="exact"/>
        <w:ind w:firstLine="160" w:firstLineChars="50"/>
        <w:jc w:val="center"/>
        <w:rPr>
          <w:rFonts w:asciiTheme="majorEastAsia" w:hAnsiTheme="majorEastAsia" w:eastAsiaTheme="majorEastAsia" w:cstheme="majorEastAsia"/>
          <w:color w:val="000000" w:themeColor="text1"/>
          <w:sz w:val="32"/>
          <w:szCs w:val="32"/>
          <w:u w:val="single"/>
        </w:rPr>
      </w:pPr>
    </w:p>
    <w:p>
      <w:pPr>
        <w:spacing w:line="520" w:lineRule="exact"/>
        <w:ind w:firstLine="181" w:firstLineChars="50"/>
        <w:jc w:val="center"/>
        <w:rPr>
          <w:rFonts w:asciiTheme="majorEastAsia" w:hAnsiTheme="majorEastAsia" w:eastAsiaTheme="majorEastAsia" w:cstheme="majorEastAsia"/>
          <w:b/>
          <w:bCs/>
          <w:color w:val="000000" w:themeColor="text1"/>
          <w:sz w:val="36"/>
          <w:szCs w:val="36"/>
          <w:u w:val="single"/>
        </w:rPr>
      </w:pPr>
      <w:r>
        <w:rPr>
          <w:rFonts w:hint="eastAsia" w:asciiTheme="majorEastAsia" w:hAnsiTheme="majorEastAsia" w:eastAsiaTheme="majorEastAsia" w:cstheme="majorEastAsia"/>
          <w:b/>
          <w:bCs/>
          <w:color w:val="000000" w:themeColor="text1"/>
          <w:sz w:val="36"/>
          <w:szCs w:val="36"/>
          <w:u w:val="single"/>
        </w:rPr>
        <w:t>承诺书Ⅰ</w:t>
      </w:r>
    </w:p>
    <w:tbl>
      <w:tblPr>
        <w:tblStyle w:val="22"/>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820" w:type="dxa"/>
            <w:gridSpan w:val="3"/>
            <w:noWrap/>
            <w:vAlign w:val="center"/>
          </w:tcPr>
          <w:p>
            <w:pPr>
              <w:spacing w:line="400" w:lineRule="exact"/>
              <w:ind w:firstLine="459"/>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 xml:space="preserve">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8820" w:type="dxa"/>
            <w:gridSpan w:val="3"/>
            <w:noWrap/>
            <w:vAlign w:val="center"/>
          </w:tcPr>
          <w:p>
            <w:pPr>
              <w:spacing w:line="36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作为参加贵单位组织的招标采购项目的磋商供应商，本公司承诺：在参加本项目招标之前不存在被依法禁止经营行为、财产被接管或冻结的情况，如有隐瞒实情，愿承担一切责任及后果。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40"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磋商供应商</w:t>
            </w:r>
          </w:p>
        </w:tc>
        <w:tc>
          <w:tcPr>
            <w:tcW w:w="2940"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法定代表人</w:t>
            </w:r>
          </w:p>
        </w:tc>
        <w:tc>
          <w:tcPr>
            <w:tcW w:w="2940"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2940"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（法人公章）</w:t>
            </w:r>
          </w:p>
        </w:tc>
        <w:tc>
          <w:tcPr>
            <w:tcW w:w="2940"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（签字或盖章）</w:t>
            </w:r>
          </w:p>
        </w:tc>
        <w:tc>
          <w:tcPr>
            <w:tcW w:w="2940" w:type="dxa"/>
            <w:noWrap/>
            <w:vAlign w:val="center"/>
          </w:tcPr>
          <w:p>
            <w:pPr>
              <w:spacing w:line="400" w:lineRule="exact"/>
              <w:ind w:firstLine="735" w:firstLineChars="35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年   月   日</w:t>
            </w:r>
          </w:p>
        </w:tc>
      </w:tr>
    </w:tbl>
    <w:p>
      <w:pPr>
        <w:spacing w:line="400" w:lineRule="exact"/>
        <w:rPr>
          <w:rFonts w:asciiTheme="majorEastAsia" w:hAnsiTheme="majorEastAsia" w:eastAsiaTheme="majorEastAsia" w:cstheme="majorEastAsia"/>
          <w:color w:val="000000" w:themeColor="text1"/>
        </w:rPr>
      </w:pPr>
    </w:p>
    <w:p>
      <w:pPr>
        <w:spacing w:line="400" w:lineRule="exact"/>
        <w:ind w:firstLine="160" w:firstLineChars="50"/>
        <w:jc w:val="center"/>
        <w:rPr>
          <w:rFonts w:asciiTheme="majorEastAsia" w:hAnsiTheme="majorEastAsia" w:eastAsiaTheme="majorEastAsia" w:cstheme="majorEastAsia"/>
          <w:color w:val="000000" w:themeColor="text1"/>
          <w:sz w:val="32"/>
          <w:szCs w:val="32"/>
          <w:u w:val="single"/>
        </w:rPr>
      </w:pPr>
    </w:p>
    <w:p>
      <w:pPr>
        <w:spacing w:line="400" w:lineRule="exact"/>
        <w:ind w:firstLine="181" w:firstLineChars="50"/>
        <w:jc w:val="center"/>
        <w:rPr>
          <w:rFonts w:asciiTheme="majorEastAsia" w:hAnsiTheme="majorEastAsia" w:eastAsiaTheme="majorEastAsia" w:cstheme="majorEastAsia"/>
          <w:b/>
          <w:bCs/>
          <w:color w:val="000000" w:themeColor="text1"/>
          <w:sz w:val="36"/>
          <w:szCs w:val="36"/>
          <w:u w:val="single"/>
        </w:rPr>
      </w:pPr>
      <w:r>
        <w:rPr>
          <w:rFonts w:hint="eastAsia" w:asciiTheme="majorEastAsia" w:hAnsiTheme="majorEastAsia" w:eastAsiaTheme="majorEastAsia" w:cstheme="majorEastAsia"/>
          <w:b/>
          <w:bCs/>
          <w:color w:val="000000" w:themeColor="text1"/>
          <w:sz w:val="36"/>
          <w:szCs w:val="36"/>
          <w:u w:val="single"/>
        </w:rPr>
        <w:t>承诺书Ⅱ</w:t>
      </w:r>
    </w:p>
    <w:tbl>
      <w:tblPr>
        <w:tblStyle w:val="22"/>
        <w:tblW w:w="882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2942"/>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826" w:type="dxa"/>
            <w:gridSpan w:val="3"/>
            <w:noWrap/>
            <w:vAlign w:val="center"/>
          </w:tcPr>
          <w:p>
            <w:pPr>
              <w:spacing w:line="400" w:lineRule="exact"/>
              <w:ind w:firstLine="459"/>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 xml:space="preserve">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8826" w:type="dxa"/>
            <w:gridSpan w:val="3"/>
            <w:noWrap/>
            <w:vAlign w:val="center"/>
          </w:tcPr>
          <w:p>
            <w:pPr>
              <w:spacing w:line="360" w:lineRule="exact"/>
              <w:ind w:firstLine="420" w:firstLineChars="200"/>
              <w:rPr>
                <w:rFonts w:asciiTheme="majorEastAsia" w:hAnsiTheme="majorEastAsia" w:eastAsiaTheme="majorEastAsia" w:cstheme="majorEastAsia"/>
                <w:color w:val="000000" w:themeColor="text1"/>
                <w:u w:val="single"/>
              </w:rPr>
            </w:pPr>
            <w:r>
              <w:rPr>
                <w:rFonts w:hint="eastAsia" w:asciiTheme="majorEastAsia" w:hAnsiTheme="majorEastAsia" w:eastAsiaTheme="majorEastAsia" w:cstheme="majorEastAsia"/>
                <w:color w:val="000000" w:themeColor="text1"/>
              </w:rPr>
              <w:t>作为参加贵单位组织的招标采购项目的磋商供应商，本公司郑重申告并承诺：近三年受到有关行政主管部门的行政处理、不良行为记录为次（没有填0），如有隐瞒实情，愿承担一切责任及后果。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942"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磋商供应商</w:t>
            </w:r>
          </w:p>
        </w:tc>
        <w:tc>
          <w:tcPr>
            <w:tcW w:w="2942"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法定代表人</w:t>
            </w:r>
          </w:p>
        </w:tc>
        <w:tc>
          <w:tcPr>
            <w:tcW w:w="2942"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2942"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（法人公章）</w:t>
            </w:r>
          </w:p>
        </w:tc>
        <w:tc>
          <w:tcPr>
            <w:tcW w:w="2942"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（签字或盖章）</w:t>
            </w:r>
          </w:p>
        </w:tc>
        <w:tc>
          <w:tcPr>
            <w:tcW w:w="2942" w:type="dxa"/>
            <w:noWrap/>
            <w:vAlign w:val="center"/>
          </w:tcPr>
          <w:p>
            <w:pPr>
              <w:spacing w:line="400" w:lineRule="exact"/>
              <w:ind w:firstLine="735" w:firstLineChars="35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年   月   日</w:t>
            </w:r>
          </w:p>
        </w:tc>
      </w:tr>
    </w:tbl>
    <w:p>
      <w:pPr>
        <w:spacing w:line="480" w:lineRule="exact"/>
        <w:ind w:firstLine="420" w:firstLineChars="200"/>
        <w:rPr>
          <w:rFonts w:asciiTheme="majorEastAsia" w:hAnsiTheme="majorEastAsia" w:eastAsiaTheme="majorEastAsia" w:cstheme="majorEastAsia"/>
          <w:bCs/>
          <w:color w:val="000000" w:themeColor="text1"/>
        </w:rPr>
      </w:pPr>
    </w:p>
    <w:p>
      <w:pPr>
        <w:spacing w:line="480" w:lineRule="exact"/>
        <w:ind w:firstLine="420" w:firstLineChars="200"/>
        <w:rPr>
          <w:rFonts w:asciiTheme="majorEastAsia" w:hAnsiTheme="majorEastAsia" w:eastAsiaTheme="majorEastAsia" w:cstheme="majorEastAsia"/>
          <w:bCs/>
          <w:color w:val="000000" w:themeColor="text1"/>
        </w:rPr>
      </w:pPr>
    </w:p>
    <w:p>
      <w:pPr>
        <w:spacing w:line="400" w:lineRule="exact"/>
        <w:ind w:firstLine="180" w:firstLineChars="50"/>
        <w:jc w:val="center"/>
        <w:rPr>
          <w:rFonts w:asciiTheme="majorEastAsia" w:hAnsiTheme="majorEastAsia" w:eastAsiaTheme="majorEastAsia" w:cstheme="majorEastAsia"/>
          <w:color w:val="000000" w:themeColor="text1"/>
          <w:sz w:val="36"/>
          <w:szCs w:val="36"/>
          <w:u w:val="single"/>
        </w:rPr>
      </w:pPr>
    </w:p>
    <w:p>
      <w:pPr>
        <w:spacing w:line="400" w:lineRule="exact"/>
        <w:ind w:firstLine="180" w:firstLineChars="50"/>
        <w:jc w:val="center"/>
        <w:rPr>
          <w:rFonts w:asciiTheme="majorEastAsia" w:hAnsiTheme="majorEastAsia" w:eastAsiaTheme="majorEastAsia" w:cstheme="majorEastAsia"/>
          <w:color w:val="000000" w:themeColor="text1"/>
          <w:sz w:val="36"/>
          <w:szCs w:val="36"/>
          <w:u w:val="single"/>
        </w:rPr>
      </w:pPr>
      <w:r>
        <w:rPr>
          <w:rFonts w:hint="eastAsia" w:asciiTheme="majorEastAsia" w:hAnsiTheme="majorEastAsia" w:eastAsiaTheme="majorEastAsia" w:cstheme="majorEastAsia"/>
          <w:color w:val="000000" w:themeColor="text1"/>
          <w:sz w:val="36"/>
          <w:szCs w:val="36"/>
          <w:u w:val="single"/>
        </w:rPr>
        <w:t>承诺书Ⅲ</w:t>
      </w:r>
    </w:p>
    <w:tbl>
      <w:tblPr>
        <w:tblStyle w:val="22"/>
        <w:tblW w:w="882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2942"/>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826" w:type="dxa"/>
            <w:gridSpan w:val="3"/>
            <w:noWrap/>
            <w:vAlign w:val="center"/>
          </w:tcPr>
          <w:p>
            <w:pPr>
              <w:spacing w:line="400" w:lineRule="exact"/>
              <w:ind w:firstLine="459"/>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 xml:space="preserve">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826" w:type="dxa"/>
            <w:gridSpan w:val="3"/>
            <w:noWrap/>
            <w:vAlign w:val="center"/>
          </w:tcPr>
          <w:p>
            <w:pPr>
              <w:spacing w:line="36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作为参加贵单位组织的招标采购项目的磋商供应商，本公司郑重申告：近三年提供的检测产品质量问题的不法行为记录为次（没有填0），如有隐瞒实情，愿承担一切责任及后果。</w:t>
            </w:r>
          </w:p>
          <w:p>
            <w:pPr>
              <w:spacing w:line="360" w:lineRule="exact"/>
              <w:ind w:firstLine="420" w:firstLineChars="200"/>
              <w:rPr>
                <w:rFonts w:asciiTheme="majorEastAsia" w:hAnsiTheme="majorEastAsia" w:eastAsiaTheme="majorEastAsia" w:cstheme="majorEastAsia"/>
                <w:color w:val="000000" w:themeColor="text1"/>
                <w:u w:val="single"/>
              </w:rPr>
            </w:pPr>
            <w:r>
              <w:rPr>
                <w:rFonts w:hint="eastAsia" w:asciiTheme="majorEastAsia" w:hAnsiTheme="majorEastAsia" w:eastAsiaTheme="majorEastAsia" w:cstheme="majorEastAsia"/>
                <w:color w:val="000000" w:themeColor="text1"/>
              </w:rPr>
              <w:t>本公司承诺：本次投标标的物为正品行货。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942"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磋商供应商</w:t>
            </w:r>
          </w:p>
        </w:tc>
        <w:tc>
          <w:tcPr>
            <w:tcW w:w="2942"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法定代表人</w:t>
            </w:r>
          </w:p>
        </w:tc>
        <w:tc>
          <w:tcPr>
            <w:tcW w:w="2942"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2942"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（法人公章）</w:t>
            </w:r>
          </w:p>
        </w:tc>
        <w:tc>
          <w:tcPr>
            <w:tcW w:w="2942" w:type="dxa"/>
            <w:noWrap/>
            <w:vAlign w:val="center"/>
          </w:tcPr>
          <w:p>
            <w:pPr>
              <w:spacing w:line="400" w:lineRule="exact"/>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（签字或盖章）</w:t>
            </w:r>
          </w:p>
        </w:tc>
        <w:tc>
          <w:tcPr>
            <w:tcW w:w="2942" w:type="dxa"/>
            <w:noWrap/>
            <w:vAlign w:val="center"/>
          </w:tcPr>
          <w:p>
            <w:pPr>
              <w:spacing w:line="400" w:lineRule="exact"/>
              <w:ind w:firstLine="735" w:firstLineChars="35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年   月   日</w:t>
            </w:r>
          </w:p>
        </w:tc>
      </w:tr>
    </w:tbl>
    <w:p>
      <w:pPr>
        <w:spacing w:line="480" w:lineRule="exact"/>
        <w:ind w:firstLine="420" w:firstLineChars="200"/>
        <w:rPr>
          <w:rFonts w:asciiTheme="majorEastAsia" w:hAnsiTheme="majorEastAsia" w:eastAsiaTheme="majorEastAsia" w:cstheme="majorEastAsia"/>
          <w:bCs/>
          <w:color w:val="000000" w:themeColor="text1"/>
        </w:rPr>
      </w:pPr>
    </w:p>
    <w:p>
      <w:pPr>
        <w:spacing w:line="480" w:lineRule="exact"/>
        <w:ind w:firstLine="420" w:firstLineChars="200"/>
        <w:rPr>
          <w:rFonts w:asciiTheme="majorEastAsia" w:hAnsiTheme="majorEastAsia" w:eastAsiaTheme="majorEastAsia" w:cstheme="majorEastAsia"/>
          <w:bCs/>
          <w:color w:val="000000" w:themeColor="text1"/>
        </w:rPr>
      </w:pPr>
    </w:p>
    <w:p>
      <w:pPr>
        <w:spacing w:line="480" w:lineRule="exact"/>
        <w:ind w:firstLine="420" w:firstLineChars="200"/>
        <w:rPr>
          <w:rFonts w:asciiTheme="majorEastAsia" w:hAnsiTheme="majorEastAsia" w:eastAsiaTheme="majorEastAsia" w:cstheme="majorEastAsia"/>
          <w:bCs/>
          <w:color w:val="000000" w:themeColor="text1"/>
        </w:rPr>
      </w:pPr>
    </w:p>
    <w:p>
      <w:pPr>
        <w:spacing w:line="480" w:lineRule="exact"/>
        <w:ind w:firstLine="420" w:firstLineChars="200"/>
        <w:rPr>
          <w:rFonts w:asciiTheme="majorEastAsia" w:hAnsiTheme="majorEastAsia" w:eastAsiaTheme="majorEastAsia" w:cstheme="majorEastAsia"/>
          <w:bCs/>
          <w:color w:val="000000" w:themeColor="text1"/>
        </w:rPr>
      </w:pPr>
    </w:p>
    <w:p>
      <w:pPr>
        <w:spacing w:line="480" w:lineRule="exact"/>
        <w:ind w:firstLine="420" w:firstLineChars="200"/>
        <w:rPr>
          <w:rFonts w:asciiTheme="majorEastAsia" w:hAnsiTheme="majorEastAsia" w:eastAsiaTheme="majorEastAsia" w:cstheme="majorEastAsia"/>
          <w:bCs/>
          <w:color w:val="000000" w:themeColor="text1"/>
        </w:rPr>
      </w:pPr>
    </w:p>
    <w:p>
      <w:pPr>
        <w:spacing w:line="480" w:lineRule="exact"/>
        <w:ind w:firstLine="420" w:firstLineChars="200"/>
        <w:rPr>
          <w:rFonts w:asciiTheme="majorEastAsia" w:hAnsiTheme="majorEastAsia" w:eastAsiaTheme="majorEastAsia" w:cstheme="majorEastAsia"/>
          <w:bCs/>
          <w:color w:val="000000" w:themeColor="text1"/>
        </w:rPr>
      </w:pPr>
    </w:p>
    <w:p>
      <w:pPr>
        <w:spacing w:line="480" w:lineRule="exact"/>
        <w:ind w:firstLine="420" w:firstLineChars="200"/>
        <w:rPr>
          <w:rFonts w:asciiTheme="majorEastAsia" w:hAnsiTheme="majorEastAsia" w:eastAsiaTheme="majorEastAsia" w:cstheme="majorEastAsia"/>
          <w:bCs/>
          <w:color w:val="000000" w:themeColor="text1"/>
        </w:rPr>
      </w:pPr>
    </w:p>
    <w:p>
      <w:pPr>
        <w:spacing w:line="480" w:lineRule="exact"/>
        <w:ind w:firstLine="420" w:firstLineChars="200"/>
        <w:rPr>
          <w:rFonts w:asciiTheme="majorEastAsia" w:hAnsiTheme="majorEastAsia" w:eastAsiaTheme="majorEastAsia" w:cstheme="majorEastAsia"/>
          <w:bCs/>
          <w:color w:val="000000" w:themeColor="text1"/>
        </w:rPr>
      </w:pPr>
    </w:p>
    <w:p>
      <w:pPr>
        <w:spacing w:line="480" w:lineRule="exact"/>
        <w:ind w:firstLine="420" w:firstLineChars="200"/>
        <w:rPr>
          <w:rFonts w:asciiTheme="majorEastAsia" w:hAnsiTheme="majorEastAsia" w:eastAsiaTheme="majorEastAsia" w:cstheme="majorEastAsia"/>
          <w:bCs/>
          <w:color w:val="000000" w:themeColor="text1"/>
        </w:rPr>
      </w:pPr>
    </w:p>
    <w:p>
      <w:pPr>
        <w:spacing w:line="480" w:lineRule="exact"/>
        <w:ind w:firstLine="420" w:firstLineChars="200"/>
        <w:rPr>
          <w:rFonts w:asciiTheme="majorEastAsia" w:hAnsiTheme="majorEastAsia" w:eastAsiaTheme="majorEastAsia" w:cstheme="majorEastAsia"/>
          <w:bCs/>
          <w:color w:val="000000" w:themeColor="text1"/>
        </w:rPr>
      </w:pPr>
    </w:p>
    <w:p>
      <w:pPr>
        <w:spacing w:line="480" w:lineRule="exact"/>
        <w:ind w:firstLine="420" w:firstLineChars="200"/>
        <w:rPr>
          <w:rFonts w:asciiTheme="majorEastAsia" w:hAnsiTheme="majorEastAsia" w:eastAsiaTheme="majorEastAsia" w:cstheme="majorEastAsia"/>
          <w:bCs/>
          <w:color w:val="000000" w:themeColor="text1"/>
        </w:rPr>
      </w:pPr>
    </w:p>
    <w:p>
      <w:pPr>
        <w:spacing w:line="480" w:lineRule="exact"/>
        <w:ind w:firstLine="420" w:firstLineChars="200"/>
        <w:rPr>
          <w:rFonts w:asciiTheme="majorEastAsia" w:hAnsiTheme="majorEastAsia" w:eastAsiaTheme="majorEastAsia" w:cstheme="majorEastAsia"/>
          <w:bCs/>
          <w:color w:val="000000" w:themeColor="text1"/>
        </w:rPr>
      </w:pPr>
    </w:p>
    <w:p>
      <w:pPr>
        <w:spacing w:line="480" w:lineRule="exact"/>
        <w:ind w:firstLine="420" w:firstLineChars="200"/>
        <w:rPr>
          <w:rFonts w:asciiTheme="majorEastAsia" w:hAnsiTheme="majorEastAsia" w:eastAsiaTheme="majorEastAsia" w:cstheme="majorEastAsia"/>
          <w:bCs/>
          <w:color w:val="000000" w:themeColor="text1"/>
        </w:rPr>
      </w:pPr>
    </w:p>
    <w:p>
      <w:pPr>
        <w:spacing w:line="400" w:lineRule="exact"/>
        <w:ind w:firstLine="180" w:firstLineChars="50"/>
        <w:jc w:val="center"/>
        <w:rPr>
          <w:rFonts w:asciiTheme="majorEastAsia" w:hAnsiTheme="majorEastAsia" w:eastAsiaTheme="majorEastAsia" w:cstheme="majorEastAsia"/>
          <w:color w:val="000000" w:themeColor="text1"/>
          <w:sz w:val="36"/>
          <w:szCs w:val="36"/>
          <w:u w:val="single"/>
        </w:rPr>
      </w:pPr>
    </w:p>
    <w:p>
      <w:pPr>
        <w:spacing w:line="400" w:lineRule="exact"/>
        <w:ind w:firstLine="180" w:firstLineChars="50"/>
        <w:jc w:val="center"/>
        <w:rPr>
          <w:rFonts w:asciiTheme="majorEastAsia" w:hAnsiTheme="majorEastAsia" w:eastAsiaTheme="majorEastAsia" w:cstheme="majorEastAsia"/>
          <w:color w:val="000000" w:themeColor="text1"/>
          <w:sz w:val="36"/>
          <w:szCs w:val="36"/>
          <w:u w:val="single"/>
        </w:rPr>
      </w:pPr>
    </w:p>
    <w:p>
      <w:pPr>
        <w:spacing w:line="400" w:lineRule="exact"/>
        <w:ind w:firstLine="180" w:firstLineChars="50"/>
        <w:jc w:val="center"/>
        <w:rPr>
          <w:rFonts w:asciiTheme="majorEastAsia" w:hAnsiTheme="majorEastAsia" w:eastAsiaTheme="majorEastAsia" w:cstheme="majorEastAsia"/>
          <w:color w:val="000000" w:themeColor="text1"/>
          <w:sz w:val="36"/>
          <w:szCs w:val="36"/>
          <w:u w:val="single"/>
        </w:rPr>
      </w:pPr>
    </w:p>
    <w:p>
      <w:pPr>
        <w:spacing w:line="400" w:lineRule="exact"/>
        <w:ind w:firstLine="180" w:firstLineChars="50"/>
        <w:jc w:val="center"/>
        <w:rPr>
          <w:rFonts w:asciiTheme="majorEastAsia" w:hAnsiTheme="majorEastAsia" w:eastAsiaTheme="majorEastAsia" w:cstheme="majorEastAsia"/>
          <w:color w:val="000000" w:themeColor="text1"/>
          <w:sz w:val="36"/>
          <w:szCs w:val="36"/>
          <w:u w:val="single"/>
        </w:rPr>
      </w:pPr>
      <w:r>
        <w:rPr>
          <w:rFonts w:hint="eastAsia" w:asciiTheme="majorEastAsia" w:hAnsiTheme="majorEastAsia" w:eastAsiaTheme="majorEastAsia" w:cstheme="majorEastAsia"/>
          <w:color w:val="000000" w:themeColor="text1"/>
          <w:sz w:val="36"/>
          <w:szCs w:val="36"/>
          <w:u w:val="single"/>
        </w:rPr>
        <w:t>承诺书Ⅳ</w:t>
      </w:r>
    </w:p>
    <w:p>
      <w:pPr>
        <w:widowControl/>
        <w:spacing w:line="480" w:lineRule="exact"/>
        <w:jc w:val="center"/>
        <w:rPr>
          <w:rFonts w:asciiTheme="majorEastAsia" w:hAnsiTheme="majorEastAsia" w:eastAsiaTheme="majorEastAsia" w:cstheme="majorEastAsia"/>
          <w:bCs/>
          <w:color w:val="000000" w:themeColor="text1"/>
          <w:sz w:val="36"/>
          <w:szCs w:val="36"/>
        </w:rPr>
      </w:pPr>
    </w:p>
    <w:p>
      <w:pPr>
        <w:widowControl/>
        <w:spacing w:line="480" w:lineRule="exact"/>
        <w:jc w:val="center"/>
        <w:rPr>
          <w:rFonts w:asciiTheme="majorEastAsia" w:hAnsiTheme="majorEastAsia" w:eastAsiaTheme="majorEastAsia" w:cstheme="majorEastAsia"/>
          <w:bCs/>
          <w:color w:val="000000" w:themeColor="text1"/>
          <w:sz w:val="36"/>
          <w:szCs w:val="36"/>
        </w:rPr>
      </w:pPr>
      <w:r>
        <w:rPr>
          <w:rFonts w:hint="eastAsia" w:asciiTheme="majorEastAsia" w:hAnsiTheme="majorEastAsia" w:eastAsiaTheme="majorEastAsia" w:cstheme="majorEastAsia"/>
          <w:bCs/>
          <w:color w:val="000000" w:themeColor="text1"/>
          <w:sz w:val="36"/>
          <w:szCs w:val="36"/>
        </w:rPr>
        <w:t>陕西省政府采购磋商供应商</w:t>
      </w:r>
    </w:p>
    <w:p>
      <w:pPr>
        <w:widowControl/>
        <w:spacing w:line="480" w:lineRule="exact"/>
        <w:jc w:val="center"/>
        <w:rPr>
          <w:rFonts w:asciiTheme="majorEastAsia" w:hAnsiTheme="majorEastAsia" w:eastAsiaTheme="majorEastAsia" w:cstheme="majorEastAsia"/>
          <w:bCs/>
          <w:color w:val="000000" w:themeColor="text1"/>
          <w:sz w:val="36"/>
          <w:szCs w:val="36"/>
        </w:rPr>
      </w:pPr>
      <w:r>
        <w:rPr>
          <w:rFonts w:hint="eastAsia" w:asciiTheme="majorEastAsia" w:hAnsiTheme="majorEastAsia" w:eastAsiaTheme="majorEastAsia" w:cstheme="majorEastAsia"/>
          <w:bCs/>
          <w:color w:val="000000" w:themeColor="text1"/>
          <w:sz w:val="36"/>
          <w:szCs w:val="36"/>
        </w:rPr>
        <w:t>拒绝政府采购领域商业贿赂承诺书</w:t>
      </w:r>
    </w:p>
    <w:p>
      <w:pPr>
        <w:widowControl/>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为响应党中央、国务院关于治理政府采购领域商业贿赂行为的号召，我公司在此庄严承诺：</w:t>
      </w:r>
    </w:p>
    <w:p>
      <w:pPr>
        <w:widowControl/>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1、在参与政府采购活动中遵纪守法、诚信经营、公平竞标。</w:t>
      </w:r>
    </w:p>
    <w:p>
      <w:pPr>
        <w:widowControl/>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2、不向政府采购人、采购代理机构和政府采购评审专家进行任何形式的商业贿赂以谋取交易机会。</w:t>
      </w:r>
    </w:p>
    <w:p>
      <w:pPr>
        <w:widowControl/>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3、不向政府采购代理机构和采购人提供虚假资格文件或采用虚假应标方式参与政府采购市场竞争并谋取中标、成交。</w:t>
      </w:r>
    </w:p>
    <w:p>
      <w:pPr>
        <w:widowControl/>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4、不采取“围标、陪标”等商业欺诈手段获得政府采购定单。</w:t>
      </w:r>
    </w:p>
    <w:p>
      <w:pPr>
        <w:widowControl/>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5、不采取不正当手段诋毁、排挤其他磋商供应商。</w:t>
      </w:r>
    </w:p>
    <w:p>
      <w:pPr>
        <w:widowControl/>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6、不在提供商品和服务时“偷梁换柱、以次充好”损害采购人的合法权益。</w:t>
      </w:r>
    </w:p>
    <w:p>
      <w:pPr>
        <w:widowControl/>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7、不与采购人、采购代理机构政府采购评审专家或其它磋商供应商恶意串通，进行质疑和投诉，维护政府采购市场秩序。</w:t>
      </w:r>
    </w:p>
    <w:p>
      <w:pPr>
        <w:widowControl/>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8、尊重和接受政府采购监督管理部门的监督和政府采购代理机构招标采购要求，承担因违约行为给采购人造成的损失。</w:t>
      </w:r>
    </w:p>
    <w:p>
      <w:pPr>
        <w:widowControl/>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9、不发生其他有悖于政府采购公开、公平、公正和诚信原则的行为。</w:t>
      </w:r>
    </w:p>
    <w:p>
      <w:pPr>
        <w:widowControl/>
        <w:spacing w:line="480" w:lineRule="exact"/>
        <w:ind w:firstLine="420" w:firstLineChars="200"/>
        <w:rPr>
          <w:rFonts w:asciiTheme="majorEastAsia" w:hAnsiTheme="majorEastAsia" w:eastAsiaTheme="majorEastAsia" w:cstheme="majorEastAsia"/>
          <w:color w:val="000000" w:themeColor="text1"/>
        </w:rPr>
      </w:pPr>
    </w:p>
    <w:p>
      <w:pPr>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承诺磋商供应商：（盖章）</w:t>
      </w:r>
    </w:p>
    <w:p>
      <w:pPr>
        <w:spacing w:line="480" w:lineRule="exact"/>
        <w:ind w:firstLine="315" w:firstLineChars="15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 xml:space="preserve"> 全权代表：（签字）</w:t>
      </w:r>
    </w:p>
    <w:p>
      <w:pPr>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地  址：                        邮  编：</w:t>
      </w:r>
    </w:p>
    <w:p>
      <w:pPr>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 xml:space="preserve">电  话：                        </w:t>
      </w:r>
    </w:p>
    <w:p>
      <w:pPr>
        <w:spacing w:line="480" w:lineRule="exact"/>
        <w:ind w:firstLine="420" w:firstLineChars="200"/>
        <w:rPr>
          <w:rFonts w:asciiTheme="majorEastAsia" w:hAnsiTheme="majorEastAsia" w:eastAsiaTheme="majorEastAsia" w:cstheme="majorEastAsia"/>
          <w:color w:val="000000" w:themeColor="text1"/>
        </w:rPr>
      </w:pPr>
    </w:p>
    <w:p>
      <w:pPr>
        <w:spacing w:line="480" w:lineRule="exact"/>
        <w:ind w:firstLine="420" w:firstLineChars="200"/>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年  月  日</w:t>
      </w:r>
    </w:p>
    <w:p>
      <w:pPr>
        <w:spacing w:line="480" w:lineRule="exact"/>
        <w:jc w:val="center"/>
        <w:rPr>
          <w:rFonts w:asciiTheme="majorEastAsia" w:hAnsiTheme="majorEastAsia" w:eastAsiaTheme="majorEastAsia" w:cstheme="majorEastAsia"/>
          <w:b/>
          <w:bCs/>
          <w:color w:val="000000" w:themeColor="text1"/>
          <w:sz w:val="36"/>
          <w:szCs w:val="44"/>
        </w:rPr>
      </w:pPr>
    </w:p>
    <w:p>
      <w:pPr>
        <w:spacing w:line="480" w:lineRule="exact"/>
        <w:jc w:val="center"/>
        <w:rPr>
          <w:rFonts w:asciiTheme="majorEastAsia" w:hAnsiTheme="majorEastAsia" w:eastAsiaTheme="majorEastAsia" w:cstheme="majorEastAsia"/>
          <w:b/>
          <w:bCs/>
          <w:color w:val="000000" w:themeColor="text1"/>
          <w:sz w:val="36"/>
          <w:szCs w:val="44"/>
        </w:rPr>
      </w:pPr>
    </w:p>
    <w:p>
      <w:pPr>
        <w:pStyle w:val="2"/>
      </w:pPr>
    </w:p>
    <w:p>
      <w:pPr>
        <w:spacing w:line="480" w:lineRule="exact"/>
        <w:jc w:val="center"/>
        <w:rPr>
          <w:rFonts w:asciiTheme="majorEastAsia" w:hAnsiTheme="majorEastAsia" w:eastAsiaTheme="majorEastAsia" w:cstheme="majorEastAsia"/>
          <w:b/>
          <w:bCs/>
          <w:color w:val="000000" w:themeColor="text1"/>
          <w:sz w:val="36"/>
          <w:szCs w:val="44"/>
        </w:rPr>
      </w:pPr>
      <w:bookmarkStart w:id="107" w:name="_Toc27441_WPSOffice_Level1"/>
      <w:bookmarkStart w:id="108" w:name="_Toc28724_WPSOffice_Level1"/>
      <w:bookmarkStart w:id="109" w:name="_Toc32340_WPSOffice_Level1"/>
      <w:bookmarkStart w:id="110" w:name="_Toc4536_WPSOffice_Level1"/>
      <w:r>
        <w:rPr>
          <w:rFonts w:hint="eastAsia" w:ascii="宋体" w:hAnsi="宋体" w:cs="宋体"/>
          <w:color w:val="000000" w:themeColor="text1"/>
          <w:szCs w:val="40"/>
        </w:rPr>
        <w:t xml:space="preserve"> </w:t>
      </w:r>
      <w:bookmarkEnd w:id="107"/>
      <w:bookmarkEnd w:id="108"/>
      <w:bookmarkEnd w:id="109"/>
      <w:bookmarkEnd w:id="110"/>
      <w:bookmarkStart w:id="111" w:name="_Toc280_WPSOffice_Level1"/>
      <w:bookmarkStart w:id="112" w:name="_Toc4008_WPSOffice_Level1"/>
      <w:bookmarkStart w:id="113" w:name="_Toc8832_WPSOffice_Level1"/>
      <w:r>
        <w:rPr>
          <w:rFonts w:hint="eastAsia" w:asciiTheme="majorEastAsia" w:hAnsiTheme="majorEastAsia" w:eastAsiaTheme="majorEastAsia" w:cstheme="majorEastAsia"/>
          <w:b/>
          <w:bCs/>
          <w:color w:val="000000" w:themeColor="text1"/>
          <w:sz w:val="36"/>
          <w:szCs w:val="44"/>
        </w:rPr>
        <w:t>第7部分  资格证明文件</w:t>
      </w:r>
      <w:bookmarkEnd w:id="111"/>
      <w:bookmarkEnd w:id="112"/>
      <w:bookmarkEnd w:id="113"/>
    </w:p>
    <w:p>
      <w:pPr>
        <w:pStyle w:val="2"/>
        <w:ind w:firstLine="482" w:firstLineChars="200"/>
        <w:rPr>
          <w:rFonts w:asciiTheme="majorEastAsia" w:hAnsiTheme="majorEastAsia" w:eastAsiaTheme="majorEastAsia" w:cstheme="majorEastAsia"/>
          <w:b/>
          <w:color w:val="000000" w:themeColor="text1"/>
          <w:sz w:val="24"/>
        </w:rPr>
      </w:pPr>
    </w:p>
    <w:p>
      <w:pPr>
        <w:pStyle w:val="2"/>
        <w:spacing w:line="360" w:lineRule="auto"/>
        <w:ind w:firstLine="480" w:firstLineChars="200"/>
        <w:rPr>
          <w:rFonts w:asciiTheme="majorEastAsia" w:hAnsiTheme="majorEastAsia" w:eastAsiaTheme="majorEastAsia" w:cstheme="majorEastAsia"/>
          <w:bCs/>
          <w:color w:val="000000" w:themeColor="text1"/>
          <w:sz w:val="24"/>
          <w:szCs w:val="32"/>
        </w:rPr>
      </w:pPr>
      <w:r>
        <w:rPr>
          <w:rFonts w:hint="eastAsia" w:asciiTheme="majorEastAsia" w:hAnsiTheme="majorEastAsia" w:eastAsiaTheme="majorEastAsia" w:cstheme="majorEastAsia"/>
          <w:bCs/>
          <w:color w:val="000000" w:themeColor="text1"/>
          <w:sz w:val="24"/>
        </w:rPr>
        <w:t>8.1、磋商供应商资格证明文件(内容包含但不限于供应商须知前附表第8条的内容，响应文件正副本内均附加盖企业鲜章的材料复印件或扫描件)</w:t>
      </w:r>
    </w:p>
    <w:p>
      <w:pPr>
        <w:spacing w:line="480" w:lineRule="exact"/>
        <w:ind w:firstLine="480" w:firstLineChars="200"/>
        <w:rPr>
          <w:rFonts w:asciiTheme="majorEastAsia" w:hAnsiTheme="majorEastAsia" w:eastAsiaTheme="majorEastAsia" w:cstheme="majorEastAsia"/>
          <w:bCs/>
          <w:color w:val="000000" w:themeColor="text1"/>
          <w:sz w:val="24"/>
        </w:rPr>
      </w:pPr>
      <w:r>
        <w:rPr>
          <w:rFonts w:hint="eastAsia" w:asciiTheme="majorEastAsia" w:hAnsiTheme="majorEastAsia" w:eastAsiaTheme="majorEastAsia" w:cstheme="majorEastAsia"/>
          <w:bCs/>
          <w:color w:val="000000" w:themeColor="text1"/>
          <w:sz w:val="24"/>
        </w:rPr>
        <w:t>8.2、磋商供应商认为有必要说明的资格问题。</w:t>
      </w: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rPr>
          <w:rFonts w:asciiTheme="majorEastAsia" w:hAnsiTheme="majorEastAsia" w:eastAsiaTheme="majorEastAsia" w:cstheme="majorEastAsia"/>
          <w:bCs/>
          <w:color w:val="000000" w:themeColor="text1"/>
          <w:sz w:val="24"/>
        </w:rPr>
      </w:pPr>
    </w:p>
    <w:p>
      <w:pPr>
        <w:rPr>
          <w:rFonts w:asciiTheme="majorEastAsia" w:hAnsiTheme="majorEastAsia" w:eastAsiaTheme="majorEastAsia" w:cstheme="majorEastAsia"/>
          <w:bCs/>
          <w:color w:val="000000" w:themeColor="text1"/>
          <w:sz w:val="24"/>
        </w:rPr>
      </w:pPr>
    </w:p>
    <w:p>
      <w:pPr>
        <w:pStyle w:val="2"/>
        <w:jc w:val="center"/>
      </w:pPr>
    </w:p>
    <w:p/>
    <w:p>
      <w:pPr>
        <w:rPr>
          <w:rFonts w:asciiTheme="majorEastAsia" w:hAnsiTheme="majorEastAsia" w:eastAsiaTheme="majorEastAsia" w:cstheme="majorEastAsia"/>
          <w:bCs/>
          <w:color w:val="000000" w:themeColor="text1"/>
          <w:sz w:val="24"/>
        </w:rPr>
      </w:pPr>
    </w:p>
    <w:p>
      <w:pPr>
        <w:pStyle w:val="2"/>
        <w:ind w:firstLine="1606" w:firstLineChars="500"/>
        <w:rPr>
          <w:rFonts w:asciiTheme="majorEastAsia" w:hAnsiTheme="majorEastAsia" w:eastAsiaTheme="majorEastAsia" w:cstheme="majorEastAsia"/>
          <w:color w:val="000000" w:themeColor="text1"/>
        </w:rPr>
      </w:pPr>
      <w:bookmarkStart w:id="114" w:name="_Toc20793_WPSOffice_Level1"/>
      <w:bookmarkStart w:id="115" w:name="_Toc9506_WPSOffice_Level1"/>
      <w:bookmarkStart w:id="116" w:name="_Toc11752_WPSOffice_Level1"/>
      <w:bookmarkStart w:id="117" w:name="_Toc16574_WPSOffice_Level1"/>
      <w:r>
        <w:rPr>
          <w:rFonts w:hint="eastAsia" w:asciiTheme="majorEastAsia" w:hAnsiTheme="majorEastAsia" w:eastAsiaTheme="majorEastAsia" w:cstheme="majorEastAsia"/>
          <w:b/>
          <w:bCs/>
          <w:color w:val="000000" w:themeColor="text1"/>
          <w:sz w:val="32"/>
          <w:szCs w:val="40"/>
        </w:rPr>
        <w:t>磋商响应文件封袋正面标识式样</w:t>
      </w:r>
      <w:bookmarkEnd w:id="114"/>
      <w:bookmarkEnd w:id="115"/>
      <w:bookmarkEnd w:id="116"/>
      <w:bookmarkEnd w:id="117"/>
    </w:p>
    <w:p>
      <w:pPr>
        <w:rPr>
          <w:rFonts w:asciiTheme="majorEastAsia" w:hAnsiTheme="majorEastAsia" w:eastAsiaTheme="majorEastAsia" w:cstheme="majorEastAsia"/>
          <w:b/>
          <w:color w:val="000000" w:themeColor="text1"/>
          <w:sz w:val="32"/>
          <w:szCs w:val="32"/>
        </w:rPr>
      </w:pPr>
      <w:r>
        <w:rPr>
          <w:rFonts w:asciiTheme="majorEastAsia" w:hAnsiTheme="majorEastAsia" w:eastAsiaTheme="majorEastAsia" w:cstheme="majorEastAsia"/>
          <w:b/>
          <w:color w:val="000000" w:themeColor="text1"/>
          <w:sz w:val="36"/>
          <w:szCs w:val="36"/>
        </w:rPr>
        <w:pict>
          <v:shape id="_x0000_s1026" o:spid="_x0000_s1026" o:spt="202" type="#_x0000_t202" style="position:absolute;left:0pt;margin-left:16.5pt;margin-top:19.5pt;height:254.4pt;width:423.9pt;z-index:251659264;mso-width-relative:page;mso-height-relative:page;" coordsize="21600,21600" o:gfxdata="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ONiK2AAAAAkBAAAPAAAAAAAAAAEAIAAAACIAAABkcnMvZG93bnJldi54bWxQ&#10;SwECFAAUAAAACACHTuJAyz+U3PcBAAD4AwAADgAAAAAAAAABACAAAAAnAQAAZHJzL2Uyb0RvYy54&#10;bWxQSwUGAAAAAAYABgBZAQAAkAUAAAAA&#10;">
            <v:path/>
            <v:fill focussize="0,0"/>
            <v:stroke weight="3pt" linestyle="thinThin"/>
            <v:imagedata o:title=""/>
            <o:lock v:ext="edit"/>
            <v:textbox>
              <w:txbxContent>
                <w:p>
                  <w:pPr>
                    <w:spacing w:line="440" w:lineRule="exact"/>
                    <w:rPr>
                      <w:rFonts w:ascii="宋体" w:hAnsi="宋体" w:cs="宋体"/>
                    </w:rPr>
                  </w:pPr>
                  <w:r>
                    <w:rPr>
                      <w:rFonts w:hint="eastAsia" w:ascii="宋体" w:hAnsi="宋体" w:cs="宋体"/>
                    </w:rPr>
                    <w:t>致：延川县政府采购中心      项目编号：</w:t>
                  </w:r>
                </w:p>
                <w:p>
                  <w:pPr>
                    <w:spacing w:line="440" w:lineRule="exact"/>
                    <w:rPr>
                      <w:rFonts w:ascii="宋体" w:hAnsi="宋体" w:cs="宋体"/>
                    </w:rPr>
                  </w:pPr>
                  <w:r>
                    <w:rPr>
                      <w:rFonts w:hint="eastAsia" w:ascii="宋体" w:hAnsi="宋体" w:cs="宋体"/>
                    </w:rPr>
                    <w:t>项目名称：</w:t>
                  </w:r>
                </w:p>
                <w:p>
                  <w:pPr>
                    <w:spacing w:line="440" w:lineRule="exact"/>
                    <w:jc w:val="center"/>
                    <w:rPr>
                      <w:rFonts w:ascii="宋体" w:hAnsi="宋体" w:cs="宋体"/>
                      <w:sz w:val="36"/>
                      <w:szCs w:val="36"/>
                    </w:rPr>
                  </w:pPr>
                </w:p>
                <w:p>
                  <w:pPr>
                    <w:spacing w:line="440" w:lineRule="exact"/>
                    <w:jc w:val="center"/>
                    <w:rPr>
                      <w:rFonts w:ascii="宋体" w:hAnsi="宋体" w:cs="宋体"/>
                      <w:sz w:val="36"/>
                      <w:szCs w:val="36"/>
                    </w:rPr>
                  </w:pPr>
                  <w:r>
                    <w:rPr>
                      <w:rFonts w:hint="eastAsia" w:ascii="宋体" w:hAnsi="宋体" w:cs="宋体"/>
                      <w:sz w:val="36"/>
                      <w:szCs w:val="36"/>
                    </w:rPr>
                    <w:t>磋 商 响 应 文 件（正本或副本）</w:t>
                  </w:r>
                </w:p>
                <w:p>
                  <w:pPr>
                    <w:spacing w:line="440" w:lineRule="exact"/>
                    <w:jc w:val="center"/>
                    <w:rPr>
                      <w:rFonts w:ascii="宋体" w:hAnsi="宋体" w:cs="宋体"/>
                      <w:szCs w:val="21"/>
                    </w:rPr>
                  </w:pPr>
                  <w:r>
                    <w:rPr>
                      <w:rFonts w:hint="eastAsia" w:ascii="宋体" w:hAnsi="宋体" w:cs="宋体"/>
                      <w:szCs w:val="21"/>
                    </w:rPr>
                    <w:t>（非开标大会不得启封）</w:t>
                  </w:r>
                </w:p>
                <w:p>
                  <w:pPr>
                    <w:rPr>
                      <w:rFonts w:ascii="宋体" w:hAnsi="宋体" w:cs="宋体"/>
                      <w:szCs w:val="21"/>
                    </w:rPr>
                  </w:pPr>
                </w:p>
                <w:p>
                  <w:pPr>
                    <w:spacing w:line="440" w:lineRule="exact"/>
                    <w:rPr>
                      <w:rFonts w:ascii="宋体" w:hAnsi="宋体" w:cs="宋体"/>
                      <w:szCs w:val="21"/>
                    </w:rPr>
                  </w:pPr>
                  <w:r>
                    <w:rPr>
                      <w:rFonts w:hint="eastAsia" w:ascii="宋体" w:hAnsi="宋体" w:cs="宋体"/>
                      <w:szCs w:val="21"/>
                    </w:rPr>
                    <w:t>磋商供应商名称：（法人公章及法定代表人印章）</w:t>
                  </w:r>
                </w:p>
                <w:p>
                  <w:pPr>
                    <w:spacing w:line="440" w:lineRule="exact"/>
                    <w:rPr>
                      <w:rFonts w:ascii="宋体" w:hAnsi="宋体" w:cs="宋体"/>
                      <w:szCs w:val="21"/>
                    </w:rPr>
                  </w:pPr>
                  <w:r>
                    <w:rPr>
                      <w:rFonts w:hint="eastAsia" w:ascii="宋体" w:hAnsi="宋体" w:cs="宋体"/>
                      <w:szCs w:val="21"/>
                    </w:rPr>
                    <w:t>邮    编：</w:t>
                  </w:r>
                </w:p>
                <w:p>
                  <w:pPr>
                    <w:spacing w:line="440" w:lineRule="exact"/>
                    <w:rPr>
                      <w:rFonts w:ascii="宋体" w:hAnsi="宋体" w:cs="宋体"/>
                      <w:szCs w:val="21"/>
                    </w:rPr>
                  </w:pPr>
                  <w:r>
                    <w:rPr>
                      <w:rFonts w:hint="eastAsia" w:ascii="宋体" w:hAnsi="宋体" w:cs="宋体"/>
                      <w:szCs w:val="21"/>
                    </w:rPr>
                    <w:t xml:space="preserve">通讯地址：  </w:t>
                  </w:r>
                </w:p>
                <w:p>
                  <w:pPr>
                    <w:spacing w:line="440" w:lineRule="exact"/>
                    <w:rPr>
                      <w:rFonts w:ascii="宋体" w:hAnsi="宋体" w:cs="宋体"/>
                      <w:szCs w:val="21"/>
                    </w:rPr>
                  </w:pPr>
                  <w:r>
                    <w:rPr>
                      <w:rFonts w:hint="eastAsia" w:ascii="宋体" w:hAnsi="宋体" w:cs="宋体"/>
                      <w:szCs w:val="21"/>
                    </w:rPr>
                    <w:t>联系人电话：</w:t>
                  </w:r>
                </w:p>
                <w:p>
                  <w:pPr>
                    <w:spacing w:line="440" w:lineRule="exact"/>
                    <w:rPr>
                      <w:rFonts w:ascii="仿宋_GB2312" w:eastAsia="仿宋_GB2312"/>
                      <w:szCs w:val="21"/>
                    </w:rPr>
                  </w:pPr>
                </w:p>
                <w:p/>
              </w:txbxContent>
            </v:textbox>
          </v:shape>
        </w:pict>
      </w:r>
    </w:p>
    <w:p>
      <w:pPr>
        <w:rPr>
          <w:rFonts w:asciiTheme="majorEastAsia" w:hAnsiTheme="majorEastAsia" w:eastAsiaTheme="majorEastAsia" w:cstheme="majorEastAsia"/>
          <w:b/>
          <w:color w:val="000000" w:themeColor="text1"/>
          <w:sz w:val="32"/>
          <w:szCs w:val="32"/>
        </w:rPr>
      </w:pPr>
    </w:p>
    <w:p>
      <w:pPr>
        <w:rPr>
          <w:rFonts w:asciiTheme="majorEastAsia" w:hAnsiTheme="majorEastAsia" w:eastAsiaTheme="majorEastAsia" w:cstheme="majorEastAsia"/>
          <w:b/>
          <w:color w:val="000000" w:themeColor="text1"/>
          <w:sz w:val="32"/>
          <w:szCs w:val="32"/>
        </w:rPr>
      </w:pPr>
    </w:p>
    <w:p>
      <w:pPr>
        <w:jc w:val="center"/>
        <w:rPr>
          <w:rFonts w:asciiTheme="majorEastAsia" w:hAnsiTheme="majorEastAsia" w:eastAsiaTheme="majorEastAsia" w:cstheme="majorEastAsia"/>
          <w:color w:val="000000" w:themeColor="text1"/>
          <w:sz w:val="32"/>
          <w:szCs w:val="32"/>
        </w:rPr>
      </w:pPr>
      <w:r>
        <w:rPr>
          <w:rFonts w:hint="eastAsia" w:asciiTheme="majorEastAsia" w:hAnsiTheme="majorEastAsia" w:eastAsiaTheme="majorEastAsia" w:cstheme="majorEastAsia"/>
          <w:b/>
          <w:color w:val="000000" w:themeColor="text1"/>
          <w:sz w:val="32"/>
          <w:szCs w:val="32"/>
        </w:rPr>
        <w:t>磋商响应文件封袋正面标识式样</w:t>
      </w:r>
    </w:p>
    <w:p>
      <w:pPr>
        <w:rPr>
          <w:rFonts w:asciiTheme="majorEastAsia" w:hAnsiTheme="majorEastAsia" w:eastAsiaTheme="majorEastAsia" w:cstheme="majorEastAsia"/>
          <w:color w:val="000000" w:themeColor="text1"/>
          <w:sz w:val="32"/>
          <w:szCs w:val="32"/>
        </w:rPr>
      </w:pPr>
    </w:p>
    <w:p>
      <w:pPr>
        <w:rPr>
          <w:rFonts w:asciiTheme="majorEastAsia" w:hAnsiTheme="majorEastAsia" w:eastAsiaTheme="majorEastAsia" w:cstheme="majorEastAsia"/>
          <w:color w:val="000000" w:themeColor="text1"/>
          <w:sz w:val="32"/>
          <w:szCs w:val="32"/>
        </w:rPr>
      </w:pPr>
    </w:p>
    <w:p>
      <w:pPr>
        <w:rPr>
          <w:rFonts w:asciiTheme="majorEastAsia" w:hAnsiTheme="majorEastAsia" w:eastAsiaTheme="majorEastAsia" w:cstheme="majorEastAsia"/>
          <w:color w:val="000000" w:themeColor="text1"/>
          <w:sz w:val="32"/>
          <w:szCs w:val="32"/>
        </w:rPr>
      </w:pPr>
    </w:p>
    <w:p>
      <w:pPr>
        <w:rPr>
          <w:rFonts w:asciiTheme="majorEastAsia" w:hAnsiTheme="majorEastAsia" w:eastAsiaTheme="majorEastAsia" w:cstheme="majorEastAsia"/>
          <w:color w:val="000000" w:themeColor="text1"/>
          <w:sz w:val="32"/>
          <w:szCs w:val="32"/>
        </w:rPr>
      </w:pPr>
    </w:p>
    <w:p>
      <w:pPr>
        <w:kinsoku w:val="0"/>
        <w:spacing w:line="360" w:lineRule="atLeast"/>
        <w:jc w:val="center"/>
        <w:rPr>
          <w:rFonts w:asciiTheme="majorEastAsia" w:hAnsiTheme="majorEastAsia" w:eastAsiaTheme="majorEastAsia" w:cstheme="majorEastAsia"/>
          <w:b/>
          <w:color w:val="000000" w:themeColor="text1"/>
          <w:sz w:val="32"/>
          <w:szCs w:val="32"/>
        </w:rPr>
      </w:pPr>
    </w:p>
    <w:p>
      <w:pPr>
        <w:kinsoku w:val="0"/>
        <w:spacing w:line="360" w:lineRule="atLeast"/>
        <w:jc w:val="center"/>
        <w:rPr>
          <w:rFonts w:asciiTheme="majorEastAsia" w:hAnsiTheme="majorEastAsia" w:eastAsiaTheme="majorEastAsia" w:cstheme="majorEastAsia"/>
          <w:b/>
          <w:color w:val="000000" w:themeColor="text1"/>
          <w:szCs w:val="21"/>
        </w:rPr>
      </w:pPr>
      <w:r>
        <w:rPr>
          <w:rFonts w:hint="eastAsia" w:asciiTheme="majorEastAsia" w:hAnsiTheme="majorEastAsia" w:eastAsiaTheme="majorEastAsia" w:cstheme="majorEastAsia"/>
          <w:b/>
          <w:color w:val="000000" w:themeColor="text1"/>
          <w:sz w:val="32"/>
          <w:szCs w:val="32"/>
        </w:rPr>
        <w:t>开标一览表封袋正面标识式样</w:t>
      </w:r>
    </w:p>
    <w:p>
      <w:pPr>
        <w:rPr>
          <w:rFonts w:asciiTheme="majorEastAsia" w:hAnsiTheme="majorEastAsia" w:eastAsiaTheme="majorEastAsia" w:cstheme="majorEastAsia"/>
          <w:color w:val="000000" w:themeColor="text1"/>
        </w:rPr>
      </w:pPr>
    </w:p>
    <w:p>
      <w:pPr>
        <w:rPr>
          <w:rFonts w:asciiTheme="majorEastAsia" w:hAnsiTheme="majorEastAsia" w:eastAsiaTheme="majorEastAsia" w:cstheme="majorEastAsia"/>
          <w:color w:val="000000" w:themeColor="text1"/>
        </w:rPr>
      </w:pPr>
    </w:p>
    <w:p>
      <w:pPr>
        <w:rPr>
          <w:rFonts w:asciiTheme="majorEastAsia" w:hAnsiTheme="majorEastAsia" w:eastAsiaTheme="majorEastAsia" w:cstheme="majorEastAsia"/>
          <w:color w:val="000000" w:themeColor="text1"/>
        </w:rPr>
      </w:pPr>
    </w:p>
    <w:p>
      <w:pPr>
        <w:rPr>
          <w:rFonts w:asciiTheme="majorEastAsia" w:hAnsiTheme="majorEastAsia" w:eastAsiaTheme="majorEastAsia" w:cstheme="majorEastAsia"/>
          <w:color w:val="000000" w:themeColor="text1"/>
        </w:rPr>
      </w:pPr>
    </w:p>
    <w:p>
      <w:pPr>
        <w:rPr>
          <w:rFonts w:asciiTheme="majorEastAsia" w:hAnsiTheme="majorEastAsia" w:eastAsiaTheme="majorEastAsia" w:cstheme="majorEastAsia"/>
          <w:color w:val="000000" w:themeColor="text1"/>
        </w:rPr>
      </w:pPr>
    </w:p>
    <w:p>
      <w:pPr>
        <w:rPr>
          <w:rFonts w:asciiTheme="majorEastAsia" w:hAnsiTheme="majorEastAsia" w:eastAsiaTheme="majorEastAsia" w:cstheme="majorEastAsia"/>
          <w:color w:val="000000" w:themeColor="text1"/>
        </w:rPr>
      </w:pPr>
    </w:p>
    <w:p>
      <w:pPr>
        <w:jc w:val="center"/>
        <w:rPr>
          <w:rFonts w:asciiTheme="majorEastAsia" w:hAnsiTheme="majorEastAsia" w:eastAsiaTheme="majorEastAsia" w:cstheme="majorEastAsia"/>
          <w:b/>
          <w:color w:val="000000" w:themeColor="text1"/>
          <w:sz w:val="32"/>
          <w:szCs w:val="32"/>
        </w:rPr>
      </w:pPr>
      <w:r>
        <w:rPr>
          <w:rFonts w:hint="eastAsia" w:asciiTheme="majorEastAsia" w:hAnsiTheme="majorEastAsia" w:eastAsiaTheme="majorEastAsia" w:cstheme="majorEastAsia"/>
          <w:b/>
          <w:color w:val="000000" w:themeColor="text1"/>
          <w:sz w:val="32"/>
          <w:szCs w:val="32"/>
        </w:rPr>
        <w:t>响应报价表封袋正面标识式样</w:t>
      </w:r>
    </w:p>
    <w:p>
      <w:pPr>
        <w:rPr>
          <w:rFonts w:asciiTheme="majorEastAsia" w:hAnsiTheme="majorEastAsia" w:eastAsiaTheme="majorEastAsia" w:cstheme="majorEastAsia"/>
          <w:color w:val="000000" w:themeColor="text1"/>
        </w:rPr>
      </w:pPr>
    </w:p>
    <w:p>
      <w:pPr>
        <w:rPr>
          <w:rFonts w:asciiTheme="majorEastAsia" w:hAnsiTheme="majorEastAsia" w:eastAsiaTheme="majorEastAsia" w:cstheme="majorEastAsia"/>
          <w:color w:val="000000" w:themeColor="text1"/>
        </w:rPr>
      </w:pPr>
    </w:p>
    <w:p>
      <w:pPr>
        <w:rPr>
          <w:rFonts w:asciiTheme="majorEastAsia" w:hAnsiTheme="majorEastAsia" w:eastAsiaTheme="majorEastAsia" w:cstheme="majorEastAsia"/>
          <w:color w:val="000000" w:themeColor="text1"/>
        </w:rPr>
      </w:pPr>
      <w:r>
        <w:rPr>
          <w:rFonts w:asciiTheme="majorEastAsia" w:hAnsiTheme="majorEastAsia" w:eastAsiaTheme="majorEastAsia" w:cstheme="majorEastAsia"/>
          <w:b/>
          <w:color w:val="000000" w:themeColor="text1"/>
          <w:sz w:val="36"/>
          <w:szCs w:val="36"/>
        </w:rPr>
        <w:pict>
          <v:shape id="_x0000_s1027" o:spid="_x0000_s1027" o:spt="202" type="#_x0000_t202" style="position:absolute;left:0pt;margin-left:23.45pt;margin-top:1.55pt;height:268.4pt;width:420.9pt;z-index:251660288;mso-width-relative:page;mso-height-relative:page;" coordsize="21600,21600" o:gfxdata="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kJdgAAAAIAQAADwAAAAAAAAABACAAAAAiAAAAZHJzL2Rvd25yZXYueG1s&#10;UEsBAhQAFAAAAAgAh07iQCLulaD4AQAA+AMAAA4AAAAAAAAAAQAgAAAAJwEAAGRycy9lMm9Eb2Mu&#10;eG1sUEsFBgAAAAAGAAYAWQEAAJEFAAAAAA==&#10;">
            <v:path/>
            <v:fill focussize="0,0"/>
            <v:stroke weight="3pt" linestyle="thinThin"/>
            <v:imagedata o:title=""/>
            <o:lock v:ext="edit"/>
            <v:textbox>
              <w:txbxContent>
                <w:p>
                  <w:pPr>
                    <w:spacing w:line="440" w:lineRule="exact"/>
                    <w:rPr>
                      <w:rFonts w:ascii="宋体" w:hAnsi="宋体" w:cs="宋体"/>
                    </w:rPr>
                  </w:pPr>
                  <w:r>
                    <w:rPr>
                      <w:rFonts w:hint="eastAsia" w:ascii="宋体" w:hAnsi="宋体" w:cs="宋体"/>
                    </w:rPr>
                    <w:t>致：延川县政府采购中心           项目编号：</w:t>
                  </w:r>
                </w:p>
                <w:p>
                  <w:pPr>
                    <w:spacing w:line="440" w:lineRule="exact"/>
                    <w:rPr>
                      <w:rFonts w:ascii="宋体" w:hAnsi="宋体" w:cs="宋体"/>
                    </w:rPr>
                  </w:pPr>
                  <w:r>
                    <w:rPr>
                      <w:rFonts w:hint="eastAsia" w:ascii="宋体" w:hAnsi="宋体" w:cs="宋体"/>
                    </w:rPr>
                    <w:t xml:space="preserve">项目名称： </w:t>
                  </w:r>
                </w:p>
                <w:p>
                  <w:pPr>
                    <w:spacing w:line="440" w:lineRule="exact"/>
                    <w:jc w:val="center"/>
                    <w:rPr>
                      <w:rFonts w:ascii="宋体" w:hAnsi="宋体" w:cs="宋体"/>
                      <w:sz w:val="36"/>
                      <w:szCs w:val="36"/>
                    </w:rPr>
                  </w:pPr>
                </w:p>
                <w:p>
                  <w:pPr>
                    <w:spacing w:line="440" w:lineRule="exact"/>
                    <w:jc w:val="center"/>
                    <w:rPr>
                      <w:rFonts w:ascii="宋体" w:hAnsi="宋体" w:cs="宋体"/>
                      <w:sz w:val="36"/>
                      <w:szCs w:val="36"/>
                    </w:rPr>
                  </w:pPr>
                  <w:r>
                    <w:rPr>
                      <w:rFonts w:hint="eastAsia" w:ascii="宋体" w:hAnsi="宋体" w:cs="宋体"/>
                      <w:sz w:val="36"/>
                      <w:szCs w:val="36"/>
                    </w:rPr>
                    <w:t>响应报价表</w:t>
                  </w:r>
                </w:p>
                <w:p>
                  <w:pPr>
                    <w:spacing w:line="440" w:lineRule="exact"/>
                    <w:jc w:val="center"/>
                    <w:rPr>
                      <w:rFonts w:ascii="宋体" w:hAnsi="宋体" w:cs="宋体"/>
                      <w:szCs w:val="21"/>
                    </w:rPr>
                  </w:pPr>
                  <w:r>
                    <w:rPr>
                      <w:rFonts w:hint="eastAsia" w:ascii="宋体" w:hAnsi="宋体" w:cs="宋体"/>
                      <w:szCs w:val="21"/>
                    </w:rPr>
                    <w:t>（非公开唱标不得启封）</w:t>
                  </w:r>
                </w:p>
                <w:p>
                  <w:pPr>
                    <w:rPr>
                      <w:rFonts w:ascii="宋体" w:hAnsi="宋体" w:cs="宋体"/>
                      <w:szCs w:val="21"/>
                    </w:rPr>
                  </w:pPr>
                </w:p>
                <w:p>
                  <w:pPr>
                    <w:spacing w:line="440" w:lineRule="exact"/>
                    <w:rPr>
                      <w:rFonts w:ascii="宋体" w:hAnsi="宋体" w:cs="宋体"/>
                      <w:szCs w:val="21"/>
                    </w:rPr>
                  </w:pPr>
                  <w:r>
                    <w:rPr>
                      <w:rFonts w:hint="eastAsia" w:ascii="宋体" w:hAnsi="宋体" w:cs="宋体"/>
                      <w:szCs w:val="21"/>
                    </w:rPr>
                    <w:t>磋商供应商名称：（法人公章及法定代表人印章）</w:t>
                  </w:r>
                </w:p>
                <w:p>
                  <w:pPr>
                    <w:rPr>
                      <w:rFonts w:ascii="宋体" w:hAnsi="宋体" w:cs="宋体"/>
                      <w:szCs w:val="21"/>
                    </w:rPr>
                  </w:pPr>
                  <w:r>
                    <w:rPr>
                      <w:rFonts w:hint="eastAsia" w:ascii="宋体" w:hAnsi="宋体" w:cs="宋体"/>
                      <w:szCs w:val="21"/>
                    </w:rPr>
                    <w:t xml:space="preserve">封装内容：磋商报价总表、明细表及电子文档   </w:t>
                  </w:r>
                </w:p>
                <w:p>
                  <w:pPr>
                    <w:rPr>
                      <w:rFonts w:ascii="宋体" w:hAnsi="宋体" w:cs="宋体"/>
                      <w:szCs w:val="21"/>
                    </w:rPr>
                  </w:pPr>
                  <w:r>
                    <w:rPr>
                      <w:rFonts w:hint="eastAsia" w:ascii="宋体" w:hAnsi="宋体" w:cs="宋体"/>
                      <w:szCs w:val="21"/>
                    </w:rPr>
                    <w:t>邮    编：</w:t>
                  </w:r>
                </w:p>
                <w:p>
                  <w:pPr>
                    <w:rPr>
                      <w:rFonts w:ascii="宋体" w:hAnsi="宋体" w:cs="宋体"/>
                      <w:szCs w:val="21"/>
                    </w:rPr>
                  </w:pPr>
                  <w:r>
                    <w:rPr>
                      <w:rFonts w:hint="eastAsia" w:ascii="宋体" w:hAnsi="宋体" w:cs="宋体"/>
                      <w:szCs w:val="21"/>
                    </w:rPr>
                    <w:t xml:space="preserve">通讯地址：  </w:t>
                  </w:r>
                </w:p>
                <w:p>
                  <w:pPr>
                    <w:rPr>
                      <w:rFonts w:ascii="宋体" w:hAnsi="宋体" w:cs="宋体"/>
                      <w:szCs w:val="21"/>
                    </w:rPr>
                  </w:pPr>
                  <w:r>
                    <w:rPr>
                      <w:rFonts w:hint="eastAsia" w:ascii="宋体" w:hAnsi="宋体" w:cs="宋体"/>
                      <w:szCs w:val="21"/>
                    </w:rPr>
                    <w:t>联系人电话：</w:t>
                  </w:r>
                </w:p>
                <w:p>
                  <w:pPr>
                    <w:rPr>
                      <w:rFonts w:ascii="仿宋_GB2312" w:eastAsia="仿宋_GB2312"/>
                      <w:szCs w:val="21"/>
                    </w:rPr>
                  </w:pPr>
                </w:p>
              </w:txbxContent>
            </v:textbox>
          </v:shape>
        </w:pict>
      </w:r>
    </w:p>
    <w:p>
      <w:pPr>
        <w:rPr>
          <w:rFonts w:asciiTheme="majorEastAsia" w:hAnsiTheme="majorEastAsia" w:eastAsiaTheme="majorEastAsia" w:cstheme="majorEastAsia"/>
          <w:color w:val="000000" w:themeColor="text1"/>
        </w:rPr>
      </w:pPr>
    </w:p>
    <w:p>
      <w:pPr>
        <w:rPr>
          <w:rFonts w:asciiTheme="majorEastAsia" w:hAnsiTheme="majorEastAsia" w:eastAsiaTheme="majorEastAsia" w:cstheme="majorEastAsia"/>
          <w:color w:val="000000" w:themeColor="text1"/>
        </w:rPr>
      </w:pPr>
    </w:p>
    <w:p>
      <w:pPr>
        <w:rPr>
          <w:rFonts w:asciiTheme="majorEastAsia" w:hAnsiTheme="majorEastAsia" w:eastAsiaTheme="majorEastAsia" w:cstheme="majorEastAsia"/>
          <w:color w:val="000000" w:themeColor="text1"/>
        </w:rPr>
      </w:pPr>
    </w:p>
    <w:p>
      <w:pPr>
        <w:rPr>
          <w:rFonts w:asciiTheme="majorEastAsia" w:hAnsiTheme="majorEastAsia" w:eastAsiaTheme="majorEastAsia" w:cstheme="majorEastAsia"/>
          <w:color w:val="000000" w:themeColor="text1"/>
        </w:rPr>
      </w:pPr>
    </w:p>
    <w:p>
      <w:pPr>
        <w:spacing w:line="500" w:lineRule="exact"/>
        <w:jc w:val="center"/>
        <w:rPr>
          <w:rFonts w:asciiTheme="majorEastAsia" w:hAnsiTheme="majorEastAsia" w:eastAsiaTheme="majorEastAsia" w:cstheme="majorEastAsia"/>
          <w:color w:val="000000" w:themeColor="text1"/>
        </w:rPr>
      </w:pPr>
    </w:p>
    <w:p>
      <w:pPr>
        <w:spacing w:line="500" w:lineRule="exact"/>
        <w:jc w:val="center"/>
        <w:rPr>
          <w:rFonts w:asciiTheme="majorEastAsia" w:hAnsiTheme="majorEastAsia" w:eastAsiaTheme="majorEastAsia" w:cstheme="majorEastAsia"/>
          <w:color w:val="000000" w:themeColor="text1"/>
        </w:rPr>
      </w:pPr>
    </w:p>
    <w:p>
      <w:pPr>
        <w:spacing w:line="440" w:lineRule="exact"/>
        <w:jc w:val="center"/>
        <w:rPr>
          <w:rFonts w:asciiTheme="majorEastAsia" w:hAnsiTheme="majorEastAsia" w:eastAsiaTheme="majorEastAsia" w:cstheme="majorEastAsia"/>
          <w:b/>
          <w:bCs/>
          <w:color w:val="000000" w:themeColor="text1"/>
          <w:sz w:val="36"/>
          <w:szCs w:val="36"/>
        </w:rPr>
      </w:pPr>
    </w:p>
    <w:p>
      <w:pPr>
        <w:rPr>
          <w:rFonts w:asciiTheme="majorEastAsia" w:hAnsiTheme="majorEastAsia" w:eastAsiaTheme="majorEastAsia" w:cstheme="majorEastAsia"/>
          <w:color w:val="000000" w:themeColor="text1"/>
        </w:rPr>
        <w:sectPr>
          <w:headerReference r:id="rId6" w:type="default"/>
          <w:footerReference r:id="rId7" w:type="default"/>
          <w:pgSz w:w="11906" w:h="16838"/>
          <w:pgMar w:top="1440" w:right="1276" w:bottom="1440" w:left="1843" w:header="851" w:footer="992" w:gutter="0"/>
          <w:cols w:space="720" w:num="1"/>
          <w:docGrid w:linePitch="312" w:charSpace="0"/>
        </w:sectPr>
      </w:pPr>
    </w:p>
    <w:p>
      <w:pPr>
        <w:pStyle w:val="6"/>
        <w:rPr>
          <w:rFonts w:hint="eastAsia"/>
        </w:rPr>
      </w:pPr>
    </w:p>
    <w:sectPr>
      <w:headerReference r:id="rId8" w:type="default"/>
      <w:footerReference r:id="rId9" w:type="default"/>
      <w:pgSz w:w="11906" w:h="16838"/>
      <w:pgMar w:top="1440" w:right="1276" w:bottom="1440" w:left="184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distribute"/>
      <w:rPr>
        <w:rFonts w:ascii="宋体" w:hAnsi="宋体" w:cs="宋体"/>
        <w:kern w:val="1"/>
        <w:sz w:val="24"/>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distribute"/>
      <w:rPr>
        <w:rFonts w:ascii="宋体" w:hAnsi="宋体" w:cs="宋体"/>
        <w:kern w:val="1"/>
        <w:sz w:val="24"/>
        <w:u w:val="single"/>
      </w:rPr>
    </w:pPr>
    <w:r>
      <w:rPr>
        <w:sz w:val="24"/>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w:r>
  </w:p>
  <w:p>
    <w:pPr>
      <w:pStyle w:val="15"/>
      <w:jc w:val="distribute"/>
      <w:rPr>
        <w:rFonts w:ascii="宋体" w:hAnsi="宋体" w:cs="宋体"/>
        <w:kern w:val="1"/>
        <w:sz w:val="24"/>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62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distribute"/>
      <w:rPr>
        <w:sz w:val="28"/>
        <w:szCs w:val="28"/>
        <w:u w:val="single"/>
      </w:rPr>
    </w:pPr>
  </w:p>
  <w:p>
    <w:pPr>
      <w:pStyle w:val="16"/>
      <w:jc w:val="distribute"/>
      <w:rPr>
        <w:b/>
        <w:sz w:val="28"/>
        <w:szCs w:val="28"/>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sz w:val="28"/>
        <w:szCs w:val="28"/>
        <w:u w:val="doub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B94D5"/>
    <w:multiLevelType w:val="singleLevel"/>
    <w:tmpl w:val="D04B94D5"/>
    <w:lvl w:ilvl="0" w:tentative="0">
      <w:start w:val="7"/>
      <w:numFmt w:val="decimal"/>
      <w:suff w:val="space"/>
      <w:lvlText w:val="第%1部分"/>
      <w:lvlJc w:val="left"/>
    </w:lvl>
  </w:abstractNum>
  <w:abstractNum w:abstractNumId="1">
    <w:nsid w:val="EE6CF9A5"/>
    <w:multiLevelType w:val="singleLevel"/>
    <w:tmpl w:val="EE6CF9A5"/>
    <w:lvl w:ilvl="0" w:tentative="0">
      <w:start w:val="1"/>
      <w:numFmt w:val="decimal"/>
      <w:suff w:val="nothing"/>
      <w:lvlText w:val="%1、"/>
      <w:lvlJc w:val="left"/>
    </w:lvl>
  </w:abstractNum>
  <w:abstractNum w:abstractNumId="2">
    <w:nsid w:val="2A762BD1"/>
    <w:multiLevelType w:val="singleLevel"/>
    <w:tmpl w:val="2A762BD1"/>
    <w:lvl w:ilvl="0" w:tentative="0">
      <w:start w:val="5"/>
      <w:numFmt w:val="chineseCounting"/>
      <w:suff w:val="space"/>
      <w:lvlText w:val="第%1章"/>
      <w:lvlJc w:val="left"/>
      <w:rPr>
        <w:rFonts w:hint="eastAsia"/>
      </w:rPr>
    </w:lvl>
  </w:abstractNum>
  <w:abstractNum w:abstractNumId="3">
    <w:nsid w:val="59E48958"/>
    <w:multiLevelType w:val="singleLevel"/>
    <w:tmpl w:val="59E48958"/>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hideGrammatical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MwNjIwYjJlN2ExOWZiYzQxNWE1NWMyYzA5NWVmMDEifQ=="/>
  </w:docVars>
  <w:rsids>
    <w:rsidRoot w:val="57C57BE5"/>
    <w:rsid w:val="000217FC"/>
    <w:rsid w:val="00061A8A"/>
    <w:rsid w:val="00066DAF"/>
    <w:rsid w:val="00116EA2"/>
    <w:rsid w:val="0012493D"/>
    <w:rsid w:val="001E0675"/>
    <w:rsid w:val="001F176B"/>
    <w:rsid w:val="001F506E"/>
    <w:rsid w:val="00356906"/>
    <w:rsid w:val="00364D54"/>
    <w:rsid w:val="003D5732"/>
    <w:rsid w:val="003E615A"/>
    <w:rsid w:val="004B4F9E"/>
    <w:rsid w:val="005331F1"/>
    <w:rsid w:val="00634650"/>
    <w:rsid w:val="00635F2D"/>
    <w:rsid w:val="00653192"/>
    <w:rsid w:val="006B2798"/>
    <w:rsid w:val="0074607A"/>
    <w:rsid w:val="007A64E0"/>
    <w:rsid w:val="00811002"/>
    <w:rsid w:val="009E4BE8"/>
    <w:rsid w:val="00A44B77"/>
    <w:rsid w:val="00B04D9D"/>
    <w:rsid w:val="00B31C5A"/>
    <w:rsid w:val="00B56984"/>
    <w:rsid w:val="00B94FA5"/>
    <w:rsid w:val="00BA42E9"/>
    <w:rsid w:val="00BB021F"/>
    <w:rsid w:val="00BB2034"/>
    <w:rsid w:val="00C8689B"/>
    <w:rsid w:val="00CF6529"/>
    <w:rsid w:val="00D04331"/>
    <w:rsid w:val="00D3787B"/>
    <w:rsid w:val="00DA2000"/>
    <w:rsid w:val="00DA55F8"/>
    <w:rsid w:val="00DF7AAD"/>
    <w:rsid w:val="00E03E07"/>
    <w:rsid w:val="00EC2E69"/>
    <w:rsid w:val="00F2219C"/>
    <w:rsid w:val="00F743EB"/>
    <w:rsid w:val="00FA7243"/>
    <w:rsid w:val="01043003"/>
    <w:rsid w:val="010A4CFF"/>
    <w:rsid w:val="01134C76"/>
    <w:rsid w:val="01315193"/>
    <w:rsid w:val="01384F35"/>
    <w:rsid w:val="01752180"/>
    <w:rsid w:val="01791337"/>
    <w:rsid w:val="019F7556"/>
    <w:rsid w:val="01DF2BF6"/>
    <w:rsid w:val="01E22320"/>
    <w:rsid w:val="021E42CE"/>
    <w:rsid w:val="022E4F7B"/>
    <w:rsid w:val="02344F2A"/>
    <w:rsid w:val="023B60D9"/>
    <w:rsid w:val="023E52A8"/>
    <w:rsid w:val="026B7280"/>
    <w:rsid w:val="028418A3"/>
    <w:rsid w:val="028B42ED"/>
    <w:rsid w:val="028E5DF5"/>
    <w:rsid w:val="02973364"/>
    <w:rsid w:val="02A32B2B"/>
    <w:rsid w:val="02C87650"/>
    <w:rsid w:val="02D61B19"/>
    <w:rsid w:val="02ED323A"/>
    <w:rsid w:val="02EE5F9D"/>
    <w:rsid w:val="02EF069F"/>
    <w:rsid w:val="02F77BFE"/>
    <w:rsid w:val="030A720E"/>
    <w:rsid w:val="03147E15"/>
    <w:rsid w:val="031E230C"/>
    <w:rsid w:val="032C426D"/>
    <w:rsid w:val="03342C00"/>
    <w:rsid w:val="033F5AFA"/>
    <w:rsid w:val="035904E7"/>
    <w:rsid w:val="035B1D02"/>
    <w:rsid w:val="036D32DB"/>
    <w:rsid w:val="03742C2C"/>
    <w:rsid w:val="038C2E09"/>
    <w:rsid w:val="039408B9"/>
    <w:rsid w:val="03960557"/>
    <w:rsid w:val="03963163"/>
    <w:rsid w:val="03A4604E"/>
    <w:rsid w:val="03AF6D5E"/>
    <w:rsid w:val="03D3626D"/>
    <w:rsid w:val="03D82EC9"/>
    <w:rsid w:val="03D84DE4"/>
    <w:rsid w:val="03EB3B1B"/>
    <w:rsid w:val="03F84919"/>
    <w:rsid w:val="040422D1"/>
    <w:rsid w:val="04061520"/>
    <w:rsid w:val="04111911"/>
    <w:rsid w:val="044B2A28"/>
    <w:rsid w:val="044E11D3"/>
    <w:rsid w:val="044F71F2"/>
    <w:rsid w:val="0466512F"/>
    <w:rsid w:val="046861D4"/>
    <w:rsid w:val="047A4D4E"/>
    <w:rsid w:val="04893C6E"/>
    <w:rsid w:val="04933684"/>
    <w:rsid w:val="049522C9"/>
    <w:rsid w:val="04AE350A"/>
    <w:rsid w:val="04C662FF"/>
    <w:rsid w:val="04DE5190"/>
    <w:rsid w:val="05042944"/>
    <w:rsid w:val="0529752A"/>
    <w:rsid w:val="05304794"/>
    <w:rsid w:val="05327C4D"/>
    <w:rsid w:val="0535302A"/>
    <w:rsid w:val="05403CBE"/>
    <w:rsid w:val="056B1BF1"/>
    <w:rsid w:val="0573678A"/>
    <w:rsid w:val="05890B7D"/>
    <w:rsid w:val="05BB5425"/>
    <w:rsid w:val="05D43109"/>
    <w:rsid w:val="05F62598"/>
    <w:rsid w:val="06022418"/>
    <w:rsid w:val="06031DDE"/>
    <w:rsid w:val="060B4C5B"/>
    <w:rsid w:val="060F7468"/>
    <w:rsid w:val="064B49D1"/>
    <w:rsid w:val="06513AC4"/>
    <w:rsid w:val="06636668"/>
    <w:rsid w:val="06744AC1"/>
    <w:rsid w:val="06772216"/>
    <w:rsid w:val="068A3BCA"/>
    <w:rsid w:val="0693658C"/>
    <w:rsid w:val="06AA14EB"/>
    <w:rsid w:val="06AC1398"/>
    <w:rsid w:val="06AE2F9C"/>
    <w:rsid w:val="06DF6A8F"/>
    <w:rsid w:val="06E744A9"/>
    <w:rsid w:val="07016019"/>
    <w:rsid w:val="070A0FF9"/>
    <w:rsid w:val="070E31D3"/>
    <w:rsid w:val="070E76D7"/>
    <w:rsid w:val="07122F58"/>
    <w:rsid w:val="071822AD"/>
    <w:rsid w:val="071C42A6"/>
    <w:rsid w:val="072153ED"/>
    <w:rsid w:val="073604F1"/>
    <w:rsid w:val="074B414C"/>
    <w:rsid w:val="075552F4"/>
    <w:rsid w:val="07561F1B"/>
    <w:rsid w:val="075A6E5D"/>
    <w:rsid w:val="075B281B"/>
    <w:rsid w:val="07625617"/>
    <w:rsid w:val="07641A40"/>
    <w:rsid w:val="076D1BA7"/>
    <w:rsid w:val="076E0DE3"/>
    <w:rsid w:val="077857EA"/>
    <w:rsid w:val="07791F77"/>
    <w:rsid w:val="07890548"/>
    <w:rsid w:val="07972C84"/>
    <w:rsid w:val="079D2AFD"/>
    <w:rsid w:val="079E75D7"/>
    <w:rsid w:val="07A87C98"/>
    <w:rsid w:val="07C254A0"/>
    <w:rsid w:val="07E122DD"/>
    <w:rsid w:val="07FA7657"/>
    <w:rsid w:val="08061EF8"/>
    <w:rsid w:val="08257123"/>
    <w:rsid w:val="083B2064"/>
    <w:rsid w:val="085063AC"/>
    <w:rsid w:val="085E4F3B"/>
    <w:rsid w:val="0886629E"/>
    <w:rsid w:val="08902385"/>
    <w:rsid w:val="08B64DF2"/>
    <w:rsid w:val="08CE638B"/>
    <w:rsid w:val="08E12795"/>
    <w:rsid w:val="08EB205A"/>
    <w:rsid w:val="08F00C11"/>
    <w:rsid w:val="09120CF8"/>
    <w:rsid w:val="09261F34"/>
    <w:rsid w:val="09423612"/>
    <w:rsid w:val="094967A7"/>
    <w:rsid w:val="09881861"/>
    <w:rsid w:val="09AE362B"/>
    <w:rsid w:val="09BD34C9"/>
    <w:rsid w:val="09D87DE5"/>
    <w:rsid w:val="09E55D37"/>
    <w:rsid w:val="09EF578D"/>
    <w:rsid w:val="0A5939B0"/>
    <w:rsid w:val="0A640D7D"/>
    <w:rsid w:val="0A727390"/>
    <w:rsid w:val="0A7579FA"/>
    <w:rsid w:val="0A7A6BC0"/>
    <w:rsid w:val="0A7B51F2"/>
    <w:rsid w:val="0A7C75A0"/>
    <w:rsid w:val="0A961BDC"/>
    <w:rsid w:val="0A9C299E"/>
    <w:rsid w:val="0ACC2675"/>
    <w:rsid w:val="0AE45D42"/>
    <w:rsid w:val="0AED6F85"/>
    <w:rsid w:val="0AF71CA7"/>
    <w:rsid w:val="0B04223A"/>
    <w:rsid w:val="0B2C4FA0"/>
    <w:rsid w:val="0B3B1F64"/>
    <w:rsid w:val="0B5022AB"/>
    <w:rsid w:val="0B54499A"/>
    <w:rsid w:val="0B5B02CC"/>
    <w:rsid w:val="0B917771"/>
    <w:rsid w:val="0B9F4F5C"/>
    <w:rsid w:val="0BC31997"/>
    <w:rsid w:val="0BD22E3D"/>
    <w:rsid w:val="0C304327"/>
    <w:rsid w:val="0C3231B7"/>
    <w:rsid w:val="0C52000E"/>
    <w:rsid w:val="0C9A3BF9"/>
    <w:rsid w:val="0CAC7A0C"/>
    <w:rsid w:val="0CB628CC"/>
    <w:rsid w:val="0CD801FB"/>
    <w:rsid w:val="0CDF52ED"/>
    <w:rsid w:val="0CEE43C0"/>
    <w:rsid w:val="0D1165BF"/>
    <w:rsid w:val="0D137D31"/>
    <w:rsid w:val="0D2B5896"/>
    <w:rsid w:val="0D342E7C"/>
    <w:rsid w:val="0D450918"/>
    <w:rsid w:val="0D533478"/>
    <w:rsid w:val="0D535AAE"/>
    <w:rsid w:val="0D623D7E"/>
    <w:rsid w:val="0D6A7C92"/>
    <w:rsid w:val="0DB67654"/>
    <w:rsid w:val="0DBF0492"/>
    <w:rsid w:val="0DC75B1D"/>
    <w:rsid w:val="0DD00E3F"/>
    <w:rsid w:val="0DD76579"/>
    <w:rsid w:val="0DE05871"/>
    <w:rsid w:val="0DE17919"/>
    <w:rsid w:val="0DF70DA6"/>
    <w:rsid w:val="0E1F6FAA"/>
    <w:rsid w:val="0E2265F8"/>
    <w:rsid w:val="0E2606C7"/>
    <w:rsid w:val="0E4C52FE"/>
    <w:rsid w:val="0E614822"/>
    <w:rsid w:val="0E631BE6"/>
    <w:rsid w:val="0E643DBA"/>
    <w:rsid w:val="0E682482"/>
    <w:rsid w:val="0E7025AA"/>
    <w:rsid w:val="0E976332"/>
    <w:rsid w:val="0EE84334"/>
    <w:rsid w:val="0EED2D5B"/>
    <w:rsid w:val="0EF71C11"/>
    <w:rsid w:val="0EFD57CD"/>
    <w:rsid w:val="0F040FAF"/>
    <w:rsid w:val="0F045587"/>
    <w:rsid w:val="0F0E5A75"/>
    <w:rsid w:val="0F1B6220"/>
    <w:rsid w:val="0F3A646F"/>
    <w:rsid w:val="0F570ADE"/>
    <w:rsid w:val="0F7015FC"/>
    <w:rsid w:val="0F7531AA"/>
    <w:rsid w:val="0FBA1D97"/>
    <w:rsid w:val="0FCF7069"/>
    <w:rsid w:val="0FCF72A6"/>
    <w:rsid w:val="0FDE71BA"/>
    <w:rsid w:val="0FF27688"/>
    <w:rsid w:val="0FF74C8C"/>
    <w:rsid w:val="0FFA6620"/>
    <w:rsid w:val="103F3738"/>
    <w:rsid w:val="105642D3"/>
    <w:rsid w:val="10797901"/>
    <w:rsid w:val="10826E3B"/>
    <w:rsid w:val="10831130"/>
    <w:rsid w:val="10944E97"/>
    <w:rsid w:val="109F46A0"/>
    <w:rsid w:val="10AD6046"/>
    <w:rsid w:val="10BC3B0C"/>
    <w:rsid w:val="10CA54CF"/>
    <w:rsid w:val="10D20B4E"/>
    <w:rsid w:val="10E649E2"/>
    <w:rsid w:val="10EA7D81"/>
    <w:rsid w:val="110173B6"/>
    <w:rsid w:val="110B2F40"/>
    <w:rsid w:val="110B5543"/>
    <w:rsid w:val="110F0319"/>
    <w:rsid w:val="11402091"/>
    <w:rsid w:val="114E30E4"/>
    <w:rsid w:val="116E2F51"/>
    <w:rsid w:val="11720664"/>
    <w:rsid w:val="11AD4FE9"/>
    <w:rsid w:val="11C90213"/>
    <w:rsid w:val="11FF08E4"/>
    <w:rsid w:val="12183F6B"/>
    <w:rsid w:val="12494E4E"/>
    <w:rsid w:val="126815D2"/>
    <w:rsid w:val="126B3EC3"/>
    <w:rsid w:val="12844FF2"/>
    <w:rsid w:val="12A874F6"/>
    <w:rsid w:val="12AB1CD2"/>
    <w:rsid w:val="12E30F09"/>
    <w:rsid w:val="12E903BD"/>
    <w:rsid w:val="12ED3A82"/>
    <w:rsid w:val="13212F58"/>
    <w:rsid w:val="134058A3"/>
    <w:rsid w:val="13441940"/>
    <w:rsid w:val="13444372"/>
    <w:rsid w:val="134B6C15"/>
    <w:rsid w:val="134C6E56"/>
    <w:rsid w:val="13503E7F"/>
    <w:rsid w:val="1350515E"/>
    <w:rsid w:val="135F0966"/>
    <w:rsid w:val="137D329A"/>
    <w:rsid w:val="13804B80"/>
    <w:rsid w:val="13DF76C3"/>
    <w:rsid w:val="13ED4B01"/>
    <w:rsid w:val="13EE7D5A"/>
    <w:rsid w:val="140F5055"/>
    <w:rsid w:val="14152773"/>
    <w:rsid w:val="14262B3E"/>
    <w:rsid w:val="142D1A7D"/>
    <w:rsid w:val="143639C6"/>
    <w:rsid w:val="145F25A1"/>
    <w:rsid w:val="148C2627"/>
    <w:rsid w:val="14973A03"/>
    <w:rsid w:val="14A447A3"/>
    <w:rsid w:val="14C80FCD"/>
    <w:rsid w:val="14D13D67"/>
    <w:rsid w:val="14D7425D"/>
    <w:rsid w:val="14F57B17"/>
    <w:rsid w:val="15051404"/>
    <w:rsid w:val="150C0D5B"/>
    <w:rsid w:val="15207671"/>
    <w:rsid w:val="153B6D9B"/>
    <w:rsid w:val="155A4AA0"/>
    <w:rsid w:val="155C389D"/>
    <w:rsid w:val="15644191"/>
    <w:rsid w:val="157638F5"/>
    <w:rsid w:val="15783A2A"/>
    <w:rsid w:val="158957C9"/>
    <w:rsid w:val="15956C76"/>
    <w:rsid w:val="15DC21AB"/>
    <w:rsid w:val="15F21407"/>
    <w:rsid w:val="15F55FD0"/>
    <w:rsid w:val="16002208"/>
    <w:rsid w:val="16112275"/>
    <w:rsid w:val="161E0E87"/>
    <w:rsid w:val="161E5D61"/>
    <w:rsid w:val="163458E2"/>
    <w:rsid w:val="167F13DB"/>
    <w:rsid w:val="16A5520F"/>
    <w:rsid w:val="16AA5E0D"/>
    <w:rsid w:val="16BD0215"/>
    <w:rsid w:val="16C11A1C"/>
    <w:rsid w:val="16C57987"/>
    <w:rsid w:val="16D37E6B"/>
    <w:rsid w:val="16DB6211"/>
    <w:rsid w:val="16E876EC"/>
    <w:rsid w:val="1714746F"/>
    <w:rsid w:val="171658EE"/>
    <w:rsid w:val="17190277"/>
    <w:rsid w:val="171E16DF"/>
    <w:rsid w:val="173968B8"/>
    <w:rsid w:val="173F086B"/>
    <w:rsid w:val="17494A62"/>
    <w:rsid w:val="174F34A7"/>
    <w:rsid w:val="178C2FBD"/>
    <w:rsid w:val="179C5255"/>
    <w:rsid w:val="17B06732"/>
    <w:rsid w:val="17C979DB"/>
    <w:rsid w:val="180001D8"/>
    <w:rsid w:val="18195DE6"/>
    <w:rsid w:val="18282B33"/>
    <w:rsid w:val="183C07DC"/>
    <w:rsid w:val="183E169A"/>
    <w:rsid w:val="18413BF7"/>
    <w:rsid w:val="184212AE"/>
    <w:rsid w:val="18561372"/>
    <w:rsid w:val="185A60CE"/>
    <w:rsid w:val="185B286E"/>
    <w:rsid w:val="187B1FB9"/>
    <w:rsid w:val="187D417A"/>
    <w:rsid w:val="187E5C8A"/>
    <w:rsid w:val="188D2130"/>
    <w:rsid w:val="18A614A7"/>
    <w:rsid w:val="18B00309"/>
    <w:rsid w:val="18B56288"/>
    <w:rsid w:val="18BF544C"/>
    <w:rsid w:val="18C57F7D"/>
    <w:rsid w:val="18E57016"/>
    <w:rsid w:val="18F93C51"/>
    <w:rsid w:val="19004F26"/>
    <w:rsid w:val="1902289E"/>
    <w:rsid w:val="19180693"/>
    <w:rsid w:val="192E154C"/>
    <w:rsid w:val="19414B97"/>
    <w:rsid w:val="194B56AB"/>
    <w:rsid w:val="195711D2"/>
    <w:rsid w:val="19721AA9"/>
    <w:rsid w:val="197A1953"/>
    <w:rsid w:val="197A4F59"/>
    <w:rsid w:val="197D7FCB"/>
    <w:rsid w:val="19AC7A30"/>
    <w:rsid w:val="19B32BE3"/>
    <w:rsid w:val="19C13D82"/>
    <w:rsid w:val="19CA2A35"/>
    <w:rsid w:val="19F154CF"/>
    <w:rsid w:val="19FA7CCE"/>
    <w:rsid w:val="1A152860"/>
    <w:rsid w:val="1A235CC1"/>
    <w:rsid w:val="1A292BCB"/>
    <w:rsid w:val="1A4D77FC"/>
    <w:rsid w:val="1A5E39E2"/>
    <w:rsid w:val="1A5F02AE"/>
    <w:rsid w:val="1A622F12"/>
    <w:rsid w:val="1A62689C"/>
    <w:rsid w:val="1A7A2BE2"/>
    <w:rsid w:val="1A7C5EDA"/>
    <w:rsid w:val="1A820F63"/>
    <w:rsid w:val="1A90022C"/>
    <w:rsid w:val="1A912EEE"/>
    <w:rsid w:val="1A9E3A87"/>
    <w:rsid w:val="1AB97219"/>
    <w:rsid w:val="1ABD361D"/>
    <w:rsid w:val="1AC67F3A"/>
    <w:rsid w:val="1AD512C3"/>
    <w:rsid w:val="1B016F75"/>
    <w:rsid w:val="1B064348"/>
    <w:rsid w:val="1B174707"/>
    <w:rsid w:val="1B4F37DF"/>
    <w:rsid w:val="1B792196"/>
    <w:rsid w:val="1B905864"/>
    <w:rsid w:val="1BD0287D"/>
    <w:rsid w:val="1BD3672F"/>
    <w:rsid w:val="1BD97324"/>
    <w:rsid w:val="1C142692"/>
    <w:rsid w:val="1C165D8F"/>
    <w:rsid w:val="1C17697D"/>
    <w:rsid w:val="1C2010A0"/>
    <w:rsid w:val="1C406A69"/>
    <w:rsid w:val="1C4F2A34"/>
    <w:rsid w:val="1C6E67AE"/>
    <w:rsid w:val="1C6F0D48"/>
    <w:rsid w:val="1C7927F1"/>
    <w:rsid w:val="1C82560D"/>
    <w:rsid w:val="1C8838BA"/>
    <w:rsid w:val="1C8D280D"/>
    <w:rsid w:val="1CA87A52"/>
    <w:rsid w:val="1CB02232"/>
    <w:rsid w:val="1CDF6687"/>
    <w:rsid w:val="1CE72C15"/>
    <w:rsid w:val="1D0D6FE3"/>
    <w:rsid w:val="1D401A12"/>
    <w:rsid w:val="1D43255B"/>
    <w:rsid w:val="1D505CCA"/>
    <w:rsid w:val="1D552567"/>
    <w:rsid w:val="1D596885"/>
    <w:rsid w:val="1D5B7056"/>
    <w:rsid w:val="1D763860"/>
    <w:rsid w:val="1DA015D8"/>
    <w:rsid w:val="1DA55E19"/>
    <w:rsid w:val="1DB046A2"/>
    <w:rsid w:val="1DC35A89"/>
    <w:rsid w:val="1DD1747E"/>
    <w:rsid w:val="1DDC108B"/>
    <w:rsid w:val="1DEE7CF7"/>
    <w:rsid w:val="1E336BF1"/>
    <w:rsid w:val="1E3B4997"/>
    <w:rsid w:val="1E435071"/>
    <w:rsid w:val="1E6C3238"/>
    <w:rsid w:val="1E7B6201"/>
    <w:rsid w:val="1E7E0571"/>
    <w:rsid w:val="1E887CC3"/>
    <w:rsid w:val="1E9F4528"/>
    <w:rsid w:val="1EB742A5"/>
    <w:rsid w:val="1EB9343A"/>
    <w:rsid w:val="1EE17E4A"/>
    <w:rsid w:val="1EE65506"/>
    <w:rsid w:val="1EE922B8"/>
    <w:rsid w:val="1EF426AD"/>
    <w:rsid w:val="1F070103"/>
    <w:rsid w:val="1F190E5B"/>
    <w:rsid w:val="1F2D45B2"/>
    <w:rsid w:val="1F3550C4"/>
    <w:rsid w:val="1F7C5AAA"/>
    <w:rsid w:val="1F7F3B41"/>
    <w:rsid w:val="1F831E44"/>
    <w:rsid w:val="1F884358"/>
    <w:rsid w:val="1F944407"/>
    <w:rsid w:val="1FB1465A"/>
    <w:rsid w:val="1FC17751"/>
    <w:rsid w:val="1FC656E2"/>
    <w:rsid w:val="1FDE771F"/>
    <w:rsid w:val="1FE50B62"/>
    <w:rsid w:val="1FE668B5"/>
    <w:rsid w:val="1FEF345E"/>
    <w:rsid w:val="1FF3147B"/>
    <w:rsid w:val="1FFE6CD2"/>
    <w:rsid w:val="201F361F"/>
    <w:rsid w:val="20273B26"/>
    <w:rsid w:val="203C307F"/>
    <w:rsid w:val="20544253"/>
    <w:rsid w:val="206703A7"/>
    <w:rsid w:val="206A01F8"/>
    <w:rsid w:val="20746021"/>
    <w:rsid w:val="20787E17"/>
    <w:rsid w:val="208674D5"/>
    <w:rsid w:val="209D366C"/>
    <w:rsid w:val="20C37D54"/>
    <w:rsid w:val="20E112FC"/>
    <w:rsid w:val="210D6BC0"/>
    <w:rsid w:val="21184235"/>
    <w:rsid w:val="21231F1B"/>
    <w:rsid w:val="21497015"/>
    <w:rsid w:val="215A3C49"/>
    <w:rsid w:val="21746145"/>
    <w:rsid w:val="217E2B3E"/>
    <w:rsid w:val="218314D0"/>
    <w:rsid w:val="21854EB9"/>
    <w:rsid w:val="21941D90"/>
    <w:rsid w:val="21A76EC3"/>
    <w:rsid w:val="21B57568"/>
    <w:rsid w:val="21BF71C8"/>
    <w:rsid w:val="21CD0527"/>
    <w:rsid w:val="21D061AB"/>
    <w:rsid w:val="21F43F82"/>
    <w:rsid w:val="223A2B58"/>
    <w:rsid w:val="224A018C"/>
    <w:rsid w:val="227222C8"/>
    <w:rsid w:val="227569B2"/>
    <w:rsid w:val="22834738"/>
    <w:rsid w:val="228E44F3"/>
    <w:rsid w:val="229C56D0"/>
    <w:rsid w:val="22B31E41"/>
    <w:rsid w:val="22C449BE"/>
    <w:rsid w:val="22CA239B"/>
    <w:rsid w:val="22E85311"/>
    <w:rsid w:val="22F24EAF"/>
    <w:rsid w:val="23157D46"/>
    <w:rsid w:val="23233F72"/>
    <w:rsid w:val="232D4A27"/>
    <w:rsid w:val="2339565C"/>
    <w:rsid w:val="23422AFB"/>
    <w:rsid w:val="236E5E8F"/>
    <w:rsid w:val="2389646A"/>
    <w:rsid w:val="23A81328"/>
    <w:rsid w:val="23EB5117"/>
    <w:rsid w:val="23EF5723"/>
    <w:rsid w:val="23F56B1F"/>
    <w:rsid w:val="24052E78"/>
    <w:rsid w:val="24206D61"/>
    <w:rsid w:val="24256697"/>
    <w:rsid w:val="24334A9E"/>
    <w:rsid w:val="243354BD"/>
    <w:rsid w:val="24336E89"/>
    <w:rsid w:val="24410021"/>
    <w:rsid w:val="246D00D0"/>
    <w:rsid w:val="248542C8"/>
    <w:rsid w:val="2489560B"/>
    <w:rsid w:val="24A4494B"/>
    <w:rsid w:val="24A925A4"/>
    <w:rsid w:val="24AB2EFD"/>
    <w:rsid w:val="24BA707C"/>
    <w:rsid w:val="24C16619"/>
    <w:rsid w:val="24C31D74"/>
    <w:rsid w:val="24C832F8"/>
    <w:rsid w:val="24D67313"/>
    <w:rsid w:val="24DD5345"/>
    <w:rsid w:val="24E171E0"/>
    <w:rsid w:val="24E24220"/>
    <w:rsid w:val="24EB7120"/>
    <w:rsid w:val="250B2F3C"/>
    <w:rsid w:val="251A3D6A"/>
    <w:rsid w:val="251B1C76"/>
    <w:rsid w:val="25262D8D"/>
    <w:rsid w:val="25383126"/>
    <w:rsid w:val="2541263F"/>
    <w:rsid w:val="255103E2"/>
    <w:rsid w:val="255721C3"/>
    <w:rsid w:val="256F2911"/>
    <w:rsid w:val="25852C6A"/>
    <w:rsid w:val="258A547D"/>
    <w:rsid w:val="259C2622"/>
    <w:rsid w:val="25B73FC2"/>
    <w:rsid w:val="25C1612A"/>
    <w:rsid w:val="25CE5A80"/>
    <w:rsid w:val="25F16AB4"/>
    <w:rsid w:val="261D5F1C"/>
    <w:rsid w:val="26346B00"/>
    <w:rsid w:val="263E73E7"/>
    <w:rsid w:val="26984E2B"/>
    <w:rsid w:val="26A12EEC"/>
    <w:rsid w:val="26A42F60"/>
    <w:rsid w:val="26AA3870"/>
    <w:rsid w:val="26DE22A3"/>
    <w:rsid w:val="27382C18"/>
    <w:rsid w:val="27410E9A"/>
    <w:rsid w:val="2759068A"/>
    <w:rsid w:val="275B1C7A"/>
    <w:rsid w:val="27662F92"/>
    <w:rsid w:val="279C1FEF"/>
    <w:rsid w:val="27AB2DB4"/>
    <w:rsid w:val="27BD4D96"/>
    <w:rsid w:val="27C412CF"/>
    <w:rsid w:val="27EF442A"/>
    <w:rsid w:val="27F3463B"/>
    <w:rsid w:val="27FD085A"/>
    <w:rsid w:val="28087664"/>
    <w:rsid w:val="2827736E"/>
    <w:rsid w:val="28504854"/>
    <w:rsid w:val="28514439"/>
    <w:rsid w:val="28567636"/>
    <w:rsid w:val="286514A0"/>
    <w:rsid w:val="28B056B4"/>
    <w:rsid w:val="28B66776"/>
    <w:rsid w:val="28C2197F"/>
    <w:rsid w:val="28EC2BF8"/>
    <w:rsid w:val="28F20F4C"/>
    <w:rsid w:val="28F6309B"/>
    <w:rsid w:val="28F93AB3"/>
    <w:rsid w:val="29267CAD"/>
    <w:rsid w:val="29291A97"/>
    <w:rsid w:val="29342A37"/>
    <w:rsid w:val="2944354B"/>
    <w:rsid w:val="29477650"/>
    <w:rsid w:val="29633FC0"/>
    <w:rsid w:val="29A33E08"/>
    <w:rsid w:val="29B725BD"/>
    <w:rsid w:val="29D250CB"/>
    <w:rsid w:val="29E7382D"/>
    <w:rsid w:val="29EA6B32"/>
    <w:rsid w:val="29EE62D5"/>
    <w:rsid w:val="29FB7F12"/>
    <w:rsid w:val="2A072E64"/>
    <w:rsid w:val="2A121825"/>
    <w:rsid w:val="2A301CF4"/>
    <w:rsid w:val="2A3D21DE"/>
    <w:rsid w:val="2A435AF3"/>
    <w:rsid w:val="2A4775F8"/>
    <w:rsid w:val="2A4A3F4F"/>
    <w:rsid w:val="2A507C37"/>
    <w:rsid w:val="2A563724"/>
    <w:rsid w:val="2A564E60"/>
    <w:rsid w:val="2A5866DA"/>
    <w:rsid w:val="2A8316C7"/>
    <w:rsid w:val="2A844CE7"/>
    <w:rsid w:val="2A9F1298"/>
    <w:rsid w:val="2AA54580"/>
    <w:rsid w:val="2AA77651"/>
    <w:rsid w:val="2AA859F9"/>
    <w:rsid w:val="2AAF154E"/>
    <w:rsid w:val="2AB90EB3"/>
    <w:rsid w:val="2ABE1FB8"/>
    <w:rsid w:val="2ACF129B"/>
    <w:rsid w:val="2AD03086"/>
    <w:rsid w:val="2AD72AF4"/>
    <w:rsid w:val="2AE25574"/>
    <w:rsid w:val="2B0F03A9"/>
    <w:rsid w:val="2B2F40FA"/>
    <w:rsid w:val="2B3A3BAC"/>
    <w:rsid w:val="2B3C756E"/>
    <w:rsid w:val="2B4E48FF"/>
    <w:rsid w:val="2B517F38"/>
    <w:rsid w:val="2B763455"/>
    <w:rsid w:val="2B791D82"/>
    <w:rsid w:val="2BAA522C"/>
    <w:rsid w:val="2BAC3146"/>
    <w:rsid w:val="2BCC7471"/>
    <w:rsid w:val="2BD675C6"/>
    <w:rsid w:val="2BF07533"/>
    <w:rsid w:val="2BF426FD"/>
    <w:rsid w:val="2C353FB8"/>
    <w:rsid w:val="2C356DFA"/>
    <w:rsid w:val="2C5D3CCD"/>
    <w:rsid w:val="2C6C0363"/>
    <w:rsid w:val="2C910971"/>
    <w:rsid w:val="2C96428F"/>
    <w:rsid w:val="2CDD2207"/>
    <w:rsid w:val="2CE367D5"/>
    <w:rsid w:val="2CF050A7"/>
    <w:rsid w:val="2CF85341"/>
    <w:rsid w:val="2D0550A0"/>
    <w:rsid w:val="2D0D758A"/>
    <w:rsid w:val="2D126C39"/>
    <w:rsid w:val="2D364E92"/>
    <w:rsid w:val="2D3D5F22"/>
    <w:rsid w:val="2D4E77CF"/>
    <w:rsid w:val="2D6718CB"/>
    <w:rsid w:val="2D7C1000"/>
    <w:rsid w:val="2D884D73"/>
    <w:rsid w:val="2DA74E45"/>
    <w:rsid w:val="2E1C325F"/>
    <w:rsid w:val="2E34206E"/>
    <w:rsid w:val="2E492474"/>
    <w:rsid w:val="2E501070"/>
    <w:rsid w:val="2E8118C0"/>
    <w:rsid w:val="2E857C1B"/>
    <w:rsid w:val="2E882A88"/>
    <w:rsid w:val="2E9070EA"/>
    <w:rsid w:val="2E995DB1"/>
    <w:rsid w:val="2EAD3D9F"/>
    <w:rsid w:val="2EC72B9E"/>
    <w:rsid w:val="2EC74BD9"/>
    <w:rsid w:val="2ED909E3"/>
    <w:rsid w:val="2EEA3BA7"/>
    <w:rsid w:val="2EED7864"/>
    <w:rsid w:val="2EF42A37"/>
    <w:rsid w:val="2EF611AD"/>
    <w:rsid w:val="2EF74DA9"/>
    <w:rsid w:val="2F215BF0"/>
    <w:rsid w:val="2F5426A7"/>
    <w:rsid w:val="2F566D63"/>
    <w:rsid w:val="2F71364F"/>
    <w:rsid w:val="2F7A0311"/>
    <w:rsid w:val="2F9429B5"/>
    <w:rsid w:val="2F990B0B"/>
    <w:rsid w:val="2FBF6B30"/>
    <w:rsid w:val="2FCA6E38"/>
    <w:rsid w:val="2FD57359"/>
    <w:rsid w:val="2FDB4884"/>
    <w:rsid w:val="2FEA6DBE"/>
    <w:rsid w:val="2FF73DA6"/>
    <w:rsid w:val="2FFC17E2"/>
    <w:rsid w:val="300863B5"/>
    <w:rsid w:val="301E587A"/>
    <w:rsid w:val="302A2E2F"/>
    <w:rsid w:val="303E5842"/>
    <w:rsid w:val="304469F4"/>
    <w:rsid w:val="30457D0B"/>
    <w:rsid w:val="307765E8"/>
    <w:rsid w:val="3089308E"/>
    <w:rsid w:val="30907F14"/>
    <w:rsid w:val="3092629B"/>
    <w:rsid w:val="30A20267"/>
    <w:rsid w:val="30A85440"/>
    <w:rsid w:val="30B70A6B"/>
    <w:rsid w:val="30B7777E"/>
    <w:rsid w:val="30CB17A9"/>
    <w:rsid w:val="30E53B50"/>
    <w:rsid w:val="3123051B"/>
    <w:rsid w:val="312355BE"/>
    <w:rsid w:val="313373CD"/>
    <w:rsid w:val="314113AC"/>
    <w:rsid w:val="31473CBB"/>
    <w:rsid w:val="31493476"/>
    <w:rsid w:val="31665052"/>
    <w:rsid w:val="316A2EEF"/>
    <w:rsid w:val="317540B8"/>
    <w:rsid w:val="31774F8B"/>
    <w:rsid w:val="317B7061"/>
    <w:rsid w:val="31946461"/>
    <w:rsid w:val="319B3432"/>
    <w:rsid w:val="31AC673D"/>
    <w:rsid w:val="31C82429"/>
    <w:rsid w:val="31D538CD"/>
    <w:rsid w:val="31D655B1"/>
    <w:rsid w:val="31DD76C6"/>
    <w:rsid w:val="31E567F4"/>
    <w:rsid w:val="31F1273D"/>
    <w:rsid w:val="31F4193E"/>
    <w:rsid w:val="32030304"/>
    <w:rsid w:val="321D341F"/>
    <w:rsid w:val="322418E0"/>
    <w:rsid w:val="323A39FE"/>
    <w:rsid w:val="323B5411"/>
    <w:rsid w:val="32457FA7"/>
    <w:rsid w:val="328A380E"/>
    <w:rsid w:val="328F1F84"/>
    <w:rsid w:val="329A6698"/>
    <w:rsid w:val="32A92232"/>
    <w:rsid w:val="32B378B1"/>
    <w:rsid w:val="32B4779F"/>
    <w:rsid w:val="32C26584"/>
    <w:rsid w:val="32DD5CB9"/>
    <w:rsid w:val="330842C4"/>
    <w:rsid w:val="33150659"/>
    <w:rsid w:val="33203D41"/>
    <w:rsid w:val="33241EBA"/>
    <w:rsid w:val="33332418"/>
    <w:rsid w:val="334354E6"/>
    <w:rsid w:val="334B38A8"/>
    <w:rsid w:val="33670F8E"/>
    <w:rsid w:val="33840E46"/>
    <w:rsid w:val="33966BC8"/>
    <w:rsid w:val="33981F4E"/>
    <w:rsid w:val="33DE703E"/>
    <w:rsid w:val="33E10A32"/>
    <w:rsid w:val="33FC1C13"/>
    <w:rsid w:val="340754EB"/>
    <w:rsid w:val="342C3D7E"/>
    <w:rsid w:val="34395602"/>
    <w:rsid w:val="343E2B9A"/>
    <w:rsid w:val="34532C98"/>
    <w:rsid w:val="345A4F33"/>
    <w:rsid w:val="345C2351"/>
    <w:rsid w:val="34621AD3"/>
    <w:rsid w:val="346F13E9"/>
    <w:rsid w:val="34740260"/>
    <w:rsid w:val="34A5524D"/>
    <w:rsid w:val="34AE043F"/>
    <w:rsid w:val="34B84F26"/>
    <w:rsid w:val="34B85D9B"/>
    <w:rsid w:val="34D954F3"/>
    <w:rsid w:val="34EF3700"/>
    <w:rsid w:val="34FD45E0"/>
    <w:rsid w:val="352C34BC"/>
    <w:rsid w:val="3530685E"/>
    <w:rsid w:val="35622612"/>
    <w:rsid w:val="35634C45"/>
    <w:rsid w:val="357E4A3F"/>
    <w:rsid w:val="359445DE"/>
    <w:rsid w:val="359D76C6"/>
    <w:rsid w:val="35DA5093"/>
    <w:rsid w:val="36037311"/>
    <w:rsid w:val="363E7FF9"/>
    <w:rsid w:val="36584840"/>
    <w:rsid w:val="36845A4F"/>
    <w:rsid w:val="36984011"/>
    <w:rsid w:val="36B12C89"/>
    <w:rsid w:val="36C15D63"/>
    <w:rsid w:val="36CF2C7A"/>
    <w:rsid w:val="36EA2120"/>
    <w:rsid w:val="36F30C25"/>
    <w:rsid w:val="36FC372C"/>
    <w:rsid w:val="372067C3"/>
    <w:rsid w:val="37284563"/>
    <w:rsid w:val="372B4E86"/>
    <w:rsid w:val="373070AE"/>
    <w:rsid w:val="373347B8"/>
    <w:rsid w:val="374B56AF"/>
    <w:rsid w:val="374E46DE"/>
    <w:rsid w:val="37950B33"/>
    <w:rsid w:val="379F40E6"/>
    <w:rsid w:val="37A65A4A"/>
    <w:rsid w:val="37B07A44"/>
    <w:rsid w:val="37C103A0"/>
    <w:rsid w:val="37C164F5"/>
    <w:rsid w:val="37C72E52"/>
    <w:rsid w:val="37CD3B63"/>
    <w:rsid w:val="37CF2BBD"/>
    <w:rsid w:val="37D74E1C"/>
    <w:rsid w:val="37D8536E"/>
    <w:rsid w:val="37DE7EC6"/>
    <w:rsid w:val="37F967C8"/>
    <w:rsid w:val="380C5094"/>
    <w:rsid w:val="381A475A"/>
    <w:rsid w:val="381C34E4"/>
    <w:rsid w:val="384E1239"/>
    <w:rsid w:val="384F46D6"/>
    <w:rsid w:val="385059D0"/>
    <w:rsid w:val="38856A31"/>
    <w:rsid w:val="388C0EA7"/>
    <w:rsid w:val="389C2D98"/>
    <w:rsid w:val="38B044F1"/>
    <w:rsid w:val="38BE4E9B"/>
    <w:rsid w:val="38C81BDD"/>
    <w:rsid w:val="38CA2B01"/>
    <w:rsid w:val="38F15CE8"/>
    <w:rsid w:val="38FB64A8"/>
    <w:rsid w:val="39054FC0"/>
    <w:rsid w:val="390C23CF"/>
    <w:rsid w:val="39190353"/>
    <w:rsid w:val="39285E70"/>
    <w:rsid w:val="392E0574"/>
    <w:rsid w:val="396A3D03"/>
    <w:rsid w:val="39CD2625"/>
    <w:rsid w:val="39F04834"/>
    <w:rsid w:val="39F24A20"/>
    <w:rsid w:val="39FB6041"/>
    <w:rsid w:val="3A1C1095"/>
    <w:rsid w:val="3A262604"/>
    <w:rsid w:val="3A3D7F33"/>
    <w:rsid w:val="3A5013F5"/>
    <w:rsid w:val="3A640F10"/>
    <w:rsid w:val="3A684185"/>
    <w:rsid w:val="3A7310A3"/>
    <w:rsid w:val="3A7A46C1"/>
    <w:rsid w:val="3A8F16C3"/>
    <w:rsid w:val="3AC37E2C"/>
    <w:rsid w:val="3AEC2789"/>
    <w:rsid w:val="3AF50E4A"/>
    <w:rsid w:val="3AF86E5C"/>
    <w:rsid w:val="3AFA05D2"/>
    <w:rsid w:val="3AFC491C"/>
    <w:rsid w:val="3AFE527A"/>
    <w:rsid w:val="3B210A03"/>
    <w:rsid w:val="3B321594"/>
    <w:rsid w:val="3B347DC9"/>
    <w:rsid w:val="3B385B0C"/>
    <w:rsid w:val="3B405225"/>
    <w:rsid w:val="3B5C09A4"/>
    <w:rsid w:val="3B7A2102"/>
    <w:rsid w:val="3BC1314C"/>
    <w:rsid w:val="3BD13CF5"/>
    <w:rsid w:val="3BD57116"/>
    <w:rsid w:val="3BE831D6"/>
    <w:rsid w:val="3C005DF9"/>
    <w:rsid w:val="3C261670"/>
    <w:rsid w:val="3C4A2A75"/>
    <w:rsid w:val="3C5E41C8"/>
    <w:rsid w:val="3C670AB0"/>
    <w:rsid w:val="3C6C5BAF"/>
    <w:rsid w:val="3C7719FC"/>
    <w:rsid w:val="3C8538A8"/>
    <w:rsid w:val="3C914CF9"/>
    <w:rsid w:val="3C992DEB"/>
    <w:rsid w:val="3CA368C1"/>
    <w:rsid w:val="3CA77C20"/>
    <w:rsid w:val="3CB06C70"/>
    <w:rsid w:val="3CBC0517"/>
    <w:rsid w:val="3CC93932"/>
    <w:rsid w:val="3CCE7943"/>
    <w:rsid w:val="3CD265C9"/>
    <w:rsid w:val="3CE121A4"/>
    <w:rsid w:val="3CE7631A"/>
    <w:rsid w:val="3CFD3F06"/>
    <w:rsid w:val="3D1710FF"/>
    <w:rsid w:val="3D1D7521"/>
    <w:rsid w:val="3D7D6B03"/>
    <w:rsid w:val="3DC92739"/>
    <w:rsid w:val="3DEC1BCD"/>
    <w:rsid w:val="3DF456C1"/>
    <w:rsid w:val="3E053629"/>
    <w:rsid w:val="3E0B50C2"/>
    <w:rsid w:val="3E2A6BEF"/>
    <w:rsid w:val="3E41314A"/>
    <w:rsid w:val="3E4646A0"/>
    <w:rsid w:val="3E49077E"/>
    <w:rsid w:val="3E4A15E4"/>
    <w:rsid w:val="3E5351D5"/>
    <w:rsid w:val="3E6D5B26"/>
    <w:rsid w:val="3E7977F9"/>
    <w:rsid w:val="3E7E485D"/>
    <w:rsid w:val="3E850C97"/>
    <w:rsid w:val="3E8C62E5"/>
    <w:rsid w:val="3E9832B4"/>
    <w:rsid w:val="3E9D7B8D"/>
    <w:rsid w:val="3EA327D8"/>
    <w:rsid w:val="3EB07585"/>
    <w:rsid w:val="3EB570F1"/>
    <w:rsid w:val="3ED716A0"/>
    <w:rsid w:val="3F1D0756"/>
    <w:rsid w:val="3F24710D"/>
    <w:rsid w:val="3F414B6B"/>
    <w:rsid w:val="3F4659AC"/>
    <w:rsid w:val="3F534DD9"/>
    <w:rsid w:val="3F583F6D"/>
    <w:rsid w:val="3F6800B8"/>
    <w:rsid w:val="3F7602E5"/>
    <w:rsid w:val="3F8769CB"/>
    <w:rsid w:val="3FA15ABC"/>
    <w:rsid w:val="3FCF2437"/>
    <w:rsid w:val="40243246"/>
    <w:rsid w:val="403B298C"/>
    <w:rsid w:val="40637612"/>
    <w:rsid w:val="40664F69"/>
    <w:rsid w:val="406B4CDA"/>
    <w:rsid w:val="40790754"/>
    <w:rsid w:val="408500D5"/>
    <w:rsid w:val="408C7A79"/>
    <w:rsid w:val="4091637B"/>
    <w:rsid w:val="40C451A5"/>
    <w:rsid w:val="40CA6521"/>
    <w:rsid w:val="40D60A02"/>
    <w:rsid w:val="40ED5921"/>
    <w:rsid w:val="41087027"/>
    <w:rsid w:val="410A27A5"/>
    <w:rsid w:val="412047BA"/>
    <w:rsid w:val="412820AF"/>
    <w:rsid w:val="415215E7"/>
    <w:rsid w:val="41524D9C"/>
    <w:rsid w:val="41825839"/>
    <w:rsid w:val="419A13B8"/>
    <w:rsid w:val="41D222F7"/>
    <w:rsid w:val="41D57031"/>
    <w:rsid w:val="41E86867"/>
    <w:rsid w:val="41E94A6F"/>
    <w:rsid w:val="41E962E7"/>
    <w:rsid w:val="41ED0C07"/>
    <w:rsid w:val="41F26A13"/>
    <w:rsid w:val="41FA7F30"/>
    <w:rsid w:val="420A2734"/>
    <w:rsid w:val="420A73C5"/>
    <w:rsid w:val="42142DD2"/>
    <w:rsid w:val="42162F4E"/>
    <w:rsid w:val="421B7106"/>
    <w:rsid w:val="42296596"/>
    <w:rsid w:val="42380147"/>
    <w:rsid w:val="42404609"/>
    <w:rsid w:val="42561003"/>
    <w:rsid w:val="425A126E"/>
    <w:rsid w:val="42601CF0"/>
    <w:rsid w:val="429207CF"/>
    <w:rsid w:val="42B23A70"/>
    <w:rsid w:val="42B67708"/>
    <w:rsid w:val="42C70DDA"/>
    <w:rsid w:val="42CB0650"/>
    <w:rsid w:val="42E859D2"/>
    <w:rsid w:val="42EE163A"/>
    <w:rsid w:val="42EF6A7C"/>
    <w:rsid w:val="430B2BF1"/>
    <w:rsid w:val="432257B3"/>
    <w:rsid w:val="43385104"/>
    <w:rsid w:val="433A5DAD"/>
    <w:rsid w:val="4346108B"/>
    <w:rsid w:val="43477E91"/>
    <w:rsid w:val="4378269F"/>
    <w:rsid w:val="438838B8"/>
    <w:rsid w:val="43AE6822"/>
    <w:rsid w:val="43BC4B33"/>
    <w:rsid w:val="43CC31BB"/>
    <w:rsid w:val="43D1290A"/>
    <w:rsid w:val="43DB3EE9"/>
    <w:rsid w:val="43F16737"/>
    <w:rsid w:val="44024DF9"/>
    <w:rsid w:val="440F2E34"/>
    <w:rsid w:val="44146A9A"/>
    <w:rsid w:val="441F3100"/>
    <w:rsid w:val="44244BCB"/>
    <w:rsid w:val="44257FE6"/>
    <w:rsid w:val="447459F8"/>
    <w:rsid w:val="447836DD"/>
    <w:rsid w:val="448014F2"/>
    <w:rsid w:val="44890522"/>
    <w:rsid w:val="4489659E"/>
    <w:rsid w:val="449B6F94"/>
    <w:rsid w:val="449C401E"/>
    <w:rsid w:val="449D3D9B"/>
    <w:rsid w:val="44A52C5E"/>
    <w:rsid w:val="44B75A28"/>
    <w:rsid w:val="44C77955"/>
    <w:rsid w:val="44CF45BE"/>
    <w:rsid w:val="44D432CF"/>
    <w:rsid w:val="44E82BA2"/>
    <w:rsid w:val="44EF465A"/>
    <w:rsid w:val="44FE20A4"/>
    <w:rsid w:val="450046B0"/>
    <w:rsid w:val="454F64A4"/>
    <w:rsid w:val="45594341"/>
    <w:rsid w:val="455A2059"/>
    <w:rsid w:val="45613FF6"/>
    <w:rsid w:val="456416C0"/>
    <w:rsid w:val="45752B20"/>
    <w:rsid w:val="45B10D79"/>
    <w:rsid w:val="45D257C3"/>
    <w:rsid w:val="46430613"/>
    <w:rsid w:val="466931BC"/>
    <w:rsid w:val="46851E0B"/>
    <w:rsid w:val="46853F02"/>
    <w:rsid w:val="469F5D97"/>
    <w:rsid w:val="46A43008"/>
    <w:rsid w:val="46A84705"/>
    <w:rsid w:val="46BE1238"/>
    <w:rsid w:val="46BE59A5"/>
    <w:rsid w:val="46C105D9"/>
    <w:rsid w:val="46C3272B"/>
    <w:rsid w:val="46CD5833"/>
    <w:rsid w:val="46D73156"/>
    <w:rsid w:val="46DA0E73"/>
    <w:rsid w:val="46EA58F9"/>
    <w:rsid w:val="46F21B51"/>
    <w:rsid w:val="470A3B3A"/>
    <w:rsid w:val="47224301"/>
    <w:rsid w:val="475A5DFF"/>
    <w:rsid w:val="476E38B8"/>
    <w:rsid w:val="47753C46"/>
    <w:rsid w:val="47775DA0"/>
    <w:rsid w:val="477C078B"/>
    <w:rsid w:val="47931FD5"/>
    <w:rsid w:val="47A966F1"/>
    <w:rsid w:val="47AB60FD"/>
    <w:rsid w:val="47F30444"/>
    <w:rsid w:val="47F442BE"/>
    <w:rsid w:val="47F47268"/>
    <w:rsid w:val="48341C0E"/>
    <w:rsid w:val="48353D17"/>
    <w:rsid w:val="483E59C9"/>
    <w:rsid w:val="48524B2B"/>
    <w:rsid w:val="485465DE"/>
    <w:rsid w:val="48556B27"/>
    <w:rsid w:val="48576EC9"/>
    <w:rsid w:val="48593654"/>
    <w:rsid w:val="486351F0"/>
    <w:rsid w:val="486810BC"/>
    <w:rsid w:val="48710302"/>
    <w:rsid w:val="48874181"/>
    <w:rsid w:val="48894292"/>
    <w:rsid w:val="48895E78"/>
    <w:rsid w:val="488A3BF4"/>
    <w:rsid w:val="48A01926"/>
    <w:rsid w:val="48AB5A46"/>
    <w:rsid w:val="48B4534F"/>
    <w:rsid w:val="48DF5282"/>
    <w:rsid w:val="48E355C3"/>
    <w:rsid w:val="48EF711D"/>
    <w:rsid w:val="48F00AAD"/>
    <w:rsid w:val="495C25E7"/>
    <w:rsid w:val="49842AA4"/>
    <w:rsid w:val="4986132B"/>
    <w:rsid w:val="49B46D82"/>
    <w:rsid w:val="49B8377E"/>
    <w:rsid w:val="49D81FB2"/>
    <w:rsid w:val="49EA4FB0"/>
    <w:rsid w:val="49F61E04"/>
    <w:rsid w:val="4A2619F1"/>
    <w:rsid w:val="4A284C7C"/>
    <w:rsid w:val="4A346ECC"/>
    <w:rsid w:val="4A4651F2"/>
    <w:rsid w:val="4A525637"/>
    <w:rsid w:val="4A526E3F"/>
    <w:rsid w:val="4A543D3C"/>
    <w:rsid w:val="4A6D1112"/>
    <w:rsid w:val="4A767E21"/>
    <w:rsid w:val="4A7A2F7F"/>
    <w:rsid w:val="4A847FA5"/>
    <w:rsid w:val="4AA76AAF"/>
    <w:rsid w:val="4AC241FD"/>
    <w:rsid w:val="4AC676B9"/>
    <w:rsid w:val="4ACC0D11"/>
    <w:rsid w:val="4ACD67AC"/>
    <w:rsid w:val="4AD9767B"/>
    <w:rsid w:val="4ADE2624"/>
    <w:rsid w:val="4AE82826"/>
    <w:rsid w:val="4AFE4077"/>
    <w:rsid w:val="4B0B4444"/>
    <w:rsid w:val="4B1675C2"/>
    <w:rsid w:val="4B1E705C"/>
    <w:rsid w:val="4B360F0C"/>
    <w:rsid w:val="4B4841DC"/>
    <w:rsid w:val="4B792497"/>
    <w:rsid w:val="4B8503C5"/>
    <w:rsid w:val="4B851ED9"/>
    <w:rsid w:val="4B8B013E"/>
    <w:rsid w:val="4B8D4F6F"/>
    <w:rsid w:val="4B936D5E"/>
    <w:rsid w:val="4BC10BAC"/>
    <w:rsid w:val="4BD770F2"/>
    <w:rsid w:val="4C04660E"/>
    <w:rsid w:val="4C082453"/>
    <w:rsid w:val="4C1A4F8A"/>
    <w:rsid w:val="4C293B66"/>
    <w:rsid w:val="4C795D27"/>
    <w:rsid w:val="4CAC5042"/>
    <w:rsid w:val="4CCF2AB1"/>
    <w:rsid w:val="4CFC13FE"/>
    <w:rsid w:val="4D0D6F14"/>
    <w:rsid w:val="4D1002BC"/>
    <w:rsid w:val="4D101C3A"/>
    <w:rsid w:val="4D126374"/>
    <w:rsid w:val="4D3449B3"/>
    <w:rsid w:val="4D403F0D"/>
    <w:rsid w:val="4D5B68BC"/>
    <w:rsid w:val="4D867E4A"/>
    <w:rsid w:val="4D9E2298"/>
    <w:rsid w:val="4D9E498F"/>
    <w:rsid w:val="4D9F59E5"/>
    <w:rsid w:val="4DA22348"/>
    <w:rsid w:val="4DBA3511"/>
    <w:rsid w:val="4DBD1662"/>
    <w:rsid w:val="4DC36B90"/>
    <w:rsid w:val="4DC70015"/>
    <w:rsid w:val="4DD14F9F"/>
    <w:rsid w:val="4DD9572C"/>
    <w:rsid w:val="4DE66A92"/>
    <w:rsid w:val="4E023111"/>
    <w:rsid w:val="4E1771BE"/>
    <w:rsid w:val="4E2877C8"/>
    <w:rsid w:val="4E3326CE"/>
    <w:rsid w:val="4E4631AF"/>
    <w:rsid w:val="4E485F00"/>
    <w:rsid w:val="4E764934"/>
    <w:rsid w:val="4E7A575A"/>
    <w:rsid w:val="4E8278F9"/>
    <w:rsid w:val="4E8F2655"/>
    <w:rsid w:val="4EBC1F4A"/>
    <w:rsid w:val="4EC7655A"/>
    <w:rsid w:val="4ECD4A7F"/>
    <w:rsid w:val="4EE53D92"/>
    <w:rsid w:val="4F1C55EB"/>
    <w:rsid w:val="4F3903E0"/>
    <w:rsid w:val="4F400385"/>
    <w:rsid w:val="4F465B59"/>
    <w:rsid w:val="4F551B82"/>
    <w:rsid w:val="4F5608BF"/>
    <w:rsid w:val="4F660994"/>
    <w:rsid w:val="4F857148"/>
    <w:rsid w:val="4F931B57"/>
    <w:rsid w:val="4FA73473"/>
    <w:rsid w:val="4FC62ADF"/>
    <w:rsid w:val="4FCD2185"/>
    <w:rsid w:val="4FE71269"/>
    <w:rsid w:val="4FEC2242"/>
    <w:rsid w:val="4FED1BDF"/>
    <w:rsid w:val="4FFA287C"/>
    <w:rsid w:val="50045CCC"/>
    <w:rsid w:val="50066530"/>
    <w:rsid w:val="50266687"/>
    <w:rsid w:val="505D28A7"/>
    <w:rsid w:val="507006C1"/>
    <w:rsid w:val="50772251"/>
    <w:rsid w:val="50A733E4"/>
    <w:rsid w:val="50B378E7"/>
    <w:rsid w:val="50BE59D7"/>
    <w:rsid w:val="50C94F3E"/>
    <w:rsid w:val="50CD52A8"/>
    <w:rsid w:val="50F64EAD"/>
    <w:rsid w:val="50F81384"/>
    <w:rsid w:val="51351F21"/>
    <w:rsid w:val="51481C92"/>
    <w:rsid w:val="515962FB"/>
    <w:rsid w:val="5160572D"/>
    <w:rsid w:val="51992AE2"/>
    <w:rsid w:val="51AC06EC"/>
    <w:rsid w:val="51B35025"/>
    <w:rsid w:val="51E245DC"/>
    <w:rsid w:val="52242447"/>
    <w:rsid w:val="523B15F2"/>
    <w:rsid w:val="52544EC3"/>
    <w:rsid w:val="526203BC"/>
    <w:rsid w:val="52636E29"/>
    <w:rsid w:val="526F6DF2"/>
    <w:rsid w:val="528F4722"/>
    <w:rsid w:val="529A7982"/>
    <w:rsid w:val="529C5B4E"/>
    <w:rsid w:val="529D0034"/>
    <w:rsid w:val="52BD5D5B"/>
    <w:rsid w:val="52E9650A"/>
    <w:rsid w:val="52F25BD4"/>
    <w:rsid w:val="52F95515"/>
    <w:rsid w:val="53075335"/>
    <w:rsid w:val="530A2D88"/>
    <w:rsid w:val="532669BD"/>
    <w:rsid w:val="53266BA5"/>
    <w:rsid w:val="53274F14"/>
    <w:rsid w:val="532A6B2B"/>
    <w:rsid w:val="532F5979"/>
    <w:rsid w:val="534F3702"/>
    <w:rsid w:val="53591B21"/>
    <w:rsid w:val="536C060E"/>
    <w:rsid w:val="537C01FE"/>
    <w:rsid w:val="539B74AF"/>
    <w:rsid w:val="539E2330"/>
    <w:rsid w:val="53AA4D53"/>
    <w:rsid w:val="5400314D"/>
    <w:rsid w:val="541961EF"/>
    <w:rsid w:val="541E4747"/>
    <w:rsid w:val="543E2B33"/>
    <w:rsid w:val="544A741E"/>
    <w:rsid w:val="544B4171"/>
    <w:rsid w:val="545E72F5"/>
    <w:rsid w:val="546513A4"/>
    <w:rsid w:val="548602C5"/>
    <w:rsid w:val="548E0360"/>
    <w:rsid w:val="54AC2B5B"/>
    <w:rsid w:val="54BF7165"/>
    <w:rsid w:val="54EB1402"/>
    <w:rsid w:val="54FF7A03"/>
    <w:rsid w:val="550B72FE"/>
    <w:rsid w:val="550F7B85"/>
    <w:rsid w:val="55756F12"/>
    <w:rsid w:val="55906139"/>
    <w:rsid w:val="55B7523E"/>
    <w:rsid w:val="55F374F1"/>
    <w:rsid w:val="561917FF"/>
    <w:rsid w:val="562A76AE"/>
    <w:rsid w:val="56435BB0"/>
    <w:rsid w:val="566A66EF"/>
    <w:rsid w:val="566C1CB3"/>
    <w:rsid w:val="5671286D"/>
    <w:rsid w:val="56740D7F"/>
    <w:rsid w:val="567D6126"/>
    <w:rsid w:val="56825453"/>
    <w:rsid w:val="56892E58"/>
    <w:rsid w:val="568A640B"/>
    <w:rsid w:val="568E4B17"/>
    <w:rsid w:val="569371F1"/>
    <w:rsid w:val="56A27892"/>
    <w:rsid w:val="56BE40F1"/>
    <w:rsid w:val="56D52A22"/>
    <w:rsid w:val="56F17DD7"/>
    <w:rsid w:val="5702619C"/>
    <w:rsid w:val="57055D74"/>
    <w:rsid w:val="571E5672"/>
    <w:rsid w:val="57327807"/>
    <w:rsid w:val="57723C25"/>
    <w:rsid w:val="57773BDC"/>
    <w:rsid w:val="57AF0E48"/>
    <w:rsid w:val="57BF33BA"/>
    <w:rsid w:val="57C57BE5"/>
    <w:rsid w:val="57D823B7"/>
    <w:rsid w:val="57DA0C33"/>
    <w:rsid w:val="57F333A0"/>
    <w:rsid w:val="57F62CB7"/>
    <w:rsid w:val="57F646C7"/>
    <w:rsid w:val="57FF5DBA"/>
    <w:rsid w:val="58115C39"/>
    <w:rsid w:val="582625B1"/>
    <w:rsid w:val="58422BCF"/>
    <w:rsid w:val="58556620"/>
    <w:rsid w:val="587844B0"/>
    <w:rsid w:val="58A6776F"/>
    <w:rsid w:val="591E759E"/>
    <w:rsid w:val="59214AB8"/>
    <w:rsid w:val="59236E75"/>
    <w:rsid w:val="59304790"/>
    <w:rsid w:val="593267D1"/>
    <w:rsid w:val="59365C8D"/>
    <w:rsid w:val="595D4E9C"/>
    <w:rsid w:val="596D33EF"/>
    <w:rsid w:val="5975135D"/>
    <w:rsid w:val="598473F2"/>
    <w:rsid w:val="599820E5"/>
    <w:rsid w:val="5998267E"/>
    <w:rsid w:val="59A40C15"/>
    <w:rsid w:val="59B13180"/>
    <w:rsid w:val="59B80902"/>
    <w:rsid w:val="59CC2C55"/>
    <w:rsid w:val="59D8366E"/>
    <w:rsid w:val="59DA581A"/>
    <w:rsid w:val="59F52E20"/>
    <w:rsid w:val="59F818E3"/>
    <w:rsid w:val="59F85AE0"/>
    <w:rsid w:val="59F87316"/>
    <w:rsid w:val="5A182593"/>
    <w:rsid w:val="5A364753"/>
    <w:rsid w:val="5A4B06CC"/>
    <w:rsid w:val="5A79307D"/>
    <w:rsid w:val="5A811036"/>
    <w:rsid w:val="5A981768"/>
    <w:rsid w:val="5A9B64E4"/>
    <w:rsid w:val="5ABF78D9"/>
    <w:rsid w:val="5ADB7236"/>
    <w:rsid w:val="5ADE67EB"/>
    <w:rsid w:val="5AEA340B"/>
    <w:rsid w:val="5AEC2D93"/>
    <w:rsid w:val="5AF03C67"/>
    <w:rsid w:val="5AF06850"/>
    <w:rsid w:val="5AFA77DC"/>
    <w:rsid w:val="5B0A1840"/>
    <w:rsid w:val="5B390F2D"/>
    <w:rsid w:val="5B5449A4"/>
    <w:rsid w:val="5B5B58F2"/>
    <w:rsid w:val="5B61066B"/>
    <w:rsid w:val="5B775125"/>
    <w:rsid w:val="5B81776D"/>
    <w:rsid w:val="5B941BDE"/>
    <w:rsid w:val="5B947F87"/>
    <w:rsid w:val="5B9A4EF0"/>
    <w:rsid w:val="5BA26431"/>
    <w:rsid w:val="5BAE2F5B"/>
    <w:rsid w:val="5BBC78FE"/>
    <w:rsid w:val="5BE71E7D"/>
    <w:rsid w:val="5BF4421B"/>
    <w:rsid w:val="5C151250"/>
    <w:rsid w:val="5C2B7C8C"/>
    <w:rsid w:val="5C485073"/>
    <w:rsid w:val="5C635172"/>
    <w:rsid w:val="5C6A456D"/>
    <w:rsid w:val="5C7301D2"/>
    <w:rsid w:val="5C9219FE"/>
    <w:rsid w:val="5C936C89"/>
    <w:rsid w:val="5C9A49BA"/>
    <w:rsid w:val="5CA27857"/>
    <w:rsid w:val="5CAE1CBE"/>
    <w:rsid w:val="5CB776DF"/>
    <w:rsid w:val="5CB8180D"/>
    <w:rsid w:val="5CC43312"/>
    <w:rsid w:val="5CCB66C7"/>
    <w:rsid w:val="5CCD6310"/>
    <w:rsid w:val="5CE04C1F"/>
    <w:rsid w:val="5CE22928"/>
    <w:rsid w:val="5CE24CB2"/>
    <w:rsid w:val="5D144C70"/>
    <w:rsid w:val="5D316F1A"/>
    <w:rsid w:val="5D34288F"/>
    <w:rsid w:val="5D416266"/>
    <w:rsid w:val="5D466147"/>
    <w:rsid w:val="5D4938E3"/>
    <w:rsid w:val="5D6A61CC"/>
    <w:rsid w:val="5D757B69"/>
    <w:rsid w:val="5D815F17"/>
    <w:rsid w:val="5DA4636D"/>
    <w:rsid w:val="5DB50D07"/>
    <w:rsid w:val="5DB54164"/>
    <w:rsid w:val="5DF86742"/>
    <w:rsid w:val="5E2770A2"/>
    <w:rsid w:val="5E3F11E2"/>
    <w:rsid w:val="5E4B1D3D"/>
    <w:rsid w:val="5E5C6217"/>
    <w:rsid w:val="5E781DDA"/>
    <w:rsid w:val="5EA70638"/>
    <w:rsid w:val="5ED03A93"/>
    <w:rsid w:val="5EE01BA8"/>
    <w:rsid w:val="5EF1496C"/>
    <w:rsid w:val="5F0C1E4D"/>
    <w:rsid w:val="5F112306"/>
    <w:rsid w:val="5F4822EE"/>
    <w:rsid w:val="5F5B211E"/>
    <w:rsid w:val="5F6677BA"/>
    <w:rsid w:val="5F6F47AA"/>
    <w:rsid w:val="5F7605D4"/>
    <w:rsid w:val="5F904527"/>
    <w:rsid w:val="5FB61842"/>
    <w:rsid w:val="5FB83166"/>
    <w:rsid w:val="5FD2438E"/>
    <w:rsid w:val="5FD73333"/>
    <w:rsid w:val="5FD917C7"/>
    <w:rsid w:val="602816AC"/>
    <w:rsid w:val="608C627B"/>
    <w:rsid w:val="60993151"/>
    <w:rsid w:val="609F4F79"/>
    <w:rsid w:val="60B20495"/>
    <w:rsid w:val="60B279D1"/>
    <w:rsid w:val="60B32E0C"/>
    <w:rsid w:val="60BA668A"/>
    <w:rsid w:val="60BD7C4A"/>
    <w:rsid w:val="60CA4AA4"/>
    <w:rsid w:val="60D653EB"/>
    <w:rsid w:val="60DF14F3"/>
    <w:rsid w:val="60E3472E"/>
    <w:rsid w:val="60ED6693"/>
    <w:rsid w:val="60F80D1F"/>
    <w:rsid w:val="61015055"/>
    <w:rsid w:val="611561C3"/>
    <w:rsid w:val="61404C5E"/>
    <w:rsid w:val="615F0878"/>
    <w:rsid w:val="617331FA"/>
    <w:rsid w:val="61AD119C"/>
    <w:rsid w:val="61B86B83"/>
    <w:rsid w:val="61D34813"/>
    <w:rsid w:val="61E77A7F"/>
    <w:rsid w:val="61E90A4C"/>
    <w:rsid w:val="61F5762E"/>
    <w:rsid w:val="61FE5783"/>
    <w:rsid w:val="620B0414"/>
    <w:rsid w:val="620D05CF"/>
    <w:rsid w:val="620F68DF"/>
    <w:rsid w:val="624F55AE"/>
    <w:rsid w:val="62597826"/>
    <w:rsid w:val="62716F31"/>
    <w:rsid w:val="627C6BCB"/>
    <w:rsid w:val="629406F4"/>
    <w:rsid w:val="629C1DD3"/>
    <w:rsid w:val="62B033F7"/>
    <w:rsid w:val="62BD3D86"/>
    <w:rsid w:val="62C11098"/>
    <w:rsid w:val="62D434DC"/>
    <w:rsid w:val="62E7644F"/>
    <w:rsid w:val="62EC7367"/>
    <w:rsid w:val="62ED4C46"/>
    <w:rsid w:val="63064D8F"/>
    <w:rsid w:val="6331070D"/>
    <w:rsid w:val="633262E9"/>
    <w:rsid w:val="633D22F6"/>
    <w:rsid w:val="633D6ED4"/>
    <w:rsid w:val="6363700D"/>
    <w:rsid w:val="636904BB"/>
    <w:rsid w:val="636926A4"/>
    <w:rsid w:val="63773F48"/>
    <w:rsid w:val="63B0157E"/>
    <w:rsid w:val="63DF72F7"/>
    <w:rsid w:val="63E4777B"/>
    <w:rsid w:val="63E622ED"/>
    <w:rsid w:val="63F706C7"/>
    <w:rsid w:val="6400029F"/>
    <w:rsid w:val="64052BF9"/>
    <w:rsid w:val="640E2F5D"/>
    <w:rsid w:val="640F3214"/>
    <w:rsid w:val="64192E1E"/>
    <w:rsid w:val="6436676E"/>
    <w:rsid w:val="647A32CC"/>
    <w:rsid w:val="648C00BD"/>
    <w:rsid w:val="64972A92"/>
    <w:rsid w:val="64A8477E"/>
    <w:rsid w:val="64CF782B"/>
    <w:rsid w:val="64F14CC9"/>
    <w:rsid w:val="650B3064"/>
    <w:rsid w:val="650E3190"/>
    <w:rsid w:val="65275F5A"/>
    <w:rsid w:val="653F4E9C"/>
    <w:rsid w:val="654B525C"/>
    <w:rsid w:val="65605D66"/>
    <w:rsid w:val="65662C31"/>
    <w:rsid w:val="65682A86"/>
    <w:rsid w:val="656A652D"/>
    <w:rsid w:val="657F0456"/>
    <w:rsid w:val="658C2E2E"/>
    <w:rsid w:val="65CA723E"/>
    <w:rsid w:val="65D056F4"/>
    <w:rsid w:val="65DD775A"/>
    <w:rsid w:val="65E7702B"/>
    <w:rsid w:val="65F36310"/>
    <w:rsid w:val="65F371FD"/>
    <w:rsid w:val="66246CFC"/>
    <w:rsid w:val="662937B7"/>
    <w:rsid w:val="662D2FE1"/>
    <w:rsid w:val="6643174C"/>
    <w:rsid w:val="66EA6290"/>
    <w:rsid w:val="66F04484"/>
    <w:rsid w:val="66F16386"/>
    <w:rsid w:val="66F319DD"/>
    <w:rsid w:val="67224850"/>
    <w:rsid w:val="67226B22"/>
    <w:rsid w:val="675869EA"/>
    <w:rsid w:val="67952DCD"/>
    <w:rsid w:val="679D0EA5"/>
    <w:rsid w:val="680F5B88"/>
    <w:rsid w:val="685551FE"/>
    <w:rsid w:val="686E4A96"/>
    <w:rsid w:val="68707B84"/>
    <w:rsid w:val="687D38ED"/>
    <w:rsid w:val="688768B2"/>
    <w:rsid w:val="68881AF3"/>
    <w:rsid w:val="68B6500B"/>
    <w:rsid w:val="68CA7EB4"/>
    <w:rsid w:val="68D21811"/>
    <w:rsid w:val="68D44B62"/>
    <w:rsid w:val="68DC1753"/>
    <w:rsid w:val="68DF5E8C"/>
    <w:rsid w:val="68F1307D"/>
    <w:rsid w:val="68F5279C"/>
    <w:rsid w:val="69024BF4"/>
    <w:rsid w:val="691A691A"/>
    <w:rsid w:val="691F7A38"/>
    <w:rsid w:val="692D3DC6"/>
    <w:rsid w:val="695F2847"/>
    <w:rsid w:val="696F340E"/>
    <w:rsid w:val="697D4B1A"/>
    <w:rsid w:val="698576BA"/>
    <w:rsid w:val="69B46639"/>
    <w:rsid w:val="69C10F26"/>
    <w:rsid w:val="69C32FAC"/>
    <w:rsid w:val="69C5194B"/>
    <w:rsid w:val="69E65786"/>
    <w:rsid w:val="69EC67D5"/>
    <w:rsid w:val="69F21B1D"/>
    <w:rsid w:val="69F62B67"/>
    <w:rsid w:val="69FA18C6"/>
    <w:rsid w:val="69FF372D"/>
    <w:rsid w:val="6A077463"/>
    <w:rsid w:val="6A1D2A49"/>
    <w:rsid w:val="6A3573C0"/>
    <w:rsid w:val="6A3971A5"/>
    <w:rsid w:val="6A4B3F72"/>
    <w:rsid w:val="6A6A2F73"/>
    <w:rsid w:val="6A6C65E9"/>
    <w:rsid w:val="6A812A85"/>
    <w:rsid w:val="6A814500"/>
    <w:rsid w:val="6AAD217E"/>
    <w:rsid w:val="6AD16DFB"/>
    <w:rsid w:val="6B367D6A"/>
    <w:rsid w:val="6B440EA1"/>
    <w:rsid w:val="6B4C2A16"/>
    <w:rsid w:val="6B7C73D7"/>
    <w:rsid w:val="6B897AD7"/>
    <w:rsid w:val="6B924F03"/>
    <w:rsid w:val="6B990F69"/>
    <w:rsid w:val="6B9A57D3"/>
    <w:rsid w:val="6B9F6823"/>
    <w:rsid w:val="6BC06C1F"/>
    <w:rsid w:val="6BFC7723"/>
    <w:rsid w:val="6C0A67ED"/>
    <w:rsid w:val="6C183C20"/>
    <w:rsid w:val="6C376DB5"/>
    <w:rsid w:val="6C530D20"/>
    <w:rsid w:val="6C5911AD"/>
    <w:rsid w:val="6C603F45"/>
    <w:rsid w:val="6C6E5A1A"/>
    <w:rsid w:val="6CB70F6C"/>
    <w:rsid w:val="6CCC2433"/>
    <w:rsid w:val="6CDF502A"/>
    <w:rsid w:val="6CEA228A"/>
    <w:rsid w:val="6CEE4DCE"/>
    <w:rsid w:val="6D0103B4"/>
    <w:rsid w:val="6D342A13"/>
    <w:rsid w:val="6D420F47"/>
    <w:rsid w:val="6D4D513F"/>
    <w:rsid w:val="6D535020"/>
    <w:rsid w:val="6D6F5AE1"/>
    <w:rsid w:val="6D6F5BBE"/>
    <w:rsid w:val="6D721BC3"/>
    <w:rsid w:val="6D7A2204"/>
    <w:rsid w:val="6D7E2E5D"/>
    <w:rsid w:val="6D894D56"/>
    <w:rsid w:val="6D9944AA"/>
    <w:rsid w:val="6DB02714"/>
    <w:rsid w:val="6DB838E1"/>
    <w:rsid w:val="6DB83B51"/>
    <w:rsid w:val="6DB843CD"/>
    <w:rsid w:val="6DBB496B"/>
    <w:rsid w:val="6DBF2656"/>
    <w:rsid w:val="6DC568E2"/>
    <w:rsid w:val="6DDF11A6"/>
    <w:rsid w:val="6E391FCD"/>
    <w:rsid w:val="6E62695F"/>
    <w:rsid w:val="6E80505E"/>
    <w:rsid w:val="6E833D4C"/>
    <w:rsid w:val="6E8D0098"/>
    <w:rsid w:val="6E961AB3"/>
    <w:rsid w:val="6EAD5BDB"/>
    <w:rsid w:val="6EB13D6C"/>
    <w:rsid w:val="6EB906F6"/>
    <w:rsid w:val="6EB9307E"/>
    <w:rsid w:val="6EC958AD"/>
    <w:rsid w:val="6ED913F1"/>
    <w:rsid w:val="6EF67D85"/>
    <w:rsid w:val="6F1476BF"/>
    <w:rsid w:val="6F1D2AFC"/>
    <w:rsid w:val="6F3E2A20"/>
    <w:rsid w:val="6F9F295F"/>
    <w:rsid w:val="6FB9382C"/>
    <w:rsid w:val="6FCD76FD"/>
    <w:rsid w:val="6FCF0781"/>
    <w:rsid w:val="6FD16F2D"/>
    <w:rsid w:val="6FD351CD"/>
    <w:rsid w:val="6FDC3780"/>
    <w:rsid w:val="6FF17B45"/>
    <w:rsid w:val="6FF34E68"/>
    <w:rsid w:val="6FFB3987"/>
    <w:rsid w:val="70077400"/>
    <w:rsid w:val="7016550E"/>
    <w:rsid w:val="702C28D1"/>
    <w:rsid w:val="705F1779"/>
    <w:rsid w:val="70665D87"/>
    <w:rsid w:val="706C1A83"/>
    <w:rsid w:val="708935DD"/>
    <w:rsid w:val="7090107B"/>
    <w:rsid w:val="70B42C1F"/>
    <w:rsid w:val="70D00490"/>
    <w:rsid w:val="70E47DE2"/>
    <w:rsid w:val="70EE2BBA"/>
    <w:rsid w:val="70FA67AC"/>
    <w:rsid w:val="7127374B"/>
    <w:rsid w:val="713945E7"/>
    <w:rsid w:val="715465CB"/>
    <w:rsid w:val="715B7258"/>
    <w:rsid w:val="71A1299B"/>
    <w:rsid w:val="71BE5AAF"/>
    <w:rsid w:val="71C20328"/>
    <w:rsid w:val="71CA00F5"/>
    <w:rsid w:val="71E8030C"/>
    <w:rsid w:val="71FD1295"/>
    <w:rsid w:val="72073947"/>
    <w:rsid w:val="720F0BC9"/>
    <w:rsid w:val="72121D80"/>
    <w:rsid w:val="7217045E"/>
    <w:rsid w:val="722F2394"/>
    <w:rsid w:val="7239605A"/>
    <w:rsid w:val="725672D4"/>
    <w:rsid w:val="725F2A73"/>
    <w:rsid w:val="726E4812"/>
    <w:rsid w:val="729254D2"/>
    <w:rsid w:val="72945A3C"/>
    <w:rsid w:val="729F08FB"/>
    <w:rsid w:val="72A55E09"/>
    <w:rsid w:val="72DB2CFB"/>
    <w:rsid w:val="72E834CD"/>
    <w:rsid w:val="730F2162"/>
    <w:rsid w:val="73123F59"/>
    <w:rsid w:val="73157132"/>
    <w:rsid w:val="73263ED3"/>
    <w:rsid w:val="732A139F"/>
    <w:rsid w:val="733527F5"/>
    <w:rsid w:val="734428D4"/>
    <w:rsid w:val="73915515"/>
    <w:rsid w:val="73D01008"/>
    <w:rsid w:val="73D55583"/>
    <w:rsid w:val="74013139"/>
    <w:rsid w:val="74240BDD"/>
    <w:rsid w:val="742830E0"/>
    <w:rsid w:val="742B4D5F"/>
    <w:rsid w:val="743D3029"/>
    <w:rsid w:val="7441504E"/>
    <w:rsid w:val="7441668C"/>
    <w:rsid w:val="74451B6E"/>
    <w:rsid w:val="74630153"/>
    <w:rsid w:val="74643F82"/>
    <w:rsid w:val="74B679A4"/>
    <w:rsid w:val="74B96C78"/>
    <w:rsid w:val="74F75874"/>
    <w:rsid w:val="750326CE"/>
    <w:rsid w:val="75086ABA"/>
    <w:rsid w:val="75094C83"/>
    <w:rsid w:val="750A341D"/>
    <w:rsid w:val="750E4351"/>
    <w:rsid w:val="75105179"/>
    <w:rsid w:val="752543CD"/>
    <w:rsid w:val="752B312B"/>
    <w:rsid w:val="75393AB8"/>
    <w:rsid w:val="7539491F"/>
    <w:rsid w:val="757354D0"/>
    <w:rsid w:val="757F2C5B"/>
    <w:rsid w:val="75AE7D6B"/>
    <w:rsid w:val="75B01F50"/>
    <w:rsid w:val="75B57674"/>
    <w:rsid w:val="75B65C42"/>
    <w:rsid w:val="75B72E2B"/>
    <w:rsid w:val="75B77BCE"/>
    <w:rsid w:val="75BC73A4"/>
    <w:rsid w:val="75C811AE"/>
    <w:rsid w:val="75D0318F"/>
    <w:rsid w:val="75DC5CC1"/>
    <w:rsid w:val="75E8481D"/>
    <w:rsid w:val="761B5CCF"/>
    <w:rsid w:val="76332655"/>
    <w:rsid w:val="76394B94"/>
    <w:rsid w:val="764026BE"/>
    <w:rsid w:val="76487F5B"/>
    <w:rsid w:val="7649537B"/>
    <w:rsid w:val="764E0A9E"/>
    <w:rsid w:val="76521A92"/>
    <w:rsid w:val="766B2A9C"/>
    <w:rsid w:val="766D43C0"/>
    <w:rsid w:val="76775EE9"/>
    <w:rsid w:val="76802E9D"/>
    <w:rsid w:val="76883A31"/>
    <w:rsid w:val="76903784"/>
    <w:rsid w:val="76A7599F"/>
    <w:rsid w:val="76A83241"/>
    <w:rsid w:val="76B958A6"/>
    <w:rsid w:val="76C13720"/>
    <w:rsid w:val="76CE72CC"/>
    <w:rsid w:val="76F03C7A"/>
    <w:rsid w:val="770C0663"/>
    <w:rsid w:val="770D5A8F"/>
    <w:rsid w:val="77156159"/>
    <w:rsid w:val="773633E6"/>
    <w:rsid w:val="773B5694"/>
    <w:rsid w:val="774774FD"/>
    <w:rsid w:val="774901EA"/>
    <w:rsid w:val="77492A21"/>
    <w:rsid w:val="7791148D"/>
    <w:rsid w:val="77A470C8"/>
    <w:rsid w:val="77B4184C"/>
    <w:rsid w:val="77BD3087"/>
    <w:rsid w:val="77C01DBF"/>
    <w:rsid w:val="77D35ED7"/>
    <w:rsid w:val="77D84E67"/>
    <w:rsid w:val="77D8638F"/>
    <w:rsid w:val="77D870BC"/>
    <w:rsid w:val="77DB55EA"/>
    <w:rsid w:val="77E416BB"/>
    <w:rsid w:val="78066C7C"/>
    <w:rsid w:val="78097B92"/>
    <w:rsid w:val="781C0A73"/>
    <w:rsid w:val="781D2DD5"/>
    <w:rsid w:val="782D4F87"/>
    <w:rsid w:val="783942D5"/>
    <w:rsid w:val="783E7FB9"/>
    <w:rsid w:val="785B295A"/>
    <w:rsid w:val="785F466B"/>
    <w:rsid w:val="786108E0"/>
    <w:rsid w:val="788420CF"/>
    <w:rsid w:val="78916540"/>
    <w:rsid w:val="78A056EE"/>
    <w:rsid w:val="78A14437"/>
    <w:rsid w:val="78AA0403"/>
    <w:rsid w:val="78D37B29"/>
    <w:rsid w:val="78D66AE6"/>
    <w:rsid w:val="78F66C7C"/>
    <w:rsid w:val="78F77226"/>
    <w:rsid w:val="790154F2"/>
    <w:rsid w:val="791464DF"/>
    <w:rsid w:val="79544485"/>
    <w:rsid w:val="795F40AD"/>
    <w:rsid w:val="79733413"/>
    <w:rsid w:val="79785C3E"/>
    <w:rsid w:val="79861C12"/>
    <w:rsid w:val="79865680"/>
    <w:rsid w:val="7987411C"/>
    <w:rsid w:val="79C03224"/>
    <w:rsid w:val="79C67671"/>
    <w:rsid w:val="7A2978D6"/>
    <w:rsid w:val="7A2D439D"/>
    <w:rsid w:val="7A383C62"/>
    <w:rsid w:val="7A3F2E14"/>
    <w:rsid w:val="7A4C2AA1"/>
    <w:rsid w:val="7A6816A5"/>
    <w:rsid w:val="7A6B0F57"/>
    <w:rsid w:val="7A8546C4"/>
    <w:rsid w:val="7A9A6164"/>
    <w:rsid w:val="7AA356A0"/>
    <w:rsid w:val="7AC3325B"/>
    <w:rsid w:val="7AE1078A"/>
    <w:rsid w:val="7AFC3200"/>
    <w:rsid w:val="7B1759DD"/>
    <w:rsid w:val="7B2C18FD"/>
    <w:rsid w:val="7B5F3984"/>
    <w:rsid w:val="7B6012FE"/>
    <w:rsid w:val="7B7834E2"/>
    <w:rsid w:val="7B8F656B"/>
    <w:rsid w:val="7BBA4C67"/>
    <w:rsid w:val="7BCF08F9"/>
    <w:rsid w:val="7BEE5BD7"/>
    <w:rsid w:val="7C015838"/>
    <w:rsid w:val="7C0D6D73"/>
    <w:rsid w:val="7C22148C"/>
    <w:rsid w:val="7C255653"/>
    <w:rsid w:val="7C690F47"/>
    <w:rsid w:val="7C740BBE"/>
    <w:rsid w:val="7C826BB3"/>
    <w:rsid w:val="7C8D3B69"/>
    <w:rsid w:val="7C9F5D8D"/>
    <w:rsid w:val="7CCA60F7"/>
    <w:rsid w:val="7CD61AD2"/>
    <w:rsid w:val="7CDC4F24"/>
    <w:rsid w:val="7CEC1208"/>
    <w:rsid w:val="7D023878"/>
    <w:rsid w:val="7D385295"/>
    <w:rsid w:val="7D642A9A"/>
    <w:rsid w:val="7D68107C"/>
    <w:rsid w:val="7D797F6E"/>
    <w:rsid w:val="7D8E7922"/>
    <w:rsid w:val="7DAD2E7F"/>
    <w:rsid w:val="7DAE25D1"/>
    <w:rsid w:val="7DB35614"/>
    <w:rsid w:val="7DC832D5"/>
    <w:rsid w:val="7DE54181"/>
    <w:rsid w:val="7E000249"/>
    <w:rsid w:val="7E0E0854"/>
    <w:rsid w:val="7E126FDF"/>
    <w:rsid w:val="7E131C1D"/>
    <w:rsid w:val="7E1710A4"/>
    <w:rsid w:val="7E264252"/>
    <w:rsid w:val="7E2815F2"/>
    <w:rsid w:val="7E2E44C0"/>
    <w:rsid w:val="7E452DE7"/>
    <w:rsid w:val="7E674F33"/>
    <w:rsid w:val="7E6A00E9"/>
    <w:rsid w:val="7E6B180D"/>
    <w:rsid w:val="7E703664"/>
    <w:rsid w:val="7E7B151D"/>
    <w:rsid w:val="7E8439E4"/>
    <w:rsid w:val="7EA808F3"/>
    <w:rsid w:val="7EBD11AE"/>
    <w:rsid w:val="7EC37424"/>
    <w:rsid w:val="7EE46C93"/>
    <w:rsid w:val="7F0807FB"/>
    <w:rsid w:val="7F265E5B"/>
    <w:rsid w:val="7F2764F9"/>
    <w:rsid w:val="7F433492"/>
    <w:rsid w:val="7F4A6B7B"/>
    <w:rsid w:val="7F5F40D1"/>
    <w:rsid w:val="7F6424F7"/>
    <w:rsid w:val="7F752A38"/>
    <w:rsid w:val="7F756D1F"/>
    <w:rsid w:val="7F946F97"/>
    <w:rsid w:val="7FB96127"/>
    <w:rsid w:val="7FD3226B"/>
    <w:rsid w:val="7FDB50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300" w:after="150" w:line="17" w:lineRule="atLeast"/>
      <w:jc w:val="left"/>
      <w:outlineLvl w:val="0"/>
    </w:pPr>
    <w:rPr>
      <w:rFonts w:hint="eastAsia" w:ascii="宋体" w:hAnsi="宋体"/>
      <w:b/>
      <w:kern w:val="44"/>
      <w:sz w:val="54"/>
      <w:szCs w:val="54"/>
    </w:rPr>
  </w:style>
  <w:style w:type="paragraph" w:styleId="4">
    <w:name w:val="heading 2"/>
    <w:basedOn w:val="1"/>
    <w:next w:val="5"/>
    <w:qFormat/>
    <w:uiPriority w:val="0"/>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0"/>
    <w:pPr>
      <w:keepNext/>
      <w:keepLines/>
      <w:spacing w:line="520" w:lineRule="exact"/>
      <w:ind w:firstLine="560" w:firstLineChars="200"/>
      <w:outlineLvl w:val="3"/>
    </w:pPr>
    <w:rPr>
      <w:rFonts w:ascii="楷体_GB2312" w:hAnsi="Arial" w:eastAsia="楷体_GB2312" w:cs="Times New Roman"/>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Salutation"/>
    <w:basedOn w:val="1"/>
    <w:next w:val="1"/>
    <w:qFormat/>
    <w:uiPriority w:val="0"/>
    <w:rPr>
      <w:sz w:val="24"/>
      <w:szCs w:val="20"/>
    </w:rPr>
  </w:style>
  <w:style w:type="paragraph" w:styleId="10">
    <w:name w:val="Body Text Indent"/>
    <w:basedOn w:val="1"/>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11">
    <w:name w:val="Plain Text"/>
    <w:basedOn w:val="1"/>
    <w:qFormat/>
    <w:uiPriority w:val="0"/>
    <w:rPr>
      <w:rFonts w:ascii="宋体" w:hAnsi="宋体"/>
      <w:szCs w:val="21"/>
    </w:rPr>
  </w:style>
  <w:style w:type="paragraph" w:styleId="12">
    <w:name w:val="Date"/>
    <w:basedOn w:val="1"/>
    <w:next w:val="1"/>
    <w:qFormat/>
    <w:uiPriority w:val="0"/>
    <w:pPr>
      <w:ind w:left="2500" w:leftChars="2500"/>
    </w:pPr>
    <w:rPr>
      <w:rFonts w:hint="eastAsia" w:ascii="仿宋_GB2312" w:eastAsia="仿宋_GB2312"/>
      <w:color w:val="000000"/>
      <w:kern w:val="0"/>
      <w:sz w:val="32"/>
    </w:r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70"/>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Body Text Indent 3"/>
    <w:basedOn w:val="1"/>
    <w:qFormat/>
    <w:uiPriority w:val="0"/>
    <w:pPr>
      <w:autoSpaceDE w:val="0"/>
      <w:autoSpaceDN w:val="0"/>
      <w:adjustRightInd w:val="0"/>
      <w:ind w:firstLine="570"/>
    </w:pPr>
    <w:rPr>
      <w:kern w:val="0"/>
      <w:sz w:val="32"/>
      <w:szCs w:val="32"/>
    </w:rPr>
  </w:style>
  <w:style w:type="paragraph" w:styleId="18">
    <w:name w:val="Normal (Web)"/>
    <w:basedOn w:val="1"/>
    <w:qFormat/>
    <w:uiPriority w:val="99"/>
    <w:pPr>
      <w:widowControl/>
      <w:spacing w:before="100" w:beforeAutospacing="1" w:after="100" w:afterAutospacing="1"/>
      <w:jc w:val="left"/>
    </w:pPr>
    <w:rPr>
      <w:rFonts w:ascii="宋体" w:hAnsi="宋体" w:cs="宋体"/>
      <w:sz w:val="24"/>
    </w:rPr>
  </w:style>
  <w:style w:type="paragraph" w:styleId="19">
    <w:name w:val="Title"/>
    <w:qFormat/>
    <w:uiPriority w:val="0"/>
    <w:pPr>
      <w:widowControl w:val="0"/>
      <w:spacing w:before="240" w:after="60" w:line="360" w:lineRule="auto"/>
      <w:ind w:firstLine="1121" w:firstLineChars="200"/>
      <w:jc w:val="center"/>
      <w:outlineLvl w:val="0"/>
    </w:pPr>
    <w:rPr>
      <w:rFonts w:ascii="Arial" w:hAnsi="Arial" w:eastAsia="仿宋_GB2312" w:cs="宋体"/>
      <w:b/>
      <w:kern w:val="2"/>
      <w:sz w:val="32"/>
      <w:szCs w:val="22"/>
      <w:lang w:val="en-US" w:eastAsia="zh-CN" w:bidi="ar-SA"/>
    </w:rPr>
  </w:style>
  <w:style w:type="paragraph" w:styleId="20">
    <w:name w:val="Body Text First Indent"/>
    <w:basedOn w:val="2"/>
    <w:qFormat/>
    <w:uiPriority w:val="0"/>
    <w:pPr>
      <w:ind w:firstLine="420" w:firstLineChars="100"/>
    </w:pPr>
    <w:rPr>
      <w:rFonts w:ascii="Times New Roman" w:hAnsi="Times New Roman"/>
      <w:sz w:val="18"/>
      <w:szCs w:val="18"/>
    </w:rPr>
  </w:style>
  <w:style w:type="paragraph" w:styleId="21">
    <w:name w:val="Body Text First Indent 2"/>
    <w:basedOn w:val="10"/>
    <w:qFormat/>
    <w:uiPriority w:val="0"/>
    <w:pPr>
      <w:spacing w:after="120" w:line="240" w:lineRule="auto"/>
      <w:ind w:left="420" w:leftChars="200" w:firstLine="420" w:firstLineChars="200"/>
    </w:pPr>
    <w:rPr>
      <w:rFonts w:ascii="Times New Roman" w:hAnsi="Times New Roman"/>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FollowedHyperlink"/>
    <w:basedOn w:val="24"/>
    <w:qFormat/>
    <w:uiPriority w:val="0"/>
    <w:rPr>
      <w:color w:val="333333"/>
      <w:u w:val="none"/>
    </w:rPr>
  </w:style>
  <w:style w:type="character" w:styleId="27">
    <w:name w:val="Emphasis"/>
    <w:basedOn w:val="24"/>
    <w:qFormat/>
    <w:uiPriority w:val="0"/>
  </w:style>
  <w:style w:type="character" w:styleId="28">
    <w:name w:val="HTML Definition"/>
    <w:basedOn w:val="24"/>
    <w:qFormat/>
    <w:uiPriority w:val="0"/>
    <w:rPr>
      <w:i/>
    </w:rPr>
  </w:style>
  <w:style w:type="character" w:styleId="29">
    <w:name w:val="Hyperlink"/>
    <w:basedOn w:val="24"/>
    <w:qFormat/>
    <w:uiPriority w:val="0"/>
    <w:rPr>
      <w:color w:val="333333"/>
      <w:u w:val="none"/>
    </w:rPr>
  </w:style>
  <w:style w:type="character" w:styleId="30">
    <w:name w:val="HTML Code"/>
    <w:basedOn w:val="24"/>
    <w:qFormat/>
    <w:uiPriority w:val="0"/>
    <w:rPr>
      <w:rFonts w:hint="default" w:ascii="Consolas" w:hAnsi="Consolas" w:eastAsia="Consolas" w:cs="Consolas"/>
      <w:color w:val="C7254E"/>
      <w:sz w:val="21"/>
      <w:szCs w:val="21"/>
      <w:shd w:val="clear" w:color="auto" w:fill="F9F2F4"/>
    </w:rPr>
  </w:style>
  <w:style w:type="character" w:styleId="31">
    <w:name w:val="annotation reference"/>
    <w:qFormat/>
    <w:uiPriority w:val="0"/>
    <w:rPr>
      <w:sz w:val="21"/>
      <w:szCs w:val="21"/>
    </w:rPr>
  </w:style>
  <w:style w:type="character" w:styleId="32">
    <w:name w:val="HTML Keyboard"/>
    <w:basedOn w:val="24"/>
    <w:qFormat/>
    <w:uiPriority w:val="0"/>
    <w:rPr>
      <w:rFonts w:hint="default" w:ascii="Consolas" w:hAnsi="Consolas" w:eastAsia="Consolas" w:cs="Consolas"/>
      <w:color w:val="FFFFFF"/>
      <w:sz w:val="21"/>
      <w:szCs w:val="21"/>
      <w:shd w:val="clear" w:color="auto" w:fill="333333"/>
    </w:rPr>
  </w:style>
  <w:style w:type="character" w:styleId="33">
    <w:name w:val="HTML Sample"/>
    <w:basedOn w:val="24"/>
    <w:qFormat/>
    <w:uiPriority w:val="0"/>
    <w:rPr>
      <w:rFonts w:ascii="Consolas" w:hAnsi="Consolas" w:eastAsia="Consolas" w:cs="Consolas"/>
      <w:sz w:val="21"/>
      <w:szCs w:val="21"/>
    </w:rPr>
  </w:style>
  <w:style w:type="paragraph" w:customStyle="1" w:styleId="34">
    <w:name w:val="title11"/>
    <w:basedOn w:val="1"/>
    <w:qFormat/>
    <w:uiPriority w:val="0"/>
    <w:pPr>
      <w:spacing w:before="150" w:line="450" w:lineRule="atLeast"/>
      <w:jc w:val="left"/>
    </w:pPr>
    <w:rPr>
      <w:b/>
      <w:kern w:val="0"/>
      <w:sz w:val="24"/>
    </w:rPr>
  </w:style>
  <w:style w:type="paragraph" w:customStyle="1" w:styleId="3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列出段落1"/>
    <w:basedOn w:val="1"/>
    <w:qFormat/>
    <w:uiPriority w:val="99"/>
    <w:pPr>
      <w:ind w:firstLine="420" w:firstLineChars="200"/>
    </w:pPr>
  </w:style>
  <w:style w:type="paragraph" w:customStyle="1" w:styleId="3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38">
    <w:name w:val="列出段落11"/>
    <w:basedOn w:val="1"/>
    <w:qFormat/>
    <w:uiPriority w:val="0"/>
    <w:pPr>
      <w:ind w:firstLine="420" w:firstLineChars="200"/>
    </w:pPr>
  </w:style>
  <w:style w:type="paragraph" w:customStyle="1" w:styleId="39">
    <w:name w:val="reader-word-layer reader-word-s34-5"/>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Char1"/>
    <w:basedOn w:val="1"/>
    <w:qFormat/>
    <w:uiPriority w:val="0"/>
    <w:rPr>
      <w:rFonts w:ascii="Times New Roman" w:hAnsi="Times New Roman"/>
      <w:szCs w:val="21"/>
    </w:rPr>
  </w:style>
  <w:style w:type="paragraph" w:customStyle="1" w:styleId="41">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paragraph" w:customStyle="1" w:styleId="42">
    <w:name w:val="title13"/>
    <w:basedOn w:val="1"/>
    <w:qFormat/>
    <w:uiPriority w:val="0"/>
    <w:pPr>
      <w:spacing w:before="150"/>
      <w:jc w:val="left"/>
    </w:pPr>
    <w:rPr>
      <w:b/>
      <w:kern w:val="0"/>
      <w:sz w:val="22"/>
      <w:szCs w:val="22"/>
    </w:rPr>
  </w:style>
  <w:style w:type="character" w:customStyle="1" w:styleId="43">
    <w:name w:val="hour_am"/>
    <w:basedOn w:val="24"/>
    <w:qFormat/>
    <w:uiPriority w:val="0"/>
  </w:style>
  <w:style w:type="character" w:customStyle="1" w:styleId="44">
    <w:name w:val="tmpztreemove_arrow"/>
    <w:basedOn w:val="24"/>
    <w:qFormat/>
    <w:uiPriority w:val="0"/>
    <w:rPr>
      <w:shd w:val="clear" w:color="auto" w:fill="FFFFFF"/>
    </w:rPr>
  </w:style>
  <w:style w:type="character" w:customStyle="1" w:styleId="45">
    <w:name w:val="old"/>
    <w:basedOn w:val="24"/>
    <w:qFormat/>
    <w:uiPriority w:val="0"/>
    <w:rPr>
      <w:color w:val="999999"/>
    </w:rPr>
  </w:style>
  <w:style w:type="character" w:customStyle="1" w:styleId="46">
    <w:name w:val="hover3"/>
    <w:basedOn w:val="24"/>
    <w:qFormat/>
    <w:uiPriority w:val="0"/>
    <w:rPr>
      <w:shd w:val="clear" w:color="auto" w:fill="EEEEEE"/>
    </w:rPr>
  </w:style>
  <w:style w:type="character" w:customStyle="1" w:styleId="47">
    <w:name w:val="glyphicon4"/>
    <w:basedOn w:val="24"/>
    <w:qFormat/>
    <w:uiPriority w:val="0"/>
  </w:style>
  <w:style w:type="character" w:customStyle="1" w:styleId="48">
    <w:name w:val="hour_pm"/>
    <w:basedOn w:val="24"/>
    <w:qFormat/>
    <w:uiPriority w:val="0"/>
  </w:style>
  <w:style w:type="character" w:customStyle="1" w:styleId="49">
    <w:name w:val="indent"/>
    <w:basedOn w:val="24"/>
    <w:qFormat/>
    <w:uiPriority w:val="0"/>
  </w:style>
  <w:style w:type="character" w:customStyle="1" w:styleId="50">
    <w:name w:val="button"/>
    <w:basedOn w:val="24"/>
    <w:qFormat/>
    <w:uiPriority w:val="0"/>
  </w:style>
  <w:style w:type="paragraph" w:customStyle="1" w:styleId="51">
    <w:name w:val="Char Char4 Char Char Char Char"/>
    <w:basedOn w:val="1"/>
    <w:qFormat/>
    <w:uiPriority w:val="0"/>
    <w:pPr>
      <w:spacing w:line="440" w:lineRule="atLeast"/>
      <w:ind w:firstLine="482" w:firstLineChars="200"/>
    </w:pPr>
    <w:rPr>
      <w:rFonts w:ascii="宋体" w:hAnsi="宋体"/>
      <w:b/>
      <w:color w:val="000000"/>
      <w:sz w:val="24"/>
    </w:rPr>
  </w:style>
  <w:style w:type="paragraph" w:customStyle="1" w:styleId="52">
    <w:name w:val="样式 首行缩进:  2 字符"/>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53">
    <w:name w:val="title12"/>
    <w:basedOn w:val="1"/>
    <w:qFormat/>
    <w:uiPriority w:val="0"/>
    <w:pPr>
      <w:spacing w:before="150"/>
      <w:jc w:val="left"/>
    </w:pPr>
    <w:rPr>
      <w:b/>
      <w:kern w:val="0"/>
      <w:sz w:val="22"/>
      <w:szCs w:val="22"/>
    </w:rPr>
  </w:style>
  <w:style w:type="paragraph" w:styleId="54">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5">
    <w:name w:val="四号正文"/>
    <w:basedOn w:val="1"/>
    <w:qFormat/>
    <w:uiPriority w:val="0"/>
    <w:pPr>
      <w:spacing w:line="360" w:lineRule="auto"/>
      <w:ind w:firstLine="560" w:firstLineChars="200"/>
    </w:pPr>
    <w:rPr>
      <w:rFonts w:asciiTheme="minorHAnsi" w:hAnsiTheme="minorHAnsi" w:cstheme="minorBidi"/>
      <w:szCs w:val="28"/>
    </w:rPr>
  </w:style>
  <w:style w:type="paragraph" w:customStyle="1" w:styleId="56">
    <w:name w:val="title1"/>
    <w:basedOn w:val="1"/>
    <w:qFormat/>
    <w:uiPriority w:val="0"/>
    <w:pPr>
      <w:spacing w:before="150"/>
      <w:jc w:val="left"/>
    </w:pPr>
    <w:rPr>
      <w:b/>
      <w:kern w:val="0"/>
      <w:sz w:val="22"/>
      <w:szCs w:val="22"/>
    </w:rPr>
  </w:style>
  <w:style w:type="character" w:customStyle="1" w:styleId="57">
    <w:name w:val="font11"/>
    <w:basedOn w:val="24"/>
    <w:qFormat/>
    <w:uiPriority w:val="0"/>
    <w:rPr>
      <w:rFonts w:ascii="宋体" w:hAnsi="宋体" w:eastAsia="宋体" w:cs="宋体"/>
      <w:color w:val="000000"/>
      <w:sz w:val="24"/>
      <w:szCs w:val="24"/>
      <w:u w:val="none"/>
    </w:rPr>
  </w:style>
  <w:style w:type="character" w:customStyle="1" w:styleId="58">
    <w:name w:val="font21"/>
    <w:basedOn w:val="24"/>
    <w:qFormat/>
    <w:uiPriority w:val="0"/>
    <w:rPr>
      <w:rFonts w:hint="eastAsia" w:ascii="宋体" w:hAnsi="宋体" w:eastAsia="宋体" w:cs="宋体"/>
      <w:color w:val="000000"/>
      <w:sz w:val="24"/>
      <w:szCs w:val="24"/>
      <w:u w:val="none"/>
    </w:rPr>
  </w:style>
  <w:style w:type="character" w:customStyle="1" w:styleId="59">
    <w:name w:val="font01"/>
    <w:basedOn w:val="24"/>
    <w:qFormat/>
    <w:uiPriority w:val="0"/>
    <w:rPr>
      <w:rFonts w:ascii="Arial" w:hAnsi="Arial" w:cs="Arial"/>
      <w:color w:val="000000"/>
      <w:sz w:val="24"/>
      <w:szCs w:val="24"/>
      <w:u w:val="none"/>
    </w:rPr>
  </w:style>
  <w:style w:type="character" w:customStyle="1" w:styleId="60">
    <w:name w:val="span-long"/>
    <w:basedOn w:val="24"/>
    <w:qFormat/>
    <w:uiPriority w:val="0"/>
  </w:style>
  <w:style w:type="character" w:customStyle="1" w:styleId="61">
    <w:name w:val="stclosebtn"/>
    <w:basedOn w:val="24"/>
    <w:qFormat/>
    <w:uiPriority w:val="0"/>
  </w:style>
  <w:style w:type="character" w:customStyle="1" w:styleId="62">
    <w:name w:val="phone"/>
    <w:basedOn w:val="24"/>
    <w:qFormat/>
    <w:uiPriority w:val="0"/>
    <w:rPr>
      <w:color w:val="FF8833"/>
      <w:sz w:val="18"/>
      <w:szCs w:val="18"/>
    </w:rPr>
  </w:style>
  <w:style w:type="character" w:customStyle="1" w:styleId="63">
    <w:name w:val="number"/>
    <w:basedOn w:val="24"/>
    <w:qFormat/>
    <w:uiPriority w:val="0"/>
    <w:rPr>
      <w:color w:val="FF8833"/>
      <w:sz w:val="18"/>
      <w:szCs w:val="18"/>
    </w:rPr>
  </w:style>
  <w:style w:type="character" w:customStyle="1" w:styleId="64">
    <w:name w:val="proollist"/>
    <w:basedOn w:val="24"/>
    <w:qFormat/>
    <w:uiPriority w:val="0"/>
  </w:style>
  <w:style w:type="character" w:customStyle="1" w:styleId="65">
    <w:name w:val="input-direction"/>
    <w:basedOn w:val="24"/>
    <w:qFormat/>
    <w:uiPriority w:val="0"/>
    <w:rPr>
      <w:color w:val="FF6600"/>
    </w:rPr>
  </w:style>
  <w:style w:type="character" w:customStyle="1" w:styleId="66">
    <w:name w:val="beforeinfotext"/>
    <w:basedOn w:val="24"/>
    <w:qFormat/>
    <w:uiPriority w:val="0"/>
    <w:rPr>
      <w:color w:val="666666"/>
    </w:rPr>
  </w:style>
  <w:style w:type="character" w:customStyle="1" w:styleId="67">
    <w:name w:val="active"/>
    <w:basedOn w:val="24"/>
    <w:qFormat/>
    <w:uiPriority w:val="0"/>
    <w:rPr>
      <w:color w:val="00FF00"/>
      <w:shd w:val="clear" w:color="auto" w:fill="000000"/>
    </w:rPr>
  </w:style>
  <w:style w:type="character" w:customStyle="1" w:styleId="68">
    <w:name w:val="hilite6"/>
    <w:basedOn w:val="24"/>
    <w:qFormat/>
    <w:uiPriority w:val="0"/>
    <w:rPr>
      <w:color w:val="FFFFFF"/>
      <w:shd w:val="clear" w:color="auto" w:fill="666677"/>
    </w:rPr>
  </w:style>
  <w:style w:type="paragraph" w:customStyle="1" w:styleId="69">
    <w:name w:val="WPSOffice手动目录 1"/>
    <w:qFormat/>
    <w:uiPriority w:val="0"/>
    <w:rPr>
      <w:rFonts w:ascii="Times New Roman" w:hAnsi="Times New Roman" w:eastAsia="宋体" w:cs="Times New Roman"/>
      <w:lang w:val="en-US" w:eastAsia="zh-CN" w:bidi="ar-SA"/>
    </w:rPr>
  </w:style>
  <w:style w:type="character" w:customStyle="1" w:styleId="70">
    <w:name w:val="批注框文本 Char"/>
    <w:basedOn w:val="24"/>
    <w:link w:val="14"/>
    <w:qFormat/>
    <w:uiPriority w:val="0"/>
    <w:rPr>
      <w:rFonts w:ascii="Calibri" w:hAnsi="Calibri"/>
      <w:kern w:val="2"/>
      <w:sz w:val="18"/>
      <w:szCs w:val="18"/>
    </w:rPr>
  </w:style>
  <w:style w:type="table" w:customStyle="1" w:styleId="71">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72">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73">
    <w:name w:val="p15"/>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61</Pages>
  <Words>29304</Words>
  <Characters>30928</Characters>
  <Lines>285</Lines>
  <Paragraphs>80</Paragraphs>
  <TotalTime>8</TotalTime>
  <ScaleCrop>false</ScaleCrop>
  <LinksUpToDate>false</LinksUpToDate>
  <CharactersWithSpaces>31596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2020-05-29T02:10:00Z</dcterms:created>
  <dc:creator>Administrator</dc:creator>
  <cp:lastModifiedBy>尘</cp:lastModifiedBy>
  <cp:lastPrinted>2021-07-19T06:18:00Z</cp:lastPrinted>
  <dcterms:modified xsi:type="dcterms:W3CDTF">2022-08-18T00:51:48Z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BA818E5EC30541558F27595678E35B71</vt:lpwstr>
  </property>
</Properties>
</file>