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政府采购项目</w:t>
      </w:r>
    </w:p>
    <w:p>
      <w:pPr>
        <w:autoSpaceDE w:val="0"/>
        <w:autoSpaceDN w:val="0"/>
        <w:adjustRightInd w:val="0"/>
        <w:snapToGrid w:val="0"/>
        <w:spacing w:line="360" w:lineRule="auto"/>
        <w:jc w:val="left"/>
        <w:rPr>
          <w:rFonts w:hint="default"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zh-CN"/>
        </w:rPr>
        <w:t>采购项目编号：ZCSP-延川县-202</w:t>
      </w:r>
      <w:r>
        <w:rPr>
          <w:rFonts w:hint="eastAsia" w:ascii="仿宋_GB2312" w:hAnsi="仿宋_GB2312" w:eastAsia="仿宋_GB2312" w:cs="仿宋_GB2312"/>
          <w:b/>
          <w:bCs/>
          <w:color w:val="auto"/>
          <w:sz w:val="30"/>
          <w:szCs w:val="30"/>
          <w:highlight w:val="none"/>
          <w:lang w:val="en-US" w:eastAsia="zh-CN"/>
        </w:rPr>
        <w:t>3</w:t>
      </w:r>
      <w:r>
        <w:rPr>
          <w:rFonts w:hint="eastAsia" w:ascii="仿宋_GB2312" w:hAnsi="仿宋_GB2312" w:eastAsia="仿宋_GB2312" w:cs="仿宋_GB2312"/>
          <w:b/>
          <w:bCs/>
          <w:color w:val="auto"/>
          <w:sz w:val="30"/>
          <w:szCs w:val="30"/>
          <w:highlight w:val="none"/>
          <w:lang w:val="zh-CN"/>
        </w:rPr>
        <w:t>-00</w:t>
      </w:r>
      <w:r>
        <w:rPr>
          <w:rFonts w:hint="eastAsia" w:ascii="仿宋_GB2312" w:hAnsi="仿宋_GB2312" w:eastAsia="仿宋_GB2312" w:cs="仿宋_GB2312"/>
          <w:b/>
          <w:bCs/>
          <w:color w:val="auto"/>
          <w:sz w:val="30"/>
          <w:szCs w:val="30"/>
          <w:highlight w:val="none"/>
          <w:lang w:val="en-US" w:eastAsia="zh-CN"/>
        </w:rPr>
        <w:t>022</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highlight w:val="none"/>
        </w:rPr>
      </w:pPr>
    </w:p>
    <w:p>
      <w:pPr>
        <w:tabs>
          <w:tab w:val="left" w:pos="5670"/>
        </w:tabs>
        <w:autoSpaceDE w:val="0"/>
        <w:autoSpaceDN w:val="0"/>
        <w:adjustRightInd w:val="0"/>
        <w:snapToGrid w:val="0"/>
        <w:spacing w:line="360" w:lineRule="auto"/>
        <w:jc w:val="both"/>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highlight w:val="none"/>
        </w:rPr>
      </w:pPr>
    </w:p>
    <w:p>
      <w:pPr>
        <w:tabs>
          <w:tab w:val="left" w:pos="5670"/>
        </w:tabs>
        <w:autoSpaceDE w:val="0"/>
        <w:autoSpaceDN w:val="0"/>
        <w:adjustRightInd w:val="0"/>
        <w:snapToGrid w:val="0"/>
        <w:spacing w:line="360" w:lineRule="auto"/>
        <w:jc w:val="center"/>
        <w:rPr>
          <w:rFonts w:hint="eastAsia" w:ascii="仿宋" w:hAnsi="仿宋" w:eastAsia="仿宋"/>
          <w:b/>
          <w:bCs/>
          <w:color w:val="auto"/>
          <w:sz w:val="44"/>
          <w:szCs w:val="44"/>
          <w:highlight w:val="none"/>
          <w:lang w:val="zh-CN" w:eastAsia="zh-CN"/>
        </w:rPr>
      </w:pPr>
      <w:r>
        <w:rPr>
          <w:rFonts w:hint="eastAsia" w:ascii="仿宋" w:hAnsi="仿宋" w:eastAsia="仿宋"/>
          <w:b/>
          <w:bCs/>
          <w:color w:val="auto"/>
          <w:sz w:val="44"/>
          <w:szCs w:val="44"/>
          <w:highlight w:val="none"/>
          <w:lang w:val="en-US" w:eastAsia="zh-CN"/>
        </w:rPr>
        <w:t>延川县民政局关于失能半失能照护服务中心建设项目施工图设计项目</w:t>
      </w:r>
    </w:p>
    <w:p>
      <w:pPr>
        <w:pStyle w:val="34"/>
        <w:rPr>
          <w:color w:val="auto"/>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竞争性磋商文件</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pStyle w:val="23"/>
        <w:rPr>
          <w:color w:val="auto"/>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rPr>
      </w:pPr>
    </w:p>
    <w:p>
      <w:pPr>
        <w:tabs>
          <w:tab w:val="left" w:pos="5670"/>
        </w:tabs>
        <w:autoSpaceDE w:val="0"/>
        <w:autoSpaceDN w:val="0"/>
        <w:adjustRightInd w:val="0"/>
        <w:snapToGrid w:val="0"/>
        <w:spacing w:line="360" w:lineRule="auto"/>
        <w:jc w:val="center"/>
        <w:rPr>
          <w:rFonts w:hint="default"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zh-CN"/>
        </w:rPr>
        <w:t xml:space="preserve"> </w:t>
      </w:r>
      <w:r>
        <w:rPr>
          <w:rFonts w:hint="eastAsia" w:ascii="仿宋_GB2312" w:hAnsi="仿宋_GB2312" w:eastAsia="仿宋_GB2312" w:cs="仿宋_GB2312"/>
          <w:b/>
          <w:bCs/>
          <w:color w:val="auto"/>
          <w:sz w:val="30"/>
          <w:szCs w:val="30"/>
          <w:highlight w:val="none"/>
          <w:lang w:val="en-US" w:eastAsia="zh-CN"/>
        </w:rPr>
        <w:t>延川县政府采购中心</w:t>
      </w:r>
    </w:p>
    <w:p>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highlight w:val="none"/>
          <w:lang w:val="zh-CN"/>
        </w:rPr>
      </w:pPr>
      <w:r>
        <w:rPr>
          <w:rFonts w:hint="eastAsia" w:ascii="仿宋_GB2312" w:hAnsi="仿宋_GB2312" w:eastAsia="仿宋_GB2312" w:cs="仿宋_GB2312"/>
          <w:b/>
          <w:bCs/>
          <w:color w:val="auto"/>
          <w:sz w:val="30"/>
          <w:szCs w:val="30"/>
          <w:highlight w:val="none"/>
          <w:lang w:val="zh-CN"/>
        </w:rPr>
        <w:t>二〇二</w:t>
      </w:r>
      <w:r>
        <w:rPr>
          <w:rFonts w:hint="eastAsia" w:ascii="仿宋_GB2312" w:hAnsi="仿宋_GB2312" w:eastAsia="仿宋_GB2312" w:cs="仿宋_GB2312"/>
          <w:b/>
          <w:bCs/>
          <w:color w:val="auto"/>
          <w:sz w:val="30"/>
          <w:szCs w:val="30"/>
          <w:highlight w:val="none"/>
          <w:lang w:val="en-US" w:eastAsia="zh-CN"/>
        </w:rPr>
        <w:t>三</w:t>
      </w:r>
      <w:r>
        <w:rPr>
          <w:rFonts w:hint="eastAsia" w:ascii="仿宋_GB2312" w:hAnsi="仿宋_GB2312" w:eastAsia="仿宋_GB2312" w:cs="仿宋_GB2312"/>
          <w:b/>
          <w:bCs/>
          <w:color w:val="auto"/>
          <w:sz w:val="30"/>
          <w:szCs w:val="30"/>
          <w:highlight w:val="none"/>
          <w:lang w:val="zh-CN"/>
        </w:rPr>
        <w:t>年</w:t>
      </w:r>
      <w:r>
        <w:rPr>
          <w:rFonts w:hint="eastAsia" w:ascii="仿宋_GB2312" w:hAnsi="仿宋_GB2312" w:eastAsia="仿宋_GB2312" w:cs="仿宋_GB2312"/>
          <w:b/>
          <w:bCs/>
          <w:color w:val="auto"/>
          <w:sz w:val="30"/>
          <w:szCs w:val="30"/>
          <w:highlight w:val="none"/>
          <w:lang w:val="en-US" w:eastAsia="zh-CN"/>
        </w:rPr>
        <w:t>五</w:t>
      </w:r>
      <w:r>
        <w:rPr>
          <w:rFonts w:hint="eastAsia" w:ascii="仿宋_GB2312" w:hAnsi="仿宋_GB2312" w:eastAsia="仿宋_GB2312" w:cs="仿宋_GB2312"/>
          <w:b/>
          <w:bCs/>
          <w:color w:val="auto"/>
          <w:sz w:val="30"/>
          <w:szCs w:val="30"/>
          <w:highlight w:val="none"/>
          <w:lang w:val="zh-CN"/>
        </w:rPr>
        <w:t>月</w:t>
      </w:r>
    </w:p>
    <w:p>
      <w:pPr>
        <w:tabs>
          <w:tab w:val="left" w:pos="3739"/>
        </w:tabs>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b/>
      </w: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23"/>
        <w:rPr>
          <w:color w:val="auto"/>
          <w:highlight w:val="none"/>
        </w:rPr>
        <w:sectPr>
          <w:headerReference r:id="rId3" w:type="first"/>
          <w:footerReference r:id="rId4"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hint="eastAsia" w:ascii="仿宋_GB2312" w:hAnsi="仿宋_GB2312" w:eastAsia="仿宋_GB2312" w:cs="仿宋_GB2312"/>
          <w:b/>
          <w:color w:val="auto"/>
          <w:sz w:val="32"/>
          <w:szCs w:val="32"/>
          <w:highlight w:val="none"/>
        </w:rPr>
      </w:pPr>
    </w:p>
    <w:p>
      <w:pPr>
        <w:pStyle w:val="6"/>
        <w:ind w:firstLine="0" w:firstLineChars="0"/>
        <w:jc w:val="center"/>
        <w:rPr>
          <w:rFonts w:hint="eastAsia" w:ascii="仿宋_GB2312" w:hAnsi="仿宋_GB2312" w:eastAsia="仿宋_GB2312" w:cs="仿宋_GB2312"/>
          <w:b/>
          <w:color w:val="auto"/>
          <w:sz w:val="32"/>
          <w:szCs w:val="32"/>
          <w:highlight w:val="none"/>
        </w:rPr>
      </w:pPr>
    </w:p>
    <w:p>
      <w:pPr>
        <w:pStyle w:val="6"/>
        <w:ind w:firstLine="0" w:firstLineChars="0"/>
        <w:jc w:val="center"/>
        <w:rPr>
          <w:rFonts w:ascii="MV Boli" w:hAnsi="MV Boli" w:eastAsia="黑体" w:cs="MV Boli"/>
          <w:color w:val="auto"/>
          <w:sz w:val="48"/>
          <w:szCs w:val="48"/>
          <w:highlight w:val="none"/>
        </w:rPr>
      </w:pPr>
      <w:r>
        <w:rPr>
          <w:rFonts w:ascii="MV Boli" w:hAnsi="黑体" w:eastAsia="黑体" w:cs="MV Boli"/>
          <w:color w:val="auto"/>
          <w:sz w:val="48"/>
          <w:szCs w:val="48"/>
          <w:highlight w:val="none"/>
        </w:rPr>
        <w:t>目</w:t>
      </w:r>
      <w:r>
        <w:rPr>
          <w:rFonts w:ascii="MV Boli" w:hAnsi="MV Boli" w:eastAsia="黑体" w:cs="MV Boli"/>
          <w:color w:val="auto"/>
          <w:sz w:val="48"/>
          <w:szCs w:val="48"/>
          <w:highlight w:val="none"/>
        </w:rPr>
        <w:t xml:space="preserve"> </w:t>
      </w:r>
      <w:r>
        <w:rPr>
          <w:rFonts w:ascii="MV Boli" w:hAnsi="黑体" w:eastAsia="黑体" w:cs="MV Boli"/>
          <w:color w:val="auto"/>
          <w:sz w:val="48"/>
          <w:szCs w:val="48"/>
          <w:highlight w:val="none"/>
        </w:rPr>
        <w:t>录</w:t>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rFonts w:hint="eastAsia" w:ascii="仿宋_GB2312" w:hAnsi="仿宋_GB2312" w:eastAsia="仿宋_GB2312" w:cs="仿宋_GB2312"/>
          <w:b w:val="0"/>
          <w:bCs w:val="0"/>
          <w:color w:val="auto"/>
          <w:sz w:val="28"/>
          <w:szCs w:val="28"/>
          <w:highlight w:val="none"/>
        </w:rPr>
        <w:fldChar w:fldCharType="begin"/>
      </w:r>
      <w:r>
        <w:rPr>
          <w:rFonts w:hint="eastAsia" w:ascii="仿宋_GB2312" w:hAnsi="仿宋_GB2312" w:eastAsia="仿宋_GB2312" w:cs="仿宋_GB2312"/>
          <w:b w:val="0"/>
          <w:bCs w:val="0"/>
          <w:color w:val="auto"/>
          <w:sz w:val="28"/>
          <w:szCs w:val="28"/>
          <w:highlight w:val="none"/>
        </w:rPr>
        <w:instrText xml:space="preserve"> TOC \o "1-2" \h \z \u </w:instrText>
      </w:r>
      <w:r>
        <w:rPr>
          <w:rFonts w:hint="eastAsia" w:ascii="仿宋_GB2312" w:hAnsi="仿宋_GB2312" w:eastAsia="仿宋_GB2312" w:cs="仿宋_GB2312"/>
          <w:b w:val="0"/>
          <w:bCs w:val="0"/>
          <w:color w:val="auto"/>
          <w:sz w:val="28"/>
          <w:szCs w:val="28"/>
          <w:highlight w:val="none"/>
        </w:rPr>
        <w:fldChar w:fldCharType="separate"/>
      </w:r>
      <w:r>
        <w:rPr>
          <w:color w:val="auto"/>
          <w:highlight w:val="none"/>
        </w:rPr>
        <w:fldChar w:fldCharType="begin"/>
      </w:r>
      <w:r>
        <w:rPr>
          <w:color w:val="auto"/>
          <w:highlight w:val="none"/>
        </w:rPr>
        <w:instrText xml:space="preserve"> HYPERLINK \l "_Toc68590965" </w:instrText>
      </w:r>
      <w:r>
        <w:rPr>
          <w:color w:val="auto"/>
          <w:highlight w:val="none"/>
        </w:rPr>
        <w:fldChar w:fldCharType="separate"/>
      </w:r>
      <w:r>
        <w:rPr>
          <w:rStyle w:val="60"/>
          <w:rFonts w:hint="default" w:ascii="仿宋_GB2312" w:hAnsi="仿宋_GB2312" w:eastAsia="仿宋_GB2312" w:cs="仿宋_GB2312"/>
          <w:b w:val="0"/>
          <w:color w:val="auto"/>
          <w:sz w:val="28"/>
          <w:szCs w:val="28"/>
          <w:highlight w:val="none"/>
        </w:rPr>
        <w:t>第一章  磋商公告</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color w:val="auto"/>
          <w:sz w:val="28"/>
          <w:szCs w:val="28"/>
          <w:highlight w:val="none"/>
        </w:rPr>
      </w:pPr>
      <w:r>
        <w:rPr>
          <w:color w:val="auto"/>
          <w:highlight w:val="none"/>
        </w:rPr>
        <w:fldChar w:fldCharType="begin"/>
      </w:r>
      <w:r>
        <w:rPr>
          <w:color w:val="auto"/>
          <w:highlight w:val="none"/>
        </w:rPr>
        <w:instrText xml:space="preserve"> HYPERLINK \l "_Toc68590966" </w:instrText>
      </w:r>
      <w:r>
        <w:rPr>
          <w:color w:val="auto"/>
          <w:highlight w:val="none"/>
        </w:rPr>
        <w:fldChar w:fldCharType="separate"/>
      </w:r>
      <w:r>
        <w:rPr>
          <w:rStyle w:val="60"/>
          <w:rFonts w:hint="default" w:ascii="仿宋_GB2312" w:hAnsi="仿宋_GB2312" w:eastAsia="仿宋_GB2312" w:cs="仿宋_GB2312"/>
          <w:b w:val="0"/>
          <w:color w:val="auto"/>
          <w:sz w:val="28"/>
          <w:szCs w:val="28"/>
          <w:highlight w:val="none"/>
        </w:rPr>
        <w:t>第二章  供应商须知</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_Toc68590966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"_Toc68590975" </w:instrText>
      </w:r>
      <w:r>
        <w:rPr>
          <w:color w:val="auto"/>
          <w:highlight w:val="none"/>
        </w:rPr>
        <w:fldChar w:fldCharType="separate"/>
      </w:r>
      <w:r>
        <w:rPr>
          <w:rStyle w:val="60"/>
          <w:rFonts w:hint="default" w:ascii="仿宋_GB2312" w:hAnsi="仿宋_GB2312" w:eastAsia="仿宋_GB2312" w:cs="仿宋_GB2312"/>
          <w:b w:val="0"/>
          <w:color w:val="auto"/>
          <w:sz w:val="28"/>
          <w:szCs w:val="28"/>
          <w:highlight w:val="none"/>
        </w:rPr>
        <w:t>第三章  评审办法和标准</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_Toc68590975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26</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"_Toc68590979" </w:instrText>
      </w:r>
      <w:r>
        <w:rPr>
          <w:color w:val="auto"/>
          <w:highlight w:val="none"/>
        </w:rPr>
        <w:fldChar w:fldCharType="separate"/>
      </w:r>
      <w:r>
        <w:rPr>
          <w:rStyle w:val="60"/>
          <w:rFonts w:hint="default" w:ascii="仿宋_GB2312" w:hAnsi="仿宋_GB2312" w:eastAsia="仿宋_GB2312" w:cs="仿宋_GB2312"/>
          <w:b w:val="0"/>
          <w:color w:val="auto"/>
          <w:sz w:val="28"/>
          <w:szCs w:val="28"/>
          <w:highlight w:val="none"/>
        </w:rPr>
        <w:t>第四章  合同草案条款</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_Toc68590979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34</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ascii="仿宋_GB2312" w:hAnsi="仿宋_GB2312" w:eastAsia="仿宋_GB2312" w:cs="仿宋_GB2312"/>
          <w:b w:val="0"/>
          <w:bCs w:val="0"/>
          <w:caps w:val="0"/>
          <w:color w:val="auto"/>
          <w:sz w:val="28"/>
          <w:szCs w:val="28"/>
          <w:highlight w:val="none"/>
        </w:rPr>
      </w:pPr>
      <w:r>
        <w:rPr>
          <w:color w:val="auto"/>
          <w:highlight w:val="none"/>
        </w:rPr>
        <w:fldChar w:fldCharType="begin"/>
      </w:r>
      <w:r>
        <w:rPr>
          <w:color w:val="auto"/>
          <w:highlight w:val="none"/>
        </w:rPr>
        <w:instrText xml:space="preserve"> HYPERLINK \l "_Toc68590980" </w:instrText>
      </w:r>
      <w:r>
        <w:rPr>
          <w:color w:val="auto"/>
          <w:highlight w:val="none"/>
        </w:rPr>
        <w:fldChar w:fldCharType="separate"/>
      </w:r>
      <w:r>
        <w:rPr>
          <w:rStyle w:val="60"/>
          <w:rFonts w:hint="default" w:ascii="仿宋_GB2312" w:hAnsi="仿宋_GB2312" w:eastAsia="仿宋_GB2312" w:cs="仿宋_GB2312"/>
          <w:b w:val="0"/>
          <w:color w:val="auto"/>
          <w:sz w:val="28"/>
          <w:szCs w:val="28"/>
          <w:highlight w:val="none"/>
        </w:rPr>
        <w:t>第五章  采购内容及要求</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rPr>
        <w:fldChar w:fldCharType="begin"/>
      </w:r>
      <w:r>
        <w:rPr>
          <w:rFonts w:hint="eastAsia" w:ascii="仿宋_GB2312" w:hAnsi="仿宋_GB2312" w:eastAsia="仿宋_GB2312" w:cs="仿宋_GB2312"/>
          <w:b w:val="0"/>
          <w:color w:val="auto"/>
          <w:sz w:val="28"/>
          <w:szCs w:val="28"/>
          <w:highlight w:val="none"/>
        </w:rPr>
        <w:instrText xml:space="preserve"> PAGEREF _Toc68590980 \h </w:instrText>
      </w:r>
      <w:r>
        <w:rPr>
          <w:rFonts w:hint="eastAsia" w:ascii="仿宋_GB2312" w:hAnsi="仿宋_GB2312" w:eastAsia="仿宋_GB2312" w:cs="仿宋_GB2312"/>
          <w:b w:val="0"/>
          <w:color w:val="auto"/>
          <w:sz w:val="28"/>
          <w:szCs w:val="28"/>
          <w:highlight w:val="none"/>
        </w:rPr>
        <w:fldChar w:fldCharType="separate"/>
      </w:r>
      <w:r>
        <w:rPr>
          <w:rFonts w:hint="eastAsia" w:ascii="仿宋_GB2312" w:hAnsi="仿宋_GB2312" w:eastAsia="仿宋_GB2312" w:cs="仿宋_GB2312"/>
          <w:b w:val="0"/>
          <w:color w:val="auto"/>
          <w:sz w:val="28"/>
          <w:szCs w:val="28"/>
          <w:highlight w:val="none"/>
        </w:rPr>
        <w:t>34</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rPr>
        <w:fldChar w:fldCharType="end"/>
      </w:r>
    </w:p>
    <w:p>
      <w:pPr>
        <w:pStyle w:val="36"/>
        <w:tabs>
          <w:tab w:val="right" w:leader="dot" w:pos="8300"/>
          <w:tab w:val="clear" w:pos="9344"/>
        </w:tabs>
        <w:rPr>
          <w:rFonts w:hint="eastAsia" w:ascii="仿宋_GB2312" w:hAnsi="仿宋_GB2312" w:eastAsia="仿宋_GB2312" w:cs="仿宋_GB2312"/>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"_Toc68590981" </w:instrText>
      </w:r>
      <w:r>
        <w:rPr>
          <w:color w:val="auto"/>
          <w:highlight w:val="none"/>
        </w:rPr>
        <w:fldChar w:fldCharType="separate"/>
      </w:r>
      <w:r>
        <w:rPr>
          <w:rStyle w:val="60"/>
          <w:rFonts w:hint="default" w:ascii="仿宋_GB2312" w:hAnsi="仿宋_GB2312" w:eastAsia="仿宋_GB2312" w:cs="仿宋_GB2312"/>
          <w:b w:val="0"/>
          <w:color w:val="auto"/>
          <w:sz w:val="28"/>
          <w:szCs w:val="28"/>
          <w:highlight w:val="none"/>
        </w:rPr>
        <w:t>第六章  磋商响应文件格式</w:t>
      </w:r>
      <w:r>
        <w:rPr>
          <w:rFonts w:hint="eastAsia" w:ascii="仿宋_GB2312" w:hAnsi="仿宋_GB2312" w:eastAsia="仿宋_GB2312" w:cs="仿宋_GB2312"/>
          <w:b w:val="0"/>
          <w:color w:val="auto"/>
          <w:sz w:val="28"/>
          <w:szCs w:val="28"/>
          <w:highlight w:val="none"/>
        </w:rPr>
        <w:tab/>
      </w:r>
      <w:r>
        <w:rPr>
          <w:rFonts w:hint="eastAsia" w:ascii="仿宋_GB2312" w:hAnsi="仿宋_GB2312" w:eastAsia="仿宋_GB2312" w:cs="仿宋_GB2312"/>
          <w:b w:val="0"/>
          <w:color w:val="auto"/>
          <w:sz w:val="28"/>
          <w:szCs w:val="28"/>
          <w:highlight w:val="none"/>
          <w:lang w:val="en-US" w:eastAsia="zh-CN"/>
        </w:rPr>
        <w:t>4</w:t>
      </w:r>
      <w:r>
        <w:rPr>
          <w:rFonts w:hint="eastAsia" w:ascii="仿宋_GB2312" w:hAnsi="仿宋_GB2312" w:eastAsia="仿宋_GB2312" w:cs="仿宋_GB2312"/>
          <w:b w:val="0"/>
          <w:color w:val="auto"/>
          <w:sz w:val="28"/>
          <w:szCs w:val="28"/>
          <w:highlight w:val="none"/>
        </w:rPr>
        <w:fldChar w:fldCharType="end"/>
      </w:r>
      <w:r>
        <w:rPr>
          <w:rFonts w:hint="eastAsia" w:ascii="仿宋_GB2312" w:hAnsi="仿宋_GB2312" w:eastAsia="仿宋_GB2312" w:cs="仿宋_GB2312"/>
          <w:b w:val="0"/>
          <w:color w:val="auto"/>
          <w:sz w:val="28"/>
          <w:szCs w:val="28"/>
          <w:highlight w:val="none"/>
          <w:lang w:val="en-US" w:eastAsia="zh-CN"/>
        </w:rPr>
        <w:t>4</w:t>
      </w:r>
    </w:p>
    <w:p>
      <w:pPr>
        <w:tabs>
          <w:tab w:val="center" w:pos="4677"/>
          <w:tab w:val="left" w:pos="5040"/>
        </w:tabs>
        <w:adjustRightInd w:val="0"/>
        <w:snapToGrid w:val="0"/>
        <w:spacing w:line="360" w:lineRule="auto"/>
        <w:jc w:val="left"/>
        <w:rPr>
          <w:rFonts w:ascii="仿宋_GB2312" w:hAnsi="仿宋_GB2312" w:eastAsia="仿宋_GB2312" w:cs="仿宋_GB2312"/>
          <w:color w:val="auto"/>
          <w:szCs w:val="20"/>
          <w:highlight w:val="none"/>
        </w:rPr>
      </w:pPr>
      <w:r>
        <w:rPr>
          <w:rFonts w:hint="eastAsia" w:ascii="仿宋_GB2312" w:hAnsi="仿宋_GB2312" w:eastAsia="仿宋_GB2312" w:cs="仿宋_GB2312"/>
          <w:color w:val="auto"/>
          <w:sz w:val="28"/>
          <w:szCs w:val="28"/>
          <w:highlight w:val="none"/>
        </w:rPr>
        <w:fldChar w:fldCharType="end"/>
      </w: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pStyle w:val="47"/>
        <w:spacing w:line="360" w:lineRule="auto"/>
        <w:rPr>
          <w:rStyle w:val="204"/>
          <w:rFonts w:hint="eastAsia" w:ascii="宋体" w:hAnsi="宋体" w:eastAsia="宋体"/>
          <w:color w:val="auto"/>
          <w:sz w:val="36"/>
          <w:szCs w:val="36"/>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0" w:name="_Toc68590965"/>
      <w:bookmarkStart w:id="1" w:name="_Toc58504445"/>
      <w:bookmarkStart w:id="2" w:name="_Toc415499894"/>
      <w:bookmarkStart w:id="3" w:name="_Toc21755"/>
      <w:bookmarkStart w:id="4" w:name="_Toc177189234"/>
      <w:bookmarkStart w:id="5" w:name="_Toc53722839"/>
      <w:bookmarkStart w:id="6" w:name="_Toc500746964"/>
      <w:bookmarkStart w:id="7" w:name="_Toc492955413"/>
      <w:bookmarkStart w:id="8" w:name="_Toc500747060"/>
      <w:bookmarkStart w:id="9" w:name="_Toc500747187"/>
      <w:bookmarkStart w:id="10" w:name="_Toc177995472"/>
      <w:bookmarkStart w:id="11" w:name="_Toc70687138"/>
      <w:bookmarkStart w:id="12" w:name="_Toc499711041"/>
      <w:bookmarkStart w:id="13" w:name="_Toc176882541"/>
      <w:bookmarkStart w:id="14" w:name="_Toc503063420"/>
      <w:bookmarkStart w:id="15" w:name="_Toc177817333"/>
      <w:bookmarkStart w:id="16" w:name="_Toc499711882"/>
      <w:bookmarkStart w:id="17" w:name="_Toc496324577"/>
      <w:bookmarkStart w:id="18" w:name="_Toc385992325"/>
      <w:bookmarkStart w:id="19" w:name="_Toc385992324"/>
    </w:p>
    <w:p>
      <w:pPr>
        <w:pStyle w:val="47"/>
        <w:spacing w:line="360" w:lineRule="auto"/>
        <w:rPr>
          <w:rStyle w:val="204"/>
          <w:rFonts w:ascii="宋体" w:hAnsi="宋体" w:eastAsia="宋体"/>
          <w:color w:val="auto"/>
          <w:sz w:val="36"/>
          <w:szCs w:val="36"/>
          <w:highlight w:val="none"/>
        </w:rPr>
      </w:pPr>
      <w:r>
        <w:rPr>
          <w:rStyle w:val="204"/>
          <w:rFonts w:hint="eastAsia" w:ascii="宋体" w:hAnsi="宋体" w:eastAsia="宋体"/>
          <w:color w:val="auto"/>
          <w:sz w:val="36"/>
          <w:szCs w:val="36"/>
          <w:highlight w:val="none"/>
        </w:rPr>
        <w:t>第一章  磋商公告</w:t>
      </w:r>
      <w:bookmarkEnd w:id="0"/>
      <w:bookmarkEnd w:id="1"/>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bookmarkEnd w:id="17"/>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20" w:name="_Toc415499895"/>
      <w:bookmarkStart w:id="21" w:name="_Toc232176271"/>
      <w:bookmarkStart w:id="22" w:name="_Toc230013631"/>
      <w:bookmarkStart w:id="23" w:name="_Toc249515277"/>
      <w:bookmarkStart w:id="24" w:name="_Toc232395211"/>
      <w:bookmarkStart w:id="25" w:name="_Toc256342142"/>
      <w:bookmarkStart w:id="26" w:name="_Toc68590966"/>
      <w:bookmarkStart w:id="27" w:name="_Toc249525158"/>
      <w:bookmarkStart w:id="28" w:name="_Toc230099796"/>
      <w:bookmarkStart w:id="29" w:name="_Toc21126"/>
      <w:bookmarkStart w:id="30" w:name="_Toc184043011"/>
      <w:bookmarkStart w:id="31" w:name="_Toc58504446"/>
      <w:bookmarkStart w:id="32" w:name="_Toc249515389"/>
      <w:bookmarkStart w:id="33" w:name="_Toc230583540"/>
      <w:bookmarkStart w:id="34" w:name="_Toc249515278"/>
      <w:bookmarkStart w:id="35" w:name="_Toc230583541"/>
      <w:bookmarkStart w:id="36" w:name="_Toc500747061"/>
      <w:bookmarkStart w:id="37" w:name="_Toc492955414"/>
      <w:bookmarkStart w:id="38" w:name="_Toc177995473"/>
      <w:bookmarkStart w:id="39" w:name="_Toc496324578"/>
      <w:bookmarkStart w:id="40" w:name="_Toc177817334"/>
      <w:bookmarkStart w:id="41" w:name="_Toc499711883"/>
      <w:bookmarkStart w:id="42" w:name="_Toc232395212"/>
      <w:bookmarkStart w:id="43" w:name="_Toc184043012"/>
      <w:bookmarkStart w:id="44" w:name="_Toc177189235"/>
      <w:bookmarkStart w:id="45" w:name="_Toc500746965"/>
      <w:bookmarkStart w:id="46" w:name="_Toc232176272"/>
      <w:bookmarkStart w:id="47" w:name="_Toc249525159"/>
      <w:bookmarkStart w:id="48" w:name="_Toc500747188"/>
      <w:bookmarkStart w:id="49" w:name="_Toc249515390"/>
      <w:bookmarkStart w:id="50" w:name="_Toc53722840"/>
      <w:bookmarkStart w:id="51" w:name="_Toc70687139"/>
      <w:bookmarkStart w:id="52" w:name="_Toc499711042"/>
      <w:bookmarkStart w:id="53" w:name="_Toc230013632"/>
      <w:bookmarkStart w:id="54" w:name="_Toc176882542"/>
      <w:bookmarkStart w:id="55" w:name="_Toc503063421"/>
      <w:bookmarkStart w:id="56" w:name="_Toc256342143"/>
      <w:bookmarkStart w:id="57" w:name="_Toc230099797"/>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延川县民政局关于失能半失能照护服务中心建设项目施工图设计竞争性磋商公告</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54"/>
          <w:b/>
          <w:bCs/>
          <w:i w:val="0"/>
          <w:iCs w:val="0"/>
          <w:caps w:val="0"/>
          <w:color w:val="333333"/>
          <w:spacing w:val="0"/>
          <w:sz w:val="21"/>
          <w:szCs w:val="21"/>
          <w:shd w:val="clear" w:fill="FFFFFF"/>
        </w:rPr>
        <w:t>项目概况</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延川县失能半失能照护服务中心建设项目施工图设计</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延川县财政局1楼104号</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2023年05月24日 10时00分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一、项目基本情况</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项目编号：ZCSP-延川县-2023-00022</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项目名称：延川县失能半失能照护服务中心建设项目施工图设计</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预算金额：720,000.00元</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合同包1(关于失能半失能照护服务中心建设项目施工图设计项目):</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合同包预算金额：720,000.00元</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合同包最高限价：525,000.00元</w:t>
      </w:r>
    </w:p>
    <w:tbl>
      <w:tblPr>
        <w:tblStyle w:val="51"/>
        <w:tblW w:w="8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9"/>
        <w:gridCol w:w="1054"/>
        <w:gridCol w:w="2502"/>
        <w:gridCol w:w="708"/>
        <w:gridCol w:w="103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3" w:hRule="atLeast"/>
          <w:tblHeader/>
        </w:trPr>
        <w:tc>
          <w:tcPr>
            <w:tcW w:w="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0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2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9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延川县失能半失能照护服务中心建设项目施工图设计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720,000.00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525,000.00</w:t>
            </w:r>
          </w:p>
        </w:tc>
      </w:tr>
    </w:tbl>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合同履行期限：合同签订之日起20日内</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二、申请人的资格要求：</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合同包1(关于失能半失能照护服务中心建设项目施工图设计项目)落实政府采购政策需满足的资格要求如下:</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（5）《财政部关于在政府采购活动中查询及使用信用记录有关问题的通知》（财库【2016】125号）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（11）《政府采购促进中小企业发展管理办法》的通知--财库〔2020〕46号；供应商应填写中小企业声明函并对真实性负责（残疾人福利性单位及监狱企业视同为小型、微型企业）；</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（13）《财政部关于进一步加大政府采购支持中小企业力度的通知》（财库〔2022〕19号）；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（14）陕西省财政厅关于进一步加大政府采购支持中小企业力度的通知（陕财办采〔2022〕5号）；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（15）其他需要落实的政府采购政策。</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合同包1(关于失能半失能照护服务中心建设项目施工图设计项目)特定资格要求如下:</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7、税收缴纳证明：提供递交投标文件截止之日前一年内任意一个月社会保险参保缴费情况证明，依法不需要缴纳社会保障资金的单位应提供相关证明材料。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8、资质要求：供应商须具备建设行政主管部门颁发的工程设计综合资质乙级或建筑行业（建筑工程）专业乙级及以上资质；拟派项目负责人须具有注册建筑师执业资格；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三、获取采购文件</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2023年05月12日 至 2023年05月19日 ，每天上午 08:00:00 至 12:00:00 ，下午 14:00:00 至 18:00:00 （北京时间）</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延川县财政局1楼104号</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四、响应文件提交</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w:t>
      </w:r>
      <w:r>
        <w:rPr>
          <w:rFonts w:hint="eastAsia" w:ascii="微软雅黑" w:hAnsi="微软雅黑" w:eastAsia="微软雅黑" w:cs="微软雅黑"/>
          <w:i w:val="0"/>
          <w:iCs w:val="0"/>
          <w:caps w:val="0"/>
          <w:color w:val="0A82E5"/>
          <w:spacing w:val="0"/>
          <w:sz w:val="21"/>
          <w:szCs w:val="21"/>
          <w:shd w:val="clear" w:fill="FFFFFF"/>
        </w:rPr>
        <w:t> 2023年05月24日 10时00分00秒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延川县财政局1楼会议室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五、开启</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2023年05月24日 10时00分00秒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延川县财政局1楼会议室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六、公告期限</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七、其他补充事宜</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1、获取磋商文件请携带单位介绍信</w:t>
      </w:r>
      <w:r>
        <w:rPr>
          <w:rStyle w:val="54"/>
          <w:rFonts w:hint="eastAsia" w:ascii="微软雅黑" w:hAnsi="微软雅黑" w:eastAsia="微软雅黑" w:cs="微软雅黑"/>
          <w:b/>
          <w:bCs/>
          <w:i w:val="0"/>
          <w:iCs w:val="0"/>
          <w:caps w:val="0"/>
          <w:color w:val="0A82E5"/>
          <w:spacing w:val="0"/>
          <w:sz w:val="21"/>
          <w:szCs w:val="21"/>
          <w:shd w:val="clear" w:fill="FFFFFF"/>
        </w:rPr>
        <w:t>(见附件 )</w:t>
      </w:r>
      <w:r>
        <w:rPr>
          <w:rFonts w:hint="eastAsia" w:ascii="微软雅黑" w:hAnsi="微软雅黑" w:eastAsia="微软雅黑" w:cs="微软雅黑"/>
          <w:i w:val="0"/>
          <w:iCs w:val="0"/>
          <w:caps w:val="0"/>
          <w:color w:val="0A82E5"/>
          <w:spacing w:val="0"/>
          <w:sz w:val="21"/>
          <w:szCs w:val="21"/>
          <w:shd w:val="clear" w:fill="FFFFFF"/>
        </w:rPr>
        <w:t>、经办人身份证原件</w:t>
      </w:r>
      <w:r>
        <w:rPr>
          <w:rStyle w:val="54"/>
          <w:rFonts w:hint="eastAsia" w:ascii="微软雅黑" w:hAnsi="微软雅黑" w:eastAsia="微软雅黑" w:cs="微软雅黑"/>
          <w:b/>
          <w:bCs/>
          <w:i w:val="0"/>
          <w:iCs w:val="0"/>
          <w:caps w:val="0"/>
          <w:color w:val="0A82E5"/>
          <w:spacing w:val="0"/>
          <w:sz w:val="21"/>
          <w:szCs w:val="21"/>
          <w:shd w:val="clear" w:fill="FFFFFF"/>
        </w:rPr>
        <w:t>、公告要求的所有供应商资格证明文件原件及复印件壹套</w:t>
      </w:r>
      <w:r>
        <w:rPr>
          <w:rFonts w:hint="eastAsia" w:ascii="微软雅黑" w:hAnsi="微软雅黑" w:eastAsia="微软雅黑" w:cs="微软雅黑"/>
          <w:i w:val="0"/>
          <w:iCs w:val="0"/>
          <w:caps w:val="0"/>
          <w:color w:val="0A82E5"/>
          <w:spacing w:val="0"/>
          <w:sz w:val="21"/>
          <w:szCs w:val="21"/>
          <w:shd w:val="clear" w:fill="FFFFFF"/>
        </w:rPr>
        <w:t>（</w:t>
      </w:r>
      <w:r>
        <w:rPr>
          <w:rStyle w:val="54"/>
          <w:rFonts w:hint="eastAsia" w:ascii="微软雅黑" w:hAnsi="微软雅黑" w:eastAsia="微软雅黑" w:cs="微软雅黑"/>
          <w:b/>
          <w:bCs/>
          <w:i w:val="0"/>
          <w:iCs w:val="0"/>
          <w:caps w:val="0"/>
          <w:color w:val="0A82E5"/>
          <w:spacing w:val="0"/>
          <w:sz w:val="21"/>
          <w:szCs w:val="21"/>
          <w:shd w:val="clear" w:fill="FFFFFF"/>
        </w:rPr>
        <w:t>加盖供应商公章</w:t>
      </w:r>
      <w:r>
        <w:rPr>
          <w:rFonts w:hint="eastAsia" w:ascii="微软雅黑" w:hAnsi="微软雅黑" w:eastAsia="微软雅黑" w:cs="微软雅黑"/>
          <w:i w:val="0"/>
          <w:iCs w:val="0"/>
          <w:caps w:val="0"/>
          <w:color w:val="0A82E5"/>
          <w:spacing w:val="0"/>
          <w:sz w:val="21"/>
          <w:szCs w:val="21"/>
          <w:shd w:val="clear" w:fill="FFFFFF"/>
        </w:rPr>
        <w:t>）；</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2、请供应商按照《陕西省财政厅关于政府采购供应商注册登记有关事项的通知》中的要求，通过陕西省政府采购网（http://www.ccgp-shaanxi.gov.cn/）注册登记加入陕西省政府采购供应商库。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54"/>
          <w:b/>
          <w:bCs/>
          <w:i w:val="0"/>
          <w:iCs w:val="0"/>
          <w:caps w:val="0"/>
          <w:color w:val="333333"/>
          <w:spacing w:val="0"/>
          <w:sz w:val="21"/>
          <w:szCs w:val="21"/>
          <w:shd w:val="clear" w:fill="FFFFFF"/>
        </w:rPr>
        <w:t>八、对本次招标提出询问，请按以下方式联系。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延川县民政局</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延川县</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13309115832</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延川县政府采购中心</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陕西省延安市延川县延川县河东财政办公大楼（延川县财政局1楼）</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0911-8331531</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王工</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0911-8331531</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延川县政府采购中心</w:t>
      </w:r>
    </w:p>
    <w:p/>
    <w:p>
      <w:pPr>
        <w:pStyle w:val="47"/>
        <w:spacing w:line="360" w:lineRule="auto"/>
        <w:rPr>
          <w:rStyle w:val="204"/>
          <w:rFonts w:hint="eastAsia" w:ascii="宋体" w:hAnsi="宋体" w:eastAsia="宋体"/>
          <w:color w:val="auto"/>
          <w:sz w:val="36"/>
          <w:szCs w:val="36"/>
          <w:highlight w:val="none"/>
        </w:rPr>
      </w:pPr>
    </w:p>
    <w:p>
      <w:pPr>
        <w:pStyle w:val="47"/>
        <w:spacing w:line="360" w:lineRule="auto"/>
        <w:rPr>
          <w:rStyle w:val="204"/>
          <w:rFonts w:hint="eastAsia" w:ascii="宋体" w:hAnsi="宋体" w:eastAsia="宋体"/>
          <w:color w:val="auto"/>
          <w:sz w:val="36"/>
          <w:szCs w:val="36"/>
          <w:highlight w:val="none"/>
        </w:rPr>
      </w:pPr>
    </w:p>
    <w:p>
      <w:pPr>
        <w:pStyle w:val="47"/>
        <w:spacing w:line="360" w:lineRule="auto"/>
        <w:rPr>
          <w:rStyle w:val="204"/>
          <w:rFonts w:ascii="宋体" w:hAnsi="宋体" w:eastAsia="宋体"/>
          <w:color w:val="auto"/>
          <w:sz w:val="36"/>
          <w:szCs w:val="36"/>
          <w:highlight w:val="none"/>
        </w:rPr>
      </w:pPr>
      <w:r>
        <w:rPr>
          <w:rStyle w:val="204"/>
          <w:rFonts w:hint="eastAsia" w:ascii="宋体" w:hAnsi="宋体"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8"/>
        <w:spacing w:beforeLines="100" w:after="24"/>
        <w:jc w:val="center"/>
        <w:rPr>
          <w:rFonts w:ascii="仿宋_GB2312" w:hAnsi="仿宋_GB2312" w:eastAsia="仿宋_GB2312" w:cs="仿宋_GB2312"/>
          <w:color w:val="auto"/>
          <w:sz w:val="28"/>
          <w:szCs w:val="28"/>
          <w:highlight w:val="none"/>
        </w:rPr>
      </w:pPr>
      <w:bookmarkStart w:id="58" w:name="_Toc68590967"/>
      <w:r>
        <w:rPr>
          <w:rFonts w:hint="eastAsia" w:ascii="仿宋_GB2312" w:hAnsi="仿宋_GB2312" w:eastAsia="仿宋_GB2312" w:cs="仿宋_GB2312"/>
          <w:color w:val="auto"/>
          <w:sz w:val="28"/>
          <w:szCs w:val="28"/>
          <w:highlight w:val="none"/>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color w:val="auto"/>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本表是对供应商须知的具体补充和修改，如有矛盾，均以本表为准。</w:t>
      </w:r>
    </w:p>
    <w:p>
      <w:pPr>
        <w:ind w:left="689" w:hanging="689" w:hangingChars="343"/>
        <w:rPr>
          <w:rFonts w:ascii="仿宋_GB2312" w:hAnsi="仿宋_GB2312" w:eastAsia="仿宋_GB2312" w:cs="仿宋_GB2312"/>
          <w:b/>
          <w:color w:val="auto"/>
          <w:sz w:val="20"/>
          <w:szCs w:val="20"/>
          <w:highlight w:val="none"/>
        </w:rPr>
      </w:pP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b/>
                <w:color w:val="auto"/>
                <w:sz w:val="24"/>
                <w:szCs w:val="24"/>
                <w:highlight w:val="none"/>
              </w:rPr>
            </w:pPr>
            <w:bookmarkStart w:id="59" w:name="_Hlt14560610"/>
            <w:bookmarkEnd w:id="59"/>
            <w:bookmarkStart w:id="60" w:name="_Toc389620165"/>
            <w:bookmarkStart w:id="61" w:name="_Toc500747190"/>
            <w:bookmarkStart w:id="62" w:name="_Toc499711044"/>
            <w:bookmarkStart w:id="63" w:name="_Toc499711885"/>
            <w:bookmarkStart w:id="64" w:name="_Toc500746967"/>
            <w:bookmarkStart w:id="65" w:name="_Toc385992326"/>
            <w:bookmarkStart w:id="66" w:name="_Toc500747063"/>
            <w:bookmarkStart w:id="67" w:name="_Toc492955416"/>
            <w:bookmarkStart w:id="68" w:name="_Toc503063423"/>
            <w:bookmarkStart w:id="69" w:name="_Toc496324580"/>
            <w:r>
              <w:rPr>
                <w:rFonts w:hint="eastAsia" w:ascii="仿宋_GB2312" w:hAnsi="仿宋_GB2312" w:eastAsia="仿宋_GB2312" w:cs="仿宋_GB2312"/>
                <w:b/>
                <w:color w:val="auto"/>
                <w:sz w:val="24"/>
                <w:szCs w:val="24"/>
                <w:highlight w:val="none"/>
              </w:rPr>
              <w:t>条款号</w:t>
            </w:r>
          </w:p>
        </w:tc>
        <w:tc>
          <w:tcPr>
            <w:tcW w:w="7650" w:type="dxa"/>
            <w:vAlign w:val="center"/>
          </w:tcPr>
          <w:p>
            <w:pPr>
              <w:pStyle w:val="29"/>
              <w:adjustRightInd w:val="0"/>
              <w:snapToGrid w:val="0"/>
              <w:spacing w:line="240" w:lineRule="auto"/>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7650" w:type="dxa"/>
            <w:vAlign w:val="center"/>
          </w:tcPr>
          <w:p>
            <w:pPr>
              <w:pStyle w:val="29"/>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微软雅黑" w:hAnsi="微软雅黑" w:eastAsia="微软雅黑" w:cs="微软雅黑"/>
                <w:i w:val="0"/>
                <w:iCs w:val="0"/>
                <w:caps w:val="0"/>
                <w:color w:val="0A82E5"/>
                <w:spacing w:val="0"/>
                <w:sz w:val="21"/>
                <w:szCs w:val="21"/>
                <w:shd w:val="clear" w:fill="FFFFFF"/>
                <w:lang w:eastAsia="zh-CN"/>
              </w:rPr>
              <w:t>延川县民政局</w:t>
            </w:r>
          </w:p>
          <w:p>
            <w:pPr>
              <w:pStyle w:val="29"/>
              <w:adjustRightInd w:val="0"/>
              <w:snapToGrid w:val="0"/>
              <w:spacing w:line="240" w:lineRule="auto"/>
              <w:rPr>
                <w:rFonts w:hint="default" w:ascii="仿宋_GB2312" w:hAnsi="仿宋_GB2312" w:eastAsia="微软雅黑"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项目编号：</w:t>
            </w:r>
            <w:r>
              <w:rPr>
                <w:rFonts w:ascii="微软雅黑" w:hAnsi="微软雅黑" w:eastAsia="微软雅黑" w:cs="微软雅黑"/>
                <w:i w:val="0"/>
                <w:iCs w:val="0"/>
                <w:caps w:val="0"/>
                <w:color w:val="333333"/>
                <w:spacing w:val="0"/>
                <w:sz w:val="21"/>
                <w:szCs w:val="21"/>
                <w:shd w:val="clear" w:fill="FFFFFF"/>
              </w:rPr>
              <w:t>ZCSP-延川县-202</w:t>
            </w:r>
            <w:r>
              <w:rPr>
                <w:rFonts w:hint="eastAsia" w:ascii="微软雅黑" w:hAnsi="微软雅黑" w:eastAsia="微软雅黑" w:cs="微软雅黑"/>
                <w:i w:val="0"/>
                <w:iCs w:val="0"/>
                <w:caps w:val="0"/>
                <w:color w:val="333333"/>
                <w:spacing w:val="0"/>
                <w:sz w:val="21"/>
                <w:szCs w:val="21"/>
                <w:shd w:val="clear" w:fill="FFFFFF"/>
                <w:lang w:val="en-US" w:eastAsia="zh-CN"/>
              </w:rPr>
              <w:t>3-00022</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资金来源：财政资金</w:t>
            </w:r>
          </w:p>
          <w:p>
            <w:pPr>
              <w:pStyle w:val="29"/>
              <w:adjustRightInd w:val="0"/>
              <w:snapToGrid w:val="0"/>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预算金额：</w:t>
            </w:r>
            <w:r>
              <w:rPr>
                <w:rFonts w:hint="eastAsia" w:ascii="仿宋_GB2312" w:hAnsi="仿宋_GB2312" w:eastAsia="仿宋_GB2312" w:cs="仿宋_GB2312"/>
                <w:color w:val="auto"/>
                <w:sz w:val="24"/>
                <w:szCs w:val="24"/>
                <w:highlight w:val="none"/>
                <w:lang w:val="en-US" w:eastAsia="zh-CN"/>
              </w:rPr>
              <w:t>720000.00</w:t>
            </w:r>
            <w:r>
              <w:rPr>
                <w:rFonts w:hint="eastAsia" w:ascii="仿宋_GB2312" w:hAnsi="仿宋_GB2312" w:eastAsia="仿宋_GB2312" w:cs="仿宋_GB2312"/>
                <w:color w:val="auto"/>
                <w:sz w:val="24"/>
                <w:szCs w:val="24"/>
                <w:highlight w:val="none"/>
              </w:rPr>
              <w:t>元</w:t>
            </w:r>
          </w:p>
          <w:p>
            <w:pPr>
              <w:pStyle w:val="29"/>
              <w:adjustRightInd w:val="0"/>
              <w:snapToGrid w:val="0"/>
              <w:spacing w:line="24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最高限价：525000.00元</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采购内容：详见本磋商文件第五章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7650" w:type="dxa"/>
            <w:vAlign w:val="center"/>
          </w:tcPr>
          <w:p>
            <w:pPr>
              <w:pStyle w:val="29"/>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采购人：</w:t>
            </w:r>
            <w:r>
              <w:rPr>
                <w:rFonts w:hint="eastAsia" w:ascii="微软雅黑" w:hAnsi="微软雅黑" w:eastAsia="微软雅黑" w:cs="微软雅黑"/>
                <w:i w:val="0"/>
                <w:iCs w:val="0"/>
                <w:caps w:val="0"/>
                <w:color w:val="0A82E5"/>
                <w:spacing w:val="0"/>
                <w:sz w:val="21"/>
                <w:szCs w:val="21"/>
                <w:shd w:val="clear" w:fill="FFFFFF"/>
                <w:lang w:eastAsia="zh-CN"/>
              </w:rPr>
              <w:t>延川县民政局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7650" w:type="dxa"/>
            <w:vAlign w:val="center"/>
          </w:tcPr>
          <w:p>
            <w:pPr>
              <w:pStyle w:val="29"/>
              <w:adjustRightInd w:val="0"/>
              <w:snapToGrid w:val="0"/>
              <w:spacing w:line="240"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采购代理机构：</w:t>
            </w:r>
            <w:r>
              <w:rPr>
                <w:rFonts w:hint="eastAsia" w:ascii="仿宋_GB2312" w:hAnsi="仿宋_GB2312" w:eastAsia="仿宋_GB2312" w:cs="仿宋_GB2312"/>
                <w:color w:val="auto"/>
                <w:sz w:val="24"/>
                <w:szCs w:val="24"/>
                <w:highlight w:val="none"/>
                <w:lang w:eastAsia="zh-CN"/>
              </w:rPr>
              <w:t>延川县政府采购中心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邀请供应商的方式：</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（1）发布磋商公告</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（2）采购人和评审专家分别书面推荐的方式邀请不少于3 家</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符合相应资格条件的供应商</w:t>
            </w:r>
          </w:p>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w:t>
            </w:r>
          </w:p>
        </w:tc>
        <w:tc>
          <w:tcPr>
            <w:tcW w:w="7650" w:type="dxa"/>
            <w:vAlign w:val="center"/>
          </w:tcPr>
          <w:p>
            <w:pPr>
              <w:pStyle w:val="15"/>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w:t>
            </w:r>
          </w:p>
        </w:tc>
        <w:tc>
          <w:tcPr>
            <w:tcW w:w="7650" w:type="dxa"/>
            <w:vAlign w:val="center"/>
          </w:tcPr>
          <w:p>
            <w:pPr>
              <w:pStyle w:val="15"/>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是否允许采购进口产品：</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3.7</w:t>
            </w:r>
          </w:p>
        </w:tc>
        <w:tc>
          <w:tcPr>
            <w:tcW w:w="7650" w:type="dxa"/>
            <w:vAlign w:val="center"/>
          </w:tcPr>
          <w:p>
            <w:pPr>
              <w:pStyle w:val="15"/>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 xml:space="preserve">是否允许联合体磋商： </w:t>
            </w:r>
            <w:r>
              <w:rPr>
                <w:rFonts w:hint="eastAsia" w:ascii="仿宋_GB2312" w:hAnsi="仿宋_GB2312" w:eastAsia="仿宋_GB2312" w:cs="仿宋_GB2312"/>
                <w:color w:val="auto"/>
                <w:kern w:val="2"/>
                <w:highlight w:val="none"/>
                <w:u w:val="single"/>
              </w:rPr>
              <w:t>否</w:t>
            </w:r>
            <w:r>
              <w:rPr>
                <w:rFonts w:hint="eastAsia" w:ascii="仿宋_GB2312" w:hAnsi="仿宋_GB2312" w:eastAsia="仿宋_GB2312" w:cs="仿宋_GB2312"/>
                <w:color w:val="auto"/>
                <w:kern w:val="2"/>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3.8</w:t>
            </w:r>
          </w:p>
        </w:tc>
        <w:tc>
          <w:tcPr>
            <w:tcW w:w="7650" w:type="dxa"/>
            <w:vAlign w:val="center"/>
          </w:tcPr>
          <w:p>
            <w:pPr>
              <w:pStyle w:val="15"/>
              <w:spacing w:line="360" w:lineRule="auto"/>
              <w:rPr>
                <w:rFonts w:ascii="仿宋_GB2312" w:hAnsi="仿宋_GB2312" w:eastAsia="仿宋_GB2312" w:cs="仿宋_GB2312"/>
                <w:color w:val="auto"/>
                <w:kern w:val="2"/>
                <w:highlight w:val="none"/>
              </w:rPr>
            </w:pPr>
            <w:r>
              <w:rPr>
                <w:rFonts w:hint="eastAsia" w:ascii="仿宋_GB2312" w:eastAsia="仿宋_GB2312"/>
                <w:color w:val="auto"/>
                <w:highlight w:val="none"/>
              </w:rPr>
              <w:t>是否为专门面向</w:t>
            </w:r>
            <w:r>
              <w:rPr>
                <w:rFonts w:ascii="仿宋_GB2312" w:hAnsi="宋体" w:eastAsia="仿宋_GB2312"/>
                <w:color w:val="auto"/>
                <w:highlight w:val="none"/>
              </w:rPr>
              <w:t>中小企业采购</w:t>
            </w:r>
            <w:r>
              <w:rPr>
                <w:rFonts w:hint="eastAsia" w:ascii="仿宋_GB2312" w:hAnsi="宋体" w:eastAsia="仿宋_GB2312"/>
                <w:color w:val="auto"/>
                <w:highlight w:val="none"/>
              </w:rPr>
              <w:t>：</w:t>
            </w:r>
            <w:r>
              <w:rPr>
                <w:rFonts w:hint="eastAsia" w:ascii="仿宋_GB2312" w:hAnsi="宋体" w:eastAsia="仿宋_GB2312"/>
                <w:color w:val="auto"/>
                <w:highlight w:val="none"/>
                <w:u w:val="single"/>
                <w:lang w:eastAsia="zh-CN"/>
              </w:rPr>
              <w:t>是</w:t>
            </w:r>
            <w:r>
              <w:rPr>
                <w:rFonts w:hint="eastAsia" w:ascii="仿宋_GB2312" w:hAnsi="宋体" w:eastAsia="仿宋_GB2312"/>
                <w:color w:val="auto"/>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磋商有效期：自响应文件递交之日起</w:t>
            </w:r>
            <w:r>
              <w:rPr>
                <w:rFonts w:hint="eastAsia" w:ascii="仿宋_GB2312" w:hAnsi="仿宋_GB2312" w:eastAsia="仿宋_GB2312" w:cs="仿宋_GB2312"/>
                <w:color w:val="auto"/>
                <w:sz w:val="24"/>
                <w:szCs w:val="24"/>
                <w:highlight w:val="none"/>
                <w:u w:val="single"/>
              </w:rPr>
              <w:t xml:space="preserve">  60  </w:t>
            </w:r>
            <w:r>
              <w:rPr>
                <w:rFonts w:hint="eastAsia" w:ascii="仿宋_GB2312" w:hAnsi="仿宋_GB2312" w:eastAsia="仿宋_GB2312" w:cs="仿宋_GB2312"/>
                <w:color w:val="auto"/>
                <w:sz w:val="24"/>
                <w:szCs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w:t>
            </w:r>
          </w:p>
        </w:tc>
        <w:tc>
          <w:tcPr>
            <w:tcW w:w="7650" w:type="dxa"/>
            <w:vAlign w:val="center"/>
          </w:tcPr>
          <w:p>
            <w:pPr>
              <w:pStyle w:val="29"/>
              <w:adjustRightInd w:val="0"/>
              <w:snapToGrid w:val="0"/>
              <w:spacing w:line="24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响应文件的份数：正本1份，副本2份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i/>
                <w:color w:val="auto"/>
                <w:sz w:val="24"/>
                <w:szCs w:val="24"/>
                <w:highlight w:val="none"/>
                <w:lang w:val="en-US" w:eastAsia="zh-CN"/>
              </w:rPr>
              <w:t>U盘电子版1份。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w:t>
            </w:r>
          </w:p>
        </w:tc>
        <w:tc>
          <w:tcPr>
            <w:tcW w:w="7650" w:type="dxa"/>
            <w:vAlign w:val="center"/>
          </w:tcPr>
          <w:p>
            <w:pPr>
              <w:pStyle w:val="29"/>
              <w:adjustRightInd w:val="0"/>
              <w:snapToGrid w:val="0"/>
              <w:spacing w:line="240" w:lineRule="auto"/>
              <w:rPr>
                <w:rFonts w:ascii="仿宋_GB2312" w:hAnsi="仿宋_GB2312" w:eastAsia="仿宋_GB2312" w:cs="仿宋_GB2312"/>
                <w:color w:val="auto"/>
                <w:sz w:val="24"/>
                <w:szCs w:val="24"/>
                <w:highlight w:val="none"/>
              </w:rPr>
            </w:pP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密封袋（箱）上须标注：</w:t>
            </w:r>
          </w:p>
          <w:p>
            <w:pPr>
              <w:pStyle w:val="29"/>
              <w:adjustRightInd w:val="0"/>
              <w:snapToGrid w:val="0"/>
              <w:rPr>
                <w:rFonts w:hint="default" w:ascii="仿宋_GB2312" w:hAnsi="仿宋_GB2312" w:eastAsia="微软雅黑"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（l）采购项目编号：</w:t>
            </w:r>
            <w:r>
              <w:rPr>
                <w:rFonts w:ascii="微软雅黑" w:hAnsi="微软雅黑" w:eastAsia="微软雅黑" w:cs="微软雅黑"/>
                <w:i w:val="0"/>
                <w:iCs w:val="0"/>
                <w:caps w:val="0"/>
                <w:color w:val="333333"/>
                <w:spacing w:val="0"/>
                <w:sz w:val="21"/>
                <w:szCs w:val="21"/>
                <w:shd w:val="clear" w:fill="FFFFFF"/>
              </w:rPr>
              <w:t>ZCSP-延川县-202</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ascii="微软雅黑" w:hAnsi="微软雅黑" w:eastAsia="微软雅黑" w:cs="微软雅黑"/>
                <w:i w:val="0"/>
                <w:iCs w:val="0"/>
                <w:caps w:val="0"/>
                <w:color w:val="333333"/>
                <w:spacing w:val="0"/>
                <w:sz w:val="21"/>
                <w:szCs w:val="21"/>
                <w:shd w:val="clear" w:fill="FFFFFF"/>
              </w:rPr>
              <w:t>-00</w:t>
            </w:r>
            <w:r>
              <w:rPr>
                <w:rFonts w:hint="eastAsia" w:ascii="微软雅黑" w:hAnsi="微软雅黑" w:eastAsia="微软雅黑" w:cs="微软雅黑"/>
                <w:i w:val="0"/>
                <w:iCs w:val="0"/>
                <w:caps w:val="0"/>
                <w:color w:val="333333"/>
                <w:spacing w:val="0"/>
                <w:sz w:val="21"/>
                <w:szCs w:val="21"/>
                <w:shd w:val="clear" w:fill="FFFFFF"/>
                <w:lang w:val="en-US" w:eastAsia="zh-CN"/>
              </w:rPr>
              <w:t>022</w:t>
            </w:r>
          </w:p>
          <w:p>
            <w:pPr>
              <w:pStyle w:val="29"/>
              <w:adjustRightInd w:val="0"/>
              <w:snapToGrid w:val="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 xml:space="preserve">    （2）项目名称：</w:t>
            </w:r>
            <w:r>
              <w:rPr>
                <w:rFonts w:hint="eastAsia" w:ascii="仿宋_GB2312" w:hAnsi="仿宋_GB2312" w:eastAsia="仿宋_GB2312" w:cs="仿宋_GB2312"/>
                <w:color w:val="auto"/>
                <w:sz w:val="24"/>
                <w:szCs w:val="24"/>
                <w:highlight w:val="none"/>
                <w:lang w:val="en-US" w:eastAsia="zh-CN"/>
              </w:rPr>
              <w:t>关于失能半失能照护服务中心建设项目施工图设计项目</w:t>
            </w:r>
          </w:p>
          <w:p>
            <w:pPr>
              <w:pStyle w:val="29"/>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（3）供应商的名称、地址、联系人、电话和传真。</w:t>
            </w:r>
          </w:p>
          <w:p>
            <w:pPr>
              <w:pStyle w:val="29"/>
              <w:adjustRightInd w:val="0"/>
              <w:snapToGrid w:val="0"/>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（4）在</w:t>
            </w:r>
            <w:r>
              <w:rPr>
                <w:rFonts w:hint="eastAsia" w:ascii="仿宋_GB2312" w:hAnsi="仿宋_GB2312" w:eastAsia="仿宋_GB2312" w:cs="仿宋_GB2312"/>
                <w:color w:val="auto"/>
                <w:sz w:val="24"/>
                <w:szCs w:val="24"/>
                <w:highlight w:val="none"/>
                <w:lang w:val="en-US" w:eastAsia="zh-CN"/>
              </w:rPr>
              <w:t>开标</w:t>
            </w:r>
            <w:r>
              <w:rPr>
                <w:rFonts w:hint="eastAsia" w:ascii="仿宋_GB2312" w:hAnsi="仿宋_GB2312" w:eastAsia="仿宋_GB2312" w:cs="仿宋_GB2312"/>
                <w:color w:val="auto"/>
                <w:sz w:val="24"/>
                <w:szCs w:val="24"/>
                <w:highlight w:val="none"/>
              </w:rPr>
              <w:t>之前不得启封</w:t>
            </w:r>
          </w:p>
          <w:p>
            <w:pPr>
              <w:pStyle w:val="29"/>
              <w:adjustRightInd w:val="0"/>
              <w:snapToGrid w:val="0"/>
              <w:spacing w:line="240" w:lineRule="auto"/>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pPr>
              <w:pStyle w:val="29"/>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本项目不要求提交样品。</w:t>
            </w:r>
          </w:p>
          <w:p>
            <w:pPr>
              <w:pStyle w:val="29"/>
              <w:adjustRightInd w:val="0"/>
              <w:snapToGrid w:val="0"/>
              <w:ind w:firstLine="120" w:firstLineChars="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□本项目要求提交样品。样品为响应文件的一部分，随响应文件同时递交。</w:t>
            </w:r>
          </w:p>
          <w:p>
            <w:pPr>
              <w:pStyle w:val="29"/>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（1）样品需标明：项目名称、供应商名称、样品名称等内容。</w:t>
            </w:r>
          </w:p>
          <w:p>
            <w:pPr>
              <w:pStyle w:val="29"/>
              <w:adjustRightInd w:val="0"/>
              <w:snapToGrid w:val="0"/>
              <w:ind w:firstLine="360" w:firstLineChars="1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18.1</w:t>
            </w:r>
          </w:p>
        </w:tc>
        <w:tc>
          <w:tcPr>
            <w:tcW w:w="7650" w:type="dxa"/>
            <w:vAlign w:val="center"/>
          </w:tcPr>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响应文件递交截止时间：202</w:t>
            </w:r>
            <w:r>
              <w:rPr>
                <w:rFonts w:hint="eastAsia" w:ascii="仿宋_GB2312" w:hAnsi="仿宋_GB2312" w:eastAsia="仿宋_GB2312" w:cs="仿宋_GB2312"/>
                <w:color w:val="auto"/>
                <w:kern w:val="24"/>
                <w:sz w:val="24"/>
                <w:szCs w:val="21"/>
                <w:highlight w:val="none"/>
                <w:lang w:val="en-US" w:eastAsia="zh-CN"/>
              </w:rPr>
              <w:t>3</w:t>
            </w:r>
            <w:r>
              <w:rPr>
                <w:rFonts w:hint="eastAsia" w:ascii="仿宋_GB2312" w:hAnsi="仿宋_GB2312" w:eastAsia="仿宋_GB2312" w:cs="仿宋_GB2312"/>
                <w:color w:val="auto"/>
                <w:kern w:val="24"/>
                <w:sz w:val="24"/>
                <w:szCs w:val="21"/>
                <w:highlight w:val="none"/>
              </w:rPr>
              <w:t>年</w:t>
            </w:r>
            <w:r>
              <w:rPr>
                <w:rFonts w:hint="eastAsia" w:ascii="仿宋_GB2312" w:hAnsi="仿宋_GB2312" w:eastAsia="仿宋_GB2312" w:cs="仿宋_GB2312"/>
                <w:color w:val="auto"/>
                <w:kern w:val="24"/>
                <w:sz w:val="24"/>
                <w:szCs w:val="21"/>
                <w:highlight w:val="none"/>
                <w:lang w:val="en-US" w:eastAsia="zh-CN"/>
              </w:rPr>
              <w:t>5</w:t>
            </w:r>
            <w:r>
              <w:rPr>
                <w:rFonts w:hint="eastAsia" w:ascii="仿宋_GB2312" w:hAnsi="仿宋_GB2312" w:eastAsia="仿宋_GB2312" w:cs="仿宋_GB2312"/>
                <w:color w:val="auto"/>
                <w:kern w:val="24"/>
                <w:sz w:val="24"/>
                <w:szCs w:val="21"/>
                <w:highlight w:val="none"/>
              </w:rPr>
              <w:t>月</w:t>
            </w:r>
            <w:r>
              <w:rPr>
                <w:rFonts w:hint="eastAsia" w:ascii="仿宋_GB2312" w:hAnsi="仿宋_GB2312" w:eastAsia="仿宋_GB2312" w:cs="仿宋_GB2312"/>
                <w:color w:val="auto"/>
                <w:kern w:val="24"/>
                <w:sz w:val="24"/>
                <w:szCs w:val="21"/>
                <w:highlight w:val="none"/>
                <w:lang w:val="en-US" w:eastAsia="zh-CN"/>
              </w:rPr>
              <w:t>24</w:t>
            </w:r>
            <w:r>
              <w:rPr>
                <w:rFonts w:hint="eastAsia" w:ascii="仿宋_GB2312" w:hAnsi="仿宋_GB2312" w:eastAsia="仿宋_GB2312" w:cs="仿宋_GB2312"/>
                <w:color w:val="auto"/>
                <w:kern w:val="24"/>
                <w:sz w:val="24"/>
                <w:szCs w:val="21"/>
                <w:highlight w:val="none"/>
              </w:rPr>
              <w:t>日</w:t>
            </w:r>
            <w:r>
              <w:rPr>
                <w:rFonts w:hint="eastAsia" w:ascii="仿宋_GB2312" w:hAnsi="仿宋_GB2312" w:eastAsia="仿宋_GB2312" w:cs="仿宋_GB2312"/>
                <w:color w:val="auto"/>
                <w:kern w:val="24"/>
                <w:sz w:val="24"/>
                <w:szCs w:val="21"/>
                <w:highlight w:val="none"/>
                <w:lang w:val="en-US" w:eastAsia="zh-CN"/>
              </w:rPr>
              <w:t>10</w:t>
            </w:r>
            <w:r>
              <w:rPr>
                <w:rFonts w:hint="eastAsia" w:ascii="仿宋_GB2312" w:hAnsi="仿宋_GB2312" w:eastAsia="仿宋_GB2312" w:cs="仿宋_GB2312"/>
                <w:color w:val="auto"/>
                <w:kern w:val="24"/>
                <w:sz w:val="24"/>
                <w:szCs w:val="21"/>
                <w:highlight w:val="none"/>
              </w:rPr>
              <w:t>:</w:t>
            </w:r>
            <w:r>
              <w:rPr>
                <w:rFonts w:hint="eastAsia" w:ascii="仿宋_GB2312" w:hAnsi="仿宋_GB2312" w:eastAsia="仿宋_GB2312" w:cs="仿宋_GB2312"/>
                <w:color w:val="auto"/>
                <w:kern w:val="24"/>
                <w:sz w:val="24"/>
                <w:szCs w:val="21"/>
                <w:highlight w:val="none"/>
                <w:lang w:val="en-US" w:eastAsia="zh-CN"/>
              </w:rPr>
              <w:t>00</w:t>
            </w:r>
            <w:r>
              <w:rPr>
                <w:rFonts w:hint="eastAsia" w:ascii="仿宋_GB2312" w:hAnsi="仿宋_GB2312" w:eastAsia="仿宋_GB2312" w:cs="仿宋_GB2312"/>
                <w:color w:val="auto"/>
                <w:kern w:val="24"/>
                <w:sz w:val="24"/>
                <w:szCs w:val="21"/>
                <w:highlight w:val="none"/>
              </w:rPr>
              <w:t>（北京时间）。</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响应文件递交地点：</w:t>
            </w:r>
            <w:r>
              <w:rPr>
                <w:rFonts w:hint="eastAsia" w:ascii="仿宋_GB2312" w:hAnsi="仿宋_GB2312" w:eastAsia="仿宋_GB2312" w:cs="仿宋_GB2312"/>
                <w:color w:val="auto"/>
                <w:kern w:val="24"/>
                <w:sz w:val="24"/>
                <w:szCs w:val="21"/>
                <w:highlight w:val="none"/>
                <w:lang w:val="en-US" w:eastAsia="zh-CN"/>
              </w:rPr>
              <w:t>延川县财政局1楼会议室</w:t>
            </w:r>
            <w:r>
              <w:rPr>
                <w:rFonts w:hint="eastAsia" w:ascii="仿宋_GB2312" w:hAnsi="仿宋_GB2312" w:eastAsia="仿宋_GB2312" w:cs="仿宋_GB2312"/>
                <w:color w:val="auto"/>
                <w:kern w:val="24"/>
                <w:sz w:val="24"/>
                <w:szCs w:val="21"/>
                <w:highlight w:val="none"/>
              </w:rPr>
              <w:t>。</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w:t>
            </w:r>
          </w:p>
        </w:tc>
        <w:tc>
          <w:tcPr>
            <w:tcW w:w="7650" w:type="dxa"/>
            <w:vAlign w:val="center"/>
          </w:tcPr>
          <w:p>
            <w:pPr>
              <w:spacing w:line="3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磋商小组由</w:t>
            </w:r>
            <w:r>
              <w:rPr>
                <w:rFonts w:hint="eastAsia" w:ascii="仿宋_GB2312" w:hAnsi="仿宋_GB2312" w:eastAsia="仿宋_GB2312" w:cs="仿宋_GB2312"/>
                <w:b/>
                <w:bCs/>
                <w:color w:val="auto"/>
                <w:sz w:val="24"/>
                <w:highlight w:val="none"/>
                <w:u w:val="single"/>
              </w:rPr>
              <w:t xml:space="preserve"> 3 </w:t>
            </w:r>
            <w:r>
              <w:rPr>
                <w:rFonts w:hint="eastAsia" w:ascii="仿宋_GB2312" w:hAnsi="仿宋_GB2312" w:eastAsia="仿宋_GB2312" w:cs="仿宋_GB2312"/>
                <w:color w:val="auto"/>
                <w:sz w:val="24"/>
                <w:highlight w:val="none"/>
              </w:rPr>
              <w:t>人或以上单数组成。</w:t>
            </w:r>
          </w:p>
        </w:tc>
      </w:tr>
    </w:tbl>
    <w:p>
      <w:pPr>
        <w:rPr>
          <w:rFonts w:ascii="仿宋_GB2312" w:hAnsi="仿宋_GB2312" w:eastAsia="仿宋_GB2312" w:cs="仿宋_GB2312"/>
          <w:color w:val="auto"/>
          <w:sz w:val="30"/>
          <w:szCs w:val="30"/>
          <w:highlight w:val="none"/>
        </w:rPr>
      </w:pPr>
      <w:bookmarkStart w:id="70" w:name="_Toc230099798"/>
      <w:bookmarkStart w:id="71" w:name="_Toc177995474"/>
      <w:bookmarkStart w:id="72" w:name="_Toc249515279"/>
      <w:bookmarkStart w:id="73" w:name="_Toc230013633"/>
      <w:bookmarkStart w:id="74" w:name="_Toc70687140"/>
      <w:bookmarkStart w:id="75" w:name="_Toc232395213"/>
      <w:bookmarkStart w:id="76" w:name="_Toc176882543"/>
      <w:bookmarkStart w:id="77" w:name="_Toc53722841"/>
      <w:bookmarkStart w:id="78" w:name="_Toc249525160"/>
      <w:bookmarkStart w:id="79" w:name="_Toc232176273"/>
      <w:bookmarkStart w:id="80" w:name="_Toc184043013"/>
      <w:bookmarkStart w:id="81" w:name="_Toc177189236"/>
      <w:bookmarkStart w:id="82" w:name="_Toc249515391"/>
      <w:bookmarkStart w:id="83" w:name="_Toc230583542"/>
      <w:bookmarkStart w:id="84" w:name="_Toc177817335"/>
      <w:bookmarkStart w:id="85" w:name="_Toc256342144"/>
      <w:r>
        <w:rPr>
          <w:rFonts w:hint="eastAsia" w:ascii="仿宋_GB2312" w:hAnsi="仿宋_GB2312" w:eastAsia="仿宋_GB2312" w:cs="仿宋_GB2312"/>
          <w:color w:val="auto"/>
          <w:sz w:val="30"/>
          <w:szCs w:val="30"/>
          <w:highlight w:val="none"/>
        </w:rPr>
        <w:br w:type="page"/>
      </w:r>
    </w:p>
    <w:p>
      <w:pPr>
        <w:pStyle w:val="78"/>
        <w:spacing w:before="24" w:after="24"/>
        <w:jc w:val="center"/>
        <w:rPr>
          <w:rFonts w:ascii="仿宋_GB2312" w:hAnsi="仿宋_GB2312" w:eastAsia="仿宋_GB2312" w:cs="仿宋_GB2312"/>
          <w:color w:val="auto"/>
          <w:szCs w:val="32"/>
          <w:highlight w:val="none"/>
        </w:rPr>
      </w:pPr>
      <w:bookmarkStart w:id="86" w:name="_Toc68590968"/>
      <w:r>
        <w:rPr>
          <w:rFonts w:hint="eastAsia" w:ascii="仿宋_GB2312" w:hAnsi="仿宋_GB2312" w:eastAsia="仿宋_GB2312" w:cs="仿宋_GB2312"/>
          <w:color w:val="auto"/>
          <w:szCs w:val="32"/>
          <w:highlight w:val="none"/>
        </w:rPr>
        <w:t>（二）供应商须知</w:t>
      </w:r>
      <w:bookmarkEnd w:id="86"/>
    </w:p>
    <w:p>
      <w:pPr>
        <w:pStyle w:val="78"/>
        <w:spacing w:before="24" w:after="24"/>
        <w:jc w:val="center"/>
        <w:rPr>
          <w:rFonts w:ascii="仿宋_GB2312" w:hAnsi="仿宋_GB2312" w:eastAsia="仿宋_GB2312" w:cs="仿宋_GB2312"/>
          <w:color w:val="auto"/>
          <w:sz w:val="30"/>
          <w:szCs w:val="30"/>
          <w:highlight w:val="none"/>
        </w:rPr>
      </w:pPr>
      <w:bookmarkStart w:id="87" w:name="_Toc68590969"/>
      <w:r>
        <w:rPr>
          <w:rFonts w:hint="eastAsia" w:ascii="仿宋_GB2312" w:hAnsi="仿宋_GB2312" w:eastAsia="仿宋_GB2312" w:cs="仿宋_GB2312"/>
          <w:color w:val="auto"/>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88" w:name="_Hlt14560612"/>
      <w:bookmarkEnd w:id="88"/>
      <w:bookmarkStart w:id="89" w:name="_Toc25504"/>
      <w:bookmarkStart w:id="90" w:name="_Toc184043014"/>
      <w:bookmarkStart w:id="91" w:name="_Toc249515392"/>
      <w:bookmarkStart w:id="92" w:name="_Toc249525161"/>
      <w:bookmarkStart w:id="93" w:name="_Toc249515280"/>
      <w:r>
        <w:rPr>
          <w:rFonts w:hint="eastAsia" w:ascii="仿宋_GB2312" w:hAnsi="仿宋_GB2312" w:eastAsia="仿宋_GB2312" w:cs="仿宋_GB2312"/>
          <w:b/>
          <w:color w:val="auto"/>
          <w:sz w:val="24"/>
          <w:szCs w:val="21"/>
          <w:highlight w:val="none"/>
        </w:rPr>
        <w:t>1.     项目说明</w:t>
      </w:r>
      <w:bookmarkEnd w:id="89"/>
      <w:bookmarkEnd w:id="90"/>
      <w:bookmarkEnd w:id="91"/>
      <w:bookmarkEnd w:id="92"/>
      <w:bookmarkEnd w:id="93"/>
    </w:p>
    <w:p>
      <w:pPr>
        <w:pStyle w:val="64"/>
        <w:widowControl w:val="0"/>
        <w:tabs>
          <w:tab w:val="left" w:pos="588"/>
        </w:tabs>
        <w:spacing w:before="0" w:beforeAutospacing="0" w:after="0" w:afterAutospacing="0"/>
        <w:textAlignment w:val="auto"/>
        <w:rPr>
          <w:rFonts w:ascii="仿宋_GB2312" w:hAnsi="仿宋_GB2312" w:eastAsia="仿宋_GB2312" w:cs="仿宋_GB2312"/>
          <w:color w:val="auto"/>
          <w:kern w:val="24"/>
          <w:szCs w:val="21"/>
          <w:highlight w:val="none"/>
        </w:rPr>
      </w:pPr>
      <w:r>
        <w:rPr>
          <w:rFonts w:hint="eastAsia" w:ascii="仿宋_GB2312" w:hAnsi="仿宋_GB2312" w:eastAsia="仿宋_GB2312" w:cs="仿宋_GB2312"/>
          <w:color w:val="auto"/>
          <w:kern w:val="24"/>
          <w:szCs w:val="21"/>
          <w:highlight w:val="none"/>
        </w:rPr>
        <w:t>1.1    项目说明：</w:t>
      </w:r>
      <w:r>
        <w:rPr>
          <w:rFonts w:hint="eastAsia" w:ascii="仿宋_GB2312" w:hAnsi="仿宋_GB2312" w:eastAsia="仿宋_GB2312" w:cs="仿宋_GB2312"/>
          <w:b/>
          <w:color w:val="auto"/>
          <w:kern w:val="24"/>
          <w:szCs w:val="21"/>
          <w:highlight w:val="none"/>
        </w:rPr>
        <w:t>见供应商须知前附表</w:t>
      </w:r>
      <w:r>
        <w:rPr>
          <w:rFonts w:hint="eastAsia" w:ascii="仿宋_GB2312" w:hAnsi="仿宋_GB2312" w:eastAsia="仿宋_GB2312" w:cs="仿宋_GB2312"/>
          <w:color w:val="auto"/>
          <w:kern w:val="24"/>
          <w:szCs w:val="21"/>
          <w:highlight w:val="none"/>
        </w:rPr>
        <w:t>。</w:t>
      </w:r>
    </w:p>
    <w:p>
      <w:pPr>
        <w:pStyle w:val="5"/>
        <w:rPr>
          <w:rFonts w:ascii="仿宋_GB2312" w:hAnsi="仿宋_GB2312" w:eastAsia="仿宋_GB2312" w:cs="仿宋_GB2312"/>
          <w:b/>
          <w:color w:val="auto"/>
          <w:sz w:val="24"/>
          <w:szCs w:val="21"/>
          <w:highlight w:val="none"/>
        </w:rPr>
      </w:pPr>
      <w:bookmarkStart w:id="94" w:name="_Toc249525162"/>
      <w:bookmarkStart w:id="95" w:name="_Toc184043015"/>
      <w:bookmarkStart w:id="96" w:name="_Toc31509"/>
      <w:bookmarkStart w:id="97" w:name="_Toc249515281"/>
      <w:bookmarkStart w:id="98" w:name="_Toc249515393"/>
      <w:bookmarkStart w:id="99" w:name="_Toc70687142"/>
      <w:r>
        <w:rPr>
          <w:rFonts w:hint="eastAsia" w:ascii="仿宋_GB2312" w:hAnsi="仿宋_GB2312" w:eastAsia="仿宋_GB2312" w:cs="仿宋_GB2312"/>
          <w:b/>
          <w:color w:val="auto"/>
          <w:sz w:val="24"/>
          <w:szCs w:val="21"/>
          <w:highlight w:val="none"/>
        </w:rPr>
        <w:t>2.     定义</w:t>
      </w:r>
      <w:bookmarkEnd w:id="94"/>
      <w:bookmarkEnd w:id="95"/>
      <w:bookmarkEnd w:id="96"/>
      <w:bookmarkEnd w:id="97"/>
      <w:bookmarkEnd w:id="98"/>
      <w:bookmarkEnd w:id="9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采购人：</w:t>
      </w:r>
      <w:r>
        <w:rPr>
          <w:rFonts w:hint="eastAsia" w:ascii="仿宋_GB2312" w:hAnsi="仿宋_GB2312" w:eastAsia="仿宋_GB2312" w:cs="仿宋_GB2312"/>
          <w:b/>
          <w:color w:val="auto"/>
          <w:sz w:val="24"/>
          <w:highlight w:val="none"/>
        </w:rPr>
        <w:t>见供应商须知前附表</w:t>
      </w:r>
      <w:r>
        <w:rPr>
          <w:rFonts w:hint="eastAsia" w:ascii="仿宋_GB2312" w:hAnsi="仿宋_GB2312" w:eastAsia="仿宋_GB2312" w:cs="仿宋_GB2312"/>
          <w:color w:val="auto"/>
          <w:sz w:val="24"/>
          <w:highlight w:val="none"/>
        </w:rPr>
        <w:t>。</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2.2    采购代理机构：</w:t>
      </w:r>
      <w:r>
        <w:rPr>
          <w:rFonts w:hint="eastAsia" w:ascii="仿宋_GB2312" w:hAnsi="仿宋_GB2312" w:eastAsia="仿宋_GB2312" w:cs="仿宋_GB2312"/>
          <w:b/>
          <w:color w:val="auto"/>
          <w:kern w:val="24"/>
          <w:sz w:val="24"/>
          <w:szCs w:val="21"/>
          <w:highlight w:val="none"/>
        </w:rPr>
        <w:t>见供应商须知前附表</w:t>
      </w:r>
      <w:r>
        <w:rPr>
          <w:rFonts w:hint="eastAsia" w:ascii="仿宋_GB2312" w:hAnsi="仿宋_GB2312" w:eastAsia="仿宋_GB2312" w:cs="仿宋_GB2312"/>
          <w:color w:val="auto"/>
          <w:kern w:val="24"/>
          <w:sz w:val="24"/>
          <w:szCs w:val="21"/>
          <w:highlight w:val="none"/>
        </w:rPr>
        <w:t>。</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highlight w:val="none"/>
        </w:rPr>
        <w:t>供应商须知前附表。</w:t>
      </w:r>
    </w:p>
    <w:p>
      <w:pPr>
        <w:pStyle w:val="23"/>
        <w:tabs>
          <w:tab w:val="left" w:pos="360"/>
        </w:tabs>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    磋商小组：指依据《中华人民共和国政府采购法》和财政部《政府采购竞争性磋商采购方式管理暂行办法》有关规定组建，依法依规履行其职责和义务的机构。</w:t>
      </w:r>
    </w:p>
    <w:p>
      <w:pPr>
        <w:pStyle w:val="5"/>
        <w:rPr>
          <w:rFonts w:ascii="仿宋_GB2312" w:hAnsi="仿宋_GB2312" w:eastAsia="仿宋_GB2312" w:cs="仿宋_GB2312"/>
          <w:b/>
          <w:color w:val="auto"/>
          <w:sz w:val="24"/>
          <w:szCs w:val="21"/>
          <w:highlight w:val="none"/>
        </w:rPr>
      </w:pPr>
      <w:bookmarkStart w:id="100" w:name="_Toc70687143"/>
      <w:bookmarkStart w:id="101" w:name="_Toc249525163"/>
      <w:bookmarkStart w:id="102" w:name="_Toc385992329"/>
      <w:bookmarkStart w:id="103" w:name="_Toc184043016"/>
      <w:bookmarkStart w:id="104" w:name="_Toc249515282"/>
      <w:bookmarkStart w:id="105" w:name="_Toc249515394"/>
      <w:bookmarkStart w:id="106" w:name="_Toc23705"/>
      <w:bookmarkStart w:id="107" w:name="_Toc389620168"/>
      <w:r>
        <w:rPr>
          <w:rFonts w:hint="eastAsia" w:ascii="仿宋_GB2312" w:hAnsi="仿宋_GB2312" w:eastAsia="仿宋_GB2312" w:cs="仿宋_GB2312"/>
          <w:b/>
          <w:color w:val="auto"/>
          <w:sz w:val="24"/>
          <w:szCs w:val="21"/>
          <w:highlight w:val="none"/>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3.1    供应商基本资质要求详见</w:t>
      </w:r>
      <w:r>
        <w:rPr>
          <w:rFonts w:hint="eastAsia" w:ascii="仿宋_GB2312" w:hAnsi="仿宋_GB2312" w:eastAsia="仿宋_GB2312" w:cs="仿宋_GB2312"/>
          <w:b/>
          <w:color w:val="auto"/>
          <w:kern w:val="24"/>
          <w:sz w:val="24"/>
          <w:szCs w:val="21"/>
          <w:highlight w:val="none"/>
        </w:rPr>
        <w:t>供应商须知前附表</w:t>
      </w:r>
      <w:r>
        <w:rPr>
          <w:rFonts w:hint="eastAsia" w:ascii="仿宋_GB2312" w:hAnsi="仿宋_GB2312" w:eastAsia="仿宋_GB2312" w:cs="仿宋_GB2312"/>
          <w:color w:val="auto"/>
          <w:kern w:val="24"/>
          <w:sz w:val="24"/>
          <w:szCs w:val="21"/>
          <w:highlight w:val="none"/>
        </w:rPr>
        <w:t>。</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3.2.1  供应商应当未被列入失信被执行人、重大税收违法案件当事人名单、政府采购严重违法失信行为记录名单，否则不得参与政府采购活动。</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3.2.2  信用信息查询的时间：响应文件递交截止时间之后至磋商</w:t>
      </w:r>
      <w:r>
        <w:rPr>
          <w:rFonts w:hint="eastAsia" w:ascii="仿宋_GB2312" w:hAnsi="仿宋_GB2312" w:eastAsia="仿宋_GB2312" w:cs="仿宋_GB2312"/>
          <w:color w:val="auto"/>
          <w:sz w:val="24"/>
          <w:highlight w:val="none"/>
        </w:rPr>
        <w:t>资格性检查结束</w:t>
      </w:r>
      <w:r>
        <w:rPr>
          <w:rFonts w:hint="eastAsia" w:ascii="仿宋_GB2312" w:hAnsi="仿宋_GB2312" w:eastAsia="仿宋_GB2312" w:cs="仿宋_GB2312"/>
          <w:color w:val="auto"/>
          <w:kern w:val="24"/>
          <w:sz w:val="24"/>
          <w:szCs w:val="21"/>
          <w:highlight w:val="none"/>
        </w:rPr>
        <w:t xml:space="preserve">。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3.2.3  查询渠道：“信用中国”网站（www.creditchina.gov.cn）和中国政府采购网（www.ccgp.gov.cn）；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3.3.5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3.4    供应商必须向采购人领取磋商文件并登记备案，未向采购人领取磋商文件并登记备案的潜在供应商均无资格参加本次采购。</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3.5    供应商应遵守《中华人民共和国政府采购法》及其它有关的中国法律和法规。</w:t>
      </w:r>
    </w:p>
    <w:p>
      <w:pPr>
        <w:pStyle w:val="2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3.6    若前附表中写明允许采购进口产品，供应商应保证所投产品可履行合法报通关手续进入中国关境内。</w:t>
      </w:r>
    </w:p>
    <w:p>
      <w:pPr>
        <w:pStyle w:val="23"/>
        <w:ind w:left="838" w:leftChars="399"/>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若前附表中不允许采购进口产品，如供应商所投产品为进口产品，其响应文件将被认定为无效。</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    如须知前附表中允许联合体投标，对联合体规定如下：</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3.7.1  两个及以上供应商可以组成一个投标联合体，以一个供应商的身份投标。</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3.7.2  联合体各方均应符合本须知规定。</w:t>
      </w:r>
    </w:p>
    <w:p>
      <w:pPr>
        <w:pStyle w:val="2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3.7.3  采购人根据采购项目对供应商的特殊要求，联合体中至少应当有一方符合相关规定。</w:t>
      </w:r>
    </w:p>
    <w:p>
      <w:pPr>
        <w:pStyle w:val="2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3.7.4  联合体各方应签订共同磋商响应协议，明确约定联合体各方承担的工作和相应的责任，并将共同响应协议作为响应文件的内容提交。</w:t>
      </w:r>
    </w:p>
    <w:p>
      <w:pPr>
        <w:pStyle w:val="2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3.7.6  以联合体形式参加政府采购活动的，联合体各方不得再单独参加或者与其他供应商另外组成联合体参加本项目同一合同项下的磋商，否则相关响应文件将被认定为无效。</w:t>
      </w:r>
    </w:p>
    <w:p>
      <w:pPr>
        <w:pStyle w:val="23"/>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3.7.7  对联合体磋商的其他资格要求见须知前附表。</w:t>
      </w:r>
    </w:p>
    <w:p>
      <w:pPr>
        <w:pStyle w:val="23"/>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3.8   </w:t>
      </w:r>
      <w:r>
        <w:rPr>
          <w:rFonts w:hint="eastAsia" w:ascii="仿宋_GB2312" w:hAnsi="宋体" w:eastAsia="仿宋_GB2312"/>
          <w:color w:val="auto"/>
          <w:sz w:val="24"/>
          <w:highlight w:val="none"/>
        </w:rPr>
        <w:t>若前附表中写明</w:t>
      </w:r>
      <w:r>
        <w:rPr>
          <w:rFonts w:ascii="仿宋_GB2312" w:hAnsi="宋体" w:eastAsia="仿宋_GB2312"/>
          <w:color w:val="auto"/>
          <w:sz w:val="24"/>
          <w:highlight w:val="none"/>
        </w:rPr>
        <w:t>专门面向中小企业采购</w:t>
      </w:r>
      <w:r>
        <w:rPr>
          <w:rFonts w:hint="eastAsia" w:ascii="仿宋_GB2312" w:hAnsi="宋体" w:eastAsia="仿宋_GB2312"/>
          <w:color w:val="auto"/>
          <w:sz w:val="24"/>
          <w:highlight w:val="none"/>
        </w:rPr>
        <w:t>的，如供应商为</w:t>
      </w:r>
      <w:r>
        <w:rPr>
          <w:rFonts w:ascii="仿宋_GB2312" w:hAnsi="宋体" w:eastAsia="仿宋_GB2312"/>
          <w:color w:val="auto"/>
          <w:sz w:val="24"/>
          <w:highlight w:val="none"/>
        </w:rPr>
        <w:t>非中小企业</w:t>
      </w:r>
      <w:r>
        <w:rPr>
          <w:rFonts w:hint="eastAsia" w:ascii="仿宋_GB2312" w:hAnsi="宋体" w:eastAsia="仿宋_GB2312"/>
          <w:color w:val="auto"/>
          <w:sz w:val="24"/>
          <w:highlight w:val="none"/>
        </w:rPr>
        <w:t>或所投产品为非中小企业产品，其响应文件将被认定为无效。</w:t>
      </w:r>
    </w:p>
    <w:p>
      <w:pPr>
        <w:pStyle w:val="5"/>
        <w:rPr>
          <w:rFonts w:ascii="仿宋_GB2312" w:hAnsi="仿宋_GB2312" w:eastAsia="仿宋_GB2312" w:cs="仿宋_GB2312"/>
          <w:b/>
          <w:color w:val="auto"/>
          <w:sz w:val="24"/>
          <w:szCs w:val="21"/>
          <w:highlight w:val="none"/>
        </w:rPr>
      </w:pPr>
      <w:bookmarkStart w:id="108" w:name="_Toc249525164"/>
      <w:bookmarkStart w:id="109" w:name="_Toc249515395"/>
      <w:bookmarkStart w:id="110" w:name="_Toc26580"/>
      <w:bookmarkStart w:id="111" w:name="_Toc184043017"/>
      <w:bookmarkStart w:id="112" w:name="_Toc70687144"/>
      <w:bookmarkStart w:id="113" w:name="_Toc389620169"/>
      <w:bookmarkStart w:id="114" w:name="_Toc249515283"/>
      <w:bookmarkStart w:id="115" w:name="_Toc385992330"/>
      <w:r>
        <w:rPr>
          <w:rFonts w:hint="eastAsia" w:ascii="仿宋_GB2312" w:hAnsi="仿宋_GB2312" w:eastAsia="仿宋_GB2312" w:cs="仿宋_GB2312"/>
          <w:b/>
          <w:color w:val="auto"/>
          <w:sz w:val="24"/>
          <w:szCs w:val="21"/>
          <w:highlight w:val="none"/>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24"/>
          <w:sz w:val="24"/>
          <w:szCs w:val="21"/>
          <w:highlight w:val="none"/>
        </w:rPr>
        <w:t>4.1    供应商应承担所有与编写和提交响应文件有关的费用，无论磋商过程和结果如何，采购人在任何情况下均无义务和责任承担这些费用。</w:t>
      </w:r>
      <w:bookmarkStart w:id="116" w:name="_Toc68590970"/>
    </w:p>
    <w:p>
      <w:pPr>
        <w:pStyle w:val="78"/>
        <w:spacing w:before="24" w:after="24"/>
        <w:ind w:left="3313"/>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二、磋商文件说明</w:t>
      </w:r>
      <w:bookmarkEnd w:id="116"/>
    </w:p>
    <w:p>
      <w:pPr>
        <w:rPr>
          <w:rFonts w:ascii="仿宋_GB2312" w:hAnsi="仿宋_GB2312" w:eastAsia="仿宋_GB2312" w:cs="仿宋_GB2312"/>
          <w:color w:val="auto"/>
          <w:highlight w:val="none"/>
        </w:rPr>
      </w:pPr>
    </w:p>
    <w:p>
      <w:pPr>
        <w:pStyle w:val="5"/>
        <w:numPr>
          <w:ilvl w:val="0"/>
          <w:numId w:val="5"/>
        </w:numPr>
        <w:rPr>
          <w:rFonts w:ascii="仿宋_GB2312" w:hAnsi="仿宋_GB2312" w:eastAsia="仿宋_GB2312" w:cs="仿宋_GB2312"/>
          <w:b/>
          <w:color w:val="auto"/>
          <w:sz w:val="24"/>
          <w:szCs w:val="21"/>
          <w:highlight w:val="none"/>
        </w:rPr>
      </w:pPr>
      <w:bookmarkStart w:id="117" w:name="_Toc128"/>
      <w:bookmarkStart w:id="118" w:name="_Toc249515285"/>
      <w:bookmarkStart w:id="119" w:name="_Toc249515397"/>
      <w:bookmarkStart w:id="120" w:name="_Toc249525166"/>
      <w:bookmarkStart w:id="121" w:name="_Toc389620171"/>
      <w:bookmarkStart w:id="122" w:name="_Toc385992332"/>
      <w:bookmarkStart w:id="123" w:name="_Toc184043019"/>
      <w:bookmarkStart w:id="124" w:name="_Toc70687146"/>
      <w:r>
        <w:rPr>
          <w:rFonts w:hint="eastAsia" w:ascii="仿宋_GB2312" w:hAnsi="仿宋_GB2312" w:eastAsia="仿宋_GB2312" w:cs="仿宋_GB2312"/>
          <w:b/>
          <w:color w:val="auto"/>
          <w:sz w:val="24"/>
          <w:szCs w:val="21"/>
          <w:highlight w:val="none"/>
        </w:rPr>
        <w:t xml:space="preserve">    通知</w:t>
      </w:r>
      <w:bookmarkEnd w:id="117"/>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color w:val="auto"/>
          <w:sz w:val="24"/>
          <w:szCs w:val="21"/>
          <w:highlight w:val="none"/>
        </w:rPr>
      </w:pPr>
      <w:bookmarkStart w:id="125" w:name="_Toc27223"/>
      <w:r>
        <w:rPr>
          <w:rFonts w:hint="eastAsia" w:ascii="仿宋_GB2312" w:hAnsi="仿宋_GB2312" w:eastAsia="仿宋_GB2312" w:cs="仿宋_GB2312"/>
          <w:b/>
          <w:color w:val="auto"/>
          <w:sz w:val="24"/>
          <w:szCs w:val="21"/>
          <w:highlight w:val="none"/>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    磋商文件用以阐明供应商所需提供的服务、工程或货物以及其它类似的义务、采购响应程序和合同条款。磋商文件包括如下五章内容：</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磋商公告</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供应商须知</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评审办法和标准</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合同草案条款</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采购内容及要求</w:t>
      </w:r>
    </w:p>
    <w:p>
      <w:pPr>
        <w:pStyle w:val="23"/>
        <w:ind w:left="838" w:leftChars="39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第六章</w:t>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磋商响应文件格式</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仿宋_GB2312" w:hAnsi="仿宋_GB2312" w:eastAsia="仿宋_GB2312" w:cs="仿宋_GB2312"/>
          <w:b/>
          <w:color w:val="auto"/>
          <w:sz w:val="24"/>
          <w:szCs w:val="21"/>
          <w:highlight w:val="none"/>
        </w:rPr>
      </w:pPr>
      <w:bookmarkStart w:id="126" w:name="_Toc249515286"/>
      <w:bookmarkStart w:id="127" w:name="_Toc389620172"/>
      <w:bookmarkStart w:id="128" w:name="_Toc385992333"/>
      <w:bookmarkStart w:id="129" w:name="_Toc249525167"/>
      <w:bookmarkStart w:id="130" w:name="_Toc184043020"/>
      <w:bookmarkStart w:id="131" w:name="_Toc70687147"/>
      <w:bookmarkStart w:id="132" w:name="_Toc249515398"/>
      <w:bookmarkStart w:id="133" w:name="_Toc10350"/>
      <w:r>
        <w:rPr>
          <w:rFonts w:hint="eastAsia" w:ascii="仿宋_GB2312" w:hAnsi="仿宋_GB2312" w:eastAsia="仿宋_GB2312" w:cs="仿宋_GB2312"/>
          <w:b/>
          <w:color w:val="auto"/>
          <w:sz w:val="24"/>
          <w:szCs w:val="21"/>
          <w:highlight w:val="none"/>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szCs w:val="21"/>
          <w:highlight w:val="none"/>
        </w:rPr>
        <w:t>和修改</w:t>
      </w:r>
      <w:bookmarkEnd w:id="13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134" w:name="_Toc70687148"/>
      <w:bookmarkStart w:id="135" w:name="_Toc385992334"/>
      <w:bookmarkStart w:id="136" w:name="_Toc389620173"/>
      <w:r>
        <w:rPr>
          <w:rFonts w:hint="eastAsia" w:ascii="仿宋_GB2312" w:hAnsi="仿宋_GB2312" w:eastAsia="仿宋_GB2312" w:cs="仿宋_GB2312"/>
          <w:color w:val="auto"/>
          <w:sz w:val="24"/>
          <w:highlight w:val="none"/>
        </w:rPr>
        <w:t xml:space="preserve">7.1    </w:t>
      </w:r>
      <w:bookmarkEnd w:id="134"/>
      <w:bookmarkEnd w:id="135"/>
      <w:bookmarkEnd w:id="136"/>
      <w:bookmarkStart w:id="137" w:name="_Toc500746969"/>
      <w:bookmarkStart w:id="138" w:name="_Toc500747192"/>
      <w:bookmarkStart w:id="139" w:name="_Toc389620174"/>
      <w:bookmarkStart w:id="140" w:name="_Toc496324582"/>
      <w:bookmarkStart w:id="141" w:name="_Toc53722843"/>
      <w:bookmarkStart w:id="142" w:name="_Toc492955418"/>
      <w:bookmarkStart w:id="143" w:name="_Toc499711887"/>
      <w:bookmarkStart w:id="144" w:name="_Toc503063425"/>
      <w:bookmarkStart w:id="145" w:name="_Toc385992335"/>
      <w:bookmarkStart w:id="146" w:name="_Toc500747065"/>
      <w:bookmarkStart w:id="147" w:name="_Toc499711046"/>
      <w:bookmarkStart w:id="148" w:name="_Toc70687149"/>
      <w:r>
        <w:rPr>
          <w:rFonts w:hint="eastAsia" w:ascii="仿宋_GB2312" w:hAnsi="仿宋_GB2312" w:eastAsia="仿宋_GB2312" w:cs="仿宋_GB2312"/>
          <w:color w:val="auto"/>
          <w:sz w:val="24"/>
          <w:highlight w:val="none"/>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7.2    磋商文件的修改将以书面形式通知所有领取磋商文件的供应商，并对其具有约束力。供应商在收到上述通知后，应立即向采购人回函确认。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7.3    澄清或修改的内容可能影响响应文件编制的，采购人或采购代理机构可适当延长首次响应文件递交截止时间，并以书面形式通知所有领取磋商文件的供应商。</w:t>
      </w:r>
    </w:p>
    <w:p>
      <w:pPr>
        <w:pStyle w:val="78"/>
        <w:spacing w:before="24" w:after="24"/>
        <w:ind w:left="3313"/>
        <w:rPr>
          <w:rFonts w:ascii="仿宋_GB2312" w:hAnsi="仿宋_GB2312" w:eastAsia="仿宋_GB2312" w:cs="仿宋_GB2312"/>
          <w:color w:val="auto"/>
          <w:sz w:val="30"/>
          <w:szCs w:val="30"/>
          <w:highlight w:val="none"/>
        </w:rPr>
      </w:pPr>
      <w:bookmarkStart w:id="149" w:name="_Toc232176275"/>
      <w:bookmarkStart w:id="150" w:name="_Toc256342146"/>
      <w:bookmarkStart w:id="151" w:name="_Toc249525169"/>
      <w:bookmarkStart w:id="152" w:name="_Toc230099800"/>
      <w:bookmarkStart w:id="153" w:name="_Toc249515288"/>
      <w:bookmarkStart w:id="154" w:name="_Toc177817337"/>
      <w:bookmarkStart w:id="155" w:name="_Toc68590971"/>
      <w:bookmarkStart w:id="156" w:name="_Toc230013635"/>
      <w:bookmarkStart w:id="157" w:name="_Toc249515400"/>
      <w:bookmarkStart w:id="158" w:name="_Toc176882545"/>
      <w:bookmarkStart w:id="159" w:name="_Toc230583544"/>
      <w:bookmarkStart w:id="160" w:name="_Toc184043022"/>
      <w:bookmarkStart w:id="161" w:name="_Toc177995476"/>
      <w:bookmarkStart w:id="162" w:name="_Toc177189238"/>
      <w:bookmarkStart w:id="163" w:name="_Toc232395215"/>
      <w:r>
        <w:rPr>
          <w:rFonts w:hint="eastAsia" w:ascii="仿宋_GB2312" w:hAnsi="仿宋_GB2312" w:eastAsia="仿宋_GB2312" w:cs="仿宋_GB2312"/>
          <w:color w:val="auto"/>
          <w:sz w:val="30"/>
          <w:szCs w:val="30"/>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仿宋_GB2312" w:hAnsi="仿宋_GB2312" w:eastAsia="仿宋_GB2312" w:cs="仿宋_GB2312"/>
          <w:b/>
          <w:color w:val="auto"/>
          <w:sz w:val="24"/>
          <w:szCs w:val="21"/>
          <w:highlight w:val="none"/>
        </w:rPr>
      </w:pPr>
      <w:bookmarkStart w:id="164" w:name="_Toc249515289"/>
      <w:bookmarkStart w:id="165" w:name="_Toc249515401"/>
      <w:bookmarkStart w:id="166" w:name="_Toc70687150"/>
      <w:bookmarkStart w:id="167" w:name="_Toc249525170"/>
      <w:bookmarkStart w:id="168" w:name="_Toc184043023"/>
      <w:bookmarkStart w:id="169" w:name="_Toc30150"/>
      <w:bookmarkStart w:id="170" w:name="_Toc389620176"/>
      <w:bookmarkStart w:id="171" w:name="_Toc385992337"/>
      <w:r>
        <w:rPr>
          <w:rFonts w:hint="eastAsia" w:ascii="仿宋_GB2312" w:hAnsi="仿宋_GB2312" w:eastAsia="仿宋_GB2312" w:cs="仿宋_GB2312"/>
          <w:b/>
          <w:color w:val="auto"/>
          <w:sz w:val="24"/>
          <w:szCs w:val="21"/>
          <w:highlight w:val="none"/>
        </w:rPr>
        <w:t>8.     响应文件语言</w:t>
      </w:r>
      <w:bookmarkEnd w:id="164"/>
      <w:bookmarkEnd w:id="165"/>
      <w:bookmarkEnd w:id="166"/>
      <w:bookmarkEnd w:id="167"/>
      <w:bookmarkEnd w:id="168"/>
      <w:bookmarkEnd w:id="169"/>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8.1    响应文件及与响应相关的所有文件均应以中文书写。</w:t>
      </w:r>
    </w:p>
    <w:p>
      <w:pPr>
        <w:pStyle w:val="5"/>
        <w:rPr>
          <w:rFonts w:ascii="仿宋_GB2312" w:hAnsi="仿宋_GB2312" w:eastAsia="仿宋_GB2312" w:cs="仿宋_GB2312"/>
          <w:b/>
          <w:color w:val="auto"/>
          <w:sz w:val="24"/>
          <w:szCs w:val="21"/>
          <w:highlight w:val="none"/>
        </w:rPr>
      </w:pPr>
      <w:bookmarkStart w:id="172" w:name="_Toc249525171"/>
      <w:bookmarkStart w:id="173" w:name="_Toc249515402"/>
      <w:bookmarkStart w:id="174" w:name="_Toc249515290"/>
      <w:bookmarkStart w:id="175" w:name="_Toc184043024"/>
      <w:bookmarkStart w:id="176" w:name="_Toc18327"/>
      <w:bookmarkStart w:id="177" w:name="_Toc70687151"/>
      <w:r>
        <w:rPr>
          <w:rFonts w:hint="eastAsia" w:ascii="仿宋_GB2312" w:hAnsi="仿宋_GB2312" w:eastAsia="仿宋_GB2312" w:cs="仿宋_GB2312"/>
          <w:b/>
          <w:color w:val="auto"/>
          <w:sz w:val="24"/>
          <w:szCs w:val="21"/>
          <w:highlight w:val="none"/>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除在磋商文件的技术规格中另有规定外，计量单位应使用中华人民共和国法定计量单位。</w:t>
      </w:r>
    </w:p>
    <w:p>
      <w:pPr>
        <w:pStyle w:val="5"/>
        <w:rPr>
          <w:rFonts w:ascii="仿宋_GB2312" w:hAnsi="仿宋_GB2312" w:eastAsia="仿宋_GB2312" w:cs="仿宋_GB2312"/>
          <w:b/>
          <w:color w:val="auto"/>
          <w:sz w:val="24"/>
          <w:szCs w:val="21"/>
          <w:highlight w:val="none"/>
        </w:rPr>
      </w:pPr>
      <w:bookmarkStart w:id="178" w:name="_Toc184043025"/>
      <w:bookmarkStart w:id="179" w:name="_Toc249515403"/>
      <w:bookmarkStart w:id="180" w:name="_Toc29318"/>
      <w:bookmarkStart w:id="181" w:name="_Toc249525172"/>
      <w:bookmarkStart w:id="182" w:name="_Toc70687152"/>
      <w:bookmarkStart w:id="183" w:name="_Toc389620177"/>
      <w:bookmarkStart w:id="184" w:name="_Toc385992338"/>
      <w:bookmarkStart w:id="185" w:name="_Toc249515291"/>
      <w:r>
        <w:rPr>
          <w:rFonts w:hint="eastAsia" w:ascii="仿宋_GB2312" w:hAnsi="仿宋_GB2312" w:eastAsia="仿宋_GB2312" w:cs="仿宋_GB2312"/>
          <w:b/>
          <w:color w:val="auto"/>
          <w:sz w:val="24"/>
          <w:szCs w:val="21"/>
          <w:highlight w:val="none"/>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10.1   供应商编写的响应文件</w:t>
      </w:r>
      <w:r>
        <w:rPr>
          <w:rFonts w:hint="eastAsia" w:ascii="仿宋_GB2312" w:hAnsi="仿宋_GB2312" w:eastAsia="仿宋_GB2312" w:cs="仿宋_GB2312"/>
          <w:b/>
          <w:color w:val="auto"/>
          <w:sz w:val="24"/>
          <w:highlight w:val="none"/>
        </w:rPr>
        <w:t>由《资格证明文件》、《商务及技术文件》两部分</w:t>
      </w:r>
      <w:r>
        <w:rPr>
          <w:rFonts w:hint="eastAsia" w:ascii="仿宋_GB2312" w:hAnsi="仿宋_GB2312" w:eastAsia="仿宋_GB2312" w:cs="仿宋_GB2312"/>
          <w:color w:val="auto"/>
          <w:sz w:val="24"/>
          <w:highlight w:val="none"/>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10.2   供应商提供的以上材料必须真实有效，任何一项的虚假将导致其响应被拒绝。</w:t>
      </w:r>
    </w:p>
    <w:p>
      <w:pPr>
        <w:pStyle w:val="5"/>
        <w:rPr>
          <w:rFonts w:ascii="仿宋_GB2312" w:hAnsi="仿宋_GB2312" w:eastAsia="仿宋_GB2312" w:cs="仿宋_GB2312"/>
          <w:b/>
          <w:color w:val="auto"/>
          <w:sz w:val="24"/>
          <w:szCs w:val="21"/>
          <w:highlight w:val="none"/>
        </w:rPr>
      </w:pPr>
      <w:bookmarkStart w:id="186" w:name="_Toc249515292"/>
      <w:bookmarkStart w:id="187" w:name="_Toc385992339"/>
      <w:bookmarkStart w:id="188" w:name="_Toc249515404"/>
      <w:bookmarkStart w:id="189" w:name="_Toc389620178"/>
      <w:bookmarkStart w:id="190" w:name="_Toc184043026"/>
      <w:bookmarkStart w:id="191" w:name="_Toc70687153"/>
      <w:bookmarkStart w:id="192" w:name="_Toc249525173"/>
      <w:bookmarkStart w:id="193" w:name="_Toc26312"/>
      <w:r>
        <w:rPr>
          <w:rFonts w:hint="eastAsia" w:ascii="仿宋_GB2312" w:hAnsi="仿宋_GB2312" w:eastAsia="仿宋_GB2312" w:cs="仿宋_GB2312"/>
          <w:b/>
          <w:color w:val="auto"/>
          <w:sz w:val="24"/>
          <w:highlight w:val="none"/>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11.1   对于磋商文件第六章中已经提供了格式的响应文件内容，供应商必须按提供的响应文件格式进行填写和编制，没有提供格式的可自行设计。</w:t>
      </w:r>
    </w:p>
    <w:p>
      <w:pPr>
        <w:pStyle w:val="5"/>
        <w:rPr>
          <w:rFonts w:ascii="仿宋_GB2312" w:hAnsi="仿宋_GB2312" w:eastAsia="仿宋_GB2312" w:cs="仿宋_GB2312"/>
          <w:b/>
          <w:color w:val="auto"/>
          <w:sz w:val="24"/>
          <w:szCs w:val="21"/>
          <w:highlight w:val="none"/>
        </w:rPr>
      </w:pPr>
      <w:bookmarkStart w:id="194" w:name="_Toc26688"/>
      <w:r>
        <w:rPr>
          <w:rFonts w:hint="eastAsia" w:ascii="仿宋_GB2312" w:hAnsi="仿宋_GB2312" w:eastAsia="仿宋_GB2312" w:cs="仿宋_GB2312"/>
          <w:b/>
          <w:color w:val="auto"/>
          <w:sz w:val="24"/>
          <w:szCs w:val="21"/>
          <w:highlight w:val="none"/>
        </w:rPr>
        <w:t>12.    响应报价</w:t>
      </w:r>
      <w:bookmarkEnd w:id="194"/>
    </w:p>
    <w:p>
      <w:pPr>
        <w:tabs>
          <w:tab w:val="left" w:pos="0"/>
          <w:tab w:val="left" w:pos="540"/>
          <w:tab w:val="left" w:pos="720"/>
        </w:tabs>
        <w:spacing w:line="360" w:lineRule="auto"/>
        <w:ind w:left="840" w:hanging="840" w:hangingChars="350"/>
        <w:rPr>
          <w:rFonts w:ascii="仿宋_GB2312" w:hAnsi="仿宋_GB2312" w:eastAsia="仿宋_GB2312" w:cs="仿宋_GB2312"/>
          <w:color w:val="auto"/>
          <w:highlight w:val="none"/>
        </w:rPr>
      </w:pPr>
      <w:r>
        <w:rPr>
          <w:rFonts w:hint="eastAsia" w:ascii="仿宋_GB2312" w:hAnsi="仿宋_GB2312" w:eastAsia="仿宋_GB2312" w:cs="仿宋_GB2312"/>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szCs w:val="21"/>
          <w:highlight w:val="none"/>
        </w:rPr>
        <w:t>供应商须知前附表。</w:t>
      </w:r>
    </w:p>
    <w:p>
      <w:pPr>
        <w:tabs>
          <w:tab w:val="left" w:pos="540"/>
          <w:tab w:val="left" w:pos="8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12.2   供应商应在响应分项报价表中详细列出所报货物和</w:t>
      </w:r>
      <w:r>
        <w:rPr>
          <w:rFonts w:hint="eastAsia" w:ascii="仿宋_GB2312" w:hAnsi="仿宋_GB2312" w:eastAsia="仿宋_GB2312" w:cs="仿宋_GB2312"/>
          <w:color w:val="auto"/>
          <w:sz w:val="24"/>
          <w:highlight w:val="none"/>
        </w:rPr>
        <w:t>服务</w:t>
      </w:r>
      <w:r>
        <w:rPr>
          <w:rFonts w:hint="eastAsia" w:ascii="仿宋_GB2312" w:hAnsi="仿宋_GB2312" w:eastAsia="仿宋_GB2312" w:cs="仿宋_GB2312"/>
          <w:color w:val="auto"/>
          <w:kern w:val="24"/>
          <w:sz w:val="24"/>
          <w:szCs w:val="21"/>
          <w:highlight w:val="none"/>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12.5   供应商每次对每种</w:t>
      </w:r>
      <w:r>
        <w:rPr>
          <w:rFonts w:hint="eastAsia" w:ascii="仿宋_GB2312" w:hAnsi="仿宋_GB2312" w:eastAsia="仿宋_GB2312" w:cs="仿宋_GB2312"/>
          <w:color w:val="auto"/>
          <w:kern w:val="24"/>
          <w:sz w:val="24"/>
          <w:szCs w:val="21"/>
          <w:highlight w:val="none"/>
          <w:u w:val="single"/>
        </w:rPr>
        <w:t xml:space="preserve"> 服务（或工程、或产品）</w:t>
      </w:r>
      <w:r>
        <w:rPr>
          <w:rFonts w:hint="eastAsia" w:ascii="仿宋_GB2312" w:hAnsi="仿宋_GB2312" w:eastAsia="仿宋_GB2312" w:cs="仿宋_GB2312"/>
          <w:color w:val="auto"/>
          <w:kern w:val="24"/>
          <w:sz w:val="24"/>
          <w:szCs w:val="21"/>
          <w:highlight w:val="none"/>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highlight w:val="none"/>
        </w:rPr>
        <w:t>12.6   供应商根据本须知12.2条规定将响应报价分成几部分并按</w:t>
      </w:r>
      <w:r>
        <w:rPr>
          <w:rFonts w:hint="eastAsia" w:ascii="仿宋_GB2312" w:hAnsi="仿宋_GB2312" w:eastAsia="仿宋_GB2312" w:cs="仿宋_GB2312"/>
          <w:color w:val="auto"/>
          <w:kern w:val="24"/>
          <w:sz w:val="24"/>
          <w:szCs w:val="21"/>
          <w:highlight w:val="none"/>
        </w:rPr>
        <w:t>磋商文件第六章提供的格式填写“响应分项报价表”，只是为了方便采购人对响应文件进行比较，并不限制采购人以其它方式签订合同的权力。</w:t>
      </w:r>
    </w:p>
    <w:p>
      <w:pPr>
        <w:pStyle w:val="5"/>
        <w:rPr>
          <w:rFonts w:ascii="仿宋_GB2312" w:hAnsi="仿宋_GB2312" w:eastAsia="仿宋_GB2312" w:cs="仿宋_GB2312"/>
          <w:b/>
          <w:color w:val="auto"/>
          <w:sz w:val="24"/>
          <w:szCs w:val="21"/>
          <w:highlight w:val="none"/>
        </w:rPr>
      </w:pPr>
      <w:bookmarkStart w:id="195" w:name="_Toc184043028"/>
      <w:bookmarkStart w:id="196" w:name="_Toc249515406"/>
      <w:bookmarkStart w:id="197" w:name="_Toc249525175"/>
      <w:bookmarkStart w:id="198" w:name="_Toc70687155"/>
      <w:bookmarkStart w:id="199" w:name="_Toc385992341"/>
      <w:bookmarkStart w:id="200" w:name="_Toc20687"/>
      <w:bookmarkStart w:id="201" w:name="_Toc389620180"/>
      <w:bookmarkStart w:id="202" w:name="_Toc249515294"/>
      <w:r>
        <w:rPr>
          <w:rFonts w:hint="eastAsia" w:ascii="仿宋_GB2312" w:hAnsi="仿宋_GB2312" w:eastAsia="仿宋_GB2312" w:cs="仿宋_GB2312"/>
          <w:b/>
          <w:color w:val="auto"/>
          <w:sz w:val="24"/>
          <w:szCs w:val="21"/>
          <w:highlight w:val="none"/>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rPr>
          <w:rFonts w:ascii="仿宋_GB2312" w:hAnsi="仿宋_GB2312" w:eastAsia="仿宋_GB2312" w:cs="仿宋_GB2312"/>
          <w:b/>
          <w:color w:val="auto"/>
          <w:kern w:val="24"/>
          <w:sz w:val="24"/>
          <w:szCs w:val="21"/>
          <w:highlight w:val="none"/>
        </w:rPr>
      </w:pPr>
      <w:bookmarkStart w:id="205" w:name="止观"/>
      <w:bookmarkEnd w:id="205"/>
      <w:r>
        <w:rPr>
          <w:rFonts w:hint="eastAsia" w:ascii="仿宋_GB2312" w:hAnsi="仿宋_GB2312" w:eastAsia="仿宋_GB2312" w:cs="仿宋_GB2312"/>
          <w:b/>
          <w:color w:val="auto"/>
          <w:sz w:val="24"/>
          <w:szCs w:val="21"/>
          <w:highlight w:val="none"/>
        </w:rPr>
        <w:t>14.    磋商保证金</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sz w:val="24"/>
          <w:szCs w:val="21"/>
          <w:highlight w:val="none"/>
        </w:rPr>
        <w:t>14.1   本项目须在磋商前向采购代理机构提供</w:t>
      </w:r>
      <w:r>
        <w:rPr>
          <w:rFonts w:hint="eastAsia" w:ascii="仿宋_GB2312" w:hAnsi="仿宋_GB2312" w:eastAsia="仿宋_GB2312" w:cs="仿宋_GB2312"/>
          <w:b/>
          <w:color w:val="auto"/>
          <w:sz w:val="24"/>
          <w:szCs w:val="21"/>
          <w:highlight w:val="none"/>
        </w:rPr>
        <w:t>供应商须知前附表</w:t>
      </w:r>
      <w:r>
        <w:rPr>
          <w:rFonts w:hint="eastAsia" w:ascii="仿宋_GB2312" w:hAnsi="仿宋_GB2312" w:eastAsia="仿宋_GB2312" w:cs="仿宋_GB2312"/>
          <w:color w:val="auto"/>
          <w:sz w:val="24"/>
          <w:szCs w:val="21"/>
          <w:highlight w:val="none"/>
        </w:rPr>
        <w:t>规定金额的保证金，并作为其响应文件的一部分。</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14.2   保证金的货币为人民币，并采用下列任何一种非现金形式向采购代理机构递交：</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电汇；</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银行转账；</w:t>
      </w:r>
    </w:p>
    <w:p>
      <w:pPr>
        <w:numPr>
          <w:ilvl w:val="0"/>
          <w:numId w:val="6"/>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支票、汇票、本票、金融机构或担保机构出具的保函等非现金形式。</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14.4   凡没有根据本须知第14.1条的规定随附保证金的响应文件，将被视为非响应性予以拒绝。</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14.5   未成交供应商的保证金, 采购代理机构将在成交通知书发出后5个工作日内退还。</w:t>
      </w:r>
    </w:p>
    <w:p>
      <w:pPr>
        <w:tabs>
          <w:tab w:val="left" w:pos="588"/>
        </w:tabs>
        <w:spacing w:line="360" w:lineRule="auto"/>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14.6   成交供应商的保证金在按本须知第26条规定签订合同后5个工作日退还。</w:t>
      </w:r>
    </w:p>
    <w:p>
      <w:pPr>
        <w:tabs>
          <w:tab w:val="left" w:pos="588"/>
        </w:tabs>
        <w:spacing w:line="360" w:lineRule="auto"/>
        <w:ind w:left="840" w:hanging="840" w:hangingChars="350"/>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供应商在提交响应文件截止时间后撤销响应文件的；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供应商在响应文件中提供虚假材料的；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 xml:space="preserve">除因不可抗力外，成交供应商在规定期限内未能根据本须知第26条规定签订合同； </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供应商与采购人、其他供应商或者采购代理机构恶意串通的；</w:t>
      </w:r>
    </w:p>
    <w:p>
      <w:pPr>
        <w:numPr>
          <w:ilvl w:val="0"/>
          <w:numId w:val="7"/>
        </w:numPr>
        <w:tabs>
          <w:tab w:val="left" w:pos="588"/>
        </w:tabs>
        <w:spacing w:line="360" w:lineRule="auto"/>
        <w:ind w:hanging="5"/>
        <w:rPr>
          <w:rFonts w:ascii="仿宋_GB2312" w:hAnsi="仿宋_GB2312" w:eastAsia="仿宋_GB2312" w:cs="仿宋_GB2312"/>
          <w:color w:val="auto"/>
          <w:kern w:val="24"/>
          <w:sz w:val="24"/>
          <w:szCs w:val="21"/>
          <w:highlight w:val="none"/>
        </w:rPr>
      </w:pPr>
      <w:r>
        <w:rPr>
          <w:rFonts w:hint="eastAsia" w:ascii="仿宋_GB2312" w:hAnsi="仿宋_GB2312" w:eastAsia="仿宋_GB2312" w:cs="仿宋_GB2312"/>
          <w:color w:val="auto"/>
          <w:kern w:val="24"/>
          <w:sz w:val="24"/>
          <w:szCs w:val="21"/>
          <w:highlight w:val="none"/>
        </w:rPr>
        <w:t>成交供应商未按本须知第29条规定缴纳服务费。</w:t>
      </w:r>
    </w:p>
    <w:p>
      <w:pPr>
        <w:pStyle w:val="5"/>
        <w:rPr>
          <w:rFonts w:ascii="仿宋_GB2312" w:hAnsi="仿宋_GB2312" w:eastAsia="仿宋_GB2312" w:cs="仿宋_GB2312"/>
          <w:b/>
          <w:color w:val="auto"/>
          <w:sz w:val="24"/>
          <w:szCs w:val="21"/>
          <w:highlight w:val="none"/>
        </w:rPr>
      </w:pPr>
      <w:bookmarkStart w:id="206" w:name="_Toc249515296"/>
      <w:bookmarkStart w:id="207" w:name="_Toc249515408"/>
      <w:bookmarkStart w:id="208" w:name="_Toc7949"/>
      <w:bookmarkStart w:id="209" w:name="_Toc249525177"/>
      <w:r>
        <w:rPr>
          <w:rFonts w:hint="eastAsia" w:ascii="仿宋_GB2312" w:hAnsi="仿宋_GB2312" w:eastAsia="仿宋_GB2312" w:cs="仿宋_GB2312"/>
          <w:b/>
          <w:color w:val="auto"/>
          <w:sz w:val="24"/>
          <w:szCs w:val="21"/>
          <w:highlight w:val="none"/>
        </w:rPr>
        <w:t>15.    磋商有效期</w:t>
      </w:r>
      <w:bookmarkEnd w:id="206"/>
      <w:bookmarkEnd w:id="207"/>
      <w:bookmarkEnd w:id="208"/>
      <w:bookmarkEnd w:id="20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15.1   磋商有效期见</w:t>
      </w:r>
      <w:r>
        <w:rPr>
          <w:rFonts w:hint="eastAsia" w:ascii="仿宋_GB2312" w:hAnsi="仿宋_GB2312" w:eastAsia="仿宋_GB2312" w:cs="仿宋_GB2312"/>
          <w:b/>
          <w:color w:val="auto"/>
          <w:sz w:val="24"/>
          <w:highlight w:val="none"/>
        </w:rPr>
        <w:t>本须知前附表</w:t>
      </w:r>
      <w:r>
        <w:rPr>
          <w:rFonts w:hint="eastAsia" w:ascii="仿宋_GB2312" w:hAnsi="仿宋_GB2312" w:eastAsia="仿宋_GB2312" w:cs="仿宋_GB2312"/>
          <w:color w:val="auto"/>
          <w:sz w:val="24"/>
          <w:highlight w:val="none"/>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仿宋_GB2312" w:hAnsi="仿宋_GB2312" w:eastAsia="仿宋_GB2312" w:cs="仿宋_GB2312"/>
          <w:b/>
          <w:color w:val="auto"/>
          <w:sz w:val="24"/>
          <w:szCs w:val="21"/>
          <w:highlight w:val="none"/>
        </w:rPr>
      </w:pPr>
      <w:bookmarkStart w:id="210" w:name="_Toc184043033"/>
      <w:bookmarkStart w:id="211" w:name="_Toc385992346"/>
      <w:bookmarkStart w:id="212" w:name="_Toc249525178"/>
      <w:bookmarkStart w:id="213" w:name="_Toc249515409"/>
      <w:bookmarkStart w:id="214" w:name="_Toc70687160"/>
      <w:bookmarkStart w:id="215" w:name="_Toc389620185"/>
      <w:bookmarkStart w:id="216" w:name="_Toc16612"/>
      <w:bookmarkStart w:id="217" w:name="_Toc249515297"/>
      <w:r>
        <w:rPr>
          <w:rFonts w:hint="eastAsia" w:ascii="仿宋_GB2312" w:hAnsi="仿宋_GB2312" w:eastAsia="仿宋_GB2312" w:cs="仿宋_GB2312"/>
          <w:b/>
          <w:color w:val="auto"/>
          <w:sz w:val="24"/>
          <w:szCs w:val="21"/>
          <w:highlight w:val="none"/>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16.1   供应商应准备一份响应文件正本和“</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”中规定数目的副本，每套响应文件须清楚地标明“正本”、“副本”。若正本和副本不符，以正本为准。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16.4   任何行间插字、涂改或增删，必须由响应文件签字人将姓或首字母在旁边签字才有效。</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16.5   采购人不接受以电报、电话、传真、电子邮件形式递交的响应文件。</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18" w:name="_Hlt491765640"/>
      <w:bookmarkEnd w:id="218"/>
      <w:bookmarkStart w:id="219" w:name="_Toc385992347"/>
      <w:bookmarkStart w:id="220" w:name="_Toc177189239"/>
      <w:bookmarkStart w:id="221" w:name="_Toc499711888"/>
      <w:bookmarkStart w:id="222" w:name="_Toc500747066"/>
      <w:bookmarkStart w:id="223" w:name="_Toc256342147"/>
      <w:bookmarkStart w:id="224" w:name="_Toc230583545"/>
      <w:bookmarkStart w:id="225" w:name="_Toc230099801"/>
      <w:bookmarkStart w:id="226" w:name="_Toc389620186"/>
      <w:bookmarkStart w:id="227" w:name="_Toc499711047"/>
      <w:bookmarkStart w:id="228" w:name="_Toc500746970"/>
      <w:bookmarkStart w:id="229" w:name="_Toc232395216"/>
      <w:bookmarkStart w:id="230" w:name="_Toc249515298"/>
      <w:bookmarkStart w:id="231" w:name="_Toc503063426"/>
      <w:bookmarkStart w:id="232" w:name="_Toc249515410"/>
      <w:bookmarkStart w:id="233" w:name="_Toc177817338"/>
      <w:bookmarkStart w:id="234" w:name="_Toc184043034"/>
      <w:bookmarkStart w:id="235" w:name="_Toc249525179"/>
      <w:bookmarkStart w:id="236" w:name="_Toc177995477"/>
      <w:bookmarkStart w:id="237" w:name="_Toc232176276"/>
      <w:bookmarkStart w:id="238" w:name="_Toc492955419"/>
      <w:bookmarkStart w:id="239" w:name="_Toc500747193"/>
      <w:bookmarkStart w:id="240" w:name="_Toc230013636"/>
      <w:bookmarkStart w:id="241" w:name="_Toc70687161"/>
      <w:bookmarkStart w:id="242" w:name="_Toc496324583"/>
      <w:bookmarkStart w:id="243" w:name="_Toc53722844"/>
      <w:bookmarkStart w:id="244" w:name="_Toc176882546"/>
      <w:r>
        <w:rPr>
          <w:rFonts w:hint="eastAsia" w:ascii="仿宋_GB2312" w:hAnsi="仿宋_GB2312" w:eastAsia="仿宋_GB2312" w:cs="仿宋_GB2312"/>
          <w:color w:val="auto"/>
          <w:sz w:val="24"/>
          <w:highlight w:val="none"/>
        </w:rPr>
        <w:t>16.7   响应文件应按照“资格证明文件”和“商务及技术文件”分成两部分，并用不可拆装的方式分别装订成册。</w:t>
      </w:r>
    </w:p>
    <w:p>
      <w:pPr>
        <w:pStyle w:val="78"/>
        <w:spacing w:before="24" w:after="24"/>
        <w:jc w:val="center"/>
        <w:rPr>
          <w:rFonts w:ascii="仿宋_GB2312" w:hAnsi="仿宋_GB2312" w:eastAsia="仿宋_GB2312" w:cs="仿宋_GB2312"/>
          <w:color w:val="auto"/>
          <w:sz w:val="30"/>
          <w:szCs w:val="30"/>
          <w:highlight w:val="none"/>
        </w:rPr>
      </w:pPr>
      <w:bookmarkStart w:id="245" w:name="_Toc68590972"/>
      <w:r>
        <w:rPr>
          <w:rFonts w:hint="eastAsia" w:ascii="仿宋_GB2312" w:hAnsi="仿宋_GB2312" w:eastAsia="仿宋_GB2312" w:cs="仿宋_GB2312"/>
          <w:color w:val="auto"/>
          <w:sz w:val="30"/>
          <w:szCs w:val="30"/>
          <w:highlight w:val="none"/>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ascii="仿宋_GB2312" w:hAnsi="仿宋_GB2312" w:eastAsia="仿宋_GB2312" w:cs="仿宋_GB2312"/>
          <w:color w:val="auto"/>
          <w:highlight w:val="none"/>
        </w:rPr>
      </w:pPr>
    </w:p>
    <w:p>
      <w:pPr>
        <w:pStyle w:val="5"/>
        <w:rPr>
          <w:rFonts w:ascii="仿宋_GB2312" w:hAnsi="仿宋_GB2312" w:eastAsia="仿宋_GB2312" w:cs="仿宋_GB2312"/>
          <w:b/>
          <w:color w:val="auto"/>
          <w:sz w:val="24"/>
          <w:szCs w:val="21"/>
          <w:highlight w:val="none"/>
        </w:rPr>
      </w:pPr>
      <w:bookmarkStart w:id="246" w:name="_Toc184043035"/>
      <w:bookmarkStart w:id="247" w:name="_Toc249515411"/>
      <w:bookmarkStart w:id="248" w:name="_Toc249525180"/>
      <w:bookmarkStart w:id="249" w:name="_Toc70687162"/>
      <w:bookmarkStart w:id="250" w:name="_Toc4042"/>
      <w:bookmarkStart w:id="251" w:name="_Toc385992348"/>
      <w:bookmarkStart w:id="252" w:name="_Toc249515299"/>
      <w:bookmarkStart w:id="253" w:name="_Toc389620187"/>
      <w:r>
        <w:rPr>
          <w:rFonts w:hint="eastAsia" w:ascii="仿宋_GB2312" w:hAnsi="仿宋_GB2312" w:eastAsia="仿宋_GB2312" w:cs="仿宋_GB2312"/>
          <w:b/>
          <w:color w:val="auto"/>
          <w:sz w:val="24"/>
          <w:szCs w:val="21"/>
          <w:highlight w:val="none"/>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ascii="仿宋_GB2312" w:hAnsi="仿宋_GB2312" w:eastAsia="仿宋_GB2312" w:cs="仿宋_GB2312"/>
          <w:color w:val="auto"/>
          <w:sz w:val="24"/>
          <w:highlight w:val="none"/>
        </w:rPr>
      </w:pPr>
      <w:bookmarkStart w:id="254" w:name="_Toc385992349"/>
      <w:bookmarkStart w:id="255" w:name="_Toc389620188"/>
      <w:bookmarkStart w:id="256" w:name="_Toc70687163"/>
      <w:bookmarkStart w:id="257" w:name="_Toc184043036"/>
      <w:r>
        <w:rPr>
          <w:rFonts w:hint="eastAsia" w:ascii="仿宋_GB2312" w:hAnsi="仿宋_GB2312" w:eastAsia="仿宋_GB2312" w:cs="仿宋_GB2312"/>
          <w:color w:val="auto"/>
          <w:kern w:val="0"/>
          <w:sz w:val="24"/>
          <w:szCs w:val="21"/>
          <w:highlight w:val="none"/>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kern w:val="0"/>
          <w:sz w:val="24"/>
          <w:szCs w:val="21"/>
          <w:highlight w:val="none"/>
        </w:rPr>
        <w:t>17.2   密封袋（箱）上标识的内容见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szCs w:val="21"/>
          <w:highlight w:val="none"/>
        </w:rPr>
        <w:t>响应文件</w:t>
      </w:r>
      <w:r>
        <w:rPr>
          <w:rFonts w:hint="eastAsia" w:ascii="仿宋_GB2312" w:hAnsi="仿宋_GB2312" w:eastAsia="仿宋_GB2312" w:cs="仿宋_GB2312"/>
          <w:color w:val="auto"/>
          <w:kern w:val="0"/>
          <w:sz w:val="24"/>
          <w:szCs w:val="21"/>
          <w:highlight w:val="none"/>
        </w:rPr>
        <w:t>如果</w:t>
      </w:r>
      <w:r>
        <w:rPr>
          <w:rFonts w:hint="eastAsia" w:ascii="仿宋_GB2312" w:hAnsi="仿宋_GB2312" w:eastAsia="仿宋_GB2312" w:cs="仿宋_GB2312"/>
          <w:color w:val="auto"/>
          <w:sz w:val="24"/>
          <w:szCs w:val="21"/>
          <w:highlight w:val="none"/>
        </w:rPr>
        <w:t>未按上述规定密封和标记，采购代理机构应当拒绝接收。</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bookmarkEnd w:id="254"/>
    <w:bookmarkEnd w:id="255"/>
    <w:p>
      <w:pPr>
        <w:pStyle w:val="5"/>
        <w:rPr>
          <w:rFonts w:ascii="仿宋_GB2312" w:hAnsi="仿宋_GB2312" w:eastAsia="仿宋_GB2312" w:cs="仿宋_GB2312"/>
          <w:b/>
          <w:color w:val="auto"/>
          <w:sz w:val="24"/>
          <w:szCs w:val="21"/>
          <w:highlight w:val="none"/>
        </w:rPr>
      </w:pPr>
      <w:bookmarkStart w:id="258" w:name="_Toc249515412"/>
      <w:bookmarkStart w:id="259" w:name="_Toc31171"/>
      <w:bookmarkStart w:id="260" w:name="_Toc249525181"/>
      <w:bookmarkStart w:id="261" w:name="_Toc249515300"/>
      <w:r>
        <w:rPr>
          <w:rFonts w:hint="eastAsia" w:ascii="仿宋_GB2312" w:hAnsi="仿宋_GB2312" w:eastAsia="仿宋_GB2312" w:cs="仿宋_GB2312"/>
          <w:b/>
          <w:color w:val="auto"/>
          <w:sz w:val="24"/>
          <w:szCs w:val="21"/>
          <w:highlight w:val="none"/>
        </w:rPr>
        <w:t>18.    响应文件递交截止时间</w:t>
      </w:r>
      <w:bookmarkEnd w:id="256"/>
      <w:bookmarkEnd w:id="257"/>
      <w:bookmarkEnd w:id="258"/>
      <w:bookmarkEnd w:id="259"/>
      <w:bookmarkEnd w:id="260"/>
      <w:bookmarkEnd w:id="261"/>
    </w:p>
    <w:p>
      <w:pPr>
        <w:tabs>
          <w:tab w:val="left" w:pos="588"/>
        </w:tabs>
        <w:spacing w:line="360" w:lineRule="auto"/>
        <w:rPr>
          <w:rFonts w:ascii="仿宋_GB2312" w:hAnsi="仿宋_GB2312" w:eastAsia="仿宋_GB2312" w:cs="仿宋_GB2312"/>
          <w:color w:val="auto"/>
          <w:sz w:val="24"/>
          <w:highlight w:val="none"/>
        </w:rPr>
      </w:pPr>
      <w:bookmarkStart w:id="262" w:name="_Toc389620189"/>
      <w:bookmarkStart w:id="263" w:name="_Toc385992350"/>
      <w:bookmarkStart w:id="264" w:name="_Toc70687164"/>
      <w:bookmarkStart w:id="265" w:name="_Toc184043037"/>
      <w:r>
        <w:rPr>
          <w:rFonts w:hint="eastAsia" w:ascii="仿宋_GB2312" w:hAnsi="仿宋_GB2312" w:eastAsia="仿宋_GB2312" w:cs="仿宋_GB2312"/>
          <w:color w:val="auto"/>
          <w:sz w:val="24"/>
          <w:highlight w:val="none"/>
        </w:rPr>
        <w:t>18.1   响应文件递交截止时间和地点见</w:t>
      </w:r>
      <w:r>
        <w:rPr>
          <w:rFonts w:hint="eastAsia" w:ascii="仿宋_GB2312" w:hAnsi="仿宋_GB2312" w:eastAsia="仿宋_GB2312" w:cs="仿宋_GB2312"/>
          <w:b/>
          <w:color w:val="auto"/>
          <w:sz w:val="24"/>
          <w:highlight w:val="none"/>
        </w:rPr>
        <w:t>供应商须知前附表</w:t>
      </w:r>
      <w:r>
        <w:rPr>
          <w:rFonts w:hint="eastAsia" w:ascii="仿宋_GB2312" w:hAnsi="仿宋_GB2312" w:eastAsia="仿宋_GB2312" w:cs="仿宋_GB2312"/>
          <w:color w:val="auto"/>
          <w:sz w:val="24"/>
          <w:highlight w:val="none"/>
        </w:rPr>
        <w:t>。</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仿宋_GB2312" w:hAnsi="仿宋_GB2312" w:eastAsia="仿宋_GB2312" w:cs="仿宋_GB2312"/>
          <w:b/>
          <w:color w:val="auto"/>
          <w:sz w:val="24"/>
          <w:szCs w:val="21"/>
          <w:highlight w:val="none"/>
        </w:rPr>
      </w:pPr>
      <w:bookmarkStart w:id="266" w:name="_Toc7175"/>
      <w:bookmarkStart w:id="267" w:name="_Toc249515301"/>
      <w:bookmarkStart w:id="268" w:name="_Toc249515413"/>
      <w:bookmarkStart w:id="269" w:name="_Toc249525182"/>
      <w:r>
        <w:rPr>
          <w:rFonts w:hint="eastAsia" w:ascii="仿宋_GB2312" w:hAnsi="仿宋_GB2312" w:eastAsia="仿宋_GB2312" w:cs="仿宋_GB2312"/>
          <w:b/>
          <w:color w:val="auto"/>
          <w:sz w:val="24"/>
          <w:szCs w:val="21"/>
          <w:highlight w:val="none"/>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19.1   采购人将拒绝接收第18条规定的响应文件递交截止时间后递交的任何响应文件。</w:t>
      </w:r>
    </w:p>
    <w:p>
      <w:pPr>
        <w:pStyle w:val="5"/>
        <w:rPr>
          <w:rFonts w:ascii="仿宋_GB2312" w:hAnsi="仿宋_GB2312" w:eastAsia="仿宋_GB2312" w:cs="仿宋_GB2312"/>
          <w:b/>
          <w:color w:val="auto"/>
          <w:sz w:val="24"/>
          <w:szCs w:val="21"/>
          <w:highlight w:val="none"/>
        </w:rPr>
      </w:pPr>
      <w:bookmarkStart w:id="270" w:name="_Toc249525183"/>
      <w:bookmarkStart w:id="271" w:name="_Toc385992351"/>
      <w:bookmarkStart w:id="272" w:name="_Toc10272"/>
      <w:bookmarkStart w:id="273" w:name="_Toc389620190"/>
      <w:bookmarkStart w:id="274" w:name="_Toc70687165"/>
      <w:bookmarkStart w:id="275" w:name="_Toc249515414"/>
      <w:bookmarkStart w:id="276" w:name="_Toc184043038"/>
      <w:bookmarkStart w:id="277" w:name="_Toc249515302"/>
      <w:r>
        <w:rPr>
          <w:rFonts w:hint="eastAsia" w:ascii="仿宋_GB2312" w:hAnsi="仿宋_GB2312" w:eastAsia="仿宋_GB2312" w:cs="仿宋_GB2312"/>
          <w:b/>
          <w:color w:val="auto"/>
          <w:sz w:val="24"/>
          <w:szCs w:val="21"/>
          <w:highlight w:val="none"/>
        </w:rPr>
        <w:t>20.    响应文件的修改和撤</w:t>
      </w:r>
      <w:bookmarkEnd w:id="270"/>
      <w:bookmarkEnd w:id="271"/>
      <w:bookmarkEnd w:id="272"/>
      <w:bookmarkEnd w:id="273"/>
      <w:bookmarkEnd w:id="274"/>
      <w:bookmarkEnd w:id="275"/>
      <w:bookmarkEnd w:id="276"/>
      <w:bookmarkEnd w:id="277"/>
      <w:r>
        <w:rPr>
          <w:rFonts w:hint="eastAsia" w:ascii="仿宋_GB2312" w:hAnsi="仿宋_GB2312" w:eastAsia="仿宋_GB2312" w:cs="仿宋_GB2312"/>
          <w:b/>
          <w:color w:val="auto"/>
          <w:sz w:val="24"/>
          <w:szCs w:val="21"/>
          <w:highlight w:val="none"/>
        </w:rPr>
        <w:t>回</w:t>
      </w:r>
    </w:p>
    <w:p>
      <w:pPr>
        <w:tabs>
          <w:tab w:val="left" w:pos="588"/>
        </w:tabs>
        <w:spacing w:line="360" w:lineRule="auto"/>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20.2   在响应文件递交截止时间之后，供应商不得对其响应文件做任何修改。</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20.3   供应商不得在响应文件递交截止时间起至响应文件有效期期满前撤销其响应文件。</w:t>
      </w:r>
    </w:p>
    <w:p>
      <w:pPr>
        <w:pStyle w:val="78"/>
        <w:spacing w:before="24" w:after="24"/>
        <w:ind w:left="3313"/>
        <w:rPr>
          <w:rFonts w:ascii="仿宋_GB2312" w:hAnsi="仿宋_GB2312" w:eastAsia="仿宋_GB2312" w:cs="仿宋_GB2312"/>
          <w:color w:val="auto"/>
          <w:sz w:val="30"/>
          <w:szCs w:val="30"/>
          <w:highlight w:val="none"/>
        </w:rPr>
      </w:pPr>
      <w:bookmarkStart w:id="278" w:name="_Hlt497729441"/>
      <w:bookmarkEnd w:id="278"/>
      <w:bookmarkStart w:id="279" w:name="_Hlt491765712"/>
      <w:bookmarkEnd w:id="279"/>
      <w:bookmarkStart w:id="280" w:name="_Toc256342148"/>
      <w:bookmarkStart w:id="281" w:name="_Toc249525184"/>
      <w:bookmarkStart w:id="282" w:name="_Toc249515303"/>
      <w:bookmarkStart w:id="283" w:name="_Toc249515415"/>
      <w:bookmarkStart w:id="284" w:name="_Toc68590973"/>
      <w:bookmarkStart w:id="285" w:name="_Toc389620191"/>
      <w:bookmarkStart w:id="286" w:name="_Toc500746971"/>
      <w:bookmarkStart w:id="287" w:name="_Toc385992352"/>
      <w:bookmarkStart w:id="288" w:name="_Toc500747194"/>
      <w:bookmarkStart w:id="289" w:name="_Toc177189240"/>
      <w:bookmarkStart w:id="290" w:name="_Toc503063427"/>
      <w:bookmarkStart w:id="291" w:name="_Toc177817339"/>
      <w:bookmarkStart w:id="292" w:name="_Toc492955420"/>
      <w:bookmarkStart w:id="293" w:name="_Toc499711889"/>
      <w:bookmarkStart w:id="294" w:name="_Toc496324584"/>
      <w:bookmarkStart w:id="295" w:name="_Toc53722845"/>
      <w:bookmarkStart w:id="296" w:name="_Toc177995478"/>
      <w:bookmarkStart w:id="297" w:name="_Toc500747067"/>
      <w:bookmarkStart w:id="298" w:name="_Toc176882547"/>
      <w:bookmarkStart w:id="299" w:name="_Toc184043039"/>
      <w:bookmarkStart w:id="300" w:name="_Toc499711048"/>
      <w:bookmarkStart w:id="301" w:name="_Toc70687166"/>
      <w:r>
        <w:rPr>
          <w:rFonts w:hint="eastAsia" w:ascii="仿宋_GB2312" w:hAnsi="仿宋_GB2312" w:eastAsia="仿宋_GB2312" w:cs="仿宋_GB2312"/>
          <w:color w:val="auto"/>
          <w:sz w:val="30"/>
          <w:szCs w:val="30"/>
          <w:highlight w:val="none"/>
        </w:rPr>
        <w:t>五、评审与</w:t>
      </w:r>
      <w:bookmarkEnd w:id="280"/>
      <w:bookmarkEnd w:id="281"/>
      <w:bookmarkEnd w:id="282"/>
      <w:bookmarkEnd w:id="283"/>
      <w:r>
        <w:rPr>
          <w:rFonts w:hint="eastAsia" w:ascii="仿宋_GB2312" w:hAnsi="仿宋_GB2312" w:eastAsia="仿宋_GB2312" w:cs="仿宋_GB2312"/>
          <w:color w:val="auto"/>
          <w:sz w:val="30"/>
          <w:szCs w:val="30"/>
          <w:highlight w:val="none"/>
        </w:rPr>
        <w:t>磋商</w:t>
      </w:r>
      <w:bookmarkEnd w:id="284"/>
    </w:p>
    <w:p>
      <w:pPr>
        <w:pStyle w:val="5"/>
        <w:numPr>
          <w:ilvl w:val="0"/>
          <w:numId w:val="8"/>
        </w:numPr>
        <w:rPr>
          <w:rFonts w:ascii="仿宋_GB2312" w:hAnsi="仿宋_GB2312" w:eastAsia="仿宋_GB2312" w:cs="仿宋_GB2312"/>
          <w:b/>
          <w:color w:val="auto"/>
          <w:sz w:val="24"/>
          <w:highlight w:val="none"/>
        </w:rPr>
      </w:pPr>
      <w:bookmarkStart w:id="302" w:name="_Toc249515305"/>
      <w:bookmarkStart w:id="303" w:name="_Toc249515417"/>
      <w:bookmarkStart w:id="304" w:name="_Toc249525186"/>
      <w:bookmarkStart w:id="305" w:name="_Toc16042"/>
      <w:r>
        <w:rPr>
          <w:rFonts w:hint="eastAsia" w:ascii="仿宋_GB2312" w:hAnsi="仿宋_GB2312" w:eastAsia="仿宋_GB2312" w:cs="仿宋_GB2312"/>
          <w:b/>
          <w:color w:val="auto"/>
          <w:sz w:val="24"/>
          <w:highlight w:val="none"/>
        </w:rPr>
        <w:t xml:space="preserve">   磋商小组</w:t>
      </w:r>
      <w:bookmarkEnd w:id="302"/>
      <w:bookmarkEnd w:id="303"/>
      <w:bookmarkEnd w:id="304"/>
      <w:bookmarkEnd w:id="305"/>
    </w:p>
    <w:p>
      <w:pPr>
        <w:pStyle w:val="29"/>
        <w:adjustRightInd w:val="0"/>
        <w:snapToGrid w:val="0"/>
        <w:ind w:left="840" w:hanging="840" w:hangingChars="35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szCs w:val="24"/>
          <w:highlight w:val="none"/>
        </w:rPr>
        <w:t>21.1   在磋商开始前组建磋商小组，磋商小组由采购人代表和有关专家组成。专家从政府采购评审专家库相关专业中随机抽取。磋商小组组成见</w:t>
      </w:r>
      <w:r>
        <w:rPr>
          <w:rFonts w:hint="eastAsia" w:ascii="仿宋_GB2312" w:hAnsi="仿宋_GB2312" w:eastAsia="仿宋_GB2312" w:cs="仿宋_GB2312"/>
          <w:b/>
          <w:color w:val="auto"/>
          <w:sz w:val="24"/>
          <w:highlight w:val="none"/>
        </w:rPr>
        <w:t>供应商须知前附表。</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   磋商小组职责</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（1）确认竞争性磋商文件；</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（2）审查通过了资格审查的供应商响应文件并做出评价；</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（3）要求供应商解释或者澄清其响应文件；</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（4）编写评审报告；</w:t>
      </w:r>
    </w:p>
    <w:p>
      <w:pPr>
        <w:pStyle w:val="29"/>
        <w:adjustRightInd w:val="0"/>
        <w:snapToGrid w:val="0"/>
        <w:ind w:left="840" w:leftChars="4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（5）告知采购人、采购代理机构在评审过程中发现的供应商的违法违规行为。</w:t>
      </w:r>
    </w:p>
    <w:p>
      <w:pPr>
        <w:pStyle w:val="29"/>
        <w:adjustRightInd w:val="0"/>
        <w:snapToGrid w:val="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21.3   磋商小组义务</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（1）遵纪客观、公正、审慎的原则；</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（2）根据磋商文件的规定评审程序、评审方法和评审标准独立进行评审，对个人的评审意见承担法律责任；</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（3）参与评审报告的起草；</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（4）配合采购人、采购代理机构答复供应商提出的质疑；</w:t>
      </w:r>
    </w:p>
    <w:p>
      <w:pPr>
        <w:pStyle w:val="29"/>
        <w:adjustRightInd w:val="0"/>
        <w:snapToGrid w:val="0"/>
        <w:ind w:left="838" w:leftChars="39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（5）配合财政部门的投诉处理和监督检查工作。</w:t>
      </w:r>
    </w:p>
    <w:p>
      <w:pPr>
        <w:pStyle w:val="29"/>
        <w:adjustRightInd w:val="0"/>
        <w:snapToGrid w:val="0"/>
        <w:ind w:left="840" w:hanging="840" w:hangingChars="3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21.4   确认磋商文件：磋商小组对磋商文件进行审阅，无修改进行签字确认，有修改，修改内容经采购人确认后，磋商小组以书面形式通知所有供应商。</w:t>
      </w:r>
    </w:p>
    <w:p>
      <w:pPr>
        <w:pStyle w:val="5"/>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22.    磋商小组成员有下列情形之一的，应当回避：</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22.1   参加采购活动前3年内与供应商存在劳动关系；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22.2   参加采购活动前3年内担任供应商的董事、监事；</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22.3   参加采购活动前3年内是供应商的控股股东或者实际控制人；</w:t>
      </w:r>
    </w:p>
    <w:p>
      <w:pPr>
        <w:pStyle w:val="5"/>
        <w:tabs>
          <w:tab w:val="left" w:pos="360"/>
        </w:tabs>
        <w:ind w:left="840" w:hanging="840" w:hangingChars="350"/>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22.4   与供应商的法定代表人或者负责人有夫妻、直系血亲、三代以内旁系血亲或者近姻亲关系；</w:t>
      </w:r>
    </w:p>
    <w:p>
      <w:pPr>
        <w:pStyle w:val="5"/>
        <w:tabs>
          <w:tab w:val="left" w:pos="360"/>
        </w:tabs>
        <w:rPr>
          <w:rFonts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rPr>
        <w:t>22.5   与供应商有其他可能影响政府采购活动公平、公正进行的关系。</w:t>
      </w:r>
    </w:p>
    <w:p>
      <w:pPr>
        <w:pStyle w:val="5"/>
        <w:rPr>
          <w:rFonts w:ascii="仿宋_GB2312" w:hAnsi="仿宋_GB2312" w:eastAsia="仿宋_GB2312" w:cs="仿宋_GB2312"/>
          <w:b/>
          <w:color w:val="auto"/>
          <w:sz w:val="24"/>
          <w:szCs w:val="21"/>
          <w:highlight w:val="none"/>
        </w:rPr>
      </w:pPr>
      <w:bookmarkStart w:id="306" w:name="_Toc249515306"/>
      <w:bookmarkStart w:id="307" w:name="_Toc83547667"/>
      <w:bookmarkStart w:id="308" w:name="_Toc20608"/>
      <w:bookmarkStart w:id="309" w:name="_Toc249525187"/>
      <w:bookmarkStart w:id="310" w:name="_Toc249515418"/>
      <w:r>
        <w:rPr>
          <w:rFonts w:hint="eastAsia" w:ascii="仿宋_GB2312" w:hAnsi="仿宋_GB2312" w:eastAsia="仿宋_GB2312" w:cs="仿宋_GB2312"/>
          <w:b/>
          <w:color w:val="auto"/>
          <w:sz w:val="24"/>
          <w:szCs w:val="21"/>
          <w:highlight w:val="none"/>
        </w:rPr>
        <w:t>23.    磋商程序</w:t>
      </w:r>
    </w:p>
    <w:p>
      <w:pPr>
        <w:pStyle w:val="5"/>
        <w:tabs>
          <w:tab w:val="left" w:pos="360"/>
        </w:tabs>
        <w:rPr>
          <w:rFonts w:ascii="仿宋_GB2312" w:hAnsi="仿宋_GB2312" w:eastAsia="仿宋_GB2312" w:cs="仿宋_GB2312"/>
          <w:b/>
          <w:color w:val="auto"/>
          <w:sz w:val="24"/>
          <w:szCs w:val="21"/>
          <w:highlight w:val="none"/>
        </w:rPr>
      </w:pPr>
      <w:bookmarkStart w:id="311" w:name="_Toc58504507"/>
      <w:r>
        <w:rPr>
          <w:rFonts w:hint="eastAsia" w:ascii="仿宋_GB2312" w:hAnsi="仿宋_GB2312" w:eastAsia="仿宋_GB2312" w:cs="仿宋_GB2312"/>
          <w:b/>
          <w:color w:val="auto"/>
          <w:sz w:val="24"/>
          <w:szCs w:val="21"/>
          <w:highlight w:val="none"/>
        </w:rPr>
        <w:t>23.1   磋商会议</w:t>
      </w:r>
      <w:bookmarkEnd w:id="311"/>
    </w:p>
    <w:p>
      <w:pPr>
        <w:pStyle w:val="23"/>
        <w:ind w:left="840" w:leftChars="400"/>
        <w:rPr>
          <w:rFonts w:ascii="仿宋_GB2312" w:hAnsi="仿宋_GB2312" w:eastAsia="仿宋_GB2312" w:cs="仿宋_GB2312"/>
          <w:color w:val="auto"/>
          <w:sz w:val="24"/>
          <w:szCs w:val="32"/>
          <w:highlight w:val="none"/>
        </w:rPr>
      </w:pPr>
      <w:bookmarkStart w:id="312" w:name="_Toc58504508"/>
      <w:r>
        <w:rPr>
          <w:rFonts w:hint="eastAsia" w:ascii="仿宋_GB2312" w:hAnsi="仿宋_GB2312" w:eastAsia="仿宋_GB2312" w:cs="仿宋_GB2312"/>
          <w:color w:val="auto"/>
          <w:sz w:val="24"/>
          <w:szCs w:val="32"/>
          <w:highlight w:val="none"/>
        </w:rPr>
        <w:t>（1）在磋商文件规定的时间和地点，由采购代理机构组织磋商工作，供应商须委派代表参加，签名以证明其出席。</w:t>
      </w:r>
      <w:bookmarkEnd w:id="312"/>
    </w:p>
    <w:p>
      <w:pPr>
        <w:pStyle w:val="23"/>
        <w:ind w:left="840" w:leftChars="400"/>
        <w:rPr>
          <w:rFonts w:ascii="仿宋_GB2312" w:hAnsi="仿宋_GB2312" w:eastAsia="仿宋_GB2312" w:cs="仿宋_GB2312"/>
          <w:color w:val="auto"/>
          <w:sz w:val="24"/>
          <w:szCs w:val="32"/>
          <w:highlight w:val="none"/>
        </w:rPr>
      </w:pPr>
      <w:bookmarkStart w:id="313" w:name="_Toc58504509"/>
      <w:r>
        <w:rPr>
          <w:rFonts w:hint="eastAsia" w:ascii="仿宋_GB2312" w:hAnsi="仿宋_GB2312" w:eastAsia="仿宋_GB2312" w:cs="仿宋_GB2312"/>
          <w:color w:val="auto"/>
          <w:sz w:val="24"/>
          <w:szCs w:val="32"/>
          <w:highlight w:val="none"/>
        </w:rPr>
        <w:t>（2）各供应商或其推荐的代表与采购监督人共同检查响应文件的密封情况，经检查无误后，签字确认。</w:t>
      </w:r>
      <w:bookmarkEnd w:id="313"/>
    </w:p>
    <w:p>
      <w:pPr>
        <w:pStyle w:val="23"/>
        <w:ind w:left="840" w:leftChars="400"/>
        <w:rPr>
          <w:rFonts w:ascii="仿宋_GB2312" w:hAnsi="仿宋_GB2312" w:eastAsia="仿宋_GB2312" w:cs="仿宋_GB2312"/>
          <w:color w:val="auto"/>
          <w:sz w:val="24"/>
          <w:szCs w:val="32"/>
          <w:highlight w:val="none"/>
        </w:rPr>
      </w:pPr>
      <w:bookmarkStart w:id="314" w:name="_Toc58504510"/>
      <w:r>
        <w:rPr>
          <w:rFonts w:hint="eastAsia" w:ascii="仿宋_GB2312" w:hAnsi="仿宋_GB2312" w:eastAsia="仿宋_GB2312" w:cs="仿宋_GB2312"/>
          <w:color w:val="auto"/>
          <w:sz w:val="24"/>
          <w:szCs w:val="32"/>
          <w:highlight w:val="none"/>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仿宋_GB2312" w:hAnsi="仿宋_GB2312" w:eastAsia="仿宋_GB2312" w:cs="仿宋_GB2312"/>
          <w:b/>
          <w:color w:val="auto"/>
          <w:sz w:val="24"/>
          <w:szCs w:val="21"/>
          <w:highlight w:val="none"/>
        </w:rPr>
      </w:pPr>
      <w:bookmarkStart w:id="315" w:name="_Toc58504511"/>
      <w:r>
        <w:rPr>
          <w:rFonts w:hint="eastAsia" w:ascii="仿宋_GB2312" w:hAnsi="仿宋_GB2312" w:eastAsia="仿宋_GB2312" w:cs="仿宋_GB2312"/>
          <w:b/>
          <w:color w:val="auto"/>
          <w:sz w:val="24"/>
          <w:szCs w:val="21"/>
          <w:highlight w:val="none"/>
        </w:rPr>
        <w:t>23.2   响应文件</w:t>
      </w:r>
      <w:bookmarkEnd w:id="306"/>
      <w:bookmarkEnd w:id="307"/>
      <w:bookmarkEnd w:id="308"/>
      <w:bookmarkEnd w:id="309"/>
      <w:bookmarkEnd w:id="310"/>
      <w:r>
        <w:rPr>
          <w:rFonts w:hint="eastAsia" w:ascii="仿宋_GB2312" w:hAnsi="仿宋_GB2312" w:eastAsia="仿宋_GB2312" w:cs="仿宋_GB2312"/>
          <w:b/>
          <w:color w:val="auto"/>
          <w:sz w:val="24"/>
          <w:szCs w:val="21"/>
          <w:highlight w:val="none"/>
        </w:rPr>
        <w:t>评审</w:t>
      </w:r>
      <w:bookmarkEnd w:id="315"/>
    </w:p>
    <w:p>
      <w:pPr>
        <w:tabs>
          <w:tab w:val="left" w:pos="360"/>
          <w:tab w:val="left" w:pos="588"/>
        </w:tabs>
        <w:spacing w:line="360" w:lineRule="auto"/>
        <w:ind w:left="843" w:hanging="843" w:hangingChars="350"/>
        <w:rPr>
          <w:rFonts w:ascii="仿宋_GB2312" w:hAnsi="仿宋_GB2312" w:eastAsia="仿宋_GB2312" w:cs="仿宋_GB2312"/>
          <w:color w:val="auto"/>
          <w:sz w:val="24"/>
          <w:highlight w:val="none"/>
        </w:rPr>
      </w:pPr>
      <w:bookmarkStart w:id="316" w:name="_Toc83547671"/>
      <w:r>
        <w:rPr>
          <w:rFonts w:hint="eastAsia" w:ascii="仿宋_GB2312" w:hAnsi="仿宋_GB2312" w:eastAsia="仿宋_GB2312" w:cs="仿宋_GB2312"/>
          <w:b/>
          <w:color w:val="auto"/>
          <w:sz w:val="24"/>
          <w:highlight w:val="none"/>
        </w:rPr>
        <w:t>23.2.1响应文件的资格性审查</w:t>
      </w:r>
      <w:r>
        <w:rPr>
          <w:rFonts w:hint="eastAsia" w:ascii="仿宋_GB2312" w:hAnsi="仿宋_GB2312" w:eastAsia="仿宋_GB2312" w:cs="仿宋_GB2312"/>
          <w:color w:val="auto"/>
          <w:sz w:val="24"/>
          <w:highlight w:val="none"/>
        </w:rPr>
        <w:t>。依据《政府采购法》第二十</w:t>
      </w:r>
      <w:r>
        <w:rPr>
          <w:rFonts w:hint="eastAsia" w:ascii="仿宋_GB2312" w:hAnsi="仿宋_GB2312" w:eastAsia="仿宋_GB2312" w:cs="仿宋_GB2312"/>
          <w:color w:val="auto"/>
          <w:sz w:val="24"/>
          <w:highlight w:val="none"/>
          <w:lang w:val="en-US" w:eastAsia="zh-CN"/>
        </w:rPr>
        <w:t>二</w:t>
      </w:r>
      <w:r>
        <w:rPr>
          <w:rFonts w:hint="eastAsia" w:ascii="仿宋_GB2312" w:hAnsi="仿宋_GB2312" w:eastAsia="仿宋_GB2312" w:cs="仿宋_GB2312"/>
          <w:color w:val="auto"/>
          <w:sz w:val="24"/>
          <w:highlight w:val="none"/>
        </w:rPr>
        <w:t>条和磋商文件的规定，</w:t>
      </w:r>
      <w:r>
        <w:rPr>
          <w:rFonts w:hint="eastAsia" w:ascii="仿宋_GB2312" w:hAnsi="仿宋_GB2312" w:eastAsia="仿宋_GB2312" w:cs="仿宋_GB2312"/>
          <w:b/>
          <w:color w:val="auto"/>
          <w:sz w:val="24"/>
          <w:highlight w:val="none"/>
        </w:rPr>
        <w:t>采购人或采购代理机构负责</w:t>
      </w:r>
      <w:r>
        <w:rPr>
          <w:rFonts w:hint="eastAsia" w:ascii="仿宋_GB2312" w:hAnsi="仿宋_GB2312" w:eastAsia="仿宋_GB2312" w:cs="仿宋_GB2312"/>
          <w:color w:val="auto"/>
          <w:sz w:val="24"/>
          <w:highlight w:val="none"/>
        </w:rPr>
        <w:t>对响应文件中的资格证明文件、信用查询记录等进行审查，以确认供应商具备相应资格。资格性审查出现下列情况者（但不限于），按无效文件处理：</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sz w:val="24"/>
          <w:highlight w:val="none"/>
        </w:rPr>
        <w:t>1）供应商不符合《中华人民共和国政府采购法》第二十二条的规定和特定资格条件要求的。</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（2）供应商没有经过正常渠道购买或免费领取磋商文件或供应商的名称与登记领取磋商文件单位的名称不符。</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（4）信用查询中列入失信被执行人、重大税收违法案件当事人名单、政府采购严重违法失信行为记录名单及其他不符合《中华人民共和国政府采购法》第二十二条规定条件的供应商。</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（5）采购人或采购代理机构通过“信用中国”网站(www.creditchina.gov.cn)、中国政府采购网(www.ccgp.gov.cn) 等查询相关主体信用记录，并将查询网页打印、存档备查。</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（6）查询时间为磋商文件发售期至评审截止时间前，此段时间段外，网站信息发生的任何变更均不作为资格审查依据。</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供应商不良信用记录以采购人或采购代理机构查询结果为准。供应商自行提供的与网站信息不一致的其他证明材料亦不作为资格审查依据。</w:t>
      </w:r>
    </w:p>
    <w:p>
      <w:pPr>
        <w:pStyle w:val="23"/>
        <w:ind w:left="840" w:leftChars="40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3"/>
        <w:ind w:left="843" w:hanging="843" w:hangingChars="35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23.2.2 磋商响应文件有效性、完整性和响应程度审查：磋商小组</w:t>
      </w:r>
      <w:r>
        <w:rPr>
          <w:rFonts w:hint="eastAsia" w:ascii="仿宋_GB2312" w:hAnsi="仿宋_GB2312" w:eastAsia="仿宋_GB2312" w:cs="仿宋_GB2312"/>
          <w:color w:val="auto"/>
          <w:sz w:val="24"/>
          <w:highlight w:val="none"/>
        </w:rPr>
        <w:t>负责对通过资格审查的响应文件的有效性、完整性和响应性进行审查，以确定是否满足磋商文件要求，出现下列情况者（但不限于），按无效文件处理。</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（1）供应商未按磋商文件要求加盖单位公章；</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（2）磋商响应文件未按磋商文件要求进行法定代表人或其授权代表签字；</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（3）无有效期或有效期达不到磋商文件的要求。</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（4）供应商首次磋商报价出现选择性报价。</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（5）首次磋商报价超出采购预算；</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（6）响应文件中对合同草案条款附加了采购人难以接受的条件。</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（7）磋商内容出现漏项或数量与要求不符，出现重大负偏差。</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（8）响应文件中技术指标达不到采购要求，降低了产品档次或影响产品性能、功能。</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（9）响应报价与市场价偏离较大，低于成本，形成不正当竞争。</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（10）供应商提供虚假证明，开具虚假资质，出现虚假应答或故意隐瞒行为。</w:t>
      </w:r>
    </w:p>
    <w:p>
      <w:pPr>
        <w:pStyle w:val="5"/>
        <w:tabs>
          <w:tab w:val="left" w:pos="360"/>
        </w:tabs>
        <w:rPr>
          <w:rFonts w:ascii="仿宋_GB2312" w:hAnsi="仿宋_GB2312" w:eastAsia="仿宋_GB2312" w:cs="仿宋_GB2312"/>
          <w:b/>
          <w:color w:val="auto"/>
          <w:sz w:val="24"/>
          <w:szCs w:val="21"/>
          <w:highlight w:val="none"/>
        </w:rPr>
      </w:pPr>
      <w:bookmarkStart w:id="317" w:name="_Toc58504512"/>
      <w:r>
        <w:rPr>
          <w:rFonts w:hint="eastAsia" w:ascii="仿宋_GB2312" w:hAnsi="仿宋_GB2312" w:eastAsia="仿宋_GB2312" w:cs="仿宋_GB2312"/>
          <w:b/>
          <w:color w:val="auto"/>
          <w:sz w:val="24"/>
          <w:szCs w:val="21"/>
          <w:highlight w:val="none"/>
        </w:rPr>
        <w:t>23.3   磋商</w:t>
      </w:r>
      <w:bookmarkEnd w:id="317"/>
    </w:p>
    <w:p>
      <w:pPr>
        <w:pStyle w:val="23"/>
        <w:ind w:left="840" w:hanging="840" w:hangingChars="350"/>
        <w:rPr>
          <w:rFonts w:ascii="仿宋_GB2312" w:hAnsi="仿宋_GB2312" w:eastAsia="仿宋_GB2312" w:cs="仿宋_GB2312"/>
          <w:color w:val="auto"/>
          <w:sz w:val="24"/>
          <w:highlight w:val="none"/>
        </w:rPr>
      </w:pPr>
      <w:bookmarkStart w:id="318" w:name="_Toc58504513"/>
      <w:r>
        <w:rPr>
          <w:rFonts w:hint="eastAsia" w:ascii="仿宋_GB2312" w:hAnsi="仿宋_GB2312" w:eastAsia="仿宋_GB2312" w:cs="仿宋_GB2312"/>
          <w:color w:val="auto"/>
          <w:sz w:val="24"/>
          <w:highlight w:val="none"/>
        </w:rPr>
        <w:t>23.3.1 磋商小组集中与各供应商分别进行磋商，并给所有参加磋商供应商平等的磋商机会。</w:t>
      </w:r>
      <w:bookmarkEnd w:id="318"/>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23.3.2 磋商小组在对响应文件的有效性、完整性和响应程度进行审核时，以</w:t>
      </w:r>
      <w:r>
        <w:rPr>
          <w:rFonts w:hint="eastAsia" w:ascii="仿宋_GB2312" w:hAnsi="仿宋_GB2312" w:eastAsia="仿宋_GB2312" w:cs="仿宋_GB2312"/>
          <w:b/>
          <w:color w:val="auto"/>
          <w:sz w:val="24"/>
          <w:highlight w:val="none"/>
        </w:rPr>
        <w:t>书面形式</w:t>
      </w:r>
      <w:r>
        <w:rPr>
          <w:rFonts w:hint="eastAsia" w:ascii="仿宋_GB2312" w:hAnsi="仿宋_GB2312" w:eastAsia="仿宋_GB2312" w:cs="仿宋_GB2312"/>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23.3.4 如出现下述情形之一的，视为供应商主动退出磋商，其响应将被拒绝：</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（1）供应商未按要求确认磋商小组确定的本项目最终技术需求的；</w:t>
      </w:r>
    </w:p>
    <w:p>
      <w:pPr>
        <w:pStyle w:val="23"/>
        <w:ind w:left="840" w:left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（2）最后报价未实质性响应磋商小组确定的本项目最终技术需求的，或附有采购人无法接受的条件的。</w:t>
      </w:r>
    </w:p>
    <w:p>
      <w:pPr>
        <w:pStyle w:val="23"/>
        <w:rPr>
          <w:rFonts w:ascii="仿宋_GB2312" w:hAnsi="仿宋_GB2312" w:eastAsia="仿宋_GB2312" w:cs="仿宋_GB2312"/>
          <w:b/>
          <w:color w:val="auto"/>
          <w:sz w:val="24"/>
          <w:szCs w:val="21"/>
          <w:highlight w:val="none"/>
        </w:rPr>
      </w:pPr>
      <w:r>
        <w:rPr>
          <w:rFonts w:hint="eastAsia" w:ascii="仿宋_GB2312" w:hAnsi="仿宋_GB2312" w:eastAsia="仿宋_GB2312" w:cs="仿宋_GB2312"/>
          <w:b/>
          <w:color w:val="auto"/>
          <w:sz w:val="24"/>
          <w:szCs w:val="21"/>
          <w:highlight w:val="none"/>
        </w:rPr>
        <w:t>23.4   最后报价</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仿宋_GB2312" w:hAnsi="仿宋_GB2312" w:eastAsia="仿宋_GB2312" w:cs="仿宋_GB2312"/>
          <w:b/>
          <w:bCs/>
          <w:color w:val="auto"/>
          <w:sz w:val="24"/>
          <w:szCs w:val="21"/>
          <w:highlight w:val="none"/>
        </w:rPr>
      </w:pPr>
      <w:bookmarkStart w:id="319" w:name="_Toc249525191"/>
      <w:bookmarkStart w:id="320" w:name="_Toc151193934"/>
      <w:bookmarkStart w:id="321" w:name="_Toc151190173"/>
      <w:bookmarkStart w:id="322" w:name="_Toc520356170"/>
      <w:bookmarkStart w:id="323" w:name="_Toc151193860"/>
      <w:bookmarkStart w:id="324" w:name="_Toc142311048"/>
      <w:bookmarkStart w:id="325" w:name="_Toc164351640"/>
      <w:bookmarkStart w:id="326" w:name="_Toc150509297"/>
      <w:bookmarkStart w:id="327" w:name="_Toc127161460"/>
      <w:bookmarkStart w:id="328" w:name="_Toc195842911"/>
      <w:bookmarkStart w:id="329" w:name="_Toc13753"/>
      <w:bookmarkStart w:id="330" w:name="_Toc149720839"/>
      <w:bookmarkStart w:id="331" w:name="_Toc164608660"/>
      <w:bookmarkStart w:id="332" w:name="_Toc150480784"/>
      <w:bookmarkStart w:id="333" w:name="_Toc151193788"/>
      <w:bookmarkStart w:id="334" w:name="_Toc249515422"/>
      <w:bookmarkStart w:id="335" w:name="_Toc151193644"/>
      <w:bookmarkStart w:id="336" w:name="_Toc127151747"/>
      <w:bookmarkStart w:id="337" w:name="_Toc151193716"/>
      <w:bookmarkStart w:id="338" w:name="_Toc164608815"/>
      <w:bookmarkStart w:id="339" w:name="_Toc164229387"/>
      <w:bookmarkStart w:id="340" w:name="_Toc127151546"/>
      <w:bookmarkStart w:id="341" w:name="_Ref467307010"/>
      <w:bookmarkStart w:id="342" w:name="_Toc249515310"/>
      <w:bookmarkStart w:id="343" w:name="_Toc150774751"/>
      <w:bookmarkStart w:id="344" w:name="_Toc164229241"/>
      <w:bookmarkStart w:id="345" w:name="_Toc150774646"/>
      <w:r>
        <w:rPr>
          <w:rFonts w:hint="eastAsia" w:ascii="仿宋_GB2312" w:hAnsi="仿宋_GB2312" w:eastAsia="仿宋_GB2312" w:cs="仿宋_GB2312"/>
          <w:b/>
          <w:bCs/>
          <w:color w:val="auto"/>
          <w:sz w:val="24"/>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szCs w:val="21"/>
          <w:highlight w:val="none"/>
        </w:rPr>
        <w:t>落实政府采购政策，详见第三章。</w:t>
      </w:r>
    </w:p>
    <w:p>
      <w:pPr>
        <w:rPr>
          <w:rFonts w:ascii="仿宋_GB2312" w:hAnsi="仿宋_GB2312" w:eastAsia="仿宋_GB2312" w:cs="仿宋_GB2312"/>
          <w:color w:val="auto"/>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8"/>
        <w:spacing w:before="24" w:after="24"/>
        <w:jc w:val="center"/>
        <w:rPr>
          <w:rFonts w:ascii="仿宋_GB2312" w:hAnsi="仿宋_GB2312" w:eastAsia="仿宋_GB2312" w:cs="仿宋_GB2312"/>
          <w:color w:val="auto"/>
          <w:sz w:val="30"/>
          <w:szCs w:val="30"/>
          <w:highlight w:val="none"/>
        </w:rPr>
      </w:pPr>
      <w:bookmarkStart w:id="346" w:name="_Hlt491765714"/>
      <w:bookmarkEnd w:id="346"/>
      <w:bookmarkStart w:id="347" w:name="_Hlt497729446"/>
      <w:bookmarkEnd w:id="347"/>
      <w:bookmarkStart w:id="348" w:name="_Toc232176278"/>
      <w:bookmarkStart w:id="349" w:name="_Toc232395218"/>
      <w:bookmarkStart w:id="350" w:name="_Toc249515423"/>
      <w:bookmarkStart w:id="351" w:name="_Toc68590974"/>
      <w:bookmarkStart w:id="352" w:name="_Toc249515311"/>
      <w:bookmarkStart w:id="353" w:name="_Toc249525192"/>
      <w:bookmarkStart w:id="354" w:name="_Toc256342149"/>
      <w:bookmarkStart w:id="355" w:name="_Toc499711890"/>
      <w:bookmarkStart w:id="356" w:name="_Toc389620199"/>
      <w:bookmarkStart w:id="357" w:name="_Toc53722846"/>
      <w:bookmarkStart w:id="358" w:name="_Toc70687174"/>
      <w:bookmarkStart w:id="359" w:name="_Toc503063428"/>
      <w:bookmarkStart w:id="360" w:name="_Toc496324585"/>
      <w:bookmarkStart w:id="361" w:name="_Toc176882548"/>
      <w:bookmarkStart w:id="362" w:name="_Toc177817340"/>
      <w:bookmarkStart w:id="363" w:name="_Toc500747068"/>
      <w:bookmarkStart w:id="364" w:name="_Toc177189241"/>
      <w:bookmarkStart w:id="365" w:name="_Toc492955421"/>
      <w:bookmarkStart w:id="366" w:name="_Toc184043047"/>
      <w:bookmarkStart w:id="367" w:name="_Toc500747195"/>
      <w:bookmarkStart w:id="368" w:name="_Toc500746972"/>
      <w:bookmarkStart w:id="369" w:name="_Toc499711049"/>
      <w:bookmarkStart w:id="370" w:name="_Toc385992360"/>
      <w:bookmarkStart w:id="371" w:name="_Toc177995479"/>
      <w:r>
        <w:rPr>
          <w:rFonts w:hint="eastAsia" w:ascii="仿宋_GB2312" w:hAnsi="仿宋_GB2312" w:eastAsia="仿宋_GB2312" w:cs="仿宋_GB2312"/>
          <w:color w:val="auto"/>
          <w:sz w:val="30"/>
          <w:szCs w:val="30"/>
          <w:highlight w:val="none"/>
        </w:rPr>
        <w:t>六、确定成交单位、授予合同</w:t>
      </w:r>
      <w:bookmarkEnd w:id="348"/>
      <w:bookmarkEnd w:id="349"/>
      <w:bookmarkEnd w:id="350"/>
      <w:bookmarkEnd w:id="351"/>
      <w:bookmarkEnd w:id="352"/>
      <w:bookmarkEnd w:id="353"/>
      <w:bookmarkEnd w:id="354"/>
    </w:p>
    <w:p>
      <w:pPr>
        <w:rPr>
          <w:rFonts w:ascii="仿宋_GB2312" w:hAnsi="仿宋_GB2312" w:eastAsia="仿宋_GB2312" w:cs="仿宋_GB2312"/>
          <w:color w:val="auto"/>
          <w:highlight w:val="none"/>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仿宋_GB2312" w:hAnsi="仿宋_GB2312" w:eastAsia="仿宋_GB2312" w:cs="仿宋_GB2312"/>
          <w:b/>
          <w:bCs/>
          <w:color w:val="auto"/>
          <w:sz w:val="24"/>
          <w:szCs w:val="21"/>
          <w:highlight w:val="none"/>
        </w:rPr>
      </w:pPr>
      <w:bookmarkStart w:id="372" w:name="_Toc389620200"/>
      <w:bookmarkStart w:id="373" w:name="_Toc249515312"/>
      <w:bookmarkStart w:id="374" w:name="_Toc249525193"/>
      <w:bookmarkStart w:id="375" w:name="_Toc249515424"/>
      <w:bookmarkStart w:id="376" w:name="_Toc184043048"/>
      <w:bookmarkStart w:id="377" w:name="_Toc70687175"/>
      <w:bookmarkStart w:id="378" w:name="_Toc385992361"/>
      <w:bookmarkStart w:id="379" w:name="_Toc27151"/>
      <w:r>
        <w:rPr>
          <w:rFonts w:hint="eastAsia" w:ascii="仿宋_GB2312" w:hAnsi="仿宋_GB2312" w:eastAsia="仿宋_GB2312" w:cs="仿宋_GB2312"/>
          <w:b/>
          <w:bCs/>
          <w:color w:val="auto"/>
          <w:sz w:val="24"/>
          <w:szCs w:val="21"/>
          <w:highlight w:val="none"/>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szCs w:val="21"/>
          <w:highlight w:val="none"/>
        </w:rPr>
        <w:t>单位</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25.1   采购代理机构应在评审结束后两个工作日内，将评审报告送采购人。</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25.4   采购代理机构将评审过程及成交供应商情况书面报监督机构备案。</w:t>
      </w:r>
      <w:bookmarkStart w:id="380" w:name="_Toc389620203"/>
      <w:bookmarkStart w:id="381" w:name="_Toc385992364"/>
    </w:p>
    <w:bookmarkEnd w:id="380"/>
    <w:bookmarkEnd w:id="381"/>
    <w:p>
      <w:pPr>
        <w:pStyle w:val="5"/>
        <w:rPr>
          <w:rFonts w:ascii="仿宋_GB2312" w:hAnsi="仿宋_GB2312" w:eastAsia="仿宋_GB2312" w:cs="仿宋_GB2312"/>
          <w:b/>
          <w:bCs/>
          <w:color w:val="auto"/>
          <w:sz w:val="24"/>
          <w:szCs w:val="21"/>
          <w:highlight w:val="none"/>
        </w:rPr>
      </w:pPr>
      <w:bookmarkStart w:id="382" w:name="_Toc385992365"/>
      <w:bookmarkStart w:id="383" w:name="_Toc389620204"/>
      <w:r>
        <w:rPr>
          <w:rFonts w:hint="eastAsia" w:ascii="仿宋_GB2312" w:hAnsi="仿宋_GB2312" w:eastAsia="仿宋_GB2312" w:cs="仿宋_GB2312"/>
          <w:b/>
          <w:bCs/>
          <w:color w:val="auto"/>
          <w:sz w:val="24"/>
          <w:szCs w:val="21"/>
          <w:highlight w:val="none"/>
        </w:rPr>
        <w:t>26.    合同</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26.2   确定成交单位后，成交供应商因自身原因未按程序签订合同，采购人将取消其成交资格，同时报请监督机构备案。在此情况下，采购人可按评审结果顺序将合同授予下一成交候选人或重新采购。</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26.3   成交供应商签订合同后，持合同原件到采购代理机构，或采购代理机构根据陕西省政府采购网合同备案结果办理保证金退还手续。</w:t>
      </w:r>
    </w:p>
    <w:p>
      <w:pPr>
        <w:pStyle w:val="5"/>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27.    询问与质疑 </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27.1   供应商对政府采购活动事项有疑问的，可以向采购人提出询问。</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27.3   质疑供应商在法定质疑期内须一次性提出针对同一采购程序环节的质疑。</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27.4   供应商提出质疑应当提交质疑函和必要的证明材料。质疑函应当包括下列内容：</w:t>
      </w:r>
    </w:p>
    <w:p>
      <w:pPr>
        <w:pStyle w:val="68"/>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供应商的姓名或者名称、地址、邮编、联系人及联系电话；</w:t>
      </w:r>
    </w:p>
    <w:p>
      <w:pPr>
        <w:pStyle w:val="68"/>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质疑项目的名称、编号；</w:t>
      </w:r>
    </w:p>
    <w:p>
      <w:pPr>
        <w:pStyle w:val="68"/>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具体、明确的质疑事项和与质疑事项相关的请求；</w:t>
      </w:r>
    </w:p>
    <w:p>
      <w:pPr>
        <w:pStyle w:val="68"/>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事实依据；</w:t>
      </w:r>
    </w:p>
    <w:p>
      <w:pPr>
        <w:pStyle w:val="68"/>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必要的法律依据；</w:t>
      </w:r>
    </w:p>
    <w:p>
      <w:pPr>
        <w:pStyle w:val="68"/>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提出质疑的日期。</w:t>
      </w:r>
    </w:p>
    <w:p>
      <w:pPr>
        <w:pStyle w:val="68"/>
        <w:tabs>
          <w:tab w:val="left" w:pos="588"/>
        </w:tabs>
        <w:spacing w:line="360" w:lineRule="auto"/>
        <w:ind w:left="838" w:leftChars="399" w:firstLine="0" w:firstLine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27.5   符合要求的质疑，采购代理机构将予以受理并答复。</w:t>
      </w:r>
    </w:p>
    <w:p>
      <w:pPr>
        <w:tabs>
          <w:tab w:val="left" w:pos="588"/>
        </w:tabs>
        <w:spacing w:line="360" w:lineRule="auto"/>
        <w:ind w:left="840" w:leftChars="4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王工</w:t>
      </w: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0911-8331531</w:t>
      </w:r>
    </w:p>
    <w:p>
      <w:pPr>
        <w:tabs>
          <w:tab w:val="left" w:pos="588"/>
        </w:tabs>
        <w:spacing w:line="360" w:lineRule="auto"/>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27.6   供应商进行虚假和恶意质疑的，采购代理机构将提供相关资料报监督机构，按其情况进行相应处理。</w:t>
      </w:r>
    </w:p>
    <w:bookmarkEnd w:id="382"/>
    <w:bookmarkEnd w:id="383"/>
    <w:p>
      <w:pPr>
        <w:pStyle w:val="5"/>
        <w:rPr>
          <w:rFonts w:hint="eastAsia" w:ascii="仿宋_GB2312" w:hAnsi="仿宋_GB2312" w:eastAsia="仿宋_GB2312" w:cs="仿宋_GB2312"/>
          <w:b/>
          <w:bCs/>
          <w:color w:val="auto"/>
          <w:sz w:val="24"/>
          <w:szCs w:val="21"/>
          <w:highlight w:val="none"/>
          <w:lang w:eastAsia="zh-CN"/>
        </w:rPr>
      </w:pPr>
      <w:bookmarkStart w:id="384" w:name="_Toc25547"/>
      <w:r>
        <w:rPr>
          <w:rFonts w:hint="eastAsia" w:ascii="仿宋_GB2312" w:hAnsi="仿宋_GB2312" w:eastAsia="仿宋_GB2312" w:cs="仿宋_GB2312"/>
          <w:b/>
          <w:bCs/>
          <w:color w:val="auto"/>
          <w:sz w:val="24"/>
          <w:szCs w:val="21"/>
          <w:highlight w:val="none"/>
        </w:rPr>
        <w:t>28.    履约保证金</w:t>
      </w:r>
      <w:r>
        <w:rPr>
          <w:rFonts w:hint="eastAsia" w:ascii="仿宋_GB2312" w:hAnsi="仿宋_GB2312" w:eastAsia="仿宋_GB2312" w:cs="仿宋_GB2312"/>
          <w:b/>
          <w:bCs/>
          <w:color w:val="auto"/>
          <w:sz w:val="24"/>
          <w:szCs w:val="21"/>
          <w:highlight w:val="none"/>
          <w:lang w:eastAsia="zh-CN"/>
        </w:rPr>
        <w:t>（</w:t>
      </w:r>
      <w:r>
        <w:rPr>
          <w:rFonts w:hint="eastAsia" w:ascii="仿宋_GB2312" w:hAnsi="仿宋_GB2312" w:eastAsia="仿宋_GB2312" w:cs="仿宋_GB2312"/>
          <w:b/>
          <w:bCs/>
          <w:color w:val="auto"/>
          <w:sz w:val="24"/>
          <w:szCs w:val="21"/>
          <w:highlight w:val="none"/>
          <w:lang w:val="en-US" w:eastAsia="zh-CN"/>
        </w:rPr>
        <w:t>无</w:t>
      </w:r>
      <w:r>
        <w:rPr>
          <w:rFonts w:hint="eastAsia" w:ascii="仿宋_GB2312" w:hAnsi="仿宋_GB2312" w:eastAsia="仿宋_GB2312" w:cs="仿宋_GB2312"/>
          <w:b/>
          <w:bCs/>
          <w:color w:val="auto"/>
          <w:sz w:val="24"/>
          <w:szCs w:val="21"/>
          <w:highlight w:val="none"/>
          <w:lang w:eastAsia="zh-CN"/>
        </w:rPr>
        <w:t>）</w:t>
      </w:r>
    </w:p>
    <w:bookmarkEnd w:id="384"/>
    <w:p>
      <w:pPr>
        <w:pStyle w:val="5"/>
        <w:numPr>
          <w:ilvl w:val="0"/>
          <w:numId w:val="11"/>
        </w:numPr>
        <w:rPr>
          <w:rFonts w:ascii="仿宋_GB2312" w:hAnsi="仿宋_GB2312" w:eastAsia="仿宋_GB2312" w:cs="仿宋_GB2312"/>
          <w:b/>
          <w:bCs/>
          <w:color w:val="auto"/>
          <w:sz w:val="24"/>
          <w:szCs w:val="21"/>
          <w:highlight w:val="none"/>
        </w:rPr>
      </w:pPr>
      <w:bookmarkStart w:id="385" w:name="_Toc1585"/>
      <w:r>
        <w:rPr>
          <w:rFonts w:hint="eastAsia" w:ascii="仿宋_GB2312" w:hAnsi="仿宋_GB2312" w:eastAsia="仿宋_GB2312" w:cs="仿宋_GB2312"/>
          <w:b/>
          <w:bCs/>
          <w:color w:val="auto"/>
          <w:sz w:val="24"/>
          <w:szCs w:val="21"/>
          <w:highlight w:val="none"/>
        </w:rPr>
        <w:t xml:space="preserve">  采购人追加采购数量的权力</w:t>
      </w:r>
      <w:bookmarkEnd w:id="385"/>
    </w:p>
    <w:p>
      <w:pPr>
        <w:tabs>
          <w:tab w:val="left" w:pos="588"/>
        </w:tabs>
        <w:spacing w:line="360" w:lineRule="auto"/>
        <w:ind w:left="840" w:leftChars="400"/>
        <w:rPr>
          <w:rFonts w:ascii="仿宋_GB2312" w:hAnsi="仿宋_GB2312" w:eastAsia="仿宋_GB2312" w:cs="仿宋_GB2312"/>
          <w:color w:val="auto"/>
          <w:sz w:val="24"/>
          <w:highlight w:val="none"/>
        </w:rPr>
      </w:pPr>
      <w:bookmarkStart w:id="386" w:name="_Toc385992366"/>
      <w:bookmarkStart w:id="387" w:name="_Toc389620205"/>
      <w:r>
        <w:rPr>
          <w:rFonts w:hint="eastAsia" w:ascii="仿宋_GB2312" w:hAnsi="仿宋_GB2312" w:eastAsia="仿宋_GB2312" w:cs="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仿宋_GB2312" w:hAnsi="仿宋_GB2312" w:eastAsia="仿宋_GB2312" w:cs="仿宋_GB2312"/>
          <w:b/>
          <w:bCs/>
          <w:color w:val="auto"/>
          <w:sz w:val="24"/>
          <w:szCs w:val="21"/>
          <w:highlight w:val="none"/>
        </w:rPr>
      </w:pPr>
      <w:r>
        <w:rPr>
          <w:rFonts w:hint="eastAsia" w:ascii="仿宋_GB2312" w:hAnsi="仿宋_GB2312" w:eastAsia="仿宋_GB2312" w:cs="仿宋_GB2312"/>
          <w:b/>
          <w:bCs/>
          <w:color w:val="auto"/>
          <w:sz w:val="24"/>
          <w:szCs w:val="21"/>
          <w:highlight w:val="none"/>
        </w:rPr>
        <w:t xml:space="preserve">   其他情况</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连续两次进行竞争性磋商活动，因符合磋商要求供应商不足3家，经请示政府采购管理部门同意后，可继续进行竞争性磋商活动。</w:t>
      </w:r>
    </w:p>
    <w:bookmarkEnd w:id="386"/>
    <w:bookmarkEnd w:id="387"/>
    <w:p>
      <w:pPr>
        <w:pStyle w:val="5"/>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highlight w:val="none"/>
        </w:rPr>
      </w:pPr>
      <w:bookmarkStart w:id="388" w:name="_Toc184114070"/>
      <w:bookmarkStart w:id="389" w:name="_Toc184025279"/>
      <w:bookmarkStart w:id="390" w:name="_Toc230099802"/>
      <w:bookmarkStart w:id="391" w:name="_Toc230013637"/>
      <w:r>
        <w:rPr>
          <w:rFonts w:hint="eastAsia" w:ascii="仿宋" w:hAnsi="仿宋" w:eastAsia="仿宋" w:cs="仿宋"/>
          <w:b/>
          <w:bCs/>
          <w:i w:val="0"/>
          <w:iCs w:val="0"/>
          <w:color w:val="auto"/>
          <w:sz w:val="24"/>
          <w:szCs w:val="24"/>
          <w:highlight w:val="none"/>
          <w:lang w:val="en-US" w:eastAsia="zh-CN"/>
        </w:rPr>
        <w:t xml:space="preserve">   </w:t>
      </w:r>
      <w:r>
        <w:rPr>
          <w:rFonts w:hint="eastAsia" w:ascii="仿宋" w:hAnsi="仿宋" w:eastAsia="仿宋" w:cs="仿宋"/>
          <w:b/>
          <w:bCs/>
          <w:i w:val="0"/>
          <w:iCs w:val="0"/>
          <w:color w:val="auto"/>
          <w:sz w:val="24"/>
          <w:szCs w:val="24"/>
          <w:highlight w:val="none"/>
        </w:rPr>
        <w:t>政府采购信用担保及融资</w:t>
      </w:r>
    </w:p>
    <w:p>
      <w:pPr>
        <w:pStyle w:val="23"/>
        <w:keepNext w:val="0"/>
        <w:keepLines w:val="0"/>
        <w:pageBreakBefore w:val="0"/>
        <w:widowControl w:val="0"/>
        <w:shd w:val="clear" w:color="auto"/>
        <w:kinsoku/>
        <w:wordWrap/>
        <w:overflowPunct/>
        <w:topLinePunct w:val="0"/>
        <w:autoSpaceDE/>
        <w:autoSpaceDN/>
        <w:bidi w:val="0"/>
        <w:adjustRightInd/>
        <w:snapToGrid/>
        <w:spacing w:line="360" w:lineRule="auto"/>
        <w:ind w:left="840" w:hanging="840" w:hangingChars="35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32.</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 xml:space="preserve">   供应商递交的履约担保函应符合本磋商文件的规定。</w:t>
      </w:r>
    </w:p>
    <w:p>
      <w:pPr>
        <w:keepNext w:val="0"/>
        <w:keepLines w:val="0"/>
        <w:pageBreakBefore w:val="0"/>
        <w:widowControl w:val="0"/>
        <w:kinsoku/>
        <w:wordWrap/>
        <w:overflowPunct/>
        <w:topLinePunct w:val="0"/>
        <w:autoSpaceDE/>
        <w:autoSpaceDN/>
        <w:bidi w:val="0"/>
        <w:adjustRightInd/>
        <w:snapToGrid/>
        <w:spacing w:line="360" w:lineRule="auto"/>
        <w:ind w:left="850" w:hanging="849" w:hangingChars="354"/>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32.</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ascii="仿宋" w:hAnsi="仿宋" w:eastAsia="仿宋" w:cs="仿宋"/>
          <w:i w:val="0"/>
          <w:iCs w:val="0"/>
          <w:color w:val="auto"/>
          <w:sz w:val="24"/>
          <w:szCs w:val="24"/>
          <w:highlight w:val="none"/>
          <w:lang w:eastAsia="zh-CN"/>
        </w:rPr>
        <w:t>（http://www.ccgp-shaanxi.gov.cn/zcdservice/zcd/shanxi/）</w:t>
      </w:r>
      <w:r>
        <w:rPr>
          <w:rFonts w:hint="eastAsia" w:ascii="仿宋" w:hAnsi="仿宋" w:eastAsia="仿宋" w:cs="仿宋"/>
          <w:i w:val="0"/>
          <w:iCs w:val="0"/>
          <w:color w:val="auto"/>
          <w:sz w:val="24"/>
          <w:szCs w:val="24"/>
          <w:highlight w:val="none"/>
        </w:rPr>
        <w:t>”了解详情。</w:t>
      </w: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业务流程简图如下：</w:t>
      </w:r>
    </w:p>
    <w:p>
      <w:pPr>
        <w:rPr>
          <w:rFonts w:hint="eastAsia" w:ascii="仿宋" w:hAnsi="仿宋" w:eastAsia="仿宋" w:cs="仿宋"/>
          <w:i w:val="0"/>
          <w:iCs w:val="0"/>
          <w:color w:val="auto"/>
          <w:kern w:val="2"/>
          <w:sz w:val="24"/>
          <w:szCs w:val="24"/>
          <w:highlight w:val="none"/>
          <w:lang w:val="en-US" w:eastAsia="zh-CN" w:bidi="ar-SA"/>
        </w:rPr>
      </w:pPr>
      <w:r>
        <w:rPr>
          <w:color w:val="auto"/>
          <w:sz w:val="24"/>
          <w:szCs w:val="32"/>
          <w:highlight w:val="none"/>
        </w:rPr>
        <w:drawing>
          <wp:anchor distT="0" distB="0" distL="114300" distR="114300" simplePos="0" relativeHeight="251659264" behindDoc="0" locked="0" layoutInCell="1" allowOverlap="1">
            <wp:simplePos x="0" y="0"/>
            <wp:positionH relativeFrom="column">
              <wp:posOffset>534670</wp:posOffset>
            </wp:positionH>
            <wp:positionV relativeFrom="page">
              <wp:posOffset>5038090</wp:posOffset>
            </wp:positionV>
            <wp:extent cx="4361815" cy="2508250"/>
            <wp:effectExtent l="0" t="0" r="635"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4361815" cy="2508250"/>
                    </a:xfrm>
                    <a:prstGeom prst="rect">
                      <a:avLst/>
                    </a:prstGeom>
                    <a:noFill/>
                    <a:ln>
                      <a:noFill/>
                    </a:ln>
                  </pic:spPr>
                </pic:pic>
              </a:graphicData>
            </a:graphic>
          </wp:anchor>
        </w:drawing>
      </w:r>
      <w:r>
        <w:rPr>
          <w:color w:val="auto"/>
          <w:sz w:val="24"/>
          <w:szCs w:val="32"/>
          <w:highlight w:val="none"/>
        </w:rPr>
        <w:drawing>
          <wp:anchor distT="0" distB="0" distL="114300" distR="114300" simplePos="0" relativeHeight="251660288" behindDoc="0" locked="0" layoutInCell="1" allowOverlap="1">
            <wp:simplePos x="0" y="0"/>
            <wp:positionH relativeFrom="column">
              <wp:posOffset>507365</wp:posOffset>
            </wp:positionH>
            <wp:positionV relativeFrom="paragraph">
              <wp:posOffset>24130</wp:posOffset>
            </wp:positionV>
            <wp:extent cx="4483735" cy="2524760"/>
            <wp:effectExtent l="0" t="0" r="12065" b="8890"/>
            <wp:wrapTopAndBottom/>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4483735" cy="2524760"/>
                    </a:xfrm>
                    <a:prstGeom prst="rect">
                      <a:avLst/>
                    </a:prstGeom>
                    <a:noFill/>
                    <a:ln>
                      <a:noFill/>
                    </a:ln>
                  </pic:spPr>
                </pic:pic>
              </a:graphicData>
            </a:graphic>
          </wp:anchor>
        </w:drawing>
      </w:r>
    </w:p>
    <w:p>
      <w:pPr>
        <w:pStyle w:val="34"/>
        <w:rPr>
          <w:rFonts w:hint="eastAsia" w:ascii="仿宋" w:hAnsi="仿宋" w:eastAsia="仿宋" w:cs="仿宋"/>
          <w:i w:val="0"/>
          <w:iCs w:val="0"/>
          <w:color w:val="auto"/>
          <w:kern w:val="2"/>
          <w:sz w:val="24"/>
          <w:szCs w:val="24"/>
          <w:highlight w:val="none"/>
          <w:lang w:val="en-US" w:eastAsia="zh-CN" w:bidi="ar-SA"/>
        </w:rPr>
      </w:pPr>
    </w:p>
    <w:p>
      <w:pPr>
        <w:pStyle w:val="34"/>
        <w:rPr>
          <w:rFonts w:hint="eastAsia" w:ascii="仿宋" w:hAnsi="仿宋" w:eastAsia="仿宋" w:cs="仿宋"/>
          <w:i w:val="0"/>
          <w:iCs w:val="0"/>
          <w:color w:val="auto"/>
          <w:kern w:val="2"/>
          <w:sz w:val="24"/>
          <w:szCs w:val="24"/>
          <w:highlight w:val="none"/>
          <w:lang w:val="en-US" w:eastAsia="zh-CN" w:bidi="ar-SA"/>
        </w:rPr>
      </w:pP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color w:val="auto"/>
          <w:sz w:val="24"/>
          <w:szCs w:val="32"/>
          <w:highlight w:val="none"/>
        </w:rPr>
      </w:pP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color w:val="auto"/>
          <w:sz w:val="24"/>
          <w:szCs w:val="32"/>
          <w:highlight w:val="none"/>
        </w:rPr>
      </w:pP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color w:val="auto"/>
          <w:sz w:val="24"/>
          <w:szCs w:val="32"/>
          <w:highlight w:val="none"/>
        </w:rPr>
      </w:pP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color w:val="auto"/>
          <w:sz w:val="24"/>
          <w:szCs w:val="32"/>
          <w:highlight w:val="none"/>
        </w:rPr>
      </w:pP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ind w:left="840" w:leftChars="400" w:firstLine="0" w:firstLineChars="0"/>
        <w:textAlignment w:val="auto"/>
        <w:rPr>
          <w:color w:val="auto"/>
          <w:sz w:val="24"/>
          <w:szCs w:val="32"/>
          <w:highlight w:val="none"/>
        </w:rPr>
      </w:pP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lang w:val="en-US" w:eastAsia="zh-CN"/>
        </w:rPr>
      </w:pPr>
    </w:p>
    <w:p>
      <w:pPr>
        <w:pStyle w:val="23"/>
        <w:keepNext w:val="0"/>
        <w:keepLines w:val="0"/>
        <w:pageBreakBefore w:val="0"/>
        <w:widowControl w:val="0"/>
        <w:tabs>
          <w:tab w:val="left" w:pos="567"/>
        </w:tabs>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lang w:eastAsia="zh-CN"/>
        </w:rPr>
      </w:pPr>
      <w:r>
        <w:rPr>
          <w:rFonts w:hint="default" w:ascii="Times New Roman" w:hAnsi="Times New Roman" w:eastAsia="仿宋_GB2312" w:cs="Times New Roman"/>
          <w:i w:val="0"/>
          <w:iCs w:val="0"/>
          <w:color w:val="auto"/>
          <w:sz w:val="24"/>
          <w:szCs w:val="24"/>
          <w:highlight w:val="none"/>
          <w:lang w:val="en-US" w:eastAsia="zh-CN"/>
        </w:rPr>
        <w:t>省级政府采购项目</w:t>
      </w:r>
      <w:r>
        <w:rPr>
          <w:rFonts w:hint="default" w:ascii="Times New Roman" w:hAnsi="Times New Roman" w:eastAsia="仿宋_GB2312" w:cs="Times New Roman"/>
          <w:i w:val="0"/>
          <w:iCs w:val="0"/>
          <w:color w:val="auto"/>
          <w:sz w:val="24"/>
          <w:szCs w:val="24"/>
          <w:highlight w:val="none"/>
        </w:rPr>
        <w:t>贷款银行信息</w:t>
      </w:r>
      <w:r>
        <w:rPr>
          <w:rFonts w:hint="default" w:ascii="Times New Roman" w:hAnsi="Times New Roman" w:eastAsia="仿宋_GB2312" w:cs="Times New Roman"/>
          <w:i w:val="0"/>
          <w:i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b/>
          <w:i w:val="0"/>
          <w:iCs w:val="0"/>
          <w:color w:val="auto"/>
          <w:sz w:val="24"/>
          <w:szCs w:val="24"/>
          <w:highlight w:val="none"/>
        </w:rPr>
        <w:t>一、陕西建行（E政通）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陕西省分行营业部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西安市南广济街38号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白玉皓</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13201603166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西安莲湖路支行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西安市莲湖路35号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  冲</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17702902131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西安曲江支行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西安市雁塔南路2216号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樊理君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18691568151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西安高新区支行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西安市高新路42号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卞斯超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15191075651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西安经开区支行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西安市未央路125号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惠  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17792256100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i w:val="0"/>
          <w:iCs w:val="0"/>
          <w:color w:val="auto"/>
          <w:sz w:val="24"/>
          <w:szCs w:val="24"/>
          <w:highlight w:val="none"/>
        </w:rPr>
      </w:pPr>
      <w:r>
        <w:rPr>
          <w:rFonts w:hint="eastAsia" w:eastAsia="仿宋_GB2312" w:cs="Times New Roman"/>
          <w:i w:val="0"/>
          <w:iCs w:val="0"/>
          <w:color w:val="auto"/>
          <w:sz w:val="24"/>
          <w:szCs w:val="24"/>
          <w:highlight w:val="none"/>
          <w:lang w:val="en-US" w:eastAsia="zh-CN"/>
        </w:rPr>
        <w:t xml:space="preserve">    </w:t>
      </w:r>
      <w:r>
        <w:rPr>
          <w:rFonts w:hint="default" w:ascii="Times New Roman" w:hAnsi="Times New Roman" w:eastAsia="仿宋_GB2312" w:cs="Times New Roman"/>
          <w:i w:val="0"/>
          <w:iCs w:val="0"/>
          <w:color w:val="auto"/>
          <w:sz w:val="24"/>
          <w:szCs w:val="24"/>
          <w:highlight w:val="none"/>
        </w:rPr>
        <w:t>西安南大街支行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西安市南大街15号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乔  鉴</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18089136919</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西安和平路支行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西安市和平路101号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  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18691816821</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西安兴庆路支行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西安市兴庆路61号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  妍</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13892880386</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西安新城支行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西安市南新街29号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朱子君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18629286269</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西安长安区支行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西安市长安区青年街2号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王淑芸</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13572289603</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咸阳市西兰路4号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邰  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13299079906</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宝鸡市红旗路36号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  倩</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18629019817</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铜川分行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铜川市新区正阳路与长虹路十字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张小波</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18691932636</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榆林市高新技术产业园区创业大厦</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张君君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15991929275</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延安市宝塔区中心街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陈进佃</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15609110557</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汉中分行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汉中市石灰巷21号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王晨旭</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15319375850</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安康分行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安康市育才路102号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张少帅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13165762680</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商洛分行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商洛市名人街广电大楼下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  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17809267188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二、北京银行（政府订单贷）</w:t>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西安分行营业部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刘晓伟</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总经理助理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029-61828763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18066630518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西安高新开发区支行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梁凡</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029-61828531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18681945597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西安曲江文创支行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蒋超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室经理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029-65667366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15891737329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西安经济技术开发区支行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孟庆龙</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029-61828272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13991990373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西安长缨路支行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范凯</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副行长</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029-68717760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13991315609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 xml:space="preserve">长安区西长安街支行   </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陈明</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029-85724301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18149209660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泾渭工业园支行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杨奕</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室经理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029-68213773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15934802021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北客站科技支行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周洁</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副行长</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029-61828129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18629518636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解放路支行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王莉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行长助理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029-61828185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15802966196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            奥宝森</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室经理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0911-8076038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15592925222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三、工商银行（政采贷）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张岭</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0912-6183827</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15353386777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郭进</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0917-3238282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18991749262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安康分行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郑婕</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0915-3236275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15667856663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铜川分行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彭东东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0919-2151878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17392898832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党莹</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经理助理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0911-2380826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15291142933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汉中分行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杨薇薇</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部门副经理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0916-2606773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18591607453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渭南分行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张欢</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09132095066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15229730006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袁霖</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029-33259370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18591006506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商洛分行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张铮</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经理助理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0914-2310908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18691410305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商洛分行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余勇博</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0914-2310908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18092802280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巩越</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029-87609419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18629450680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四、中信银行 （政采e贷）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西安市朱雀大街中段1号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曹晓聪</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13759957407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秦皇中路绿苑大厦</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杭群</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13992016859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宝鸡市高新大道50号财富大厦B座</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王尧</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13636762976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渭南分行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渭南市朝阳大街中段信达广场世纪明珠大厦</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杨阳</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18191815559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榆林市高新区长兴路248号中信银行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刘洪巍</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13636885556</w:t>
      </w:r>
    </w:p>
    <w:p>
      <w:pPr>
        <w:keepNext w:val="0"/>
        <w:keepLines w:val="0"/>
        <w:pageBreakBefore w:val="0"/>
        <w:widowControl w:val="0"/>
        <w:kinsoku/>
        <w:wordWrap/>
        <w:overflowPunct/>
        <w:topLinePunct w:val="0"/>
        <w:autoSpaceDE/>
        <w:autoSpaceDN/>
        <w:bidi w:val="0"/>
        <w:adjustRightInd/>
        <w:snapToGrid/>
        <w:spacing w:line="360" w:lineRule="auto"/>
        <w:ind w:left="1860" w:leftChars="200" w:hanging="1440" w:hangingChars="6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汉中分行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汉中市汉台区西二环路与劳动西路东南汉中滨江•公园壹号（产业孵化区）3B号楼</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陈真</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18509165068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五、中国光大银行（阳光政采贷）</w:t>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r>
        <w:rPr>
          <w:rFonts w:hint="default" w:ascii="Times New Roman" w:hAnsi="Times New Roman" w:eastAsia="仿宋_GB2312" w:cs="Times New Roman"/>
          <w:b/>
          <w:i w:val="0"/>
          <w:iCs w:val="0"/>
          <w:color w:val="auto"/>
          <w:sz w:val="24"/>
          <w:szCs w:val="24"/>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 欢</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0917-3451055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18329677163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尚云鹏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0912-3548019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18690473126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延安分行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汪昊田</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0911-8011831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13509115500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侯 佳</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32100021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15229500088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营销一部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 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87236311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13772031109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营销二部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朱翰辰</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87236201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17791788078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营业部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张翔琮</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87236306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18829235568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电子城支行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张曼玉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88247071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18009298787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明德门支行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 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85350770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13991249430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东大街支行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 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87438914</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15029673754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经济开发区支行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陆家俊</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86525176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18629303397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凤城九路支行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宋 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89155022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18966911622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兴庆路支行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司 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83290033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18629251819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长乐西路支行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 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82566208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15877390201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友谊路支行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贠程敏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88422067</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18792795210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边家村支行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 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85251673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15309223048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北关支行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菅新培</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86248203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18092169361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南郊支行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程 拓</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85265234</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13772491661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西关正街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马 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89548109</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13772337373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丈八东路支行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杨筱凡</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81026910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15129044185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雁塔路支行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闫梓闶</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82222501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18691561524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唐延路支行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尉二宝</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88329478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13991930150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枫林绿洲支行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杨 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87302120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13609199490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南关正街支行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 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85230722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18066610983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南二环支行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 超</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88362861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18192080396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曲江支行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田 鹏</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81205890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13991937977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太白路支行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马振林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68912880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15353736656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明光路支行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刘二渭</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81623506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13201793405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凤城二路支行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 洋</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86680267</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13720423343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昆明路支行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 洁</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84592506</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13991821278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丈八北路支行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 浩</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81875192</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15667087662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新城支行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余振东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87251680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18066617238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六、浦发银行 （政采e贷）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吴晨雨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029-63603803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15991724645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陈福全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029-63603441</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17782511994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韩瑾</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029-63603443</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18202909790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李瑞雪</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客户经理</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029-63603445</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18220862398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陈晓晓</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0912-2216068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15691269965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榆林分行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郭小东</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0912-2216008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15291820586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张一岚</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0917-8662919 </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18690008816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宝鸡分行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朱强</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 xml:space="preserve">0917-8662926 </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13909176381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渭南分行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王晓峰</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0913-3357080</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13992363166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咸阳分行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薛晗</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公司业务部</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029-32083788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15109226216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七、兴业银行（政采贷）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朱靖</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总监</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029-87482998</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13363979983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八、中国民生银行（政采贷）</w:t>
      </w:r>
    </w:p>
    <w:p>
      <w:pPr>
        <w:keepNext w:val="0"/>
        <w:keepLines w:val="0"/>
        <w:pageBreakBefore w:val="0"/>
        <w:widowControl w:val="0"/>
        <w:kinsoku/>
        <w:wordWrap/>
        <w:overflowPunct/>
        <w:topLinePunct w:val="0"/>
        <w:autoSpaceDE/>
        <w:autoSpaceDN/>
        <w:bidi w:val="0"/>
        <w:adjustRightInd/>
        <w:snapToGrid/>
        <w:spacing w:line="360" w:lineRule="auto"/>
        <w:ind w:left="2580" w:leftChars="200" w:hanging="2160" w:hangingChars="9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民生银行西安分行  联系人：陈经理 联系电话：61815275 /18821669199</w:t>
      </w:r>
      <w:r>
        <w:rPr>
          <w:rFonts w:hint="default" w:ascii="Times New Roman" w:hAnsi="Times New Roman" w:eastAsia="仿宋_GB2312" w:cs="Times New Roman"/>
          <w:i w:val="0"/>
          <w:iCs w:val="0"/>
          <w:color w:val="auto"/>
          <w:sz w:val="24"/>
          <w:szCs w:val="24"/>
          <w:highlight w:val="none"/>
        </w:rPr>
        <w:br w:type="textWrapping"/>
      </w:r>
      <w:r>
        <w:rPr>
          <w:rFonts w:hint="default" w:ascii="Times New Roman" w:hAnsi="Times New Roman" w:eastAsia="仿宋_GB2312" w:cs="Times New Roman"/>
          <w:i w:val="0"/>
          <w:iCs w:val="0"/>
          <w:color w:val="auto"/>
          <w:sz w:val="24"/>
          <w:szCs w:val="24"/>
          <w:highlight w:val="none"/>
        </w:rPr>
        <w:t xml:space="preserve">联系人：王经理 联系电话：61815280 /18591953690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九、浙商银行 （政采贷）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西安分行</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西安市雁塔区科技路259号</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曹金辉</w:t>
      </w:r>
      <w:r>
        <w:rPr>
          <w:rFonts w:hint="default" w:ascii="Times New Roman" w:hAnsi="Times New Roman" w:eastAsia="仿宋_GB2312" w:cs="Times New Roman"/>
          <w:i w:val="0"/>
          <w:iCs w:val="0"/>
          <w:color w:val="auto"/>
          <w:sz w:val="24"/>
          <w:szCs w:val="24"/>
          <w:highlight w:val="none"/>
        </w:rPr>
        <w:tab/>
      </w:r>
      <w:r>
        <w:rPr>
          <w:rFonts w:hint="default" w:ascii="Times New Roman" w:hAnsi="Times New Roman" w:eastAsia="仿宋_GB2312" w:cs="Times New Roman"/>
          <w:i w:val="0"/>
          <w:iCs w:val="0"/>
          <w:color w:val="auto"/>
          <w:sz w:val="24"/>
          <w:szCs w:val="24"/>
          <w:highlight w:val="none"/>
        </w:rPr>
        <w:t>18710993980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b/>
          <w:i w:val="0"/>
          <w:iCs w:val="0"/>
          <w:color w:val="auto"/>
          <w:sz w:val="24"/>
          <w:szCs w:val="24"/>
          <w:highlight w:val="none"/>
        </w:rPr>
      </w:pPr>
      <w:r>
        <w:rPr>
          <w:rFonts w:hint="default" w:ascii="Times New Roman" w:hAnsi="Times New Roman" w:eastAsia="仿宋_GB2312" w:cs="Times New Roman"/>
          <w:b/>
          <w:i w:val="0"/>
          <w:iCs w:val="0"/>
          <w:color w:val="auto"/>
          <w:sz w:val="24"/>
          <w:szCs w:val="24"/>
          <w:highlight w:val="none"/>
        </w:rPr>
        <w:t xml:space="preserve">十、 招商银行（政采贷）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i w:val="0"/>
          <w:iCs w:val="0"/>
          <w:color w:val="auto"/>
          <w:sz w:val="24"/>
          <w:szCs w:val="24"/>
          <w:highlight w:val="none"/>
        </w:rPr>
      </w:pPr>
      <w:r>
        <w:rPr>
          <w:rFonts w:hint="default" w:ascii="Times New Roman" w:hAnsi="Times New Roman" w:eastAsia="仿宋_GB2312" w:cs="Times New Roman"/>
          <w:i w:val="0"/>
          <w:iCs w:val="0"/>
          <w:color w:val="auto"/>
          <w:sz w:val="24"/>
          <w:szCs w:val="24"/>
          <w:highlight w:val="none"/>
        </w:rPr>
        <w:t>招商银行西安分行   联系人：任瑾；85438988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 xml:space="preserve">十一、 长安银行（小微贷）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长安银行西安曲江新区支行 地址：西安市曲江新区雁南一路3号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联系人：陈瑶 13629266833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b/>
          <w:i w:val="0"/>
          <w:iCs w:val="0"/>
          <w:color w:val="auto"/>
          <w:sz w:val="24"/>
          <w:szCs w:val="24"/>
          <w:highlight w:val="none"/>
        </w:rPr>
        <w:t>十二、网商银行（合同贷）</w:t>
      </w:r>
      <w:r>
        <w:rPr>
          <w:rFonts w:hint="eastAsia" w:ascii="仿宋" w:hAnsi="仿宋" w:eastAsia="仿宋" w:cs="仿宋"/>
          <w:b/>
          <w:i w:val="0"/>
          <w:iCs w:val="0"/>
          <w:color w:val="auto"/>
          <w:sz w:val="24"/>
          <w:szCs w:val="24"/>
          <w:highlight w:val="none"/>
        </w:rPr>
        <w:br w:type="textWrapping"/>
      </w:r>
      <w:r>
        <w:rPr>
          <w:rFonts w:hint="eastAsia" w:ascii="仿宋" w:hAnsi="仿宋" w:eastAsia="仿宋" w:cs="仿宋"/>
          <w:b/>
          <w:i w:val="0"/>
          <w:iCs w:val="0"/>
          <w:color w:val="auto"/>
          <w:sz w:val="24"/>
          <w:szCs w:val="24"/>
          <w:highlight w:val="none"/>
        </w:rPr>
        <w:t>十三、中国邮政储蓄银行陕西省分行（政采贷）</w:t>
      </w:r>
    </w:p>
    <w:p>
      <w:pPr>
        <w:pStyle w:val="23"/>
        <w:keepNext w:val="0"/>
        <w:keepLines w:val="0"/>
        <w:pageBreakBefore w:val="0"/>
        <w:tabs>
          <w:tab w:val="left" w:pos="567"/>
        </w:tabs>
        <w:kinsoku/>
        <w:wordWrap/>
        <w:overflowPunct/>
        <w:topLinePunct w:val="0"/>
        <w:autoSpaceDE/>
        <w:autoSpaceDN/>
        <w:bidi w:val="0"/>
        <w:adjustRightInd/>
        <w:snapToGrid/>
        <w:spacing w:line="360" w:lineRule="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延安市政府采购</w:t>
      </w:r>
      <w:r>
        <w:rPr>
          <w:rFonts w:hint="eastAsia" w:ascii="仿宋" w:hAnsi="仿宋" w:eastAsia="仿宋" w:cs="仿宋"/>
          <w:i w:val="0"/>
          <w:iCs w:val="0"/>
          <w:color w:val="auto"/>
          <w:sz w:val="24"/>
          <w:szCs w:val="24"/>
          <w:highlight w:val="none"/>
        </w:rPr>
        <w:t>贷款银行信息</w:t>
      </w:r>
      <w:r>
        <w:rPr>
          <w:rFonts w:hint="eastAsia" w:ascii="仿宋" w:hAnsi="仿宋" w:eastAsia="仿宋" w:cs="仿宋"/>
          <w:i w:val="0"/>
          <w:iCs w:val="0"/>
          <w:color w:val="auto"/>
          <w:sz w:val="24"/>
          <w:szCs w:val="24"/>
          <w:highlight w:val="none"/>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328"/>
        <w:gridCol w:w="3815"/>
        <w:gridCol w:w="87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序号</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银行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地址</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联系人</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b/>
                <w:bCs/>
                <w:i w:val="0"/>
                <w:iCs w:val="0"/>
                <w:caps w:val="0"/>
                <w:color w:val="auto"/>
                <w:spacing w:val="0"/>
                <w:kern w:val="0"/>
                <w:sz w:val="24"/>
                <w:szCs w:val="24"/>
                <w:highlight w:val="none"/>
                <w:shd w:val="clear" w:color="auto" w:fill="FFFFFF"/>
                <w:vertAlign w:val="baseli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中国建设银行延安分行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SA"/>
              </w:rPr>
              <w:t>延安市宝塔区中心街</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惠玉</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2</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中国工商银行延安分行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延安市宝塔区师范路</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姬悦</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3</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北京银行延安分行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延安市宝塔区双拥大道</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奥宝森</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4</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邮储银行延安分行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延安市宝塔区枣园路志丹大厦</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杨慧花</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5</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光大银行延安分行</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延安市宝塔区卷烟厂东信时代一、二层</w:t>
            </w:r>
          </w:p>
        </w:tc>
        <w:tc>
          <w:tcPr>
            <w:tcW w:w="0" w:type="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汪昊田</w:t>
            </w: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SA"/>
              </w:rPr>
              <w:t>13509115500</w:t>
            </w:r>
          </w:p>
        </w:tc>
      </w:tr>
    </w:tbl>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bookmarkEnd w:id="388"/>
    <w:bookmarkEnd w:id="389"/>
    <w:bookmarkEnd w:id="390"/>
    <w:bookmarkEnd w:id="391"/>
    <w:p>
      <w:pPr>
        <w:pStyle w:val="47"/>
        <w:spacing w:line="360" w:lineRule="auto"/>
        <w:rPr>
          <w:rStyle w:val="204"/>
          <w:rFonts w:ascii="宋体" w:hAnsi="宋体" w:eastAsia="宋体"/>
          <w:color w:val="auto"/>
          <w:sz w:val="36"/>
          <w:szCs w:val="36"/>
          <w:highlight w:val="none"/>
        </w:rPr>
      </w:pPr>
      <w:bookmarkStart w:id="392" w:name="_Toc68590975"/>
      <w:bookmarkStart w:id="393" w:name="_Toc17469"/>
      <w:bookmarkStart w:id="394" w:name="_Toc58504447"/>
      <w:r>
        <w:rPr>
          <w:rStyle w:val="204"/>
          <w:rFonts w:hint="eastAsia" w:ascii="宋体" w:hAnsi="宋体" w:eastAsia="宋体"/>
          <w:color w:val="auto"/>
          <w:sz w:val="36"/>
          <w:szCs w:val="36"/>
          <w:highlight w:val="none"/>
        </w:rPr>
        <w:t>第三章  评审办法和标准</w:t>
      </w:r>
      <w:bookmarkEnd w:id="392"/>
    </w:p>
    <w:p>
      <w:pPr>
        <w:tabs>
          <w:tab w:val="left" w:pos="360"/>
          <w:tab w:val="left" w:pos="588"/>
        </w:tabs>
        <w:spacing w:line="360" w:lineRule="auto"/>
        <w:ind w:left="840"/>
        <w:rPr>
          <w:rFonts w:ascii="仿宋_GB2312" w:hAnsi="仿宋_GB2312" w:eastAsia="仿宋_GB2312" w:cs="仿宋_GB2312"/>
          <w:color w:val="auto"/>
          <w:sz w:val="24"/>
          <w:highlight w:val="none"/>
        </w:rPr>
      </w:pPr>
    </w:p>
    <w:p>
      <w:pPr>
        <w:pStyle w:val="78"/>
        <w:spacing w:before="24" w:after="24"/>
        <w:rPr>
          <w:rFonts w:ascii="仿宋_GB2312" w:hAnsi="仿宋_GB2312" w:eastAsia="仿宋_GB2312" w:cs="仿宋_GB2312"/>
          <w:color w:val="auto"/>
          <w:sz w:val="28"/>
          <w:szCs w:val="28"/>
          <w:highlight w:val="none"/>
        </w:rPr>
      </w:pPr>
      <w:bookmarkStart w:id="395" w:name="_Toc7005040"/>
      <w:bookmarkStart w:id="396" w:name="_Toc68590976"/>
      <w:r>
        <w:rPr>
          <w:rFonts w:hint="eastAsia" w:ascii="仿宋_GB2312" w:hAnsi="仿宋_GB2312" w:eastAsia="仿宋_GB2312" w:cs="仿宋_GB2312"/>
          <w:color w:val="auto"/>
          <w:sz w:val="28"/>
          <w:szCs w:val="28"/>
          <w:highlight w:val="none"/>
        </w:rPr>
        <w:t>1.评审方法</w:t>
      </w:r>
      <w:bookmarkEnd w:id="395"/>
      <w:bookmarkEnd w:id="396"/>
    </w:p>
    <w:p>
      <w:pPr>
        <w:pStyle w:val="23"/>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8"/>
        <w:spacing w:before="24" w:after="24"/>
        <w:rPr>
          <w:rFonts w:ascii="仿宋_GB2312" w:hAnsi="仿宋_GB2312" w:eastAsia="仿宋_GB2312" w:cs="仿宋_GB2312"/>
          <w:color w:val="auto"/>
          <w:sz w:val="28"/>
          <w:szCs w:val="28"/>
          <w:highlight w:val="none"/>
        </w:rPr>
      </w:pPr>
      <w:bookmarkStart w:id="397" w:name="_Toc68590977"/>
      <w:bookmarkStart w:id="398" w:name="_Toc7005041"/>
      <w:r>
        <w:rPr>
          <w:rFonts w:hint="eastAsia" w:ascii="仿宋_GB2312" w:hAnsi="仿宋_GB2312" w:eastAsia="仿宋_GB2312" w:cs="仿宋_GB2312"/>
          <w:color w:val="auto"/>
          <w:sz w:val="28"/>
          <w:szCs w:val="28"/>
          <w:highlight w:val="none"/>
        </w:rPr>
        <w:t>2.评审标准</w:t>
      </w:r>
      <w:bookmarkEnd w:id="397"/>
      <w:bookmarkEnd w:id="398"/>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 资格审查和符合性评审标准：见附表一和附表二。</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 分值构成：总分100分</w:t>
      </w:r>
    </w:p>
    <w:p>
      <w:pPr>
        <w:pStyle w:val="23"/>
        <w:rPr>
          <w:rFonts w:ascii="仿宋_GB2312" w:hAnsi="仿宋_GB2312" w:eastAsia="仿宋_GB2312" w:cs="仿宋_GB2312"/>
          <w:color w:val="auto"/>
          <w:sz w:val="24"/>
          <w:highlight w:val="none"/>
        </w:rPr>
      </w:pPr>
      <w:bookmarkStart w:id="399" w:name="_Ref426362114"/>
      <w:r>
        <w:rPr>
          <w:rFonts w:hint="eastAsia" w:ascii="仿宋_GB2312" w:hAnsi="仿宋_GB2312" w:eastAsia="仿宋_GB2312" w:cs="仿宋_GB2312"/>
          <w:color w:val="auto"/>
          <w:sz w:val="24"/>
          <w:highlight w:val="none"/>
        </w:rPr>
        <w:t>2.3 商务和技术评审标准</w:t>
      </w:r>
      <w:bookmarkEnd w:id="399"/>
    </w:p>
    <w:p>
      <w:pPr>
        <w:pStyle w:val="23"/>
        <w:rPr>
          <w:rFonts w:ascii="仿宋_GB2312" w:hAnsi="仿宋_GB2312" w:eastAsia="仿宋_GB2312" w:cs="仿宋_GB2312"/>
          <w:color w:val="auto"/>
          <w:sz w:val="24"/>
          <w:highlight w:val="none"/>
        </w:rPr>
      </w:pPr>
      <w:bookmarkStart w:id="400" w:name="_Ref426362140"/>
      <w:r>
        <w:rPr>
          <w:rFonts w:hint="eastAsia" w:ascii="仿宋_GB2312" w:hAnsi="仿宋_GB2312" w:eastAsia="仿宋_GB2312" w:cs="仿宋_GB2312"/>
          <w:color w:val="auto"/>
          <w:sz w:val="24"/>
          <w:highlight w:val="none"/>
        </w:rPr>
        <w:t>2.3.1商务部分评分标准：见附表</w:t>
      </w:r>
      <w:bookmarkEnd w:id="400"/>
      <w:r>
        <w:rPr>
          <w:rFonts w:hint="eastAsia" w:ascii="仿宋_GB2312" w:hAnsi="仿宋_GB2312" w:eastAsia="仿宋_GB2312" w:cs="仿宋_GB2312"/>
          <w:color w:val="auto"/>
          <w:sz w:val="24"/>
          <w:highlight w:val="none"/>
        </w:rPr>
        <w:t>三</w:t>
      </w:r>
    </w:p>
    <w:p>
      <w:pPr>
        <w:pStyle w:val="23"/>
        <w:rPr>
          <w:rFonts w:ascii="仿宋_GB2312" w:hAnsi="仿宋_GB2312" w:eastAsia="仿宋_GB2312" w:cs="仿宋_GB2312"/>
          <w:color w:val="auto"/>
          <w:sz w:val="24"/>
          <w:highlight w:val="none"/>
        </w:rPr>
      </w:pPr>
      <w:bookmarkStart w:id="401" w:name="_Ref426362158"/>
      <w:r>
        <w:rPr>
          <w:rFonts w:hint="eastAsia" w:ascii="仿宋_GB2312" w:hAnsi="仿宋_GB2312" w:eastAsia="仿宋_GB2312" w:cs="仿宋_GB2312"/>
          <w:color w:val="auto"/>
          <w:sz w:val="24"/>
          <w:highlight w:val="none"/>
        </w:rPr>
        <w:t>2.3.2技术部分评分标准：见附表</w:t>
      </w:r>
      <w:bookmarkEnd w:id="401"/>
      <w:r>
        <w:rPr>
          <w:rFonts w:hint="eastAsia" w:ascii="仿宋_GB2312" w:hAnsi="仿宋_GB2312" w:eastAsia="仿宋_GB2312" w:cs="仿宋_GB2312"/>
          <w:color w:val="auto"/>
          <w:sz w:val="24"/>
          <w:highlight w:val="none"/>
        </w:rPr>
        <w:t>四</w:t>
      </w:r>
    </w:p>
    <w:p>
      <w:pPr>
        <w:pStyle w:val="23"/>
        <w:rPr>
          <w:rFonts w:ascii="仿宋_GB2312" w:hAnsi="仿宋_GB2312" w:eastAsia="仿宋_GB2312" w:cs="仿宋_GB2312"/>
          <w:color w:val="auto"/>
          <w:sz w:val="24"/>
          <w:highlight w:val="none"/>
        </w:rPr>
      </w:pPr>
      <w:bookmarkStart w:id="402" w:name="_Ref426362176"/>
      <w:r>
        <w:rPr>
          <w:rFonts w:hint="eastAsia" w:ascii="仿宋_GB2312" w:hAnsi="仿宋_GB2312" w:eastAsia="仿宋_GB2312" w:cs="仿宋_GB2312"/>
          <w:color w:val="auto"/>
          <w:sz w:val="24"/>
          <w:highlight w:val="none"/>
        </w:rPr>
        <w:t>2.3.3报价评分标准：</w:t>
      </w:r>
      <w:bookmarkEnd w:id="402"/>
      <w:r>
        <w:rPr>
          <w:rFonts w:hint="eastAsia" w:ascii="仿宋_GB2312" w:hAnsi="仿宋_GB2312" w:eastAsia="仿宋_GB2312" w:cs="仿宋_GB2312"/>
          <w:color w:val="auto"/>
          <w:sz w:val="24"/>
          <w:highlight w:val="none"/>
        </w:rPr>
        <w:t>见附表五</w:t>
      </w:r>
    </w:p>
    <w:p>
      <w:pPr>
        <w:pStyle w:val="23"/>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（1）根据《关于进一步加大政府采购支持中小企业力度的通知》（财库〔2022〕19号）</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《政府采购促进中小企业发展管理办法》（财库〔2020〕46号）调整供应商参与评审的价格。对小型和微型企业产品的价格给予</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%的扣除。如允许与小微企业组成联合体或向其分包的，且合同额占总金额30%以上的，给予</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%的扣除。</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注：监狱企业、残疾人福利性单位视同小微企业；残疾人福利性单位属于小型、微型企业的，不重复享受政策。</w:t>
      </w:r>
    </w:p>
    <w:p>
      <w:pPr>
        <w:pStyle w:val="23"/>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（2）评审基准价。有效响应文件中的最后报价并按本款（1）和（2）进行调整的最低报价为评审基准价。</w:t>
      </w:r>
    </w:p>
    <w:p>
      <w:pPr>
        <w:pStyle w:val="23"/>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（3）供应商报价（按本款（1）和（2）进行调整后价格）得分=(评审基准价／最后报价)×</w:t>
      </w:r>
      <w:r>
        <w:rPr>
          <w:rFonts w:hint="eastAsia" w:ascii="仿宋_GB2312" w:hAnsi="仿宋_GB2312" w:eastAsia="仿宋_GB2312" w:cs="仿宋_GB2312"/>
          <w:color w:val="auto"/>
          <w:sz w:val="24"/>
          <w:highlight w:val="none"/>
          <w:lang w:val="en-US" w:eastAsia="zh-CN"/>
        </w:rPr>
        <w:t>价格权值</w:t>
      </w:r>
    </w:p>
    <w:p>
      <w:pPr>
        <w:tabs>
          <w:tab w:val="left" w:pos="588"/>
        </w:tabs>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2.3.4 响应文件出现下列情况之一者，磋商小组在评审过程中按以下原则修正：</w:t>
      </w:r>
    </w:p>
    <w:p>
      <w:pPr>
        <w:pStyle w:val="23"/>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（1）大写金额与小写金额不一致的，以大写金额为准；</w:t>
      </w:r>
    </w:p>
    <w:p>
      <w:pPr>
        <w:pStyle w:val="23"/>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（2）总价金额与按单价汇总金额不一致的，以单价金额计算结果为准；</w:t>
      </w:r>
    </w:p>
    <w:p>
      <w:pPr>
        <w:pStyle w:val="23"/>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（3）单价金额小数点有明显错位的，应以总价为准，并修改单价；</w:t>
      </w:r>
    </w:p>
    <w:p>
      <w:pPr>
        <w:pStyle w:val="23"/>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（4）对不同文字文本响应文件的解释发生异议的，以中文文本为准；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（5）文字与图表不一致的，以文字为准；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（6）正本与副本不一致的，以正本为准；</w:t>
      </w:r>
    </w:p>
    <w:p>
      <w:pPr>
        <w:tabs>
          <w:tab w:val="left" w:pos="588"/>
        </w:tabs>
        <w:spacing w:line="360" w:lineRule="auto"/>
        <w:ind w:firstLine="600" w:firstLineChars="2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（7）响应文件的文字叙述与制造厂商的产品样本/检测报告不符时，以产品样本/检测报告为准。</w:t>
      </w:r>
    </w:p>
    <w:p>
      <w:pPr>
        <w:pStyle w:val="78"/>
        <w:spacing w:before="24" w:after="24"/>
        <w:rPr>
          <w:rFonts w:ascii="仿宋_GB2312" w:hAnsi="仿宋_GB2312" w:eastAsia="仿宋_GB2312" w:cs="仿宋_GB2312"/>
          <w:color w:val="auto"/>
          <w:sz w:val="28"/>
          <w:szCs w:val="28"/>
          <w:highlight w:val="none"/>
        </w:rPr>
      </w:pPr>
      <w:bookmarkStart w:id="403" w:name="_Toc68590978"/>
      <w:bookmarkStart w:id="404" w:name="_Toc7005042"/>
      <w:r>
        <w:rPr>
          <w:rFonts w:hint="eastAsia" w:ascii="仿宋_GB2312" w:hAnsi="仿宋_GB2312" w:eastAsia="仿宋_GB2312" w:cs="仿宋_GB2312"/>
          <w:color w:val="auto"/>
          <w:sz w:val="28"/>
          <w:szCs w:val="28"/>
          <w:highlight w:val="none"/>
        </w:rPr>
        <w:t>3.评审程序</w:t>
      </w:r>
      <w:bookmarkEnd w:id="403"/>
      <w:bookmarkEnd w:id="404"/>
    </w:p>
    <w:p>
      <w:pPr>
        <w:pStyle w:val="23"/>
        <w:rPr>
          <w:rFonts w:ascii="仿宋_GB2312" w:hAnsi="仿宋_GB2312" w:eastAsia="仿宋_GB2312" w:cs="仿宋_GB2312"/>
          <w:b/>
          <w:color w:val="auto"/>
          <w:sz w:val="24"/>
          <w:highlight w:val="none"/>
        </w:rPr>
      </w:pPr>
      <w:bookmarkStart w:id="405" w:name="_Toc7005043"/>
      <w:r>
        <w:rPr>
          <w:rFonts w:hint="eastAsia" w:ascii="仿宋_GB2312" w:hAnsi="仿宋_GB2312" w:eastAsia="仿宋_GB2312" w:cs="仿宋_GB2312"/>
          <w:b/>
          <w:color w:val="auto"/>
          <w:sz w:val="24"/>
          <w:highlight w:val="none"/>
        </w:rPr>
        <w:t>3.1资格审查及符合性审查</w:t>
      </w:r>
      <w:bookmarkEnd w:id="405"/>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 采购人或采购代理机构按附表一所列审查标准对供应商资格进行审查，以确定供应商是否具备磋商资格。</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 磋商小组对符合资格要求的响应文件按附表二进行符合性审查，以确定其是否满足磋商文件的实质性要求（见本章内的符合性审查表）。</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磋商小组不接受供应商主动提出的澄清、说明或补正。</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供应商的书面澄清、说明和补正属于响应文件的组成部分。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磋商小组对供应商提交的澄清、说明或补正有疑问的，可以要求供应商进一步澄清、说明或补正，直至满足评审小组的要求。</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3.1.4 不具备磋商文件要求的资格或未通过符合性审查的供应商，不参与磋商，由磋商小组告知该供应商。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3.1.5 通过资格审查和符合性审查的合格供应商不足3家的，不再进行评审和磋商。</w:t>
      </w:r>
    </w:p>
    <w:p>
      <w:pPr>
        <w:pStyle w:val="23"/>
        <w:rPr>
          <w:rFonts w:ascii="仿宋_GB2312" w:hAnsi="仿宋_GB2312" w:eastAsia="仿宋_GB2312" w:cs="仿宋_GB2312"/>
          <w:b/>
          <w:color w:val="auto"/>
          <w:sz w:val="24"/>
          <w:highlight w:val="none"/>
        </w:rPr>
      </w:pPr>
      <w:bookmarkStart w:id="406" w:name="_Toc7005044"/>
      <w:r>
        <w:rPr>
          <w:rFonts w:hint="eastAsia" w:ascii="仿宋_GB2312" w:hAnsi="仿宋_GB2312" w:eastAsia="仿宋_GB2312" w:cs="仿宋_GB2312"/>
          <w:b/>
          <w:color w:val="auto"/>
          <w:sz w:val="24"/>
          <w:highlight w:val="none"/>
        </w:rPr>
        <w:t>3.2 磋商</w:t>
      </w:r>
      <w:bookmarkEnd w:id="406"/>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3.2.1按“供应商须知”第五条规定，由磋商小组与供应商进行磋商。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 磋商结束后，磋商小组可以要求所有继续参加磋商的供应商在规定时间内提交最后报价函，提交最后报价函的供应商不得少于3家。</w:t>
      </w:r>
    </w:p>
    <w:p>
      <w:pPr>
        <w:pStyle w:val="23"/>
        <w:rPr>
          <w:rFonts w:ascii="仿宋_GB2312" w:hAnsi="仿宋_GB2312" w:eastAsia="仿宋_GB2312" w:cs="仿宋_GB2312"/>
          <w:b/>
          <w:color w:val="auto"/>
          <w:sz w:val="24"/>
          <w:highlight w:val="none"/>
        </w:rPr>
      </w:pPr>
      <w:bookmarkStart w:id="407" w:name="_Toc7005045"/>
      <w:r>
        <w:rPr>
          <w:rFonts w:hint="eastAsia" w:ascii="仿宋_GB2312" w:hAnsi="仿宋_GB2312" w:eastAsia="仿宋_GB2312" w:cs="仿宋_GB2312"/>
          <w:b/>
          <w:color w:val="auto"/>
          <w:sz w:val="24"/>
          <w:highlight w:val="none"/>
        </w:rPr>
        <w:t>3.3评审</w:t>
      </w:r>
      <w:bookmarkEnd w:id="407"/>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3.3.1 比较与评价</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磋商小组按本章第2.3款[商务和技术评审标准]对供应商提交的响应文件（包括最后报价函）进行商务和技术评估，综合比较与评价。</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3.3.2 磋商小组按本章第2.3款规定的量化因素和分值进行打分，并计算出综合评估得分。</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（1）按本章第2.3.1项规定的评审因素和分值对商务部分计算出得分A；</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（2）按本章第2.3.2项规定的评审因素和分值对技术部分计算出得分B；</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（3）按本章第2.3.3项规定的评审因素和分值对报价部分计算出得分C。</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3.3.3评分分值计算保留小数点后两位，小数点后第三位“四舍五入”。</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3.3.4供应商得分=A＋B＋C</w:t>
      </w:r>
    </w:p>
    <w:p>
      <w:pPr>
        <w:pStyle w:val="2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3.4 评审结果</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3.4.1 除第二章“供应商须知”前附表授权直接确定成交供应商外，磋商小组按照得分由高到低的顺序推荐3名成交候选人。</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3.4.2 磋商小组完成评审后，应当向采购人提交书面评审报告。</w:t>
      </w:r>
    </w:p>
    <w:p>
      <w:pPr>
        <w:pStyle w:val="2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spacing w:line="360" w:lineRule="auto"/>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附表一 资格审查表</w:t>
      </w:r>
    </w:p>
    <w:tbl>
      <w:tblPr>
        <w:tblStyle w:val="51"/>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660"/>
        <w:gridCol w:w="4686"/>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序号</w:t>
            </w:r>
          </w:p>
        </w:tc>
        <w:tc>
          <w:tcPr>
            <w:tcW w:w="2660"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评审内容</w:t>
            </w:r>
          </w:p>
        </w:tc>
        <w:tc>
          <w:tcPr>
            <w:tcW w:w="4686"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评审合格标准</w:t>
            </w:r>
          </w:p>
        </w:tc>
        <w:tc>
          <w:tcPr>
            <w:tcW w:w="1180"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1</w:t>
            </w:r>
          </w:p>
        </w:tc>
        <w:tc>
          <w:tcPr>
            <w:tcW w:w="2660"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供应商名称</w:t>
            </w:r>
          </w:p>
        </w:tc>
        <w:tc>
          <w:tcPr>
            <w:tcW w:w="4686" w:type="dxa"/>
            <w:vAlign w:val="center"/>
          </w:tcPr>
          <w:p>
            <w:pPr>
              <w:snapToGrid w:val="0"/>
              <w:rPr>
                <w:rFonts w:ascii="仿宋_GB2312" w:hAnsi="仿宋_GB2312" w:eastAsia="仿宋_GB2312" w:cs="仿宋_GB2312"/>
                <w:b/>
                <w:color w:val="auto"/>
                <w:szCs w:val="21"/>
                <w:highlight w:val="none"/>
              </w:rPr>
            </w:pPr>
            <w:r>
              <w:rPr>
                <w:rFonts w:hint="eastAsia" w:ascii="仿宋_GB2312" w:hAnsi="仿宋_GB2312" w:eastAsia="仿宋_GB2312" w:cs="仿宋_GB2312"/>
                <w:color w:val="auto"/>
                <w:szCs w:val="21"/>
                <w:highlight w:val="none"/>
              </w:rPr>
              <w:t>与磋商登记备案、营业执照一致（符合法定工商变更程序除外）；</w:t>
            </w:r>
          </w:p>
        </w:tc>
        <w:tc>
          <w:tcPr>
            <w:tcW w:w="1180" w:type="dxa"/>
            <w:vAlign w:val="center"/>
          </w:tcPr>
          <w:p>
            <w:pPr>
              <w:snapToGrid w:val="0"/>
              <w:rPr>
                <w:rFonts w:ascii="仿宋_GB2312" w:hAnsi="仿宋_GB2312" w:eastAsia="仿宋_GB2312" w:cs="仿宋_GB2312"/>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2660"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具有独立承担民事责任的能力</w:t>
            </w:r>
          </w:p>
        </w:tc>
        <w:tc>
          <w:tcPr>
            <w:tcW w:w="4686"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提供了有效的法人或者其他组织的营业执照等证明文件，自然人的身份证明</w:t>
            </w:r>
          </w:p>
        </w:tc>
        <w:tc>
          <w:tcPr>
            <w:tcW w:w="1180"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53"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660" w:type="dxa"/>
            <w:shd w:val="clear" w:color="auto" w:fill="auto"/>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具有健全的财务会计制度</w:t>
            </w:r>
          </w:p>
        </w:tc>
        <w:tc>
          <w:tcPr>
            <w:tcW w:w="4686" w:type="dxa"/>
            <w:shd w:val="clear" w:color="auto" w:fill="auto"/>
            <w:vAlign w:val="center"/>
          </w:tcPr>
          <w:p>
            <w:pPr>
              <w:snapToGrid w:val="0"/>
              <w:rPr>
                <w:rFonts w:ascii="仿宋_GB2312" w:hAnsi="仿宋_GB2312" w:eastAsia="仿宋_GB2312" w:cs="仿宋_GB2312"/>
                <w:color w:val="auto"/>
                <w:szCs w:val="21"/>
                <w:highlight w:val="none"/>
              </w:rPr>
            </w:pPr>
            <w:r>
              <w:rPr>
                <w:rFonts w:ascii="Times New Roman" w:hAnsi="Times New Roman" w:eastAsia="仿宋_GB2312"/>
                <w:color w:val="auto"/>
                <w:highlight w:val="none"/>
                <w:lang w:val="en-US" w:eastAsia="zh-CN"/>
              </w:rPr>
              <w:t>供应商提供202</w:t>
            </w:r>
            <w:r>
              <w:rPr>
                <w:rFonts w:hint="eastAsia" w:ascii="Times New Roman" w:hAnsi="Times New Roman" w:eastAsia="仿宋_GB2312"/>
                <w:color w:val="auto"/>
                <w:highlight w:val="none"/>
                <w:lang w:val="en-US" w:eastAsia="zh-CN"/>
              </w:rPr>
              <w:t>1</w:t>
            </w:r>
            <w:r>
              <w:rPr>
                <w:rFonts w:ascii="Times New Roman" w:hAnsi="Times New Roman" w:eastAsia="仿宋_GB2312"/>
                <w:color w:val="auto"/>
                <w:highlight w:val="none"/>
                <w:lang w:val="en-US" w:eastAsia="zh-CN"/>
              </w:rPr>
              <w:t>年度</w:t>
            </w:r>
            <w:r>
              <w:rPr>
                <w:rFonts w:hint="eastAsia" w:eastAsia="仿宋_GB2312"/>
                <w:color w:val="auto"/>
                <w:highlight w:val="none"/>
                <w:lang w:val="en-US" w:eastAsia="zh-CN"/>
              </w:rPr>
              <w:t>或2022年度</w:t>
            </w:r>
            <w:r>
              <w:rPr>
                <w:rFonts w:ascii="Times New Roman" w:hAnsi="Times New Roman" w:eastAsia="仿宋_GB2312"/>
                <w:color w:val="auto"/>
                <w:highlight w:val="none"/>
                <w:lang w:val="en-US" w:eastAsia="zh-CN"/>
              </w:rPr>
              <w:t>的审计报告</w:t>
            </w:r>
            <w:r>
              <w:rPr>
                <w:rFonts w:hint="eastAsia" w:ascii="Times New Roman" w:hAnsi="Times New Roman" w:eastAsia="仿宋_GB2312"/>
                <w:color w:val="auto"/>
                <w:highlight w:val="none"/>
                <w:lang w:val="en-US" w:eastAsia="zh-CN"/>
              </w:rPr>
              <w:t>或单位财务报表</w:t>
            </w:r>
            <w:r>
              <w:rPr>
                <w:rFonts w:ascii="Times New Roman" w:hAnsi="Times New Roman" w:eastAsia="仿宋_GB2312"/>
                <w:color w:val="auto"/>
                <w:highlight w:val="none"/>
                <w:lang w:val="en-US" w:eastAsia="zh-CN"/>
              </w:rPr>
              <w:t>或本年度基本开户银行出具的资信证明；</w:t>
            </w:r>
          </w:p>
        </w:tc>
        <w:tc>
          <w:tcPr>
            <w:tcW w:w="1180"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653" w:type="dxa"/>
            <w:vAlign w:val="center"/>
          </w:tcPr>
          <w:p>
            <w:pPr>
              <w:snapToGrid w:val="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4</w:t>
            </w:r>
          </w:p>
        </w:tc>
        <w:tc>
          <w:tcPr>
            <w:tcW w:w="2660"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有依法缴纳税收和社会保障资金的良好记录</w:t>
            </w:r>
          </w:p>
        </w:tc>
        <w:tc>
          <w:tcPr>
            <w:tcW w:w="4686" w:type="dxa"/>
            <w:vAlign w:val="center"/>
          </w:tcPr>
          <w:p>
            <w:pPr>
              <w:snapToGrid w:val="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1.提供近2022年1月1日以来已缴纳的任意一个月的纳税证明或完税证明或免税证明（复印件加盖公章）。</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2.提供供应商提供自2022年1月1日以来已缴纳的任意一个月社会保险参保缴费情况证明或免缴纳证明（复印件加盖公章）</w:t>
            </w:r>
          </w:p>
        </w:tc>
        <w:tc>
          <w:tcPr>
            <w:tcW w:w="1180"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53" w:type="dxa"/>
            <w:vAlign w:val="center"/>
          </w:tcPr>
          <w:p>
            <w:pPr>
              <w:snapToGrid w:val="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5</w:t>
            </w:r>
          </w:p>
        </w:tc>
        <w:tc>
          <w:tcPr>
            <w:tcW w:w="2660"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参加政府采购活动前三年内，在经营活动中没有重大违法记录</w:t>
            </w:r>
          </w:p>
        </w:tc>
        <w:tc>
          <w:tcPr>
            <w:tcW w:w="4686"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提供了有效的参加政府采购活动前3年内在经营活动中没有重大违法记录的书面声明</w:t>
            </w:r>
          </w:p>
        </w:tc>
        <w:tc>
          <w:tcPr>
            <w:tcW w:w="1180" w:type="dxa"/>
            <w:vAlign w:val="center"/>
          </w:tcPr>
          <w:p>
            <w:pPr>
              <w:snapToGrid w:val="0"/>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653" w:type="dxa"/>
            <w:vAlign w:val="center"/>
          </w:tcPr>
          <w:p>
            <w:pPr>
              <w:snapToGrid w:val="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6</w:t>
            </w:r>
          </w:p>
        </w:tc>
        <w:tc>
          <w:tcPr>
            <w:tcW w:w="2660"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“信用中国”网站和中国政府采购网（www.ccgp.gov.cn）查询记录</w:t>
            </w:r>
          </w:p>
        </w:tc>
        <w:tc>
          <w:tcPr>
            <w:tcW w:w="4686"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未被“信用中国”网站（</w:t>
            </w:r>
            <w:r>
              <w:rPr>
                <w:color w:val="auto"/>
                <w:highlight w:val="none"/>
              </w:rPr>
              <w:fldChar w:fldCharType="begin"/>
            </w:r>
            <w:r>
              <w:rPr>
                <w:color w:val="auto"/>
                <w:highlight w:val="none"/>
              </w:rPr>
              <w:instrText xml:space="preserve"> HYPERLINK "http://www.creditchina.gov.cn）中列入失信被执行人和/" </w:instrText>
            </w:r>
            <w:r>
              <w:rPr>
                <w:color w:val="auto"/>
                <w:highlight w:val="none"/>
              </w:rPr>
              <w:fldChar w:fldCharType="separate"/>
            </w:r>
            <w:r>
              <w:rPr>
                <w:rFonts w:hint="eastAsia" w:ascii="仿宋_GB2312" w:hAnsi="仿宋_GB2312" w:eastAsia="仿宋_GB2312" w:cs="仿宋_GB2312"/>
                <w:color w:val="auto"/>
                <w:szCs w:val="21"/>
                <w:highlight w:val="none"/>
              </w:rPr>
              <w:t>www.creditchina.gov.cn）中列入失信被执行人和/</w:t>
            </w:r>
            <w:r>
              <w:rPr>
                <w:rFonts w:hint="eastAsia" w:ascii="仿宋_GB2312" w:hAnsi="仿宋_GB2312" w:eastAsia="仿宋_GB2312" w:cs="仿宋_GB2312"/>
                <w:color w:val="auto"/>
                <w:szCs w:val="21"/>
                <w:highlight w:val="none"/>
              </w:rPr>
              <w:fldChar w:fldCharType="end"/>
            </w:r>
            <w:r>
              <w:rPr>
                <w:rFonts w:hint="eastAsia" w:ascii="仿宋_GB2312" w:hAnsi="仿宋_GB2312" w:eastAsia="仿宋_GB2312" w:cs="仿宋_GB2312"/>
                <w:color w:val="auto"/>
                <w:szCs w:val="21"/>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180"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653" w:type="dxa"/>
            <w:vAlign w:val="center"/>
          </w:tcPr>
          <w:p>
            <w:pPr>
              <w:snapToGrid w:val="0"/>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7</w:t>
            </w:r>
          </w:p>
        </w:tc>
        <w:tc>
          <w:tcPr>
            <w:tcW w:w="2660" w:type="dxa"/>
            <w:vAlign w:val="center"/>
          </w:tcPr>
          <w:p>
            <w:pPr>
              <w:snapToGrid w:val="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供应商须具备资质</w:t>
            </w:r>
            <w:r>
              <w:rPr>
                <w:rFonts w:hint="eastAsia" w:ascii="仿宋_GB2312" w:hAnsi="仿宋_GB2312" w:eastAsia="仿宋_GB2312" w:cs="仿宋_GB2312"/>
                <w:color w:val="auto"/>
                <w:szCs w:val="21"/>
                <w:highlight w:val="none"/>
                <w:lang w:val="en-US" w:eastAsia="zh-CN"/>
              </w:rPr>
              <w:t>乙级以上资质</w:t>
            </w:r>
          </w:p>
        </w:tc>
        <w:tc>
          <w:tcPr>
            <w:tcW w:w="4686" w:type="dxa"/>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供应商须具备建设行政主管部门颁发的工程设计综合资质乙级或建筑行业（建筑工程）专业乙级及以上资质；拟派项目负责人须具有注册建筑师执业资格</w:t>
            </w:r>
          </w:p>
        </w:tc>
        <w:tc>
          <w:tcPr>
            <w:tcW w:w="1180" w:type="dxa"/>
            <w:vAlign w:val="center"/>
          </w:tcPr>
          <w:p>
            <w:pPr>
              <w:snapToGrid w:val="0"/>
              <w:ind w:left="425"/>
              <w:rPr>
                <w:rFonts w:ascii="仿宋_GB2312" w:hAnsi="仿宋_GB2312" w:eastAsia="仿宋_GB2312" w:cs="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3" w:type="dxa"/>
            <w:vAlign w:val="center"/>
          </w:tcPr>
          <w:p>
            <w:pPr>
              <w:snapToGrid w:val="0"/>
              <w:rPr>
                <w:rFonts w:ascii="仿宋_GB2312" w:hAnsi="仿宋_GB2312" w:eastAsia="仿宋_GB2312" w:cs="仿宋_GB2312"/>
                <w:color w:val="auto"/>
                <w:szCs w:val="21"/>
                <w:highlight w:val="none"/>
              </w:rPr>
            </w:pPr>
          </w:p>
        </w:tc>
        <w:tc>
          <w:tcPr>
            <w:tcW w:w="2660" w:type="dxa"/>
            <w:vAlign w:val="center"/>
          </w:tcPr>
          <w:p>
            <w:pPr>
              <w:snapToGrid w:val="0"/>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结论</w:t>
            </w:r>
          </w:p>
        </w:tc>
        <w:tc>
          <w:tcPr>
            <w:tcW w:w="4686" w:type="dxa"/>
            <w:vAlign w:val="center"/>
          </w:tcPr>
          <w:p>
            <w:pPr>
              <w:snapToGrid w:val="0"/>
              <w:rPr>
                <w:rFonts w:ascii="仿宋_GB2312" w:hAnsi="仿宋_GB2312" w:eastAsia="仿宋_GB2312" w:cs="仿宋_GB2312"/>
                <w:color w:val="auto"/>
                <w:szCs w:val="21"/>
                <w:highlight w:val="none"/>
              </w:rPr>
            </w:pPr>
          </w:p>
        </w:tc>
        <w:tc>
          <w:tcPr>
            <w:tcW w:w="1180" w:type="dxa"/>
            <w:vAlign w:val="center"/>
          </w:tcPr>
          <w:p>
            <w:pPr>
              <w:snapToGrid w:val="0"/>
              <w:ind w:left="425"/>
              <w:rPr>
                <w:rFonts w:ascii="仿宋_GB2312" w:hAnsi="仿宋_GB2312" w:eastAsia="仿宋_GB2312" w:cs="仿宋_GB2312"/>
                <w:color w:val="auto"/>
                <w:szCs w:val="21"/>
                <w:highlight w:val="none"/>
              </w:rPr>
            </w:pPr>
          </w:p>
        </w:tc>
      </w:tr>
    </w:tbl>
    <w:p>
      <w:pPr>
        <w:spacing w:line="0" w:lineRule="atLeast"/>
        <w:ind w:left="425"/>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注：符合要求用“</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”表示，不符合用“×”表示。有一项不符合要求，结论为不合格。</w:t>
      </w:r>
    </w:p>
    <w:p>
      <w:pPr>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b/>
          <w:color w:val="auto"/>
          <w:sz w:val="30"/>
          <w:szCs w:val="30"/>
          <w:highlight w:val="none"/>
        </w:rPr>
        <w:t>附表二 符合性审查表</w:t>
      </w:r>
    </w:p>
    <w:tbl>
      <w:tblPr>
        <w:tblStyle w:val="51"/>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序号</w:t>
            </w:r>
          </w:p>
        </w:tc>
        <w:tc>
          <w:tcPr>
            <w:tcW w:w="172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评审项目</w:t>
            </w:r>
          </w:p>
        </w:tc>
        <w:tc>
          <w:tcPr>
            <w:tcW w:w="5401"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评审标准</w:t>
            </w:r>
          </w:p>
        </w:tc>
        <w:tc>
          <w:tcPr>
            <w:tcW w:w="1313" w:type="dxa"/>
            <w:vAlign w:val="center"/>
          </w:tcPr>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评审结论</w:t>
            </w:r>
          </w:p>
          <w:p>
            <w:pPr>
              <w:tabs>
                <w:tab w:val="left" w:pos="1260"/>
                <w:tab w:val="left" w:pos="1620"/>
              </w:tabs>
              <w:adjustRightInd w:val="0"/>
              <w:snapToGrid w:val="0"/>
              <w:jc w:val="center"/>
              <w:textAlignment w:val="baseline"/>
              <w:rPr>
                <w:rFonts w:ascii="仿宋_GB2312" w:hAnsi="仿宋_GB2312" w:eastAsia="仿宋_GB2312" w:cs="仿宋_GB2312"/>
                <w:b/>
                <w:caps/>
                <w:color w:val="auto"/>
                <w:szCs w:val="21"/>
                <w:highlight w:val="none"/>
              </w:rPr>
            </w:pP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aps/>
                <w:color w:val="auto"/>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响应文件签署盖章</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按磋商文件格式要求加盖了供应商公章和有法定代表人或其授权代表签字或加盖人名章。</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报价</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供应商报价是固定价且未超过预算金额（磋商文件有最高限价的，报价未超过最高限价）；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附加条件</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响应文件不含有采购人不能接受的附加条件；</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公平竞争</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遵循公平竞争的原则，没有弄虚作假、恶意串通或妨碍其他供应商的竞争行为，损害采购人或者其他供应商的合法权益；</w:t>
            </w:r>
          </w:p>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弄虚作假、相互串通的情形见附注</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pPr>
              <w:numPr>
                <w:ilvl w:val="0"/>
                <w:numId w:val="12"/>
              </w:numPr>
              <w:tabs>
                <w:tab w:val="left" w:pos="1260"/>
                <w:tab w:val="left" w:pos="1620"/>
              </w:tabs>
              <w:adjustRightInd w:val="0"/>
              <w:snapToGrid w:val="0"/>
              <w:jc w:val="center"/>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其他无效情形</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rPr>
              <w:t>无法律、法规和磋商文件规定的其他无效情形；</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响应文件有效期</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有效期满足磋商文件要求的；</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响应文件格式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响应文件按规定的格式填写，内容完整且关键字迹清晰；</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备选方案</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strike/>
                <w:color w:val="auto"/>
                <w:szCs w:val="21"/>
                <w:highlight w:val="none"/>
              </w:rPr>
            </w:pPr>
            <w:r>
              <w:rPr>
                <w:rFonts w:hint="eastAsia" w:ascii="仿宋_GB2312" w:hAnsi="仿宋_GB2312" w:eastAsia="仿宋_GB2312" w:cs="仿宋_GB2312"/>
                <w:color w:val="auto"/>
                <w:szCs w:val="21"/>
                <w:highlight w:val="none"/>
              </w:rPr>
              <w:t>供应商不得提交两份或者多份内容不同的响应文件，或者在同一份响应文件中对同一磋商项目有两个或者多个报价；</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响应文件内容</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供应商提供的货物</w:t>
            </w:r>
            <w:r>
              <w:rPr>
                <w:rFonts w:hint="eastAsia" w:ascii="仿宋_GB2312" w:hAnsi="仿宋_GB2312" w:eastAsia="仿宋_GB2312" w:cs="仿宋_GB2312"/>
                <w:color w:val="auto"/>
                <w:szCs w:val="21"/>
                <w:highlight w:val="none"/>
                <w:lang w:val="en-US" w:eastAsia="zh-CN"/>
              </w:rPr>
              <w:t>或服务</w:t>
            </w:r>
            <w:r>
              <w:rPr>
                <w:rFonts w:hint="eastAsia" w:ascii="仿宋_GB2312" w:hAnsi="仿宋_GB2312" w:eastAsia="仿宋_GB2312" w:cs="仿宋_GB2312"/>
                <w:color w:val="auto"/>
                <w:szCs w:val="21"/>
                <w:highlight w:val="none"/>
              </w:rPr>
              <w:t>无实质性遗漏</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技术响应</w:t>
            </w:r>
          </w:p>
        </w:tc>
        <w:tc>
          <w:tcPr>
            <w:tcW w:w="5401" w:type="dxa"/>
            <w:shd w:val="clear" w:color="auto" w:fill="auto"/>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符合“采购需求”要求，无重大偏差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服务期和服务地点</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满足磋商文件要求；</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pPr>
              <w:numPr>
                <w:ilvl w:val="0"/>
                <w:numId w:val="13"/>
              </w:num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723"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付款方式</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iCs/>
                <w:color w:val="auto"/>
                <w:szCs w:val="21"/>
                <w:highlight w:val="none"/>
              </w:rPr>
            </w:pPr>
            <w:r>
              <w:rPr>
                <w:rFonts w:hint="eastAsia" w:ascii="仿宋_GB2312" w:hAnsi="仿宋_GB2312" w:eastAsia="仿宋_GB2312" w:cs="仿宋_GB2312"/>
                <w:iCs/>
                <w:color w:val="auto"/>
                <w:szCs w:val="21"/>
                <w:highlight w:val="none"/>
              </w:rPr>
              <w:t>磋商文件不允许偏差时，响应文件无负偏差；</w:t>
            </w: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结论（通过或未通过）</w:t>
            </w:r>
          </w:p>
        </w:tc>
        <w:tc>
          <w:tcPr>
            <w:tcW w:w="5401"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c>
          <w:tcPr>
            <w:tcW w:w="1313" w:type="dxa"/>
            <w:vAlign w:val="center"/>
          </w:tcPr>
          <w:p>
            <w:pPr>
              <w:tabs>
                <w:tab w:val="left" w:pos="1260"/>
                <w:tab w:val="left" w:pos="1620"/>
              </w:tabs>
              <w:adjustRightInd w:val="0"/>
              <w:snapToGrid w:val="0"/>
              <w:textAlignment w:val="baseline"/>
              <w:rPr>
                <w:rFonts w:ascii="仿宋_GB2312" w:hAnsi="仿宋_GB2312" w:eastAsia="仿宋_GB2312" w:cs="仿宋_GB2312"/>
                <w:color w:val="auto"/>
                <w:szCs w:val="21"/>
                <w:highlight w:val="none"/>
              </w:rPr>
            </w:pPr>
          </w:p>
        </w:tc>
      </w:tr>
    </w:tbl>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注：1、符合磋商文件要求用“</w:t>
      </w:r>
      <w:r>
        <w:rPr>
          <w:rFonts w:hint="eastAsia" w:ascii="仿宋_GB2312" w:hAnsi="仿宋_GB2312" w:eastAsia="仿宋_GB2312" w:cs="仿宋_GB2312"/>
          <w:b/>
          <w:color w:val="auto"/>
          <w:szCs w:val="21"/>
          <w:highlight w:val="none"/>
          <w:lang w:val="en-US" w:eastAsia="zh-CN"/>
        </w:rPr>
        <w:t>√</w:t>
      </w:r>
      <w:r>
        <w:rPr>
          <w:rFonts w:hint="eastAsia" w:ascii="仿宋_GB2312" w:hAnsi="仿宋_GB2312" w:eastAsia="仿宋_GB2312" w:cs="仿宋_GB2312"/>
          <w:b/>
          <w:color w:val="auto"/>
          <w:szCs w:val="21"/>
          <w:highlight w:val="none"/>
        </w:rPr>
        <w:t>”表示，不符合用“×”表示。有一项不符合要求，结论为不合格。</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2、有下列情形之一的，视为供应商相互串通：</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（1）不同供应商的响应文件由同一单位或者个人编制；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（2）不同供应商委托同一单位或者个人办理参与磋商事宜；</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（4）不同供应商的响应文件异常一致或者报价呈规律性差异；</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（5）不同供应商的响应文件相互混装；</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（6）不同供应商的磋商保证金从同一单位或者个人的账户转出。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3、有下列情形之一的，属于提供虚假材料谋取成交的行为：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（1）使用伪造、变造的许可证件；</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（2）提供虚假的财务状况或者业绩；</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（3）提供虚假的项目负责人或者主要技术人员简历、劳动关系证明；</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（4）提供虚假的信用状况；</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（5）其他弄虚作假的行为。</w:t>
      </w: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p>
    <w:p>
      <w:pPr>
        <w:tabs>
          <w:tab w:val="left" w:pos="1260"/>
          <w:tab w:val="left" w:pos="1620"/>
        </w:tabs>
        <w:adjustRightInd w:val="0"/>
        <w:spacing w:line="360" w:lineRule="auto"/>
        <w:jc w:val="left"/>
        <w:textAlignment w:val="baseline"/>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br w:type="page"/>
      </w:r>
    </w:p>
    <w:p>
      <w:pPr>
        <w:jc w:val="center"/>
        <w:rPr>
          <w:rFonts w:ascii="仿宋_GB2312" w:hAnsi="仿宋_GB2312" w:eastAsia="仿宋_GB2312" w:cs="仿宋_GB2312"/>
          <w:b/>
          <w:color w:val="auto"/>
          <w:sz w:val="30"/>
          <w:szCs w:val="30"/>
          <w:highlight w:val="none"/>
        </w:rPr>
      </w:pPr>
      <w:bookmarkStart w:id="408" w:name="_Toc7005048"/>
      <w:bookmarkStart w:id="409" w:name="_Toc414446034"/>
      <w:bookmarkStart w:id="410" w:name="_Toc410631198"/>
      <w:r>
        <w:rPr>
          <w:rFonts w:hint="eastAsia" w:ascii="仿宋_GB2312" w:hAnsi="仿宋_GB2312" w:eastAsia="仿宋_GB2312" w:cs="仿宋_GB2312"/>
          <w:b/>
          <w:color w:val="auto"/>
          <w:sz w:val="30"/>
          <w:szCs w:val="30"/>
          <w:highlight w:val="none"/>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（满分100分）</w:t>
      </w:r>
    </w:p>
    <w:p>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Cs w:val="21"/>
          <w:highlight w:val="none"/>
        </w:rPr>
      </w:pPr>
    </w:p>
    <w:tbl>
      <w:tblPr>
        <w:tblStyle w:val="51"/>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07"/>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评标</w:t>
            </w:r>
          </w:p>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因素</w:t>
            </w:r>
          </w:p>
        </w:tc>
        <w:tc>
          <w:tcPr>
            <w:tcW w:w="907" w:type="dxa"/>
            <w:tcBorders>
              <w:top w:val="single" w:color="auto" w:sz="4" w:space="0"/>
              <w:left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权值%</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价格</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满足磋商文件要求且最后报价最低的供应商的价格为磋商基准价，其价格分为满分。其他供应商的价格分统一按照下列公式计算：磋商报价得分=（磋商基准价/最后磋商报价）×价格权值</w:t>
            </w:r>
            <w:r>
              <w:rPr>
                <w:rFonts w:hint="eastAsia" w:ascii="仿宋" w:hAnsi="仿宋" w:eastAsia="仿宋" w:cs="仿宋"/>
                <w:color w:val="auto"/>
                <w:sz w:val="24"/>
                <w:highlight w:val="none"/>
              </w:rPr>
              <w:t>；</w:t>
            </w:r>
          </w:p>
          <w:p>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符合磋商文件规定的小微企业、监狱企业、残疾人福利性单位优惠条件的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，价格给予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合同</w:t>
            </w:r>
            <w:r>
              <w:rPr>
                <w:rFonts w:hint="eastAsia" w:ascii="仿宋" w:hAnsi="仿宋" w:eastAsia="仿宋" w:cs="仿宋"/>
                <w:color w:val="auto"/>
                <w:sz w:val="24"/>
                <w:highlight w:val="none"/>
                <w:lang w:val="en-US" w:eastAsia="zh-CN"/>
              </w:rPr>
              <w:t>响应</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3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经过资格审查合格的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kern w:val="2"/>
                <w:sz w:val="24"/>
                <w:szCs w:val="24"/>
                <w:highlight w:val="none"/>
                <w:lang w:val="en-US" w:eastAsia="zh-CN" w:bidi="ar-SA"/>
              </w:rPr>
              <w:t>，磋商响应文件中对项目建设内容、建设方式、时间要求、付款、售后服务、安全生产、保密、技术成果与归属、验收要求等方面进行响应说明，根据其响应程度逐项计分，按其响应程度计0～10分</w:t>
            </w: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技术方</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案</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1、投标人针对本项目的理解及现状分析，根据其响应程度计0～10分。</w:t>
            </w:r>
          </w:p>
          <w:p>
            <w:pPr>
              <w:pStyle w:val="15"/>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2、响应文件中方案内容涵盖本项目全部内容（总体实施方案全面、详细完整、操作性强、细节考虑到位，根据其响应程度计0～10分。</w:t>
            </w:r>
          </w:p>
          <w:p>
            <w:pPr>
              <w:pStyle w:val="15"/>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3、供应商技术方案内容中技术要求满足采购人需求，根据其响应程度计0～10分；</w:t>
            </w:r>
          </w:p>
          <w:p>
            <w:pPr>
              <w:pStyle w:val="15"/>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4、对本项目的前期资料收集、分析合理完整。根据其响应程度计0～6分；</w:t>
            </w:r>
          </w:p>
          <w:p>
            <w:pPr>
              <w:pStyle w:val="15"/>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5、根据本项目特点为本项目提供合理化建议，根据措施及建议合理可行程度，根据其响应程度计0～8分；</w:t>
            </w:r>
          </w:p>
          <w:p>
            <w:pPr>
              <w:pStyle w:val="15"/>
              <w:numPr>
                <w:ilvl w:val="0"/>
                <w:numId w:val="0"/>
              </w:num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6、提供本项目工作进度安排方案，确保合理有效完成各时间节点对应的工作内容，根据其响应程度计0～6分</w:t>
            </w:r>
            <w:r>
              <w:rPr>
                <w:rFonts w:hint="eastAsia" w:ascii="仿宋" w:hAnsi="仿宋" w:eastAsia="仿宋" w:cs="仿宋"/>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人员配备</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1、项目负责人要求副高级及以上职称，具有丰富相关专业经验。根据其专业程度、执业年限、工作经历、业绩等，提供相关证明材料，根据其响应程度计0～5分；</w:t>
            </w:r>
          </w:p>
          <w:p>
            <w:pPr>
              <w:pStyle w:val="15"/>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2、组织机构及技术管理人员：组织机构设置合理，能够统筹整体项目进展、质量控制和应急事件管理，保障监督项目建设过程规范执行。根据其响应程度计0～2分；</w:t>
            </w:r>
          </w:p>
          <w:p>
            <w:pPr>
              <w:pStyle w:val="15"/>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3、技术队伍配备合理，项目组最少5人，1人及以上高工，2人及以上工程师，专业以相关专业为主，根据其响应程度计0～3分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业绩</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zh-CN" w:eastAsia="zh-CN" w:bidi="ar-SA"/>
              </w:rPr>
              <w:t>供应商</w:t>
            </w:r>
            <w:r>
              <w:rPr>
                <w:rFonts w:hint="eastAsia" w:ascii="仿宋" w:hAnsi="仿宋" w:eastAsia="仿宋" w:cs="仿宋"/>
                <w:color w:val="auto"/>
                <w:kern w:val="0"/>
                <w:sz w:val="24"/>
                <w:szCs w:val="24"/>
                <w:highlight w:val="none"/>
                <w:lang w:val="en-US" w:eastAsia="zh-CN" w:bidi="ar-SA"/>
              </w:rPr>
              <w:t>近五年（2018年1月至今）</w:t>
            </w:r>
            <w:r>
              <w:rPr>
                <w:rFonts w:hint="eastAsia" w:ascii="仿宋" w:hAnsi="仿宋" w:eastAsia="仿宋" w:cs="仿宋"/>
                <w:color w:val="auto"/>
                <w:kern w:val="0"/>
                <w:sz w:val="24"/>
                <w:szCs w:val="24"/>
                <w:highlight w:val="none"/>
                <w:lang w:val="zh-CN" w:eastAsia="zh-CN" w:bidi="ar-SA"/>
              </w:rPr>
              <w:t>具有类似项目业绩，磋商响应文件中附有说明其业绩证明材料，每个业绩计</w:t>
            </w: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zh-CN" w:eastAsia="zh-CN" w:bidi="ar-SA"/>
              </w:rPr>
              <w:t>分，最高</w:t>
            </w: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zh-CN" w:eastAsia="zh-CN" w:bidi="ar-SA"/>
              </w:rPr>
              <w:t>分（</w:t>
            </w:r>
            <w:r>
              <w:rPr>
                <w:rFonts w:hint="eastAsia" w:ascii="仿宋" w:hAnsi="仿宋" w:eastAsia="仿宋" w:cs="仿宋"/>
                <w:color w:val="auto"/>
                <w:kern w:val="0"/>
                <w:sz w:val="24"/>
                <w:szCs w:val="24"/>
                <w:highlight w:val="none"/>
                <w:lang w:val="en-US" w:eastAsia="zh-CN" w:bidi="ar-SA"/>
              </w:rPr>
              <w:t>响应文件中附</w:t>
            </w:r>
            <w:r>
              <w:rPr>
                <w:rFonts w:hint="eastAsia" w:ascii="仿宋" w:hAnsi="仿宋" w:eastAsia="仿宋" w:cs="仿宋"/>
                <w:color w:val="auto"/>
                <w:kern w:val="0"/>
                <w:sz w:val="24"/>
                <w:szCs w:val="24"/>
                <w:highlight w:val="none"/>
                <w:lang w:val="zh-CN" w:eastAsia="zh-CN" w:bidi="ar-SA"/>
              </w:rPr>
              <w:t>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保障措施</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7196"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1、针对本项目的质量保障措施，根据其响应程度计0-4分；</w:t>
            </w:r>
          </w:p>
          <w:p>
            <w:pPr>
              <w:pStyle w:val="15"/>
              <w:numPr>
                <w:ilvl w:val="0"/>
                <w:numId w:val="0"/>
              </w:numPr>
              <w:spacing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2、针对本项目的安全生产保障措施，根据其响应程度计0-3分；</w:t>
            </w:r>
          </w:p>
          <w:p>
            <w:pPr>
              <w:adjustRightInd w:val="0"/>
              <w:snapToGrid w:val="0"/>
              <w:spacing w:line="360" w:lineRule="auto"/>
              <w:ind w:right="-40" w:rightChars="-19"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对本项目的后期服务保证措施，依据服务工作内容保证措施的可行性、科学性、</w:t>
            </w:r>
            <w:r>
              <w:rPr>
                <w:rFonts w:hint="eastAsia" w:ascii="仿宋" w:hAnsi="仿宋" w:eastAsia="仿宋" w:cs="仿宋"/>
                <w:color w:val="auto"/>
                <w:kern w:val="2"/>
                <w:sz w:val="24"/>
                <w:szCs w:val="24"/>
                <w:highlight w:val="none"/>
                <w:lang w:val="en-US" w:eastAsia="zh-CN" w:bidi="ar-SA"/>
              </w:rPr>
              <w:t>保密性根据其响应程度计0-3分；</w:t>
            </w:r>
          </w:p>
          <w:p>
            <w:pPr>
              <w:pStyle w:val="15"/>
              <w:numPr>
                <w:ilvl w:val="0"/>
                <w:numId w:val="0"/>
              </w:numPr>
              <w:spacing w:line="360" w:lineRule="auto"/>
              <w:ind w:firstLine="480" w:firstLineChars="200"/>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4、根据项目建设内容，提供对采购人人员培训方案，根据响应程度计0～5分</w:t>
            </w:r>
            <w:r>
              <w:rPr>
                <w:rFonts w:hint="eastAsia" w:ascii="仿宋" w:hAnsi="仿宋" w:eastAsia="仿宋" w:cs="仿宋"/>
                <w:color w:val="auto"/>
                <w:highlight w:val="none"/>
                <w:lang w:val="en-US" w:eastAsia="zh-CN"/>
              </w:rPr>
              <w:t>。</w:t>
            </w:r>
          </w:p>
        </w:tc>
      </w:tr>
    </w:tbl>
    <w:p>
      <w:pPr>
        <w:jc w:val="center"/>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color w:val="auto"/>
          <w:szCs w:val="21"/>
          <w:highlight w:val="none"/>
        </w:rPr>
        <w:br w:type="page"/>
      </w:r>
    </w:p>
    <w:bookmarkEnd w:id="19"/>
    <w:bookmarkEnd w:id="393"/>
    <w:bookmarkEnd w:id="394"/>
    <w:p>
      <w:pPr>
        <w:pStyle w:val="47"/>
        <w:spacing w:line="360" w:lineRule="auto"/>
        <w:rPr>
          <w:rStyle w:val="204"/>
          <w:rFonts w:ascii="宋体" w:hAnsi="宋体" w:eastAsia="宋体"/>
          <w:color w:val="auto"/>
          <w:sz w:val="36"/>
          <w:szCs w:val="36"/>
          <w:highlight w:val="none"/>
        </w:rPr>
      </w:pPr>
      <w:bookmarkStart w:id="411" w:name="_Toc68590979"/>
      <w:bookmarkStart w:id="412" w:name="_Toc58504448"/>
      <w:bookmarkStart w:id="413" w:name="_Toc68590980"/>
      <w:bookmarkStart w:id="414" w:name="_Toc70687202"/>
      <w:bookmarkStart w:id="415" w:name="_Toc256342152"/>
      <w:bookmarkStart w:id="416" w:name="_Toc232176282"/>
      <w:bookmarkStart w:id="417" w:name="_Toc184043058"/>
      <w:bookmarkStart w:id="418" w:name="_Toc230583552"/>
      <w:bookmarkStart w:id="419" w:name="_Toc503063458"/>
      <w:bookmarkStart w:id="420" w:name="_Toc177995483"/>
      <w:bookmarkStart w:id="421" w:name="_Toc232395222"/>
      <w:bookmarkStart w:id="422" w:name="_Toc230099803"/>
      <w:bookmarkStart w:id="423" w:name="_Toc249515482"/>
      <w:bookmarkStart w:id="424" w:name="_Toc415499897"/>
      <w:bookmarkStart w:id="425" w:name="_Toc249515369"/>
      <w:bookmarkStart w:id="426" w:name="_Toc53722865"/>
      <w:bookmarkStart w:id="427" w:name="_Toc499711087"/>
      <w:bookmarkStart w:id="428" w:name="_Toc249525250"/>
      <w:bookmarkStart w:id="429" w:name="_Toc230013638"/>
      <w:bookmarkStart w:id="430" w:name="_Toc500747106"/>
      <w:bookmarkStart w:id="431" w:name="_Toc500747010"/>
      <w:bookmarkStart w:id="432" w:name="_Toc499711928"/>
      <w:bookmarkStart w:id="433" w:name="_Toc177817344"/>
      <w:bookmarkStart w:id="434" w:name="_Toc496324623"/>
      <w:bookmarkStart w:id="435" w:name="_Toc492955459"/>
      <w:bookmarkStart w:id="436" w:name="_Toc500747233"/>
      <w:bookmarkStart w:id="437" w:name="_Toc176882552"/>
      <w:bookmarkStart w:id="438" w:name="_Toc177189245"/>
      <w:bookmarkStart w:id="439" w:name="_Toc28450"/>
      <w:r>
        <w:rPr>
          <w:rStyle w:val="204"/>
          <w:rFonts w:hint="eastAsia" w:ascii="宋体" w:hAnsi="宋体" w:eastAsia="宋体"/>
          <w:color w:val="auto"/>
          <w:sz w:val="36"/>
          <w:szCs w:val="36"/>
          <w:highlight w:val="none"/>
        </w:rPr>
        <w:t>第四章  合同草案条款</w:t>
      </w:r>
      <w:bookmarkEnd w:id="411"/>
    </w:p>
    <w:p>
      <w:pPr>
        <w:tabs>
          <w:tab w:val="left" w:pos="487"/>
        </w:tabs>
        <w:spacing w:line="360" w:lineRule="auto"/>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仅供参考，以实际签订为准）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采购人（全称）：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供应商（全称）：                           </w:t>
      </w:r>
    </w:p>
    <w:p>
      <w:pPr>
        <w:pStyle w:val="15"/>
        <w:numPr>
          <w:ilvl w:val="0"/>
          <w:numId w:val="0"/>
        </w:numPr>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根据《中华人民共和国民法典法》及其他有关法律、法规，遵循平等、自愿、公平和诚信的原则，双方就下述项目范围与相关服务事项协商一致，订立本合同。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75" w:firstLineChars="198"/>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（一） 项目名称：                                        </w:t>
      </w:r>
    </w:p>
    <w:p>
      <w:pPr>
        <w:keepNext w:val="0"/>
        <w:keepLines w:val="0"/>
        <w:pageBreakBefore w:val="0"/>
        <w:widowControl w:val="0"/>
        <w:kinsoku/>
        <w:wordWrap/>
        <w:overflowPunct/>
        <w:topLinePunct w:val="0"/>
        <w:autoSpaceDE/>
        <w:autoSpaceDN/>
        <w:bidi w:val="0"/>
        <w:adjustRightInd/>
        <w:snapToGrid/>
        <w:spacing w:line="360" w:lineRule="auto"/>
        <w:ind w:firstLine="475" w:firstLineChars="198"/>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（二）服务地点：               甲方指定地点              </w:t>
      </w:r>
    </w:p>
    <w:p>
      <w:pPr>
        <w:keepNext w:val="0"/>
        <w:keepLines w:val="0"/>
        <w:pageBreakBefore w:val="0"/>
        <w:widowControl w:val="0"/>
        <w:kinsoku/>
        <w:wordWrap/>
        <w:overflowPunct/>
        <w:topLinePunct w:val="0"/>
        <w:autoSpaceDE/>
        <w:autoSpaceDN/>
        <w:bidi w:val="0"/>
        <w:adjustRightInd/>
        <w:snapToGrid/>
        <w:spacing w:line="360" w:lineRule="auto"/>
        <w:ind w:firstLine="475" w:firstLineChars="198"/>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（三）项目规模：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（四）项目内容：                                         </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70" w:firstLineChars="196"/>
        <w:textAlignment w:val="auto"/>
        <w:outlineLvl w:val="9"/>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（四）服务周期：60天</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70" w:firstLineChars="196"/>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二、合同价款</w:t>
      </w:r>
    </w:p>
    <w:p>
      <w:pPr>
        <w:tabs>
          <w:tab w:val="left" w:pos="480"/>
        </w:tabs>
        <w:spacing w:line="360" w:lineRule="auto"/>
        <w:ind w:firstLine="480" w:firstLineChars="20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（一）合同总价一次性包死，不受市场价格变化因素的影响。</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70" w:firstLineChars="196"/>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三、款项结算</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（一）付款：设计完成后，根据财政能力支付。</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（二）履约保证金：无。</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四、质量保证及承诺服务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（一）货物科学、可行，人员配置合理，全面满足招标要求。</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（二）符合国家有关设备要求。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（三）供应商提供的方案，若发生侵权而产生的一切后果，由供应商负责。采购人保留索赔权力。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五、技术与服务</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（一）技术资料</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1、提供设备具体措施。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2、其它资料。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（二）服务承诺：以磋商文件、澄清表（函）、合同和随设备的相关文件为准。</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70" w:firstLineChars="196"/>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六、验收</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（一）采购人与招标组织机构根据合同要求，组织供应商（必要时可请有关专家）进行验收，验收合格后，填写政府采购项目验收单（一式四份）作为对货物的最终认可。</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（二）验收依据</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1、磋商文件、磋商响应文件、澄清表（函）；</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2、本合同及附件文本；</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3、国家相应的标准、规范。</w:t>
      </w:r>
    </w:p>
    <w:p>
      <w:pPr>
        <w:keepNext w:val="0"/>
        <w:keepLines w:val="0"/>
        <w:pageBreakBefore w:val="0"/>
        <w:widowControl w:val="0"/>
        <w:tabs>
          <w:tab w:val="left" w:pos="48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七、违约责任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（一）按《合同法》中的相关条款执行。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（二）未按合同要求提供设备或设备质量不能满足合同技术要求，采购人会同招标组织机构有权终止合同和对供应商的违约行为进行追究，同时按《政府采购法》有关处罚条款报监管机构进行相应的处罚。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color w:val="auto"/>
          <w:sz w:val="28"/>
          <w:szCs w:val="28"/>
        </w:rPr>
      </w:pPr>
      <w:r>
        <w:rPr>
          <w:rFonts w:hint="eastAsia" w:ascii="仿宋" w:hAnsi="仿宋" w:eastAsia="仿宋" w:cs="仿宋"/>
          <w:color w:val="auto"/>
          <w:kern w:val="0"/>
          <w:sz w:val="24"/>
          <w:szCs w:val="24"/>
          <w:highlight w:val="none"/>
          <w:lang w:val="en-US" w:eastAsia="zh-CN" w:bidi="ar-SA"/>
        </w:rPr>
        <w:t>八、合同一式4份，采购人、成交供应商、招标组织机构各执1份，财政局备案1份。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九、其他（在合同中具体明确）</w:t>
      </w:r>
    </w:p>
    <w:tbl>
      <w:tblPr>
        <w:tblStyle w:val="51"/>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甲  方</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采购人全称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（盖章）</w:t>
            </w:r>
          </w:p>
        </w:tc>
        <w:tc>
          <w:tcPr>
            <w:tcW w:w="483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成交供应商全称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地址： </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邮编：</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法定代表人： </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授权代表：（签字）</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电话：</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传真：</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24"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日期：   年  月  日</w:t>
            </w:r>
          </w:p>
        </w:tc>
        <w:tc>
          <w:tcPr>
            <w:tcW w:w="4836"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日期：   年  月  日</w:t>
            </w:r>
          </w:p>
        </w:tc>
      </w:tr>
    </w:tbl>
    <w:p>
      <w:pPr>
        <w:pStyle w:val="47"/>
        <w:spacing w:line="360" w:lineRule="auto"/>
        <w:rPr>
          <w:rStyle w:val="204"/>
          <w:rFonts w:hint="eastAsia" w:ascii="宋体" w:hAnsi="宋体" w:eastAsia="宋体"/>
          <w:color w:val="auto"/>
          <w:sz w:val="36"/>
          <w:szCs w:val="36"/>
          <w:highlight w:val="none"/>
        </w:rPr>
      </w:pPr>
    </w:p>
    <w:p>
      <w:pPr>
        <w:pStyle w:val="47"/>
        <w:spacing w:line="360" w:lineRule="auto"/>
        <w:rPr>
          <w:rStyle w:val="204"/>
          <w:rFonts w:hint="eastAsia" w:ascii="宋体" w:hAnsi="宋体" w:eastAsia="宋体"/>
          <w:color w:val="auto"/>
          <w:sz w:val="36"/>
          <w:szCs w:val="36"/>
          <w:highlight w:val="none"/>
        </w:rPr>
      </w:pPr>
    </w:p>
    <w:p>
      <w:pPr>
        <w:pStyle w:val="47"/>
        <w:spacing w:line="360" w:lineRule="auto"/>
        <w:rPr>
          <w:rStyle w:val="204"/>
          <w:rFonts w:ascii="宋体" w:hAnsi="宋体" w:eastAsia="宋体"/>
          <w:color w:val="auto"/>
          <w:sz w:val="36"/>
          <w:szCs w:val="36"/>
          <w:highlight w:val="none"/>
        </w:rPr>
      </w:pPr>
      <w:r>
        <w:rPr>
          <w:rStyle w:val="204"/>
          <w:rFonts w:hint="eastAsia" w:ascii="宋体" w:hAnsi="宋体" w:eastAsia="宋体"/>
          <w:color w:val="auto"/>
          <w:sz w:val="36"/>
          <w:szCs w:val="36"/>
          <w:highlight w:val="none"/>
        </w:rPr>
        <w:t>第五章  采购内容及要求</w:t>
      </w:r>
      <w:bookmarkEnd w:id="412"/>
      <w:bookmarkEnd w:id="413"/>
    </w:p>
    <w:p>
      <w:pPr>
        <w:adjustRightInd w:val="0"/>
        <w:snapToGrid w:val="0"/>
        <w:spacing w:line="360" w:lineRule="auto"/>
        <w:ind w:firstLine="482" w:firstLineChars="200"/>
        <w:rPr>
          <w:rFonts w:hint="eastAsia" w:ascii="宋体" w:hAnsi="宋体" w:eastAsia="宋体" w:cs="宋体"/>
          <w:b/>
          <w:bCs/>
          <w:color w:val="000000"/>
          <w:sz w:val="24"/>
          <w:lang w:val="en-US" w:eastAsia="zh-CN"/>
        </w:rPr>
      </w:pPr>
      <w:bookmarkStart w:id="440" w:name="_Toc31008"/>
      <w:bookmarkStart w:id="441" w:name="_Toc415499899"/>
      <w:bookmarkStart w:id="442" w:name="_Toc68590981"/>
      <w:bookmarkStart w:id="443" w:name="_Toc389620241"/>
      <w:bookmarkStart w:id="444" w:name="_Toc385992401"/>
      <w:bookmarkStart w:id="445" w:name="_Toc58504449"/>
      <w:r>
        <w:rPr>
          <w:rFonts w:hint="eastAsia" w:ascii="宋体" w:hAnsi="宋体" w:eastAsia="宋体" w:cs="宋体"/>
          <w:b/>
          <w:bCs/>
          <w:color w:val="000000"/>
          <w:sz w:val="24"/>
          <w:lang w:val="en-US" w:eastAsia="zh-CN"/>
        </w:rPr>
        <w:t>一、项目概况：</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Times New Roman" w:hAnsi="Times New Roman" w:eastAsia="Times New Roman" w:cs="Times New Roman"/>
          <w:kern w:val="2"/>
          <w:sz w:val="28"/>
          <w:szCs w:val="36"/>
          <w:lang w:val="en-US" w:eastAsia="zh-CN" w:bidi="ar-SA"/>
        </w:rPr>
      </w:pPr>
      <w:r>
        <w:rPr>
          <w:rFonts w:hint="eastAsia" w:ascii="Times New Roman" w:hAnsi="Times New Roman" w:eastAsia="Times New Roman" w:cs="Times New Roman"/>
          <w:kern w:val="2"/>
          <w:sz w:val="28"/>
          <w:szCs w:val="36"/>
          <w:lang w:val="en-US" w:eastAsia="zh-CN" w:bidi="ar-SA"/>
        </w:rPr>
        <w:t>延川县失能半失能照护服务中心建设项目规划用地总面积6904.11㎡，位于延川县北肖家沟村，距延川县城区约8公里，西临</w:t>
      </w:r>
      <w:r>
        <w:rPr>
          <w:rFonts w:hint="default" w:ascii="Times New Roman" w:hAnsi="Times New Roman" w:eastAsia="Times New Roman" w:cs="Times New Roman"/>
          <w:kern w:val="2"/>
          <w:sz w:val="28"/>
          <w:szCs w:val="36"/>
          <w:lang w:val="en-US" w:eastAsia="zh-CN" w:bidi="ar-SA"/>
        </w:rPr>
        <w:t>G242</w:t>
      </w:r>
      <w:r>
        <w:rPr>
          <w:rFonts w:hint="eastAsia" w:ascii="Times New Roman" w:hAnsi="Times New Roman" w:eastAsia="Times New Roman" w:cs="Times New Roman"/>
          <w:kern w:val="2"/>
          <w:sz w:val="28"/>
          <w:szCs w:val="36"/>
          <w:lang w:val="en-US" w:eastAsia="zh-CN" w:bidi="ar-SA"/>
        </w:rPr>
        <w:t>国道，项目地成不规则梯形，南侧为原贺家湾中学，东南角为现状养老院。</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default" w:ascii="Times New Roman" w:hAnsi="Times New Roman" w:eastAsia="Times New Roman" w:cs="Times New Roman"/>
          <w:kern w:val="2"/>
          <w:sz w:val="28"/>
          <w:szCs w:val="36"/>
          <w:lang w:val="en-US" w:eastAsia="zh-CN" w:bidi="ar-SA"/>
        </w:rPr>
      </w:pPr>
      <w:r>
        <w:rPr>
          <w:rFonts w:hint="eastAsia" w:ascii="Times New Roman" w:hAnsi="Times New Roman" w:eastAsia="Times New Roman" w:cs="Times New Roman"/>
          <w:kern w:val="2"/>
          <w:sz w:val="28"/>
          <w:szCs w:val="36"/>
          <w:lang w:val="en-US" w:eastAsia="zh-CN" w:bidi="ar-SA"/>
        </w:rPr>
        <w:t>本次工程内容主要包括：照护中心，配套餐厅、门房等建筑；</w:t>
      </w:r>
    </w:p>
    <w:p>
      <w:pPr>
        <w:adjustRightInd w:val="0"/>
        <w:snapToGrid w:val="0"/>
        <w:spacing w:line="360" w:lineRule="auto"/>
        <w:ind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二、设计依据</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Times New Roman" w:hAnsi="Times New Roman" w:eastAsia="Times New Roman" w:cs="Times New Roman"/>
          <w:kern w:val="2"/>
          <w:sz w:val="28"/>
          <w:szCs w:val="36"/>
          <w:lang w:val="en-US" w:eastAsia="zh-CN" w:bidi="ar-SA"/>
        </w:rPr>
      </w:pPr>
      <w:r>
        <w:rPr>
          <w:rFonts w:hint="eastAsia" w:ascii="Times New Roman" w:hAnsi="Times New Roman" w:eastAsia="Times New Roman" w:cs="Times New Roman"/>
          <w:kern w:val="2"/>
          <w:sz w:val="28"/>
          <w:szCs w:val="36"/>
          <w:lang w:val="en-US" w:eastAsia="zh-CN" w:bidi="ar-SA"/>
        </w:rPr>
        <w:t>1.国家及地方相关法律法规和设计规范；</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Times New Roman" w:hAnsi="Times New Roman" w:eastAsia="Times New Roman" w:cs="Times New Roman"/>
          <w:kern w:val="2"/>
          <w:sz w:val="28"/>
          <w:szCs w:val="36"/>
          <w:lang w:val="en-US" w:eastAsia="zh-CN" w:bidi="ar-SA"/>
        </w:rPr>
      </w:pPr>
      <w:r>
        <w:rPr>
          <w:rFonts w:hint="eastAsia" w:ascii="Times New Roman" w:hAnsi="Times New Roman" w:eastAsia="Times New Roman" w:cs="Times New Roman"/>
          <w:kern w:val="2"/>
          <w:sz w:val="28"/>
          <w:szCs w:val="36"/>
          <w:lang w:val="en-US" w:eastAsia="zh-CN" w:bidi="ar-SA"/>
        </w:rPr>
        <w:t>2.甲方提供的设计任务书；、</w:t>
      </w:r>
    </w:p>
    <w:p>
      <w:pPr>
        <w:adjustRightInd w:val="0"/>
        <w:snapToGrid w:val="0"/>
        <w:spacing w:line="360" w:lineRule="auto"/>
        <w:ind w:firstLine="482" w:firstLineChars="200"/>
        <w:rPr>
          <w:rFonts w:ascii="宋体" w:hAnsi="宋体" w:eastAsia="宋体" w:cs="宋体"/>
          <w:color w:val="000000"/>
        </w:rPr>
      </w:pPr>
      <w:r>
        <w:rPr>
          <w:rFonts w:ascii="宋体" w:hAnsi="宋体" w:eastAsia="宋体" w:cs="宋体"/>
          <w:b/>
          <w:bCs/>
          <w:color w:val="000000"/>
          <w:sz w:val="24"/>
        </w:rPr>
        <w:t>三、</w:t>
      </w:r>
      <w:r>
        <w:rPr>
          <w:rFonts w:hint="eastAsia" w:ascii="宋体" w:hAnsi="宋体" w:eastAsia="宋体" w:cs="宋体"/>
          <w:b/>
          <w:bCs/>
          <w:color w:val="000000"/>
          <w:sz w:val="24"/>
          <w:lang w:eastAsia="zh-CN"/>
        </w:rPr>
        <w:t>设计</w:t>
      </w:r>
      <w:r>
        <w:rPr>
          <w:rFonts w:ascii="宋体" w:hAnsi="宋体" w:eastAsia="宋体" w:cs="宋体"/>
          <w:b/>
          <w:bCs/>
          <w:color w:val="000000"/>
          <w:sz w:val="24"/>
        </w:rPr>
        <w:t>范围与要求</w:t>
      </w:r>
    </w:p>
    <w:p>
      <w:pPr>
        <w:pStyle w:val="45"/>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rFonts w:hint="eastAsia" w:ascii="Times New Roman" w:hAnsi="Times New Roman" w:eastAsia="Times New Roman" w:cs="Times New Roman"/>
          <w:kern w:val="2"/>
          <w:sz w:val="28"/>
          <w:szCs w:val="36"/>
          <w:lang w:val="en-US" w:eastAsia="zh-CN" w:bidi="ar-SA"/>
        </w:rPr>
      </w:pPr>
      <w:r>
        <w:rPr>
          <w:rFonts w:hint="eastAsia" w:ascii="Times New Roman" w:hAnsi="Times New Roman" w:eastAsia="Times New Roman" w:cs="Times New Roman"/>
          <w:kern w:val="2"/>
          <w:sz w:val="28"/>
          <w:szCs w:val="36"/>
          <w:lang w:val="en-US" w:eastAsia="zh-CN" w:bidi="ar-SA"/>
        </w:rPr>
        <w:t>该项目拟用地6904.11㎡，约为10.3亩。新建建筑3个，总建筑面积为4246.13平米，其中照护中心3904.9平米，餐厅319.00平米，门房22.23平米；</w:t>
      </w:r>
    </w:p>
    <w:p>
      <w:pPr>
        <w:adjustRightInd w:val="0"/>
        <w:snapToGrid w:val="0"/>
        <w:spacing w:line="360" w:lineRule="auto"/>
        <w:ind w:firstLine="482" w:firstLineChars="200"/>
        <w:rPr>
          <w:rFonts w:ascii="宋体" w:hAnsi="宋体" w:eastAsia="宋体" w:cs="宋体"/>
          <w:b/>
          <w:bCs/>
          <w:color w:val="000000"/>
          <w:sz w:val="24"/>
        </w:rPr>
      </w:pPr>
      <w:r>
        <w:rPr>
          <w:rFonts w:ascii="宋体" w:hAnsi="宋体" w:eastAsia="宋体" w:cs="宋体"/>
          <w:b/>
          <w:bCs/>
          <w:color w:val="000000"/>
          <w:sz w:val="24"/>
        </w:rPr>
        <w:t>四、成果要求</w:t>
      </w:r>
    </w:p>
    <w:p>
      <w:pPr>
        <w:adjustRightInd w:val="0"/>
        <w:snapToGri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lang w:eastAsia="zh-CN"/>
        </w:rPr>
        <w:t>设计</w:t>
      </w:r>
      <w:r>
        <w:rPr>
          <w:rFonts w:ascii="宋体" w:hAnsi="宋体" w:eastAsia="宋体" w:cs="宋体"/>
          <w:color w:val="000000"/>
          <w:sz w:val="24"/>
        </w:rPr>
        <w:t>文件</w:t>
      </w:r>
      <w:r>
        <w:rPr>
          <w:rFonts w:hint="eastAsia" w:ascii="宋体" w:hAnsi="宋体" w:eastAsia="宋体" w:cs="宋体"/>
          <w:color w:val="000000"/>
          <w:sz w:val="24"/>
          <w:lang w:val="en-US" w:eastAsia="zh-CN"/>
        </w:rPr>
        <w:t>6</w:t>
      </w:r>
      <w:r>
        <w:rPr>
          <w:rFonts w:ascii="宋体" w:hAnsi="宋体" w:eastAsia="宋体" w:cs="宋体"/>
          <w:color w:val="000000"/>
          <w:sz w:val="24"/>
        </w:rPr>
        <w:t>套及PDF格式电子版文件。</w:t>
      </w:r>
    </w:p>
    <w:p>
      <w:pPr>
        <w:adjustRightInd w:val="0"/>
        <w:snapToGrid w:val="0"/>
        <w:spacing w:line="360" w:lineRule="auto"/>
        <w:ind w:firstLine="482" w:firstLineChars="200"/>
        <w:rPr>
          <w:rFonts w:ascii="宋体" w:hAnsi="宋体" w:eastAsia="宋体" w:cs="宋体"/>
          <w:b/>
          <w:bCs/>
          <w:color w:val="000000"/>
          <w:sz w:val="24"/>
        </w:rPr>
      </w:pPr>
      <w:r>
        <w:rPr>
          <w:rFonts w:ascii="宋体" w:hAnsi="宋体" w:eastAsia="宋体" w:cs="宋体"/>
          <w:b/>
          <w:bCs/>
          <w:color w:val="000000"/>
          <w:sz w:val="24"/>
        </w:rPr>
        <w:t>五、踏勘现场</w:t>
      </w:r>
    </w:p>
    <w:p>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响应供应商根据需要，对工程现场及周围环境进行踏勘，以便响应供应商获取须自己负责的有关编制响应文件和签署合同所需的所有资料。踏勘现场所发生的费用由响应供应商自己承担。</w:t>
      </w:r>
    </w:p>
    <w:p>
      <w:pPr>
        <w:adjustRightInd w:val="0"/>
        <w:snapToGrid w:val="0"/>
        <w:spacing w:line="360" w:lineRule="auto"/>
        <w:ind w:firstLine="482" w:firstLineChars="200"/>
        <w:rPr>
          <w:rFonts w:ascii="宋体" w:hAnsi="宋体" w:eastAsia="宋体" w:cs="宋体"/>
          <w:color w:val="000000"/>
          <w:sz w:val="24"/>
        </w:rPr>
      </w:pPr>
      <w:r>
        <w:rPr>
          <w:rFonts w:ascii="宋体" w:hAnsi="宋体" w:eastAsia="宋体" w:cs="宋体"/>
          <w:b/>
          <w:bCs/>
          <w:color w:val="000000"/>
          <w:sz w:val="24"/>
        </w:rPr>
        <w:t>六、售后服务承诺</w:t>
      </w:r>
    </w:p>
    <w:p>
      <w:pPr>
        <w:adjustRightInd w:val="0"/>
        <w:snapToGrid w:val="0"/>
        <w:spacing w:line="360" w:lineRule="auto"/>
        <w:ind w:firstLine="480" w:firstLineChars="200"/>
        <w:rPr>
          <w:rFonts w:ascii="宋体" w:hAnsi="宋体" w:eastAsia="宋体" w:cs="宋体"/>
          <w:color w:val="000000"/>
          <w:sz w:val="24"/>
        </w:rPr>
      </w:pPr>
      <w:r>
        <w:rPr>
          <w:rFonts w:ascii="宋体" w:hAnsi="宋体" w:eastAsia="宋体" w:cs="宋体"/>
          <w:color w:val="000000"/>
          <w:sz w:val="24"/>
        </w:rPr>
        <w:t>1.为确保服务质量及与采购人沟通联络，成交供应商须设置专职主管，负责对本项目的服务范围、服务质量的检查监督及与采购人日常业务联系。</w:t>
      </w:r>
    </w:p>
    <w:p>
      <w:pPr>
        <w:adjustRightInd w:val="0"/>
        <w:snapToGrid w:val="0"/>
        <w:spacing w:line="360" w:lineRule="auto"/>
        <w:ind w:firstLine="480" w:firstLineChars="200"/>
        <w:rPr>
          <w:rFonts w:ascii="宋体" w:hAnsi="宋体" w:eastAsia="宋体" w:cs="宋体"/>
          <w:sz w:val="24"/>
        </w:rPr>
      </w:pPr>
      <w:r>
        <w:rPr>
          <w:rFonts w:ascii="宋体" w:hAnsi="宋体" w:eastAsia="宋体" w:cs="宋体"/>
          <w:sz w:val="24"/>
        </w:rPr>
        <w:t>2.成交供应商须主动接受采购人的指导、检查、监督及协调。</w:t>
      </w:r>
    </w:p>
    <w:p>
      <w:pPr>
        <w:adjustRightInd w:val="0"/>
        <w:snapToGrid w:val="0"/>
        <w:spacing w:line="360" w:lineRule="auto"/>
        <w:ind w:firstLine="482" w:firstLineChars="200"/>
        <w:rPr>
          <w:rFonts w:ascii="宋体" w:hAnsi="宋体" w:eastAsia="宋体" w:cs="宋体"/>
          <w:b/>
          <w:bCs/>
          <w:color w:val="000000"/>
          <w:sz w:val="24"/>
        </w:rPr>
      </w:pPr>
      <w:r>
        <w:rPr>
          <w:rFonts w:ascii="宋体" w:hAnsi="宋体" w:eastAsia="宋体" w:cs="宋体"/>
          <w:b/>
          <w:bCs/>
          <w:color w:val="000000"/>
          <w:sz w:val="24"/>
        </w:rPr>
        <w:t>七、工期要求</w:t>
      </w:r>
    </w:p>
    <w:p>
      <w:pPr>
        <w:adjustRightInd w:val="0"/>
        <w:snapToGrid w:val="0"/>
        <w:spacing w:line="360" w:lineRule="auto"/>
        <w:ind w:firstLine="560" w:firstLineChars="200"/>
        <w:rPr>
          <w:rStyle w:val="204"/>
          <w:rFonts w:hint="eastAsia" w:ascii="宋体" w:hAnsi="宋体" w:eastAsia="宋体"/>
          <w:color w:val="auto"/>
          <w:sz w:val="36"/>
          <w:szCs w:val="36"/>
          <w:highlight w:val="none"/>
        </w:rPr>
      </w:pPr>
      <w:r>
        <w:rPr>
          <w:rFonts w:hint="eastAsia" w:ascii="Times New Roman" w:hAnsi="Times New Roman" w:eastAsia="Times New Roman" w:cs="Times New Roman"/>
          <w:sz w:val="28"/>
          <w:szCs w:val="36"/>
          <w:lang w:val="en-US" w:eastAsia="zh-CN"/>
        </w:rPr>
        <w:t>本设计在合同签订和采购人提供资料齐全后20天内提供全套成果资料。</w:t>
      </w:r>
    </w:p>
    <w:p>
      <w:pPr>
        <w:rPr>
          <w:rStyle w:val="204"/>
          <w:rFonts w:hint="eastAsia" w:ascii="宋体" w:hAnsi="宋体" w:eastAsia="宋体"/>
          <w:color w:val="auto"/>
          <w:sz w:val="36"/>
          <w:szCs w:val="36"/>
          <w:highlight w:val="none"/>
        </w:rPr>
      </w:pPr>
      <w:r>
        <w:rPr>
          <w:rStyle w:val="204"/>
          <w:rFonts w:hint="eastAsia" w:ascii="宋体" w:hAnsi="宋体" w:eastAsia="宋体"/>
          <w:color w:val="auto"/>
          <w:sz w:val="36"/>
          <w:szCs w:val="36"/>
          <w:highlight w:val="none"/>
        </w:rPr>
        <w:br w:type="page"/>
      </w:r>
    </w:p>
    <w:p>
      <w:pPr>
        <w:pStyle w:val="47"/>
        <w:spacing w:line="360" w:lineRule="auto"/>
        <w:rPr>
          <w:rStyle w:val="204"/>
          <w:rFonts w:hint="eastAsia" w:ascii="宋体" w:hAnsi="宋体" w:eastAsia="宋体"/>
          <w:color w:val="auto"/>
          <w:sz w:val="36"/>
          <w:szCs w:val="36"/>
          <w:highlight w:val="none"/>
        </w:rPr>
      </w:pPr>
      <w:r>
        <w:rPr>
          <w:rStyle w:val="204"/>
          <w:rFonts w:hint="eastAsia" w:ascii="宋体" w:hAnsi="宋体" w:eastAsia="宋体"/>
          <w:color w:val="auto"/>
          <w:sz w:val="36"/>
          <w:szCs w:val="36"/>
          <w:highlight w:val="none"/>
        </w:rPr>
        <w:t>第六章  磋商响应文件格式</w:t>
      </w:r>
      <w:bookmarkEnd w:id="440"/>
      <w:bookmarkEnd w:id="441"/>
      <w:bookmarkEnd w:id="442"/>
      <w:bookmarkEnd w:id="443"/>
      <w:bookmarkEnd w:id="444"/>
      <w:bookmarkEnd w:id="445"/>
    </w:p>
    <w:p>
      <w:pPr>
        <w:spacing w:after="120"/>
        <w:rPr>
          <w:rFonts w:ascii="仿宋_GB2312" w:hAnsi="仿宋_GB2312" w:eastAsia="仿宋_GB2312" w:cs="仿宋_GB2312"/>
          <w:color w:val="auto"/>
          <w:sz w:val="18"/>
          <w:highlight w:val="none"/>
        </w:rPr>
      </w:pPr>
    </w:p>
    <w:p>
      <w:pPr>
        <w:pStyle w:val="196"/>
        <w:ind w:firstLine="7590" w:firstLineChars="3150"/>
        <w:rPr>
          <w:b/>
          <w:color w:val="auto"/>
          <w:szCs w:val="30"/>
          <w:highlight w:val="none"/>
          <w:lang w:val="zh-CN"/>
        </w:rPr>
      </w:pPr>
      <w:r>
        <w:rPr>
          <w:rFonts w:hint="eastAsia"/>
          <w:b/>
          <w:color w:val="auto"/>
          <w:szCs w:val="30"/>
          <w:highlight w:val="none"/>
          <w:lang w:val="zh-CN"/>
        </w:rPr>
        <w:t>正本/副本</w:t>
      </w:r>
    </w:p>
    <w:p>
      <w:pPr>
        <w:autoSpaceDE w:val="0"/>
        <w:autoSpaceDN w:val="0"/>
        <w:adjustRightInd w:val="0"/>
        <w:snapToGrid w:val="0"/>
        <w:spacing w:line="360" w:lineRule="auto"/>
        <w:jc w:val="left"/>
        <w:rPr>
          <w:rFonts w:ascii="仿宋_GB2312" w:hAnsi="仿宋_GB2312" w:eastAsia="仿宋_GB2312" w:cs="仿宋_GB2312"/>
          <w:b/>
          <w:bCs/>
          <w:color w:val="auto"/>
          <w:sz w:val="24"/>
          <w:szCs w:val="32"/>
          <w:highlight w:val="none"/>
          <w:lang w:val="zh-CN"/>
        </w:rPr>
      </w:pPr>
      <w:r>
        <w:rPr>
          <w:rFonts w:hint="eastAsia" w:ascii="仿宋_GB2312" w:hAnsi="仿宋_GB2312" w:eastAsia="仿宋_GB2312" w:cs="仿宋_GB2312"/>
          <w:b/>
          <w:bCs/>
          <w:color w:val="auto"/>
          <w:sz w:val="24"/>
          <w:szCs w:val="32"/>
          <w:highlight w:val="none"/>
          <w:lang w:val="zh-CN"/>
        </w:rPr>
        <w:t>政府采购项目</w:t>
      </w:r>
    </w:p>
    <w:p>
      <w:pPr>
        <w:autoSpaceDE w:val="0"/>
        <w:autoSpaceDN w:val="0"/>
        <w:adjustRightInd w:val="0"/>
        <w:snapToGrid w:val="0"/>
        <w:spacing w:line="360" w:lineRule="auto"/>
        <w:jc w:val="left"/>
        <w:rPr>
          <w:rFonts w:hint="default" w:ascii="仿宋_GB2312" w:hAnsi="仿宋_GB2312" w:eastAsia="仿宋_GB2312" w:cs="仿宋_GB2312"/>
          <w:b/>
          <w:bCs/>
          <w:color w:val="auto"/>
          <w:sz w:val="24"/>
          <w:szCs w:val="32"/>
          <w:highlight w:val="none"/>
          <w:lang w:val="en-US" w:eastAsia="zh-CN"/>
        </w:rPr>
      </w:pPr>
      <w:r>
        <w:rPr>
          <w:rFonts w:hint="eastAsia" w:ascii="仿宋_GB2312" w:hAnsi="仿宋_GB2312" w:eastAsia="仿宋_GB2312" w:cs="仿宋_GB2312"/>
          <w:b/>
          <w:bCs/>
          <w:color w:val="auto"/>
          <w:sz w:val="24"/>
          <w:szCs w:val="32"/>
          <w:highlight w:val="none"/>
          <w:lang w:val="zh-CN"/>
        </w:rPr>
        <w:t>采购项目编号：ZCSP-延川县-202</w:t>
      </w:r>
      <w:r>
        <w:rPr>
          <w:rFonts w:hint="eastAsia" w:ascii="仿宋_GB2312" w:hAnsi="仿宋_GB2312" w:eastAsia="仿宋_GB2312" w:cs="仿宋_GB2312"/>
          <w:b/>
          <w:bCs/>
          <w:color w:val="auto"/>
          <w:sz w:val="24"/>
          <w:szCs w:val="32"/>
          <w:highlight w:val="none"/>
          <w:lang w:val="en-US" w:eastAsia="zh-CN"/>
        </w:rPr>
        <w:t>3</w:t>
      </w:r>
      <w:r>
        <w:rPr>
          <w:rFonts w:hint="eastAsia" w:ascii="仿宋_GB2312" w:hAnsi="仿宋_GB2312" w:eastAsia="仿宋_GB2312" w:cs="仿宋_GB2312"/>
          <w:b/>
          <w:bCs/>
          <w:color w:val="auto"/>
          <w:sz w:val="24"/>
          <w:szCs w:val="32"/>
          <w:highlight w:val="none"/>
          <w:lang w:val="zh-CN"/>
        </w:rPr>
        <w:t>-00</w:t>
      </w:r>
      <w:r>
        <w:rPr>
          <w:rFonts w:hint="eastAsia" w:ascii="仿宋_GB2312" w:hAnsi="仿宋_GB2312" w:eastAsia="仿宋_GB2312" w:cs="仿宋_GB2312"/>
          <w:b/>
          <w:bCs/>
          <w:color w:val="auto"/>
          <w:sz w:val="24"/>
          <w:szCs w:val="32"/>
          <w:highlight w:val="none"/>
          <w:lang w:val="en-US" w:eastAsia="zh-CN"/>
        </w:rPr>
        <w:t>022</w:t>
      </w: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pPr>
        <w:tabs>
          <w:tab w:val="left" w:pos="5670"/>
        </w:tabs>
        <w:autoSpaceDE w:val="0"/>
        <w:autoSpaceDN w:val="0"/>
        <w:adjustRightInd w:val="0"/>
        <w:snapToGrid w:val="0"/>
        <w:spacing w:line="360" w:lineRule="auto"/>
        <w:jc w:val="center"/>
        <w:rPr>
          <w:rFonts w:hint="eastAsia" w:ascii="仿宋_GB2312" w:hAnsi="仿宋_GB2312" w:eastAsia="仿宋_GB2312" w:cs="仿宋_GB2312"/>
          <w:color w:val="auto"/>
          <w:sz w:val="19"/>
          <w:szCs w:val="19"/>
          <w:highlight w:val="none"/>
        </w:rPr>
      </w:pPr>
    </w:p>
    <w:p>
      <w:pPr>
        <w:pStyle w:val="23"/>
        <w:rPr>
          <w:rFonts w:hint="eastAsia" w:eastAsiaTheme="minorEastAsia"/>
          <w:color w:val="auto"/>
          <w:highlight w:val="none"/>
        </w:rPr>
      </w:pPr>
    </w:p>
    <w:p>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lang w:val="en-US" w:eastAsia="zh-CN"/>
        </w:rPr>
        <w:t>延川县民政局关于失能半失能照护服务中心建设项目施工图设计项目</w:t>
      </w: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pPr>
        <w:autoSpaceDE w:val="0"/>
        <w:autoSpaceDN w:val="0"/>
        <w:adjustRightInd w:val="0"/>
        <w:snapToGrid w:val="0"/>
        <w:spacing w:line="360" w:lineRule="auto"/>
        <w:jc w:val="center"/>
        <w:rPr>
          <w:rFonts w:ascii="黑体" w:hAnsi="黑体" w:eastAsia="黑体" w:cs="仿宋_GB2312"/>
          <w:b/>
          <w:bCs/>
          <w:color w:val="auto"/>
          <w:sz w:val="32"/>
          <w:szCs w:val="32"/>
          <w:highlight w:val="none"/>
          <w:lang w:val="zh-CN"/>
        </w:rPr>
      </w:pPr>
      <w:r>
        <w:rPr>
          <w:rFonts w:hint="eastAsia" w:ascii="黑体" w:hAnsi="黑体" w:eastAsia="黑体" w:cs="仿宋_GB2312"/>
          <w:b/>
          <w:bCs/>
          <w:color w:val="auto"/>
          <w:sz w:val="32"/>
          <w:szCs w:val="32"/>
          <w:highlight w:val="none"/>
          <w:lang w:val="zh-CN"/>
        </w:rPr>
        <w:t>（</w:t>
      </w:r>
      <w:r>
        <w:rPr>
          <w:rStyle w:val="95"/>
          <w:rFonts w:hint="eastAsia"/>
          <w:color w:val="auto"/>
          <w:highlight w:val="none"/>
        </w:rPr>
        <w:t>商务及技术文件</w:t>
      </w:r>
      <w:r>
        <w:rPr>
          <w:rFonts w:hint="eastAsia" w:ascii="黑体" w:hAnsi="黑体" w:eastAsia="黑体" w:cs="仿宋_GB2312"/>
          <w:b/>
          <w:bCs/>
          <w:color w:val="auto"/>
          <w:sz w:val="32"/>
          <w:szCs w:val="32"/>
          <w:highlight w:val="none"/>
          <w:lang w:val="zh-CN"/>
        </w:rPr>
        <w:t>）</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供应商：</w:t>
      </w:r>
    </w:p>
    <w:p>
      <w:pPr>
        <w:autoSpaceDE w:val="0"/>
        <w:autoSpaceDN w:val="0"/>
        <w:adjustRightInd w:val="0"/>
        <w:snapToGrid w:val="0"/>
        <w:spacing w:line="360" w:lineRule="auto"/>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ind w:firstLine="1285" w:firstLineChars="400"/>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val="zh-CN"/>
        </w:rPr>
        <w:t>时  间：</w:t>
      </w:r>
    </w:p>
    <w:p>
      <w:pPr>
        <w:pStyle w:val="196"/>
        <w:ind w:firstLine="0"/>
        <w:jc w:val="center"/>
        <w:rPr>
          <w:rFonts w:hint="eastAsia"/>
          <w:b/>
          <w:color w:val="auto"/>
          <w:sz w:val="32"/>
          <w:szCs w:val="32"/>
          <w:highlight w:val="none"/>
        </w:rPr>
      </w:pPr>
    </w:p>
    <w:p>
      <w:pPr>
        <w:pStyle w:val="196"/>
        <w:ind w:firstLine="0"/>
        <w:jc w:val="center"/>
        <w:rPr>
          <w:rFonts w:hint="eastAsia"/>
          <w:b/>
          <w:color w:val="auto"/>
          <w:sz w:val="32"/>
          <w:szCs w:val="32"/>
          <w:highlight w:val="none"/>
        </w:rPr>
      </w:pPr>
    </w:p>
    <w:p>
      <w:pPr>
        <w:jc w:val="center"/>
        <w:rPr>
          <w:rFonts w:hint="eastAsia"/>
          <w:b/>
          <w:color w:val="auto"/>
          <w:sz w:val="32"/>
          <w:szCs w:val="32"/>
          <w:highlight w:val="none"/>
        </w:rPr>
      </w:pPr>
      <w:r>
        <w:rPr>
          <w:rFonts w:hint="eastAsia"/>
          <w:b/>
          <w:color w:val="auto"/>
          <w:sz w:val="32"/>
          <w:szCs w:val="32"/>
          <w:highlight w:val="none"/>
        </w:rPr>
        <w:br w:type="page"/>
      </w:r>
    </w:p>
    <w:p>
      <w:pPr>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  录</w:t>
      </w:r>
    </w:p>
    <w:p>
      <w:pPr>
        <w:spacing w:after="120"/>
        <w:ind w:firstLine="315" w:firstLineChars="150"/>
        <w:rPr>
          <w:rFonts w:ascii="仿宋_GB2312" w:hAnsi="仿宋_GB2312" w:eastAsia="仿宋_GB2312" w:cs="仿宋_GB2312"/>
          <w:color w:val="auto"/>
          <w:highlight w:val="none"/>
        </w:rPr>
      </w:pP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第一部分  磋商响应函</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第二部分  磋商响应报价表 </w:t>
      </w:r>
    </w:p>
    <w:p>
      <w:pPr>
        <w:spacing w:after="120" w:line="480" w:lineRule="auto"/>
        <w:ind w:firstLine="1080" w:firstLineChars="45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 xml:space="preserve">第三部分 </w:t>
      </w:r>
      <w:r>
        <w:rPr>
          <w:rFonts w:hint="eastAsia" w:ascii="仿宋_GB2312" w:hAnsi="仿宋_GB2312" w:eastAsia="仿宋_GB2312" w:cs="仿宋_GB2312"/>
          <w:color w:val="auto"/>
          <w:sz w:val="24"/>
          <w:highlight w:val="none"/>
          <w:lang w:val="en-US" w:eastAsia="zh-CN"/>
        </w:rPr>
        <w:t xml:space="preserve"> 资格证明文件</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第四部分  偏离表</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第五部分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响应方案说明</w:t>
      </w:r>
    </w:p>
    <w:p>
      <w:pPr>
        <w:spacing w:after="120" w:line="480" w:lineRule="auto"/>
        <w:ind w:firstLine="1080" w:firstLineChars="4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第六部分  </w:t>
      </w:r>
      <w:r>
        <w:rPr>
          <w:rFonts w:hint="eastAsia" w:ascii="仿宋_GB2312" w:hAnsi="仿宋_GB2312" w:eastAsia="仿宋_GB2312" w:cs="仿宋_GB2312"/>
          <w:color w:val="auto"/>
          <w:sz w:val="24"/>
          <w:highlight w:val="none"/>
        </w:rPr>
        <w:t>小微企业、监狱企业、残疾人福利单位声明函或证明</w:t>
      </w:r>
    </w:p>
    <w:p>
      <w:pPr>
        <w:rPr>
          <w:rFonts w:hint="eastAsia"/>
          <w:b/>
          <w:color w:val="auto"/>
          <w:sz w:val="32"/>
          <w:szCs w:val="32"/>
          <w:highlight w:val="none"/>
        </w:rPr>
      </w:pPr>
    </w:p>
    <w:p>
      <w:pPr>
        <w:rPr>
          <w:rFonts w:hint="eastAsia"/>
          <w:b/>
          <w:color w:val="auto"/>
          <w:sz w:val="32"/>
          <w:szCs w:val="32"/>
          <w:highlight w:val="none"/>
        </w:rPr>
      </w:pPr>
      <w:r>
        <w:rPr>
          <w:rFonts w:hint="eastAsia"/>
          <w:b/>
          <w:color w:val="auto"/>
          <w:sz w:val="32"/>
          <w:szCs w:val="32"/>
          <w:highlight w:val="none"/>
        </w:rPr>
        <w:br w:type="page"/>
      </w:r>
    </w:p>
    <w:p>
      <w:pPr>
        <w:pStyle w:val="196"/>
        <w:ind w:firstLine="2731" w:firstLineChars="850"/>
        <w:rPr>
          <w:rFonts w:ascii="仿宋" w:hAnsi="仿宋" w:eastAsia="仿宋"/>
          <w:b/>
          <w:color w:val="auto"/>
          <w:sz w:val="32"/>
          <w:szCs w:val="32"/>
          <w:highlight w:val="none"/>
        </w:rPr>
      </w:pPr>
      <w:r>
        <w:rPr>
          <w:rFonts w:hint="eastAsia" w:ascii="仿宋" w:hAnsi="仿宋" w:eastAsia="仿宋"/>
          <w:b/>
          <w:color w:val="auto"/>
          <w:sz w:val="32"/>
          <w:szCs w:val="32"/>
          <w:highlight w:val="none"/>
          <w:lang w:val="zh-CN"/>
        </w:rPr>
        <w:t>第一部分磋商响应函</w:t>
      </w:r>
    </w:p>
    <w:p>
      <w:pPr>
        <w:autoSpaceDE w:val="0"/>
        <w:autoSpaceDN w:val="0"/>
        <w:adjustRightInd w:val="0"/>
        <w:snapToGrid w:val="0"/>
        <w:spacing w:line="312" w:lineRule="auto"/>
        <w:rPr>
          <w:rFonts w:ascii="仿宋_GB2312" w:hAnsi="仿宋_GB2312" w:eastAsia="仿宋_GB2312" w:cs="仿宋_GB2312"/>
          <w:b/>
          <w:bCs/>
          <w:color w:val="auto"/>
          <w:sz w:val="24"/>
          <w:highlight w:val="none"/>
          <w:lang w:val="zh-CN"/>
        </w:rPr>
      </w:pPr>
    </w:p>
    <w:p>
      <w:pPr>
        <w:autoSpaceDE w:val="0"/>
        <w:autoSpaceDN w:val="0"/>
        <w:adjustRightInd w:val="0"/>
        <w:snapToGrid w:val="0"/>
        <w:spacing w:line="312"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zh-CN"/>
        </w:rPr>
        <w:t>延川县政府采购中心：</w:t>
      </w:r>
    </w:p>
    <w:p>
      <w:pPr>
        <w:autoSpaceDE w:val="0"/>
        <w:autoSpaceDN w:val="0"/>
        <w:adjustRightInd w:val="0"/>
        <w:snapToGrid w:val="0"/>
        <w:spacing w:line="360" w:lineRule="auto"/>
        <w:jc w:val="center"/>
        <w:rPr>
          <w:rFonts w:hint="eastAsia"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我单位收到贵公司</w:t>
      </w:r>
      <w:r>
        <w:rPr>
          <w:rFonts w:hint="eastAsia" w:ascii="仿宋_GB2312" w:hAnsi="仿宋_GB2312" w:eastAsia="仿宋_GB2312" w:cs="仿宋_GB2312"/>
          <w:color w:val="auto"/>
          <w:sz w:val="24"/>
          <w:highlight w:val="none"/>
          <w:lang w:val="en-US" w:eastAsia="zh-CN"/>
        </w:rPr>
        <w:t>延川县民政局关于失能半失能照护服务中心建设项目施工图设计项目</w:t>
      </w:r>
      <w:r>
        <w:rPr>
          <w:rFonts w:hint="eastAsia" w:ascii="仿宋_GB2312" w:hAnsi="仿宋_GB2312" w:eastAsia="仿宋_GB2312" w:cs="仿宋_GB2312"/>
          <w:color w:val="auto"/>
          <w:sz w:val="24"/>
          <w:highlight w:val="none"/>
          <w:lang w:val="zh-CN"/>
        </w:rPr>
        <w:t>竞争性磋商文件，经详细研究，我们决定参加本次磋商活动。为此，我方郑重声明以</w:t>
      </w:r>
    </w:p>
    <w:p>
      <w:pPr>
        <w:autoSpaceDE w:val="0"/>
        <w:autoSpaceDN w:val="0"/>
        <w:adjustRightInd w:val="0"/>
        <w:snapToGrid w:val="0"/>
        <w:spacing w:line="360" w:lineRule="auto"/>
        <w:jc w:val="both"/>
        <w:rPr>
          <w:rFonts w:hint="eastAsia"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下诸点，并负法律责任：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w:t>
      </w:r>
      <w:r>
        <w:rPr>
          <w:rFonts w:hint="eastAsia" w:ascii="仿宋_GB2312" w:hAnsi="仿宋_GB2312" w:eastAsia="仿宋_GB2312" w:cs="仿宋_GB2312"/>
          <w:color w:val="auto"/>
          <w:sz w:val="24"/>
          <w:highlight w:val="none"/>
          <w:lang w:val="zh-CN"/>
        </w:rPr>
        <w:t>、按竞争性磋商文件的规定，我公司的首次磋商响应报价为人民币（大写）：（￥：元），并对其后的磋商报价负法律责任。</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zh-CN"/>
        </w:rPr>
        <w:t>、我方提交的响应文件正本一份、副本</w:t>
      </w:r>
      <w:r>
        <w:rPr>
          <w:rFonts w:hint="eastAsia" w:ascii="仿宋_GB2312" w:hAnsi="仿宋_GB2312" w:eastAsia="仿宋_GB2312" w:cs="仿宋_GB2312"/>
          <w:color w:val="auto"/>
          <w:sz w:val="24"/>
          <w:highlight w:val="none"/>
          <w:u w:val="single"/>
          <w:lang w:val="zh-CN"/>
        </w:rPr>
        <w:t xml:space="preserve"> 两 </w:t>
      </w:r>
      <w:r>
        <w:rPr>
          <w:rFonts w:hint="eastAsia" w:ascii="仿宋_GB2312" w:hAnsi="仿宋_GB2312" w:eastAsia="仿宋_GB2312" w:cs="仿宋_GB2312"/>
          <w:color w:val="auto"/>
          <w:sz w:val="24"/>
          <w:highlight w:val="none"/>
          <w:lang w:val="zh-CN"/>
        </w:rPr>
        <w:t>份。</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五、如果我方在磋商有效期内撤销响应文件，则响应保证金将被贵方不予退还。</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七、我方的响应文件有效期为自磋商之日起</w:t>
      </w:r>
      <w:r>
        <w:rPr>
          <w:rFonts w:hint="eastAsia" w:ascii="仿宋_GB2312" w:hAnsi="仿宋_GB2312" w:eastAsia="仿宋_GB2312" w:cs="仿宋_GB2312"/>
          <w:color w:val="auto"/>
          <w:sz w:val="24"/>
          <w:highlight w:val="none"/>
          <w:u w:val="single"/>
        </w:rPr>
        <w:t xml:space="preserve">60 </w:t>
      </w:r>
      <w:r>
        <w:rPr>
          <w:rFonts w:hint="eastAsia" w:ascii="仿宋_GB2312" w:hAnsi="仿宋_GB2312" w:eastAsia="仿宋_GB2312" w:cs="仿宋_GB2312"/>
          <w:color w:val="auto"/>
          <w:sz w:val="24"/>
          <w:highlight w:val="none"/>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val="zh-CN"/>
        </w:rPr>
        <w:t>、如我方成交：</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（2）我方承诺按照磋商文件规定向你方递交履约保证金。作为履行合同的担保。</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（4）我方保证在领取成交通知书前按要求支付成交服务费。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地址：</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开户银行：</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帐号：</w:t>
      </w:r>
      <w:r>
        <w:rPr>
          <w:rFonts w:hint="eastAsia" w:ascii="仿宋_GB2312" w:hAnsi="仿宋_GB2312" w:eastAsia="仿宋_GB2312" w:cs="仿宋_GB2312"/>
          <w:color w:val="auto"/>
          <w:sz w:val="24"/>
          <w:highlight w:val="none"/>
        </w:rPr>
        <w:t>__________________________________________</w:t>
      </w: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电话：</w:t>
      </w:r>
      <w:r>
        <w:rPr>
          <w:rFonts w:hint="eastAsia" w:ascii="仿宋_GB2312" w:hAnsi="仿宋_GB2312" w:eastAsia="仿宋_GB2312" w:cs="仿宋_GB2312"/>
          <w:color w:val="auto"/>
          <w:sz w:val="24"/>
          <w:highlight w:val="none"/>
        </w:rPr>
        <w:t>_____________________</w:t>
      </w:r>
      <w:r>
        <w:rPr>
          <w:rFonts w:hint="eastAsia" w:ascii="仿宋_GB2312" w:hAnsi="仿宋_GB2312" w:eastAsia="仿宋_GB2312" w:cs="仿宋_GB2312"/>
          <w:color w:val="auto"/>
          <w:sz w:val="24"/>
          <w:highlight w:val="none"/>
          <w:lang w:val="zh-CN"/>
        </w:rPr>
        <w:t>传真：</w:t>
      </w:r>
      <w:r>
        <w:rPr>
          <w:rFonts w:hint="eastAsia" w:ascii="仿宋_GB2312" w:hAnsi="仿宋_GB2312" w:eastAsia="仿宋_GB2312" w:cs="仿宋_GB2312"/>
          <w:color w:val="auto"/>
          <w:sz w:val="24"/>
          <w:highlight w:val="none"/>
        </w:rPr>
        <w:t>________________</w:t>
      </w:r>
    </w:p>
    <w:p>
      <w:pPr>
        <w:pStyle w:val="23"/>
        <w:rPr>
          <w:rFonts w:ascii="仿宋_GB2312" w:hAnsi="仿宋_GB2312" w:eastAsia="仿宋_GB2312" w:cs="仿宋_GB2312"/>
          <w:color w:val="auto"/>
          <w:highlight w:val="none"/>
        </w:rPr>
      </w:pPr>
    </w:p>
    <w:p>
      <w:pPr>
        <w:autoSpaceDE w:val="0"/>
        <w:autoSpaceDN w:val="0"/>
        <w:adjustRightInd w:val="0"/>
        <w:snapToGrid w:val="0"/>
        <w:spacing w:line="312" w:lineRule="auto"/>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供应商全称（公章）：</w:t>
      </w:r>
    </w:p>
    <w:p>
      <w:pPr>
        <w:pStyle w:val="23"/>
        <w:rPr>
          <w:rFonts w:ascii="仿宋_GB2312" w:hAnsi="仿宋_GB2312" w:eastAsia="仿宋_GB2312" w:cs="仿宋_GB2312"/>
          <w:color w:val="auto"/>
          <w:highlight w:val="none"/>
          <w:lang w:val="zh-CN"/>
        </w:rPr>
      </w:pPr>
    </w:p>
    <w:p>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法定代表人或授权代表（签字）：</w:t>
      </w:r>
      <w:r>
        <w:rPr>
          <w:rFonts w:hint="eastAsia" w:ascii="仿宋_GB2312" w:hAnsi="仿宋_GB2312" w:eastAsia="仿宋_GB2312" w:cs="仿宋_GB2312"/>
          <w:color w:val="auto"/>
          <w:sz w:val="24"/>
          <w:highlight w:val="none"/>
        </w:rPr>
        <w:t>______________________________</w:t>
      </w:r>
    </w:p>
    <w:p>
      <w:pPr>
        <w:pStyle w:val="23"/>
        <w:jc w:val="center"/>
        <w:rPr>
          <w:rFonts w:ascii="仿宋" w:hAnsi="仿宋" w:eastAsia="仿宋"/>
          <w:b/>
          <w:bCs/>
          <w:color w:val="auto"/>
          <w:sz w:val="32"/>
          <w:szCs w:val="32"/>
          <w:highlight w:val="none"/>
        </w:rPr>
      </w:pP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日</w:t>
      </w:r>
      <w:bookmarkStart w:id="446" w:name="_Hlt520356241"/>
      <w:bookmarkEnd w:id="446"/>
      <w:r>
        <w:rPr>
          <w:rFonts w:hint="eastAsia"/>
          <w:color w:val="auto"/>
          <w:highlight w:val="none"/>
        </w:rPr>
        <w:br w:type="page"/>
      </w:r>
      <w:bookmarkStart w:id="447" w:name="_Toc230099805"/>
      <w:bookmarkStart w:id="448" w:name="_Toc230583554"/>
      <w:bookmarkStart w:id="449" w:name="_Toc415499901"/>
      <w:bookmarkStart w:id="450" w:name="_Toc232176284"/>
      <w:bookmarkStart w:id="451" w:name="_Toc249515371"/>
      <w:bookmarkStart w:id="452" w:name="_Toc249525252"/>
      <w:bookmarkStart w:id="453" w:name="_Toc256342154"/>
      <w:bookmarkStart w:id="454" w:name="_Toc230013640"/>
      <w:bookmarkStart w:id="455" w:name="_Toc232395224"/>
      <w:bookmarkStart w:id="456" w:name="_Toc8496"/>
      <w:r>
        <w:rPr>
          <w:rFonts w:hint="eastAsia" w:ascii="仿宋" w:hAnsi="仿宋" w:eastAsia="仿宋"/>
          <w:b/>
          <w:color w:val="auto"/>
          <w:sz w:val="32"/>
          <w:szCs w:val="32"/>
          <w:highlight w:val="none"/>
          <w:lang w:val="zh-CN"/>
        </w:rPr>
        <w:t>第二部分  磋商响应报价表</w:t>
      </w:r>
    </w:p>
    <w:p>
      <w:pPr>
        <w:autoSpaceDE w:val="0"/>
        <w:autoSpaceDN w:val="0"/>
        <w:adjustRightInd w:val="0"/>
        <w:snapToGrid w:val="0"/>
        <w:spacing w:line="360" w:lineRule="auto"/>
        <w:jc w:val="center"/>
        <w:rPr>
          <w:rFonts w:ascii="仿宋_GB2312" w:hAnsi="仿宋_GB2312" w:eastAsia="仿宋_GB2312" w:cs="仿宋_GB2312"/>
          <w:b/>
          <w:bCs/>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首次响应</w:t>
      </w:r>
      <w:r>
        <w:rPr>
          <w:rFonts w:hint="eastAsia" w:ascii="仿宋_GB2312" w:hAnsi="仿宋_GB2312" w:eastAsia="仿宋_GB2312" w:cs="仿宋_GB2312"/>
          <w:b/>
          <w:bCs/>
          <w:color w:val="auto"/>
          <w:sz w:val="28"/>
          <w:szCs w:val="28"/>
          <w:highlight w:val="none"/>
          <w:lang w:val="zh-CN"/>
        </w:rPr>
        <w:t>报价表</w:t>
      </w:r>
    </w:p>
    <w:p>
      <w:pPr>
        <w:autoSpaceDE w:val="0"/>
        <w:autoSpaceDN w:val="0"/>
        <w:adjustRightInd w:val="0"/>
        <w:snapToGrid w:val="0"/>
        <w:spacing w:line="360" w:lineRule="auto"/>
        <w:jc w:val="right"/>
        <w:rPr>
          <w:rFonts w:ascii="仿宋_GB2312" w:hAnsi="仿宋_GB2312" w:eastAsia="仿宋_GB2312" w:cs="仿宋_GB2312"/>
          <w:color w:val="auto"/>
          <w:sz w:val="24"/>
          <w:highlight w:val="none"/>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项目编号及名称</w:t>
            </w:r>
          </w:p>
        </w:tc>
        <w:tc>
          <w:tcPr>
            <w:tcW w:w="6697" w:type="dxa"/>
            <w:vAlign w:val="center"/>
          </w:tcPr>
          <w:p>
            <w:pPr>
              <w:pStyle w:val="23"/>
              <w:rPr>
                <w:rFonts w:hint="default" w:ascii="仿宋_GB2312" w:hAnsi="仿宋_GB2312" w:eastAsia="微软雅黑"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项目编号：</w:t>
            </w:r>
            <w:r>
              <w:rPr>
                <w:rFonts w:ascii="微软雅黑" w:hAnsi="微软雅黑" w:eastAsia="微软雅黑" w:cs="微软雅黑"/>
                <w:i w:val="0"/>
                <w:iCs w:val="0"/>
                <w:caps w:val="0"/>
                <w:color w:val="333333"/>
                <w:spacing w:val="0"/>
                <w:sz w:val="21"/>
                <w:szCs w:val="21"/>
                <w:shd w:val="clear" w:fill="FFFFFF"/>
              </w:rPr>
              <w:t>ZCSP-延川县-202</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ascii="微软雅黑" w:hAnsi="微软雅黑" w:eastAsia="微软雅黑" w:cs="微软雅黑"/>
                <w:i w:val="0"/>
                <w:iCs w:val="0"/>
                <w:caps w:val="0"/>
                <w:color w:val="333333"/>
                <w:spacing w:val="0"/>
                <w:sz w:val="21"/>
                <w:szCs w:val="21"/>
                <w:shd w:val="clear" w:fill="FFFFFF"/>
              </w:rPr>
              <w:t>-00</w:t>
            </w:r>
            <w:r>
              <w:rPr>
                <w:rFonts w:hint="eastAsia" w:ascii="微软雅黑" w:hAnsi="微软雅黑" w:eastAsia="微软雅黑" w:cs="微软雅黑"/>
                <w:i w:val="0"/>
                <w:iCs w:val="0"/>
                <w:caps w:val="0"/>
                <w:color w:val="333333"/>
                <w:spacing w:val="0"/>
                <w:sz w:val="21"/>
                <w:szCs w:val="21"/>
                <w:shd w:val="clear" w:fill="FFFFFF"/>
                <w:lang w:val="en-US" w:eastAsia="zh-CN"/>
              </w:rPr>
              <w:t>022</w:t>
            </w:r>
          </w:p>
          <w:p>
            <w:pPr>
              <w:pStyle w:val="23"/>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val="en-US" w:eastAsia="zh-CN"/>
              </w:rPr>
              <w:t>延川县失能半失能照护服务中心建设项目施工图设计项目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697" w:type="dxa"/>
            <w:vAlign w:val="center"/>
          </w:tcPr>
          <w:p>
            <w:pPr>
              <w:pStyle w:val="23"/>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697" w:type="dxa"/>
            <w:vAlign w:val="center"/>
          </w:tcPr>
          <w:p>
            <w:pPr>
              <w:pStyle w:val="23"/>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697" w:type="dxa"/>
            <w:vAlign w:val="center"/>
          </w:tcPr>
          <w:p>
            <w:pPr>
              <w:pStyle w:val="23"/>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697" w:type="dxa"/>
            <w:vAlign w:val="center"/>
          </w:tcPr>
          <w:p>
            <w:pPr>
              <w:pStyle w:val="23"/>
              <w:rPr>
                <w:rFonts w:ascii="仿宋_GB2312" w:hAnsi="仿宋_GB2312" w:eastAsia="仿宋_GB2312" w:cs="仿宋_GB2312"/>
                <w:color w:val="auto"/>
                <w:sz w:val="24"/>
                <w:highlight w:val="none"/>
              </w:rPr>
            </w:pPr>
          </w:p>
        </w:tc>
      </w:tr>
    </w:tbl>
    <w:p>
      <w:pPr>
        <w:pStyle w:val="23"/>
        <w:rPr>
          <w:rFonts w:ascii="仿宋_GB2312" w:hAnsi="仿宋_GB2312" w:eastAsia="仿宋_GB2312" w:cs="仿宋_GB2312"/>
          <w:color w:val="auto"/>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 月日</w:t>
      </w: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pPr>
    </w:p>
    <w:p>
      <w:pPr>
        <w:adjustRightInd w:val="0"/>
        <w:snapToGrid w:val="0"/>
        <w:spacing w:line="360" w:lineRule="auto"/>
        <w:jc w:val="center"/>
        <w:rPr>
          <w:rFonts w:ascii="仿宋_GB2312" w:hAnsi="仿宋_GB2312" w:eastAsia="仿宋_GB2312" w:cs="仿宋_GB2312"/>
          <w:b/>
          <w:color w:val="auto"/>
          <w:sz w:val="42"/>
          <w:highlight w:val="none"/>
        </w:rPr>
        <w:sectPr>
          <w:footerReference r:id="rId6" w:type="default"/>
          <w:pgSz w:w="11906" w:h="16838"/>
          <w:pgMar w:top="1418" w:right="1418" w:bottom="1418" w:left="1418" w:header="851" w:footer="992" w:gutter="0"/>
          <w:pgNumType w:fmt="decimal"/>
          <w:cols w:space="720" w:num="1"/>
          <w:docGrid w:linePitch="312" w:charSpace="0"/>
        </w:sectPr>
      </w:pP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（首次）分项报价表</w:t>
      </w:r>
    </w:p>
    <w:p>
      <w:pPr>
        <w:autoSpaceDE w:val="0"/>
        <w:autoSpaceDN w:val="0"/>
        <w:adjustRightInd w:val="0"/>
        <w:snapToGrid w:val="0"/>
        <w:spacing w:before="120" w:line="360" w:lineRule="auto"/>
        <w:ind w:left="-206" w:leftChars="-98"/>
        <w:jc w:val="center"/>
        <w:rPr>
          <w:rFonts w:hint="eastAsia" w:ascii="仿宋" w:hAnsi="仿宋" w:eastAsia="仿宋"/>
          <w:color w:val="auto"/>
          <w:kern w:val="0"/>
          <w:sz w:val="24"/>
          <w:szCs w:val="28"/>
          <w:highlight w:val="none"/>
          <w:lang w:eastAsia="zh-CN"/>
        </w:rPr>
      </w:pPr>
      <w:r>
        <w:rPr>
          <w:rFonts w:hint="eastAsia" w:ascii="仿宋" w:hAnsi="仿宋" w:eastAsia="仿宋"/>
          <w:color w:val="auto"/>
          <w:kern w:val="0"/>
          <w:sz w:val="24"/>
          <w:szCs w:val="28"/>
          <w:highlight w:val="none"/>
          <w:lang w:eastAsia="zh-CN"/>
        </w:rPr>
        <w:t>（</w:t>
      </w:r>
      <w:r>
        <w:rPr>
          <w:rFonts w:hint="eastAsia" w:ascii="仿宋" w:hAnsi="仿宋" w:eastAsia="仿宋"/>
          <w:color w:val="auto"/>
          <w:kern w:val="0"/>
          <w:sz w:val="24"/>
          <w:szCs w:val="28"/>
          <w:highlight w:val="none"/>
          <w:lang w:val="en-US" w:eastAsia="zh-CN"/>
        </w:rPr>
        <w:t>格式自拟</w:t>
      </w:r>
      <w:r>
        <w:rPr>
          <w:rFonts w:hint="eastAsia" w:ascii="仿宋" w:hAnsi="仿宋" w:eastAsia="仿宋"/>
          <w:color w:val="auto"/>
          <w:kern w:val="0"/>
          <w:sz w:val="24"/>
          <w:szCs w:val="28"/>
          <w:highlight w:val="none"/>
          <w:lang w:eastAsia="zh-CN"/>
        </w:rPr>
        <w:t>）</w:t>
      </w: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hint="eastAsia" w:ascii="仿宋" w:hAnsi="仿宋" w:eastAsia="仿宋"/>
          <w:color w:val="auto"/>
          <w:kern w:val="0"/>
          <w:sz w:val="24"/>
          <w:szCs w:val="28"/>
          <w:highlight w:val="none"/>
        </w:rPr>
      </w:pPr>
    </w:p>
    <w:p>
      <w:pPr>
        <w:rPr>
          <w:rFonts w:hint="eastAsia" w:eastAsiaTheme="minorEastAsia"/>
          <w:color w:val="auto"/>
          <w:highlight w:val="none"/>
        </w:rPr>
      </w:pPr>
    </w:p>
    <w:p>
      <w:pPr>
        <w:pStyle w:val="23"/>
        <w:rPr>
          <w:rFonts w:hint="eastAsia" w:eastAsiaTheme="minorEastAsia"/>
          <w:color w:val="auto"/>
          <w:highlight w:val="none"/>
        </w:rPr>
      </w:pPr>
    </w:p>
    <w:p>
      <w:pPr>
        <w:rPr>
          <w:rFonts w:hint="eastAsia" w:eastAsiaTheme="minorEastAsia"/>
          <w:color w:val="auto"/>
          <w:highlight w:val="none"/>
        </w:rPr>
      </w:pPr>
    </w:p>
    <w:p>
      <w:pPr>
        <w:pStyle w:val="23"/>
        <w:rPr>
          <w:rFonts w:hint="eastAsia" w:eastAsiaTheme="minorEastAsia"/>
          <w:color w:val="auto"/>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adjustRightInd w:val="0"/>
        <w:snapToGrid w:val="0"/>
        <w:spacing w:line="360" w:lineRule="auto"/>
        <w:ind w:firstLine="840" w:firstLineChars="3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firstLine="720" w:firstLineChars="300"/>
        <w:rPr>
          <w:rFonts w:ascii="仿宋_GB2312" w:hAnsi="仿宋" w:eastAsia="仿宋_GB2312"/>
          <w:color w:val="auto"/>
          <w:sz w:val="24"/>
          <w:highlight w:val="none"/>
        </w:rPr>
      </w:pPr>
      <w:r>
        <w:rPr>
          <w:rFonts w:hint="eastAsia" w:ascii="仿宋_GB2312" w:hAnsi="仿宋" w:eastAsia="仿宋_GB2312"/>
          <w:color w:val="auto"/>
          <w:sz w:val="24"/>
          <w:highlight w:val="none"/>
        </w:rPr>
        <w:t>（公章）：                            （签字）：</w:t>
      </w:r>
    </w:p>
    <w:p>
      <w:pPr>
        <w:adjustRightInd w:val="0"/>
        <w:snapToGrid w:val="0"/>
        <w:spacing w:line="360" w:lineRule="auto"/>
        <w:jc w:val="center"/>
        <w:rPr>
          <w:rFonts w:ascii="仿宋_GB2312" w:hAnsi="仿宋_GB2312" w:eastAsia="仿宋_GB2312" w:cs="仿宋_GB2312"/>
          <w:b/>
          <w:color w:val="auto"/>
          <w:sz w:val="42"/>
          <w:highlight w:val="none"/>
        </w:rPr>
      </w:pPr>
    </w:p>
    <w:p>
      <w:pPr>
        <w:spacing w:line="288" w:lineRule="auto"/>
        <w:ind w:left="424" w:leftChars="202"/>
        <w:rPr>
          <w:rFonts w:ascii="仿宋_GB2312" w:hAnsi="仿宋_GB2312" w:eastAsia="仿宋_GB2312" w:cs="仿宋_GB2312"/>
          <w:bCs/>
          <w:color w:val="auto"/>
          <w:sz w:val="24"/>
          <w:highlight w:val="none"/>
        </w:rPr>
      </w:pPr>
    </w:p>
    <w:p>
      <w:pPr>
        <w:pStyle w:val="23"/>
        <w:rPr>
          <w:rFonts w:ascii="仿宋_GB2312" w:hAnsi="仿宋_GB2312" w:eastAsia="仿宋_GB2312" w:cs="仿宋_GB2312"/>
          <w:color w:val="auto"/>
          <w:highlight w:val="none"/>
        </w:rPr>
      </w:pPr>
    </w:p>
    <w:p>
      <w:pPr>
        <w:pStyle w:val="23"/>
        <w:rPr>
          <w:rFonts w:ascii="仿宋_GB2312" w:hAnsi="仿宋_GB2312" w:eastAsia="仿宋_GB2312" w:cs="仿宋_GB2312"/>
          <w:color w:val="auto"/>
          <w:highlight w:val="none"/>
        </w:rPr>
      </w:pPr>
    </w:p>
    <w:bookmarkEnd w:id="447"/>
    <w:bookmarkEnd w:id="448"/>
    <w:bookmarkEnd w:id="449"/>
    <w:bookmarkEnd w:id="450"/>
    <w:bookmarkEnd w:id="451"/>
    <w:bookmarkEnd w:id="452"/>
    <w:bookmarkEnd w:id="453"/>
    <w:bookmarkEnd w:id="454"/>
    <w:bookmarkEnd w:id="455"/>
    <w:bookmarkEnd w:id="456"/>
    <w:p>
      <w:pPr>
        <w:pStyle w:val="196"/>
        <w:ind w:firstLine="3052" w:firstLineChars="950"/>
        <w:rPr>
          <w:rFonts w:hint="default" w:ascii="仿宋" w:hAnsi="仿宋" w:eastAsia="仿宋"/>
          <w:b/>
          <w:color w:val="auto"/>
          <w:sz w:val="32"/>
          <w:szCs w:val="32"/>
          <w:highlight w:val="none"/>
          <w:lang w:val="en-US" w:eastAsia="zh-CN"/>
        </w:rPr>
      </w:pPr>
      <w:bookmarkStart w:id="457" w:name="_Toc232395225"/>
      <w:bookmarkStart w:id="458" w:name="_Toc499711929"/>
      <w:bookmarkStart w:id="459" w:name="_Toc232176285"/>
      <w:bookmarkStart w:id="460" w:name="_Toc184043059"/>
      <w:bookmarkStart w:id="461" w:name="_Toc500747234"/>
      <w:bookmarkStart w:id="462" w:name="_Toc249525253"/>
      <w:bookmarkStart w:id="463" w:name="_Toc177817345"/>
      <w:bookmarkStart w:id="464" w:name="_Toc225933091"/>
      <w:bookmarkStart w:id="465" w:name="_Toc415499902"/>
      <w:bookmarkStart w:id="466" w:name="_Toc230583555"/>
      <w:bookmarkStart w:id="467" w:name="_Toc230099806"/>
      <w:bookmarkStart w:id="468" w:name="_Toc492955460"/>
      <w:bookmarkStart w:id="469" w:name="_Toc256342155"/>
      <w:bookmarkStart w:id="470" w:name="_Toc499711088"/>
      <w:bookmarkStart w:id="471" w:name="_Toc83547687"/>
      <w:bookmarkStart w:id="472" w:name="_Toc500747107"/>
      <w:bookmarkStart w:id="473" w:name="_Toc177995484"/>
      <w:bookmarkStart w:id="474" w:name="_Toc176882553"/>
      <w:bookmarkStart w:id="475" w:name="_Toc230013641"/>
      <w:bookmarkStart w:id="476" w:name="_Toc500747011"/>
      <w:bookmarkStart w:id="477" w:name="_Toc177189246"/>
      <w:bookmarkStart w:id="478" w:name="_Toc503063459"/>
      <w:bookmarkStart w:id="479" w:name="_Toc249515372"/>
      <w:bookmarkStart w:id="480" w:name="_Toc496324624"/>
      <w:bookmarkStart w:id="481" w:name="_Toc389620242"/>
      <w:bookmarkStart w:id="482" w:name="_Toc385992402"/>
      <w:bookmarkStart w:id="483" w:name="_Toc53722866"/>
      <w:bookmarkStart w:id="484" w:name="_Toc70687203"/>
      <w:r>
        <w:rPr>
          <w:rFonts w:hint="eastAsia" w:ascii="仿宋" w:hAnsi="仿宋" w:eastAsia="仿宋"/>
          <w:b/>
          <w:color w:val="auto"/>
          <w:sz w:val="32"/>
          <w:szCs w:val="32"/>
          <w:highlight w:val="none"/>
        </w:rPr>
        <w:t xml:space="preserve">第三部分  </w:t>
      </w:r>
      <w:r>
        <w:rPr>
          <w:rFonts w:hint="eastAsia" w:ascii="仿宋" w:hAnsi="仿宋" w:eastAsia="仿宋"/>
          <w:b/>
          <w:color w:val="auto"/>
          <w:sz w:val="32"/>
          <w:szCs w:val="32"/>
          <w:highlight w:val="none"/>
          <w:lang w:val="en-US" w:eastAsia="zh-CN"/>
        </w:rPr>
        <w:t>资格证明文件</w:t>
      </w:r>
    </w:p>
    <w:p>
      <w:pPr>
        <w:rPr>
          <w:rFonts w:ascii="仿宋_GB2312" w:hAnsi="仿宋_GB2312" w:eastAsia="仿宋_GB2312" w:cs="仿宋_GB2312"/>
          <w:color w:val="auto"/>
          <w:highlight w:val="none"/>
        </w:rPr>
      </w:pPr>
    </w:p>
    <w:p>
      <w:pPr>
        <w:pStyle w:val="196"/>
        <w:ind w:firstLine="0"/>
        <w:jc w:val="center"/>
        <w:rPr>
          <w:b/>
          <w:color w:val="auto"/>
          <w:sz w:val="32"/>
          <w:szCs w:val="32"/>
          <w:highlight w:val="none"/>
        </w:rPr>
      </w:pPr>
      <w:r>
        <w:rPr>
          <w:rFonts w:hint="eastAsia"/>
          <w:b/>
          <w:color w:val="auto"/>
          <w:sz w:val="32"/>
          <w:szCs w:val="32"/>
          <w:highlight w:val="none"/>
        </w:rPr>
        <w:t xml:space="preserve"> </w:t>
      </w:r>
      <w:r>
        <w:rPr>
          <w:rFonts w:hint="eastAsia"/>
          <w:b/>
          <w:color w:val="auto"/>
          <w:sz w:val="32"/>
          <w:szCs w:val="32"/>
          <w:highlight w:val="none"/>
          <w:lang w:eastAsia="zh-CN"/>
        </w:rPr>
        <w:t>（</w:t>
      </w:r>
      <w:r>
        <w:rPr>
          <w:rFonts w:hint="eastAsia"/>
          <w:b/>
          <w:color w:val="auto"/>
          <w:sz w:val="32"/>
          <w:szCs w:val="32"/>
          <w:highlight w:val="none"/>
          <w:lang w:val="en-US" w:eastAsia="zh-CN"/>
        </w:rPr>
        <w:t>一</w:t>
      </w:r>
      <w:r>
        <w:rPr>
          <w:rFonts w:hint="eastAsia"/>
          <w:b/>
          <w:color w:val="auto"/>
          <w:sz w:val="32"/>
          <w:szCs w:val="32"/>
          <w:highlight w:val="none"/>
          <w:lang w:eastAsia="zh-CN"/>
        </w:rPr>
        <w:t>）</w:t>
      </w:r>
      <w:r>
        <w:rPr>
          <w:rFonts w:hint="eastAsia"/>
          <w:b/>
          <w:color w:val="auto"/>
          <w:sz w:val="32"/>
          <w:szCs w:val="32"/>
          <w:highlight w:val="none"/>
        </w:rPr>
        <w:t>身份证明文件</w:t>
      </w:r>
    </w:p>
    <w:p>
      <w:pPr>
        <w:spacing w:after="120"/>
        <w:rPr>
          <w:rFonts w:ascii="仿宋_GB2312" w:hAnsi="仿宋_GB2312" w:eastAsia="仿宋_GB2312" w:cs="仿宋_GB2312"/>
          <w:color w:val="auto"/>
          <w:highlight w:val="none"/>
        </w:rPr>
      </w:pPr>
    </w:p>
    <w:p>
      <w:pPr>
        <w:widowControl/>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zh-CN"/>
        </w:rPr>
        <w:t>1、法定代表人授权书</w:t>
      </w:r>
    </w:p>
    <w:p>
      <w:pPr>
        <w:autoSpaceDE w:val="0"/>
        <w:autoSpaceDN w:val="0"/>
        <w:adjustRightInd w:val="0"/>
        <w:spacing w:line="348" w:lineRule="auto"/>
        <w:ind w:firstLine="400"/>
        <w:rPr>
          <w:rFonts w:ascii="仿宋_GB2312" w:hAnsi="仿宋_GB2312" w:eastAsia="仿宋_GB2312" w:cs="仿宋_GB2312"/>
          <w:b/>
          <w:bCs/>
          <w:color w:val="auto"/>
          <w:sz w:val="20"/>
          <w:highlight w:val="none"/>
        </w:rPr>
      </w:pPr>
    </w:p>
    <w:p>
      <w:pPr>
        <w:autoSpaceDE w:val="0"/>
        <w:autoSpaceDN w:val="0"/>
        <w:adjustRightInd w:val="0"/>
        <w:spacing w:line="34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延川县政府采购中心：</w:t>
      </w:r>
    </w:p>
    <w:p>
      <w:pPr>
        <w:autoSpaceDE w:val="0"/>
        <w:autoSpaceDN w:val="0"/>
        <w:adjustRightInd w:val="0"/>
        <w:spacing w:line="348" w:lineRule="auto"/>
        <w:ind w:firstLine="6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注册于</w:t>
      </w:r>
      <w:r>
        <w:rPr>
          <w:rFonts w:hint="eastAsia" w:ascii="仿宋_GB2312" w:hAnsi="仿宋_GB2312" w:eastAsia="仿宋_GB2312" w:cs="仿宋_GB2312"/>
          <w:color w:val="auto"/>
          <w:sz w:val="24"/>
          <w:highlight w:val="none"/>
          <w:u w:val="single"/>
          <w:lang w:val="zh-CN"/>
        </w:rPr>
        <w:t>（工商行政管理局名称）</w:t>
      </w:r>
      <w:r>
        <w:rPr>
          <w:rFonts w:hint="eastAsia" w:ascii="仿宋_GB2312" w:hAnsi="仿宋_GB2312" w:eastAsia="仿宋_GB2312" w:cs="仿宋_GB2312"/>
          <w:color w:val="auto"/>
          <w:sz w:val="24"/>
          <w:highlight w:val="none"/>
          <w:lang w:val="zh-CN"/>
        </w:rPr>
        <w:t>之</w:t>
      </w:r>
      <w:r>
        <w:rPr>
          <w:rFonts w:hint="eastAsia" w:ascii="仿宋_GB2312" w:hAnsi="仿宋_GB2312" w:eastAsia="仿宋_GB2312" w:cs="仿宋_GB2312"/>
          <w:color w:val="auto"/>
          <w:sz w:val="24"/>
          <w:highlight w:val="none"/>
          <w:u w:val="single"/>
          <w:lang w:val="zh-CN"/>
        </w:rPr>
        <w:t>（供应商全称）</w:t>
      </w:r>
      <w:r>
        <w:rPr>
          <w:rFonts w:hint="eastAsia" w:ascii="仿宋_GB2312" w:hAnsi="仿宋_GB2312" w:eastAsia="仿宋_GB2312" w:cs="仿宋_GB2312"/>
          <w:color w:val="auto"/>
          <w:sz w:val="24"/>
          <w:highlight w:val="none"/>
          <w:lang w:val="zh-CN"/>
        </w:rPr>
        <w:t>法人代表</w:t>
      </w:r>
      <w:r>
        <w:rPr>
          <w:rFonts w:hint="eastAsia" w:ascii="仿宋_GB2312" w:hAnsi="仿宋_GB2312" w:eastAsia="仿宋_GB2312" w:cs="仿宋_GB2312"/>
          <w:color w:val="auto"/>
          <w:sz w:val="24"/>
          <w:highlight w:val="none"/>
          <w:u w:val="single"/>
          <w:lang w:val="zh-CN"/>
        </w:rPr>
        <w:t>（姓名、职务）</w:t>
      </w:r>
      <w:r>
        <w:rPr>
          <w:rFonts w:hint="eastAsia" w:ascii="仿宋_GB2312" w:hAnsi="仿宋_GB2312" w:eastAsia="仿宋_GB2312" w:cs="仿宋_GB2312"/>
          <w:color w:val="auto"/>
          <w:sz w:val="24"/>
          <w:highlight w:val="none"/>
          <w:lang w:val="zh-CN"/>
        </w:rPr>
        <w:t>授权</w:t>
      </w:r>
      <w:r>
        <w:rPr>
          <w:rFonts w:hint="eastAsia" w:ascii="仿宋_GB2312" w:hAnsi="仿宋_GB2312" w:eastAsia="仿宋_GB2312" w:cs="仿宋_GB2312"/>
          <w:color w:val="auto"/>
          <w:sz w:val="24"/>
          <w:highlight w:val="none"/>
          <w:u w:val="single"/>
          <w:lang w:val="zh-CN"/>
        </w:rPr>
        <w:t>（被授权人姓名、职务）</w:t>
      </w:r>
      <w:r>
        <w:rPr>
          <w:rFonts w:hint="eastAsia" w:ascii="仿宋_GB2312" w:hAnsi="仿宋_GB2312" w:eastAsia="仿宋_GB2312" w:cs="仿宋_GB2312"/>
          <w:color w:val="auto"/>
          <w:sz w:val="24"/>
          <w:highlight w:val="none"/>
          <w:lang w:val="zh-CN"/>
        </w:rPr>
        <w:t>为本公司的合法代理人，就</w:t>
      </w:r>
      <w:r>
        <w:rPr>
          <w:rFonts w:hint="eastAsia" w:ascii="仿宋_GB2312" w:hAnsi="仿宋_GB2312" w:eastAsia="仿宋_GB2312" w:cs="仿宋_GB2312"/>
          <w:color w:val="auto"/>
          <w:sz w:val="24"/>
          <w:highlight w:val="none"/>
          <w:u w:val="single"/>
          <w:lang w:val="zh-CN"/>
        </w:rPr>
        <w:t>延川县民政局关于传统村落集中连片保护利用方案及规划</w:t>
      </w:r>
      <w:r>
        <w:rPr>
          <w:rFonts w:hint="eastAsia" w:ascii="仿宋_GB2312" w:hAnsi="仿宋_GB2312" w:eastAsia="仿宋_GB2312" w:cs="仿宋_GB2312"/>
          <w:color w:val="auto"/>
          <w:sz w:val="24"/>
          <w:highlight w:val="none"/>
          <w:lang w:val="zh-CN"/>
        </w:rPr>
        <w:t>的磋商及合同的执行和完成，以本公司的名义处理一切与之有关的事宜。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color w:val="auto"/>
          <w:sz w:val="24"/>
          <w:highlight w:val="none"/>
          <w:lang w:val="zh-CN"/>
        </w:rPr>
      </w:pPr>
      <w:r>
        <w:rPr>
          <w:rFonts w:hint="eastAsia" w:ascii="仿宋_GB2312" w:hAnsi="仿宋_GB2312" w:eastAsia="仿宋_GB2312" w:cs="仿宋_GB2312"/>
          <w:color w:val="auto"/>
          <w:sz w:val="24"/>
          <w:highlight w:val="none"/>
          <w:lang w:val="zh-CN"/>
        </w:rPr>
        <w:t>本授权自</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lang w:val="zh-CN"/>
        </w:rPr>
        <w:t>日起生效。（</w:t>
      </w:r>
      <w:r>
        <w:rPr>
          <w:rFonts w:hint="eastAsia" w:ascii="仿宋_GB2312" w:hAnsi="仿宋_GB2312" w:eastAsia="仿宋_GB2312" w:cs="仿宋_GB2312"/>
          <w:b/>
          <w:color w:val="auto"/>
          <w:sz w:val="24"/>
          <w:highlight w:val="none"/>
          <w:lang w:val="zh-CN"/>
        </w:rPr>
        <w:t>提示：此日期不应晚于磋商响应函签署日期</w:t>
      </w:r>
      <w:r>
        <w:rPr>
          <w:rFonts w:hint="eastAsia" w:ascii="仿宋_GB2312" w:hAnsi="仿宋_GB2312" w:eastAsia="仿宋_GB2312" w:cs="仿宋_GB2312"/>
          <w:color w:val="auto"/>
          <w:sz w:val="24"/>
          <w:highlight w:val="none"/>
          <w:lang w:val="zh-CN"/>
        </w:rPr>
        <w:t>）</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lang w:val="zh-CN"/>
        </w:rPr>
        <w:t>附：被授权人姓名：</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性别：</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年龄：</w:t>
      </w:r>
      <w:r>
        <w:rPr>
          <w:rFonts w:hint="eastAsia" w:ascii="仿宋_GB2312" w:hAnsi="仿宋_GB2312" w:eastAsia="仿宋_GB2312" w:cs="仿宋_GB2312"/>
          <w:color w:val="auto"/>
          <w:sz w:val="24"/>
          <w:highlight w:val="none"/>
          <w:u w:val="single"/>
          <w:lang w:val="en-US" w:eastAsia="zh-CN"/>
        </w:rPr>
        <w:t xml:space="preserve"> </w:t>
      </w:r>
    </w:p>
    <w:p>
      <w:pPr>
        <w:autoSpaceDE w:val="0"/>
        <w:autoSpaceDN w:val="0"/>
        <w:adjustRightInd w:val="0"/>
        <w:spacing w:line="348"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职务：</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身份证号码：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通讯地址：</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邮政编码：</w:t>
      </w:r>
    </w:p>
    <w:p>
      <w:pPr>
        <w:autoSpaceDE w:val="0"/>
        <w:autoSpaceDN w:val="0"/>
        <w:adjustRightInd w:val="0"/>
        <w:spacing w:line="348" w:lineRule="auto"/>
        <w:ind w:firstLine="63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电话：</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传真：</w:t>
      </w:r>
    </w:p>
    <w:p>
      <w:pPr>
        <w:autoSpaceDE w:val="0"/>
        <w:autoSpaceDN w:val="0"/>
        <w:adjustRightInd w:val="0"/>
        <w:spacing w:line="348" w:lineRule="auto"/>
        <w:rPr>
          <w:rFonts w:ascii="仿宋_GB2312" w:hAnsi="仿宋_GB2312" w:eastAsia="仿宋_GB2312" w:cs="仿宋_GB2312"/>
          <w:color w:val="auto"/>
          <w:sz w:val="24"/>
          <w:highlight w:val="none"/>
        </w:rPr>
      </w:pPr>
    </w:p>
    <w:p>
      <w:pPr>
        <w:autoSpaceDE w:val="0"/>
        <w:autoSpaceDN w:val="0"/>
        <w:adjustRightInd w:val="0"/>
        <w:spacing w:line="34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w:t>
      </w:r>
      <w:r>
        <w:rPr>
          <w:rFonts w:hint="eastAsia" w:ascii="仿宋_GB2312" w:hAnsi="仿宋_GB2312" w:eastAsia="仿宋_GB2312" w:cs="仿宋_GB2312"/>
          <w:color w:val="auto"/>
          <w:sz w:val="24"/>
          <w:highlight w:val="none"/>
        </w:rPr>
        <w:t>及</w:t>
      </w:r>
      <w:r>
        <w:rPr>
          <w:rFonts w:hint="eastAsia" w:ascii="仿宋_GB2312" w:hAnsi="仿宋_GB2312" w:eastAsia="仿宋_GB2312" w:cs="仿宋_GB2312"/>
          <w:color w:val="auto"/>
          <w:sz w:val="24"/>
          <w:highlight w:val="none"/>
          <w:lang w:val="zh-CN"/>
        </w:rPr>
        <w:t>授权代表身份证复印件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法定代表人身份证复印件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授权代表身份证复印件</w:t>
            </w:r>
          </w:p>
          <w:p>
            <w:pPr>
              <w:autoSpaceDE w:val="0"/>
              <w:autoSpaceDN w:val="0"/>
              <w:adjustRightInd w:val="0"/>
              <w:spacing w:line="348" w:lineRule="auto"/>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val="zh-CN"/>
              </w:rPr>
              <w:t>（正反面）</w:t>
            </w:r>
          </w:p>
        </w:tc>
      </w:tr>
    </w:tbl>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rPr>
          <w:rFonts w:ascii="仿宋_GB2312" w:hAnsi="仿宋_GB2312" w:eastAsia="仿宋_GB2312" w:cs="仿宋_GB2312"/>
          <w:color w:val="auto"/>
          <w:sz w:val="24"/>
          <w:highlight w:val="none"/>
        </w:rPr>
      </w:pPr>
    </w:p>
    <w:p>
      <w:pPr>
        <w:adjustRightInd w:val="0"/>
        <w:snapToGrid w:val="0"/>
        <w:spacing w:line="360" w:lineRule="auto"/>
        <w:ind w:firstLine="1440" w:firstLineChars="6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                             法定代表人</w:t>
      </w: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（公章）：                           （签字）：</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2、法定代表人身份证明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供应商名称：</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单位性质：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地    址： </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成立时间： 年月日</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经营期限：</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姓名：性别：年龄： 职务：系（投标人名称）的法定代表人。</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特此证明。</w:t>
      </w: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投标人：           （公章）</w:t>
      </w:r>
    </w:p>
    <w:p>
      <w:pPr>
        <w:autoSpaceDE w:val="0"/>
        <w:autoSpaceDN w:val="0"/>
        <w:adjustRightInd w:val="0"/>
        <w:spacing w:line="360" w:lineRule="auto"/>
        <w:ind w:left="5399" w:leftChars="2571"/>
        <w:jc w:val="left"/>
        <w:rPr>
          <w:rFonts w:ascii="仿宋_GB2312" w:hAnsi="仿宋_GB2312" w:eastAsia="仿宋_GB2312" w:cs="仿宋_GB2312"/>
          <w:color w:val="auto"/>
          <w:kern w:val="0"/>
          <w:sz w:val="24"/>
          <w:highlight w:val="none"/>
        </w:rPr>
      </w:pPr>
    </w:p>
    <w:p>
      <w:pPr>
        <w:autoSpaceDE w:val="0"/>
        <w:autoSpaceDN w:val="0"/>
        <w:adjustRightInd w:val="0"/>
        <w:spacing w:line="360" w:lineRule="auto"/>
        <w:ind w:left="6659" w:leftChars="3171"/>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  月  日</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autoSpaceDE w:val="0"/>
        <w:autoSpaceDN w:val="0"/>
        <w:adjustRightInd w:val="0"/>
        <w:jc w:val="center"/>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3、授权代表本单位证明</w:t>
      </w:r>
    </w:p>
    <w:p>
      <w:pPr>
        <w:spacing w:after="120"/>
        <w:rPr>
          <w:rFonts w:ascii="仿宋_GB2312" w:hAnsi="仿宋_GB2312" w:eastAsia="仿宋_GB2312" w:cs="仿宋_GB2312"/>
          <w:color w:val="auto"/>
          <w:highlight w:val="none"/>
        </w:rPr>
      </w:pPr>
    </w:p>
    <w:p>
      <w:pPr>
        <w:autoSpaceDE w:val="0"/>
        <w:autoSpaceDN w:val="0"/>
        <w:adjustRightInd w:val="0"/>
        <w:spacing w:line="348"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养老保险缴纳证明或劳动合同复印件</w:t>
      </w:r>
      <w:r>
        <w:rPr>
          <w:rFonts w:hint="eastAsia" w:ascii="仿宋_GB2312" w:hAnsi="仿宋_GB2312" w:eastAsia="仿宋_GB2312" w:cs="仿宋_GB2312"/>
          <w:color w:val="auto"/>
          <w:sz w:val="28"/>
          <w:szCs w:val="28"/>
          <w:highlight w:val="none"/>
          <w:lang w:val="zh-CN"/>
        </w:rPr>
        <w:t>）</w:t>
      </w: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p>
      <w:pPr>
        <w:pStyle w:val="196"/>
        <w:ind w:firstLine="2570" w:firstLineChars="800"/>
        <w:rPr>
          <w:b/>
          <w:color w:val="auto"/>
          <w:sz w:val="32"/>
          <w:szCs w:val="32"/>
          <w:highlight w:val="none"/>
        </w:rPr>
      </w:pPr>
      <w:r>
        <w:rPr>
          <w:rFonts w:hint="eastAsia"/>
          <w:b/>
          <w:color w:val="auto"/>
          <w:sz w:val="32"/>
          <w:szCs w:val="32"/>
          <w:highlight w:val="none"/>
          <w:lang w:eastAsia="zh-CN"/>
        </w:rPr>
        <w:t>（</w:t>
      </w:r>
      <w:r>
        <w:rPr>
          <w:rFonts w:hint="eastAsia"/>
          <w:b/>
          <w:color w:val="auto"/>
          <w:sz w:val="32"/>
          <w:szCs w:val="32"/>
          <w:highlight w:val="none"/>
          <w:lang w:val="en-US" w:eastAsia="zh-CN"/>
        </w:rPr>
        <w:t>二</w:t>
      </w:r>
      <w:r>
        <w:rPr>
          <w:rFonts w:hint="eastAsia"/>
          <w:b/>
          <w:color w:val="auto"/>
          <w:sz w:val="32"/>
          <w:szCs w:val="32"/>
          <w:highlight w:val="none"/>
          <w:lang w:eastAsia="zh-CN"/>
        </w:rPr>
        <w:t>）</w:t>
      </w:r>
      <w:r>
        <w:rPr>
          <w:rFonts w:hint="eastAsia"/>
          <w:b/>
          <w:color w:val="auto"/>
          <w:sz w:val="32"/>
          <w:szCs w:val="32"/>
          <w:highlight w:val="none"/>
        </w:rPr>
        <w:t xml:space="preserve">  资格证明文件</w:t>
      </w:r>
    </w:p>
    <w:p>
      <w:pPr>
        <w:spacing w:after="120"/>
        <w:rPr>
          <w:rFonts w:ascii="仿宋_GB2312" w:hAnsi="仿宋_GB2312" w:eastAsia="仿宋_GB2312" w:cs="仿宋_GB2312"/>
          <w:color w:val="auto"/>
          <w:highlight w:val="none"/>
        </w:r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1、具有独立承担民事责任的法人、其他组织或自然人，提供有效的营业执照等相应证明文件，非法人单位参照执行；</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2、法定代表人授权书及被授权人身份证（法定代表人直接参加投标只须提供法定代表人身份证）；</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4、提供参加本次政府采购活动前三年内在经营活动中没有重大违法记录的书面声明。</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5、财务状况报表：提供经审计的2021年度的审计报告（成立时间至提交响应文件截止时间不足一年的可提供成立后任意时段的资产负债表），或提交投标文件截止时间前三个月内其基本账户开户银行出具的资信证明（附开户许可证或开户备案证明）；其他组织和自然人提供银行出具的资信证明或财务报表；</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6、税收缴纳证明：供应商提供自2021年1月1日以来已缴纳的任意一个月的纳税证明或完税证明（任意税种），依法免税的单位应提供相关证明材料；</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7、社会保障资金缴纳证明：供应商提供自2021年1月1日以来已缴纳的任意一个月社会保险参保缴费情况证明，依法不需要缴纳社会保障资金的单位应提供相关证明材料；</w:t>
      </w:r>
      <w:r>
        <w:rPr>
          <w:rFonts w:hint="eastAsia" w:ascii="仿宋_GB2312" w:hAnsi="仿宋_GB2312" w:eastAsia="仿宋_GB2312" w:cs="仿宋_GB2312"/>
          <w:color w:val="auto"/>
          <w:sz w:val="24"/>
          <w:highlight w:val="none"/>
        </w:rPr>
        <w:br w:type="textWrapping"/>
      </w:r>
      <w:r>
        <w:rPr>
          <w:rFonts w:hint="eastAsia" w:ascii="仿宋_GB2312" w:hAnsi="仿宋_GB2312" w:eastAsia="仿宋_GB2312" w:cs="仿宋_GB2312"/>
          <w:color w:val="auto"/>
          <w:sz w:val="24"/>
          <w:highlight w:val="none"/>
        </w:rPr>
        <w:t>8、供应商须具备建设行政主管部门颁发的工程设计综合资质乙级或建筑行业（建筑工程）专业乙级及以上资质；拟派项目负责人须具有注册建筑师执业资格</w:t>
      </w:r>
    </w:p>
    <w:p>
      <w:pPr>
        <w:adjustRightInd w:val="0"/>
        <w:spacing w:line="360" w:lineRule="auto"/>
        <w:ind w:firstLine="482" w:firstLineChars="200"/>
        <w:jc w:val="left"/>
        <w:textAlignment w:val="baseline"/>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以上提供的扫描件、复印件必须加盖供应商公章。</w:t>
      </w:r>
    </w:p>
    <w:p>
      <w:pPr>
        <w:spacing w:after="12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jc w:val="left"/>
        <w:outlineLvl w:val="2"/>
        <w:rPr>
          <w:rFonts w:ascii="仿宋_GB2312" w:hAnsi="仿宋_GB2312" w:eastAsia="仿宋_GB2312" w:cs="仿宋_GB2312"/>
          <w:b/>
          <w:color w:val="auto"/>
          <w:sz w:val="24"/>
          <w:highlight w:val="none"/>
        </w:rPr>
      </w:pPr>
      <w:bookmarkStart w:id="485" w:name="_Toc7005120"/>
      <w:r>
        <w:rPr>
          <w:rFonts w:hint="eastAsia" w:ascii="仿宋_GB2312" w:hAnsi="仿宋_GB2312" w:eastAsia="仿宋_GB2312" w:cs="仿宋_GB2312"/>
          <w:b/>
          <w:color w:val="auto"/>
          <w:sz w:val="24"/>
          <w:highlight w:val="none"/>
        </w:rPr>
        <w:t>6-1  供应商的企业法人营业执照副本复印件（加盖公章）</w:t>
      </w:r>
      <w:bookmarkEnd w:id="485"/>
    </w:p>
    <w:p>
      <w:pPr>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color w:val="auto"/>
          <w:sz w:val="28"/>
          <w:highlight w:val="none"/>
        </w:rPr>
      </w:pPr>
    </w:p>
    <w:p>
      <w:pPr>
        <w:adjustRightInd w:val="0"/>
        <w:spacing w:line="360" w:lineRule="atLeast"/>
        <w:jc w:val="left"/>
        <w:textAlignment w:val="baseline"/>
        <w:rPr>
          <w:rFonts w:ascii="仿宋_GB2312" w:hAnsi="仿宋_GB2312" w:eastAsia="仿宋_GB2312" w:cs="仿宋_GB2312"/>
          <w:b/>
          <w:color w:val="auto"/>
          <w:sz w:val="28"/>
          <w:highlight w:val="none"/>
        </w:rPr>
      </w:pPr>
    </w:p>
    <w:p>
      <w:pPr>
        <w:jc w:val="left"/>
        <w:outlineLvl w:val="2"/>
        <w:rPr>
          <w:rFonts w:hint="eastAsia" w:ascii="仿宋_GB2312" w:hAnsi="仿宋_GB2312" w:eastAsia="仿宋_GB2312" w:cs="仿宋_GB2312"/>
          <w:b/>
          <w:color w:val="auto"/>
          <w:sz w:val="24"/>
          <w:highlight w:val="none"/>
          <w:lang w:val="en-US" w:eastAsia="zh-CN"/>
        </w:rPr>
      </w:pPr>
      <w:bookmarkStart w:id="486" w:name="_Ref527015333"/>
      <w:bookmarkStart w:id="487" w:name="_Toc7005121"/>
      <w:r>
        <w:rPr>
          <w:rFonts w:hint="eastAsia" w:ascii="仿宋_GB2312" w:hAnsi="仿宋_GB2312" w:eastAsia="仿宋_GB2312" w:cs="仿宋_GB2312"/>
          <w:b/>
          <w:color w:val="auto"/>
          <w:sz w:val="24"/>
          <w:highlight w:val="none"/>
        </w:rPr>
        <w:t xml:space="preserve">6-2  </w:t>
      </w:r>
      <w:bookmarkEnd w:id="486"/>
      <w:bookmarkEnd w:id="487"/>
      <w:r>
        <w:rPr>
          <w:rFonts w:hint="eastAsia" w:ascii="仿宋_GB2312" w:hAnsi="仿宋_GB2312" w:eastAsia="仿宋_GB2312" w:cs="仿宋_GB2312"/>
          <w:b/>
          <w:color w:val="auto"/>
          <w:sz w:val="24"/>
          <w:highlight w:val="none"/>
        </w:rPr>
        <w:t>财务</w:t>
      </w:r>
      <w:r>
        <w:rPr>
          <w:rFonts w:hint="eastAsia" w:ascii="仿宋_GB2312" w:hAnsi="仿宋_GB2312" w:eastAsia="仿宋_GB2312" w:cs="仿宋_GB2312"/>
          <w:b/>
          <w:color w:val="auto"/>
          <w:sz w:val="24"/>
          <w:highlight w:val="none"/>
          <w:lang w:val="en-US" w:eastAsia="zh-CN"/>
        </w:rPr>
        <w:t>状况</w:t>
      </w:r>
    </w:p>
    <w:p>
      <w:pPr>
        <w:spacing w:line="360" w:lineRule="auto"/>
        <w:rPr>
          <w:rFonts w:ascii="仿宋_GB2312" w:hAnsi="仿宋_GB2312" w:eastAsia="仿宋_GB2312" w:cs="仿宋_GB2312"/>
          <w:color w:val="auto"/>
          <w:szCs w:val="21"/>
          <w:highlight w:val="none"/>
        </w:rPr>
      </w:pPr>
    </w:p>
    <w:p>
      <w:pPr>
        <w:tabs>
          <w:tab w:val="left" w:pos="993"/>
          <w:tab w:val="left" w:pos="1030"/>
          <w:tab w:val="left" w:pos="8364"/>
        </w:tabs>
        <w:snapToGrid w:val="0"/>
        <w:spacing w:afterLines="50"/>
        <w:ind w:right="-57" w:rightChars="-2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供应商提供2021年度</w:t>
      </w:r>
      <w:r>
        <w:rPr>
          <w:rFonts w:hint="eastAsia" w:ascii="仿宋_GB2312" w:hAnsi="仿宋_GB2312" w:eastAsia="仿宋_GB2312" w:cs="仿宋_GB2312"/>
          <w:color w:val="auto"/>
          <w:sz w:val="24"/>
          <w:highlight w:val="none"/>
          <w:lang w:val="en-US" w:eastAsia="zh-CN"/>
        </w:rPr>
        <w:t>或2022年度</w:t>
      </w:r>
      <w:r>
        <w:rPr>
          <w:rFonts w:hint="eastAsia" w:ascii="仿宋_GB2312" w:hAnsi="仿宋_GB2312" w:eastAsia="仿宋_GB2312" w:cs="仿宋_GB2312"/>
          <w:color w:val="auto"/>
          <w:sz w:val="24"/>
          <w:highlight w:val="none"/>
        </w:rPr>
        <w:t>的审计报告或单位财务报表或本年度基本开户银行出具的资信证明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复印件或扫描件、所有复印件或扫描件需加盖单位公章。</w:t>
      </w: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widowControl/>
        <w:jc w:val="left"/>
        <w:rPr>
          <w:rFonts w:ascii="仿宋_GB2312" w:hAnsi="仿宋_GB2312" w:eastAsia="仿宋_GB2312" w:cs="仿宋_GB2312"/>
          <w:b/>
          <w:color w:val="auto"/>
          <w:spacing w:val="20"/>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88" w:name="_Toc7005123"/>
      <w:r>
        <w:rPr>
          <w:rFonts w:hint="eastAsia" w:ascii="仿宋_GB2312" w:hAnsi="仿宋_GB2312" w:eastAsia="仿宋_GB2312" w:cs="仿宋_GB2312"/>
          <w:b/>
          <w:color w:val="auto"/>
          <w:sz w:val="24"/>
          <w:highlight w:val="none"/>
        </w:rPr>
        <w:t>6-3 依法缴纳税收的证明</w:t>
      </w:r>
      <w:bookmarkEnd w:id="488"/>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tabs>
          <w:tab w:val="left" w:pos="993"/>
          <w:tab w:val="left" w:pos="1030"/>
          <w:tab w:val="left" w:pos="8364"/>
        </w:tabs>
        <w:snapToGrid w:val="0"/>
        <w:spacing w:afterLines="50"/>
        <w:ind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缴纳增值税和企业所得税的凭证（银行出具的缴税凭证或税务机关出具的证明的复印件，并加盖本单位公章）。</w:t>
      </w:r>
    </w:p>
    <w:p>
      <w:pPr>
        <w:tabs>
          <w:tab w:val="left" w:pos="993"/>
          <w:tab w:val="left" w:pos="1030"/>
          <w:tab w:val="left" w:pos="8364"/>
        </w:tabs>
        <w:snapToGrid w:val="0"/>
        <w:spacing w:afterLines="50"/>
        <w:ind w:right="-57" w:rightChars="-27" w:firstLine="720" w:firstLineChars="3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2、依法免税的供应商，应提供相应文件证明其依法免税。</w:t>
      </w: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spacing w:after="120"/>
        <w:rPr>
          <w:rFonts w:ascii="仿宋_GB2312" w:hAnsi="仿宋_GB2312" w:eastAsia="仿宋_GB2312" w:cs="仿宋_GB2312"/>
          <w:color w:val="auto"/>
          <w:highlight w:val="none"/>
        </w:rPr>
      </w:pPr>
    </w:p>
    <w:p>
      <w:pPr>
        <w:tabs>
          <w:tab w:val="left" w:pos="993"/>
          <w:tab w:val="left" w:pos="1030"/>
          <w:tab w:val="left" w:pos="8364"/>
        </w:tabs>
        <w:snapToGrid w:val="0"/>
        <w:spacing w:afterLines="50"/>
        <w:ind w:left="420" w:right="-57" w:rightChars="-27" w:firstLine="480" w:firstLineChars="200"/>
        <w:jc w:val="left"/>
        <w:rPr>
          <w:rFonts w:ascii="仿宋_GB2312" w:hAnsi="仿宋_GB2312" w:eastAsia="仿宋_GB2312" w:cs="仿宋_GB2312"/>
          <w:color w:val="auto"/>
          <w:sz w:val="24"/>
          <w:highlight w:val="none"/>
        </w:rPr>
      </w:pPr>
    </w:p>
    <w:p>
      <w:pPr>
        <w:jc w:val="left"/>
        <w:outlineLvl w:val="2"/>
        <w:rPr>
          <w:rFonts w:ascii="仿宋_GB2312" w:hAnsi="仿宋_GB2312" w:eastAsia="仿宋_GB2312" w:cs="仿宋_GB2312"/>
          <w:b/>
          <w:color w:val="auto"/>
          <w:sz w:val="24"/>
          <w:highlight w:val="none"/>
        </w:rPr>
      </w:pPr>
      <w:bookmarkStart w:id="489" w:name="_Toc7005124"/>
      <w:r>
        <w:rPr>
          <w:rFonts w:hint="eastAsia" w:ascii="仿宋_GB2312" w:hAnsi="仿宋_GB2312" w:eastAsia="仿宋_GB2312" w:cs="仿宋_GB2312"/>
          <w:b/>
          <w:color w:val="auto"/>
          <w:sz w:val="24"/>
          <w:highlight w:val="none"/>
        </w:rPr>
        <w:t>6-4社会保障资金缴纳记录</w:t>
      </w:r>
      <w:bookmarkEnd w:id="489"/>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cr/>
      </w:r>
    </w:p>
    <w:p>
      <w:p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numPr>
          <w:ilvl w:val="0"/>
          <w:numId w:val="14"/>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供应商应提供近</w:t>
      </w:r>
      <w:r>
        <w:rPr>
          <w:rFonts w:hint="eastAsia" w:ascii="仿宋_GB2312" w:hAnsi="仿宋_GB2312" w:eastAsia="仿宋_GB2312" w:cs="仿宋_GB2312"/>
          <w:color w:val="auto"/>
          <w:sz w:val="24"/>
          <w:highlight w:val="none"/>
          <w:lang w:val="en-US" w:eastAsia="zh-CN"/>
        </w:rPr>
        <w:t>半年</w:t>
      </w:r>
      <w:r>
        <w:rPr>
          <w:rFonts w:hint="eastAsia" w:ascii="仿宋_GB2312" w:hAnsi="仿宋_GB2312" w:eastAsia="仿宋_GB2312" w:cs="仿宋_GB2312"/>
          <w:color w:val="auto"/>
          <w:sz w:val="24"/>
          <w:highlight w:val="none"/>
        </w:rPr>
        <w:t>社会缴纳社会保险的凭据（专用收据或社会保险缴纳清单），并加盖本单位公章。</w:t>
      </w:r>
    </w:p>
    <w:p>
      <w:pPr>
        <w:numPr>
          <w:ilvl w:val="0"/>
          <w:numId w:val="14"/>
        </w:numPr>
        <w:tabs>
          <w:tab w:val="left" w:pos="993"/>
          <w:tab w:val="left" w:pos="1030"/>
          <w:tab w:val="left" w:pos="8364"/>
        </w:tabs>
        <w:snapToGrid w:val="0"/>
        <w:spacing w:afterLines="50"/>
        <w:ind w:left="420" w:leftChars="200" w:right="-57" w:rightChars="-27"/>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不需要缴纳社会保障资金的供应商，应提供相应文件证明其不需要缴纳社会保障资金。</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jc w:val="left"/>
        <w:outlineLvl w:val="2"/>
        <w:rPr>
          <w:rFonts w:hint="eastAsia" w:ascii="仿宋_GB2312" w:hAnsi="仿宋_GB2312" w:eastAsia="仿宋_GB2312" w:cs="仿宋_GB2312"/>
          <w:b/>
          <w:bCs/>
          <w:color w:val="auto"/>
          <w:sz w:val="24"/>
          <w:highlight w:val="none"/>
        </w:rPr>
      </w:pPr>
      <w:bookmarkStart w:id="490" w:name="_Toc7005125"/>
    </w:p>
    <w:p>
      <w:pPr>
        <w:jc w:val="left"/>
        <w:outlineLvl w:val="2"/>
        <w:rPr>
          <w:rFonts w:hint="eastAsia" w:ascii="仿宋_GB2312" w:hAnsi="仿宋_GB2312" w:eastAsia="仿宋_GB2312" w:cs="仿宋_GB2312"/>
          <w:b/>
          <w:bCs/>
          <w:color w:val="auto"/>
          <w:sz w:val="24"/>
          <w:highlight w:val="none"/>
        </w:rPr>
      </w:pPr>
    </w:p>
    <w:p>
      <w:pPr>
        <w:jc w:val="left"/>
        <w:outlineLvl w:val="2"/>
        <w:rPr>
          <w:rFonts w:hint="eastAsia" w:ascii="仿宋_GB2312" w:hAnsi="仿宋_GB2312" w:eastAsia="仿宋_GB2312" w:cs="仿宋_GB2312"/>
          <w:b/>
          <w:bCs/>
          <w:color w:val="auto"/>
          <w:sz w:val="24"/>
          <w:highlight w:val="none"/>
        </w:rPr>
      </w:pPr>
    </w:p>
    <w:p>
      <w:pPr>
        <w:jc w:val="left"/>
        <w:outlineLvl w:val="2"/>
        <w:rPr>
          <w:rFonts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 xml:space="preserve">6-5 </w:t>
      </w:r>
      <w:r>
        <w:rPr>
          <w:rFonts w:hint="eastAsia" w:ascii="仿宋_GB2312" w:hAnsi="仿宋_GB2312" w:eastAsia="仿宋_GB2312" w:cs="仿宋_GB2312"/>
          <w:b/>
          <w:color w:val="auto"/>
          <w:sz w:val="24"/>
          <w:highlight w:val="none"/>
        </w:rPr>
        <w:t>具备履行合同所必需的设备和专业技术能力承诺书</w:t>
      </w:r>
      <w:bookmarkEnd w:id="490"/>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p>
    <w:p>
      <w:pPr>
        <w:rPr>
          <w:rFonts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eastAsia="zh-CN"/>
        </w:rPr>
        <w:t>延川县政府采购中心</w:t>
      </w:r>
      <w:r>
        <w:rPr>
          <w:rFonts w:hint="eastAsia" w:ascii="仿宋_GB2312" w:hAnsi="仿宋_GB2312" w:eastAsia="仿宋_GB2312" w:cs="仿宋_GB2312"/>
          <w:color w:val="auto"/>
          <w:kern w:val="0"/>
          <w:sz w:val="24"/>
          <w:highlight w:val="none"/>
        </w:rPr>
        <w:t xml:space="preserve">：  </w:t>
      </w:r>
    </w:p>
    <w:p>
      <w:pPr>
        <w:ind w:firstLine="480"/>
        <w:rPr>
          <w:rFonts w:ascii="仿宋_GB2312" w:hAnsi="仿宋_GB2312" w:eastAsia="仿宋_GB2312" w:cs="仿宋_GB2312"/>
          <w:color w:val="auto"/>
          <w:kern w:val="0"/>
          <w:sz w:val="24"/>
          <w:highlight w:val="none"/>
        </w:rPr>
      </w:pPr>
    </w:p>
    <w:p>
      <w:pPr>
        <w:ind w:firstLine="48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我公司承诺</w:t>
      </w:r>
      <w:r>
        <w:rPr>
          <w:rFonts w:hint="eastAsia" w:ascii="仿宋_GB2312" w:hAnsi="仿宋_GB2312" w:eastAsia="仿宋_GB2312" w:cs="仿宋_GB2312"/>
          <w:color w:val="auto"/>
          <w:sz w:val="24"/>
          <w:highlight w:val="none"/>
        </w:rPr>
        <w:t>具备履行合同所必需的设备和专业技术能力</w:t>
      </w:r>
      <w:r>
        <w:rPr>
          <w:rFonts w:hint="eastAsia" w:ascii="仿宋_GB2312" w:hAnsi="仿宋_GB2312" w:eastAsia="仿宋_GB2312" w:cs="仿宋_GB2312"/>
          <w:color w:val="auto"/>
          <w:kern w:val="0"/>
          <w:sz w:val="24"/>
          <w:highlight w:val="none"/>
        </w:rPr>
        <w:t>。</w:t>
      </w: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ind w:firstLine="480"/>
        <w:rPr>
          <w:rFonts w:ascii="仿宋_GB2312" w:hAnsi="仿宋_GB2312" w:eastAsia="仿宋_GB2312" w:cs="仿宋_GB2312"/>
          <w:b/>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right="280"/>
        <w:rPr>
          <w:rFonts w:ascii="仿宋_GB2312" w:hAnsi="仿宋_GB2312" w:eastAsia="仿宋_GB2312" w:cs="仿宋_GB2312"/>
          <w:color w:val="auto"/>
          <w:sz w:val="24"/>
          <w:highlight w:val="none"/>
        </w:rPr>
      </w:pP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widowControl/>
        <w:jc w:val="left"/>
        <w:rPr>
          <w:rFonts w:ascii="仿宋_GB2312" w:hAnsi="仿宋_GB2312" w:eastAsia="仿宋_GB2312" w:cs="仿宋_GB2312"/>
          <w:b/>
          <w:color w:val="auto"/>
          <w:sz w:val="24"/>
          <w:highlight w:val="none"/>
        </w:rPr>
      </w:pPr>
    </w:p>
    <w:p>
      <w:pPr>
        <w:numPr>
          <w:ilvl w:val="1"/>
          <w:numId w:val="15"/>
        </w:numPr>
        <w:jc w:val="left"/>
        <w:outlineLvl w:val="2"/>
        <w:rPr>
          <w:rFonts w:ascii="仿宋_GB2312" w:hAnsi="仿宋_GB2312" w:eastAsia="仿宋_GB2312" w:cs="仿宋_GB2312"/>
          <w:b/>
          <w:color w:val="auto"/>
          <w:sz w:val="24"/>
          <w:szCs w:val="22"/>
          <w:highlight w:val="none"/>
        </w:rPr>
      </w:pPr>
      <w:bookmarkStart w:id="491" w:name="_Toc7005126"/>
      <w:r>
        <w:rPr>
          <w:rFonts w:hint="eastAsia" w:ascii="仿宋_GB2312" w:hAnsi="仿宋_GB2312" w:eastAsia="仿宋_GB2312" w:cs="仿宋_GB2312"/>
          <w:b/>
          <w:color w:val="auto"/>
          <w:sz w:val="24"/>
          <w:szCs w:val="22"/>
          <w:highlight w:val="none"/>
        </w:rPr>
        <w:t>供应商参加政府采购活动前3年内在经营活动中没有重大违法记录的书面声明（格式）</w:t>
      </w:r>
      <w:bookmarkEnd w:id="491"/>
    </w:p>
    <w:p>
      <w:pPr>
        <w:jc w:val="center"/>
        <w:rPr>
          <w:rFonts w:ascii="仿宋_GB2312" w:hAnsi="仿宋_GB2312" w:eastAsia="仿宋_GB2312" w:cs="仿宋_GB2312"/>
          <w:color w:val="auto"/>
          <w:sz w:val="24"/>
          <w:highlight w:val="none"/>
        </w:rPr>
      </w:pPr>
    </w:p>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声明函</w:t>
      </w:r>
    </w:p>
    <w:p>
      <w:pPr>
        <w:jc w:val="center"/>
        <w:rPr>
          <w:rFonts w:ascii="仿宋_GB2312" w:hAnsi="仿宋_GB2312" w:eastAsia="仿宋_GB2312" w:cs="仿宋_GB2312"/>
          <w:color w:val="auto"/>
          <w:sz w:val="24"/>
          <w:highlight w:val="none"/>
        </w:rPr>
      </w:pPr>
    </w:p>
    <w:p>
      <w:pPr>
        <w:tabs>
          <w:tab w:val="left" w:pos="5580"/>
        </w:tabs>
        <w:spacing w:before="120"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延川县政府采购中心</w:t>
      </w:r>
      <w:r>
        <w:rPr>
          <w:rFonts w:hint="eastAsia" w:ascii="仿宋_GB2312" w:hAnsi="仿宋_GB2312" w:eastAsia="仿宋_GB2312" w:cs="仿宋_GB2312"/>
          <w:color w:val="auto"/>
          <w:sz w:val="24"/>
          <w:highlight w:val="none"/>
        </w:rPr>
        <w:t>：</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特此声明。</w:t>
      </w:r>
    </w:p>
    <w:p>
      <w:pPr>
        <w:tabs>
          <w:tab w:val="left" w:pos="5580"/>
        </w:tabs>
        <w:spacing w:before="120"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after="120"/>
        <w:rPr>
          <w:rFonts w:ascii="仿宋_GB2312" w:hAnsi="仿宋_GB2312" w:eastAsia="仿宋_GB2312" w:cs="仿宋_GB2312"/>
          <w:color w:val="auto"/>
          <w:highlight w:val="none"/>
        </w:rPr>
      </w:pPr>
    </w:p>
    <w:p>
      <w:pPr>
        <w:spacing w:after="120"/>
        <w:rPr>
          <w:rFonts w:ascii="仿宋_GB2312" w:hAnsi="仿宋_GB2312" w:eastAsia="仿宋_GB2312" w:cs="仿宋_GB2312"/>
          <w:color w:val="auto"/>
          <w:highlight w:val="none"/>
        </w:rPr>
      </w:pPr>
    </w:p>
    <w:p>
      <w:pPr>
        <w:spacing w:line="360" w:lineRule="auto"/>
        <w:rPr>
          <w:rFonts w:ascii="仿宋_GB2312" w:hAnsi="仿宋_GB2312" w:eastAsia="仿宋_GB2312" w:cs="仿宋_GB2312"/>
          <w:color w:val="auto"/>
          <w:sz w:val="24"/>
          <w:szCs w:val="21"/>
          <w:highlight w:val="none"/>
          <w:u w:val="single"/>
        </w:rPr>
      </w:pPr>
    </w:p>
    <w:p>
      <w:pPr>
        <w:numPr>
          <w:ilvl w:val="1"/>
          <w:numId w:val="16"/>
        </w:numPr>
        <w:jc w:val="left"/>
        <w:outlineLvl w:val="2"/>
        <w:rPr>
          <w:rFonts w:ascii="仿宋_GB2312" w:hAnsi="仿宋_GB2312" w:eastAsia="仿宋_GB2312" w:cs="仿宋_GB2312"/>
          <w:b/>
          <w:color w:val="auto"/>
          <w:sz w:val="24"/>
          <w:szCs w:val="22"/>
          <w:highlight w:val="none"/>
        </w:rPr>
      </w:pPr>
      <w:bookmarkStart w:id="492" w:name="_Toc7005127"/>
      <w:r>
        <w:rPr>
          <w:rFonts w:hint="eastAsia" w:ascii="仿宋_GB2312" w:hAnsi="仿宋_GB2312" w:eastAsia="仿宋_GB2312" w:cs="仿宋_GB2312"/>
          <w:b/>
          <w:color w:val="auto"/>
          <w:sz w:val="24"/>
          <w:szCs w:val="22"/>
          <w:highlight w:val="none"/>
        </w:rPr>
        <w:t xml:space="preserve"> 供应商控股股东名称、控股公司的名称和存在管理、被管理关系的单位名称说明</w:t>
      </w:r>
      <w:bookmarkEnd w:id="492"/>
    </w:p>
    <w:p>
      <w:pPr>
        <w:ind w:firstLine="420"/>
        <w:rPr>
          <w:rFonts w:ascii="仿宋_GB2312" w:hAnsi="仿宋_GB2312" w:eastAsia="仿宋_GB2312" w:cs="仿宋_GB2312"/>
          <w:color w:val="auto"/>
          <w:szCs w:val="21"/>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延川县政府采购中心</w:t>
      </w:r>
      <w:r>
        <w:rPr>
          <w:rFonts w:hint="eastAsia" w:ascii="仿宋_GB2312" w:hAnsi="仿宋_GB2312" w:eastAsia="仿宋_GB2312" w:cs="仿宋_GB2312"/>
          <w:color w:val="auto"/>
          <w:sz w:val="24"/>
          <w:highlight w:val="none"/>
        </w:rPr>
        <w:t>：</w:t>
      </w:r>
    </w:p>
    <w:p>
      <w:pPr>
        <w:spacing w:after="120"/>
        <w:rPr>
          <w:rFonts w:ascii="仿宋_GB2312" w:hAnsi="仿宋_GB2312" w:eastAsia="仿宋_GB2312" w:cs="仿宋_GB2312"/>
          <w:color w:val="auto"/>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与我方的法定代表人（单位负责人）为同一人的企业如下：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我方的控股股东如下：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我方直接控股的企业如下：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与我方存在管理、被管理关系的单位名称如下：</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ind w:firstLine="420" w:firstLineChars="200"/>
        <w:rPr>
          <w:rFonts w:ascii="仿宋_GB2312" w:hAnsi="仿宋_GB2312" w:eastAsia="仿宋_GB2312" w:cs="仿宋_GB2312"/>
          <w:color w:val="auto"/>
          <w:szCs w:val="21"/>
          <w:highlight w:val="none"/>
        </w:rPr>
      </w:pPr>
    </w:p>
    <w:p>
      <w:pPr>
        <w:numPr>
          <w:ilvl w:val="1"/>
          <w:numId w:val="16"/>
        </w:numPr>
        <w:jc w:val="left"/>
        <w:outlineLvl w:val="2"/>
        <w:rPr>
          <w:rFonts w:ascii="仿宋_GB2312" w:hAnsi="仿宋_GB2312" w:eastAsia="仿宋_GB2312" w:cs="仿宋_GB2312"/>
          <w:b/>
          <w:color w:val="auto"/>
          <w:sz w:val="24"/>
          <w:szCs w:val="22"/>
          <w:highlight w:val="none"/>
        </w:rPr>
      </w:pPr>
      <w:bookmarkStart w:id="493" w:name="_Toc7005128"/>
      <w:r>
        <w:rPr>
          <w:rFonts w:hint="eastAsia" w:ascii="仿宋_GB2312" w:hAnsi="仿宋_GB2312" w:eastAsia="仿宋_GB2312" w:cs="仿宋_GB2312"/>
          <w:b/>
          <w:color w:val="auto"/>
          <w:sz w:val="24"/>
          <w:szCs w:val="22"/>
          <w:highlight w:val="none"/>
        </w:rPr>
        <w:t xml:space="preserve"> 供应商是否属于为本项目提供整体设计、规范编制或者项目管理、监理、检测等服务的供应商声明</w:t>
      </w:r>
      <w:bookmarkEnd w:id="493"/>
    </w:p>
    <w:p>
      <w:pPr>
        <w:ind w:firstLine="420"/>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Cs w:val="21"/>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延川县政府采购中心</w:t>
      </w:r>
      <w:r>
        <w:rPr>
          <w:rFonts w:hint="eastAsia" w:ascii="仿宋_GB2312" w:hAnsi="仿宋_GB2312" w:eastAsia="仿宋_GB2312" w:cs="仿宋_GB2312"/>
          <w:color w:val="auto"/>
          <w:sz w:val="24"/>
          <w:highlight w:val="none"/>
        </w:rPr>
        <w:t>：</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i/>
          <w:iCs/>
          <w:color w:val="auto"/>
          <w:sz w:val="24"/>
          <w:highlight w:val="none"/>
          <w:u w:val="single"/>
        </w:rPr>
        <w:t xml:space="preserve"> </w:t>
      </w:r>
      <w:r>
        <w:rPr>
          <w:rFonts w:hint="eastAsia" w:ascii="仿宋_GB2312" w:hAnsi="仿宋_GB2312" w:eastAsia="仿宋_GB2312" w:cs="仿宋_GB2312"/>
          <w:i/>
          <w:iCs/>
          <w:color w:val="auto"/>
          <w:sz w:val="24"/>
          <w:highlight w:val="none"/>
          <w:u w:val="single"/>
          <w:lang w:val="en-US" w:eastAsia="zh-CN"/>
        </w:rPr>
        <w:t xml:space="preserve">    </w:t>
      </w:r>
      <w:r>
        <w:rPr>
          <w:rFonts w:hint="eastAsia" w:ascii="仿宋_GB2312" w:hAnsi="仿宋_GB2312" w:eastAsia="仿宋_GB2312" w:cs="仿宋_GB2312"/>
          <w:i/>
          <w:iCs/>
          <w:color w:val="auto"/>
          <w:sz w:val="24"/>
          <w:highlight w:val="none"/>
          <w:u w:val="single"/>
        </w:rPr>
        <w:t xml:space="preserve"> </w:t>
      </w:r>
      <w:r>
        <w:rPr>
          <w:rFonts w:hint="eastAsia" w:ascii="仿宋_GB2312" w:hAnsi="仿宋_GB2312" w:eastAsia="仿宋_GB2312" w:cs="仿宋_GB2312"/>
          <w:color w:val="auto"/>
          <w:sz w:val="24"/>
          <w:highlight w:val="none"/>
        </w:rPr>
        <w:t>为本项目提供整体设计、规范编制或者项目管理、监理、检测等服务的供应商。</w:t>
      </w:r>
    </w:p>
    <w:p>
      <w:pPr>
        <w:ind w:firstLine="426"/>
        <w:rPr>
          <w:rFonts w:ascii="仿宋_GB2312" w:hAnsi="仿宋_GB2312" w:eastAsia="仿宋_GB2312" w:cs="仿宋_GB2312"/>
          <w:color w:val="auto"/>
          <w:sz w:val="24"/>
          <w:highlight w:val="none"/>
        </w:rPr>
      </w:pPr>
    </w:p>
    <w:p>
      <w:pPr>
        <w:ind w:firstLine="426"/>
        <w:rPr>
          <w:rFonts w:ascii="仿宋_GB2312" w:hAnsi="仿宋_GB2312" w:eastAsia="仿宋_GB2312" w:cs="仿宋_GB2312"/>
          <w:color w:val="auto"/>
          <w:szCs w:val="21"/>
          <w:highlight w:val="none"/>
        </w:rPr>
      </w:pPr>
      <w:bookmarkStart w:id="510" w:name="_GoBack"/>
      <w:bookmarkEnd w:id="510"/>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widowControl/>
        <w:jc w:val="left"/>
        <w:rPr>
          <w:rFonts w:ascii="仿宋_GB2312" w:hAnsi="仿宋_GB2312" w:eastAsia="仿宋_GB2312" w:cs="仿宋_GB2312"/>
          <w:color w:val="auto"/>
          <w:sz w:val="24"/>
          <w:szCs w:val="21"/>
          <w:highlight w:val="none"/>
          <w:u w:val="single"/>
        </w:rPr>
      </w:pPr>
    </w:p>
    <w:p>
      <w:pPr>
        <w:rPr>
          <w:rFonts w:ascii="仿宋_GB2312" w:hAnsi="仿宋_GB2312" w:eastAsia="仿宋_GB2312" w:cs="仿宋_GB2312"/>
          <w:color w:val="auto"/>
          <w:sz w:val="24"/>
          <w:highlight w:val="none"/>
        </w:rPr>
      </w:pPr>
    </w:p>
    <w:p>
      <w:pPr>
        <w:spacing w:after="120"/>
        <w:rPr>
          <w:rFonts w:hint="eastAsia" w:ascii="仿宋_GB2312" w:hAnsi="仿宋_GB2312" w:eastAsia="仿宋_GB2312" w:cs="仿宋_GB2312"/>
          <w:b/>
          <w:color w:val="auto"/>
          <w:sz w:val="24"/>
          <w:highlight w:val="none"/>
        </w:rPr>
      </w:pPr>
      <w:bookmarkStart w:id="494" w:name="_Toc7005129"/>
    </w:p>
    <w:p>
      <w:pPr>
        <w:spacing w:after="120"/>
        <w:rPr>
          <w:rFonts w:hint="eastAsia" w:ascii="仿宋_GB2312" w:hAnsi="仿宋_GB2312" w:eastAsia="仿宋_GB2312" w:cs="仿宋_GB2312"/>
          <w:b/>
          <w:color w:val="auto"/>
          <w:sz w:val="24"/>
          <w:highlight w:val="none"/>
        </w:rPr>
      </w:pPr>
    </w:p>
    <w:p>
      <w:pPr>
        <w:spacing w:after="12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6-9</w:t>
      </w:r>
      <w:bookmarkEnd w:id="494"/>
      <w:r>
        <w:rPr>
          <w:rFonts w:hint="eastAsia" w:ascii="仿宋_GB2312" w:hAnsi="仿宋_GB2312" w:eastAsia="仿宋_GB2312" w:cs="仿宋_GB2312"/>
          <w:b/>
          <w:color w:val="auto"/>
          <w:sz w:val="24"/>
          <w:highlight w:val="none"/>
        </w:rPr>
        <w:t>供应商须具备建设行政主管部门颁发的工程设计综合资质乙级或建筑行业（建筑工程）专业乙级及以上资质；拟派项目负责人须具有注册建筑师执业资格</w:t>
      </w:r>
    </w:p>
    <w:p>
      <w:pPr>
        <w:pStyle w:val="23"/>
        <w:rPr>
          <w:rFonts w:hint="eastAsia" w:ascii="仿宋_GB2312" w:hAnsi="仿宋_GB2312" w:eastAsia="仿宋_GB2312" w:cs="仿宋_GB2312"/>
          <w:b/>
          <w:color w:val="auto"/>
          <w:sz w:val="28"/>
          <w:szCs w:val="28"/>
          <w:highlight w:val="none"/>
        </w:rPr>
      </w:pPr>
      <w:r>
        <w:rPr>
          <w:color w:val="auto"/>
          <w:highlight w:val="none"/>
        </w:rPr>
        <w:br w:type="page"/>
      </w:r>
    </w:p>
    <w:p>
      <w:pPr>
        <w:pStyle w:val="196"/>
        <w:ind w:firstLine="3052" w:firstLineChars="950"/>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 xml:space="preserve">第四部分 </w:t>
      </w:r>
      <w:r>
        <w:rPr>
          <w:rFonts w:hint="eastAsia" w:ascii="仿宋" w:hAnsi="仿宋" w:eastAsia="仿宋"/>
          <w:b/>
          <w:color w:val="auto"/>
          <w:sz w:val="32"/>
          <w:szCs w:val="32"/>
          <w:highlight w:val="none"/>
        </w:rPr>
        <w:t>偏离表</w:t>
      </w:r>
    </w:p>
    <w:p>
      <w:pPr>
        <w:autoSpaceDE w:val="0"/>
        <w:autoSpaceDN w:val="0"/>
        <w:adjustRightInd w:val="0"/>
        <w:snapToGrid w:val="0"/>
        <w:spacing w:line="36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一、商务、合同条款偏离表</w:t>
      </w:r>
    </w:p>
    <w:p>
      <w:pPr>
        <w:pStyle w:val="29"/>
        <w:ind w:left="645" w:leftChars="307" w:right="560" w:firstLine="120" w:firstLineChars="50"/>
        <w:rPr>
          <w:rFonts w:hint="default" w:ascii="仿宋_GB2312" w:hAnsi="仿宋_GB2312" w:eastAsia="微软雅黑"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项目编号:</w:t>
      </w:r>
      <w:r>
        <w:rPr>
          <w:rFonts w:ascii="微软雅黑" w:hAnsi="微软雅黑" w:eastAsia="微软雅黑" w:cs="微软雅黑"/>
          <w:i w:val="0"/>
          <w:iCs w:val="0"/>
          <w:caps w:val="0"/>
          <w:color w:val="333333"/>
          <w:spacing w:val="0"/>
          <w:sz w:val="21"/>
          <w:szCs w:val="21"/>
          <w:shd w:val="clear" w:fill="FFFFFF"/>
        </w:rPr>
        <w:t>ZCSP-延川县-202</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ascii="微软雅黑" w:hAnsi="微软雅黑" w:eastAsia="微软雅黑" w:cs="微软雅黑"/>
          <w:i w:val="0"/>
          <w:iCs w:val="0"/>
          <w:caps w:val="0"/>
          <w:color w:val="333333"/>
          <w:spacing w:val="0"/>
          <w:sz w:val="21"/>
          <w:szCs w:val="21"/>
          <w:shd w:val="clear" w:fill="FFFFFF"/>
        </w:rPr>
        <w:t>-00</w:t>
      </w:r>
      <w:r>
        <w:rPr>
          <w:rFonts w:hint="eastAsia" w:ascii="微软雅黑" w:hAnsi="微软雅黑" w:eastAsia="微软雅黑" w:cs="微软雅黑"/>
          <w:i w:val="0"/>
          <w:iCs w:val="0"/>
          <w:caps w:val="0"/>
          <w:color w:val="333333"/>
          <w:spacing w:val="0"/>
          <w:sz w:val="21"/>
          <w:szCs w:val="21"/>
          <w:shd w:val="clear" w:fill="FFFFFF"/>
          <w:lang w:val="en-US" w:eastAsia="zh-CN"/>
        </w:rPr>
        <w:t>022</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835"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磋商文件商务、合同条款</w:t>
            </w:r>
          </w:p>
        </w:tc>
        <w:tc>
          <w:tcPr>
            <w:tcW w:w="1701"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完全响应</w:t>
            </w:r>
          </w:p>
        </w:tc>
        <w:tc>
          <w:tcPr>
            <w:tcW w:w="1417"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有偏离</w:t>
            </w:r>
          </w:p>
        </w:tc>
        <w:tc>
          <w:tcPr>
            <w:tcW w:w="2195"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仿宋_GB2312" w:hAnsi="仿宋_GB2312" w:eastAsia="仿宋_GB2312" w:cs="仿宋_GB2312"/>
                <w:color w:val="auto"/>
                <w:sz w:val="24"/>
                <w:szCs w:val="24"/>
                <w:highlight w:val="none"/>
              </w:rPr>
            </w:pPr>
          </w:p>
        </w:tc>
        <w:tc>
          <w:tcPr>
            <w:tcW w:w="2835" w:type="dxa"/>
          </w:tcPr>
          <w:p>
            <w:pPr>
              <w:pStyle w:val="29"/>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(服务地点)</w:t>
            </w:r>
          </w:p>
        </w:tc>
        <w:tc>
          <w:tcPr>
            <w:tcW w:w="1701" w:type="dxa"/>
          </w:tcPr>
          <w:p>
            <w:pPr>
              <w:pStyle w:val="29"/>
              <w:jc w:val="center"/>
              <w:rPr>
                <w:rFonts w:ascii="仿宋_GB2312" w:hAnsi="仿宋_GB2312" w:eastAsia="仿宋_GB2312" w:cs="仿宋_GB2312"/>
                <w:color w:val="auto"/>
                <w:sz w:val="24"/>
                <w:szCs w:val="24"/>
                <w:highlight w:val="none"/>
              </w:rPr>
            </w:pPr>
          </w:p>
        </w:tc>
        <w:tc>
          <w:tcPr>
            <w:tcW w:w="1417" w:type="dxa"/>
          </w:tcPr>
          <w:p>
            <w:pPr>
              <w:pStyle w:val="29"/>
              <w:jc w:val="center"/>
              <w:rPr>
                <w:rFonts w:ascii="仿宋_GB2312" w:hAnsi="仿宋_GB2312" w:eastAsia="仿宋_GB2312" w:cs="仿宋_GB2312"/>
                <w:color w:val="auto"/>
                <w:sz w:val="24"/>
                <w:szCs w:val="24"/>
                <w:highlight w:val="none"/>
              </w:rPr>
            </w:pPr>
          </w:p>
        </w:tc>
        <w:tc>
          <w:tcPr>
            <w:tcW w:w="2195" w:type="dxa"/>
          </w:tcPr>
          <w:p>
            <w:pPr>
              <w:pStyle w:val="29"/>
              <w:jc w:val="center"/>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(服务期)</w:t>
            </w:r>
          </w:p>
        </w:tc>
        <w:tc>
          <w:tcPr>
            <w:tcW w:w="1701" w:type="dxa"/>
          </w:tcPr>
          <w:p>
            <w:pPr>
              <w:pStyle w:val="29"/>
              <w:ind w:left="1080" w:leftChars="257" w:hanging="540"/>
              <w:jc w:val="center"/>
              <w:rPr>
                <w:rFonts w:ascii="仿宋_GB2312" w:hAnsi="仿宋_GB2312" w:eastAsia="仿宋_GB2312" w:cs="仿宋_GB2312"/>
                <w:color w:val="auto"/>
                <w:sz w:val="24"/>
                <w:szCs w:val="24"/>
                <w:highlight w:val="none"/>
              </w:rPr>
            </w:pPr>
          </w:p>
        </w:tc>
        <w:tc>
          <w:tcPr>
            <w:tcW w:w="1417" w:type="dxa"/>
          </w:tcPr>
          <w:p>
            <w:pPr>
              <w:pStyle w:val="29"/>
              <w:ind w:left="1080" w:leftChars="257" w:hanging="540"/>
              <w:jc w:val="center"/>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(付款方式)</w:t>
            </w: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w:t>
            </w: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vAlign w:val="center"/>
          </w:tcPr>
          <w:p>
            <w:pPr>
              <w:spacing w:line="360" w:lineRule="auto"/>
              <w:jc w:val="center"/>
              <w:rPr>
                <w:rFonts w:ascii="仿宋_GB2312" w:hAnsi="仿宋_GB2312" w:eastAsia="仿宋_GB2312" w:cs="仿宋_GB2312"/>
                <w:bCs/>
                <w:color w:val="auto"/>
                <w:sz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仿宋_GB2312" w:hAnsi="仿宋_GB2312" w:eastAsia="仿宋_GB2312" w:cs="仿宋_GB2312"/>
                <w:color w:val="auto"/>
                <w:sz w:val="24"/>
                <w:szCs w:val="24"/>
                <w:highlight w:val="none"/>
              </w:rPr>
            </w:pPr>
          </w:p>
        </w:tc>
        <w:tc>
          <w:tcPr>
            <w:tcW w:w="2835" w:type="dxa"/>
          </w:tcPr>
          <w:p>
            <w:pPr>
              <w:pStyle w:val="29"/>
              <w:ind w:left="1080" w:leftChars="257" w:hanging="540"/>
              <w:rPr>
                <w:rFonts w:ascii="仿宋_GB2312" w:hAnsi="仿宋_GB2312" w:eastAsia="仿宋_GB2312" w:cs="仿宋_GB2312"/>
                <w:color w:val="auto"/>
                <w:sz w:val="24"/>
                <w:szCs w:val="24"/>
                <w:highlight w:val="none"/>
              </w:rPr>
            </w:pPr>
          </w:p>
        </w:tc>
        <w:tc>
          <w:tcPr>
            <w:tcW w:w="1701" w:type="dxa"/>
          </w:tcPr>
          <w:p>
            <w:pPr>
              <w:pStyle w:val="29"/>
              <w:ind w:left="1080" w:leftChars="257" w:hanging="540"/>
              <w:rPr>
                <w:rFonts w:ascii="仿宋_GB2312" w:hAnsi="仿宋_GB2312" w:eastAsia="仿宋_GB2312" w:cs="仿宋_GB2312"/>
                <w:color w:val="auto"/>
                <w:sz w:val="24"/>
                <w:szCs w:val="24"/>
                <w:highlight w:val="none"/>
              </w:rPr>
            </w:pPr>
          </w:p>
        </w:tc>
        <w:tc>
          <w:tcPr>
            <w:tcW w:w="1417" w:type="dxa"/>
          </w:tcPr>
          <w:p>
            <w:pPr>
              <w:pStyle w:val="29"/>
              <w:ind w:left="1080" w:leftChars="257" w:hanging="540"/>
              <w:rPr>
                <w:rFonts w:ascii="仿宋_GB2312" w:hAnsi="仿宋_GB2312" w:eastAsia="仿宋_GB2312" w:cs="仿宋_GB2312"/>
                <w:color w:val="auto"/>
                <w:sz w:val="24"/>
                <w:szCs w:val="24"/>
                <w:highlight w:val="none"/>
              </w:rPr>
            </w:pPr>
          </w:p>
        </w:tc>
        <w:tc>
          <w:tcPr>
            <w:tcW w:w="2195" w:type="dxa"/>
          </w:tcPr>
          <w:p>
            <w:pPr>
              <w:pStyle w:val="29"/>
              <w:ind w:left="1080" w:leftChars="257" w:hanging="540"/>
              <w:rPr>
                <w:rFonts w:ascii="仿宋_GB2312" w:hAnsi="仿宋_GB2312" w:eastAsia="仿宋_GB2312" w:cs="仿宋_GB2312"/>
                <w:color w:val="auto"/>
                <w:sz w:val="24"/>
                <w:szCs w:val="24"/>
                <w:highlight w:val="none"/>
              </w:rPr>
            </w:pPr>
          </w:p>
        </w:tc>
      </w:tr>
    </w:tbl>
    <w:p>
      <w:pPr>
        <w:pStyle w:val="29"/>
        <w:ind w:left="1080" w:leftChars="257" w:hanging="540"/>
        <w:rPr>
          <w:rFonts w:ascii="仿宋_GB2312" w:hAnsi="仿宋_GB2312" w:eastAsia="仿宋_GB2312" w:cs="仿宋_GB2312"/>
          <w:color w:val="auto"/>
          <w:sz w:val="24"/>
          <w:szCs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供应商（公章）： 法定代表人或其授权代表（签字或盖章）：</w:t>
      </w:r>
    </w:p>
    <w:p>
      <w:pPr>
        <w:spacing w:before="120" w:after="120" w:line="360" w:lineRule="auto"/>
        <w:ind w:firstLine="4320" w:firstLineChars="18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napToGrid w:val="0"/>
        <w:spacing w:afterLines="50"/>
        <w:ind w:left="910" w:leftChars="203" w:hanging="48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注：</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1、对完全响应的，在下表相应列中标注“○”。对有偏离的条目在本表相应列中标注“正偏离”或“负偏离”，并在“偏离简述”栏中加以说明。</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2、正偏离是指应答的条件高于磋商文件要求，负偏离是指应答的条件低于磋商文件要求，正偏离项目不作扣分处理。</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3、供应商须完整填写响应表。如果未完整填写本表的各项内容则视作供应商已经对磋商文件相关要求和内容完全理解并同意，其报价为在此基础上的完全价格。</w:t>
      </w:r>
    </w:p>
    <w:p>
      <w:pPr>
        <w:snapToGrid w:val="0"/>
        <w:spacing w:afterLines="50"/>
        <w:ind w:left="842" w:leftChars="401"/>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仿宋_GB2312" w:hAnsi="仿宋_GB2312" w:eastAsia="仿宋_GB2312" w:cs="仿宋_GB2312"/>
          <w:color w:val="auto"/>
          <w:sz w:val="24"/>
          <w:szCs w:val="24"/>
          <w:highlight w:val="none"/>
        </w:rPr>
      </w:pPr>
    </w:p>
    <w:p>
      <w:pPr>
        <w:jc w:val="center"/>
        <w:rPr>
          <w:rFonts w:ascii="仿宋_GB2312" w:hAnsi="仿宋_GB2312" w:eastAsia="仿宋_GB2312" w:cs="仿宋_GB2312"/>
          <w:b/>
          <w:color w:val="auto"/>
          <w:sz w:val="28"/>
          <w:szCs w:val="28"/>
          <w:highlight w:val="none"/>
        </w:rPr>
      </w:pPr>
      <w:bookmarkStart w:id="495" w:name="_Toc414445775"/>
      <w:bookmarkStart w:id="496" w:name="_Toc7005136"/>
      <w:bookmarkStart w:id="497" w:name="_Toc410631184"/>
      <w:bookmarkStart w:id="498" w:name="_Toc416103825"/>
      <w:r>
        <w:rPr>
          <w:rFonts w:hint="eastAsia" w:ascii="仿宋_GB2312" w:hAnsi="仿宋_GB2312" w:eastAsia="仿宋_GB2312" w:cs="仿宋_GB2312"/>
          <w:b/>
          <w:color w:val="auto"/>
          <w:sz w:val="28"/>
          <w:szCs w:val="28"/>
          <w:highlight w:val="none"/>
        </w:rPr>
        <w:br w:type="page"/>
      </w:r>
      <w:r>
        <w:rPr>
          <w:rFonts w:hint="eastAsia" w:ascii="仿宋_GB2312" w:hAnsi="仿宋_GB2312" w:eastAsia="仿宋_GB2312" w:cs="仿宋_GB2312"/>
          <w:b/>
          <w:color w:val="auto"/>
          <w:sz w:val="28"/>
          <w:szCs w:val="28"/>
          <w:highlight w:val="none"/>
        </w:rPr>
        <w:t>二、技术偏离表</w:t>
      </w:r>
      <w:bookmarkEnd w:id="495"/>
      <w:bookmarkEnd w:id="496"/>
      <w:bookmarkEnd w:id="497"/>
      <w:bookmarkEnd w:id="498"/>
    </w:p>
    <w:p>
      <w:pPr>
        <w:spacing w:after="240"/>
        <w:ind w:hanging="119"/>
        <w:rPr>
          <w:rFonts w:ascii="仿宋_GB2312" w:hAnsi="仿宋_GB2312" w:eastAsia="仿宋_GB2312" w:cs="仿宋_GB2312"/>
          <w:color w:val="auto"/>
          <w:highlight w:val="none"/>
        </w:rPr>
      </w:pPr>
    </w:p>
    <w:p>
      <w:pPr>
        <w:spacing w:after="240"/>
        <w:ind w:left="105" w:leftChars="50" w:firstLine="360" w:firstLineChars="15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ZCSP-延川县-202</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lang w:eastAsia="zh-CN"/>
        </w:rPr>
        <w:t>-00</w:t>
      </w:r>
      <w:r>
        <w:rPr>
          <w:rFonts w:hint="eastAsia" w:ascii="仿宋_GB2312" w:hAnsi="仿宋_GB2312" w:eastAsia="仿宋_GB2312" w:cs="仿宋_GB2312"/>
          <w:color w:val="auto"/>
          <w:sz w:val="24"/>
          <w:highlight w:val="none"/>
          <w:lang w:val="en-US" w:eastAsia="zh-CN"/>
        </w:rPr>
        <w:t>022</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磋商文件条目号</w:t>
            </w:r>
          </w:p>
        </w:tc>
        <w:tc>
          <w:tcPr>
            <w:tcW w:w="1932"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技术条款要求</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完全响应</w:t>
            </w:r>
          </w:p>
        </w:tc>
        <w:tc>
          <w:tcPr>
            <w:tcW w:w="1236"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有偏离</w:t>
            </w:r>
          </w:p>
        </w:tc>
        <w:tc>
          <w:tcPr>
            <w:tcW w:w="2394" w:type="dxa"/>
          </w:tcPr>
          <w:p>
            <w:pPr>
              <w:spacing w:line="40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color w:val="auto"/>
                <w:sz w:val="24"/>
                <w:highlight w:val="none"/>
              </w:rPr>
            </w:pPr>
          </w:p>
        </w:tc>
        <w:tc>
          <w:tcPr>
            <w:tcW w:w="1932" w:type="dxa"/>
          </w:tcPr>
          <w:p>
            <w:pPr>
              <w:spacing w:line="400" w:lineRule="exact"/>
              <w:rPr>
                <w:rFonts w:ascii="仿宋_GB2312" w:hAnsi="仿宋_GB2312" w:eastAsia="仿宋_GB2312" w:cs="仿宋_GB2312"/>
                <w:bCs/>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1236" w:type="dxa"/>
          </w:tcPr>
          <w:p>
            <w:pPr>
              <w:spacing w:line="400" w:lineRule="exact"/>
              <w:rPr>
                <w:rFonts w:ascii="仿宋_GB2312" w:hAnsi="仿宋_GB2312" w:eastAsia="仿宋_GB2312" w:cs="仿宋_GB2312"/>
                <w:color w:val="auto"/>
                <w:sz w:val="24"/>
                <w:highlight w:val="none"/>
              </w:rPr>
            </w:pPr>
          </w:p>
        </w:tc>
        <w:tc>
          <w:tcPr>
            <w:tcW w:w="2394" w:type="dxa"/>
          </w:tcPr>
          <w:p>
            <w:pPr>
              <w:spacing w:line="400" w:lineRule="exact"/>
              <w:rPr>
                <w:rFonts w:ascii="仿宋_GB2312" w:hAnsi="仿宋_GB2312" w:eastAsia="仿宋_GB2312" w:cs="仿宋_GB2312"/>
                <w:color w:val="auto"/>
                <w:sz w:val="24"/>
                <w:highlight w:val="none"/>
              </w:rPr>
            </w:pPr>
          </w:p>
        </w:tc>
      </w:tr>
    </w:tbl>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法定代表人或其授权代表（签字或盖章）：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spacing w:line="360" w:lineRule="auto"/>
        <w:rPr>
          <w:rFonts w:ascii="仿宋_GB2312" w:hAnsi="仿宋_GB2312" w:eastAsia="仿宋_GB2312" w:cs="仿宋_GB2312"/>
          <w:color w:val="auto"/>
          <w:highlight w:val="none"/>
        </w:rPr>
      </w:pPr>
    </w:p>
    <w:p>
      <w:pPr>
        <w:snapToGrid w:val="0"/>
        <w:spacing w:afterLines="50"/>
        <w:ind w:left="850" w:hanging="850" w:hangingChars="405"/>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注：1.</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对完全响应的条目在本表相应列中标注“</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”。对有偏离的条目在本表相应列中标注“正偏离”或“负偏离”。并在“偏离简述”栏中加以说明。</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正偏离是指应答的条件高于磋商文件要求，负偏离是指应答的条件低于磋商文件要求，正偏离项目不作扣分处理。</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Lines="50"/>
        <w:ind w:left="850" w:leftChars="203" w:hanging="424" w:hangingChars="202"/>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ab/>
      </w:r>
      <w:r>
        <w:rPr>
          <w:rFonts w:hint="eastAsia" w:ascii="仿宋_GB2312" w:hAnsi="仿宋_GB2312" w:eastAsia="仿宋_GB2312" w:cs="仿宋_GB2312"/>
          <w:color w:val="auto"/>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ascii="仿宋_GB2312" w:hAnsi="仿宋_GB2312" w:eastAsia="仿宋_GB2312" w:cs="仿宋_GB2312"/>
          <w:b/>
          <w:color w:val="auto"/>
          <w:sz w:val="32"/>
          <w:szCs w:val="32"/>
          <w:highlight w:val="none"/>
        </w:rPr>
      </w:pPr>
    </w:p>
    <w:p>
      <w:pPr>
        <w:autoSpaceDE w:val="0"/>
        <w:autoSpaceDN w:val="0"/>
        <w:adjustRightInd w:val="0"/>
        <w:snapToGrid w:val="0"/>
        <w:spacing w:line="360" w:lineRule="auto"/>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color w:val="auto"/>
          <w:highlight w:val="none"/>
        </w:rPr>
        <w:br w:type="page"/>
      </w:r>
    </w:p>
    <w:p>
      <w:pPr>
        <w:pStyle w:val="196"/>
        <w:ind w:firstLine="2570" w:firstLineChars="800"/>
        <w:rPr>
          <w:rFonts w:ascii="仿宋" w:hAnsi="仿宋" w:eastAsia="仿宋"/>
          <w:b/>
          <w:color w:val="auto"/>
          <w:sz w:val="32"/>
          <w:szCs w:val="32"/>
          <w:highlight w:val="none"/>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val="en-US" w:eastAsia="zh-CN"/>
        </w:rPr>
        <w:t>五</w:t>
      </w:r>
      <w:r>
        <w:rPr>
          <w:rFonts w:hint="eastAsia" w:ascii="仿宋" w:hAnsi="仿宋" w:eastAsia="仿宋"/>
          <w:b/>
          <w:color w:val="auto"/>
          <w:sz w:val="32"/>
          <w:szCs w:val="32"/>
          <w:highlight w:val="none"/>
        </w:rPr>
        <w:t>部分  响应方案说明</w:t>
      </w:r>
    </w:p>
    <w:p>
      <w:pPr>
        <w:pStyle w:val="23"/>
        <w:rPr>
          <w:rFonts w:ascii="仿宋_GB2312" w:hAnsi="仿宋_GB2312" w:eastAsia="仿宋_GB2312" w:cs="仿宋_GB2312"/>
          <w:color w:val="auto"/>
          <w:highlight w:val="none"/>
          <w:lang w:val="zh-CN"/>
        </w:rPr>
      </w:pPr>
    </w:p>
    <w:p>
      <w:pPr>
        <w:autoSpaceDE w:val="0"/>
        <w:autoSpaceDN w:val="0"/>
        <w:adjustRightInd w:val="0"/>
        <w:spacing w:line="360" w:lineRule="auto"/>
        <w:jc w:val="center"/>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（格式自拟，内容需符合评审办法中要求的内容要求）</w:t>
      </w:r>
    </w:p>
    <w:p>
      <w:pPr>
        <w:pStyle w:val="23"/>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br w:type="page"/>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Pr>
        <w:pStyle w:val="196"/>
        <w:ind w:firstLine="0"/>
        <w:rPr>
          <w:rFonts w:ascii="仿宋" w:hAnsi="仿宋" w:eastAsia="仿宋"/>
          <w:b/>
          <w:color w:val="auto"/>
          <w:sz w:val="32"/>
          <w:szCs w:val="32"/>
          <w:highlight w:val="none"/>
        </w:rPr>
      </w:pPr>
      <w:r>
        <w:rPr>
          <w:rFonts w:hint="eastAsia" w:ascii="仿宋" w:hAnsi="仿宋" w:eastAsia="仿宋"/>
          <w:b/>
          <w:color w:val="auto"/>
          <w:sz w:val="32"/>
          <w:szCs w:val="32"/>
          <w:highlight w:val="none"/>
        </w:rPr>
        <w:t>第</w:t>
      </w:r>
      <w:r>
        <w:rPr>
          <w:rFonts w:hint="eastAsia" w:ascii="仿宋" w:hAnsi="仿宋" w:eastAsia="仿宋"/>
          <w:b/>
          <w:color w:val="auto"/>
          <w:sz w:val="32"/>
          <w:szCs w:val="32"/>
          <w:highlight w:val="none"/>
          <w:lang w:val="en-US" w:eastAsia="zh-CN"/>
        </w:rPr>
        <w:t>六</w:t>
      </w:r>
      <w:r>
        <w:rPr>
          <w:rFonts w:hint="eastAsia" w:ascii="仿宋" w:hAnsi="仿宋" w:eastAsia="仿宋"/>
          <w:b/>
          <w:color w:val="auto"/>
          <w:sz w:val="32"/>
          <w:szCs w:val="32"/>
          <w:highlight w:val="none"/>
        </w:rPr>
        <w:t>部分 小微企业、监狱企业、残疾人福利单位声明函或证明</w:t>
      </w:r>
    </w:p>
    <w:p>
      <w:pPr>
        <w:pStyle w:val="196"/>
        <w:rPr>
          <w:rFonts w:ascii="仿宋" w:hAnsi="仿宋" w:eastAsia="仿宋"/>
          <w:b/>
          <w:bCs/>
          <w:color w:val="auto"/>
          <w:sz w:val="32"/>
          <w:szCs w:val="32"/>
          <w:highlight w:val="none"/>
        </w:rPr>
      </w:pPr>
    </w:p>
    <w:p>
      <w:pPr>
        <w:jc w:val="center"/>
        <w:rPr>
          <w:rFonts w:ascii="仿宋_GB2312" w:hAnsi="仿宋_GB2312" w:eastAsia="仿宋_GB2312" w:cs="仿宋_GB2312"/>
          <w:b/>
          <w:color w:val="auto"/>
          <w:kern w:val="0"/>
          <w:sz w:val="28"/>
          <w:szCs w:val="28"/>
          <w:highlight w:val="none"/>
        </w:rPr>
      </w:pPr>
      <w:bookmarkStart w:id="499" w:name="_Toc7005133"/>
      <w:r>
        <w:rPr>
          <w:rFonts w:hint="eastAsia" w:ascii="仿宋_GB2312" w:hAnsi="仿宋_GB2312" w:eastAsia="仿宋_GB2312" w:cs="仿宋_GB2312"/>
          <w:b/>
          <w:color w:val="auto"/>
          <w:kern w:val="0"/>
          <w:sz w:val="28"/>
          <w:szCs w:val="28"/>
          <w:highlight w:val="none"/>
        </w:rPr>
        <w:t>中小企业声明函(工程、服务)</w:t>
      </w:r>
    </w:p>
    <w:p>
      <w:pPr>
        <w:rPr>
          <w:rFonts w:ascii="仿宋_GB2312" w:hAnsi="仿宋_GB2312" w:eastAsia="仿宋_GB2312" w:cs="仿宋_GB2312"/>
          <w:color w:val="auto"/>
          <w:kern w:val="0"/>
          <w:sz w:val="30"/>
          <w:szCs w:val="30"/>
          <w:highlight w:val="none"/>
        </w:rPr>
      </w:pP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本公司(联合体)郑重声明，根据《政府采购促进中小企业发展管理办法》(财库(2020)46号)的规定，本公司(联合体)参加</w:t>
      </w:r>
      <w:r>
        <w:rPr>
          <w:rFonts w:hint="eastAsia" w:ascii="仿宋_GB2312" w:hAnsi="仿宋_GB2312" w:eastAsia="仿宋_GB2312" w:cs="仿宋_GB2312"/>
          <w:i/>
          <w:color w:val="auto"/>
          <w:kern w:val="0"/>
          <w:sz w:val="24"/>
          <w:highlight w:val="none"/>
          <w:u w:val="single"/>
        </w:rPr>
        <w:t>(单位名称)</w:t>
      </w:r>
      <w:r>
        <w:rPr>
          <w:rFonts w:hint="eastAsia" w:ascii="仿宋_GB2312" w:hAnsi="仿宋_GB2312" w:eastAsia="仿宋_GB2312" w:cs="仿宋_GB2312"/>
          <w:color w:val="auto"/>
          <w:kern w:val="0"/>
          <w:sz w:val="24"/>
          <w:highlight w:val="none"/>
        </w:rPr>
        <w:t xml:space="preserve"> 的</w:t>
      </w:r>
      <w:r>
        <w:rPr>
          <w:rFonts w:hint="eastAsia" w:ascii="仿宋_GB2312" w:hAnsi="仿宋_GB2312" w:eastAsia="仿宋_GB2312" w:cs="仿宋_GB2312"/>
          <w:i/>
          <w:color w:val="auto"/>
          <w:kern w:val="0"/>
          <w:sz w:val="24"/>
          <w:highlight w:val="none"/>
          <w:u w:val="single"/>
        </w:rPr>
        <w:t>(项目名称)</w:t>
      </w:r>
      <w:r>
        <w:rPr>
          <w:rFonts w:hint="eastAsia" w:ascii="仿宋_GB2312" w:hAnsi="仿宋_GB2312" w:eastAsia="仿宋_GB2312" w:cs="仿宋_GB2312"/>
          <w:color w:val="auto"/>
          <w:kern w:val="0"/>
          <w:sz w:val="24"/>
          <w:highlight w:val="none"/>
          <w:u w:val="single"/>
        </w:rPr>
        <w:t xml:space="preserve"> 采购</w:t>
      </w:r>
      <w:r>
        <w:rPr>
          <w:rFonts w:hint="eastAsia" w:ascii="仿宋_GB2312" w:hAnsi="仿宋_GB2312" w:eastAsia="仿宋_GB2312" w:cs="仿宋_GB2312"/>
          <w:color w:val="auto"/>
          <w:kern w:val="0"/>
          <w:sz w:val="24"/>
          <w:highlight w:val="none"/>
        </w:rPr>
        <w:t>活动，工程的施工单位全部为符合政策要求的中小企业(或者:服务全部由符合政策要求的中小企业承接)。相关企业(含联合体中的中小企业、签订分包意向协议的中小企业)的具体情况如下：</w:t>
      </w:r>
    </w:p>
    <w:p>
      <w:pPr>
        <w:pStyle w:val="68"/>
        <w:numPr>
          <w:ilvl w:val="0"/>
          <w:numId w:val="17"/>
        </w:numPr>
        <w:spacing w:line="560" w:lineRule="exact"/>
        <w:ind w:firstLineChars="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i/>
          <w:color w:val="auto"/>
          <w:kern w:val="0"/>
          <w:sz w:val="24"/>
          <w:szCs w:val="24"/>
          <w:highlight w:val="none"/>
          <w:u w:val="single"/>
        </w:rPr>
        <w:t xml:space="preserve"> (标的名称) </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i/>
          <w:color w:val="auto"/>
          <w:kern w:val="0"/>
          <w:sz w:val="24"/>
          <w:szCs w:val="24"/>
          <w:highlight w:val="none"/>
          <w:u w:val="single"/>
        </w:rPr>
        <w:t>(采购文件中明的所属行业)</w:t>
      </w:r>
      <w:r>
        <w:rPr>
          <w:rFonts w:hint="eastAsia" w:ascii="仿宋_GB2312" w:hAnsi="仿宋_GB2312" w:eastAsia="仿宋_GB2312" w:cs="仿宋_GB2312"/>
          <w:color w:val="auto"/>
          <w:kern w:val="0"/>
          <w:sz w:val="24"/>
          <w:szCs w:val="24"/>
          <w:highlight w:val="none"/>
        </w:rPr>
        <w:t>；承建(承接)企业为</w:t>
      </w:r>
      <w:r>
        <w:rPr>
          <w:rFonts w:hint="eastAsia" w:ascii="仿宋_GB2312" w:hAnsi="仿宋_GB2312" w:eastAsia="仿宋_GB2312" w:cs="仿宋_GB2312"/>
          <w:i/>
          <w:color w:val="auto"/>
          <w:kern w:val="0"/>
          <w:sz w:val="24"/>
          <w:szCs w:val="24"/>
          <w:highlight w:val="none"/>
          <w:u w:val="single"/>
        </w:rPr>
        <w:t xml:space="preserve"> (企业名称) </w:t>
      </w:r>
      <w:r>
        <w:rPr>
          <w:rFonts w:hint="eastAsia" w:ascii="仿宋_GB2312" w:hAnsi="仿宋_GB2312" w:eastAsia="仿宋_GB2312" w:cs="仿宋_GB2312"/>
          <w:color w:val="auto"/>
          <w:kern w:val="0"/>
          <w:sz w:val="24"/>
          <w:szCs w:val="24"/>
          <w:highlight w:val="none"/>
        </w:rPr>
        <w:t>，从业人员人，营业收入为万元，资产总额为万元，属于</w:t>
      </w:r>
      <w:r>
        <w:rPr>
          <w:rFonts w:hint="eastAsia" w:ascii="仿宋_GB2312" w:hAnsi="仿宋_GB2312" w:eastAsia="仿宋_GB2312" w:cs="仿宋_GB2312"/>
          <w:i/>
          <w:color w:val="auto"/>
          <w:kern w:val="0"/>
          <w:sz w:val="24"/>
          <w:szCs w:val="24"/>
          <w:highlight w:val="none"/>
          <w:u w:val="single"/>
        </w:rPr>
        <w:t xml:space="preserve"> (中型企</w:t>
      </w:r>
      <w:r>
        <w:rPr>
          <w:rFonts w:hint="eastAsia" w:ascii="仿宋_GB2312" w:hAnsi="仿宋_GB2312" w:eastAsia="仿宋_GB2312" w:cs="仿宋_GB2312"/>
          <w:i/>
          <w:color w:val="auto"/>
          <w:kern w:val="0"/>
          <w:sz w:val="24"/>
          <w:szCs w:val="24"/>
          <w:highlight w:val="none"/>
          <w:u w:val="single"/>
          <w:lang w:val="en-US" w:eastAsia="zh-CN"/>
        </w:rPr>
        <w:t>业</w:t>
      </w:r>
      <w:r>
        <w:rPr>
          <w:rFonts w:hint="eastAsia" w:ascii="仿宋_GB2312" w:hAnsi="仿宋_GB2312" w:eastAsia="仿宋_GB2312" w:cs="仿宋_GB2312"/>
          <w:i/>
          <w:color w:val="auto"/>
          <w:kern w:val="0"/>
          <w:sz w:val="24"/>
          <w:szCs w:val="24"/>
          <w:highlight w:val="none"/>
          <w:u w:val="single"/>
        </w:rPr>
        <w:t xml:space="preserve">、小型企业、微型企业) </w:t>
      </w:r>
      <w:r>
        <w:rPr>
          <w:rFonts w:hint="eastAsia" w:ascii="仿宋_GB2312" w:hAnsi="仿宋_GB2312" w:eastAsia="仿宋_GB2312" w:cs="仿宋_GB2312"/>
          <w:color w:val="auto"/>
          <w:kern w:val="0"/>
          <w:sz w:val="24"/>
          <w:szCs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2. </w:t>
      </w:r>
      <w:r>
        <w:rPr>
          <w:rFonts w:hint="eastAsia" w:ascii="仿宋_GB2312" w:hAnsi="仿宋_GB2312" w:eastAsia="仿宋_GB2312" w:cs="仿宋_GB2312"/>
          <w:i/>
          <w:color w:val="auto"/>
          <w:kern w:val="0"/>
          <w:sz w:val="24"/>
          <w:highlight w:val="none"/>
          <w:u w:val="single"/>
        </w:rPr>
        <w:t xml:space="preserve">(标的名称) </w:t>
      </w:r>
      <w:r>
        <w:rPr>
          <w:rFonts w:hint="eastAsia" w:ascii="仿宋_GB2312" w:hAnsi="仿宋_GB2312" w:eastAsia="仿宋_GB2312" w:cs="仿宋_GB2312"/>
          <w:color w:val="auto"/>
          <w:kern w:val="0"/>
          <w:sz w:val="24"/>
          <w:highlight w:val="none"/>
        </w:rPr>
        <w:t>，属于</w:t>
      </w:r>
      <w:r>
        <w:rPr>
          <w:rFonts w:hint="eastAsia" w:ascii="仿宋_GB2312" w:hAnsi="仿宋_GB2312" w:eastAsia="仿宋_GB2312" w:cs="仿宋_GB2312"/>
          <w:i/>
          <w:color w:val="auto"/>
          <w:kern w:val="0"/>
          <w:sz w:val="24"/>
          <w:highlight w:val="none"/>
          <w:u w:val="single"/>
        </w:rPr>
        <w:t>(采购文件中明的所属行业)</w:t>
      </w:r>
      <w:r>
        <w:rPr>
          <w:rFonts w:hint="eastAsia" w:ascii="仿宋_GB2312" w:hAnsi="仿宋_GB2312" w:eastAsia="仿宋_GB2312" w:cs="仿宋_GB2312"/>
          <w:color w:val="auto"/>
          <w:kern w:val="0"/>
          <w:sz w:val="24"/>
          <w:highlight w:val="none"/>
        </w:rPr>
        <w:t>；承建(承接)企业为</w:t>
      </w:r>
      <w:r>
        <w:rPr>
          <w:rFonts w:hint="eastAsia" w:ascii="仿宋_GB2312" w:hAnsi="仿宋_GB2312" w:eastAsia="仿宋_GB2312" w:cs="仿宋_GB2312"/>
          <w:i/>
          <w:color w:val="auto"/>
          <w:kern w:val="0"/>
          <w:sz w:val="24"/>
          <w:highlight w:val="none"/>
          <w:u w:val="single"/>
        </w:rPr>
        <w:t xml:space="preserve"> (企业名称) </w:t>
      </w:r>
      <w:r>
        <w:rPr>
          <w:rFonts w:hint="eastAsia" w:ascii="仿宋_GB2312" w:hAnsi="仿宋_GB2312" w:eastAsia="仿宋_GB2312" w:cs="仿宋_GB2312"/>
          <w:color w:val="auto"/>
          <w:kern w:val="0"/>
          <w:sz w:val="24"/>
          <w:highlight w:val="none"/>
        </w:rPr>
        <w:t>，从业人员人，营业收入为万元，资产总额为万元，属于</w:t>
      </w:r>
      <w:r>
        <w:rPr>
          <w:rFonts w:hint="eastAsia" w:ascii="仿宋_GB2312" w:hAnsi="仿宋_GB2312" w:eastAsia="仿宋_GB2312" w:cs="仿宋_GB2312"/>
          <w:i/>
          <w:color w:val="auto"/>
          <w:kern w:val="0"/>
          <w:sz w:val="24"/>
          <w:highlight w:val="none"/>
          <w:u w:val="single"/>
        </w:rPr>
        <w:t xml:space="preserve"> (中型企</w:t>
      </w:r>
      <w:r>
        <w:rPr>
          <w:rFonts w:hint="eastAsia" w:ascii="仿宋_GB2312" w:hAnsi="仿宋_GB2312" w:eastAsia="仿宋_GB2312" w:cs="仿宋_GB2312"/>
          <w:i/>
          <w:color w:val="auto"/>
          <w:kern w:val="0"/>
          <w:sz w:val="24"/>
          <w:highlight w:val="none"/>
          <w:u w:val="single"/>
          <w:lang w:val="en-US" w:eastAsia="zh-CN"/>
        </w:rPr>
        <w:t>业</w:t>
      </w:r>
      <w:r>
        <w:rPr>
          <w:rFonts w:hint="eastAsia" w:ascii="仿宋_GB2312" w:hAnsi="仿宋_GB2312" w:eastAsia="仿宋_GB2312" w:cs="仿宋_GB2312"/>
          <w:i/>
          <w:color w:val="auto"/>
          <w:kern w:val="0"/>
          <w:sz w:val="24"/>
          <w:highlight w:val="none"/>
          <w:u w:val="single"/>
        </w:rPr>
        <w:t xml:space="preserve">、小型企业、微型企业) </w:t>
      </w: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本企业对上述声明内容的真实性负责。如有虚假，将依法承担相应责任。</w:t>
      </w:r>
    </w:p>
    <w:p>
      <w:pPr>
        <w:spacing w:line="56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企业名称(盖章):</w:t>
      </w:r>
    </w:p>
    <w:p>
      <w:pPr>
        <w:spacing w:line="560" w:lineRule="exact"/>
        <w:ind w:firstLine="4320" w:firstLineChars="18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日期：</w:t>
      </w:r>
    </w:p>
    <w:p>
      <w:pPr>
        <w:spacing w:line="560" w:lineRule="exact"/>
        <w:ind w:firstLine="5400" w:firstLineChars="1800"/>
        <w:rPr>
          <w:rFonts w:ascii="仿宋_GB2312" w:hAnsi="仿宋_GB2312" w:eastAsia="仿宋_GB2312" w:cs="仿宋_GB2312"/>
          <w:color w:val="auto"/>
          <w:kern w:val="0"/>
          <w:sz w:val="30"/>
          <w:szCs w:val="30"/>
          <w:highlight w:val="none"/>
        </w:rPr>
      </w:pPr>
    </w:p>
    <w:p>
      <w:pPr>
        <w:rPr>
          <w:rFonts w:ascii="仿宋_GB2312" w:hAnsi="仿宋_GB2312" w:eastAsia="仿宋_GB2312" w:cs="仿宋_GB2312"/>
          <w:color w:val="auto"/>
          <w:kern w:val="0"/>
          <w:sz w:val="30"/>
          <w:szCs w:val="30"/>
          <w:highlight w:val="none"/>
          <w:u w:val="single"/>
        </w:rPr>
      </w:pPr>
    </w:p>
    <w:p>
      <w:pPr>
        <w:ind w:firstLine="105" w:firstLineChars="50"/>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（从业人员、营业收入、资产总额填报上一年度数据，无上一年度数据的新成立企业可不填报）</w:t>
      </w: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bookmarkEnd w:id="499"/>
    <w:p>
      <w:pPr>
        <w:jc w:val="center"/>
        <w:outlineLvl w:val="1"/>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二、监狱企业声明函</w:t>
      </w:r>
    </w:p>
    <w:p>
      <w:pPr>
        <w:spacing w:line="360" w:lineRule="auto"/>
        <w:rPr>
          <w:rFonts w:ascii="仿宋_GB2312" w:hAnsi="Arial" w:eastAsia="仿宋_GB2312"/>
          <w:b/>
          <w:color w:val="auto"/>
          <w:kern w:val="0"/>
          <w:sz w:val="24"/>
          <w:szCs w:val="20"/>
          <w:highlight w:val="none"/>
        </w:rPr>
      </w:pP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（1）本企业（单位）（请填写：是、不是）监狱企业。如果是，后附省级以上监狱管理局、戒毒管理局（含新疆生产建设兵团）出具的属于监狱企业的证明文件。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（2）本企业（单位）（请填写：是、不是）为联合体一方，提供本企业（单位）制造的货物，由本企业（单位）承担工程、提供服务。本企业（单位）提供协议合同金额占到共同投标协议合同总金额的比例为。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color w:val="auto"/>
          <w:kern w:val="0"/>
          <w:sz w:val="24"/>
          <w:szCs w:val="20"/>
          <w:highlight w:val="none"/>
        </w:rPr>
      </w:pPr>
      <w:r>
        <w:rPr>
          <w:rFonts w:hint="eastAsia" w:ascii="仿宋_GB2312" w:hAnsi="仿宋" w:eastAsia="仿宋_GB2312" w:cs="宋体"/>
          <w:color w:val="auto"/>
          <w:kern w:val="0"/>
          <w:sz w:val="24"/>
          <w:highlight w:val="none"/>
        </w:rPr>
        <w:t>　</w:t>
      </w:r>
      <w:r>
        <w:rPr>
          <w:rFonts w:hint="eastAsia" w:ascii="仿宋_GB2312" w:hAnsi="Arial" w:eastAsia="仿宋_GB2312"/>
          <w:b/>
          <w:color w:val="auto"/>
          <w:kern w:val="0"/>
          <w:sz w:val="24"/>
          <w:szCs w:val="20"/>
          <w:highlight w:val="none"/>
        </w:rPr>
        <w:t>　</w:t>
      </w:r>
    </w:p>
    <w:p>
      <w:pPr>
        <w:widowControl/>
        <w:spacing w:before="100" w:beforeAutospacing="1" w:after="100" w:afterAutospacing="1" w:line="360" w:lineRule="auto"/>
        <w:ind w:firstLine="360" w:firstLineChars="150"/>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单位名称（公章）：</w:t>
      </w:r>
    </w:p>
    <w:p>
      <w:pPr>
        <w:widowControl/>
        <w:spacing w:before="100" w:beforeAutospacing="1" w:after="100" w:afterAutospacing="1" w:line="360" w:lineRule="auto"/>
        <w:jc w:val="left"/>
        <w:rPr>
          <w:rFonts w:ascii="仿宋_GB2312" w:hAnsi="仿宋" w:eastAsia="仿宋_GB2312" w:cs="宋体"/>
          <w:color w:val="auto"/>
          <w:kern w:val="0"/>
          <w:sz w:val="24"/>
          <w:highlight w:val="none"/>
        </w:rPr>
      </w:pPr>
      <w:r>
        <w:rPr>
          <w:rFonts w:hint="eastAsia" w:ascii="仿宋_GB2312" w:hAnsi="仿宋" w:eastAsia="仿宋_GB2312" w:cs="宋体"/>
          <w:color w:val="auto"/>
          <w:kern w:val="0"/>
          <w:sz w:val="24"/>
          <w:highlight w:val="none"/>
        </w:rPr>
        <w:t xml:space="preserve"> 　法定代表人或授权代表（签字）:  </w:t>
      </w:r>
    </w:p>
    <w:p>
      <w:pPr>
        <w:widowControl/>
        <w:spacing w:before="100" w:beforeAutospacing="1" w:after="100" w:afterAutospacing="1" w:line="360" w:lineRule="auto"/>
        <w:ind w:firstLine="240" w:firstLineChars="100"/>
        <w:jc w:val="left"/>
        <w:rPr>
          <w:rFonts w:ascii="仿宋_GB2312" w:hAnsi="仿宋" w:eastAsia="仿宋_GB2312" w:cs="宋体"/>
          <w:color w:val="auto"/>
          <w:kern w:val="0"/>
          <w:sz w:val="24"/>
          <w:highlight w:val="none"/>
          <w:u w:val="single"/>
        </w:rPr>
      </w:pPr>
      <w:r>
        <w:rPr>
          <w:rFonts w:hint="eastAsia" w:ascii="仿宋_GB2312" w:hAnsi="仿宋" w:eastAsia="仿宋_GB2312" w:cs="宋体"/>
          <w:color w:val="auto"/>
          <w:kern w:val="0"/>
          <w:sz w:val="24"/>
          <w:highlight w:val="none"/>
        </w:rPr>
        <w:t>日　期：</w:t>
      </w:r>
    </w:p>
    <w:p>
      <w:pPr>
        <w:widowControl/>
        <w:spacing w:before="100" w:beforeAutospacing="1" w:after="100" w:afterAutospacing="1" w:line="360" w:lineRule="auto"/>
        <w:jc w:val="left"/>
        <w:rPr>
          <w:rFonts w:ascii="仿宋_GB2312" w:hAnsi="仿宋" w:eastAsia="仿宋_GB2312" w:cs="宋体"/>
          <w:color w:val="auto"/>
          <w:kern w:val="0"/>
          <w:sz w:val="24"/>
          <w:highlight w:val="none"/>
          <w:u w:val="single"/>
        </w:rPr>
      </w:pPr>
    </w:p>
    <w:p>
      <w:pPr>
        <w:widowControl/>
        <w:spacing w:before="100" w:beforeAutospacing="1" w:after="100" w:afterAutospacing="1" w:line="360" w:lineRule="auto"/>
        <w:jc w:val="left"/>
        <w:rPr>
          <w:rFonts w:ascii="仿宋_GB2312" w:hAnsi="仿宋_GB2312" w:eastAsia="仿宋_GB2312" w:cs="仿宋_GB2312"/>
          <w:color w:val="auto"/>
          <w:sz w:val="24"/>
          <w:highlight w:val="none"/>
        </w:rPr>
      </w:pPr>
      <w:r>
        <w:rPr>
          <w:rFonts w:hint="eastAsia" w:ascii="仿宋_GB2312" w:hAnsi="仿宋" w:eastAsia="仿宋_GB2312" w:cs="宋体"/>
          <w:color w:val="auto"/>
          <w:kern w:val="0"/>
          <w:sz w:val="24"/>
          <w:highlight w:val="none"/>
        </w:rPr>
        <w:t>注：符合《关于政府采购支持监狱企业发展有关问题的通知》价格扣减条件的供应商须提交。需提供</w:t>
      </w:r>
      <w:r>
        <w:rPr>
          <w:rFonts w:hint="eastAsia" w:ascii="仿宋_GB2312" w:hAnsi="仿宋_GB2312" w:eastAsia="仿宋_GB2312" w:cs="仿宋_GB2312"/>
          <w:color w:val="auto"/>
          <w:sz w:val="24"/>
          <w:highlight w:val="none"/>
        </w:rPr>
        <w:t>省级以上监狱管理局、戒毒管理局（含新疆生产建设兵团）出具的属于监狱企业的证明文件。</w:t>
      </w:r>
    </w:p>
    <w:p>
      <w:pPr>
        <w:rPr>
          <w:rFonts w:ascii="仿宋_GB2312" w:hAnsi="仿宋_GB2312" w:eastAsia="仿宋_GB2312" w:cs="仿宋_GB2312"/>
          <w:color w:val="auto"/>
          <w:sz w:val="32"/>
          <w:szCs w:val="32"/>
          <w:highlight w:val="none"/>
        </w:rPr>
      </w:pPr>
    </w:p>
    <w:p>
      <w:pPr>
        <w:jc w:val="center"/>
        <w:outlineLvl w:val="2"/>
        <w:rPr>
          <w:rFonts w:ascii="仿宋_GB2312" w:hAnsi="仿宋_GB2312" w:eastAsia="仿宋_GB2312" w:cs="仿宋_GB2312"/>
          <w:b/>
          <w:color w:val="auto"/>
          <w:sz w:val="32"/>
          <w:szCs w:val="32"/>
          <w:highlight w:val="none"/>
        </w:rPr>
      </w:pPr>
      <w:bookmarkStart w:id="500" w:name="_Toc7005134"/>
      <w:r>
        <w:rPr>
          <w:rFonts w:hint="eastAsia" w:ascii="仿宋_GB2312" w:hAnsi="仿宋_GB2312" w:eastAsia="仿宋_GB2312" w:cs="仿宋_GB2312"/>
          <w:color w:val="auto"/>
          <w:sz w:val="32"/>
          <w:szCs w:val="32"/>
          <w:highlight w:val="none"/>
        </w:rPr>
        <w:br w:type="page"/>
      </w:r>
      <w:r>
        <w:rPr>
          <w:rFonts w:hint="eastAsia" w:ascii="仿宋_GB2312" w:hAnsi="仿宋_GB2312" w:eastAsia="仿宋_GB2312" w:cs="仿宋_GB2312"/>
          <w:b/>
          <w:color w:val="auto"/>
          <w:sz w:val="28"/>
          <w:szCs w:val="28"/>
          <w:highlight w:val="none"/>
        </w:rPr>
        <w:t>三、残疾人福利性单位声明函</w:t>
      </w:r>
      <w:bookmarkEnd w:id="500"/>
    </w:p>
    <w:p>
      <w:pPr>
        <w:spacing w:after="120"/>
        <w:rPr>
          <w:rFonts w:ascii="仿宋_GB2312" w:hAnsi="仿宋_GB2312" w:eastAsia="仿宋_GB2312" w:cs="仿宋_GB2312"/>
          <w:color w:val="auto"/>
          <w:highlight w:val="none"/>
        </w:rPr>
      </w:pPr>
    </w:p>
    <w:p>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（注：符合条件的残疾人福利性单位请提供本函，不符合的不提供本函）</w:t>
      </w:r>
    </w:p>
    <w:p>
      <w:pPr>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本单位对上述声明的真实性负责。如有虚假，将依法承担相应责任。</w:t>
      </w:r>
    </w:p>
    <w:p>
      <w:pPr>
        <w:spacing w:line="360" w:lineRule="auto"/>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单位名称（公章）：</w:t>
      </w:r>
    </w:p>
    <w:p>
      <w:pPr>
        <w:rPr>
          <w:rFonts w:ascii="仿宋_GB2312" w:hAnsi="仿宋_GB2312" w:eastAsia="仿宋_GB2312" w:cs="仿宋_GB2312"/>
          <w:color w:val="auto"/>
          <w:sz w:val="24"/>
          <w:highlight w:val="none"/>
        </w:rPr>
      </w:pPr>
    </w:p>
    <w:p>
      <w:pPr>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p>
    <w:p>
      <w:pPr>
        <w:rPr>
          <w:rFonts w:ascii="仿宋_GB2312" w:hAnsi="仿宋_GB2312" w:eastAsia="仿宋_GB2312" w:cs="仿宋_GB2312"/>
          <w:color w:val="auto"/>
          <w:sz w:val="24"/>
          <w:highlight w:val="none"/>
        </w:rPr>
      </w:pPr>
    </w:p>
    <w:p>
      <w:pPr>
        <w:snapToGrid w:val="0"/>
        <w:spacing w:beforeLines="50"/>
        <w:jc w:val="center"/>
        <w:rPr>
          <w:rFonts w:ascii="仿宋_GB2312" w:hAnsi="仿宋_GB2312" w:eastAsia="仿宋_GB2312" w:cs="仿宋_GB2312"/>
          <w:b/>
          <w:color w:val="auto"/>
          <w:sz w:val="24"/>
          <w:szCs w:val="21"/>
          <w:highlight w:val="none"/>
        </w:rPr>
      </w:pPr>
    </w:p>
    <w:p>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jc w:val="center"/>
        <w:outlineLvl w:val="2"/>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四、响应承诺书</w:t>
      </w:r>
    </w:p>
    <w:p>
      <w:pPr>
        <w:spacing w:line="360" w:lineRule="auto"/>
        <w:rPr>
          <w:rFonts w:ascii="仿宋_GB2312" w:hAnsi="仿宋_GB2312" w:eastAsia="仿宋_GB2312" w:cs="仿宋_GB2312"/>
          <w:color w:val="auto"/>
          <w:sz w:val="24"/>
          <w:highlight w:val="none"/>
        </w:rPr>
      </w:pPr>
    </w:p>
    <w:p>
      <w:pPr>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延川县政府采购中心</w:t>
      </w:r>
      <w:r>
        <w:rPr>
          <w:rFonts w:hint="eastAsia" w:ascii="仿宋_GB2312" w:hAnsi="仿宋_GB2312" w:eastAsia="仿宋_GB2312" w:cs="仿宋_GB2312"/>
          <w:color w:val="auto"/>
          <w:sz w:val="24"/>
          <w:highlight w:val="none"/>
        </w:rPr>
        <w:t>：</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我方在此声明，我方以下事项进行承诺：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 在本次磋商中我公司无与其他供应商相互串通，或与采购人串通的行为；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在本次磋商中我公司无向采购人或磋商小组成员行贿的手段谋取成交的行为；</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 在本次磋商中我公司无出借或借用资质行为、在响应文件中所附资料（业绩、项目负责人资料等）无弄虚作假；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 我公司没有处于被责令停产、停业、投标资格被取消状态；</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上述承诺内容如有不实，我公司愿意承担由此造成的一切法律责任，并承诺以磋商保证金赔偿给采购人造成的损失。</w:t>
      </w:r>
    </w:p>
    <w:p>
      <w:pPr>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特此承诺。</w:t>
      </w:r>
    </w:p>
    <w:p>
      <w:pPr>
        <w:spacing w:line="360" w:lineRule="auto"/>
        <w:ind w:firstLine="480" w:firstLineChars="200"/>
        <w:rPr>
          <w:rFonts w:ascii="仿宋_GB2312" w:hAnsi="仿宋_GB2312" w:eastAsia="仿宋_GB2312" w:cs="仿宋_GB2312"/>
          <w:color w:val="auto"/>
          <w:sz w:val="24"/>
          <w:highlight w:val="none"/>
        </w:rPr>
      </w:pP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供应商名称（公章）： </w:t>
      </w:r>
    </w:p>
    <w:p>
      <w:pPr>
        <w:spacing w:before="120" w:after="120" w:line="360" w:lineRule="auto"/>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法定代表人或其授权代表（签字或加盖人名章）：</w:t>
      </w:r>
    </w:p>
    <w:p>
      <w:pPr>
        <w:spacing w:before="120" w:after="120"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期：年月日</w:t>
      </w:r>
    </w:p>
    <w:p>
      <w:pPr>
        <w:pStyle w:val="23"/>
        <w:rPr>
          <w:rFonts w:ascii="仿宋_GB2312" w:hAnsi="仿宋_GB2312" w:eastAsia="仿宋_GB2312" w:cs="仿宋_GB2312"/>
          <w:b/>
          <w:bCs/>
          <w:color w:val="auto"/>
          <w:sz w:val="44"/>
          <w:szCs w:val="44"/>
          <w:highlight w:val="none"/>
          <w:lang w:val="zh-CN"/>
        </w:rPr>
      </w:pPr>
      <w:r>
        <w:rPr>
          <w:color w:val="auto"/>
          <w:highlight w:val="none"/>
        </w:rPr>
        <w:br w:type="page"/>
      </w:r>
    </w:p>
    <w:p>
      <w:pPr>
        <w:autoSpaceDE w:val="0"/>
        <w:autoSpaceDN w:val="0"/>
        <w:adjustRightInd w:val="0"/>
        <w:snapToGrid w:val="0"/>
        <w:spacing w:line="288" w:lineRule="auto"/>
        <w:jc w:val="left"/>
        <w:rPr>
          <w:rFonts w:ascii="仿宋_GB2312" w:hAnsi="仿宋_GB2312" w:eastAsia="仿宋_GB2312" w:cs="仿宋_GB2312"/>
          <w:bCs/>
          <w:color w:val="auto"/>
          <w:sz w:val="44"/>
          <w:szCs w:val="44"/>
          <w:highlight w:val="none"/>
        </w:rPr>
        <w:sectPr>
          <w:pgSz w:w="11906" w:h="16838"/>
          <w:pgMar w:top="1418" w:right="1418" w:bottom="1418" w:left="1418" w:header="851" w:footer="992" w:gutter="0"/>
          <w:pgNumType w:fmt="decimal"/>
          <w:cols w:space="720" w:num="1"/>
          <w:docGrid w:linePitch="312" w:charSpace="0"/>
        </w:sectPr>
      </w:pPr>
    </w:p>
    <w:p>
      <w:pPr>
        <w:widowControl/>
        <w:snapToGrid w:val="0"/>
        <w:spacing w:before="100" w:beforeAutospacing="1" w:after="100" w:afterAutospacing="1" w:line="320" w:lineRule="exact"/>
        <w:rPr>
          <w:rFonts w:ascii="仿宋_GB2312" w:hAnsi="仿宋_GB2312" w:eastAsia="仿宋_GB2312" w:cs="仿宋_GB2312"/>
          <w:b/>
          <w:bCs/>
          <w:color w:val="auto"/>
          <w:kern w:val="0"/>
          <w:sz w:val="28"/>
          <w:szCs w:val="28"/>
          <w:highlight w:val="red"/>
        </w:rPr>
      </w:pPr>
      <w:r>
        <w:rPr>
          <w:rFonts w:hint="eastAsia" w:ascii="仿宋_GB2312" w:hAnsi="仿宋_GB2312" w:eastAsia="仿宋_GB2312" w:cs="仿宋_GB2312"/>
          <w:b/>
          <w:bCs/>
          <w:color w:val="auto"/>
          <w:kern w:val="0"/>
          <w:sz w:val="28"/>
          <w:szCs w:val="28"/>
          <w:highlight w:val="none"/>
        </w:rPr>
        <w:t>附件1</w:t>
      </w:r>
    </w:p>
    <w:p>
      <w:pPr>
        <w:widowControl/>
        <w:snapToGrid w:val="0"/>
        <w:spacing w:before="100" w:beforeAutospacing="1" w:after="100" w:afterAutospacing="1" w:line="320" w:lineRule="exact"/>
        <w:jc w:val="center"/>
        <w:rPr>
          <w:rFonts w:ascii="仿宋_GB2312" w:hAnsi="仿宋_GB2312" w:eastAsia="仿宋_GB2312" w:cs="仿宋_GB2312"/>
          <w:b/>
          <w:bCs/>
          <w:color w:val="auto"/>
          <w:kern w:val="0"/>
          <w:sz w:val="28"/>
          <w:szCs w:val="28"/>
          <w:highlight w:val="red"/>
        </w:rPr>
      </w:pPr>
      <w:r>
        <w:rPr>
          <w:rFonts w:hint="eastAsia" w:ascii="仿宋_GB2312" w:hAnsi="仿宋_GB2312" w:eastAsia="仿宋_GB2312" w:cs="仿宋_GB2312"/>
          <w:b/>
          <w:bCs/>
          <w:color w:val="auto"/>
          <w:kern w:val="0"/>
          <w:sz w:val="28"/>
          <w:szCs w:val="28"/>
          <w:highlight w:val="red"/>
        </w:rPr>
        <w:t>磋商响应担保函</w:t>
      </w:r>
    </w:p>
    <w:p>
      <w:pPr>
        <w:snapToGrid w:val="0"/>
        <w:ind w:firstLine="3360" w:firstLineChars="1400"/>
        <w:rPr>
          <w:rFonts w:ascii="仿宋_GB2312" w:hAnsi="仿宋_GB2312" w:eastAsia="仿宋_GB2312" w:cs="仿宋_GB2312"/>
          <w:color w:val="auto"/>
          <w:sz w:val="24"/>
          <w:highlight w:val="red"/>
        </w:rPr>
      </w:pPr>
      <w:r>
        <w:rPr>
          <w:rFonts w:hint="eastAsia" w:ascii="仿宋_GB2312" w:hAnsi="仿宋_GB2312" w:eastAsia="仿宋_GB2312" w:cs="仿宋_GB2312"/>
          <w:bCs/>
          <w:color w:val="auto"/>
          <w:sz w:val="24"/>
          <w:highlight w:val="red"/>
        </w:rPr>
        <w:t>（适用于保证金保函）</w:t>
      </w:r>
    </w:p>
    <w:p>
      <w:pPr>
        <w:snapToGrid w:val="0"/>
        <w:ind w:right="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保函编号:</w:t>
      </w:r>
    </w:p>
    <w:p>
      <w:pPr>
        <w:snapToGrid w:val="0"/>
        <w:ind w:right="48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lang w:eastAsia="zh-CN"/>
        </w:rPr>
        <w:t>延川县政府采购中心</w:t>
      </w:r>
      <w:r>
        <w:rPr>
          <w:rFonts w:hint="eastAsia" w:ascii="仿宋_GB2312" w:hAnsi="仿宋_GB2312" w:eastAsia="仿宋_GB2312" w:cs="仿宋_GB2312"/>
          <w:color w:val="auto"/>
          <w:sz w:val="24"/>
          <w:highlight w:val="none"/>
        </w:rPr>
        <w:t>(下称受益人)：</w:t>
      </w:r>
    </w:p>
    <w:p>
      <w:pPr>
        <w:snapToGrid w:val="0"/>
        <w:spacing w:line="288" w:lineRule="auto"/>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鉴于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(下称被保证人)将于</w:t>
      </w:r>
      <w:r>
        <w:rPr>
          <w:rFonts w:hint="eastAsia" w:ascii="仿宋_GB2312" w:hAnsi="仿宋_GB2312" w:eastAsia="仿宋_GB2312" w:cs="仿宋_GB2312"/>
          <w:color w:val="auto"/>
          <w:sz w:val="24"/>
          <w:highlight w:val="none"/>
          <w:u w:val="single"/>
        </w:rPr>
        <w:t>    年 月 日</w:t>
      </w:r>
      <w:r>
        <w:rPr>
          <w:rFonts w:hint="eastAsia" w:ascii="仿宋_GB2312" w:hAnsi="仿宋_GB2312" w:eastAsia="仿宋_GB2312" w:cs="仿宋_GB2312"/>
          <w:color w:val="auto"/>
          <w:sz w:val="24"/>
          <w:highlight w:val="none"/>
        </w:rPr>
        <w:t>参加贵方竞争性磋商文件编号为</w:t>
      </w:r>
      <w:r>
        <w:rPr>
          <w:rFonts w:hint="eastAsia" w:ascii="仿宋_GB2312" w:hAnsi="仿宋_GB2312" w:eastAsia="仿宋_GB2312" w:cs="仿宋_GB2312"/>
          <w:color w:val="auto"/>
          <w:sz w:val="24"/>
          <w:highlight w:val="none"/>
          <w:u w:val="single"/>
        </w:rPr>
        <w:t> （采购项目编号）</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（项目名称） </w:t>
      </w:r>
      <w:r>
        <w:rPr>
          <w:rFonts w:hint="eastAsia" w:ascii="仿宋_GB2312" w:hAnsi="仿宋_GB2312" w:eastAsia="仿宋_GB2312" w:cs="仿宋_GB2312"/>
          <w:color w:val="auto"/>
          <w:sz w:val="24"/>
          <w:highlight w:val="none"/>
        </w:rPr>
        <w:t>的竞争性磋商,我方接受被保证人的委托,在此向受益人提供不可撤销的磋商保证：</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本保证担保的担保金额为</w:t>
      </w:r>
      <w:r>
        <w:rPr>
          <w:rFonts w:hint="eastAsia" w:ascii="仿宋_GB2312" w:hAnsi="仿宋_GB2312" w:eastAsia="仿宋_GB2312" w:cs="仿宋_GB2312"/>
          <w:color w:val="auto"/>
          <w:sz w:val="24"/>
          <w:highlight w:val="none"/>
          <w:u w:val="single"/>
        </w:rPr>
        <w:t>人民币</w:t>
      </w:r>
      <w:r>
        <w:rPr>
          <w:rFonts w:hint="eastAsia" w:ascii="仿宋_GB2312" w:hAnsi="仿宋_GB2312" w:eastAsia="仿宋_GB2312" w:cs="仿宋_GB2312"/>
          <w:color w:val="auto"/>
          <w:sz w:val="24"/>
          <w:highlight w:val="none"/>
        </w:rPr>
        <w:t>(币种</w:t>
      </w:r>
      <w:r>
        <w:rPr>
          <w:rFonts w:hint="eastAsia" w:ascii="仿宋_GB2312" w:hAnsi="仿宋_GB2312" w:eastAsia="仿宋_GB2312" w:cs="仿宋_GB2312"/>
          <w:color w:val="auto"/>
          <w:sz w:val="24"/>
          <w:highlight w:val="none"/>
          <w:u w:val="single"/>
        </w:rPr>
        <w:t>)     </w:t>
      </w:r>
      <w:r>
        <w:rPr>
          <w:rFonts w:hint="eastAsia" w:ascii="仿宋_GB2312" w:hAnsi="仿宋_GB2312" w:eastAsia="仿宋_GB2312" w:cs="仿宋_GB2312"/>
          <w:color w:val="auto"/>
          <w:sz w:val="24"/>
          <w:highlight w:val="none"/>
        </w:rPr>
        <w:t>元(小写)</w:t>
      </w:r>
      <w:r>
        <w:rPr>
          <w:rFonts w:hint="eastAsia" w:ascii="仿宋_GB2312" w:hAnsi="仿宋_GB2312" w:eastAsia="仿宋_GB2312" w:cs="仿宋_GB2312"/>
          <w:color w:val="auto"/>
          <w:sz w:val="24"/>
          <w:highlight w:val="none"/>
          <w:u w:val="single"/>
        </w:rPr>
        <w:t xml:space="preserve">     元整</w:t>
      </w:r>
      <w:r>
        <w:rPr>
          <w:rFonts w:hint="eastAsia" w:ascii="仿宋_GB2312" w:hAnsi="仿宋_GB2312" w:eastAsia="仿宋_GB2312" w:cs="仿宋_GB2312"/>
          <w:color w:val="auto"/>
          <w:sz w:val="24"/>
          <w:highlight w:val="none"/>
        </w:rPr>
        <w:t>(大写）。</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二、本保证担保的保证期间为响应文件的有效期(或延长的有效期),延长有效期无须通知我方。</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三、在本保证担保的保证期间内,如果被保证人出现下列情形之一,受益人可以向我方提起索赔：</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1.被保证人在响应文件有效期内撤回其响应文件；</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2.被保证人在响应文件有效期内收到受益人发出的成交通知书后,不能或拒绝按竞争性磋商文件的要求签署合同；</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3.被保证人在有效期内收到受益人发出的成交通知书后,不能或拒绝按竞争性磋商文件的规定提交履约担保；</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4.被保证人成交后未按照竞争性磋商文件规定交纳代理服务费。</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五、受益人的索赔通知应当说明索赔理由,并必须在本保证担保的保证期间内送达我方。</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六、本保证担保项下的权利不得转让。</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七、本保证担保的保证期间届满,或我方已向受益人支付本保证担保的担保金额,我方的保证责任免除。</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八、本保证担保适用中华人民共和国法律。</w:t>
      </w:r>
    </w:p>
    <w:p>
      <w:pPr>
        <w:numPr>
          <w:ilvl w:val="0"/>
          <w:numId w:val="18"/>
        </w:numPr>
        <w:snapToGrid w:val="0"/>
        <w:spacing w:line="288"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九、本保证担保以中文文本为准,涂改无效。</w:t>
      </w:r>
    </w:p>
    <w:p>
      <w:pPr>
        <w:snapToGrid w:val="0"/>
        <w:spacing w:line="288" w:lineRule="auto"/>
        <w:rPr>
          <w:rFonts w:hint="eastAsia" w:ascii="仿宋_GB2312" w:hAnsi="仿宋_GB2312" w:eastAsia="仿宋_GB2312" w:cs="仿宋_GB2312"/>
          <w:color w:val="auto"/>
          <w:sz w:val="24"/>
          <w:highlight w:val="none"/>
          <w:lang w:eastAsia="zh-CN"/>
        </w:rPr>
      </w:pPr>
    </w:p>
    <w:p>
      <w:pPr>
        <w:snapToGrid w:val="0"/>
        <w:spacing w:line="288" w:lineRule="auto"/>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保证人(盖章):</w:t>
      </w:r>
      <w:r>
        <w:rPr>
          <w:rFonts w:hint="eastAsia" w:ascii="仿宋_GB2312" w:hAnsi="仿宋_GB2312" w:eastAsia="仿宋_GB2312" w:cs="仿宋_GB2312"/>
          <w:color w:val="auto"/>
          <w:sz w:val="24"/>
          <w:highlight w:val="none"/>
          <w:u w:val="single"/>
        </w:rPr>
        <w:t xml:space="preserve">     </w:t>
      </w:r>
    </w:p>
    <w:p>
      <w:pPr>
        <w:snapToGrid w:val="0"/>
        <w:spacing w:line="288" w:lineRule="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 xml:space="preserve">法定代表人或其授权委托代理人(签字或盖章）： </w:t>
      </w:r>
    </w:p>
    <w:p>
      <w:pPr>
        <w:snapToGrid w:val="0"/>
        <w:spacing w:line="288" w:lineRule="auto"/>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单位地址:</w:t>
      </w:r>
      <w:r>
        <w:rPr>
          <w:rFonts w:hint="eastAsia" w:ascii="仿宋_GB2312" w:hAnsi="仿宋_GB2312" w:eastAsia="仿宋_GB2312" w:cs="仿宋_GB2312"/>
          <w:color w:val="auto"/>
          <w:sz w:val="24"/>
          <w:highlight w:val="none"/>
          <w:u w:val="single"/>
        </w:rPr>
        <w:t xml:space="preserve">     </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     </w:t>
      </w:r>
    </w:p>
    <w:p>
      <w:pPr>
        <w:snapToGrid w:val="0"/>
        <w:spacing w:line="288"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widowControl/>
        <w:snapToGrid w:val="0"/>
        <w:spacing w:before="100" w:beforeAutospacing="1" w:after="100" w:afterAutospacing="1" w:line="360" w:lineRule="auto"/>
        <w:rPr>
          <w:rFonts w:ascii="仿宋_GB2312" w:hAnsi="仿宋_GB2312" w:eastAsia="仿宋_GB2312" w:cs="仿宋_GB2312"/>
          <w:b/>
          <w:bCs/>
          <w:color w:val="auto"/>
          <w:kern w:val="0"/>
          <w:sz w:val="32"/>
          <w:szCs w:val="32"/>
          <w:highlight w:val="none"/>
        </w:rPr>
      </w:pPr>
      <w:bookmarkStart w:id="501" w:name="_Toc21748"/>
      <w:bookmarkStart w:id="502" w:name="_Toc515647799"/>
      <w:bookmarkStart w:id="503" w:name="_Toc16186"/>
      <w:bookmarkStart w:id="504" w:name="_Toc532473491"/>
      <w:r>
        <w:rPr>
          <w:rFonts w:hint="eastAsia" w:ascii="仿宋_GB2312" w:hAnsi="仿宋_GB2312" w:eastAsia="仿宋_GB2312" w:cs="仿宋_GB2312"/>
          <w:color w:val="auto"/>
          <w:kern w:val="0"/>
          <w:sz w:val="24"/>
          <w:highlight w:val="none"/>
        </w:rPr>
        <w:br w:type="page"/>
      </w:r>
      <w:bookmarkEnd w:id="501"/>
      <w:bookmarkEnd w:id="502"/>
      <w:bookmarkEnd w:id="503"/>
      <w:bookmarkEnd w:id="504"/>
      <w:bookmarkStart w:id="505" w:name="_Toc10951"/>
      <w:bookmarkStart w:id="506" w:name="_Toc532473492"/>
      <w:bookmarkStart w:id="507" w:name="_Toc6548"/>
      <w:bookmarkStart w:id="508" w:name="_Toc20660404"/>
      <w:bookmarkStart w:id="509" w:name="_Toc515647800"/>
      <w:r>
        <w:rPr>
          <w:rFonts w:hint="eastAsia" w:ascii="仿宋_GB2312" w:hAnsi="仿宋_GB2312" w:eastAsia="仿宋_GB2312" w:cs="仿宋_GB2312"/>
          <w:b/>
          <w:bCs/>
          <w:color w:val="auto"/>
          <w:kern w:val="0"/>
          <w:sz w:val="28"/>
          <w:szCs w:val="28"/>
          <w:highlight w:val="none"/>
        </w:rPr>
        <w:t>附件2</w:t>
      </w:r>
    </w:p>
    <w:p>
      <w:pPr>
        <w:widowControl/>
        <w:snapToGrid w:val="0"/>
        <w:spacing w:before="100" w:beforeAutospacing="1" w:after="100" w:afterAutospacing="1" w:line="360" w:lineRule="auto"/>
        <w:jc w:val="center"/>
        <w:rPr>
          <w:rFonts w:ascii="仿宋_GB2312" w:hAnsi="仿宋_GB2312" w:eastAsia="仿宋_GB2312" w:cs="仿宋_GB2312"/>
          <w:b/>
          <w:bCs/>
          <w:color w:val="auto"/>
          <w:kern w:val="0"/>
          <w:sz w:val="28"/>
          <w:szCs w:val="28"/>
          <w:highlight w:val="red"/>
        </w:rPr>
      </w:pPr>
      <w:r>
        <w:rPr>
          <w:rFonts w:hint="eastAsia" w:ascii="仿宋_GB2312" w:hAnsi="仿宋_GB2312" w:eastAsia="仿宋_GB2312" w:cs="仿宋_GB2312"/>
          <w:b/>
          <w:bCs/>
          <w:color w:val="auto"/>
          <w:kern w:val="0"/>
          <w:sz w:val="28"/>
          <w:szCs w:val="28"/>
          <w:highlight w:val="red"/>
        </w:rPr>
        <w:t>履约担保函格式</w:t>
      </w:r>
      <w:bookmarkEnd w:id="505"/>
      <w:bookmarkEnd w:id="506"/>
      <w:bookmarkEnd w:id="507"/>
      <w:bookmarkEnd w:id="508"/>
      <w:bookmarkEnd w:id="509"/>
    </w:p>
    <w:p>
      <w:pPr>
        <w:snapToGrid w:val="0"/>
        <w:spacing w:line="336" w:lineRule="auto"/>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highlight w:val="none"/>
        </w:rPr>
        <w:t xml:space="preserve">                             编号：</w:t>
      </w: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（采购人名称）：</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一、保证责任的情形及保证金额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（一）在供应商出现下列情形之一时，我方承担保证责任：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1．将成交项目转让给他人，或者在磋商响应文件中未说明，且未经采购人同意，将成交项目分包给他人的；</w:t>
      </w:r>
    </w:p>
    <w:p>
      <w:pPr>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（二）我方的保证范围是主合同约定的合同价款总额的%数额为元（大写），币种为。（即主合同履约保证金金额）</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二、保证的方式及保证期间</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我方保证的方式为：连带责任保证。</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我方保证的期间为：自本合同生效之日起至供应商按照主合同约定的供货/完工期限届满后日内。</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三、承担保证责任的程序</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 我方收到你方的书面索赔通知及相应证明材料，在工作日内进行核定后按照本保函的承诺承担保证责任。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四、保证责任的终止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五、免责条款</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六、争议的解决</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因本保函发生的纠纷，由你我双方协商解决，协商不成的，通过诉讼程序解决，诉讼管辖地法院为法院。</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七、保函的生效</w:t>
      </w:r>
    </w:p>
    <w:p>
      <w:pPr>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本保函自我方加盖公章之日起生效。</w:t>
      </w:r>
    </w:p>
    <w:p>
      <w:pPr>
        <w:snapToGrid w:val="0"/>
        <w:spacing w:line="336" w:lineRule="auto"/>
        <w:rPr>
          <w:rFonts w:ascii="仿宋_GB2312" w:hAnsi="仿宋_GB2312" w:eastAsia="仿宋_GB2312" w:cs="仿宋_GB2312"/>
          <w:color w:val="auto"/>
          <w:sz w:val="24"/>
          <w:highlight w:val="none"/>
        </w:rPr>
      </w:pPr>
    </w:p>
    <w:p>
      <w:pPr>
        <w:snapToGrid w:val="0"/>
        <w:spacing w:line="336" w:lineRule="auto"/>
        <w:rPr>
          <w:rFonts w:ascii="仿宋_GB2312" w:hAnsi="仿宋_GB2312" w:eastAsia="仿宋_GB2312" w:cs="仿宋_GB2312"/>
          <w:color w:val="auto"/>
          <w:sz w:val="24"/>
          <w:highlight w:val="none"/>
        </w:rPr>
      </w:pP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出具保函单位名称（盖公章）：</w:t>
      </w:r>
    </w:p>
    <w:p>
      <w:pPr>
        <w:spacing w:line="360" w:lineRule="auto"/>
        <w:ind w:left="1080" w:leftChars="257" w:hanging="54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签字人姓名和职务：</w:t>
      </w:r>
    </w:p>
    <w:p>
      <w:pPr>
        <w:spacing w:line="360" w:lineRule="auto"/>
        <w:ind w:left="1080" w:leftChars="257" w:hanging="54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签字人签名：</w:t>
      </w:r>
    </w:p>
    <w:p>
      <w:pPr>
        <w:spacing w:line="360" w:lineRule="auto"/>
        <w:ind w:left="1080" w:leftChars="257" w:hanging="540"/>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u w:val="single"/>
        </w:rPr>
        <w:t xml:space="preserve">         年      月      日    </w:t>
      </w:r>
    </w:p>
    <w:p>
      <w:pPr>
        <w:spacing w:after="120"/>
        <w:rPr>
          <w:rFonts w:ascii="仿宋_GB2312" w:hAnsi="仿宋_GB2312" w:eastAsia="仿宋_GB2312" w:cs="仿宋_GB2312"/>
          <w:color w:val="auto"/>
          <w:highlight w:val="none"/>
        </w:rPr>
      </w:pPr>
    </w:p>
    <w:p>
      <w:pPr>
        <w:autoSpaceDE w:val="0"/>
        <w:autoSpaceDN w:val="0"/>
        <w:adjustRightInd w:val="0"/>
        <w:snapToGrid w:val="0"/>
        <w:spacing w:line="360" w:lineRule="auto"/>
        <w:rPr>
          <w:rFonts w:ascii="仿宋_GB2312" w:hAnsi="仿宋_GB2312" w:eastAsia="仿宋_GB2312" w:cs="仿宋_GB2312"/>
          <w:b/>
          <w:bCs/>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附件3</w:t>
      </w:r>
    </w:p>
    <w:p>
      <w:pPr>
        <w:autoSpaceDE w:val="0"/>
        <w:autoSpaceDN w:val="0"/>
        <w:adjustRightInd w:val="0"/>
        <w:snapToGrid w:val="0"/>
        <w:spacing w:line="360" w:lineRule="auto"/>
        <w:jc w:val="cente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 xml:space="preserve"> （最后）磋商响应报价表</w:t>
      </w:r>
    </w:p>
    <w:p>
      <w:pPr>
        <w:spacing w:after="120"/>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（随身携带，单独提供，无需装订在响应文件中）</w:t>
      </w:r>
    </w:p>
    <w:p>
      <w:pPr>
        <w:pStyle w:val="23"/>
        <w:rPr>
          <w:color w:val="auto"/>
          <w:highlight w:val="none"/>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lang w:val="zh-CN"/>
              </w:rPr>
              <w:br w:type="page"/>
            </w:r>
            <w:r>
              <w:rPr>
                <w:rFonts w:hint="eastAsia" w:ascii="仿宋_GB2312" w:hAnsi="仿宋_GB2312" w:eastAsia="仿宋_GB2312" w:cs="仿宋_GB2312"/>
                <w:b/>
                <w:color w:val="auto"/>
                <w:sz w:val="24"/>
                <w:highlight w:val="none"/>
              </w:rPr>
              <w:t>项目编号及项目名称</w:t>
            </w:r>
          </w:p>
        </w:tc>
        <w:tc>
          <w:tcPr>
            <w:tcW w:w="6981" w:type="dxa"/>
            <w:vAlign w:val="center"/>
          </w:tcPr>
          <w:p>
            <w:pPr>
              <w:spacing w:after="120"/>
              <w:rPr>
                <w:rFonts w:hint="default"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项目编号：</w:t>
            </w:r>
            <w:r>
              <w:rPr>
                <w:rFonts w:hint="eastAsia" w:ascii="仿宋_GB2312" w:hAnsi="仿宋_GB2312" w:eastAsia="仿宋_GB2312" w:cs="仿宋_GB2312"/>
                <w:color w:val="auto"/>
                <w:sz w:val="24"/>
                <w:highlight w:val="none"/>
                <w:lang w:eastAsia="zh-CN"/>
              </w:rPr>
              <w:t>ZCSP-延川县-202</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lang w:eastAsia="zh-CN"/>
              </w:rPr>
              <w:t>-00</w:t>
            </w:r>
            <w:r>
              <w:rPr>
                <w:rFonts w:hint="eastAsia" w:ascii="仿宋_GB2312" w:hAnsi="仿宋_GB2312" w:eastAsia="仿宋_GB2312" w:cs="仿宋_GB2312"/>
                <w:color w:val="auto"/>
                <w:sz w:val="24"/>
                <w:highlight w:val="none"/>
                <w:lang w:val="en-US" w:eastAsia="zh-CN"/>
              </w:rPr>
              <w:t>022</w:t>
            </w:r>
          </w:p>
          <w:p>
            <w:pPr>
              <w:spacing w:after="120"/>
              <w:rPr>
                <w:rFonts w:hint="eastAsia" w:ascii="仿宋_GB2312" w:hAnsi="仿宋_GB2312" w:eastAsia="仿宋_GB2312" w:cs="仿宋_GB2312"/>
                <w:color w:val="auto"/>
                <w:sz w:val="24"/>
                <w:highlight w:val="none"/>
                <w:u w:val="single"/>
                <w:lang w:eastAsia="zh-CN"/>
              </w:rPr>
            </w:pPr>
            <w:r>
              <w:rPr>
                <w:rFonts w:hint="eastAsia" w:ascii="仿宋_GB2312" w:hAnsi="仿宋_GB2312" w:eastAsia="仿宋_GB2312" w:cs="仿宋_GB2312"/>
                <w:color w:val="auto"/>
                <w:sz w:val="24"/>
                <w:highlight w:val="none"/>
              </w:rPr>
              <w:t>项目名称：</w:t>
            </w:r>
            <w:r>
              <w:rPr>
                <w:rFonts w:hint="eastAsia" w:ascii="仿宋_GB2312" w:hAnsi="仿宋_GB2312" w:eastAsia="仿宋_GB2312" w:cs="仿宋_GB2312"/>
                <w:color w:val="auto"/>
                <w:sz w:val="24"/>
                <w:highlight w:val="none"/>
                <w:lang w:val="en-US" w:eastAsia="zh-CN"/>
              </w:rPr>
              <w:t>延川县乾坤湾镇人民政府关于黄河流域生态保护修复乾坤湾流域综合治理项目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响应总价</w:t>
            </w:r>
          </w:p>
        </w:tc>
        <w:tc>
          <w:tcPr>
            <w:tcW w:w="6981" w:type="dxa"/>
            <w:vAlign w:val="center"/>
          </w:tcPr>
          <w:p>
            <w:pPr>
              <w:spacing w:after="120"/>
              <w:rPr>
                <w:rFonts w:ascii="仿宋_GB2312" w:hAnsi="仿宋_GB2312" w:eastAsia="仿宋_GB2312" w:cs="仿宋_GB2312"/>
                <w:i/>
                <w:color w:val="auto"/>
                <w:sz w:val="24"/>
                <w:highlight w:val="none"/>
              </w:rPr>
            </w:pPr>
            <w:r>
              <w:rPr>
                <w:rFonts w:hint="eastAsia" w:ascii="仿宋_GB2312" w:hAnsi="仿宋_GB2312" w:eastAsia="仿宋_GB2312" w:cs="仿宋_GB2312"/>
                <w:color w:val="auto"/>
                <w:sz w:val="24"/>
                <w:highlight w:val="none"/>
              </w:rPr>
              <w:t>人民币（大写）： 整（小写：</w:t>
            </w:r>
            <w:r>
              <w:rPr>
                <w:rFonts w:hint="eastAsia" w:ascii="宋体" w:hAnsi="宋体" w:eastAsia="宋体" w:cs="宋体"/>
                <w:color w:val="auto"/>
                <w:sz w:val="24"/>
                <w:highlight w:val="none"/>
              </w:rPr>
              <w:t>¥</w:t>
            </w:r>
            <w:r>
              <w:rPr>
                <w:rFonts w:hint="eastAsia" w:ascii="仿宋_GB2312" w:hAnsi="仿宋_GB2312" w:eastAsia="仿宋_GB2312" w:cs="仿宋_GB2312"/>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服务期</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服务地点</w:t>
            </w:r>
          </w:p>
        </w:tc>
        <w:tc>
          <w:tcPr>
            <w:tcW w:w="6981" w:type="dxa"/>
            <w:vAlign w:val="center"/>
          </w:tcPr>
          <w:p>
            <w:pPr>
              <w:spacing w:after="120"/>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备注</w:t>
            </w:r>
          </w:p>
        </w:tc>
        <w:tc>
          <w:tcPr>
            <w:tcW w:w="6981" w:type="dxa"/>
            <w:vAlign w:val="center"/>
          </w:tcPr>
          <w:p>
            <w:pPr>
              <w:spacing w:after="120"/>
              <w:rPr>
                <w:rFonts w:ascii="仿宋_GB2312" w:hAnsi="仿宋_GB2312" w:eastAsia="仿宋_GB2312" w:cs="仿宋_GB2312"/>
                <w:color w:val="auto"/>
                <w:sz w:val="24"/>
                <w:highlight w:val="none"/>
              </w:rPr>
            </w:pPr>
          </w:p>
        </w:tc>
      </w:tr>
    </w:tbl>
    <w:p>
      <w:pPr>
        <w:pStyle w:val="23"/>
        <w:rPr>
          <w:color w:val="auto"/>
          <w:highlight w:val="none"/>
          <w:lang w:val="zh-CN"/>
        </w:rPr>
      </w:pPr>
    </w:p>
    <w:p>
      <w:pPr>
        <w:autoSpaceDE w:val="0"/>
        <w:autoSpaceDN w:val="0"/>
        <w:adjustRightInd w:val="0"/>
        <w:snapToGrid w:val="0"/>
        <w:spacing w:line="360" w:lineRule="auto"/>
        <w:rPr>
          <w:rFonts w:ascii="仿宋_GB2312" w:hAnsi="仿宋_GB2312" w:eastAsia="仿宋_GB2312" w:cs="仿宋_GB2312"/>
          <w:b/>
          <w:bCs/>
          <w:color w:val="auto"/>
          <w:sz w:val="24"/>
          <w:highlight w:val="none"/>
        </w:rPr>
      </w:pPr>
    </w:p>
    <w:p>
      <w:pPr>
        <w:autoSpaceDE w:val="0"/>
        <w:autoSpaceDN w:val="0"/>
        <w:adjustRightInd w:val="0"/>
        <w:snapToGrid w:val="0"/>
        <w:spacing w:line="360" w:lineRule="auto"/>
        <w:rPr>
          <w:rFonts w:ascii="仿宋_GB2312" w:hAnsi="仿宋_GB2312" w:eastAsia="仿宋_GB2312" w:cs="仿宋_GB2312"/>
          <w:color w:val="auto"/>
          <w:sz w:val="24"/>
          <w:highlight w:val="none"/>
        </w:rPr>
      </w:pPr>
    </w:p>
    <w:p>
      <w:pPr>
        <w:autoSpaceDE w:val="0"/>
        <w:autoSpaceDN w:val="0"/>
        <w:adjustRightInd w:val="0"/>
        <w:snapToGrid w:val="0"/>
        <w:spacing w:line="360" w:lineRule="auto"/>
        <w:ind w:firstLine="1080" w:firstLineChars="4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供应商法定代表人</w:t>
      </w:r>
      <w:r>
        <w:rPr>
          <w:rFonts w:hint="eastAsia" w:ascii="仿宋_GB2312" w:hAnsi="仿宋_GB2312" w:eastAsia="仿宋_GB2312" w:cs="仿宋_GB2312"/>
          <w:color w:val="auto"/>
          <w:sz w:val="24"/>
          <w:highlight w:val="none"/>
        </w:rPr>
        <w:t>或</w:t>
      </w:r>
      <w:r>
        <w:rPr>
          <w:rFonts w:hint="eastAsia" w:ascii="仿宋_GB2312" w:hAnsi="仿宋_GB2312" w:eastAsia="仿宋_GB2312" w:cs="仿宋_GB2312"/>
          <w:color w:val="auto"/>
          <w:sz w:val="24"/>
          <w:highlight w:val="none"/>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（公章）：                            （</w:t>
      </w:r>
      <w:r>
        <w:rPr>
          <w:rFonts w:hint="eastAsia" w:ascii="仿宋_GB2312" w:hAnsi="仿宋_GB2312" w:eastAsia="仿宋_GB2312" w:cs="仿宋_GB2312"/>
          <w:b/>
          <w:color w:val="auto"/>
          <w:sz w:val="24"/>
          <w:highlight w:val="none"/>
          <w:lang w:val="zh-CN"/>
        </w:rPr>
        <w:t>签字</w:t>
      </w:r>
      <w:r>
        <w:rPr>
          <w:rFonts w:hint="eastAsia" w:ascii="仿宋_GB2312" w:hAnsi="仿宋_GB2312" w:eastAsia="仿宋_GB2312" w:cs="仿宋_GB2312"/>
          <w:color w:val="auto"/>
          <w:sz w:val="24"/>
          <w:highlight w:val="none"/>
          <w:lang w:val="zh-CN"/>
        </w:rPr>
        <w:t>）：</w:t>
      </w:r>
    </w:p>
    <w:p>
      <w:pPr>
        <w:autoSpaceDE w:val="0"/>
        <w:autoSpaceDN w:val="0"/>
        <w:adjustRightInd w:val="0"/>
        <w:snapToGrid w:val="0"/>
        <w:spacing w:line="360" w:lineRule="auto"/>
        <w:rPr>
          <w:rFonts w:ascii="仿宋_GB2312" w:hAnsi="仿宋_GB2312" w:eastAsia="仿宋_GB2312" w:cs="仿宋_GB2312"/>
          <w:color w:val="auto"/>
          <w:sz w:val="24"/>
          <w:highlight w:val="none"/>
          <w:lang w:val="zh-CN"/>
        </w:rPr>
      </w:pPr>
    </w:p>
    <w:p>
      <w:pPr>
        <w:autoSpaceDE w:val="0"/>
        <w:autoSpaceDN w:val="0"/>
        <w:adjustRightInd w:val="0"/>
        <w:snapToGrid w:val="0"/>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w:t>
      </w:r>
    </w:p>
    <w:p>
      <w:pPr>
        <w:autoSpaceDE w:val="0"/>
        <w:autoSpaceDN w:val="0"/>
        <w:adjustRightInd w:val="0"/>
        <w:snapToGrid w:val="0"/>
        <w:spacing w:line="360" w:lineRule="auto"/>
        <w:ind w:firstLine="240" w:firstLineChars="10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 xml:space="preserve"> 月</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val="zh-CN"/>
        </w:rPr>
        <w:t>日</w:t>
      </w:r>
    </w:p>
    <w:p>
      <w:pPr>
        <w:spacing w:after="120"/>
        <w:rPr>
          <w:rFonts w:ascii="仿宋_GB2312" w:hAnsi="仿宋_GB2312" w:eastAsia="仿宋_GB2312" w:cs="仿宋_GB2312"/>
          <w:b/>
          <w:bCs/>
          <w:color w:val="auto"/>
          <w:sz w:val="30"/>
          <w:szCs w:val="30"/>
          <w:highlight w:val="none"/>
        </w:rPr>
        <w:sectPr>
          <w:footerReference r:id="rId9" w:type="first"/>
          <w:headerReference r:id="rId7" w:type="default"/>
          <w:footerReference r:id="rId8" w:type="default"/>
          <w:pgSz w:w="11906" w:h="16838"/>
          <w:pgMar w:top="1418" w:right="1418" w:bottom="1418" w:left="1418" w:header="851" w:footer="992" w:gutter="0"/>
          <w:pgNumType w:fmt="decimal"/>
          <w:cols w:space="720" w:num="1"/>
          <w:docGrid w:linePitch="312" w:charSpace="0"/>
        </w:sectPr>
      </w:pPr>
      <w:r>
        <w:rPr>
          <w:rFonts w:hint="eastAsia" w:ascii="仿宋_GB2312" w:hAnsi="仿宋_GB2312" w:eastAsia="仿宋_GB2312" w:cs="仿宋_GB2312"/>
          <w:color w:val="auto"/>
          <w:highlight w:val="none"/>
          <w:lang w:val="zh-CN"/>
        </w:rPr>
        <w:br w:type="page"/>
      </w:r>
    </w:p>
    <w:p>
      <w:pPr>
        <w:keepNext/>
        <w:keepLines/>
        <w:autoSpaceDE w:val="0"/>
        <w:autoSpaceDN w:val="0"/>
        <w:adjustRightInd w:val="0"/>
        <w:spacing w:line="360" w:lineRule="auto"/>
        <w:jc w:val="center"/>
        <w:outlineLvl w:val="2"/>
        <w:rPr>
          <w:rFonts w:ascii="仿宋_GB2312" w:hAnsi="仿宋_GB2312" w:eastAsia="仿宋_GB2312" w:cs="仿宋_GB2312"/>
          <w:b/>
          <w:color w:val="auto"/>
          <w:kern w:val="0"/>
          <w:sz w:val="32"/>
          <w:szCs w:val="32"/>
          <w:highlight w:val="none"/>
          <w:shd w:val="clear" w:color="auto" w:fill="FFFFFF"/>
        </w:rPr>
      </w:pPr>
      <w:r>
        <w:rPr>
          <w:rFonts w:hint="eastAsia" w:ascii="仿宋_GB2312" w:hAnsi="仿宋_GB2312" w:eastAsia="仿宋_GB2312" w:cs="仿宋_GB2312"/>
          <w:b/>
          <w:color w:val="auto"/>
          <w:kern w:val="0"/>
          <w:sz w:val="32"/>
          <w:szCs w:val="32"/>
          <w:highlight w:val="none"/>
          <w:shd w:val="clear" w:color="auto" w:fill="FFFFFF"/>
        </w:rPr>
        <w:t>（最后）分项报价表</w:t>
      </w:r>
    </w:p>
    <w:p>
      <w:pPr>
        <w:pStyle w:val="23"/>
        <w:rPr>
          <w:color w:val="auto"/>
          <w:highlight w:val="none"/>
        </w:rPr>
      </w:pPr>
      <w:r>
        <w:rPr>
          <w:rFonts w:hint="eastAsia"/>
          <w:color w:val="auto"/>
          <w:highlight w:val="none"/>
        </w:rPr>
        <w:t xml:space="preserve">                      （随身携带，单独提供，无需装订在响应文件中）</w:t>
      </w:r>
    </w:p>
    <w:p>
      <w:pPr>
        <w:autoSpaceDE w:val="0"/>
        <w:autoSpaceDN w:val="0"/>
        <w:adjustRightInd w:val="0"/>
        <w:snapToGrid w:val="0"/>
        <w:spacing w:before="120" w:line="360" w:lineRule="auto"/>
        <w:ind w:left="-206" w:leftChars="-98"/>
        <w:jc w:val="left"/>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rFonts w:ascii="仿宋" w:hAnsi="仿宋" w:eastAsia="仿宋"/>
          <w:color w:val="auto"/>
          <w:kern w:val="0"/>
          <w:sz w:val="24"/>
          <w:szCs w:val="28"/>
          <w:highlight w:val="none"/>
        </w:rPr>
      </w:pPr>
    </w:p>
    <w:p>
      <w:pPr>
        <w:pStyle w:val="23"/>
        <w:rPr>
          <w:rFonts w:ascii="仿宋" w:hAnsi="仿宋" w:eastAsia="仿宋"/>
          <w:color w:val="auto"/>
          <w:kern w:val="0"/>
          <w:sz w:val="24"/>
          <w:szCs w:val="28"/>
          <w:highlight w:val="none"/>
        </w:rPr>
      </w:pPr>
    </w:p>
    <w:p>
      <w:pPr>
        <w:rPr>
          <w:color w:val="auto"/>
          <w:highlight w:val="none"/>
        </w:rPr>
      </w:pPr>
    </w:p>
    <w:p>
      <w:pPr>
        <w:adjustRightInd w:val="0"/>
        <w:snapToGrid w:val="0"/>
        <w:spacing w:line="360" w:lineRule="auto"/>
        <w:ind w:firstLine="1080" w:firstLineChars="450"/>
        <w:rPr>
          <w:rFonts w:ascii="仿宋_GB2312" w:hAnsi="仿宋" w:eastAsia="仿宋_GB2312"/>
          <w:color w:val="auto"/>
          <w:sz w:val="24"/>
          <w:highlight w:val="none"/>
        </w:rPr>
      </w:pPr>
      <w:r>
        <w:rPr>
          <w:rFonts w:hint="eastAsia" w:ascii="仿宋_GB2312" w:hAnsi="仿宋" w:eastAsia="仿宋_GB2312"/>
          <w:color w:val="auto"/>
          <w:sz w:val="24"/>
          <w:highlight w:val="none"/>
        </w:rPr>
        <w:t>投标人                         法定代表人或授权代表</w:t>
      </w:r>
    </w:p>
    <w:p>
      <w:pPr>
        <w:adjustRightInd w:val="0"/>
        <w:snapToGrid w:val="0"/>
        <w:spacing w:line="360" w:lineRule="auto"/>
        <w:ind w:left="-525" w:leftChars="-250" w:firstLine="1680" w:firstLineChars="700"/>
        <w:rPr>
          <w:rFonts w:ascii="仿宋_GB2312" w:hAnsi="仿宋_GB2312" w:eastAsia="仿宋_GB2312" w:cs="仿宋_GB2312"/>
          <w:color w:val="auto"/>
          <w:szCs w:val="21"/>
          <w:highlight w:val="none"/>
        </w:rPr>
      </w:pPr>
      <w:r>
        <w:rPr>
          <w:rFonts w:hint="eastAsia" w:ascii="仿宋_GB2312" w:hAnsi="仿宋" w:eastAsia="仿宋_GB2312"/>
          <w:color w:val="auto"/>
          <w:sz w:val="24"/>
          <w:highlight w:val="none"/>
        </w:rPr>
        <w:t>（公章）：                          （签字）：</w:t>
      </w:r>
    </w:p>
    <w:p>
      <w:pPr>
        <w:pStyle w:val="196"/>
        <w:ind w:firstLine="0"/>
        <w:jc w:val="center"/>
        <w:rPr>
          <w:rFonts w:hint="eastAsia"/>
          <w:b/>
          <w:color w:val="auto"/>
          <w:sz w:val="32"/>
          <w:szCs w:val="32"/>
          <w:highlight w:val="none"/>
        </w:rPr>
      </w:pPr>
    </w:p>
    <w:p>
      <w:pPr>
        <w:pStyle w:val="196"/>
        <w:ind w:firstLine="0"/>
        <w:jc w:val="center"/>
        <w:rPr>
          <w:rFonts w:hint="eastAsia"/>
          <w:b/>
          <w:color w:val="auto"/>
          <w:sz w:val="32"/>
          <w:szCs w:val="32"/>
          <w:highlight w:val="none"/>
        </w:rPr>
      </w:pPr>
    </w:p>
    <w:p>
      <w:pPr>
        <w:pStyle w:val="196"/>
        <w:ind w:firstLine="0"/>
        <w:jc w:val="center"/>
        <w:rPr>
          <w:rFonts w:hint="eastAsia"/>
          <w:b/>
          <w:color w:val="auto"/>
          <w:sz w:val="32"/>
          <w:szCs w:val="32"/>
          <w:highlight w:val="none"/>
        </w:rPr>
      </w:pPr>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Pr>
        <w:adjustRightInd w:val="0"/>
        <w:snapToGrid w:val="0"/>
        <w:spacing w:line="360" w:lineRule="auto"/>
        <w:rPr>
          <w:rFonts w:ascii="仿宋_GB2312" w:hAnsi="仿宋_GB2312" w:eastAsia="仿宋_GB2312" w:cs="仿宋_GB2312"/>
          <w:color w:val="auto"/>
          <w:szCs w:val="21"/>
          <w:highlight w:val="none"/>
        </w:rPr>
      </w:pPr>
    </w:p>
    <w:sectPr>
      <w:footerReference r:id="rId12" w:type="first"/>
      <w:headerReference r:id="rId10" w:type="default"/>
      <w:footerReference r:id="rId11"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359CB8E8"/>
    <w:multiLevelType w:val="singleLevel"/>
    <w:tmpl w:val="359CB8E8"/>
    <w:lvl w:ilvl="0" w:tentative="0">
      <w:start w:val="1"/>
      <w:numFmt w:val="chineseCounting"/>
      <w:suff w:val="nothing"/>
      <w:lvlText w:val="%1、"/>
      <w:lvlJc w:val="left"/>
      <w:rPr>
        <w:rFonts w:hint="eastAsia"/>
      </w:rPr>
    </w:lvl>
  </w:abstractNum>
  <w:abstractNum w:abstractNumId="8">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9">
    <w:nsid w:val="537AA372"/>
    <w:multiLevelType w:val="singleLevel"/>
    <w:tmpl w:val="537AA372"/>
    <w:lvl w:ilvl="0" w:tentative="0">
      <w:start w:val="21"/>
      <w:numFmt w:val="decimal"/>
      <w:suff w:val="space"/>
      <w:lvlText w:val="%1."/>
      <w:lvlJc w:val="left"/>
    </w:lvl>
  </w:abstractNum>
  <w:abstractNum w:abstractNumId="10">
    <w:nsid w:val="5AA8DCB0"/>
    <w:multiLevelType w:val="singleLevel"/>
    <w:tmpl w:val="5AA8DCB0"/>
    <w:lvl w:ilvl="0" w:tentative="0">
      <w:start w:val="1"/>
      <w:numFmt w:val="decimal"/>
      <w:suff w:val="nothing"/>
      <w:lvlText w:val="%1、"/>
      <w:lvlJc w:val="left"/>
    </w:lvl>
  </w:abstractNum>
  <w:abstractNum w:abstractNumId="11">
    <w:nsid w:val="5AAB3475"/>
    <w:multiLevelType w:val="singleLevel"/>
    <w:tmpl w:val="5AAB3475"/>
    <w:lvl w:ilvl="0" w:tentative="0">
      <w:start w:val="1"/>
      <w:numFmt w:val="decimal"/>
      <w:lvlText w:val="%1."/>
      <w:lvlJc w:val="left"/>
      <w:pPr>
        <w:ind w:left="425" w:hanging="425"/>
      </w:pPr>
      <w:rPr>
        <w:rFonts w:hint="default"/>
      </w:rPr>
    </w:lvl>
  </w:abstractNum>
  <w:abstractNum w:abstractNumId="12">
    <w:nsid w:val="5AAB3487"/>
    <w:multiLevelType w:val="singleLevel"/>
    <w:tmpl w:val="5AAB3487"/>
    <w:lvl w:ilvl="0" w:tentative="0">
      <w:start w:val="1"/>
      <w:numFmt w:val="decimal"/>
      <w:lvlText w:val="%1)"/>
      <w:lvlJc w:val="left"/>
      <w:pPr>
        <w:ind w:left="567" w:hanging="425"/>
      </w:pPr>
      <w:rPr>
        <w:rFonts w:hint="default"/>
      </w:rPr>
    </w:lvl>
  </w:abstractNum>
  <w:abstractNum w:abstractNumId="13">
    <w:nsid w:val="624D1350"/>
    <w:multiLevelType w:val="singleLevel"/>
    <w:tmpl w:val="624D1350"/>
    <w:lvl w:ilvl="0" w:tentative="0">
      <w:start w:val="25"/>
      <w:numFmt w:val="decimal"/>
      <w:suff w:val="space"/>
      <w:lvlText w:val="%1."/>
      <w:lvlJc w:val="left"/>
    </w:lvl>
  </w:abstractNum>
  <w:abstractNum w:abstractNumId="14">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6">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4"/>
  </w:num>
  <w:num w:numId="4">
    <w:abstractNumId w:val="17"/>
  </w:num>
  <w:num w:numId="5">
    <w:abstractNumId w:val="5"/>
  </w:num>
  <w:num w:numId="6">
    <w:abstractNumId w:val="8"/>
  </w:num>
  <w:num w:numId="7">
    <w:abstractNumId w:val="0"/>
  </w:num>
  <w:num w:numId="8">
    <w:abstractNumId w:val="9"/>
  </w:num>
  <w:num w:numId="9">
    <w:abstractNumId w:val="13"/>
  </w:num>
  <w:num w:numId="10">
    <w:abstractNumId w:val="4"/>
  </w:num>
  <w:num w:numId="11">
    <w:abstractNumId w:val="1"/>
  </w:num>
  <w:num w:numId="12">
    <w:abstractNumId w:val="11"/>
  </w:num>
  <w:num w:numId="13">
    <w:abstractNumId w:val="12"/>
  </w:num>
  <w:num w:numId="14">
    <w:abstractNumId w:val="10"/>
  </w:num>
  <w:num w:numId="15">
    <w:abstractNumId w:val="6"/>
  </w:num>
  <w:num w:numId="16">
    <w:abstractNumId w:val="15"/>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NjcxYjE0ZmNjNGM2ZDk4ZDk1ODNjYjQ1YjY3YzY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5A0C"/>
    <w:rsid w:val="0009799D"/>
    <w:rsid w:val="000A15A6"/>
    <w:rsid w:val="000A2D28"/>
    <w:rsid w:val="000A4FE6"/>
    <w:rsid w:val="000B5CCC"/>
    <w:rsid w:val="000C135C"/>
    <w:rsid w:val="000C3906"/>
    <w:rsid w:val="000C5BB6"/>
    <w:rsid w:val="000D231B"/>
    <w:rsid w:val="000D4A95"/>
    <w:rsid w:val="000D6BDC"/>
    <w:rsid w:val="000D7E41"/>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26CA"/>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6B3C"/>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057AC"/>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810E3"/>
    <w:rsid w:val="00494A82"/>
    <w:rsid w:val="004A0A68"/>
    <w:rsid w:val="004A4BC1"/>
    <w:rsid w:val="004A6CB2"/>
    <w:rsid w:val="004B012C"/>
    <w:rsid w:val="004B4658"/>
    <w:rsid w:val="004B498E"/>
    <w:rsid w:val="004B631E"/>
    <w:rsid w:val="004C17E7"/>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82E2D"/>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22FA"/>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0146"/>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621"/>
    <w:rsid w:val="007079A5"/>
    <w:rsid w:val="007108A1"/>
    <w:rsid w:val="00711EA4"/>
    <w:rsid w:val="00716957"/>
    <w:rsid w:val="00720269"/>
    <w:rsid w:val="007219AF"/>
    <w:rsid w:val="007247E7"/>
    <w:rsid w:val="007249D9"/>
    <w:rsid w:val="00724A04"/>
    <w:rsid w:val="007346B5"/>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F14"/>
    <w:rsid w:val="007E71F5"/>
    <w:rsid w:val="007E73B0"/>
    <w:rsid w:val="007F1B7B"/>
    <w:rsid w:val="007F4D32"/>
    <w:rsid w:val="00801DEF"/>
    <w:rsid w:val="0080217E"/>
    <w:rsid w:val="008031F1"/>
    <w:rsid w:val="00803280"/>
    <w:rsid w:val="00804A4E"/>
    <w:rsid w:val="00807872"/>
    <w:rsid w:val="00817CCC"/>
    <w:rsid w:val="00826B74"/>
    <w:rsid w:val="00831006"/>
    <w:rsid w:val="008357E9"/>
    <w:rsid w:val="00845769"/>
    <w:rsid w:val="0084595F"/>
    <w:rsid w:val="00855B04"/>
    <w:rsid w:val="00865539"/>
    <w:rsid w:val="00866447"/>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1DDB"/>
    <w:rsid w:val="008D4781"/>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30FC"/>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3E43"/>
    <w:rsid w:val="00A45ECA"/>
    <w:rsid w:val="00A52C70"/>
    <w:rsid w:val="00A556AC"/>
    <w:rsid w:val="00A60B0A"/>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5482"/>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8179D"/>
    <w:rsid w:val="00B84903"/>
    <w:rsid w:val="00B92025"/>
    <w:rsid w:val="00B967ED"/>
    <w:rsid w:val="00BA17CC"/>
    <w:rsid w:val="00BA6742"/>
    <w:rsid w:val="00BA7DCB"/>
    <w:rsid w:val="00BC231E"/>
    <w:rsid w:val="00BC3338"/>
    <w:rsid w:val="00BC34D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85CD6"/>
    <w:rsid w:val="00C92426"/>
    <w:rsid w:val="00C93EA5"/>
    <w:rsid w:val="00C94EED"/>
    <w:rsid w:val="00C9738A"/>
    <w:rsid w:val="00CA5206"/>
    <w:rsid w:val="00CA6B7F"/>
    <w:rsid w:val="00CB21CE"/>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4957"/>
    <w:rsid w:val="00D96F9A"/>
    <w:rsid w:val="00DA178E"/>
    <w:rsid w:val="00DA1939"/>
    <w:rsid w:val="00DA6A22"/>
    <w:rsid w:val="00DB5C9F"/>
    <w:rsid w:val="00DC0934"/>
    <w:rsid w:val="00DD10CD"/>
    <w:rsid w:val="00DE4818"/>
    <w:rsid w:val="00DF2F86"/>
    <w:rsid w:val="00DF4D97"/>
    <w:rsid w:val="00DF780E"/>
    <w:rsid w:val="00E04115"/>
    <w:rsid w:val="00E05A25"/>
    <w:rsid w:val="00E06BE5"/>
    <w:rsid w:val="00E114E0"/>
    <w:rsid w:val="00E11E91"/>
    <w:rsid w:val="00E127EE"/>
    <w:rsid w:val="00E13C48"/>
    <w:rsid w:val="00E1663B"/>
    <w:rsid w:val="00E251B3"/>
    <w:rsid w:val="00E26CB6"/>
    <w:rsid w:val="00E32C0B"/>
    <w:rsid w:val="00E33989"/>
    <w:rsid w:val="00E34F72"/>
    <w:rsid w:val="00E41A7C"/>
    <w:rsid w:val="00E42196"/>
    <w:rsid w:val="00E43AA8"/>
    <w:rsid w:val="00E44511"/>
    <w:rsid w:val="00E469B4"/>
    <w:rsid w:val="00E547C7"/>
    <w:rsid w:val="00E6011D"/>
    <w:rsid w:val="00E66313"/>
    <w:rsid w:val="00E71EEB"/>
    <w:rsid w:val="00E80D1E"/>
    <w:rsid w:val="00E81B72"/>
    <w:rsid w:val="00E90FA3"/>
    <w:rsid w:val="00E950EE"/>
    <w:rsid w:val="00E972E9"/>
    <w:rsid w:val="00EA4AF9"/>
    <w:rsid w:val="00EB019B"/>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169DA"/>
    <w:rsid w:val="00F204B5"/>
    <w:rsid w:val="00F2464A"/>
    <w:rsid w:val="00F25E73"/>
    <w:rsid w:val="00F26088"/>
    <w:rsid w:val="00F2639D"/>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13A4F"/>
    <w:rsid w:val="01276CE6"/>
    <w:rsid w:val="01391AF7"/>
    <w:rsid w:val="018C519F"/>
    <w:rsid w:val="019F1377"/>
    <w:rsid w:val="01A56820"/>
    <w:rsid w:val="01B73196"/>
    <w:rsid w:val="01DB0F21"/>
    <w:rsid w:val="01F85948"/>
    <w:rsid w:val="027D1EDC"/>
    <w:rsid w:val="02AA6F17"/>
    <w:rsid w:val="02E6429D"/>
    <w:rsid w:val="032E5AB3"/>
    <w:rsid w:val="0380752A"/>
    <w:rsid w:val="03822CFE"/>
    <w:rsid w:val="03A32028"/>
    <w:rsid w:val="03C4317A"/>
    <w:rsid w:val="041E1097"/>
    <w:rsid w:val="04510922"/>
    <w:rsid w:val="046568B9"/>
    <w:rsid w:val="04785EAF"/>
    <w:rsid w:val="04874841"/>
    <w:rsid w:val="04AF0DC0"/>
    <w:rsid w:val="04C11604"/>
    <w:rsid w:val="04C55DCB"/>
    <w:rsid w:val="04E35F2C"/>
    <w:rsid w:val="04EB4ECE"/>
    <w:rsid w:val="053371D4"/>
    <w:rsid w:val="05A9381E"/>
    <w:rsid w:val="05C3315A"/>
    <w:rsid w:val="05CA3B1B"/>
    <w:rsid w:val="05D40F8A"/>
    <w:rsid w:val="05E97CB2"/>
    <w:rsid w:val="06095936"/>
    <w:rsid w:val="060D6A3B"/>
    <w:rsid w:val="06193B1E"/>
    <w:rsid w:val="06383C8B"/>
    <w:rsid w:val="068E3768"/>
    <w:rsid w:val="06AB6FF1"/>
    <w:rsid w:val="06C6067E"/>
    <w:rsid w:val="06DF18E2"/>
    <w:rsid w:val="0707497A"/>
    <w:rsid w:val="071920EC"/>
    <w:rsid w:val="07394A3D"/>
    <w:rsid w:val="07416329"/>
    <w:rsid w:val="07501B9E"/>
    <w:rsid w:val="0838785B"/>
    <w:rsid w:val="084A5DB4"/>
    <w:rsid w:val="08727C1D"/>
    <w:rsid w:val="087D0B78"/>
    <w:rsid w:val="08894DF6"/>
    <w:rsid w:val="08B51A8E"/>
    <w:rsid w:val="0920129B"/>
    <w:rsid w:val="094D790A"/>
    <w:rsid w:val="095A240F"/>
    <w:rsid w:val="097C3D4B"/>
    <w:rsid w:val="09823E4D"/>
    <w:rsid w:val="098852A8"/>
    <w:rsid w:val="09A06B78"/>
    <w:rsid w:val="09E3201C"/>
    <w:rsid w:val="09EA3E64"/>
    <w:rsid w:val="09F4422A"/>
    <w:rsid w:val="0A3960E0"/>
    <w:rsid w:val="0A4B18CE"/>
    <w:rsid w:val="0A601059"/>
    <w:rsid w:val="0A843E2F"/>
    <w:rsid w:val="0A8A4B12"/>
    <w:rsid w:val="0AB25DFE"/>
    <w:rsid w:val="0AB80DB3"/>
    <w:rsid w:val="0AC800D5"/>
    <w:rsid w:val="0AFA19A7"/>
    <w:rsid w:val="0B0E0697"/>
    <w:rsid w:val="0B181252"/>
    <w:rsid w:val="0B2543AA"/>
    <w:rsid w:val="0B3C19E4"/>
    <w:rsid w:val="0B651CEF"/>
    <w:rsid w:val="0BC83278"/>
    <w:rsid w:val="0C275A89"/>
    <w:rsid w:val="0C7113EC"/>
    <w:rsid w:val="0CBB5882"/>
    <w:rsid w:val="0D4E6C04"/>
    <w:rsid w:val="0D510E84"/>
    <w:rsid w:val="0D531CDF"/>
    <w:rsid w:val="0DCA3125"/>
    <w:rsid w:val="0E24247F"/>
    <w:rsid w:val="0E2A021A"/>
    <w:rsid w:val="0E416A77"/>
    <w:rsid w:val="0E5C2657"/>
    <w:rsid w:val="0E5C7CE8"/>
    <w:rsid w:val="0EA34036"/>
    <w:rsid w:val="0EB049DF"/>
    <w:rsid w:val="0EB63F9D"/>
    <w:rsid w:val="0ECF16D5"/>
    <w:rsid w:val="0EFC576A"/>
    <w:rsid w:val="0F245037"/>
    <w:rsid w:val="0F54794B"/>
    <w:rsid w:val="0F6A354E"/>
    <w:rsid w:val="0F88478D"/>
    <w:rsid w:val="0FB73DA5"/>
    <w:rsid w:val="0FB87AA7"/>
    <w:rsid w:val="0FDC019A"/>
    <w:rsid w:val="0FDD306A"/>
    <w:rsid w:val="0FDE2587"/>
    <w:rsid w:val="101B0BC4"/>
    <w:rsid w:val="103649EC"/>
    <w:rsid w:val="1040315F"/>
    <w:rsid w:val="10507757"/>
    <w:rsid w:val="107A1082"/>
    <w:rsid w:val="10921744"/>
    <w:rsid w:val="109E7189"/>
    <w:rsid w:val="10C72BB3"/>
    <w:rsid w:val="10CC1804"/>
    <w:rsid w:val="1109680C"/>
    <w:rsid w:val="115206FB"/>
    <w:rsid w:val="11531DCE"/>
    <w:rsid w:val="11AC7198"/>
    <w:rsid w:val="11B147AE"/>
    <w:rsid w:val="11B40613"/>
    <w:rsid w:val="11BE2022"/>
    <w:rsid w:val="11D83EA2"/>
    <w:rsid w:val="120043ED"/>
    <w:rsid w:val="12135660"/>
    <w:rsid w:val="122510EE"/>
    <w:rsid w:val="123757B7"/>
    <w:rsid w:val="12405481"/>
    <w:rsid w:val="12837EE6"/>
    <w:rsid w:val="128D1331"/>
    <w:rsid w:val="12C1355D"/>
    <w:rsid w:val="12EA1EE6"/>
    <w:rsid w:val="12EF7289"/>
    <w:rsid w:val="133D7CD4"/>
    <w:rsid w:val="134D5A81"/>
    <w:rsid w:val="13AC42B6"/>
    <w:rsid w:val="13BF6991"/>
    <w:rsid w:val="13F03DED"/>
    <w:rsid w:val="13F95DC4"/>
    <w:rsid w:val="142A3E2D"/>
    <w:rsid w:val="144A7973"/>
    <w:rsid w:val="14E5758A"/>
    <w:rsid w:val="14FB7DA2"/>
    <w:rsid w:val="15632C42"/>
    <w:rsid w:val="158710F3"/>
    <w:rsid w:val="15C772F3"/>
    <w:rsid w:val="15CE4C34"/>
    <w:rsid w:val="15F0775C"/>
    <w:rsid w:val="160A0AD0"/>
    <w:rsid w:val="16401732"/>
    <w:rsid w:val="165B6F79"/>
    <w:rsid w:val="166E5EB0"/>
    <w:rsid w:val="16C01EAE"/>
    <w:rsid w:val="16F50974"/>
    <w:rsid w:val="16F74BDF"/>
    <w:rsid w:val="177A195D"/>
    <w:rsid w:val="17E50036"/>
    <w:rsid w:val="1820060E"/>
    <w:rsid w:val="18205BA9"/>
    <w:rsid w:val="18370FAA"/>
    <w:rsid w:val="188D7D42"/>
    <w:rsid w:val="18C45643"/>
    <w:rsid w:val="19575882"/>
    <w:rsid w:val="195E155B"/>
    <w:rsid w:val="197321D5"/>
    <w:rsid w:val="199D21E8"/>
    <w:rsid w:val="1A0C41D1"/>
    <w:rsid w:val="1A2F6BB8"/>
    <w:rsid w:val="1A336BE7"/>
    <w:rsid w:val="1A612D7C"/>
    <w:rsid w:val="1A807E72"/>
    <w:rsid w:val="1A8A2A47"/>
    <w:rsid w:val="1A9B10DB"/>
    <w:rsid w:val="1B16166A"/>
    <w:rsid w:val="1B6A60FA"/>
    <w:rsid w:val="1BA15893"/>
    <w:rsid w:val="1BB93E83"/>
    <w:rsid w:val="1BC644B6"/>
    <w:rsid w:val="1C301CBF"/>
    <w:rsid w:val="1C4D7C4C"/>
    <w:rsid w:val="1C613AB1"/>
    <w:rsid w:val="1C8C0466"/>
    <w:rsid w:val="1CC854C2"/>
    <w:rsid w:val="1D0121D0"/>
    <w:rsid w:val="1D5B524F"/>
    <w:rsid w:val="1D6D3522"/>
    <w:rsid w:val="1DAB5588"/>
    <w:rsid w:val="1DD72694"/>
    <w:rsid w:val="1DDE1DE9"/>
    <w:rsid w:val="1DE32193"/>
    <w:rsid w:val="1DE3615E"/>
    <w:rsid w:val="1DFA7416"/>
    <w:rsid w:val="1F107515"/>
    <w:rsid w:val="1F474868"/>
    <w:rsid w:val="1F883C9F"/>
    <w:rsid w:val="1F971592"/>
    <w:rsid w:val="1F996FAD"/>
    <w:rsid w:val="1FB94E27"/>
    <w:rsid w:val="1FE57CFE"/>
    <w:rsid w:val="1FF41576"/>
    <w:rsid w:val="200A3A73"/>
    <w:rsid w:val="20AF20C5"/>
    <w:rsid w:val="20ED7306"/>
    <w:rsid w:val="20F96916"/>
    <w:rsid w:val="211106C5"/>
    <w:rsid w:val="21431785"/>
    <w:rsid w:val="218D29D4"/>
    <w:rsid w:val="219E251A"/>
    <w:rsid w:val="21C24F4B"/>
    <w:rsid w:val="22071464"/>
    <w:rsid w:val="2232235C"/>
    <w:rsid w:val="2274785E"/>
    <w:rsid w:val="2306260B"/>
    <w:rsid w:val="23291785"/>
    <w:rsid w:val="23307C29"/>
    <w:rsid w:val="23450BBF"/>
    <w:rsid w:val="23710488"/>
    <w:rsid w:val="2381304A"/>
    <w:rsid w:val="23BB002C"/>
    <w:rsid w:val="23C33515"/>
    <w:rsid w:val="23DC56BB"/>
    <w:rsid w:val="23F1680C"/>
    <w:rsid w:val="24072116"/>
    <w:rsid w:val="242E494F"/>
    <w:rsid w:val="243E15D5"/>
    <w:rsid w:val="24551238"/>
    <w:rsid w:val="248E2DBA"/>
    <w:rsid w:val="25224672"/>
    <w:rsid w:val="25250089"/>
    <w:rsid w:val="25252A8D"/>
    <w:rsid w:val="25A67057"/>
    <w:rsid w:val="25D54115"/>
    <w:rsid w:val="25F72F27"/>
    <w:rsid w:val="260F4C55"/>
    <w:rsid w:val="26291B1A"/>
    <w:rsid w:val="26763E6F"/>
    <w:rsid w:val="267C3983"/>
    <w:rsid w:val="26AC6A8B"/>
    <w:rsid w:val="26D82BDE"/>
    <w:rsid w:val="26EB0757"/>
    <w:rsid w:val="270101AC"/>
    <w:rsid w:val="274D71B2"/>
    <w:rsid w:val="2751147F"/>
    <w:rsid w:val="27706CF6"/>
    <w:rsid w:val="279C6957"/>
    <w:rsid w:val="27D32B77"/>
    <w:rsid w:val="27DE5929"/>
    <w:rsid w:val="27E14C4C"/>
    <w:rsid w:val="282160D2"/>
    <w:rsid w:val="28676E5D"/>
    <w:rsid w:val="286C62A1"/>
    <w:rsid w:val="28793E20"/>
    <w:rsid w:val="288A7DDB"/>
    <w:rsid w:val="28924B33"/>
    <w:rsid w:val="28A069B8"/>
    <w:rsid w:val="28F72971"/>
    <w:rsid w:val="290F3C6E"/>
    <w:rsid w:val="293E7A1A"/>
    <w:rsid w:val="29CF3006"/>
    <w:rsid w:val="29FB788A"/>
    <w:rsid w:val="2A3073E0"/>
    <w:rsid w:val="2AE35535"/>
    <w:rsid w:val="2B036259"/>
    <w:rsid w:val="2B165956"/>
    <w:rsid w:val="2B496FA3"/>
    <w:rsid w:val="2B532BFE"/>
    <w:rsid w:val="2B6A469F"/>
    <w:rsid w:val="2BAC65A8"/>
    <w:rsid w:val="2BB024B4"/>
    <w:rsid w:val="2BC60F98"/>
    <w:rsid w:val="2BCB45F0"/>
    <w:rsid w:val="2BD22C7C"/>
    <w:rsid w:val="2C066A1A"/>
    <w:rsid w:val="2C0B4AE6"/>
    <w:rsid w:val="2C8165FA"/>
    <w:rsid w:val="2CAC7CBD"/>
    <w:rsid w:val="2CCC08A3"/>
    <w:rsid w:val="2CD817D0"/>
    <w:rsid w:val="2D0A514C"/>
    <w:rsid w:val="2D3F44AA"/>
    <w:rsid w:val="2D8079FF"/>
    <w:rsid w:val="2D872C45"/>
    <w:rsid w:val="2DB235BF"/>
    <w:rsid w:val="2E577392"/>
    <w:rsid w:val="2E6C1D9D"/>
    <w:rsid w:val="2E70591C"/>
    <w:rsid w:val="2E830E4E"/>
    <w:rsid w:val="2E8B1B62"/>
    <w:rsid w:val="2E970AE4"/>
    <w:rsid w:val="2EB227A5"/>
    <w:rsid w:val="2F822BAC"/>
    <w:rsid w:val="2F96630B"/>
    <w:rsid w:val="2FAC7913"/>
    <w:rsid w:val="301F6139"/>
    <w:rsid w:val="305667F5"/>
    <w:rsid w:val="30641E74"/>
    <w:rsid w:val="30810E1D"/>
    <w:rsid w:val="308560E4"/>
    <w:rsid w:val="30F21A0F"/>
    <w:rsid w:val="30F97581"/>
    <w:rsid w:val="314256C4"/>
    <w:rsid w:val="31947CF5"/>
    <w:rsid w:val="31C65637"/>
    <w:rsid w:val="32417274"/>
    <w:rsid w:val="329F04E5"/>
    <w:rsid w:val="32B36180"/>
    <w:rsid w:val="32BB5035"/>
    <w:rsid w:val="32F9755F"/>
    <w:rsid w:val="331B2806"/>
    <w:rsid w:val="333214D1"/>
    <w:rsid w:val="3370495E"/>
    <w:rsid w:val="337C6572"/>
    <w:rsid w:val="33AB2E09"/>
    <w:rsid w:val="33CC0FC6"/>
    <w:rsid w:val="33DD0EAC"/>
    <w:rsid w:val="34143D51"/>
    <w:rsid w:val="34302898"/>
    <w:rsid w:val="344C39FD"/>
    <w:rsid w:val="345B460B"/>
    <w:rsid w:val="347B1D25"/>
    <w:rsid w:val="348E2B4F"/>
    <w:rsid w:val="34BB4966"/>
    <w:rsid w:val="34F14D3E"/>
    <w:rsid w:val="35C97D56"/>
    <w:rsid w:val="35E36D7D"/>
    <w:rsid w:val="35EE5D6B"/>
    <w:rsid w:val="3637765B"/>
    <w:rsid w:val="363A3F05"/>
    <w:rsid w:val="36463673"/>
    <w:rsid w:val="365311E6"/>
    <w:rsid w:val="367112A8"/>
    <w:rsid w:val="37473FEE"/>
    <w:rsid w:val="375445E4"/>
    <w:rsid w:val="376964D6"/>
    <w:rsid w:val="378D71CC"/>
    <w:rsid w:val="379C3619"/>
    <w:rsid w:val="38051CFC"/>
    <w:rsid w:val="384A2F51"/>
    <w:rsid w:val="387C3316"/>
    <w:rsid w:val="387C3364"/>
    <w:rsid w:val="38CC73F3"/>
    <w:rsid w:val="38DF6EA9"/>
    <w:rsid w:val="39113C01"/>
    <w:rsid w:val="395B66C1"/>
    <w:rsid w:val="395E3B0F"/>
    <w:rsid w:val="39930ABA"/>
    <w:rsid w:val="39AE15AC"/>
    <w:rsid w:val="39B72291"/>
    <w:rsid w:val="39DC5FBD"/>
    <w:rsid w:val="39E218FD"/>
    <w:rsid w:val="39E83FB4"/>
    <w:rsid w:val="39F95E9A"/>
    <w:rsid w:val="39FA460F"/>
    <w:rsid w:val="3A153790"/>
    <w:rsid w:val="3A1F11A7"/>
    <w:rsid w:val="3A35689C"/>
    <w:rsid w:val="3A86575A"/>
    <w:rsid w:val="3B115AB0"/>
    <w:rsid w:val="3B341FC1"/>
    <w:rsid w:val="3B6F11E8"/>
    <w:rsid w:val="3B732683"/>
    <w:rsid w:val="3B783AC3"/>
    <w:rsid w:val="3B851216"/>
    <w:rsid w:val="3BCF373B"/>
    <w:rsid w:val="3CCD04B8"/>
    <w:rsid w:val="3D080047"/>
    <w:rsid w:val="3D084D63"/>
    <w:rsid w:val="3D0B4A9A"/>
    <w:rsid w:val="3D517AA3"/>
    <w:rsid w:val="3DA349DC"/>
    <w:rsid w:val="3DB431E3"/>
    <w:rsid w:val="3DC660E6"/>
    <w:rsid w:val="3E0F5C92"/>
    <w:rsid w:val="3E3457B0"/>
    <w:rsid w:val="3E8135D7"/>
    <w:rsid w:val="3E9753EA"/>
    <w:rsid w:val="3E9948D1"/>
    <w:rsid w:val="3EE41CB3"/>
    <w:rsid w:val="3F43088C"/>
    <w:rsid w:val="3F5E71A0"/>
    <w:rsid w:val="3F7F3F6B"/>
    <w:rsid w:val="3FAA346A"/>
    <w:rsid w:val="3FAB317E"/>
    <w:rsid w:val="3FE327A2"/>
    <w:rsid w:val="40521095"/>
    <w:rsid w:val="40602185"/>
    <w:rsid w:val="406D3C7A"/>
    <w:rsid w:val="408D0A8F"/>
    <w:rsid w:val="40D7128C"/>
    <w:rsid w:val="40DD4529"/>
    <w:rsid w:val="414626AC"/>
    <w:rsid w:val="414920DE"/>
    <w:rsid w:val="41550B18"/>
    <w:rsid w:val="416A6333"/>
    <w:rsid w:val="41777332"/>
    <w:rsid w:val="41E371A6"/>
    <w:rsid w:val="4206324A"/>
    <w:rsid w:val="42AE0CB2"/>
    <w:rsid w:val="42B01A80"/>
    <w:rsid w:val="42B540C6"/>
    <w:rsid w:val="42C10446"/>
    <w:rsid w:val="43124DBF"/>
    <w:rsid w:val="43267EE9"/>
    <w:rsid w:val="43411BCB"/>
    <w:rsid w:val="435C4BA0"/>
    <w:rsid w:val="4373005F"/>
    <w:rsid w:val="43A318F9"/>
    <w:rsid w:val="442418FE"/>
    <w:rsid w:val="44781DAA"/>
    <w:rsid w:val="44C9249B"/>
    <w:rsid w:val="44CA357E"/>
    <w:rsid w:val="4587776E"/>
    <w:rsid w:val="45CF460B"/>
    <w:rsid w:val="45E27E1E"/>
    <w:rsid w:val="46142700"/>
    <w:rsid w:val="462C3E28"/>
    <w:rsid w:val="470316C4"/>
    <w:rsid w:val="470E368E"/>
    <w:rsid w:val="4719652F"/>
    <w:rsid w:val="473A22B9"/>
    <w:rsid w:val="477631E0"/>
    <w:rsid w:val="47AC7367"/>
    <w:rsid w:val="47AD6319"/>
    <w:rsid w:val="47BA5BC1"/>
    <w:rsid w:val="47C562E2"/>
    <w:rsid w:val="47C7285C"/>
    <w:rsid w:val="47F866B8"/>
    <w:rsid w:val="480C69CA"/>
    <w:rsid w:val="4830283F"/>
    <w:rsid w:val="487519F9"/>
    <w:rsid w:val="489E5D0B"/>
    <w:rsid w:val="48A05187"/>
    <w:rsid w:val="48B63E7D"/>
    <w:rsid w:val="496D392E"/>
    <w:rsid w:val="497F756E"/>
    <w:rsid w:val="498E7313"/>
    <w:rsid w:val="499B629D"/>
    <w:rsid w:val="49B14177"/>
    <w:rsid w:val="4A0A5885"/>
    <w:rsid w:val="4A4A7727"/>
    <w:rsid w:val="4A9750D8"/>
    <w:rsid w:val="4AC42881"/>
    <w:rsid w:val="4ACD36E9"/>
    <w:rsid w:val="4B073A5C"/>
    <w:rsid w:val="4B387880"/>
    <w:rsid w:val="4B44760D"/>
    <w:rsid w:val="4B5931CB"/>
    <w:rsid w:val="4B5C5D27"/>
    <w:rsid w:val="4B5E326D"/>
    <w:rsid w:val="4B840ACD"/>
    <w:rsid w:val="4B8C42AD"/>
    <w:rsid w:val="4BB52B12"/>
    <w:rsid w:val="4BC51F60"/>
    <w:rsid w:val="4BF25DA5"/>
    <w:rsid w:val="4BF72474"/>
    <w:rsid w:val="4C094415"/>
    <w:rsid w:val="4C2E5AE5"/>
    <w:rsid w:val="4C4F0B45"/>
    <w:rsid w:val="4C9A69DF"/>
    <w:rsid w:val="4CAD689B"/>
    <w:rsid w:val="4D4B7DB2"/>
    <w:rsid w:val="4D7908B5"/>
    <w:rsid w:val="4DA74A82"/>
    <w:rsid w:val="4DA969FC"/>
    <w:rsid w:val="4DB73FDD"/>
    <w:rsid w:val="4E3B70D2"/>
    <w:rsid w:val="4E5C3A58"/>
    <w:rsid w:val="4E865AFC"/>
    <w:rsid w:val="4EF474AD"/>
    <w:rsid w:val="4F066320"/>
    <w:rsid w:val="4F0C4606"/>
    <w:rsid w:val="4F4E6EBF"/>
    <w:rsid w:val="4F7D4C71"/>
    <w:rsid w:val="4FA80A1B"/>
    <w:rsid w:val="4FBA2276"/>
    <w:rsid w:val="4FC337A8"/>
    <w:rsid w:val="4FCA7073"/>
    <w:rsid w:val="4FE259E9"/>
    <w:rsid w:val="50092961"/>
    <w:rsid w:val="501B0E34"/>
    <w:rsid w:val="501D7C2E"/>
    <w:rsid w:val="503D03B4"/>
    <w:rsid w:val="50593701"/>
    <w:rsid w:val="506577BE"/>
    <w:rsid w:val="508807F5"/>
    <w:rsid w:val="50963550"/>
    <w:rsid w:val="50FC089B"/>
    <w:rsid w:val="512A18AC"/>
    <w:rsid w:val="512C7508"/>
    <w:rsid w:val="51597866"/>
    <w:rsid w:val="516873F2"/>
    <w:rsid w:val="51D2330D"/>
    <w:rsid w:val="52035047"/>
    <w:rsid w:val="52321D93"/>
    <w:rsid w:val="52420452"/>
    <w:rsid w:val="524A5FDD"/>
    <w:rsid w:val="52533FC1"/>
    <w:rsid w:val="52DC7DB4"/>
    <w:rsid w:val="530973DA"/>
    <w:rsid w:val="533267F6"/>
    <w:rsid w:val="53BB70AD"/>
    <w:rsid w:val="53C3453A"/>
    <w:rsid w:val="53DA43C4"/>
    <w:rsid w:val="53E267AB"/>
    <w:rsid w:val="54D02C4B"/>
    <w:rsid w:val="55112B45"/>
    <w:rsid w:val="551D1A51"/>
    <w:rsid w:val="55351206"/>
    <w:rsid w:val="55653C63"/>
    <w:rsid w:val="558F79BB"/>
    <w:rsid w:val="55A649AE"/>
    <w:rsid w:val="55D93627"/>
    <w:rsid w:val="565F33C2"/>
    <w:rsid w:val="56602AF8"/>
    <w:rsid w:val="569D1848"/>
    <w:rsid w:val="56B13A64"/>
    <w:rsid w:val="56BA3AA0"/>
    <w:rsid w:val="56CF6D97"/>
    <w:rsid w:val="56D66689"/>
    <w:rsid w:val="56E90F95"/>
    <w:rsid w:val="570E46A2"/>
    <w:rsid w:val="574014E1"/>
    <w:rsid w:val="57847C36"/>
    <w:rsid w:val="57C33711"/>
    <w:rsid w:val="58354DBE"/>
    <w:rsid w:val="586A742C"/>
    <w:rsid w:val="5881039C"/>
    <w:rsid w:val="58C134D7"/>
    <w:rsid w:val="58C94C3F"/>
    <w:rsid w:val="58CD6A5F"/>
    <w:rsid w:val="58D565A1"/>
    <w:rsid w:val="591E42EB"/>
    <w:rsid w:val="592A1676"/>
    <w:rsid w:val="59E71DDE"/>
    <w:rsid w:val="5A064D2E"/>
    <w:rsid w:val="5A53496E"/>
    <w:rsid w:val="5A7756D8"/>
    <w:rsid w:val="5A96078C"/>
    <w:rsid w:val="5ABB0552"/>
    <w:rsid w:val="5AC87CD6"/>
    <w:rsid w:val="5AE85A5C"/>
    <w:rsid w:val="5B18744E"/>
    <w:rsid w:val="5B215ACE"/>
    <w:rsid w:val="5B3F7D02"/>
    <w:rsid w:val="5BC63955"/>
    <w:rsid w:val="5C4A2BD7"/>
    <w:rsid w:val="5C4B1054"/>
    <w:rsid w:val="5CAF68F6"/>
    <w:rsid w:val="5CB26AA4"/>
    <w:rsid w:val="5CE527FE"/>
    <w:rsid w:val="5CF84E92"/>
    <w:rsid w:val="5D213D72"/>
    <w:rsid w:val="5D63632E"/>
    <w:rsid w:val="5D89138F"/>
    <w:rsid w:val="5DBE5856"/>
    <w:rsid w:val="5DCF1811"/>
    <w:rsid w:val="5DD63758"/>
    <w:rsid w:val="5E0E058B"/>
    <w:rsid w:val="5E2775BD"/>
    <w:rsid w:val="5E326512"/>
    <w:rsid w:val="5E4205CC"/>
    <w:rsid w:val="5E504C73"/>
    <w:rsid w:val="5E8F699E"/>
    <w:rsid w:val="5E985E8A"/>
    <w:rsid w:val="5EE54D87"/>
    <w:rsid w:val="5F7563E8"/>
    <w:rsid w:val="5FB455AB"/>
    <w:rsid w:val="5FD539BB"/>
    <w:rsid w:val="5FD8479E"/>
    <w:rsid w:val="5FEF4FD0"/>
    <w:rsid w:val="5FF11588"/>
    <w:rsid w:val="5FF7262C"/>
    <w:rsid w:val="60585DBB"/>
    <w:rsid w:val="606C0A32"/>
    <w:rsid w:val="606E3D0C"/>
    <w:rsid w:val="609F50E9"/>
    <w:rsid w:val="60B30F76"/>
    <w:rsid w:val="61394E2C"/>
    <w:rsid w:val="617F4494"/>
    <w:rsid w:val="61A46B11"/>
    <w:rsid w:val="61FE7898"/>
    <w:rsid w:val="621C7A8F"/>
    <w:rsid w:val="629A371D"/>
    <w:rsid w:val="62DA0539"/>
    <w:rsid w:val="62F475B6"/>
    <w:rsid w:val="630C6A64"/>
    <w:rsid w:val="631F7E44"/>
    <w:rsid w:val="63376FCF"/>
    <w:rsid w:val="63696FE0"/>
    <w:rsid w:val="637C04DD"/>
    <w:rsid w:val="63964CCA"/>
    <w:rsid w:val="639F57E1"/>
    <w:rsid w:val="63B3451B"/>
    <w:rsid w:val="640E2967"/>
    <w:rsid w:val="648D18F2"/>
    <w:rsid w:val="652A2E44"/>
    <w:rsid w:val="654E4849"/>
    <w:rsid w:val="65686657"/>
    <w:rsid w:val="65BD69EB"/>
    <w:rsid w:val="65D977A8"/>
    <w:rsid w:val="65E06EF7"/>
    <w:rsid w:val="664977CF"/>
    <w:rsid w:val="66EC4975"/>
    <w:rsid w:val="66F117CC"/>
    <w:rsid w:val="66F92550"/>
    <w:rsid w:val="67016B09"/>
    <w:rsid w:val="671A2FAC"/>
    <w:rsid w:val="67203D95"/>
    <w:rsid w:val="673F17B5"/>
    <w:rsid w:val="6759039D"/>
    <w:rsid w:val="67597141"/>
    <w:rsid w:val="67F83FF2"/>
    <w:rsid w:val="67FB3660"/>
    <w:rsid w:val="681B27B3"/>
    <w:rsid w:val="683116BC"/>
    <w:rsid w:val="688F3871"/>
    <w:rsid w:val="68913032"/>
    <w:rsid w:val="68DC76F5"/>
    <w:rsid w:val="68E74072"/>
    <w:rsid w:val="68F029AF"/>
    <w:rsid w:val="69173BDC"/>
    <w:rsid w:val="698D4023"/>
    <w:rsid w:val="69962E42"/>
    <w:rsid w:val="699F653B"/>
    <w:rsid w:val="69A645F4"/>
    <w:rsid w:val="69BD4674"/>
    <w:rsid w:val="69C02AF2"/>
    <w:rsid w:val="69CD5B48"/>
    <w:rsid w:val="6A036769"/>
    <w:rsid w:val="6A325674"/>
    <w:rsid w:val="6A4D2C84"/>
    <w:rsid w:val="6A52291B"/>
    <w:rsid w:val="6A5C442C"/>
    <w:rsid w:val="6A7B10E5"/>
    <w:rsid w:val="6A7E6664"/>
    <w:rsid w:val="6A817F02"/>
    <w:rsid w:val="6A8A48EA"/>
    <w:rsid w:val="6ABF2B74"/>
    <w:rsid w:val="6B351E6F"/>
    <w:rsid w:val="6B7A4051"/>
    <w:rsid w:val="6BE14999"/>
    <w:rsid w:val="6BFB5FD1"/>
    <w:rsid w:val="6C2076DB"/>
    <w:rsid w:val="6C2B3C2F"/>
    <w:rsid w:val="6C8D4D71"/>
    <w:rsid w:val="6D12175F"/>
    <w:rsid w:val="6D1F5AF0"/>
    <w:rsid w:val="6D5E22EB"/>
    <w:rsid w:val="6E1D76E4"/>
    <w:rsid w:val="6E325D09"/>
    <w:rsid w:val="6E544C48"/>
    <w:rsid w:val="6E67178A"/>
    <w:rsid w:val="6EA51935"/>
    <w:rsid w:val="6ED54165"/>
    <w:rsid w:val="6EFA2AD9"/>
    <w:rsid w:val="6F0C74B5"/>
    <w:rsid w:val="6F3657AD"/>
    <w:rsid w:val="6F3B10C9"/>
    <w:rsid w:val="6F5B091E"/>
    <w:rsid w:val="6F8A1C5E"/>
    <w:rsid w:val="6F974373"/>
    <w:rsid w:val="6FAF7C66"/>
    <w:rsid w:val="6FC71802"/>
    <w:rsid w:val="6FC74058"/>
    <w:rsid w:val="6FF60E7F"/>
    <w:rsid w:val="70040E87"/>
    <w:rsid w:val="700F0193"/>
    <w:rsid w:val="704871A4"/>
    <w:rsid w:val="70592DFA"/>
    <w:rsid w:val="70694F36"/>
    <w:rsid w:val="70880C5C"/>
    <w:rsid w:val="70B523D0"/>
    <w:rsid w:val="70DD3906"/>
    <w:rsid w:val="7109479F"/>
    <w:rsid w:val="71197D7A"/>
    <w:rsid w:val="71397275"/>
    <w:rsid w:val="717A163C"/>
    <w:rsid w:val="717D3AE2"/>
    <w:rsid w:val="719B076B"/>
    <w:rsid w:val="71AF7537"/>
    <w:rsid w:val="71DC2403"/>
    <w:rsid w:val="72EC7281"/>
    <w:rsid w:val="73372471"/>
    <w:rsid w:val="73393BC2"/>
    <w:rsid w:val="735F4F8D"/>
    <w:rsid w:val="737B44DB"/>
    <w:rsid w:val="73842E33"/>
    <w:rsid w:val="74262B1B"/>
    <w:rsid w:val="747C7276"/>
    <w:rsid w:val="747F1F65"/>
    <w:rsid w:val="74A6094A"/>
    <w:rsid w:val="74CC21DF"/>
    <w:rsid w:val="74E16F35"/>
    <w:rsid w:val="753F3D93"/>
    <w:rsid w:val="75532D3D"/>
    <w:rsid w:val="7583021F"/>
    <w:rsid w:val="758805C2"/>
    <w:rsid w:val="7588697C"/>
    <w:rsid w:val="761F2330"/>
    <w:rsid w:val="763D7808"/>
    <w:rsid w:val="763E630D"/>
    <w:rsid w:val="763F26D5"/>
    <w:rsid w:val="764D0528"/>
    <w:rsid w:val="76C82F19"/>
    <w:rsid w:val="77040325"/>
    <w:rsid w:val="77045A49"/>
    <w:rsid w:val="77266E5A"/>
    <w:rsid w:val="77291B31"/>
    <w:rsid w:val="775C7088"/>
    <w:rsid w:val="77701354"/>
    <w:rsid w:val="77750DFA"/>
    <w:rsid w:val="777C33F4"/>
    <w:rsid w:val="777D59E2"/>
    <w:rsid w:val="77902D8C"/>
    <w:rsid w:val="779A189F"/>
    <w:rsid w:val="781F51BA"/>
    <w:rsid w:val="78494544"/>
    <w:rsid w:val="78861462"/>
    <w:rsid w:val="78A53442"/>
    <w:rsid w:val="78E431C4"/>
    <w:rsid w:val="78EB4A40"/>
    <w:rsid w:val="79BB696B"/>
    <w:rsid w:val="79BC4EE7"/>
    <w:rsid w:val="79F944AF"/>
    <w:rsid w:val="7A2F69EB"/>
    <w:rsid w:val="7A4413F9"/>
    <w:rsid w:val="7A5711E4"/>
    <w:rsid w:val="7A822D65"/>
    <w:rsid w:val="7AEA0E27"/>
    <w:rsid w:val="7B271AB2"/>
    <w:rsid w:val="7BAF6112"/>
    <w:rsid w:val="7BBE1FE9"/>
    <w:rsid w:val="7C4A702F"/>
    <w:rsid w:val="7C735E4E"/>
    <w:rsid w:val="7D071AF5"/>
    <w:rsid w:val="7D394FD8"/>
    <w:rsid w:val="7D3D1E9B"/>
    <w:rsid w:val="7D7E7646"/>
    <w:rsid w:val="7DC26738"/>
    <w:rsid w:val="7E972C19"/>
    <w:rsid w:val="7EB126D7"/>
    <w:rsid w:val="7EBB2BFC"/>
    <w:rsid w:val="7ED607F9"/>
    <w:rsid w:val="7F6E4E40"/>
    <w:rsid w:val="7F7E2419"/>
    <w:rsid w:val="7F856BE9"/>
    <w:rsid w:val="7FE21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1"/>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3"/>
    <w:qFormat/>
    <w:uiPriority w:val="99"/>
    <w:pPr>
      <w:tabs>
        <w:tab w:val="left" w:pos="588"/>
      </w:tabs>
      <w:spacing w:line="360" w:lineRule="auto"/>
      <w:outlineLvl w:val="2"/>
    </w:pPr>
    <w:rPr>
      <w:rFonts w:ascii="Tahoma" w:hAnsi="Tahoma"/>
    </w:rPr>
  </w:style>
  <w:style w:type="paragraph" w:styleId="7">
    <w:name w:val="heading 4"/>
    <w:basedOn w:val="1"/>
    <w:next w:val="1"/>
    <w:link w:val="140"/>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3"/>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3"/>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5"/>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semiHidden/>
    <w:qFormat/>
    <w:uiPriority w:val="0"/>
    <w:pPr>
      <w:widowControl/>
      <w:spacing w:after="120" w:line="360" w:lineRule="auto"/>
      <w:textAlignment w:val="baseline"/>
    </w:pPr>
  </w:style>
  <w:style w:type="paragraph" w:styleId="6">
    <w:name w:val="Normal Indent"/>
    <w:basedOn w:val="1"/>
    <w:link w:val="136"/>
    <w:qFormat/>
    <w:uiPriority w:val="0"/>
    <w:pPr>
      <w:spacing w:line="360" w:lineRule="auto"/>
      <w:ind w:firstLine="200" w:firstLineChars="200"/>
    </w:pPr>
    <w:rPr>
      <w:sz w:val="24"/>
      <w:szCs w:val="20"/>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200"/>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4"/>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0"/>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0"/>
    <w:qFormat/>
    <w:uiPriority w:val="0"/>
    <w:pPr>
      <w:jc w:val="left"/>
    </w:pPr>
    <w:rPr>
      <w:rFonts w:ascii="Tahoma" w:hAnsi="Tahoma"/>
    </w:rPr>
  </w:style>
  <w:style w:type="paragraph" w:styleId="21">
    <w:name w:val="Salutation"/>
    <w:basedOn w:val="15"/>
    <w:next w:val="15"/>
    <w:link w:val="199"/>
    <w:qFormat/>
    <w:uiPriority w:val="0"/>
    <w:rPr>
      <w:rFonts w:ascii="..ì." w:eastAsia="..ì." w:cs="Times New Roman"/>
      <w:color w:val="auto"/>
      <w:szCs w:val="20"/>
    </w:rPr>
  </w:style>
  <w:style w:type="paragraph" w:styleId="22">
    <w:name w:val="Body Text 3"/>
    <w:basedOn w:val="1"/>
    <w:link w:val="207"/>
    <w:qFormat/>
    <w:uiPriority w:val="99"/>
    <w:pPr>
      <w:spacing w:after="120"/>
    </w:pPr>
    <w:rPr>
      <w:rFonts w:eastAsia="宋体"/>
      <w:sz w:val="16"/>
      <w:szCs w:val="16"/>
    </w:rPr>
  </w:style>
  <w:style w:type="paragraph" w:styleId="23">
    <w:name w:val="Body Text"/>
    <w:basedOn w:val="1"/>
    <w:next w:val="1"/>
    <w:link w:val="134"/>
    <w:qFormat/>
    <w:uiPriority w:val="99"/>
    <w:pPr>
      <w:spacing w:line="360" w:lineRule="auto"/>
    </w:pPr>
    <w:rPr>
      <w:rFonts w:ascii="Tahoma" w:hAnsi="Tahoma"/>
    </w:rPr>
  </w:style>
  <w:style w:type="paragraph" w:styleId="24">
    <w:name w:val="Body Text Indent"/>
    <w:basedOn w:val="1"/>
    <w:link w:val="166"/>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1"/>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7"/>
    <w:qFormat/>
    <w:uiPriority w:val="99"/>
    <w:pPr>
      <w:spacing w:line="360" w:lineRule="auto"/>
      <w:ind w:left="2500" w:leftChars="2500"/>
    </w:pPr>
    <w:rPr>
      <w:rFonts w:ascii="Tahoma" w:hAnsi="Tahoma"/>
    </w:rPr>
  </w:style>
  <w:style w:type="paragraph" w:styleId="32">
    <w:name w:val="Body Text Indent 2"/>
    <w:basedOn w:val="1"/>
    <w:link w:val="162"/>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qFormat/>
    <w:uiPriority w:val="0"/>
    <w:rPr>
      <w:sz w:val="18"/>
      <w:szCs w:val="18"/>
    </w:rPr>
  </w:style>
  <w:style w:type="paragraph" w:styleId="34">
    <w:name w:val="footer"/>
    <w:basedOn w:val="1"/>
    <w:link w:val="137"/>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2"/>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0"/>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68"/>
    <w:qFormat/>
    <w:uiPriority w:val="99"/>
    <w:pPr>
      <w:spacing w:line="360" w:lineRule="auto"/>
      <w:ind w:right="26"/>
    </w:pPr>
    <w:rPr>
      <w:rFonts w:ascii="宋体" w:eastAsia="宋体"/>
      <w:szCs w:val="20"/>
    </w:rPr>
  </w:style>
  <w:style w:type="paragraph" w:styleId="44">
    <w:name w:val="HTML Preformatted"/>
    <w:basedOn w:val="1"/>
    <w:link w:val="2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4"/>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28"/>
    <w:unhideWhenUsed/>
    <w:qFormat/>
    <w:uiPriority w:val="99"/>
    <w:pPr>
      <w:spacing w:line="440" w:lineRule="exact"/>
    </w:pPr>
    <w:rPr>
      <w:b/>
      <w:bCs/>
      <w:sz w:val="24"/>
      <w:szCs w:val="28"/>
    </w:rPr>
  </w:style>
  <w:style w:type="paragraph" w:styleId="49">
    <w:name w:val="Body Text First Indent"/>
    <w:basedOn w:val="23"/>
    <w:link w:val="131"/>
    <w:qFormat/>
    <w:uiPriority w:val="0"/>
    <w:pPr>
      <w:spacing w:after="120" w:line="240" w:lineRule="auto"/>
      <w:ind w:firstLine="100" w:firstLineChars="100"/>
    </w:pPr>
  </w:style>
  <w:style w:type="paragraph" w:styleId="50">
    <w:name w:val="Body Text First Indent 2"/>
    <w:basedOn w:val="24"/>
    <w:link w:val="167"/>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0"/>
  </w:style>
  <w:style w:type="character" w:styleId="55">
    <w:name w:val="page number"/>
    <w:basedOn w:val="53"/>
    <w:qFormat/>
    <w:uiPriority w:val="99"/>
  </w:style>
  <w:style w:type="character" w:styleId="56">
    <w:name w:val="FollowedHyperlink"/>
    <w:unhideWhenUsed/>
    <w:qFormat/>
    <w:uiPriority w:val="99"/>
    <w:rPr>
      <w:color w:val="954F72"/>
      <w:u w:val="single"/>
    </w:rPr>
  </w:style>
  <w:style w:type="character" w:styleId="57">
    <w:name w:val="Emphasis"/>
    <w:qFormat/>
    <w:uiPriority w:val="0"/>
    <w:rPr>
      <w:i/>
      <w:iCs/>
    </w:rPr>
  </w:style>
  <w:style w:type="character" w:styleId="58">
    <w:name w:val="HTML Definition"/>
    <w:unhideWhenUsed/>
    <w:qFormat/>
    <w:uiPriority w:val="0"/>
  </w:style>
  <w:style w:type="character" w:styleId="59">
    <w:name w:val="HTML Variable"/>
    <w:unhideWhenUsed/>
    <w:qFormat/>
    <w:uiPriority w:val="0"/>
  </w:style>
  <w:style w:type="character" w:styleId="60">
    <w:name w:val="Hyperlink"/>
    <w:qFormat/>
    <w:uiPriority w:val="99"/>
    <w:rPr>
      <w:rFonts w:hint="eastAsia" w:ascii="宋体" w:hAnsi="宋体" w:eastAsia="宋体" w:cs="宋体"/>
      <w:color w:val="004A85"/>
      <w:sz w:val="12"/>
      <w:szCs w:val="12"/>
      <w:u w:val="single"/>
    </w:rPr>
  </w:style>
  <w:style w:type="character" w:styleId="61">
    <w:name w:val="HTML Code"/>
    <w:unhideWhenUsed/>
    <w:qFormat/>
    <w:uiPriority w:val="0"/>
    <w:rPr>
      <w:rFonts w:ascii="Courier New" w:hAnsi="Courier New"/>
      <w:sz w:val="20"/>
    </w:rPr>
  </w:style>
  <w:style w:type="character" w:styleId="62">
    <w:name w:val="annotation reference"/>
    <w:qFormat/>
    <w:uiPriority w:val="99"/>
    <w:rPr>
      <w:sz w:val="21"/>
      <w:szCs w:val="21"/>
    </w:rPr>
  </w:style>
  <w:style w:type="character" w:styleId="63">
    <w:name w:val="HTML Cite"/>
    <w:unhideWhenUsed/>
    <w:qFormat/>
    <w:uiPriority w:val="0"/>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8"/>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6"/>
    <w:qFormat/>
    <w:uiPriority w:val="0"/>
    <w:pPr>
      <w:ind w:firstLine="420"/>
    </w:pPr>
    <w:rPr>
      <w:sz w:val="21"/>
      <w:szCs w:val="21"/>
    </w:rPr>
  </w:style>
  <w:style w:type="paragraph" w:customStyle="1" w:styleId="78">
    <w:name w:val="标题2"/>
    <w:basedOn w:val="4"/>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4"/>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5"/>
    <w:next w:val="1"/>
    <w:link w:val="139"/>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6"/>
    <w:link w:val="132"/>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3"/>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Char"/>
    <w:link w:val="16"/>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 Char"/>
    <w:link w:val="33"/>
    <w:qFormat/>
    <w:uiPriority w:val="0"/>
    <w:rPr>
      <w:kern w:val="2"/>
      <w:sz w:val="18"/>
      <w:szCs w:val="18"/>
    </w:rPr>
  </w:style>
  <w:style w:type="character" w:customStyle="1" w:styleId="97">
    <w:name w:val="refresh"/>
    <w:basedOn w:val="53"/>
    <w:qFormat/>
    <w:uiPriority w:val="0"/>
  </w:style>
  <w:style w:type="character" w:customStyle="1" w:styleId="98">
    <w:name w:val="小列表 Char Char"/>
    <w:link w:val="92"/>
    <w:qFormat/>
    <w:uiPriority w:val="0"/>
    <w:rPr>
      <w:rFonts w:eastAsia="Arial Unicode MS"/>
      <w:kern w:val="2"/>
      <w:sz w:val="24"/>
      <w:szCs w:val="28"/>
    </w:rPr>
  </w:style>
  <w:style w:type="character" w:customStyle="1" w:styleId="99">
    <w:name w:val="del"/>
    <w:basedOn w:val="53"/>
    <w:qFormat/>
    <w:uiPriority w:val="0"/>
  </w:style>
  <w:style w:type="character" w:customStyle="1" w:styleId="100">
    <w:name w:val="批注文字 Char1"/>
    <w:link w:val="20"/>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 Char"/>
    <w:link w:val="8"/>
    <w:qFormat/>
    <w:uiPriority w:val="99"/>
    <w:rPr>
      <w:b/>
      <w:bCs/>
      <w:kern w:val="2"/>
      <w:sz w:val="24"/>
      <w:szCs w:val="28"/>
    </w:rPr>
  </w:style>
  <w:style w:type="character" w:customStyle="1" w:styleId="103">
    <w:name w:val="标题 2 Char"/>
    <w:link w:val="4"/>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3"/>
    <w:qFormat/>
    <w:uiPriority w:val="0"/>
  </w:style>
  <w:style w:type="character" w:customStyle="1" w:styleId="108">
    <w:name w:val="标题 8 Char"/>
    <w:link w:val="11"/>
    <w:qFormat/>
    <w:uiPriority w:val="99"/>
    <w:rPr>
      <w:rFonts w:ascii="Arial" w:hAnsi="Arial" w:eastAsia="黑体"/>
      <w:kern w:val="2"/>
      <w:sz w:val="24"/>
      <w:szCs w:val="28"/>
    </w:rPr>
  </w:style>
  <w:style w:type="character" w:customStyle="1" w:styleId="109">
    <w:name w:val="open2"/>
    <w:basedOn w:val="53"/>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3"/>
    <w:qFormat/>
    <w:uiPriority w:val="0"/>
  </w:style>
  <w:style w:type="character" w:customStyle="1" w:styleId="112">
    <w:name w:val="del2"/>
    <w:basedOn w:val="53"/>
    <w:qFormat/>
    <w:uiPriority w:val="0"/>
  </w:style>
  <w:style w:type="character" w:customStyle="1" w:styleId="113">
    <w:name w:val="标题 3 Char"/>
    <w:link w:val="5"/>
    <w:qFormat/>
    <w:uiPriority w:val="99"/>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3"/>
    <w:qFormat/>
    <w:uiPriority w:val="0"/>
  </w:style>
  <w:style w:type="character" w:customStyle="1" w:styleId="116">
    <w:name w:val="morewin"/>
    <w:basedOn w:val="53"/>
    <w:qFormat/>
    <w:uiPriority w:val="0"/>
  </w:style>
  <w:style w:type="character" w:customStyle="1" w:styleId="117">
    <w:name w:val="open"/>
    <w:basedOn w:val="53"/>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标题 1 Char"/>
    <w:link w:val="3"/>
    <w:qFormat/>
    <w:uiPriority w:val="99"/>
    <w:rPr>
      <w:rFonts w:ascii="Tahoma" w:hAnsi="Tahoma"/>
      <w:b/>
      <w:bCs/>
      <w:kern w:val="44"/>
      <w:sz w:val="24"/>
      <w:szCs w:val="44"/>
    </w:rPr>
  </w:style>
  <w:style w:type="character" w:customStyle="1" w:styleId="122">
    <w:name w:val="页眉 Char"/>
    <w:link w:val="35"/>
    <w:qFormat/>
    <w:uiPriority w:val="99"/>
    <w:rPr>
      <w:rFonts w:ascii="Tahoma" w:hAnsi="Tahoma"/>
      <w:kern w:val="2"/>
      <w:sz w:val="18"/>
      <w:szCs w:val="18"/>
    </w:rPr>
  </w:style>
  <w:style w:type="character" w:customStyle="1" w:styleId="123">
    <w:name w:val="标题 7 Char"/>
    <w:link w:val="10"/>
    <w:qFormat/>
    <w:uiPriority w:val="99"/>
    <w:rPr>
      <w:b/>
      <w:bCs/>
      <w:kern w:val="2"/>
      <w:sz w:val="24"/>
      <w:szCs w:val="28"/>
    </w:rPr>
  </w:style>
  <w:style w:type="character" w:customStyle="1" w:styleId="124">
    <w:name w:val="标题 Char"/>
    <w:link w:val="47"/>
    <w:qFormat/>
    <w:uiPriority w:val="0"/>
    <w:rPr>
      <w:rFonts w:ascii="Cambria" w:hAnsi="Cambria"/>
      <w:b/>
      <w:bCs/>
      <w:kern w:val="2"/>
      <w:sz w:val="32"/>
      <w:szCs w:val="32"/>
    </w:rPr>
  </w:style>
  <w:style w:type="character" w:customStyle="1" w:styleId="125">
    <w:name w:val="标题 9 Char"/>
    <w:link w:val="12"/>
    <w:qFormat/>
    <w:uiPriority w:val="99"/>
    <w:rPr>
      <w:rFonts w:ascii="Arial" w:hAnsi="Arial" w:eastAsia="黑体"/>
      <w:kern w:val="2"/>
      <w:sz w:val="24"/>
      <w:szCs w:val="21"/>
    </w:rPr>
  </w:style>
  <w:style w:type="character" w:customStyle="1" w:styleId="126">
    <w:name w:val="error"/>
    <w:qFormat/>
    <w:uiPriority w:val="0"/>
    <w:rPr>
      <w:color w:val="CC0000"/>
    </w:rPr>
  </w:style>
  <w:style w:type="character" w:customStyle="1" w:styleId="127">
    <w:name w:val="add"/>
    <w:basedOn w:val="53"/>
    <w:qFormat/>
    <w:uiPriority w:val="0"/>
  </w:style>
  <w:style w:type="character" w:customStyle="1" w:styleId="128">
    <w:name w:val="批注主题 Char"/>
    <w:link w:val="48"/>
    <w:qFormat/>
    <w:uiPriority w:val="99"/>
    <w:rPr>
      <w:rFonts w:ascii="Tahoma" w:hAnsi="Tahoma"/>
      <w:b/>
      <w:bCs/>
      <w:kern w:val="2"/>
      <w:sz w:val="24"/>
      <w:szCs w:val="28"/>
    </w:rPr>
  </w:style>
  <w:style w:type="character" w:customStyle="1" w:styleId="129">
    <w:name w:val="pagebanner"/>
    <w:basedOn w:val="53"/>
    <w:qFormat/>
    <w:uiPriority w:val="0"/>
  </w:style>
  <w:style w:type="character" w:customStyle="1" w:styleId="130">
    <w:name w:val="文档结构图 Char"/>
    <w:link w:val="18"/>
    <w:qFormat/>
    <w:uiPriority w:val="99"/>
    <w:rPr>
      <w:rFonts w:ascii="宋体"/>
      <w:kern w:val="2"/>
      <w:sz w:val="18"/>
      <w:szCs w:val="18"/>
    </w:rPr>
  </w:style>
  <w:style w:type="character" w:customStyle="1" w:styleId="131">
    <w:name w:val="正文首行缩进 Char"/>
    <w:link w:val="49"/>
    <w:qFormat/>
    <w:uiPriority w:val="0"/>
    <w:rPr>
      <w:rFonts w:ascii="Tahoma" w:hAnsi="Tahoma"/>
      <w:kern w:val="2"/>
      <w:sz w:val="21"/>
      <w:szCs w:val="24"/>
    </w:rPr>
  </w:style>
  <w:style w:type="character" w:customStyle="1" w:styleId="132">
    <w:name w:val="表格标题 Char Char"/>
    <w:link w:val="85"/>
    <w:qFormat/>
    <w:uiPriority w:val="0"/>
    <w:rPr>
      <w:rFonts w:ascii="Arial" w:hAnsi="Arial" w:cs="Arial"/>
      <w:kern w:val="2"/>
      <w:sz w:val="24"/>
      <w:szCs w:val="24"/>
    </w:rPr>
  </w:style>
  <w:style w:type="character" w:customStyle="1" w:styleId="133">
    <w:name w:val="标题 6 Char"/>
    <w:link w:val="9"/>
    <w:qFormat/>
    <w:uiPriority w:val="99"/>
    <w:rPr>
      <w:rFonts w:ascii="Arial" w:hAnsi="Arial" w:eastAsia="黑体"/>
      <w:b/>
      <w:bCs/>
      <w:kern w:val="2"/>
      <w:sz w:val="24"/>
      <w:szCs w:val="28"/>
    </w:rPr>
  </w:style>
  <w:style w:type="character" w:customStyle="1" w:styleId="134">
    <w:name w:val="正文文本 Char"/>
    <w:link w:val="23"/>
    <w:qFormat/>
    <w:uiPriority w:val="99"/>
    <w:rPr>
      <w:rFonts w:ascii="Tahoma" w:hAnsi="Tahoma"/>
      <w:kern w:val="2"/>
      <w:sz w:val="21"/>
      <w:szCs w:val="24"/>
    </w:rPr>
  </w:style>
  <w:style w:type="character" w:customStyle="1" w:styleId="135">
    <w:name w:val="10"/>
    <w:qFormat/>
    <w:uiPriority w:val="0"/>
    <w:rPr>
      <w:rFonts w:hint="default" w:ascii="Calibri" w:hAnsi="Calibri" w:cs="Calibri"/>
    </w:rPr>
  </w:style>
  <w:style w:type="character" w:customStyle="1" w:styleId="136">
    <w:name w:val="正文缩进 Char"/>
    <w:link w:val="6"/>
    <w:qFormat/>
    <w:uiPriority w:val="0"/>
    <w:rPr>
      <w:kern w:val="2"/>
      <w:sz w:val="24"/>
    </w:rPr>
  </w:style>
  <w:style w:type="character" w:customStyle="1" w:styleId="137">
    <w:name w:val="页脚 Char"/>
    <w:link w:val="34"/>
    <w:qFormat/>
    <w:uiPriority w:val="99"/>
    <w:rPr>
      <w:rFonts w:ascii="Tahoma" w:hAnsi="Tahoma"/>
      <w:kern w:val="2"/>
      <w:sz w:val="18"/>
      <w:szCs w:val="18"/>
    </w:rPr>
  </w:style>
  <w:style w:type="character" w:customStyle="1" w:styleId="138">
    <w:name w:val="mod"/>
    <w:basedOn w:val="53"/>
    <w:qFormat/>
    <w:uiPriority w:val="0"/>
  </w:style>
  <w:style w:type="character" w:customStyle="1" w:styleId="139">
    <w:name w:val="标题3 Char Char"/>
    <w:link w:val="83"/>
    <w:qFormat/>
    <w:uiPriority w:val="0"/>
    <w:rPr>
      <w:rFonts w:eastAsia="黑体"/>
      <w:kern w:val="2"/>
      <w:sz w:val="28"/>
      <w:szCs w:val="32"/>
    </w:rPr>
  </w:style>
  <w:style w:type="character" w:customStyle="1" w:styleId="140">
    <w:name w:val="标题 4 Char"/>
    <w:link w:val="7"/>
    <w:qFormat/>
    <w:uiPriority w:val="99"/>
    <w:rPr>
      <w:b/>
      <w:sz w:val="24"/>
      <w:szCs w:val="24"/>
    </w:rPr>
  </w:style>
  <w:style w:type="paragraph" w:customStyle="1" w:styleId="141">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3"/>
    <w:qFormat/>
    <w:uiPriority w:val="0"/>
    <w:rPr>
      <w:color w:val="BA2636"/>
      <w:sz w:val="12"/>
      <w:szCs w:val="12"/>
    </w:rPr>
  </w:style>
  <w:style w:type="character" w:customStyle="1" w:styleId="143">
    <w:name w:val="gjfg"/>
    <w:basedOn w:val="53"/>
    <w:qFormat/>
    <w:uiPriority w:val="0"/>
  </w:style>
  <w:style w:type="character" w:customStyle="1" w:styleId="144">
    <w:name w:val="redfilenumber"/>
    <w:basedOn w:val="53"/>
    <w:qFormat/>
    <w:uiPriority w:val="0"/>
    <w:rPr>
      <w:color w:val="BA2636"/>
      <w:sz w:val="12"/>
      <w:szCs w:val="12"/>
    </w:rPr>
  </w:style>
  <w:style w:type="character" w:customStyle="1" w:styleId="145">
    <w:name w:val="qxdate"/>
    <w:basedOn w:val="53"/>
    <w:qFormat/>
    <w:uiPriority w:val="0"/>
    <w:rPr>
      <w:color w:val="333333"/>
      <w:sz w:val="12"/>
      <w:szCs w:val="12"/>
    </w:rPr>
  </w:style>
  <w:style w:type="character" w:customStyle="1" w:styleId="146">
    <w:name w:val="prev"/>
    <w:basedOn w:val="53"/>
    <w:qFormat/>
    <w:uiPriority w:val="0"/>
    <w:rPr>
      <w:rFonts w:ascii="微软雅黑" w:hAnsi="微软雅黑" w:eastAsia="微软雅黑" w:cs="微软雅黑"/>
      <w:sz w:val="14"/>
      <w:szCs w:val="14"/>
    </w:rPr>
  </w:style>
  <w:style w:type="character" w:customStyle="1" w:styleId="147">
    <w:name w:val="cfdate"/>
    <w:basedOn w:val="53"/>
    <w:qFormat/>
    <w:uiPriority w:val="0"/>
    <w:rPr>
      <w:color w:val="333333"/>
      <w:sz w:val="12"/>
      <w:szCs w:val="12"/>
    </w:rPr>
  </w:style>
  <w:style w:type="character" w:customStyle="1" w:styleId="148">
    <w:name w:val="displayarti"/>
    <w:basedOn w:val="53"/>
    <w:qFormat/>
    <w:uiPriority w:val="0"/>
    <w:rPr>
      <w:color w:val="FFFFFF"/>
      <w:shd w:val="clear" w:color="auto" w:fill="A00000"/>
    </w:rPr>
  </w:style>
  <w:style w:type="character" w:customStyle="1" w:styleId="149">
    <w:name w:val="next2"/>
    <w:basedOn w:val="53"/>
    <w:qFormat/>
    <w:uiPriority w:val="0"/>
    <w:rPr>
      <w:rFonts w:hint="eastAsia" w:ascii="微软雅黑" w:hAnsi="微软雅黑" w:eastAsia="微软雅黑" w:cs="微软雅黑"/>
      <w:sz w:val="14"/>
      <w:szCs w:val="14"/>
    </w:rPr>
  </w:style>
  <w:style w:type="character" w:customStyle="1" w:styleId="150">
    <w:name w:val="next3"/>
    <w:basedOn w:val="53"/>
    <w:qFormat/>
    <w:uiPriority w:val="0"/>
    <w:rPr>
      <w:color w:val="888888"/>
    </w:rPr>
  </w:style>
  <w:style w:type="character" w:customStyle="1" w:styleId="151">
    <w:name w:val="next"/>
    <w:basedOn w:val="53"/>
    <w:qFormat/>
    <w:uiPriority w:val="0"/>
    <w:rPr>
      <w:rFonts w:ascii="微软雅黑" w:hAnsi="微软雅黑" w:eastAsia="微软雅黑" w:cs="微软雅黑"/>
      <w:sz w:val="14"/>
      <w:szCs w:val="14"/>
    </w:rPr>
  </w:style>
  <w:style w:type="character" w:customStyle="1" w:styleId="152">
    <w:name w:val="prev1"/>
    <w:basedOn w:val="53"/>
    <w:qFormat/>
    <w:uiPriority w:val="0"/>
    <w:rPr>
      <w:color w:val="888888"/>
    </w:rPr>
  </w:style>
  <w:style w:type="paragraph" w:customStyle="1" w:styleId="153">
    <w:name w:val="Body text|21"/>
    <w:basedOn w:val="1"/>
    <w:link w:val="15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3"/>
    <w:link w:val="153"/>
    <w:qFormat/>
    <w:uiPriority w:val="0"/>
    <w:rPr>
      <w:rFonts w:ascii="PMingLiU" w:hAnsi="PMingLiU" w:eastAsia="PMingLiU" w:cs="PMingLiU"/>
      <w:spacing w:val="30"/>
    </w:rPr>
  </w:style>
  <w:style w:type="character" w:customStyle="1" w:styleId="156">
    <w:name w:val="Body text|2 + Spacing 3 pt"/>
    <w:basedOn w:val="155"/>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qFormat/>
    <w:uiPriority w:val="0"/>
    <w:pPr>
      <w:adjustRightInd w:val="0"/>
      <w:snapToGrid w:val="0"/>
      <w:spacing w:after="50" w:line="360" w:lineRule="auto"/>
    </w:pPr>
    <w:rPr>
      <w:sz w:val="24"/>
    </w:rPr>
  </w:style>
  <w:style w:type="paragraph" w:customStyle="1" w:styleId="158">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qFormat/>
    <w:uiPriority w:val="0"/>
    <w:rPr>
      <w:rFonts w:ascii="仿宋_GB2312" w:eastAsia="仿宋_GB2312"/>
      <w:b/>
      <w:sz w:val="32"/>
      <w:szCs w:val="32"/>
    </w:rPr>
  </w:style>
  <w:style w:type="paragraph" w:customStyle="1" w:styleId="160">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Char"/>
    <w:basedOn w:val="53"/>
    <w:link w:val="32"/>
    <w:qFormat/>
    <w:uiPriority w:val="99"/>
    <w:rPr>
      <w:rFonts w:ascii="Times New Roman" w:hAnsi="Times New Roman" w:eastAsia="宋体" w:cs="Times New Roman"/>
      <w:kern w:val="2"/>
      <w:sz w:val="24"/>
      <w:szCs w:val="30"/>
    </w:rPr>
  </w:style>
  <w:style w:type="paragraph" w:customStyle="1" w:styleId="1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Char"/>
    <w:basedOn w:val="53"/>
    <w:link w:val="24"/>
    <w:qFormat/>
    <w:uiPriority w:val="99"/>
    <w:rPr>
      <w:rFonts w:ascii="Tahoma" w:hAnsi="Tahoma" w:eastAsia="Arial Unicode MS" w:cs="Times New Roman"/>
      <w:kern w:val="2"/>
      <w:sz w:val="21"/>
      <w:szCs w:val="24"/>
    </w:rPr>
  </w:style>
  <w:style w:type="character" w:customStyle="1" w:styleId="167">
    <w:name w:val="正文首行缩进 2 Char"/>
    <w:basedOn w:val="166"/>
    <w:link w:val="50"/>
    <w:qFormat/>
    <w:uiPriority w:val="0"/>
    <w:rPr>
      <w:rFonts w:ascii="Times New Roman" w:hAnsi="Times New Roman" w:eastAsia="宋体" w:cs="Times New Roman"/>
      <w:kern w:val="2"/>
      <w:sz w:val="21"/>
      <w:szCs w:val="24"/>
    </w:rPr>
  </w:style>
  <w:style w:type="character" w:customStyle="1" w:styleId="168">
    <w:name w:val="正文文本 2 Char"/>
    <w:basedOn w:val="53"/>
    <w:link w:val="43"/>
    <w:qFormat/>
    <w:uiPriority w:val="99"/>
    <w:rPr>
      <w:rFonts w:ascii="宋体" w:hAnsi="Times New Roman" w:eastAsia="宋体" w:cs="Times New Roman"/>
      <w:kern w:val="2"/>
      <w:sz w:val="21"/>
    </w:rPr>
  </w:style>
  <w:style w:type="paragraph" w:customStyle="1" w:styleId="169">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1">
    <w:name w:val="Char2"/>
    <w:qFormat/>
    <w:uiPriority w:val="0"/>
    <w:rPr>
      <w:rFonts w:ascii="Arial" w:hAnsi="Arial" w:eastAsia="黑体"/>
      <w:b/>
      <w:bCs/>
      <w:kern w:val="2"/>
      <w:sz w:val="32"/>
      <w:szCs w:val="32"/>
      <w:lang w:val="en-US" w:eastAsia="zh-CN" w:bidi="ar-SA"/>
    </w:rPr>
  </w:style>
  <w:style w:type="character" w:customStyle="1" w:styleId="172">
    <w:name w:val="样式 标题 2 + (符号) 宋体 小四 Char"/>
    <w:qFormat/>
    <w:uiPriority w:val="0"/>
    <w:rPr>
      <w:rFonts w:ascii="Arial" w:hAnsi="Arial" w:eastAsia="宋体"/>
      <w:b/>
      <w:bCs/>
      <w:kern w:val="2"/>
      <w:sz w:val="24"/>
      <w:szCs w:val="32"/>
      <w:lang w:val="en-US" w:eastAsia="zh-CN" w:bidi="ar-SA"/>
    </w:rPr>
  </w:style>
  <w:style w:type="paragraph" w:customStyle="1" w:styleId="173">
    <w:name w:val="样式1"/>
    <w:basedOn w:val="1"/>
    <w:next w:val="5"/>
    <w:qFormat/>
    <w:uiPriority w:val="99"/>
    <w:rPr>
      <w:rFonts w:eastAsia="宋体"/>
      <w:sz w:val="24"/>
      <w:szCs w:val="20"/>
    </w:rPr>
  </w:style>
  <w:style w:type="paragraph" w:customStyle="1" w:styleId="174">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Char"/>
    <w:link w:val="31"/>
    <w:qFormat/>
    <w:uiPriority w:val="99"/>
    <w:rPr>
      <w:rFonts w:ascii="Tahoma" w:hAnsi="Tahoma" w:eastAsia="Arial Unicode MS" w:cs="Times New Roman"/>
      <w:kern w:val="2"/>
      <w:sz w:val="21"/>
      <w:szCs w:val="24"/>
    </w:rPr>
  </w:style>
  <w:style w:type="character" w:customStyle="1" w:styleId="198">
    <w:name w:val="Char Char"/>
    <w:qFormat/>
    <w:uiPriority w:val="0"/>
    <w:rPr>
      <w:rFonts w:eastAsia="宋体"/>
      <w:kern w:val="2"/>
      <w:sz w:val="24"/>
      <w:lang w:val="en-US" w:eastAsia="zh-CN" w:bidi="ar-SA"/>
    </w:rPr>
  </w:style>
  <w:style w:type="character" w:customStyle="1" w:styleId="199">
    <w:name w:val="称呼 Char"/>
    <w:basedOn w:val="53"/>
    <w:link w:val="21"/>
    <w:qFormat/>
    <w:uiPriority w:val="0"/>
    <w:rPr>
      <w:rFonts w:ascii="..ì." w:hAnsi="Times New Roman" w:eastAsia="..ì." w:cs="Times New Roman"/>
      <w:sz w:val="24"/>
    </w:rPr>
  </w:style>
  <w:style w:type="character" w:customStyle="1" w:styleId="200">
    <w:name w:val="注释标题 Char"/>
    <w:basedOn w:val="53"/>
    <w:link w:val="14"/>
    <w:qFormat/>
    <w:uiPriority w:val="0"/>
    <w:rPr>
      <w:rFonts w:ascii="..ì." w:hAnsi="Times New Roman" w:eastAsia="..ì." w:cs="Times New Roman"/>
      <w:sz w:val="24"/>
    </w:rPr>
  </w:style>
  <w:style w:type="paragraph" w:customStyle="1" w:styleId="201">
    <w:name w:val="1 Char Char Char Char"/>
    <w:basedOn w:val="1"/>
    <w:qFormat/>
    <w:uiPriority w:val="0"/>
    <w:rPr>
      <w:rFonts w:ascii="Tahoma" w:hAnsi="Tahoma" w:eastAsia="宋体"/>
      <w:sz w:val="24"/>
      <w:szCs w:val="20"/>
    </w:rPr>
  </w:style>
  <w:style w:type="paragraph" w:customStyle="1" w:styleId="20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qFormat/>
    <w:uiPriority w:val="99"/>
    <w:rPr>
      <w:rFonts w:ascii="黑体" w:eastAsia="黑体"/>
      <w:sz w:val="52"/>
      <w:lang w:bidi="ar-SA"/>
    </w:rPr>
  </w:style>
  <w:style w:type="paragraph" w:customStyle="1" w:styleId="205">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qFormat/>
    <w:uiPriority w:val="99"/>
    <w:rPr>
      <w:rFonts w:ascii="宋体" w:eastAsia="宋体"/>
      <w:sz w:val="24"/>
      <w:szCs w:val="20"/>
    </w:rPr>
  </w:style>
  <w:style w:type="character" w:customStyle="1" w:styleId="207">
    <w:name w:val="正文文本 3 Char"/>
    <w:basedOn w:val="53"/>
    <w:link w:val="22"/>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4"/>
    <w:qFormat/>
    <w:uiPriority w:val="99"/>
    <w:pPr>
      <w:ind w:left="432"/>
    </w:pPr>
    <w:rPr>
      <w:rFonts w:eastAsia="宋体"/>
      <w:szCs w:val="20"/>
    </w:rPr>
  </w:style>
  <w:style w:type="character" w:customStyle="1" w:styleId="210">
    <w:name w:val="正文文本缩进 3 Char"/>
    <w:link w:val="40"/>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qFormat/>
    <w:uiPriority w:val="0"/>
    <w:rPr>
      <w:rFonts w:ascii="Tahoma" w:hAnsi="Tahoma" w:eastAsia="宋体"/>
      <w:sz w:val="24"/>
      <w:szCs w:val="20"/>
    </w:rPr>
  </w:style>
  <w:style w:type="character" w:customStyle="1" w:styleId="213">
    <w:name w:val="font161"/>
    <w:qFormat/>
    <w:uiPriority w:val="99"/>
    <w:rPr>
      <w:b/>
      <w:bCs/>
      <w:sz w:val="32"/>
      <w:szCs w:val="32"/>
    </w:rPr>
  </w:style>
  <w:style w:type="paragraph" w:customStyle="1" w:styleId="214">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qFormat/>
    <w:uiPriority w:val="99"/>
    <w:pPr>
      <w:jc w:val="center"/>
      <w:textAlignment w:val="center"/>
    </w:pPr>
    <w:rPr>
      <w:rFonts w:ascii="华文细黑" w:hAnsi="华文细黑" w:eastAsia="宋体"/>
      <w:kern w:val="0"/>
      <w:szCs w:val="20"/>
    </w:rPr>
  </w:style>
  <w:style w:type="paragraph" w:customStyle="1" w:styleId="216">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qFormat/>
    <w:uiPriority w:val="99"/>
    <w:rPr>
      <w:color w:val="auto"/>
      <w:u w:val="none"/>
    </w:rPr>
  </w:style>
  <w:style w:type="character" w:customStyle="1" w:styleId="220">
    <w:name w:val="Char Char1"/>
    <w:qFormat/>
    <w:uiPriority w:val="0"/>
    <w:rPr>
      <w:rFonts w:eastAsia="宋体"/>
      <w:kern w:val="2"/>
      <w:sz w:val="24"/>
      <w:lang w:val="en-US" w:eastAsia="zh-CN" w:bidi="ar-SA"/>
    </w:rPr>
  </w:style>
  <w:style w:type="character" w:customStyle="1" w:styleId="221">
    <w:name w:val="纯文本 Char"/>
    <w:link w:val="29"/>
    <w:qFormat/>
    <w:uiPriority w:val="0"/>
    <w:rPr>
      <w:rFonts w:ascii="宋体" w:hAnsi="Courier New" w:eastAsia="Arial Unicode MS" w:cs="Times New Roman"/>
      <w:kern w:val="2"/>
      <w:sz w:val="21"/>
      <w:szCs w:val="21"/>
    </w:rPr>
  </w:style>
  <w:style w:type="paragraph" w:customStyle="1" w:styleId="222">
    <w:name w:val="Char Char Char Char"/>
    <w:basedOn w:val="1"/>
    <w:qFormat/>
    <w:uiPriority w:val="0"/>
    <w:pPr>
      <w:widowControl/>
      <w:spacing w:after="160" w:line="240" w:lineRule="exact"/>
      <w:jc w:val="left"/>
    </w:pPr>
    <w:rPr>
      <w:rFonts w:eastAsia="宋体"/>
      <w:szCs w:val="20"/>
    </w:rPr>
  </w:style>
  <w:style w:type="paragraph" w:customStyle="1" w:styleId="223">
    <w:name w:val="p17"/>
    <w:basedOn w:val="1"/>
    <w:qFormat/>
    <w:uiPriority w:val="99"/>
    <w:pPr>
      <w:widowControl/>
    </w:pPr>
    <w:rPr>
      <w:rFonts w:eastAsia="宋体"/>
      <w:kern w:val="0"/>
      <w:szCs w:val="21"/>
    </w:rPr>
  </w:style>
  <w:style w:type="character" w:customStyle="1" w:styleId="224">
    <w:name w:val="H4 Char"/>
    <w:qFormat/>
    <w:uiPriority w:val="0"/>
    <w:rPr>
      <w:b/>
      <w:sz w:val="28"/>
    </w:rPr>
  </w:style>
  <w:style w:type="character" w:customStyle="1" w:styleId="225">
    <w:name w:val="Char Char2"/>
    <w:qFormat/>
    <w:uiPriority w:val="0"/>
    <w:rPr>
      <w:rFonts w:eastAsia="宋体"/>
      <w:kern w:val="2"/>
      <w:sz w:val="24"/>
      <w:lang w:val="en-US" w:eastAsia="zh-CN" w:bidi="ar-SA"/>
    </w:rPr>
  </w:style>
  <w:style w:type="character" w:customStyle="1" w:styleId="226">
    <w:name w:val="Char Char111"/>
    <w:qFormat/>
    <w:uiPriority w:val="99"/>
    <w:rPr>
      <w:rFonts w:eastAsia="宋体"/>
      <w:kern w:val="2"/>
      <w:sz w:val="24"/>
      <w:lang w:val="en-US" w:eastAsia="zh-CN" w:bidi="ar-SA"/>
    </w:rPr>
  </w:style>
  <w:style w:type="paragraph" w:customStyle="1" w:styleId="227">
    <w:name w:val="Char Char Char Char111"/>
    <w:basedOn w:val="1"/>
    <w:qFormat/>
    <w:uiPriority w:val="0"/>
    <w:pPr>
      <w:widowControl/>
      <w:spacing w:after="160" w:line="240" w:lineRule="exact"/>
      <w:jc w:val="left"/>
    </w:pPr>
    <w:rPr>
      <w:rFonts w:eastAsia="宋体"/>
      <w:szCs w:val="20"/>
    </w:rPr>
  </w:style>
  <w:style w:type="paragraph" w:customStyle="1" w:styleId="228">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qFormat/>
    <w:uiPriority w:val="0"/>
    <w:pPr>
      <w:numPr>
        <w:ilvl w:val="3"/>
      </w:numPr>
      <w:ind w:left="315"/>
      <w:outlineLvl w:val="3"/>
    </w:pPr>
  </w:style>
  <w:style w:type="paragraph" w:customStyle="1" w:styleId="244">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qFormat/>
    <w:uiPriority w:val="0"/>
    <w:pPr>
      <w:numPr>
        <w:ilvl w:val="4"/>
      </w:numPr>
      <w:tabs>
        <w:tab w:val="left" w:pos="1680"/>
        <w:tab w:val="left" w:pos="2100"/>
      </w:tabs>
      <w:ind w:left="2100" w:hanging="420"/>
      <w:outlineLvl w:val="4"/>
    </w:pPr>
  </w:style>
  <w:style w:type="paragraph" w:customStyle="1" w:styleId="246">
    <w:name w:val="四级条标题"/>
    <w:basedOn w:val="245"/>
    <w:next w:val="1"/>
    <w:qFormat/>
    <w:uiPriority w:val="0"/>
    <w:pPr>
      <w:numPr>
        <w:ilvl w:val="5"/>
      </w:numPr>
      <w:tabs>
        <w:tab w:val="left" w:pos="2520"/>
      </w:tabs>
      <w:ind w:left="2520" w:hanging="420"/>
      <w:outlineLvl w:val="5"/>
    </w:pPr>
  </w:style>
  <w:style w:type="paragraph" w:customStyle="1" w:styleId="247">
    <w:name w:val="五级条标题"/>
    <w:basedOn w:val="246"/>
    <w:next w:val="1"/>
    <w:qFormat/>
    <w:uiPriority w:val="0"/>
    <w:pPr>
      <w:numPr>
        <w:ilvl w:val="6"/>
      </w:numPr>
      <w:tabs>
        <w:tab w:val="left" w:pos="2940"/>
      </w:tabs>
      <w:ind w:left="2940" w:hanging="420"/>
      <w:outlineLvl w:val="6"/>
    </w:pPr>
  </w:style>
  <w:style w:type="character" w:customStyle="1" w:styleId="248">
    <w:name w:val="章标题 Char"/>
    <w:link w:val="241"/>
    <w:qFormat/>
    <w:uiPriority w:val="0"/>
    <w:rPr>
      <w:rFonts w:ascii="黑体" w:eastAsia="黑体"/>
      <w:sz w:val="21"/>
    </w:rPr>
  </w:style>
  <w:style w:type="character" w:customStyle="1" w:styleId="249">
    <w:name w:val="一级条标题 Char"/>
    <w:link w:val="242"/>
    <w:qFormat/>
    <w:uiPriority w:val="0"/>
    <w:rPr>
      <w:rFonts w:ascii="黑体" w:eastAsia="黑体"/>
      <w:sz w:val="21"/>
    </w:rPr>
  </w:style>
  <w:style w:type="character" w:customStyle="1" w:styleId="250">
    <w:name w:val="二级条标题 Char"/>
    <w:link w:val="243"/>
    <w:qFormat/>
    <w:uiPriority w:val="0"/>
    <w:rPr>
      <w:rFonts w:ascii="黑体" w:eastAsia="黑体"/>
      <w:sz w:val="21"/>
    </w:rPr>
  </w:style>
  <w:style w:type="character" w:customStyle="1" w:styleId="251">
    <w:name w:val="Heading 1 Char"/>
    <w:qFormat/>
    <w:locked/>
    <w:uiPriority w:val="0"/>
    <w:rPr>
      <w:rFonts w:ascii="黑体" w:hAnsi="Times New Roman" w:eastAsia="黑体" w:cs="Times New Roman"/>
      <w:kern w:val="0"/>
      <w:sz w:val="20"/>
      <w:szCs w:val="20"/>
    </w:rPr>
  </w:style>
  <w:style w:type="character" w:customStyle="1" w:styleId="252">
    <w:name w:val="Heading 2 Char"/>
    <w:qFormat/>
    <w:locked/>
    <w:uiPriority w:val="0"/>
    <w:rPr>
      <w:rFonts w:ascii="Times New Roman" w:hAnsi="Times New Roman" w:eastAsia="宋体" w:cs="Times New Roman"/>
      <w:b/>
      <w:kern w:val="0"/>
      <w:sz w:val="32"/>
      <w:szCs w:val="32"/>
    </w:rPr>
  </w:style>
  <w:style w:type="character" w:customStyle="1" w:styleId="253">
    <w:name w:val="标题 3 Char1"/>
    <w:qFormat/>
    <w:locked/>
    <w:uiPriority w:val="99"/>
    <w:rPr>
      <w:rFonts w:eastAsia="宋体"/>
      <w:b/>
      <w:sz w:val="32"/>
      <w:lang w:val="en-US" w:eastAsia="zh-CN" w:bidi="ar-SA"/>
    </w:rPr>
  </w:style>
  <w:style w:type="character" w:customStyle="1" w:styleId="254">
    <w:name w:val="Heading 4 Char"/>
    <w:qFormat/>
    <w:locked/>
    <w:uiPriority w:val="0"/>
    <w:rPr>
      <w:rFonts w:ascii="Times New Roman" w:hAnsi="Times New Roman" w:eastAsia="宋体" w:cs="Times New Roman"/>
      <w:b/>
      <w:kern w:val="0"/>
      <w:sz w:val="20"/>
      <w:szCs w:val="20"/>
    </w:rPr>
  </w:style>
  <w:style w:type="character" w:customStyle="1" w:styleId="255">
    <w:name w:val="Heading 5 Char"/>
    <w:qFormat/>
    <w:locked/>
    <w:uiPriority w:val="0"/>
    <w:rPr>
      <w:rFonts w:ascii="Times New Roman" w:hAnsi="Times New Roman" w:eastAsia="宋体" w:cs="Times New Roman"/>
      <w:b/>
      <w:bCs/>
      <w:sz w:val="28"/>
      <w:szCs w:val="28"/>
    </w:rPr>
  </w:style>
  <w:style w:type="character" w:customStyle="1" w:styleId="256">
    <w:name w:val="Heading 6 Char"/>
    <w:qFormat/>
    <w:locked/>
    <w:uiPriority w:val="0"/>
    <w:rPr>
      <w:rFonts w:ascii="Arial" w:hAnsi="Arial" w:eastAsia="黑体" w:cs="Times New Roman"/>
      <w:b/>
      <w:bCs/>
      <w:kern w:val="0"/>
      <w:sz w:val="24"/>
      <w:szCs w:val="24"/>
    </w:rPr>
  </w:style>
  <w:style w:type="character" w:customStyle="1" w:styleId="257">
    <w:name w:val="Heading 7 Char"/>
    <w:qFormat/>
    <w:locked/>
    <w:uiPriority w:val="0"/>
    <w:rPr>
      <w:rFonts w:ascii="Times New Roman" w:hAnsi="Times New Roman" w:eastAsia="宋体" w:cs="Times New Roman"/>
      <w:b/>
      <w:bCs/>
      <w:kern w:val="0"/>
      <w:sz w:val="24"/>
      <w:szCs w:val="24"/>
    </w:rPr>
  </w:style>
  <w:style w:type="character" w:customStyle="1" w:styleId="258">
    <w:name w:val="Heading 8 Char"/>
    <w:qFormat/>
    <w:locked/>
    <w:uiPriority w:val="0"/>
    <w:rPr>
      <w:rFonts w:ascii="Arial" w:hAnsi="Arial" w:eastAsia="黑体" w:cs="Times New Roman"/>
      <w:kern w:val="0"/>
      <w:sz w:val="24"/>
      <w:szCs w:val="24"/>
    </w:rPr>
  </w:style>
  <w:style w:type="character" w:customStyle="1" w:styleId="259">
    <w:name w:val="Heading 9 Char"/>
    <w:qFormat/>
    <w:locked/>
    <w:uiPriority w:val="0"/>
    <w:rPr>
      <w:rFonts w:ascii="Arial" w:hAnsi="Arial" w:eastAsia="黑体" w:cs="Times New Roman"/>
      <w:kern w:val="0"/>
      <w:sz w:val="21"/>
      <w:szCs w:val="21"/>
    </w:rPr>
  </w:style>
  <w:style w:type="character" w:customStyle="1" w:styleId="260">
    <w:name w:val="Document Map Char"/>
    <w:qFormat/>
    <w:locked/>
    <w:uiPriority w:val="0"/>
    <w:rPr>
      <w:rFonts w:ascii="Times New Roman" w:hAnsi="Times New Roman" w:eastAsia="宋体" w:cs="Times New Roman"/>
      <w:sz w:val="24"/>
      <w:szCs w:val="24"/>
      <w:shd w:val="clear" w:color="auto" w:fill="000080"/>
    </w:rPr>
  </w:style>
  <w:style w:type="character" w:customStyle="1" w:styleId="261">
    <w:name w:val="Date Char"/>
    <w:qFormat/>
    <w:locked/>
    <w:uiPriority w:val="0"/>
    <w:rPr>
      <w:rFonts w:ascii="Times New Roman" w:hAnsi="Times New Roman" w:eastAsia="宋体" w:cs="Times New Roman"/>
      <w:sz w:val="20"/>
      <w:szCs w:val="20"/>
    </w:rPr>
  </w:style>
  <w:style w:type="character" w:customStyle="1" w:styleId="262">
    <w:name w:val="Header Char"/>
    <w:qFormat/>
    <w:locked/>
    <w:uiPriority w:val="0"/>
    <w:rPr>
      <w:rFonts w:ascii="Times New Roman" w:hAnsi="Times New Roman" w:eastAsia="宋体" w:cs="Times New Roman"/>
      <w:kern w:val="0"/>
      <w:sz w:val="20"/>
      <w:szCs w:val="20"/>
    </w:rPr>
  </w:style>
  <w:style w:type="character" w:customStyle="1" w:styleId="263">
    <w:name w:val="Footer Char"/>
    <w:qFormat/>
    <w:locked/>
    <w:uiPriority w:val="0"/>
    <w:rPr>
      <w:rFonts w:ascii="Times New Roman" w:hAnsi="Times New Roman" w:eastAsia="宋体" w:cs="Times New Roman"/>
      <w:kern w:val="0"/>
      <w:sz w:val="20"/>
      <w:szCs w:val="20"/>
    </w:rPr>
  </w:style>
  <w:style w:type="character" w:customStyle="1" w:styleId="264">
    <w:name w:val="Plain Text Char"/>
    <w:qFormat/>
    <w:locked/>
    <w:uiPriority w:val="0"/>
    <w:rPr>
      <w:rFonts w:ascii="宋体" w:hAnsi="Courier New" w:eastAsia="宋体" w:cs="Times New Roman"/>
      <w:sz w:val="20"/>
      <w:szCs w:val="20"/>
    </w:rPr>
  </w:style>
  <w:style w:type="character" w:customStyle="1" w:styleId="265">
    <w:name w:val="Body Text Indent 2 Char"/>
    <w:qFormat/>
    <w:locked/>
    <w:uiPriority w:val="0"/>
    <w:rPr>
      <w:rFonts w:ascii="Times New Roman" w:hAnsi="Times New Roman" w:eastAsia="宋体" w:cs="Times New Roman"/>
      <w:sz w:val="30"/>
      <w:szCs w:val="30"/>
    </w:rPr>
  </w:style>
  <w:style w:type="character" w:customStyle="1" w:styleId="266">
    <w:name w:val="Body Text Indent 3 Char"/>
    <w:qFormat/>
    <w:locked/>
    <w:uiPriority w:val="0"/>
    <w:rPr>
      <w:rFonts w:ascii="Times New Roman" w:hAnsi="Times New Roman" w:eastAsia="宋体" w:cs="Times New Roman"/>
      <w:sz w:val="30"/>
      <w:szCs w:val="30"/>
    </w:rPr>
  </w:style>
  <w:style w:type="character" w:customStyle="1" w:styleId="267">
    <w:name w:val="Body Text First Indent 2 Char"/>
    <w:qFormat/>
    <w:locked/>
    <w:uiPriority w:val="0"/>
    <w:rPr>
      <w:rFonts w:ascii="Times New Roman" w:hAnsi="Times New Roman" w:eastAsia="宋体" w:cs="Times New Roman"/>
      <w:kern w:val="2"/>
      <w:sz w:val="24"/>
      <w:szCs w:val="24"/>
    </w:rPr>
  </w:style>
  <w:style w:type="character" w:customStyle="1" w:styleId="268">
    <w:name w:val="Body Text 2 Char"/>
    <w:qFormat/>
    <w:locked/>
    <w:uiPriority w:val="0"/>
    <w:rPr>
      <w:rFonts w:ascii="宋体" w:hAnsi="Times New Roman" w:eastAsia="宋体" w:cs="Times New Roman"/>
      <w:sz w:val="20"/>
      <w:szCs w:val="20"/>
    </w:rPr>
  </w:style>
  <w:style w:type="character" w:customStyle="1" w:styleId="269">
    <w:name w:val="Balloon Text Char"/>
    <w:qFormat/>
    <w:locked/>
    <w:uiPriority w:val="0"/>
    <w:rPr>
      <w:rFonts w:ascii="Times New Roman" w:hAnsi="Times New Roman" w:eastAsia="宋体" w:cs="Times New Roman"/>
      <w:sz w:val="18"/>
      <w:szCs w:val="18"/>
    </w:rPr>
  </w:style>
  <w:style w:type="character" w:customStyle="1" w:styleId="270">
    <w:name w:val="Salutation Char"/>
    <w:qFormat/>
    <w:locked/>
    <w:uiPriority w:val="0"/>
    <w:rPr>
      <w:rFonts w:ascii="..ì." w:hAnsi="Times New Roman" w:eastAsia="..ì." w:cs="Times New Roman"/>
      <w:kern w:val="0"/>
      <w:sz w:val="20"/>
      <w:szCs w:val="20"/>
    </w:rPr>
  </w:style>
  <w:style w:type="character" w:customStyle="1" w:styleId="271">
    <w:name w:val="Note Heading Char"/>
    <w:qFormat/>
    <w:locked/>
    <w:uiPriority w:val="0"/>
    <w:rPr>
      <w:rFonts w:ascii="..ì." w:hAnsi="Times New Roman" w:eastAsia="..ì." w:cs="Times New Roman"/>
      <w:kern w:val="0"/>
      <w:sz w:val="20"/>
      <w:szCs w:val="20"/>
    </w:rPr>
  </w:style>
  <w:style w:type="paragraph" w:customStyle="1" w:styleId="272">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qFormat/>
    <w:locked/>
    <w:uiPriority w:val="0"/>
    <w:rPr>
      <w:rFonts w:ascii="Times New Roman" w:hAnsi="Times New Roman" w:eastAsia="宋体" w:cs="Times New Roman"/>
      <w:sz w:val="16"/>
      <w:szCs w:val="16"/>
    </w:rPr>
  </w:style>
  <w:style w:type="character" w:customStyle="1" w:styleId="275">
    <w:name w:val="Title Char"/>
    <w:qFormat/>
    <w:locked/>
    <w:uiPriority w:val="0"/>
    <w:rPr>
      <w:rFonts w:ascii="Arial" w:hAnsi="Arial" w:eastAsia="宋体" w:cs="Times New Roman"/>
      <w:b/>
      <w:kern w:val="0"/>
      <w:sz w:val="20"/>
      <w:szCs w:val="20"/>
    </w:rPr>
  </w:style>
  <w:style w:type="character" w:customStyle="1" w:styleId="276">
    <w:name w:val="Comment Subject Char"/>
    <w:qFormat/>
    <w:locked/>
    <w:uiPriority w:val="0"/>
    <w:rPr>
      <w:rFonts w:ascii="Times New Roman" w:hAnsi="Times New Roman" w:eastAsia="宋体" w:cs="Times New Roman"/>
      <w:b/>
      <w:bCs/>
      <w:sz w:val="24"/>
      <w:szCs w:val="24"/>
    </w:rPr>
  </w:style>
  <w:style w:type="character" w:customStyle="1" w:styleId="277">
    <w:name w:val="Comment Text Char"/>
    <w:qFormat/>
    <w:locked/>
    <w:uiPriority w:val="0"/>
    <w:rPr>
      <w:rFonts w:ascii="Times New Roman" w:hAnsi="Times New Roman" w:eastAsia="宋体"/>
      <w:sz w:val="24"/>
    </w:rPr>
  </w:style>
  <w:style w:type="paragraph" w:customStyle="1" w:styleId="278">
    <w:name w:val="List Paragraph1"/>
    <w:basedOn w:val="1"/>
    <w:qFormat/>
    <w:uiPriority w:val="0"/>
    <w:pPr>
      <w:ind w:firstLine="420" w:firstLineChars="200"/>
    </w:pPr>
    <w:rPr>
      <w:rFonts w:eastAsia="宋体"/>
    </w:rPr>
  </w:style>
  <w:style w:type="paragraph" w:customStyle="1" w:styleId="279">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unhideWhenUsed/>
    <w:qFormat/>
    <w:uiPriority w:val="99"/>
    <w:rPr>
      <w:color w:val="605E5C"/>
      <w:shd w:val="clear" w:color="auto" w:fill="E1DFDD"/>
    </w:rPr>
  </w:style>
  <w:style w:type="character" w:customStyle="1" w:styleId="281">
    <w:name w:val="Char Char11"/>
    <w:qFormat/>
    <w:uiPriority w:val="99"/>
    <w:rPr>
      <w:rFonts w:eastAsia="宋体"/>
      <w:kern w:val="2"/>
      <w:sz w:val="24"/>
      <w:lang w:val="en-US" w:eastAsia="zh-CN"/>
    </w:rPr>
  </w:style>
  <w:style w:type="character" w:customStyle="1" w:styleId="282">
    <w:name w:val="正文文本 Char1"/>
    <w:semiHidden/>
    <w:qFormat/>
    <w:uiPriority w:val="0"/>
    <w:rPr>
      <w:rFonts w:ascii="Times New Roman" w:hAnsi="Times New Roman" w:eastAsia="宋体" w:cs="Times New Roman"/>
      <w:szCs w:val="24"/>
    </w:rPr>
  </w:style>
  <w:style w:type="paragraph" w:customStyle="1" w:styleId="283">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qFormat/>
    <w:uiPriority w:val="99"/>
    <w:rPr>
      <w:rFonts w:ascii="Tahoma" w:hAnsi="Tahoma" w:eastAsia="宋体"/>
      <w:sz w:val="24"/>
      <w:szCs w:val="20"/>
    </w:rPr>
  </w:style>
  <w:style w:type="paragraph" w:customStyle="1" w:styleId="285">
    <w:name w:val="Char Char Char Char1"/>
    <w:basedOn w:val="1"/>
    <w:qFormat/>
    <w:uiPriority w:val="99"/>
    <w:pPr>
      <w:widowControl/>
      <w:spacing w:after="160" w:line="240" w:lineRule="exact"/>
      <w:jc w:val="left"/>
    </w:pPr>
    <w:rPr>
      <w:rFonts w:eastAsia="宋体"/>
      <w:szCs w:val="20"/>
    </w:rPr>
  </w:style>
  <w:style w:type="paragraph" w:customStyle="1" w:styleId="286">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qFormat/>
    <w:uiPriority w:val="99"/>
    <w:pPr>
      <w:widowControl/>
      <w:spacing w:after="160" w:line="240" w:lineRule="exact"/>
      <w:jc w:val="left"/>
    </w:pPr>
    <w:rPr>
      <w:rFonts w:eastAsia="宋体"/>
      <w:szCs w:val="20"/>
    </w:rPr>
  </w:style>
  <w:style w:type="paragraph" w:customStyle="1" w:styleId="289">
    <w:name w:val="Char12"/>
    <w:basedOn w:val="1"/>
    <w:qFormat/>
    <w:uiPriority w:val="99"/>
    <w:rPr>
      <w:rFonts w:ascii="Tahoma" w:hAnsi="Tahoma" w:eastAsia="宋体"/>
      <w:sz w:val="24"/>
      <w:szCs w:val="20"/>
    </w:rPr>
  </w:style>
  <w:style w:type="paragraph" w:customStyle="1" w:styleId="290">
    <w:name w:val="Char111"/>
    <w:basedOn w:val="1"/>
    <w:qFormat/>
    <w:uiPriority w:val="99"/>
    <w:rPr>
      <w:rFonts w:ascii="Tahoma" w:hAnsi="Tahoma" w:eastAsia="宋体"/>
      <w:sz w:val="24"/>
      <w:szCs w:val="20"/>
    </w:rPr>
  </w:style>
  <w:style w:type="paragraph" w:customStyle="1" w:styleId="291">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qFormat/>
    <w:uiPriority w:val="99"/>
    <w:pPr>
      <w:widowControl/>
      <w:spacing w:after="160" w:line="240" w:lineRule="exact"/>
      <w:jc w:val="left"/>
    </w:pPr>
    <w:rPr>
      <w:rFonts w:eastAsia="宋体"/>
      <w:szCs w:val="20"/>
    </w:rPr>
  </w:style>
  <w:style w:type="character" w:customStyle="1" w:styleId="293">
    <w:name w:val="正文文本 字符"/>
    <w:qFormat/>
    <w:uiPriority w:val="0"/>
    <w:rPr>
      <w:b/>
      <w:i/>
      <w:szCs w:val="24"/>
    </w:rPr>
  </w:style>
  <w:style w:type="paragraph" w:customStyle="1" w:styleId="294">
    <w:name w:val="纯文本2"/>
    <w:basedOn w:val="1"/>
    <w:qFormat/>
    <w:uiPriority w:val="0"/>
    <w:rPr>
      <w:rFonts w:ascii="宋体" w:hAnsi="Courier New" w:cs="Courier New"/>
      <w:szCs w:val="21"/>
    </w:rPr>
  </w:style>
  <w:style w:type="paragraph" w:customStyle="1" w:styleId="295">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Char"/>
    <w:basedOn w:val="53"/>
    <w:link w:val="44"/>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29A67-8742-479E-886C-D6313CDAF4E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62</Pages>
  <Words>26333</Words>
  <Characters>29446</Characters>
  <Lines>214</Lines>
  <Paragraphs>60</Paragraphs>
  <TotalTime>28</TotalTime>
  <ScaleCrop>false</ScaleCrop>
  <LinksUpToDate>false</LinksUpToDate>
  <CharactersWithSpaces>31371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Administrator</cp:lastModifiedBy>
  <cp:lastPrinted>2022-11-15T02:44:00Z</cp:lastPrinted>
  <dcterms:modified xsi:type="dcterms:W3CDTF">2023-05-24T04:20:47Z</dcterms:modified>
  <dc:title>_x0001_</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0404E73FBCE74977AB05E7757386EDC2</vt:lpwstr>
  </property>
</Properties>
</file>