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widowControl/>
        <w:spacing w:before="0" w:beforeAutospacing="0" w:after="0" w:afterAutospacing="0" w:line="240" w:lineRule="auto"/>
        <w:rPr>
          <w:rFonts w:hint="eastAsia" w:asciiTheme="majorEastAsia" w:hAnsiTheme="majorEastAsia" w:eastAsiaTheme="majorEastAsia" w:cstheme="majorEastAsia"/>
          <w:color w:val="000000"/>
          <w:sz w:val="28"/>
          <w:szCs w:val="28"/>
          <w:lang w:eastAsia="zh-CN"/>
        </w:rPr>
      </w:pPr>
    </w:p>
    <w:p>
      <w:pPr>
        <w:pStyle w:val="18"/>
        <w:widowControl/>
        <w:spacing w:before="0" w:beforeAutospacing="0" w:after="0" w:afterAutospacing="0" w:line="480" w:lineRule="exact"/>
        <w:rPr>
          <w:rFonts w:hint="eastAsia" w:asciiTheme="majorEastAsia" w:hAnsiTheme="majorEastAsia" w:eastAsiaTheme="majorEastAsia" w:cstheme="majorEastAsia"/>
          <w:b/>
          <w:sz w:val="44"/>
          <w:szCs w:val="18"/>
        </w:rPr>
      </w:pPr>
    </w:p>
    <w:p>
      <w:pPr>
        <w:spacing w:line="360" w:lineRule="auto"/>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t>延川县苹果生产管理办公室关于果园土壤改良项目</w:t>
      </w:r>
    </w:p>
    <w:p>
      <w:pPr>
        <w:pStyle w:val="11"/>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sz w:val="46"/>
          <w:szCs w:val="36"/>
        </w:rPr>
      </w:pPr>
    </w:p>
    <w:p>
      <w:pPr>
        <w:spacing w:line="360" w:lineRule="auto"/>
        <w:jc w:val="center"/>
        <w:rPr>
          <w:rFonts w:hint="eastAsia" w:asciiTheme="majorEastAsia" w:hAnsiTheme="majorEastAsia" w:eastAsiaTheme="majorEastAsia" w:cstheme="majorEastAsia"/>
          <w:b/>
          <w:sz w:val="30"/>
          <w:szCs w:val="30"/>
        </w:rPr>
      </w:pPr>
    </w:p>
    <w:p>
      <w:pPr>
        <w:spacing w:line="80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Cs/>
          <w:sz w:val="52"/>
          <w:szCs w:val="52"/>
        </w:rPr>
        <w:t>招标文件</w:t>
      </w:r>
    </w:p>
    <w:p>
      <w:pPr>
        <w:spacing w:line="360" w:lineRule="auto"/>
        <w:rPr>
          <w:rFonts w:hint="eastAsia" w:asciiTheme="majorEastAsia" w:hAnsiTheme="majorEastAsia" w:eastAsiaTheme="majorEastAsia" w:cstheme="majorEastAsia"/>
          <w:b/>
          <w:sz w:val="30"/>
          <w:szCs w:val="30"/>
        </w:rPr>
      </w:pPr>
    </w:p>
    <w:p>
      <w:pPr>
        <w:spacing w:line="360" w:lineRule="auto"/>
        <w:rPr>
          <w:rFonts w:hint="eastAsia" w:asciiTheme="majorEastAsia" w:hAnsiTheme="majorEastAsia" w:eastAsiaTheme="majorEastAsia" w:cstheme="majorEastAsia"/>
          <w:b/>
          <w:sz w:val="30"/>
          <w:szCs w:val="30"/>
        </w:rPr>
      </w:pPr>
    </w:p>
    <w:p>
      <w:pPr>
        <w:pStyle w:val="11"/>
        <w:ind w:left="0" w:leftChars="0" w:firstLine="0" w:firstLineChars="0"/>
        <w:rPr>
          <w:rFonts w:hint="eastAsia" w:asciiTheme="majorEastAsia" w:hAnsiTheme="majorEastAsia" w:eastAsiaTheme="majorEastAsia" w:cstheme="majorEastAsia"/>
          <w:b/>
          <w:sz w:val="30"/>
          <w:szCs w:val="30"/>
        </w:rPr>
      </w:pPr>
    </w:p>
    <w:p>
      <w:pPr>
        <w:spacing w:line="360" w:lineRule="auto"/>
        <w:rPr>
          <w:rFonts w:hint="eastAsia" w:asciiTheme="majorEastAsia" w:hAnsiTheme="majorEastAsia" w:eastAsiaTheme="majorEastAsia" w:cstheme="majorEastAsia"/>
          <w:b/>
          <w:sz w:val="30"/>
          <w:szCs w:val="30"/>
        </w:rPr>
      </w:pPr>
    </w:p>
    <w:p>
      <w:pPr>
        <w:spacing w:line="560" w:lineRule="exact"/>
        <w:ind w:firstLine="1200" w:firstLineChars="400"/>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bCs/>
          <w:sz w:val="30"/>
          <w:szCs w:val="30"/>
        </w:rPr>
        <w:t>采   购   人：</w:t>
      </w:r>
      <w:r>
        <w:rPr>
          <w:rFonts w:hint="eastAsia" w:asciiTheme="majorEastAsia" w:hAnsiTheme="majorEastAsia" w:eastAsiaTheme="majorEastAsia" w:cstheme="majorEastAsia"/>
          <w:sz w:val="30"/>
          <w:szCs w:val="30"/>
          <w:lang w:eastAsia="zh-CN"/>
        </w:rPr>
        <w:t>延川县苹果生产管理办公室</w:t>
      </w:r>
    </w:p>
    <w:p>
      <w:pPr>
        <w:spacing w:line="560" w:lineRule="exact"/>
        <w:ind w:firstLine="1200" w:firstLineChars="4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bCs/>
          <w:sz w:val="30"/>
          <w:szCs w:val="30"/>
        </w:rPr>
        <w:t>采购项目编号：</w:t>
      </w:r>
      <w:r>
        <w:rPr>
          <w:rFonts w:hint="eastAsia" w:asciiTheme="majorEastAsia" w:hAnsiTheme="majorEastAsia" w:eastAsiaTheme="majorEastAsia" w:cstheme="majorEastAsia"/>
          <w:sz w:val="30"/>
          <w:szCs w:val="30"/>
          <w:lang w:eastAsia="zh-CN"/>
        </w:rPr>
        <w:t>ZCSP-延川县-2023-00018</w:t>
      </w:r>
    </w:p>
    <w:p>
      <w:pPr>
        <w:spacing w:line="560" w:lineRule="exact"/>
        <w:ind w:firstLine="1200" w:firstLineChars="400"/>
        <w:rPr>
          <w:rFonts w:hint="eastAsia" w:asciiTheme="majorEastAsia" w:hAnsiTheme="majorEastAsia" w:eastAsiaTheme="majorEastAsia" w:cstheme="majorEastAsia"/>
          <w:bCs/>
          <w:sz w:val="30"/>
          <w:szCs w:val="30"/>
          <w:lang w:eastAsia="zh-CN"/>
        </w:rPr>
      </w:pPr>
      <w:r>
        <w:rPr>
          <w:rFonts w:hint="eastAsia" w:asciiTheme="majorEastAsia" w:hAnsiTheme="majorEastAsia" w:eastAsiaTheme="majorEastAsia" w:cstheme="majorEastAsia"/>
          <w:bCs/>
          <w:sz w:val="30"/>
          <w:szCs w:val="30"/>
        </w:rPr>
        <w:t>采购代理机构：</w:t>
      </w:r>
      <w:r>
        <w:rPr>
          <w:rFonts w:hint="eastAsia" w:asciiTheme="majorEastAsia" w:hAnsiTheme="majorEastAsia" w:eastAsiaTheme="majorEastAsia" w:cstheme="majorEastAsia"/>
          <w:bCs/>
          <w:sz w:val="30"/>
          <w:szCs w:val="30"/>
          <w:lang w:eastAsia="zh-CN"/>
        </w:rPr>
        <w:t>延川县政府采购中心</w:t>
      </w:r>
    </w:p>
    <w:p>
      <w:pPr>
        <w:spacing w:line="560" w:lineRule="exact"/>
        <w:ind w:firstLine="1200" w:firstLineChars="400"/>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日</w:t>
      </w:r>
      <w:r>
        <w:rPr>
          <w:rFonts w:hint="eastAsia" w:asciiTheme="majorEastAsia" w:hAnsiTheme="majorEastAsia" w:eastAsiaTheme="majorEastAsia" w:cstheme="majorEastAsia"/>
          <w:bCs/>
          <w:sz w:val="30"/>
          <w:szCs w:val="30"/>
          <w:lang w:val="en-US" w:eastAsia="zh-CN"/>
        </w:rPr>
        <w:t xml:space="preserve">        </w:t>
      </w:r>
      <w:r>
        <w:rPr>
          <w:rFonts w:hint="eastAsia" w:asciiTheme="majorEastAsia" w:hAnsiTheme="majorEastAsia" w:eastAsiaTheme="majorEastAsia" w:cstheme="majorEastAsia"/>
          <w:bCs/>
          <w:sz w:val="30"/>
          <w:szCs w:val="30"/>
        </w:rPr>
        <w:t>期：二〇</w:t>
      </w:r>
      <w:r>
        <w:rPr>
          <w:rFonts w:hint="eastAsia" w:asciiTheme="majorEastAsia" w:hAnsiTheme="majorEastAsia" w:eastAsiaTheme="majorEastAsia" w:cstheme="majorEastAsia"/>
          <w:bCs/>
          <w:sz w:val="30"/>
          <w:szCs w:val="30"/>
          <w:lang w:eastAsia="zh-CN"/>
        </w:rPr>
        <w:t>二二</w:t>
      </w:r>
      <w:r>
        <w:rPr>
          <w:rFonts w:hint="eastAsia" w:asciiTheme="majorEastAsia" w:hAnsiTheme="majorEastAsia" w:eastAsiaTheme="majorEastAsia" w:cstheme="majorEastAsia"/>
          <w:bCs/>
          <w:sz w:val="30"/>
          <w:szCs w:val="30"/>
        </w:rPr>
        <w:t>年</w:t>
      </w:r>
      <w:r>
        <w:rPr>
          <w:rFonts w:hint="eastAsia" w:asciiTheme="majorEastAsia" w:hAnsiTheme="majorEastAsia" w:eastAsiaTheme="majorEastAsia" w:cstheme="majorEastAsia"/>
          <w:bCs/>
          <w:sz w:val="30"/>
          <w:szCs w:val="30"/>
          <w:lang w:eastAsia="zh-CN"/>
        </w:rPr>
        <w:t>四</w:t>
      </w:r>
      <w:r>
        <w:rPr>
          <w:rFonts w:hint="eastAsia" w:asciiTheme="majorEastAsia" w:hAnsiTheme="majorEastAsia" w:eastAsiaTheme="majorEastAsia" w:cstheme="majorEastAsia"/>
          <w:bCs/>
          <w:sz w:val="30"/>
          <w:szCs w:val="30"/>
        </w:rPr>
        <w:t>月</w:t>
      </w:r>
      <w:bookmarkStart w:id="0" w:name="_Toc193702467"/>
      <w:bookmarkStart w:id="1" w:name="_Toc347478670"/>
    </w:p>
    <w:p>
      <w:pPr>
        <w:spacing w:line="560" w:lineRule="exact"/>
        <w:jc w:val="center"/>
        <w:rPr>
          <w:rFonts w:hint="eastAsia" w:asciiTheme="majorEastAsia" w:hAnsiTheme="majorEastAsia" w:eastAsiaTheme="majorEastAsia" w:cstheme="majorEastAsia"/>
          <w:bCs/>
          <w:sz w:val="30"/>
          <w:szCs w:val="30"/>
        </w:rPr>
        <w:sectPr>
          <w:headerReference r:id="rId5" w:type="first"/>
          <w:footerReference r:id="rId8" w:type="first"/>
          <w:headerReference r:id="rId3" w:type="default"/>
          <w:footerReference r:id="rId6" w:type="default"/>
          <w:headerReference r:id="rId4" w:type="even"/>
          <w:footerReference r:id="rId7" w:type="even"/>
          <w:footnotePr>
            <w:pos w:val="beneathText"/>
          </w:footnotePr>
          <w:pgSz w:w="11906" w:h="16838"/>
          <w:pgMar w:top="1440" w:right="1423" w:bottom="1219" w:left="1644" w:header="851" w:footer="992" w:gutter="0"/>
          <w:pgNumType w:fmt="decimal" w:start="1"/>
          <w:cols w:space="720" w:num="1"/>
          <w:titlePg/>
          <w:docGrid w:linePitch="312" w:charSpace="92"/>
        </w:sectPr>
      </w:pPr>
    </w:p>
    <w:p>
      <w:pPr>
        <w:pStyle w:val="16"/>
        <w:tabs>
          <w:tab w:val="right" w:leader="dot" w:pos="8829"/>
        </w:tabs>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目 录</w:t>
      </w:r>
    </w:p>
    <w:p>
      <w:pPr>
        <w:pStyle w:val="60"/>
        <w:tabs>
          <w:tab w:val="right" w:leader="dot" w:pos="8306"/>
        </w:tabs>
        <w:spacing w:line="360" w:lineRule="auto"/>
        <w:rPr>
          <w:rFonts w:hint="eastAsia" w:asciiTheme="majorEastAsia" w:hAnsiTheme="majorEastAsia" w:eastAsiaTheme="majorEastAsia" w:cstheme="majorEastAsia"/>
          <w:sz w:val="24"/>
          <w:szCs w:val="24"/>
        </w:rPr>
      </w:pPr>
      <w:bookmarkStart w:id="2" w:name="_Toc18149"/>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TOC \o "1-3" \h \u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"_Toc3021"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第一部分 招标公告</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_Toc3021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4</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"_Toc32258"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第二部分 供应商须知</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_Toc32258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4</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"_Toc11990"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第一章 总则</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_Toc11990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"_Toc30704"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1.适用范围</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_Toc30704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"_Toc29714"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2.定义</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_Toc29714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"_Toc31432"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3.合格的供应商</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_Toc31432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"_Toc15393"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第二章 招标文件说明</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_Toc15393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"_Toc10879"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5.招标文件的构成</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_Toc10879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11</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"_Toc9407"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6.招标文件的澄清</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_Toc9407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11</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"_Toc18597"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7.招标文件的修改</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_Toc18597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12</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"_Toc15602"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第三章 投标文件的编写</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_Toc15602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12</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"_Toc14395"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8.投标语言</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_Toc14395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12</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"_Toc5442"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9.计量单位</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_Toc5442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12</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"_Toc19253"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10.投标文件的组成</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_Toc19253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12</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"_Toc21814"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11.投标文件格式</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_Toc21814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13</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"_Toc15065"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12.报价</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_Toc15065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13</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"_Toc10601"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13.投标货币</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_Toc10601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13</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"_Toc16384"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14.供应商资格证明文件</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_Toc16384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13</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"_Toc21336"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15.符合招标文件规定的文件</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_Toc21336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13</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"_Toc28808"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w:t>
      </w:r>
      <w:r>
        <w:rPr>
          <w:rFonts w:hint="eastAsia" w:asciiTheme="majorEastAsia" w:hAnsiTheme="majorEastAsia" w:eastAsiaTheme="majorEastAsia" w:cstheme="majorEastAsia"/>
          <w:szCs w:val="24"/>
          <w:lang w:val="en-US" w:eastAsia="zh-CN"/>
        </w:rPr>
        <w:t>6</w:t>
      </w:r>
      <w:r>
        <w:rPr>
          <w:rFonts w:hint="eastAsia" w:asciiTheme="majorEastAsia" w:hAnsiTheme="majorEastAsia" w:eastAsiaTheme="majorEastAsia" w:cstheme="majorEastAsia"/>
          <w:szCs w:val="24"/>
        </w:rPr>
        <w:t>.投标有效期</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_Toc28808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15</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"_Toc9366"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w:t>
      </w:r>
      <w:r>
        <w:rPr>
          <w:rFonts w:hint="eastAsia" w:asciiTheme="majorEastAsia" w:hAnsiTheme="majorEastAsia" w:eastAsiaTheme="majorEastAsia" w:cstheme="majorEastAsia"/>
          <w:szCs w:val="24"/>
          <w:lang w:val="en-US" w:eastAsia="zh-CN"/>
        </w:rPr>
        <w:t>7</w:t>
      </w:r>
      <w:r>
        <w:rPr>
          <w:rFonts w:hint="eastAsia" w:asciiTheme="majorEastAsia" w:hAnsiTheme="majorEastAsia" w:eastAsiaTheme="majorEastAsia" w:cstheme="majorEastAsia"/>
          <w:szCs w:val="24"/>
        </w:rPr>
        <w:t>.投标文件的签署及格式</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_Toc9366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15</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"_Toc31737"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第四章 投标文件的递交</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_Toc31737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15</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"_Toc20573"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w:t>
      </w:r>
      <w:r>
        <w:rPr>
          <w:rFonts w:hint="eastAsia" w:asciiTheme="majorEastAsia" w:hAnsiTheme="majorEastAsia" w:eastAsiaTheme="majorEastAsia" w:cstheme="majorEastAsia"/>
          <w:szCs w:val="24"/>
          <w:lang w:val="en-US" w:eastAsia="zh-CN"/>
        </w:rPr>
        <w:t>8</w:t>
      </w:r>
      <w:r>
        <w:rPr>
          <w:rFonts w:hint="eastAsia" w:asciiTheme="majorEastAsia" w:hAnsiTheme="majorEastAsia" w:eastAsiaTheme="majorEastAsia" w:cstheme="majorEastAsia"/>
          <w:szCs w:val="24"/>
        </w:rPr>
        <w:t>.投标文件的份数、包装和标记</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_Toc20573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15</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"_Toc25593"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19</w:t>
      </w:r>
      <w:r>
        <w:rPr>
          <w:rFonts w:hint="eastAsia" w:asciiTheme="majorEastAsia" w:hAnsiTheme="majorEastAsia" w:eastAsiaTheme="majorEastAsia" w:cstheme="majorEastAsia"/>
          <w:szCs w:val="24"/>
        </w:rPr>
        <w:t>.投标截止时间</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_Toc25593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16</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"_Toc21884"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第五章 开标/评审</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_Toc21884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16</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"_Toc8154"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0</w:t>
      </w:r>
      <w:r>
        <w:rPr>
          <w:rFonts w:hint="eastAsia" w:asciiTheme="majorEastAsia" w:hAnsiTheme="majorEastAsia" w:eastAsiaTheme="majorEastAsia" w:cstheme="majorEastAsia"/>
          <w:szCs w:val="24"/>
        </w:rPr>
        <w:t>.开标</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_Toc8154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16</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"_Toc14394"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1</w:t>
      </w:r>
      <w:r>
        <w:rPr>
          <w:rFonts w:hint="eastAsia" w:asciiTheme="majorEastAsia" w:hAnsiTheme="majorEastAsia" w:eastAsiaTheme="majorEastAsia" w:cstheme="majorEastAsia"/>
          <w:szCs w:val="24"/>
        </w:rPr>
        <w:t>.评标委员会与评审</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_Toc14394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17</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"_Toc19484"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2</w:t>
      </w:r>
      <w:r>
        <w:rPr>
          <w:rFonts w:hint="eastAsia" w:asciiTheme="majorEastAsia" w:hAnsiTheme="majorEastAsia" w:eastAsiaTheme="majorEastAsia" w:cstheme="majorEastAsia"/>
          <w:szCs w:val="24"/>
        </w:rPr>
        <w:t>.投标及投标文件的有效性</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_Toc19484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18</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"_Toc28451"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3</w:t>
      </w:r>
      <w:r>
        <w:rPr>
          <w:rFonts w:hint="eastAsia" w:asciiTheme="majorEastAsia" w:hAnsiTheme="majorEastAsia" w:eastAsiaTheme="majorEastAsia" w:cstheme="majorEastAsia"/>
          <w:szCs w:val="24"/>
        </w:rPr>
        <w:t>.对投标文件的审查和响应性的确定</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_Toc28451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"_Toc18685"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4</w:t>
      </w:r>
      <w:r>
        <w:rPr>
          <w:rFonts w:hint="eastAsia" w:asciiTheme="majorEastAsia" w:hAnsiTheme="majorEastAsia" w:eastAsiaTheme="majorEastAsia" w:cstheme="majorEastAsia"/>
          <w:szCs w:val="24"/>
        </w:rPr>
        <w:t>.投标文件的澄清</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_Toc18685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"_Toc5585"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5</w:t>
      </w:r>
      <w:r>
        <w:rPr>
          <w:rFonts w:hint="eastAsia" w:asciiTheme="majorEastAsia" w:hAnsiTheme="majorEastAsia" w:eastAsiaTheme="majorEastAsia" w:cstheme="majorEastAsia"/>
          <w:szCs w:val="24"/>
        </w:rPr>
        <w:t>.投标文件的评估和比较</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_Toc5585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19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"_Toc30363"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6</w:t>
      </w:r>
      <w:r>
        <w:rPr>
          <w:rFonts w:hint="eastAsia" w:asciiTheme="majorEastAsia" w:hAnsiTheme="majorEastAsia" w:eastAsiaTheme="majorEastAsia" w:cstheme="majorEastAsia"/>
          <w:szCs w:val="24"/>
        </w:rPr>
        <w:t>.评标过程的保密</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_Toc30363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"_Toc15127"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第六章 中标/合同</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_Toc15127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21</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"_Toc17159"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7</w:t>
      </w:r>
      <w:r>
        <w:rPr>
          <w:rFonts w:hint="eastAsia" w:asciiTheme="majorEastAsia" w:hAnsiTheme="majorEastAsia" w:eastAsiaTheme="majorEastAsia" w:cstheme="majorEastAsia"/>
          <w:szCs w:val="24"/>
        </w:rPr>
        <w:t>.中标准则</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_Toc17159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21</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"_Toc19774"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w:t>
      </w:r>
      <w:r>
        <w:rPr>
          <w:rFonts w:hint="eastAsia" w:asciiTheme="majorEastAsia" w:hAnsiTheme="majorEastAsia" w:eastAsiaTheme="majorEastAsia" w:cstheme="majorEastAsia"/>
          <w:szCs w:val="24"/>
          <w:lang w:val="en-US" w:eastAsia="zh-CN"/>
        </w:rPr>
        <w:t>8</w:t>
      </w:r>
      <w:r>
        <w:rPr>
          <w:rFonts w:hint="eastAsia" w:asciiTheme="majorEastAsia" w:hAnsiTheme="majorEastAsia" w:eastAsiaTheme="majorEastAsia" w:cstheme="majorEastAsia"/>
          <w:szCs w:val="24"/>
        </w:rPr>
        <w:t>.中标通知</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_Toc19774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21</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9"/>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"_Toc8691"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val="en-US" w:eastAsia="zh-CN"/>
        </w:rPr>
        <w:t>29</w:t>
      </w:r>
      <w:r>
        <w:rPr>
          <w:rFonts w:hint="eastAsia" w:asciiTheme="majorEastAsia" w:hAnsiTheme="majorEastAsia" w:eastAsiaTheme="majorEastAsia" w:cstheme="majorEastAsia"/>
          <w:szCs w:val="24"/>
        </w:rPr>
        <w:t>.签订合同</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_Toc8691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21</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"_Toc32121"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第三部分 采购需求</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_Toc32121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22</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"_Toc745"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第四部分 评标办法</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_Toc745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23</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"_Toc31681"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1.投标文件初审</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_Toc31681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23</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"_Toc16944"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2.投标文件详细评审</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_Toc16944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25</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"_Toc13999"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第五部分 合同主要条款</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_Toc13999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"_Toc12735"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1.合同概况</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_Toc12735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"_Toc26388"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2.服务内容及地点</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_Toc26388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"_Toc759"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3.供货期</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_Toc759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"_Toc11610"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4.甲方的责任和义务</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_Toc11610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"_Toc24312"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5.乙方的责任和义务</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_Toc24312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"_Toc30459"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6.付款方式</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_Toc30459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"_Toc10954"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7.合同变更</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_Toc10954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29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"_Toc21640"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8.违约责任</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_Toc21640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"_Toc7608"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9.质量保证</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_Toc7608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"_Toc27932"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10.不可抗力、意外变故</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_Toc27932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"_Toc17288"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11.验收与质保服务</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_Toc17288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"_Toc25132"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12.争议解决</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_Toc25132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7"/>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"_Toc4474"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13.附则</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_Toc4474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"_Toc20241"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Cs w:val="24"/>
        </w:rPr>
        <w:t>第六部分 投标文件格式</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_Toc20241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32</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"_Toc11315"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24"/>
        </w:rPr>
        <w:t>一、投标函</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_Toc11315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34</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"_Toc10699"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24"/>
        </w:rPr>
        <w:t>二、开标一览表</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_Toc10699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35</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"_Toc11770"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24"/>
        </w:rPr>
        <w:t>三、商务/技术偏离表</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_Toc11770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37</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"_Toc14012"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24"/>
        </w:rPr>
        <w:t>四、资格证明文件</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_Toc14012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38</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"_Toc30710"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24"/>
        </w:rPr>
        <w:t>五、类似业绩</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_Toc30710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39</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"_Toc3959"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24"/>
        </w:rPr>
        <w:t>六、法定代表人授权书</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_Toc3959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40</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"_Toc11858"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24"/>
        </w:rPr>
        <w:t>七、法定代表人身份证明</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_Toc11858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41</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"_Toc15975"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eastAsia="zh-CN"/>
        </w:rPr>
        <w:t>八</w:t>
      </w:r>
      <w:r>
        <w:rPr>
          <w:rFonts w:hint="eastAsia" w:asciiTheme="majorEastAsia" w:hAnsiTheme="majorEastAsia" w:eastAsiaTheme="majorEastAsia" w:cstheme="majorEastAsia"/>
          <w:bCs/>
          <w:szCs w:val="24"/>
        </w:rPr>
        <w:t>、技术方案</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_Toc15975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43</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"_Toc9985"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lang w:eastAsia="zh-CN"/>
        </w:rPr>
        <w:t>九</w:t>
      </w:r>
      <w:r>
        <w:rPr>
          <w:rFonts w:hint="eastAsia" w:asciiTheme="majorEastAsia" w:hAnsiTheme="majorEastAsia" w:eastAsiaTheme="majorEastAsia" w:cstheme="majorEastAsia"/>
          <w:bCs/>
          <w:szCs w:val="24"/>
        </w:rPr>
        <w:t>、售后服务</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_Toc9985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44</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16"/>
        <w:tabs>
          <w:tab w:val="right" w:leader="dot" w:pos="8306"/>
        </w:tabs>
        <w:spacing w:line="380" w:lineRule="exact"/>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"_Toc1891"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24"/>
        </w:rPr>
        <w:t>十、其他材料</w:t>
      </w:r>
      <w:r>
        <w:rPr>
          <w:rFonts w:hint="eastAsia" w:asciiTheme="majorEastAsia" w:hAnsiTheme="majorEastAsia" w:eastAsiaTheme="majorEastAsia" w:cstheme="majorEastAsia"/>
          <w:szCs w:val="24"/>
        </w:rPr>
        <w:tab/>
      </w:r>
      <w:r>
        <w:rPr>
          <w:rFonts w:hint="eastAsia" w:asciiTheme="majorEastAsia" w:hAnsiTheme="majorEastAsia" w:eastAsiaTheme="majorEastAsia" w:cstheme="majorEastAsia"/>
          <w:szCs w:val="24"/>
        </w:rPr>
        <w:fldChar w:fldCharType="begin"/>
      </w:r>
      <w:r>
        <w:rPr>
          <w:rFonts w:hint="eastAsia" w:asciiTheme="majorEastAsia" w:hAnsiTheme="majorEastAsia" w:eastAsiaTheme="majorEastAsia" w:cstheme="majorEastAsia"/>
          <w:szCs w:val="24"/>
        </w:rPr>
        <w:instrText xml:space="preserve"> PAGEREF _Toc1891 </w:instrText>
      </w:r>
      <w:r>
        <w:rPr>
          <w:rFonts w:hint="eastAsia" w:asciiTheme="majorEastAsia" w:hAnsiTheme="majorEastAsia" w:eastAsiaTheme="majorEastAsia" w:cstheme="majorEastAsia"/>
          <w:szCs w:val="24"/>
        </w:rPr>
        <w:fldChar w:fldCharType="separate"/>
      </w:r>
      <w:r>
        <w:rPr>
          <w:rFonts w:hint="eastAsia" w:asciiTheme="majorEastAsia" w:hAnsiTheme="majorEastAsia" w:eastAsiaTheme="majorEastAsia" w:cstheme="majorEastAsia"/>
          <w:szCs w:val="24"/>
        </w:rPr>
        <w:t>45</w:t>
      </w:r>
      <w:r>
        <w:rPr>
          <w:rFonts w:hint="eastAsia" w:asciiTheme="majorEastAsia" w:hAnsiTheme="majorEastAsia" w:eastAsiaTheme="majorEastAsia" w:cstheme="majorEastAsia"/>
          <w:szCs w:val="24"/>
        </w:rPr>
        <w:fldChar w:fldCharType="end"/>
      </w:r>
      <w:r>
        <w:rPr>
          <w:rFonts w:hint="eastAsia" w:asciiTheme="majorEastAsia" w:hAnsiTheme="majorEastAsia" w:eastAsiaTheme="majorEastAsia" w:cstheme="majorEastAsia"/>
          <w:szCs w:val="24"/>
        </w:rPr>
        <w:fldChar w:fldCharType="end"/>
      </w:r>
    </w:p>
    <w:p>
      <w:pPr>
        <w:pStyle w:val="61"/>
        <w:tabs>
          <w:tab w:val="right" w:leader="dot" w:pos="8306"/>
        </w:tabs>
        <w:spacing w:line="360" w:lineRule="auto"/>
        <w:ind w:left="420"/>
        <w:jc w:val="center"/>
        <w:rPr>
          <w:rStyle w:val="63"/>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zh-CN"/>
        </w:rPr>
        <w:br w:type="page"/>
      </w:r>
      <w:bookmarkStart w:id="3" w:name="_Toc12763"/>
      <w:bookmarkStart w:id="4" w:name="_Toc3021"/>
      <w:bookmarkStart w:id="5" w:name="_Toc29627"/>
      <w:r>
        <w:rPr>
          <w:rStyle w:val="63"/>
          <w:rFonts w:hint="eastAsia" w:asciiTheme="majorEastAsia" w:hAnsiTheme="majorEastAsia" w:eastAsiaTheme="majorEastAsia" w:cstheme="majorEastAsia"/>
        </w:rPr>
        <w:t>第一部分</w:t>
      </w:r>
      <w:bookmarkEnd w:id="0"/>
      <w:r>
        <w:rPr>
          <w:rStyle w:val="63"/>
          <w:rFonts w:hint="eastAsia" w:asciiTheme="majorEastAsia" w:hAnsiTheme="majorEastAsia" w:eastAsiaTheme="majorEastAsia" w:cstheme="majorEastAsia"/>
        </w:rPr>
        <w:t xml:space="preserve"> 招标公告</w:t>
      </w:r>
      <w:bookmarkEnd w:id="1"/>
      <w:bookmarkEnd w:id="2"/>
      <w:bookmarkEnd w:id="3"/>
      <w:bookmarkEnd w:id="4"/>
      <w:bookmarkEnd w:id="5"/>
      <w:bookmarkStart w:id="6" w:name="_Toc21704"/>
      <w:bookmarkStart w:id="7" w:name="_Toc9100"/>
      <w:bookmarkStart w:id="8" w:name="_Toc15779"/>
      <w:bookmarkStart w:id="9" w:name="_Toc32258"/>
      <w:bookmarkStart w:id="10" w:name="_Toc347478672"/>
      <w:bookmarkStart w:id="11" w:name="_Toc1364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延川县苹果生产管理办公室果园土壤改良示范项目招标公告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kern w:val="0"/>
          <w:sz w:val="21"/>
          <w:szCs w:val="21"/>
          <w:lang w:val="en-US" w:eastAsia="zh-CN" w:bidi="ar"/>
        </w:rPr>
      </w:pPr>
      <w:r>
        <w:rPr>
          <w:rFonts w:hint="eastAsia" w:ascii="Times New Roman" w:hAnsi="Times New Roman" w:eastAsia="宋体" w:cs="Times New Roman"/>
          <w:b/>
          <w:bCs/>
          <w:i w:val="0"/>
          <w:iCs w:val="0"/>
          <w:caps w:val="0"/>
          <w:color w:val="333333"/>
          <w:spacing w:val="0"/>
          <w:kern w:val="0"/>
          <w:sz w:val="21"/>
          <w:szCs w:val="21"/>
          <w:shd w:val="clear" w:fill="FFFFFF"/>
          <w:lang w:val="en-US" w:eastAsia="zh-CN" w:bidi="ar"/>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ascii="Calibri" w:hAnsi="Calibri" w:eastAsia="宋体" w:cs="Times New Roman"/>
          <w:kern w:val="0"/>
          <w:sz w:val="21"/>
          <w:szCs w:val="21"/>
          <w:lang w:val="en-US" w:eastAsia="zh-CN" w:bidi="ar"/>
        </w:rPr>
      </w:pPr>
      <w:r>
        <w:rPr>
          <w:rFonts w:ascii="微软雅黑" w:hAnsi="微软雅黑" w:eastAsia="微软雅黑" w:cs="微软雅黑"/>
          <w:i w:val="0"/>
          <w:iCs w:val="0"/>
          <w:caps w:val="0"/>
          <w:color w:val="333333"/>
          <w:spacing w:val="0"/>
          <w:kern w:val="0"/>
          <w:sz w:val="21"/>
          <w:szCs w:val="21"/>
          <w:shd w:val="clear" w:fill="FFFFFF"/>
          <w:lang w:val="en-US" w:eastAsia="zh-CN" w:bidi="ar"/>
        </w:rPr>
        <w:t>果园土壤改良示范项目</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招标项目的潜在投标人应在</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陕西省延安市延川县财政局一楼105室</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获取招标文件，并于</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 2023年04月27日 10时00分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（北京时间）前递交投标文件。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kern w:val="0"/>
          <w:sz w:val="21"/>
          <w:szCs w:val="21"/>
          <w:lang w:val="en-US" w:eastAsia="zh-CN" w:bidi="ar"/>
        </w:rPr>
      </w:pPr>
      <w:r>
        <w:rPr>
          <w:rFonts w:hint="eastAsia" w:ascii="Times New Roman" w:hAnsi="Times New Roman" w:eastAsia="宋体" w:cs="Times New Roman"/>
          <w:b/>
          <w:bCs/>
          <w:i w:val="0"/>
          <w:iCs w:val="0"/>
          <w:caps w:val="0"/>
          <w:color w:val="333333"/>
          <w:spacing w:val="0"/>
          <w:kern w:val="0"/>
          <w:sz w:val="21"/>
          <w:szCs w:val="21"/>
          <w:shd w:val="clear" w:fill="FFFFFF"/>
          <w:lang w:val="en-US" w:eastAsia="zh-CN"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项目编号：ZCSP-延川县-2023-00018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项目名称：果园土壤改良示范项目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采购方式：公开招标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预算金额：3,700,000.00元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采购需求：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合同包1(果园土壤改良示范采购项目):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合同包预算金额：3,700,000.00元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合同包最高限价：3,680,000.00元</w:t>
      </w:r>
    </w:p>
    <w:tbl>
      <w:tblPr>
        <w:tblStyle w:val="1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681"/>
        <w:gridCol w:w="1838"/>
        <w:gridCol w:w="662"/>
        <w:gridCol w:w="91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sz w:val="21"/>
                <w:szCs w:val="21"/>
              </w:rPr>
            </w:pPr>
            <w:r>
              <w:rPr>
                <w:rFonts w:ascii="宋体" w:hAnsi="宋体" w:eastAsia="宋体" w:cs="宋体"/>
                <w:kern w:val="0"/>
                <w:sz w:val="21"/>
                <w:szCs w:val="21"/>
                <w:lang w:val="en-US" w:eastAsia="zh-CN" w:bidi="ar"/>
              </w:rPr>
              <w:t>有机肥料及微生物肥料</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sz w:val="21"/>
                <w:szCs w:val="21"/>
              </w:rPr>
            </w:pPr>
            <w:r>
              <w:rPr>
                <w:rFonts w:ascii="宋体" w:hAnsi="宋体" w:eastAsia="宋体" w:cs="宋体"/>
                <w:kern w:val="0"/>
                <w:sz w:val="21"/>
                <w:szCs w:val="21"/>
                <w:lang w:val="en-US" w:eastAsia="zh-CN" w:bidi="ar"/>
              </w:rPr>
              <w:t>3700000</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eastAsia="宋体" w:cs="Times New Roman"/>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eastAsia="宋体" w:cs="Times New Roman"/>
                <w:sz w:val="21"/>
                <w:szCs w:val="21"/>
              </w:rPr>
            </w:pPr>
            <w:r>
              <w:rPr>
                <w:rFonts w:ascii="宋体" w:hAnsi="宋体" w:eastAsia="宋体" w:cs="宋体"/>
                <w:kern w:val="0"/>
                <w:sz w:val="21"/>
                <w:szCs w:val="21"/>
                <w:lang w:val="en-US" w:eastAsia="zh-CN" w:bidi="ar"/>
              </w:rPr>
              <w:t>3,700,000.00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eastAsia="宋体" w:cs="Times New Roman"/>
                <w:sz w:val="21"/>
                <w:szCs w:val="21"/>
              </w:rPr>
            </w:pPr>
            <w:r>
              <w:rPr>
                <w:rFonts w:ascii="宋体" w:hAnsi="宋体" w:eastAsia="宋体" w:cs="宋体"/>
                <w:kern w:val="0"/>
                <w:sz w:val="21"/>
                <w:szCs w:val="21"/>
                <w:lang w:val="en-US" w:eastAsia="zh-CN" w:bidi="ar"/>
              </w:rPr>
              <w:t>3,680,000.00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本合同包不接受联合体投标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合同履行期限：合同签订之日起30天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kern w:val="0"/>
          <w:sz w:val="21"/>
          <w:szCs w:val="21"/>
          <w:lang w:val="en-US" w:eastAsia="zh-CN" w:bidi="ar"/>
        </w:rPr>
      </w:pPr>
      <w:r>
        <w:rPr>
          <w:rFonts w:hint="eastAsia" w:ascii="Times New Roman" w:hAnsi="Times New Roman" w:eastAsia="宋体" w:cs="Times New Roman"/>
          <w:b/>
          <w:bCs/>
          <w:i w:val="0"/>
          <w:iCs w:val="0"/>
          <w:caps w:val="0"/>
          <w:color w:val="333333"/>
          <w:spacing w:val="0"/>
          <w:kern w:val="0"/>
          <w:sz w:val="21"/>
          <w:szCs w:val="21"/>
          <w:shd w:val="clear" w:fill="FFFFFF"/>
          <w:lang w:val="en-US" w:eastAsia="zh-CN" w:bidi="ar"/>
        </w:rPr>
        <w:t>二、申请人的资格要求：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2.落实政府采购政策需满足的资格要求：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合同包1(果园土壤改良示范采购项目)落实政府采购政策需满足的资格要求如下: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（1）《政府采购促进中小企业发展管理办法》的通知--财库〔2020〕46号</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（4）《节能产品政府采购实施意见》--（财库[2004]185号）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（5）《环境标志产品政府采购实施的意见》--财库[2006]90号</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（6）《关于促进残疾人就业政府采购政策的通知》（财库[2017]141号）</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（8）《陕西省中小企业政府采购信用融资办法》陕财办采〔2018〕23号</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（9）《关于运用政府采购政策支持乡村产业振兴的通知》（财库〔2021〕19 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3.本项目的特定资格要求：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合同包1(果园土壤改良示范采购项目)特定资格要求如下: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1.营业执照等主体资格证明文件：提供有效存续的企业营业执照（副本）/事业单位法人证书/专业服务机构执业许可证/民办非企业单位登记证书。</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2.法定代表人授权委托书：法定代表人参加投标的，须提供本人身份证复印件（附在资格证明文件中）；法定代表人授权他人参加投标的，须提供法定代表人授权委托书。</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财务状况报告：提供2021年度或2022年度经审计的财务会计报告（包括审计报告、资产负债表、利润表、现金流量表、所有者权益变动表及其附注，成立时间至提交投标文件截止时间不足一年的可提供成立后任意时段的资产负债表和利润表）。或其基本存款账户开户银行出具的资信证明及基本存款账户开户许可证和最近3个月任意一个月的财务报表。</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4.税收缴纳证明：提供递交投标文件截止之日前一年内任意一个月的依法缴纳税收的相关凭据。依法免税或无须缴纳税收的投标人，应提供相应证明文件。</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5.社保缴纳证明：提供递交投标文件截止之日前近一年的任意一个月的社会保障资金缴存单据或社保机构开具的社会保险参保缴费情况证明。依法不需要缴纳社会保障资金的投标人应提供相关证明文件；</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6.书面声明：提供参加政府采购活动近三年内在经营活动中没有重大违法记录的书面声明。</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7.信用记录：供应商需通过“信用中国”网站（www.creditchina.gov.cn）查询主体无失信记录，不得为中国政府采购网（www.ccgp.gov.cn）政府采购严重违法失信行为记录名单中被财政部门禁止参加政府采购活动的单位（截图打印并加盖公章）。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8.控股管理关系：提供直接控股和管理关系清单。若与其他投标人存在单位负责人为同一人或者存在直接控股、管理关系的，则投标无效。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kern w:val="0"/>
          <w:sz w:val="21"/>
          <w:szCs w:val="21"/>
          <w:lang w:val="en-US" w:eastAsia="zh-CN" w:bidi="ar"/>
        </w:rPr>
      </w:pPr>
      <w:r>
        <w:rPr>
          <w:rFonts w:hint="eastAsia" w:ascii="Times New Roman" w:hAnsi="Times New Roman" w:eastAsia="宋体" w:cs="Times New Roman"/>
          <w:b/>
          <w:bCs/>
          <w:i w:val="0"/>
          <w:iCs w:val="0"/>
          <w:caps w:val="0"/>
          <w:color w:val="333333"/>
          <w:spacing w:val="0"/>
          <w:kern w:val="0"/>
          <w:sz w:val="21"/>
          <w:szCs w:val="21"/>
          <w:shd w:val="clear" w:fill="FFFFFF"/>
          <w:lang w:val="en-US" w:eastAsia="zh-CN" w:bidi="ar"/>
        </w:rPr>
        <w:t>三、获取招标文件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时间：</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 2023年04月06日 至 2023年04月13日 ，每天上午 08:00:00 至 12:00:00 ，下午 14:00:00 至 18:00:00 （北京时间）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途径：</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陕西省延安市延川县财政局一楼105室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方式：</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现场获取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售价：</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 免费获取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kern w:val="0"/>
          <w:sz w:val="21"/>
          <w:szCs w:val="21"/>
          <w:lang w:val="en-US" w:eastAsia="zh-CN" w:bidi="ar"/>
        </w:rPr>
      </w:pPr>
      <w:r>
        <w:rPr>
          <w:rFonts w:hint="eastAsia" w:ascii="Times New Roman" w:hAnsi="Times New Roman" w:eastAsia="宋体" w:cs="Times New Roman"/>
          <w:b/>
          <w:bCs/>
          <w:i w:val="0"/>
          <w:iCs w:val="0"/>
          <w:caps w:val="0"/>
          <w:color w:val="333333"/>
          <w:spacing w:val="0"/>
          <w:kern w:val="0"/>
          <w:sz w:val="21"/>
          <w:szCs w:val="21"/>
          <w:shd w:val="clear" w:fill="FFFFFF"/>
          <w:lang w:val="en-US" w:eastAsia="zh-CN" w:bidi="ar"/>
        </w:rPr>
        <w:t>四、提交投标文件截止时间、开标时间和地点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时间：</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 2023年04月27日 10时00分00秒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提交投标文件地点：</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延安市公共资源交易中心交易3厅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开标地点：</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延安市公共资源交易中心交易3厅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kern w:val="0"/>
          <w:sz w:val="21"/>
          <w:szCs w:val="21"/>
          <w:lang w:val="en-US" w:eastAsia="zh-CN" w:bidi="ar"/>
        </w:rPr>
      </w:pPr>
      <w:r>
        <w:rPr>
          <w:rFonts w:hint="eastAsia" w:ascii="Times New Roman" w:hAnsi="Times New Roman" w:eastAsia="宋体" w:cs="Times New Roman"/>
          <w:b/>
          <w:bCs/>
          <w:i w:val="0"/>
          <w:iCs w:val="0"/>
          <w:caps w:val="0"/>
          <w:color w:val="333333"/>
          <w:spacing w:val="0"/>
          <w:kern w:val="0"/>
          <w:sz w:val="21"/>
          <w:szCs w:val="21"/>
          <w:shd w:val="clear" w:fill="FFFFFF"/>
          <w:lang w:val="en-US" w:eastAsia="zh-CN" w:bidi="ar"/>
        </w:rPr>
        <w:t>五、公告期限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自本公告发布之日起</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5</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kern w:val="0"/>
          <w:sz w:val="21"/>
          <w:szCs w:val="21"/>
          <w:lang w:val="en-US" w:eastAsia="zh-CN" w:bidi="ar"/>
        </w:rPr>
      </w:pPr>
      <w:r>
        <w:rPr>
          <w:rFonts w:hint="eastAsia" w:ascii="Times New Roman" w:hAnsi="Times New Roman" w:eastAsia="宋体" w:cs="Times New Roman"/>
          <w:b/>
          <w:bCs/>
          <w:i w:val="0"/>
          <w:iCs w:val="0"/>
          <w:caps w:val="0"/>
          <w:color w:val="333333"/>
          <w:spacing w:val="0"/>
          <w:kern w:val="0"/>
          <w:sz w:val="21"/>
          <w:szCs w:val="21"/>
          <w:shd w:val="clear" w:fill="FFFFFF"/>
          <w:lang w:val="en-US" w:eastAsia="zh-CN" w:bidi="ar"/>
        </w:rPr>
        <w:t>六、其他补充事宜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6.1凡有意参与的投标人于报名期间使用CA锁在全国公共资源交易平台（陕西省·延安市）网上报名,报名成功后在《</w:t>
      </w:r>
      <w:bookmarkStart w:id="420" w:name="_GoBack"/>
      <w:r>
        <w:rPr>
          <w:rFonts w:hint="eastAsia" w:ascii="微软雅黑" w:hAnsi="微软雅黑" w:eastAsia="微软雅黑" w:cs="微软雅黑"/>
          <w:i w:val="0"/>
          <w:iCs w:val="0"/>
          <w:caps w:val="0"/>
          <w:color w:val="0A82E5"/>
          <w:spacing w:val="0"/>
          <w:kern w:val="0"/>
          <w:sz w:val="21"/>
          <w:szCs w:val="21"/>
          <w:shd w:val="clear" w:fill="FFFFFF"/>
          <w:lang w:val="en-US" w:eastAsia="zh-CN" w:bidi="ar"/>
        </w:rPr>
        <w:t>全国公共资源交易平台（陕西省·延安市）</w:t>
      </w:r>
      <w:bookmarkEnd w:id="420"/>
      <w:r>
        <w:rPr>
          <w:rFonts w:hint="eastAsia" w:ascii="微软雅黑" w:hAnsi="微软雅黑" w:eastAsia="微软雅黑" w:cs="微软雅黑"/>
          <w:i w:val="0"/>
          <w:iCs w:val="0"/>
          <w:caps w:val="0"/>
          <w:color w:val="0A82E5"/>
          <w:spacing w:val="0"/>
          <w:kern w:val="0"/>
          <w:sz w:val="21"/>
          <w:szCs w:val="21"/>
          <w:shd w:val="clear" w:fill="FFFFFF"/>
          <w:lang w:val="en-US" w:eastAsia="zh-CN" w:bidi="ar"/>
        </w:rPr>
        <w:t>》免费下载,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6.2 2023年04月06日 至 2023年04月13日 ，每天上午 08:00:00 至 12:00:00 ，下午 14:00:00 至 18:00:00 （北京时间,法定节假日除外）持加盖公章的回执单、单位介绍信或授权委托书、经办人身 份证及复印件加盖公章到延川县政府采购中心确认信息。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6.3 纸质版投标文件递交地点：延安市为民服务中心7号楼二楼（延安市公共资源交易中心交易3厅），投标文件递交的具体要求详见采购文件的规定。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6.4 逾期送达或者未送达指定地点的投标文件，招标人不予受理。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6.5开标时间：同投标文件递交截止时间。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6.5本次招标公告在《陕西省政府采购网》、《陕西省公共资源交易中心网》媒介上发布。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注（1）请投标人按照陕西省财政厅关于政府采购供应商注册登记有关事项的通知中的要求，通过陕西省政府采购网注册登记加入陕西省政府采购供应商库。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kern w:val="0"/>
          <w:sz w:val="21"/>
          <w:szCs w:val="21"/>
          <w:lang w:val="en-US" w:eastAsia="zh-CN" w:bidi="ar"/>
        </w:rPr>
      </w:pPr>
      <w:r>
        <w:rPr>
          <w:rFonts w:hint="eastAsia" w:ascii="Times New Roman" w:hAnsi="Times New Roman" w:eastAsia="宋体" w:cs="Times New Roman"/>
          <w:b/>
          <w:bCs/>
          <w:i w:val="0"/>
          <w:iCs w:val="0"/>
          <w:caps w:val="0"/>
          <w:color w:val="333333"/>
          <w:spacing w:val="0"/>
          <w:kern w:val="0"/>
          <w:sz w:val="21"/>
          <w:szCs w:val="21"/>
          <w:shd w:val="clear" w:fill="FFFFFF"/>
          <w:lang w:val="en-US" w:eastAsia="zh-CN" w:bidi="ar"/>
        </w:rPr>
        <w:t>七、对本次招标提出询问，请按以下方式联系。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名称：</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延川县苹果生产管理办公室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地址：</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延川县北新街农业综合楼5楼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联系方式：</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15353993900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名称：</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延川县政府采购中心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地址：</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陕西省延安市延川县办公大楼一楼105室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联系方式：</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09118331531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项目联系人：</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高工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电话：</w:t>
      </w:r>
      <w:r>
        <w:rPr>
          <w:rFonts w:hint="eastAsia" w:ascii="微软雅黑" w:hAnsi="微软雅黑" w:eastAsia="微软雅黑" w:cs="微软雅黑"/>
          <w:i w:val="0"/>
          <w:iCs w:val="0"/>
          <w:caps w:val="0"/>
          <w:color w:val="0A82E5"/>
          <w:spacing w:val="0"/>
          <w:kern w:val="0"/>
          <w:sz w:val="21"/>
          <w:szCs w:val="21"/>
          <w:shd w:val="clear" w:fill="FFFFFF"/>
          <w:lang w:val="en-US" w:eastAsia="zh-CN" w:bidi="ar"/>
        </w:rPr>
        <w:t>09118331531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ascii="Calibri" w:hAnsi="Calibri" w:eastAsia="宋体" w:cs="Times New Roman"/>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延川县政府采购中心</w:t>
      </w:r>
    </w:p>
    <w:p>
      <w:pPr>
        <w:rPr>
          <w:rFonts w:eastAsia="宋体" w:cs="Times New Roman"/>
          <w:szCs w:val="24"/>
        </w:rPr>
      </w:pPr>
    </w:p>
    <w:p>
      <w:pPr>
        <w:pStyle w:val="61"/>
        <w:tabs>
          <w:tab w:val="right" w:leader="dot" w:pos="8306"/>
        </w:tabs>
        <w:spacing w:line="360" w:lineRule="auto"/>
        <w:ind w:left="420"/>
        <w:jc w:val="center"/>
        <w:rPr>
          <w:rStyle w:val="63"/>
          <w:rFonts w:hint="eastAsia" w:asciiTheme="majorEastAsia" w:hAnsiTheme="majorEastAsia" w:eastAsiaTheme="majorEastAsia" w:cstheme="majorEastAsia"/>
        </w:rPr>
      </w:pPr>
    </w:p>
    <w:p>
      <w:pPr>
        <w:pStyle w:val="61"/>
        <w:tabs>
          <w:tab w:val="right" w:leader="dot" w:pos="8306"/>
        </w:tabs>
        <w:spacing w:line="360" w:lineRule="auto"/>
        <w:ind w:left="420"/>
        <w:jc w:val="center"/>
        <w:rPr>
          <w:rStyle w:val="63"/>
          <w:rFonts w:hint="eastAsia" w:asciiTheme="majorEastAsia" w:hAnsiTheme="majorEastAsia" w:eastAsiaTheme="majorEastAsia" w:cstheme="majorEastAsia"/>
        </w:rPr>
      </w:pPr>
    </w:p>
    <w:p>
      <w:pPr>
        <w:pStyle w:val="61"/>
        <w:tabs>
          <w:tab w:val="right" w:leader="dot" w:pos="8306"/>
        </w:tabs>
        <w:spacing w:line="360" w:lineRule="auto"/>
        <w:ind w:left="420"/>
        <w:jc w:val="center"/>
        <w:rPr>
          <w:rStyle w:val="63"/>
          <w:rFonts w:hint="eastAsia" w:asciiTheme="majorEastAsia" w:hAnsiTheme="majorEastAsia" w:eastAsiaTheme="majorEastAsia" w:cstheme="majorEastAsia"/>
        </w:rPr>
      </w:pPr>
    </w:p>
    <w:p>
      <w:pPr>
        <w:pStyle w:val="3"/>
        <w:spacing w:line="480" w:lineRule="exact"/>
        <w:rPr>
          <w:rFonts w:hint="eastAsia" w:asciiTheme="majorEastAsia" w:hAnsiTheme="majorEastAsia" w:eastAsiaTheme="majorEastAsia" w:cstheme="majorEastAsia"/>
        </w:rPr>
      </w:pPr>
    </w:p>
    <w:p>
      <w:pPr>
        <w:pStyle w:val="3"/>
        <w:spacing w:line="480" w:lineRule="exact"/>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2"/>
        <w:rPr>
          <w:rFonts w:hint="eastAsia"/>
        </w:rPr>
      </w:pPr>
    </w:p>
    <w:p>
      <w:pPr>
        <w:rPr>
          <w:rFonts w:hint="eastAsia"/>
        </w:rPr>
      </w:pPr>
    </w:p>
    <w:p>
      <w:pPr>
        <w:pStyle w:val="3"/>
        <w:spacing w:line="480" w:lineRule="exact"/>
        <w:rPr>
          <w:rFonts w:hint="eastAsia" w:asciiTheme="majorEastAsia" w:hAnsiTheme="majorEastAsia" w:eastAsiaTheme="majorEastAsia" w:cstheme="majorEastAsia"/>
        </w:rPr>
      </w:pPr>
    </w:p>
    <w:p>
      <w:pPr>
        <w:pStyle w:val="3"/>
        <w:spacing w:line="48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第二部分 供应商须知</w:t>
      </w:r>
      <w:bookmarkEnd w:id="6"/>
      <w:bookmarkEnd w:id="7"/>
      <w:bookmarkEnd w:id="8"/>
      <w:bookmarkEnd w:id="9"/>
    </w:p>
    <w:p>
      <w:pPr>
        <w:widowControl/>
        <w:shd w:val="clear" w:color="auto" w:fill="FFFFFF"/>
        <w:spacing w:line="480" w:lineRule="exact"/>
        <w:jc w:val="center"/>
        <w:rPr>
          <w:rFonts w:hint="eastAsia" w:asciiTheme="majorEastAsia" w:hAnsiTheme="majorEastAsia" w:eastAsiaTheme="majorEastAsia" w:cstheme="majorEastAsia"/>
          <w:b/>
          <w:szCs w:val="21"/>
        </w:rPr>
      </w:pPr>
    </w:p>
    <w:p>
      <w:pPr>
        <w:widowControl/>
        <w:shd w:val="clear" w:color="auto" w:fill="FFFFFF"/>
        <w:spacing w:line="480" w:lineRule="exact"/>
        <w:jc w:val="center"/>
        <w:rPr>
          <w:rFonts w:hint="eastAsia" w:asciiTheme="majorEastAsia" w:hAnsiTheme="majorEastAsia" w:eastAsiaTheme="majorEastAsia" w:cstheme="majorEastAsia"/>
          <w:color w:val="000000"/>
          <w:sz w:val="24"/>
          <w:szCs w:val="24"/>
        </w:rPr>
      </w:pPr>
      <w:bookmarkStart w:id="12" w:name="_Toc30561"/>
      <w:bookmarkStart w:id="13" w:name="_Toc6434"/>
      <w:r>
        <w:rPr>
          <w:rFonts w:hint="eastAsia" w:asciiTheme="majorEastAsia" w:hAnsiTheme="majorEastAsia" w:eastAsiaTheme="majorEastAsia" w:cstheme="majorEastAsia"/>
          <w:b/>
          <w:sz w:val="24"/>
          <w:szCs w:val="24"/>
        </w:rPr>
        <w:t>供应商须知前附表</w:t>
      </w:r>
      <w:bookmarkEnd w:id="10"/>
      <w:bookmarkEnd w:id="11"/>
      <w:bookmarkEnd w:id="12"/>
      <w:bookmarkEnd w:id="1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7885"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采购项目名称：</w:t>
            </w:r>
            <w:r>
              <w:rPr>
                <w:rFonts w:hint="eastAsia" w:asciiTheme="majorEastAsia" w:hAnsiTheme="majorEastAsia" w:eastAsiaTheme="majorEastAsia" w:cstheme="majorEastAsia"/>
                <w:sz w:val="24"/>
                <w:szCs w:val="24"/>
                <w:lang w:eastAsia="zh-CN"/>
              </w:rPr>
              <w:t>延川县苹果生产管理办公室果园土壤改良示范项目</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right="0"/>
              <w:jc w:val="both"/>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2"/>
                <w:sz w:val="24"/>
                <w:szCs w:val="24"/>
                <w:lang w:val="en-US" w:eastAsia="zh-CN" w:bidi="ar-SA"/>
              </w:rPr>
              <w:t>编号：ZCSP-延川县-2023-00018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7885" w:type="dxa"/>
            <w:vAlign w:val="center"/>
          </w:tcPr>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采购人：</w:t>
            </w:r>
            <w:r>
              <w:rPr>
                <w:rFonts w:hint="eastAsia" w:asciiTheme="majorEastAsia" w:hAnsiTheme="majorEastAsia" w:eastAsiaTheme="majorEastAsia" w:cstheme="majorEastAsia"/>
                <w:sz w:val="24"/>
                <w:szCs w:val="24"/>
                <w:lang w:eastAsia="zh-CN"/>
              </w:rPr>
              <w:t>延川县苹果生产管理办公室</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采购代理机构：</w:t>
            </w:r>
            <w:r>
              <w:rPr>
                <w:rFonts w:hint="eastAsia" w:asciiTheme="majorEastAsia" w:hAnsiTheme="majorEastAsia" w:eastAsiaTheme="majorEastAsia" w:cstheme="majorEastAsia"/>
                <w:sz w:val="24"/>
                <w:szCs w:val="24"/>
                <w:lang w:eastAsia="zh-CN"/>
              </w:rPr>
              <w:t>延川县政府采购中心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7885" w:type="dxa"/>
            <w:vAlign w:val="center"/>
          </w:tcPr>
          <w:p>
            <w:pPr>
              <w:spacing w:line="520" w:lineRule="exact"/>
              <w:rPr>
                <w:rFonts w:hint="default" w:eastAsia="宋体" w:asciiTheme="majorEastAsia" w:hAnsiTheme="majorEastAsia" w:cstheme="majorEastAsia"/>
                <w:sz w:val="24"/>
                <w:szCs w:val="24"/>
                <w:lang w:val="en-US" w:eastAsia="zh-CN"/>
              </w:rPr>
            </w:pPr>
            <w:r>
              <w:rPr>
                <w:rFonts w:hint="eastAsia" w:asciiTheme="majorEastAsia" w:hAnsiTheme="majorEastAsia" w:eastAsiaTheme="majorEastAsia" w:cstheme="majorEastAsia"/>
                <w:sz w:val="24"/>
                <w:szCs w:val="24"/>
              </w:rPr>
              <w:t>采购内</w:t>
            </w:r>
            <w:r>
              <w:rPr>
                <w:rFonts w:hint="eastAsia" w:asciiTheme="majorEastAsia" w:hAnsiTheme="majorEastAsia" w:eastAsiaTheme="majorEastAsia" w:cstheme="majorEastAsia"/>
                <w:sz w:val="24"/>
                <w:szCs w:val="24"/>
                <w:lang w:eastAsia="zh-CN"/>
              </w:rPr>
              <w:t>容及要求：</w:t>
            </w:r>
            <w:r>
              <w:rPr>
                <w:rFonts w:hint="eastAsia" w:asciiTheme="majorEastAsia" w:hAnsiTheme="majorEastAsia" w:eastAsiaTheme="majorEastAsia" w:cstheme="majorEastAsia"/>
                <w:sz w:val="24"/>
                <w:szCs w:val="24"/>
                <w:lang w:val="en-US" w:eastAsia="zh-CN"/>
              </w:rPr>
              <w:t>有机肥2500吨、水溶肥30吨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7885" w:type="dxa"/>
            <w:vAlign w:val="center"/>
          </w:tcPr>
          <w:p>
            <w:pPr>
              <w:rPr>
                <w:rFonts w:hint="eastAsia" w:asciiTheme="majorEastAsia" w:hAnsiTheme="majorEastAsia" w:eastAsiaTheme="majorEastAsia" w:cstheme="majorEastAsia"/>
                <w:color w:val="0000FF"/>
                <w:sz w:val="24"/>
                <w:szCs w:val="24"/>
                <w:lang w:eastAsia="zh-CN"/>
              </w:rPr>
            </w:pPr>
            <w:r>
              <w:rPr>
                <w:rFonts w:hint="eastAsia" w:asciiTheme="majorEastAsia" w:hAnsiTheme="majorEastAsia" w:eastAsiaTheme="majorEastAsia" w:cstheme="majorEastAsia"/>
                <w:color w:val="0000FF"/>
                <w:sz w:val="24"/>
                <w:szCs w:val="24"/>
                <w:lang w:eastAsia="zh-CN"/>
              </w:rPr>
              <w:t>时间： 2023年04月27日 10时00分00秒 （北京时间）</w:t>
            </w:r>
          </w:p>
          <w:p>
            <w:pPr>
              <w:rPr>
                <w:rFonts w:hint="eastAsia" w:asciiTheme="majorEastAsia" w:hAnsiTheme="majorEastAsia" w:eastAsiaTheme="majorEastAsia" w:cstheme="majorEastAsia"/>
                <w:color w:val="0000FF"/>
                <w:sz w:val="24"/>
                <w:szCs w:val="24"/>
                <w:lang w:eastAsia="zh-CN"/>
              </w:rPr>
            </w:pPr>
            <w:r>
              <w:rPr>
                <w:rFonts w:hint="eastAsia" w:asciiTheme="majorEastAsia" w:hAnsiTheme="majorEastAsia" w:eastAsiaTheme="majorEastAsia" w:cstheme="majorEastAsia"/>
                <w:color w:val="0000FF"/>
                <w:sz w:val="24"/>
                <w:szCs w:val="24"/>
                <w:lang w:eastAsia="zh-CN"/>
              </w:rPr>
              <w:t>提交投标文件地点：延安市公共资源交易中心交易3厅</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color w:val="0000FF"/>
                <w:sz w:val="24"/>
                <w:szCs w:val="24"/>
                <w:lang w:eastAsia="zh-CN"/>
              </w:rPr>
              <w:t>开标地点：延安市公共资源交易中心交易3厅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37" w:type="dxa"/>
            <w:vAlign w:val="center"/>
          </w:tcPr>
          <w:p>
            <w:pPr>
              <w:jc w:val="center"/>
              <w:rPr>
                <w:rFonts w:hint="eastAsia" w:asciiTheme="majorEastAsia" w:hAnsiTheme="majorEastAsia" w:eastAsiaTheme="majorEastAsia" w:cstheme="majorEastAsia"/>
                <w:sz w:val="24"/>
                <w:szCs w:val="24"/>
              </w:rPr>
            </w:pPr>
            <w:bookmarkStart w:id="14" w:name="OLE_LINK7" w:colFirst="1" w:colLast="1"/>
            <w:bookmarkStart w:id="15" w:name="OLE_LINK8" w:colFirst="1" w:colLast="1"/>
            <w:bookmarkStart w:id="16" w:name="_Hlk374456671"/>
            <w:r>
              <w:rPr>
                <w:rFonts w:hint="eastAsia" w:asciiTheme="majorEastAsia" w:hAnsiTheme="majorEastAsia" w:eastAsiaTheme="majorEastAsia" w:cstheme="majorEastAsia"/>
                <w:sz w:val="24"/>
                <w:szCs w:val="24"/>
              </w:rPr>
              <w:t>5</w:t>
            </w:r>
          </w:p>
        </w:tc>
        <w:tc>
          <w:tcPr>
            <w:tcW w:w="7885" w:type="dxa"/>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供货期：</w:t>
            </w:r>
            <w:r>
              <w:rPr>
                <w:rFonts w:hint="eastAsia" w:asciiTheme="majorEastAsia" w:hAnsiTheme="majorEastAsia" w:eastAsiaTheme="majorEastAsia" w:cstheme="majorEastAsia"/>
                <w:color w:val="auto"/>
                <w:sz w:val="24"/>
                <w:szCs w:val="24"/>
                <w:lang w:val="en-US" w:eastAsia="zh-CN"/>
              </w:rPr>
              <w:t>30日历天</w:t>
            </w:r>
          </w:p>
        </w:tc>
      </w:tr>
      <w:bookmarkEnd w:id="14"/>
      <w:bookmarkEnd w:id="15"/>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付款方式及条件：</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具体付款方式与甲方协商。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7" w:type="dxa"/>
            <w:vAlign w:val="center"/>
          </w:tcPr>
          <w:p>
            <w:pPr>
              <w:jc w:val="center"/>
              <w:rPr>
                <w:rFonts w:hint="eastAsia" w:asciiTheme="majorEastAsia" w:hAnsiTheme="majorEastAsia" w:eastAsiaTheme="majorEastAsia" w:cstheme="majorEastAsia"/>
                <w:sz w:val="24"/>
                <w:szCs w:val="24"/>
              </w:rPr>
            </w:pPr>
            <w:bookmarkStart w:id="17" w:name="OLE_LINK12" w:colFirst="0" w:colLast="1"/>
            <w:bookmarkStart w:id="18" w:name="OLE_LINK11" w:colFirst="0" w:colLast="1"/>
            <w:bookmarkStart w:id="19" w:name="_Hlk374456981"/>
            <w:r>
              <w:rPr>
                <w:rFonts w:hint="eastAsia" w:asciiTheme="majorEastAsia" w:hAnsiTheme="majorEastAsia" w:eastAsiaTheme="majorEastAsia" w:cstheme="majorEastAsia"/>
                <w:sz w:val="24"/>
                <w:szCs w:val="24"/>
              </w:rPr>
              <w:t>7</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采购项目资金来源：财政拨款</w:t>
            </w:r>
          </w:p>
        </w:tc>
      </w:tr>
      <w:bookmarkEnd w:id="17"/>
      <w:bookmarkEnd w:id="18"/>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7885" w:type="dxa"/>
            <w:vAlign w:val="center"/>
          </w:tcPr>
          <w:p>
            <w:pP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7885" w:type="dxa"/>
            <w:vAlign w:val="center"/>
          </w:tcPr>
          <w:p>
            <w:pPr>
              <w:rPr>
                <w:rFonts w:hint="eastAsia" w:asciiTheme="majorEastAsia" w:hAnsiTheme="majorEastAsia" w:eastAsiaTheme="majorEastAsia" w:cstheme="majorEastAsia"/>
                <w:sz w:val="24"/>
                <w:szCs w:val="24"/>
              </w:rPr>
            </w:pPr>
            <w:bookmarkStart w:id="20" w:name="OLE_LINK10"/>
            <w:bookmarkStart w:id="21" w:name="OLE_LINK9"/>
            <w:r>
              <w:rPr>
                <w:rFonts w:hint="eastAsia" w:asciiTheme="majorEastAsia" w:hAnsiTheme="majorEastAsia" w:eastAsiaTheme="majorEastAsia" w:cstheme="majorEastAsia"/>
                <w:sz w:val="24"/>
                <w:szCs w:val="24"/>
              </w:rPr>
              <w:t>投标有效期：投标文件从投标截止日起，投标有效期为90天。</w:t>
            </w:r>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投标文件份数一份正本，</w:t>
            </w:r>
            <w:r>
              <w:rPr>
                <w:rFonts w:hint="eastAsia" w:asciiTheme="majorEastAsia" w:hAnsiTheme="majorEastAsia" w:eastAsiaTheme="majorEastAsia" w:cstheme="majorEastAsia"/>
                <w:sz w:val="24"/>
                <w:szCs w:val="24"/>
                <w:lang w:eastAsia="zh-CN"/>
              </w:rPr>
              <w:t>二</w:t>
            </w:r>
            <w:r>
              <w:rPr>
                <w:rFonts w:hint="eastAsia" w:asciiTheme="majorEastAsia" w:hAnsiTheme="majorEastAsia" w:eastAsiaTheme="majorEastAsia" w:cstheme="majorEastAsia"/>
                <w:sz w:val="24"/>
                <w:szCs w:val="24"/>
              </w:rPr>
              <w:t>份副本</w:t>
            </w:r>
            <w:r>
              <w:rPr>
                <w:rFonts w:hint="eastAsia" w:asciiTheme="majorEastAsia" w:hAnsiTheme="majorEastAsia" w:eastAsiaTheme="majorEastAsia" w:cstheme="majorEastAsia"/>
                <w:sz w:val="24"/>
                <w:szCs w:val="24"/>
                <w:lang w:eastAsia="zh-CN"/>
              </w:rPr>
              <w:t>，电子版</w:t>
            </w:r>
            <w:r>
              <w:rPr>
                <w:rFonts w:hint="eastAsia" w:asciiTheme="majorEastAsia" w:hAnsiTheme="majorEastAsia" w:eastAsiaTheme="majorEastAsia" w:cstheme="majorEastAsia"/>
                <w:sz w:val="24"/>
                <w:szCs w:val="24"/>
              </w:rPr>
              <w:t>一</w:t>
            </w:r>
            <w:r>
              <w:rPr>
                <w:rFonts w:hint="eastAsia" w:asciiTheme="majorEastAsia" w:hAnsiTheme="majorEastAsia" w:eastAsiaTheme="majorEastAsia" w:cstheme="majorEastAsia"/>
                <w:sz w:val="24"/>
                <w:szCs w:val="24"/>
                <w:lang w:eastAsia="zh-CN"/>
              </w:rPr>
              <w:t>份，</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开标一览表一份（用于开标唱标单独提交的“开标一览表”须为原件）。</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供应商资质要求：参加政府采购活动的供应商应当具备《中华人民共和国政府采购法》第二十二条第一款规定的条件，提供下列材料：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1.营业执照等主体资格证明文件：提供有效存续的企业营业执照（副本）/事业单位法人证书/专业服务机构执业许可证/民办非企业单位登记证书。</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2.法定代表人授权委托书：法定代表人参加投标的，须提供本人身份证复印件（附在资格证明文件中）；法定代表人授权他人参加投标的，须提供法定代表人授权委托书。</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财务状况报告：提供2021年度或2022年度经审计的财务会计报告（包括审计报告、资产负债表、利润表、现金流量表、所有者权益变动表及其附注，成立时间至提交投标文件截止时间不足一年的可提供成立后任意时段的资产负债表和利润表）。或其基本存款账户开户银行出具的资信证明及基本存款账户开户许可证和最近3个月任意一个月的财务报表。</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4.税收缴纳证明：提供递交投标文件截止之日前一年内任意一个月的依法缴纳税收的相关凭据。依法免税或无须缴纳税收的投标人，应提供相应证明文件。</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5.社保缴纳证明：提供递交投标文件截止之日前近一年的任意一个月的社会保障资金缴存单据或社保机构开具的社会保险参保缴费情况证明。依法不需要缴纳社会保障资金的投标人应提供相关证明文件；</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6.书面声明：提供参加政府采购活动近三年内在经营活动中没有重大违法记录的书面声明。</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信用记录：供应商需通过“信用中国”网站（www.creditchina.gov.cn）查询主体无失信记录，不得为中国政府采购网（www.ccgp.gov.cn）政府采购严重违法失信行为记录名单中被财政部门禁止参加政府采购活动的单位（截图打印并加盖公章）。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8.控股管理关系：提供直接控股和管理关系清单。若与其他投标人存在单位负责人为同一人或者存在直接控股、管理关系的，则投标无效。注：上述资质开标时均需提供原件备查。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7885" w:type="dxa"/>
            <w:vAlign w:val="center"/>
          </w:tcPr>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最高限价：大写：叁佰陆拾捌万元整，小写：</w:t>
            </w:r>
            <w:r>
              <w:rPr>
                <w:rFonts w:hint="eastAsia" w:asciiTheme="majorEastAsia" w:hAnsiTheme="majorEastAsia" w:eastAsiaTheme="majorEastAsia" w:cstheme="majorEastAsia"/>
                <w:sz w:val="24"/>
                <w:szCs w:val="24"/>
                <w:lang w:val="en-US" w:eastAsia="zh-CN"/>
              </w:rPr>
              <w:t>3680000.00元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对招标文件的异议：供应商对招标文件有异议的，应当在投标截止时间10日前以书面形式提出，逾期将失去提出异议的权利。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7"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15</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偏差：本项目不允许负偏差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7"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16</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验收标准：符合采购人采购需求及相关验收标准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637"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7</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依据《中华人民共和国政府采购法》和《中华人民共和国政府采购法实施条例》的有关规定，落实政府采购政策。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（1）《政府采购促进中小企业发展管理办法》的通知--财库〔2020〕46号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（2）财政部司法部关于政府采购支持监狱企业发展有关问题的通知--财库[2014]68号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（3）《财政部 发展改革委 生态环境部 市场监管总局关于调整优化节能产品 环境标志产品政府采购执行机制的通知》（财库〔2019〕9号）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（4）《节能产品政府采购实施意见》--（财库[2004]185号）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（5）《环境标志产品政府采购实施的意见》--财库[2006]90号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（6）《关于促进残疾人就业政府采购政策的通知》（财库[2017]141号）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（7）《陕西省财政厅关于加快推进我省中小企业政府采购信用融资工作的通知》（陕财办采〔2020〕15 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（8）《陕西省中小企业政府采购信用融资办法》陕财办采〔2018〕23号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（9）《关于运用政府采购政策支持乡村产业振兴的通知》（财库〔2021〕19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37"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供应商需在“中国政府采购网（www.ccgp.gov.cn)和“信用中国网站（www.creditchina.gov.cn)”等政府部门网站上无不良记录。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37" w:type="dxa"/>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19</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未尽事宜，参照政府采购法律法规、规章及规范性文件的相关规定。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7" w:type="dxa"/>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w:t>
            </w:r>
          </w:p>
        </w:tc>
        <w:tc>
          <w:tcPr>
            <w:tcW w:w="7885" w:type="dxa"/>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招标文件解释权：本招标文件由采购人和采购代理机构解释。</w:t>
            </w:r>
          </w:p>
        </w:tc>
      </w:tr>
    </w:tbl>
    <w:p>
      <w:pPr>
        <w:spacing w:line="480" w:lineRule="exact"/>
        <w:rPr>
          <w:rFonts w:hint="eastAsia" w:asciiTheme="majorEastAsia" w:hAnsiTheme="majorEastAsia" w:eastAsiaTheme="majorEastAsia" w:cstheme="majorEastAsia"/>
          <w:sz w:val="24"/>
          <w:szCs w:val="24"/>
        </w:rPr>
      </w:pPr>
      <w:bookmarkStart w:id="22" w:name="_Toc1672"/>
      <w:bookmarkStart w:id="23" w:name="_Toc347478673"/>
      <w:r>
        <w:rPr>
          <w:rFonts w:hint="eastAsia" w:asciiTheme="majorEastAsia" w:hAnsiTheme="majorEastAsia" w:eastAsiaTheme="majorEastAsia" w:cstheme="majorEastAsia"/>
          <w:sz w:val="24"/>
          <w:szCs w:val="24"/>
        </w:rPr>
        <w:br w:type="page"/>
      </w:r>
    </w:p>
    <w:p>
      <w:pPr>
        <w:keepNext/>
        <w:keepLines/>
        <w:spacing w:after="100" w:afterAutospacing="1" w:line="480" w:lineRule="exact"/>
        <w:jc w:val="center"/>
        <w:rPr>
          <w:rFonts w:hint="eastAsia" w:asciiTheme="majorEastAsia" w:hAnsiTheme="majorEastAsia" w:eastAsiaTheme="majorEastAsia" w:cstheme="majorEastAsia"/>
          <w:sz w:val="30"/>
          <w:szCs w:val="30"/>
        </w:rPr>
      </w:pPr>
      <w:bookmarkStart w:id="24" w:name="_Toc26067"/>
      <w:bookmarkStart w:id="25" w:name="_Toc31565"/>
      <w:r>
        <w:rPr>
          <w:rFonts w:hint="eastAsia" w:asciiTheme="majorEastAsia" w:hAnsiTheme="majorEastAsia" w:eastAsiaTheme="majorEastAsia" w:cstheme="majorEastAsia"/>
          <w:sz w:val="30"/>
          <w:szCs w:val="30"/>
        </w:rPr>
        <w:t>第二部分 供应商须知</w:t>
      </w:r>
      <w:bookmarkEnd w:id="22"/>
      <w:bookmarkEnd w:id="23"/>
      <w:r>
        <w:rPr>
          <w:rFonts w:hint="eastAsia" w:asciiTheme="majorEastAsia" w:hAnsiTheme="majorEastAsia" w:eastAsiaTheme="majorEastAsia" w:cstheme="majorEastAsia"/>
          <w:sz w:val="30"/>
          <w:szCs w:val="30"/>
        </w:rPr>
        <w:t>正文</w:t>
      </w:r>
      <w:bookmarkEnd w:id="24"/>
      <w:bookmarkEnd w:id="25"/>
    </w:p>
    <w:p>
      <w:pPr>
        <w:pStyle w:val="4"/>
        <w:ind w:left="420"/>
        <w:rPr>
          <w:rFonts w:hint="eastAsia" w:asciiTheme="majorEastAsia" w:hAnsiTheme="majorEastAsia" w:eastAsiaTheme="majorEastAsia" w:cstheme="majorEastAsia"/>
        </w:rPr>
      </w:pPr>
      <w:bookmarkStart w:id="26" w:name="_Toc18517"/>
      <w:bookmarkStart w:id="27" w:name="_Toc3451"/>
      <w:bookmarkStart w:id="28" w:name="_Toc11990"/>
      <w:bookmarkStart w:id="29" w:name="_Toc27430"/>
      <w:bookmarkStart w:id="30" w:name="_Toc18133"/>
      <w:bookmarkStart w:id="31" w:name="_Toc347478674"/>
      <w:r>
        <w:rPr>
          <w:rFonts w:hint="eastAsia" w:asciiTheme="majorEastAsia" w:hAnsiTheme="majorEastAsia" w:eastAsiaTheme="majorEastAsia" w:cstheme="majorEastAsia"/>
        </w:rPr>
        <w:t>第一章 总则</w:t>
      </w:r>
      <w:bookmarkEnd w:id="26"/>
      <w:bookmarkEnd w:id="27"/>
      <w:bookmarkEnd w:id="28"/>
      <w:bookmarkEnd w:id="29"/>
      <w:bookmarkEnd w:id="30"/>
      <w:bookmarkEnd w:id="31"/>
    </w:p>
    <w:p>
      <w:pPr>
        <w:pStyle w:val="5"/>
        <w:spacing w:line="480" w:lineRule="exact"/>
        <w:ind w:left="420"/>
        <w:rPr>
          <w:rFonts w:hint="eastAsia" w:asciiTheme="majorEastAsia" w:hAnsiTheme="majorEastAsia" w:eastAsiaTheme="majorEastAsia" w:cstheme="majorEastAsia"/>
        </w:rPr>
      </w:pPr>
      <w:bookmarkStart w:id="32" w:name="_Toc30704"/>
      <w:bookmarkStart w:id="33" w:name="_Toc6642"/>
      <w:bookmarkStart w:id="34" w:name="_Toc10901"/>
      <w:bookmarkStart w:id="35" w:name="_Toc347478675"/>
      <w:bookmarkStart w:id="36" w:name="_Toc15912"/>
      <w:r>
        <w:rPr>
          <w:rFonts w:hint="eastAsia" w:asciiTheme="majorEastAsia" w:hAnsiTheme="majorEastAsia" w:eastAsiaTheme="majorEastAsia" w:cstheme="majorEastAsia"/>
        </w:rPr>
        <w:t>1.适用范围</w:t>
      </w:r>
      <w:bookmarkEnd w:id="32"/>
      <w:bookmarkEnd w:id="33"/>
      <w:bookmarkEnd w:id="34"/>
      <w:bookmarkEnd w:id="35"/>
      <w:bookmarkEnd w:id="36"/>
    </w:p>
    <w:p>
      <w:pPr>
        <w:keepNext/>
        <w:keepLines/>
        <w:spacing w:line="480" w:lineRule="exact"/>
        <w:ind w:firstLine="480" w:firstLineChars="200"/>
        <w:rPr>
          <w:rFonts w:hint="eastAsia" w:asciiTheme="majorEastAsia" w:hAnsiTheme="majorEastAsia" w:eastAsiaTheme="majorEastAsia" w:cstheme="majorEastAsia"/>
          <w:sz w:val="24"/>
          <w:szCs w:val="24"/>
        </w:rPr>
      </w:pPr>
      <w:bookmarkStart w:id="37" w:name="_Toc347478676"/>
      <w:bookmarkStart w:id="38" w:name="_Toc5118"/>
      <w:r>
        <w:rPr>
          <w:rFonts w:hint="eastAsia" w:asciiTheme="majorEastAsia" w:hAnsiTheme="majorEastAsia" w:eastAsiaTheme="majorEastAsia" w:cstheme="majorEastAsia"/>
          <w:sz w:val="24"/>
          <w:szCs w:val="24"/>
        </w:rPr>
        <w:t>本招标文件仅适用于本次招标公告中所项目的货物及服务采购。</w:t>
      </w:r>
    </w:p>
    <w:p>
      <w:pPr>
        <w:pStyle w:val="5"/>
        <w:spacing w:line="480" w:lineRule="exact"/>
        <w:ind w:left="420"/>
        <w:rPr>
          <w:rFonts w:hint="eastAsia" w:asciiTheme="majorEastAsia" w:hAnsiTheme="majorEastAsia" w:eastAsiaTheme="majorEastAsia" w:cstheme="majorEastAsia"/>
        </w:rPr>
      </w:pPr>
      <w:bookmarkStart w:id="39" w:name="_Toc29714"/>
      <w:bookmarkStart w:id="40" w:name="_Toc27813"/>
      <w:bookmarkStart w:id="41" w:name="_Toc15172"/>
      <w:r>
        <w:rPr>
          <w:rFonts w:hint="eastAsia" w:asciiTheme="majorEastAsia" w:hAnsiTheme="majorEastAsia" w:eastAsiaTheme="majorEastAsia" w:cstheme="majorEastAsia"/>
        </w:rPr>
        <w:t>2.定义</w:t>
      </w:r>
      <w:bookmarkEnd w:id="37"/>
      <w:bookmarkEnd w:id="38"/>
      <w:bookmarkEnd w:id="39"/>
      <w:bookmarkEnd w:id="40"/>
      <w:bookmarkEnd w:id="41"/>
    </w:p>
    <w:p>
      <w:pPr>
        <w:spacing w:line="48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2.1</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采购人：</w:t>
      </w:r>
      <w:r>
        <w:rPr>
          <w:rFonts w:hint="eastAsia" w:asciiTheme="majorEastAsia" w:hAnsiTheme="majorEastAsia" w:eastAsiaTheme="majorEastAsia" w:cstheme="majorEastAsia"/>
          <w:sz w:val="24"/>
          <w:szCs w:val="24"/>
          <w:lang w:eastAsia="zh-CN"/>
        </w:rPr>
        <w:t>延川县苹果生产管理办公室</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采购代理机构：</w:t>
      </w:r>
      <w:r>
        <w:rPr>
          <w:rFonts w:hint="eastAsia" w:asciiTheme="majorEastAsia" w:hAnsiTheme="majorEastAsia" w:eastAsiaTheme="majorEastAsia" w:cstheme="majorEastAsia"/>
          <w:sz w:val="24"/>
          <w:szCs w:val="24"/>
          <w:lang w:eastAsia="zh-CN"/>
        </w:rPr>
        <w:t>延川县政府采购中心</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供应商：响应采购人要求，向采购人提交投标文件的投标人</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货物：</w:t>
      </w:r>
      <w:r>
        <w:rPr>
          <w:rFonts w:hint="eastAsia" w:asciiTheme="majorEastAsia" w:hAnsiTheme="majorEastAsia" w:eastAsiaTheme="majorEastAsia" w:cstheme="majorEastAsia"/>
          <w:sz w:val="24"/>
          <w:szCs w:val="24"/>
          <w:lang w:val="en-US" w:eastAsia="zh-CN"/>
        </w:rPr>
        <w:t>有机肥2500吨、水溶肥30吨</w:t>
      </w:r>
    </w:p>
    <w:p>
      <w:pPr>
        <w:pStyle w:val="5"/>
        <w:spacing w:line="480" w:lineRule="exact"/>
        <w:ind w:left="420"/>
        <w:rPr>
          <w:rFonts w:hint="eastAsia" w:asciiTheme="majorEastAsia" w:hAnsiTheme="majorEastAsia" w:eastAsiaTheme="majorEastAsia" w:cstheme="majorEastAsia"/>
        </w:rPr>
      </w:pPr>
      <w:bookmarkStart w:id="42" w:name="_Toc347478677"/>
      <w:bookmarkStart w:id="43" w:name="_Toc31432"/>
      <w:bookmarkStart w:id="44" w:name="_Toc14674"/>
      <w:bookmarkStart w:id="45" w:name="_Toc32103"/>
      <w:bookmarkStart w:id="46" w:name="_Toc10033"/>
      <w:r>
        <w:rPr>
          <w:rFonts w:hint="eastAsia" w:asciiTheme="majorEastAsia" w:hAnsiTheme="majorEastAsia" w:eastAsiaTheme="majorEastAsia" w:cstheme="majorEastAsia"/>
        </w:rPr>
        <w:t>3.合格的供应商</w:t>
      </w:r>
      <w:bookmarkEnd w:id="42"/>
      <w:bookmarkEnd w:id="43"/>
      <w:bookmarkEnd w:id="44"/>
      <w:bookmarkEnd w:id="45"/>
      <w:bookmarkEnd w:id="46"/>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 凡在中华人民共和国注册的、具备招标公告资格要求且有能力提供所采购服务的投标供应商；</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 供应商必须在招标公告载明的地点购买招标文件并登记，未经购买招标文件并登记的潜在供应商均无资格参加本次投标；</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 供应商应满足《中华人民共和国政府采购法》及其它有关的中国法律和法规。</w:t>
      </w:r>
      <w:bookmarkStart w:id="47" w:name="_Toc347478678"/>
      <w:bookmarkStart w:id="48" w:name="_Toc25969"/>
    </w:p>
    <w:bookmarkEnd w:id="47"/>
    <w:bookmarkEnd w:id="48"/>
    <w:p>
      <w:pPr>
        <w:pStyle w:val="5"/>
        <w:pageBreakBefore w:val="0"/>
        <w:kinsoku/>
        <w:wordWrap/>
        <w:topLinePunct w:val="0"/>
        <w:autoSpaceDE/>
        <w:autoSpaceDN/>
        <w:bidi w:val="0"/>
        <w:spacing w:line="480" w:lineRule="exact"/>
        <w:ind w:right="0" w:rightChars="0"/>
        <w:textAlignment w:val="auto"/>
        <w:rPr>
          <w:rFonts w:hint="eastAsia" w:asciiTheme="majorEastAsia" w:hAnsiTheme="majorEastAsia" w:eastAsiaTheme="majorEastAsia" w:cstheme="majorEastAsia"/>
          <w:lang w:val="en-US" w:eastAsia="zh-CN"/>
        </w:rPr>
      </w:pPr>
      <w:bookmarkStart w:id="49" w:name="_Toc15393"/>
      <w:bookmarkStart w:id="50" w:name="_Toc347478679"/>
      <w:bookmarkStart w:id="51" w:name="_Toc16102"/>
      <w:bookmarkStart w:id="52" w:name="_Toc17157"/>
      <w:bookmarkStart w:id="53" w:name="_Toc32689"/>
      <w:bookmarkStart w:id="54" w:name="_Toc20483"/>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费用</w:t>
      </w:r>
      <w:r>
        <w:rPr>
          <w:rFonts w:hint="eastAsia" w:asciiTheme="majorEastAsia" w:hAnsiTheme="majorEastAsia" w:eastAsiaTheme="majorEastAsia" w:cstheme="majorEastAsia"/>
          <w:lang w:eastAsia="zh-CN"/>
        </w:rPr>
        <w:t>及</w:t>
      </w:r>
      <w:r>
        <w:rPr>
          <w:rFonts w:hint="eastAsia" w:asciiTheme="majorEastAsia" w:hAnsiTheme="majorEastAsia" w:eastAsiaTheme="majorEastAsia" w:cstheme="majorEastAsia"/>
          <w:b/>
          <w:sz w:val="24"/>
        </w:rPr>
        <w:t>相同品牌产品处理</w:t>
      </w:r>
    </w:p>
    <w:p>
      <w:pPr>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供应商应承担所有与编写和提交投标文件有关的费用，无论投标过程中的做法和结果如何，采购人在任何情况下均无义务和责任承担这些费用。</w:t>
      </w:r>
    </w:p>
    <w:p>
      <w:pPr>
        <w:pStyle w:val="64"/>
        <w:keepNext w:val="0"/>
        <w:keepLines w:val="0"/>
        <w:pageBreakBefore w:val="0"/>
        <w:widowControl w:val="0"/>
        <w:kinsoku/>
        <w:wordWrap/>
        <w:overflowPunct/>
        <w:topLinePunct w:val="0"/>
        <w:autoSpaceDE/>
        <w:autoSpaceDN/>
        <w:bidi w:val="0"/>
        <w:snapToGrid/>
        <w:spacing w:line="460" w:lineRule="exact"/>
        <w:ind w:left="1" w:firstLine="480" w:firstLineChars="200"/>
        <w:outlineLvl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 提供相同品牌产品处理。</w:t>
      </w:r>
    </w:p>
    <w:p>
      <w:pPr>
        <w:pStyle w:val="64"/>
        <w:keepNext w:val="0"/>
        <w:keepLines w:val="0"/>
        <w:pageBreakBefore w:val="0"/>
        <w:widowControl w:val="0"/>
        <w:kinsoku/>
        <w:wordWrap/>
        <w:overflowPunct/>
        <w:topLinePunct w:val="0"/>
        <w:autoSpaceDE/>
        <w:autoSpaceDN/>
        <w:bidi w:val="0"/>
        <w:snapToGrid/>
        <w:spacing w:line="460" w:lineRule="exact"/>
        <w:ind w:left="1" w:firstLine="480" w:firstLineChars="200"/>
        <w:outlineLvl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4.1.1 非单一产品采购项目中，采购人根据采购项目技术构成、产品价格比重等合理确定核心产品。多家投标人提供的任一核心产品品牌相同的，视为提供相同品牌产品。</w:t>
      </w:r>
    </w:p>
    <w:p>
      <w:pPr>
        <w:pStyle w:val="64"/>
        <w:keepNext w:val="0"/>
        <w:keepLines w:val="0"/>
        <w:pageBreakBefore w:val="0"/>
        <w:widowControl w:val="0"/>
        <w:kinsoku/>
        <w:wordWrap/>
        <w:overflowPunct/>
        <w:topLinePunct w:val="0"/>
        <w:autoSpaceDE/>
        <w:autoSpaceDN/>
        <w:bidi w:val="0"/>
        <w:snapToGrid/>
        <w:spacing w:line="460" w:lineRule="exact"/>
        <w:ind w:firstLine="480" w:firstLineChars="200"/>
        <w:outlineLvl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4.1.2 采用最低评标价法的采购项目（本项目不适用）。</w:t>
      </w:r>
    </w:p>
    <w:p>
      <w:pPr>
        <w:pStyle w:val="64"/>
        <w:keepNext w:val="0"/>
        <w:keepLines w:val="0"/>
        <w:pageBreakBefore w:val="0"/>
        <w:widowControl w:val="0"/>
        <w:kinsoku/>
        <w:wordWrap/>
        <w:overflowPunct/>
        <w:topLinePunct w:val="0"/>
        <w:autoSpaceDE/>
        <w:autoSpaceDN/>
        <w:bidi w:val="0"/>
        <w:snapToGrid/>
        <w:spacing w:line="460" w:lineRule="exact"/>
        <w:ind w:left="1" w:firstLine="480" w:firstLineChars="200"/>
        <w:outlineLvl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64"/>
        <w:keepNext w:val="0"/>
        <w:keepLines w:val="0"/>
        <w:pageBreakBefore w:val="0"/>
        <w:widowControl w:val="0"/>
        <w:kinsoku/>
        <w:wordWrap/>
        <w:overflowPunct/>
        <w:topLinePunct w:val="0"/>
        <w:autoSpaceDE/>
        <w:autoSpaceDN/>
        <w:bidi w:val="0"/>
        <w:snapToGrid/>
        <w:spacing w:line="460" w:lineRule="exact"/>
        <w:ind w:left="1" w:firstLine="480" w:firstLineChars="200"/>
        <w:outlineLvl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4.1.3 采用综合评分法的采购项目。</w:t>
      </w:r>
    </w:p>
    <w:p>
      <w:pPr>
        <w:pStyle w:val="64"/>
        <w:keepNext w:val="0"/>
        <w:keepLines w:val="0"/>
        <w:pageBreakBefore w:val="0"/>
        <w:widowControl w:val="0"/>
        <w:kinsoku/>
        <w:wordWrap/>
        <w:overflowPunct/>
        <w:topLinePunct w:val="0"/>
        <w:autoSpaceDE/>
        <w:autoSpaceDN/>
        <w:bidi w:val="0"/>
        <w:snapToGrid/>
        <w:spacing w:line="460" w:lineRule="exact"/>
        <w:ind w:left="1" w:firstLine="480" w:firstLineChars="200"/>
        <w:outlineLvl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64"/>
        <w:keepNext w:val="0"/>
        <w:keepLines w:val="0"/>
        <w:pageBreakBefore w:val="0"/>
        <w:widowControl w:val="0"/>
        <w:kinsoku/>
        <w:wordWrap/>
        <w:overflowPunct/>
        <w:topLinePunct w:val="0"/>
        <w:autoSpaceDE/>
        <w:autoSpaceDN/>
        <w:bidi w:val="0"/>
        <w:snapToGrid/>
        <w:spacing w:line="460" w:lineRule="exact"/>
        <w:ind w:left="1" w:firstLine="480" w:firstLineChars="200"/>
        <w:outlineLvl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4"/>
        <w:keepNext w:val="0"/>
        <w:keepLines w:val="0"/>
        <w:pageBreakBefore w:val="0"/>
        <w:widowControl w:val="0"/>
        <w:kinsoku/>
        <w:wordWrap/>
        <w:overflowPunct/>
        <w:topLinePunct w:val="0"/>
        <w:autoSpaceDE/>
        <w:autoSpaceDN/>
        <w:bidi w:val="0"/>
        <w:snapToGrid/>
        <w:spacing w:line="460" w:lineRule="exact"/>
        <w:ind w:left="1" w:firstLine="480" w:firstLineChars="200"/>
        <w:outlineLvl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4.3利害关系代理人处理。两家以上的供应商不得在同一合同项下的采购项目中，同时委托同一个自然人、同一家庭的人员、同一单位的人员作为其代理人，否则，其投标文件作为无效处理。</w:t>
      </w:r>
    </w:p>
    <w:p>
      <w:pPr>
        <w:pStyle w:val="4"/>
        <w:ind w:left="420"/>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第二章 招标文件说明</w:t>
      </w:r>
      <w:bookmarkEnd w:id="49"/>
      <w:bookmarkEnd w:id="50"/>
      <w:bookmarkEnd w:id="51"/>
      <w:bookmarkEnd w:id="52"/>
      <w:bookmarkEnd w:id="53"/>
      <w:bookmarkEnd w:id="54"/>
    </w:p>
    <w:p>
      <w:pPr>
        <w:pStyle w:val="5"/>
        <w:spacing w:line="480" w:lineRule="exact"/>
        <w:ind w:left="420"/>
        <w:rPr>
          <w:rFonts w:hint="eastAsia" w:asciiTheme="majorEastAsia" w:hAnsiTheme="majorEastAsia" w:eastAsiaTheme="majorEastAsia" w:cstheme="majorEastAsia"/>
        </w:rPr>
      </w:pPr>
      <w:bookmarkStart w:id="55" w:name="_Toc15431"/>
      <w:bookmarkStart w:id="56" w:name="_Toc32493"/>
      <w:bookmarkStart w:id="57" w:name="_Toc2782"/>
      <w:bookmarkStart w:id="58" w:name="_Toc347478680"/>
      <w:bookmarkStart w:id="59" w:name="_Toc10879"/>
      <w:r>
        <w:rPr>
          <w:rFonts w:hint="eastAsia" w:asciiTheme="majorEastAsia" w:hAnsiTheme="majorEastAsia" w:eastAsiaTheme="majorEastAsia" w:cstheme="majorEastAsia"/>
        </w:rPr>
        <w:t>5.招标文件的构成</w:t>
      </w:r>
      <w:bookmarkEnd w:id="55"/>
      <w:bookmarkEnd w:id="56"/>
      <w:bookmarkEnd w:id="57"/>
      <w:bookmarkEnd w:id="58"/>
      <w:bookmarkEnd w:id="59"/>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 招标文件用以阐明所需提供的服务和合同条件。招标文件包括：</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第一部分 招标公告</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第二部分 供应商须知</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第三部分 采购需求</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第四部分评标办法</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第五部分 合同主要条款</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第六部分 投标文件格式</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 供应商应认真阅读招标文件中所有的事项、格式条款和规范要求等。供应商没有对招标文件全面做出实质性响应是供应商自身的风险。采购人有权拒绝没有对招标文件要求做出实质性响应的投标。</w:t>
      </w:r>
    </w:p>
    <w:p>
      <w:pPr>
        <w:pStyle w:val="5"/>
        <w:spacing w:line="480" w:lineRule="exact"/>
        <w:ind w:left="420"/>
        <w:rPr>
          <w:rFonts w:hint="eastAsia" w:asciiTheme="majorEastAsia" w:hAnsiTheme="majorEastAsia" w:eastAsiaTheme="majorEastAsia" w:cstheme="majorEastAsia"/>
        </w:rPr>
      </w:pPr>
      <w:bookmarkStart w:id="60" w:name="_Toc32417"/>
      <w:bookmarkStart w:id="61" w:name="_Toc347478681"/>
      <w:bookmarkStart w:id="62" w:name="_Toc9407"/>
      <w:bookmarkStart w:id="63" w:name="_Toc21637"/>
      <w:bookmarkStart w:id="64" w:name="_Toc7474"/>
      <w:r>
        <w:rPr>
          <w:rFonts w:hint="eastAsia" w:asciiTheme="majorEastAsia" w:hAnsiTheme="majorEastAsia" w:eastAsiaTheme="majorEastAsia" w:cstheme="majorEastAsia"/>
        </w:rPr>
        <w:t>6.招标文件的澄清</w:t>
      </w:r>
      <w:bookmarkEnd w:id="60"/>
      <w:bookmarkEnd w:id="61"/>
      <w:bookmarkEnd w:id="62"/>
      <w:bookmarkEnd w:id="63"/>
      <w:bookmarkEnd w:id="64"/>
    </w:p>
    <w:p>
      <w:pPr>
        <w:spacing w:line="480" w:lineRule="exact"/>
        <w:ind w:firstLine="480" w:firstLineChars="200"/>
        <w:rPr>
          <w:rFonts w:hint="eastAsia" w:asciiTheme="majorEastAsia" w:hAnsiTheme="majorEastAsia" w:eastAsiaTheme="majorEastAsia" w:cstheme="majorEastAsia"/>
          <w:sz w:val="24"/>
          <w:szCs w:val="24"/>
        </w:rPr>
      </w:pPr>
      <w:bookmarkStart w:id="65" w:name="_Toc347478682"/>
      <w:r>
        <w:rPr>
          <w:rFonts w:hint="eastAsia" w:asciiTheme="majorEastAsia" w:hAnsiTheme="majorEastAsia" w:eastAsiaTheme="majorEastAsia" w:cstheme="majorEastAsia"/>
          <w:sz w:val="24"/>
          <w:szCs w:val="24"/>
        </w:rPr>
        <w:t>任何要求对招标文件澄清的供应商，均应于投标截止日期10日前以书面形式（包括电报、电传、传真）通知采购代理机构。采购代理机构将视情况确定采用适当方式予以澄清或以书面形式予以答复，并在其认为必要时，将不标明来源的书面答复通知到每个</w:t>
      </w:r>
      <w:r>
        <w:rPr>
          <w:rFonts w:hint="eastAsia" w:asciiTheme="majorEastAsia" w:hAnsiTheme="majorEastAsia" w:eastAsiaTheme="majorEastAsia" w:cstheme="majorEastAsia"/>
          <w:sz w:val="24"/>
          <w:szCs w:val="24"/>
          <w:lang w:eastAsia="zh-CN"/>
        </w:rPr>
        <w:t>领取</w:t>
      </w:r>
      <w:r>
        <w:rPr>
          <w:rFonts w:hint="eastAsia" w:asciiTheme="majorEastAsia" w:hAnsiTheme="majorEastAsia" w:eastAsiaTheme="majorEastAsia" w:cstheme="majorEastAsia"/>
          <w:sz w:val="24"/>
          <w:szCs w:val="24"/>
        </w:rPr>
        <w:t>招标文件的供应商。</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在规定的时间内供应商对招标文件无异议的，视为供应商完全响应招标文件并接受招标文件中约定的主要条款。在规定时间后提出的质疑，采购人或采购代理机构不予答复。</w:t>
      </w:r>
      <w:bookmarkStart w:id="66" w:name="_Toc19547"/>
    </w:p>
    <w:p>
      <w:pPr>
        <w:pStyle w:val="5"/>
        <w:spacing w:line="480" w:lineRule="exact"/>
        <w:ind w:left="420"/>
        <w:rPr>
          <w:rFonts w:hint="eastAsia" w:asciiTheme="majorEastAsia" w:hAnsiTheme="majorEastAsia" w:eastAsiaTheme="majorEastAsia" w:cstheme="majorEastAsia"/>
        </w:rPr>
      </w:pPr>
      <w:bookmarkStart w:id="67" w:name="_Toc6108"/>
      <w:bookmarkStart w:id="68" w:name="_Toc27994"/>
      <w:bookmarkStart w:id="69" w:name="_Toc18597"/>
      <w:r>
        <w:rPr>
          <w:rFonts w:hint="eastAsia" w:asciiTheme="majorEastAsia" w:hAnsiTheme="majorEastAsia" w:eastAsiaTheme="majorEastAsia" w:cstheme="majorEastAsia"/>
        </w:rPr>
        <w:t>7.招标文件的修改</w:t>
      </w:r>
      <w:bookmarkEnd w:id="65"/>
      <w:bookmarkEnd w:id="66"/>
      <w:bookmarkEnd w:id="67"/>
      <w:bookmarkEnd w:id="68"/>
      <w:bookmarkEnd w:id="69"/>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 在投标截止期15日前，无论出于何种原因，采购人可主动地或在解答供应商要求澄清的问题时对招标文件进行修改。</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 招标文件的修改将以书面形式（包括电子邮件）通知所有招标文件的收受人；供应商在收到该通知后应立即以传真、电子邮件等有效形式予以确认。</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7.3 为使供应商在准备投标文件时，有充分的时间对招标文件的修改进行研究考虑，采购人可自行决定，酌情推迟投标截止日期，并以书面形式通知所有已购买招标文件的供应商。</w:t>
      </w:r>
    </w:p>
    <w:p>
      <w:pPr>
        <w:spacing w:line="48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7.4 招标文件的修改内容将构成招标文件的一部</w:t>
      </w:r>
      <w:r>
        <w:rPr>
          <w:rFonts w:hint="eastAsia" w:asciiTheme="majorEastAsia" w:hAnsiTheme="majorEastAsia" w:eastAsiaTheme="majorEastAsia" w:cstheme="majorEastAsia"/>
          <w:sz w:val="24"/>
        </w:rPr>
        <w:t>分，对采购人和供应商都具有约束力。</w:t>
      </w:r>
    </w:p>
    <w:p>
      <w:pPr>
        <w:spacing w:line="480" w:lineRule="exact"/>
        <w:rPr>
          <w:rFonts w:hint="eastAsia" w:asciiTheme="majorEastAsia" w:hAnsiTheme="majorEastAsia" w:eastAsiaTheme="majorEastAsia" w:cstheme="majorEastAsia"/>
        </w:rPr>
      </w:pPr>
      <w:bookmarkStart w:id="70" w:name="_Toc18259"/>
      <w:bookmarkStart w:id="71" w:name="_Toc347478683"/>
    </w:p>
    <w:p>
      <w:pPr>
        <w:pStyle w:val="4"/>
        <w:spacing w:line="480" w:lineRule="exact"/>
        <w:ind w:left="420"/>
        <w:rPr>
          <w:rFonts w:hint="eastAsia" w:asciiTheme="majorEastAsia" w:hAnsiTheme="majorEastAsia" w:eastAsiaTheme="majorEastAsia" w:cstheme="majorEastAsia"/>
        </w:rPr>
      </w:pPr>
      <w:bookmarkStart w:id="72" w:name="_Toc37"/>
      <w:bookmarkStart w:id="73" w:name="_Toc15602"/>
      <w:bookmarkStart w:id="74" w:name="_Toc4132"/>
      <w:bookmarkStart w:id="75" w:name="_Toc10510"/>
      <w:r>
        <w:rPr>
          <w:rFonts w:hint="eastAsia" w:asciiTheme="majorEastAsia" w:hAnsiTheme="majorEastAsia" w:eastAsiaTheme="majorEastAsia" w:cstheme="majorEastAsia"/>
        </w:rPr>
        <w:t>第三章 投标文件的编写</w:t>
      </w:r>
      <w:bookmarkEnd w:id="70"/>
      <w:bookmarkEnd w:id="71"/>
      <w:bookmarkEnd w:id="72"/>
      <w:bookmarkEnd w:id="73"/>
      <w:bookmarkEnd w:id="74"/>
      <w:bookmarkEnd w:id="75"/>
    </w:p>
    <w:p>
      <w:pPr>
        <w:spacing w:line="480" w:lineRule="exact"/>
        <w:rPr>
          <w:rFonts w:hint="eastAsia" w:asciiTheme="majorEastAsia" w:hAnsiTheme="majorEastAsia" w:eastAsiaTheme="majorEastAsia" w:cstheme="majorEastAsia"/>
        </w:rPr>
      </w:pPr>
    </w:p>
    <w:p>
      <w:pPr>
        <w:pStyle w:val="5"/>
        <w:spacing w:line="480" w:lineRule="exact"/>
        <w:ind w:left="420"/>
        <w:rPr>
          <w:rFonts w:hint="eastAsia" w:asciiTheme="majorEastAsia" w:hAnsiTheme="majorEastAsia" w:eastAsiaTheme="majorEastAsia" w:cstheme="majorEastAsia"/>
        </w:rPr>
      </w:pPr>
      <w:bookmarkStart w:id="76" w:name="_Toc643"/>
      <w:bookmarkStart w:id="77" w:name="_Toc14395"/>
      <w:bookmarkStart w:id="78" w:name="_Toc347478684"/>
      <w:bookmarkStart w:id="79" w:name="_Toc14029"/>
      <w:bookmarkStart w:id="80" w:name="_Toc29078"/>
      <w:r>
        <w:rPr>
          <w:rFonts w:hint="eastAsia" w:asciiTheme="majorEastAsia" w:hAnsiTheme="majorEastAsia" w:eastAsiaTheme="majorEastAsia" w:cstheme="majorEastAsia"/>
        </w:rPr>
        <w:t>8.投标语言</w:t>
      </w:r>
      <w:bookmarkEnd w:id="76"/>
      <w:bookmarkEnd w:id="77"/>
      <w:bookmarkEnd w:id="78"/>
      <w:bookmarkEnd w:id="79"/>
      <w:bookmarkEnd w:id="80"/>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供应商编写的投标文件和往来信件应以中文书写。</w:t>
      </w:r>
    </w:p>
    <w:p>
      <w:pPr>
        <w:pStyle w:val="5"/>
        <w:spacing w:line="480" w:lineRule="exact"/>
        <w:ind w:left="420"/>
        <w:rPr>
          <w:rFonts w:hint="eastAsia" w:asciiTheme="majorEastAsia" w:hAnsiTheme="majorEastAsia" w:eastAsiaTheme="majorEastAsia" w:cstheme="majorEastAsia"/>
        </w:rPr>
      </w:pPr>
      <w:bookmarkStart w:id="81" w:name="_Toc28924"/>
      <w:bookmarkStart w:id="82" w:name="_Toc27588"/>
      <w:bookmarkStart w:id="83" w:name="_Toc347478685"/>
      <w:bookmarkStart w:id="84" w:name="_Toc15450"/>
      <w:bookmarkStart w:id="85" w:name="_Toc5442"/>
      <w:r>
        <w:rPr>
          <w:rFonts w:hint="eastAsia" w:asciiTheme="majorEastAsia" w:hAnsiTheme="majorEastAsia" w:eastAsiaTheme="majorEastAsia" w:cstheme="majorEastAsia"/>
        </w:rPr>
        <w:t>9.计量单位</w:t>
      </w:r>
      <w:bookmarkEnd w:id="81"/>
      <w:bookmarkEnd w:id="82"/>
      <w:bookmarkEnd w:id="83"/>
      <w:bookmarkEnd w:id="84"/>
      <w:bookmarkEnd w:id="85"/>
    </w:p>
    <w:p>
      <w:pPr>
        <w:pStyle w:val="8"/>
        <w:spacing w:after="0" w:line="480" w:lineRule="exact"/>
        <w:ind w:firstLine="480" w:firstLineChars="200"/>
        <w:rPr>
          <w:rFonts w:hint="eastAsia" w:asciiTheme="majorEastAsia" w:hAnsiTheme="majorEastAsia" w:eastAsiaTheme="majorEastAsia" w:cstheme="majorEastAsia"/>
          <w:sz w:val="24"/>
          <w:szCs w:val="24"/>
        </w:rPr>
      </w:pPr>
      <w:bookmarkStart w:id="86" w:name="_Toc15760"/>
      <w:bookmarkStart w:id="87" w:name="_Toc347478686"/>
      <w:r>
        <w:rPr>
          <w:rFonts w:hint="eastAsia" w:asciiTheme="majorEastAsia" w:hAnsiTheme="majorEastAsia" w:eastAsiaTheme="majorEastAsia" w:cstheme="majorEastAsia"/>
          <w:sz w:val="24"/>
          <w:szCs w:val="24"/>
        </w:rPr>
        <w:t>除在招标文件的技术规格中另有规定外，计量单位应使用中华人民共和国法定计量单位。</w:t>
      </w:r>
    </w:p>
    <w:p>
      <w:pPr>
        <w:pStyle w:val="5"/>
        <w:spacing w:line="480" w:lineRule="exact"/>
        <w:ind w:left="420"/>
        <w:rPr>
          <w:rFonts w:hint="eastAsia" w:asciiTheme="majorEastAsia" w:hAnsiTheme="majorEastAsia" w:eastAsiaTheme="majorEastAsia" w:cstheme="majorEastAsia"/>
        </w:rPr>
      </w:pPr>
      <w:bookmarkStart w:id="88" w:name="_Toc19253"/>
      <w:bookmarkStart w:id="89" w:name="_Toc28122"/>
      <w:bookmarkStart w:id="90" w:name="_Toc25069"/>
      <w:r>
        <w:rPr>
          <w:rFonts w:hint="eastAsia" w:asciiTheme="majorEastAsia" w:hAnsiTheme="majorEastAsia" w:eastAsiaTheme="majorEastAsia" w:cstheme="majorEastAsia"/>
        </w:rPr>
        <w:t>10.投标文件的组成</w:t>
      </w:r>
      <w:bookmarkEnd w:id="86"/>
      <w:bookmarkEnd w:id="87"/>
      <w:bookmarkEnd w:id="88"/>
      <w:bookmarkEnd w:id="89"/>
      <w:bookmarkEnd w:id="90"/>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 供应商编写的投标文件应包括下列部分：</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10.1.1 投标函、开标一览表等投标文件要求的所有内容；</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10.1.2 按照供应商须知要求出具的供应商资格证明文件；</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10.1.3 按照供应商须知要求出具的投标货物和服务符合招标文件规定的证明文件及供应商认为需加以说明的其他内容；</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10.1.4 招标文件要求供应商提供的其他内容。</w:t>
      </w:r>
    </w:p>
    <w:p>
      <w:pPr>
        <w:pStyle w:val="5"/>
        <w:spacing w:line="480" w:lineRule="exact"/>
        <w:ind w:left="420"/>
        <w:rPr>
          <w:rFonts w:hint="eastAsia" w:asciiTheme="majorEastAsia" w:hAnsiTheme="majorEastAsia" w:eastAsiaTheme="majorEastAsia" w:cstheme="majorEastAsia"/>
        </w:rPr>
      </w:pPr>
      <w:bookmarkStart w:id="91" w:name="_Toc347478687"/>
      <w:bookmarkStart w:id="92" w:name="_Toc6896"/>
      <w:bookmarkStart w:id="93" w:name="_Toc17102"/>
      <w:bookmarkStart w:id="94" w:name="_Toc28968"/>
      <w:bookmarkStart w:id="95" w:name="_Toc21814"/>
      <w:r>
        <w:rPr>
          <w:rFonts w:hint="eastAsia" w:asciiTheme="majorEastAsia" w:hAnsiTheme="majorEastAsia" w:eastAsiaTheme="majorEastAsia" w:cstheme="majorEastAsia"/>
        </w:rPr>
        <w:t>11.投标文件格式</w:t>
      </w:r>
      <w:bookmarkEnd w:id="91"/>
      <w:bookmarkEnd w:id="92"/>
      <w:bookmarkEnd w:id="93"/>
      <w:bookmarkEnd w:id="94"/>
      <w:bookmarkEnd w:id="95"/>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供应商应按招标文件中提供的投标文件格式填写“投标函”、“开标一览表”、“商务偏离表”以及其他相关文件等。</w:t>
      </w:r>
    </w:p>
    <w:p>
      <w:pPr>
        <w:pStyle w:val="5"/>
        <w:spacing w:line="480" w:lineRule="exact"/>
        <w:ind w:left="420"/>
        <w:rPr>
          <w:rFonts w:hint="eastAsia" w:asciiTheme="majorEastAsia" w:hAnsiTheme="majorEastAsia" w:eastAsiaTheme="majorEastAsia" w:cstheme="majorEastAsia"/>
        </w:rPr>
      </w:pPr>
      <w:bookmarkStart w:id="96" w:name="_Toc22581"/>
      <w:bookmarkStart w:id="97" w:name="_Toc15065"/>
      <w:bookmarkStart w:id="98" w:name="_Toc3711"/>
      <w:bookmarkStart w:id="99" w:name="_Toc347478688"/>
      <w:bookmarkStart w:id="100" w:name="_Toc30783"/>
      <w:r>
        <w:rPr>
          <w:rFonts w:hint="eastAsia" w:asciiTheme="majorEastAsia" w:hAnsiTheme="majorEastAsia" w:eastAsiaTheme="majorEastAsia" w:cstheme="majorEastAsia"/>
        </w:rPr>
        <w:t>12.报价</w:t>
      </w:r>
      <w:bookmarkEnd w:id="96"/>
      <w:bookmarkEnd w:id="97"/>
      <w:bookmarkEnd w:id="98"/>
      <w:bookmarkEnd w:id="99"/>
      <w:bookmarkEnd w:id="100"/>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 供应商应对此项目所列的所有服务内容进行报价，不得将其中所列的服务内容拆开报价；</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12.1.1供应商所报投标报价包含物资费、人工费等一切费用；</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凡本招标文件要求（或允许）及供应商认为需要进行报价的各项费用项目（不论是否要求进入报价），若报价时未报或未在“开标一览表”中予以说明，采购人将认为这些费用供应商已计取，并包含在总报价中（项目采购内容、项目数量调整除外）。</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12.3 采购人只接受供应商提供的唯一投标方案，不接受备选方案。</w:t>
      </w:r>
    </w:p>
    <w:p>
      <w:pPr>
        <w:pStyle w:val="5"/>
        <w:spacing w:line="480" w:lineRule="exact"/>
        <w:ind w:left="420"/>
        <w:rPr>
          <w:rFonts w:hint="eastAsia" w:asciiTheme="majorEastAsia" w:hAnsiTheme="majorEastAsia" w:eastAsiaTheme="majorEastAsia" w:cstheme="majorEastAsia"/>
        </w:rPr>
      </w:pPr>
      <w:bookmarkStart w:id="101" w:name="_Toc30437"/>
      <w:bookmarkStart w:id="102" w:name="_Toc1052"/>
      <w:bookmarkStart w:id="103" w:name="_Toc347478689"/>
      <w:bookmarkStart w:id="104" w:name="_Toc10601"/>
      <w:bookmarkStart w:id="105" w:name="_Toc26343"/>
      <w:r>
        <w:rPr>
          <w:rFonts w:hint="eastAsia" w:asciiTheme="majorEastAsia" w:hAnsiTheme="majorEastAsia" w:eastAsiaTheme="majorEastAsia" w:cstheme="majorEastAsia"/>
        </w:rPr>
        <w:t>13.投标货币</w:t>
      </w:r>
      <w:bookmarkEnd w:id="101"/>
      <w:bookmarkEnd w:id="102"/>
      <w:bookmarkEnd w:id="103"/>
      <w:bookmarkEnd w:id="104"/>
      <w:bookmarkEnd w:id="105"/>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采购人只接受人民币作为唯一投标货币。</w:t>
      </w:r>
    </w:p>
    <w:p>
      <w:pPr>
        <w:pStyle w:val="5"/>
        <w:spacing w:line="480" w:lineRule="exact"/>
        <w:ind w:left="420"/>
        <w:rPr>
          <w:rFonts w:hint="eastAsia" w:asciiTheme="majorEastAsia" w:hAnsiTheme="majorEastAsia" w:eastAsiaTheme="majorEastAsia" w:cstheme="majorEastAsia"/>
        </w:rPr>
      </w:pPr>
      <w:bookmarkStart w:id="106" w:name="_Toc347478690"/>
      <w:bookmarkStart w:id="107" w:name="_Toc21322"/>
      <w:bookmarkStart w:id="108" w:name="_Toc16384"/>
      <w:bookmarkStart w:id="109" w:name="_Toc28195"/>
      <w:bookmarkStart w:id="110" w:name="_Toc10840"/>
      <w:r>
        <w:rPr>
          <w:rFonts w:hint="eastAsia" w:asciiTheme="majorEastAsia" w:hAnsiTheme="majorEastAsia" w:eastAsiaTheme="majorEastAsia" w:cstheme="majorEastAsia"/>
        </w:rPr>
        <w:t>14.供应商资格证明文件</w:t>
      </w:r>
      <w:bookmarkEnd w:id="106"/>
      <w:bookmarkEnd w:id="107"/>
      <w:bookmarkEnd w:id="108"/>
      <w:bookmarkEnd w:id="109"/>
      <w:bookmarkEnd w:id="110"/>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14.1 供应商必须按要求提交证明文件，以证明其有资格参加投标和入选后有履行合同的能力，并作为其投标文件的一部分。</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14.1.1参加政府采购活动的供应商应当具备《中华人民共和国政府采购法》第二十二条第一款规定的条件，提供下列材料： </w:t>
      </w:r>
    </w:p>
    <w:p>
      <w:pPr>
        <w:spacing w:line="480" w:lineRule="exact"/>
        <w:ind w:firstLine="482" w:firstLineChars="200"/>
        <w:jc w:val="left"/>
        <w:rPr>
          <w:rFonts w:hint="eastAsia" w:asciiTheme="majorEastAsia" w:hAnsiTheme="majorEastAsia" w:eastAsiaTheme="majorEastAsia" w:cstheme="majorEastAsia"/>
          <w:b/>
          <w:kern w:val="2"/>
          <w:sz w:val="24"/>
          <w:szCs w:val="22"/>
          <w:lang w:val="en-US" w:eastAsia="zh-CN" w:bidi="ar-SA"/>
        </w:rPr>
      </w:pPr>
      <w:bookmarkStart w:id="111" w:name="_Toc21336"/>
      <w:bookmarkStart w:id="112" w:name="_Toc347478691"/>
      <w:bookmarkStart w:id="113" w:name="_Toc8248"/>
      <w:bookmarkStart w:id="114" w:name="_Toc4259"/>
      <w:bookmarkStart w:id="115" w:name="_Toc8428"/>
      <w:r>
        <w:rPr>
          <w:rFonts w:hint="eastAsia" w:asciiTheme="majorEastAsia" w:hAnsiTheme="majorEastAsia" w:eastAsiaTheme="majorEastAsia" w:cstheme="majorEastAsia"/>
          <w:b/>
          <w:kern w:val="2"/>
          <w:sz w:val="24"/>
          <w:szCs w:val="22"/>
          <w:lang w:val="en-US" w:eastAsia="zh-CN" w:bidi="ar-SA"/>
        </w:rPr>
        <w:t>1.营业执照等主体资格证明文件：提供有效存续的企业营业执照（副本）/事业单位法人证书/专业服务机构执业许可证/民办非企业单位登记证书。</w:t>
      </w:r>
    </w:p>
    <w:p>
      <w:pPr>
        <w:spacing w:line="480" w:lineRule="exact"/>
        <w:ind w:firstLine="482" w:firstLineChars="200"/>
        <w:jc w:val="left"/>
        <w:rPr>
          <w:rFonts w:hint="eastAsia" w:asciiTheme="majorEastAsia" w:hAnsiTheme="majorEastAsia" w:eastAsiaTheme="majorEastAsia" w:cstheme="majorEastAsia"/>
          <w:b/>
          <w:kern w:val="2"/>
          <w:sz w:val="24"/>
          <w:szCs w:val="22"/>
          <w:lang w:val="en-US" w:eastAsia="zh-CN" w:bidi="ar-SA"/>
        </w:rPr>
      </w:pPr>
      <w:r>
        <w:rPr>
          <w:rFonts w:hint="eastAsia" w:asciiTheme="majorEastAsia" w:hAnsiTheme="majorEastAsia" w:eastAsiaTheme="majorEastAsia" w:cstheme="majorEastAsia"/>
          <w:b/>
          <w:kern w:val="2"/>
          <w:sz w:val="24"/>
          <w:szCs w:val="22"/>
          <w:lang w:val="en-US" w:eastAsia="zh-CN" w:bidi="ar-SA"/>
        </w:rPr>
        <w:t>2.法定代表人授权委托书：法定代表人参加投标的，须提供本人身份证复印件（附在资格证明文件中）；法定代表人授权他人参加投标的，须提供法定代表人授权委托书。</w:t>
      </w:r>
    </w:p>
    <w:p>
      <w:pPr>
        <w:spacing w:line="480" w:lineRule="exact"/>
        <w:ind w:firstLine="482" w:firstLineChars="200"/>
        <w:jc w:val="left"/>
        <w:rPr>
          <w:rFonts w:hint="eastAsia" w:asciiTheme="majorEastAsia" w:hAnsiTheme="majorEastAsia" w:eastAsiaTheme="majorEastAsia" w:cstheme="majorEastAsia"/>
          <w:b/>
          <w:kern w:val="2"/>
          <w:sz w:val="24"/>
          <w:szCs w:val="22"/>
          <w:lang w:val="en-US" w:eastAsia="zh-CN" w:bidi="ar-SA"/>
        </w:rPr>
      </w:pPr>
      <w:r>
        <w:rPr>
          <w:rFonts w:hint="eastAsia" w:asciiTheme="majorEastAsia" w:hAnsiTheme="majorEastAsia" w:eastAsiaTheme="majorEastAsia" w:cstheme="majorEastAsia"/>
          <w:b/>
          <w:kern w:val="2"/>
          <w:sz w:val="24"/>
          <w:szCs w:val="22"/>
          <w:lang w:val="en-US" w:eastAsia="zh-CN" w:bidi="ar-SA"/>
        </w:rPr>
        <w:t>3.财务状况报告：提供2021年度或2022年度经审计的财务会计报告（包括审计报告、资产负债表、利润表、现金流量表、所有者权益变动表及其附注，成立时间至提交投标文件截止时间不足一年的可提供成立后任意时段的资产负债表和利润表）。或其基本存款账户开户银行出具的资信证明及基本存款账户开户许可证和最近3个月任意一个月的财务报表。</w:t>
      </w:r>
    </w:p>
    <w:p>
      <w:pPr>
        <w:spacing w:line="480" w:lineRule="exact"/>
        <w:ind w:firstLine="482" w:firstLineChars="200"/>
        <w:jc w:val="left"/>
        <w:rPr>
          <w:rFonts w:hint="eastAsia" w:asciiTheme="majorEastAsia" w:hAnsiTheme="majorEastAsia" w:eastAsiaTheme="majorEastAsia" w:cstheme="majorEastAsia"/>
          <w:b/>
          <w:kern w:val="2"/>
          <w:sz w:val="24"/>
          <w:szCs w:val="22"/>
          <w:lang w:val="en-US" w:eastAsia="zh-CN" w:bidi="ar-SA"/>
        </w:rPr>
      </w:pPr>
      <w:r>
        <w:rPr>
          <w:rFonts w:hint="eastAsia" w:asciiTheme="majorEastAsia" w:hAnsiTheme="majorEastAsia" w:eastAsiaTheme="majorEastAsia" w:cstheme="majorEastAsia"/>
          <w:b/>
          <w:kern w:val="2"/>
          <w:sz w:val="24"/>
          <w:szCs w:val="22"/>
          <w:lang w:val="en-US" w:eastAsia="zh-CN" w:bidi="ar-SA"/>
        </w:rPr>
        <w:t>4.税收缴纳证明：提供递交投标文件截止之日前一年内任意一个月的依法缴纳税收的相关凭据。依法免税或无须缴纳税收的投标人，应提供相应证明文件。</w:t>
      </w:r>
    </w:p>
    <w:p>
      <w:pPr>
        <w:spacing w:line="480" w:lineRule="exact"/>
        <w:ind w:firstLine="482" w:firstLineChars="200"/>
        <w:jc w:val="left"/>
        <w:rPr>
          <w:rFonts w:hint="eastAsia" w:asciiTheme="majorEastAsia" w:hAnsiTheme="majorEastAsia" w:eastAsiaTheme="majorEastAsia" w:cstheme="majorEastAsia"/>
          <w:b/>
          <w:kern w:val="2"/>
          <w:sz w:val="24"/>
          <w:szCs w:val="22"/>
          <w:lang w:val="en-US" w:eastAsia="zh-CN" w:bidi="ar-SA"/>
        </w:rPr>
      </w:pPr>
      <w:r>
        <w:rPr>
          <w:rFonts w:hint="eastAsia" w:asciiTheme="majorEastAsia" w:hAnsiTheme="majorEastAsia" w:eastAsiaTheme="majorEastAsia" w:cstheme="majorEastAsia"/>
          <w:b/>
          <w:kern w:val="2"/>
          <w:sz w:val="24"/>
          <w:szCs w:val="22"/>
          <w:lang w:val="en-US" w:eastAsia="zh-CN" w:bidi="ar-SA"/>
        </w:rPr>
        <w:t>5.社保缴纳证明：提供递交投标文件截止之日前近一年的任意一个月的社会保障资金缴存单据或社保机构开具的社会保险参保缴费情况证明。依法不需要缴纳社会保障资金的投标人应提供相关证明文件；</w:t>
      </w:r>
    </w:p>
    <w:p>
      <w:pPr>
        <w:spacing w:line="480" w:lineRule="exact"/>
        <w:ind w:firstLine="482" w:firstLineChars="200"/>
        <w:jc w:val="left"/>
        <w:rPr>
          <w:rFonts w:hint="eastAsia" w:asciiTheme="majorEastAsia" w:hAnsiTheme="majorEastAsia" w:eastAsiaTheme="majorEastAsia" w:cstheme="majorEastAsia"/>
          <w:b/>
          <w:kern w:val="2"/>
          <w:sz w:val="24"/>
          <w:szCs w:val="22"/>
          <w:lang w:val="en-US" w:eastAsia="zh-CN" w:bidi="ar-SA"/>
        </w:rPr>
      </w:pPr>
      <w:r>
        <w:rPr>
          <w:rFonts w:hint="eastAsia" w:asciiTheme="majorEastAsia" w:hAnsiTheme="majorEastAsia" w:eastAsiaTheme="majorEastAsia" w:cstheme="majorEastAsia"/>
          <w:b/>
          <w:kern w:val="2"/>
          <w:sz w:val="24"/>
          <w:szCs w:val="22"/>
          <w:lang w:val="en-US" w:eastAsia="zh-CN" w:bidi="ar-SA"/>
        </w:rPr>
        <w:t>6.书面声明：提供参加政府采购活动近三年内在经营活动中没有重大违法记录的书面声明。</w:t>
      </w:r>
    </w:p>
    <w:p>
      <w:pPr>
        <w:spacing w:line="480" w:lineRule="exact"/>
        <w:ind w:firstLine="482" w:firstLineChars="200"/>
        <w:jc w:val="left"/>
        <w:rPr>
          <w:rFonts w:hint="eastAsia" w:asciiTheme="majorEastAsia" w:hAnsiTheme="majorEastAsia" w:eastAsiaTheme="majorEastAsia" w:cstheme="majorEastAsia"/>
          <w:b/>
          <w:kern w:val="2"/>
          <w:sz w:val="24"/>
          <w:szCs w:val="22"/>
          <w:lang w:val="en-US" w:eastAsia="zh-CN" w:bidi="ar-SA"/>
        </w:rPr>
      </w:pPr>
      <w:r>
        <w:rPr>
          <w:rFonts w:hint="eastAsia" w:asciiTheme="majorEastAsia" w:hAnsiTheme="majorEastAsia" w:eastAsiaTheme="majorEastAsia" w:cstheme="majorEastAsia"/>
          <w:b/>
          <w:kern w:val="2"/>
          <w:sz w:val="24"/>
          <w:szCs w:val="22"/>
          <w:lang w:val="en-US" w:eastAsia="zh-CN" w:bidi="ar-SA"/>
        </w:rPr>
        <w:t>7.信用记录：供应商需通过“信用中国”网站（www.creditchina.gov.cn）查询主体无失信记录，不得为中国政府采购网（www.ccgp.gov.cn）政府采购严重违法失信行为记录名单中被财政部门禁止参加政府采购活动的单位（截图打印并加盖公章）。 </w:t>
      </w:r>
    </w:p>
    <w:p>
      <w:pPr>
        <w:spacing w:line="480" w:lineRule="exact"/>
        <w:ind w:firstLine="482" w:firstLineChars="200"/>
        <w:jc w:val="left"/>
        <w:rPr>
          <w:rFonts w:hint="eastAsia" w:asciiTheme="majorEastAsia" w:hAnsiTheme="majorEastAsia" w:eastAsiaTheme="majorEastAsia" w:cstheme="majorEastAsia"/>
          <w:b/>
          <w:kern w:val="2"/>
          <w:sz w:val="24"/>
          <w:szCs w:val="22"/>
          <w:lang w:val="en-US" w:eastAsia="zh-CN" w:bidi="ar-SA"/>
        </w:rPr>
      </w:pPr>
      <w:r>
        <w:rPr>
          <w:rFonts w:hint="eastAsia" w:asciiTheme="majorEastAsia" w:hAnsiTheme="majorEastAsia" w:eastAsiaTheme="majorEastAsia" w:cstheme="majorEastAsia"/>
          <w:b/>
          <w:kern w:val="2"/>
          <w:sz w:val="24"/>
          <w:szCs w:val="22"/>
          <w:lang w:val="en-US" w:eastAsia="zh-CN" w:bidi="ar-SA"/>
        </w:rPr>
        <w:t>8.控股管理关系：提供直接控股和管理关系清单。若与其他投标人存在单位负责人为同一人或者存在直接控股、管理关系的，则投标无效。</w:t>
      </w:r>
    </w:p>
    <w:p>
      <w:pPr>
        <w:spacing w:line="480" w:lineRule="exact"/>
        <w:ind w:firstLine="482" w:firstLineChars="200"/>
        <w:rPr>
          <w:rFonts w:hint="eastAsia" w:asciiTheme="majorEastAsia" w:hAnsiTheme="majorEastAsia" w:eastAsiaTheme="majorEastAsia" w:cstheme="majorEastAsia"/>
          <w:b/>
          <w:kern w:val="2"/>
          <w:sz w:val="24"/>
          <w:szCs w:val="22"/>
          <w:lang w:val="en-US" w:eastAsia="zh-CN" w:bidi="ar-SA"/>
        </w:rPr>
      </w:pPr>
      <w:r>
        <w:rPr>
          <w:rFonts w:hint="eastAsia" w:asciiTheme="majorEastAsia" w:hAnsiTheme="majorEastAsia" w:eastAsiaTheme="majorEastAsia" w:cstheme="majorEastAsia"/>
          <w:b/>
          <w:kern w:val="2"/>
          <w:sz w:val="24"/>
          <w:szCs w:val="22"/>
          <w:lang w:val="en-US" w:eastAsia="zh-CN" w:bidi="ar-SA"/>
        </w:rPr>
        <w:t>15.符合招标文件规定的文件</w:t>
      </w:r>
      <w:bookmarkEnd w:id="111"/>
      <w:bookmarkEnd w:id="112"/>
      <w:bookmarkEnd w:id="113"/>
      <w:bookmarkEnd w:id="114"/>
      <w:bookmarkEnd w:id="115"/>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15.1 提交文件可以是文字资料也可以是图纸、图片等资料，须提供：</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15.1.1 服务相关的证明及技术资料；</w:t>
      </w:r>
    </w:p>
    <w:p>
      <w:pPr>
        <w:pStyle w:val="5"/>
        <w:spacing w:line="480" w:lineRule="exact"/>
        <w:ind w:left="420"/>
        <w:rPr>
          <w:rFonts w:hint="eastAsia" w:asciiTheme="majorEastAsia" w:hAnsiTheme="majorEastAsia" w:eastAsiaTheme="majorEastAsia" w:cstheme="majorEastAsia"/>
        </w:rPr>
      </w:pPr>
      <w:bookmarkStart w:id="116" w:name="_Toc347478693"/>
      <w:bookmarkStart w:id="117" w:name="_Toc25808"/>
      <w:bookmarkStart w:id="118" w:name="_Toc8550"/>
      <w:bookmarkStart w:id="119" w:name="_Toc16665"/>
      <w:bookmarkStart w:id="120" w:name="_Toc28808"/>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.投标有效期</w:t>
      </w:r>
      <w:bookmarkEnd w:id="116"/>
      <w:bookmarkEnd w:id="117"/>
      <w:bookmarkEnd w:id="118"/>
      <w:bookmarkEnd w:id="119"/>
      <w:bookmarkEnd w:id="120"/>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.1 投标文件从投标之日起，投标有效期为</w:t>
      </w:r>
      <w:r>
        <w:rPr>
          <w:rFonts w:hint="eastAsia" w:asciiTheme="majorEastAsia" w:hAnsiTheme="majorEastAsia" w:eastAsiaTheme="majorEastAsia" w:cstheme="majorEastAsia"/>
          <w:sz w:val="24"/>
          <w:szCs w:val="24"/>
          <w:u w:val="single"/>
        </w:rPr>
        <w:t>90</w:t>
      </w:r>
      <w:r>
        <w:rPr>
          <w:rFonts w:hint="eastAsia" w:asciiTheme="majorEastAsia" w:hAnsiTheme="majorEastAsia" w:eastAsiaTheme="majorEastAsia" w:cstheme="majorEastAsia"/>
          <w:sz w:val="24"/>
          <w:szCs w:val="24"/>
        </w:rPr>
        <w:t>天。投标文件的有效期比本须知规定的有效期短的，将被视为非响应投标，采购人有权拒绝；</w:t>
      </w:r>
    </w:p>
    <w:p>
      <w:pPr>
        <w:spacing w:line="48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.2 特殊情况下，采购人可于投标有效期满之前要求供应商同意延长有效期，要求与答复均应为书面形式。供应商可以拒绝上述要求，对于同意该要求的供应商，既不要求也不允许其修改投标文件</w:t>
      </w:r>
      <w:r>
        <w:rPr>
          <w:rFonts w:hint="eastAsia" w:asciiTheme="majorEastAsia" w:hAnsiTheme="majorEastAsia" w:eastAsiaTheme="majorEastAsia" w:cstheme="majorEastAsia"/>
          <w:sz w:val="24"/>
          <w:szCs w:val="24"/>
          <w:lang w:eastAsia="zh-CN"/>
        </w:rPr>
        <w:t>。</w:t>
      </w:r>
    </w:p>
    <w:p>
      <w:pPr>
        <w:pStyle w:val="5"/>
        <w:spacing w:line="480" w:lineRule="exact"/>
        <w:ind w:left="420"/>
        <w:rPr>
          <w:rFonts w:hint="eastAsia" w:asciiTheme="majorEastAsia" w:hAnsiTheme="majorEastAsia" w:eastAsiaTheme="majorEastAsia" w:cstheme="majorEastAsia"/>
        </w:rPr>
      </w:pPr>
      <w:bookmarkStart w:id="121" w:name="_Toc29201"/>
      <w:bookmarkStart w:id="122" w:name="_Toc7860"/>
      <w:bookmarkStart w:id="123" w:name="_Toc347478694"/>
      <w:bookmarkStart w:id="124" w:name="_Toc30501"/>
      <w:bookmarkStart w:id="125" w:name="_Toc9366"/>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.投标文件的签署及格式</w:t>
      </w:r>
      <w:bookmarkEnd w:id="121"/>
      <w:bookmarkEnd w:id="122"/>
      <w:bookmarkEnd w:id="123"/>
      <w:bookmarkEnd w:id="124"/>
      <w:bookmarkEnd w:id="125"/>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.1 投标文件的正本和所有副本均须打印或用不褪色蓝（黑）墨水（汁）书写，统一装订、</w:t>
      </w:r>
      <w:r>
        <w:rPr>
          <w:rFonts w:hint="eastAsia" w:asciiTheme="majorEastAsia" w:hAnsiTheme="majorEastAsia" w:eastAsiaTheme="majorEastAsia" w:cstheme="majorEastAsia"/>
          <w:sz w:val="24"/>
          <w:szCs w:val="24"/>
          <w:lang w:eastAsia="zh-CN"/>
        </w:rPr>
        <w:t>编写连续页码（第几页</w:t>
      </w:r>
      <w:r>
        <w:rPr>
          <w:rFonts w:hint="eastAsia" w:asciiTheme="majorEastAsia" w:hAnsiTheme="majorEastAsia" w:eastAsiaTheme="majorEastAsia" w:cstheme="majorEastAsia"/>
          <w:sz w:val="24"/>
          <w:szCs w:val="24"/>
          <w:lang w:val="en-US" w:eastAsia="zh-CN"/>
        </w:rPr>
        <w:t xml:space="preserve"> 共几页</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color w:val="auto"/>
          <w:sz w:val="24"/>
          <w:szCs w:val="24"/>
          <w:u w:val="single"/>
          <w:lang w:eastAsia="zh-CN"/>
        </w:rPr>
        <w:t>投标</w:t>
      </w:r>
      <w:r>
        <w:rPr>
          <w:rFonts w:hint="eastAsia" w:asciiTheme="majorEastAsia" w:hAnsiTheme="majorEastAsia" w:eastAsiaTheme="majorEastAsia" w:cstheme="majorEastAsia"/>
          <w:b/>
          <w:color w:val="auto"/>
          <w:sz w:val="24"/>
          <w:szCs w:val="24"/>
          <w:u w:val="single"/>
        </w:rPr>
        <w:t>文件中，每一页均应由</w:t>
      </w:r>
      <w:r>
        <w:rPr>
          <w:rFonts w:hint="eastAsia" w:asciiTheme="majorEastAsia" w:hAnsiTheme="majorEastAsia" w:eastAsiaTheme="majorEastAsia" w:cstheme="majorEastAsia"/>
          <w:b/>
          <w:color w:val="auto"/>
          <w:sz w:val="24"/>
          <w:szCs w:val="24"/>
          <w:u w:val="single"/>
          <w:lang w:eastAsia="zh-CN"/>
        </w:rPr>
        <w:t>供应商</w:t>
      </w:r>
      <w:r>
        <w:rPr>
          <w:rFonts w:hint="eastAsia" w:asciiTheme="majorEastAsia" w:hAnsiTheme="majorEastAsia" w:eastAsiaTheme="majorEastAsia" w:cstheme="majorEastAsia"/>
          <w:b/>
          <w:color w:val="auto"/>
          <w:sz w:val="24"/>
          <w:szCs w:val="24"/>
          <w:u w:val="single"/>
        </w:rPr>
        <w:t>加盖公章，或者由投标人法定代表人或授权代表签名，其中规定格式的文件应当按要求签名和加盖</w:t>
      </w:r>
      <w:r>
        <w:rPr>
          <w:rFonts w:hint="eastAsia" w:asciiTheme="majorEastAsia" w:hAnsiTheme="majorEastAsia" w:eastAsiaTheme="majorEastAsia" w:cstheme="majorEastAsia"/>
          <w:b/>
          <w:color w:val="auto"/>
          <w:sz w:val="24"/>
          <w:szCs w:val="24"/>
          <w:u w:val="single"/>
          <w:lang w:eastAsia="zh-CN"/>
        </w:rPr>
        <w:t>供应商</w:t>
      </w:r>
      <w:r>
        <w:rPr>
          <w:rFonts w:hint="eastAsia" w:asciiTheme="majorEastAsia" w:hAnsiTheme="majorEastAsia" w:eastAsiaTheme="majorEastAsia" w:cstheme="majorEastAsia"/>
          <w:b/>
          <w:color w:val="auto"/>
          <w:sz w:val="24"/>
          <w:szCs w:val="24"/>
          <w:u w:val="single"/>
        </w:rPr>
        <w:t>公章</w:t>
      </w:r>
      <w:r>
        <w:rPr>
          <w:rFonts w:hint="eastAsia" w:asciiTheme="majorEastAsia" w:hAnsiTheme="majorEastAsia" w:eastAsiaTheme="majorEastAsia" w:cstheme="majorEastAsia"/>
          <w:b/>
          <w:color w:val="auto"/>
          <w:sz w:val="24"/>
          <w:szCs w:val="24"/>
          <w:u w:val="single"/>
          <w:lang w:eastAsia="zh-CN"/>
        </w:rPr>
        <w:t>，不允许用骑缝章代替逐页盖章。</w:t>
      </w:r>
      <w:r>
        <w:rPr>
          <w:rFonts w:hint="eastAsia" w:asciiTheme="majorEastAsia" w:hAnsiTheme="majorEastAsia" w:eastAsiaTheme="majorEastAsia" w:cstheme="majorEastAsia"/>
          <w:sz w:val="24"/>
          <w:szCs w:val="24"/>
        </w:rPr>
        <w:t>一旦正本和副本有差异，以正本为准；</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.2 除供应商对错处作必要修改外，投标文件中不许有加行、涂抹或改写；若有修改须由授权代表或法定代表人在修改处签字；</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.3 采购人拒绝接受以电报、电话、传真、电子邮件形式的投标。</w:t>
      </w:r>
    </w:p>
    <w:p>
      <w:pPr>
        <w:spacing w:line="480" w:lineRule="exact"/>
        <w:rPr>
          <w:rFonts w:hint="eastAsia" w:asciiTheme="majorEastAsia" w:hAnsiTheme="majorEastAsia" w:eastAsiaTheme="majorEastAsia" w:cstheme="majorEastAsia"/>
        </w:rPr>
      </w:pPr>
      <w:bookmarkStart w:id="126" w:name="_Toc9859"/>
      <w:bookmarkStart w:id="127" w:name="_Toc347478695"/>
    </w:p>
    <w:p>
      <w:pPr>
        <w:pStyle w:val="4"/>
        <w:spacing w:line="480" w:lineRule="exact"/>
        <w:ind w:left="420"/>
        <w:rPr>
          <w:rFonts w:hint="eastAsia" w:asciiTheme="majorEastAsia" w:hAnsiTheme="majorEastAsia" w:eastAsiaTheme="majorEastAsia" w:cstheme="majorEastAsia"/>
        </w:rPr>
      </w:pPr>
      <w:bookmarkStart w:id="128" w:name="_Toc23040"/>
      <w:bookmarkStart w:id="129" w:name="_Toc31737"/>
      <w:bookmarkStart w:id="130" w:name="_Toc16987"/>
      <w:bookmarkStart w:id="131" w:name="_Toc7306"/>
      <w:r>
        <w:rPr>
          <w:rFonts w:hint="eastAsia" w:asciiTheme="majorEastAsia" w:hAnsiTheme="majorEastAsia" w:eastAsiaTheme="majorEastAsia" w:cstheme="majorEastAsia"/>
        </w:rPr>
        <w:t>第四章 投标文件的递交</w:t>
      </w:r>
      <w:bookmarkEnd w:id="126"/>
      <w:bookmarkEnd w:id="127"/>
      <w:bookmarkEnd w:id="128"/>
      <w:bookmarkEnd w:id="129"/>
      <w:bookmarkEnd w:id="130"/>
      <w:bookmarkEnd w:id="131"/>
    </w:p>
    <w:p>
      <w:pPr>
        <w:spacing w:line="480" w:lineRule="exact"/>
        <w:rPr>
          <w:rFonts w:hint="eastAsia" w:asciiTheme="majorEastAsia" w:hAnsiTheme="majorEastAsia" w:eastAsiaTheme="majorEastAsia" w:cstheme="majorEastAsia"/>
        </w:rPr>
      </w:pPr>
      <w:bookmarkStart w:id="132" w:name="_Toc347478696"/>
      <w:bookmarkStart w:id="133" w:name="_Toc13582"/>
    </w:p>
    <w:p>
      <w:pPr>
        <w:pStyle w:val="5"/>
        <w:spacing w:line="480" w:lineRule="exact"/>
        <w:ind w:left="420"/>
        <w:rPr>
          <w:rFonts w:hint="eastAsia" w:asciiTheme="majorEastAsia" w:hAnsiTheme="majorEastAsia" w:eastAsiaTheme="majorEastAsia" w:cstheme="majorEastAsia"/>
        </w:rPr>
      </w:pPr>
      <w:bookmarkStart w:id="134" w:name="_Toc20573"/>
      <w:bookmarkStart w:id="135" w:name="_Toc19140"/>
      <w:bookmarkStart w:id="136" w:name="_Toc21135"/>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.投标文件的份数、包装和标记</w:t>
      </w:r>
      <w:bookmarkEnd w:id="132"/>
      <w:bookmarkEnd w:id="133"/>
      <w:bookmarkEnd w:id="134"/>
      <w:bookmarkEnd w:id="135"/>
      <w:bookmarkEnd w:id="136"/>
    </w:p>
    <w:p>
      <w:pPr>
        <w:spacing w:line="480" w:lineRule="exact"/>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 xml:space="preserve">.1 </w:t>
      </w:r>
      <w:r>
        <w:rPr>
          <w:rFonts w:hint="eastAsia" w:asciiTheme="majorEastAsia" w:hAnsiTheme="majorEastAsia" w:eastAsiaTheme="majorEastAsia" w:cstheme="majorEastAsia"/>
          <w:bCs/>
          <w:sz w:val="24"/>
          <w:szCs w:val="24"/>
        </w:rPr>
        <w:t>投标文件份数见供应商须知前附表；</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.1.1 供应商应将所有投标文件的正本和所有副本分别装订，每套“投标文件”封面的右上角应标明“正本”或“副本”。一旦正本与副本不符，以正本为主；资格审查部分应写明“资格审查部分”字样；</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.2 供应商应将投标文件正本、副本、资格审查部分分别密封；</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2.1投标文件正本、副本应分别用投标文件袋密封，并在正面标明采购项目编号、采购项目名称、供应商名称及“正本”、“副本”字样。为方便开标唱标，供应商应将开标一览表单独密封提交，并在密封袋上标明“开标一览表”字样；</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.2.2投标文件密封必须用封条在投标文件袋的上方开口处密封，并填写密封日期。封条上加盖供应商公章和法定代表人或其授权人签字或印鉴，投标文件袋正面按照规定加盖供应商公章。</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.3 如果未按上述规定进行密封和标记，采购人有权拒绝供应商的投标文件。</w:t>
      </w:r>
    </w:p>
    <w:p>
      <w:pPr>
        <w:pStyle w:val="5"/>
        <w:spacing w:line="480" w:lineRule="exact"/>
        <w:ind w:left="420"/>
        <w:rPr>
          <w:rFonts w:hint="eastAsia" w:asciiTheme="majorEastAsia" w:hAnsiTheme="majorEastAsia" w:eastAsiaTheme="majorEastAsia" w:cstheme="majorEastAsia"/>
        </w:rPr>
      </w:pPr>
      <w:bookmarkStart w:id="137" w:name="_Toc347478697"/>
      <w:bookmarkStart w:id="138" w:name="_Toc31100"/>
      <w:bookmarkStart w:id="139" w:name="_Toc26669"/>
      <w:bookmarkStart w:id="140" w:name="_Toc25593"/>
      <w:bookmarkStart w:id="141" w:name="_Toc17877"/>
      <w:r>
        <w:rPr>
          <w:rFonts w:hint="eastAsia" w:asciiTheme="majorEastAsia" w:hAnsiTheme="majorEastAsia" w:eastAsiaTheme="majorEastAsia" w:cstheme="majorEastAsia"/>
          <w:lang w:val="en-US" w:eastAsia="zh-CN"/>
        </w:rPr>
        <w:t>19</w:t>
      </w:r>
      <w:r>
        <w:rPr>
          <w:rFonts w:hint="eastAsia" w:asciiTheme="majorEastAsia" w:hAnsiTheme="majorEastAsia" w:eastAsiaTheme="majorEastAsia" w:cstheme="majorEastAsia"/>
        </w:rPr>
        <w:t>.投标截止时间</w:t>
      </w:r>
      <w:bookmarkEnd w:id="137"/>
      <w:bookmarkEnd w:id="138"/>
      <w:bookmarkEnd w:id="139"/>
      <w:bookmarkEnd w:id="140"/>
      <w:bookmarkEnd w:id="141"/>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19</w:t>
      </w:r>
      <w:r>
        <w:rPr>
          <w:rFonts w:hint="eastAsia" w:asciiTheme="majorEastAsia" w:hAnsiTheme="majorEastAsia" w:eastAsiaTheme="majorEastAsia" w:cstheme="majorEastAsia"/>
          <w:sz w:val="24"/>
          <w:szCs w:val="24"/>
        </w:rPr>
        <w:t>.1 所有投标文件都必须按招标文件中规定的统一递交投标文件时间送达招标文件规定的递交地址；</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19</w:t>
      </w:r>
      <w:r>
        <w:rPr>
          <w:rFonts w:hint="eastAsia" w:asciiTheme="majorEastAsia" w:hAnsiTheme="majorEastAsia" w:eastAsiaTheme="majorEastAsia" w:cstheme="majorEastAsia"/>
          <w:sz w:val="24"/>
          <w:szCs w:val="24"/>
        </w:rPr>
        <w:t>.2 出现第7.3款因招标文件的修改推迟投标截止日期时，则按采购人修改通知规定的时间递交；</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19</w:t>
      </w:r>
      <w:r>
        <w:rPr>
          <w:rFonts w:hint="eastAsia" w:asciiTheme="majorEastAsia" w:hAnsiTheme="majorEastAsia" w:eastAsiaTheme="majorEastAsia" w:cstheme="majorEastAsia"/>
          <w:sz w:val="24"/>
          <w:szCs w:val="24"/>
        </w:rPr>
        <w:t>.3 采购人将拒绝接收在投标文件递交时间之后收到的任何投标文件。</w:t>
      </w:r>
    </w:p>
    <w:p>
      <w:pPr>
        <w:spacing w:line="480" w:lineRule="exact"/>
        <w:rPr>
          <w:rFonts w:hint="eastAsia" w:asciiTheme="majorEastAsia" w:hAnsiTheme="majorEastAsia" w:eastAsiaTheme="majorEastAsia" w:cstheme="majorEastAsia"/>
        </w:rPr>
      </w:pPr>
      <w:bookmarkStart w:id="142" w:name="_Toc21632"/>
      <w:bookmarkStart w:id="143" w:name="_Toc347478698"/>
    </w:p>
    <w:p>
      <w:pPr>
        <w:pStyle w:val="4"/>
        <w:spacing w:line="480" w:lineRule="exact"/>
        <w:ind w:left="420"/>
        <w:rPr>
          <w:rFonts w:hint="eastAsia" w:asciiTheme="majorEastAsia" w:hAnsiTheme="majorEastAsia" w:eastAsiaTheme="majorEastAsia" w:cstheme="majorEastAsia"/>
        </w:rPr>
      </w:pPr>
      <w:bookmarkStart w:id="144" w:name="_Toc3217"/>
      <w:bookmarkStart w:id="145" w:name="_Toc27434"/>
      <w:bookmarkStart w:id="146" w:name="_Toc21884"/>
      <w:bookmarkStart w:id="147" w:name="_Toc11735"/>
      <w:r>
        <w:rPr>
          <w:rFonts w:hint="eastAsia" w:asciiTheme="majorEastAsia" w:hAnsiTheme="majorEastAsia" w:eastAsiaTheme="majorEastAsia" w:cstheme="majorEastAsia"/>
        </w:rPr>
        <w:t>第五章 开标/评审</w:t>
      </w:r>
      <w:bookmarkEnd w:id="142"/>
      <w:bookmarkEnd w:id="143"/>
      <w:bookmarkEnd w:id="144"/>
      <w:bookmarkEnd w:id="145"/>
      <w:bookmarkEnd w:id="146"/>
      <w:bookmarkEnd w:id="147"/>
    </w:p>
    <w:p>
      <w:pPr>
        <w:rPr>
          <w:rFonts w:hint="eastAsia" w:asciiTheme="majorEastAsia" w:hAnsiTheme="majorEastAsia" w:eastAsiaTheme="majorEastAsia" w:cstheme="majorEastAsia"/>
        </w:rPr>
      </w:pPr>
      <w:bookmarkStart w:id="148" w:name="_Toc22692"/>
      <w:bookmarkStart w:id="149" w:name="_Toc347478699"/>
    </w:p>
    <w:p>
      <w:pPr>
        <w:pStyle w:val="5"/>
        <w:spacing w:line="480" w:lineRule="exact"/>
        <w:ind w:left="420"/>
        <w:rPr>
          <w:rFonts w:hint="eastAsia" w:asciiTheme="majorEastAsia" w:hAnsiTheme="majorEastAsia" w:eastAsiaTheme="majorEastAsia" w:cstheme="majorEastAsia"/>
        </w:rPr>
      </w:pPr>
      <w:bookmarkStart w:id="150" w:name="_Toc8154"/>
      <w:bookmarkStart w:id="151" w:name="_Toc17551"/>
      <w:bookmarkStart w:id="152" w:name="_Toc29956"/>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0</w:t>
      </w:r>
      <w:r>
        <w:rPr>
          <w:rFonts w:hint="eastAsia" w:asciiTheme="majorEastAsia" w:hAnsiTheme="majorEastAsia" w:eastAsiaTheme="majorEastAsia" w:cstheme="majorEastAsia"/>
        </w:rPr>
        <w:t>.开标</w:t>
      </w:r>
      <w:bookmarkEnd w:id="148"/>
      <w:bookmarkEnd w:id="149"/>
      <w:bookmarkEnd w:id="150"/>
      <w:bookmarkEnd w:id="151"/>
      <w:bookmarkEnd w:id="152"/>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.1 采购代理机构按“供应商须知前附表”所规定的时间和地点公开开标，开标仪式由采购代理机构主持，供应商、采购人代表及有关工作人员参加；</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.2 开标程序：</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.2.1开标由采购代理机构主持；</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.2.2投标人不足3家的，不得开标；</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.2.3由供应商授权代表和监标人共同检查投标文件的密封情况；</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.2.4经确认无误后，由采购代理机构工作人员当众拆封，宣布投标人名称、投标价格和招标文件规定的需要宣布的其他内容。</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.2.5开标过程应当由采购人或者采购代理机构负责记录，由参加开标的各投标人代表和相关工作人员签字确认后随采购文件一并存档；</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.2.6投标人未参加开标的，视同认可开标结果；</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.3 公开招标数额标准以上的采购项目，投标截止后投标人不足3家或者通过资格审查或符合性审查的投标人不足3家的，除采购任务取消情形外，按照以下方式处理：</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.3.1招标文件存在不合理条款或者招标程序不符合规定的，采购人、采购代理机构改正后依法重新招标；</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.3.2招标文件没有不合理条款、招标程序符合规定，需要采用其他采购方式采购的，采购人应当依法报财政部门批准；</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.4 公开招标采购项目开标结束后，采购人或者采购代理机构应当依法对投标人的资格进行审查。合格投标人不足3家的，不得评标。</w:t>
      </w:r>
    </w:p>
    <w:p>
      <w:pPr>
        <w:pStyle w:val="5"/>
        <w:spacing w:line="480" w:lineRule="exact"/>
        <w:ind w:left="420"/>
        <w:rPr>
          <w:rFonts w:hint="eastAsia" w:asciiTheme="majorEastAsia" w:hAnsiTheme="majorEastAsia" w:eastAsiaTheme="majorEastAsia" w:cstheme="majorEastAsia"/>
        </w:rPr>
      </w:pPr>
      <w:bookmarkStart w:id="153" w:name="_Toc8782"/>
      <w:bookmarkStart w:id="154" w:name="_Toc347478700"/>
      <w:bookmarkStart w:id="155" w:name="_Toc6010"/>
      <w:bookmarkStart w:id="156" w:name="_Toc6251"/>
      <w:bookmarkStart w:id="157" w:name="_Toc14394"/>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.评标委员会</w:t>
      </w:r>
      <w:bookmarkEnd w:id="153"/>
      <w:bookmarkEnd w:id="154"/>
      <w:r>
        <w:rPr>
          <w:rFonts w:hint="eastAsia" w:asciiTheme="majorEastAsia" w:hAnsiTheme="majorEastAsia" w:eastAsiaTheme="majorEastAsia" w:cstheme="majorEastAsia"/>
        </w:rPr>
        <w:t>与评审</w:t>
      </w:r>
      <w:bookmarkEnd w:id="155"/>
      <w:bookmarkEnd w:id="156"/>
      <w:bookmarkEnd w:id="157"/>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.1采购人和采购代理机构依法组建评标委员会。评标委员会由采购人和有关技术、经济专家组成，其中技术、经济专家人数不少于评标委员会总人数的2/3；</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.2采购代理机构负责组织评标工作：</w:t>
      </w:r>
    </w:p>
    <w:p>
      <w:pPr>
        <w:pStyle w:val="11"/>
        <w:spacing w:line="480" w:lineRule="exact"/>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.2.1 核对评审专家身份和采购人代表授权函，对评审专家在政府采购活动中的职责履行情况予以记录，并及时将有关违法违规行为向财政部门报告；</w:t>
      </w:r>
    </w:p>
    <w:p>
      <w:pPr>
        <w:pStyle w:val="11"/>
        <w:spacing w:line="480" w:lineRule="exact"/>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.2.2 宣布评标纪律；</w:t>
      </w:r>
    </w:p>
    <w:p>
      <w:pPr>
        <w:pStyle w:val="11"/>
        <w:spacing w:line="480" w:lineRule="exact"/>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.2.3 公布投标人名单，告知评审专家应当回避的情形；</w:t>
      </w:r>
    </w:p>
    <w:p>
      <w:pPr>
        <w:pStyle w:val="11"/>
        <w:spacing w:line="480" w:lineRule="exact"/>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.2.4 组织评标委员会推选评标组长，采购人代表不得担任组长；</w:t>
      </w:r>
    </w:p>
    <w:p>
      <w:pPr>
        <w:pStyle w:val="11"/>
        <w:spacing w:line="480" w:lineRule="exact"/>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.2.5 在评标期间采取必要的通讯管理措施，保证评标活动不受外界干扰；</w:t>
      </w:r>
    </w:p>
    <w:p>
      <w:pPr>
        <w:pStyle w:val="11"/>
        <w:spacing w:line="480" w:lineRule="exact"/>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.2.6 维护评标秩序，监督评标委员会依照招标文件规定的评标程序、方法和标准进行独立评审，及时制止和纠正采购人代表、评审专家的倾向性言论或者违法违规行为；</w:t>
      </w:r>
    </w:p>
    <w:p>
      <w:pPr>
        <w:pStyle w:val="11"/>
        <w:spacing w:line="480" w:lineRule="exact"/>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.2.7 核对评标结果，有《政府采购货物和服务招标投标管理办法》（财政部第87号令）第六十四条规定情形的，要求评标委员会复核或者书面说明理由，评标委员会拒绝的，应予记录并向本级财政部门报告；</w:t>
      </w:r>
    </w:p>
    <w:p>
      <w:pPr>
        <w:pStyle w:val="11"/>
        <w:spacing w:line="480" w:lineRule="exact"/>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.3评标委员会负责具体评标事务：</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.3.1 审查、评价投标文件是否符合招标文件的商务、技术等实质性要求；</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.3.2 要求投标人对投标文件有关事项作出澄清或者说明；</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.3.3 对投标文件进行比较和评价；</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.3.4 确定中标候选人名单，以及根据采购人委托直接确定中标人；</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.4评标委员会按照以下程序进行评审，未通过上一程序审查的不能进入下一程序：</w:t>
      </w:r>
    </w:p>
    <w:p>
      <w:pPr>
        <w:spacing w:line="480" w:lineRule="exact"/>
        <w:ind w:left="1124" w:leftChars="228" w:hanging="645" w:hangingChars="26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.4.1投标文件资格性审查；</w:t>
      </w:r>
    </w:p>
    <w:p>
      <w:pPr>
        <w:spacing w:line="480" w:lineRule="exact"/>
        <w:ind w:left="1124" w:leftChars="228" w:hanging="645" w:hangingChars="26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.4.2投标文件符合性审查；</w:t>
      </w:r>
    </w:p>
    <w:p>
      <w:pPr>
        <w:spacing w:line="480" w:lineRule="exact"/>
        <w:ind w:left="1124" w:leftChars="228" w:hanging="645" w:hangingChars="26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.4.3投标文件详细评审。</w:t>
      </w:r>
    </w:p>
    <w:p>
      <w:pPr>
        <w:pStyle w:val="5"/>
        <w:spacing w:line="480" w:lineRule="exact"/>
        <w:ind w:left="420"/>
        <w:rPr>
          <w:rFonts w:hint="eastAsia" w:asciiTheme="majorEastAsia" w:hAnsiTheme="majorEastAsia" w:eastAsiaTheme="majorEastAsia" w:cstheme="majorEastAsia"/>
        </w:rPr>
      </w:pPr>
      <w:bookmarkStart w:id="158" w:name="_Toc563"/>
      <w:bookmarkStart w:id="159" w:name="_Toc19484"/>
      <w:bookmarkStart w:id="160" w:name="_Toc8162"/>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.投标及投标文件的有效性</w:t>
      </w:r>
      <w:bookmarkEnd w:id="158"/>
      <w:bookmarkEnd w:id="159"/>
      <w:bookmarkEnd w:id="160"/>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经过对供应商及投标文件的资格性和符合性审查，出现下列情况者（但不限于），按无效投标处理：</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.1 投标文件没有法定代表人授权书（法人直接投标除外）或授权书的合法性或有效性不符合招标文件规定；</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.2供应商资质的有效性或符合性不符合要求的；</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3</w:t>
      </w:r>
      <w:r>
        <w:rPr>
          <w:rFonts w:hint="eastAsia" w:asciiTheme="majorEastAsia" w:hAnsiTheme="majorEastAsia" w:eastAsiaTheme="majorEastAsia" w:cstheme="majorEastAsia"/>
          <w:kern w:val="0"/>
          <w:sz w:val="24"/>
          <w:szCs w:val="24"/>
        </w:rPr>
        <w:t>投标文件的格式不符合招标文件要求、关键内容字迹模糊、无法辨认、前后矛盾的；</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4</w:t>
      </w:r>
      <w:r>
        <w:rPr>
          <w:rFonts w:hint="eastAsia" w:asciiTheme="majorEastAsia" w:hAnsiTheme="majorEastAsia" w:eastAsiaTheme="majorEastAsia" w:cstheme="majorEastAsia"/>
          <w:kern w:val="0"/>
          <w:sz w:val="24"/>
          <w:szCs w:val="24"/>
        </w:rPr>
        <w:t>投标文件未按招标文件规定有效签字和盖章的；由供应商授权代表签字的,但未随投标文件一起提交有效的“授权委托书”原件的；</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5</w:t>
      </w:r>
      <w:r>
        <w:rPr>
          <w:rFonts w:hint="eastAsia" w:asciiTheme="majorEastAsia" w:hAnsiTheme="majorEastAsia" w:eastAsiaTheme="majorEastAsia" w:cstheme="majorEastAsia"/>
          <w:kern w:val="0"/>
          <w:sz w:val="24"/>
          <w:szCs w:val="24"/>
        </w:rPr>
        <w:t>投标有效期不足的；</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6</w:t>
      </w:r>
      <w:r>
        <w:rPr>
          <w:rFonts w:hint="eastAsia" w:asciiTheme="majorEastAsia" w:hAnsiTheme="majorEastAsia" w:eastAsiaTheme="majorEastAsia" w:cstheme="majorEastAsia"/>
          <w:kern w:val="0"/>
          <w:sz w:val="24"/>
          <w:szCs w:val="24"/>
        </w:rPr>
        <w:t>投标内容出现漏项或与要求不符，出现重大负偏差；</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7</w:t>
      </w:r>
      <w:r>
        <w:rPr>
          <w:rFonts w:hint="eastAsia" w:asciiTheme="majorEastAsia" w:hAnsiTheme="majorEastAsia" w:eastAsiaTheme="majorEastAsia" w:cstheme="majorEastAsia"/>
          <w:kern w:val="0"/>
          <w:sz w:val="24"/>
          <w:szCs w:val="24"/>
        </w:rPr>
        <w:t xml:space="preserve"> 投标文件的合同主要条款响应与招标文件要求不一致（交货期、质保及售后服务等项），附加了采购人难以接受的条件；</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8</w:t>
      </w:r>
      <w:r>
        <w:rPr>
          <w:rFonts w:hint="eastAsia" w:asciiTheme="majorEastAsia" w:hAnsiTheme="majorEastAsia" w:eastAsiaTheme="majorEastAsia" w:cstheme="majorEastAsia"/>
          <w:kern w:val="0"/>
          <w:sz w:val="24"/>
          <w:szCs w:val="24"/>
        </w:rPr>
        <w:t>规定不接受选择方案和选择报价（包括交叉折扣）的，供应商提供了选择方案和/或选择报价（包括交叉折扣）；</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kern w:val="0"/>
          <w:sz w:val="24"/>
          <w:szCs w:val="24"/>
          <w:lang w:val="en-US" w:eastAsia="zh-CN"/>
        </w:rPr>
        <w:t>9</w:t>
      </w:r>
      <w:r>
        <w:rPr>
          <w:rFonts w:hint="eastAsia" w:asciiTheme="majorEastAsia" w:hAnsiTheme="majorEastAsia" w:eastAsiaTheme="majorEastAsia" w:cstheme="majorEastAsia"/>
          <w:kern w:val="0"/>
          <w:sz w:val="24"/>
          <w:szCs w:val="24"/>
        </w:rPr>
        <w:t xml:space="preserve"> 投标报价超过招标文件中规定的预算金额或者最高限价；</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lang w:val="en-US" w:eastAsia="zh-CN"/>
        </w:rPr>
        <w:t>0</w:t>
      </w:r>
      <w:r>
        <w:rPr>
          <w:rFonts w:hint="eastAsia" w:asciiTheme="majorEastAsia" w:hAnsiTheme="majorEastAsia" w:eastAsiaTheme="majorEastAsia" w:cstheme="majorEastAsia"/>
          <w:b/>
          <w:bCs/>
          <w:kern w:val="0"/>
          <w:sz w:val="24"/>
          <w:szCs w:val="24"/>
          <w:lang w:val="en-US" w:eastAsia="zh-CN"/>
        </w:rPr>
        <w:t>评标委员会认为投标人的报价明显低于其他通过符合性审查投标人的报价，有可能影响产品质量或者不能诚信履约的，可要求该供应商在规定期限内，提供必要的书面文件予以解释和说明并附带相关证明材料，证明其报价合理性的；否则，评标委员会认定该供应商以低于成本价竞价，其响应文件作无效投标文件处理；</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lang w:val="en-US" w:eastAsia="zh-CN"/>
        </w:rPr>
        <w:t>1</w:t>
      </w:r>
      <w:r>
        <w:rPr>
          <w:rFonts w:hint="eastAsia" w:asciiTheme="majorEastAsia" w:hAnsiTheme="majorEastAsia" w:eastAsiaTheme="majorEastAsia" w:cstheme="majorEastAsia"/>
          <w:kern w:val="0"/>
          <w:sz w:val="24"/>
          <w:szCs w:val="24"/>
        </w:rPr>
        <w:t>提供虚假证明，开具虚假资质，出现虚假应答；</w:t>
      </w:r>
    </w:p>
    <w:p>
      <w:pPr>
        <w:overflowPunct w:val="0"/>
        <w:adjustRightInd w:val="0"/>
        <w:snapToGrid w:val="0"/>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供应商有违法违规行为的；</w:t>
      </w:r>
    </w:p>
    <w:p>
      <w:pPr>
        <w:widowControl/>
        <w:spacing w:line="480" w:lineRule="exact"/>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lang w:val="en-US" w:eastAsia="zh-CN"/>
        </w:rPr>
        <w:t>3</w:t>
      </w:r>
      <w:r>
        <w:rPr>
          <w:rFonts w:hint="eastAsia" w:asciiTheme="majorEastAsia" w:hAnsiTheme="majorEastAsia" w:eastAsiaTheme="majorEastAsia" w:cstheme="majorEastAsia"/>
          <w:kern w:val="0"/>
          <w:sz w:val="24"/>
          <w:szCs w:val="24"/>
        </w:rPr>
        <w:t>其他法律法规规定的无效投标情形。</w:t>
      </w:r>
    </w:p>
    <w:p>
      <w:pPr>
        <w:pStyle w:val="5"/>
        <w:spacing w:line="480" w:lineRule="exact"/>
        <w:ind w:left="420"/>
        <w:rPr>
          <w:rFonts w:hint="eastAsia" w:asciiTheme="majorEastAsia" w:hAnsiTheme="majorEastAsia" w:eastAsiaTheme="majorEastAsia" w:cstheme="majorEastAsia"/>
        </w:rPr>
      </w:pPr>
      <w:bookmarkStart w:id="161" w:name="_Toc23950"/>
      <w:bookmarkStart w:id="162" w:name="_Toc23720"/>
      <w:bookmarkStart w:id="163" w:name="_Toc28451"/>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.对投标文件的审查和响应性的确定</w:t>
      </w:r>
      <w:bookmarkEnd w:id="161"/>
      <w:bookmarkEnd w:id="162"/>
      <w:bookmarkEnd w:id="163"/>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.1评标委员会将组织审查投标文件是否完整，规定的技术方案是否提交，文件是否按招标文件规定签署。</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.2评标委员会将确定每一投标商是否对招标文件的要求作出了实质性的响应，而没有重大偏离。实质性响应的投标是指投标符合招标文件的所有条款、条件和规定且没有重大偏离或保留。</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.3 评标委员会有权拒绝被确定为非实质性响应的投标，投标人不能通过修正或撤回不符合之处而使其投标成为实质性响应的投标。</w:t>
      </w:r>
    </w:p>
    <w:p>
      <w:pPr>
        <w:pStyle w:val="5"/>
        <w:spacing w:line="480" w:lineRule="exact"/>
        <w:ind w:left="420"/>
        <w:rPr>
          <w:rFonts w:hint="eastAsia" w:asciiTheme="majorEastAsia" w:hAnsiTheme="majorEastAsia" w:eastAsiaTheme="majorEastAsia" w:cstheme="majorEastAsia"/>
        </w:rPr>
      </w:pPr>
      <w:bookmarkStart w:id="164" w:name="_Toc26394"/>
      <w:bookmarkStart w:id="165" w:name="_Toc29766"/>
      <w:bookmarkStart w:id="166" w:name="_Toc18685"/>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.投标文件的澄清</w:t>
      </w:r>
      <w:bookmarkEnd w:id="164"/>
      <w:bookmarkEnd w:id="165"/>
      <w:bookmarkEnd w:id="166"/>
    </w:p>
    <w:p>
      <w:pPr>
        <w:overflowPunct w:val="0"/>
        <w:adjustRightInd w:val="0"/>
        <w:snapToGrid w:val="0"/>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.1 对于投标文件中含义不明确、同类问题表述不一致或者有明显文字和计算错误的内容，评标委员会应当要求投标人作出必要的澄清、说明或者补正。</w:t>
      </w:r>
    </w:p>
    <w:p>
      <w:pPr>
        <w:overflowPunct w:val="0"/>
        <w:adjustRightInd w:val="0"/>
        <w:snapToGrid w:val="0"/>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.2 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480" w:lineRule="exact"/>
        <w:ind w:left="420"/>
        <w:rPr>
          <w:rFonts w:hint="eastAsia" w:asciiTheme="majorEastAsia" w:hAnsiTheme="majorEastAsia" w:eastAsiaTheme="majorEastAsia" w:cstheme="majorEastAsia"/>
        </w:rPr>
      </w:pPr>
      <w:bookmarkStart w:id="167" w:name="_Toc27916"/>
      <w:bookmarkStart w:id="168" w:name="_Toc11599"/>
      <w:bookmarkStart w:id="169" w:name="_Toc5585"/>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.投标文件的评估和比较</w:t>
      </w:r>
      <w:bookmarkEnd w:id="167"/>
      <w:bookmarkEnd w:id="168"/>
      <w:bookmarkEnd w:id="169"/>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.1对所有实质性响应招标文件要求的投标文件，评标委员会将采用相同的程序和标准，遵循公平、公正、科学和择优的原则，按综合评分法进行评审，确定供应商的排名；</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.2 评标标准和方法详见本招标文件第四部分“评标方法”；</w:t>
      </w:r>
    </w:p>
    <w:p>
      <w:pPr>
        <w:pStyle w:val="11"/>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.3 投标文件报价出现前后不一致的，除招标文件另有规定外，按照下列规定修正：</w:t>
      </w:r>
    </w:p>
    <w:p>
      <w:pPr>
        <w:pStyle w:val="11"/>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.3.1 投标文件中开标一览表（报价表）内容与投标文件中相应内容不一致的，以开标一览表（报价表）为准；</w:t>
      </w:r>
    </w:p>
    <w:p>
      <w:pPr>
        <w:pStyle w:val="11"/>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.3.2 大写金额和小写金额不一致的，以大写金额为准；</w:t>
      </w:r>
    </w:p>
    <w:p>
      <w:pPr>
        <w:pStyle w:val="11"/>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.3.3 单价金额小数点或者百分比有明显错位的，以开标一览表的总价为准，并修改单价；</w:t>
      </w:r>
    </w:p>
    <w:p>
      <w:pPr>
        <w:pStyle w:val="11"/>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.3.4 总价金额与按单价汇总金额不一致的，以单价金额计算结果为准。</w:t>
      </w:r>
    </w:p>
    <w:p>
      <w:pPr>
        <w:pStyle w:val="11"/>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.3.5 同时出现两种以上不一致的，按照上述规定的顺序修正。修正后的报价按照《政府采购货物和服务招标投标管理办法》（财政部第87号令）第五十一条第二款的规定经投标人确认后产生约束力，投标人不确认的，其投标无效。</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.4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.5评标委员会根据全体评标成员签字的原始评标记录和评标结果编写评标报告。</w:t>
      </w:r>
    </w:p>
    <w:p>
      <w:pPr>
        <w:pStyle w:val="5"/>
        <w:spacing w:line="480" w:lineRule="exact"/>
        <w:ind w:left="420"/>
        <w:rPr>
          <w:rFonts w:hint="eastAsia" w:asciiTheme="majorEastAsia" w:hAnsiTheme="majorEastAsia" w:eastAsiaTheme="majorEastAsia" w:cstheme="majorEastAsia"/>
        </w:rPr>
      </w:pPr>
      <w:bookmarkStart w:id="170" w:name="_Toc21289"/>
      <w:bookmarkStart w:id="171" w:name="_Toc1400"/>
      <w:bookmarkStart w:id="172" w:name="_Toc30363"/>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.评标过程的保密</w:t>
      </w:r>
      <w:bookmarkEnd w:id="170"/>
      <w:bookmarkEnd w:id="171"/>
      <w:bookmarkEnd w:id="172"/>
    </w:p>
    <w:p>
      <w:pPr>
        <w:pStyle w:val="11"/>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.1采购人、采购代理机构应当采取必要措施，保证评标在严格保密的情况下进行。除采购人代表、评标现场组织人员外，采购人的其他工作人员以及与评标工作无关的人员不得进入评标现场。</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.2 开标后直至授予中标供应商合同为止，评标委员会成员和与评标工作有关的工作人员不得透露对投标文件的评审和比较、中标候选人的推荐情况以及与评标有关的其他情况；</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.3 在投标文件的评审和比较、中标候选人推荐以及授予合同的过程中，供应商向采购人、采购代理机构和评标委员会施加影响的任何行为，都将会导致其投标被拒绝；</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.4中标供应商确定后，采购人不对未中标供应商就评标过程以及未能成交原因作出任何解释。未中标供应商不得向评标委员会组成人员或其他有关人员询问评审过程的情况。</w:t>
      </w:r>
    </w:p>
    <w:p>
      <w:pPr>
        <w:spacing w:line="480" w:lineRule="exact"/>
        <w:ind w:firstLine="480" w:firstLineChars="200"/>
        <w:rPr>
          <w:rFonts w:hint="eastAsia" w:asciiTheme="majorEastAsia" w:hAnsiTheme="majorEastAsia" w:eastAsiaTheme="majorEastAsia" w:cstheme="majorEastAsia"/>
          <w:sz w:val="24"/>
          <w:szCs w:val="24"/>
        </w:rPr>
      </w:pPr>
    </w:p>
    <w:p>
      <w:pPr>
        <w:pStyle w:val="4"/>
        <w:ind w:left="420"/>
        <w:rPr>
          <w:rFonts w:hint="eastAsia" w:asciiTheme="majorEastAsia" w:hAnsiTheme="majorEastAsia" w:eastAsiaTheme="majorEastAsia" w:cstheme="majorEastAsia"/>
        </w:rPr>
      </w:pPr>
      <w:bookmarkStart w:id="173" w:name="_Hlt491765714"/>
      <w:bookmarkEnd w:id="173"/>
      <w:bookmarkStart w:id="174" w:name="_Toc32515"/>
      <w:bookmarkStart w:id="175" w:name="_Toc497711547"/>
      <w:bookmarkStart w:id="176" w:name="_Toc23015"/>
      <w:bookmarkStart w:id="177" w:name="_Toc19918"/>
      <w:bookmarkStart w:id="178" w:name="_Toc497551782"/>
      <w:bookmarkStart w:id="179" w:name="_Toc497712095"/>
      <w:bookmarkStart w:id="180" w:name="_Toc497546880"/>
      <w:bookmarkStart w:id="181" w:name="_Toc492955421"/>
      <w:bookmarkStart w:id="182" w:name="_Toc385992360"/>
      <w:bookmarkStart w:id="183" w:name="_Toc10849"/>
      <w:bookmarkStart w:id="184" w:name="_Toc389620199"/>
      <w:bookmarkStart w:id="185" w:name="_Toc15127"/>
      <w:bookmarkStart w:id="186" w:name="_Toc347478703"/>
      <w:r>
        <w:rPr>
          <w:rFonts w:hint="eastAsia" w:asciiTheme="majorEastAsia" w:hAnsiTheme="majorEastAsia" w:eastAsiaTheme="majorEastAsia" w:cstheme="majorEastAsia"/>
        </w:rPr>
        <w:t>第六章 中标/合同</w:t>
      </w:r>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5"/>
        <w:spacing w:line="480" w:lineRule="exact"/>
        <w:ind w:left="420"/>
        <w:rPr>
          <w:rFonts w:hint="eastAsia" w:asciiTheme="majorEastAsia" w:hAnsiTheme="majorEastAsia" w:eastAsiaTheme="majorEastAsia" w:cstheme="majorEastAsia"/>
        </w:rPr>
      </w:pPr>
      <w:bookmarkStart w:id="187" w:name="_Toc389620200"/>
      <w:bookmarkStart w:id="188" w:name="_Toc12161"/>
      <w:bookmarkStart w:id="189" w:name="_Toc17159"/>
      <w:bookmarkStart w:id="190" w:name="_Toc19946"/>
      <w:bookmarkStart w:id="191" w:name="_Toc30621"/>
      <w:bookmarkStart w:id="192" w:name="_Toc347478704"/>
      <w:bookmarkStart w:id="193" w:name="_Toc385992361"/>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.中标准则</w:t>
      </w:r>
      <w:bookmarkEnd w:id="187"/>
      <w:bookmarkEnd w:id="188"/>
      <w:bookmarkEnd w:id="189"/>
      <w:bookmarkEnd w:id="190"/>
      <w:bookmarkEnd w:id="191"/>
      <w:bookmarkEnd w:id="192"/>
      <w:bookmarkEnd w:id="193"/>
    </w:p>
    <w:p>
      <w:pPr>
        <w:tabs>
          <w:tab w:val="left" w:pos="1080"/>
        </w:tabs>
        <w:spacing w:afterLines="50"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.1 采购人可以委托评标委员会直接确定排名第一的供应商为中标人；采购人未委托的，采购代理机构应当在评标结束后2个工作日内将评标报告送采购人。采购人应当自收到评标报告之日起５个工作日内，在评标报告确定的中标候选人名单中按顺序确定中标人。</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.2 排名第一的中标候选人放弃中标、因不可抗力提出不能履行合同，或者招标文件规定应当提交履约保证金而在规定的期限内未能提交，或者被查实存在影响中标结果的违法行为等情形，不符合中标条件的，采购人可以按照评标委员会提出的中标候选人名单排序依次确定其他中标候选人为中标供应商，依次确定其他中标候选人与采购人预期差距较大，或者对采购人明显不利的，采购人可以重新招标；</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.3 本项目不保证最低价中标</w:t>
      </w:r>
      <w:bookmarkStart w:id="194" w:name="_Toc389620201"/>
      <w:bookmarkStart w:id="195" w:name="_Toc385992362"/>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ab/>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.4 采购代理机构自中标人确定之日起2个工作日内，在省级以上财政部门指定的媒体上公告中标结果，同时，发出中标通知书。中标公告期限为1个工作日；</w:t>
      </w:r>
    </w:p>
    <w:p>
      <w:pPr>
        <w:spacing w:line="48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.5中标通知书发出30天内，中标供应商不能按投标文件，包括补充文件（如澄清、承诺等）中承诺的条件履行签约行为，采购人有权废标</w:t>
      </w:r>
      <w:bookmarkEnd w:id="194"/>
      <w:bookmarkEnd w:id="195"/>
      <w:bookmarkStart w:id="196" w:name="_Toc389620203"/>
      <w:bookmarkStart w:id="197" w:name="_Toc385992364"/>
      <w:r>
        <w:rPr>
          <w:rFonts w:hint="eastAsia" w:asciiTheme="majorEastAsia" w:hAnsiTheme="majorEastAsia" w:eastAsiaTheme="majorEastAsia" w:cstheme="majorEastAsia"/>
          <w:sz w:val="24"/>
          <w:szCs w:val="24"/>
          <w:lang w:eastAsia="zh-CN"/>
        </w:rPr>
        <w:t>。</w:t>
      </w:r>
    </w:p>
    <w:p>
      <w:pPr>
        <w:pStyle w:val="5"/>
        <w:spacing w:line="480" w:lineRule="exact"/>
        <w:ind w:left="420"/>
        <w:rPr>
          <w:rFonts w:hint="eastAsia" w:asciiTheme="majorEastAsia" w:hAnsiTheme="majorEastAsia" w:eastAsiaTheme="majorEastAsia" w:cstheme="majorEastAsia"/>
          <w:szCs w:val="24"/>
        </w:rPr>
      </w:pPr>
      <w:bookmarkStart w:id="198" w:name="_Toc7473"/>
      <w:bookmarkStart w:id="199" w:name="_Toc889"/>
      <w:bookmarkStart w:id="200" w:name="_Toc12572"/>
      <w:bookmarkStart w:id="201" w:name="_Toc19774"/>
      <w:bookmarkStart w:id="202" w:name="_Toc347478705"/>
      <w:r>
        <w:rPr>
          <w:rFonts w:hint="eastAsia" w:asciiTheme="majorEastAsia" w:hAnsiTheme="majorEastAsia" w:eastAsiaTheme="majorEastAsia" w:cstheme="majorEastAsia"/>
          <w:szCs w:val="24"/>
        </w:rPr>
        <w:t>2</w:t>
      </w:r>
      <w:bookmarkEnd w:id="196"/>
      <w:bookmarkEnd w:id="197"/>
      <w:r>
        <w:rPr>
          <w:rFonts w:hint="eastAsia" w:asciiTheme="majorEastAsia" w:hAnsiTheme="majorEastAsia" w:eastAsiaTheme="majorEastAsia" w:cstheme="majorEastAsia"/>
          <w:szCs w:val="24"/>
          <w:lang w:val="en-US" w:eastAsia="zh-CN"/>
        </w:rPr>
        <w:t>8</w:t>
      </w:r>
      <w:r>
        <w:rPr>
          <w:rFonts w:hint="eastAsia" w:asciiTheme="majorEastAsia" w:hAnsiTheme="majorEastAsia" w:eastAsiaTheme="majorEastAsia" w:cstheme="majorEastAsia"/>
          <w:szCs w:val="24"/>
        </w:rPr>
        <w:t>.中标通知</w:t>
      </w:r>
      <w:bookmarkEnd w:id="198"/>
      <w:bookmarkEnd w:id="199"/>
      <w:bookmarkEnd w:id="200"/>
      <w:bookmarkEnd w:id="201"/>
      <w:bookmarkEnd w:id="202"/>
    </w:p>
    <w:p>
      <w:pPr>
        <w:spacing w:line="48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.1 采购代理机构向中标供应商发出中标通知书</w:t>
      </w:r>
      <w:r>
        <w:rPr>
          <w:rFonts w:hint="eastAsia" w:asciiTheme="majorEastAsia" w:hAnsiTheme="majorEastAsia" w:eastAsiaTheme="majorEastAsia" w:cstheme="majorEastAsia"/>
          <w:sz w:val="24"/>
          <w:szCs w:val="24"/>
          <w:lang w:eastAsia="zh-CN"/>
        </w:rPr>
        <w:t>。</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.2 中标通知书作为签订合同的依据，并成为合同的一个组成部分。</w:t>
      </w:r>
    </w:p>
    <w:p>
      <w:pPr>
        <w:pStyle w:val="5"/>
        <w:spacing w:line="480" w:lineRule="exact"/>
        <w:ind w:left="420"/>
        <w:rPr>
          <w:rFonts w:hint="eastAsia" w:asciiTheme="majorEastAsia" w:hAnsiTheme="majorEastAsia" w:eastAsiaTheme="majorEastAsia" w:cstheme="majorEastAsia"/>
        </w:rPr>
      </w:pPr>
      <w:bookmarkStart w:id="203" w:name="_Toc385992366"/>
      <w:bookmarkStart w:id="204" w:name="_Toc4971"/>
      <w:bookmarkStart w:id="205" w:name="_Toc7982"/>
      <w:bookmarkStart w:id="206" w:name="_Toc28580"/>
      <w:bookmarkStart w:id="207" w:name="_Toc347478706"/>
      <w:bookmarkStart w:id="208" w:name="_Toc389620205"/>
      <w:bookmarkStart w:id="209" w:name="_Toc8691"/>
      <w:r>
        <w:rPr>
          <w:rFonts w:hint="eastAsia" w:asciiTheme="majorEastAsia" w:hAnsiTheme="majorEastAsia" w:eastAsiaTheme="majorEastAsia" w:cstheme="majorEastAsia"/>
          <w:lang w:val="en-US" w:eastAsia="zh-CN"/>
        </w:rPr>
        <w:t>29</w:t>
      </w:r>
      <w:r>
        <w:rPr>
          <w:rFonts w:hint="eastAsia" w:asciiTheme="majorEastAsia" w:hAnsiTheme="majorEastAsia" w:eastAsiaTheme="majorEastAsia" w:cstheme="majorEastAsia"/>
        </w:rPr>
        <w:t>.签订合同</w:t>
      </w:r>
      <w:bookmarkEnd w:id="203"/>
      <w:bookmarkEnd w:id="204"/>
      <w:bookmarkEnd w:id="205"/>
      <w:bookmarkEnd w:id="206"/>
      <w:bookmarkEnd w:id="207"/>
      <w:bookmarkEnd w:id="208"/>
      <w:bookmarkEnd w:id="209"/>
    </w:p>
    <w:p>
      <w:pPr>
        <w:spacing w:line="48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rPr>
        <w:t>.1 中标供应商应在规定时间内与采购人签订合同，否则按违约处理</w:t>
      </w:r>
      <w:r>
        <w:rPr>
          <w:rFonts w:hint="eastAsia" w:asciiTheme="majorEastAsia" w:hAnsiTheme="majorEastAsia" w:eastAsiaTheme="majorEastAsia" w:cstheme="majorEastAsia"/>
          <w:sz w:val="24"/>
          <w:szCs w:val="24"/>
          <w:lang w:eastAsia="zh-CN"/>
        </w:rPr>
        <w:t>。</w:t>
      </w:r>
    </w:p>
    <w:p>
      <w:pPr>
        <w:spacing w:line="480" w:lineRule="exact"/>
        <w:ind w:firstLine="480" w:firstLineChars="200"/>
        <w:rPr>
          <w:rFonts w:hint="eastAsia" w:asciiTheme="majorEastAsia" w:hAnsiTheme="majorEastAsia" w:eastAsiaTheme="majorEastAsia" w:cstheme="majorEastAsia"/>
          <w:sz w:val="24"/>
          <w:szCs w:val="24"/>
        </w:rPr>
        <w:sectPr>
          <w:pgSz w:w="11906" w:h="16838"/>
          <w:pgMar w:top="1440" w:right="1800" w:bottom="1440" w:left="1800" w:header="851" w:footer="992" w:gutter="0"/>
          <w:pgNumType w:fmt="decimal"/>
          <w:cols w:space="720" w:num="1"/>
          <w:docGrid w:type="lines" w:linePitch="312" w:charSpace="0"/>
        </w:sectPr>
      </w:pP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rPr>
        <w:t>.2 招标文件、中标供应商的投标文件和补充文件（如澄清、承诺等）等，均为有法律约束力的合同组成部分。</w:t>
      </w:r>
      <w:bookmarkStart w:id="210" w:name="_Toc11154"/>
      <w:bookmarkEnd w:id="210"/>
    </w:p>
    <w:p>
      <w:pPr>
        <w:pStyle w:val="3"/>
        <w:spacing w:line="480" w:lineRule="exact"/>
        <w:rPr>
          <w:rFonts w:hint="eastAsia" w:asciiTheme="majorEastAsia" w:hAnsiTheme="majorEastAsia" w:eastAsiaTheme="majorEastAsia" w:cstheme="majorEastAsia"/>
          <w:b/>
          <w:kern w:val="2"/>
          <w:sz w:val="24"/>
          <w:szCs w:val="22"/>
          <w:lang w:val="en-US" w:eastAsia="zh-CN" w:bidi="ar-SA"/>
        </w:rPr>
      </w:pPr>
      <w:bookmarkStart w:id="211" w:name="_Toc11684"/>
      <w:bookmarkStart w:id="212" w:name="_Toc7455"/>
      <w:bookmarkStart w:id="213" w:name="_Toc32121"/>
      <w:bookmarkStart w:id="214" w:name="_Toc11278"/>
      <w:r>
        <w:rPr>
          <w:rFonts w:hint="eastAsia" w:asciiTheme="majorEastAsia" w:hAnsiTheme="majorEastAsia" w:eastAsiaTheme="majorEastAsia" w:cstheme="majorEastAsia"/>
          <w:b/>
          <w:kern w:val="2"/>
          <w:sz w:val="24"/>
          <w:szCs w:val="22"/>
          <w:lang w:val="en-US" w:eastAsia="zh-CN" w:bidi="ar-SA"/>
        </w:rPr>
        <w:t>第三部分 采购需求</w:t>
      </w:r>
      <w:bookmarkEnd w:id="211"/>
      <w:bookmarkEnd w:id="212"/>
      <w:bookmarkEnd w:id="213"/>
      <w:bookmarkEnd w:id="214"/>
    </w:p>
    <w:p>
      <w:pPr>
        <w:rPr>
          <w:rFonts w:hint="eastAsia"/>
          <w:lang w:val="en-US" w:eastAsia="zh-CN"/>
        </w:rPr>
      </w:pPr>
    </w:p>
    <w:p>
      <w:pPr>
        <w:jc w:val="center"/>
        <w:rPr>
          <w:rFonts w:hint="eastAsia"/>
          <w:b/>
          <w:bCs/>
          <w:sz w:val="36"/>
          <w:szCs w:val="44"/>
          <w:lang w:val="en-US" w:eastAsia="zh-CN"/>
        </w:rPr>
      </w:pPr>
      <w:r>
        <w:rPr>
          <w:rFonts w:hint="eastAsia"/>
          <w:b/>
          <w:bCs/>
          <w:sz w:val="36"/>
          <w:szCs w:val="44"/>
          <w:lang w:val="en-US" w:eastAsia="zh-CN"/>
        </w:rPr>
        <w:t>延川县苹果生产管理办公室果园土壤改良采购需求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ascii="宋体" w:hAnsi="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我单位2023年计划为全县七镇一街道一中心的10000余亩果园进行土改良，共需采购有机肥2500吨、水溶肥30吨。</w:t>
      </w:r>
    </w:p>
    <w:p>
      <w:pPr>
        <w:rPr>
          <w:rFonts w:hint="eastAsia" w:eastAsia="宋体"/>
          <w:b/>
          <w:bCs/>
          <w:sz w:val="32"/>
          <w:szCs w:val="32"/>
          <w:lang w:val="en-US" w:eastAsia="zh-CN"/>
        </w:rPr>
      </w:pPr>
      <w:r>
        <w:rPr>
          <w:rFonts w:hint="eastAsia"/>
          <w:b/>
          <w:bCs/>
          <w:color w:val="auto"/>
          <w:sz w:val="32"/>
          <w:szCs w:val="32"/>
          <w:lang w:val="en-US" w:eastAsia="zh-CN"/>
        </w:rPr>
        <w:t>一、采购清单</w:t>
      </w:r>
    </w:p>
    <w:p>
      <w:pPr>
        <w:numPr>
          <w:ilvl w:val="0"/>
          <w:numId w:val="0"/>
        </w:numPr>
        <w:jc w:val="center"/>
        <w:rPr>
          <w:rFonts w:hint="eastAsia"/>
          <w:b/>
          <w:bCs/>
          <w:color w:val="auto"/>
          <w:sz w:val="28"/>
          <w:szCs w:val="36"/>
          <w:lang w:val="zh-CN"/>
        </w:rPr>
      </w:pPr>
      <w:r>
        <w:rPr>
          <w:rFonts w:hint="eastAsia"/>
          <w:b/>
          <w:bCs/>
          <w:color w:val="auto"/>
          <w:sz w:val="28"/>
          <w:szCs w:val="36"/>
          <w:lang w:val="en-US" w:eastAsia="zh-CN"/>
        </w:rPr>
        <w:t>货物</w:t>
      </w:r>
      <w:r>
        <w:rPr>
          <w:rFonts w:hint="eastAsia"/>
          <w:b/>
          <w:bCs/>
          <w:color w:val="auto"/>
          <w:sz w:val="28"/>
          <w:szCs w:val="36"/>
          <w:lang w:val="zh-CN" w:eastAsia="zh-CN"/>
        </w:rPr>
        <w:t>采购清单</w:t>
      </w:r>
    </w:p>
    <w:tbl>
      <w:tblPr>
        <w:tblStyle w:val="19"/>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18"/>
        <w:gridCol w:w="5517"/>
        <w:gridCol w:w="1178"/>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jc w:val="center"/>
        </w:trPr>
        <w:tc>
          <w:tcPr>
            <w:tcW w:w="1318" w:type="dxa"/>
            <w:noWrap w:val="0"/>
            <w:vAlign w:val="center"/>
          </w:tcPr>
          <w:p>
            <w:pPr>
              <w:jc w:val="center"/>
              <w:textAlignment w:val="center"/>
              <w:rPr>
                <w:rFonts w:ascii="宋体" w:hAnsi="宋体" w:cs="宋体"/>
                <w:b/>
                <w:bCs/>
                <w:color w:val="auto"/>
                <w:sz w:val="24"/>
                <w:szCs w:val="24"/>
              </w:rPr>
            </w:pPr>
            <w:r>
              <w:rPr>
                <w:rFonts w:hint="eastAsia" w:ascii="宋体" w:hAnsi="宋体" w:cs="宋体"/>
                <w:b/>
                <w:bCs/>
                <w:color w:val="auto"/>
                <w:sz w:val="24"/>
                <w:szCs w:val="24"/>
              </w:rPr>
              <w:t>品名</w:t>
            </w:r>
          </w:p>
        </w:tc>
        <w:tc>
          <w:tcPr>
            <w:tcW w:w="5517" w:type="dxa"/>
            <w:noWrap w:val="0"/>
            <w:vAlign w:val="center"/>
          </w:tcPr>
          <w:p>
            <w:pPr>
              <w:jc w:val="center"/>
              <w:textAlignment w:val="center"/>
              <w:rPr>
                <w:rFonts w:ascii="宋体" w:hAnsi="宋体" w:cs="宋体"/>
                <w:b/>
                <w:bCs/>
                <w:color w:val="auto"/>
                <w:sz w:val="24"/>
                <w:szCs w:val="24"/>
              </w:rPr>
            </w:pPr>
            <w:r>
              <w:rPr>
                <w:rFonts w:hint="eastAsia" w:ascii="宋体" w:hAnsi="宋体" w:cs="宋体"/>
                <w:b/>
                <w:bCs/>
                <w:color w:val="auto"/>
                <w:sz w:val="24"/>
                <w:szCs w:val="24"/>
              </w:rPr>
              <w:t>技术参数</w:t>
            </w:r>
          </w:p>
        </w:tc>
        <w:tc>
          <w:tcPr>
            <w:tcW w:w="1178" w:type="dxa"/>
            <w:noWrap w:val="0"/>
            <w:vAlign w:val="center"/>
          </w:tcPr>
          <w:p>
            <w:pPr>
              <w:jc w:val="center"/>
              <w:textAlignment w:val="center"/>
              <w:rPr>
                <w:rFonts w:ascii="宋体" w:hAnsi="宋体" w:cs="宋体"/>
                <w:b/>
                <w:bCs/>
                <w:color w:val="auto"/>
                <w:sz w:val="24"/>
                <w:szCs w:val="24"/>
              </w:rPr>
            </w:pPr>
            <w:r>
              <w:rPr>
                <w:rFonts w:hint="eastAsia" w:ascii="宋体" w:hAnsi="宋体" w:cs="宋体"/>
                <w:b/>
                <w:bCs/>
                <w:color w:val="auto"/>
                <w:sz w:val="24"/>
                <w:szCs w:val="24"/>
              </w:rPr>
              <w:t>数量</w:t>
            </w:r>
          </w:p>
        </w:tc>
        <w:tc>
          <w:tcPr>
            <w:tcW w:w="847" w:type="dxa"/>
            <w:noWrap w:val="0"/>
            <w:vAlign w:val="center"/>
          </w:tcPr>
          <w:p>
            <w:pPr>
              <w:jc w:val="center"/>
              <w:textAlignment w:val="center"/>
              <w:rPr>
                <w:rFonts w:ascii="宋体" w:hAnsi="宋体" w:cs="宋体"/>
                <w:b/>
                <w:bCs/>
                <w:color w:val="auto"/>
                <w:sz w:val="24"/>
                <w:szCs w:val="24"/>
              </w:rPr>
            </w:pPr>
            <w:r>
              <w:rPr>
                <w:rFonts w:hint="eastAsia" w:ascii="宋体" w:hAnsi="宋体" w:cs="宋体"/>
                <w:b/>
                <w:bCs/>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6" w:hRule="atLeast"/>
          <w:jc w:val="center"/>
        </w:trPr>
        <w:tc>
          <w:tcPr>
            <w:tcW w:w="1318" w:type="dxa"/>
            <w:noWrap w:val="0"/>
            <w:vAlign w:val="center"/>
          </w:tcPr>
          <w:p>
            <w:pPr>
              <w:ind w:firstLine="280" w:firstLineChars="100"/>
              <w:jc w:val="both"/>
              <w:rPr>
                <w:rFonts w:ascii="宋体" w:hAnsi="宋体" w:eastAsia="宋体" w:cs="宋体"/>
                <w:color w:val="auto"/>
                <w:sz w:val="28"/>
                <w:szCs w:val="28"/>
              </w:rPr>
            </w:pPr>
            <w:r>
              <w:rPr>
                <w:rFonts w:hint="eastAsia" w:ascii="宋体" w:hAnsi="宋体" w:eastAsia="宋体" w:cs="宋体"/>
                <w:color w:val="auto"/>
                <w:sz w:val="28"/>
                <w:szCs w:val="28"/>
                <w:lang w:val="en-US" w:eastAsia="zh-CN"/>
              </w:rPr>
              <w:t>有机肥</w:t>
            </w:r>
          </w:p>
        </w:tc>
        <w:tc>
          <w:tcPr>
            <w:tcW w:w="5517" w:type="dxa"/>
            <w:noWrap w:val="0"/>
            <w:vAlign w:val="center"/>
          </w:tcPr>
          <w:p>
            <w:pPr>
              <w:rPr>
                <w:sz w:val="28"/>
                <w:szCs w:val="28"/>
              </w:rPr>
            </w:pPr>
            <w:r>
              <w:rPr>
                <w:sz w:val="28"/>
                <w:szCs w:val="28"/>
              </w:rPr>
              <w:t>1、有机质的质量分数</w:t>
            </w:r>
            <w:r>
              <w:rPr>
                <w:rFonts w:hint="eastAsia"/>
                <w:sz w:val="28"/>
                <w:szCs w:val="28"/>
              </w:rPr>
              <w:t>≥</w:t>
            </w:r>
            <w:r>
              <w:rPr>
                <w:sz w:val="28"/>
                <w:szCs w:val="28"/>
              </w:rPr>
              <w:t>30％</w:t>
            </w:r>
            <w:r>
              <w:rPr>
                <w:rFonts w:hint="eastAsia"/>
                <w:sz w:val="28"/>
                <w:szCs w:val="28"/>
              </w:rPr>
              <w:t>；</w:t>
            </w:r>
          </w:p>
          <w:p>
            <w:pPr>
              <w:rPr>
                <w:sz w:val="28"/>
                <w:szCs w:val="28"/>
              </w:rPr>
            </w:pPr>
            <w:r>
              <w:rPr>
                <w:sz w:val="28"/>
                <w:szCs w:val="28"/>
              </w:rPr>
              <w:t>2、总养分(氮+五氧化二磷+氧化钾)</w:t>
            </w:r>
            <w:r>
              <w:rPr>
                <w:rFonts w:hint="eastAsia"/>
                <w:sz w:val="28"/>
                <w:szCs w:val="28"/>
              </w:rPr>
              <w:t>≥</w:t>
            </w:r>
            <w:r>
              <w:rPr>
                <w:sz w:val="28"/>
                <w:szCs w:val="28"/>
              </w:rPr>
              <w:t>4.0％</w:t>
            </w:r>
            <w:r>
              <w:rPr>
                <w:rFonts w:hint="eastAsia"/>
                <w:sz w:val="28"/>
                <w:szCs w:val="28"/>
              </w:rPr>
              <w:t>；</w:t>
            </w:r>
          </w:p>
          <w:p>
            <w:pPr>
              <w:rPr>
                <w:sz w:val="28"/>
                <w:szCs w:val="28"/>
              </w:rPr>
            </w:pPr>
            <w:r>
              <w:rPr>
                <w:sz w:val="28"/>
                <w:szCs w:val="28"/>
              </w:rPr>
              <w:t>3、水分的质量分数</w:t>
            </w:r>
            <w:r>
              <w:rPr>
                <w:rFonts w:hint="eastAsia"/>
                <w:sz w:val="28"/>
                <w:szCs w:val="28"/>
              </w:rPr>
              <w:t>≤</w:t>
            </w:r>
            <w:r>
              <w:rPr>
                <w:sz w:val="28"/>
                <w:szCs w:val="28"/>
              </w:rPr>
              <w:t>30％</w:t>
            </w:r>
            <w:r>
              <w:rPr>
                <w:rFonts w:hint="eastAsia"/>
                <w:sz w:val="28"/>
                <w:szCs w:val="28"/>
              </w:rPr>
              <w:t>；</w:t>
            </w:r>
          </w:p>
          <w:p>
            <w:pPr>
              <w:rPr>
                <w:sz w:val="28"/>
                <w:szCs w:val="28"/>
              </w:rPr>
            </w:pPr>
            <w:r>
              <w:rPr>
                <w:rFonts w:hint="eastAsia"/>
                <w:sz w:val="28"/>
                <w:szCs w:val="28"/>
              </w:rPr>
              <w:t>4</w:t>
            </w:r>
            <w:r>
              <w:rPr>
                <w:sz w:val="28"/>
                <w:szCs w:val="28"/>
              </w:rPr>
              <w:t>、外观颜色:褐色或灰褐色，</w:t>
            </w:r>
            <w:r>
              <w:rPr>
                <w:rFonts w:hint="eastAsia"/>
                <w:sz w:val="28"/>
                <w:szCs w:val="28"/>
              </w:rPr>
              <w:t>颗粒</w:t>
            </w:r>
            <w:r>
              <w:rPr>
                <w:sz w:val="28"/>
                <w:szCs w:val="28"/>
              </w:rPr>
              <w:t>状或粉状，均匀无恶、无机械柔质</w:t>
            </w:r>
            <w:r>
              <w:rPr>
                <w:rFonts w:hint="eastAsia"/>
                <w:sz w:val="28"/>
                <w:szCs w:val="28"/>
              </w:rPr>
              <w:t>；</w:t>
            </w:r>
          </w:p>
          <w:p>
            <w:pPr>
              <w:rPr>
                <w:rFonts w:hint="default" w:ascii="宋体" w:hAnsi="宋体" w:eastAsia="宋体" w:cs="宋体"/>
                <w:color w:val="auto"/>
                <w:sz w:val="28"/>
                <w:szCs w:val="28"/>
                <w:lang w:val="en-US" w:eastAsia="zh-CN"/>
              </w:rPr>
            </w:pPr>
            <w:r>
              <w:rPr>
                <w:rFonts w:hint="eastAsia"/>
                <w:sz w:val="28"/>
                <w:szCs w:val="28"/>
              </w:rPr>
              <w:t>5</w:t>
            </w:r>
            <w:r>
              <w:rPr>
                <w:sz w:val="28"/>
                <w:szCs w:val="28"/>
              </w:rPr>
              <w:t>、技术服务:按时保质保量送到指定地点。</w:t>
            </w:r>
          </w:p>
        </w:tc>
        <w:tc>
          <w:tcPr>
            <w:tcW w:w="1178" w:type="dxa"/>
            <w:noWrap w:val="0"/>
            <w:vAlign w:val="center"/>
          </w:tcPr>
          <w:p>
            <w:pPr>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2500</w:t>
            </w:r>
          </w:p>
        </w:tc>
        <w:tc>
          <w:tcPr>
            <w:tcW w:w="847" w:type="dxa"/>
            <w:noWrap w:val="0"/>
            <w:vAlign w:val="center"/>
          </w:tcPr>
          <w:p>
            <w:pPr>
              <w:jc w:val="center"/>
              <w:textAlignment w:val="center"/>
              <w:rPr>
                <w:rFonts w:ascii="宋体" w:hAnsi="宋体" w:cs="宋体"/>
                <w:color w:val="auto"/>
                <w:sz w:val="28"/>
                <w:szCs w:val="28"/>
              </w:rPr>
            </w:pPr>
            <w:r>
              <w:rPr>
                <w:rFonts w:hint="eastAsia" w:ascii="宋体" w:hAnsi="宋体" w:cs="宋体"/>
                <w:color w:val="auto"/>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1" w:hRule="atLeast"/>
          <w:jc w:val="center"/>
        </w:trPr>
        <w:tc>
          <w:tcPr>
            <w:tcW w:w="1318" w:type="dxa"/>
            <w:noWrap w:val="0"/>
            <w:vAlign w:val="center"/>
          </w:tcPr>
          <w:p>
            <w:pPr>
              <w:ind w:firstLine="280" w:firstLineChars="10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水溶肥</w:t>
            </w:r>
          </w:p>
        </w:tc>
        <w:tc>
          <w:tcPr>
            <w:tcW w:w="5517" w:type="dxa"/>
            <w:noWrap w:val="0"/>
            <w:vAlign w:val="center"/>
          </w:tcPr>
          <w:p>
            <w:pPr>
              <w:rPr>
                <w:rFonts w:hint="eastAsia" w:eastAsia="宋体"/>
                <w:sz w:val="28"/>
                <w:szCs w:val="28"/>
                <w:lang w:val="en-US" w:eastAsia="zh-CN"/>
              </w:rPr>
            </w:pPr>
            <w:r>
              <w:rPr>
                <w:rFonts w:hint="eastAsia" w:eastAsia="宋体"/>
                <w:sz w:val="28"/>
                <w:szCs w:val="28"/>
                <w:lang w:val="en-US" w:eastAsia="zh-CN"/>
              </w:rPr>
              <w:t>1.N-P-K+TE总养分≥50%（N:30%、P:10%、K:10%）</w:t>
            </w:r>
          </w:p>
          <w:p>
            <w:pPr>
              <w:rPr>
                <w:rFonts w:hint="eastAsia" w:ascii="宋体" w:hAnsi="宋体" w:cs="宋体"/>
                <w:color w:val="auto"/>
                <w:sz w:val="28"/>
                <w:szCs w:val="28"/>
              </w:rPr>
            </w:pPr>
            <w:r>
              <w:rPr>
                <w:rFonts w:hint="eastAsia" w:eastAsia="宋体"/>
                <w:sz w:val="28"/>
                <w:szCs w:val="28"/>
                <w:lang w:val="en-US" w:eastAsia="zh-CN"/>
              </w:rPr>
              <w:t>2.剂型：粉剂。</w:t>
            </w:r>
          </w:p>
        </w:tc>
        <w:tc>
          <w:tcPr>
            <w:tcW w:w="1178" w:type="dxa"/>
            <w:noWrap w:val="0"/>
            <w:vAlign w:val="center"/>
          </w:tcPr>
          <w:p>
            <w:pPr>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30</w:t>
            </w:r>
          </w:p>
        </w:tc>
        <w:tc>
          <w:tcPr>
            <w:tcW w:w="847" w:type="dxa"/>
            <w:noWrap w:val="0"/>
            <w:vAlign w:val="center"/>
          </w:tcPr>
          <w:p>
            <w:pPr>
              <w:jc w:val="center"/>
              <w:textAlignment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吨</w:t>
            </w:r>
          </w:p>
        </w:tc>
      </w:tr>
    </w:tbl>
    <w:p>
      <w:pPr>
        <w:rPr>
          <w:rFonts w:hint="eastAsia" w:ascii="宋体" w:hAnsi="宋体" w:eastAsia="宋体" w:cs="宋体"/>
          <w:color w:val="auto"/>
          <w:kern w:val="0"/>
          <w:sz w:val="24"/>
          <w:szCs w:val="24"/>
          <w:highlight w:val="none"/>
          <w:lang w:val="en-US" w:eastAsia="zh-CN"/>
        </w:rPr>
      </w:pPr>
    </w:p>
    <w:p>
      <w:pPr>
        <w:rPr>
          <w:rFonts w:hint="eastAsia"/>
          <w:b/>
          <w:bCs/>
          <w:color w:val="auto"/>
          <w:sz w:val="32"/>
          <w:szCs w:val="32"/>
          <w:lang w:val="en-US" w:eastAsia="zh-CN"/>
        </w:rPr>
      </w:pPr>
      <w:r>
        <w:rPr>
          <w:rFonts w:hint="eastAsia"/>
          <w:b/>
          <w:bCs/>
          <w:color w:val="auto"/>
          <w:sz w:val="32"/>
          <w:szCs w:val="32"/>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20" w:leftChars="0"/>
        <w:jc w:val="both"/>
        <w:textAlignment w:val="auto"/>
        <w:outlineLvl w:val="9"/>
        <w:rPr>
          <w:rFonts w:hint="eastAsia" w:ascii="宋体" w:hAnsi="宋体" w:cs="宋体"/>
          <w:color w:val="auto"/>
          <w:sz w:val="28"/>
          <w:szCs w:val="28"/>
          <w:lang w:val="zh-CN"/>
        </w:rPr>
      </w:pPr>
      <w:r>
        <w:rPr>
          <w:rFonts w:hint="eastAsia" w:ascii="宋体" w:hAnsi="宋体" w:cs="宋体"/>
          <w:color w:val="auto"/>
          <w:sz w:val="28"/>
          <w:szCs w:val="28"/>
          <w:lang w:val="en-US" w:eastAsia="zh-CN"/>
        </w:rPr>
        <w:t>1、供货周期：</w:t>
      </w:r>
      <w:r>
        <w:rPr>
          <w:rFonts w:hint="eastAsia" w:ascii="宋体" w:hAnsi="宋体" w:cs="宋体"/>
          <w:color w:val="auto"/>
          <w:sz w:val="28"/>
          <w:szCs w:val="28"/>
          <w:lang w:val="zh-CN"/>
        </w:rPr>
        <w:t>合同签订之日起30日历天内（注：根据甲方需求，分批供应）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20" w:leftChars="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2.供货地点：甲方指定地点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20" w:leftChars="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3.售后服务：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20" w:leftChars="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质量保证：供货完成后需要供货方保证货物质量，做好问题保证措施，若在使用过程中肥出现质量问题，影响果树发育，供货方需承担相应后果。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20" w:leftChars="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4、验收要求：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20" w:leftChars="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1.提供供货报价表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20" w:leftChars="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2.提供供货参数表及提检测报告</w:t>
      </w:r>
    </w:p>
    <w:p>
      <w:pPr>
        <w:pStyle w:val="6"/>
        <w:numPr>
          <w:ilvl w:val="3"/>
          <w:numId w:val="0"/>
        </w:numPr>
        <w:ind w:leftChars="0"/>
        <w:rPr>
          <w:rFonts w:hint="eastAsia"/>
        </w:rPr>
      </w:pPr>
    </w:p>
    <w:p>
      <w:pPr>
        <w:pStyle w:val="3"/>
        <w:spacing w:line="480" w:lineRule="exact"/>
        <w:rPr>
          <w:rFonts w:hint="eastAsia" w:asciiTheme="majorEastAsia" w:hAnsiTheme="majorEastAsia" w:eastAsiaTheme="majorEastAsia" w:cstheme="majorEastAsia"/>
          <w:color w:val="000000" w:themeColor="text1"/>
          <w14:textFill>
            <w14:solidFill>
              <w14:schemeClr w14:val="tx1"/>
            </w14:solidFill>
          </w14:textFill>
        </w:rPr>
      </w:pPr>
      <w:bookmarkStart w:id="215" w:name="_Toc8096"/>
      <w:bookmarkStart w:id="216" w:name="_Toc12554"/>
      <w:bookmarkStart w:id="217" w:name="_Toc745"/>
      <w:bookmarkStart w:id="218" w:name="_Toc24098"/>
      <w:r>
        <w:rPr>
          <w:rFonts w:hint="eastAsia" w:asciiTheme="majorEastAsia" w:hAnsiTheme="majorEastAsia" w:eastAsiaTheme="majorEastAsia" w:cstheme="majorEastAsia"/>
          <w:color w:val="000000" w:themeColor="text1"/>
          <w14:textFill>
            <w14:solidFill>
              <w14:schemeClr w14:val="tx1"/>
            </w14:solidFill>
          </w14:textFill>
        </w:rPr>
        <w:t>第四部分 评标办法</w:t>
      </w:r>
      <w:bookmarkEnd w:id="215"/>
      <w:bookmarkEnd w:id="216"/>
      <w:bookmarkEnd w:id="217"/>
      <w:bookmarkEnd w:id="218"/>
    </w:p>
    <w:p>
      <w:pPr>
        <w:rPr>
          <w:rFonts w:hint="eastAsia" w:asciiTheme="majorEastAsia" w:hAnsiTheme="majorEastAsia" w:eastAsiaTheme="majorEastAsia" w:cstheme="majorEastAsia"/>
          <w:color w:val="C00000"/>
        </w:rPr>
      </w:pPr>
    </w:p>
    <w:p>
      <w:pPr>
        <w:pStyle w:val="4"/>
        <w:spacing w:line="480" w:lineRule="exact"/>
        <w:ind w:left="420"/>
        <w:rPr>
          <w:rFonts w:hint="eastAsia" w:asciiTheme="majorEastAsia" w:hAnsiTheme="majorEastAsia" w:eastAsiaTheme="majorEastAsia" w:cstheme="majorEastAsia"/>
        </w:rPr>
      </w:pPr>
      <w:bookmarkStart w:id="219" w:name="_Toc31681"/>
      <w:bookmarkStart w:id="220" w:name="_Toc22503"/>
      <w:bookmarkStart w:id="221" w:name="_Toc5717"/>
      <w:bookmarkStart w:id="222" w:name="_Toc4129"/>
      <w:r>
        <w:rPr>
          <w:rFonts w:hint="eastAsia" w:asciiTheme="majorEastAsia" w:hAnsiTheme="majorEastAsia" w:eastAsiaTheme="majorEastAsia" w:cstheme="majorEastAsia"/>
        </w:rPr>
        <w:t>1.投标文件初审</w:t>
      </w:r>
      <w:bookmarkEnd w:id="219"/>
      <w:bookmarkEnd w:id="220"/>
      <w:bookmarkEnd w:id="221"/>
      <w:bookmarkEnd w:id="222"/>
    </w:p>
    <w:p>
      <w:pPr>
        <w:spacing w:line="480" w:lineRule="exact"/>
        <w:ind w:firstLine="480" w:firstLineChars="200"/>
        <w:rPr>
          <w:rFonts w:hint="eastAsia" w:asciiTheme="majorEastAsia" w:hAnsiTheme="majorEastAsia" w:eastAsiaTheme="majorEastAsia" w:cstheme="majorEastAsia"/>
          <w:sz w:val="24"/>
          <w:szCs w:val="24"/>
        </w:rPr>
      </w:pPr>
      <w:bookmarkStart w:id="223" w:name="_Toc21453"/>
      <w:r>
        <w:rPr>
          <w:rFonts w:hint="eastAsia" w:asciiTheme="majorEastAsia" w:hAnsiTheme="majorEastAsia" w:eastAsiaTheme="majorEastAsia" w:cstheme="majorEastAsia"/>
          <w:sz w:val="24"/>
          <w:szCs w:val="24"/>
        </w:rPr>
        <w:t>（1）资格性审查内容和标准：</w:t>
      </w:r>
      <w:bookmarkEnd w:id="223"/>
    </w:p>
    <w:tbl>
      <w:tblPr>
        <w:tblStyle w:val="19"/>
        <w:tblpPr w:leftFromText="180" w:rightFromText="180" w:vertAnchor="text" w:horzAnchor="page" w:tblpX="1757" w:tblpY="202"/>
        <w:tblOverlap w:val="never"/>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990"/>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序号</w:t>
            </w:r>
          </w:p>
        </w:tc>
        <w:tc>
          <w:tcPr>
            <w:tcW w:w="499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审查内容</w:t>
            </w:r>
          </w:p>
        </w:tc>
        <w:tc>
          <w:tcPr>
            <w:tcW w:w="287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p>
        </w:tc>
        <w:tc>
          <w:tcPr>
            <w:tcW w:w="4990" w:type="dxa"/>
            <w:vAlign w:val="center"/>
          </w:tcPr>
          <w:p>
            <w:pPr>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 w:val="24"/>
                <w:szCs w:val="24"/>
                <w:lang w:val="en-US" w:eastAsia="zh-CN" w:bidi="ar-SA"/>
              </w:rPr>
              <w:t>具有独立承担民事责任能力的法人或其他组织，提供合法有效的统一社会信用代码的营业执照或事业单位法人证书等国家规定的相关证明，自然人参与的提供其身份证明； </w:t>
            </w:r>
            <w:r>
              <w:rPr>
                <w:rFonts w:hint="eastAsia" w:asciiTheme="majorEastAsia" w:hAnsiTheme="majorEastAsia" w:eastAsiaTheme="majorEastAsia" w:cstheme="majorEastAsia"/>
                <w:kern w:val="2"/>
                <w:sz w:val="24"/>
                <w:szCs w:val="24"/>
                <w:lang w:val="en-US" w:eastAsia="zh-CN" w:bidi="ar-SA"/>
              </w:rPr>
              <w:br w:type="textWrapping"/>
            </w:r>
          </w:p>
        </w:tc>
        <w:tc>
          <w:tcPr>
            <w:tcW w:w="287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499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法定代表人/负责人的委托授权书（原件）、被授权人身份证（原件）（法定代表人/负责人参加</w:t>
            </w:r>
            <w:r>
              <w:rPr>
                <w:rFonts w:hint="eastAsia" w:asciiTheme="majorEastAsia" w:hAnsiTheme="majorEastAsia" w:eastAsiaTheme="majorEastAsia" w:cstheme="majorEastAsia"/>
                <w:lang w:eastAsia="zh-CN"/>
              </w:rPr>
              <w:t>开标</w:t>
            </w:r>
            <w:r>
              <w:rPr>
                <w:rFonts w:hint="eastAsia" w:asciiTheme="majorEastAsia" w:hAnsiTheme="majorEastAsia" w:eastAsiaTheme="majorEastAsia" w:cstheme="majorEastAsia"/>
              </w:rPr>
              <w:t>时,只须提供法定代表人身份证原件）</w:t>
            </w:r>
          </w:p>
        </w:tc>
        <w:tc>
          <w:tcPr>
            <w:tcW w:w="287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w:t>
            </w:r>
          </w:p>
        </w:tc>
        <w:tc>
          <w:tcPr>
            <w:tcW w:w="4990" w:type="dxa"/>
            <w:vAlign w:val="center"/>
          </w:tcPr>
          <w:p>
            <w:pPr>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 w:val="24"/>
                <w:szCs w:val="24"/>
                <w:lang w:val="en-US" w:eastAsia="zh-CN" w:bidi="ar-SA"/>
              </w:rPr>
              <w:t>税收缴纳证明：提供本年度已缴纳的至少1个月的纳税证明或完税证明，依法免税的单位应提供相关证明材料； </w:t>
            </w:r>
          </w:p>
        </w:tc>
        <w:tc>
          <w:tcPr>
            <w:tcW w:w="287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pPr>
              <w:jc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w:t>
            </w:r>
          </w:p>
        </w:tc>
        <w:tc>
          <w:tcPr>
            <w:tcW w:w="4990" w:type="dxa"/>
            <w:vAlign w:val="center"/>
          </w:tcPr>
          <w:p>
            <w:pPr>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w:t>
            </w:r>
          </w:p>
        </w:tc>
        <w:tc>
          <w:tcPr>
            <w:tcW w:w="2870"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真实、</w:t>
            </w:r>
            <w:r>
              <w:rPr>
                <w:rFonts w:hint="eastAsia" w:asciiTheme="majorEastAsia" w:hAnsiTheme="majorEastAsia" w:eastAsiaTheme="majorEastAsia" w:cstheme="majorEastAsia"/>
              </w:rPr>
              <w:t>合法有效</w:t>
            </w:r>
          </w:p>
        </w:tc>
      </w:tr>
    </w:tbl>
    <w:p>
      <w:pPr>
        <w:spacing w:line="480" w:lineRule="exact"/>
        <w:rPr>
          <w:rFonts w:hint="eastAsia" w:asciiTheme="majorEastAsia" w:hAnsiTheme="majorEastAsia" w:eastAsiaTheme="majorEastAsia" w:cstheme="majorEastAsia"/>
          <w:sz w:val="24"/>
          <w:szCs w:val="24"/>
        </w:rPr>
      </w:pPr>
    </w:p>
    <w:p>
      <w:pPr>
        <w:spacing w:line="480" w:lineRule="exact"/>
        <w:ind w:firstLine="480" w:firstLineChars="200"/>
        <w:rPr>
          <w:rFonts w:hint="eastAsia" w:asciiTheme="majorEastAsia" w:hAnsiTheme="majorEastAsia" w:eastAsiaTheme="majorEastAsia" w:cstheme="majorEastAsia"/>
          <w:sz w:val="24"/>
          <w:szCs w:val="24"/>
        </w:rPr>
      </w:pPr>
      <w:bookmarkStart w:id="224" w:name="_Toc6357"/>
      <w:r>
        <w:rPr>
          <w:rFonts w:hint="eastAsia" w:asciiTheme="majorEastAsia" w:hAnsiTheme="majorEastAsia" w:eastAsiaTheme="majorEastAsia" w:cstheme="majorEastAsia"/>
          <w:sz w:val="24"/>
          <w:szCs w:val="24"/>
        </w:rPr>
        <w:t>（2）符合性审查内容和标准：</w:t>
      </w:r>
      <w:bookmarkEnd w:id="224"/>
    </w:p>
    <w:tbl>
      <w:tblPr>
        <w:tblStyle w:val="19"/>
        <w:tblpPr w:leftFromText="180" w:rightFromText="180" w:vertAnchor="text" w:horzAnchor="page" w:tblpX="1737" w:tblpY="280"/>
        <w:tblOverlap w:val="never"/>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3727"/>
        <w:gridCol w:w="3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序号</w:t>
            </w:r>
          </w:p>
        </w:tc>
        <w:tc>
          <w:tcPr>
            <w:tcW w:w="3727"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审查内容</w:t>
            </w:r>
          </w:p>
        </w:tc>
        <w:tc>
          <w:tcPr>
            <w:tcW w:w="3674"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p>
        </w:tc>
        <w:tc>
          <w:tcPr>
            <w:tcW w:w="3727"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投标文件的有效性、完整性</w:t>
            </w:r>
          </w:p>
        </w:tc>
        <w:tc>
          <w:tcPr>
            <w:tcW w:w="3674"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符合招标文件要求、无缺漏项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3727"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投标文件的签署格式</w:t>
            </w:r>
          </w:p>
        </w:tc>
        <w:tc>
          <w:tcPr>
            <w:tcW w:w="3674"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符合招标文件要求、本人签字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89"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p>
        </w:tc>
        <w:tc>
          <w:tcPr>
            <w:tcW w:w="3727"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商务响应</w:t>
            </w:r>
          </w:p>
        </w:tc>
        <w:tc>
          <w:tcPr>
            <w:tcW w:w="3674"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p>
        </w:tc>
        <w:tc>
          <w:tcPr>
            <w:tcW w:w="3727"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技术响应</w:t>
            </w:r>
          </w:p>
        </w:tc>
        <w:tc>
          <w:tcPr>
            <w:tcW w:w="3674"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符合招标文件要求</w:t>
            </w:r>
          </w:p>
        </w:tc>
      </w:tr>
    </w:tbl>
    <w:p>
      <w:pPr>
        <w:spacing w:line="480" w:lineRule="exact"/>
        <w:jc w:val="center"/>
        <w:rPr>
          <w:rFonts w:hint="eastAsia" w:asciiTheme="majorEastAsia" w:hAnsiTheme="majorEastAsia" w:eastAsiaTheme="majorEastAsia" w:cstheme="majorEastAsia"/>
          <w:sz w:val="24"/>
          <w:szCs w:val="24"/>
        </w:rPr>
      </w:pPr>
    </w:p>
    <w:p>
      <w:pPr>
        <w:spacing w:line="48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4"/>
        <w:spacing w:line="480" w:lineRule="exact"/>
        <w:ind w:left="420"/>
        <w:rPr>
          <w:rFonts w:hint="eastAsia" w:asciiTheme="majorEastAsia" w:hAnsiTheme="majorEastAsia" w:eastAsiaTheme="majorEastAsia" w:cstheme="majorEastAsia"/>
        </w:rPr>
      </w:pPr>
      <w:bookmarkStart w:id="225" w:name="_Toc16944"/>
      <w:bookmarkStart w:id="226" w:name="_Toc21818"/>
      <w:bookmarkStart w:id="227" w:name="_Toc27331"/>
      <w:bookmarkStart w:id="228" w:name="_Toc24813"/>
      <w:r>
        <w:rPr>
          <w:rFonts w:hint="eastAsia" w:asciiTheme="majorEastAsia" w:hAnsiTheme="majorEastAsia" w:eastAsiaTheme="majorEastAsia" w:cstheme="majorEastAsia"/>
        </w:rPr>
        <w:t>2.投标文件详细评审</w:t>
      </w:r>
      <w:bookmarkEnd w:id="225"/>
      <w:bookmarkEnd w:id="226"/>
      <w:bookmarkEnd w:id="227"/>
      <w:bookmarkEnd w:id="228"/>
    </w:p>
    <w:p>
      <w:pPr>
        <w:spacing w:line="48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（1）本项目采用综合评分法进行评审，总分为</w:t>
      </w:r>
      <w:r>
        <w:rPr>
          <w:rFonts w:hint="eastAsia" w:asciiTheme="majorEastAsia" w:hAnsiTheme="majorEastAsia" w:eastAsiaTheme="majorEastAsia" w:cstheme="majorEastAsia"/>
          <w:sz w:val="24"/>
          <w:u w:val="single"/>
        </w:rPr>
        <w:t>100</w:t>
      </w:r>
      <w:r>
        <w:rPr>
          <w:rFonts w:hint="eastAsia" w:asciiTheme="majorEastAsia" w:hAnsiTheme="majorEastAsia" w:eastAsiaTheme="majorEastAsia" w:cstheme="majorEastAsia"/>
          <w:sz w:val="24"/>
        </w:rPr>
        <w:t>分。</w:t>
      </w:r>
    </w:p>
    <w:p>
      <w:pPr>
        <w:spacing w:line="48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（2）评标委员会将对通过资格性、符合性审查，实质上响应招标文件要求的投标文件，按照招标文件中规定的各项因素进行综合评审，根据评审总得分由高到低的顺序推荐前3名候选供应商。</w:t>
      </w:r>
    </w:p>
    <w:p>
      <w:pPr>
        <w:spacing w:line="480" w:lineRule="exact"/>
        <w:ind w:firstLine="480" w:firstLineChars="20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（3）评审内容和标准：</w:t>
      </w:r>
    </w:p>
    <w:p>
      <w:pPr>
        <w:spacing w:line="480" w:lineRule="exact"/>
        <w:jc w:val="center"/>
        <w:rPr>
          <w:rFonts w:hint="eastAsia" w:asciiTheme="majorEastAsia" w:hAnsiTheme="majorEastAsia" w:eastAsiaTheme="majorEastAsia" w:cstheme="majorEastAsia"/>
          <w:b/>
          <w:bCs/>
          <w:szCs w:val="21"/>
        </w:rPr>
      </w:pPr>
      <w:bookmarkStart w:id="229" w:name="_Toc1569"/>
      <w:bookmarkStart w:id="230" w:name="_Toc28761"/>
      <w:r>
        <w:rPr>
          <w:rFonts w:hint="eastAsia" w:asciiTheme="majorEastAsia" w:hAnsiTheme="majorEastAsia" w:eastAsiaTheme="majorEastAsia" w:cstheme="majorEastAsia"/>
          <w:b/>
          <w:bCs/>
          <w:szCs w:val="21"/>
        </w:rPr>
        <w:t>评分办法</w:t>
      </w:r>
      <w:bookmarkEnd w:id="229"/>
      <w:bookmarkEnd w:id="230"/>
    </w:p>
    <w:tbl>
      <w:tblPr>
        <w:tblStyle w:val="20"/>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09"/>
        <w:gridCol w:w="1175"/>
        <w:gridCol w:w="4984"/>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55" w:type="dxa"/>
            <w:shd w:val="clear" w:color="auto" w:fill="D7D7D7" w:themeFill="background1" w:themeFillShade="D8"/>
            <w:vAlign w:val="center"/>
          </w:tcPr>
          <w:p>
            <w:pPr>
              <w:pStyle w:val="18"/>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909" w:type="dxa"/>
            <w:shd w:val="clear" w:color="auto" w:fill="D7D7D7" w:themeFill="background1" w:themeFillShade="D8"/>
            <w:vAlign w:val="center"/>
          </w:tcPr>
          <w:p>
            <w:pPr>
              <w:pStyle w:val="18"/>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评分内容</w:t>
            </w:r>
          </w:p>
        </w:tc>
        <w:tc>
          <w:tcPr>
            <w:tcW w:w="6159" w:type="dxa"/>
            <w:gridSpan w:val="2"/>
            <w:shd w:val="clear" w:color="auto" w:fill="D7D7D7" w:themeFill="background1" w:themeFillShade="D8"/>
            <w:vAlign w:val="center"/>
          </w:tcPr>
          <w:p>
            <w:pPr>
              <w:pStyle w:val="18"/>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评分标准</w:t>
            </w:r>
          </w:p>
        </w:tc>
        <w:tc>
          <w:tcPr>
            <w:tcW w:w="696" w:type="dxa"/>
            <w:shd w:val="clear" w:color="auto" w:fill="D7D7D7" w:themeFill="background1" w:themeFillShade="D8"/>
            <w:vAlign w:val="center"/>
          </w:tcPr>
          <w:p>
            <w:pPr>
              <w:pStyle w:val="18"/>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1</w:t>
            </w:r>
          </w:p>
        </w:tc>
        <w:tc>
          <w:tcPr>
            <w:tcW w:w="909"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报价</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30分</w:t>
            </w:r>
          </w:p>
        </w:tc>
        <w:tc>
          <w:tcPr>
            <w:tcW w:w="6159" w:type="dxa"/>
            <w:gridSpan w:val="2"/>
          </w:tcPr>
          <w:p>
            <w:pPr>
              <w:pStyle w:val="18"/>
              <w:rPr>
                <w:rFonts w:hint="default"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价格分统一采用低价优先法计算，即满足招标文件要求且投标价格最低的报价为评标基准价，其价格分为满分。投标报价高出预算价按无效报价处理，其他投标人的价格分统一按照下列公式计算：投标报价得分＝（评标基准价/投标报价）×30</w:t>
            </w:r>
          </w:p>
        </w:tc>
        <w:tc>
          <w:tcPr>
            <w:tcW w:w="696" w:type="dxa"/>
            <w:vAlign w:val="center"/>
          </w:tcPr>
          <w:p>
            <w:pPr>
              <w:pStyle w:val="18"/>
              <w:rPr>
                <w:rFonts w:hint="default"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2</w:t>
            </w:r>
          </w:p>
        </w:tc>
        <w:tc>
          <w:tcPr>
            <w:tcW w:w="909"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业绩</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6分</w:t>
            </w:r>
          </w:p>
        </w:tc>
        <w:tc>
          <w:tcPr>
            <w:tcW w:w="6159" w:type="dxa"/>
            <w:gridSpan w:val="2"/>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提供近三年类似项目业绩一份得2分，最高得6分</w:t>
            </w:r>
          </w:p>
        </w:tc>
        <w:tc>
          <w:tcPr>
            <w:tcW w:w="696" w:type="dxa"/>
            <w:vAlign w:val="center"/>
          </w:tcPr>
          <w:p>
            <w:pPr>
              <w:pStyle w:val="18"/>
              <w:rPr>
                <w:rFonts w:hint="default"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55" w:type="dxa"/>
            <w:vMerge w:val="restart"/>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3</w:t>
            </w:r>
          </w:p>
        </w:tc>
        <w:tc>
          <w:tcPr>
            <w:tcW w:w="909" w:type="dxa"/>
            <w:vMerge w:val="restart"/>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技术方案</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54分</w:t>
            </w:r>
          </w:p>
        </w:tc>
        <w:tc>
          <w:tcPr>
            <w:tcW w:w="1175"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供货方案</w:t>
            </w:r>
          </w:p>
        </w:tc>
        <w:tc>
          <w:tcPr>
            <w:tcW w:w="4984"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供货组织方案、送货详细方案及时间控制措施、特殊事宜的处理等，好得8-12分；一般得3-7分；差得1-2分</w:t>
            </w:r>
          </w:p>
        </w:tc>
        <w:tc>
          <w:tcPr>
            <w:tcW w:w="696"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pPr>
              <w:pStyle w:val="18"/>
              <w:rPr>
                <w:rFonts w:hint="eastAsia" w:asciiTheme="majorEastAsia" w:hAnsiTheme="majorEastAsia" w:eastAsiaTheme="majorEastAsia" w:cstheme="majorEastAsia"/>
                <w:kern w:val="2"/>
                <w:sz w:val="24"/>
                <w:szCs w:val="22"/>
                <w:lang w:val="en-US" w:eastAsia="zh-CN" w:bidi="ar-SA"/>
              </w:rPr>
            </w:pPr>
          </w:p>
        </w:tc>
        <w:tc>
          <w:tcPr>
            <w:tcW w:w="909" w:type="dxa"/>
            <w:vMerge w:val="continue"/>
            <w:vAlign w:val="center"/>
          </w:tcPr>
          <w:p>
            <w:pPr>
              <w:pStyle w:val="18"/>
              <w:rPr>
                <w:rFonts w:hint="eastAsia" w:asciiTheme="majorEastAsia" w:hAnsiTheme="majorEastAsia" w:eastAsiaTheme="majorEastAsia" w:cstheme="majorEastAsia"/>
                <w:kern w:val="2"/>
                <w:sz w:val="24"/>
                <w:szCs w:val="22"/>
                <w:lang w:val="en-US" w:eastAsia="zh-CN" w:bidi="ar-SA"/>
              </w:rPr>
            </w:pPr>
          </w:p>
        </w:tc>
        <w:tc>
          <w:tcPr>
            <w:tcW w:w="1175"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检测、验收方案</w:t>
            </w:r>
          </w:p>
        </w:tc>
        <w:tc>
          <w:tcPr>
            <w:tcW w:w="4984"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有机肥料的检测、验收方案科学合理，安全保证措施及应用技术支持，好14-10分，较好9-2分，一般1分</w:t>
            </w:r>
          </w:p>
        </w:tc>
        <w:tc>
          <w:tcPr>
            <w:tcW w:w="696" w:type="dxa"/>
            <w:vAlign w:val="center"/>
          </w:tcPr>
          <w:p>
            <w:pPr>
              <w:pStyle w:val="18"/>
              <w:rPr>
                <w:rFonts w:hint="default"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pPr>
              <w:pStyle w:val="18"/>
              <w:rPr>
                <w:rFonts w:hint="eastAsia" w:asciiTheme="majorEastAsia" w:hAnsiTheme="majorEastAsia" w:eastAsiaTheme="majorEastAsia" w:cstheme="majorEastAsia"/>
                <w:kern w:val="2"/>
                <w:sz w:val="24"/>
                <w:szCs w:val="22"/>
                <w:lang w:val="en-US" w:eastAsia="zh-CN" w:bidi="ar-SA"/>
              </w:rPr>
            </w:pPr>
          </w:p>
        </w:tc>
        <w:tc>
          <w:tcPr>
            <w:tcW w:w="909" w:type="dxa"/>
            <w:vMerge w:val="continue"/>
            <w:vAlign w:val="center"/>
          </w:tcPr>
          <w:p>
            <w:pPr>
              <w:pStyle w:val="18"/>
              <w:rPr>
                <w:rFonts w:hint="eastAsia" w:asciiTheme="majorEastAsia" w:hAnsiTheme="majorEastAsia" w:eastAsiaTheme="majorEastAsia" w:cstheme="majorEastAsia"/>
                <w:kern w:val="2"/>
                <w:sz w:val="24"/>
                <w:szCs w:val="22"/>
                <w:lang w:val="en-US" w:eastAsia="zh-CN" w:bidi="ar-SA"/>
              </w:rPr>
            </w:pPr>
          </w:p>
        </w:tc>
        <w:tc>
          <w:tcPr>
            <w:tcW w:w="1175"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技术保障措施</w:t>
            </w:r>
          </w:p>
        </w:tc>
        <w:tc>
          <w:tcPr>
            <w:tcW w:w="4984"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有机肥料包装、运输等主要技术保障措施；好得11-15分；一般得6-10分；差得1-5分</w:t>
            </w:r>
          </w:p>
        </w:tc>
        <w:tc>
          <w:tcPr>
            <w:tcW w:w="696" w:type="dxa"/>
            <w:vAlign w:val="center"/>
          </w:tcPr>
          <w:p>
            <w:pPr>
              <w:pStyle w:val="18"/>
              <w:rPr>
                <w:rFonts w:hint="default"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55" w:type="dxa"/>
            <w:vMerge w:val="continue"/>
            <w:vAlign w:val="center"/>
          </w:tcPr>
          <w:p>
            <w:pPr>
              <w:pStyle w:val="18"/>
              <w:rPr>
                <w:rFonts w:hint="eastAsia" w:asciiTheme="majorEastAsia" w:hAnsiTheme="majorEastAsia" w:eastAsiaTheme="majorEastAsia" w:cstheme="majorEastAsia"/>
                <w:kern w:val="2"/>
                <w:sz w:val="24"/>
                <w:szCs w:val="22"/>
                <w:lang w:val="en-US" w:eastAsia="zh-CN" w:bidi="ar-SA"/>
              </w:rPr>
            </w:pPr>
          </w:p>
        </w:tc>
        <w:tc>
          <w:tcPr>
            <w:tcW w:w="909" w:type="dxa"/>
            <w:vMerge w:val="continue"/>
            <w:vAlign w:val="center"/>
          </w:tcPr>
          <w:p>
            <w:pPr>
              <w:pStyle w:val="18"/>
              <w:rPr>
                <w:rFonts w:hint="eastAsia" w:asciiTheme="majorEastAsia" w:hAnsiTheme="majorEastAsia" w:eastAsiaTheme="majorEastAsia" w:cstheme="majorEastAsia"/>
                <w:kern w:val="2"/>
                <w:sz w:val="24"/>
                <w:szCs w:val="22"/>
                <w:lang w:val="en-US" w:eastAsia="zh-CN" w:bidi="ar-SA"/>
              </w:rPr>
            </w:pPr>
          </w:p>
        </w:tc>
        <w:tc>
          <w:tcPr>
            <w:tcW w:w="1175"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供货期保证</w:t>
            </w:r>
          </w:p>
        </w:tc>
        <w:tc>
          <w:tcPr>
            <w:tcW w:w="4984"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为确保项目实施时间及供货期而采取的保证措施：保证完成1-3分</w:t>
            </w:r>
          </w:p>
        </w:tc>
        <w:tc>
          <w:tcPr>
            <w:tcW w:w="696"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pPr>
              <w:pStyle w:val="18"/>
              <w:rPr>
                <w:rFonts w:hint="eastAsia" w:asciiTheme="majorEastAsia" w:hAnsiTheme="majorEastAsia" w:eastAsiaTheme="majorEastAsia" w:cstheme="majorEastAsia"/>
                <w:kern w:val="2"/>
                <w:sz w:val="24"/>
                <w:szCs w:val="22"/>
                <w:lang w:val="en-US" w:eastAsia="zh-CN" w:bidi="ar-SA"/>
              </w:rPr>
            </w:pPr>
          </w:p>
        </w:tc>
        <w:tc>
          <w:tcPr>
            <w:tcW w:w="909" w:type="dxa"/>
            <w:vMerge w:val="continue"/>
            <w:vAlign w:val="center"/>
          </w:tcPr>
          <w:p>
            <w:pPr>
              <w:pStyle w:val="18"/>
              <w:rPr>
                <w:rFonts w:hint="eastAsia" w:asciiTheme="majorEastAsia" w:hAnsiTheme="majorEastAsia" w:eastAsiaTheme="majorEastAsia" w:cstheme="majorEastAsia"/>
                <w:kern w:val="2"/>
                <w:sz w:val="24"/>
                <w:szCs w:val="22"/>
                <w:lang w:val="en-US" w:eastAsia="zh-CN" w:bidi="ar-SA"/>
              </w:rPr>
            </w:pPr>
          </w:p>
        </w:tc>
        <w:tc>
          <w:tcPr>
            <w:tcW w:w="1175"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质量保证</w:t>
            </w:r>
          </w:p>
        </w:tc>
        <w:tc>
          <w:tcPr>
            <w:tcW w:w="4984"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质量保证方案切实可行：好7-10分、较好3-6分、一般1-2分</w:t>
            </w:r>
          </w:p>
        </w:tc>
        <w:tc>
          <w:tcPr>
            <w:tcW w:w="696"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55"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4</w:t>
            </w:r>
          </w:p>
        </w:tc>
        <w:tc>
          <w:tcPr>
            <w:tcW w:w="909" w:type="dxa"/>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售后服务10分</w:t>
            </w:r>
          </w:p>
        </w:tc>
        <w:tc>
          <w:tcPr>
            <w:tcW w:w="6159" w:type="dxa"/>
            <w:gridSpan w:val="2"/>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评委根据各投标人所提供的售后服务承诺方案、服务人员的配备、响应时间、响应程度、解决问题的能力、紧急故障处理预案等综合打分。</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一般：基本响应招标文件要求，售后服务不具体、不完善； （1～3分）</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良好：基本响应招标文件要求，售后服务基本可行； （4～6分）</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优秀：响应招标文件要求，售后服务具体、可信、完整、可行。 （7～10分）</w:t>
            </w:r>
          </w:p>
        </w:tc>
        <w:tc>
          <w:tcPr>
            <w:tcW w:w="696" w:type="dxa"/>
            <w:vAlign w:val="center"/>
          </w:tcPr>
          <w:p>
            <w:pPr>
              <w:pStyle w:val="18"/>
              <w:rPr>
                <w:rFonts w:hint="default"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gridSpan w:val="2"/>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合计</w:t>
            </w:r>
          </w:p>
        </w:tc>
        <w:tc>
          <w:tcPr>
            <w:tcW w:w="6855" w:type="dxa"/>
            <w:gridSpan w:val="3"/>
            <w:vAlign w:val="center"/>
          </w:tcPr>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100分</w:t>
            </w:r>
          </w:p>
        </w:tc>
      </w:tr>
    </w:tbl>
    <w:p>
      <w:pPr>
        <w:pStyle w:val="18"/>
        <w:rPr>
          <w:rFonts w:hint="eastAsia" w:asciiTheme="majorEastAsia" w:hAnsiTheme="majorEastAsia" w:eastAsiaTheme="majorEastAsia" w:cstheme="majorEastAsia"/>
          <w:kern w:val="2"/>
          <w:sz w:val="24"/>
          <w:szCs w:val="22"/>
          <w:lang w:val="en-US" w:eastAsia="zh-CN" w:bidi="ar-SA"/>
        </w:rPr>
      </w:pPr>
      <w:bookmarkStart w:id="231" w:name="_Toc497551821"/>
      <w:bookmarkStart w:id="232" w:name="_Toc497711586"/>
      <w:bookmarkStart w:id="233" w:name="_Toc497546919"/>
      <w:bookmarkStart w:id="234" w:name="_Toc492955460"/>
      <w:bookmarkStart w:id="235" w:name="_Toc17437"/>
      <w:bookmarkStart w:id="236" w:name="_Toc389620242"/>
      <w:bookmarkStart w:id="237" w:name="_Toc497712134"/>
      <w:bookmarkStart w:id="238" w:name="_Toc385992402"/>
      <w:bookmarkStart w:id="239" w:name="_Toc347478744"/>
      <w:r>
        <w:rPr>
          <w:rFonts w:hint="eastAsia" w:asciiTheme="majorEastAsia" w:hAnsiTheme="majorEastAsia" w:eastAsiaTheme="majorEastAsia" w:cstheme="majorEastAsia"/>
          <w:kern w:val="2"/>
          <w:sz w:val="24"/>
          <w:szCs w:val="22"/>
          <w:lang w:val="en-US" w:eastAsia="zh-CN" w:bidi="ar-SA"/>
        </w:rPr>
        <w:t>（4）特殊情况：</w:t>
      </w:r>
    </w:p>
    <w:p>
      <w:pPr>
        <w:pStyle w:val="18"/>
        <w:ind w:firstLine="480" w:firstLineChars="200"/>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①评标委员会三分之二以上人员认为某投标报价有低于成本价嫌疑的，有可能影响产品质量或者不能诚信履约的，可要求该供应商在规定期限内，提供必要的书面文件予以解释和说明并附带相关证明材料，证明其报价合理性的；否则，评标委员会认定该供应商以低于成本价竞价，其响应文件作无效响应文件处理。</w:t>
      </w:r>
    </w:p>
    <w:p>
      <w:pPr>
        <w:pStyle w:val="18"/>
        <w:ind w:firstLine="480" w:firstLineChars="200"/>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②得分相同的，按投标报价由低到高顺序排列。得分且投标报价相同的，比较技术得分，技术得分高者排在前。</w:t>
      </w:r>
    </w:p>
    <w:p>
      <w:pPr>
        <w:pStyle w:val="18"/>
        <w:ind w:firstLine="480" w:firstLineChars="200"/>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③评委评分超过得分界限或未按照本办法规定时，该评委的该项评分作废，不计入汇总。④各投标企业严格按照招标文件及评标办法编制投标文件缺项者不得成为中标候选人。</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（5）数字均保留二位小数，第三位“四舍五入”</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（6）政策加分项</w:t>
      </w:r>
    </w:p>
    <w:p>
      <w:pPr>
        <w:pStyle w:val="18"/>
        <w:ind w:firstLine="480" w:firstLineChars="200"/>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1）根据财政部、工业和信息化部关于印发《政府采购促进中小企业发展管理办法》的通知--财库〔2020〕46号文件规定，对小型和微型企业产品的价格给予6%的扣除,用扣除后的价格参与评审。</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参与评审报价的计算方法是：</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参与评审报价=非小型和微型企业产品价格+小型和微型企业产品价格×94%。</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注：参与报价的小型和微型企业须提供企业所在地的县级以上中小企业主管部门出具的证明文件原件和《中小企业声明函》原件（代理商报价的，还须提供代理商企业所在地的县级以上中小企业主管部门出具的证明文件原件和《中小企业声明函》原件），且须在投标文件中详细列明小型和微型企业产品价格明细，否则不给予价格扣除。小型、微型企业提供中型企业制造的货物的，视同为中型企业。</w:t>
      </w:r>
    </w:p>
    <w:p>
      <w:pPr>
        <w:pStyle w:val="18"/>
        <w:ind w:firstLine="480" w:firstLineChars="200"/>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2)根据《财政部、司法部关于政府采购支持监狱企业发展有关问题的通知》（财库[2014]68号）文件规定，在政府采购活动中，监狱企业视同小型、微型企业，享受预留份额、评审中价格扣除等政府采购促进中小企业发展的政府采购政策。对监狱企业产品价格扣除，用扣除后的价格参与评审。</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参与评审报价的计算方法是：</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参与评审报价=非监狱企业产品价格+监狱企业产品价格×94%。</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注：监狱企业参加政府采购活动时，应当提供由省级以上监狱管理局、戒毒管理局（含新疆生产建设兵团）出具的属于监狱企业的证明文件原件，且须在投标文件中详细列明监狱企业产品价格明细，否则不给予价格扣除。</w:t>
      </w:r>
    </w:p>
    <w:p>
      <w:pPr>
        <w:pStyle w:val="18"/>
        <w:ind w:firstLine="480" w:firstLineChars="200"/>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3）根据财政部 民政部 中国残疾人联合会《三部门联合发布关于促进残疾人就业政府采购政策的通知》（财库〔2017〕141号）文件规定，在政府采购活动中，残疾人福利性单位视同小型、微型企业，享受预留份额、评审中价格扣除等促进中小企业发展的政府采购政策。对残疾人福利性单位产品价格扣除，用扣除后的价格参与评审。</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参与评审报价的计算方法是：</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参与评审报价=残疾人福利性单位产品价格+残疾人福利性单位产品价格×94%。</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注：1、残疾人福利性单位在参加政府采购活动时，应当提供《残疾人福利性单位声明函》（见附件），且须在投标文件中详细列明残疾人福利性单位产品价格明细，否则不给予价格扣除；2、残疾人福利性单位属于小型、微型企业的，不重复享受政策；3、供应商提供的《残疾人福利性单位声明函》与事实不符的，依照《中华人民共和国政府采购法》第七十七条第一款的规定追究法律责任。</w:t>
      </w:r>
    </w:p>
    <w:p>
      <w:pPr>
        <w:pStyle w:val="18"/>
        <w:ind w:firstLine="480" w:firstLineChars="200"/>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4)根据《节能产品政府采购实施意见》（财库〔2004〕185号）、《关于环境标志产品政府采购实施的意见》（财库〔2006〕90号）和《关于调整公布第二十期环境标志产品政府采购清单的通知》（财库〔2017〕126号）文件规定，政府采购属于节能清单中的产品时，在技术、服务等指标同等条件下，应当优先采购节能清单所列的节能产品。采购人采购的产品属于环境标志产品政府采购清单中品目的，在性能、技术、服务等指标同等条件下，应当优先采购环境标志产品政府采购清单中的环境标志产品。对于同时列入环保清单和节能产品政府采购清单的产品，应当优先于只列入其中一个清单的产品。</w:t>
      </w:r>
    </w:p>
    <w:p>
      <w:pPr>
        <w:pStyle w:val="18"/>
        <w:ind w:firstLine="480" w:firstLineChars="200"/>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根据《关于调整公布第二十四期节能产品政府采购清单的通知》（财库〔2017〕129号）文件规定，节能清单所列产品包括政府强制采购和优先采购的节能产品。其中，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具体品目以“★”标注)。其他品目为政府优先采购的节能产品。采购人拟采购的产品属于政府强制采购节能产品范围，但本期节能清单中无对应细化分类或节能清单中的产品无法满足工作需要的，可在节能清单之外采购。</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加分计算方法是：</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报价部分加分=报价得分×4%×（节能、环保产品价格在投标报价中所占比例）。</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技术部分加分=技术部分得分×4%×（节能、环保产品价格在投标报价中所占比例）。</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其中节能产品报价中不含强制性节能产品的报价。</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注：1、节能产品是指列入财政部、国家发展改革委制定的最新一期《节能产品政府采购清单》并附截图，且取得中国节能产品认证证书的产品；环保产品是指列入财政部、环境保护部制定的最新一期《环境标志产品政府采购清单》并附截图，且取得中国环境标志产品认证证书的产品；2、产品是否属于享受政府采购政策的上述类型，需提供相关证明材料，以上证书以原件为准，超过认证证书有效截止日期的自动失效；3、在最新一期环境标志产品政府采购清单的通知发布之后开展的政府采购活动，应当执行本期环保清单。在本通知发布之前已经开展但尚未进入评审环节的政府采购活动，应当按照采购文件的约定执行上期或本期环保清单，采购文件未约定的，可同时执行上期和本期环保清单；4、在最新一期节能产品政府采购清单的通知发布之后开展的政府采购活动，应当执行本期节能清单。在本通知发布之前已经开展但尚未进入评审环节的政府采购活动，应当按照采购文件的约定执行上期或本期节能清单，采购文件未约定的，可同时执行上期和本期节能清单。</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开标时，须提供最新发布“节能产品政府采购清单”或“环境标志产品政府采购清单”相应页面的复印件并加盖公章，且须在投标文件中详细列明节能环保产品价格在投标报价中所占比例，否则不予计分。</w:t>
      </w:r>
    </w:p>
    <w:p>
      <w:pPr>
        <w:pStyle w:val="18"/>
        <w:ind w:firstLine="480" w:firstLineChars="200"/>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4）关于投标人提供相同品牌产品投标的相关问题：</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rPr>
          <w:rFonts w:hint="eastAsia" w:asciiTheme="majorEastAsia" w:hAnsiTheme="majorEastAsia" w:eastAsiaTheme="majorEastAsia" w:cstheme="majorEastAsia"/>
          <w:kern w:val="2"/>
          <w:sz w:val="24"/>
          <w:szCs w:val="22"/>
          <w:lang w:val="en-US" w:eastAsia="zh-CN" w:bidi="ar-SA"/>
        </w:rPr>
      </w:pPr>
      <w:r>
        <w:rPr>
          <w:rFonts w:hint="eastAsia" w:asciiTheme="majorEastAsia" w:hAnsiTheme="majorEastAsia" w:eastAsiaTheme="majorEastAsia" w:cstheme="majorEastAsia"/>
          <w:kern w:val="2"/>
          <w:sz w:val="24"/>
          <w:szCs w:val="22"/>
          <w:lang w:val="en-US" w:eastAsia="zh-CN" w:bidi="ar-SA"/>
        </w:rPr>
        <w:t>非单一产品采购项目，采购人应当根据采购项目技术构成、产品价格比重等合理确定核心产品，并在招标文件中载明。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 w:val="24"/>
          <w:szCs w:val="22"/>
          <w:lang w:val="en-US" w:eastAsia="zh-CN" w:bidi="ar-SA"/>
        </w:rPr>
        <w:br w:type="page"/>
      </w:r>
    </w:p>
    <w:p>
      <w:pPr>
        <w:pStyle w:val="3"/>
        <w:spacing w:line="480" w:lineRule="exact"/>
        <w:rPr>
          <w:rFonts w:hint="eastAsia" w:asciiTheme="majorEastAsia" w:hAnsiTheme="majorEastAsia" w:eastAsiaTheme="majorEastAsia" w:cstheme="majorEastAsia"/>
        </w:rPr>
      </w:pPr>
      <w:bookmarkStart w:id="240" w:name="_Toc4644"/>
      <w:bookmarkStart w:id="241" w:name="_Toc30444"/>
      <w:bookmarkStart w:id="242" w:name="_Toc13999"/>
      <w:bookmarkStart w:id="243" w:name="_Toc32398"/>
      <w:r>
        <w:rPr>
          <w:rFonts w:hint="eastAsia" w:asciiTheme="majorEastAsia" w:hAnsiTheme="majorEastAsia" w:eastAsiaTheme="majorEastAsia" w:cstheme="majorEastAsia"/>
        </w:rPr>
        <w:t>第五部分 合同主要条款</w:t>
      </w:r>
      <w:bookmarkEnd w:id="240"/>
      <w:bookmarkEnd w:id="241"/>
      <w:bookmarkEnd w:id="242"/>
      <w:bookmarkEnd w:id="243"/>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spacing w:line="48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甲方：</w:t>
      </w:r>
      <w:r>
        <w:rPr>
          <w:rFonts w:hint="eastAsia" w:asciiTheme="majorEastAsia" w:hAnsiTheme="majorEastAsia" w:eastAsiaTheme="majorEastAsia" w:cstheme="majorEastAsia"/>
          <w:sz w:val="24"/>
          <w:szCs w:val="24"/>
          <w:lang w:eastAsia="zh-CN"/>
        </w:rPr>
        <w:t>延川县苹果生产管理办公室</w:t>
      </w:r>
    </w:p>
    <w:p>
      <w:pPr>
        <w:spacing w:line="480" w:lineRule="exact"/>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w:t>
      </w:r>
    </w:p>
    <w:p>
      <w:pPr>
        <w:spacing w:line="52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根据《中华人民国共和国政府采购法》、《中华人民国共和国合同法》的相关规定，经甲乙双方协商，就</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达成协议如下：</w:t>
      </w:r>
    </w:p>
    <w:p>
      <w:pPr>
        <w:pStyle w:val="4"/>
        <w:spacing w:line="480" w:lineRule="exact"/>
        <w:ind w:left="420"/>
        <w:jc w:val="left"/>
        <w:rPr>
          <w:rFonts w:hint="eastAsia" w:asciiTheme="majorEastAsia" w:hAnsiTheme="majorEastAsia" w:eastAsiaTheme="majorEastAsia" w:cstheme="majorEastAsia"/>
        </w:rPr>
      </w:pPr>
      <w:bookmarkStart w:id="244" w:name="_Toc4303"/>
      <w:bookmarkStart w:id="245" w:name="_Toc26382"/>
      <w:bookmarkStart w:id="246" w:name="_Toc25603"/>
      <w:bookmarkStart w:id="247" w:name="_Toc12735"/>
      <w:r>
        <w:rPr>
          <w:rFonts w:hint="eastAsia" w:asciiTheme="majorEastAsia" w:hAnsiTheme="majorEastAsia" w:eastAsiaTheme="majorEastAsia" w:cstheme="majorEastAsia"/>
        </w:rPr>
        <w:t>1.合同概况</w:t>
      </w:r>
      <w:bookmarkEnd w:id="244"/>
      <w:bookmarkEnd w:id="245"/>
      <w:bookmarkEnd w:id="246"/>
      <w:bookmarkEnd w:id="247"/>
    </w:p>
    <w:p>
      <w:pPr>
        <w:spacing w:line="480" w:lineRule="exact"/>
        <w:ind w:firstLine="480"/>
        <w:rPr>
          <w:rFonts w:hint="eastAsia" w:asciiTheme="majorEastAsia" w:hAnsiTheme="majorEastAsia" w:eastAsiaTheme="majorEastAsia" w:cstheme="majorEastAsia"/>
          <w:sz w:val="24"/>
          <w:szCs w:val="24"/>
        </w:rPr>
      </w:pPr>
      <w:bookmarkStart w:id="248" w:name="_Toc923"/>
      <w:r>
        <w:rPr>
          <w:rFonts w:hint="eastAsia" w:asciiTheme="majorEastAsia" w:hAnsiTheme="majorEastAsia" w:eastAsiaTheme="majorEastAsia" w:cstheme="majorEastAsia"/>
          <w:sz w:val="24"/>
          <w:szCs w:val="24"/>
        </w:rPr>
        <w:t>1.1合同内容：</w:t>
      </w:r>
      <w:bookmarkEnd w:id="248"/>
      <w:r>
        <w:rPr>
          <w:rFonts w:hint="eastAsia" w:asciiTheme="majorEastAsia" w:hAnsiTheme="majorEastAsia" w:eastAsiaTheme="majorEastAsia" w:cstheme="majorEastAsia"/>
          <w:sz w:val="24"/>
          <w:szCs w:val="24"/>
          <w:u w:val="single"/>
        </w:rPr>
        <w:t>　　　　　　　　　　</w:t>
      </w:r>
    </w:p>
    <w:p>
      <w:pPr>
        <w:spacing w:line="480" w:lineRule="exact"/>
        <w:ind w:firstLine="480"/>
        <w:rPr>
          <w:rFonts w:hint="eastAsia" w:asciiTheme="majorEastAsia" w:hAnsiTheme="majorEastAsia" w:eastAsiaTheme="majorEastAsia" w:cstheme="majorEastAsia"/>
          <w:sz w:val="24"/>
          <w:szCs w:val="24"/>
        </w:rPr>
      </w:pPr>
      <w:bookmarkStart w:id="249" w:name="_Toc15752"/>
      <w:r>
        <w:rPr>
          <w:rFonts w:hint="eastAsia" w:asciiTheme="majorEastAsia" w:hAnsiTheme="majorEastAsia" w:eastAsiaTheme="majorEastAsia" w:cstheme="majorEastAsia"/>
          <w:sz w:val="24"/>
          <w:szCs w:val="24"/>
        </w:rPr>
        <w:t>1.2合同总价款：</w:t>
      </w:r>
      <w:bookmarkEnd w:id="249"/>
      <w:r>
        <w:rPr>
          <w:rFonts w:hint="eastAsia" w:asciiTheme="majorEastAsia" w:hAnsiTheme="majorEastAsia" w:eastAsiaTheme="majorEastAsia" w:cstheme="majorEastAsia"/>
          <w:sz w:val="24"/>
          <w:szCs w:val="24"/>
          <w:u w:val="single"/>
        </w:rPr>
        <w:t>　　　　　　　　　</w:t>
      </w:r>
    </w:p>
    <w:p>
      <w:pPr>
        <w:pStyle w:val="4"/>
        <w:spacing w:line="480" w:lineRule="exact"/>
        <w:ind w:left="420"/>
        <w:jc w:val="left"/>
        <w:rPr>
          <w:rFonts w:hint="eastAsia" w:asciiTheme="majorEastAsia" w:hAnsiTheme="majorEastAsia" w:eastAsiaTheme="majorEastAsia" w:cstheme="majorEastAsia"/>
        </w:rPr>
      </w:pPr>
      <w:bookmarkStart w:id="250" w:name="_Toc20643"/>
      <w:bookmarkStart w:id="251" w:name="_Toc7731"/>
      <w:bookmarkStart w:id="252" w:name="_Toc31926"/>
      <w:bookmarkStart w:id="253" w:name="_Toc26388"/>
      <w:r>
        <w:rPr>
          <w:rFonts w:hint="eastAsia" w:asciiTheme="majorEastAsia" w:hAnsiTheme="majorEastAsia" w:eastAsiaTheme="majorEastAsia" w:cstheme="majorEastAsia"/>
        </w:rPr>
        <w:t>2.服务内容及地点</w:t>
      </w:r>
      <w:bookmarkEnd w:id="250"/>
      <w:bookmarkEnd w:id="251"/>
      <w:bookmarkEnd w:id="252"/>
      <w:bookmarkEnd w:id="253"/>
    </w:p>
    <w:p>
      <w:pPr>
        <w:spacing w:line="480" w:lineRule="exact"/>
        <w:ind w:firstLine="480" w:firstLineChars="200"/>
        <w:rPr>
          <w:rFonts w:hint="eastAsia" w:asciiTheme="majorEastAsia" w:hAnsiTheme="majorEastAsia" w:eastAsiaTheme="majorEastAsia" w:cstheme="majorEastAsia"/>
          <w:sz w:val="24"/>
          <w:szCs w:val="24"/>
        </w:rPr>
      </w:pPr>
      <w:bookmarkStart w:id="254" w:name="_Toc25912"/>
      <w:r>
        <w:rPr>
          <w:rFonts w:hint="eastAsia" w:asciiTheme="majorEastAsia" w:hAnsiTheme="majorEastAsia" w:eastAsiaTheme="majorEastAsia" w:cstheme="majorEastAsia"/>
          <w:sz w:val="24"/>
          <w:szCs w:val="24"/>
        </w:rPr>
        <w:t>2.1内容：</w:t>
      </w:r>
      <w:bookmarkEnd w:id="254"/>
      <w:r>
        <w:rPr>
          <w:rFonts w:hint="eastAsia" w:asciiTheme="majorEastAsia" w:hAnsiTheme="majorEastAsia" w:eastAsiaTheme="majorEastAsia" w:cstheme="majorEastAsia"/>
          <w:sz w:val="24"/>
          <w:szCs w:val="24"/>
        </w:rPr>
        <w:t>采购有机肥</w:t>
      </w:r>
      <w:r>
        <w:rPr>
          <w:rFonts w:hint="eastAsia" w:asciiTheme="majorEastAsia" w:hAnsiTheme="majorEastAsia" w:eastAsiaTheme="majorEastAsia" w:cstheme="majorEastAsia"/>
          <w:sz w:val="24"/>
          <w:szCs w:val="24"/>
          <w:lang w:val="en-US" w:eastAsia="zh-CN"/>
        </w:rPr>
        <w:t>2500</w:t>
      </w:r>
      <w:r>
        <w:rPr>
          <w:rFonts w:hint="eastAsia" w:asciiTheme="majorEastAsia" w:hAnsiTheme="majorEastAsia" w:eastAsiaTheme="majorEastAsia" w:cstheme="majorEastAsia"/>
          <w:sz w:val="24"/>
          <w:szCs w:val="24"/>
        </w:rPr>
        <w:t>吨</w:t>
      </w:r>
      <w:r>
        <w:rPr>
          <w:rFonts w:hint="eastAsia" w:asciiTheme="majorEastAsia" w:hAnsiTheme="majorEastAsia" w:eastAsiaTheme="majorEastAsia" w:cstheme="majorEastAsia"/>
          <w:sz w:val="24"/>
          <w:szCs w:val="24"/>
          <w:lang w:eastAsia="zh-CN"/>
        </w:rPr>
        <w:t>、水溶肥</w:t>
      </w:r>
      <w:r>
        <w:rPr>
          <w:rFonts w:hint="eastAsia" w:asciiTheme="majorEastAsia" w:hAnsiTheme="majorEastAsia" w:eastAsiaTheme="majorEastAsia" w:cstheme="majorEastAsia"/>
          <w:sz w:val="24"/>
          <w:szCs w:val="24"/>
          <w:lang w:val="en-US" w:eastAsia="zh-CN"/>
        </w:rPr>
        <w:t>30吨</w:t>
      </w:r>
      <w:r>
        <w:rPr>
          <w:rFonts w:hint="eastAsia" w:asciiTheme="majorEastAsia" w:hAnsiTheme="majorEastAsia" w:eastAsiaTheme="majorEastAsia" w:cstheme="majorEastAsia"/>
          <w:sz w:val="24"/>
          <w:szCs w:val="24"/>
          <w:lang w:eastAsia="zh-CN"/>
        </w:rPr>
        <w:t>；</w:t>
      </w:r>
    </w:p>
    <w:p>
      <w:pPr>
        <w:spacing w:line="480" w:lineRule="exact"/>
        <w:ind w:firstLine="480" w:firstLineChars="200"/>
        <w:rPr>
          <w:rFonts w:hint="eastAsia" w:asciiTheme="majorEastAsia" w:hAnsiTheme="majorEastAsia" w:eastAsiaTheme="majorEastAsia" w:cstheme="majorEastAsia"/>
          <w:sz w:val="24"/>
          <w:szCs w:val="24"/>
        </w:rPr>
      </w:pPr>
      <w:bookmarkStart w:id="255" w:name="_Toc12988"/>
      <w:r>
        <w:rPr>
          <w:rFonts w:hint="eastAsia" w:asciiTheme="majorEastAsia" w:hAnsiTheme="majorEastAsia" w:eastAsiaTheme="majorEastAsia" w:cstheme="majorEastAsia"/>
          <w:sz w:val="24"/>
          <w:szCs w:val="24"/>
        </w:rPr>
        <w:t>2.2地点</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甲方指定地点。</w:t>
      </w:r>
      <w:bookmarkEnd w:id="255"/>
    </w:p>
    <w:p>
      <w:pPr>
        <w:pStyle w:val="4"/>
        <w:spacing w:line="480" w:lineRule="exact"/>
        <w:ind w:left="420"/>
        <w:jc w:val="left"/>
        <w:rPr>
          <w:rFonts w:hint="eastAsia" w:asciiTheme="majorEastAsia" w:hAnsiTheme="majorEastAsia" w:eastAsiaTheme="majorEastAsia" w:cstheme="majorEastAsia"/>
          <w:color w:val="auto"/>
        </w:rPr>
      </w:pPr>
      <w:bookmarkStart w:id="256" w:name="_Toc12754"/>
      <w:bookmarkStart w:id="257" w:name="_Toc759"/>
      <w:bookmarkStart w:id="258" w:name="_Toc32568"/>
      <w:bookmarkStart w:id="259" w:name="_Toc2434"/>
      <w:r>
        <w:rPr>
          <w:rFonts w:hint="eastAsia" w:asciiTheme="majorEastAsia" w:hAnsiTheme="majorEastAsia" w:eastAsiaTheme="majorEastAsia" w:cstheme="majorEastAsia"/>
          <w:color w:val="auto"/>
        </w:rPr>
        <w:t>3.供货期</w:t>
      </w:r>
      <w:bookmarkEnd w:id="256"/>
      <w:bookmarkEnd w:id="257"/>
      <w:bookmarkEnd w:id="258"/>
      <w:bookmarkEnd w:id="259"/>
      <w:r>
        <w:rPr>
          <w:rFonts w:hint="eastAsia" w:asciiTheme="majorEastAsia" w:hAnsiTheme="majorEastAsia" w:eastAsiaTheme="majorEastAsia" w:cstheme="majorEastAsia"/>
          <w:color w:val="auto"/>
          <w:lang w:eastAsia="zh-CN"/>
        </w:rPr>
        <w:t>及供货方式</w:t>
      </w:r>
    </w:p>
    <w:p>
      <w:pPr>
        <w:pStyle w:val="4"/>
        <w:spacing w:line="480" w:lineRule="exact"/>
        <w:ind w:left="420"/>
        <w:jc w:val="left"/>
        <w:rPr>
          <w:rFonts w:hint="eastAsia" w:asciiTheme="majorEastAsia" w:hAnsiTheme="majorEastAsia" w:eastAsiaTheme="majorEastAsia" w:cstheme="majorEastAsia"/>
          <w:b w:val="0"/>
          <w:kern w:val="2"/>
          <w:sz w:val="24"/>
          <w:szCs w:val="24"/>
          <w:lang w:val="en-US" w:eastAsia="zh-CN" w:bidi="ar-SA"/>
        </w:rPr>
      </w:pPr>
      <w:r>
        <w:rPr>
          <w:rFonts w:hint="eastAsia" w:asciiTheme="majorEastAsia" w:hAnsiTheme="majorEastAsia" w:eastAsiaTheme="majorEastAsia" w:cstheme="majorEastAsia"/>
          <w:b w:val="0"/>
          <w:kern w:val="2"/>
          <w:sz w:val="24"/>
          <w:szCs w:val="24"/>
          <w:lang w:val="en-US" w:eastAsia="zh-CN" w:bidi="ar-SA"/>
        </w:rPr>
        <w:t>3.1合同签订后一个月内；</w:t>
      </w:r>
    </w:p>
    <w:p>
      <w:pPr>
        <w:pStyle w:val="4"/>
        <w:spacing w:line="480" w:lineRule="exact"/>
        <w:ind w:left="420"/>
        <w:jc w:val="left"/>
        <w:rPr>
          <w:rFonts w:hint="eastAsia" w:asciiTheme="majorEastAsia" w:hAnsiTheme="majorEastAsia" w:eastAsiaTheme="majorEastAsia" w:cstheme="majorEastAsia"/>
          <w:b w:val="0"/>
          <w:kern w:val="2"/>
          <w:sz w:val="24"/>
          <w:szCs w:val="24"/>
          <w:lang w:val="en-US" w:eastAsia="zh-CN" w:bidi="ar-SA"/>
        </w:rPr>
      </w:pPr>
      <w:r>
        <w:rPr>
          <w:rFonts w:hint="eastAsia" w:asciiTheme="majorEastAsia" w:hAnsiTheme="majorEastAsia" w:eastAsiaTheme="majorEastAsia" w:cstheme="majorEastAsia"/>
          <w:b w:val="0"/>
          <w:kern w:val="2"/>
          <w:sz w:val="24"/>
          <w:szCs w:val="24"/>
          <w:lang w:val="en-US" w:eastAsia="zh-CN" w:bidi="ar-SA"/>
        </w:rPr>
        <w:t>3.2按照甲方要求分批次供货。</w:t>
      </w:r>
    </w:p>
    <w:p>
      <w:pPr>
        <w:pStyle w:val="4"/>
        <w:spacing w:line="480" w:lineRule="exact"/>
        <w:ind w:left="420"/>
        <w:jc w:val="left"/>
        <w:rPr>
          <w:rFonts w:hint="eastAsia" w:asciiTheme="majorEastAsia" w:hAnsiTheme="majorEastAsia" w:eastAsiaTheme="majorEastAsia" w:cstheme="majorEastAsia"/>
        </w:rPr>
      </w:pPr>
      <w:bookmarkStart w:id="260" w:name="_Toc2543"/>
      <w:bookmarkStart w:id="261" w:name="_Toc11610"/>
      <w:bookmarkStart w:id="262" w:name="_Toc24302"/>
      <w:bookmarkStart w:id="263" w:name="_Toc12702"/>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.甲方的责任和义务</w:t>
      </w:r>
      <w:bookmarkEnd w:id="260"/>
      <w:bookmarkEnd w:id="261"/>
      <w:bookmarkEnd w:id="262"/>
      <w:bookmarkEnd w:id="263"/>
    </w:p>
    <w:p>
      <w:pPr>
        <w:spacing w:line="480" w:lineRule="exact"/>
        <w:ind w:firstLine="480" w:firstLineChars="200"/>
        <w:rPr>
          <w:rFonts w:hint="eastAsia" w:asciiTheme="majorEastAsia" w:hAnsiTheme="majorEastAsia" w:eastAsiaTheme="majorEastAsia" w:cstheme="majorEastAsia"/>
          <w:sz w:val="24"/>
          <w:szCs w:val="24"/>
        </w:rPr>
      </w:pPr>
      <w:bookmarkStart w:id="264" w:name="_Toc3472"/>
      <w:bookmarkStart w:id="265" w:name="_Toc19833"/>
      <w:bookmarkStart w:id="266" w:name="_Toc29279"/>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.1甲方应为乙方工作人员，提供必要的帮助和配合；</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.2甲方按合同规定向乙方支付应付合同价款。</w:t>
      </w:r>
    </w:p>
    <w:p>
      <w:pPr>
        <w:pStyle w:val="4"/>
        <w:spacing w:line="480" w:lineRule="exact"/>
        <w:ind w:left="420"/>
        <w:jc w:val="left"/>
        <w:rPr>
          <w:rFonts w:hint="eastAsia" w:asciiTheme="majorEastAsia" w:hAnsiTheme="majorEastAsia" w:eastAsiaTheme="majorEastAsia" w:cstheme="majorEastAsia"/>
        </w:rPr>
      </w:pPr>
      <w:bookmarkStart w:id="267" w:name="_Toc24312"/>
      <w:r>
        <w:rPr>
          <w:rFonts w:hint="eastAsia" w:asciiTheme="majorEastAsia" w:hAnsiTheme="majorEastAsia" w:eastAsiaTheme="majorEastAsia" w:cstheme="majorEastAsia"/>
        </w:rPr>
        <w:t>5.乙方的责任和义务</w:t>
      </w:r>
      <w:bookmarkEnd w:id="264"/>
      <w:bookmarkEnd w:id="265"/>
      <w:bookmarkEnd w:id="266"/>
      <w:bookmarkEnd w:id="267"/>
    </w:p>
    <w:p>
      <w:pPr>
        <w:spacing w:line="52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5.1乙方配合甲方做好</w:t>
      </w:r>
      <w:r>
        <w:rPr>
          <w:rFonts w:hint="eastAsia" w:asciiTheme="majorEastAsia" w:hAnsiTheme="majorEastAsia" w:eastAsiaTheme="majorEastAsia" w:cstheme="majorEastAsia"/>
          <w:sz w:val="24"/>
          <w:szCs w:val="24"/>
          <w:lang w:eastAsia="zh-CN"/>
        </w:rPr>
        <w:t>有机肥的</w:t>
      </w:r>
      <w:r>
        <w:rPr>
          <w:rFonts w:hint="eastAsia" w:asciiTheme="majorEastAsia" w:hAnsiTheme="majorEastAsia" w:eastAsiaTheme="majorEastAsia" w:cstheme="majorEastAsia"/>
          <w:sz w:val="24"/>
          <w:szCs w:val="24"/>
        </w:rPr>
        <w:t>采购工作；</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5.2乙方应按国家规范、标准、规程及甲方提出的相关要求，进行采购工作，按合同规定的进度要求提交质量合格的物资，并对其负责；</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5.3经甲方验收合格后，乙方向甲方移交相关的产品检验合格资料</w:t>
      </w:r>
      <w:r>
        <w:rPr>
          <w:rFonts w:hint="eastAsia" w:asciiTheme="majorEastAsia" w:hAnsiTheme="majorEastAsia" w:eastAsiaTheme="majorEastAsia" w:cstheme="majorEastAsia"/>
          <w:sz w:val="24"/>
          <w:szCs w:val="24"/>
          <w:lang w:eastAsia="zh-CN"/>
        </w:rPr>
        <w:t>。</w:t>
      </w:r>
    </w:p>
    <w:p>
      <w:pPr>
        <w:pStyle w:val="4"/>
        <w:spacing w:line="480" w:lineRule="exact"/>
        <w:ind w:left="420"/>
        <w:jc w:val="left"/>
        <w:rPr>
          <w:rFonts w:hint="eastAsia" w:asciiTheme="majorEastAsia" w:hAnsiTheme="majorEastAsia" w:eastAsiaTheme="majorEastAsia" w:cstheme="majorEastAsia"/>
        </w:rPr>
      </w:pPr>
      <w:bookmarkStart w:id="268" w:name="_Toc30459"/>
      <w:bookmarkStart w:id="269" w:name="_Toc1647"/>
      <w:bookmarkStart w:id="270" w:name="_Toc21527"/>
      <w:bookmarkStart w:id="271" w:name="_Toc10237"/>
      <w:r>
        <w:rPr>
          <w:rFonts w:hint="eastAsia" w:asciiTheme="majorEastAsia" w:hAnsiTheme="majorEastAsia" w:eastAsiaTheme="majorEastAsia" w:cstheme="majorEastAsia"/>
        </w:rPr>
        <w:t>6.付款方式</w:t>
      </w:r>
      <w:bookmarkEnd w:id="268"/>
      <w:bookmarkEnd w:id="269"/>
      <w:bookmarkEnd w:id="270"/>
      <w:bookmarkEnd w:id="271"/>
    </w:p>
    <w:p>
      <w:pPr>
        <w:spacing w:line="480" w:lineRule="exact"/>
        <w:ind w:left="48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具体付款方式与甲方协商。</w:t>
      </w:r>
    </w:p>
    <w:p>
      <w:pPr>
        <w:pStyle w:val="4"/>
        <w:spacing w:line="480" w:lineRule="exact"/>
        <w:ind w:left="420"/>
        <w:jc w:val="left"/>
        <w:rPr>
          <w:rFonts w:hint="eastAsia" w:asciiTheme="majorEastAsia" w:hAnsiTheme="majorEastAsia" w:eastAsiaTheme="majorEastAsia" w:cstheme="majorEastAsia"/>
        </w:rPr>
      </w:pPr>
      <w:bookmarkStart w:id="272" w:name="_Toc1257"/>
      <w:bookmarkStart w:id="273" w:name="_Toc10954"/>
      <w:bookmarkStart w:id="274" w:name="_Toc19755"/>
      <w:bookmarkStart w:id="275" w:name="_Toc5448"/>
      <w:r>
        <w:rPr>
          <w:rFonts w:hint="eastAsia" w:asciiTheme="majorEastAsia" w:hAnsiTheme="majorEastAsia" w:eastAsiaTheme="majorEastAsia" w:cstheme="majorEastAsia"/>
        </w:rPr>
        <w:t>7.合同变更</w:t>
      </w:r>
      <w:bookmarkEnd w:id="272"/>
      <w:bookmarkEnd w:id="273"/>
      <w:bookmarkEnd w:id="274"/>
      <w:bookmarkEnd w:id="275"/>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本合同在双方协商同意的情况下可以变更，具体事宜双方协商确定后签订书面变更、补充协议，本合同和变更、补充协议应当和招标文件的实质性内容保持一致。</w:t>
      </w:r>
    </w:p>
    <w:p>
      <w:pPr>
        <w:pStyle w:val="4"/>
        <w:spacing w:line="480" w:lineRule="exact"/>
        <w:ind w:left="420"/>
        <w:jc w:val="left"/>
        <w:rPr>
          <w:rFonts w:hint="eastAsia" w:asciiTheme="majorEastAsia" w:hAnsiTheme="majorEastAsia" w:eastAsiaTheme="majorEastAsia" w:cstheme="majorEastAsia"/>
        </w:rPr>
      </w:pPr>
      <w:bookmarkStart w:id="276" w:name="_Toc21640"/>
      <w:bookmarkStart w:id="277" w:name="_Toc14422"/>
      <w:bookmarkStart w:id="278" w:name="_Toc24730"/>
      <w:bookmarkStart w:id="279" w:name="_Toc2541"/>
      <w:r>
        <w:rPr>
          <w:rFonts w:hint="eastAsia" w:asciiTheme="majorEastAsia" w:hAnsiTheme="majorEastAsia" w:eastAsiaTheme="majorEastAsia" w:cstheme="majorEastAsia"/>
        </w:rPr>
        <w:t>8.违约责任</w:t>
      </w:r>
      <w:bookmarkEnd w:id="276"/>
      <w:bookmarkEnd w:id="277"/>
      <w:bookmarkEnd w:id="278"/>
      <w:bookmarkEnd w:id="279"/>
    </w:p>
    <w:p>
      <w:pPr>
        <w:spacing w:line="48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8.1在合同履行期间，甲方要求终止或解除合同，不退还已付的定金，乙方已开始工作的，甲方应根据乙方已进行的实际工作量，按实支付服务费用；</w:t>
      </w:r>
    </w:p>
    <w:p>
      <w:pPr>
        <w:spacing w:line="48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8.2乙方对工作成果的遗漏或错误负责修改或补充；</w:t>
      </w:r>
    </w:p>
    <w:p>
      <w:pPr>
        <w:spacing w:line="48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8.3由于乙方的错误，给甲方造成经济损失时，乙方应及时采取措施予以补救，并视损失大小，减收或免除损失部分的服务费用，直至付给甲方与直接受损失部分服务费用相等的赔偿金。  </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8.4质保期内乙方</w:t>
      </w:r>
      <w:r>
        <w:rPr>
          <w:rFonts w:hint="eastAsia" w:asciiTheme="majorEastAsia" w:hAnsiTheme="majorEastAsia" w:eastAsiaTheme="majorEastAsia" w:cstheme="majorEastAsia"/>
          <w:sz w:val="24"/>
          <w:szCs w:val="24"/>
          <w:lang w:eastAsia="zh-CN"/>
        </w:rPr>
        <w:t>提供</w:t>
      </w:r>
      <w:r>
        <w:rPr>
          <w:rFonts w:hint="eastAsia" w:asciiTheme="majorEastAsia" w:hAnsiTheme="majorEastAsia" w:eastAsiaTheme="majorEastAsia" w:cstheme="majorEastAsia"/>
          <w:sz w:val="24"/>
          <w:szCs w:val="24"/>
        </w:rPr>
        <w:t>物资出现任何质量问题，乙方不及时解决的，甲方有权拒付质保金。</w:t>
      </w:r>
    </w:p>
    <w:p>
      <w:pPr>
        <w:spacing w:line="48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8.5甲方未按合同约定付余款，逾期未付部分应按每日0.5‰向乙方支付违约金。</w:t>
      </w:r>
    </w:p>
    <w:p>
      <w:pPr>
        <w:pStyle w:val="4"/>
        <w:spacing w:line="480" w:lineRule="exact"/>
        <w:ind w:left="420"/>
        <w:jc w:val="left"/>
        <w:rPr>
          <w:rFonts w:hint="eastAsia" w:asciiTheme="majorEastAsia" w:hAnsiTheme="majorEastAsia" w:eastAsiaTheme="majorEastAsia" w:cstheme="majorEastAsia"/>
        </w:rPr>
      </w:pPr>
      <w:bookmarkStart w:id="280" w:name="_Toc7608"/>
      <w:bookmarkStart w:id="281" w:name="_Toc29109"/>
      <w:bookmarkStart w:id="282" w:name="_Toc3740"/>
      <w:bookmarkStart w:id="283" w:name="_Toc3645"/>
      <w:r>
        <w:rPr>
          <w:rFonts w:hint="eastAsia" w:asciiTheme="majorEastAsia" w:hAnsiTheme="majorEastAsia" w:eastAsiaTheme="majorEastAsia" w:cstheme="majorEastAsia"/>
        </w:rPr>
        <w:t>9.质量保证</w:t>
      </w:r>
      <w:bookmarkEnd w:id="280"/>
      <w:bookmarkEnd w:id="281"/>
      <w:bookmarkEnd w:id="282"/>
      <w:bookmarkEnd w:id="283"/>
    </w:p>
    <w:p>
      <w:pPr>
        <w:spacing w:line="480" w:lineRule="exact"/>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b w:val="0"/>
          <w:bCs w:val="0"/>
          <w:sz w:val="24"/>
          <w:szCs w:val="24"/>
        </w:rPr>
        <w:t>1</w:t>
      </w:r>
      <w:r>
        <w:rPr>
          <w:rFonts w:hint="eastAsia" w:asciiTheme="majorEastAsia" w:hAnsiTheme="majorEastAsia" w:eastAsiaTheme="majorEastAsia" w:cstheme="majorEastAsia"/>
          <w:sz w:val="24"/>
          <w:szCs w:val="24"/>
        </w:rPr>
        <w:t>供应商必须保证在规定的时间内完成</w:t>
      </w:r>
      <w:r>
        <w:rPr>
          <w:rFonts w:hint="eastAsia" w:asciiTheme="majorEastAsia" w:hAnsiTheme="majorEastAsia" w:eastAsiaTheme="majorEastAsia" w:cstheme="majorEastAsia"/>
          <w:sz w:val="24"/>
          <w:szCs w:val="24"/>
          <w:lang w:eastAsia="zh-CN"/>
        </w:rPr>
        <w:t>有机肥</w:t>
      </w:r>
      <w:r>
        <w:rPr>
          <w:rFonts w:hint="eastAsia" w:asciiTheme="majorEastAsia" w:hAnsiTheme="majorEastAsia" w:eastAsiaTheme="majorEastAsia" w:cstheme="majorEastAsia"/>
          <w:sz w:val="24"/>
          <w:szCs w:val="24"/>
        </w:rPr>
        <w:t>采购工作并保证产品质量，在使用产品时由于产品质量问题给甲方造成的损失，由乙方承担。</w:t>
      </w:r>
    </w:p>
    <w:p>
      <w:pPr>
        <w:pStyle w:val="4"/>
        <w:spacing w:line="480" w:lineRule="exact"/>
        <w:ind w:left="420"/>
        <w:jc w:val="left"/>
        <w:rPr>
          <w:rFonts w:hint="eastAsia" w:asciiTheme="majorEastAsia" w:hAnsiTheme="majorEastAsia" w:eastAsiaTheme="majorEastAsia" w:cstheme="majorEastAsia"/>
        </w:rPr>
      </w:pPr>
      <w:bookmarkStart w:id="284" w:name="_Toc14183"/>
      <w:bookmarkStart w:id="285" w:name="_Toc11787"/>
      <w:bookmarkStart w:id="286" w:name="_Toc27932"/>
      <w:bookmarkStart w:id="287" w:name="_Toc13959"/>
      <w:r>
        <w:rPr>
          <w:rFonts w:hint="eastAsia" w:asciiTheme="majorEastAsia" w:hAnsiTheme="majorEastAsia" w:eastAsiaTheme="majorEastAsia" w:cstheme="majorEastAsia"/>
        </w:rPr>
        <w:t>10.不可抗力、意外变故</w:t>
      </w:r>
      <w:bookmarkEnd w:id="284"/>
      <w:bookmarkEnd w:id="285"/>
      <w:bookmarkEnd w:id="286"/>
      <w:bookmarkEnd w:id="287"/>
    </w:p>
    <w:p>
      <w:pPr>
        <w:spacing w:line="480" w:lineRule="exact"/>
        <w:ind w:firstLine="480"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如果合同双方因不可抗力意外而被阻不能履行其职责，合同期的时间按照不可抗力变故的时间而顺延，或根据实际情况双方友好协商解决。</w:t>
      </w:r>
    </w:p>
    <w:p>
      <w:pPr>
        <w:pStyle w:val="4"/>
        <w:spacing w:line="480" w:lineRule="exact"/>
        <w:ind w:left="420"/>
        <w:jc w:val="left"/>
        <w:rPr>
          <w:rFonts w:hint="eastAsia" w:asciiTheme="majorEastAsia" w:hAnsiTheme="majorEastAsia" w:eastAsiaTheme="majorEastAsia" w:cstheme="majorEastAsia"/>
        </w:rPr>
      </w:pPr>
      <w:bookmarkStart w:id="288" w:name="_Toc17288"/>
      <w:bookmarkStart w:id="289" w:name="_Toc19787"/>
      <w:bookmarkStart w:id="290" w:name="_Toc18970"/>
      <w:bookmarkStart w:id="291" w:name="_Toc10654"/>
      <w:r>
        <w:rPr>
          <w:rFonts w:hint="eastAsia" w:asciiTheme="majorEastAsia" w:hAnsiTheme="majorEastAsia" w:eastAsiaTheme="majorEastAsia" w:cstheme="majorEastAsia"/>
        </w:rPr>
        <w:t>11.验收与质保服务</w:t>
      </w:r>
      <w:bookmarkEnd w:id="288"/>
      <w:bookmarkEnd w:id="289"/>
      <w:bookmarkEnd w:id="290"/>
      <w:bookmarkEnd w:id="291"/>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投标人必须按采购人提供的送货地址，按时将货物送至指定地点并负责卸货，所交货物必须经采购人清点验收。</w:t>
      </w:r>
    </w:p>
    <w:p>
      <w:pPr>
        <w:pStyle w:val="4"/>
        <w:spacing w:line="480" w:lineRule="exact"/>
        <w:ind w:left="420"/>
        <w:jc w:val="left"/>
        <w:rPr>
          <w:rFonts w:hint="eastAsia" w:asciiTheme="majorEastAsia" w:hAnsiTheme="majorEastAsia" w:eastAsiaTheme="majorEastAsia" w:cstheme="majorEastAsia"/>
        </w:rPr>
      </w:pPr>
      <w:bookmarkStart w:id="292" w:name="_Toc6595"/>
      <w:bookmarkStart w:id="293" w:name="_Toc18703"/>
      <w:bookmarkStart w:id="294" w:name="_Toc25132"/>
      <w:bookmarkStart w:id="295" w:name="_Toc2751"/>
      <w:r>
        <w:rPr>
          <w:rFonts w:hint="eastAsia" w:asciiTheme="majorEastAsia" w:hAnsiTheme="majorEastAsia" w:eastAsiaTheme="majorEastAsia" w:cstheme="majorEastAsia"/>
        </w:rPr>
        <w:t>12.争议解决</w:t>
      </w:r>
      <w:bookmarkEnd w:id="292"/>
      <w:bookmarkEnd w:id="293"/>
      <w:bookmarkEnd w:id="294"/>
      <w:bookmarkEnd w:id="295"/>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如甲乙双方在合同履行过程中发生争议，应协商解决，协商不成，可向延安仲裁委员会申请仲裁。</w:t>
      </w:r>
    </w:p>
    <w:p>
      <w:pPr>
        <w:pStyle w:val="4"/>
        <w:spacing w:line="480" w:lineRule="exact"/>
        <w:ind w:left="420"/>
        <w:jc w:val="left"/>
        <w:rPr>
          <w:rFonts w:hint="eastAsia" w:asciiTheme="majorEastAsia" w:hAnsiTheme="majorEastAsia" w:eastAsiaTheme="majorEastAsia" w:cstheme="majorEastAsia"/>
        </w:rPr>
      </w:pPr>
      <w:bookmarkStart w:id="296" w:name="_Toc741"/>
      <w:bookmarkStart w:id="297" w:name="_Toc4777"/>
      <w:bookmarkStart w:id="298" w:name="_Toc13477"/>
      <w:bookmarkStart w:id="299" w:name="_Toc4474"/>
      <w:r>
        <w:rPr>
          <w:rFonts w:hint="eastAsia" w:asciiTheme="majorEastAsia" w:hAnsiTheme="majorEastAsia" w:eastAsiaTheme="majorEastAsia" w:cstheme="majorEastAsia"/>
        </w:rPr>
        <w:t>13.附则</w:t>
      </w:r>
      <w:bookmarkEnd w:id="296"/>
      <w:bookmarkEnd w:id="297"/>
      <w:bookmarkEnd w:id="298"/>
      <w:bookmarkEnd w:id="299"/>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13.1未尽事宜，双方协商，达成补充协议，补充协议与本合同具有同等法律效力。</w:t>
      </w:r>
    </w:p>
    <w:p>
      <w:pPr>
        <w:spacing w:line="480" w:lineRule="exact"/>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13.2本合同一式4份，具有同等法律效应，甲方2份，乙方2份。</w:t>
      </w:r>
    </w:p>
    <w:p>
      <w:pPr>
        <w:spacing w:line="480" w:lineRule="exact"/>
        <w:ind w:firstLine="480"/>
        <w:rPr>
          <w:rFonts w:hint="eastAsia" w:asciiTheme="majorEastAsia" w:hAnsiTheme="majorEastAsia" w:eastAsiaTheme="majorEastAsia" w:cstheme="majorEastAsia"/>
          <w:sz w:val="24"/>
          <w:szCs w:val="24"/>
        </w:rPr>
      </w:pPr>
    </w:p>
    <w:p>
      <w:pPr>
        <w:spacing w:line="480" w:lineRule="exact"/>
        <w:ind w:firstLine="480"/>
        <w:rPr>
          <w:rFonts w:hint="eastAsia" w:asciiTheme="majorEastAsia" w:hAnsiTheme="majorEastAsia" w:eastAsiaTheme="majorEastAsia" w:cstheme="majorEastAsia"/>
          <w:sz w:val="24"/>
          <w:szCs w:val="24"/>
        </w:rPr>
      </w:pPr>
    </w:p>
    <w:p>
      <w:pPr>
        <w:spacing w:line="520" w:lineRule="exact"/>
        <w:rPr>
          <w:rFonts w:hint="eastAsia" w:asciiTheme="majorEastAsia" w:hAnsiTheme="majorEastAsia" w:eastAsiaTheme="majorEastAsia" w:cstheme="majorEastAsia"/>
          <w:sz w:val="24"/>
          <w:szCs w:val="24"/>
          <w:u w:val="single"/>
        </w:rPr>
      </w:pPr>
      <w:bookmarkStart w:id="300" w:name="_Toc6566"/>
      <w:bookmarkStart w:id="301" w:name="_Toc12544"/>
      <w:r>
        <w:rPr>
          <w:rFonts w:hint="eastAsia" w:asciiTheme="majorEastAsia" w:hAnsiTheme="majorEastAsia" w:eastAsiaTheme="majorEastAsia" w:cstheme="majorEastAsia"/>
          <w:sz w:val="24"/>
          <w:szCs w:val="24"/>
        </w:rPr>
        <w:t>甲方:                                乙方:</w:t>
      </w:r>
      <w:bookmarkEnd w:id="300"/>
      <w:bookmarkEnd w:id="301"/>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代 表 人：                           代 表 人：</w:t>
      </w:r>
    </w:p>
    <w:p>
      <w:pPr>
        <w:spacing w:line="480" w:lineRule="exact"/>
        <w:ind w:left="4680" w:hanging="4680" w:hangingChars="19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    址:                            地    址:</w:t>
      </w:r>
    </w:p>
    <w:p>
      <w:pPr>
        <w:spacing w:line="480" w:lineRule="exact"/>
        <w:ind w:left="4680" w:hanging="4680" w:hangingChars="19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                            联系电话:</w:t>
      </w:r>
    </w:p>
    <w:p>
      <w:pPr>
        <w:spacing w:line="480" w:lineRule="exact"/>
        <w:ind w:left="4680" w:hanging="4680" w:hangingChars="19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开户银行:                            开户银行：</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帐    号:                            帐    号: </w:t>
      </w:r>
    </w:p>
    <w:p>
      <w:pPr>
        <w:spacing w:line="48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 xml:space="preserve">年   月   日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年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月</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日</w:t>
      </w:r>
    </w:p>
    <w:p>
      <w:pPr>
        <w:spacing w:line="48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3"/>
        <w:rPr>
          <w:rFonts w:hint="eastAsia" w:asciiTheme="majorEastAsia" w:hAnsiTheme="majorEastAsia" w:eastAsiaTheme="majorEastAsia" w:cstheme="majorEastAsia"/>
        </w:rPr>
      </w:pPr>
      <w:bookmarkStart w:id="302" w:name="_Toc25308"/>
      <w:bookmarkStart w:id="303" w:name="_Toc20241"/>
      <w:bookmarkStart w:id="304" w:name="_Toc26525"/>
      <w:bookmarkStart w:id="305" w:name="_Toc4085"/>
      <w:r>
        <w:rPr>
          <w:rFonts w:hint="eastAsia" w:asciiTheme="majorEastAsia" w:hAnsiTheme="majorEastAsia" w:eastAsiaTheme="majorEastAsia" w:cstheme="majorEastAsia"/>
        </w:rPr>
        <w:t>第六部分 投标文件格式</w:t>
      </w:r>
      <w:bookmarkEnd w:id="231"/>
      <w:bookmarkEnd w:id="232"/>
      <w:bookmarkEnd w:id="233"/>
      <w:bookmarkEnd w:id="234"/>
      <w:bookmarkEnd w:id="235"/>
      <w:bookmarkEnd w:id="236"/>
      <w:bookmarkEnd w:id="237"/>
      <w:bookmarkEnd w:id="238"/>
      <w:bookmarkEnd w:id="239"/>
      <w:bookmarkEnd w:id="302"/>
      <w:bookmarkEnd w:id="303"/>
      <w:bookmarkEnd w:id="304"/>
      <w:bookmarkEnd w:id="305"/>
      <w:bookmarkStart w:id="306" w:name="_Toc334522290"/>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bookmarkStart w:id="307" w:name="_Toc347478745"/>
    </w:p>
    <w:p>
      <w:pPr>
        <w:pStyle w:val="2"/>
        <w:spacing w:after="120" w:line="520" w:lineRule="exact"/>
        <w:ind w:firstLine="1440" w:firstLineChars="300"/>
        <w:rPr>
          <w:rFonts w:hint="eastAsia" w:asciiTheme="majorEastAsia" w:hAnsiTheme="majorEastAsia" w:eastAsiaTheme="majorEastAsia" w:cstheme="majorEastAsia"/>
          <w:sz w:val="48"/>
          <w:szCs w:val="48"/>
          <w:u w:val="single"/>
        </w:rPr>
      </w:pPr>
    </w:p>
    <w:p>
      <w:pPr>
        <w:pStyle w:val="2"/>
        <w:spacing w:after="120" w:line="520" w:lineRule="exact"/>
        <w:ind w:firstLine="1440" w:firstLineChars="300"/>
        <w:rPr>
          <w:rFonts w:hint="eastAsia"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u w:val="single"/>
        </w:rPr>
        <w:t xml:space="preserve">      　　　　　　</w:t>
      </w:r>
      <w:bookmarkStart w:id="308" w:name="_Toc18604"/>
      <w:bookmarkStart w:id="309" w:name="_Toc5313"/>
      <w:r>
        <w:rPr>
          <w:rFonts w:hint="eastAsia" w:asciiTheme="majorEastAsia" w:hAnsiTheme="majorEastAsia" w:eastAsiaTheme="majorEastAsia" w:cstheme="majorEastAsia"/>
          <w:sz w:val="48"/>
          <w:szCs w:val="48"/>
        </w:rPr>
        <w:t>项目</w:t>
      </w:r>
      <w:bookmarkEnd w:id="308"/>
      <w:bookmarkEnd w:id="309"/>
    </w:p>
    <w:p>
      <w:pPr>
        <w:spacing w:line="520" w:lineRule="exact"/>
        <w:jc w:val="center"/>
        <w:rPr>
          <w:rFonts w:hint="eastAsia" w:asciiTheme="majorEastAsia" w:hAnsiTheme="majorEastAsia" w:eastAsiaTheme="majorEastAsia" w:cstheme="majorEastAsia"/>
          <w:sz w:val="52"/>
          <w:szCs w:val="52"/>
        </w:rPr>
      </w:pPr>
    </w:p>
    <w:p>
      <w:pPr>
        <w:spacing w:line="520" w:lineRule="exact"/>
        <w:jc w:val="center"/>
        <w:rPr>
          <w:rFonts w:hint="eastAsia" w:asciiTheme="majorEastAsia" w:hAnsiTheme="majorEastAsia" w:eastAsiaTheme="majorEastAsia" w:cstheme="majorEastAsia"/>
          <w:sz w:val="52"/>
          <w:szCs w:val="52"/>
        </w:rPr>
      </w:pPr>
    </w:p>
    <w:p>
      <w:pPr>
        <w:spacing w:line="520" w:lineRule="exact"/>
        <w:jc w:val="center"/>
        <w:rPr>
          <w:rFonts w:hint="eastAsia" w:asciiTheme="majorEastAsia" w:hAnsiTheme="majorEastAsia" w:eastAsiaTheme="majorEastAsia" w:cstheme="majorEastAsia"/>
          <w:sz w:val="52"/>
          <w:szCs w:val="52"/>
        </w:rPr>
      </w:pPr>
    </w:p>
    <w:p>
      <w:pPr>
        <w:spacing w:line="520" w:lineRule="exact"/>
        <w:jc w:val="center"/>
        <w:rPr>
          <w:rFonts w:hint="eastAsia" w:asciiTheme="majorEastAsia" w:hAnsiTheme="majorEastAsia" w:eastAsiaTheme="majorEastAsia" w:cstheme="majorEastAsia"/>
          <w:sz w:val="52"/>
          <w:szCs w:val="52"/>
        </w:rPr>
      </w:pPr>
    </w:p>
    <w:p>
      <w:pPr>
        <w:spacing w:line="520" w:lineRule="exact"/>
        <w:jc w:val="center"/>
        <w:rPr>
          <w:rFonts w:hint="eastAsia" w:asciiTheme="majorEastAsia" w:hAnsiTheme="majorEastAsia" w:eastAsiaTheme="majorEastAsia" w:cstheme="majorEastAsia"/>
          <w:sz w:val="52"/>
          <w:szCs w:val="52"/>
        </w:rPr>
      </w:pPr>
    </w:p>
    <w:p>
      <w:pPr>
        <w:spacing w:line="520" w:lineRule="exact"/>
        <w:jc w:val="center"/>
        <w:rPr>
          <w:rFonts w:hint="eastAsia" w:asciiTheme="majorEastAsia" w:hAnsiTheme="majorEastAsia" w:eastAsiaTheme="majorEastAsia" w:cstheme="majorEastAsia"/>
          <w:sz w:val="52"/>
          <w:szCs w:val="52"/>
        </w:rPr>
      </w:pPr>
    </w:p>
    <w:p>
      <w:pPr>
        <w:spacing w:line="520" w:lineRule="exact"/>
        <w:jc w:val="center"/>
        <w:rPr>
          <w:rFonts w:hint="eastAsia" w:asciiTheme="majorEastAsia" w:hAnsiTheme="majorEastAsia" w:eastAsiaTheme="majorEastAsia" w:cstheme="majorEastAsia"/>
          <w:sz w:val="52"/>
          <w:szCs w:val="52"/>
        </w:rPr>
      </w:pPr>
    </w:p>
    <w:p>
      <w:pPr>
        <w:spacing w:before="200" w:line="520" w:lineRule="exact"/>
        <w:jc w:val="center"/>
        <w:rPr>
          <w:rFonts w:hint="eastAsia" w:asciiTheme="majorEastAsia" w:hAnsiTheme="majorEastAsia" w:eastAsiaTheme="majorEastAsia" w:cstheme="majorEastAsia"/>
          <w:sz w:val="72"/>
          <w:szCs w:val="72"/>
        </w:rPr>
      </w:pPr>
      <w:bookmarkStart w:id="310" w:name="_Toc2082"/>
      <w:bookmarkStart w:id="311" w:name="_Toc32701"/>
      <w:r>
        <w:rPr>
          <w:rFonts w:hint="eastAsia" w:asciiTheme="majorEastAsia" w:hAnsiTheme="majorEastAsia" w:eastAsiaTheme="majorEastAsia" w:cstheme="majorEastAsia"/>
          <w:sz w:val="52"/>
          <w:szCs w:val="52"/>
        </w:rPr>
        <w:t>投标文件</w:t>
      </w:r>
      <w:bookmarkEnd w:id="310"/>
      <w:bookmarkEnd w:id="311"/>
    </w:p>
    <w:p>
      <w:pPr>
        <w:pStyle w:val="18"/>
        <w:widowControl/>
        <w:spacing w:before="120" w:beforeAutospacing="0" w:after="0" w:afterAutospacing="0" w:line="520" w:lineRule="exact"/>
        <w:ind w:firstLine="5040" w:firstLineChars="700"/>
        <w:rPr>
          <w:rFonts w:hint="eastAsia" w:asciiTheme="majorEastAsia" w:hAnsiTheme="majorEastAsia" w:eastAsiaTheme="majorEastAsia" w:cstheme="majorEastAsia"/>
          <w:sz w:val="72"/>
          <w:szCs w:val="72"/>
        </w:rPr>
      </w:pPr>
    </w:p>
    <w:p>
      <w:pPr>
        <w:pStyle w:val="18"/>
        <w:widowControl/>
        <w:spacing w:before="0" w:beforeAutospacing="0" w:after="0" w:afterAutospacing="0" w:line="520" w:lineRule="exact"/>
        <w:ind w:firstLine="2240" w:firstLineChars="700"/>
        <w:rPr>
          <w:rFonts w:hint="eastAsia" w:asciiTheme="majorEastAsia" w:hAnsiTheme="majorEastAsia" w:eastAsiaTheme="majorEastAsia" w:cstheme="majorEastAsia"/>
          <w:sz w:val="32"/>
        </w:rPr>
      </w:pPr>
    </w:p>
    <w:p>
      <w:pPr>
        <w:spacing w:line="520" w:lineRule="exact"/>
        <w:rPr>
          <w:rFonts w:hint="eastAsia" w:asciiTheme="majorEastAsia" w:hAnsiTheme="majorEastAsia" w:eastAsiaTheme="majorEastAsia" w:cstheme="majorEastAsia"/>
          <w:sz w:val="32"/>
        </w:rPr>
      </w:pPr>
    </w:p>
    <w:p>
      <w:pPr>
        <w:spacing w:line="520" w:lineRule="exact"/>
        <w:rPr>
          <w:rFonts w:hint="eastAsia" w:asciiTheme="majorEastAsia" w:hAnsiTheme="majorEastAsia" w:eastAsiaTheme="majorEastAsia" w:cstheme="majorEastAsia"/>
          <w:sz w:val="32"/>
        </w:rPr>
      </w:pPr>
    </w:p>
    <w:p>
      <w:pPr>
        <w:spacing w:line="520" w:lineRule="exact"/>
        <w:rPr>
          <w:rFonts w:hint="eastAsia" w:asciiTheme="majorEastAsia" w:hAnsiTheme="majorEastAsia" w:eastAsiaTheme="majorEastAsia" w:cstheme="majorEastAsia"/>
          <w:sz w:val="28"/>
        </w:rPr>
      </w:pPr>
    </w:p>
    <w:p>
      <w:pPr>
        <w:spacing w:line="520" w:lineRule="exact"/>
        <w:rPr>
          <w:rFonts w:hint="eastAsia" w:asciiTheme="majorEastAsia" w:hAnsiTheme="majorEastAsia" w:eastAsiaTheme="majorEastAsia" w:cstheme="majorEastAsia"/>
          <w:sz w:val="28"/>
        </w:rPr>
      </w:pPr>
    </w:p>
    <w:p>
      <w:pPr>
        <w:spacing w:line="520" w:lineRule="exact"/>
        <w:rPr>
          <w:rFonts w:hint="eastAsia" w:asciiTheme="majorEastAsia" w:hAnsiTheme="majorEastAsia" w:eastAsiaTheme="majorEastAsia" w:cstheme="majorEastAsia"/>
          <w:sz w:val="28"/>
        </w:rPr>
      </w:pPr>
    </w:p>
    <w:p>
      <w:pPr>
        <w:spacing w:line="520" w:lineRule="exact"/>
        <w:jc w:val="left"/>
        <w:rPr>
          <w:rFonts w:hint="eastAsia" w:asciiTheme="majorEastAsia" w:hAnsiTheme="majorEastAsia" w:eastAsiaTheme="majorEastAsia" w:cstheme="majorEastAsia"/>
          <w:sz w:val="28"/>
        </w:rPr>
      </w:pPr>
      <w:r>
        <w:rPr>
          <w:rFonts w:hint="eastAsia" w:asciiTheme="majorEastAsia" w:hAnsiTheme="majorEastAsia" w:eastAsiaTheme="majorEastAsia" w:cstheme="majorEastAsia"/>
          <w:sz w:val="28"/>
        </w:rPr>
        <w:t>　　　　</w:t>
      </w:r>
    </w:p>
    <w:p>
      <w:pPr>
        <w:spacing w:line="520" w:lineRule="exact"/>
        <w:jc w:val="left"/>
        <w:rPr>
          <w:rFonts w:hint="eastAsia" w:asciiTheme="majorEastAsia" w:hAnsiTheme="majorEastAsia" w:eastAsiaTheme="majorEastAsia" w:cstheme="majorEastAsia"/>
          <w:sz w:val="28"/>
        </w:rPr>
      </w:pPr>
    </w:p>
    <w:p>
      <w:pPr>
        <w:spacing w:line="520" w:lineRule="exact"/>
        <w:jc w:val="left"/>
        <w:rPr>
          <w:rFonts w:hint="eastAsia" w:asciiTheme="majorEastAsia" w:hAnsiTheme="majorEastAsia" w:eastAsiaTheme="majorEastAsia" w:cstheme="majorEastAsia"/>
          <w:sz w:val="28"/>
        </w:rPr>
      </w:pPr>
    </w:p>
    <w:p>
      <w:pPr>
        <w:spacing w:line="600" w:lineRule="exact"/>
        <w:ind w:firstLine="1200" w:firstLineChars="400"/>
        <w:jc w:val="left"/>
        <w:rPr>
          <w:rFonts w:hint="eastAsia" w:asciiTheme="majorEastAsia" w:hAnsiTheme="majorEastAsia" w:eastAsiaTheme="majorEastAsia" w:cstheme="majorEastAsia"/>
          <w:sz w:val="30"/>
          <w:szCs w:val="30"/>
          <w:u w:val="single"/>
        </w:rPr>
      </w:pPr>
      <w:bookmarkStart w:id="312" w:name="_Toc15845"/>
      <w:bookmarkStart w:id="313" w:name="_Toc20732"/>
      <w:r>
        <w:rPr>
          <w:rFonts w:hint="eastAsia" w:asciiTheme="majorEastAsia" w:hAnsiTheme="majorEastAsia" w:eastAsiaTheme="majorEastAsia" w:cstheme="majorEastAsia"/>
          <w:sz w:val="30"/>
          <w:szCs w:val="30"/>
        </w:rPr>
        <w:t>供应商：</w:t>
      </w:r>
      <w:r>
        <w:rPr>
          <w:rFonts w:hint="eastAsia" w:asciiTheme="majorEastAsia" w:hAnsiTheme="majorEastAsia" w:eastAsiaTheme="majorEastAsia" w:cstheme="majorEastAsia"/>
          <w:sz w:val="30"/>
          <w:szCs w:val="30"/>
          <w:u w:val="single"/>
        </w:rPr>
        <w:t>(公司名称、盖章）</w:t>
      </w:r>
      <w:bookmarkEnd w:id="312"/>
      <w:bookmarkEnd w:id="313"/>
    </w:p>
    <w:p>
      <w:pPr>
        <w:spacing w:line="600" w:lineRule="exact"/>
        <w:ind w:firstLine="1200" w:firstLineChars="400"/>
        <w:jc w:val="left"/>
        <w:rPr>
          <w:rFonts w:hint="eastAsia" w:asciiTheme="majorEastAsia" w:hAnsiTheme="majorEastAsia" w:eastAsiaTheme="majorEastAsia" w:cstheme="majorEastAsia"/>
          <w:sz w:val="30"/>
          <w:szCs w:val="30"/>
          <w:u w:val="single"/>
        </w:rPr>
      </w:pPr>
      <w:bookmarkStart w:id="314" w:name="_Toc10843"/>
      <w:bookmarkStart w:id="315" w:name="_Toc27995"/>
      <w:r>
        <w:rPr>
          <w:rFonts w:hint="eastAsia" w:asciiTheme="majorEastAsia" w:hAnsiTheme="majorEastAsia" w:eastAsiaTheme="majorEastAsia" w:cstheme="majorEastAsia"/>
          <w:sz w:val="30"/>
          <w:szCs w:val="30"/>
        </w:rPr>
        <w:t>法定代表人（被授权人）签字：</w:t>
      </w:r>
      <w:bookmarkEnd w:id="314"/>
      <w:bookmarkEnd w:id="315"/>
      <w:r>
        <w:rPr>
          <w:rFonts w:hint="eastAsia" w:asciiTheme="majorEastAsia" w:hAnsiTheme="majorEastAsia" w:eastAsiaTheme="majorEastAsia" w:cstheme="majorEastAsia"/>
          <w:sz w:val="30"/>
          <w:szCs w:val="30"/>
          <w:u w:val="single"/>
        </w:rPr>
        <w:t xml:space="preserve">　　　     </w:t>
      </w:r>
    </w:p>
    <w:p>
      <w:pPr>
        <w:spacing w:line="600" w:lineRule="exact"/>
        <w:ind w:left="2234" w:leftChars="1064"/>
        <w:jc w:val="left"/>
        <w:rPr>
          <w:rFonts w:hint="eastAsia" w:asciiTheme="majorEastAsia" w:hAnsiTheme="majorEastAsia" w:eastAsiaTheme="majorEastAsia" w:cstheme="majorEastAsia"/>
        </w:rPr>
      </w:pPr>
      <w:bookmarkStart w:id="316" w:name="_Toc26009"/>
      <w:bookmarkStart w:id="317" w:name="_Toc11114"/>
      <w:r>
        <w:rPr>
          <w:rFonts w:hint="eastAsia" w:asciiTheme="majorEastAsia" w:hAnsiTheme="majorEastAsia" w:eastAsiaTheme="majorEastAsia" w:cstheme="majorEastAsia"/>
          <w:sz w:val="30"/>
          <w:szCs w:val="30"/>
        </w:rPr>
        <w:t>二〇</w:t>
      </w:r>
      <w:r>
        <w:rPr>
          <w:rFonts w:hint="eastAsia" w:asciiTheme="majorEastAsia" w:hAnsiTheme="majorEastAsia" w:eastAsiaTheme="majorEastAsia" w:cstheme="majorEastAsia"/>
          <w:sz w:val="30"/>
          <w:szCs w:val="30"/>
          <w:lang w:eastAsia="zh-CN"/>
        </w:rPr>
        <w:t>二三</w:t>
      </w:r>
      <w:r>
        <w:rPr>
          <w:rFonts w:hint="eastAsia" w:asciiTheme="majorEastAsia" w:hAnsiTheme="majorEastAsia" w:eastAsiaTheme="majorEastAsia" w:cstheme="majorEastAsia"/>
          <w:sz w:val="30"/>
          <w:szCs w:val="30"/>
        </w:rPr>
        <w:t>年</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月  日</w:t>
      </w:r>
      <w:bookmarkEnd w:id="316"/>
      <w:bookmarkEnd w:id="317"/>
      <w:r>
        <w:rPr>
          <w:rFonts w:hint="eastAsia" w:asciiTheme="majorEastAsia" w:hAnsiTheme="majorEastAsia" w:eastAsiaTheme="majorEastAsia" w:cstheme="majorEastAsia"/>
          <w:sz w:val="28"/>
        </w:rPr>
        <w:br w:type="page"/>
      </w:r>
      <w:bookmarkStart w:id="318" w:name="_Toc70"/>
    </w:p>
    <w:p>
      <w:pPr>
        <w:pStyle w:val="3"/>
        <w:rPr>
          <w:rFonts w:hint="eastAsia" w:asciiTheme="majorEastAsia" w:hAnsiTheme="majorEastAsia" w:eastAsiaTheme="majorEastAsia" w:cstheme="majorEastAsia"/>
        </w:rPr>
      </w:pPr>
      <w:bookmarkStart w:id="319" w:name="_Toc4538"/>
      <w:bookmarkStart w:id="320" w:name="_Toc50"/>
      <w:bookmarkStart w:id="321" w:name="_Toc4059"/>
      <w:bookmarkStart w:id="322" w:name="_Toc11315"/>
      <w:r>
        <w:rPr>
          <w:rFonts w:hint="eastAsia" w:asciiTheme="majorEastAsia" w:hAnsiTheme="majorEastAsia" w:eastAsiaTheme="majorEastAsia" w:cstheme="majorEastAsia"/>
          <w:b/>
          <w:bCs/>
        </w:rPr>
        <w:t>一、投标</w:t>
      </w:r>
      <w:bookmarkEnd w:id="306"/>
      <w:bookmarkEnd w:id="307"/>
      <w:bookmarkEnd w:id="318"/>
      <w:r>
        <w:rPr>
          <w:rFonts w:hint="eastAsia" w:asciiTheme="majorEastAsia" w:hAnsiTheme="majorEastAsia" w:eastAsiaTheme="majorEastAsia" w:cstheme="majorEastAsia"/>
          <w:b/>
          <w:bCs/>
        </w:rPr>
        <w:t>函</w:t>
      </w:r>
      <w:bookmarkEnd w:id="319"/>
      <w:bookmarkEnd w:id="320"/>
      <w:bookmarkEnd w:id="321"/>
      <w:bookmarkEnd w:id="322"/>
    </w:p>
    <w:tbl>
      <w:tblPr>
        <w:tblStyle w:val="19"/>
        <w:tblW w:w="8474" w:type="dxa"/>
        <w:jc w:val="center"/>
        <w:tblLayout w:type="fixed"/>
        <w:tblCellMar>
          <w:top w:w="0" w:type="dxa"/>
          <w:left w:w="108" w:type="dxa"/>
          <w:bottom w:w="0" w:type="dxa"/>
          <w:right w:w="108" w:type="dxa"/>
        </w:tblCellMar>
      </w:tblPr>
      <w:tblGrid>
        <w:gridCol w:w="779"/>
        <w:gridCol w:w="577"/>
        <w:gridCol w:w="1385"/>
        <w:gridCol w:w="411"/>
        <w:gridCol w:w="1580"/>
        <w:gridCol w:w="381"/>
        <w:gridCol w:w="925"/>
        <w:gridCol w:w="214"/>
        <w:gridCol w:w="2222"/>
      </w:tblGrid>
      <w:tr>
        <w:tblPrEx>
          <w:tblCellMar>
            <w:top w:w="0" w:type="dxa"/>
            <w:left w:w="108" w:type="dxa"/>
            <w:bottom w:w="0" w:type="dxa"/>
            <w:right w:w="108" w:type="dxa"/>
          </w:tblCellMar>
        </w:tblPrEx>
        <w:trPr>
          <w:trHeight w:val="340" w:hRule="atLeast"/>
          <w:jc w:val="center"/>
        </w:trPr>
        <w:tc>
          <w:tcPr>
            <w:tcW w:w="8474" w:type="dxa"/>
            <w:gridSpan w:val="9"/>
            <w:tcBorders>
              <w:top w:val="single" w:color="auto" w:sz="4" w:space="0"/>
              <w:left w:val="single" w:color="auto" w:sz="4" w:space="0"/>
              <w:bottom w:val="single" w:color="auto" w:sz="4" w:space="0"/>
              <w:right w:val="single" w:color="auto" w:sz="4" w:space="0"/>
            </w:tcBorders>
            <w:vAlign w:val="center"/>
          </w:tcPr>
          <w:p>
            <w:pPr>
              <w:tabs>
                <w:tab w:val="left" w:pos="1260"/>
              </w:tabs>
              <w:ind w:firstLine="117" w:firstLineChars="56"/>
              <w:rPr>
                <w:rFonts w:hint="eastAsia" w:asciiTheme="majorEastAsia" w:hAnsiTheme="majorEastAsia" w:eastAsiaTheme="majorEastAsia" w:cstheme="majorEastAsia"/>
                <w:szCs w:val="21"/>
                <w:lang w:eastAsia="zh-CN"/>
              </w:rPr>
            </w:pPr>
            <w:bookmarkStart w:id="323" w:name="_Toc311415657"/>
            <w:bookmarkStart w:id="324" w:name="_Toc347478746"/>
            <w:bookmarkStart w:id="325" w:name="_Toc312789403"/>
            <w:bookmarkStart w:id="326" w:name="_Toc334522291"/>
            <w:bookmarkStart w:id="327" w:name="_Toc9587"/>
            <w:bookmarkStart w:id="328" w:name="_Toc283240496"/>
            <w:bookmarkStart w:id="329" w:name="_Toc283626511"/>
            <w:r>
              <w:rPr>
                <w:rFonts w:hint="eastAsia" w:asciiTheme="majorEastAsia" w:hAnsiTheme="majorEastAsia" w:eastAsiaTheme="majorEastAsia" w:cstheme="majorEastAsia"/>
                <w:szCs w:val="21"/>
              </w:rPr>
              <w:t>致：</w:t>
            </w:r>
            <w:r>
              <w:rPr>
                <w:rFonts w:hint="eastAsia" w:asciiTheme="majorEastAsia" w:hAnsiTheme="majorEastAsia" w:eastAsiaTheme="majorEastAsia" w:cstheme="majorEastAsia"/>
                <w:szCs w:val="21"/>
                <w:lang w:eastAsia="zh-CN"/>
              </w:rPr>
              <w:t>延川县政府采购中心</w:t>
            </w:r>
          </w:p>
        </w:tc>
      </w:tr>
      <w:tr>
        <w:tblPrEx>
          <w:tblCellMar>
            <w:top w:w="0" w:type="dxa"/>
            <w:left w:w="108" w:type="dxa"/>
            <w:bottom w:w="0" w:type="dxa"/>
            <w:right w:w="108" w:type="dxa"/>
          </w:tblCellMar>
        </w:tblPrEx>
        <w:trPr>
          <w:trHeight w:val="510" w:hRule="atLeast"/>
          <w:jc w:val="center"/>
        </w:trPr>
        <w:tc>
          <w:tcPr>
            <w:tcW w:w="77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line="30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企 业 法 人</w:t>
            </w:r>
          </w:p>
        </w:tc>
        <w:tc>
          <w:tcPr>
            <w:tcW w:w="196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企业名称</w:t>
            </w:r>
          </w:p>
        </w:tc>
        <w:tc>
          <w:tcPr>
            <w:tcW w:w="5733" w:type="dxa"/>
            <w:gridSpan w:val="6"/>
            <w:tcBorders>
              <w:top w:val="single" w:color="auto" w:sz="4" w:space="0"/>
              <w:left w:val="single" w:color="auto" w:sz="4" w:space="0"/>
              <w:bottom w:val="single" w:color="auto" w:sz="4" w:space="0"/>
              <w:right w:val="single" w:color="auto" w:sz="4" w:space="0"/>
            </w:tcBorders>
          </w:tcPr>
          <w:p>
            <w:pPr>
              <w:tabs>
                <w:tab w:val="left" w:pos="1260"/>
              </w:tabs>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510"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196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法定地址</w:t>
            </w:r>
          </w:p>
        </w:tc>
        <w:tc>
          <w:tcPr>
            <w:tcW w:w="5733" w:type="dxa"/>
            <w:gridSpan w:val="6"/>
            <w:tcBorders>
              <w:top w:val="single" w:color="auto" w:sz="4" w:space="0"/>
              <w:left w:val="single" w:color="auto" w:sz="4" w:space="0"/>
              <w:bottom w:val="single" w:color="auto" w:sz="4" w:space="0"/>
              <w:right w:val="single" w:color="auto" w:sz="4" w:space="0"/>
            </w:tcBorders>
          </w:tcPr>
          <w:p>
            <w:pPr>
              <w:tabs>
                <w:tab w:val="left" w:pos="1260"/>
              </w:tabs>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510"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196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w:t>
            </w:r>
          </w:p>
        </w:tc>
        <w:tc>
          <w:tcPr>
            <w:tcW w:w="2372" w:type="dxa"/>
            <w:gridSpan w:val="3"/>
            <w:tcBorders>
              <w:top w:val="single" w:color="auto" w:sz="4" w:space="0"/>
              <w:left w:val="single" w:color="auto" w:sz="4" w:space="0"/>
              <w:bottom w:val="single" w:color="auto" w:sz="4" w:space="0"/>
              <w:right w:val="single" w:color="auto" w:sz="4" w:space="0"/>
            </w:tcBorders>
          </w:tcPr>
          <w:p>
            <w:pPr>
              <w:tabs>
                <w:tab w:val="left" w:pos="1260"/>
              </w:tabs>
              <w:rPr>
                <w:rFonts w:hint="eastAsia" w:asciiTheme="majorEastAsia" w:hAnsiTheme="majorEastAsia" w:eastAsiaTheme="majorEastAsia" w:cstheme="majorEastAsia"/>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1260"/>
              </w:tabs>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职 务</w:t>
            </w:r>
          </w:p>
        </w:tc>
        <w:tc>
          <w:tcPr>
            <w:tcW w:w="2436" w:type="dxa"/>
            <w:gridSpan w:val="2"/>
            <w:tcBorders>
              <w:top w:val="single" w:color="auto" w:sz="4" w:space="0"/>
              <w:left w:val="single" w:color="auto" w:sz="4" w:space="0"/>
              <w:bottom w:val="single" w:color="auto" w:sz="4" w:space="0"/>
              <w:right w:val="single" w:color="auto" w:sz="4" w:space="0"/>
            </w:tcBorders>
          </w:tcPr>
          <w:p>
            <w:pPr>
              <w:tabs>
                <w:tab w:val="left" w:pos="1260"/>
              </w:tabs>
              <w:ind w:firstLine="459"/>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510" w:hRule="atLeast"/>
          <w:jc w:val="center"/>
        </w:trPr>
        <w:tc>
          <w:tcPr>
            <w:tcW w:w="77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exact"/>
              <w:jc w:val="center"/>
              <w:rPr>
                <w:rFonts w:hint="eastAsia" w:asciiTheme="majorEastAsia" w:hAnsiTheme="majorEastAsia" w:eastAsiaTheme="majorEastAsia" w:cstheme="majorEastAsia"/>
                <w:szCs w:val="21"/>
              </w:rPr>
            </w:pPr>
          </w:p>
        </w:tc>
        <w:tc>
          <w:tcPr>
            <w:tcW w:w="196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项目名称</w:t>
            </w:r>
          </w:p>
        </w:tc>
        <w:tc>
          <w:tcPr>
            <w:tcW w:w="5733" w:type="dxa"/>
            <w:gridSpan w:val="6"/>
            <w:tcBorders>
              <w:top w:val="single" w:color="auto" w:sz="4" w:space="0"/>
              <w:left w:val="single" w:color="auto" w:sz="4" w:space="0"/>
              <w:bottom w:val="single" w:color="auto" w:sz="4" w:space="0"/>
              <w:right w:val="single" w:color="auto" w:sz="4" w:space="0"/>
            </w:tcBorders>
          </w:tcPr>
          <w:p>
            <w:pPr>
              <w:tabs>
                <w:tab w:val="left" w:pos="1260"/>
              </w:tabs>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510"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196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文件编号</w:t>
            </w:r>
          </w:p>
        </w:tc>
        <w:tc>
          <w:tcPr>
            <w:tcW w:w="5733" w:type="dxa"/>
            <w:gridSpan w:val="6"/>
            <w:tcBorders>
              <w:top w:val="single" w:color="auto" w:sz="4" w:space="0"/>
              <w:left w:val="single" w:color="auto" w:sz="4" w:space="0"/>
              <w:bottom w:val="single" w:color="auto" w:sz="4" w:space="0"/>
              <w:right w:val="single" w:color="auto" w:sz="4" w:space="0"/>
            </w:tcBorders>
          </w:tcPr>
          <w:p>
            <w:pPr>
              <w:tabs>
                <w:tab w:val="left" w:pos="1260"/>
              </w:tabs>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510"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196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被授权人</w:t>
            </w:r>
          </w:p>
        </w:tc>
        <w:tc>
          <w:tcPr>
            <w:tcW w:w="2372" w:type="dxa"/>
            <w:gridSpan w:val="3"/>
            <w:tcBorders>
              <w:top w:val="single" w:color="auto" w:sz="4" w:space="0"/>
              <w:left w:val="single" w:color="auto" w:sz="4" w:space="0"/>
              <w:bottom w:val="single" w:color="auto" w:sz="4" w:space="0"/>
              <w:right w:val="single" w:color="auto" w:sz="4" w:space="0"/>
            </w:tcBorders>
          </w:tcPr>
          <w:p>
            <w:pPr>
              <w:tabs>
                <w:tab w:val="left" w:pos="1260"/>
              </w:tabs>
              <w:ind w:firstLine="459"/>
              <w:rPr>
                <w:rFonts w:hint="eastAsia" w:asciiTheme="majorEastAsia" w:hAnsiTheme="majorEastAsia" w:eastAsiaTheme="majorEastAsia" w:cstheme="majorEastAsia"/>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tabs>
                <w:tab w:val="left" w:pos="1260"/>
              </w:tabs>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职 务</w:t>
            </w:r>
          </w:p>
        </w:tc>
        <w:tc>
          <w:tcPr>
            <w:tcW w:w="2436" w:type="dxa"/>
            <w:gridSpan w:val="2"/>
            <w:tcBorders>
              <w:top w:val="single" w:color="auto" w:sz="4" w:space="0"/>
              <w:left w:val="single" w:color="auto" w:sz="4" w:space="0"/>
              <w:bottom w:val="single" w:color="auto" w:sz="4" w:space="0"/>
              <w:right w:val="single" w:color="auto" w:sz="4" w:space="0"/>
            </w:tcBorders>
          </w:tcPr>
          <w:p>
            <w:pPr>
              <w:tabs>
                <w:tab w:val="left" w:pos="1260"/>
              </w:tabs>
              <w:ind w:firstLine="459"/>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510"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196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递交响应文件</w:t>
            </w:r>
          </w:p>
        </w:tc>
        <w:tc>
          <w:tcPr>
            <w:tcW w:w="5733"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正本</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份、副本</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份</w:t>
            </w:r>
          </w:p>
        </w:tc>
      </w:tr>
      <w:tr>
        <w:tblPrEx>
          <w:tblCellMar>
            <w:top w:w="0" w:type="dxa"/>
            <w:left w:w="108" w:type="dxa"/>
            <w:bottom w:w="0" w:type="dxa"/>
            <w:right w:w="108" w:type="dxa"/>
          </w:tblCellMar>
        </w:tblPrEx>
        <w:trPr>
          <w:trHeight w:val="340"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7695" w:type="dxa"/>
            <w:gridSpan w:val="8"/>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作为投标人郑重声明：</w:t>
            </w:r>
          </w:p>
        </w:tc>
      </w:tr>
      <w:tr>
        <w:tblPrEx>
          <w:tblCellMar>
            <w:top w:w="0" w:type="dxa"/>
            <w:left w:w="108" w:type="dxa"/>
            <w:bottom w:w="0" w:type="dxa"/>
            <w:right w:w="108" w:type="dxa"/>
          </w:tblCellMar>
        </w:tblPrEx>
        <w:trPr>
          <w:trHeight w:val="257"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A</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tabs>
                <w:tab w:val="left" w:pos="1260"/>
              </w:tabs>
              <w:spacing w:line="300" w:lineRule="exact"/>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依据招标文件的内容要求，提供完全满足采购需求的合格产品和全面技术、售后服务保障。</w:t>
            </w:r>
          </w:p>
        </w:tc>
      </w:tr>
      <w:tr>
        <w:tblPrEx>
          <w:tblCellMar>
            <w:top w:w="0" w:type="dxa"/>
            <w:left w:w="108" w:type="dxa"/>
            <w:bottom w:w="0" w:type="dxa"/>
            <w:right w:w="108" w:type="dxa"/>
          </w:tblCellMar>
        </w:tblPrEx>
        <w:trPr>
          <w:trHeight w:val="257"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B</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tabs>
                <w:tab w:val="left" w:pos="1260"/>
              </w:tabs>
              <w:spacing w:line="300" w:lineRule="exact"/>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已详细审查全部招标文件包括修改文件（如有）以及全部参考资料和有关附件，我们完全理解并同意放弃对这方面有不明及误解的权利。</w:t>
            </w:r>
          </w:p>
        </w:tc>
      </w:tr>
      <w:tr>
        <w:tblPrEx>
          <w:tblCellMar>
            <w:top w:w="0" w:type="dxa"/>
            <w:left w:w="108" w:type="dxa"/>
            <w:bottom w:w="0" w:type="dxa"/>
            <w:right w:w="108" w:type="dxa"/>
          </w:tblCellMar>
        </w:tblPrEx>
        <w:trPr>
          <w:trHeight w:val="257"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C</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tabs>
                <w:tab w:val="left" w:pos="1260"/>
              </w:tabs>
              <w:spacing w:line="300" w:lineRule="exact"/>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同意提供与本次招标采购活动相关的其他任何证据和资料。</w:t>
            </w:r>
          </w:p>
        </w:tc>
      </w:tr>
      <w:tr>
        <w:tblPrEx>
          <w:tblCellMar>
            <w:top w:w="0" w:type="dxa"/>
            <w:left w:w="108" w:type="dxa"/>
            <w:bottom w:w="0" w:type="dxa"/>
            <w:right w:w="108" w:type="dxa"/>
          </w:tblCellMar>
        </w:tblPrEx>
        <w:trPr>
          <w:trHeight w:val="257"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D</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tabs>
                <w:tab w:val="left" w:pos="1260"/>
              </w:tabs>
              <w:spacing w:line="300" w:lineRule="exact"/>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完全理解最低投标报价不作为中标的唯一条件，且尊重评标委员会的评审结论及中标结果。</w:t>
            </w:r>
          </w:p>
        </w:tc>
      </w:tr>
      <w:tr>
        <w:tblPrEx>
          <w:tblCellMar>
            <w:top w:w="0" w:type="dxa"/>
            <w:left w:w="108" w:type="dxa"/>
            <w:bottom w:w="0" w:type="dxa"/>
            <w:right w:w="108" w:type="dxa"/>
          </w:tblCellMar>
        </w:tblPrEx>
        <w:trPr>
          <w:trHeight w:val="257"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E</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tabs>
                <w:tab w:val="left" w:pos="1260"/>
              </w:tabs>
              <w:spacing w:line="300" w:lineRule="exact"/>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如果在规定的宣读报价时间后，供应商在投标有效期内撤回投标，其投标保证金将被贵方没收。</w:t>
            </w:r>
          </w:p>
        </w:tc>
      </w:tr>
      <w:tr>
        <w:tblPrEx>
          <w:tblCellMar>
            <w:top w:w="0" w:type="dxa"/>
            <w:left w:w="108" w:type="dxa"/>
            <w:bottom w:w="0" w:type="dxa"/>
            <w:right w:w="108" w:type="dxa"/>
          </w:tblCellMar>
        </w:tblPrEx>
        <w:trPr>
          <w:trHeight w:val="340" w:hRule="atLeast"/>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Cs w:val="21"/>
              </w:rPr>
            </w:pPr>
          </w:p>
        </w:tc>
        <w:tc>
          <w:tcPr>
            <w:tcW w:w="5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F</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tabs>
                <w:tab w:val="left" w:pos="1260"/>
              </w:tabs>
              <w:spacing w:line="300" w:lineRule="exact"/>
              <w:ind w:firstLine="205" w:firstLineChars="98"/>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本投标函有效期</w:t>
            </w:r>
            <w:r>
              <w:rPr>
                <w:rFonts w:hint="eastAsia" w:asciiTheme="majorEastAsia" w:hAnsiTheme="majorEastAsia" w:eastAsiaTheme="majorEastAsia" w:cstheme="majorEastAsia"/>
                <w:spacing w:val="-10"/>
                <w:szCs w:val="21"/>
              </w:rPr>
              <w:t>二〇</w:t>
            </w:r>
            <w:r>
              <w:rPr>
                <w:rFonts w:hint="eastAsia" w:asciiTheme="majorEastAsia" w:hAnsiTheme="majorEastAsia" w:eastAsiaTheme="majorEastAsia" w:cstheme="majorEastAsia"/>
                <w:spacing w:val="-10"/>
                <w:szCs w:val="21"/>
                <w:lang w:eastAsia="zh-CN"/>
              </w:rPr>
              <w:t>二</w:t>
            </w:r>
            <w:r>
              <w:rPr>
                <w:rFonts w:hint="eastAsia" w:asciiTheme="majorEastAsia" w:hAnsiTheme="majorEastAsia" w:eastAsiaTheme="majorEastAsia" w:cstheme="majorEastAsia"/>
                <w:spacing w:val="-10"/>
                <w:szCs w:val="21"/>
              </w:rPr>
              <w:t xml:space="preserve"> </w:t>
            </w:r>
            <w:r>
              <w:rPr>
                <w:rFonts w:hint="eastAsia" w:asciiTheme="majorEastAsia" w:hAnsiTheme="majorEastAsia" w:eastAsiaTheme="majorEastAsia" w:cstheme="majorEastAsia"/>
                <w:spacing w:val="-10"/>
                <w:szCs w:val="21"/>
                <w:lang w:eastAsia="zh-CN"/>
              </w:rPr>
              <w:t>二</w:t>
            </w:r>
            <w:r>
              <w:rPr>
                <w:rFonts w:hint="eastAsia" w:asciiTheme="majorEastAsia" w:hAnsiTheme="majorEastAsia" w:eastAsiaTheme="majorEastAsia" w:cstheme="majorEastAsia"/>
                <w:spacing w:val="-10"/>
                <w:szCs w:val="21"/>
              </w:rPr>
              <w:t>年  月  日至二〇</w:t>
            </w:r>
            <w:r>
              <w:rPr>
                <w:rFonts w:hint="eastAsia" w:asciiTheme="majorEastAsia" w:hAnsiTheme="majorEastAsia" w:eastAsiaTheme="majorEastAsia" w:cstheme="majorEastAsia"/>
                <w:spacing w:val="-10"/>
                <w:szCs w:val="21"/>
                <w:lang w:eastAsia="zh-CN"/>
              </w:rPr>
              <w:t>二二</w:t>
            </w:r>
            <w:r>
              <w:rPr>
                <w:rFonts w:hint="eastAsia" w:asciiTheme="majorEastAsia" w:hAnsiTheme="majorEastAsia" w:eastAsiaTheme="majorEastAsia" w:cstheme="majorEastAsia"/>
                <w:spacing w:val="-10"/>
                <w:szCs w:val="21"/>
              </w:rPr>
              <w:t>年 月  日</w:t>
            </w:r>
          </w:p>
        </w:tc>
      </w:tr>
      <w:tr>
        <w:tblPrEx>
          <w:tblCellMar>
            <w:top w:w="0" w:type="dxa"/>
            <w:left w:w="108" w:type="dxa"/>
            <w:bottom w:w="0" w:type="dxa"/>
            <w:right w:w="108" w:type="dxa"/>
          </w:tblCellMar>
        </w:tblPrEx>
        <w:trPr>
          <w:trHeight w:val="340" w:hRule="atLeast"/>
          <w:jc w:val="center"/>
        </w:trPr>
        <w:tc>
          <w:tcPr>
            <w:tcW w:w="8474" w:type="dxa"/>
            <w:gridSpan w:val="9"/>
            <w:tcBorders>
              <w:top w:val="single" w:color="auto" w:sz="4" w:space="0"/>
              <w:left w:val="single" w:color="auto" w:sz="4" w:space="0"/>
              <w:bottom w:val="single" w:color="auto" w:sz="4" w:space="0"/>
              <w:right w:val="single" w:color="auto" w:sz="4" w:space="0"/>
            </w:tcBorders>
            <w:vAlign w:val="center"/>
          </w:tcPr>
          <w:p>
            <w:pPr>
              <w:tabs>
                <w:tab w:val="left" w:pos="1260"/>
              </w:tabs>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有关本次招标的所有联络函电，请按下列方式联系：</w:t>
            </w:r>
          </w:p>
        </w:tc>
      </w:tr>
      <w:tr>
        <w:tblPrEx>
          <w:tblCellMar>
            <w:top w:w="0" w:type="dxa"/>
            <w:left w:w="108" w:type="dxa"/>
            <w:bottom w:w="0" w:type="dxa"/>
            <w:right w:w="108" w:type="dxa"/>
          </w:tblCellMar>
        </w:tblPrEx>
        <w:trPr>
          <w:trHeight w:val="510" w:hRule="atLeast"/>
          <w:jc w:val="center"/>
        </w:trPr>
        <w:tc>
          <w:tcPr>
            <w:tcW w:w="1356"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    址</w:t>
            </w:r>
          </w:p>
        </w:tc>
        <w:tc>
          <w:tcPr>
            <w:tcW w:w="337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ind w:firstLine="394"/>
              <w:jc w:val="center"/>
              <w:rPr>
                <w:rFonts w:hint="eastAsia" w:asciiTheme="majorEastAsia" w:hAnsiTheme="majorEastAsia" w:eastAsiaTheme="majorEastAsia" w:cstheme="majorEastAsia"/>
                <w:szCs w:val="21"/>
              </w:rPr>
            </w:pPr>
          </w:p>
        </w:tc>
        <w:tc>
          <w:tcPr>
            <w:tcW w:w="1520"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邮政编码</w:t>
            </w:r>
          </w:p>
        </w:tc>
        <w:tc>
          <w:tcPr>
            <w:tcW w:w="2222" w:type="dxa"/>
            <w:tcBorders>
              <w:top w:val="single" w:color="auto" w:sz="4" w:space="0"/>
              <w:left w:val="single" w:color="auto" w:sz="4" w:space="0"/>
              <w:bottom w:val="single" w:color="auto" w:sz="4" w:space="0"/>
              <w:right w:val="single" w:color="auto" w:sz="4" w:space="0"/>
            </w:tcBorders>
            <w:vAlign w:val="center"/>
          </w:tcPr>
          <w:p>
            <w:pPr>
              <w:tabs>
                <w:tab w:val="left" w:pos="1260"/>
              </w:tabs>
              <w:ind w:firstLine="459"/>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510" w:hRule="atLeast"/>
          <w:jc w:val="center"/>
        </w:trPr>
        <w:tc>
          <w:tcPr>
            <w:tcW w:w="1356"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电话/传真</w:t>
            </w:r>
          </w:p>
        </w:tc>
        <w:tc>
          <w:tcPr>
            <w:tcW w:w="337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ind w:firstLine="394"/>
              <w:jc w:val="center"/>
              <w:rPr>
                <w:rFonts w:hint="eastAsia" w:asciiTheme="majorEastAsia" w:hAnsiTheme="majorEastAsia" w:eastAsiaTheme="majorEastAsia" w:cstheme="majorEastAsia"/>
                <w:szCs w:val="21"/>
              </w:rPr>
            </w:pPr>
          </w:p>
        </w:tc>
        <w:tc>
          <w:tcPr>
            <w:tcW w:w="1520"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电子邮件</w:t>
            </w:r>
          </w:p>
        </w:tc>
        <w:tc>
          <w:tcPr>
            <w:tcW w:w="2222" w:type="dxa"/>
            <w:tcBorders>
              <w:top w:val="single" w:color="auto" w:sz="4" w:space="0"/>
              <w:left w:val="single" w:color="auto" w:sz="4" w:space="0"/>
              <w:bottom w:val="single" w:color="auto" w:sz="4" w:space="0"/>
              <w:right w:val="single" w:color="auto" w:sz="4" w:space="0"/>
            </w:tcBorders>
            <w:vAlign w:val="center"/>
          </w:tcPr>
          <w:p>
            <w:pPr>
              <w:tabs>
                <w:tab w:val="left" w:pos="1260"/>
              </w:tabs>
              <w:ind w:firstLine="459"/>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510" w:hRule="atLeast"/>
          <w:jc w:val="center"/>
        </w:trPr>
        <w:tc>
          <w:tcPr>
            <w:tcW w:w="1356"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网    址</w:t>
            </w:r>
          </w:p>
        </w:tc>
        <w:tc>
          <w:tcPr>
            <w:tcW w:w="337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ind w:firstLine="394"/>
              <w:jc w:val="center"/>
              <w:rPr>
                <w:rFonts w:hint="eastAsia" w:asciiTheme="majorEastAsia" w:hAnsiTheme="majorEastAsia" w:eastAsiaTheme="majorEastAsia" w:cstheme="majorEastAsia"/>
                <w:szCs w:val="21"/>
              </w:rPr>
            </w:pPr>
          </w:p>
        </w:tc>
        <w:tc>
          <w:tcPr>
            <w:tcW w:w="1520"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手机号码</w:t>
            </w:r>
          </w:p>
        </w:tc>
        <w:tc>
          <w:tcPr>
            <w:tcW w:w="2222" w:type="dxa"/>
            <w:tcBorders>
              <w:top w:val="single" w:color="auto" w:sz="4" w:space="0"/>
              <w:left w:val="single" w:color="auto" w:sz="4" w:space="0"/>
              <w:bottom w:val="single" w:color="auto" w:sz="4" w:space="0"/>
              <w:right w:val="single" w:color="auto" w:sz="4" w:space="0"/>
            </w:tcBorders>
            <w:vAlign w:val="center"/>
          </w:tcPr>
          <w:p>
            <w:pPr>
              <w:tabs>
                <w:tab w:val="left" w:pos="1260"/>
              </w:tabs>
              <w:ind w:firstLine="459"/>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340" w:hRule="atLeast"/>
          <w:jc w:val="center"/>
        </w:trPr>
        <w:tc>
          <w:tcPr>
            <w:tcW w:w="3152" w:type="dxa"/>
            <w:gridSpan w:val="4"/>
            <w:tcBorders>
              <w:top w:val="single" w:color="auto" w:sz="4" w:space="0"/>
              <w:left w:val="single" w:color="auto" w:sz="4" w:space="0"/>
              <w:bottom w:val="single" w:color="auto" w:sz="4" w:space="0"/>
              <w:right w:val="nil"/>
            </w:tcBorders>
            <w:vAlign w:val="center"/>
          </w:tcPr>
          <w:p>
            <w:pPr>
              <w:tabs>
                <w:tab w:val="left" w:pos="1260"/>
              </w:tabs>
              <w:jc w:val="center"/>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投标人</w:t>
            </w:r>
          </w:p>
        </w:tc>
        <w:tc>
          <w:tcPr>
            <w:tcW w:w="3100" w:type="dxa"/>
            <w:gridSpan w:val="4"/>
            <w:tcBorders>
              <w:top w:val="single" w:color="auto" w:sz="4" w:space="0"/>
              <w:left w:val="single" w:color="auto" w:sz="4" w:space="0"/>
              <w:bottom w:val="single" w:color="auto" w:sz="4" w:space="0"/>
              <w:right w:val="nil"/>
            </w:tcBorders>
            <w:vAlign w:val="center"/>
          </w:tcPr>
          <w:p>
            <w:pPr>
              <w:tabs>
                <w:tab w:val="left" w:pos="1260"/>
              </w:tabs>
              <w:jc w:val="center"/>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法定代表人或被授权人</w:t>
            </w:r>
          </w:p>
        </w:tc>
        <w:tc>
          <w:tcPr>
            <w:tcW w:w="2222" w:type="dxa"/>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签署日期</w:t>
            </w:r>
          </w:p>
        </w:tc>
      </w:tr>
      <w:tr>
        <w:tblPrEx>
          <w:tblCellMar>
            <w:top w:w="0" w:type="dxa"/>
            <w:left w:w="108" w:type="dxa"/>
            <w:bottom w:w="0" w:type="dxa"/>
            <w:right w:w="108" w:type="dxa"/>
          </w:tblCellMar>
        </w:tblPrEx>
        <w:trPr>
          <w:trHeight w:val="2615" w:hRule="atLeast"/>
          <w:jc w:val="center"/>
        </w:trPr>
        <w:tc>
          <w:tcPr>
            <w:tcW w:w="3152" w:type="dxa"/>
            <w:gridSpan w:val="4"/>
            <w:tcBorders>
              <w:top w:val="single" w:color="auto" w:sz="4" w:space="0"/>
              <w:left w:val="single" w:color="auto" w:sz="4" w:space="0"/>
              <w:bottom w:val="single" w:color="auto" w:sz="4" w:space="0"/>
              <w:right w:val="nil"/>
            </w:tcBorders>
            <w:vAlign w:val="center"/>
          </w:tcPr>
          <w:p>
            <w:pPr>
              <w:tabs>
                <w:tab w:val="left" w:pos="1260"/>
              </w:tabs>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（法人公章）</w:t>
            </w:r>
          </w:p>
        </w:tc>
        <w:tc>
          <w:tcPr>
            <w:tcW w:w="3100" w:type="dxa"/>
            <w:gridSpan w:val="4"/>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（签字或盖章）</w:t>
            </w:r>
          </w:p>
        </w:tc>
        <w:tc>
          <w:tcPr>
            <w:tcW w:w="2222" w:type="dxa"/>
            <w:tcBorders>
              <w:top w:val="single" w:color="auto" w:sz="4" w:space="0"/>
              <w:left w:val="single" w:color="auto" w:sz="4" w:space="0"/>
              <w:bottom w:val="single" w:color="auto" w:sz="4" w:space="0"/>
              <w:right w:val="single" w:color="auto" w:sz="4" w:space="0"/>
            </w:tcBorders>
            <w:vAlign w:val="center"/>
          </w:tcPr>
          <w:p>
            <w:pPr>
              <w:tabs>
                <w:tab w:val="left" w:pos="1260"/>
              </w:tabs>
              <w:ind w:firstLine="420" w:firstLineChars="200"/>
              <w:jc w:val="center"/>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年  月  日</w:t>
            </w:r>
          </w:p>
        </w:tc>
      </w:tr>
    </w:tbl>
    <w:p>
      <w:pPr>
        <w:pStyle w:val="3"/>
        <w:rPr>
          <w:rFonts w:hint="eastAsia" w:asciiTheme="majorEastAsia" w:hAnsiTheme="majorEastAsia" w:eastAsiaTheme="majorEastAsia" w:cstheme="majorEastAsia"/>
          <w:b/>
          <w:bCs/>
          <w:szCs w:val="30"/>
        </w:rPr>
      </w:pPr>
      <w:bookmarkStart w:id="330" w:name="_Toc32659"/>
      <w:bookmarkStart w:id="331" w:name="_Toc10699"/>
      <w:bookmarkStart w:id="332" w:name="_Toc15068"/>
      <w:bookmarkStart w:id="333" w:name="_Toc6135"/>
      <w:r>
        <w:rPr>
          <w:rFonts w:hint="eastAsia" w:asciiTheme="majorEastAsia" w:hAnsiTheme="majorEastAsia" w:eastAsiaTheme="majorEastAsia" w:cstheme="majorEastAsia"/>
          <w:b/>
          <w:bCs/>
          <w:szCs w:val="30"/>
        </w:rPr>
        <w:t>二、</w:t>
      </w:r>
      <w:bookmarkEnd w:id="323"/>
      <w:bookmarkEnd w:id="324"/>
      <w:bookmarkEnd w:id="325"/>
      <w:bookmarkEnd w:id="326"/>
      <w:bookmarkEnd w:id="327"/>
      <w:bookmarkEnd w:id="328"/>
      <w:bookmarkEnd w:id="329"/>
      <w:r>
        <w:rPr>
          <w:rFonts w:hint="eastAsia" w:asciiTheme="majorEastAsia" w:hAnsiTheme="majorEastAsia" w:eastAsiaTheme="majorEastAsia" w:cstheme="majorEastAsia"/>
          <w:b/>
          <w:bCs/>
          <w:szCs w:val="30"/>
        </w:rPr>
        <w:t>开标一览表</w:t>
      </w:r>
      <w:bookmarkEnd w:id="330"/>
      <w:bookmarkEnd w:id="331"/>
      <w:bookmarkEnd w:id="332"/>
      <w:bookmarkEnd w:id="333"/>
    </w:p>
    <w:tbl>
      <w:tblPr>
        <w:tblStyle w:val="19"/>
        <w:tblW w:w="96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4"/>
        <w:gridCol w:w="7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atLeast"/>
          <w:jc w:val="center"/>
        </w:trPr>
        <w:tc>
          <w:tcPr>
            <w:tcW w:w="2634"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采购项目名称</w:t>
            </w:r>
          </w:p>
        </w:tc>
        <w:tc>
          <w:tcPr>
            <w:tcW w:w="7019" w:type="dxa"/>
            <w:vAlign w:val="center"/>
          </w:tcPr>
          <w:p>
            <w:pPr>
              <w:spacing w:line="480" w:lineRule="exact"/>
              <w:jc w:val="center"/>
              <w:rPr>
                <w:rFonts w:hint="eastAsia" w:asciiTheme="majorEastAsia" w:hAnsiTheme="majorEastAsia" w:eastAsiaTheme="majorEastAsia" w:cstheme="majorEastAsia"/>
                <w:szCs w:val="21"/>
              </w:rPr>
            </w:pPr>
          </w:p>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atLeast"/>
          <w:jc w:val="center"/>
        </w:trPr>
        <w:tc>
          <w:tcPr>
            <w:tcW w:w="2634"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项目编号</w:t>
            </w:r>
          </w:p>
        </w:tc>
        <w:tc>
          <w:tcPr>
            <w:tcW w:w="7019" w:type="dxa"/>
            <w:vAlign w:val="center"/>
          </w:tcPr>
          <w:p>
            <w:pPr>
              <w:widowControl/>
              <w:spacing w:line="480" w:lineRule="exact"/>
              <w:jc w:val="center"/>
              <w:rPr>
                <w:rFonts w:hint="eastAsia" w:asciiTheme="majorEastAsia" w:hAnsiTheme="majorEastAsia" w:eastAsiaTheme="majorEastAsia" w:cstheme="majorEastAsia"/>
                <w:kern w:val="0"/>
                <w:szCs w:val="21"/>
              </w:rPr>
            </w:pPr>
          </w:p>
          <w:p>
            <w:pPr>
              <w:widowControl/>
              <w:spacing w:line="480" w:lineRule="exact"/>
              <w:jc w:val="center"/>
              <w:rPr>
                <w:rFonts w:hint="eastAsia" w:asciiTheme="majorEastAsia" w:hAnsiTheme="majorEastAsia" w:eastAsiaTheme="majorEastAsia" w:cstheme="majorEastAsia"/>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atLeast"/>
          <w:jc w:val="center"/>
        </w:trPr>
        <w:tc>
          <w:tcPr>
            <w:tcW w:w="2634"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供应商名称</w:t>
            </w:r>
          </w:p>
        </w:tc>
        <w:tc>
          <w:tcPr>
            <w:tcW w:w="7019"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2634" w:type="dxa"/>
            <w:vMerge w:val="restart"/>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投标报价</w:t>
            </w:r>
          </w:p>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rPr>
              <w:t>（人民币大写）</w:t>
            </w:r>
          </w:p>
        </w:tc>
        <w:tc>
          <w:tcPr>
            <w:tcW w:w="7019" w:type="dxa"/>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 w:val="21"/>
                <w:szCs w:val="21"/>
                <w:lang w:eastAsia="zh-CN"/>
              </w:rPr>
              <w:t>大写：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4" w:hRule="atLeast"/>
          <w:jc w:val="center"/>
        </w:trPr>
        <w:tc>
          <w:tcPr>
            <w:tcW w:w="2634" w:type="dxa"/>
            <w:vMerge w:val="continue"/>
            <w:vAlign w:val="center"/>
          </w:tcPr>
          <w:p>
            <w:pPr>
              <w:spacing w:line="480" w:lineRule="exact"/>
              <w:jc w:val="center"/>
              <w:rPr>
                <w:rFonts w:hint="eastAsia" w:asciiTheme="majorEastAsia" w:hAnsiTheme="majorEastAsia" w:eastAsiaTheme="majorEastAsia" w:cstheme="majorEastAsia"/>
                <w:szCs w:val="21"/>
              </w:rPr>
            </w:pPr>
          </w:p>
        </w:tc>
        <w:tc>
          <w:tcPr>
            <w:tcW w:w="7019" w:type="dxa"/>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 w:val="21"/>
                <w:szCs w:val="21"/>
                <w:lang w:eastAsia="zh-CN"/>
              </w:rPr>
              <w:t>小写：</w:t>
            </w:r>
            <w:r>
              <w:rPr>
                <w:rFonts w:hint="eastAsia" w:asciiTheme="majorEastAsia" w:hAnsiTheme="majorEastAsia" w:eastAsiaTheme="majorEastAsia" w:cstheme="majorEastAsia"/>
                <w:sz w:val="21"/>
                <w:szCs w:val="21"/>
                <w:u w:val="single"/>
                <w:lang w:val="en-US" w:eastAsia="zh-CN"/>
              </w:rPr>
              <w:t xml:space="preserve">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atLeast"/>
          <w:jc w:val="center"/>
        </w:trPr>
        <w:tc>
          <w:tcPr>
            <w:tcW w:w="2634"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供货期</w:t>
            </w:r>
          </w:p>
        </w:tc>
        <w:tc>
          <w:tcPr>
            <w:tcW w:w="7019" w:type="dxa"/>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Theme="majorEastAsia" w:hAnsiTheme="majorEastAsia" w:eastAsiaTheme="majorEastAsia" w:cstheme="majorEastAsia"/>
                <w:sz w:val="21"/>
                <w:szCs w:val="21"/>
                <w:lang w:eastAsia="zh-CN"/>
              </w:rPr>
            </w:pPr>
          </w:p>
        </w:tc>
      </w:tr>
    </w:tbl>
    <w:p>
      <w:pPr>
        <w:spacing w:line="480" w:lineRule="exact"/>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rPr>
      </w:pPr>
    </w:p>
    <w:p>
      <w:pPr>
        <w:spacing w:line="480" w:lineRule="exact"/>
        <w:ind w:right="-161" w:firstLine="2640" w:firstLineChars="11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法定代表人（被授权人）签字：</w:t>
      </w:r>
      <w:r>
        <w:rPr>
          <w:rFonts w:hint="eastAsia" w:asciiTheme="majorEastAsia" w:hAnsiTheme="majorEastAsia" w:eastAsiaTheme="majorEastAsia" w:cstheme="majorEastAsia"/>
          <w:sz w:val="24"/>
          <w:szCs w:val="24"/>
          <w:u w:val="single"/>
        </w:rPr>
        <w:t>　　　　　　　　　　</w:t>
      </w:r>
    </w:p>
    <w:p>
      <w:pPr>
        <w:spacing w:line="480" w:lineRule="exact"/>
        <w:ind w:right="-161" w:firstLine="2640" w:firstLineChars="1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  　 标  　 单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位：</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（公章）</w:t>
      </w:r>
    </w:p>
    <w:p>
      <w:pPr>
        <w:spacing w:line="480" w:lineRule="exact"/>
        <w:ind w:firstLine="2640" w:firstLineChars="11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日                   　 期：</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rPr>
        <w:t>　　　　　　　　</w:t>
      </w:r>
    </w:p>
    <w:p>
      <w:pPr>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10"/>
        <w:adjustRightInd w:val="0"/>
        <w:snapToGrid w:val="0"/>
        <w:spacing w:line="440" w:lineRule="exact"/>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分项报价表</w:t>
      </w:r>
    </w:p>
    <w:p>
      <w:pPr>
        <w:rPr>
          <w:rFonts w:hint="eastAsia" w:asciiTheme="majorEastAsia" w:hAnsiTheme="majorEastAsia" w:eastAsiaTheme="majorEastAsia" w:cstheme="majorEastAsia"/>
          <w:b/>
          <w:sz w:val="36"/>
          <w:szCs w:val="36"/>
        </w:rPr>
      </w:pPr>
    </w:p>
    <w:tbl>
      <w:tblPr>
        <w:tblStyle w:val="20"/>
        <w:tblW w:w="89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59"/>
        <w:gridCol w:w="1521"/>
        <w:gridCol w:w="152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196"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品  名</w:t>
            </w:r>
          </w:p>
        </w:tc>
        <w:tc>
          <w:tcPr>
            <w:tcW w:w="2159" w:type="dxa"/>
            <w:vAlign w:val="center"/>
          </w:tcPr>
          <w:p>
            <w:pPr>
              <w:widowControl/>
              <w:spacing w:line="360" w:lineRule="auto"/>
              <w:ind w:firstLine="210" w:firstLineChars="100"/>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数量（单位）</w:t>
            </w:r>
          </w:p>
        </w:tc>
        <w:tc>
          <w:tcPr>
            <w:tcW w:w="1521" w:type="dxa"/>
            <w:vAlign w:val="center"/>
          </w:tcPr>
          <w:p>
            <w:pPr>
              <w:widowControl/>
              <w:spacing w:line="360" w:lineRule="auto"/>
              <w:ind w:firstLine="210" w:firstLineChars="100"/>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单价（元）</w:t>
            </w:r>
          </w:p>
        </w:tc>
        <w:tc>
          <w:tcPr>
            <w:tcW w:w="1521" w:type="dxa"/>
            <w:vAlign w:val="center"/>
          </w:tcPr>
          <w:p>
            <w:pPr>
              <w:widowControl/>
              <w:spacing w:line="360" w:lineRule="auto"/>
              <w:ind w:firstLine="210" w:firstLineChars="100"/>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总价（元）</w:t>
            </w:r>
          </w:p>
        </w:tc>
        <w:tc>
          <w:tcPr>
            <w:tcW w:w="1521" w:type="dxa"/>
            <w:vAlign w:val="center"/>
          </w:tcPr>
          <w:p>
            <w:pPr>
              <w:widowControl/>
              <w:spacing w:line="360" w:lineRule="auto"/>
              <w:ind w:firstLine="210" w:firstLineChars="100"/>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color w:val="333333"/>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196" w:type="dxa"/>
            <w:vAlign w:val="center"/>
          </w:tcPr>
          <w:p>
            <w:pPr>
              <w:jc w:val="center"/>
              <w:rPr>
                <w:rFonts w:hint="eastAsia" w:asciiTheme="majorEastAsia" w:hAnsiTheme="majorEastAsia" w:eastAsiaTheme="majorEastAsia" w:cstheme="majorEastAsia"/>
                <w:color w:val="333333"/>
                <w:kern w:val="0"/>
                <w:szCs w:val="21"/>
                <w:lang w:eastAsia="zh-CN"/>
              </w:rPr>
            </w:pPr>
            <w:r>
              <w:rPr>
                <w:rFonts w:hint="eastAsia" w:asciiTheme="majorEastAsia" w:hAnsiTheme="majorEastAsia" w:eastAsiaTheme="majorEastAsia" w:cstheme="majorEastAsia"/>
                <w:szCs w:val="21"/>
                <w:lang w:eastAsia="zh-CN"/>
              </w:rPr>
              <w:t>有机肥</w:t>
            </w:r>
          </w:p>
        </w:tc>
        <w:tc>
          <w:tcPr>
            <w:tcW w:w="2159" w:type="dxa"/>
            <w:vAlign w:val="center"/>
          </w:tcPr>
          <w:p>
            <w:pPr>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szCs w:val="21"/>
                <w:lang w:val="en-US" w:eastAsia="zh-CN"/>
              </w:rPr>
              <w:t>2500</w:t>
            </w:r>
            <w:r>
              <w:rPr>
                <w:rFonts w:hint="eastAsia" w:asciiTheme="majorEastAsia" w:hAnsiTheme="majorEastAsia" w:eastAsiaTheme="majorEastAsia" w:cstheme="majorEastAsia"/>
                <w:szCs w:val="21"/>
              </w:rPr>
              <w:t>吨</w:t>
            </w:r>
          </w:p>
        </w:tc>
        <w:tc>
          <w:tcPr>
            <w:tcW w:w="1521"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c>
          <w:tcPr>
            <w:tcW w:w="1521"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c>
          <w:tcPr>
            <w:tcW w:w="1521"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96" w:type="dxa"/>
            <w:vAlign w:val="center"/>
          </w:tcPr>
          <w:p>
            <w:pPr>
              <w:jc w:val="center"/>
              <w:rPr>
                <w:rFonts w:hint="eastAsia" w:asciiTheme="majorEastAsia" w:hAnsiTheme="majorEastAsia" w:eastAsiaTheme="majorEastAsia" w:cstheme="majorEastAsia"/>
                <w:color w:val="333333"/>
                <w:kern w:val="0"/>
                <w:szCs w:val="21"/>
                <w:lang w:eastAsia="zh-CN"/>
              </w:rPr>
            </w:pPr>
            <w:r>
              <w:rPr>
                <w:rFonts w:hint="eastAsia" w:asciiTheme="majorEastAsia" w:hAnsiTheme="majorEastAsia" w:eastAsiaTheme="majorEastAsia" w:cstheme="majorEastAsia"/>
                <w:color w:val="333333"/>
                <w:kern w:val="0"/>
                <w:szCs w:val="21"/>
                <w:lang w:eastAsia="zh-CN"/>
              </w:rPr>
              <w:t>水溶肥</w:t>
            </w:r>
          </w:p>
        </w:tc>
        <w:tc>
          <w:tcPr>
            <w:tcW w:w="2159" w:type="dxa"/>
            <w:vAlign w:val="center"/>
          </w:tcPr>
          <w:p>
            <w:pPr>
              <w:jc w:val="center"/>
              <w:rPr>
                <w:rFonts w:hint="default" w:asciiTheme="majorEastAsia" w:hAnsiTheme="majorEastAsia" w:eastAsiaTheme="majorEastAsia" w:cstheme="majorEastAsia"/>
                <w:color w:val="333333"/>
                <w:kern w:val="0"/>
                <w:szCs w:val="21"/>
                <w:lang w:val="en-US" w:eastAsia="zh-CN"/>
              </w:rPr>
            </w:pPr>
            <w:r>
              <w:rPr>
                <w:rFonts w:hint="eastAsia" w:asciiTheme="majorEastAsia" w:hAnsiTheme="majorEastAsia" w:eastAsiaTheme="majorEastAsia" w:cstheme="majorEastAsia"/>
                <w:color w:val="333333"/>
                <w:kern w:val="0"/>
                <w:szCs w:val="21"/>
                <w:lang w:val="en-US" w:eastAsia="zh-CN"/>
              </w:rPr>
              <w:t>30吨</w:t>
            </w:r>
          </w:p>
        </w:tc>
        <w:tc>
          <w:tcPr>
            <w:tcW w:w="1521"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c>
          <w:tcPr>
            <w:tcW w:w="1521"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c>
          <w:tcPr>
            <w:tcW w:w="1521"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196" w:type="dxa"/>
            <w:vAlign w:val="center"/>
          </w:tcPr>
          <w:p>
            <w:pPr>
              <w:jc w:val="center"/>
              <w:rPr>
                <w:rFonts w:hint="eastAsia" w:asciiTheme="majorEastAsia" w:hAnsiTheme="majorEastAsia" w:eastAsiaTheme="majorEastAsia" w:cstheme="majorEastAsia"/>
                <w:color w:val="333333"/>
                <w:kern w:val="0"/>
                <w:szCs w:val="21"/>
                <w:lang w:eastAsia="zh-CN"/>
              </w:rPr>
            </w:pPr>
          </w:p>
        </w:tc>
        <w:tc>
          <w:tcPr>
            <w:tcW w:w="2159" w:type="dxa"/>
            <w:vAlign w:val="center"/>
          </w:tcPr>
          <w:p>
            <w:pPr>
              <w:jc w:val="center"/>
              <w:rPr>
                <w:rFonts w:hint="eastAsia" w:asciiTheme="majorEastAsia" w:hAnsiTheme="majorEastAsia" w:eastAsiaTheme="majorEastAsia" w:cstheme="majorEastAsia"/>
                <w:color w:val="333333"/>
                <w:kern w:val="0"/>
                <w:szCs w:val="21"/>
              </w:rPr>
            </w:pPr>
          </w:p>
        </w:tc>
        <w:tc>
          <w:tcPr>
            <w:tcW w:w="1521"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c>
          <w:tcPr>
            <w:tcW w:w="1521"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c>
          <w:tcPr>
            <w:tcW w:w="1521" w:type="dxa"/>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196" w:type="dxa"/>
            <w:vMerge w:val="restart"/>
            <w:vAlign w:val="center"/>
          </w:tcPr>
          <w:p>
            <w:pPr>
              <w:widowControl/>
              <w:spacing w:line="360" w:lineRule="auto"/>
              <w:jc w:val="center"/>
              <w:rPr>
                <w:rFonts w:hint="eastAsia" w:asciiTheme="majorEastAsia" w:hAnsiTheme="majorEastAsia" w:eastAsiaTheme="majorEastAsia" w:cstheme="majorEastAsia"/>
                <w:color w:val="333333"/>
                <w:kern w:val="0"/>
                <w:szCs w:val="21"/>
              </w:rPr>
            </w:pPr>
            <w:r>
              <w:rPr>
                <w:rFonts w:hint="eastAsia" w:asciiTheme="majorEastAsia" w:hAnsiTheme="majorEastAsia" w:eastAsiaTheme="majorEastAsia" w:cstheme="majorEastAsia"/>
                <w:szCs w:val="21"/>
              </w:rPr>
              <w:t>合计</w:t>
            </w:r>
          </w:p>
        </w:tc>
        <w:tc>
          <w:tcPr>
            <w:tcW w:w="6722" w:type="dxa"/>
            <w:gridSpan w:val="4"/>
            <w:vAlign w:val="center"/>
          </w:tcPr>
          <w:p>
            <w:pPr>
              <w:widowControl/>
              <w:spacing w:line="360" w:lineRule="auto"/>
              <w:jc w:val="center"/>
              <w:rPr>
                <w:rFonts w:hint="eastAsia" w:asciiTheme="majorEastAsia" w:hAnsiTheme="majorEastAsia" w:eastAsiaTheme="majorEastAsia" w:cstheme="majorEastAsia"/>
                <w:color w:val="333333"/>
                <w:kern w:val="0"/>
                <w:szCs w:val="21"/>
                <w:lang w:eastAsia="zh-CN"/>
              </w:rPr>
            </w:pPr>
            <w:r>
              <w:rPr>
                <w:rFonts w:hint="eastAsia" w:asciiTheme="majorEastAsia" w:hAnsiTheme="majorEastAsia" w:eastAsiaTheme="majorEastAsia" w:cstheme="majorEastAsia"/>
                <w:color w:val="333333"/>
                <w:kern w:val="0"/>
                <w:szCs w:val="21"/>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96" w:type="dxa"/>
            <w:vMerge w:val="continue"/>
            <w:vAlign w:val="center"/>
          </w:tcPr>
          <w:p>
            <w:pPr>
              <w:widowControl/>
              <w:spacing w:line="360" w:lineRule="auto"/>
              <w:jc w:val="center"/>
              <w:rPr>
                <w:rFonts w:hint="eastAsia" w:asciiTheme="majorEastAsia" w:hAnsiTheme="majorEastAsia" w:eastAsiaTheme="majorEastAsia" w:cstheme="majorEastAsia"/>
                <w:color w:val="333333"/>
                <w:kern w:val="0"/>
                <w:szCs w:val="21"/>
              </w:rPr>
            </w:pPr>
          </w:p>
        </w:tc>
        <w:tc>
          <w:tcPr>
            <w:tcW w:w="6722" w:type="dxa"/>
            <w:gridSpan w:val="4"/>
            <w:vAlign w:val="center"/>
          </w:tcPr>
          <w:p>
            <w:pPr>
              <w:widowControl/>
              <w:spacing w:line="360" w:lineRule="auto"/>
              <w:jc w:val="center"/>
              <w:rPr>
                <w:rFonts w:hint="eastAsia" w:asciiTheme="majorEastAsia" w:hAnsiTheme="majorEastAsia" w:eastAsiaTheme="majorEastAsia" w:cstheme="majorEastAsia"/>
                <w:color w:val="333333"/>
                <w:kern w:val="0"/>
                <w:szCs w:val="21"/>
                <w:lang w:eastAsia="zh-CN"/>
              </w:rPr>
            </w:pPr>
            <w:r>
              <w:rPr>
                <w:rFonts w:hint="eastAsia" w:asciiTheme="majorEastAsia" w:hAnsiTheme="majorEastAsia" w:eastAsiaTheme="majorEastAsia" w:cstheme="majorEastAsia"/>
                <w:color w:val="333333"/>
                <w:kern w:val="0"/>
                <w:szCs w:val="21"/>
                <w:lang w:eastAsia="zh-CN"/>
              </w:rPr>
              <w:t>小写：</w:t>
            </w:r>
          </w:p>
        </w:tc>
      </w:tr>
    </w:tbl>
    <w:p>
      <w:pPr>
        <w:spacing w:line="480" w:lineRule="exact"/>
        <w:rPr>
          <w:rFonts w:hint="eastAsia" w:asciiTheme="majorEastAsia" w:hAnsiTheme="majorEastAsia" w:eastAsiaTheme="majorEastAsia" w:cstheme="majorEastAsia"/>
        </w:rPr>
      </w:pPr>
    </w:p>
    <w:p>
      <w:pPr>
        <w:pStyle w:val="11"/>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br w:type="page"/>
      </w:r>
    </w:p>
    <w:p>
      <w:pPr>
        <w:pStyle w:val="3"/>
        <w:rPr>
          <w:rFonts w:hint="eastAsia" w:asciiTheme="majorEastAsia" w:hAnsiTheme="majorEastAsia" w:eastAsiaTheme="majorEastAsia" w:cstheme="majorEastAsia"/>
          <w:b/>
          <w:bCs/>
          <w:szCs w:val="30"/>
        </w:rPr>
      </w:pPr>
      <w:bookmarkStart w:id="334" w:name="_Toc21586"/>
      <w:bookmarkStart w:id="335" w:name="_Toc14259"/>
      <w:bookmarkStart w:id="336" w:name="_Toc11770"/>
      <w:bookmarkStart w:id="337" w:name="_Toc14550"/>
      <w:r>
        <w:rPr>
          <w:rFonts w:hint="eastAsia" w:asciiTheme="majorEastAsia" w:hAnsiTheme="majorEastAsia" w:eastAsiaTheme="majorEastAsia" w:cstheme="majorEastAsia"/>
          <w:b/>
          <w:bCs/>
          <w:szCs w:val="30"/>
        </w:rPr>
        <w:t>三、商务/技术偏离表</w:t>
      </w:r>
      <w:bookmarkEnd w:id="334"/>
      <w:bookmarkEnd w:id="335"/>
      <w:bookmarkEnd w:id="336"/>
      <w:bookmarkEnd w:id="337"/>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供应商名称：</w:t>
      </w:r>
      <w:r>
        <w:rPr>
          <w:rFonts w:hint="eastAsia" w:asciiTheme="majorEastAsia" w:hAnsiTheme="majorEastAsia" w:eastAsiaTheme="majorEastAsia" w:cstheme="majorEastAsia"/>
          <w:sz w:val="24"/>
          <w:szCs w:val="24"/>
          <w:u w:val="single"/>
        </w:rPr>
        <w:t>　　　　　　　　　　</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采购项目名称：</w:t>
      </w:r>
      <w:r>
        <w:rPr>
          <w:rFonts w:hint="eastAsia" w:asciiTheme="majorEastAsia" w:hAnsiTheme="majorEastAsia" w:eastAsiaTheme="majorEastAsia" w:cstheme="majorEastAsia"/>
          <w:sz w:val="24"/>
          <w:szCs w:val="24"/>
          <w:u w:val="single"/>
        </w:rPr>
        <w:t>　　　　　　　　　</w:t>
      </w:r>
    </w:p>
    <w:tbl>
      <w:tblPr>
        <w:tblStyle w:val="19"/>
        <w:tblW w:w="83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0"/>
        <w:gridCol w:w="2847"/>
        <w:gridCol w:w="2056"/>
        <w:gridCol w:w="1204"/>
        <w:gridCol w:w="16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2847"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招标文件要求</w:t>
            </w:r>
          </w:p>
        </w:tc>
        <w:tc>
          <w:tcPr>
            <w:tcW w:w="2056"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投标文件响应</w:t>
            </w:r>
          </w:p>
        </w:tc>
        <w:tc>
          <w:tcPr>
            <w:tcW w:w="1204"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偏离</w:t>
            </w:r>
          </w:p>
        </w:tc>
        <w:tc>
          <w:tcPr>
            <w:tcW w:w="1603"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vAlign w:val="center"/>
          </w:tcPr>
          <w:p>
            <w:pPr>
              <w:spacing w:line="480" w:lineRule="exact"/>
              <w:jc w:val="center"/>
              <w:rPr>
                <w:rFonts w:hint="eastAsia" w:asciiTheme="majorEastAsia" w:hAnsiTheme="majorEastAsia" w:eastAsiaTheme="majorEastAsia" w:cstheme="majorEastAsia"/>
                <w:szCs w:val="21"/>
              </w:rPr>
            </w:pPr>
          </w:p>
        </w:tc>
        <w:tc>
          <w:tcPr>
            <w:tcW w:w="2847" w:type="dxa"/>
            <w:vAlign w:val="center"/>
          </w:tcPr>
          <w:p>
            <w:pPr>
              <w:spacing w:line="480" w:lineRule="exact"/>
              <w:jc w:val="center"/>
              <w:rPr>
                <w:rFonts w:hint="eastAsia" w:asciiTheme="majorEastAsia" w:hAnsiTheme="majorEastAsia" w:eastAsiaTheme="majorEastAsia" w:cstheme="majorEastAsia"/>
                <w:szCs w:val="21"/>
              </w:rPr>
            </w:pPr>
          </w:p>
        </w:tc>
        <w:tc>
          <w:tcPr>
            <w:tcW w:w="2056" w:type="dxa"/>
            <w:vAlign w:val="center"/>
          </w:tcPr>
          <w:p>
            <w:pPr>
              <w:spacing w:line="480" w:lineRule="exact"/>
              <w:jc w:val="center"/>
              <w:rPr>
                <w:rFonts w:hint="eastAsia" w:asciiTheme="majorEastAsia" w:hAnsiTheme="majorEastAsia" w:eastAsiaTheme="majorEastAsia" w:cstheme="majorEastAsia"/>
                <w:szCs w:val="21"/>
              </w:rPr>
            </w:pPr>
          </w:p>
        </w:tc>
        <w:tc>
          <w:tcPr>
            <w:tcW w:w="1204" w:type="dxa"/>
            <w:vAlign w:val="center"/>
          </w:tcPr>
          <w:p>
            <w:pPr>
              <w:spacing w:line="480" w:lineRule="exact"/>
              <w:jc w:val="center"/>
              <w:rPr>
                <w:rFonts w:hint="eastAsia" w:asciiTheme="majorEastAsia" w:hAnsiTheme="majorEastAsia" w:eastAsiaTheme="majorEastAsia" w:cstheme="majorEastAsia"/>
                <w:szCs w:val="21"/>
              </w:rPr>
            </w:pPr>
          </w:p>
        </w:tc>
        <w:tc>
          <w:tcPr>
            <w:tcW w:w="1603" w:type="dxa"/>
            <w:vAlign w:val="center"/>
          </w:tcPr>
          <w:p>
            <w:pPr>
              <w:spacing w:line="480" w:lineRule="exact"/>
              <w:jc w:val="center"/>
              <w:rPr>
                <w:rFonts w:hint="eastAsia" w:asciiTheme="majorEastAsia" w:hAnsiTheme="majorEastAsia" w:eastAsiaTheme="majorEastAsia" w:cstheme="majorEastAsia"/>
                <w:szCs w:val="21"/>
              </w:rPr>
            </w:pPr>
          </w:p>
        </w:tc>
      </w:tr>
    </w:tbl>
    <w:p>
      <w:pPr>
        <w:adjustRightInd w:val="0"/>
        <w:snapToGrid w:val="0"/>
        <w:spacing w:line="48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声明：除本偏离表中所列项目外，其它所有项目均完全响应“招标文件”中的要求。</w:t>
      </w:r>
    </w:p>
    <w:p>
      <w:pPr>
        <w:adjustRightInd w:val="0"/>
        <w:snapToGrid w:val="0"/>
        <w:spacing w:line="48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注：2</w:t>
      </w:r>
      <w:r>
        <w:rPr>
          <w:rFonts w:hint="eastAsia" w:asciiTheme="majorEastAsia" w:hAnsiTheme="majorEastAsia" w:eastAsiaTheme="majorEastAsia" w:cstheme="majorEastAsia"/>
          <w:szCs w:val="21"/>
        </w:rPr>
        <w:t>如全部响应</w:t>
      </w:r>
      <w:r>
        <w:rPr>
          <w:rFonts w:hint="eastAsia" w:asciiTheme="majorEastAsia" w:hAnsiTheme="majorEastAsia" w:eastAsiaTheme="majorEastAsia" w:cstheme="majorEastAsia"/>
          <w:szCs w:val="21"/>
          <w:lang w:val="en-US" w:eastAsia="zh-CN"/>
        </w:rPr>
        <w:t>招标</w:t>
      </w:r>
      <w:r>
        <w:rPr>
          <w:rFonts w:hint="eastAsia" w:asciiTheme="majorEastAsia" w:hAnsiTheme="majorEastAsia" w:eastAsiaTheme="majorEastAsia" w:cstheme="majorEastAsia"/>
          <w:szCs w:val="21"/>
        </w:rPr>
        <w:t>文件所提要求，在“</w:t>
      </w:r>
      <w:r>
        <w:rPr>
          <w:rFonts w:hint="eastAsia" w:asciiTheme="majorEastAsia" w:hAnsiTheme="majorEastAsia" w:eastAsiaTheme="majorEastAsia" w:cstheme="majorEastAsia"/>
          <w:szCs w:val="21"/>
          <w:lang w:val="en-US" w:eastAsia="zh-CN"/>
        </w:rPr>
        <w:t>招标文件</w:t>
      </w:r>
      <w:r>
        <w:rPr>
          <w:rFonts w:hint="eastAsia" w:asciiTheme="majorEastAsia" w:hAnsiTheme="majorEastAsia" w:eastAsiaTheme="majorEastAsia" w:cstheme="majorEastAsia"/>
          <w:szCs w:val="21"/>
        </w:rPr>
        <w:t>要求”及“</w:t>
      </w:r>
      <w:r>
        <w:rPr>
          <w:rFonts w:hint="eastAsia" w:asciiTheme="majorEastAsia" w:hAnsiTheme="majorEastAsia" w:eastAsiaTheme="majorEastAsia" w:cstheme="majorEastAsia"/>
          <w:szCs w:val="21"/>
          <w:lang w:val="en-US" w:eastAsia="zh-CN"/>
        </w:rPr>
        <w:t>招标文件</w:t>
      </w:r>
      <w:r>
        <w:rPr>
          <w:rFonts w:hint="eastAsia" w:asciiTheme="majorEastAsia" w:hAnsiTheme="majorEastAsia" w:eastAsiaTheme="majorEastAsia" w:cstheme="majorEastAsia"/>
          <w:szCs w:val="21"/>
        </w:rPr>
        <w:t>响应”栏中填写“全部”字样，在“偏离情况”栏填入“无偏离”字样。</w:t>
      </w:r>
    </w:p>
    <w:p>
      <w:pPr>
        <w:spacing w:line="480" w:lineRule="exact"/>
        <w:ind w:right="-161" w:firstLine="2640" w:firstLineChars="1100"/>
        <w:rPr>
          <w:rFonts w:hint="eastAsia" w:asciiTheme="majorEastAsia" w:hAnsiTheme="majorEastAsia" w:eastAsiaTheme="majorEastAsia" w:cstheme="majorEastAsia"/>
          <w:sz w:val="24"/>
          <w:szCs w:val="24"/>
        </w:rPr>
      </w:pPr>
    </w:p>
    <w:p>
      <w:pPr>
        <w:spacing w:line="480" w:lineRule="exact"/>
        <w:ind w:right="-161" w:firstLine="2640" w:firstLineChars="11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法定代表人或被授权代表签字：</w:t>
      </w:r>
      <w:r>
        <w:rPr>
          <w:rFonts w:hint="eastAsia" w:asciiTheme="majorEastAsia" w:hAnsiTheme="majorEastAsia" w:eastAsiaTheme="majorEastAsia" w:cstheme="majorEastAsia"/>
          <w:sz w:val="24"/>
          <w:szCs w:val="24"/>
          <w:u w:val="single"/>
        </w:rPr>
        <w:t>　　　　　　　　</w:t>
      </w:r>
    </w:p>
    <w:p>
      <w:pPr>
        <w:spacing w:line="480" w:lineRule="exact"/>
        <w:ind w:right="-161" w:firstLine="2640" w:firstLineChars="1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投   　　标  　　单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位：</w:t>
      </w:r>
      <w:r>
        <w:rPr>
          <w:rFonts w:hint="eastAsia" w:asciiTheme="majorEastAsia" w:hAnsiTheme="majorEastAsia" w:eastAsiaTheme="majorEastAsia" w:cstheme="majorEastAsia"/>
          <w:sz w:val="24"/>
          <w:szCs w:val="24"/>
          <w:u w:val="single"/>
        </w:rPr>
        <w:t>　　　　（公章）</w:t>
      </w:r>
    </w:p>
    <w:p>
      <w:pPr>
        <w:spacing w:line="480" w:lineRule="exact"/>
        <w:ind w:right="480" w:firstLine="2640" w:firstLineChars="11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24"/>
          <w:szCs w:val="24"/>
        </w:rPr>
        <w:t>日                    　期：</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bookmarkStart w:id="338" w:name="_Toc334522295"/>
      <w:bookmarkStart w:id="339" w:name="_Toc283240500"/>
      <w:bookmarkStart w:id="340" w:name="_Toc347478750"/>
      <w:bookmarkStart w:id="341" w:name="_Toc312789407"/>
      <w:bookmarkStart w:id="342" w:name="_Toc311415661"/>
      <w:bookmarkStart w:id="343" w:name="_Toc27600"/>
      <w:r>
        <w:rPr>
          <w:rFonts w:hint="eastAsia" w:asciiTheme="majorEastAsia" w:hAnsiTheme="majorEastAsia" w:eastAsiaTheme="majorEastAsia" w:cstheme="majorEastAsia"/>
          <w:b/>
          <w:bCs/>
          <w:sz w:val="32"/>
          <w:szCs w:val="32"/>
        </w:rPr>
        <w:br w:type="page"/>
      </w:r>
    </w:p>
    <w:bookmarkEnd w:id="338"/>
    <w:bookmarkEnd w:id="339"/>
    <w:bookmarkEnd w:id="340"/>
    <w:bookmarkEnd w:id="341"/>
    <w:bookmarkEnd w:id="342"/>
    <w:bookmarkEnd w:id="343"/>
    <w:p>
      <w:pPr>
        <w:pStyle w:val="3"/>
        <w:rPr>
          <w:rFonts w:hint="eastAsia" w:asciiTheme="majorEastAsia" w:hAnsiTheme="majorEastAsia" w:eastAsiaTheme="majorEastAsia" w:cstheme="majorEastAsia"/>
          <w:b/>
          <w:bCs/>
        </w:rPr>
      </w:pPr>
      <w:bookmarkStart w:id="344" w:name="_Toc312789408"/>
      <w:bookmarkStart w:id="345" w:name="_Toc283240501"/>
      <w:bookmarkStart w:id="346" w:name="_Toc334522296"/>
      <w:bookmarkStart w:id="347" w:name="_Toc311415662"/>
      <w:bookmarkStart w:id="348" w:name="_Toc347478751"/>
      <w:bookmarkStart w:id="349" w:name="_Toc18690"/>
      <w:bookmarkStart w:id="350" w:name="_Toc30522"/>
      <w:bookmarkStart w:id="351" w:name="_Toc294"/>
      <w:bookmarkStart w:id="352" w:name="_Toc3634"/>
      <w:bookmarkStart w:id="353" w:name="_Toc14012"/>
      <w:r>
        <w:rPr>
          <w:rFonts w:hint="eastAsia" w:asciiTheme="majorEastAsia" w:hAnsiTheme="majorEastAsia" w:eastAsiaTheme="majorEastAsia" w:cstheme="majorEastAsia"/>
          <w:b/>
          <w:bCs/>
        </w:rPr>
        <w:t>四、资格证明文件</w:t>
      </w:r>
      <w:bookmarkEnd w:id="344"/>
      <w:bookmarkEnd w:id="345"/>
      <w:bookmarkEnd w:id="346"/>
      <w:bookmarkEnd w:id="347"/>
      <w:bookmarkEnd w:id="348"/>
      <w:bookmarkEnd w:id="349"/>
      <w:bookmarkEnd w:id="350"/>
      <w:bookmarkEnd w:id="351"/>
      <w:bookmarkEnd w:id="352"/>
      <w:bookmarkEnd w:id="353"/>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参加政府采购活动的供应商应当具备《中华人民共和国政府采购法》第二十二条第一款规定的条件，提供下列材料： </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1.营业执照等主体资格证明文件：提供有效存续的企业营业执照（副本）/事业单位法人证书/专业服务机构执业许可证/民办非企业单位登记证书。</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2.法定代表人授权委托书：法定代表人参加投标的，须提供本人身份证复印件（附在资格证明文件中）；法定代表人授权他人参加投标的，须提供法定代表人授权委托书。</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财务状况报告：提供2021年度或2022年度经审计的财务会计报告（包括审计报告、资产负债表、利润表、现金流量表、所有者权益变动表及其附注，成立时间至提交投标文件截止时间不足一年的可提供成立后任意时段的资产负债表和利润表）。或其基本存款账户开户银行出具的资信证明及基本存款账户开户许可证和最近3个月任意一个月的财务报表。</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4.税收缴纳证明：提供递交投标文件截止之日前一年内任意一个月的依法缴纳税收的相关凭据。依法免税或无须缴纳税收的投标人，应提供相应证明文件。</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5.社保缴纳证明：提供递交投标文件截止之日前近一年的任意一个月的社会保障资金缴存单据或社保机构开具的社会保险参保缴费情况证明。依法不需要缴纳社会保障资金的投标人应提供相关证明文件；</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6.书面声明：提供参加政府采购活动近三年内在经营活动中没有重大违法记录的书面声明。</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信用记录：供应商需通过“信用中国”网站（www.creditchina.gov.cn）查询主体无失信记录，不得为中国政府采购网（www.ccgp.gov.cn）政府采购严重违法失信行为记录名单中被财政部门禁止参加政府采购活动的单位（截图打印并加盖公章）。 </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8.控股管理关系：提供直接控股和管理关系清单。若与其他投标人存在单位负责人为同一人或者存在直接控股、管理关系的，则投标无效。注：上述资质开标时均需提供原件备查，复印件装订在标书中。</w:t>
      </w:r>
    </w:p>
    <w:p>
      <w:pPr>
        <w:widowControl/>
        <w:tabs>
          <w:tab w:val="left" w:pos="180"/>
        </w:tabs>
        <w:spacing w:line="480" w:lineRule="exact"/>
        <w:ind w:firstLine="360" w:firstLineChars="150"/>
        <w:rPr>
          <w:rFonts w:hint="eastAsia" w:asciiTheme="majorEastAsia" w:hAnsiTheme="majorEastAsia" w:eastAsiaTheme="majorEastAsia" w:cstheme="majorEastAsia"/>
          <w:sz w:val="24"/>
          <w:szCs w:val="24"/>
        </w:rPr>
      </w:pPr>
    </w:p>
    <w:p>
      <w:pPr>
        <w:widowControl/>
        <w:tabs>
          <w:tab w:val="left" w:pos="180"/>
        </w:tabs>
        <w:spacing w:line="480" w:lineRule="exact"/>
        <w:rPr>
          <w:rFonts w:hint="eastAsia" w:asciiTheme="majorEastAsia" w:hAnsiTheme="majorEastAsia" w:eastAsiaTheme="majorEastAsia" w:cstheme="majorEastAsia"/>
          <w:sz w:val="24"/>
          <w:szCs w:val="24"/>
        </w:rPr>
      </w:pPr>
    </w:p>
    <w:p>
      <w:pPr>
        <w:keepNext/>
        <w:keepLines/>
        <w:spacing w:line="48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br w:type="page"/>
      </w:r>
    </w:p>
    <w:p>
      <w:pPr>
        <w:pStyle w:val="3"/>
        <w:rPr>
          <w:rFonts w:hint="eastAsia" w:asciiTheme="majorEastAsia" w:hAnsiTheme="majorEastAsia" w:eastAsiaTheme="majorEastAsia" w:cstheme="majorEastAsia"/>
          <w:b/>
          <w:bCs/>
        </w:rPr>
      </w:pPr>
      <w:bookmarkStart w:id="354" w:name="_Toc3257"/>
      <w:bookmarkStart w:id="355" w:name="_Toc5721"/>
      <w:bookmarkStart w:id="356" w:name="_Toc30710"/>
      <w:bookmarkStart w:id="357" w:name="_Toc8415"/>
      <w:r>
        <w:rPr>
          <w:rFonts w:hint="eastAsia" w:asciiTheme="majorEastAsia" w:hAnsiTheme="majorEastAsia" w:eastAsiaTheme="majorEastAsia" w:cstheme="majorEastAsia"/>
          <w:b/>
          <w:bCs/>
        </w:rPr>
        <w:t>五、类似业绩</w:t>
      </w:r>
      <w:bookmarkEnd w:id="354"/>
      <w:bookmarkEnd w:id="355"/>
      <w:bookmarkEnd w:id="356"/>
      <w:bookmarkEnd w:id="357"/>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供应商名称：</w:t>
      </w:r>
      <w:r>
        <w:rPr>
          <w:rFonts w:hint="eastAsia" w:asciiTheme="majorEastAsia" w:hAnsiTheme="majorEastAsia" w:eastAsiaTheme="majorEastAsia" w:cstheme="majorEastAsia"/>
          <w:sz w:val="24"/>
          <w:szCs w:val="24"/>
          <w:u w:val="single"/>
        </w:rPr>
        <w:t>　　　　　　　　　　　</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采购项目名称：</w:t>
      </w:r>
      <w:r>
        <w:rPr>
          <w:rFonts w:hint="eastAsia" w:asciiTheme="majorEastAsia" w:hAnsiTheme="majorEastAsia" w:eastAsiaTheme="majorEastAsia" w:cstheme="majorEastAsia"/>
          <w:sz w:val="24"/>
          <w:szCs w:val="24"/>
          <w:u w:val="single"/>
        </w:rPr>
        <w:t>　　　　　　　　　　</w:t>
      </w:r>
    </w:p>
    <w:tbl>
      <w:tblPr>
        <w:tblStyle w:val="19"/>
        <w:tblW w:w="86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0"/>
        <w:gridCol w:w="3876"/>
        <w:gridCol w:w="2551"/>
        <w:gridCol w:w="14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50"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3876"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采购项目名称</w:t>
            </w:r>
          </w:p>
        </w:tc>
        <w:tc>
          <w:tcPr>
            <w:tcW w:w="2551" w:type="dxa"/>
            <w:tcBorders>
              <w:left w:val="single" w:color="auto" w:sz="4" w:space="0"/>
              <w:right w:val="single" w:color="auto" w:sz="4" w:space="0"/>
            </w:tcBorders>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合同金额（元）</w:t>
            </w:r>
          </w:p>
        </w:tc>
        <w:tc>
          <w:tcPr>
            <w:tcW w:w="1435"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完成日期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50"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3876" w:type="dxa"/>
            <w:vAlign w:val="center"/>
          </w:tcPr>
          <w:p>
            <w:pPr>
              <w:spacing w:line="480" w:lineRule="exact"/>
              <w:jc w:val="center"/>
              <w:rPr>
                <w:rFonts w:hint="eastAsia" w:asciiTheme="majorEastAsia" w:hAnsiTheme="majorEastAsia" w:eastAsiaTheme="majorEastAsia" w:cstheme="majorEastAsia"/>
                <w:szCs w:val="21"/>
              </w:rPr>
            </w:pPr>
          </w:p>
        </w:tc>
        <w:tc>
          <w:tcPr>
            <w:tcW w:w="2551" w:type="dxa"/>
            <w:tcBorders>
              <w:left w:val="single" w:color="auto" w:sz="4" w:space="0"/>
              <w:right w:val="single" w:color="auto" w:sz="4" w:space="0"/>
            </w:tcBorders>
            <w:vAlign w:val="center"/>
          </w:tcPr>
          <w:p>
            <w:pPr>
              <w:spacing w:line="480" w:lineRule="exact"/>
              <w:jc w:val="center"/>
              <w:rPr>
                <w:rFonts w:hint="eastAsia" w:asciiTheme="majorEastAsia" w:hAnsiTheme="majorEastAsia" w:eastAsiaTheme="majorEastAsia" w:cstheme="majorEastAsia"/>
                <w:szCs w:val="21"/>
              </w:rPr>
            </w:pPr>
          </w:p>
        </w:tc>
        <w:tc>
          <w:tcPr>
            <w:tcW w:w="1435"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50"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3876" w:type="dxa"/>
            <w:vAlign w:val="center"/>
          </w:tcPr>
          <w:p>
            <w:pPr>
              <w:spacing w:line="480" w:lineRule="exact"/>
              <w:jc w:val="center"/>
              <w:rPr>
                <w:rFonts w:hint="eastAsia" w:asciiTheme="majorEastAsia" w:hAnsiTheme="majorEastAsia" w:eastAsiaTheme="majorEastAsia" w:cstheme="majorEastAsia"/>
                <w:szCs w:val="21"/>
              </w:rPr>
            </w:pPr>
          </w:p>
        </w:tc>
        <w:tc>
          <w:tcPr>
            <w:tcW w:w="2551" w:type="dxa"/>
            <w:tcBorders>
              <w:left w:val="single" w:color="auto" w:sz="4" w:space="0"/>
              <w:right w:val="single" w:color="auto" w:sz="4" w:space="0"/>
            </w:tcBorders>
            <w:vAlign w:val="center"/>
          </w:tcPr>
          <w:p>
            <w:pPr>
              <w:spacing w:line="480" w:lineRule="exact"/>
              <w:jc w:val="center"/>
              <w:rPr>
                <w:rFonts w:hint="eastAsia" w:asciiTheme="majorEastAsia" w:hAnsiTheme="majorEastAsia" w:eastAsiaTheme="majorEastAsia" w:cstheme="majorEastAsia"/>
                <w:szCs w:val="21"/>
              </w:rPr>
            </w:pPr>
          </w:p>
        </w:tc>
        <w:tc>
          <w:tcPr>
            <w:tcW w:w="1435"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50"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3876" w:type="dxa"/>
            <w:vAlign w:val="center"/>
          </w:tcPr>
          <w:p>
            <w:pPr>
              <w:spacing w:line="480" w:lineRule="exact"/>
              <w:jc w:val="center"/>
              <w:rPr>
                <w:rFonts w:hint="eastAsia" w:asciiTheme="majorEastAsia" w:hAnsiTheme="majorEastAsia" w:eastAsiaTheme="majorEastAsia" w:cstheme="majorEastAsia"/>
                <w:szCs w:val="21"/>
              </w:rPr>
            </w:pPr>
          </w:p>
        </w:tc>
        <w:tc>
          <w:tcPr>
            <w:tcW w:w="2551" w:type="dxa"/>
            <w:tcBorders>
              <w:left w:val="single" w:color="auto" w:sz="4" w:space="0"/>
              <w:right w:val="single" w:color="auto" w:sz="4" w:space="0"/>
            </w:tcBorders>
            <w:vAlign w:val="center"/>
          </w:tcPr>
          <w:p>
            <w:pPr>
              <w:spacing w:line="480" w:lineRule="exact"/>
              <w:jc w:val="center"/>
              <w:rPr>
                <w:rFonts w:hint="eastAsia" w:asciiTheme="majorEastAsia" w:hAnsiTheme="majorEastAsia" w:eastAsiaTheme="majorEastAsia" w:cstheme="majorEastAsia"/>
                <w:szCs w:val="21"/>
              </w:rPr>
            </w:pPr>
          </w:p>
        </w:tc>
        <w:tc>
          <w:tcPr>
            <w:tcW w:w="1435"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50"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3876" w:type="dxa"/>
            <w:vAlign w:val="center"/>
          </w:tcPr>
          <w:p>
            <w:pPr>
              <w:spacing w:line="480" w:lineRule="exact"/>
              <w:jc w:val="center"/>
              <w:rPr>
                <w:rFonts w:hint="eastAsia" w:asciiTheme="majorEastAsia" w:hAnsiTheme="majorEastAsia" w:eastAsiaTheme="majorEastAsia" w:cstheme="majorEastAsia"/>
                <w:szCs w:val="21"/>
              </w:rPr>
            </w:pPr>
          </w:p>
        </w:tc>
        <w:tc>
          <w:tcPr>
            <w:tcW w:w="2551" w:type="dxa"/>
            <w:tcBorders>
              <w:left w:val="single" w:color="auto" w:sz="4" w:space="0"/>
              <w:right w:val="single" w:color="auto" w:sz="4" w:space="0"/>
            </w:tcBorders>
            <w:vAlign w:val="center"/>
          </w:tcPr>
          <w:p>
            <w:pPr>
              <w:spacing w:line="480" w:lineRule="exact"/>
              <w:jc w:val="center"/>
              <w:rPr>
                <w:rFonts w:hint="eastAsia" w:asciiTheme="majorEastAsia" w:hAnsiTheme="majorEastAsia" w:eastAsiaTheme="majorEastAsia" w:cstheme="majorEastAsia"/>
                <w:szCs w:val="21"/>
              </w:rPr>
            </w:pPr>
          </w:p>
        </w:tc>
        <w:tc>
          <w:tcPr>
            <w:tcW w:w="1435"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50"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3876" w:type="dxa"/>
            <w:vAlign w:val="center"/>
          </w:tcPr>
          <w:p>
            <w:pPr>
              <w:spacing w:line="480" w:lineRule="exact"/>
              <w:jc w:val="center"/>
              <w:rPr>
                <w:rFonts w:hint="eastAsia" w:asciiTheme="majorEastAsia" w:hAnsiTheme="majorEastAsia" w:eastAsiaTheme="majorEastAsia" w:cstheme="majorEastAsia"/>
                <w:szCs w:val="21"/>
              </w:rPr>
            </w:pPr>
          </w:p>
        </w:tc>
        <w:tc>
          <w:tcPr>
            <w:tcW w:w="2551" w:type="dxa"/>
            <w:tcBorders>
              <w:left w:val="single" w:color="auto" w:sz="4" w:space="0"/>
              <w:right w:val="single" w:color="auto" w:sz="4" w:space="0"/>
            </w:tcBorders>
            <w:vAlign w:val="center"/>
          </w:tcPr>
          <w:p>
            <w:pPr>
              <w:spacing w:line="480" w:lineRule="exact"/>
              <w:jc w:val="center"/>
              <w:rPr>
                <w:rFonts w:hint="eastAsia" w:asciiTheme="majorEastAsia" w:hAnsiTheme="majorEastAsia" w:eastAsiaTheme="majorEastAsia" w:cstheme="majorEastAsia"/>
                <w:szCs w:val="21"/>
              </w:rPr>
            </w:pPr>
          </w:p>
        </w:tc>
        <w:tc>
          <w:tcPr>
            <w:tcW w:w="1435"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50" w:type="dxa"/>
            <w:vAlign w:val="center"/>
          </w:tcPr>
          <w:p>
            <w:pPr>
              <w:spacing w:line="480" w:lineRule="exact"/>
              <w:ind w:left="120"/>
              <w:jc w:val="center"/>
              <w:rPr>
                <w:rFonts w:hint="eastAsia" w:asciiTheme="majorEastAsia" w:hAnsiTheme="majorEastAsia" w:eastAsiaTheme="majorEastAsia" w:cstheme="majorEastAsia"/>
                <w:szCs w:val="21"/>
              </w:rPr>
            </w:pPr>
          </w:p>
        </w:tc>
        <w:tc>
          <w:tcPr>
            <w:tcW w:w="3876" w:type="dxa"/>
            <w:vAlign w:val="center"/>
          </w:tcPr>
          <w:p>
            <w:pPr>
              <w:spacing w:line="480" w:lineRule="exact"/>
              <w:jc w:val="center"/>
              <w:rPr>
                <w:rFonts w:hint="eastAsia" w:asciiTheme="majorEastAsia" w:hAnsiTheme="majorEastAsia" w:eastAsiaTheme="majorEastAsia" w:cstheme="majorEastAsia"/>
                <w:szCs w:val="21"/>
              </w:rPr>
            </w:pPr>
          </w:p>
        </w:tc>
        <w:tc>
          <w:tcPr>
            <w:tcW w:w="2551" w:type="dxa"/>
            <w:tcBorders>
              <w:left w:val="single" w:color="auto" w:sz="4" w:space="0"/>
              <w:right w:val="single" w:color="auto" w:sz="4" w:space="0"/>
            </w:tcBorders>
            <w:vAlign w:val="center"/>
          </w:tcPr>
          <w:p>
            <w:pPr>
              <w:spacing w:line="480" w:lineRule="exact"/>
              <w:jc w:val="center"/>
              <w:rPr>
                <w:rFonts w:hint="eastAsia" w:asciiTheme="majorEastAsia" w:hAnsiTheme="majorEastAsia" w:eastAsiaTheme="majorEastAsia" w:cstheme="majorEastAsia"/>
                <w:szCs w:val="21"/>
              </w:rPr>
            </w:pPr>
          </w:p>
        </w:tc>
        <w:tc>
          <w:tcPr>
            <w:tcW w:w="1435" w:type="dxa"/>
            <w:vAlign w:val="center"/>
          </w:tcPr>
          <w:p>
            <w:pPr>
              <w:spacing w:line="480" w:lineRule="exact"/>
              <w:jc w:val="center"/>
              <w:rPr>
                <w:rFonts w:hint="eastAsia" w:asciiTheme="majorEastAsia" w:hAnsiTheme="majorEastAsia" w:eastAsiaTheme="majorEastAsia" w:cstheme="maj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750" w:type="dxa"/>
            <w:vAlign w:val="center"/>
          </w:tcPr>
          <w:p>
            <w:pPr>
              <w:spacing w:line="48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p>
        </w:tc>
        <w:tc>
          <w:tcPr>
            <w:tcW w:w="3876" w:type="dxa"/>
            <w:vAlign w:val="center"/>
          </w:tcPr>
          <w:p>
            <w:pPr>
              <w:spacing w:line="480" w:lineRule="exact"/>
              <w:jc w:val="center"/>
              <w:rPr>
                <w:rFonts w:hint="eastAsia" w:asciiTheme="majorEastAsia" w:hAnsiTheme="majorEastAsia" w:eastAsiaTheme="majorEastAsia" w:cstheme="majorEastAsia"/>
                <w:szCs w:val="21"/>
              </w:rPr>
            </w:pPr>
          </w:p>
        </w:tc>
        <w:tc>
          <w:tcPr>
            <w:tcW w:w="2551" w:type="dxa"/>
            <w:tcBorders>
              <w:left w:val="single" w:color="auto" w:sz="4" w:space="0"/>
              <w:right w:val="single" w:color="auto" w:sz="4" w:space="0"/>
            </w:tcBorders>
            <w:vAlign w:val="center"/>
          </w:tcPr>
          <w:p>
            <w:pPr>
              <w:spacing w:line="480" w:lineRule="exact"/>
              <w:jc w:val="center"/>
              <w:rPr>
                <w:rFonts w:hint="eastAsia" w:asciiTheme="majorEastAsia" w:hAnsiTheme="majorEastAsia" w:eastAsiaTheme="majorEastAsia" w:cstheme="majorEastAsia"/>
                <w:szCs w:val="21"/>
              </w:rPr>
            </w:pPr>
          </w:p>
        </w:tc>
        <w:tc>
          <w:tcPr>
            <w:tcW w:w="1435" w:type="dxa"/>
            <w:vAlign w:val="center"/>
          </w:tcPr>
          <w:p>
            <w:pPr>
              <w:spacing w:line="480" w:lineRule="exact"/>
              <w:jc w:val="center"/>
              <w:rPr>
                <w:rFonts w:hint="eastAsia" w:asciiTheme="majorEastAsia" w:hAnsiTheme="majorEastAsia" w:eastAsiaTheme="majorEastAsia" w:cstheme="majorEastAsia"/>
                <w:szCs w:val="21"/>
              </w:rPr>
            </w:pPr>
          </w:p>
        </w:tc>
      </w:tr>
    </w:tbl>
    <w:p>
      <w:pPr>
        <w:spacing w:line="48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注：后附项目合同复印件（原件备查）</w:t>
      </w:r>
    </w:p>
    <w:p>
      <w:pPr>
        <w:spacing w:line="480" w:lineRule="exact"/>
        <w:rPr>
          <w:rFonts w:hint="eastAsia" w:asciiTheme="majorEastAsia" w:hAnsiTheme="majorEastAsia" w:eastAsiaTheme="majorEastAsia" w:cstheme="majorEastAsia"/>
          <w:sz w:val="24"/>
          <w:szCs w:val="24"/>
        </w:rPr>
      </w:pPr>
    </w:p>
    <w:p>
      <w:pPr>
        <w:spacing w:line="480" w:lineRule="exact"/>
        <w:rPr>
          <w:rFonts w:hint="eastAsia" w:asciiTheme="majorEastAsia" w:hAnsiTheme="majorEastAsia" w:eastAsiaTheme="majorEastAsia" w:cstheme="majorEastAsia"/>
          <w:sz w:val="24"/>
          <w:szCs w:val="24"/>
        </w:rPr>
      </w:pPr>
    </w:p>
    <w:p>
      <w:pPr>
        <w:spacing w:line="480" w:lineRule="exact"/>
        <w:ind w:right="-161"/>
        <w:rPr>
          <w:rFonts w:hint="eastAsia" w:asciiTheme="majorEastAsia" w:hAnsiTheme="majorEastAsia" w:eastAsiaTheme="majorEastAsia" w:cstheme="majorEastAsia"/>
          <w:sz w:val="24"/>
          <w:szCs w:val="24"/>
        </w:rPr>
      </w:pPr>
      <w:bookmarkStart w:id="358" w:name="_Toc347478753"/>
      <w:bookmarkStart w:id="359" w:name="_Toc311415664"/>
      <w:bookmarkStart w:id="360" w:name="_Toc334522298"/>
      <w:bookmarkStart w:id="361" w:name="_Toc312789410"/>
      <w:bookmarkStart w:id="362" w:name="_Toc283240503"/>
      <w:r>
        <w:rPr>
          <w:rFonts w:hint="eastAsia" w:asciiTheme="majorEastAsia" w:hAnsiTheme="majorEastAsia" w:eastAsiaTheme="majorEastAsia" w:cstheme="majorEastAsia"/>
          <w:sz w:val="24"/>
          <w:szCs w:val="24"/>
        </w:rPr>
        <w:t>　　　　　　　　　　　　</w:t>
      </w:r>
    </w:p>
    <w:p>
      <w:pPr>
        <w:spacing w:line="480" w:lineRule="exact"/>
        <w:ind w:right="-161"/>
        <w:rPr>
          <w:rFonts w:hint="eastAsia" w:asciiTheme="majorEastAsia" w:hAnsiTheme="majorEastAsia" w:eastAsiaTheme="majorEastAsia" w:cstheme="majorEastAsia"/>
          <w:sz w:val="24"/>
          <w:szCs w:val="24"/>
        </w:rPr>
      </w:pPr>
    </w:p>
    <w:p>
      <w:pPr>
        <w:spacing w:line="480" w:lineRule="exact"/>
        <w:ind w:right="-16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法定代表人或被授权代表签字：</w:t>
      </w:r>
      <w:r>
        <w:rPr>
          <w:rFonts w:hint="eastAsia" w:asciiTheme="majorEastAsia" w:hAnsiTheme="majorEastAsia" w:eastAsiaTheme="majorEastAsia" w:cstheme="majorEastAsia"/>
          <w:sz w:val="24"/>
          <w:szCs w:val="24"/>
          <w:u w:val="single"/>
        </w:rPr>
        <w:t>　　　　　　　　　　</w:t>
      </w:r>
    </w:p>
    <w:p>
      <w:pPr>
        <w:spacing w:line="480" w:lineRule="exact"/>
        <w:ind w:right="-161" w:firstLine="2640" w:firstLineChars="1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标</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单</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位：</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（公章）    </w:t>
      </w:r>
    </w:p>
    <w:p>
      <w:pPr>
        <w:spacing w:line="480" w:lineRule="exact"/>
        <w:ind w:firstLine="2640" w:firstLineChars="11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日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期：</w:t>
      </w:r>
      <w:bookmarkEnd w:id="358"/>
      <w:bookmarkEnd w:id="359"/>
      <w:bookmarkEnd w:id="360"/>
      <w:bookmarkEnd w:id="361"/>
      <w:bookmarkEnd w:id="362"/>
      <w:bookmarkStart w:id="363" w:name="_Toc15821"/>
      <w:bookmarkStart w:id="364" w:name="_Toc311415665"/>
      <w:bookmarkStart w:id="365" w:name="_Toc347478754"/>
      <w:bookmarkStart w:id="366" w:name="_Toc312789411"/>
      <w:bookmarkStart w:id="367" w:name="_Toc283240504"/>
      <w:bookmarkStart w:id="368" w:name="_Toc334522299"/>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p>
    <w:p>
      <w:pPr>
        <w:spacing w:line="480" w:lineRule="exact"/>
        <w:ind w:firstLine="2640" w:firstLineChars="1100"/>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24"/>
          <w:u w:val="single"/>
        </w:rPr>
        <w:br w:type="page"/>
      </w:r>
    </w:p>
    <w:p>
      <w:pPr>
        <w:pStyle w:val="3"/>
        <w:rPr>
          <w:rFonts w:hint="eastAsia" w:asciiTheme="majorEastAsia" w:hAnsiTheme="majorEastAsia" w:eastAsiaTheme="majorEastAsia" w:cstheme="majorEastAsia"/>
          <w:b/>
          <w:bCs/>
        </w:rPr>
      </w:pPr>
      <w:bookmarkStart w:id="369" w:name="_Toc32648"/>
      <w:bookmarkStart w:id="370" w:name="_Toc4062"/>
      <w:bookmarkStart w:id="371" w:name="_Toc19315"/>
      <w:bookmarkStart w:id="372" w:name="_Toc3959"/>
      <w:r>
        <w:rPr>
          <w:rFonts w:hint="eastAsia" w:asciiTheme="majorEastAsia" w:hAnsiTheme="majorEastAsia" w:eastAsiaTheme="majorEastAsia" w:cstheme="majorEastAsia"/>
          <w:b/>
          <w:bCs/>
        </w:rPr>
        <w:t>六、法定代表人授权书</w:t>
      </w:r>
      <w:bookmarkEnd w:id="363"/>
      <w:bookmarkEnd w:id="364"/>
      <w:bookmarkEnd w:id="365"/>
      <w:bookmarkEnd w:id="366"/>
      <w:bookmarkEnd w:id="367"/>
      <w:bookmarkEnd w:id="368"/>
      <w:bookmarkEnd w:id="369"/>
      <w:bookmarkEnd w:id="370"/>
      <w:bookmarkEnd w:id="371"/>
      <w:bookmarkEnd w:id="372"/>
    </w:p>
    <w:p>
      <w:pPr>
        <w:tabs>
          <w:tab w:val="left" w:pos="8820"/>
        </w:tabs>
        <w:spacing w:line="480" w:lineRule="exact"/>
        <w:ind w:firstLine="573"/>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本授权委托书声明：我</w:t>
      </w:r>
      <w:r>
        <w:rPr>
          <w:rFonts w:hint="eastAsia" w:asciiTheme="majorEastAsia" w:hAnsiTheme="majorEastAsia" w:eastAsiaTheme="majorEastAsia" w:cstheme="majorEastAsia"/>
          <w:sz w:val="24"/>
          <w:szCs w:val="24"/>
          <w:u w:val="single"/>
        </w:rPr>
        <w:t>（法定代表人姓名）</w:t>
      </w:r>
      <w:r>
        <w:rPr>
          <w:rFonts w:hint="eastAsia" w:asciiTheme="majorEastAsia" w:hAnsiTheme="majorEastAsia" w:eastAsiaTheme="majorEastAsia" w:cstheme="majorEastAsia"/>
          <w:sz w:val="24"/>
          <w:szCs w:val="24"/>
        </w:rPr>
        <w:t>系注册于</w:t>
      </w:r>
      <w:r>
        <w:rPr>
          <w:rFonts w:hint="eastAsia" w:asciiTheme="majorEastAsia" w:hAnsiTheme="majorEastAsia" w:eastAsiaTheme="majorEastAsia" w:cstheme="majorEastAsia"/>
          <w:sz w:val="24"/>
          <w:szCs w:val="24"/>
          <w:u w:val="single"/>
        </w:rPr>
        <w:t xml:space="preserve">  （供应商地址）     </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u w:val="single"/>
        </w:rPr>
        <w:t xml:space="preserve">（供应商名称）  </w:t>
      </w:r>
      <w:r>
        <w:rPr>
          <w:rFonts w:hint="eastAsia" w:asciiTheme="majorEastAsia" w:hAnsiTheme="majorEastAsia" w:eastAsiaTheme="majorEastAsia" w:cstheme="majorEastAsia"/>
          <w:sz w:val="24"/>
          <w:szCs w:val="24"/>
        </w:rPr>
        <w:t>的法定代表人，现代表公司授权下面签字的</w:t>
      </w:r>
      <w:r>
        <w:rPr>
          <w:rFonts w:hint="eastAsia" w:asciiTheme="majorEastAsia" w:hAnsiTheme="majorEastAsia" w:eastAsiaTheme="majorEastAsia" w:cstheme="majorEastAsia"/>
          <w:sz w:val="24"/>
          <w:szCs w:val="24"/>
          <w:u w:val="single"/>
        </w:rPr>
        <w:t>（被授权人的姓名、职务）</w:t>
      </w:r>
      <w:r>
        <w:rPr>
          <w:rFonts w:hint="eastAsia" w:asciiTheme="majorEastAsia" w:hAnsiTheme="majorEastAsia" w:eastAsiaTheme="majorEastAsia" w:cstheme="majorEastAsia"/>
          <w:sz w:val="24"/>
          <w:szCs w:val="24"/>
        </w:rPr>
        <w:t>为我公司合法代理人，代表本公司参加</w:t>
      </w:r>
      <w:r>
        <w:rPr>
          <w:rFonts w:hint="eastAsia" w:asciiTheme="majorEastAsia" w:hAnsiTheme="majorEastAsia" w:eastAsiaTheme="majorEastAsia" w:cstheme="majorEastAsia"/>
          <w:sz w:val="24"/>
          <w:szCs w:val="24"/>
          <w:u w:val="single"/>
        </w:rPr>
        <w:t xml:space="preserve">（采购项目名称）            </w:t>
      </w:r>
      <w:r>
        <w:rPr>
          <w:rFonts w:hint="eastAsia" w:asciiTheme="majorEastAsia" w:hAnsiTheme="majorEastAsia" w:eastAsiaTheme="majorEastAsia" w:cstheme="majorEastAsia"/>
          <w:sz w:val="24"/>
          <w:szCs w:val="24"/>
        </w:rPr>
        <w:t>采购项目编号的投标活动。代理人在本次投标中所签署的一切文件和处理的一切有关事务，我公司均予承认。</w:t>
      </w:r>
    </w:p>
    <w:p>
      <w:pPr>
        <w:spacing w:line="480" w:lineRule="exact"/>
        <w:ind w:firstLine="57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本授权书于</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日签字或盖章生效，有效期</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天；特此声明。</w:t>
      </w:r>
    </w:p>
    <w:tbl>
      <w:tblPr>
        <w:tblStyle w:val="19"/>
        <w:tblpPr w:leftFromText="180" w:rightFromText="180" w:vertAnchor="text" w:horzAnchor="page" w:tblpX="1777" w:tblpY="513"/>
        <w:tblOverlap w:val="never"/>
        <w:tblW w:w="9003"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1"/>
        <w:gridCol w:w="450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9" w:hRule="atLeast"/>
        </w:trPr>
        <w:tc>
          <w:tcPr>
            <w:tcW w:w="4501" w:type="dxa"/>
          </w:tcPr>
          <w:p>
            <w:pPr>
              <w:spacing w:line="480" w:lineRule="exact"/>
              <w:rPr>
                <w:rFonts w:hint="eastAsia" w:asciiTheme="majorEastAsia" w:hAnsiTheme="majorEastAsia" w:eastAsiaTheme="majorEastAsia" w:cstheme="majorEastAsia"/>
                <w:sz w:val="24"/>
                <w:szCs w:val="24"/>
              </w:rPr>
            </w:pP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法定代表人身份证复印件</w:t>
            </w: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（正面）</w:t>
            </w:r>
          </w:p>
          <w:p>
            <w:pPr>
              <w:spacing w:line="480" w:lineRule="exact"/>
              <w:jc w:val="center"/>
              <w:rPr>
                <w:rFonts w:hint="eastAsia" w:asciiTheme="majorEastAsia" w:hAnsiTheme="majorEastAsia" w:eastAsiaTheme="majorEastAsia" w:cstheme="majorEastAsia"/>
                <w:sz w:val="24"/>
                <w:szCs w:val="24"/>
              </w:rPr>
            </w:pPr>
          </w:p>
          <w:p>
            <w:pPr>
              <w:spacing w:line="480" w:lineRule="exact"/>
              <w:rPr>
                <w:rFonts w:hint="eastAsia" w:asciiTheme="majorEastAsia" w:hAnsiTheme="majorEastAsia" w:eastAsiaTheme="majorEastAsia" w:cstheme="majorEastAsia"/>
                <w:sz w:val="24"/>
                <w:szCs w:val="24"/>
              </w:rPr>
            </w:pPr>
          </w:p>
        </w:tc>
        <w:tc>
          <w:tcPr>
            <w:tcW w:w="4502" w:type="dxa"/>
          </w:tcPr>
          <w:p>
            <w:pPr>
              <w:spacing w:line="480" w:lineRule="exact"/>
              <w:rPr>
                <w:rFonts w:hint="eastAsia" w:asciiTheme="majorEastAsia" w:hAnsiTheme="majorEastAsia" w:eastAsiaTheme="majorEastAsia" w:cstheme="majorEastAsia"/>
                <w:sz w:val="24"/>
                <w:szCs w:val="24"/>
              </w:rPr>
            </w:pP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授权代表身份证复印件</w:t>
            </w: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（正面）</w:t>
            </w:r>
          </w:p>
          <w:p>
            <w:pPr>
              <w:spacing w:line="480" w:lineRule="exact"/>
              <w:jc w:val="center"/>
              <w:rPr>
                <w:rFonts w:hint="eastAsia" w:asciiTheme="majorEastAsia" w:hAnsiTheme="majorEastAsia" w:eastAsiaTheme="majorEastAsia" w:cstheme="majorEastAsia"/>
                <w:sz w:val="24"/>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400" w:hRule="atLeast"/>
        </w:trPr>
        <w:tc>
          <w:tcPr>
            <w:tcW w:w="4501" w:type="dxa"/>
          </w:tcPr>
          <w:p>
            <w:pPr>
              <w:spacing w:line="480" w:lineRule="exact"/>
              <w:jc w:val="center"/>
              <w:rPr>
                <w:rFonts w:hint="eastAsia" w:asciiTheme="majorEastAsia" w:hAnsiTheme="majorEastAsia" w:eastAsiaTheme="majorEastAsia" w:cstheme="majorEastAsia"/>
                <w:sz w:val="24"/>
                <w:szCs w:val="24"/>
              </w:rPr>
            </w:pP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法定代表人身份证复印件</w:t>
            </w: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（反面）</w:t>
            </w:r>
          </w:p>
          <w:p>
            <w:pPr>
              <w:spacing w:line="480" w:lineRule="exact"/>
              <w:rPr>
                <w:rFonts w:hint="eastAsia" w:asciiTheme="majorEastAsia" w:hAnsiTheme="majorEastAsia" w:eastAsiaTheme="majorEastAsia" w:cstheme="majorEastAsia"/>
                <w:sz w:val="24"/>
                <w:szCs w:val="24"/>
              </w:rPr>
            </w:pPr>
          </w:p>
        </w:tc>
        <w:tc>
          <w:tcPr>
            <w:tcW w:w="4502" w:type="dxa"/>
          </w:tcPr>
          <w:p>
            <w:pPr>
              <w:spacing w:line="480" w:lineRule="exact"/>
              <w:jc w:val="center"/>
              <w:rPr>
                <w:rFonts w:hint="eastAsia" w:asciiTheme="majorEastAsia" w:hAnsiTheme="majorEastAsia" w:eastAsiaTheme="majorEastAsia" w:cstheme="majorEastAsia"/>
                <w:sz w:val="24"/>
                <w:szCs w:val="24"/>
              </w:rPr>
            </w:pP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授权代表身份证复印件</w:t>
            </w: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（反面）</w:t>
            </w:r>
          </w:p>
          <w:p>
            <w:pPr>
              <w:spacing w:line="480" w:lineRule="exact"/>
              <w:jc w:val="center"/>
              <w:rPr>
                <w:rFonts w:hint="eastAsia" w:asciiTheme="majorEastAsia" w:hAnsiTheme="majorEastAsia" w:eastAsiaTheme="majorEastAsia" w:cstheme="majorEastAsia"/>
                <w:sz w:val="24"/>
                <w:szCs w:val="24"/>
              </w:rPr>
            </w:pPr>
          </w:p>
          <w:p>
            <w:pPr>
              <w:spacing w:line="480" w:lineRule="exact"/>
              <w:rPr>
                <w:rFonts w:hint="eastAsia" w:asciiTheme="majorEastAsia" w:hAnsiTheme="majorEastAsia" w:eastAsiaTheme="majorEastAsia" w:cstheme="majorEastAsia"/>
                <w:sz w:val="24"/>
                <w:szCs w:val="24"/>
              </w:rPr>
            </w:pPr>
          </w:p>
        </w:tc>
      </w:tr>
    </w:tbl>
    <w:p>
      <w:pPr>
        <w:spacing w:line="480" w:lineRule="exact"/>
        <w:rPr>
          <w:rFonts w:hint="eastAsia" w:asciiTheme="majorEastAsia" w:hAnsiTheme="majorEastAsia" w:eastAsiaTheme="majorEastAsia" w:cstheme="majorEastAsia"/>
          <w:bCs/>
          <w:sz w:val="24"/>
          <w:szCs w:val="24"/>
          <w:u w:val="single"/>
        </w:rPr>
      </w:pPr>
      <w:r>
        <w:rPr>
          <w:rFonts w:hint="eastAsia" w:asciiTheme="majorEastAsia" w:hAnsiTheme="majorEastAsia" w:eastAsiaTheme="majorEastAsia" w:cstheme="majorEastAsia"/>
          <w:bCs/>
          <w:sz w:val="24"/>
          <w:szCs w:val="24"/>
        </w:rPr>
        <w:t>（注：本授权书有效期应与投标文件有效期一致）</w:t>
      </w:r>
    </w:p>
    <w:p>
      <w:pPr>
        <w:spacing w:line="480" w:lineRule="exact"/>
        <w:rPr>
          <w:rFonts w:hint="eastAsia" w:asciiTheme="majorEastAsia" w:hAnsiTheme="majorEastAsia" w:eastAsiaTheme="majorEastAsia" w:cstheme="majorEastAsia"/>
          <w:sz w:val="24"/>
          <w:szCs w:val="24"/>
        </w:rPr>
      </w:pP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供应商：（公章）</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法定代表人：（签字）</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被授权人：（签字或盖章）</w:t>
      </w:r>
      <w:bookmarkStart w:id="373" w:name="_Toc334273802"/>
      <w:bookmarkStart w:id="374" w:name="_Toc347478755"/>
    </w:p>
    <w:p>
      <w:pPr>
        <w:pStyle w:val="3"/>
        <w:rPr>
          <w:rFonts w:hint="eastAsia" w:asciiTheme="majorEastAsia" w:hAnsiTheme="majorEastAsia" w:eastAsiaTheme="majorEastAsia" w:cstheme="majorEastAsia"/>
        </w:rPr>
      </w:pPr>
      <w:bookmarkStart w:id="375" w:name="_Toc16559"/>
      <w:bookmarkStart w:id="376" w:name="_Toc11858"/>
      <w:bookmarkStart w:id="377" w:name="_Toc12309"/>
      <w:bookmarkStart w:id="378" w:name="_Toc29859"/>
      <w:bookmarkStart w:id="379" w:name="_Toc428801337"/>
      <w:bookmarkStart w:id="380" w:name="_Toc23008"/>
      <w:r>
        <w:rPr>
          <w:rFonts w:hint="eastAsia" w:asciiTheme="majorEastAsia" w:hAnsiTheme="majorEastAsia" w:eastAsiaTheme="majorEastAsia" w:cstheme="majorEastAsia"/>
          <w:b/>
          <w:bCs/>
        </w:rPr>
        <w:t>七、法定代表人身份证明</w:t>
      </w:r>
      <w:bookmarkEnd w:id="375"/>
      <w:bookmarkEnd w:id="376"/>
      <w:bookmarkEnd w:id="377"/>
      <w:bookmarkEnd w:id="378"/>
      <w:bookmarkEnd w:id="379"/>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w:t>
      </w:r>
      <w:r>
        <w:rPr>
          <w:rFonts w:hint="eastAsia" w:asciiTheme="majorEastAsia" w:hAnsiTheme="majorEastAsia" w:eastAsiaTheme="majorEastAsia" w:cstheme="majorEastAsia"/>
          <w:sz w:val="24"/>
          <w:szCs w:val="24"/>
          <w:u w:val="single"/>
        </w:rPr>
        <w:t>　　　　　　　　　</w:t>
      </w:r>
    </w:p>
    <w:p>
      <w:pPr>
        <w:spacing w:line="480" w:lineRule="exact"/>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单位性质：</w:t>
      </w:r>
      <w:r>
        <w:rPr>
          <w:rFonts w:hint="eastAsia" w:asciiTheme="majorEastAsia" w:hAnsiTheme="majorEastAsia" w:eastAsiaTheme="majorEastAsia" w:cstheme="majorEastAsia"/>
          <w:sz w:val="24"/>
          <w:szCs w:val="24"/>
          <w:u w:val="single"/>
        </w:rPr>
        <w:t>　　　　　　　　</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    址：</w:t>
      </w:r>
      <w:r>
        <w:rPr>
          <w:rFonts w:hint="eastAsia" w:asciiTheme="majorEastAsia" w:hAnsiTheme="majorEastAsia" w:eastAsiaTheme="majorEastAsia" w:cstheme="majorEastAsia"/>
          <w:sz w:val="24"/>
          <w:szCs w:val="24"/>
          <w:u w:val="single"/>
        </w:rPr>
        <w:t>　　　　　　　　</w:t>
      </w:r>
    </w:p>
    <w:p>
      <w:pPr>
        <w:spacing w:line="480" w:lineRule="exact"/>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成立时间：</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年</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月</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日</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经营期限：</w:t>
      </w:r>
      <w:r>
        <w:rPr>
          <w:rFonts w:hint="eastAsia" w:asciiTheme="majorEastAsia" w:hAnsiTheme="majorEastAsia" w:eastAsiaTheme="majorEastAsia" w:cstheme="majorEastAsia"/>
          <w:sz w:val="24"/>
          <w:szCs w:val="24"/>
          <w:u w:val="single"/>
        </w:rPr>
        <w:t>　　　　　　　　</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姓    名：</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性    别：</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龄：</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职    务：</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w:t>
      </w:r>
      <w:r>
        <w:rPr>
          <w:rFonts w:hint="eastAsia" w:asciiTheme="majorEastAsia" w:hAnsiTheme="majorEastAsia" w:eastAsiaTheme="majorEastAsia" w:cstheme="majorEastAsia"/>
          <w:sz w:val="24"/>
          <w:szCs w:val="24"/>
          <w:u w:val="single"/>
        </w:rPr>
        <w:t>（供应商名称）</w:t>
      </w:r>
      <w:r>
        <w:rPr>
          <w:rFonts w:hint="eastAsia" w:asciiTheme="majorEastAsia" w:hAnsiTheme="majorEastAsia" w:eastAsiaTheme="majorEastAsia" w:cstheme="majorEastAsia"/>
          <w:sz w:val="24"/>
          <w:szCs w:val="24"/>
        </w:rPr>
        <w:t>的法定代表人。</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特此证明。</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附：法定代表人身份证复印件</w:t>
      </w:r>
    </w:p>
    <w:tbl>
      <w:tblPr>
        <w:tblStyle w:val="19"/>
        <w:tblpPr w:leftFromText="180" w:rightFromText="180" w:vertAnchor="text" w:horzAnchor="page" w:tblpX="1777" w:tblpY="513"/>
        <w:tblOverlap w:val="never"/>
        <w:tblW w:w="9003"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1"/>
        <w:gridCol w:w="450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290" w:hRule="atLeast"/>
        </w:trPr>
        <w:tc>
          <w:tcPr>
            <w:tcW w:w="4501" w:type="dxa"/>
          </w:tcPr>
          <w:p>
            <w:pPr>
              <w:spacing w:line="480" w:lineRule="exact"/>
              <w:jc w:val="center"/>
              <w:rPr>
                <w:rFonts w:hint="eastAsia" w:asciiTheme="majorEastAsia" w:hAnsiTheme="majorEastAsia" w:eastAsiaTheme="majorEastAsia" w:cstheme="majorEastAsia"/>
                <w:sz w:val="24"/>
                <w:szCs w:val="24"/>
              </w:rPr>
            </w:pPr>
          </w:p>
          <w:p>
            <w:pPr>
              <w:spacing w:line="480" w:lineRule="exact"/>
              <w:jc w:val="center"/>
              <w:rPr>
                <w:rFonts w:hint="eastAsia" w:asciiTheme="majorEastAsia" w:hAnsiTheme="majorEastAsia" w:eastAsiaTheme="majorEastAsia" w:cstheme="majorEastAsia"/>
                <w:sz w:val="24"/>
                <w:szCs w:val="24"/>
              </w:rPr>
            </w:pP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法定代表人身份证复印件</w:t>
            </w: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（正面）</w:t>
            </w:r>
          </w:p>
          <w:p>
            <w:pPr>
              <w:spacing w:line="480" w:lineRule="exact"/>
              <w:rPr>
                <w:rFonts w:hint="eastAsia" w:asciiTheme="majorEastAsia" w:hAnsiTheme="majorEastAsia" w:eastAsiaTheme="majorEastAsia" w:cstheme="majorEastAsia"/>
                <w:sz w:val="24"/>
                <w:szCs w:val="24"/>
              </w:rPr>
            </w:pPr>
          </w:p>
        </w:tc>
        <w:tc>
          <w:tcPr>
            <w:tcW w:w="4502" w:type="dxa"/>
          </w:tcPr>
          <w:p>
            <w:pPr>
              <w:spacing w:line="480" w:lineRule="exact"/>
              <w:jc w:val="center"/>
              <w:rPr>
                <w:rFonts w:hint="eastAsia" w:asciiTheme="majorEastAsia" w:hAnsiTheme="majorEastAsia" w:eastAsiaTheme="majorEastAsia" w:cstheme="majorEastAsia"/>
                <w:sz w:val="24"/>
                <w:szCs w:val="24"/>
              </w:rPr>
            </w:pPr>
          </w:p>
          <w:p>
            <w:pPr>
              <w:spacing w:line="480" w:lineRule="exact"/>
              <w:jc w:val="center"/>
              <w:rPr>
                <w:rFonts w:hint="eastAsia" w:asciiTheme="majorEastAsia" w:hAnsiTheme="majorEastAsia" w:eastAsiaTheme="majorEastAsia" w:cstheme="majorEastAsia"/>
                <w:sz w:val="24"/>
                <w:szCs w:val="24"/>
              </w:rPr>
            </w:pP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法定代表人身份证复印件</w:t>
            </w: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（反面）</w:t>
            </w:r>
          </w:p>
          <w:p>
            <w:pPr>
              <w:spacing w:line="480" w:lineRule="exact"/>
              <w:jc w:val="center"/>
              <w:rPr>
                <w:rFonts w:hint="eastAsia" w:asciiTheme="majorEastAsia" w:hAnsiTheme="majorEastAsia" w:eastAsiaTheme="majorEastAsia" w:cstheme="majorEastAsia"/>
                <w:sz w:val="24"/>
                <w:szCs w:val="24"/>
              </w:rPr>
            </w:pPr>
          </w:p>
          <w:p>
            <w:pPr>
              <w:spacing w:line="480" w:lineRule="exact"/>
              <w:rPr>
                <w:rFonts w:hint="eastAsia" w:asciiTheme="majorEastAsia" w:hAnsiTheme="majorEastAsia" w:eastAsiaTheme="majorEastAsia" w:cstheme="majorEastAsia"/>
                <w:sz w:val="24"/>
                <w:szCs w:val="24"/>
              </w:rPr>
            </w:pPr>
          </w:p>
        </w:tc>
      </w:tr>
    </w:tbl>
    <w:p>
      <w:pPr>
        <w:spacing w:line="480" w:lineRule="exact"/>
        <w:rPr>
          <w:rFonts w:hint="eastAsia" w:asciiTheme="majorEastAsia" w:hAnsiTheme="majorEastAsia" w:eastAsiaTheme="majorEastAsia" w:cstheme="majorEastAsia"/>
          <w:sz w:val="24"/>
          <w:szCs w:val="24"/>
        </w:rPr>
      </w:pPr>
    </w:p>
    <w:p>
      <w:pPr>
        <w:spacing w:line="480" w:lineRule="exact"/>
        <w:rPr>
          <w:rFonts w:hint="eastAsia" w:asciiTheme="majorEastAsia" w:hAnsiTheme="majorEastAsia" w:eastAsiaTheme="majorEastAsia" w:cstheme="majorEastAsia"/>
          <w:sz w:val="24"/>
          <w:szCs w:val="24"/>
        </w:rPr>
      </w:pPr>
    </w:p>
    <w:p>
      <w:pPr>
        <w:spacing w:line="48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供应商：（公章）</w:t>
      </w:r>
    </w:p>
    <w:p>
      <w:pPr>
        <w:spacing w:line="4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法定代表人：（签字或盖章）</w:t>
      </w:r>
    </w:p>
    <w:p>
      <w:pPr>
        <w:spacing w:line="480" w:lineRule="exact"/>
        <w:ind w:firstLine="3120" w:firstLineChars="1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日</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期：</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日      </w:t>
      </w:r>
    </w:p>
    <w:p>
      <w:pPr>
        <w:spacing w:line="480" w:lineRule="exact"/>
        <w:rPr>
          <w:rFonts w:hint="eastAsia" w:asciiTheme="majorEastAsia" w:hAnsiTheme="majorEastAsia" w:eastAsiaTheme="majorEastAsia" w:cstheme="majorEastAsia"/>
        </w:rPr>
      </w:pPr>
    </w:p>
    <w:p>
      <w:pPr>
        <w:spacing w:line="480" w:lineRule="exact"/>
        <w:rPr>
          <w:rFonts w:hint="eastAsia" w:asciiTheme="majorEastAsia" w:hAnsiTheme="majorEastAsia" w:eastAsiaTheme="majorEastAsia" w:cstheme="majorEastAsia"/>
          <w:sz w:val="32"/>
        </w:rPr>
      </w:pPr>
      <w:r>
        <w:rPr>
          <w:rFonts w:hint="eastAsia" w:asciiTheme="majorEastAsia" w:hAnsiTheme="majorEastAsia" w:eastAsiaTheme="majorEastAsia" w:cstheme="majorEastAsia"/>
        </w:rPr>
        <w:br w:type="page"/>
      </w:r>
    </w:p>
    <w:bookmarkEnd w:id="373"/>
    <w:bookmarkEnd w:id="374"/>
    <w:bookmarkEnd w:id="380"/>
    <w:p>
      <w:pPr>
        <w:pStyle w:val="3"/>
        <w:rPr>
          <w:rFonts w:hint="eastAsia" w:asciiTheme="majorEastAsia" w:hAnsiTheme="majorEastAsia" w:eastAsiaTheme="majorEastAsia" w:cstheme="majorEastAsia"/>
          <w:b/>
          <w:bCs/>
        </w:rPr>
      </w:pPr>
      <w:bookmarkStart w:id="381" w:name="_Toc10700"/>
      <w:bookmarkStart w:id="382" w:name="_Toc892"/>
      <w:bookmarkStart w:id="383" w:name="_Toc15975"/>
      <w:bookmarkStart w:id="384" w:name="_Toc1059"/>
      <w:bookmarkStart w:id="385" w:name="_Toc283240507"/>
      <w:bookmarkStart w:id="386" w:name="_Toc14435"/>
      <w:bookmarkStart w:id="387" w:name="_Toc347478756"/>
      <w:bookmarkStart w:id="388" w:name="_Toc312789414"/>
      <w:bookmarkStart w:id="389" w:name="_Toc311415668"/>
      <w:bookmarkStart w:id="390" w:name="_Toc334522302"/>
      <w:r>
        <w:rPr>
          <w:rFonts w:hint="eastAsia" w:asciiTheme="majorEastAsia" w:hAnsiTheme="majorEastAsia" w:eastAsiaTheme="majorEastAsia" w:cstheme="majorEastAsia"/>
          <w:b/>
          <w:bCs/>
          <w:lang w:eastAsia="zh-CN"/>
        </w:rPr>
        <w:t>八</w:t>
      </w:r>
      <w:r>
        <w:rPr>
          <w:rFonts w:hint="eastAsia" w:asciiTheme="majorEastAsia" w:hAnsiTheme="majorEastAsia" w:eastAsiaTheme="majorEastAsia" w:cstheme="majorEastAsia"/>
          <w:b/>
          <w:bCs/>
        </w:rPr>
        <w:t>、技术方案</w:t>
      </w:r>
      <w:bookmarkEnd w:id="381"/>
      <w:bookmarkEnd w:id="382"/>
      <w:bookmarkEnd w:id="383"/>
      <w:bookmarkEnd w:id="384"/>
    </w:p>
    <w:p>
      <w:pPr>
        <w:spacing w:line="48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1.供货组织方案、送货详细方案及时间控制措施、特殊事宜的处理等；</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有机</w:t>
      </w:r>
      <w:r>
        <w:rPr>
          <w:rFonts w:hint="eastAsia" w:asciiTheme="majorEastAsia" w:hAnsiTheme="majorEastAsia" w:eastAsiaTheme="majorEastAsia" w:cstheme="majorEastAsia"/>
          <w:sz w:val="24"/>
          <w:szCs w:val="24"/>
        </w:rPr>
        <w:t>肥的检测、验收方案科学合理，安全保证措施及应用技术支持；　　　　　</w:t>
      </w:r>
    </w:p>
    <w:p>
      <w:pPr>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有机</w:t>
      </w:r>
      <w:r>
        <w:rPr>
          <w:rFonts w:hint="eastAsia" w:asciiTheme="majorEastAsia" w:hAnsiTheme="majorEastAsia" w:eastAsiaTheme="majorEastAsia" w:cstheme="majorEastAsia"/>
          <w:sz w:val="24"/>
          <w:szCs w:val="24"/>
        </w:rPr>
        <w:t>肥包装、运输等主要技术保障措施；</w:t>
      </w:r>
    </w:p>
    <w:p>
      <w:pPr>
        <w:pStyle w:val="11"/>
        <w:spacing w:line="48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4.供货期保证；</w:t>
      </w:r>
    </w:p>
    <w:p>
      <w:pPr>
        <w:pStyle w:val="11"/>
        <w:spacing w:line="480" w:lineRule="exact"/>
        <w:ind w:firstLine="48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 w:val="24"/>
          <w:szCs w:val="24"/>
        </w:rPr>
        <w:t>5.质量保证；</w:t>
      </w:r>
    </w:p>
    <w:p>
      <w:pPr>
        <w:spacing w:line="52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w:t>
      </w:r>
    </w:p>
    <w:p>
      <w:pPr>
        <w:spacing w:line="520" w:lineRule="exact"/>
        <w:ind w:firstLine="48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 w:val="24"/>
          <w:szCs w:val="24"/>
        </w:rPr>
        <w:t>注：供应商根据项目情况和自身情况填写，格式自拟。</w:t>
      </w:r>
    </w:p>
    <w:p>
      <w:pPr>
        <w:spacing w:line="520" w:lineRule="exac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w:t>
      </w:r>
    </w:p>
    <w:p>
      <w:pPr>
        <w:spacing w:line="520" w:lineRule="exact"/>
        <w:jc w:val="center"/>
        <w:rPr>
          <w:rFonts w:hint="eastAsia" w:asciiTheme="majorEastAsia" w:hAnsiTheme="majorEastAsia" w:eastAsiaTheme="majorEastAsia" w:cstheme="majorEastAsia"/>
        </w:rPr>
      </w:pPr>
    </w:p>
    <w:p>
      <w:pPr>
        <w:spacing w:line="520" w:lineRule="exact"/>
        <w:jc w:val="center"/>
        <w:rPr>
          <w:rFonts w:hint="eastAsia" w:asciiTheme="majorEastAsia" w:hAnsiTheme="majorEastAsia" w:eastAsiaTheme="majorEastAsia" w:cstheme="majorEastAsia"/>
        </w:rPr>
      </w:pPr>
    </w:p>
    <w:p>
      <w:pPr>
        <w:spacing w:line="520" w:lineRule="exact"/>
        <w:jc w:val="center"/>
        <w:rPr>
          <w:rFonts w:hint="eastAsia" w:asciiTheme="majorEastAsia" w:hAnsiTheme="majorEastAsia" w:eastAsiaTheme="majorEastAsia" w:cstheme="majorEastAsia"/>
        </w:rPr>
      </w:pPr>
    </w:p>
    <w:p>
      <w:pPr>
        <w:spacing w:line="520" w:lineRule="exact"/>
        <w:jc w:val="center"/>
        <w:rPr>
          <w:rFonts w:hint="eastAsia" w:asciiTheme="majorEastAsia" w:hAnsiTheme="majorEastAsia" w:eastAsiaTheme="majorEastAsia" w:cstheme="majorEastAsia"/>
        </w:rPr>
      </w:pPr>
    </w:p>
    <w:p>
      <w:pPr>
        <w:spacing w:line="520" w:lineRule="exact"/>
        <w:jc w:val="center"/>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b/>
          <w:sz w:val="32"/>
          <w:szCs w:val="32"/>
        </w:rPr>
      </w:pPr>
    </w:p>
    <w:p>
      <w:pPr>
        <w:spacing w:line="520" w:lineRule="exac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p>
    <w:p>
      <w:pPr>
        <w:pStyle w:val="3"/>
        <w:rPr>
          <w:rFonts w:hint="eastAsia" w:asciiTheme="majorEastAsia" w:hAnsiTheme="majorEastAsia" w:eastAsiaTheme="majorEastAsia" w:cstheme="majorEastAsia"/>
          <w:b/>
          <w:bCs/>
        </w:rPr>
      </w:pPr>
      <w:bookmarkStart w:id="391" w:name="_Toc9985"/>
      <w:bookmarkStart w:id="392" w:name="_Toc23834"/>
      <w:bookmarkStart w:id="393" w:name="_Toc21575"/>
      <w:bookmarkStart w:id="394" w:name="_Toc8913"/>
      <w:r>
        <w:rPr>
          <w:rFonts w:hint="eastAsia" w:asciiTheme="majorEastAsia" w:hAnsiTheme="majorEastAsia" w:eastAsiaTheme="majorEastAsia" w:cstheme="majorEastAsia"/>
          <w:b/>
          <w:bCs/>
          <w:lang w:eastAsia="zh-CN"/>
        </w:rPr>
        <w:t>九</w:t>
      </w:r>
      <w:r>
        <w:rPr>
          <w:rFonts w:hint="eastAsia" w:asciiTheme="majorEastAsia" w:hAnsiTheme="majorEastAsia" w:eastAsiaTheme="majorEastAsia" w:cstheme="majorEastAsia"/>
          <w:b/>
          <w:bCs/>
        </w:rPr>
        <w:t>、售后服务</w:t>
      </w:r>
      <w:bookmarkEnd w:id="385"/>
      <w:bookmarkEnd w:id="386"/>
      <w:bookmarkEnd w:id="387"/>
      <w:bookmarkEnd w:id="388"/>
      <w:bookmarkEnd w:id="389"/>
      <w:bookmarkEnd w:id="390"/>
      <w:bookmarkEnd w:id="391"/>
      <w:bookmarkEnd w:id="392"/>
      <w:bookmarkEnd w:id="393"/>
      <w:bookmarkEnd w:id="394"/>
    </w:p>
    <w:p>
      <w:pPr>
        <w:spacing w:line="52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提供的售后服务承诺方案、服务人员的配备、响应时间、响应程度、解决问题的能力、紧急故障处理预案等。</w:t>
      </w:r>
    </w:p>
    <w:p>
      <w:pPr>
        <w:spacing w:line="520" w:lineRule="exact"/>
        <w:ind w:firstLine="480" w:firstLineChars="200"/>
        <w:rPr>
          <w:rFonts w:hint="eastAsia" w:asciiTheme="majorEastAsia" w:hAnsiTheme="majorEastAsia" w:eastAsiaTheme="majorEastAsia" w:cstheme="majorEastAsia"/>
          <w:sz w:val="24"/>
          <w:szCs w:val="24"/>
        </w:rPr>
      </w:pPr>
    </w:p>
    <w:p>
      <w:pPr>
        <w:spacing w:line="52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注：供应商根据项目情况和自身情况填写，格式自拟。</w:t>
      </w:r>
    </w:p>
    <w:p>
      <w:pPr>
        <w:spacing w:line="520" w:lineRule="exact"/>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rPr>
      </w:pPr>
    </w:p>
    <w:p>
      <w:pPr>
        <w:spacing w:line="520" w:lineRule="exact"/>
        <w:rPr>
          <w:rFonts w:hint="eastAsia" w:asciiTheme="majorEastAsia" w:hAnsiTheme="majorEastAsia" w:eastAsiaTheme="majorEastAsia" w:cstheme="majorEastAsia"/>
        </w:rPr>
      </w:pPr>
    </w:p>
    <w:p>
      <w:pPr>
        <w:spacing w:line="520" w:lineRule="exact"/>
        <w:ind w:right="630"/>
        <w:rPr>
          <w:rFonts w:hint="eastAsia" w:asciiTheme="majorEastAsia" w:hAnsiTheme="majorEastAsia" w:eastAsiaTheme="majorEastAsia" w:cstheme="majorEastAsia"/>
          <w:sz w:val="24"/>
          <w:szCs w:val="24"/>
        </w:rPr>
      </w:pPr>
    </w:p>
    <w:p>
      <w:pPr>
        <w:spacing w:line="520" w:lineRule="exact"/>
        <w:ind w:right="630"/>
        <w:rPr>
          <w:rFonts w:hint="eastAsia" w:asciiTheme="majorEastAsia" w:hAnsiTheme="majorEastAsia" w:eastAsiaTheme="majorEastAsia" w:cstheme="majorEastAsia"/>
          <w:sz w:val="24"/>
          <w:szCs w:val="24"/>
        </w:rPr>
      </w:pPr>
    </w:p>
    <w:p>
      <w:pPr>
        <w:spacing w:line="520" w:lineRule="exact"/>
        <w:ind w:right="630"/>
        <w:rPr>
          <w:rFonts w:hint="eastAsia" w:asciiTheme="majorEastAsia" w:hAnsiTheme="majorEastAsia" w:eastAsiaTheme="majorEastAsia" w:cstheme="majorEastAsia"/>
          <w:sz w:val="24"/>
          <w:szCs w:val="24"/>
        </w:rPr>
      </w:pPr>
    </w:p>
    <w:p>
      <w:pPr>
        <w:spacing w:line="520" w:lineRule="exact"/>
        <w:ind w:right="630"/>
        <w:rPr>
          <w:rFonts w:hint="eastAsia" w:asciiTheme="majorEastAsia" w:hAnsiTheme="majorEastAsia" w:eastAsiaTheme="majorEastAsia" w:cstheme="majorEastAsia"/>
          <w:sz w:val="24"/>
          <w:szCs w:val="24"/>
        </w:rPr>
      </w:pPr>
    </w:p>
    <w:p>
      <w:pPr>
        <w:spacing w:line="480" w:lineRule="exact"/>
        <w:ind w:right="-161" w:firstLine="3662" w:firstLineChars="1526"/>
        <w:rPr>
          <w:rFonts w:hint="eastAsia" w:asciiTheme="majorEastAsia" w:hAnsiTheme="majorEastAsia" w:eastAsiaTheme="majorEastAsia" w:cstheme="majorEastAsia"/>
          <w:sz w:val="24"/>
          <w:szCs w:val="24"/>
        </w:rPr>
      </w:pPr>
    </w:p>
    <w:p>
      <w:pPr>
        <w:spacing w:line="480" w:lineRule="exact"/>
        <w:ind w:right="-16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法定代表人（被授权人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签字</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p>
    <w:p>
      <w:pPr>
        <w:spacing w:line="480" w:lineRule="exact"/>
        <w:ind w:right="-161" w:firstLine="3120" w:firstLineChars="1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标</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单</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位</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公</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章：</w:t>
      </w:r>
      <w:r>
        <w:rPr>
          <w:rFonts w:hint="eastAsia" w:asciiTheme="majorEastAsia" w:hAnsiTheme="majorEastAsia" w:eastAsiaTheme="majorEastAsia" w:cstheme="majorEastAsia"/>
          <w:sz w:val="24"/>
          <w:szCs w:val="24"/>
          <w:u w:val="single"/>
        </w:rPr>
        <w:t>　　　　　　　</w:t>
      </w:r>
    </w:p>
    <w:p>
      <w:pPr>
        <w:pStyle w:val="8"/>
        <w:spacing w:after="0" w:line="480" w:lineRule="exact"/>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日</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期：</w:t>
      </w:r>
      <w:r>
        <w:rPr>
          <w:rFonts w:hint="eastAsia" w:asciiTheme="majorEastAsia" w:hAnsiTheme="majorEastAsia" w:eastAsiaTheme="majorEastAsia" w:cstheme="majorEastAsia"/>
          <w:sz w:val="24"/>
          <w:szCs w:val="24"/>
          <w:u w:val="single"/>
        </w:rPr>
        <w:t>　　　　　　　</w:t>
      </w:r>
    </w:p>
    <w:p>
      <w:pPr>
        <w:keepNext/>
        <w:keepLines/>
        <w:adjustRightInd w:val="0"/>
        <w:spacing w:line="520" w:lineRule="exact"/>
        <w:jc w:val="center"/>
        <w:textAlignment w:val="baseline"/>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br w:type="page"/>
      </w:r>
    </w:p>
    <w:p>
      <w:pPr>
        <w:pStyle w:val="3"/>
        <w:rPr>
          <w:rFonts w:hint="eastAsia" w:asciiTheme="majorEastAsia" w:hAnsiTheme="majorEastAsia" w:eastAsiaTheme="majorEastAsia" w:cstheme="majorEastAsia"/>
          <w:b/>
          <w:bCs/>
        </w:rPr>
        <w:sectPr>
          <w:pgSz w:w="11906" w:h="16838"/>
          <w:pgMar w:top="1440" w:right="1797" w:bottom="1440" w:left="1797" w:header="720" w:footer="720" w:gutter="0"/>
          <w:pgNumType w:fmt="decimal"/>
          <w:cols w:space="720" w:num="1"/>
          <w:docGrid w:linePitch="286" w:charSpace="0"/>
        </w:sectPr>
      </w:pPr>
      <w:bookmarkStart w:id="395" w:name="_Toc10926"/>
      <w:bookmarkStart w:id="396" w:name="_Toc1891"/>
      <w:bookmarkStart w:id="397" w:name="_Toc8318"/>
      <w:bookmarkStart w:id="398" w:name="_Toc2964"/>
      <w:r>
        <w:rPr>
          <w:rFonts w:hint="eastAsia" w:asciiTheme="majorEastAsia" w:hAnsiTheme="majorEastAsia" w:eastAsiaTheme="majorEastAsia" w:cstheme="majorEastAsia"/>
          <w:b/>
          <w:bCs/>
        </w:rPr>
        <w:t>十、</w:t>
      </w:r>
      <w:bookmarkEnd w:id="395"/>
      <w:bookmarkEnd w:id="396"/>
      <w:bookmarkEnd w:id="397"/>
      <w:bookmarkEnd w:id="398"/>
      <w:r>
        <w:rPr>
          <w:rFonts w:hint="eastAsia" w:asciiTheme="majorEastAsia" w:hAnsiTheme="majorEastAsia" w:eastAsiaTheme="majorEastAsia" w:cstheme="majorEastAsia"/>
          <w:b/>
          <w:bCs/>
        </w:rPr>
        <w:t>供应商认为有必要说明的问题</w:t>
      </w:r>
    </w:p>
    <w:p>
      <w:pPr>
        <w:pStyle w:val="3"/>
        <w:rPr>
          <w:rFonts w:hint="eastAsia" w:asciiTheme="majorEastAsia" w:hAnsiTheme="majorEastAsia" w:eastAsiaTheme="majorEastAsia" w:cstheme="majorEastAsia"/>
          <w:b w:val="0"/>
          <w:bCs w:val="0"/>
        </w:rPr>
      </w:pPr>
      <w:bookmarkStart w:id="399" w:name="_Toc6224"/>
      <w:bookmarkStart w:id="400" w:name="_Toc11891"/>
      <w:r>
        <w:rPr>
          <w:rFonts w:hint="eastAsia" w:asciiTheme="majorEastAsia" w:hAnsiTheme="majorEastAsia" w:eastAsiaTheme="majorEastAsia" w:cstheme="majorEastAsia"/>
          <w:b w:val="0"/>
          <w:bCs w:val="0"/>
          <w:lang w:eastAsia="zh-CN"/>
        </w:rPr>
        <w:t>十一</w:t>
      </w:r>
      <w:r>
        <w:rPr>
          <w:rFonts w:hint="eastAsia" w:asciiTheme="majorEastAsia" w:hAnsiTheme="majorEastAsia" w:eastAsiaTheme="majorEastAsia" w:cstheme="majorEastAsia"/>
          <w:b w:val="0"/>
          <w:bCs w:val="0"/>
        </w:rPr>
        <w:t>、</w:t>
      </w:r>
      <w:bookmarkStart w:id="401" w:name="_Toc10667"/>
      <w:bookmarkStart w:id="402" w:name="_Toc1449"/>
      <w:r>
        <w:rPr>
          <w:rFonts w:hint="eastAsia" w:asciiTheme="majorEastAsia" w:hAnsiTheme="majorEastAsia" w:eastAsiaTheme="majorEastAsia" w:cstheme="majorEastAsia"/>
          <w:b w:val="0"/>
          <w:bCs w:val="0"/>
        </w:rPr>
        <w:t>供应商承诺书</w:t>
      </w:r>
      <w:bookmarkEnd w:id="399"/>
      <w:bookmarkEnd w:id="400"/>
      <w:bookmarkEnd w:id="401"/>
      <w:bookmarkEnd w:id="402"/>
    </w:p>
    <w:p>
      <w:pPr>
        <w:spacing w:line="324" w:lineRule="auto"/>
        <w:ind w:firstLine="562" w:firstLineChars="200"/>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陕西省政府采购供货商拒绝政府采购领域商业贿赂承诺书Ⅰ</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为响应党中央、国务院关于治理政府采购领域商业贿赂行为的号召，我公司在此庄严承诺：</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1、在参与政府采购活动中遵纪守法、诚信经营、公平竞标。</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2、不向政府采购人、代理机构和政府采购评审专家进行任何形式的商业贿赂以谋取交易机会。</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3、不向政府代理机构和采购人提供虚假资质文件或采用虚假应标方式参与政府采购市场竞争并谋取成交。</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4、不采取“围标、陪标”等商业欺诈手段获得政府采购订单。</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5、不采取不正当手段诋毁、排挤其它供货商。</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6、不在提供商品和服务时“偷梁换柱、以次充好”损害采购人的合法权益。</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7、不与采购人、代理机构政府采购评审专家或其它供货商恶意串通，进行质疑和投诉，维护政府采购市场秩序。</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8、尊重和接受政府采购监督管理部门的监督和政府代理机构招标采购要求，承担因违约行为给采购人造成的损失。</w:t>
      </w:r>
    </w:p>
    <w:p>
      <w:pPr>
        <w:spacing w:line="48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9、不发生其它有悖于政府采购公开、公平、公正和诚信原则的行为。</w:t>
      </w:r>
    </w:p>
    <w:p>
      <w:pPr>
        <w:adjustRightInd w:val="0"/>
        <w:snapToGrid w:val="0"/>
        <w:spacing w:line="360" w:lineRule="auto"/>
        <w:ind w:firstLine="480" w:firstLineChars="200"/>
        <w:jc w:val="left"/>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供应商（单位名称及公章）：</w:t>
      </w:r>
      <w:r>
        <w:rPr>
          <w:rFonts w:hint="eastAsia" w:asciiTheme="majorEastAsia" w:hAnsiTheme="majorEastAsia" w:eastAsiaTheme="majorEastAsia" w:cstheme="majorEastAsia"/>
          <w:sz w:val="24"/>
          <w:u w:val="single"/>
        </w:rPr>
        <w:t xml:space="preserve">                          </w:t>
      </w:r>
    </w:p>
    <w:p>
      <w:pPr>
        <w:snapToGrid w:val="0"/>
        <w:spacing w:line="36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rPr>
        <w:t>法定代表人/被授权人（签字）：</w:t>
      </w:r>
      <w:r>
        <w:rPr>
          <w:rFonts w:hint="eastAsia" w:asciiTheme="majorEastAsia" w:hAnsiTheme="majorEastAsia" w:eastAsiaTheme="majorEastAsia" w:cstheme="majorEastAsia"/>
          <w:sz w:val="24"/>
          <w:u w:val="single"/>
        </w:rPr>
        <w:t xml:space="preserve">           </w:t>
      </w:r>
      <w:ins w:id="0" w:author="米" w:date="2017-03-01T16:52:00Z">
        <w:r>
          <w:rPr>
            <w:rFonts w:hint="eastAsia" w:asciiTheme="majorEastAsia" w:hAnsiTheme="majorEastAsia" w:eastAsiaTheme="majorEastAsia" w:cstheme="majorEastAsia"/>
            <w:sz w:val="24"/>
          </w:rPr>
          <w:t xml:space="preserve"> </w:t>
        </w:r>
      </w:ins>
      <w:r>
        <w:rPr>
          <w:rFonts w:hint="eastAsia" w:asciiTheme="majorEastAsia" w:hAnsiTheme="majorEastAsia" w:eastAsiaTheme="majorEastAsia" w:cstheme="majorEastAsia"/>
          <w:sz w:val="24"/>
          <w:szCs w:val="28"/>
        </w:rPr>
        <w:t>邮编：</w:t>
      </w:r>
      <w:ins w:id="1" w:author="米" w:date="2017-03-01T16:54:00Z">
        <w:r>
          <w:rPr>
            <w:rFonts w:hint="eastAsia" w:asciiTheme="majorEastAsia" w:hAnsiTheme="majorEastAsia" w:eastAsiaTheme="majorEastAsia" w:cstheme="majorEastAsia"/>
            <w:sz w:val="24"/>
            <w:szCs w:val="28"/>
            <w:u w:val="single"/>
          </w:rPr>
          <w:t xml:space="preserve">           </w:t>
        </w:r>
      </w:ins>
      <w:ins w:id="2" w:author="米" w:date="2017-03-01T16:52:00Z">
        <w:r>
          <w:rPr>
            <w:rFonts w:hint="eastAsia" w:asciiTheme="majorEastAsia" w:hAnsiTheme="majorEastAsia" w:eastAsiaTheme="majorEastAsia" w:cstheme="majorEastAsia"/>
            <w:sz w:val="24"/>
          </w:rPr>
          <w:t xml:space="preserve">  </w:t>
        </w:r>
      </w:ins>
    </w:p>
    <w:p>
      <w:pPr>
        <w:snapToGrid w:val="0"/>
        <w:spacing w:line="36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地址：</w:t>
      </w:r>
      <w:ins w:id="3" w:author="米" w:date="2017-03-01T16:54:00Z">
        <w:r>
          <w:rPr>
            <w:rFonts w:hint="eastAsia" w:asciiTheme="majorEastAsia" w:hAnsiTheme="majorEastAsia" w:eastAsiaTheme="majorEastAsia" w:cstheme="majorEastAsia"/>
            <w:sz w:val="24"/>
            <w:szCs w:val="28"/>
            <w:u w:val="single"/>
          </w:rPr>
          <w:t xml:space="preserve">             </w:t>
        </w:r>
      </w:ins>
    </w:p>
    <w:p>
      <w:pPr>
        <w:snapToGrid w:val="0"/>
        <w:spacing w:line="36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 xml:space="preserve">电话： </w:t>
      </w:r>
      <w:ins w:id="4" w:author="米" w:date="2017-03-01T16:54:00Z">
        <w:r>
          <w:rPr>
            <w:rFonts w:hint="eastAsia" w:asciiTheme="majorEastAsia" w:hAnsiTheme="majorEastAsia" w:eastAsiaTheme="majorEastAsia" w:cstheme="majorEastAsia"/>
            <w:sz w:val="24"/>
            <w:szCs w:val="28"/>
            <w:u w:val="single"/>
          </w:rPr>
          <w:t xml:space="preserve">            </w:t>
        </w:r>
      </w:ins>
    </w:p>
    <w:p>
      <w:pPr>
        <w:snapToGrid w:val="0"/>
        <w:spacing w:line="36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eastAsia="zh-CN"/>
        </w:rPr>
        <w:t>日期</w:t>
      </w:r>
      <w:r>
        <w:rPr>
          <w:rFonts w:hint="eastAsia" w:asciiTheme="majorEastAsia" w:hAnsiTheme="majorEastAsia" w:eastAsiaTheme="majorEastAsia" w:cstheme="majorEastAsia"/>
          <w:sz w:val="24"/>
          <w:szCs w:val="28"/>
        </w:rPr>
        <w:t>：</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年</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日</w:t>
      </w:r>
    </w:p>
    <w:p>
      <w:pPr>
        <w:pageBreakBefore/>
        <w:spacing w:line="360" w:lineRule="atLeast"/>
        <w:ind w:firstLine="482" w:firstLineChars="20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承诺书Ⅱ</w:t>
      </w:r>
    </w:p>
    <w:tbl>
      <w:tblPr>
        <w:tblStyle w:val="1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致：</w:t>
            </w:r>
            <w:r>
              <w:rPr>
                <w:rFonts w:hint="eastAsia" w:asciiTheme="majorEastAsia" w:hAnsiTheme="majorEastAsia" w:eastAsiaTheme="majorEastAsia" w:cstheme="majorEastAsia"/>
                <w:szCs w:val="21"/>
                <w:lang w:eastAsia="zh-CN"/>
              </w:rPr>
              <w:t>延川县政府采购中心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作为参加贵</w:t>
            </w:r>
            <w:r>
              <w:rPr>
                <w:rFonts w:hint="eastAsia" w:asciiTheme="majorEastAsia" w:hAnsiTheme="majorEastAsia" w:eastAsiaTheme="majorEastAsia" w:cstheme="majorEastAsia"/>
                <w:szCs w:val="21"/>
                <w:lang w:eastAsia="zh-CN"/>
              </w:rPr>
              <w:t>单位</w:t>
            </w:r>
            <w:r>
              <w:rPr>
                <w:rFonts w:hint="eastAsia" w:asciiTheme="majorEastAsia" w:hAnsiTheme="majorEastAsia" w:eastAsiaTheme="majorEastAsia" w:cstheme="majorEastAsia"/>
                <w:szCs w:val="21"/>
              </w:rPr>
              <w:t>组织的</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的供应商，本公司承诺：在参加本项目</w:t>
            </w:r>
            <w:r>
              <w:rPr>
                <w:rFonts w:hint="eastAsia" w:asciiTheme="majorEastAsia" w:hAnsiTheme="majorEastAsia" w:eastAsiaTheme="majorEastAsia" w:cstheme="majorEastAsia"/>
                <w:szCs w:val="21"/>
                <w:lang w:eastAsia="zh-CN"/>
              </w:rPr>
              <w:t>招标</w:t>
            </w:r>
            <w:r>
              <w:rPr>
                <w:rFonts w:hint="eastAsia" w:asciiTheme="majorEastAsia" w:hAnsiTheme="majorEastAsia" w:eastAsiaTheme="majorEastAsia" w:cstheme="majorEastAsia"/>
                <w:szCs w:val="21"/>
              </w:rPr>
              <w:t xml:space="preserve">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w:t>
            </w:r>
          </w:p>
        </w:tc>
        <w:tc>
          <w:tcPr>
            <w:tcW w:w="3474"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法定代表人/被授权人</w:t>
            </w:r>
          </w:p>
        </w:tc>
        <w:tc>
          <w:tcPr>
            <w:tcW w:w="2376"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（公章）</w:t>
            </w:r>
          </w:p>
        </w:tc>
        <w:tc>
          <w:tcPr>
            <w:tcW w:w="3474"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（签字或盖章）</w:t>
            </w:r>
          </w:p>
        </w:tc>
        <w:tc>
          <w:tcPr>
            <w:tcW w:w="2376" w:type="dxa"/>
            <w:vAlign w:val="center"/>
          </w:tcPr>
          <w:p>
            <w:pPr>
              <w:spacing w:line="360" w:lineRule="atLeas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年</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日</w:t>
            </w:r>
          </w:p>
        </w:tc>
      </w:tr>
    </w:tbl>
    <w:p>
      <w:pPr>
        <w:spacing w:line="360" w:lineRule="atLeast"/>
        <w:ind w:firstLine="843" w:firstLineChars="200"/>
        <w:jc w:val="left"/>
        <w:rPr>
          <w:rFonts w:hint="eastAsia" w:asciiTheme="majorEastAsia" w:hAnsiTheme="majorEastAsia" w:eastAsiaTheme="majorEastAsia" w:cstheme="majorEastAsia"/>
          <w:b/>
          <w:sz w:val="42"/>
          <w:szCs w:val="42"/>
        </w:rPr>
      </w:pPr>
    </w:p>
    <w:p>
      <w:pPr>
        <w:spacing w:line="360" w:lineRule="atLeast"/>
        <w:ind w:firstLine="482" w:firstLineChars="20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承诺书Ⅲ</w:t>
      </w: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致：</w:t>
            </w:r>
            <w:r>
              <w:rPr>
                <w:rFonts w:hint="eastAsia" w:asciiTheme="majorEastAsia" w:hAnsiTheme="majorEastAsia" w:eastAsiaTheme="majorEastAsia" w:cstheme="majorEastAsia"/>
                <w:szCs w:val="21"/>
                <w:lang w:eastAsia="zh-CN"/>
              </w:rPr>
              <w:t>延川县政府采购中心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作为参加贵</w:t>
            </w:r>
            <w:r>
              <w:rPr>
                <w:rFonts w:hint="eastAsia" w:asciiTheme="majorEastAsia" w:hAnsiTheme="majorEastAsia" w:eastAsiaTheme="majorEastAsia" w:cstheme="majorEastAsia"/>
                <w:szCs w:val="21"/>
                <w:lang w:eastAsia="zh-CN"/>
              </w:rPr>
              <w:t>单位</w:t>
            </w:r>
            <w:r>
              <w:rPr>
                <w:rFonts w:hint="eastAsia" w:asciiTheme="majorEastAsia" w:hAnsiTheme="majorEastAsia" w:eastAsiaTheme="majorEastAsia" w:cstheme="majorEastAsia"/>
                <w:szCs w:val="21"/>
              </w:rPr>
              <w:t>组织的</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的供应商，本公司郑重申告并承诺：近三年受到有关行政主管部门的行政处理、不良行为记录为</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w:t>
            </w:r>
          </w:p>
        </w:tc>
        <w:tc>
          <w:tcPr>
            <w:tcW w:w="3488"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法定代表人/被授权人</w:t>
            </w:r>
          </w:p>
        </w:tc>
        <w:tc>
          <w:tcPr>
            <w:tcW w:w="2387"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（公章）</w:t>
            </w:r>
          </w:p>
        </w:tc>
        <w:tc>
          <w:tcPr>
            <w:tcW w:w="3488"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（签字或盖章）</w:t>
            </w:r>
          </w:p>
        </w:tc>
        <w:tc>
          <w:tcPr>
            <w:tcW w:w="2387" w:type="dxa"/>
            <w:vAlign w:val="center"/>
          </w:tcPr>
          <w:p>
            <w:pPr>
              <w:spacing w:line="360" w:lineRule="atLeas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年</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日</w:t>
            </w:r>
            <w:r>
              <w:rPr>
                <w:rFonts w:hint="eastAsia" w:asciiTheme="majorEastAsia" w:hAnsiTheme="majorEastAsia" w:eastAsiaTheme="majorEastAsia" w:cstheme="majorEastAsia"/>
                <w:color w:val="000000"/>
                <w:szCs w:val="21"/>
                <w:u w:val="single"/>
              </w:rPr>
              <w:t xml:space="preserve">  </w:t>
            </w:r>
          </w:p>
        </w:tc>
      </w:tr>
    </w:tbl>
    <w:p>
      <w:pPr>
        <w:pageBreakBefore/>
        <w:spacing w:line="360" w:lineRule="atLeast"/>
        <w:ind w:firstLine="482" w:firstLineChars="20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承诺书Ⅳ</w:t>
      </w:r>
    </w:p>
    <w:tbl>
      <w:tblPr>
        <w:tblStyle w:val="1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致：</w:t>
            </w:r>
            <w:r>
              <w:rPr>
                <w:rFonts w:hint="eastAsia" w:asciiTheme="majorEastAsia" w:hAnsiTheme="majorEastAsia" w:eastAsiaTheme="majorEastAsia" w:cstheme="majorEastAsia"/>
                <w:szCs w:val="21"/>
                <w:lang w:eastAsia="zh-CN"/>
              </w:rPr>
              <w:t>延川县政府采购中心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作为参加贵</w:t>
            </w:r>
            <w:r>
              <w:rPr>
                <w:rFonts w:hint="eastAsia" w:asciiTheme="majorEastAsia" w:hAnsiTheme="majorEastAsia" w:eastAsiaTheme="majorEastAsia" w:cstheme="majorEastAsia"/>
                <w:szCs w:val="21"/>
                <w:lang w:eastAsia="zh-CN"/>
              </w:rPr>
              <w:t>单位</w:t>
            </w:r>
            <w:r>
              <w:rPr>
                <w:rFonts w:hint="eastAsia" w:asciiTheme="majorEastAsia" w:hAnsiTheme="majorEastAsia" w:eastAsiaTheme="majorEastAsia" w:cstheme="majorEastAsia"/>
                <w:szCs w:val="21"/>
              </w:rPr>
              <w:t>组织的</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的供应商，本公司郑重申告：近三年因产品供货问题（水货、替代品、次品、翻新品等）的不法行为记录为</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次（没有填零），如有隐瞒实情，愿承担一切责任及后果。</w:t>
            </w:r>
          </w:p>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本公司承诺：本次响应产品为正品行货。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w:t>
            </w:r>
          </w:p>
        </w:tc>
        <w:tc>
          <w:tcPr>
            <w:tcW w:w="3466"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法定代表人/被授权人</w:t>
            </w:r>
          </w:p>
        </w:tc>
        <w:tc>
          <w:tcPr>
            <w:tcW w:w="2371"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（公章）</w:t>
            </w:r>
          </w:p>
        </w:tc>
        <w:tc>
          <w:tcPr>
            <w:tcW w:w="3466"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（签字或盖章）</w:t>
            </w:r>
          </w:p>
        </w:tc>
        <w:tc>
          <w:tcPr>
            <w:tcW w:w="2371" w:type="dxa"/>
            <w:vAlign w:val="center"/>
          </w:tcPr>
          <w:p>
            <w:pPr>
              <w:spacing w:line="360" w:lineRule="atLeas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年</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日</w:t>
            </w:r>
          </w:p>
        </w:tc>
      </w:tr>
    </w:tbl>
    <w:p>
      <w:pPr>
        <w:spacing w:line="360" w:lineRule="auto"/>
        <w:ind w:firstLine="480" w:firstLineChars="200"/>
        <w:jc w:val="left"/>
        <w:rPr>
          <w:rFonts w:hint="eastAsia" w:asciiTheme="majorEastAsia" w:hAnsiTheme="majorEastAsia" w:eastAsiaTheme="majorEastAsia" w:cstheme="majorEastAsia"/>
          <w:sz w:val="24"/>
          <w:szCs w:val="28"/>
        </w:rPr>
      </w:pPr>
    </w:p>
    <w:p>
      <w:pPr>
        <w:spacing w:line="360" w:lineRule="atLeast"/>
        <w:ind w:firstLine="482" w:firstLineChars="20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24"/>
          <w:szCs w:val="24"/>
        </w:rPr>
        <w:t>承诺书</w:t>
      </w:r>
      <w:r>
        <w:rPr>
          <w:rFonts w:hint="eastAsia" w:asciiTheme="majorEastAsia" w:hAnsiTheme="majorEastAsia" w:eastAsiaTheme="majorEastAsia" w:cstheme="majorEastAsia"/>
          <w:b/>
          <w:sz w:val="24"/>
          <w:szCs w:val="24"/>
        </w:rPr>
        <w:fldChar w:fldCharType="begin"/>
      </w:r>
      <w:r>
        <w:rPr>
          <w:rFonts w:hint="eastAsia" w:asciiTheme="majorEastAsia" w:hAnsiTheme="majorEastAsia" w:eastAsiaTheme="majorEastAsia" w:cstheme="majorEastAsia"/>
          <w:b/>
          <w:sz w:val="24"/>
          <w:szCs w:val="24"/>
        </w:rPr>
        <w:instrText xml:space="preserve"> = 5 \* ROMAN </w:instrText>
      </w:r>
      <w:r>
        <w:rPr>
          <w:rFonts w:hint="eastAsia" w:asciiTheme="majorEastAsia" w:hAnsiTheme="majorEastAsia" w:eastAsiaTheme="majorEastAsia" w:cstheme="majorEastAsia"/>
          <w:b/>
          <w:sz w:val="24"/>
          <w:szCs w:val="24"/>
        </w:rPr>
        <w:fldChar w:fldCharType="separate"/>
      </w:r>
      <w:r>
        <w:rPr>
          <w:rFonts w:hint="eastAsia" w:asciiTheme="majorEastAsia" w:hAnsiTheme="majorEastAsia" w:eastAsiaTheme="majorEastAsia" w:cstheme="majorEastAsia"/>
          <w:b/>
          <w:sz w:val="24"/>
          <w:szCs w:val="24"/>
          <w:lang w:val="zh-CN"/>
        </w:rPr>
        <w:t>V</w:t>
      </w:r>
      <w:r>
        <w:rPr>
          <w:rFonts w:hint="eastAsia" w:asciiTheme="majorEastAsia" w:hAnsiTheme="majorEastAsia" w:eastAsiaTheme="majorEastAsia" w:cstheme="majorEastAsia"/>
          <w:b/>
          <w:sz w:val="24"/>
          <w:szCs w:val="24"/>
        </w:rPr>
        <w:fldChar w:fldCharType="end"/>
      </w:r>
    </w:p>
    <w:tbl>
      <w:tblPr>
        <w:tblStyle w:val="1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致：</w:t>
            </w:r>
            <w:r>
              <w:rPr>
                <w:rFonts w:hint="eastAsia" w:asciiTheme="majorEastAsia" w:hAnsiTheme="majorEastAsia" w:eastAsiaTheme="majorEastAsia" w:cstheme="majorEastAsia"/>
                <w:szCs w:val="21"/>
                <w:lang w:eastAsia="zh-CN"/>
              </w:rPr>
              <w:t>延川县政府采购中心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作为参加贵</w:t>
            </w:r>
            <w:r>
              <w:rPr>
                <w:rFonts w:hint="eastAsia" w:asciiTheme="majorEastAsia" w:hAnsiTheme="majorEastAsia" w:eastAsiaTheme="majorEastAsia" w:cstheme="majorEastAsia"/>
                <w:szCs w:val="21"/>
                <w:lang w:eastAsia="zh-CN"/>
              </w:rPr>
              <w:t>单位</w:t>
            </w:r>
            <w:r>
              <w:rPr>
                <w:rFonts w:hint="eastAsia" w:asciiTheme="majorEastAsia" w:hAnsiTheme="majorEastAsia" w:eastAsiaTheme="majorEastAsia" w:cstheme="majorEastAsia"/>
                <w:szCs w:val="21"/>
              </w:rPr>
              <w:t>组织的</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的供应商，本公司承诺：参加本次</w:t>
            </w:r>
            <w:r>
              <w:rPr>
                <w:rFonts w:hint="eastAsia" w:asciiTheme="majorEastAsia" w:hAnsiTheme="majorEastAsia" w:eastAsiaTheme="majorEastAsia" w:cstheme="majorEastAsia"/>
                <w:szCs w:val="21"/>
                <w:lang w:eastAsia="zh-CN"/>
              </w:rPr>
              <w:t>招标</w:t>
            </w:r>
            <w:r>
              <w:rPr>
                <w:rFonts w:hint="eastAsia" w:asciiTheme="majorEastAsia" w:hAnsiTheme="majorEastAsia" w:eastAsiaTheme="majorEastAsia" w:cstheme="majorEastAsia"/>
                <w:szCs w:val="21"/>
              </w:rPr>
              <w:t>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w:t>
            </w:r>
          </w:p>
        </w:tc>
        <w:tc>
          <w:tcPr>
            <w:tcW w:w="3534"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法定代表人/被授权人</w:t>
            </w:r>
          </w:p>
        </w:tc>
        <w:tc>
          <w:tcPr>
            <w:tcW w:w="2418"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（公章）</w:t>
            </w:r>
          </w:p>
        </w:tc>
        <w:tc>
          <w:tcPr>
            <w:tcW w:w="3534" w:type="dxa"/>
            <w:vAlign w:val="center"/>
          </w:tcPr>
          <w:p>
            <w:pPr>
              <w:spacing w:line="360" w:lineRule="atLeas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（签字或盖章）</w:t>
            </w:r>
          </w:p>
        </w:tc>
        <w:tc>
          <w:tcPr>
            <w:tcW w:w="2418" w:type="dxa"/>
            <w:vAlign w:val="center"/>
          </w:tcPr>
          <w:p>
            <w:pPr>
              <w:spacing w:line="360" w:lineRule="atLeas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年</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日</w:t>
            </w:r>
          </w:p>
        </w:tc>
      </w:tr>
    </w:tbl>
    <w:p>
      <w:pPr>
        <w:adjustRightInd w:val="0"/>
        <w:snapToGrid w:val="0"/>
        <w:ind w:firstLine="720" w:firstLineChars="200"/>
        <w:jc w:val="left"/>
        <w:rPr>
          <w:rFonts w:hint="eastAsia" w:asciiTheme="majorEastAsia" w:hAnsiTheme="majorEastAsia" w:eastAsiaTheme="majorEastAsia" w:cstheme="majorEastAsia"/>
          <w:bCs/>
          <w:sz w:val="36"/>
          <w:szCs w:val="36"/>
        </w:rPr>
      </w:pPr>
    </w:p>
    <w:p>
      <w:pPr>
        <w:widowControl/>
        <w:jc w:val="left"/>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rPr>
        <w:br w:type="page"/>
      </w:r>
    </w:p>
    <w:p>
      <w:pPr>
        <w:pStyle w:val="3"/>
        <w:rPr>
          <w:rFonts w:hint="eastAsia" w:asciiTheme="majorEastAsia" w:hAnsiTheme="majorEastAsia" w:eastAsiaTheme="majorEastAsia" w:cstheme="majorEastAsia"/>
        </w:rPr>
      </w:pPr>
      <w:bookmarkStart w:id="403" w:name="_Toc9152"/>
      <w:bookmarkStart w:id="404" w:name="_Toc1517"/>
      <w:bookmarkStart w:id="405" w:name="_Toc24664"/>
      <w:r>
        <w:rPr>
          <w:rFonts w:hint="eastAsia" w:asciiTheme="majorEastAsia" w:hAnsiTheme="majorEastAsia" w:eastAsiaTheme="majorEastAsia" w:cstheme="majorEastAsia"/>
        </w:rPr>
        <w:t>附件一：封袋正面标识式样</w:t>
      </w:r>
      <w:bookmarkEnd w:id="403"/>
      <w:bookmarkEnd w:id="404"/>
      <w:bookmarkEnd w:id="405"/>
    </w:p>
    <w:p>
      <w:pPr>
        <w:spacing w:line="460" w:lineRule="exact"/>
        <w:ind w:firstLine="482" w:firstLineChars="20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响应文件正本封袋正面标识式样</w:t>
      </w:r>
    </w:p>
    <w:p>
      <w:pPr>
        <w:spacing w:line="460" w:lineRule="exact"/>
        <w:ind w:firstLine="420" w:firstLineChars="20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113030</wp:posOffset>
                </wp:positionV>
                <wp:extent cx="6255385" cy="3110230"/>
                <wp:effectExtent l="4445" t="4445" r="7620" b="952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6255385" cy="3110230"/>
                        </a:xfrm>
                        <a:prstGeom prst="rect">
                          <a:avLst/>
                        </a:prstGeom>
                        <a:solidFill>
                          <a:srgbClr val="FFFFFF"/>
                        </a:solidFill>
                        <a:ln w="9525">
                          <a:solidFill>
                            <a:srgbClr val="000000"/>
                          </a:solidFill>
                          <a:miter lim="800000"/>
                        </a:ln>
                        <a:effectLst/>
                      </wps:spPr>
                      <wps:txbx>
                        <w:txbxContent>
                          <w:p>
                            <w:pPr>
                              <w:rPr>
                                <w:rFonts w:hint="eastAsia" w:eastAsia="宋体"/>
                                <w:sz w:val="28"/>
                                <w:szCs w:val="28"/>
                                <w:lang w:eastAsia="zh-CN"/>
                              </w:rPr>
                            </w:pPr>
                            <w:r>
                              <w:rPr>
                                <w:rFonts w:hint="eastAsia"/>
                                <w:sz w:val="28"/>
                                <w:szCs w:val="28"/>
                              </w:rPr>
                              <w:t>致：</w:t>
                            </w:r>
                            <w:r>
                              <w:rPr>
                                <w:rFonts w:hint="eastAsia"/>
                                <w:sz w:val="28"/>
                                <w:szCs w:val="28"/>
                                <w:lang w:eastAsia="zh-CN"/>
                              </w:rPr>
                              <w:t>延川县政府采购中心</w:t>
                            </w:r>
                            <w:r>
                              <w:rPr>
                                <w:sz w:val="28"/>
                                <w:szCs w:val="28"/>
                              </w:rPr>
                              <w:t xml:space="preserve">         </w:t>
                            </w:r>
                            <w:r>
                              <w:rPr>
                                <w:rFonts w:ascii="仿宋" w:hAnsi="仿宋" w:eastAsia="仿宋" w:cs="仿宋"/>
                                <w:bCs/>
                                <w:color w:val="000000"/>
                                <w:sz w:val="28"/>
                                <w:szCs w:val="28"/>
                              </w:rPr>
                              <w:t xml:space="preserve">        </w:t>
                            </w:r>
                            <w:r>
                              <w:rPr>
                                <w:rFonts w:hint="eastAsia"/>
                                <w:sz w:val="28"/>
                                <w:szCs w:val="28"/>
                              </w:rPr>
                              <w:t>项目编号：</w:t>
                            </w:r>
                            <w:r>
                              <w:rPr>
                                <w:rFonts w:hint="eastAsia"/>
                                <w:sz w:val="28"/>
                                <w:szCs w:val="28"/>
                                <w:lang w:val="en-US" w:eastAsia="zh-CN"/>
                              </w:rPr>
                              <w:t xml:space="preserve"> </w:t>
                            </w:r>
                          </w:p>
                          <w:p>
                            <w:pPr>
                              <w:rPr>
                                <w:rFonts w:hint="eastAsia"/>
                                <w:sz w:val="28"/>
                                <w:szCs w:val="28"/>
                                <w:lang w:val="en-US" w:eastAsia="zh-CN"/>
                              </w:rPr>
                            </w:pPr>
                            <w:r>
                              <w:rPr>
                                <w:rFonts w:hint="eastAsia"/>
                                <w:sz w:val="28"/>
                                <w:szCs w:val="28"/>
                              </w:rPr>
                              <w:t>项目名称：</w:t>
                            </w:r>
                            <w:r>
                              <w:rPr>
                                <w:rFonts w:hint="eastAsia"/>
                                <w:sz w:val="28"/>
                                <w:szCs w:val="28"/>
                                <w:lang w:val="en-US" w:eastAsia="zh-CN"/>
                              </w:rPr>
                              <w:t xml:space="preserve"> </w:t>
                            </w:r>
                          </w:p>
                          <w:p>
                            <w:pPr>
                              <w:pStyle w:val="65"/>
                              <w:rPr>
                                <w:rFonts w:hint="eastAsia"/>
                                <w:lang w:val="en-US" w:eastAsia="zh-CN"/>
                              </w:rPr>
                            </w:pPr>
                          </w:p>
                          <w:p>
                            <w:pPr>
                              <w:jc w:val="center"/>
                              <w:rPr>
                                <w:b/>
                                <w:sz w:val="44"/>
                                <w:szCs w:val="44"/>
                              </w:rPr>
                            </w:pPr>
                            <w:r>
                              <w:rPr>
                                <w:rFonts w:hint="eastAsia"/>
                                <w:b/>
                                <w:sz w:val="44"/>
                                <w:szCs w:val="44"/>
                              </w:rPr>
                              <w:t>响应文件（正本）</w:t>
                            </w:r>
                          </w:p>
                          <w:p>
                            <w:pPr>
                              <w:jc w:val="center"/>
                              <w:rPr>
                                <w:sz w:val="28"/>
                                <w:szCs w:val="28"/>
                              </w:rPr>
                            </w:pPr>
                            <w:r>
                              <w:rPr>
                                <w:rFonts w:hint="eastAsia"/>
                                <w:sz w:val="28"/>
                                <w:szCs w:val="28"/>
                              </w:rPr>
                              <w:t>（非</w:t>
                            </w:r>
                            <w:r>
                              <w:rPr>
                                <w:rFonts w:hint="eastAsia"/>
                                <w:sz w:val="28"/>
                                <w:szCs w:val="28"/>
                                <w:lang w:eastAsia="zh-CN"/>
                              </w:rPr>
                              <w:t>招标</w:t>
                            </w:r>
                            <w:r>
                              <w:rPr>
                                <w:rFonts w:hint="eastAsia"/>
                                <w:sz w:val="28"/>
                                <w:szCs w:val="28"/>
                              </w:rPr>
                              <w:t>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jc w:val="center"/>
                              <w:rPr>
                                <w:sz w:val="28"/>
                                <w:szCs w:val="28"/>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85pt;margin-top:8.9pt;height:244.9pt;width:492.55pt;z-index:251659264;mso-width-relative:page;mso-height-relative:page;" fillcolor="#FFFFFF" filled="t" stroked="t" coordsize="21600,21600" o:gfxdata="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W4Mn7ZAAAACgEAAA8AAAAAAAAAAQAgAAAAIgAAAGRycy9k&#10;b3ducmV2LnhtbFBLAQIUABQAAAAIAIdO4kBvydxzOgIAAJUEAAAOAAAAAAAAAAEAIAAAACgBAABk&#10;cnMvZTJvRG9jLnhtbFBLBQYAAAAABgAGAFkBAADUBQAAAAA=&#10;">
                <v:fill on="t" focussize="0,0"/>
                <v:stroke color="#000000" miterlimit="8" joinstyle="miter"/>
                <v:imagedata o:title=""/>
                <o:lock v:ext="edit" aspectratio="f"/>
                <v:textbox>
                  <w:txbxContent>
                    <w:p>
                      <w:pPr>
                        <w:rPr>
                          <w:rFonts w:hint="eastAsia" w:eastAsia="宋体"/>
                          <w:sz w:val="28"/>
                          <w:szCs w:val="28"/>
                          <w:lang w:eastAsia="zh-CN"/>
                        </w:rPr>
                      </w:pPr>
                      <w:r>
                        <w:rPr>
                          <w:rFonts w:hint="eastAsia"/>
                          <w:sz w:val="28"/>
                          <w:szCs w:val="28"/>
                        </w:rPr>
                        <w:t>致：</w:t>
                      </w:r>
                      <w:r>
                        <w:rPr>
                          <w:rFonts w:hint="eastAsia"/>
                          <w:sz w:val="28"/>
                          <w:szCs w:val="28"/>
                          <w:lang w:eastAsia="zh-CN"/>
                        </w:rPr>
                        <w:t>延川县政府采购中心</w:t>
                      </w:r>
                      <w:r>
                        <w:rPr>
                          <w:sz w:val="28"/>
                          <w:szCs w:val="28"/>
                        </w:rPr>
                        <w:t xml:space="preserve">         </w:t>
                      </w:r>
                      <w:r>
                        <w:rPr>
                          <w:rFonts w:ascii="仿宋" w:hAnsi="仿宋" w:eastAsia="仿宋" w:cs="仿宋"/>
                          <w:bCs/>
                          <w:color w:val="000000"/>
                          <w:sz w:val="28"/>
                          <w:szCs w:val="28"/>
                        </w:rPr>
                        <w:t xml:space="preserve">        </w:t>
                      </w:r>
                      <w:r>
                        <w:rPr>
                          <w:rFonts w:hint="eastAsia"/>
                          <w:sz w:val="28"/>
                          <w:szCs w:val="28"/>
                        </w:rPr>
                        <w:t>项目编号：</w:t>
                      </w:r>
                      <w:r>
                        <w:rPr>
                          <w:rFonts w:hint="eastAsia"/>
                          <w:sz w:val="28"/>
                          <w:szCs w:val="28"/>
                          <w:lang w:val="en-US" w:eastAsia="zh-CN"/>
                        </w:rPr>
                        <w:t xml:space="preserve"> </w:t>
                      </w:r>
                    </w:p>
                    <w:p>
                      <w:pPr>
                        <w:rPr>
                          <w:rFonts w:hint="eastAsia"/>
                          <w:sz w:val="28"/>
                          <w:szCs w:val="28"/>
                          <w:lang w:val="en-US" w:eastAsia="zh-CN"/>
                        </w:rPr>
                      </w:pPr>
                      <w:r>
                        <w:rPr>
                          <w:rFonts w:hint="eastAsia"/>
                          <w:sz w:val="28"/>
                          <w:szCs w:val="28"/>
                        </w:rPr>
                        <w:t>项目名称：</w:t>
                      </w:r>
                      <w:r>
                        <w:rPr>
                          <w:rFonts w:hint="eastAsia"/>
                          <w:sz w:val="28"/>
                          <w:szCs w:val="28"/>
                          <w:lang w:val="en-US" w:eastAsia="zh-CN"/>
                        </w:rPr>
                        <w:t xml:space="preserve"> </w:t>
                      </w:r>
                    </w:p>
                    <w:p>
                      <w:pPr>
                        <w:pStyle w:val="65"/>
                        <w:rPr>
                          <w:rFonts w:hint="eastAsia"/>
                          <w:lang w:val="en-US" w:eastAsia="zh-CN"/>
                        </w:rPr>
                      </w:pPr>
                    </w:p>
                    <w:p>
                      <w:pPr>
                        <w:jc w:val="center"/>
                        <w:rPr>
                          <w:b/>
                          <w:sz w:val="44"/>
                          <w:szCs w:val="44"/>
                        </w:rPr>
                      </w:pPr>
                      <w:r>
                        <w:rPr>
                          <w:rFonts w:hint="eastAsia"/>
                          <w:b/>
                          <w:sz w:val="44"/>
                          <w:szCs w:val="44"/>
                        </w:rPr>
                        <w:t>响应文件（正本）</w:t>
                      </w:r>
                    </w:p>
                    <w:p>
                      <w:pPr>
                        <w:jc w:val="center"/>
                        <w:rPr>
                          <w:sz w:val="28"/>
                          <w:szCs w:val="28"/>
                        </w:rPr>
                      </w:pPr>
                      <w:r>
                        <w:rPr>
                          <w:rFonts w:hint="eastAsia"/>
                          <w:sz w:val="28"/>
                          <w:szCs w:val="28"/>
                        </w:rPr>
                        <w:t>（非</w:t>
                      </w:r>
                      <w:r>
                        <w:rPr>
                          <w:rFonts w:hint="eastAsia"/>
                          <w:sz w:val="28"/>
                          <w:szCs w:val="28"/>
                          <w:lang w:eastAsia="zh-CN"/>
                        </w:rPr>
                        <w:t>招标</w:t>
                      </w:r>
                      <w:r>
                        <w:rPr>
                          <w:rFonts w:hint="eastAsia"/>
                          <w:sz w:val="28"/>
                          <w:szCs w:val="28"/>
                        </w:rPr>
                        <w:t>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jc w:val="center"/>
                        <w:rPr>
                          <w:sz w:val="28"/>
                          <w:szCs w:val="28"/>
                        </w:rPr>
                      </w:pPr>
                    </w:p>
                  </w:txbxContent>
                </v:textbox>
              </v:shape>
            </w:pict>
          </mc:Fallback>
        </mc:AlternateContent>
      </w: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响应文件副本封袋正面标识式样</w:t>
      </w:r>
    </w:p>
    <w:p>
      <w:pPr>
        <w:tabs>
          <w:tab w:val="left" w:pos="8280"/>
        </w:tabs>
        <w:spacing w:line="460" w:lineRule="exact"/>
        <w:ind w:firstLine="420" w:firstLineChars="20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rPr>
        <mc:AlternateContent>
          <mc:Choice Requires="wps">
            <w:drawing>
              <wp:anchor distT="0" distB="0" distL="114300" distR="114300" simplePos="0" relativeHeight="251660288" behindDoc="0" locked="0" layoutInCell="1" allowOverlap="1">
                <wp:simplePos x="0" y="0"/>
                <wp:positionH relativeFrom="column">
                  <wp:posOffset>-317500</wp:posOffset>
                </wp:positionH>
                <wp:positionV relativeFrom="paragraph">
                  <wp:posOffset>217805</wp:posOffset>
                </wp:positionV>
                <wp:extent cx="6249670" cy="2950845"/>
                <wp:effectExtent l="4445" t="4445" r="13335" b="1651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6249670" cy="2950845"/>
                        </a:xfrm>
                        <a:prstGeom prst="rect">
                          <a:avLst/>
                        </a:prstGeom>
                        <a:solidFill>
                          <a:srgbClr val="FFFFFF"/>
                        </a:solidFill>
                        <a:ln w="9525">
                          <a:solidFill>
                            <a:srgbClr val="000000"/>
                          </a:solidFill>
                          <a:miter lim="800000"/>
                        </a:ln>
                        <a:effectLst/>
                      </wps:spPr>
                      <wps:txbx>
                        <w:txbxContent>
                          <w:p>
                            <w:pPr>
                              <w:rPr>
                                <w:rFonts w:hint="eastAsia" w:eastAsia="宋体"/>
                                <w:sz w:val="28"/>
                                <w:szCs w:val="28"/>
                                <w:lang w:eastAsia="zh-CN"/>
                              </w:rPr>
                            </w:pPr>
                            <w:r>
                              <w:rPr>
                                <w:rFonts w:hint="eastAsia"/>
                                <w:sz w:val="28"/>
                                <w:szCs w:val="28"/>
                              </w:rPr>
                              <w:t>致：</w:t>
                            </w:r>
                            <w:r>
                              <w:rPr>
                                <w:rFonts w:hint="eastAsia"/>
                                <w:sz w:val="28"/>
                                <w:szCs w:val="28"/>
                                <w:lang w:eastAsia="zh-CN"/>
                              </w:rPr>
                              <w:t>延川县政府采购中心</w:t>
                            </w:r>
                            <w:r>
                              <w:rPr>
                                <w:sz w:val="28"/>
                                <w:szCs w:val="28"/>
                              </w:rPr>
                              <w:t xml:space="preserve">                 </w:t>
                            </w:r>
                            <w:r>
                              <w:rPr>
                                <w:rFonts w:hint="eastAsia"/>
                                <w:sz w:val="28"/>
                                <w:szCs w:val="28"/>
                              </w:rPr>
                              <w:t>项目编号：</w:t>
                            </w:r>
                            <w:r>
                              <w:rPr>
                                <w:rFonts w:hint="eastAsia"/>
                                <w:sz w:val="28"/>
                                <w:szCs w:val="28"/>
                                <w:lang w:val="en-US" w:eastAsia="zh-CN"/>
                              </w:rPr>
                              <w:t xml:space="preserve"> </w:t>
                            </w:r>
                          </w:p>
                          <w:p>
                            <w:pPr>
                              <w:rPr>
                                <w:rFonts w:hint="eastAsia"/>
                                <w:sz w:val="28"/>
                                <w:szCs w:val="28"/>
                              </w:rPr>
                            </w:pPr>
                            <w:r>
                              <w:rPr>
                                <w:rFonts w:hint="eastAsia"/>
                                <w:sz w:val="28"/>
                                <w:szCs w:val="28"/>
                              </w:rPr>
                              <w:t>项目名称：</w:t>
                            </w:r>
                          </w:p>
                          <w:p>
                            <w:pPr>
                              <w:pStyle w:val="65"/>
                            </w:pPr>
                          </w:p>
                          <w:p>
                            <w:pPr>
                              <w:jc w:val="center"/>
                              <w:rPr>
                                <w:b/>
                                <w:sz w:val="44"/>
                                <w:szCs w:val="44"/>
                              </w:rPr>
                            </w:pPr>
                            <w:r>
                              <w:rPr>
                                <w:rFonts w:hint="eastAsia"/>
                                <w:b/>
                                <w:sz w:val="44"/>
                                <w:szCs w:val="44"/>
                              </w:rPr>
                              <w:t>响应文件（副本）</w:t>
                            </w:r>
                          </w:p>
                          <w:p>
                            <w:pPr>
                              <w:jc w:val="center"/>
                              <w:rPr>
                                <w:sz w:val="28"/>
                                <w:szCs w:val="28"/>
                              </w:rPr>
                            </w:pPr>
                            <w:r>
                              <w:rPr>
                                <w:rFonts w:hint="eastAsia"/>
                                <w:sz w:val="28"/>
                                <w:szCs w:val="28"/>
                              </w:rPr>
                              <w:t>（非</w:t>
                            </w:r>
                            <w:r>
                              <w:rPr>
                                <w:rFonts w:hint="eastAsia"/>
                                <w:sz w:val="28"/>
                                <w:szCs w:val="28"/>
                                <w:lang w:eastAsia="zh-CN"/>
                              </w:rPr>
                              <w:t>招标</w:t>
                            </w:r>
                            <w:r>
                              <w:rPr>
                                <w:rFonts w:hint="eastAsia"/>
                                <w:sz w:val="28"/>
                                <w:szCs w:val="28"/>
                              </w:rPr>
                              <w:t>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rPr>
                                <w:sz w:val="28"/>
                                <w:szCs w:val="28"/>
                              </w:rPr>
                            </w:pP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25pt;margin-top:17.15pt;height:232.35pt;width:492.1pt;z-index:251660288;mso-width-relative:page;mso-height-relative:page;" fillcolor="#FFFFFF" filled="t" stroked="t" coordsize="21600,21600" o:gfxdata="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tGO5doAAAAKAQAADwAAAAAAAAABACAAAAAiAAAAZHJzL2Rv&#10;d25yZXYueG1sUEsBAhQAFAAAAAgAh07iQP59Vzk4AgAAlQQAAA4AAAAAAAAAAQAgAAAAKQEAAGRy&#10;cy9lMm9Eb2MueG1sUEsFBgAAAAAGAAYAWQEAANMFAAAAAA==&#10;">
                <v:fill on="t" focussize="0,0"/>
                <v:stroke color="#000000" miterlimit="8" joinstyle="miter"/>
                <v:imagedata o:title=""/>
                <o:lock v:ext="edit" aspectratio="f"/>
                <v:textbox>
                  <w:txbxContent>
                    <w:p>
                      <w:pPr>
                        <w:rPr>
                          <w:rFonts w:hint="eastAsia" w:eastAsia="宋体"/>
                          <w:sz w:val="28"/>
                          <w:szCs w:val="28"/>
                          <w:lang w:eastAsia="zh-CN"/>
                        </w:rPr>
                      </w:pPr>
                      <w:r>
                        <w:rPr>
                          <w:rFonts w:hint="eastAsia"/>
                          <w:sz w:val="28"/>
                          <w:szCs w:val="28"/>
                        </w:rPr>
                        <w:t>致：</w:t>
                      </w:r>
                      <w:r>
                        <w:rPr>
                          <w:rFonts w:hint="eastAsia"/>
                          <w:sz w:val="28"/>
                          <w:szCs w:val="28"/>
                          <w:lang w:eastAsia="zh-CN"/>
                        </w:rPr>
                        <w:t>延川县政府采购中心</w:t>
                      </w:r>
                      <w:r>
                        <w:rPr>
                          <w:sz w:val="28"/>
                          <w:szCs w:val="28"/>
                        </w:rPr>
                        <w:t xml:space="preserve">                 </w:t>
                      </w:r>
                      <w:r>
                        <w:rPr>
                          <w:rFonts w:hint="eastAsia"/>
                          <w:sz w:val="28"/>
                          <w:szCs w:val="28"/>
                        </w:rPr>
                        <w:t>项目编号：</w:t>
                      </w:r>
                      <w:r>
                        <w:rPr>
                          <w:rFonts w:hint="eastAsia"/>
                          <w:sz w:val="28"/>
                          <w:szCs w:val="28"/>
                          <w:lang w:val="en-US" w:eastAsia="zh-CN"/>
                        </w:rPr>
                        <w:t xml:space="preserve"> </w:t>
                      </w:r>
                    </w:p>
                    <w:p>
                      <w:pPr>
                        <w:rPr>
                          <w:rFonts w:hint="eastAsia"/>
                          <w:sz w:val="28"/>
                          <w:szCs w:val="28"/>
                        </w:rPr>
                      </w:pPr>
                      <w:r>
                        <w:rPr>
                          <w:rFonts w:hint="eastAsia"/>
                          <w:sz w:val="28"/>
                          <w:szCs w:val="28"/>
                        </w:rPr>
                        <w:t>项目名称：</w:t>
                      </w:r>
                    </w:p>
                    <w:p>
                      <w:pPr>
                        <w:pStyle w:val="65"/>
                      </w:pPr>
                    </w:p>
                    <w:p>
                      <w:pPr>
                        <w:jc w:val="center"/>
                        <w:rPr>
                          <w:b/>
                          <w:sz w:val="44"/>
                          <w:szCs w:val="44"/>
                        </w:rPr>
                      </w:pPr>
                      <w:r>
                        <w:rPr>
                          <w:rFonts w:hint="eastAsia"/>
                          <w:b/>
                          <w:sz w:val="44"/>
                          <w:szCs w:val="44"/>
                        </w:rPr>
                        <w:t>响应文件（副本）</w:t>
                      </w:r>
                    </w:p>
                    <w:p>
                      <w:pPr>
                        <w:jc w:val="center"/>
                        <w:rPr>
                          <w:sz w:val="28"/>
                          <w:szCs w:val="28"/>
                        </w:rPr>
                      </w:pPr>
                      <w:r>
                        <w:rPr>
                          <w:rFonts w:hint="eastAsia"/>
                          <w:sz w:val="28"/>
                          <w:szCs w:val="28"/>
                        </w:rPr>
                        <w:t>（非</w:t>
                      </w:r>
                      <w:r>
                        <w:rPr>
                          <w:rFonts w:hint="eastAsia"/>
                          <w:sz w:val="28"/>
                          <w:szCs w:val="28"/>
                          <w:lang w:eastAsia="zh-CN"/>
                        </w:rPr>
                        <w:t>招标</w:t>
                      </w:r>
                      <w:r>
                        <w:rPr>
                          <w:rFonts w:hint="eastAsia"/>
                          <w:sz w:val="28"/>
                          <w:szCs w:val="28"/>
                        </w:rPr>
                        <w:t>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rPr>
                          <w:sz w:val="28"/>
                          <w:szCs w:val="28"/>
                        </w:rPr>
                      </w:pPr>
                    </w:p>
                  </w:txbxContent>
                </v:textbox>
              </v:shape>
            </w:pict>
          </mc:Fallback>
        </mc:AlternateContent>
      </w: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1004" w:firstLineChars="200"/>
        <w:jc w:val="center"/>
        <w:rPr>
          <w:rFonts w:hint="eastAsia" w:asciiTheme="majorEastAsia" w:hAnsiTheme="majorEastAsia" w:eastAsiaTheme="majorEastAsia" w:cstheme="majorEastAsia"/>
          <w:b/>
          <w:sz w:val="50"/>
        </w:rPr>
      </w:pPr>
    </w:p>
    <w:p>
      <w:pPr>
        <w:widowControl/>
        <w:spacing w:line="460" w:lineRule="exact"/>
        <w:ind w:firstLine="480" w:firstLineChars="200"/>
        <w:jc w:val="center"/>
        <w:rPr>
          <w:rFonts w:hint="eastAsia" w:asciiTheme="majorEastAsia" w:hAnsiTheme="majorEastAsia" w:eastAsiaTheme="majorEastAsia" w:cstheme="majorEastAsia"/>
          <w:sz w:val="24"/>
          <w:szCs w:val="28"/>
        </w:rPr>
        <w:sectPr>
          <w:pgSz w:w="11906" w:h="16838"/>
          <w:pgMar w:top="1440" w:right="1800" w:bottom="1440" w:left="1800" w:header="851" w:footer="992" w:gutter="0"/>
          <w:pgNumType w:fmt="decimal"/>
          <w:cols w:space="720" w:num="1"/>
          <w:docGrid w:type="lines" w:linePitch="312" w:charSpace="0"/>
        </w:sectPr>
      </w:pPr>
    </w:p>
    <w:p>
      <w:pPr>
        <w:spacing w:line="460" w:lineRule="exact"/>
        <w:ind w:firstLine="482" w:firstLineChars="20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响应一览表封袋正面标识式样</w:t>
      </w:r>
    </w:p>
    <w:p>
      <w:pPr>
        <w:spacing w:line="460" w:lineRule="exact"/>
        <w:ind w:firstLine="420" w:firstLineChars="20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191135</wp:posOffset>
                </wp:positionV>
                <wp:extent cx="6189345" cy="3220720"/>
                <wp:effectExtent l="5080" t="4445" r="15875" b="13335"/>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6189345" cy="3220720"/>
                        </a:xfrm>
                        <a:prstGeom prst="rect">
                          <a:avLst/>
                        </a:prstGeom>
                        <a:solidFill>
                          <a:srgbClr val="FFFFFF"/>
                        </a:solidFill>
                        <a:ln w="9525">
                          <a:solidFill>
                            <a:srgbClr val="000000"/>
                          </a:solidFill>
                          <a:miter lim="800000"/>
                        </a:ln>
                        <a:effectLst/>
                      </wps:spPr>
                      <wps:txbx>
                        <w:txbxContent>
                          <w:p>
                            <w:pPr>
                              <w:rPr>
                                <w:rFonts w:hint="eastAsia" w:eastAsia="宋体"/>
                                <w:sz w:val="28"/>
                                <w:szCs w:val="28"/>
                                <w:lang w:eastAsia="zh-CN"/>
                              </w:rPr>
                            </w:pPr>
                            <w:r>
                              <w:rPr>
                                <w:rFonts w:hint="eastAsia"/>
                                <w:sz w:val="28"/>
                                <w:szCs w:val="28"/>
                              </w:rPr>
                              <w:t>致：</w:t>
                            </w:r>
                            <w:r>
                              <w:rPr>
                                <w:rFonts w:hint="eastAsia"/>
                                <w:sz w:val="28"/>
                                <w:szCs w:val="28"/>
                                <w:lang w:eastAsia="zh-CN"/>
                              </w:rPr>
                              <w:t>延川县政府采购中心</w:t>
                            </w:r>
                            <w:r>
                              <w:rPr>
                                <w:sz w:val="28"/>
                                <w:szCs w:val="28"/>
                              </w:rPr>
                              <w:t xml:space="preserve">                </w:t>
                            </w:r>
                            <w:r>
                              <w:rPr>
                                <w:rFonts w:hint="eastAsia"/>
                                <w:sz w:val="28"/>
                                <w:szCs w:val="28"/>
                              </w:rPr>
                              <w:t>项目编号：</w:t>
                            </w:r>
                            <w:r>
                              <w:rPr>
                                <w:rFonts w:hint="eastAsia"/>
                                <w:sz w:val="28"/>
                                <w:szCs w:val="28"/>
                                <w:lang w:val="en-US" w:eastAsia="zh-CN"/>
                              </w:rPr>
                              <w:t xml:space="preserve"> </w:t>
                            </w:r>
                          </w:p>
                          <w:p>
                            <w:pPr>
                              <w:rPr>
                                <w:rFonts w:hint="eastAsia"/>
                                <w:sz w:val="28"/>
                                <w:szCs w:val="28"/>
                              </w:rPr>
                            </w:pPr>
                            <w:r>
                              <w:rPr>
                                <w:rFonts w:hint="eastAsia"/>
                                <w:sz w:val="28"/>
                                <w:szCs w:val="28"/>
                              </w:rPr>
                              <w:t>项目名称：</w:t>
                            </w:r>
                          </w:p>
                          <w:p>
                            <w:pPr>
                              <w:pStyle w:val="65"/>
                            </w:pPr>
                          </w:p>
                          <w:p>
                            <w:pPr>
                              <w:jc w:val="center"/>
                              <w:rPr>
                                <w:b/>
                                <w:sz w:val="44"/>
                                <w:szCs w:val="44"/>
                              </w:rPr>
                            </w:pPr>
                            <w:r>
                              <w:rPr>
                                <w:rFonts w:hint="eastAsia"/>
                                <w:b/>
                                <w:sz w:val="44"/>
                                <w:szCs w:val="44"/>
                              </w:rPr>
                              <w:t>响应一览表</w:t>
                            </w:r>
                          </w:p>
                          <w:p>
                            <w:pPr>
                              <w:jc w:val="center"/>
                              <w:rPr>
                                <w:sz w:val="28"/>
                                <w:szCs w:val="28"/>
                              </w:rPr>
                            </w:pPr>
                            <w:r>
                              <w:rPr>
                                <w:rFonts w:hint="eastAsia"/>
                                <w:sz w:val="28"/>
                                <w:szCs w:val="28"/>
                              </w:rPr>
                              <w:t>（非</w:t>
                            </w:r>
                            <w:r>
                              <w:rPr>
                                <w:rFonts w:hint="eastAsia"/>
                                <w:sz w:val="28"/>
                                <w:szCs w:val="28"/>
                                <w:lang w:eastAsia="zh-CN"/>
                              </w:rPr>
                              <w:t>招标</w:t>
                            </w:r>
                            <w:r>
                              <w:rPr>
                                <w:rFonts w:hint="eastAsia"/>
                                <w:sz w:val="28"/>
                                <w:szCs w:val="28"/>
                              </w:rPr>
                              <w:t>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rPr>
                                <w:sz w:val="28"/>
                                <w:szCs w:val="28"/>
                              </w:rPr>
                            </w:pP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5.65pt;margin-top:15.05pt;height:253.6pt;width:487.35pt;z-index:251661312;mso-width-relative:page;mso-height-relative:page;" fillcolor="#FFFFFF" filled="t" stroked="t" coordsize="21600,21600" o:gfxdata="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pKeD2QAAAAoBAAAPAAAAAAAAAAEAIAAAACIAAABkcnMvZG93&#10;bnJldi54bWxQSwECFAAUAAAACACHTuJAQdvSbTgCAACVBAAADgAAAAAAAAABACAAAAAoAQAAZHJz&#10;L2Uyb0RvYy54bWxQSwUGAAAAAAYABgBZAQAA0gUAAAAA&#10;">
                <v:fill on="t" focussize="0,0"/>
                <v:stroke color="#000000" miterlimit="8" joinstyle="miter"/>
                <v:imagedata o:title=""/>
                <o:lock v:ext="edit" aspectratio="f"/>
                <v:textbox>
                  <w:txbxContent>
                    <w:p>
                      <w:pPr>
                        <w:rPr>
                          <w:rFonts w:hint="eastAsia" w:eastAsia="宋体"/>
                          <w:sz w:val="28"/>
                          <w:szCs w:val="28"/>
                          <w:lang w:eastAsia="zh-CN"/>
                        </w:rPr>
                      </w:pPr>
                      <w:r>
                        <w:rPr>
                          <w:rFonts w:hint="eastAsia"/>
                          <w:sz w:val="28"/>
                          <w:szCs w:val="28"/>
                        </w:rPr>
                        <w:t>致：</w:t>
                      </w:r>
                      <w:r>
                        <w:rPr>
                          <w:rFonts w:hint="eastAsia"/>
                          <w:sz w:val="28"/>
                          <w:szCs w:val="28"/>
                          <w:lang w:eastAsia="zh-CN"/>
                        </w:rPr>
                        <w:t>延川县政府采购中心</w:t>
                      </w:r>
                      <w:r>
                        <w:rPr>
                          <w:sz w:val="28"/>
                          <w:szCs w:val="28"/>
                        </w:rPr>
                        <w:t xml:space="preserve">                </w:t>
                      </w:r>
                      <w:r>
                        <w:rPr>
                          <w:rFonts w:hint="eastAsia"/>
                          <w:sz w:val="28"/>
                          <w:szCs w:val="28"/>
                        </w:rPr>
                        <w:t>项目编号：</w:t>
                      </w:r>
                      <w:r>
                        <w:rPr>
                          <w:rFonts w:hint="eastAsia"/>
                          <w:sz w:val="28"/>
                          <w:szCs w:val="28"/>
                          <w:lang w:val="en-US" w:eastAsia="zh-CN"/>
                        </w:rPr>
                        <w:t xml:space="preserve"> </w:t>
                      </w:r>
                    </w:p>
                    <w:p>
                      <w:pPr>
                        <w:rPr>
                          <w:rFonts w:hint="eastAsia"/>
                          <w:sz w:val="28"/>
                          <w:szCs w:val="28"/>
                        </w:rPr>
                      </w:pPr>
                      <w:r>
                        <w:rPr>
                          <w:rFonts w:hint="eastAsia"/>
                          <w:sz w:val="28"/>
                          <w:szCs w:val="28"/>
                        </w:rPr>
                        <w:t>项目名称：</w:t>
                      </w:r>
                    </w:p>
                    <w:p>
                      <w:pPr>
                        <w:pStyle w:val="65"/>
                      </w:pPr>
                    </w:p>
                    <w:p>
                      <w:pPr>
                        <w:jc w:val="center"/>
                        <w:rPr>
                          <w:b/>
                          <w:sz w:val="44"/>
                          <w:szCs w:val="44"/>
                        </w:rPr>
                      </w:pPr>
                      <w:r>
                        <w:rPr>
                          <w:rFonts w:hint="eastAsia"/>
                          <w:b/>
                          <w:sz w:val="44"/>
                          <w:szCs w:val="44"/>
                        </w:rPr>
                        <w:t>响应一览表</w:t>
                      </w:r>
                    </w:p>
                    <w:p>
                      <w:pPr>
                        <w:jc w:val="center"/>
                        <w:rPr>
                          <w:sz w:val="28"/>
                          <w:szCs w:val="28"/>
                        </w:rPr>
                      </w:pPr>
                      <w:r>
                        <w:rPr>
                          <w:rFonts w:hint="eastAsia"/>
                          <w:sz w:val="28"/>
                          <w:szCs w:val="28"/>
                        </w:rPr>
                        <w:t>（非</w:t>
                      </w:r>
                      <w:r>
                        <w:rPr>
                          <w:rFonts w:hint="eastAsia"/>
                          <w:sz w:val="28"/>
                          <w:szCs w:val="28"/>
                          <w:lang w:eastAsia="zh-CN"/>
                        </w:rPr>
                        <w:t>招标</w:t>
                      </w:r>
                      <w:r>
                        <w:rPr>
                          <w:rFonts w:hint="eastAsia"/>
                          <w:sz w:val="28"/>
                          <w:szCs w:val="28"/>
                        </w:rPr>
                        <w:t>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rPr>
                          <w:sz w:val="28"/>
                          <w:szCs w:val="28"/>
                        </w:rPr>
                      </w:pPr>
                    </w:p>
                  </w:txbxContent>
                </v:textbox>
              </v:shape>
            </w:pict>
          </mc:Fallback>
        </mc:AlternateContent>
      </w: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ind w:firstLine="482" w:firstLineChars="200"/>
        <w:jc w:val="center"/>
        <w:rPr>
          <w:rFonts w:hint="eastAsia" w:asciiTheme="majorEastAsia" w:hAnsiTheme="majorEastAsia" w:eastAsiaTheme="majorEastAsia" w:cstheme="majorEastAsia"/>
          <w:b/>
          <w:sz w:val="24"/>
        </w:rPr>
      </w:pPr>
    </w:p>
    <w:p>
      <w:pPr>
        <w:spacing w:line="460" w:lineRule="exact"/>
        <w:jc w:val="center"/>
        <w:rPr>
          <w:rFonts w:hint="eastAsia" w:asciiTheme="majorEastAsia" w:hAnsiTheme="majorEastAsia" w:eastAsiaTheme="majorEastAsia" w:cstheme="majorEastAsia"/>
          <w:b/>
          <w:sz w:val="24"/>
        </w:rPr>
      </w:pPr>
    </w:p>
    <w:p>
      <w:pPr>
        <w:spacing w:line="460" w:lineRule="exact"/>
        <w:jc w:val="center"/>
        <w:rPr>
          <w:rFonts w:hint="eastAsia" w:asciiTheme="majorEastAsia" w:hAnsiTheme="majorEastAsia" w:eastAsiaTheme="majorEastAsia" w:cstheme="majorEastAsia"/>
          <w:b/>
          <w:sz w:val="24"/>
        </w:rPr>
      </w:pPr>
    </w:p>
    <w:p>
      <w:pPr>
        <w:spacing w:line="460" w:lineRule="exact"/>
        <w:jc w:val="center"/>
        <w:rPr>
          <w:rFonts w:hint="eastAsia" w:asciiTheme="majorEastAsia" w:hAnsiTheme="majorEastAsia" w:eastAsiaTheme="majorEastAsia" w:cstheme="majorEastAsia"/>
          <w:b/>
          <w:sz w:val="24"/>
        </w:rPr>
      </w:pPr>
    </w:p>
    <w:p>
      <w:pPr>
        <w:spacing w:line="460" w:lineRule="exac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电子文档封袋正面标识式样</w:t>
      </w:r>
    </w:p>
    <w:p>
      <w:pPr>
        <w:tabs>
          <w:tab w:val="left" w:pos="8280"/>
        </w:tabs>
        <w:spacing w:line="460" w:lineRule="exact"/>
        <w:ind w:firstLine="420" w:firstLineChars="20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rPr>
        <mc:AlternateContent>
          <mc:Choice Requires="wps">
            <w:drawing>
              <wp:anchor distT="0" distB="0" distL="114300" distR="114300" simplePos="0" relativeHeight="251662336" behindDoc="0" locked="0" layoutInCell="1" allowOverlap="1">
                <wp:simplePos x="0" y="0"/>
                <wp:positionH relativeFrom="column">
                  <wp:posOffset>-360045</wp:posOffset>
                </wp:positionH>
                <wp:positionV relativeFrom="paragraph">
                  <wp:posOffset>142240</wp:posOffset>
                </wp:positionV>
                <wp:extent cx="6241415" cy="3275965"/>
                <wp:effectExtent l="4445" t="4445" r="21590" b="15240"/>
                <wp:wrapNone/>
                <wp:docPr id="7" name="Text Box 6"/>
                <wp:cNvGraphicFramePr/>
                <a:graphic xmlns:a="http://schemas.openxmlformats.org/drawingml/2006/main">
                  <a:graphicData uri="http://schemas.microsoft.com/office/word/2010/wordprocessingShape">
                    <wps:wsp>
                      <wps:cNvSpPr txBox="1">
                        <a:spLocks noChangeArrowheads="1"/>
                      </wps:cNvSpPr>
                      <wps:spPr bwMode="auto">
                        <a:xfrm>
                          <a:off x="0" y="0"/>
                          <a:ext cx="6241415" cy="3275965"/>
                        </a:xfrm>
                        <a:prstGeom prst="rect">
                          <a:avLst/>
                        </a:prstGeom>
                        <a:solidFill>
                          <a:srgbClr val="FFFFFF"/>
                        </a:solidFill>
                        <a:ln w="9525">
                          <a:solidFill>
                            <a:srgbClr val="000000"/>
                          </a:solidFill>
                          <a:miter lim="800000"/>
                        </a:ln>
                        <a:effectLst/>
                      </wps:spPr>
                      <wps:txbx>
                        <w:txbxContent>
                          <w:p>
                            <w:r>
                              <w:rPr>
                                <w:rFonts w:hint="eastAsia"/>
                                <w:sz w:val="28"/>
                                <w:szCs w:val="28"/>
                              </w:rPr>
                              <w:t>致：</w:t>
                            </w:r>
                            <w:r>
                              <w:rPr>
                                <w:rFonts w:hint="eastAsia"/>
                                <w:sz w:val="28"/>
                                <w:szCs w:val="28"/>
                                <w:lang w:eastAsia="zh-CN"/>
                              </w:rPr>
                              <w:t>延川县政府采购中心</w:t>
                            </w:r>
                            <w:r>
                              <w:rPr>
                                <w:sz w:val="28"/>
                                <w:szCs w:val="28"/>
                              </w:rPr>
                              <w:t xml:space="preserve">                  </w:t>
                            </w:r>
                            <w:r>
                              <w:rPr>
                                <w:rFonts w:hint="eastAsia"/>
                                <w:sz w:val="28"/>
                                <w:szCs w:val="28"/>
                              </w:rPr>
                              <w:t>项目编号：</w:t>
                            </w:r>
                          </w:p>
                          <w:p>
                            <w:pPr>
                              <w:rPr>
                                <w:rFonts w:hint="eastAsia"/>
                                <w:sz w:val="28"/>
                                <w:szCs w:val="28"/>
                              </w:rPr>
                            </w:pPr>
                            <w:r>
                              <w:rPr>
                                <w:rFonts w:hint="eastAsia"/>
                                <w:sz w:val="28"/>
                                <w:szCs w:val="28"/>
                              </w:rPr>
                              <w:t>项目名称：</w:t>
                            </w:r>
                          </w:p>
                          <w:p>
                            <w:pPr>
                              <w:pStyle w:val="65"/>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rPr>
                                <w:ins w:id="5" w:author="米" w:date="2017-03-01T16:56:00Z"/>
                                <w:sz w:val="28"/>
                                <w:szCs w:val="28"/>
                                <w:u w:val="single"/>
                              </w:rPr>
                            </w:pPr>
                            <w:ins w:id="6" w:author="米" w:date="2017-03-01T16:56:00Z">
                              <w:r>
                                <w:rPr>
                                  <w:sz w:val="28"/>
                                  <w:szCs w:val="28"/>
                                  <w:u w:val="single"/>
                                </w:rPr>
                                <w:t xml:space="preserve">          </w:t>
                              </w:r>
                            </w:ins>
                          </w:p>
                          <w:p>
                            <w:pPr>
                              <w:rPr>
                                <w:sz w:val="28"/>
                                <w:szCs w:val="28"/>
                              </w:rPr>
                            </w:pPr>
                            <w:ins w:id="7" w:author="米" w:date="2017-03-01T16:56:00Z">
                              <w:r>
                                <w:rPr>
                                  <w:rFonts w:hint="eastAsia"/>
                                  <w:sz w:val="28"/>
                                  <w:szCs w:val="28"/>
                                </w:rPr>
                                <w:t>时间：</w:t>
                              </w:r>
                            </w:ins>
                            <w:ins w:id="8" w:author="米" w:date="2017-03-01T16:56:00Z">
                              <w:r>
                                <w:rPr>
                                  <w:rFonts w:ascii="宋体" w:hAnsi="宋体" w:cs="宋体"/>
                                  <w:szCs w:val="21"/>
                                  <w:u w:val="single"/>
                                </w:rPr>
                                <w:t xml:space="preserve">     </w:t>
                              </w:r>
                            </w:ins>
                            <w:ins w:id="9" w:author="米" w:date="2017-03-01T16:56:00Z">
                              <w:r>
                                <w:rPr>
                                  <w:rFonts w:hint="eastAsia" w:ascii="宋体" w:hAnsi="宋体" w:cs="宋体"/>
                                  <w:szCs w:val="21"/>
                                </w:rPr>
                                <w:t>年</w:t>
                              </w:r>
                            </w:ins>
                            <w:ins w:id="10" w:author="米" w:date="2017-03-01T16:56:00Z">
                              <w:r>
                                <w:rPr>
                                  <w:rFonts w:ascii="宋体" w:hAnsi="宋体" w:cs="宋体"/>
                                  <w:szCs w:val="21"/>
                                  <w:u w:val="single"/>
                                </w:rPr>
                                <w:t xml:space="preserve">   </w:t>
                              </w:r>
                            </w:ins>
                            <w:ins w:id="11" w:author="米" w:date="2017-03-01T16:56:00Z">
                              <w:r>
                                <w:rPr>
                                  <w:rFonts w:hint="eastAsia" w:ascii="宋体" w:hAnsi="宋体" w:cs="宋体"/>
                                  <w:szCs w:val="21"/>
                                </w:rPr>
                                <w:t>月</w:t>
                              </w:r>
                            </w:ins>
                            <w:ins w:id="12" w:author="米" w:date="2017-03-01T16:56:00Z">
                              <w:r>
                                <w:rPr>
                                  <w:rFonts w:ascii="宋体" w:hAnsi="宋体" w:cs="宋体"/>
                                  <w:szCs w:val="21"/>
                                  <w:u w:val="single"/>
                                </w:rPr>
                                <w:t xml:space="preserve">    </w:t>
                              </w:r>
                            </w:ins>
                            <w:ins w:id="13" w:author="米" w:date="2017-03-01T16:56:00Z">
                              <w:r>
                                <w:rPr>
                                  <w:rFonts w:hint="eastAsia" w:ascii="宋体" w:hAnsi="宋体" w:cs="宋体"/>
                                  <w:szCs w:val="21"/>
                                </w:rPr>
                                <w:t>日</w:t>
                              </w:r>
                            </w:ins>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28.35pt;margin-top:11.2pt;height:257.95pt;width:491.45pt;z-index:251662336;mso-width-relative:page;mso-height-relative:page;" fillcolor="#FFFFFF" filled="t" stroked="t" coordsize="21600,21600" o:gfxdata="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O5YenaAAAACgEAAA8AAAAAAAAAAQAgAAAAIgAAAGRycy9k&#10;b3ducmV2LnhtbFBLAQIUABQAAAAIAIdO4kAWEOnbOQIAAJUEAAAOAAAAAAAAAAEAIAAAACkBAABk&#10;cnMvZTJvRG9jLnhtbFBLBQYAAAAABgAGAFkBAADUBQAAAAA=&#10;">
                <v:fill on="t" focussize="0,0"/>
                <v:stroke color="#000000" miterlimit="8" joinstyle="miter"/>
                <v:imagedata o:title=""/>
                <o:lock v:ext="edit" aspectratio="f"/>
                <v:textbox>
                  <w:txbxContent>
                    <w:p>
                      <w:r>
                        <w:rPr>
                          <w:rFonts w:hint="eastAsia"/>
                          <w:sz w:val="28"/>
                          <w:szCs w:val="28"/>
                        </w:rPr>
                        <w:t>致：</w:t>
                      </w:r>
                      <w:r>
                        <w:rPr>
                          <w:rFonts w:hint="eastAsia"/>
                          <w:sz w:val="28"/>
                          <w:szCs w:val="28"/>
                          <w:lang w:eastAsia="zh-CN"/>
                        </w:rPr>
                        <w:t>延川县政府采购中心</w:t>
                      </w:r>
                      <w:r>
                        <w:rPr>
                          <w:sz w:val="28"/>
                          <w:szCs w:val="28"/>
                        </w:rPr>
                        <w:t xml:space="preserve">                  </w:t>
                      </w:r>
                      <w:r>
                        <w:rPr>
                          <w:rFonts w:hint="eastAsia"/>
                          <w:sz w:val="28"/>
                          <w:szCs w:val="28"/>
                        </w:rPr>
                        <w:t>项目编号：</w:t>
                      </w:r>
                    </w:p>
                    <w:p>
                      <w:pPr>
                        <w:rPr>
                          <w:rFonts w:hint="eastAsia"/>
                          <w:sz w:val="28"/>
                          <w:szCs w:val="28"/>
                        </w:rPr>
                      </w:pPr>
                      <w:r>
                        <w:rPr>
                          <w:rFonts w:hint="eastAsia"/>
                          <w:sz w:val="28"/>
                          <w:szCs w:val="28"/>
                        </w:rPr>
                        <w:t>项目名称：</w:t>
                      </w:r>
                    </w:p>
                    <w:p>
                      <w:pPr>
                        <w:pStyle w:val="65"/>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rPr>
                          <w:ins w:id="14" w:author="米" w:date="2017-03-01T16:56:00Z"/>
                          <w:sz w:val="28"/>
                          <w:szCs w:val="28"/>
                          <w:u w:val="single"/>
                        </w:rPr>
                      </w:pPr>
                      <w:ins w:id="15" w:author="米" w:date="2017-03-01T16:56:00Z">
                        <w:r>
                          <w:rPr>
                            <w:sz w:val="28"/>
                            <w:szCs w:val="28"/>
                            <w:u w:val="single"/>
                          </w:rPr>
                          <w:t xml:space="preserve">          </w:t>
                        </w:r>
                      </w:ins>
                    </w:p>
                    <w:p>
                      <w:pPr>
                        <w:rPr>
                          <w:sz w:val="28"/>
                          <w:szCs w:val="28"/>
                        </w:rPr>
                      </w:pPr>
                      <w:ins w:id="16" w:author="米" w:date="2017-03-01T16:56:00Z">
                        <w:r>
                          <w:rPr>
                            <w:rFonts w:hint="eastAsia"/>
                            <w:sz w:val="28"/>
                            <w:szCs w:val="28"/>
                          </w:rPr>
                          <w:t>时间：</w:t>
                        </w:r>
                      </w:ins>
                      <w:ins w:id="17" w:author="米" w:date="2017-03-01T16:56:00Z">
                        <w:r>
                          <w:rPr>
                            <w:rFonts w:ascii="宋体" w:hAnsi="宋体" w:cs="宋体"/>
                            <w:szCs w:val="21"/>
                            <w:u w:val="single"/>
                          </w:rPr>
                          <w:t xml:space="preserve">     </w:t>
                        </w:r>
                      </w:ins>
                      <w:ins w:id="18" w:author="米" w:date="2017-03-01T16:56:00Z">
                        <w:r>
                          <w:rPr>
                            <w:rFonts w:hint="eastAsia" w:ascii="宋体" w:hAnsi="宋体" w:cs="宋体"/>
                            <w:szCs w:val="21"/>
                          </w:rPr>
                          <w:t>年</w:t>
                        </w:r>
                      </w:ins>
                      <w:ins w:id="19" w:author="米" w:date="2017-03-01T16:56:00Z">
                        <w:r>
                          <w:rPr>
                            <w:rFonts w:ascii="宋体" w:hAnsi="宋体" w:cs="宋体"/>
                            <w:szCs w:val="21"/>
                            <w:u w:val="single"/>
                          </w:rPr>
                          <w:t xml:space="preserve">   </w:t>
                        </w:r>
                      </w:ins>
                      <w:ins w:id="20" w:author="米" w:date="2017-03-01T16:56:00Z">
                        <w:r>
                          <w:rPr>
                            <w:rFonts w:hint="eastAsia" w:ascii="宋体" w:hAnsi="宋体" w:cs="宋体"/>
                            <w:szCs w:val="21"/>
                          </w:rPr>
                          <w:t>月</w:t>
                        </w:r>
                      </w:ins>
                      <w:ins w:id="21" w:author="米" w:date="2017-03-01T16:56:00Z">
                        <w:r>
                          <w:rPr>
                            <w:rFonts w:ascii="宋体" w:hAnsi="宋体" w:cs="宋体"/>
                            <w:szCs w:val="21"/>
                            <w:u w:val="single"/>
                          </w:rPr>
                          <w:t xml:space="preserve">    </w:t>
                        </w:r>
                      </w:ins>
                      <w:ins w:id="22" w:author="米" w:date="2017-03-01T16:56:00Z">
                        <w:r>
                          <w:rPr>
                            <w:rFonts w:hint="eastAsia" w:ascii="宋体" w:hAnsi="宋体" w:cs="宋体"/>
                            <w:szCs w:val="21"/>
                          </w:rPr>
                          <w:t>日</w:t>
                        </w:r>
                      </w:ins>
                    </w:p>
                  </w:txbxContent>
                </v:textbox>
              </v:shape>
            </w:pict>
          </mc:Fallback>
        </mc:AlternateContent>
      </w: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420" w:firstLineChars="200"/>
        <w:jc w:val="center"/>
        <w:rPr>
          <w:rFonts w:hint="eastAsia" w:asciiTheme="majorEastAsia" w:hAnsiTheme="majorEastAsia" w:eastAsiaTheme="majorEastAsia" w:cstheme="majorEastAsia"/>
        </w:rPr>
      </w:pPr>
    </w:p>
    <w:p>
      <w:pPr>
        <w:ind w:firstLine="1004" w:firstLineChars="200"/>
        <w:jc w:val="center"/>
        <w:rPr>
          <w:rFonts w:hint="eastAsia" w:asciiTheme="majorEastAsia" w:hAnsiTheme="majorEastAsia" w:eastAsiaTheme="majorEastAsia" w:cstheme="majorEastAsia"/>
          <w:b/>
          <w:sz w:val="50"/>
        </w:rPr>
      </w:pPr>
    </w:p>
    <w:p>
      <w:pPr>
        <w:pageBreakBefore/>
        <w:spacing w:line="420" w:lineRule="auto"/>
        <w:jc w:val="center"/>
        <w:rPr>
          <w:rFonts w:hint="eastAsia" w:asciiTheme="majorEastAsia" w:hAnsiTheme="majorEastAsia" w:eastAsiaTheme="majorEastAsia" w:cstheme="majorEastAsia"/>
          <w:b/>
          <w:bCs/>
          <w:sz w:val="36"/>
          <w:szCs w:val="36"/>
        </w:rPr>
        <w:sectPr>
          <w:pgSz w:w="11906" w:h="16838"/>
          <w:pgMar w:top="1440" w:right="1803" w:bottom="1440" w:left="1803" w:header="851" w:footer="992" w:gutter="0"/>
          <w:pgNumType w:fmt="decimal"/>
          <w:cols w:space="720" w:num="1"/>
          <w:docGrid w:type="lines" w:linePitch="319" w:charSpace="0"/>
        </w:sectPr>
      </w:pPr>
    </w:p>
    <w:p>
      <w:pPr>
        <w:pStyle w:val="3"/>
        <w:rPr>
          <w:rFonts w:hint="eastAsia" w:asciiTheme="majorEastAsia" w:hAnsiTheme="majorEastAsia" w:eastAsiaTheme="majorEastAsia" w:cstheme="majorEastAsia"/>
        </w:rPr>
      </w:pPr>
      <w:bookmarkStart w:id="406" w:name="_Toc17173"/>
      <w:bookmarkStart w:id="407" w:name="_Toc14775"/>
      <w:bookmarkStart w:id="408" w:name="_Toc6688"/>
      <w:bookmarkStart w:id="409" w:name="_Toc22006"/>
      <w:bookmarkStart w:id="410" w:name="_Toc8177"/>
      <w:bookmarkStart w:id="411" w:name="_Toc24682"/>
      <w:bookmarkStart w:id="412" w:name="_Toc9576"/>
      <w:r>
        <w:rPr>
          <w:rFonts w:hint="eastAsia" w:asciiTheme="majorEastAsia" w:hAnsiTheme="majorEastAsia" w:eastAsiaTheme="majorEastAsia" w:cstheme="majorEastAsia"/>
        </w:rPr>
        <w:t>附件二：中小企业申明</w:t>
      </w:r>
      <w:bookmarkEnd w:id="406"/>
      <w:bookmarkEnd w:id="407"/>
      <w:bookmarkEnd w:id="408"/>
      <w:bookmarkEnd w:id="409"/>
      <w:bookmarkEnd w:id="410"/>
      <w:r>
        <w:rPr>
          <w:rFonts w:hint="eastAsia" w:asciiTheme="majorEastAsia" w:hAnsiTheme="majorEastAsia" w:eastAsiaTheme="majorEastAsia" w:cstheme="majorEastAsia"/>
          <w:b/>
          <w:bCs/>
          <w:sz w:val="21"/>
          <w:szCs w:val="21"/>
        </w:rPr>
        <w:t>（若有则提供该项）</w:t>
      </w:r>
      <w:bookmarkEnd w:id="411"/>
      <w:bookmarkEnd w:id="412"/>
    </w:p>
    <w:p>
      <w:pPr>
        <w:spacing w:line="588" w:lineRule="exact"/>
        <w:ind w:firstLine="418" w:firstLineChars="166"/>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根据《政府采购促进中小企业发展管理办法》的通知--财库〔2020〕46号的规定由供应商自行申明，并对声明的真实性负责，如有虚假，将依法承担相应责任。</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adjustRightInd w:val="0"/>
        <w:snapToGrid w:val="0"/>
        <w:spacing w:line="360" w:lineRule="auto"/>
        <w:jc w:val="center"/>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 xml:space="preserve">                                供应商（单位名称及公章）：</w:t>
      </w:r>
      <w:r>
        <w:rPr>
          <w:rFonts w:hint="eastAsia" w:asciiTheme="majorEastAsia" w:hAnsiTheme="majorEastAsia" w:eastAsiaTheme="majorEastAsia" w:cstheme="majorEastAsia"/>
          <w:sz w:val="24"/>
          <w:u w:val="single"/>
        </w:rPr>
        <w:t xml:space="preserve">                      </w:t>
      </w:r>
    </w:p>
    <w:p>
      <w:pPr>
        <w:spacing w:line="588" w:lineRule="exact"/>
        <w:jc w:val="center"/>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z w:val="24"/>
        </w:rPr>
        <w:t xml:space="preserve">                              法定代表人/被授权人（签字）：</w:t>
      </w:r>
    </w:p>
    <w:p>
      <w:pPr>
        <w:spacing w:line="588" w:lineRule="exact"/>
        <w:ind w:firstLine="418" w:firstLineChars="166"/>
        <w:jc w:val="center"/>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pacing w:val="6"/>
          <w:sz w:val="24"/>
        </w:rPr>
        <w:t xml:space="preserve">                             </w:t>
      </w:r>
      <w:r>
        <w:rPr>
          <w:rFonts w:hint="eastAsia" w:asciiTheme="majorEastAsia" w:hAnsiTheme="majorEastAsia" w:eastAsiaTheme="majorEastAsia" w:cstheme="majorEastAsia"/>
          <w:spacing w:val="6"/>
          <w:sz w:val="24"/>
          <w:lang w:eastAsia="zh-CN"/>
        </w:rPr>
        <w:t>日</w:t>
      </w:r>
      <w:r>
        <w:rPr>
          <w:rFonts w:hint="eastAsia" w:asciiTheme="majorEastAsia" w:hAnsiTheme="majorEastAsia" w:eastAsiaTheme="majorEastAsia" w:cstheme="majorEastAsia"/>
          <w:spacing w:val="6"/>
          <w:sz w:val="24"/>
          <w:lang w:val="en-US" w:eastAsia="zh-CN"/>
        </w:rPr>
        <w:t xml:space="preserve">     </w:t>
      </w:r>
      <w:r>
        <w:rPr>
          <w:rFonts w:hint="eastAsia" w:asciiTheme="majorEastAsia" w:hAnsiTheme="majorEastAsia" w:eastAsiaTheme="majorEastAsia" w:cstheme="majorEastAsia"/>
          <w:spacing w:val="6"/>
          <w:sz w:val="24"/>
          <w:lang w:eastAsia="zh-CN"/>
        </w:rPr>
        <w:t>期</w:t>
      </w:r>
      <w:r>
        <w:rPr>
          <w:rFonts w:hint="eastAsia" w:asciiTheme="majorEastAsia" w:hAnsiTheme="majorEastAsia" w:eastAsiaTheme="majorEastAsia" w:cstheme="majorEastAsia"/>
          <w:spacing w:val="6"/>
          <w:sz w:val="24"/>
        </w:rPr>
        <w:t>：    年  月  日</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pPr>
        <w:pStyle w:val="3"/>
        <w:rPr>
          <w:rFonts w:hint="eastAsia" w:asciiTheme="majorEastAsia" w:hAnsiTheme="majorEastAsia" w:eastAsiaTheme="majorEastAsia" w:cstheme="majorEastAsia"/>
          <w:kern w:val="2"/>
          <w:sz w:val="24"/>
          <w:szCs w:val="24"/>
          <w:lang w:val="en-US" w:eastAsia="zh-CN" w:bidi="ar-SA"/>
        </w:rPr>
      </w:pPr>
      <w:bookmarkStart w:id="413" w:name="_Toc30855"/>
      <w:bookmarkStart w:id="414" w:name="_Toc8385"/>
      <w:bookmarkStart w:id="415" w:name="_Toc15467"/>
      <w:bookmarkStart w:id="416" w:name="_Toc23809"/>
      <w:bookmarkStart w:id="417" w:name="_Toc27743"/>
      <w:bookmarkStart w:id="418" w:name="_Toc3949"/>
      <w:bookmarkStart w:id="419" w:name="_Toc18660"/>
      <w:r>
        <w:rPr>
          <w:rFonts w:hint="eastAsia" w:asciiTheme="majorEastAsia" w:hAnsiTheme="majorEastAsia" w:eastAsiaTheme="majorEastAsia" w:cstheme="majorEastAsia"/>
        </w:rPr>
        <w:t>附件三：</w:t>
      </w:r>
      <w:r>
        <w:rPr>
          <w:rFonts w:hint="eastAsia" w:asciiTheme="majorEastAsia" w:hAnsiTheme="majorEastAsia" w:eastAsiaTheme="majorEastAsia" w:cstheme="majorEastAsia"/>
          <w:kern w:val="2"/>
          <w:sz w:val="24"/>
          <w:szCs w:val="24"/>
          <w:lang w:val="en-US" w:eastAsia="zh-CN" w:bidi="ar-SA"/>
        </w:rPr>
        <w:t>监狱企业证明文件</w:t>
      </w:r>
      <w:bookmarkEnd w:id="413"/>
      <w:bookmarkEnd w:id="414"/>
      <w:bookmarkEnd w:id="415"/>
      <w:bookmarkEnd w:id="416"/>
      <w:bookmarkEnd w:id="417"/>
      <w:r>
        <w:rPr>
          <w:rFonts w:hint="eastAsia" w:asciiTheme="majorEastAsia" w:hAnsiTheme="majorEastAsia" w:eastAsiaTheme="majorEastAsia" w:cstheme="majorEastAsia"/>
          <w:kern w:val="2"/>
          <w:sz w:val="24"/>
          <w:szCs w:val="24"/>
          <w:lang w:val="en-US" w:eastAsia="zh-CN" w:bidi="ar-SA"/>
        </w:rPr>
        <w:t>（若有则提供该项）</w:t>
      </w:r>
      <w:bookmarkEnd w:id="418"/>
      <w:bookmarkEnd w:id="419"/>
    </w:p>
    <w:p>
      <w:pPr>
        <w:keepNext w:val="0"/>
        <w:keepLines w:val="0"/>
        <w:pageBreakBefore w:val="0"/>
        <w:widowControl w:val="0"/>
        <w:kinsoku/>
        <w:wordWrap/>
        <w:overflowPunct/>
        <w:topLinePunct w:val="0"/>
        <w:autoSpaceDE/>
        <w:autoSpaceDN/>
        <w:bidi w:val="0"/>
        <w:adjustRightInd/>
        <w:snapToGrid w:val="0"/>
        <w:spacing w:line="560" w:lineRule="exact"/>
        <w:ind w:firstLine="504"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说明：根据</w:t>
      </w:r>
      <w:r>
        <w:rPr>
          <w:rFonts w:hint="eastAsia" w:asciiTheme="majorEastAsia" w:hAnsiTheme="majorEastAsia" w:eastAsiaTheme="majorEastAsia" w:cstheme="majorEastAsia"/>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jc w:val="right"/>
        <w:rPr>
          <w:rFonts w:hint="eastAsia" w:asciiTheme="majorEastAsia" w:hAnsiTheme="majorEastAsia" w:eastAsiaTheme="majorEastAsia" w:cstheme="majorEastAsia"/>
          <w:b/>
          <w:bCs/>
          <w:spacing w:val="48"/>
          <w:sz w:val="72"/>
          <w:szCs w:val="72"/>
        </w:rPr>
      </w:pPr>
    </w:p>
    <w:p>
      <w:pPr>
        <w:adjustRightInd w:val="0"/>
        <w:snapToGrid w:val="0"/>
        <w:spacing w:line="360" w:lineRule="auto"/>
        <w:jc w:val="center"/>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 xml:space="preserve">                                供应商（单位名称及公章）：</w:t>
      </w:r>
      <w:r>
        <w:rPr>
          <w:rFonts w:hint="eastAsia" w:asciiTheme="majorEastAsia" w:hAnsiTheme="majorEastAsia" w:eastAsiaTheme="majorEastAsia" w:cstheme="majorEastAsia"/>
          <w:sz w:val="24"/>
          <w:u w:val="single"/>
        </w:rPr>
        <w:t xml:space="preserve">                      </w:t>
      </w:r>
    </w:p>
    <w:p>
      <w:pPr>
        <w:spacing w:line="588" w:lineRule="exact"/>
        <w:jc w:val="center"/>
        <w:rPr>
          <w:rFonts w:hint="eastAsia" w:asciiTheme="majorEastAsia" w:hAnsiTheme="majorEastAsia" w:eastAsiaTheme="majorEastAsia" w:cstheme="majorEastAsia"/>
          <w:spacing w:val="6"/>
          <w:sz w:val="24"/>
        </w:rPr>
      </w:pPr>
      <w:r>
        <w:rPr>
          <w:rFonts w:hint="eastAsia" w:asciiTheme="majorEastAsia" w:hAnsiTheme="majorEastAsia" w:eastAsiaTheme="majorEastAsia" w:cstheme="majorEastAsia"/>
          <w:sz w:val="24"/>
        </w:rPr>
        <w:t xml:space="preserve">                              法定代表人/被授权人（签字）：</w:t>
      </w:r>
    </w:p>
    <w:p>
      <w:pPr>
        <w:spacing w:line="588" w:lineRule="exact"/>
        <w:ind w:firstLine="418" w:firstLineChars="16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6"/>
          <w:sz w:val="24"/>
        </w:rPr>
        <w:t xml:space="preserve">                             </w:t>
      </w:r>
      <w:r>
        <w:rPr>
          <w:rFonts w:hint="eastAsia" w:asciiTheme="majorEastAsia" w:hAnsiTheme="majorEastAsia" w:eastAsiaTheme="majorEastAsia" w:cstheme="majorEastAsia"/>
          <w:spacing w:val="6"/>
          <w:sz w:val="24"/>
          <w:lang w:val="en-US" w:eastAsia="zh-CN"/>
        </w:rPr>
        <w:t>日       期</w:t>
      </w:r>
      <w:r>
        <w:rPr>
          <w:rFonts w:hint="eastAsia" w:asciiTheme="majorEastAsia" w:hAnsiTheme="majorEastAsia" w:eastAsiaTheme="majorEastAsia" w:cstheme="majorEastAsia"/>
          <w:spacing w:val="6"/>
          <w:sz w:val="24"/>
        </w:rPr>
        <w:t xml:space="preserve">：    年  月  </w:t>
      </w:r>
      <w:r>
        <w:rPr>
          <w:rFonts w:hint="eastAsia" w:asciiTheme="majorEastAsia" w:hAnsiTheme="majorEastAsia" w:eastAsiaTheme="majorEastAsia" w:cstheme="majorEastAsia"/>
          <w:spacing w:val="6"/>
          <w:sz w:val="24"/>
          <w:lang w:eastAsia="zh-CN"/>
        </w:rPr>
        <w:t>日</w:t>
      </w:r>
    </w:p>
    <w:sectPr>
      <w:pgSz w:w="11906" w:h="16838"/>
      <w:pgMar w:top="1440" w:right="1797" w:bottom="1440" w:left="1797"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仿宋_GB2312" w:hAnsi="仿宋_GB2312" w:eastAsia="仿宋_GB2312" w:cs="黑体"/>
        <w:kern w:val="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 xml:space="preserve">                            </w:t>
    </w:r>
    <w:r>
      <w:rPr>
        <w:rFonts w:hint="eastAsia" w:ascii="仿宋_GB2312" w:hAnsi="仿宋_GB2312" w:eastAsia="仿宋_GB2312" w:cs="黑体"/>
        <w:kern w:val="0"/>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2</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w:t>
    </w:r>
    <w:r>
      <w:rPr>
        <w:rFonts w:hint="eastAsia" w:ascii="仿宋_GB2312" w:hAnsi="仿宋_GB2312" w:eastAsia="仿宋_GB2312" w:cs="黑体"/>
        <w:kern w:val="0"/>
        <w:sz w:val="18"/>
        <w:szCs w:val="18"/>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p>
    <w:pPr>
      <w:pStyle w:val="15"/>
      <w:pBdr>
        <w:bottom w:val="none" w:color="auto" w:sz="0" w:space="1"/>
      </w:pBdr>
      <w:ind w:firstLine="3960" w:firstLineChars="22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4320" w:firstLineChars="2400"/>
      <w:jc w:val="both"/>
      <w:rPr>
        <w:rFonts w:ascii="仿宋_GB2312" w:hAnsi="仿宋_GB2312" w:eastAsia="仿宋_GB231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chineseCountingThousand"/>
      <w:pStyle w:val="47"/>
      <w:lvlText w:val="第%1部分"/>
      <w:lvlJc w:val="left"/>
      <w:pPr>
        <w:ind w:left="1283" w:hanging="432"/>
      </w:pPr>
      <w:rPr>
        <w:rFonts w:hint="eastAsia"/>
      </w:rPr>
    </w:lvl>
    <w:lvl w:ilvl="1" w:tentative="0">
      <w:start w:val="1"/>
      <w:numFmt w:val="decimal"/>
      <w:isLgl/>
      <w:lvlText w:val="%1.%2"/>
      <w:lvlJc w:val="left"/>
      <w:pPr>
        <w:ind w:left="576" w:hanging="576"/>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1">
    <w:nsid w:val="552A671D"/>
    <w:multiLevelType w:val="multilevel"/>
    <w:tmpl w:val="552A671D"/>
    <w:lvl w:ilvl="0" w:tentative="0">
      <w:start w:val="1"/>
      <w:numFmt w:val="chineseCountingThousand"/>
      <w:lvlText w:val="第%1章"/>
      <w:lvlJc w:val="left"/>
      <w:pPr>
        <w:ind w:left="0" w:firstLine="0"/>
      </w:pPr>
      <w:rPr>
        <w:rFonts w:hint="eastAsia"/>
      </w:rPr>
    </w:lvl>
    <w:lvl w:ilvl="1" w:tentative="0">
      <w:start w:val="1"/>
      <w:numFmt w:val="chineseCountingThousand"/>
      <w:lvlText w:val="%2"/>
      <w:lvlJc w:val="left"/>
      <w:pPr>
        <w:ind w:left="0" w:firstLine="0"/>
      </w:pPr>
      <w:rPr>
        <w:rFonts w:hint="eastAsia"/>
      </w:rPr>
    </w:lvl>
    <w:lvl w:ilvl="2" w:tentative="0">
      <w:start w:val="1"/>
      <w:numFmt w:val="decimal"/>
      <w:isLgl/>
      <w:lvlText w:val="%2.%3"/>
      <w:lvlJc w:val="left"/>
      <w:pPr>
        <w:ind w:left="0" w:firstLine="0"/>
      </w:pPr>
      <w:rPr>
        <w:rFonts w:hint="eastAsia"/>
      </w:rPr>
    </w:lvl>
    <w:lvl w:ilvl="3" w:tentative="0">
      <w:start w:val="1"/>
      <w:numFmt w:val="decimal"/>
      <w:pStyle w:val="6"/>
      <w:isLgl/>
      <w:lvlText w:val="%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米">
    <w15:presenceInfo w15:providerId="None" w15:userId="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pos w:val="beneathText"/>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TdlNzU3MDQwYzc1ZTZkMWI0NTk0NjZiNWNhNjkifQ=="/>
  </w:docVars>
  <w:rsids>
    <w:rsidRoot w:val="72737A40"/>
    <w:rsid w:val="00005402"/>
    <w:rsid w:val="00012CFC"/>
    <w:rsid w:val="00025AC5"/>
    <w:rsid w:val="000550AC"/>
    <w:rsid w:val="00056751"/>
    <w:rsid w:val="00065775"/>
    <w:rsid w:val="000730CA"/>
    <w:rsid w:val="00085646"/>
    <w:rsid w:val="00096E46"/>
    <w:rsid w:val="000A15F7"/>
    <w:rsid w:val="000A38A6"/>
    <w:rsid w:val="000B3B49"/>
    <w:rsid w:val="000F38AC"/>
    <w:rsid w:val="000F6170"/>
    <w:rsid w:val="001017B8"/>
    <w:rsid w:val="00120B14"/>
    <w:rsid w:val="00137BF1"/>
    <w:rsid w:val="001411F5"/>
    <w:rsid w:val="00151B27"/>
    <w:rsid w:val="001525DF"/>
    <w:rsid w:val="001621EE"/>
    <w:rsid w:val="0016320C"/>
    <w:rsid w:val="00170870"/>
    <w:rsid w:val="00175312"/>
    <w:rsid w:val="00176C3F"/>
    <w:rsid w:val="00184D80"/>
    <w:rsid w:val="001B0C5F"/>
    <w:rsid w:val="001D6F38"/>
    <w:rsid w:val="00201ED3"/>
    <w:rsid w:val="00206721"/>
    <w:rsid w:val="00212F27"/>
    <w:rsid w:val="00222A41"/>
    <w:rsid w:val="0025097F"/>
    <w:rsid w:val="00250D98"/>
    <w:rsid w:val="00280AA2"/>
    <w:rsid w:val="00281B9A"/>
    <w:rsid w:val="00290AE6"/>
    <w:rsid w:val="002C09F0"/>
    <w:rsid w:val="002C1BDF"/>
    <w:rsid w:val="002C2AF1"/>
    <w:rsid w:val="002C69B3"/>
    <w:rsid w:val="002D05D9"/>
    <w:rsid w:val="002D0C97"/>
    <w:rsid w:val="003075CD"/>
    <w:rsid w:val="0034315E"/>
    <w:rsid w:val="003523C4"/>
    <w:rsid w:val="00383D66"/>
    <w:rsid w:val="003C7620"/>
    <w:rsid w:val="003D2640"/>
    <w:rsid w:val="00423EDE"/>
    <w:rsid w:val="004262DD"/>
    <w:rsid w:val="004311B7"/>
    <w:rsid w:val="00464AB4"/>
    <w:rsid w:val="00471DAD"/>
    <w:rsid w:val="0049520A"/>
    <w:rsid w:val="004A5558"/>
    <w:rsid w:val="004C2F78"/>
    <w:rsid w:val="004D54E4"/>
    <w:rsid w:val="004E0125"/>
    <w:rsid w:val="00505887"/>
    <w:rsid w:val="005256CE"/>
    <w:rsid w:val="00526157"/>
    <w:rsid w:val="00536391"/>
    <w:rsid w:val="00542400"/>
    <w:rsid w:val="00563274"/>
    <w:rsid w:val="005719F7"/>
    <w:rsid w:val="00573CA2"/>
    <w:rsid w:val="0058523E"/>
    <w:rsid w:val="005B71B4"/>
    <w:rsid w:val="005D221D"/>
    <w:rsid w:val="005F3D9E"/>
    <w:rsid w:val="006140F3"/>
    <w:rsid w:val="00614D6E"/>
    <w:rsid w:val="00614EC6"/>
    <w:rsid w:val="00615E4D"/>
    <w:rsid w:val="00632AC7"/>
    <w:rsid w:val="00652622"/>
    <w:rsid w:val="006539B6"/>
    <w:rsid w:val="00676A7C"/>
    <w:rsid w:val="006B0C6B"/>
    <w:rsid w:val="006B1901"/>
    <w:rsid w:val="006C2FDF"/>
    <w:rsid w:val="006D5C2D"/>
    <w:rsid w:val="00730960"/>
    <w:rsid w:val="00741A2F"/>
    <w:rsid w:val="00773EA4"/>
    <w:rsid w:val="00790220"/>
    <w:rsid w:val="00793126"/>
    <w:rsid w:val="007A386D"/>
    <w:rsid w:val="007A47AD"/>
    <w:rsid w:val="007B08F0"/>
    <w:rsid w:val="007C2CB6"/>
    <w:rsid w:val="007C33A4"/>
    <w:rsid w:val="007D6FFE"/>
    <w:rsid w:val="007E3061"/>
    <w:rsid w:val="0080271C"/>
    <w:rsid w:val="00831690"/>
    <w:rsid w:val="00847C6B"/>
    <w:rsid w:val="008609B6"/>
    <w:rsid w:val="00871AA1"/>
    <w:rsid w:val="00872C16"/>
    <w:rsid w:val="00875454"/>
    <w:rsid w:val="00894E1C"/>
    <w:rsid w:val="008A62BA"/>
    <w:rsid w:val="008A6541"/>
    <w:rsid w:val="008B25E8"/>
    <w:rsid w:val="008E3CB7"/>
    <w:rsid w:val="008E588F"/>
    <w:rsid w:val="00902C2A"/>
    <w:rsid w:val="009130BB"/>
    <w:rsid w:val="0091452B"/>
    <w:rsid w:val="00920750"/>
    <w:rsid w:val="00920FE3"/>
    <w:rsid w:val="0096501E"/>
    <w:rsid w:val="00971F23"/>
    <w:rsid w:val="0098424D"/>
    <w:rsid w:val="009950BD"/>
    <w:rsid w:val="009E2A94"/>
    <w:rsid w:val="009E2E00"/>
    <w:rsid w:val="009F2E6D"/>
    <w:rsid w:val="00A36F18"/>
    <w:rsid w:val="00A51919"/>
    <w:rsid w:val="00A565DF"/>
    <w:rsid w:val="00A641FB"/>
    <w:rsid w:val="00A66979"/>
    <w:rsid w:val="00AB27ED"/>
    <w:rsid w:val="00AE5C80"/>
    <w:rsid w:val="00B07AC5"/>
    <w:rsid w:val="00B20DF2"/>
    <w:rsid w:val="00B251AB"/>
    <w:rsid w:val="00B52120"/>
    <w:rsid w:val="00B76409"/>
    <w:rsid w:val="00B8532E"/>
    <w:rsid w:val="00BC1925"/>
    <w:rsid w:val="00BF22B7"/>
    <w:rsid w:val="00C12DE3"/>
    <w:rsid w:val="00C57904"/>
    <w:rsid w:val="00C72C88"/>
    <w:rsid w:val="00C90104"/>
    <w:rsid w:val="00CA116B"/>
    <w:rsid w:val="00CA2914"/>
    <w:rsid w:val="00CB08D5"/>
    <w:rsid w:val="00CC4F9E"/>
    <w:rsid w:val="00CE54A9"/>
    <w:rsid w:val="00CF4C3C"/>
    <w:rsid w:val="00CF6635"/>
    <w:rsid w:val="00CF6814"/>
    <w:rsid w:val="00D1735B"/>
    <w:rsid w:val="00D34624"/>
    <w:rsid w:val="00D35838"/>
    <w:rsid w:val="00D40A5E"/>
    <w:rsid w:val="00D5369A"/>
    <w:rsid w:val="00D60F0A"/>
    <w:rsid w:val="00D672C3"/>
    <w:rsid w:val="00D77B1D"/>
    <w:rsid w:val="00D95A5B"/>
    <w:rsid w:val="00DA0C0B"/>
    <w:rsid w:val="00DA0DCE"/>
    <w:rsid w:val="00DB09EF"/>
    <w:rsid w:val="00DB3427"/>
    <w:rsid w:val="00DB47A3"/>
    <w:rsid w:val="00DE7069"/>
    <w:rsid w:val="00DE7CE9"/>
    <w:rsid w:val="00E020CE"/>
    <w:rsid w:val="00E2075A"/>
    <w:rsid w:val="00E20A5E"/>
    <w:rsid w:val="00E35334"/>
    <w:rsid w:val="00E36B60"/>
    <w:rsid w:val="00E41A52"/>
    <w:rsid w:val="00EA3889"/>
    <w:rsid w:val="00EB085C"/>
    <w:rsid w:val="00EB4CC0"/>
    <w:rsid w:val="00EE5884"/>
    <w:rsid w:val="00F13D53"/>
    <w:rsid w:val="00F2364D"/>
    <w:rsid w:val="00F23AA3"/>
    <w:rsid w:val="00F4479B"/>
    <w:rsid w:val="00F67A18"/>
    <w:rsid w:val="00FB7A8F"/>
    <w:rsid w:val="00FD1870"/>
    <w:rsid w:val="011D7DE6"/>
    <w:rsid w:val="011F4853"/>
    <w:rsid w:val="01254108"/>
    <w:rsid w:val="01311C82"/>
    <w:rsid w:val="01336668"/>
    <w:rsid w:val="016E41F5"/>
    <w:rsid w:val="017505BA"/>
    <w:rsid w:val="017936BE"/>
    <w:rsid w:val="0181585C"/>
    <w:rsid w:val="018502B5"/>
    <w:rsid w:val="01856F72"/>
    <w:rsid w:val="01A5783C"/>
    <w:rsid w:val="01CC7C92"/>
    <w:rsid w:val="01CE6D82"/>
    <w:rsid w:val="01E46D89"/>
    <w:rsid w:val="01F1594A"/>
    <w:rsid w:val="01F43840"/>
    <w:rsid w:val="01FC4409"/>
    <w:rsid w:val="020F54DE"/>
    <w:rsid w:val="020F7B7E"/>
    <w:rsid w:val="02104022"/>
    <w:rsid w:val="0213766F"/>
    <w:rsid w:val="02192071"/>
    <w:rsid w:val="021A45B5"/>
    <w:rsid w:val="02330BA3"/>
    <w:rsid w:val="025043D9"/>
    <w:rsid w:val="02665B89"/>
    <w:rsid w:val="026B589F"/>
    <w:rsid w:val="026F4F90"/>
    <w:rsid w:val="02851EA5"/>
    <w:rsid w:val="02B925B2"/>
    <w:rsid w:val="02B94673"/>
    <w:rsid w:val="02BD75DA"/>
    <w:rsid w:val="02C170CB"/>
    <w:rsid w:val="02CB1CF7"/>
    <w:rsid w:val="02D23086"/>
    <w:rsid w:val="02E35293"/>
    <w:rsid w:val="02F527F7"/>
    <w:rsid w:val="02FA25DD"/>
    <w:rsid w:val="030D2AD3"/>
    <w:rsid w:val="031253A4"/>
    <w:rsid w:val="034D00C6"/>
    <w:rsid w:val="034F46D6"/>
    <w:rsid w:val="035F4006"/>
    <w:rsid w:val="0361440A"/>
    <w:rsid w:val="037E6D6A"/>
    <w:rsid w:val="0380155B"/>
    <w:rsid w:val="03B77173"/>
    <w:rsid w:val="03E74607"/>
    <w:rsid w:val="03E91251"/>
    <w:rsid w:val="040137B6"/>
    <w:rsid w:val="04060E12"/>
    <w:rsid w:val="040C0819"/>
    <w:rsid w:val="04106589"/>
    <w:rsid w:val="0411125D"/>
    <w:rsid w:val="042A3E27"/>
    <w:rsid w:val="042D5D39"/>
    <w:rsid w:val="0431511D"/>
    <w:rsid w:val="043D65E8"/>
    <w:rsid w:val="045118D0"/>
    <w:rsid w:val="04511969"/>
    <w:rsid w:val="04544E40"/>
    <w:rsid w:val="04792DB2"/>
    <w:rsid w:val="0482288A"/>
    <w:rsid w:val="04926F71"/>
    <w:rsid w:val="049A703A"/>
    <w:rsid w:val="04A722F0"/>
    <w:rsid w:val="04A769D2"/>
    <w:rsid w:val="04B01417"/>
    <w:rsid w:val="04D07A99"/>
    <w:rsid w:val="04D33165"/>
    <w:rsid w:val="04E1345E"/>
    <w:rsid w:val="04E54C27"/>
    <w:rsid w:val="04E90B5B"/>
    <w:rsid w:val="04F60677"/>
    <w:rsid w:val="05051F5C"/>
    <w:rsid w:val="052E457B"/>
    <w:rsid w:val="05360AF9"/>
    <w:rsid w:val="053632E2"/>
    <w:rsid w:val="054D10EA"/>
    <w:rsid w:val="054E2C8C"/>
    <w:rsid w:val="05656433"/>
    <w:rsid w:val="057809C7"/>
    <w:rsid w:val="059B0729"/>
    <w:rsid w:val="05A651A6"/>
    <w:rsid w:val="05B84A9E"/>
    <w:rsid w:val="05C022DB"/>
    <w:rsid w:val="05CB2366"/>
    <w:rsid w:val="05CF0D86"/>
    <w:rsid w:val="05E6708C"/>
    <w:rsid w:val="05EA4961"/>
    <w:rsid w:val="05EA5202"/>
    <w:rsid w:val="05EE7ACD"/>
    <w:rsid w:val="060D6388"/>
    <w:rsid w:val="06112117"/>
    <w:rsid w:val="06326D30"/>
    <w:rsid w:val="06426774"/>
    <w:rsid w:val="064E3D79"/>
    <w:rsid w:val="064F2C3F"/>
    <w:rsid w:val="064F67BE"/>
    <w:rsid w:val="065D462F"/>
    <w:rsid w:val="0679640D"/>
    <w:rsid w:val="067E2DCF"/>
    <w:rsid w:val="068C4E50"/>
    <w:rsid w:val="069E79FE"/>
    <w:rsid w:val="06CE625A"/>
    <w:rsid w:val="06D66FA1"/>
    <w:rsid w:val="06E37934"/>
    <w:rsid w:val="070752C8"/>
    <w:rsid w:val="07117EF5"/>
    <w:rsid w:val="07212F4C"/>
    <w:rsid w:val="074612FB"/>
    <w:rsid w:val="075E138C"/>
    <w:rsid w:val="076634FC"/>
    <w:rsid w:val="077B2240"/>
    <w:rsid w:val="077F57A8"/>
    <w:rsid w:val="07836FD8"/>
    <w:rsid w:val="07B40FAC"/>
    <w:rsid w:val="07C665A3"/>
    <w:rsid w:val="07D239B4"/>
    <w:rsid w:val="07DC2648"/>
    <w:rsid w:val="07E17363"/>
    <w:rsid w:val="07E30735"/>
    <w:rsid w:val="07F341CA"/>
    <w:rsid w:val="08003084"/>
    <w:rsid w:val="081669A5"/>
    <w:rsid w:val="0817778D"/>
    <w:rsid w:val="082252C4"/>
    <w:rsid w:val="083668B3"/>
    <w:rsid w:val="084854A3"/>
    <w:rsid w:val="08556065"/>
    <w:rsid w:val="085562D5"/>
    <w:rsid w:val="085F4E79"/>
    <w:rsid w:val="087C0D3B"/>
    <w:rsid w:val="087C3740"/>
    <w:rsid w:val="087E15BA"/>
    <w:rsid w:val="088C3CD7"/>
    <w:rsid w:val="088E4DD1"/>
    <w:rsid w:val="088F5717"/>
    <w:rsid w:val="08A511A3"/>
    <w:rsid w:val="08AF2206"/>
    <w:rsid w:val="08B91AB3"/>
    <w:rsid w:val="08C2594B"/>
    <w:rsid w:val="08D072EC"/>
    <w:rsid w:val="09095327"/>
    <w:rsid w:val="09131E5B"/>
    <w:rsid w:val="092119F0"/>
    <w:rsid w:val="09211FC4"/>
    <w:rsid w:val="09215B17"/>
    <w:rsid w:val="09322736"/>
    <w:rsid w:val="09322FB3"/>
    <w:rsid w:val="094620D8"/>
    <w:rsid w:val="095531D7"/>
    <w:rsid w:val="0969226A"/>
    <w:rsid w:val="098B6820"/>
    <w:rsid w:val="09905A49"/>
    <w:rsid w:val="09962F65"/>
    <w:rsid w:val="099D1932"/>
    <w:rsid w:val="09D41DD9"/>
    <w:rsid w:val="09E24D47"/>
    <w:rsid w:val="0A1E62E5"/>
    <w:rsid w:val="0A200578"/>
    <w:rsid w:val="0A352BB8"/>
    <w:rsid w:val="0A4B3999"/>
    <w:rsid w:val="0A4F7F2D"/>
    <w:rsid w:val="0A564E09"/>
    <w:rsid w:val="0A841ED4"/>
    <w:rsid w:val="0A8569CF"/>
    <w:rsid w:val="0A9009FC"/>
    <w:rsid w:val="0A981059"/>
    <w:rsid w:val="0AA24925"/>
    <w:rsid w:val="0AA7129C"/>
    <w:rsid w:val="0AA83D67"/>
    <w:rsid w:val="0AD215B9"/>
    <w:rsid w:val="0AE0030A"/>
    <w:rsid w:val="0AE41BA8"/>
    <w:rsid w:val="0AEA2297"/>
    <w:rsid w:val="0AEE57D0"/>
    <w:rsid w:val="0AFB5144"/>
    <w:rsid w:val="0AFD5CF7"/>
    <w:rsid w:val="0B0A5AA6"/>
    <w:rsid w:val="0B325376"/>
    <w:rsid w:val="0B3662A4"/>
    <w:rsid w:val="0B3A4D6A"/>
    <w:rsid w:val="0B484C43"/>
    <w:rsid w:val="0B491B09"/>
    <w:rsid w:val="0B504836"/>
    <w:rsid w:val="0B571AFF"/>
    <w:rsid w:val="0B5C3E34"/>
    <w:rsid w:val="0B677F77"/>
    <w:rsid w:val="0B705BDD"/>
    <w:rsid w:val="0B862E3E"/>
    <w:rsid w:val="0B9574CE"/>
    <w:rsid w:val="0BAB24B3"/>
    <w:rsid w:val="0BB15FFC"/>
    <w:rsid w:val="0BF91C77"/>
    <w:rsid w:val="0C0E3ADA"/>
    <w:rsid w:val="0C1464BD"/>
    <w:rsid w:val="0C216E2C"/>
    <w:rsid w:val="0C271556"/>
    <w:rsid w:val="0C292185"/>
    <w:rsid w:val="0C301033"/>
    <w:rsid w:val="0C547201"/>
    <w:rsid w:val="0C563925"/>
    <w:rsid w:val="0C606ED7"/>
    <w:rsid w:val="0C9B4AA5"/>
    <w:rsid w:val="0CAE4382"/>
    <w:rsid w:val="0CB33F28"/>
    <w:rsid w:val="0CC4156E"/>
    <w:rsid w:val="0CD67639"/>
    <w:rsid w:val="0CFE2AD9"/>
    <w:rsid w:val="0D081AE7"/>
    <w:rsid w:val="0D0B5B12"/>
    <w:rsid w:val="0D212DCE"/>
    <w:rsid w:val="0D226786"/>
    <w:rsid w:val="0D3606B5"/>
    <w:rsid w:val="0D367538"/>
    <w:rsid w:val="0D576FA9"/>
    <w:rsid w:val="0D663100"/>
    <w:rsid w:val="0D6B1CB4"/>
    <w:rsid w:val="0D6C40D7"/>
    <w:rsid w:val="0D7C402B"/>
    <w:rsid w:val="0D981069"/>
    <w:rsid w:val="0D9E533A"/>
    <w:rsid w:val="0D9E7620"/>
    <w:rsid w:val="0DA465AD"/>
    <w:rsid w:val="0DC7172C"/>
    <w:rsid w:val="0DCF79AE"/>
    <w:rsid w:val="0DE5387C"/>
    <w:rsid w:val="0DE772F4"/>
    <w:rsid w:val="0DE9084D"/>
    <w:rsid w:val="0DF074ED"/>
    <w:rsid w:val="0DF171E5"/>
    <w:rsid w:val="0DF44EB8"/>
    <w:rsid w:val="0E000372"/>
    <w:rsid w:val="0E252A96"/>
    <w:rsid w:val="0E2C43A9"/>
    <w:rsid w:val="0E3144EC"/>
    <w:rsid w:val="0E3878FF"/>
    <w:rsid w:val="0E455054"/>
    <w:rsid w:val="0E511C4A"/>
    <w:rsid w:val="0E512EAD"/>
    <w:rsid w:val="0E576934"/>
    <w:rsid w:val="0E5E546D"/>
    <w:rsid w:val="0E7D11ED"/>
    <w:rsid w:val="0E9677DF"/>
    <w:rsid w:val="0ECA183E"/>
    <w:rsid w:val="0EE02FCE"/>
    <w:rsid w:val="0EE364DB"/>
    <w:rsid w:val="0EE73BAC"/>
    <w:rsid w:val="0EF804CA"/>
    <w:rsid w:val="0F1D4D59"/>
    <w:rsid w:val="0F2033CB"/>
    <w:rsid w:val="0F2E0181"/>
    <w:rsid w:val="0F492381"/>
    <w:rsid w:val="0F4C035A"/>
    <w:rsid w:val="0F586B1D"/>
    <w:rsid w:val="0F5F2145"/>
    <w:rsid w:val="0F614EB1"/>
    <w:rsid w:val="0F766C32"/>
    <w:rsid w:val="0F7E74BB"/>
    <w:rsid w:val="0F9558A4"/>
    <w:rsid w:val="0F9577D6"/>
    <w:rsid w:val="0F981F69"/>
    <w:rsid w:val="0FB94845"/>
    <w:rsid w:val="0FC20D0E"/>
    <w:rsid w:val="0FE56BEA"/>
    <w:rsid w:val="0FF22FB9"/>
    <w:rsid w:val="0FF23DB4"/>
    <w:rsid w:val="0FF7237E"/>
    <w:rsid w:val="0FF90354"/>
    <w:rsid w:val="10005AFD"/>
    <w:rsid w:val="10032E72"/>
    <w:rsid w:val="1021564D"/>
    <w:rsid w:val="102962AF"/>
    <w:rsid w:val="10383BFB"/>
    <w:rsid w:val="103B29C8"/>
    <w:rsid w:val="104F21BA"/>
    <w:rsid w:val="10592F65"/>
    <w:rsid w:val="10857989"/>
    <w:rsid w:val="10AB4F16"/>
    <w:rsid w:val="10B244F7"/>
    <w:rsid w:val="10B35AD2"/>
    <w:rsid w:val="10B70B4D"/>
    <w:rsid w:val="10B77D5F"/>
    <w:rsid w:val="10B84337"/>
    <w:rsid w:val="10D30835"/>
    <w:rsid w:val="10D34C56"/>
    <w:rsid w:val="10D4446D"/>
    <w:rsid w:val="10EA3E1B"/>
    <w:rsid w:val="1102785C"/>
    <w:rsid w:val="1125116C"/>
    <w:rsid w:val="112A6783"/>
    <w:rsid w:val="112F182A"/>
    <w:rsid w:val="11312313"/>
    <w:rsid w:val="11327A0A"/>
    <w:rsid w:val="115B4B8E"/>
    <w:rsid w:val="11656F47"/>
    <w:rsid w:val="116752F4"/>
    <w:rsid w:val="116754EB"/>
    <w:rsid w:val="116F23E8"/>
    <w:rsid w:val="117874EE"/>
    <w:rsid w:val="1179257A"/>
    <w:rsid w:val="119105B0"/>
    <w:rsid w:val="119836EC"/>
    <w:rsid w:val="119C2329"/>
    <w:rsid w:val="11A2456B"/>
    <w:rsid w:val="11A90B6C"/>
    <w:rsid w:val="11AC3E6D"/>
    <w:rsid w:val="11B11303"/>
    <w:rsid w:val="11C646FD"/>
    <w:rsid w:val="11CC7536"/>
    <w:rsid w:val="11CD6FF8"/>
    <w:rsid w:val="11CF7E49"/>
    <w:rsid w:val="11D905C4"/>
    <w:rsid w:val="11E378C4"/>
    <w:rsid w:val="11EB4164"/>
    <w:rsid w:val="11F67BEF"/>
    <w:rsid w:val="11FA5A8C"/>
    <w:rsid w:val="11FA6155"/>
    <w:rsid w:val="12110822"/>
    <w:rsid w:val="12146881"/>
    <w:rsid w:val="121557C2"/>
    <w:rsid w:val="12164FE2"/>
    <w:rsid w:val="122B5BA5"/>
    <w:rsid w:val="123851B5"/>
    <w:rsid w:val="12486EC1"/>
    <w:rsid w:val="124D097B"/>
    <w:rsid w:val="125573C2"/>
    <w:rsid w:val="125969B4"/>
    <w:rsid w:val="12641821"/>
    <w:rsid w:val="12802AFE"/>
    <w:rsid w:val="12A14108"/>
    <w:rsid w:val="12B24C82"/>
    <w:rsid w:val="12B96BF5"/>
    <w:rsid w:val="12C23BE2"/>
    <w:rsid w:val="12C50CDD"/>
    <w:rsid w:val="12C67F4B"/>
    <w:rsid w:val="12CD28CA"/>
    <w:rsid w:val="12D336AE"/>
    <w:rsid w:val="12DB4DB8"/>
    <w:rsid w:val="12DF4EFE"/>
    <w:rsid w:val="12F62DC0"/>
    <w:rsid w:val="12FF7D23"/>
    <w:rsid w:val="130B30BD"/>
    <w:rsid w:val="13312097"/>
    <w:rsid w:val="133121D7"/>
    <w:rsid w:val="13312991"/>
    <w:rsid w:val="133A4DCA"/>
    <w:rsid w:val="133C354A"/>
    <w:rsid w:val="133E79C2"/>
    <w:rsid w:val="134A5EB7"/>
    <w:rsid w:val="1353029C"/>
    <w:rsid w:val="135A45D0"/>
    <w:rsid w:val="139C7A7B"/>
    <w:rsid w:val="13A26AA4"/>
    <w:rsid w:val="13B35CEB"/>
    <w:rsid w:val="13B531DF"/>
    <w:rsid w:val="13C07276"/>
    <w:rsid w:val="13CC0B43"/>
    <w:rsid w:val="13D548AF"/>
    <w:rsid w:val="13ED4ADA"/>
    <w:rsid w:val="141F6347"/>
    <w:rsid w:val="14302273"/>
    <w:rsid w:val="1441006B"/>
    <w:rsid w:val="14494156"/>
    <w:rsid w:val="14502381"/>
    <w:rsid w:val="14696ED7"/>
    <w:rsid w:val="14887A48"/>
    <w:rsid w:val="148937C0"/>
    <w:rsid w:val="148D5715"/>
    <w:rsid w:val="14A82274"/>
    <w:rsid w:val="14E400D7"/>
    <w:rsid w:val="14EF688D"/>
    <w:rsid w:val="15005D43"/>
    <w:rsid w:val="15177090"/>
    <w:rsid w:val="15227E9D"/>
    <w:rsid w:val="152D016F"/>
    <w:rsid w:val="152E25CD"/>
    <w:rsid w:val="155344FA"/>
    <w:rsid w:val="1562473D"/>
    <w:rsid w:val="15627FFF"/>
    <w:rsid w:val="15824CEA"/>
    <w:rsid w:val="158D7C98"/>
    <w:rsid w:val="15A15C4F"/>
    <w:rsid w:val="15A2010C"/>
    <w:rsid w:val="15A76506"/>
    <w:rsid w:val="15B817B2"/>
    <w:rsid w:val="15BC4E6D"/>
    <w:rsid w:val="15C03212"/>
    <w:rsid w:val="15C411C7"/>
    <w:rsid w:val="15C62C57"/>
    <w:rsid w:val="15C90BD8"/>
    <w:rsid w:val="15CC1E28"/>
    <w:rsid w:val="15D73C01"/>
    <w:rsid w:val="15EA64E1"/>
    <w:rsid w:val="15EE7CF1"/>
    <w:rsid w:val="15F16875"/>
    <w:rsid w:val="16092E0B"/>
    <w:rsid w:val="161517B0"/>
    <w:rsid w:val="163D0D06"/>
    <w:rsid w:val="163D2C63"/>
    <w:rsid w:val="16471021"/>
    <w:rsid w:val="165027E8"/>
    <w:rsid w:val="165D1BF5"/>
    <w:rsid w:val="1662251B"/>
    <w:rsid w:val="166A42FA"/>
    <w:rsid w:val="16804B0A"/>
    <w:rsid w:val="1695469E"/>
    <w:rsid w:val="169832CB"/>
    <w:rsid w:val="16985F3D"/>
    <w:rsid w:val="16993977"/>
    <w:rsid w:val="16AA5090"/>
    <w:rsid w:val="16B651E8"/>
    <w:rsid w:val="16BE22E4"/>
    <w:rsid w:val="16BF171B"/>
    <w:rsid w:val="16CB0AAD"/>
    <w:rsid w:val="16D2515C"/>
    <w:rsid w:val="16DB47A7"/>
    <w:rsid w:val="16E13D01"/>
    <w:rsid w:val="16E408F0"/>
    <w:rsid w:val="16EA7C57"/>
    <w:rsid w:val="16EE6ACA"/>
    <w:rsid w:val="16EF0253"/>
    <w:rsid w:val="1703785A"/>
    <w:rsid w:val="173049A4"/>
    <w:rsid w:val="17410382"/>
    <w:rsid w:val="175879B6"/>
    <w:rsid w:val="17644197"/>
    <w:rsid w:val="17756763"/>
    <w:rsid w:val="177E0C83"/>
    <w:rsid w:val="1786315A"/>
    <w:rsid w:val="17990000"/>
    <w:rsid w:val="179E57D5"/>
    <w:rsid w:val="17A10581"/>
    <w:rsid w:val="17A56B63"/>
    <w:rsid w:val="17A64ED9"/>
    <w:rsid w:val="17C42C54"/>
    <w:rsid w:val="17C639F7"/>
    <w:rsid w:val="17DC4CA9"/>
    <w:rsid w:val="17E7717C"/>
    <w:rsid w:val="17EA27C8"/>
    <w:rsid w:val="17EA5EA0"/>
    <w:rsid w:val="17F52807"/>
    <w:rsid w:val="181B0BD3"/>
    <w:rsid w:val="18291542"/>
    <w:rsid w:val="184E20B4"/>
    <w:rsid w:val="18506ACF"/>
    <w:rsid w:val="185A5BA0"/>
    <w:rsid w:val="186341CF"/>
    <w:rsid w:val="1881312C"/>
    <w:rsid w:val="1890654E"/>
    <w:rsid w:val="18921432"/>
    <w:rsid w:val="189214CC"/>
    <w:rsid w:val="189F1804"/>
    <w:rsid w:val="18AD57B4"/>
    <w:rsid w:val="18AE5D84"/>
    <w:rsid w:val="18CB74A8"/>
    <w:rsid w:val="18E408B3"/>
    <w:rsid w:val="18E630FA"/>
    <w:rsid w:val="19062305"/>
    <w:rsid w:val="192C26C9"/>
    <w:rsid w:val="193548DD"/>
    <w:rsid w:val="1942537E"/>
    <w:rsid w:val="194E2712"/>
    <w:rsid w:val="197A0A4E"/>
    <w:rsid w:val="1984725D"/>
    <w:rsid w:val="19883568"/>
    <w:rsid w:val="199C5682"/>
    <w:rsid w:val="19AC4831"/>
    <w:rsid w:val="19BC0CD5"/>
    <w:rsid w:val="19D066D8"/>
    <w:rsid w:val="19D91BAB"/>
    <w:rsid w:val="19DE648A"/>
    <w:rsid w:val="19E020D4"/>
    <w:rsid w:val="19EB7932"/>
    <w:rsid w:val="19F42E97"/>
    <w:rsid w:val="1A132439"/>
    <w:rsid w:val="1A15752C"/>
    <w:rsid w:val="1A361CF4"/>
    <w:rsid w:val="1A4A5F7E"/>
    <w:rsid w:val="1A4D6AF0"/>
    <w:rsid w:val="1A4F2DB6"/>
    <w:rsid w:val="1A5F124B"/>
    <w:rsid w:val="1A613215"/>
    <w:rsid w:val="1A674452"/>
    <w:rsid w:val="1A6B4D65"/>
    <w:rsid w:val="1A7A2FC5"/>
    <w:rsid w:val="1A841116"/>
    <w:rsid w:val="1A8A2439"/>
    <w:rsid w:val="1AA228CB"/>
    <w:rsid w:val="1ABF618E"/>
    <w:rsid w:val="1AC70911"/>
    <w:rsid w:val="1AD734D7"/>
    <w:rsid w:val="1AD763F7"/>
    <w:rsid w:val="1ADE4A83"/>
    <w:rsid w:val="1AE17E02"/>
    <w:rsid w:val="1AE856E5"/>
    <w:rsid w:val="1B1B0D4D"/>
    <w:rsid w:val="1B31488A"/>
    <w:rsid w:val="1B4424BC"/>
    <w:rsid w:val="1B4B1E88"/>
    <w:rsid w:val="1B5407D2"/>
    <w:rsid w:val="1B583C48"/>
    <w:rsid w:val="1B59213E"/>
    <w:rsid w:val="1B5E3CE6"/>
    <w:rsid w:val="1B691493"/>
    <w:rsid w:val="1B943177"/>
    <w:rsid w:val="1B97769C"/>
    <w:rsid w:val="1B99078D"/>
    <w:rsid w:val="1B9E69F1"/>
    <w:rsid w:val="1BA754F4"/>
    <w:rsid w:val="1BC95034"/>
    <w:rsid w:val="1BCA58E3"/>
    <w:rsid w:val="1BD87507"/>
    <w:rsid w:val="1BDB74FF"/>
    <w:rsid w:val="1BDC38F3"/>
    <w:rsid w:val="1BE90027"/>
    <w:rsid w:val="1BF1653B"/>
    <w:rsid w:val="1C055D03"/>
    <w:rsid w:val="1C064310"/>
    <w:rsid w:val="1C1C4F1A"/>
    <w:rsid w:val="1C2F4C4D"/>
    <w:rsid w:val="1C390A83"/>
    <w:rsid w:val="1C450915"/>
    <w:rsid w:val="1C50050E"/>
    <w:rsid w:val="1C504DE5"/>
    <w:rsid w:val="1C5322E7"/>
    <w:rsid w:val="1C6D0F4E"/>
    <w:rsid w:val="1C7B0B74"/>
    <w:rsid w:val="1C8A0001"/>
    <w:rsid w:val="1C970F4B"/>
    <w:rsid w:val="1CAC442B"/>
    <w:rsid w:val="1CB726C5"/>
    <w:rsid w:val="1CC85DBC"/>
    <w:rsid w:val="1CC863BE"/>
    <w:rsid w:val="1CCB2BC8"/>
    <w:rsid w:val="1CDF0421"/>
    <w:rsid w:val="1CE05910"/>
    <w:rsid w:val="1CF37985"/>
    <w:rsid w:val="1D0E259E"/>
    <w:rsid w:val="1D0F71C2"/>
    <w:rsid w:val="1D1536BC"/>
    <w:rsid w:val="1D217CD3"/>
    <w:rsid w:val="1D2C4453"/>
    <w:rsid w:val="1D2C73FF"/>
    <w:rsid w:val="1D2E7D80"/>
    <w:rsid w:val="1D467C4A"/>
    <w:rsid w:val="1D4F4B2C"/>
    <w:rsid w:val="1D50244A"/>
    <w:rsid w:val="1D512486"/>
    <w:rsid w:val="1D566E09"/>
    <w:rsid w:val="1D5E7575"/>
    <w:rsid w:val="1D621AB8"/>
    <w:rsid w:val="1D631052"/>
    <w:rsid w:val="1D747A57"/>
    <w:rsid w:val="1D7857F6"/>
    <w:rsid w:val="1D7F75CB"/>
    <w:rsid w:val="1D8E1F47"/>
    <w:rsid w:val="1D951428"/>
    <w:rsid w:val="1DA43419"/>
    <w:rsid w:val="1DA877F3"/>
    <w:rsid w:val="1DAA0C9D"/>
    <w:rsid w:val="1DAE1F56"/>
    <w:rsid w:val="1DEA1774"/>
    <w:rsid w:val="1E013D44"/>
    <w:rsid w:val="1E0A7720"/>
    <w:rsid w:val="1E1C4674"/>
    <w:rsid w:val="1E381537"/>
    <w:rsid w:val="1E3E386E"/>
    <w:rsid w:val="1E625F6A"/>
    <w:rsid w:val="1E690E6D"/>
    <w:rsid w:val="1E737E95"/>
    <w:rsid w:val="1E760D28"/>
    <w:rsid w:val="1E92317D"/>
    <w:rsid w:val="1E9D6E6E"/>
    <w:rsid w:val="1EAA7D3E"/>
    <w:rsid w:val="1EB06519"/>
    <w:rsid w:val="1EB552DF"/>
    <w:rsid w:val="1EBC1AE8"/>
    <w:rsid w:val="1EC952EF"/>
    <w:rsid w:val="1ECA589A"/>
    <w:rsid w:val="1ED0750B"/>
    <w:rsid w:val="1ED67D6B"/>
    <w:rsid w:val="1EEC32CA"/>
    <w:rsid w:val="1F0B3750"/>
    <w:rsid w:val="1F257A72"/>
    <w:rsid w:val="1F310EAE"/>
    <w:rsid w:val="1F5A362F"/>
    <w:rsid w:val="1F5A6485"/>
    <w:rsid w:val="1F605D9B"/>
    <w:rsid w:val="1F7E03C6"/>
    <w:rsid w:val="1F7F7C9A"/>
    <w:rsid w:val="1F830BB5"/>
    <w:rsid w:val="1F840D70"/>
    <w:rsid w:val="1F910276"/>
    <w:rsid w:val="1F9E3DCE"/>
    <w:rsid w:val="1FA15C13"/>
    <w:rsid w:val="1FA61BF1"/>
    <w:rsid w:val="1FB3582D"/>
    <w:rsid w:val="1FC574F1"/>
    <w:rsid w:val="1FC57DA2"/>
    <w:rsid w:val="1FCF312F"/>
    <w:rsid w:val="1FD91AA0"/>
    <w:rsid w:val="1FD94767"/>
    <w:rsid w:val="1FDC5957"/>
    <w:rsid w:val="1FE70691"/>
    <w:rsid w:val="1FE81CE3"/>
    <w:rsid w:val="1FFF5D71"/>
    <w:rsid w:val="20034DFA"/>
    <w:rsid w:val="201756F0"/>
    <w:rsid w:val="201E6EE5"/>
    <w:rsid w:val="202F53FF"/>
    <w:rsid w:val="20331FBB"/>
    <w:rsid w:val="203C73DC"/>
    <w:rsid w:val="205E67DA"/>
    <w:rsid w:val="20663E19"/>
    <w:rsid w:val="207215AC"/>
    <w:rsid w:val="20990CFD"/>
    <w:rsid w:val="20992FDD"/>
    <w:rsid w:val="20B702B7"/>
    <w:rsid w:val="20B97787"/>
    <w:rsid w:val="20C462AC"/>
    <w:rsid w:val="20D56D2C"/>
    <w:rsid w:val="20E01A64"/>
    <w:rsid w:val="20E15A18"/>
    <w:rsid w:val="20E51DA6"/>
    <w:rsid w:val="20F56186"/>
    <w:rsid w:val="20FA7FCC"/>
    <w:rsid w:val="20FB2922"/>
    <w:rsid w:val="21087205"/>
    <w:rsid w:val="211F08E9"/>
    <w:rsid w:val="212154AC"/>
    <w:rsid w:val="21282578"/>
    <w:rsid w:val="212A1275"/>
    <w:rsid w:val="21412940"/>
    <w:rsid w:val="21442D51"/>
    <w:rsid w:val="214D1CA5"/>
    <w:rsid w:val="215744B9"/>
    <w:rsid w:val="2161548B"/>
    <w:rsid w:val="2167073C"/>
    <w:rsid w:val="219A700D"/>
    <w:rsid w:val="21A52E93"/>
    <w:rsid w:val="21C1459A"/>
    <w:rsid w:val="21C30312"/>
    <w:rsid w:val="21C422DC"/>
    <w:rsid w:val="21DA1AFF"/>
    <w:rsid w:val="21E30DB2"/>
    <w:rsid w:val="21E96A9F"/>
    <w:rsid w:val="22153067"/>
    <w:rsid w:val="221C174E"/>
    <w:rsid w:val="222543D6"/>
    <w:rsid w:val="22350543"/>
    <w:rsid w:val="22513B6F"/>
    <w:rsid w:val="225D0D4D"/>
    <w:rsid w:val="226B2757"/>
    <w:rsid w:val="22737F8A"/>
    <w:rsid w:val="228B09AF"/>
    <w:rsid w:val="228D352F"/>
    <w:rsid w:val="22B10AB2"/>
    <w:rsid w:val="22CC769A"/>
    <w:rsid w:val="22D83544"/>
    <w:rsid w:val="22DE1ACA"/>
    <w:rsid w:val="22FF7862"/>
    <w:rsid w:val="23007343"/>
    <w:rsid w:val="23045142"/>
    <w:rsid w:val="23135ED4"/>
    <w:rsid w:val="232003A8"/>
    <w:rsid w:val="23210002"/>
    <w:rsid w:val="23271337"/>
    <w:rsid w:val="233033AC"/>
    <w:rsid w:val="234D2187"/>
    <w:rsid w:val="23501E59"/>
    <w:rsid w:val="235E0BE7"/>
    <w:rsid w:val="236B6EB3"/>
    <w:rsid w:val="23871813"/>
    <w:rsid w:val="23CA1C21"/>
    <w:rsid w:val="23D21DD1"/>
    <w:rsid w:val="23DB3666"/>
    <w:rsid w:val="23EB1DA2"/>
    <w:rsid w:val="23FD1329"/>
    <w:rsid w:val="24346082"/>
    <w:rsid w:val="243F38C6"/>
    <w:rsid w:val="245068E0"/>
    <w:rsid w:val="245C67FB"/>
    <w:rsid w:val="246029C5"/>
    <w:rsid w:val="24763EB4"/>
    <w:rsid w:val="247E49C4"/>
    <w:rsid w:val="24857B00"/>
    <w:rsid w:val="24977834"/>
    <w:rsid w:val="24A73B7F"/>
    <w:rsid w:val="24AA2043"/>
    <w:rsid w:val="24D42838"/>
    <w:rsid w:val="24DB3BC4"/>
    <w:rsid w:val="24E56A5D"/>
    <w:rsid w:val="24EF3AFC"/>
    <w:rsid w:val="24F627AC"/>
    <w:rsid w:val="24FA6740"/>
    <w:rsid w:val="24FB7427"/>
    <w:rsid w:val="24FE5B05"/>
    <w:rsid w:val="250742D6"/>
    <w:rsid w:val="250D5C63"/>
    <w:rsid w:val="251271E8"/>
    <w:rsid w:val="252F724E"/>
    <w:rsid w:val="25354E09"/>
    <w:rsid w:val="2536037B"/>
    <w:rsid w:val="25382DC5"/>
    <w:rsid w:val="25737719"/>
    <w:rsid w:val="257656A6"/>
    <w:rsid w:val="25846D1C"/>
    <w:rsid w:val="25923864"/>
    <w:rsid w:val="25951FC5"/>
    <w:rsid w:val="25957CEB"/>
    <w:rsid w:val="259A582D"/>
    <w:rsid w:val="259C0970"/>
    <w:rsid w:val="25B8626D"/>
    <w:rsid w:val="25BE656C"/>
    <w:rsid w:val="25CA5EA7"/>
    <w:rsid w:val="25F742AF"/>
    <w:rsid w:val="26037125"/>
    <w:rsid w:val="260678C3"/>
    <w:rsid w:val="26243349"/>
    <w:rsid w:val="264E4CD4"/>
    <w:rsid w:val="267C13D7"/>
    <w:rsid w:val="26896468"/>
    <w:rsid w:val="269D3CA9"/>
    <w:rsid w:val="26DB2A7C"/>
    <w:rsid w:val="26DE4844"/>
    <w:rsid w:val="2707113A"/>
    <w:rsid w:val="27081D67"/>
    <w:rsid w:val="27205EB7"/>
    <w:rsid w:val="27226162"/>
    <w:rsid w:val="27250EC8"/>
    <w:rsid w:val="272C4F96"/>
    <w:rsid w:val="273042AF"/>
    <w:rsid w:val="27321A96"/>
    <w:rsid w:val="274A4C06"/>
    <w:rsid w:val="274F0899"/>
    <w:rsid w:val="27532138"/>
    <w:rsid w:val="27561C28"/>
    <w:rsid w:val="27762667"/>
    <w:rsid w:val="277B343D"/>
    <w:rsid w:val="277D7F56"/>
    <w:rsid w:val="279919E9"/>
    <w:rsid w:val="27A5535E"/>
    <w:rsid w:val="27AF5D57"/>
    <w:rsid w:val="27B23302"/>
    <w:rsid w:val="27C02D65"/>
    <w:rsid w:val="27DB2EAA"/>
    <w:rsid w:val="27E67C7E"/>
    <w:rsid w:val="27F136FF"/>
    <w:rsid w:val="280D4AA3"/>
    <w:rsid w:val="281A1FE6"/>
    <w:rsid w:val="28263197"/>
    <w:rsid w:val="28264212"/>
    <w:rsid w:val="2828680E"/>
    <w:rsid w:val="28355139"/>
    <w:rsid w:val="28592385"/>
    <w:rsid w:val="286D63BA"/>
    <w:rsid w:val="2875726B"/>
    <w:rsid w:val="287F448B"/>
    <w:rsid w:val="28872885"/>
    <w:rsid w:val="289158DA"/>
    <w:rsid w:val="28942A08"/>
    <w:rsid w:val="28971113"/>
    <w:rsid w:val="28975406"/>
    <w:rsid w:val="289A440B"/>
    <w:rsid w:val="28B75C79"/>
    <w:rsid w:val="28C4416B"/>
    <w:rsid w:val="28CF221C"/>
    <w:rsid w:val="28E52223"/>
    <w:rsid w:val="28EC762F"/>
    <w:rsid w:val="290468D0"/>
    <w:rsid w:val="290A7193"/>
    <w:rsid w:val="291578E5"/>
    <w:rsid w:val="29164D99"/>
    <w:rsid w:val="291853E7"/>
    <w:rsid w:val="291B68C0"/>
    <w:rsid w:val="292B7947"/>
    <w:rsid w:val="293614CD"/>
    <w:rsid w:val="294F7E64"/>
    <w:rsid w:val="29531DA5"/>
    <w:rsid w:val="29680339"/>
    <w:rsid w:val="29692C59"/>
    <w:rsid w:val="29714AF7"/>
    <w:rsid w:val="29971101"/>
    <w:rsid w:val="29BE57C4"/>
    <w:rsid w:val="29C46476"/>
    <w:rsid w:val="29DF577A"/>
    <w:rsid w:val="29E35C17"/>
    <w:rsid w:val="29ED6979"/>
    <w:rsid w:val="29F349AD"/>
    <w:rsid w:val="29F6769B"/>
    <w:rsid w:val="29FA2D3E"/>
    <w:rsid w:val="2A011D98"/>
    <w:rsid w:val="2A0B4F4C"/>
    <w:rsid w:val="2A0E1038"/>
    <w:rsid w:val="2A1E7774"/>
    <w:rsid w:val="2A2A637C"/>
    <w:rsid w:val="2A321A45"/>
    <w:rsid w:val="2A3833D0"/>
    <w:rsid w:val="2A396A65"/>
    <w:rsid w:val="2A573CED"/>
    <w:rsid w:val="2A5C1303"/>
    <w:rsid w:val="2A690B44"/>
    <w:rsid w:val="2A756869"/>
    <w:rsid w:val="2A824759"/>
    <w:rsid w:val="2AA552A2"/>
    <w:rsid w:val="2AA622BE"/>
    <w:rsid w:val="2AB0525A"/>
    <w:rsid w:val="2AB729DE"/>
    <w:rsid w:val="2ABA7FDC"/>
    <w:rsid w:val="2ABF2A8A"/>
    <w:rsid w:val="2AC90E6B"/>
    <w:rsid w:val="2ACB23B3"/>
    <w:rsid w:val="2AF36DAF"/>
    <w:rsid w:val="2AFB3A51"/>
    <w:rsid w:val="2B0566A8"/>
    <w:rsid w:val="2B25203D"/>
    <w:rsid w:val="2B2D4A4E"/>
    <w:rsid w:val="2B3F77AF"/>
    <w:rsid w:val="2B424C06"/>
    <w:rsid w:val="2B5244B4"/>
    <w:rsid w:val="2B771322"/>
    <w:rsid w:val="2B880F75"/>
    <w:rsid w:val="2BA030A5"/>
    <w:rsid w:val="2BAF1907"/>
    <w:rsid w:val="2BB1742D"/>
    <w:rsid w:val="2BB17639"/>
    <w:rsid w:val="2BB7733B"/>
    <w:rsid w:val="2BB972CC"/>
    <w:rsid w:val="2BCC4AAF"/>
    <w:rsid w:val="2BCE45AE"/>
    <w:rsid w:val="2BE07A80"/>
    <w:rsid w:val="2BE63183"/>
    <w:rsid w:val="2BFE0303"/>
    <w:rsid w:val="2C040C81"/>
    <w:rsid w:val="2C0C4FAB"/>
    <w:rsid w:val="2C1005F7"/>
    <w:rsid w:val="2C1035F2"/>
    <w:rsid w:val="2C1E21C8"/>
    <w:rsid w:val="2C2A71DF"/>
    <w:rsid w:val="2C2B37B0"/>
    <w:rsid w:val="2C6F33AD"/>
    <w:rsid w:val="2C7C5FAE"/>
    <w:rsid w:val="2C8E3C12"/>
    <w:rsid w:val="2C9C632F"/>
    <w:rsid w:val="2CA70830"/>
    <w:rsid w:val="2CB7490F"/>
    <w:rsid w:val="2CCE7FA6"/>
    <w:rsid w:val="2CE57D65"/>
    <w:rsid w:val="2CF55EBF"/>
    <w:rsid w:val="2D0636EB"/>
    <w:rsid w:val="2D142369"/>
    <w:rsid w:val="2D14472B"/>
    <w:rsid w:val="2D2D51D9"/>
    <w:rsid w:val="2D3A234F"/>
    <w:rsid w:val="2D42253E"/>
    <w:rsid w:val="2D4575F5"/>
    <w:rsid w:val="2D480A7B"/>
    <w:rsid w:val="2D662601"/>
    <w:rsid w:val="2D6A01DB"/>
    <w:rsid w:val="2D74599B"/>
    <w:rsid w:val="2D746964"/>
    <w:rsid w:val="2D8A6919"/>
    <w:rsid w:val="2D8F7C42"/>
    <w:rsid w:val="2D932550"/>
    <w:rsid w:val="2D9640C1"/>
    <w:rsid w:val="2D986AF6"/>
    <w:rsid w:val="2D9E07DC"/>
    <w:rsid w:val="2DA216C6"/>
    <w:rsid w:val="2DAD00C8"/>
    <w:rsid w:val="2DCA2A28"/>
    <w:rsid w:val="2DE547E8"/>
    <w:rsid w:val="2DE604CB"/>
    <w:rsid w:val="2DF13EC7"/>
    <w:rsid w:val="2DF27A43"/>
    <w:rsid w:val="2DF4421E"/>
    <w:rsid w:val="2DFE506A"/>
    <w:rsid w:val="2E0A72C8"/>
    <w:rsid w:val="2E0E0B66"/>
    <w:rsid w:val="2E115887"/>
    <w:rsid w:val="2E2F41DA"/>
    <w:rsid w:val="2E334A71"/>
    <w:rsid w:val="2E385BE3"/>
    <w:rsid w:val="2E433B40"/>
    <w:rsid w:val="2E4C78E1"/>
    <w:rsid w:val="2E4E2E7B"/>
    <w:rsid w:val="2E624D5F"/>
    <w:rsid w:val="2E9350DE"/>
    <w:rsid w:val="2E9371E4"/>
    <w:rsid w:val="2E955098"/>
    <w:rsid w:val="2E985DCA"/>
    <w:rsid w:val="2EDA4EED"/>
    <w:rsid w:val="2EDB0390"/>
    <w:rsid w:val="2EDD08EE"/>
    <w:rsid w:val="2EE66354"/>
    <w:rsid w:val="2EF02962"/>
    <w:rsid w:val="2F045B31"/>
    <w:rsid w:val="2F297F69"/>
    <w:rsid w:val="2F302933"/>
    <w:rsid w:val="2F3D006C"/>
    <w:rsid w:val="2F4800A8"/>
    <w:rsid w:val="2F4E38DA"/>
    <w:rsid w:val="2F544C9F"/>
    <w:rsid w:val="2F546A4D"/>
    <w:rsid w:val="2F631386"/>
    <w:rsid w:val="2F6B77C6"/>
    <w:rsid w:val="2F710094"/>
    <w:rsid w:val="2F910260"/>
    <w:rsid w:val="2FA51301"/>
    <w:rsid w:val="2FC516F9"/>
    <w:rsid w:val="2FCE2CA3"/>
    <w:rsid w:val="2FF7065F"/>
    <w:rsid w:val="30086CAC"/>
    <w:rsid w:val="30090904"/>
    <w:rsid w:val="301D22EB"/>
    <w:rsid w:val="30274161"/>
    <w:rsid w:val="303D0A8C"/>
    <w:rsid w:val="303D5733"/>
    <w:rsid w:val="30413913"/>
    <w:rsid w:val="30481C49"/>
    <w:rsid w:val="30814C4E"/>
    <w:rsid w:val="30A9101A"/>
    <w:rsid w:val="30AC5B2B"/>
    <w:rsid w:val="30AE6631"/>
    <w:rsid w:val="30BA764F"/>
    <w:rsid w:val="30C220DC"/>
    <w:rsid w:val="30DA6A23"/>
    <w:rsid w:val="30F37A9E"/>
    <w:rsid w:val="31096C0B"/>
    <w:rsid w:val="310A2354"/>
    <w:rsid w:val="3115220C"/>
    <w:rsid w:val="31181CFC"/>
    <w:rsid w:val="311E6A16"/>
    <w:rsid w:val="313C3C3D"/>
    <w:rsid w:val="313D165F"/>
    <w:rsid w:val="313E1763"/>
    <w:rsid w:val="315E40AF"/>
    <w:rsid w:val="31616B69"/>
    <w:rsid w:val="31774863"/>
    <w:rsid w:val="31883FB5"/>
    <w:rsid w:val="31C0016C"/>
    <w:rsid w:val="31C205E6"/>
    <w:rsid w:val="31D136DB"/>
    <w:rsid w:val="31DF397A"/>
    <w:rsid w:val="31EF6F01"/>
    <w:rsid w:val="31FA68E0"/>
    <w:rsid w:val="31FF3B38"/>
    <w:rsid w:val="320329AC"/>
    <w:rsid w:val="32157910"/>
    <w:rsid w:val="32186458"/>
    <w:rsid w:val="321B1AA4"/>
    <w:rsid w:val="321B7A15"/>
    <w:rsid w:val="32255FC7"/>
    <w:rsid w:val="322C443F"/>
    <w:rsid w:val="32603031"/>
    <w:rsid w:val="32832A7F"/>
    <w:rsid w:val="32834DF8"/>
    <w:rsid w:val="32883A6D"/>
    <w:rsid w:val="328C6A6A"/>
    <w:rsid w:val="32B55A55"/>
    <w:rsid w:val="32C4038E"/>
    <w:rsid w:val="32D0410E"/>
    <w:rsid w:val="32D16C78"/>
    <w:rsid w:val="32E26478"/>
    <w:rsid w:val="32F02C86"/>
    <w:rsid w:val="32F91E7D"/>
    <w:rsid w:val="330757F1"/>
    <w:rsid w:val="33083E69"/>
    <w:rsid w:val="330D609F"/>
    <w:rsid w:val="33122EA7"/>
    <w:rsid w:val="332C1A8F"/>
    <w:rsid w:val="33460C0E"/>
    <w:rsid w:val="33462B51"/>
    <w:rsid w:val="334B0167"/>
    <w:rsid w:val="335F1604"/>
    <w:rsid w:val="337551E4"/>
    <w:rsid w:val="33756C32"/>
    <w:rsid w:val="337E22EA"/>
    <w:rsid w:val="33895E8E"/>
    <w:rsid w:val="338E02AF"/>
    <w:rsid w:val="33AC697E"/>
    <w:rsid w:val="33B22003"/>
    <w:rsid w:val="33BB353F"/>
    <w:rsid w:val="33C817B8"/>
    <w:rsid w:val="33CF2B46"/>
    <w:rsid w:val="33E02F15"/>
    <w:rsid w:val="33E446BF"/>
    <w:rsid w:val="33F21039"/>
    <w:rsid w:val="34121B53"/>
    <w:rsid w:val="34206B4E"/>
    <w:rsid w:val="34283965"/>
    <w:rsid w:val="3475252A"/>
    <w:rsid w:val="34875533"/>
    <w:rsid w:val="348C634B"/>
    <w:rsid w:val="34985723"/>
    <w:rsid w:val="34A66356"/>
    <w:rsid w:val="34B31845"/>
    <w:rsid w:val="34B51929"/>
    <w:rsid w:val="34E22D4D"/>
    <w:rsid w:val="34E867F3"/>
    <w:rsid w:val="34F8431E"/>
    <w:rsid w:val="350C6374"/>
    <w:rsid w:val="35185A2C"/>
    <w:rsid w:val="351F4827"/>
    <w:rsid w:val="352274DE"/>
    <w:rsid w:val="354E1375"/>
    <w:rsid w:val="35537A48"/>
    <w:rsid w:val="355754E9"/>
    <w:rsid w:val="35591B49"/>
    <w:rsid w:val="356516FF"/>
    <w:rsid w:val="356652F9"/>
    <w:rsid w:val="35795E02"/>
    <w:rsid w:val="357E6E53"/>
    <w:rsid w:val="358C0B0C"/>
    <w:rsid w:val="359F2CF4"/>
    <w:rsid w:val="35A93552"/>
    <w:rsid w:val="35AC5077"/>
    <w:rsid w:val="35AF6AE9"/>
    <w:rsid w:val="35B93AAE"/>
    <w:rsid w:val="35C30A55"/>
    <w:rsid w:val="35D73DF4"/>
    <w:rsid w:val="35E20942"/>
    <w:rsid w:val="35E2644E"/>
    <w:rsid w:val="35FD2C8E"/>
    <w:rsid w:val="36010B27"/>
    <w:rsid w:val="36137A86"/>
    <w:rsid w:val="36300829"/>
    <w:rsid w:val="36315D3A"/>
    <w:rsid w:val="36315E76"/>
    <w:rsid w:val="3633748A"/>
    <w:rsid w:val="36395D8A"/>
    <w:rsid w:val="36492B18"/>
    <w:rsid w:val="364E5C15"/>
    <w:rsid w:val="36591604"/>
    <w:rsid w:val="36592B9B"/>
    <w:rsid w:val="3659703F"/>
    <w:rsid w:val="365E28A7"/>
    <w:rsid w:val="367F0FAE"/>
    <w:rsid w:val="369E1239"/>
    <w:rsid w:val="369E4A52"/>
    <w:rsid w:val="36A34C4F"/>
    <w:rsid w:val="36A54770"/>
    <w:rsid w:val="36A937CE"/>
    <w:rsid w:val="36C52FEF"/>
    <w:rsid w:val="36D93CDC"/>
    <w:rsid w:val="36E0506A"/>
    <w:rsid w:val="36EA5E33"/>
    <w:rsid w:val="36EE7787"/>
    <w:rsid w:val="36F5074F"/>
    <w:rsid w:val="36FB04BB"/>
    <w:rsid w:val="37040D59"/>
    <w:rsid w:val="37051650"/>
    <w:rsid w:val="37137E21"/>
    <w:rsid w:val="3737462F"/>
    <w:rsid w:val="375623B5"/>
    <w:rsid w:val="376712E7"/>
    <w:rsid w:val="377569F7"/>
    <w:rsid w:val="377834F5"/>
    <w:rsid w:val="378F2F1F"/>
    <w:rsid w:val="37AB5678"/>
    <w:rsid w:val="37AD5D3E"/>
    <w:rsid w:val="37D049AF"/>
    <w:rsid w:val="37DC3A83"/>
    <w:rsid w:val="37DD5ED4"/>
    <w:rsid w:val="382007B7"/>
    <w:rsid w:val="38213B8C"/>
    <w:rsid w:val="38247B80"/>
    <w:rsid w:val="3825367C"/>
    <w:rsid w:val="38366F21"/>
    <w:rsid w:val="3843044A"/>
    <w:rsid w:val="384732AA"/>
    <w:rsid w:val="38475C6E"/>
    <w:rsid w:val="384B3477"/>
    <w:rsid w:val="38590E91"/>
    <w:rsid w:val="385C4BC4"/>
    <w:rsid w:val="385E3C7F"/>
    <w:rsid w:val="38653876"/>
    <w:rsid w:val="38653A79"/>
    <w:rsid w:val="386C3059"/>
    <w:rsid w:val="387518E0"/>
    <w:rsid w:val="38797524"/>
    <w:rsid w:val="38993ABC"/>
    <w:rsid w:val="38AD76EC"/>
    <w:rsid w:val="38AF1198"/>
    <w:rsid w:val="38B4055C"/>
    <w:rsid w:val="38DD5D05"/>
    <w:rsid w:val="38EE7F12"/>
    <w:rsid w:val="391A0078"/>
    <w:rsid w:val="39225398"/>
    <w:rsid w:val="392E780A"/>
    <w:rsid w:val="39365957"/>
    <w:rsid w:val="394114CD"/>
    <w:rsid w:val="39501C41"/>
    <w:rsid w:val="39511E89"/>
    <w:rsid w:val="39641F82"/>
    <w:rsid w:val="39677729"/>
    <w:rsid w:val="39766067"/>
    <w:rsid w:val="397F500E"/>
    <w:rsid w:val="39936FAB"/>
    <w:rsid w:val="39AD77E9"/>
    <w:rsid w:val="39B0341A"/>
    <w:rsid w:val="39B6037A"/>
    <w:rsid w:val="39BB23B0"/>
    <w:rsid w:val="39E63F17"/>
    <w:rsid w:val="39EE440B"/>
    <w:rsid w:val="3A0E0D4F"/>
    <w:rsid w:val="3A7601BF"/>
    <w:rsid w:val="3A792990"/>
    <w:rsid w:val="3A856654"/>
    <w:rsid w:val="3A887EF3"/>
    <w:rsid w:val="3A931F8E"/>
    <w:rsid w:val="3A942A35"/>
    <w:rsid w:val="3A9C399E"/>
    <w:rsid w:val="3AA82343"/>
    <w:rsid w:val="3AAA7E69"/>
    <w:rsid w:val="3AB94550"/>
    <w:rsid w:val="3AC0355F"/>
    <w:rsid w:val="3AC34CF6"/>
    <w:rsid w:val="3AD35612"/>
    <w:rsid w:val="3AE56B0E"/>
    <w:rsid w:val="3AF773BD"/>
    <w:rsid w:val="3AFB02DC"/>
    <w:rsid w:val="3AFB06C4"/>
    <w:rsid w:val="3B053361"/>
    <w:rsid w:val="3B1A0DED"/>
    <w:rsid w:val="3B2A350C"/>
    <w:rsid w:val="3B490191"/>
    <w:rsid w:val="3B6921AF"/>
    <w:rsid w:val="3B72338E"/>
    <w:rsid w:val="3B7A44E4"/>
    <w:rsid w:val="3B867CB1"/>
    <w:rsid w:val="3BB24A73"/>
    <w:rsid w:val="3BB32D4D"/>
    <w:rsid w:val="3BC211E2"/>
    <w:rsid w:val="3BD9534B"/>
    <w:rsid w:val="3BDC6748"/>
    <w:rsid w:val="3BF10F31"/>
    <w:rsid w:val="3C1D466B"/>
    <w:rsid w:val="3C1E2C5E"/>
    <w:rsid w:val="3C3430BD"/>
    <w:rsid w:val="3C3D03EE"/>
    <w:rsid w:val="3C44609B"/>
    <w:rsid w:val="3C497EA4"/>
    <w:rsid w:val="3C571F9B"/>
    <w:rsid w:val="3C8777D0"/>
    <w:rsid w:val="3C9A650E"/>
    <w:rsid w:val="3CA8487C"/>
    <w:rsid w:val="3CCE1706"/>
    <w:rsid w:val="3CEB0DDC"/>
    <w:rsid w:val="3CED228F"/>
    <w:rsid w:val="3CEF6007"/>
    <w:rsid w:val="3CF0165A"/>
    <w:rsid w:val="3CF26568"/>
    <w:rsid w:val="3CF4186F"/>
    <w:rsid w:val="3CF448BC"/>
    <w:rsid w:val="3D026D50"/>
    <w:rsid w:val="3D300CD4"/>
    <w:rsid w:val="3D4F4CF8"/>
    <w:rsid w:val="3D53720A"/>
    <w:rsid w:val="3D6C536F"/>
    <w:rsid w:val="3D762284"/>
    <w:rsid w:val="3D7A454D"/>
    <w:rsid w:val="3D801355"/>
    <w:rsid w:val="3D945F35"/>
    <w:rsid w:val="3DB8096E"/>
    <w:rsid w:val="3DBD4357"/>
    <w:rsid w:val="3DD82D7F"/>
    <w:rsid w:val="3DE47B36"/>
    <w:rsid w:val="3DE674F3"/>
    <w:rsid w:val="3DEA2D75"/>
    <w:rsid w:val="3DEF7F0B"/>
    <w:rsid w:val="3E096F7B"/>
    <w:rsid w:val="3E1877DF"/>
    <w:rsid w:val="3E253763"/>
    <w:rsid w:val="3E263FC4"/>
    <w:rsid w:val="3E27207C"/>
    <w:rsid w:val="3E273BBB"/>
    <w:rsid w:val="3E2774E0"/>
    <w:rsid w:val="3E4676D8"/>
    <w:rsid w:val="3E6575AF"/>
    <w:rsid w:val="3E7771FF"/>
    <w:rsid w:val="3E7D1B0C"/>
    <w:rsid w:val="3E7F02C4"/>
    <w:rsid w:val="3E8D1F7B"/>
    <w:rsid w:val="3EA33124"/>
    <w:rsid w:val="3EAE0CB3"/>
    <w:rsid w:val="3EB4210A"/>
    <w:rsid w:val="3ECA736B"/>
    <w:rsid w:val="3F112A33"/>
    <w:rsid w:val="3F15400C"/>
    <w:rsid w:val="3F1F2849"/>
    <w:rsid w:val="3F2D1069"/>
    <w:rsid w:val="3F324ED7"/>
    <w:rsid w:val="3F3943F5"/>
    <w:rsid w:val="3F4A0C45"/>
    <w:rsid w:val="3F567BD7"/>
    <w:rsid w:val="3F6D6287"/>
    <w:rsid w:val="3FA754A9"/>
    <w:rsid w:val="3FB11C9A"/>
    <w:rsid w:val="3FB367FB"/>
    <w:rsid w:val="3FB83028"/>
    <w:rsid w:val="3FB97173"/>
    <w:rsid w:val="3FE65381"/>
    <w:rsid w:val="3FE71217"/>
    <w:rsid w:val="3FF93C2A"/>
    <w:rsid w:val="4008449F"/>
    <w:rsid w:val="401A4FDA"/>
    <w:rsid w:val="403D2D4A"/>
    <w:rsid w:val="40401EEE"/>
    <w:rsid w:val="405179DB"/>
    <w:rsid w:val="405F7EA7"/>
    <w:rsid w:val="407C4056"/>
    <w:rsid w:val="408D69AB"/>
    <w:rsid w:val="40A72886"/>
    <w:rsid w:val="40A87E67"/>
    <w:rsid w:val="40AF4C5C"/>
    <w:rsid w:val="40B41A41"/>
    <w:rsid w:val="40B756C5"/>
    <w:rsid w:val="40C51C07"/>
    <w:rsid w:val="40E340D5"/>
    <w:rsid w:val="40E87F63"/>
    <w:rsid w:val="40F921BB"/>
    <w:rsid w:val="40FC4CA4"/>
    <w:rsid w:val="40FC6F44"/>
    <w:rsid w:val="410A071F"/>
    <w:rsid w:val="41313092"/>
    <w:rsid w:val="414241F1"/>
    <w:rsid w:val="415604A6"/>
    <w:rsid w:val="4158589C"/>
    <w:rsid w:val="416D2864"/>
    <w:rsid w:val="41723885"/>
    <w:rsid w:val="41824378"/>
    <w:rsid w:val="41847666"/>
    <w:rsid w:val="41A25D3E"/>
    <w:rsid w:val="41A33E3D"/>
    <w:rsid w:val="41A41FC2"/>
    <w:rsid w:val="41A45BDA"/>
    <w:rsid w:val="41A5245B"/>
    <w:rsid w:val="41AE464D"/>
    <w:rsid w:val="41BD0482"/>
    <w:rsid w:val="41CE6B33"/>
    <w:rsid w:val="41D33A40"/>
    <w:rsid w:val="41DB2FFE"/>
    <w:rsid w:val="41DC5457"/>
    <w:rsid w:val="41DE664A"/>
    <w:rsid w:val="41E96D5C"/>
    <w:rsid w:val="41EF6D85"/>
    <w:rsid w:val="41F21B56"/>
    <w:rsid w:val="420325BB"/>
    <w:rsid w:val="42110465"/>
    <w:rsid w:val="42116A20"/>
    <w:rsid w:val="42190386"/>
    <w:rsid w:val="423D3DE1"/>
    <w:rsid w:val="423E1FD7"/>
    <w:rsid w:val="424352A3"/>
    <w:rsid w:val="4248262D"/>
    <w:rsid w:val="4295436C"/>
    <w:rsid w:val="429847E1"/>
    <w:rsid w:val="429A2539"/>
    <w:rsid w:val="42C062EA"/>
    <w:rsid w:val="42C81B8D"/>
    <w:rsid w:val="42C85330"/>
    <w:rsid w:val="42DE040A"/>
    <w:rsid w:val="42DF267A"/>
    <w:rsid w:val="42E869F2"/>
    <w:rsid w:val="42EC38A3"/>
    <w:rsid w:val="42F47807"/>
    <w:rsid w:val="42F73E67"/>
    <w:rsid w:val="42FC147E"/>
    <w:rsid w:val="42FD5D96"/>
    <w:rsid w:val="430F7403"/>
    <w:rsid w:val="431013EE"/>
    <w:rsid w:val="43103CF1"/>
    <w:rsid w:val="43186FE4"/>
    <w:rsid w:val="43301127"/>
    <w:rsid w:val="433B37D3"/>
    <w:rsid w:val="43473958"/>
    <w:rsid w:val="434D74D2"/>
    <w:rsid w:val="43634D9C"/>
    <w:rsid w:val="436E6BA7"/>
    <w:rsid w:val="437600B5"/>
    <w:rsid w:val="438F22F2"/>
    <w:rsid w:val="438F40A0"/>
    <w:rsid w:val="43A7107F"/>
    <w:rsid w:val="43A87F40"/>
    <w:rsid w:val="43B63EAE"/>
    <w:rsid w:val="43BD0C0D"/>
    <w:rsid w:val="43E46B62"/>
    <w:rsid w:val="43F45F04"/>
    <w:rsid w:val="44044A8E"/>
    <w:rsid w:val="4404781C"/>
    <w:rsid w:val="44054362"/>
    <w:rsid w:val="440621B9"/>
    <w:rsid w:val="44105F97"/>
    <w:rsid w:val="44264752"/>
    <w:rsid w:val="44315315"/>
    <w:rsid w:val="446C2633"/>
    <w:rsid w:val="448D1D83"/>
    <w:rsid w:val="44A8112E"/>
    <w:rsid w:val="44B429AD"/>
    <w:rsid w:val="44C9538F"/>
    <w:rsid w:val="44CB735A"/>
    <w:rsid w:val="44CC291F"/>
    <w:rsid w:val="44EF298D"/>
    <w:rsid w:val="44F06B95"/>
    <w:rsid w:val="450130B0"/>
    <w:rsid w:val="452F5B3A"/>
    <w:rsid w:val="453C4BA2"/>
    <w:rsid w:val="454C5443"/>
    <w:rsid w:val="456D5760"/>
    <w:rsid w:val="45710FC4"/>
    <w:rsid w:val="45787788"/>
    <w:rsid w:val="4594367D"/>
    <w:rsid w:val="45944CA1"/>
    <w:rsid w:val="45A57BAB"/>
    <w:rsid w:val="45AD4CB1"/>
    <w:rsid w:val="45B45239"/>
    <w:rsid w:val="45BD2CE4"/>
    <w:rsid w:val="45C976D8"/>
    <w:rsid w:val="45D1274E"/>
    <w:rsid w:val="45F00F30"/>
    <w:rsid w:val="45FB5A1D"/>
    <w:rsid w:val="460043C4"/>
    <w:rsid w:val="46271D52"/>
    <w:rsid w:val="46312998"/>
    <w:rsid w:val="46391F42"/>
    <w:rsid w:val="463D4287"/>
    <w:rsid w:val="464E3D9E"/>
    <w:rsid w:val="46610C6F"/>
    <w:rsid w:val="467C4DAF"/>
    <w:rsid w:val="467F4F84"/>
    <w:rsid w:val="46827EEC"/>
    <w:rsid w:val="46A979E0"/>
    <w:rsid w:val="46B34549"/>
    <w:rsid w:val="46B42A36"/>
    <w:rsid w:val="46C340CC"/>
    <w:rsid w:val="46C67DD9"/>
    <w:rsid w:val="46C71DA3"/>
    <w:rsid w:val="46E50FB2"/>
    <w:rsid w:val="46FF778E"/>
    <w:rsid w:val="47187CCB"/>
    <w:rsid w:val="47225414"/>
    <w:rsid w:val="478A0372"/>
    <w:rsid w:val="47906638"/>
    <w:rsid w:val="479559FD"/>
    <w:rsid w:val="47A043B8"/>
    <w:rsid w:val="47B24801"/>
    <w:rsid w:val="47CC2B0E"/>
    <w:rsid w:val="47FB1DC5"/>
    <w:rsid w:val="481A04DB"/>
    <w:rsid w:val="481A74C6"/>
    <w:rsid w:val="48404D6F"/>
    <w:rsid w:val="48553E37"/>
    <w:rsid w:val="48757D08"/>
    <w:rsid w:val="48787AA8"/>
    <w:rsid w:val="48843C54"/>
    <w:rsid w:val="4885562E"/>
    <w:rsid w:val="48A203D1"/>
    <w:rsid w:val="48A46213"/>
    <w:rsid w:val="48A53ED1"/>
    <w:rsid w:val="48AC2087"/>
    <w:rsid w:val="48AD2A12"/>
    <w:rsid w:val="48BD51A1"/>
    <w:rsid w:val="48C65574"/>
    <w:rsid w:val="48D23C05"/>
    <w:rsid w:val="48D41C87"/>
    <w:rsid w:val="48DA01E2"/>
    <w:rsid w:val="48E56510"/>
    <w:rsid w:val="4901159C"/>
    <w:rsid w:val="491259CA"/>
    <w:rsid w:val="491969F2"/>
    <w:rsid w:val="493C0826"/>
    <w:rsid w:val="49523966"/>
    <w:rsid w:val="495641F0"/>
    <w:rsid w:val="4981448B"/>
    <w:rsid w:val="49835F42"/>
    <w:rsid w:val="49B36218"/>
    <w:rsid w:val="49B54134"/>
    <w:rsid w:val="49CD551F"/>
    <w:rsid w:val="49D91DF8"/>
    <w:rsid w:val="49F3497A"/>
    <w:rsid w:val="49F45200"/>
    <w:rsid w:val="49F57D46"/>
    <w:rsid w:val="4A133C1A"/>
    <w:rsid w:val="4A172E7D"/>
    <w:rsid w:val="4A211B57"/>
    <w:rsid w:val="4A3A76A0"/>
    <w:rsid w:val="4A45195C"/>
    <w:rsid w:val="4A563B69"/>
    <w:rsid w:val="4A6018AF"/>
    <w:rsid w:val="4A6839E3"/>
    <w:rsid w:val="4A6D37B6"/>
    <w:rsid w:val="4A775DE5"/>
    <w:rsid w:val="4A9C0B69"/>
    <w:rsid w:val="4AAC59A5"/>
    <w:rsid w:val="4AB4263E"/>
    <w:rsid w:val="4ABF0E40"/>
    <w:rsid w:val="4AC9433B"/>
    <w:rsid w:val="4AD36F68"/>
    <w:rsid w:val="4AE9342D"/>
    <w:rsid w:val="4AF65D2A"/>
    <w:rsid w:val="4B2C7080"/>
    <w:rsid w:val="4B332952"/>
    <w:rsid w:val="4B5160DF"/>
    <w:rsid w:val="4B684C92"/>
    <w:rsid w:val="4B7F0520"/>
    <w:rsid w:val="4B944949"/>
    <w:rsid w:val="4B964E34"/>
    <w:rsid w:val="4BAF7788"/>
    <w:rsid w:val="4BB8513C"/>
    <w:rsid w:val="4BCA1941"/>
    <w:rsid w:val="4BE4023D"/>
    <w:rsid w:val="4BE95D92"/>
    <w:rsid w:val="4BF568CB"/>
    <w:rsid w:val="4C133592"/>
    <w:rsid w:val="4C242B90"/>
    <w:rsid w:val="4C325F10"/>
    <w:rsid w:val="4C385BD8"/>
    <w:rsid w:val="4C3A78F0"/>
    <w:rsid w:val="4C973834"/>
    <w:rsid w:val="4C9B1D07"/>
    <w:rsid w:val="4C9D15DC"/>
    <w:rsid w:val="4CD91809"/>
    <w:rsid w:val="4CE76CFB"/>
    <w:rsid w:val="4CF05AC4"/>
    <w:rsid w:val="4CF54633"/>
    <w:rsid w:val="4D057192"/>
    <w:rsid w:val="4D0D7F63"/>
    <w:rsid w:val="4D220CBD"/>
    <w:rsid w:val="4D333390"/>
    <w:rsid w:val="4D4E259E"/>
    <w:rsid w:val="4D4E59C5"/>
    <w:rsid w:val="4D5A5B41"/>
    <w:rsid w:val="4D5A7ADC"/>
    <w:rsid w:val="4D5B03BD"/>
    <w:rsid w:val="4D702A10"/>
    <w:rsid w:val="4D785BA5"/>
    <w:rsid w:val="4D8B3B2A"/>
    <w:rsid w:val="4D8C7698"/>
    <w:rsid w:val="4D924F1F"/>
    <w:rsid w:val="4D9F442F"/>
    <w:rsid w:val="4DA2110A"/>
    <w:rsid w:val="4DAB0EB8"/>
    <w:rsid w:val="4DB31B33"/>
    <w:rsid w:val="4DC65E4E"/>
    <w:rsid w:val="4DD52FF7"/>
    <w:rsid w:val="4DDC196D"/>
    <w:rsid w:val="4DE96A1F"/>
    <w:rsid w:val="4DF23BA9"/>
    <w:rsid w:val="4DFC0584"/>
    <w:rsid w:val="4E1D52ED"/>
    <w:rsid w:val="4E45466D"/>
    <w:rsid w:val="4E52559E"/>
    <w:rsid w:val="4E6649AA"/>
    <w:rsid w:val="4E8A7ABB"/>
    <w:rsid w:val="4E8C4B31"/>
    <w:rsid w:val="4E8D6A8C"/>
    <w:rsid w:val="4E962D07"/>
    <w:rsid w:val="4E9852E1"/>
    <w:rsid w:val="4ED908C5"/>
    <w:rsid w:val="4EDC0173"/>
    <w:rsid w:val="4EF23735"/>
    <w:rsid w:val="4EF80316"/>
    <w:rsid w:val="4EF9034E"/>
    <w:rsid w:val="4F122031"/>
    <w:rsid w:val="4F164EB1"/>
    <w:rsid w:val="4F251D5C"/>
    <w:rsid w:val="4F290FCB"/>
    <w:rsid w:val="4F367AC5"/>
    <w:rsid w:val="4F497688"/>
    <w:rsid w:val="4F4C742F"/>
    <w:rsid w:val="4F4F2935"/>
    <w:rsid w:val="4F571138"/>
    <w:rsid w:val="4F6D2052"/>
    <w:rsid w:val="4F7E6BC7"/>
    <w:rsid w:val="4F80288E"/>
    <w:rsid w:val="4F887916"/>
    <w:rsid w:val="4F8B6E3B"/>
    <w:rsid w:val="4F936CC6"/>
    <w:rsid w:val="4FC74BC1"/>
    <w:rsid w:val="4FCC4A3F"/>
    <w:rsid w:val="4FD55530"/>
    <w:rsid w:val="4FD80B7D"/>
    <w:rsid w:val="4FFC0D0F"/>
    <w:rsid w:val="5006791B"/>
    <w:rsid w:val="50067D24"/>
    <w:rsid w:val="5015592D"/>
    <w:rsid w:val="50324CB2"/>
    <w:rsid w:val="50425323"/>
    <w:rsid w:val="50461AC0"/>
    <w:rsid w:val="50524696"/>
    <w:rsid w:val="50571279"/>
    <w:rsid w:val="505A63FC"/>
    <w:rsid w:val="5066627E"/>
    <w:rsid w:val="50816C92"/>
    <w:rsid w:val="50A73EE2"/>
    <w:rsid w:val="50D46D5F"/>
    <w:rsid w:val="50DE1485"/>
    <w:rsid w:val="50E61077"/>
    <w:rsid w:val="50EA49B5"/>
    <w:rsid w:val="51027FC9"/>
    <w:rsid w:val="510460CD"/>
    <w:rsid w:val="51167F92"/>
    <w:rsid w:val="51215ECC"/>
    <w:rsid w:val="512C73D2"/>
    <w:rsid w:val="512E1AE5"/>
    <w:rsid w:val="513B5DFC"/>
    <w:rsid w:val="513E6F05"/>
    <w:rsid w:val="515C61A9"/>
    <w:rsid w:val="518965D2"/>
    <w:rsid w:val="51984A67"/>
    <w:rsid w:val="519D30FA"/>
    <w:rsid w:val="519F1715"/>
    <w:rsid w:val="51C204A5"/>
    <w:rsid w:val="51CF0586"/>
    <w:rsid w:val="51FD48CA"/>
    <w:rsid w:val="520E3195"/>
    <w:rsid w:val="52122895"/>
    <w:rsid w:val="521340EE"/>
    <w:rsid w:val="524644C3"/>
    <w:rsid w:val="52635075"/>
    <w:rsid w:val="526531D0"/>
    <w:rsid w:val="52665127"/>
    <w:rsid w:val="526C3E8F"/>
    <w:rsid w:val="52D14405"/>
    <w:rsid w:val="52D41ACF"/>
    <w:rsid w:val="52E87329"/>
    <w:rsid w:val="52F47FB9"/>
    <w:rsid w:val="52FD70ED"/>
    <w:rsid w:val="53034162"/>
    <w:rsid w:val="53051C89"/>
    <w:rsid w:val="531038AD"/>
    <w:rsid w:val="531A0C51"/>
    <w:rsid w:val="5342200F"/>
    <w:rsid w:val="536A2433"/>
    <w:rsid w:val="536E548C"/>
    <w:rsid w:val="537067FE"/>
    <w:rsid w:val="537E530C"/>
    <w:rsid w:val="538F6A37"/>
    <w:rsid w:val="539505D2"/>
    <w:rsid w:val="539F0170"/>
    <w:rsid w:val="539F032F"/>
    <w:rsid w:val="53AC66DE"/>
    <w:rsid w:val="53B0520A"/>
    <w:rsid w:val="53C46315"/>
    <w:rsid w:val="53D8759D"/>
    <w:rsid w:val="53EB690F"/>
    <w:rsid w:val="54120B01"/>
    <w:rsid w:val="542A63AD"/>
    <w:rsid w:val="542B78BA"/>
    <w:rsid w:val="543616B4"/>
    <w:rsid w:val="543D0B95"/>
    <w:rsid w:val="543D36A4"/>
    <w:rsid w:val="54466BAE"/>
    <w:rsid w:val="544D1B39"/>
    <w:rsid w:val="54583835"/>
    <w:rsid w:val="545B79F3"/>
    <w:rsid w:val="54703A7A"/>
    <w:rsid w:val="54712EA6"/>
    <w:rsid w:val="54996418"/>
    <w:rsid w:val="54A711BD"/>
    <w:rsid w:val="54AD4B0C"/>
    <w:rsid w:val="54B24092"/>
    <w:rsid w:val="54C7283D"/>
    <w:rsid w:val="54CF3678"/>
    <w:rsid w:val="54F569E2"/>
    <w:rsid w:val="552014C3"/>
    <w:rsid w:val="552738E3"/>
    <w:rsid w:val="552A2637"/>
    <w:rsid w:val="553B5E36"/>
    <w:rsid w:val="554D502C"/>
    <w:rsid w:val="55702C1D"/>
    <w:rsid w:val="55792F00"/>
    <w:rsid w:val="557D1DFD"/>
    <w:rsid w:val="557F5E18"/>
    <w:rsid w:val="558E065B"/>
    <w:rsid w:val="55A5300C"/>
    <w:rsid w:val="55A704AB"/>
    <w:rsid w:val="55AD6D11"/>
    <w:rsid w:val="55B5319E"/>
    <w:rsid w:val="55C46F53"/>
    <w:rsid w:val="55D32CD9"/>
    <w:rsid w:val="55D56CEC"/>
    <w:rsid w:val="55FD172B"/>
    <w:rsid w:val="56000D4B"/>
    <w:rsid w:val="560C77D2"/>
    <w:rsid w:val="562B7C58"/>
    <w:rsid w:val="564725B8"/>
    <w:rsid w:val="56481BAF"/>
    <w:rsid w:val="56512880"/>
    <w:rsid w:val="56581BA2"/>
    <w:rsid w:val="56595C04"/>
    <w:rsid w:val="566B274A"/>
    <w:rsid w:val="56766AD0"/>
    <w:rsid w:val="56800275"/>
    <w:rsid w:val="56A74E29"/>
    <w:rsid w:val="56AD2B15"/>
    <w:rsid w:val="56B2149B"/>
    <w:rsid w:val="56B608E1"/>
    <w:rsid w:val="56CA0384"/>
    <w:rsid w:val="56CD51B3"/>
    <w:rsid w:val="56D644B8"/>
    <w:rsid w:val="56E67E75"/>
    <w:rsid w:val="57113C73"/>
    <w:rsid w:val="572450BF"/>
    <w:rsid w:val="5726342E"/>
    <w:rsid w:val="572D5565"/>
    <w:rsid w:val="572E39BC"/>
    <w:rsid w:val="57313044"/>
    <w:rsid w:val="57334BC0"/>
    <w:rsid w:val="573549B7"/>
    <w:rsid w:val="573D370B"/>
    <w:rsid w:val="574247FE"/>
    <w:rsid w:val="57454AB4"/>
    <w:rsid w:val="57493051"/>
    <w:rsid w:val="574F0A65"/>
    <w:rsid w:val="57772127"/>
    <w:rsid w:val="57872F82"/>
    <w:rsid w:val="579B02DD"/>
    <w:rsid w:val="582C6C78"/>
    <w:rsid w:val="582F1CDB"/>
    <w:rsid w:val="583927DE"/>
    <w:rsid w:val="583F0027"/>
    <w:rsid w:val="584B45E2"/>
    <w:rsid w:val="58541E83"/>
    <w:rsid w:val="587C0C3F"/>
    <w:rsid w:val="588D33DD"/>
    <w:rsid w:val="58985A25"/>
    <w:rsid w:val="58A07EEE"/>
    <w:rsid w:val="58A128B0"/>
    <w:rsid w:val="58B56DA2"/>
    <w:rsid w:val="58C113E0"/>
    <w:rsid w:val="58D44884"/>
    <w:rsid w:val="58D565A1"/>
    <w:rsid w:val="58D72AA8"/>
    <w:rsid w:val="58F53B97"/>
    <w:rsid w:val="590C2E75"/>
    <w:rsid w:val="590E560F"/>
    <w:rsid w:val="590E7E82"/>
    <w:rsid w:val="591470C9"/>
    <w:rsid w:val="591E44AF"/>
    <w:rsid w:val="592B7F6F"/>
    <w:rsid w:val="592C05AC"/>
    <w:rsid w:val="59360A45"/>
    <w:rsid w:val="594C1F15"/>
    <w:rsid w:val="59527BF2"/>
    <w:rsid w:val="596873E0"/>
    <w:rsid w:val="59777D36"/>
    <w:rsid w:val="59796619"/>
    <w:rsid w:val="598F32D5"/>
    <w:rsid w:val="599045B6"/>
    <w:rsid w:val="59A64C57"/>
    <w:rsid w:val="59AC03C4"/>
    <w:rsid w:val="59CA1BD0"/>
    <w:rsid w:val="59DE38F2"/>
    <w:rsid w:val="59EA7B63"/>
    <w:rsid w:val="59EF1D77"/>
    <w:rsid w:val="59FB0C66"/>
    <w:rsid w:val="59FC3A58"/>
    <w:rsid w:val="59FC3FF9"/>
    <w:rsid w:val="5A0F393D"/>
    <w:rsid w:val="5A131174"/>
    <w:rsid w:val="5A137381"/>
    <w:rsid w:val="5A1B44F8"/>
    <w:rsid w:val="5A33357F"/>
    <w:rsid w:val="5A380B96"/>
    <w:rsid w:val="5A5F6122"/>
    <w:rsid w:val="5A78043B"/>
    <w:rsid w:val="5A784FB0"/>
    <w:rsid w:val="5AC24F56"/>
    <w:rsid w:val="5AD84371"/>
    <w:rsid w:val="5AEC6F6B"/>
    <w:rsid w:val="5AF4274B"/>
    <w:rsid w:val="5B0609B7"/>
    <w:rsid w:val="5B07560E"/>
    <w:rsid w:val="5B192465"/>
    <w:rsid w:val="5B1E7D8B"/>
    <w:rsid w:val="5B2D1810"/>
    <w:rsid w:val="5B2E1A88"/>
    <w:rsid w:val="5B482AE8"/>
    <w:rsid w:val="5B492E36"/>
    <w:rsid w:val="5B4F5B6F"/>
    <w:rsid w:val="5B726329"/>
    <w:rsid w:val="5B7F6764"/>
    <w:rsid w:val="5BA1458D"/>
    <w:rsid w:val="5BC001BA"/>
    <w:rsid w:val="5BE8130A"/>
    <w:rsid w:val="5BEF7BB8"/>
    <w:rsid w:val="5BF62DBB"/>
    <w:rsid w:val="5BF812B9"/>
    <w:rsid w:val="5BFC256C"/>
    <w:rsid w:val="5C1C0C6B"/>
    <w:rsid w:val="5C1E2E4F"/>
    <w:rsid w:val="5C2A6C04"/>
    <w:rsid w:val="5C4D3B17"/>
    <w:rsid w:val="5C5123E2"/>
    <w:rsid w:val="5CBF567F"/>
    <w:rsid w:val="5CD30040"/>
    <w:rsid w:val="5CDD3C76"/>
    <w:rsid w:val="5CEA0AAE"/>
    <w:rsid w:val="5D0409E7"/>
    <w:rsid w:val="5D221B30"/>
    <w:rsid w:val="5D3B517B"/>
    <w:rsid w:val="5D461020"/>
    <w:rsid w:val="5D46181B"/>
    <w:rsid w:val="5D477EAC"/>
    <w:rsid w:val="5D583DD0"/>
    <w:rsid w:val="5D92325A"/>
    <w:rsid w:val="5D934AFD"/>
    <w:rsid w:val="5D995C4C"/>
    <w:rsid w:val="5DA742D8"/>
    <w:rsid w:val="5DAE0DB0"/>
    <w:rsid w:val="5DB92FCD"/>
    <w:rsid w:val="5DBA2810"/>
    <w:rsid w:val="5DC8107F"/>
    <w:rsid w:val="5DC95570"/>
    <w:rsid w:val="5DE83CE5"/>
    <w:rsid w:val="5DFE75F5"/>
    <w:rsid w:val="5E005E6E"/>
    <w:rsid w:val="5E0C32B0"/>
    <w:rsid w:val="5E1D42ED"/>
    <w:rsid w:val="5E224037"/>
    <w:rsid w:val="5E27164D"/>
    <w:rsid w:val="5E2749E4"/>
    <w:rsid w:val="5E276531"/>
    <w:rsid w:val="5E361890"/>
    <w:rsid w:val="5E37065A"/>
    <w:rsid w:val="5E4100FF"/>
    <w:rsid w:val="5E446432"/>
    <w:rsid w:val="5E501B6D"/>
    <w:rsid w:val="5E567CFB"/>
    <w:rsid w:val="5E6F1E3D"/>
    <w:rsid w:val="5E7B5488"/>
    <w:rsid w:val="5E7E690F"/>
    <w:rsid w:val="5E8207C4"/>
    <w:rsid w:val="5E873E9A"/>
    <w:rsid w:val="5E876825"/>
    <w:rsid w:val="5E8F2D4E"/>
    <w:rsid w:val="5E912F6A"/>
    <w:rsid w:val="5EB01642"/>
    <w:rsid w:val="5EBB51D3"/>
    <w:rsid w:val="5EF14FCB"/>
    <w:rsid w:val="5F014A00"/>
    <w:rsid w:val="5F062208"/>
    <w:rsid w:val="5F182D44"/>
    <w:rsid w:val="5F1873B2"/>
    <w:rsid w:val="5F1A6907"/>
    <w:rsid w:val="5F6751E7"/>
    <w:rsid w:val="5F7268F8"/>
    <w:rsid w:val="5F77788B"/>
    <w:rsid w:val="5FA15E79"/>
    <w:rsid w:val="5FB24F46"/>
    <w:rsid w:val="5FD13FBD"/>
    <w:rsid w:val="5FD255E8"/>
    <w:rsid w:val="5FD3095F"/>
    <w:rsid w:val="60031C46"/>
    <w:rsid w:val="600352FD"/>
    <w:rsid w:val="600F4147"/>
    <w:rsid w:val="60280DB4"/>
    <w:rsid w:val="602C2AF2"/>
    <w:rsid w:val="6038523B"/>
    <w:rsid w:val="60491E1E"/>
    <w:rsid w:val="606177BE"/>
    <w:rsid w:val="60825CB5"/>
    <w:rsid w:val="60874FD9"/>
    <w:rsid w:val="608C3B49"/>
    <w:rsid w:val="60A74FE8"/>
    <w:rsid w:val="60B230E7"/>
    <w:rsid w:val="60B92304"/>
    <w:rsid w:val="60D64EAE"/>
    <w:rsid w:val="60E85415"/>
    <w:rsid w:val="60E87E12"/>
    <w:rsid w:val="60F11A9E"/>
    <w:rsid w:val="60F31CBA"/>
    <w:rsid w:val="60FB46CB"/>
    <w:rsid w:val="610E08A2"/>
    <w:rsid w:val="6122434D"/>
    <w:rsid w:val="612521F8"/>
    <w:rsid w:val="6138126F"/>
    <w:rsid w:val="6138591F"/>
    <w:rsid w:val="61465855"/>
    <w:rsid w:val="6151078F"/>
    <w:rsid w:val="617924A7"/>
    <w:rsid w:val="61901E70"/>
    <w:rsid w:val="61A00CAD"/>
    <w:rsid w:val="61A66D2D"/>
    <w:rsid w:val="61B1171B"/>
    <w:rsid w:val="61B14E85"/>
    <w:rsid w:val="61B67E2B"/>
    <w:rsid w:val="61B73FB6"/>
    <w:rsid w:val="61D15080"/>
    <w:rsid w:val="620852F1"/>
    <w:rsid w:val="620C7A76"/>
    <w:rsid w:val="623954AB"/>
    <w:rsid w:val="62410803"/>
    <w:rsid w:val="624734C1"/>
    <w:rsid w:val="62514EFA"/>
    <w:rsid w:val="625C38FE"/>
    <w:rsid w:val="626460C6"/>
    <w:rsid w:val="62737750"/>
    <w:rsid w:val="62873662"/>
    <w:rsid w:val="62A80882"/>
    <w:rsid w:val="62AC3ECF"/>
    <w:rsid w:val="62BA195F"/>
    <w:rsid w:val="62D66EF1"/>
    <w:rsid w:val="62E010D2"/>
    <w:rsid w:val="630006BE"/>
    <w:rsid w:val="63027F06"/>
    <w:rsid w:val="63037A6F"/>
    <w:rsid w:val="631A1076"/>
    <w:rsid w:val="632919C3"/>
    <w:rsid w:val="632B65A6"/>
    <w:rsid w:val="63332842"/>
    <w:rsid w:val="63341D49"/>
    <w:rsid w:val="633D721D"/>
    <w:rsid w:val="634C3904"/>
    <w:rsid w:val="6363321E"/>
    <w:rsid w:val="63695281"/>
    <w:rsid w:val="636C0CDA"/>
    <w:rsid w:val="63700244"/>
    <w:rsid w:val="637D3ABD"/>
    <w:rsid w:val="638359CD"/>
    <w:rsid w:val="63883292"/>
    <w:rsid w:val="638D44A6"/>
    <w:rsid w:val="639D07AF"/>
    <w:rsid w:val="63AE011A"/>
    <w:rsid w:val="63B6580E"/>
    <w:rsid w:val="63B76FCF"/>
    <w:rsid w:val="63B84AF5"/>
    <w:rsid w:val="63BC52AF"/>
    <w:rsid w:val="63CA71D4"/>
    <w:rsid w:val="63E75A85"/>
    <w:rsid w:val="63F105A4"/>
    <w:rsid w:val="63F67819"/>
    <w:rsid w:val="64183536"/>
    <w:rsid w:val="641C4C57"/>
    <w:rsid w:val="64265F03"/>
    <w:rsid w:val="642E529C"/>
    <w:rsid w:val="64355FCD"/>
    <w:rsid w:val="643B3D71"/>
    <w:rsid w:val="64524DFA"/>
    <w:rsid w:val="646A4041"/>
    <w:rsid w:val="64745736"/>
    <w:rsid w:val="6481138B"/>
    <w:rsid w:val="64850E7B"/>
    <w:rsid w:val="64BB2AEF"/>
    <w:rsid w:val="64E73A8C"/>
    <w:rsid w:val="64EC4CDD"/>
    <w:rsid w:val="65075D34"/>
    <w:rsid w:val="651573E8"/>
    <w:rsid w:val="65206DF6"/>
    <w:rsid w:val="653E102A"/>
    <w:rsid w:val="653F54CE"/>
    <w:rsid w:val="65685650"/>
    <w:rsid w:val="656A1BE6"/>
    <w:rsid w:val="657604AF"/>
    <w:rsid w:val="658729D1"/>
    <w:rsid w:val="65872DD2"/>
    <w:rsid w:val="658E1EC0"/>
    <w:rsid w:val="6593581A"/>
    <w:rsid w:val="659C10F7"/>
    <w:rsid w:val="65A62294"/>
    <w:rsid w:val="65B07D83"/>
    <w:rsid w:val="65D005A9"/>
    <w:rsid w:val="65DE35D1"/>
    <w:rsid w:val="6603474E"/>
    <w:rsid w:val="66034CB2"/>
    <w:rsid w:val="66101D61"/>
    <w:rsid w:val="661610AF"/>
    <w:rsid w:val="6621372E"/>
    <w:rsid w:val="66216982"/>
    <w:rsid w:val="6622057D"/>
    <w:rsid w:val="664523FA"/>
    <w:rsid w:val="664D6317"/>
    <w:rsid w:val="66550936"/>
    <w:rsid w:val="665705F5"/>
    <w:rsid w:val="6689548A"/>
    <w:rsid w:val="668A5156"/>
    <w:rsid w:val="66A22733"/>
    <w:rsid w:val="66A569BF"/>
    <w:rsid w:val="66B43C9A"/>
    <w:rsid w:val="66B6356E"/>
    <w:rsid w:val="66B772E6"/>
    <w:rsid w:val="66BB00BA"/>
    <w:rsid w:val="66C80C34"/>
    <w:rsid w:val="66C814F3"/>
    <w:rsid w:val="66CD4786"/>
    <w:rsid w:val="66F419AA"/>
    <w:rsid w:val="67206BB9"/>
    <w:rsid w:val="672E216A"/>
    <w:rsid w:val="67452180"/>
    <w:rsid w:val="67534BDE"/>
    <w:rsid w:val="675B1139"/>
    <w:rsid w:val="677D748C"/>
    <w:rsid w:val="678216A2"/>
    <w:rsid w:val="678D0220"/>
    <w:rsid w:val="67917143"/>
    <w:rsid w:val="679A3799"/>
    <w:rsid w:val="67A15968"/>
    <w:rsid w:val="67B233EE"/>
    <w:rsid w:val="67BD6B7E"/>
    <w:rsid w:val="67D02C2B"/>
    <w:rsid w:val="67E57948"/>
    <w:rsid w:val="67EC739F"/>
    <w:rsid w:val="67FC5C00"/>
    <w:rsid w:val="681349F0"/>
    <w:rsid w:val="6828049B"/>
    <w:rsid w:val="682A122E"/>
    <w:rsid w:val="682D511F"/>
    <w:rsid w:val="68394457"/>
    <w:rsid w:val="683B3B2D"/>
    <w:rsid w:val="683D381B"/>
    <w:rsid w:val="683F3A37"/>
    <w:rsid w:val="68440090"/>
    <w:rsid w:val="68455474"/>
    <w:rsid w:val="68485704"/>
    <w:rsid w:val="68606837"/>
    <w:rsid w:val="68704328"/>
    <w:rsid w:val="687F2101"/>
    <w:rsid w:val="689662C5"/>
    <w:rsid w:val="689E118D"/>
    <w:rsid w:val="68A50205"/>
    <w:rsid w:val="68AB04AC"/>
    <w:rsid w:val="68B91F19"/>
    <w:rsid w:val="68C525DC"/>
    <w:rsid w:val="68D371D8"/>
    <w:rsid w:val="68F91E38"/>
    <w:rsid w:val="68FE462E"/>
    <w:rsid w:val="69146C72"/>
    <w:rsid w:val="692840E0"/>
    <w:rsid w:val="692B1576"/>
    <w:rsid w:val="692D3136"/>
    <w:rsid w:val="692D6226"/>
    <w:rsid w:val="693115D2"/>
    <w:rsid w:val="694622BE"/>
    <w:rsid w:val="69494E4B"/>
    <w:rsid w:val="694A2693"/>
    <w:rsid w:val="694C0D84"/>
    <w:rsid w:val="69502A49"/>
    <w:rsid w:val="695C5F3D"/>
    <w:rsid w:val="696C085C"/>
    <w:rsid w:val="696C52B9"/>
    <w:rsid w:val="69763488"/>
    <w:rsid w:val="697B0A9F"/>
    <w:rsid w:val="697F778D"/>
    <w:rsid w:val="699007B3"/>
    <w:rsid w:val="699102C2"/>
    <w:rsid w:val="6996144F"/>
    <w:rsid w:val="699D0A15"/>
    <w:rsid w:val="69A52001"/>
    <w:rsid w:val="69AC0C58"/>
    <w:rsid w:val="69B308F3"/>
    <w:rsid w:val="69BB0E9B"/>
    <w:rsid w:val="69BB6F03"/>
    <w:rsid w:val="69BE42CE"/>
    <w:rsid w:val="69CC4E70"/>
    <w:rsid w:val="69DE0CE6"/>
    <w:rsid w:val="69DE20EF"/>
    <w:rsid w:val="69E06B54"/>
    <w:rsid w:val="69E14DA6"/>
    <w:rsid w:val="69E412A3"/>
    <w:rsid w:val="69E93C5A"/>
    <w:rsid w:val="6A002D52"/>
    <w:rsid w:val="6A0171F6"/>
    <w:rsid w:val="6A0A597F"/>
    <w:rsid w:val="6A121B05"/>
    <w:rsid w:val="6A3352D5"/>
    <w:rsid w:val="6A425913"/>
    <w:rsid w:val="6A4D243B"/>
    <w:rsid w:val="6A590230"/>
    <w:rsid w:val="6A723C50"/>
    <w:rsid w:val="6A862684"/>
    <w:rsid w:val="6A92005F"/>
    <w:rsid w:val="6AA22CC2"/>
    <w:rsid w:val="6AAC1B55"/>
    <w:rsid w:val="6AB11747"/>
    <w:rsid w:val="6AB454E2"/>
    <w:rsid w:val="6AC02C0D"/>
    <w:rsid w:val="6AC36259"/>
    <w:rsid w:val="6AD20B92"/>
    <w:rsid w:val="6AD61945"/>
    <w:rsid w:val="6B080110"/>
    <w:rsid w:val="6B11605C"/>
    <w:rsid w:val="6B144235"/>
    <w:rsid w:val="6B251954"/>
    <w:rsid w:val="6B2F7D93"/>
    <w:rsid w:val="6B30275F"/>
    <w:rsid w:val="6B32518D"/>
    <w:rsid w:val="6B353DE1"/>
    <w:rsid w:val="6B3D1963"/>
    <w:rsid w:val="6B4B624F"/>
    <w:rsid w:val="6B5506E6"/>
    <w:rsid w:val="6B7751E7"/>
    <w:rsid w:val="6B785296"/>
    <w:rsid w:val="6B8005EE"/>
    <w:rsid w:val="6B82786A"/>
    <w:rsid w:val="6B881EB0"/>
    <w:rsid w:val="6B8974A3"/>
    <w:rsid w:val="6B9A13DE"/>
    <w:rsid w:val="6B9B5391"/>
    <w:rsid w:val="6B9D6AAA"/>
    <w:rsid w:val="6B9E1C16"/>
    <w:rsid w:val="6BB348EE"/>
    <w:rsid w:val="6BDA7016"/>
    <w:rsid w:val="6BF4074C"/>
    <w:rsid w:val="6BF6778C"/>
    <w:rsid w:val="6BF9177C"/>
    <w:rsid w:val="6C0A7EB8"/>
    <w:rsid w:val="6C0E5BFA"/>
    <w:rsid w:val="6C121E9C"/>
    <w:rsid w:val="6C241848"/>
    <w:rsid w:val="6C275CA1"/>
    <w:rsid w:val="6C2C1486"/>
    <w:rsid w:val="6C3048B4"/>
    <w:rsid w:val="6C3867D3"/>
    <w:rsid w:val="6C3F64DD"/>
    <w:rsid w:val="6C53185F"/>
    <w:rsid w:val="6C606768"/>
    <w:rsid w:val="6C6E3A21"/>
    <w:rsid w:val="6C70241C"/>
    <w:rsid w:val="6C92793B"/>
    <w:rsid w:val="6C9C1458"/>
    <w:rsid w:val="6CAD2D18"/>
    <w:rsid w:val="6CC35486"/>
    <w:rsid w:val="6CDD1F6A"/>
    <w:rsid w:val="6D286848"/>
    <w:rsid w:val="6D2E6CAD"/>
    <w:rsid w:val="6D2F407A"/>
    <w:rsid w:val="6D392803"/>
    <w:rsid w:val="6D3E250F"/>
    <w:rsid w:val="6D675EA9"/>
    <w:rsid w:val="6D7A05CF"/>
    <w:rsid w:val="6D915D56"/>
    <w:rsid w:val="6D950A6D"/>
    <w:rsid w:val="6D9E4D5C"/>
    <w:rsid w:val="6DA43518"/>
    <w:rsid w:val="6DB97282"/>
    <w:rsid w:val="6DC20A4A"/>
    <w:rsid w:val="6DCA49C1"/>
    <w:rsid w:val="6DE94229"/>
    <w:rsid w:val="6DF57072"/>
    <w:rsid w:val="6E014465"/>
    <w:rsid w:val="6E021DFE"/>
    <w:rsid w:val="6E083C27"/>
    <w:rsid w:val="6E0A59A0"/>
    <w:rsid w:val="6E1628CD"/>
    <w:rsid w:val="6E185047"/>
    <w:rsid w:val="6E220A82"/>
    <w:rsid w:val="6E266E62"/>
    <w:rsid w:val="6E4A63FE"/>
    <w:rsid w:val="6E4E4655"/>
    <w:rsid w:val="6E634D17"/>
    <w:rsid w:val="6E737F96"/>
    <w:rsid w:val="6E7A1325"/>
    <w:rsid w:val="6E84757E"/>
    <w:rsid w:val="6E8F31BE"/>
    <w:rsid w:val="6E9248C1"/>
    <w:rsid w:val="6E9F1864"/>
    <w:rsid w:val="6ED63291"/>
    <w:rsid w:val="6EF60D57"/>
    <w:rsid w:val="6EF63C02"/>
    <w:rsid w:val="6EFC52D5"/>
    <w:rsid w:val="6F091745"/>
    <w:rsid w:val="6F0B2FDD"/>
    <w:rsid w:val="6F1E76A9"/>
    <w:rsid w:val="6F2A3D52"/>
    <w:rsid w:val="6F432D29"/>
    <w:rsid w:val="6F485187"/>
    <w:rsid w:val="6F5007FF"/>
    <w:rsid w:val="6F5B1156"/>
    <w:rsid w:val="6F637CFB"/>
    <w:rsid w:val="6F703054"/>
    <w:rsid w:val="6F9469D7"/>
    <w:rsid w:val="6FC10AEA"/>
    <w:rsid w:val="6FC36CFC"/>
    <w:rsid w:val="6FD05E66"/>
    <w:rsid w:val="70011795"/>
    <w:rsid w:val="70085B22"/>
    <w:rsid w:val="701C68F2"/>
    <w:rsid w:val="70581F56"/>
    <w:rsid w:val="706D2081"/>
    <w:rsid w:val="707002F7"/>
    <w:rsid w:val="70710506"/>
    <w:rsid w:val="70767737"/>
    <w:rsid w:val="708D4D9A"/>
    <w:rsid w:val="70A35F60"/>
    <w:rsid w:val="70AD3C34"/>
    <w:rsid w:val="70AF4D31"/>
    <w:rsid w:val="70BF2566"/>
    <w:rsid w:val="70C66A89"/>
    <w:rsid w:val="70DC2156"/>
    <w:rsid w:val="71354CCA"/>
    <w:rsid w:val="713E5DF0"/>
    <w:rsid w:val="71433023"/>
    <w:rsid w:val="714F681D"/>
    <w:rsid w:val="715045BF"/>
    <w:rsid w:val="71551E63"/>
    <w:rsid w:val="715907AC"/>
    <w:rsid w:val="715C11B6"/>
    <w:rsid w:val="715C7408"/>
    <w:rsid w:val="71724535"/>
    <w:rsid w:val="717619D2"/>
    <w:rsid w:val="71922E29"/>
    <w:rsid w:val="71A22875"/>
    <w:rsid w:val="71DE4A8F"/>
    <w:rsid w:val="71DE7E1D"/>
    <w:rsid w:val="71E76CD1"/>
    <w:rsid w:val="71EF5B86"/>
    <w:rsid w:val="71F04980"/>
    <w:rsid w:val="71F611D6"/>
    <w:rsid w:val="720158B9"/>
    <w:rsid w:val="7207091E"/>
    <w:rsid w:val="72132073"/>
    <w:rsid w:val="72172E5E"/>
    <w:rsid w:val="72231FD0"/>
    <w:rsid w:val="72282E5A"/>
    <w:rsid w:val="722E4900"/>
    <w:rsid w:val="723914F7"/>
    <w:rsid w:val="72605FB6"/>
    <w:rsid w:val="726F1D22"/>
    <w:rsid w:val="72737A40"/>
    <w:rsid w:val="727E0112"/>
    <w:rsid w:val="72897D89"/>
    <w:rsid w:val="729B5D0E"/>
    <w:rsid w:val="729F6EEB"/>
    <w:rsid w:val="72AB0605"/>
    <w:rsid w:val="72B8174E"/>
    <w:rsid w:val="72BB6F42"/>
    <w:rsid w:val="72E7648F"/>
    <w:rsid w:val="72E86467"/>
    <w:rsid w:val="72EB6CDE"/>
    <w:rsid w:val="72EF13CA"/>
    <w:rsid w:val="7310050B"/>
    <w:rsid w:val="731B2E8E"/>
    <w:rsid w:val="731C0B9A"/>
    <w:rsid w:val="732F7419"/>
    <w:rsid w:val="733026EC"/>
    <w:rsid w:val="733C129F"/>
    <w:rsid w:val="735A1E4E"/>
    <w:rsid w:val="73866705"/>
    <w:rsid w:val="739F35DC"/>
    <w:rsid w:val="73AC491D"/>
    <w:rsid w:val="73AD7AA7"/>
    <w:rsid w:val="73D72DB0"/>
    <w:rsid w:val="73E159A2"/>
    <w:rsid w:val="73F25E01"/>
    <w:rsid w:val="74024296"/>
    <w:rsid w:val="740A7E44"/>
    <w:rsid w:val="74367A9C"/>
    <w:rsid w:val="7447444A"/>
    <w:rsid w:val="7448163C"/>
    <w:rsid w:val="74561EEC"/>
    <w:rsid w:val="746017E9"/>
    <w:rsid w:val="746F30B3"/>
    <w:rsid w:val="74753307"/>
    <w:rsid w:val="74A30CA1"/>
    <w:rsid w:val="74A7099A"/>
    <w:rsid w:val="74A93526"/>
    <w:rsid w:val="74AC2CD5"/>
    <w:rsid w:val="74AC43AC"/>
    <w:rsid w:val="74C554A6"/>
    <w:rsid w:val="74D02043"/>
    <w:rsid w:val="74DB169D"/>
    <w:rsid w:val="74DC4AE7"/>
    <w:rsid w:val="74EF1341"/>
    <w:rsid w:val="75287895"/>
    <w:rsid w:val="754C5458"/>
    <w:rsid w:val="755713F6"/>
    <w:rsid w:val="755A7F6F"/>
    <w:rsid w:val="755F3023"/>
    <w:rsid w:val="756B7C19"/>
    <w:rsid w:val="757671EB"/>
    <w:rsid w:val="75814990"/>
    <w:rsid w:val="758324CD"/>
    <w:rsid w:val="759D070B"/>
    <w:rsid w:val="759D554F"/>
    <w:rsid w:val="75AD1FE0"/>
    <w:rsid w:val="75BD3B5F"/>
    <w:rsid w:val="75C164E9"/>
    <w:rsid w:val="75C532EB"/>
    <w:rsid w:val="75CA21BD"/>
    <w:rsid w:val="75E83018"/>
    <w:rsid w:val="760A5684"/>
    <w:rsid w:val="760B0785"/>
    <w:rsid w:val="76270F0D"/>
    <w:rsid w:val="76283D5C"/>
    <w:rsid w:val="762D10B4"/>
    <w:rsid w:val="7637239E"/>
    <w:rsid w:val="765949F3"/>
    <w:rsid w:val="76685FAC"/>
    <w:rsid w:val="766A2C65"/>
    <w:rsid w:val="766D2AA8"/>
    <w:rsid w:val="7675345C"/>
    <w:rsid w:val="769F401E"/>
    <w:rsid w:val="76A7207E"/>
    <w:rsid w:val="76C465EE"/>
    <w:rsid w:val="76CD2432"/>
    <w:rsid w:val="76EB61D7"/>
    <w:rsid w:val="76EC388B"/>
    <w:rsid w:val="76F43FB7"/>
    <w:rsid w:val="76F92D40"/>
    <w:rsid w:val="770519A8"/>
    <w:rsid w:val="77205B02"/>
    <w:rsid w:val="773D55E5"/>
    <w:rsid w:val="77461E63"/>
    <w:rsid w:val="774C654B"/>
    <w:rsid w:val="775623B4"/>
    <w:rsid w:val="776337FF"/>
    <w:rsid w:val="779416A9"/>
    <w:rsid w:val="77972476"/>
    <w:rsid w:val="77974CF6"/>
    <w:rsid w:val="779C230C"/>
    <w:rsid w:val="77AB6F77"/>
    <w:rsid w:val="77AF6C61"/>
    <w:rsid w:val="77B91110"/>
    <w:rsid w:val="77BA7C11"/>
    <w:rsid w:val="77E74C3F"/>
    <w:rsid w:val="77F00B3E"/>
    <w:rsid w:val="77F913D5"/>
    <w:rsid w:val="77FA7DFE"/>
    <w:rsid w:val="780954C8"/>
    <w:rsid w:val="781E774B"/>
    <w:rsid w:val="78337903"/>
    <w:rsid w:val="7836450F"/>
    <w:rsid w:val="78543463"/>
    <w:rsid w:val="7860158C"/>
    <w:rsid w:val="78680440"/>
    <w:rsid w:val="78770683"/>
    <w:rsid w:val="787C66ED"/>
    <w:rsid w:val="78915BE9"/>
    <w:rsid w:val="78A50397"/>
    <w:rsid w:val="78B418D7"/>
    <w:rsid w:val="78C22791"/>
    <w:rsid w:val="78D83818"/>
    <w:rsid w:val="78E516D7"/>
    <w:rsid w:val="78EF0B61"/>
    <w:rsid w:val="78FD1C1A"/>
    <w:rsid w:val="790002AF"/>
    <w:rsid w:val="790B5A05"/>
    <w:rsid w:val="790D7151"/>
    <w:rsid w:val="793622EC"/>
    <w:rsid w:val="793F23B4"/>
    <w:rsid w:val="79471B05"/>
    <w:rsid w:val="794951BC"/>
    <w:rsid w:val="794D4437"/>
    <w:rsid w:val="795066A5"/>
    <w:rsid w:val="79550D90"/>
    <w:rsid w:val="79724599"/>
    <w:rsid w:val="798C3990"/>
    <w:rsid w:val="79A6002C"/>
    <w:rsid w:val="79A95503"/>
    <w:rsid w:val="79BE2F03"/>
    <w:rsid w:val="79C433D1"/>
    <w:rsid w:val="79D1473C"/>
    <w:rsid w:val="79E21F10"/>
    <w:rsid w:val="79EF3444"/>
    <w:rsid w:val="79F333E8"/>
    <w:rsid w:val="79F86C86"/>
    <w:rsid w:val="79F93683"/>
    <w:rsid w:val="79FB5425"/>
    <w:rsid w:val="79FF5F22"/>
    <w:rsid w:val="7A05113D"/>
    <w:rsid w:val="7A1940E8"/>
    <w:rsid w:val="7A370191"/>
    <w:rsid w:val="7A4A0F1E"/>
    <w:rsid w:val="7A4E43CE"/>
    <w:rsid w:val="7A6A04A0"/>
    <w:rsid w:val="7A6C2348"/>
    <w:rsid w:val="7A6D4065"/>
    <w:rsid w:val="7A721E73"/>
    <w:rsid w:val="7A8E45BD"/>
    <w:rsid w:val="7AA634A2"/>
    <w:rsid w:val="7AB335D5"/>
    <w:rsid w:val="7AB739D6"/>
    <w:rsid w:val="7ACA3634"/>
    <w:rsid w:val="7AE04F94"/>
    <w:rsid w:val="7B05497D"/>
    <w:rsid w:val="7B105016"/>
    <w:rsid w:val="7B1A143D"/>
    <w:rsid w:val="7B292109"/>
    <w:rsid w:val="7B393B80"/>
    <w:rsid w:val="7B3D0289"/>
    <w:rsid w:val="7B4E1B6F"/>
    <w:rsid w:val="7B680104"/>
    <w:rsid w:val="7B7F7F7B"/>
    <w:rsid w:val="7B9A67CB"/>
    <w:rsid w:val="7BB06590"/>
    <w:rsid w:val="7BCF6FDB"/>
    <w:rsid w:val="7BD32074"/>
    <w:rsid w:val="7BD40588"/>
    <w:rsid w:val="7BEA1FDB"/>
    <w:rsid w:val="7BEC58A5"/>
    <w:rsid w:val="7BEE3928"/>
    <w:rsid w:val="7BF50E70"/>
    <w:rsid w:val="7BF735AB"/>
    <w:rsid w:val="7C084DF6"/>
    <w:rsid w:val="7C2B1EB0"/>
    <w:rsid w:val="7C3C40BE"/>
    <w:rsid w:val="7C3C45C7"/>
    <w:rsid w:val="7C547659"/>
    <w:rsid w:val="7C7E0232"/>
    <w:rsid w:val="7C8119E2"/>
    <w:rsid w:val="7C8578FB"/>
    <w:rsid w:val="7C8A381A"/>
    <w:rsid w:val="7C90314A"/>
    <w:rsid w:val="7C9F6716"/>
    <w:rsid w:val="7CCB33EB"/>
    <w:rsid w:val="7CDC7D70"/>
    <w:rsid w:val="7CE173B7"/>
    <w:rsid w:val="7D003806"/>
    <w:rsid w:val="7D0A5F6A"/>
    <w:rsid w:val="7D124E1E"/>
    <w:rsid w:val="7D1C7A4B"/>
    <w:rsid w:val="7D1F6591"/>
    <w:rsid w:val="7D2B4AA2"/>
    <w:rsid w:val="7D4923C5"/>
    <w:rsid w:val="7D594A70"/>
    <w:rsid w:val="7D5D253D"/>
    <w:rsid w:val="7D662879"/>
    <w:rsid w:val="7D7710F3"/>
    <w:rsid w:val="7DAB7968"/>
    <w:rsid w:val="7DBA7990"/>
    <w:rsid w:val="7DC624B4"/>
    <w:rsid w:val="7DCC76C3"/>
    <w:rsid w:val="7DF826A2"/>
    <w:rsid w:val="7DFD5ACF"/>
    <w:rsid w:val="7E2030B4"/>
    <w:rsid w:val="7E2C20F1"/>
    <w:rsid w:val="7E54393E"/>
    <w:rsid w:val="7E6431D7"/>
    <w:rsid w:val="7E7C22B4"/>
    <w:rsid w:val="7E9855AE"/>
    <w:rsid w:val="7E9A0754"/>
    <w:rsid w:val="7E9D20EB"/>
    <w:rsid w:val="7EAA17B2"/>
    <w:rsid w:val="7EAA3785"/>
    <w:rsid w:val="7EB108A7"/>
    <w:rsid w:val="7EB31744"/>
    <w:rsid w:val="7EBB06B8"/>
    <w:rsid w:val="7EDE145C"/>
    <w:rsid w:val="7EE10F4C"/>
    <w:rsid w:val="7EE9152E"/>
    <w:rsid w:val="7EF42FE8"/>
    <w:rsid w:val="7EFA2E4E"/>
    <w:rsid w:val="7F0215EE"/>
    <w:rsid w:val="7F0F5D02"/>
    <w:rsid w:val="7F113FE7"/>
    <w:rsid w:val="7F211349"/>
    <w:rsid w:val="7F280929"/>
    <w:rsid w:val="7F327F0F"/>
    <w:rsid w:val="7F371D50"/>
    <w:rsid w:val="7F3E6A5C"/>
    <w:rsid w:val="7F4D054F"/>
    <w:rsid w:val="7F735B58"/>
    <w:rsid w:val="7F840255"/>
    <w:rsid w:val="7FA04963"/>
    <w:rsid w:val="7FA77CA3"/>
    <w:rsid w:val="7FA91989"/>
    <w:rsid w:val="7FBB791C"/>
    <w:rsid w:val="7FC14BB1"/>
    <w:rsid w:val="7FCB12C2"/>
    <w:rsid w:val="7FD56C6B"/>
    <w:rsid w:val="7FE37963"/>
    <w:rsid w:val="7FF901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63"/>
    <w:qFormat/>
    <w:uiPriority w:val="0"/>
    <w:pPr>
      <w:keepNext/>
      <w:keepLines/>
      <w:spacing w:line="576" w:lineRule="auto"/>
      <w:jc w:val="center"/>
      <w:outlineLvl w:val="0"/>
    </w:pPr>
    <w:rPr>
      <w:rFonts w:eastAsia="黑体"/>
      <w:kern w:val="44"/>
      <w:sz w:val="30"/>
    </w:rPr>
  </w:style>
  <w:style w:type="paragraph" w:styleId="4">
    <w:name w:val="heading 2"/>
    <w:basedOn w:val="1"/>
    <w:next w:val="1"/>
    <w:link w:val="25"/>
    <w:unhideWhenUsed/>
    <w:qFormat/>
    <w:uiPriority w:val="0"/>
    <w:pPr>
      <w:keepNext/>
      <w:keepLines/>
      <w:spacing w:line="413" w:lineRule="auto"/>
      <w:ind w:left="200" w:leftChars="200"/>
      <w:jc w:val="center"/>
      <w:outlineLvl w:val="1"/>
    </w:pPr>
    <w:rPr>
      <w:rFonts w:ascii="仿宋_GB2312" w:hAnsi="仿宋_GB2312"/>
      <w:b/>
      <w:sz w:val="24"/>
    </w:rPr>
  </w:style>
  <w:style w:type="paragraph" w:styleId="5">
    <w:name w:val="heading 3"/>
    <w:basedOn w:val="1"/>
    <w:next w:val="1"/>
    <w:link w:val="26"/>
    <w:unhideWhenUsed/>
    <w:qFormat/>
    <w:uiPriority w:val="0"/>
    <w:pPr>
      <w:keepNext/>
      <w:keepLines/>
      <w:spacing w:line="413" w:lineRule="auto"/>
      <w:ind w:left="200" w:leftChars="200"/>
      <w:outlineLvl w:val="2"/>
    </w:pPr>
    <w:rPr>
      <w:rFonts w:ascii="仿宋_GB2312" w:hAnsi="仿宋_GB2312" w:eastAsia="仿宋_GB2312"/>
      <w:b/>
      <w:sz w:val="24"/>
    </w:rPr>
  </w:style>
  <w:style w:type="paragraph" w:styleId="6">
    <w:name w:val="heading 4"/>
    <w:basedOn w:val="1"/>
    <w:next w:val="1"/>
    <w:link w:val="53"/>
    <w:unhideWhenUsed/>
    <w:qFormat/>
    <w:uiPriority w:val="0"/>
    <w:pPr>
      <w:pageBreakBefore/>
      <w:numPr>
        <w:ilvl w:val="3"/>
        <w:numId w:val="1"/>
      </w:numPr>
      <w:adjustRightInd w:val="0"/>
      <w:spacing w:before="280" w:after="290" w:line="376" w:lineRule="atLeast"/>
      <w:jc w:val="left"/>
      <w:textAlignment w:val="baseline"/>
      <w:outlineLvl w:val="3"/>
    </w:pPr>
    <w:rPr>
      <w:rFonts w:ascii="Arial" w:hAnsi="Arial"/>
      <w:b/>
      <w:bCs/>
      <w:kern w:val="0"/>
      <w:sz w:val="24"/>
      <w:szCs w:val="28"/>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kern w:val="0"/>
      <w:sz w:val="15"/>
      <w:szCs w:val="15"/>
      <w:lang w:val="en-US" w:eastAsia="zh-CN" w:bidi="ar"/>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0"/>
    <w:rPr>
      <w:rFonts w:ascii="Times New Roman" w:hAnsi="Times New Roman" w:cs="Times New Roman"/>
      <w:position w:val="-16"/>
      <w:sz w:val="28"/>
      <w:szCs w:val="24"/>
    </w:rPr>
  </w:style>
  <w:style w:type="paragraph" w:styleId="8">
    <w:name w:val="Body Text 3"/>
    <w:basedOn w:val="1"/>
    <w:link w:val="52"/>
    <w:qFormat/>
    <w:uiPriority w:val="0"/>
    <w:pPr>
      <w:spacing w:after="120"/>
    </w:pPr>
    <w:rPr>
      <w:rFonts w:eastAsia="华文宋体"/>
      <w:sz w:val="16"/>
      <w:szCs w:val="16"/>
    </w:rPr>
  </w:style>
  <w:style w:type="paragraph" w:styleId="9">
    <w:name w:val="toc 3"/>
    <w:basedOn w:val="1"/>
    <w:next w:val="1"/>
    <w:qFormat/>
    <w:uiPriority w:val="39"/>
    <w:pPr>
      <w:ind w:left="420"/>
      <w:jc w:val="left"/>
    </w:pPr>
    <w:rPr>
      <w:rFonts w:eastAsia="仿宋_GB2312"/>
      <w:sz w:val="24"/>
    </w:rPr>
  </w:style>
  <w:style w:type="paragraph" w:styleId="10">
    <w:name w:val="Date"/>
    <w:basedOn w:val="1"/>
    <w:next w:val="1"/>
    <w:qFormat/>
    <w:uiPriority w:val="0"/>
    <w:pPr>
      <w:spacing w:line="360" w:lineRule="auto"/>
    </w:pPr>
    <w:rPr>
      <w:rFonts w:ascii="宋体"/>
      <w:sz w:val="24"/>
      <w:szCs w:val="20"/>
    </w:rPr>
  </w:style>
  <w:style w:type="paragraph" w:styleId="11">
    <w:name w:val="Body Text Indent 2"/>
    <w:basedOn w:val="1"/>
    <w:qFormat/>
    <w:uiPriority w:val="0"/>
    <w:pPr>
      <w:autoSpaceDE w:val="0"/>
      <w:autoSpaceDN w:val="0"/>
      <w:adjustRightInd w:val="0"/>
      <w:spacing w:line="640" w:lineRule="exact"/>
      <w:ind w:firstLine="645"/>
    </w:pPr>
    <w:rPr>
      <w:rFonts w:ascii="楷体_GB2312" w:eastAsia="楷体_GB2312"/>
      <w:kern w:val="0"/>
      <w:sz w:val="32"/>
      <w:szCs w:val="32"/>
    </w:r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16">
    <w:name w:val="toc 1"/>
    <w:basedOn w:val="1"/>
    <w:next w:val="1"/>
    <w:qFormat/>
    <w:uiPriority w:val="39"/>
    <w:pPr>
      <w:jc w:val="left"/>
    </w:pPr>
    <w:rPr>
      <w:rFonts w:eastAsia="仿宋_GB2312"/>
      <w:caps/>
      <w:sz w:val="24"/>
    </w:rPr>
  </w:style>
  <w:style w:type="paragraph" w:styleId="17">
    <w:name w:val="toc 2"/>
    <w:basedOn w:val="1"/>
    <w:next w:val="1"/>
    <w:qFormat/>
    <w:uiPriority w:val="39"/>
    <w:pPr>
      <w:ind w:left="210"/>
      <w:jc w:val="left"/>
    </w:pPr>
    <w:rPr>
      <w:rFonts w:eastAsia="仿宋_GB2312"/>
      <w:smallCaps/>
      <w:sz w:val="24"/>
    </w:rPr>
  </w:style>
  <w:style w:type="paragraph" w:styleId="18">
    <w:name w:val="Normal (Web)"/>
    <w:basedOn w:val="1"/>
    <w:next w:val="14"/>
    <w:unhideWhenUsed/>
    <w:qFormat/>
    <w:uiPriority w:val="0"/>
    <w:pPr>
      <w:spacing w:before="100" w:beforeAutospacing="1" w:after="100" w:afterAutospacing="1"/>
      <w:jc w:val="left"/>
    </w:pPr>
    <w:rPr>
      <w:rFonts w:ascii="Times New Roman" w:hAnsi="Times New Roman" w:cs="Times New Roman"/>
      <w:kern w:val="0"/>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标题 2 Char"/>
    <w:link w:val="4"/>
    <w:qFormat/>
    <w:uiPriority w:val="0"/>
    <w:rPr>
      <w:rFonts w:ascii="仿宋_GB2312" w:hAnsi="仿宋_GB2312" w:eastAsia="宋体"/>
      <w:b/>
      <w:sz w:val="24"/>
    </w:rPr>
  </w:style>
  <w:style w:type="character" w:customStyle="1" w:styleId="26">
    <w:name w:val="标题 3 Char"/>
    <w:link w:val="5"/>
    <w:qFormat/>
    <w:uiPriority w:val="0"/>
    <w:rPr>
      <w:rFonts w:ascii="仿宋_GB2312" w:hAnsi="仿宋_GB2312" w:eastAsia="仿宋_GB2312"/>
      <w:b/>
      <w:sz w:val="24"/>
    </w:rPr>
  </w:style>
  <w:style w:type="paragraph" w:customStyle="1" w:styleId="27">
    <w:name w:val="xl36"/>
    <w:basedOn w:val="1"/>
    <w:qFormat/>
    <w:uiPriority w:val="0"/>
    <w:pPr>
      <w:widowControl/>
      <w:jc w:val="center"/>
    </w:pPr>
    <w:rPr>
      <w:rFonts w:hint="eastAsia" w:ascii="宋体" w:hAnsi="宋体"/>
      <w:kern w:val="0"/>
      <w:sz w:val="24"/>
    </w:rPr>
  </w:style>
  <w:style w:type="paragraph" w:customStyle="1" w:styleId="2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29">
    <w:name w:val="批注框文本 Char"/>
    <w:basedOn w:val="21"/>
    <w:link w:val="12"/>
    <w:qFormat/>
    <w:uiPriority w:val="0"/>
    <w:rPr>
      <w:rFonts w:ascii="Calibri" w:hAnsi="Calibri" w:cs="黑体"/>
      <w:kern w:val="2"/>
      <w:sz w:val="18"/>
      <w:szCs w:val="18"/>
    </w:rPr>
  </w:style>
  <w:style w:type="paragraph" w:customStyle="1" w:styleId="30">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31">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32">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33">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34">
    <w:name w:val="Normal_4"/>
    <w:qFormat/>
    <w:uiPriority w:val="0"/>
    <w:pPr>
      <w:spacing w:before="120" w:after="240"/>
      <w:jc w:val="both"/>
    </w:pPr>
    <w:rPr>
      <w:rFonts w:ascii="Calibri" w:hAnsi="Calibri" w:eastAsia="Calibri" w:cs="Times New Roman"/>
      <w:sz w:val="22"/>
      <w:szCs w:val="22"/>
      <w:lang w:val="ru-RU" w:eastAsia="en-US" w:bidi="ar-SA"/>
    </w:rPr>
  </w:style>
  <w:style w:type="character" w:customStyle="1" w:styleId="35">
    <w:name w:val="font01"/>
    <w:basedOn w:val="21"/>
    <w:qFormat/>
    <w:uiPriority w:val="0"/>
    <w:rPr>
      <w:rFonts w:ascii="Wingdings 2" w:hAnsi="Wingdings 2" w:eastAsia="Wingdings 2" w:cs="Wingdings 2"/>
      <w:color w:val="000000"/>
      <w:sz w:val="22"/>
      <w:szCs w:val="22"/>
      <w:u w:val="none"/>
    </w:rPr>
  </w:style>
  <w:style w:type="character" w:customStyle="1" w:styleId="36">
    <w:name w:val="font11"/>
    <w:basedOn w:val="21"/>
    <w:qFormat/>
    <w:uiPriority w:val="0"/>
    <w:rPr>
      <w:rFonts w:hint="eastAsia" w:ascii="宋体" w:hAnsi="宋体" w:eastAsia="宋体" w:cs="宋体"/>
      <w:color w:val="000000"/>
      <w:sz w:val="22"/>
      <w:szCs w:val="22"/>
      <w:u w:val="none"/>
    </w:rPr>
  </w:style>
  <w:style w:type="character" w:customStyle="1" w:styleId="37">
    <w:name w:val="font81"/>
    <w:basedOn w:val="21"/>
    <w:qFormat/>
    <w:uiPriority w:val="0"/>
    <w:rPr>
      <w:rFonts w:ascii="宋体" w:hAnsi="宋体" w:eastAsia="宋体" w:cs="宋体"/>
      <w:color w:val="333333"/>
      <w:sz w:val="22"/>
      <w:szCs w:val="22"/>
      <w:u w:val="none"/>
    </w:rPr>
  </w:style>
  <w:style w:type="character" w:customStyle="1" w:styleId="38">
    <w:name w:val="font71"/>
    <w:basedOn w:val="21"/>
    <w:qFormat/>
    <w:uiPriority w:val="0"/>
    <w:rPr>
      <w:rFonts w:hint="default" w:ascii="Wingdings 2" w:hAnsi="Wingdings 2" w:eastAsia="Wingdings 2" w:cs="Wingdings 2"/>
      <w:color w:val="333333"/>
      <w:sz w:val="22"/>
      <w:szCs w:val="22"/>
      <w:u w:val="none"/>
    </w:rPr>
  </w:style>
  <w:style w:type="character" w:customStyle="1" w:styleId="39">
    <w:name w:val="font31"/>
    <w:basedOn w:val="21"/>
    <w:qFormat/>
    <w:uiPriority w:val="0"/>
    <w:rPr>
      <w:rFonts w:hint="eastAsia" w:ascii="宋体" w:hAnsi="宋体" w:eastAsia="宋体" w:cs="宋体"/>
      <w:color w:val="000000"/>
      <w:sz w:val="22"/>
      <w:szCs w:val="22"/>
      <w:u w:val="none"/>
    </w:rPr>
  </w:style>
  <w:style w:type="character" w:customStyle="1" w:styleId="40">
    <w:name w:val="font51"/>
    <w:basedOn w:val="21"/>
    <w:qFormat/>
    <w:uiPriority w:val="0"/>
    <w:rPr>
      <w:rFonts w:hint="default" w:ascii="Wingdings 2" w:hAnsi="Wingdings 2" w:eastAsia="Wingdings 2" w:cs="Wingdings 2"/>
      <w:color w:val="000000"/>
      <w:sz w:val="22"/>
      <w:szCs w:val="22"/>
      <w:u w:val="none"/>
    </w:rPr>
  </w:style>
  <w:style w:type="character" w:customStyle="1" w:styleId="41">
    <w:name w:val="font21"/>
    <w:basedOn w:val="21"/>
    <w:qFormat/>
    <w:uiPriority w:val="0"/>
    <w:rPr>
      <w:rFonts w:hint="eastAsia" w:ascii="宋体" w:hAnsi="宋体" w:eastAsia="宋体" w:cs="宋体"/>
      <w:b/>
      <w:color w:val="000000"/>
      <w:sz w:val="22"/>
      <w:szCs w:val="22"/>
      <w:u w:val="none"/>
    </w:rPr>
  </w:style>
  <w:style w:type="paragraph" w:customStyle="1" w:styleId="42">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正文文本 Char"/>
    <w:basedOn w:val="21"/>
    <w:link w:val="2"/>
    <w:qFormat/>
    <w:uiPriority w:val="0"/>
    <w:rPr>
      <w:kern w:val="2"/>
      <w:position w:val="-16"/>
      <w:sz w:val="28"/>
      <w:szCs w:val="24"/>
    </w:rPr>
  </w:style>
  <w:style w:type="character" w:customStyle="1" w:styleId="44">
    <w:name w:val="gpa"/>
    <w:basedOn w:val="21"/>
    <w:qFormat/>
    <w:uiPriority w:val="0"/>
    <w:rPr>
      <w:rFonts w:ascii="Arial" w:hAnsi="Arial" w:cs="Arial"/>
      <w:sz w:val="15"/>
      <w:szCs w:val="15"/>
    </w:rPr>
  </w:style>
  <w:style w:type="character" w:customStyle="1" w:styleId="45">
    <w:name w:val="selected"/>
    <w:basedOn w:val="21"/>
    <w:qFormat/>
    <w:uiPriority w:val="0"/>
    <w:rPr>
      <w:shd w:val="clear" w:color="auto" w:fill="B00006"/>
    </w:rPr>
  </w:style>
  <w:style w:type="character" w:customStyle="1" w:styleId="46">
    <w:name w:val="displayarti"/>
    <w:basedOn w:val="21"/>
    <w:qFormat/>
    <w:uiPriority w:val="0"/>
    <w:rPr>
      <w:color w:val="FFFFFF"/>
      <w:shd w:val="clear" w:color="auto" w:fill="A00000"/>
    </w:rPr>
  </w:style>
  <w:style w:type="paragraph" w:customStyle="1" w:styleId="47">
    <w:name w:val="QQ"/>
    <w:basedOn w:val="3"/>
    <w:qFormat/>
    <w:uiPriority w:val="0"/>
    <w:pPr>
      <w:numPr>
        <w:ilvl w:val="0"/>
        <w:numId w:val="2"/>
      </w:numPr>
    </w:pPr>
    <w:rPr>
      <w:sz w:val="32"/>
    </w:rPr>
  </w:style>
  <w:style w:type="paragraph" w:customStyle="1" w:styleId="4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9">
    <w:name w:val="列出段落1"/>
    <w:basedOn w:val="1"/>
    <w:qFormat/>
    <w:uiPriority w:val="0"/>
    <w:pPr>
      <w:ind w:firstLine="420" w:firstLineChars="200"/>
    </w:pPr>
    <w:rPr>
      <w:rFonts w:cs="Times New Roman"/>
    </w:rPr>
  </w:style>
  <w:style w:type="paragraph" w:customStyle="1" w:styleId="50">
    <w:name w:val="_Style 4"/>
    <w:basedOn w:val="1"/>
    <w:qFormat/>
    <w:uiPriority w:val="0"/>
    <w:pPr>
      <w:ind w:firstLine="420" w:firstLineChars="200"/>
    </w:pPr>
    <w:rPr>
      <w:sz w:val="24"/>
      <w:szCs w:val="20"/>
    </w:rPr>
  </w:style>
  <w:style w:type="paragraph" w:customStyle="1" w:styleId="51">
    <w:name w:val="无间隔1"/>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customStyle="1" w:styleId="52">
    <w:name w:val="正文文本 3 Char"/>
    <w:link w:val="8"/>
    <w:qFormat/>
    <w:uiPriority w:val="0"/>
    <w:rPr>
      <w:rFonts w:eastAsia="华文宋体"/>
      <w:sz w:val="16"/>
      <w:szCs w:val="16"/>
    </w:rPr>
  </w:style>
  <w:style w:type="character" w:customStyle="1" w:styleId="53">
    <w:name w:val="标题 4 Char"/>
    <w:link w:val="6"/>
    <w:qFormat/>
    <w:uiPriority w:val="0"/>
    <w:rPr>
      <w:rFonts w:ascii="Arial" w:hAnsi="Arial"/>
      <w:b/>
      <w:bCs/>
      <w:kern w:val="0"/>
      <w:sz w:val="24"/>
      <w:szCs w:val="28"/>
    </w:rPr>
  </w:style>
  <w:style w:type="paragraph" w:customStyle="1" w:styleId="54">
    <w:name w:val="样式1"/>
    <w:basedOn w:val="1"/>
    <w:qFormat/>
    <w:uiPriority w:val="0"/>
    <w:rPr>
      <w:rFonts w:eastAsia="仿宋_GB2312"/>
    </w:rPr>
  </w:style>
  <w:style w:type="paragraph" w:customStyle="1" w:styleId="55">
    <w:name w:val="宋体正文"/>
    <w:basedOn w:val="1"/>
    <w:qFormat/>
    <w:uiPriority w:val="0"/>
    <w:pPr>
      <w:spacing w:line="360" w:lineRule="auto"/>
      <w:jc w:val="left"/>
    </w:pPr>
    <w:rPr>
      <w:rFonts w:asciiTheme="minorHAnsi" w:hAnsiTheme="minorHAnsi"/>
      <w:sz w:val="24"/>
    </w:rPr>
  </w:style>
  <w:style w:type="character" w:customStyle="1" w:styleId="56">
    <w:name w:val="font101"/>
    <w:basedOn w:val="21"/>
    <w:qFormat/>
    <w:uiPriority w:val="0"/>
    <w:rPr>
      <w:rFonts w:hint="eastAsia" w:ascii="宋体" w:hAnsi="宋体" w:eastAsia="宋体" w:cs="宋体"/>
      <w:color w:val="000000"/>
      <w:sz w:val="20"/>
      <w:szCs w:val="20"/>
      <w:u w:val="none"/>
    </w:rPr>
  </w:style>
  <w:style w:type="character" w:customStyle="1" w:styleId="57">
    <w:name w:val="font161"/>
    <w:basedOn w:val="21"/>
    <w:qFormat/>
    <w:uiPriority w:val="0"/>
    <w:rPr>
      <w:rFonts w:hint="eastAsia" w:ascii="宋体" w:hAnsi="宋体" w:eastAsia="宋体" w:cs="宋体"/>
      <w:color w:val="FF0000"/>
      <w:sz w:val="20"/>
      <w:szCs w:val="20"/>
      <w:u w:val="none"/>
    </w:rPr>
  </w:style>
  <w:style w:type="character" w:customStyle="1" w:styleId="58">
    <w:name w:val="font141"/>
    <w:basedOn w:val="21"/>
    <w:qFormat/>
    <w:uiPriority w:val="0"/>
    <w:rPr>
      <w:rFonts w:hint="eastAsia" w:ascii="宋体" w:hAnsi="宋体" w:eastAsia="宋体" w:cs="宋体"/>
      <w:color w:val="000000"/>
      <w:sz w:val="20"/>
      <w:szCs w:val="20"/>
      <w:u w:val="none"/>
    </w:rPr>
  </w:style>
  <w:style w:type="character" w:customStyle="1" w:styleId="59">
    <w:name w:val="font131"/>
    <w:basedOn w:val="21"/>
    <w:qFormat/>
    <w:uiPriority w:val="0"/>
    <w:rPr>
      <w:rFonts w:hint="default" w:ascii="Arial" w:hAnsi="Arial" w:cs="Arial"/>
      <w:color w:val="000000"/>
      <w:sz w:val="18"/>
      <w:szCs w:val="18"/>
      <w:u w:val="none"/>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3">
    <w:name w:val="标题 1 Char"/>
    <w:link w:val="3"/>
    <w:qFormat/>
    <w:uiPriority w:val="0"/>
    <w:rPr>
      <w:rFonts w:eastAsia="黑体"/>
      <w:kern w:val="44"/>
      <w:sz w:val="30"/>
    </w:rPr>
  </w:style>
  <w:style w:type="paragraph" w:customStyle="1" w:styleId="64">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65">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0E2C9-BD34-4F65-A0D9-3404ACB0512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20486</Words>
  <Characters>21985</Characters>
  <Lines>143</Lines>
  <Paragraphs>40</Paragraphs>
  <TotalTime>12</TotalTime>
  <ScaleCrop>false</ScaleCrop>
  <LinksUpToDate>false</LinksUpToDate>
  <CharactersWithSpaces>23759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2015-11-30T09:37:00Z</dcterms:created>
  <dc:creator>Administrator</dc:creator>
  <cp:lastModifiedBy>莉莉</cp:lastModifiedBy>
  <cp:lastPrinted>2019-04-16T06:57:00Z</cp:lastPrinted>
  <dcterms:modified xsi:type="dcterms:W3CDTF">2023-04-24T02:11:07Z</dcterms:modified>
  <dc:title>文件编号：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4EE160A544D24AF098179C1CE74C8570</vt:lpwstr>
  </property>
  <property fmtid="{D5CDD505-2E9C-101B-9397-08002B2CF9AE}" pid="4" name="commondata">
    <vt:lpwstr>eyJoZGlkIjoiNGM5MTFhMzkyZDQwYzhiYzA5OGYyMzQ4NmI5OGU5ZGMifQ==</vt:lpwstr>
  </property>
</Properties>
</file>