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cs="宋体"/>
          <w:b/>
          <w:sz w:val="28"/>
          <w:szCs w:val="28"/>
        </w:rPr>
      </w:pPr>
      <w:bookmarkStart w:id="0" w:name="OLE_LINK9"/>
      <w:r>
        <w:rPr>
          <w:rFonts w:hint="eastAsia" w:ascii="宋体" w:hAnsi="宋体" w:cs="宋体"/>
          <w:b/>
          <w:sz w:val="28"/>
          <w:szCs w:val="28"/>
        </w:rPr>
        <w:t>政府采购项目</w:t>
      </w:r>
    </w:p>
    <w:p>
      <w:pPr>
        <w:adjustRightInd w:val="0"/>
        <w:snapToGrid w:val="0"/>
        <w:spacing w:line="360" w:lineRule="auto"/>
        <w:jc w:val="left"/>
        <w:rPr>
          <w:rFonts w:ascii="宋体" w:hAnsi="宋体" w:cs="宋体"/>
          <w:b/>
          <w:sz w:val="28"/>
          <w:szCs w:val="28"/>
        </w:rPr>
      </w:pPr>
      <w:r>
        <w:rPr>
          <w:rFonts w:hint="eastAsia" w:ascii="宋体" w:hAnsi="宋体" w:cs="宋体"/>
          <w:b/>
          <w:sz w:val="28"/>
          <w:szCs w:val="28"/>
        </w:rPr>
        <w:t>项目编号：ZMZB2022ASJTJ-02</w:t>
      </w:r>
    </w:p>
    <w:p>
      <w:pPr>
        <w:tabs>
          <w:tab w:val="left" w:pos="2336"/>
        </w:tabs>
        <w:adjustRightInd w:val="0"/>
        <w:snapToGrid w:val="0"/>
        <w:spacing w:line="360" w:lineRule="auto"/>
        <w:rPr>
          <w:rFonts w:ascii="宋体" w:hAnsi="宋体" w:cs="宋体"/>
          <w:b/>
          <w:sz w:val="44"/>
          <w:szCs w:val="44"/>
        </w:rPr>
      </w:pPr>
      <w:r>
        <w:rPr>
          <w:rFonts w:hint="eastAsia" w:ascii="宋体" w:hAnsi="宋体" w:cs="宋体"/>
          <w:b/>
          <w:sz w:val="44"/>
          <w:szCs w:val="44"/>
        </w:rPr>
        <w:tab/>
      </w:r>
    </w:p>
    <w:p>
      <w:pPr>
        <w:adjustRightInd w:val="0"/>
        <w:snapToGrid w:val="0"/>
        <w:spacing w:line="360" w:lineRule="auto"/>
        <w:rPr>
          <w:rFonts w:ascii="宋体" w:hAnsi="宋体" w:cs="宋体"/>
          <w:b/>
          <w:sz w:val="10"/>
          <w:szCs w:val="10"/>
        </w:rPr>
      </w:pPr>
    </w:p>
    <w:p>
      <w:pPr>
        <w:adjustRightInd w:val="0"/>
        <w:snapToGrid w:val="0"/>
        <w:spacing w:line="360" w:lineRule="auto"/>
        <w:jc w:val="center"/>
        <w:rPr>
          <w:rFonts w:ascii="宋体" w:hAnsi="宋体" w:cs="宋体"/>
          <w:b/>
          <w:sz w:val="56"/>
          <w:szCs w:val="56"/>
        </w:rPr>
      </w:pPr>
      <w:bookmarkStart w:id="1" w:name="OLE_LINK10"/>
      <w:r>
        <w:rPr>
          <w:rFonts w:hint="eastAsia" w:ascii="宋体" w:hAnsi="宋体" w:cs="宋体"/>
          <w:b/>
          <w:sz w:val="56"/>
          <w:szCs w:val="56"/>
        </w:rPr>
        <w:t>延安市安塞区教育体育局</w:t>
      </w:r>
    </w:p>
    <w:p>
      <w:pPr>
        <w:adjustRightInd w:val="0"/>
        <w:snapToGrid w:val="0"/>
        <w:spacing w:line="360" w:lineRule="auto"/>
        <w:jc w:val="center"/>
        <w:rPr>
          <w:rFonts w:ascii="宋体" w:hAnsi="宋体" w:cs="宋体"/>
          <w:b/>
          <w:sz w:val="56"/>
          <w:szCs w:val="56"/>
        </w:rPr>
      </w:pPr>
      <w:r>
        <w:rPr>
          <w:rFonts w:hint="eastAsia" w:ascii="宋体" w:hAnsi="宋体" w:cs="宋体"/>
          <w:b/>
          <w:sz w:val="56"/>
          <w:szCs w:val="56"/>
        </w:rPr>
        <w:t>关于安塞区初级中学设备采购项目</w:t>
      </w:r>
    </w:p>
    <w:bookmarkEnd w:id="1"/>
    <w:p>
      <w:pPr>
        <w:adjustRightInd w:val="0"/>
        <w:snapToGrid w:val="0"/>
        <w:spacing w:line="360" w:lineRule="auto"/>
        <w:jc w:val="left"/>
        <w:rPr>
          <w:rFonts w:ascii="宋体" w:hAnsi="宋体" w:cs="宋体"/>
          <w:b/>
          <w:i/>
          <w:sz w:val="48"/>
        </w:rPr>
      </w:pPr>
      <w:r>
        <w:rPr>
          <w:rFonts w:hint="eastAsia" w:ascii="宋体" w:hAnsi="宋体" w:cs="宋体"/>
        </w:rPr>
        <w:drawing>
          <wp:anchor distT="0" distB="0" distL="114300" distR="114300" simplePos="0" relativeHeight="251660288" behindDoc="0" locked="0" layoutInCell="1" allowOverlap="1">
            <wp:simplePos x="0" y="0"/>
            <wp:positionH relativeFrom="column">
              <wp:posOffset>1640840</wp:posOffset>
            </wp:positionH>
            <wp:positionV relativeFrom="paragraph">
              <wp:posOffset>452755</wp:posOffset>
            </wp:positionV>
            <wp:extent cx="2095500" cy="1087120"/>
            <wp:effectExtent l="0" t="0" r="0" b="1778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3"/>
                    <a:stretch>
                      <a:fillRect/>
                    </a:stretch>
                  </pic:blipFill>
                  <pic:spPr>
                    <a:xfrm>
                      <a:off x="0" y="0"/>
                      <a:ext cx="2095500" cy="1087120"/>
                    </a:xfrm>
                    <a:prstGeom prst="rect">
                      <a:avLst/>
                    </a:prstGeom>
                    <a:noFill/>
                    <a:ln>
                      <a:noFill/>
                    </a:ln>
                  </pic:spPr>
                </pic:pic>
              </a:graphicData>
            </a:graphic>
          </wp:anchor>
        </w:drawing>
      </w:r>
    </w:p>
    <w:p>
      <w:pPr>
        <w:adjustRightInd w:val="0"/>
        <w:snapToGrid w:val="0"/>
        <w:spacing w:line="360" w:lineRule="auto"/>
        <w:jc w:val="left"/>
        <w:rPr>
          <w:rFonts w:ascii="宋体" w:hAnsi="宋体" w:cs="宋体"/>
          <w:b/>
          <w:sz w:val="52"/>
          <w:szCs w:val="52"/>
        </w:rPr>
      </w:pPr>
    </w:p>
    <w:p>
      <w:pPr>
        <w:rPr>
          <w:rFonts w:ascii="宋体" w:hAnsi="宋体" w:cs="宋体"/>
          <w:b/>
          <w:sz w:val="52"/>
          <w:szCs w:val="52"/>
        </w:rPr>
      </w:pPr>
    </w:p>
    <w:p>
      <w:pPr>
        <w:rPr>
          <w:rFonts w:ascii="宋体" w:hAnsi="宋体" w:cs="宋体"/>
        </w:rPr>
      </w:pPr>
    </w:p>
    <w:p>
      <w:pPr>
        <w:tabs>
          <w:tab w:val="left" w:pos="0"/>
        </w:tabs>
        <w:adjustRightInd w:val="0"/>
        <w:snapToGrid w:val="0"/>
        <w:spacing w:line="360" w:lineRule="auto"/>
        <w:jc w:val="center"/>
        <w:rPr>
          <w:rFonts w:ascii="宋体" w:hAnsi="宋体" w:cs="宋体"/>
          <w:b/>
          <w:sz w:val="96"/>
          <w:szCs w:val="96"/>
        </w:rPr>
      </w:pPr>
      <w:r>
        <w:rPr>
          <w:rFonts w:hint="eastAsia" w:ascii="宋体" w:hAnsi="宋体" w:cs="宋体"/>
          <w:b/>
          <w:sz w:val="96"/>
          <w:szCs w:val="96"/>
        </w:rPr>
        <w:t>公开招标文件</w:t>
      </w: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6"/>
          <w:szCs w:val="36"/>
        </w:rPr>
      </w:pPr>
      <w:r>
        <w:rPr>
          <w:rFonts w:hint="eastAsia" w:ascii="宋体" w:hAnsi="宋体" w:cs="宋体"/>
          <w:b/>
          <w:sz w:val="36"/>
          <w:szCs w:val="36"/>
        </w:rPr>
        <w:t>陕西卓佲项目管理有限公司</w:t>
      </w:r>
    </w:p>
    <w:p>
      <w:pPr>
        <w:adjustRightInd w:val="0"/>
        <w:snapToGrid w:val="0"/>
        <w:spacing w:line="600" w:lineRule="auto"/>
        <w:jc w:val="center"/>
        <w:rPr>
          <w:rFonts w:ascii="宋体" w:hAnsi="宋体" w:cs="宋体"/>
          <w:b/>
          <w:sz w:val="40"/>
          <w:szCs w:val="40"/>
        </w:rPr>
        <w:sectPr>
          <w:headerReference r:id="rId4" w:type="first"/>
          <w:headerReference r:id="rId3" w:type="default"/>
          <w:footerReference r:id="rId5" w:type="default"/>
          <w:pgSz w:w="11906" w:h="16838"/>
          <w:pgMar w:top="1440" w:right="1486" w:bottom="1440" w:left="1800" w:header="851" w:footer="992" w:gutter="0"/>
          <w:pgNumType w:start="1"/>
          <w:cols w:space="720" w:num="1"/>
          <w:docGrid w:type="lines" w:linePitch="312" w:charSpace="0"/>
        </w:sectPr>
      </w:pPr>
      <w:r>
        <w:rPr>
          <w:rFonts w:hint="eastAsia" w:ascii="宋体" w:hAnsi="宋体" w:cs="宋体"/>
          <w:b/>
          <w:sz w:val="36"/>
          <w:szCs w:val="36"/>
        </w:rPr>
        <w:t>2022年03月</w:t>
      </w:r>
    </w:p>
    <w:p>
      <w:pPr>
        <w:pStyle w:val="23"/>
        <w:tabs>
          <w:tab w:val="right" w:leader="dot" w:pos="8306"/>
        </w:tabs>
        <w:spacing w:line="360" w:lineRule="auto"/>
        <w:jc w:val="center"/>
        <w:rPr>
          <w:rFonts w:ascii="宋体" w:hAnsi="宋体" w:cs="宋体"/>
          <w:b/>
          <w:bCs/>
          <w:sz w:val="36"/>
          <w:szCs w:val="36"/>
        </w:rPr>
      </w:pPr>
      <w:r>
        <w:rPr>
          <w:rFonts w:hint="eastAsia" w:ascii="宋体" w:hAnsi="宋体" w:cs="宋体"/>
          <w:b/>
          <w:bCs/>
          <w:sz w:val="36"/>
          <w:szCs w:val="36"/>
        </w:rPr>
        <w:t>目 录</w:t>
      </w:r>
    </w:p>
    <w:p>
      <w:pPr>
        <w:pStyle w:val="23"/>
        <w:tabs>
          <w:tab w:val="right" w:leader="dot" w:pos="8306"/>
        </w:tabs>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"_Toc27062" </w:instrText>
      </w:r>
      <w:r>
        <w:fldChar w:fldCharType="separate"/>
      </w:r>
      <w:r>
        <w:rPr>
          <w:rFonts w:hint="eastAsia" w:ascii="宋体" w:hAnsi="宋体" w:cs="宋体"/>
          <w:szCs w:val="36"/>
        </w:rPr>
        <w:t>第一部分  公开招标公告</w:t>
      </w:r>
      <w:r>
        <w:tab/>
      </w:r>
      <w:r>
        <w:fldChar w:fldCharType="begin"/>
      </w:r>
      <w:r>
        <w:instrText xml:space="preserve"> PAGEREF _Toc27062 \h </w:instrText>
      </w:r>
      <w:r>
        <w:fldChar w:fldCharType="separate"/>
      </w:r>
      <w:r>
        <w:t>3</w:t>
      </w:r>
      <w:r>
        <w:fldChar w:fldCharType="end"/>
      </w:r>
      <w:r>
        <w:fldChar w:fldCharType="end"/>
      </w:r>
    </w:p>
    <w:p>
      <w:pPr>
        <w:pStyle w:val="23"/>
        <w:tabs>
          <w:tab w:val="right" w:leader="dot" w:pos="8306"/>
        </w:tabs>
      </w:pPr>
      <w:r>
        <w:fldChar w:fldCharType="begin"/>
      </w:r>
      <w:r>
        <w:instrText xml:space="preserve"> HYPERLINK \l "_Toc18037" </w:instrText>
      </w:r>
      <w:r>
        <w:fldChar w:fldCharType="separate"/>
      </w:r>
      <w:r>
        <w:rPr>
          <w:rFonts w:hint="eastAsia" w:ascii="宋体" w:hAnsi="宋体" w:cs="宋体"/>
          <w:szCs w:val="36"/>
        </w:rPr>
        <w:t>第二部分  供应商须知前附表</w:t>
      </w:r>
      <w:r>
        <w:tab/>
      </w:r>
      <w:r>
        <w:fldChar w:fldCharType="begin"/>
      </w:r>
      <w:r>
        <w:instrText xml:space="preserve"> PAGEREF _Toc18037 \h </w:instrText>
      </w:r>
      <w:r>
        <w:fldChar w:fldCharType="separate"/>
      </w:r>
      <w:r>
        <w:t>7</w:t>
      </w:r>
      <w:r>
        <w:fldChar w:fldCharType="end"/>
      </w:r>
      <w:r>
        <w:fldChar w:fldCharType="end"/>
      </w:r>
    </w:p>
    <w:p>
      <w:pPr>
        <w:pStyle w:val="23"/>
        <w:tabs>
          <w:tab w:val="right" w:leader="dot" w:pos="8306"/>
        </w:tabs>
      </w:pPr>
      <w:r>
        <w:fldChar w:fldCharType="begin"/>
      </w:r>
      <w:r>
        <w:instrText xml:space="preserve"> HYPERLINK \l "_Toc10320" </w:instrText>
      </w:r>
      <w:r>
        <w:fldChar w:fldCharType="separate"/>
      </w:r>
      <w:r>
        <w:rPr>
          <w:rFonts w:hint="eastAsia" w:ascii="宋体" w:hAnsi="宋体" w:cs="宋体"/>
          <w:szCs w:val="36"/>
        </w:rPr>
        <w:t>第三部分  供应商须知</w:t>
      </w:r>
      <w:r>
        <w:tab/>
      </w:r>
      <w:r>
        <w:fldChar w:fldCharType="begin"/>
      </w:r>
      <w:r>
        <w:instrText xml:space="preserve"> PAGEREF _Toc10320 \h </w:instrText>
      </w:r>
      <w:r>
        <w:fldChar w:fldCharType="separate"/>
      </w:r>
      <w:r>
        <w:t>13</w:t>
      </w:r>
      <w:r>
        <w:fldChar w:fldCharType="end"/>
      </w:r>
      <w:r>
        <w:fldChar w:fldCharType="end"/>
      </w:r>
    </w:p>
    <w:p>
      <w:pPr>
        <w:pStyle w:val="24"/>
        <w:tabs>
          <w:tab w:val="right" w:leader="dot" w:pos="8306"/>
        </w:tabs>
      </w:pPr>
      <w:r>
        <w:fldChar w:fldCharType="begin"/>
      </w:r>
      <w:r>
        <w:instrText xml:space="preserve"> HYPERLINK \l "_Toc9958" </w:instrText>
      </w:r>
      <w:r>
        <w:fldChar w:fldCharType="separate"/>
      </w:r>
      <w:r>
        <w:rPr>
          <w:rFonts w:hint="eastAsia" w:ascii="宋体" w:hAnsi="宋体" w:cs="宋体"/>
        </w:rPr>
        <w:t>一、总 则</w:t>
      </w:r>
      <w:r>
        <w:tab/>
      </w:r>
      <w:r>
        <w:fldChar w:fldCharType="begin"/>
      </w:r>
      <w:r>
        <w:instrText xml:space="preserve"> PAGEREF _Toc9958 \h </w:instrText>
      </w:r>
      <w:r>
        <w:fldChar w:fldCharType="separate"/>
      </w:r>
      <w:r>
        <w:t>13</w:t>
      </w:r>
      <w:r>
        <w:fldChar w:fldCharType="end"/>
      </w:r>
      <w:r>
        <w:fldChar w:fldCharType="end"/>
      </w:r>
    </w:p>
    <w:p>
      <w:pPr>
        <w:pStyle w:val="24"/>
        <w:tabs>
          <w:tab w:val="right" w:leader="dot" w:pos="8306"/>
        </w:tabs>
      </w:pPr>
      <w:r>
        <w:fldChar w:fldCharType="begin"/>
      </w:r>
      <w:r>
        <w:instrText xml:space="preserve"> HYPERLINK \l "_Toc22881" </w:instrText>
      </w:r>
      <w:r>
        <w:fldChar w:fldCharType="separate"/>
      </w:r>
      <w:r>
        <w:rPr>
          <w:rFonts w:hint="eastAsia" w:ascii="宋体" w:hAnsi="宋体" w:cs="宋体"/>
          <w:szCs w:val="28"/>
        </w:rPr>
        <w:t>二、 招标文件</w:t>
      </w:r>
      <w:r>
        <w:tab/>
      </w:r>
      <w:r>
        <w:fldChar w:fldCharType="begin"/>
      </w:r>
      <w:r>
        <w:instrText xml:space="preserve"> PAGEREF _Toc22881 \h </w:instrText>
      </w:r>
      <w:r>
        <w:fldChar w:fldCharType="separate"/>
      </w:r>
      <w:r>
        <w:t>16</w:t>
      </w:r>
      <w:r>
        <w:fldChar w:fldCharType="end"/>
      </w:r>
      <w:r>
        <w:fldChar w:fldCharType="end"/>
      </w:r>
    </w:p>
    <w:p>
      <w:pPr>
        <w:pStyle w:val="24"/>
        <w:tabs>
          <w:tab w:val="right" w:leader="dot" w:pos="8306"/>
        </w:tabs>
      </w:pPr>
      <w:r>
        <w:fldChar w:fldCharType="begin"/>
      </w:r>
      <w:r>
        <w:instrText xml:space="preserve"> HYPERLINK \l "_Toc10031" </w:instrText>
      </w:r>
      <w:r>
        <w:fldChar w:fldCharType="separate"/>
      </w:r>
      <w:r>
        <w:rPr>
          <w:rFonts w:hint="eastAsia" w:ascii="宋体" w:hAnsi="宋体" w:cs="宋体"/>
          <w:szCs w:val="28"/>
        </w:rPr>
        <w:t>三、投标文件</w:t>
      </w:r>
      <w:r>
        <w:tab/>
      </w:r>
      <w:r>
        <w:fldChar w:fldCharType="begin"/>
      </w:r>
      <w:r>
        <w:instrText xml:space="preserve"> PAGEREF _Toc10031 \h </w:instrText>
      </w:r>
      <w:r>
        <w:fldChar w:fldCharType="separate"/>
      </w:r>
      <w:r>
        <w:t>19</w:t>
      </w:r>
      <w:r>
        <w:fldChar w:fldCharType="end"/>
      </w:r>
      <w:r>
        <w:fldChar w:fldCharType="end"/>
      </w:r>
    </w:p>
    <w:p>
      <w:pPr>
        <w:pStyle w:val="24"/>
        <w:tabs>
          <w:tab w:val="right" w:leader="dot" w:pos="8306"/>
        </w:tabs>
      </w:pPr>
      <w:r>
        <w:fldChar w:fldCharType="begin"/>
      </w:r>
      <w:r>
        <w:instrText xml:space="preserve"> HYPERLINK \l "_Toc10025" </w:instrText>
      </w:r>
      <w:r>
        <w:fldChar w:fldCharType="separate"/>
      </w:r>
      <w:r>
        <w:rPr>
          <w:rFonts w:hint="eastAsia" w:ascii="宋体" w:hAnsi="宋体" w:cs="宋体"/>
          <w:bCs/>
          <w:kern w:val="0"/>
          <w:szCs w:val="28"/>
        </w:rPr>
        <w:t>四、投标文件的递交</w:t>
      </w:r>
      <w:r>
        <w:tab/>
      </w:r>
      <w:r>
        <w:fldChar w:fldCharType="begin"/>
      </w:r>
      <w:r>
        <w:instrText xml:space="preserve"> PAGEREF _Toc10025 \h </w:instrText>
      </w:r>
      <w:r>
        <w:fldChar w:fldCharType="separate"/>
      </w:r>
      <w:r>
        <w:t>21</w:t>
      </w:r>
      <w:r>
        <w:fldChar w:fldCharType="end"/>
      </w:r>
      <w:r>
        <w:fldChar w:fldCharType="end"/>
      </w:r>
    </w:p>
    <w:p>
      <w:pPr>
        <w:pStyle w:val="24"/>
        <w:tabs>
          <w:tab w:val="right" w:leader="dot" w:pos="8306"/>
        </w:tabs>
      </w:pPr>
      <w:r>
        <w:fldChar w:fldCharType="begin"/>
      </w:r>
      <w:r>
        <w:instrText xml:space="preserve"> HYPERLINK \l "_Toc5081" </w:instrText>
      </w:r>
      <w:r>
        <w:fldChar w:fldCharType="separate"/>
      </w:r>
      <w:r>
        <w:rPr>
          <w:rFonts w:hint="eastAsia" w:ascii="宋体" w:hAnsi="宋体" w:cs="宋体"/>
          <w:bCs/>
          <w:kern w:val="0"/>
          <w:szCs w:val="28"/>
        </w:rPr>
        <w:t>五、 开标、评审、定标</w:t>
      </w:r>
      <w:r>
        <w:tab/>
      </w:r>
      <w:r>
        <w:fldChar w:fldCharType="begin"/>
      </w:r>
      <w:r>
        <w:instrText xml:space="preserve"> PAGEREF _Toc5081 \h </w:instrText>
      </w:r>
      <w:r>
        <w:fldChar w:fldCharType="separate"/>
      </w:r>
      <w:r>
        <w:t>21</w:t>
      </w:r>
      <w:r>
        <w:fldChar w:fldCharType="end"/>
      </w:r>
      <w:r>
        <w:fldChar w:fldCharType="end"/>
      </w:r>
    </w:p>
    <w:p>
      <w:pPr>
        <w:pStyle w:val="24"/>
        <w:tabs>
          <w:tab w:val="right" w:leader="dot" w:pos="8306"/>
        </w:tabs>
      </w:pPr>
      <w:r>
        <w:fldChar w:fldCharType="begin"/>
      </w:r>
      <w:r>
        <w:instrText xml:space="preserve"> HYPERLINK \l "_Toc576" </w:instrText>
      </w:r>
      <w:r>
        <w:fldChar w:fldCharType="separate"/>
      </w:r>
      <w:r>
        <w:rPr>
          <w:rFonts w:hint="eastAsia" w:ascii="宋体" w:hAnsi="宋体" w:cs="宋体"/>
          <w:bCs/>
          <w:kern w:val="0"/>
          <w:szCs w:val="28"/>
        </w:rPr>
        <w:t>六、签订合同</w:t>
      </w:r>
      <w:r>
        <w:tab/>
      </w:r>
      <w:r>
        <w:fldChar w:fldCharType="begin"/>
      </w:r>
      <w:r>
        <w:instrText xml:space="preserve"> PAGEREF _Toc576 \h </w:instrText>
      </w:r>
      <w:r>
        <w:fldChar w:fldCharType="separate"/>
      </w:r>
      <w:r>
        <w:t>25</w:t>
      </w:r>
      <w:r>
        <w:fldChar w:fldCharType="end"/>
      </w:r>
      <w:r>
        <w:fldChar w:fldCharType="end"/>
      </w:r>
    </w:p>
    <w:p>
      <w:pPr>
        <w:pStyle w:val="24"/>
        <w:tabs>
          <w:tab w:val="right" w:leader="dot" w:pos="8306"/>
        </w:tabs>
      </w:pPr>
      <w:r>
        <w:fldChar w:fldCharType="begin"/>
      </w:r>
      <w:r>
        <w:instrText xml:space="preserve"> HYPERLINK \l "_Toc6361" </w:instrText>
      </w:r>
      <w:r>
        <w:fldChar w:fldCharType="separate"/>
      </w:r>
      <w:r>
        <w:rPr>
          <w:rFonts w:hint="eastAsia" w:ascii="宋体" w:hAnsi="宋体" w:cs="宋体"/>
          <w:bCs/>
          <w:kern w:val="0"/>
          <w:szCs w:val="28"/>
        </w:rPr>
        <w:t>七、质疑和投诉</w:t>
      </w:r>
      <w:r>
        <w:tab/>
      </w:r>
      <w:r>
        <w:fldChar w:fldCharType="begin"/>
      </w:r>
      <w:r>
        <w:instrText xml:space="preserve"> PAGEREF _Toc6361 \h </w:instrText>
      </w:r>
      <w:r>
        <w:fldChar w:fldCharType="separate"/>
      </w:r>
      <w:r>
        <w:t>25</w:t>
      </w:r>
      <w:r>
        <w:fldChar w:fldCharType="end"/>
      </w:r>
      <w:r>
        <w:fldChar w:fldCharType="end"/>
      </w:r>
    </w:p>
    <w:p>
      <w:pPr>
        <w:pStyle w:val="23"/>
        <w:tabs>
          <w:tab w:val="right" w:leader="dot" w:pos="8306"/>
        </w:tabs>
      </w:pPr>
      <w:r>
        <w:fldChar w:fldCharType="begin"/>
      </w:r>
      <w:r>
        <w:instrText xml:space="preserve"> HYPERLINK \l "_Toc29205" </w:instrText>
      </w:r>
      <w:r>
        <w:fldChar w:fldCharType="separate"/>
      </w:r>
      <w:r>
        <w:rPr>
          <w:rFonts w:hint="eastAsia" w:ascii="宋体" w:hAnsi="宋体" w:cs="宋体"/>
          <w:szCs w:val="36"/>
        </w:rPr>
        <w:t>第四部分 评标方法</w:t>
      </w:r>
      <w:r>
        <w:tab/>
      </w:r>
      <w:r>
        <w:fldChar w:fldCharType="begin"/>
      </w:r>
      <w:r>
        <w:instrText xml:space="preserve"> PAGEREF _Toc29205 \h </w:instrText>
      </w:r>
      <w:r>
        <w:fldChar w:fldCharType="separate"/>
      </w:r>
      <w:r>
        <w:t>27</w:t>
      </w:r>
      <w:r>
        <w:fldChar w:fldCharType="end"/>
      </w:r>
      <w:r>
        <w:fldChar w:fldCharType="end"/>
      </w:r>
    </w:p>
    <w:p>
      <w:pPr>
        <w:pStyle w:val="23"/>
        <w:tabs>
          <w:tab w:val="right" w:leader="dot" w:pos="8306"/>
        </w:tabs>
      </w:pPr>
      <w:r>
        <w:fldChar w:fldCharType="begin"/>
      </w:r>
      <w:r>
        <w:instrText xml:space="preserve"> HYPERLINK \l "_Toc2046" </w:instrText>
      </w:r>
      <w:r>
        <w:fldChar w:fldCharType="separate"/>
      </w:r>
      <w:r>
        <w:rPr>
          <w:rFonts w:hint="eastAsia" w:ascii="宋体" w:hAnsi="宋体" w:cs="宋体"/>
          <w:szCs w:val="36"/>
        </w:rPr>
        <w:t>第五部分  采购要求</w:t>
      </w:r>
      <w:r>
        <w:tab/>
      </w:r>
      <w:r>
        <w:fldChar w:fldCharType="begin"/>
      </w:r>
      <w:r>
        <w:instrText xml:space="preserve"> PAGEREF _Toc2046 \h </w:instrText>
      </w:r>
      <w:r>
        <w:fldChar w:fldCharType="separate"/>
      </w:r>
      <w:r>
        <w:t>29</w:t>
      </w:r>
      <w:r>
        <w:fldChar w:fldCharType="end"/>
      </w:r>
      <w:r>
        <w:fldChar w:fldCharType="end"/>
      </w:r>
    </w:p>
    <w:p>
      <w:pPr>
        <w:pStyle w:val="23"/>
        <w:tabs>
          <w:tab w:val="right" w:leader="dot" w:pos="8306"/>
        </w:tabs>
      </w:pPr>
      <w:r>
        <w:fldChar w:fldCharType="begin"/>
      </w:r>
      <w:r>
        <w:instrText xml:space="preserve"> HYPERLINK \l "_Toc14172" </w:instrText>
      </w:r>
      <w:r>
        <w:fldChar w:fldCharType="separate"/>
      </w:r>
      <w:r>
        <w:rPr>
          <w:rFonts w:hint="eastAsia" w:ascii="宋体" w:hAnsi="宋体" w:cs="宋体"/>
          <w:szCs w:val="36"/>
        </w:rPr>
        <w:t>第六部分  合同条款</w:t>
      </w:r>
      <w:r>
        <w:tab/>
      </w:r>
      <w:r>
        <w:fldChar w:fldCharType="begin"/>
      </w:r>
      <w:r>
        <w:instrText xml:space="preserve"> PAGEREF _Toc14172 \h </w:instrText>
      </w:r>
      <w:r>
        <w:fldChar w:fldCharType="separate"/>
      </w:r>
      <w:r>
        <w:t>29</w:t>
      </w:r>
      <w:r>
        <w:fldChar w:fldCharType="end"/>
      </w:r>
      <w:r>
        <w:fldChar w:fldCharType="end"/>
      </w:r>
    </w:p>
    <w:p>
      <w:pPr>
        <w:pStyle w:val="23"/>
        <w:tabs>
          <w:tab w:val="right" w:leader="dot" w:pos="8306"/>
        </w:tabs>
      </w:pPr>
      <w:r>
        <w:fldChar w:fldCharType="begin"/>
      </w:r>
      <w:r>
        <w:instrText xml:space="preserve"> HYPERLINK \l "_Toc5155" </w:instrText>
      </w:r>
      <w:r>
        <w:fldChar w:fldCharType="separate"/>
      </w:r>
      <w:r>
        <w:rPr>
          <w:rFonts w:hint="eastAsia" w:ascii="宋体" w:hAnsi="宋体" w:cs="宋体"/>
          <w:szCs w:val="36"/>
        </w:rPr>
        <w:t xml:space="preserve"> 第七部分  投标文件格式</w:t>
      </w:r>
      <w:r>
        <w:tab/>
      </w:r>
      <w:r>
        <w:fldChar w:fldCharType="begin"/>
      </w:r>
      <w:r>
        <w:instrText xml:space="preserve"> PAGEREF _Toc5155 \h </w:instrText>
      </w:r>
      <w:r>
        <w:fldChar w:fldCharType="separate"/>
      </w:r>
      <w:r>
        <w:t>43</w:t>
      </w:r>
      <w:r>
        <w:fldChar w:fldCharType="end"/>
      </w:r>
      <w:r>
        <w:fldChar w:fldCharType="end"/>
      </w:r>
    </w:p>
    <w:p>
      <w:pPr>
        <w:pStyle w:val="24"/>
        <w:tabs>
          <w:tab w:val="right" w:leader="dot" w:pos="8306"/>
        </w:tabs>
      </w:pPr>
      <w:r>
        <w:fldChar w:fldCharType="begin"/>
      </w:r>
      <w:r>
        <w:instrText xml:space="preserve"> HYPERLINK \l "_Toc17048" </w:instrText>
      </w:r>
      <w:r>
        <w:fldChar w:fldCharType="separate"/>
      </w:r>
      <w:r>
        <w:rPr>
          <w:rFonts w:hint="eastAsia" w:ascii="宋体" w:hAnsi="宋体" w:cs="宋体"/>
          <w:szCs w:val="36"/>
        </w:rPr>
        <w:t>第一部分  投标函</w:t>
      </w:r>
      <w:r>
        <w:tab/>
      </w:r>
      <w:r>
        <w:fldChar w:fldCharType="begin"/>
      </w:r>
      <w:r>
        <w:instrText xml:space="preserve"> PAGEREF _Toc17048 \h </w:instrText>
      </w:r>
      <w:r>
        <w:fldChar w:fldCharType="separate"/>
      </w:r>
      <w:r>
        <w:t>29</w:t>
      </w:r>
      <w:r>
        <w:fldChar w:fldCharType="end"/>
      </w:r>
      <w:r>
        <w:fldChar w:fldCharType="end"/>
      </w:r>
    </w:p>
    <w:p>
      <w:pPr>
        <w:pStyle w:val="24"/>
        <w:tabs>
          <w:tab w:val="right" w:leader="dot" w:pos="8306"/>
        </w:tabs>
      </w:pPr>
      <w:r>
        <w:fldChar w:fldCharType="begin"/>
      </w:r>
      <w:r>
        <w:instrText xml:space="preserve"> HYPERLINK \l "_Toc9105" </w:instrText>
      </w:r>
      <w:r>
        <w:fldChar w:fldCharType="separate"/>
      </w:r>
      <w:r>
        <w:rPr>
          <w:rFonts w:hint="eastAsia" w:ascii="宋体" w:hAnsi="宋体" w:cs="宋体"/>
          <w:szCs w:val="36"/>
        </w:rPr>
        <w:t>第二部分 报价一览表</w:t>
      </w:r>
      <w:r>
        <w:tab/>
      </w:r>
      <w:r>
        <w:fldChar w:fldCharType="begin"/>
      </w:r>
      <w:r>
        <w:instrText xml:space="preserve"> PAGEREF _Toc9105 \h </w:instrText>
      </w:r>
      <w:r>
        <w:fldChar w:fldCharType="separate"/>
      </w:r>
      <w:r>
        <w:t>46</w:t>
      </w:r>
      <w:r>
        <w:fldChar w:fldCharType="end"/>
      </w:r>
      <w:r>
        <w:fldChar w:fldCharType="end"/>
      </w:r>
    </w:p>
    <w:p>
      <w:pPr>
        <w:pStyle w:val="24"/>
        <w:tabs>
          <w:tab w:val="right" w:leader="dot" w:pos="8306"/>
        </w:tabs>
      </w:pPr>
      <w:r>
        <w:fldChar w:fldCharType="begin"/>
      </w:r>
      <w:r>
        <w:instrText xml:space="preserve"> HYPERLINK \l "_Toc2306" </w:instrText>
      </w:r>
      <w:r>
        <w:fldChar w:fldCharType="separate"/>
      </w:r>
      <w:r>
        <w:rPr>
          <w:rFonts w:hint="eastAsia" w:ascii="宋体" w:hAnsi="宋体" w:cs="宋体"/>
        </w:rPr>
        <w:t>第三部分</w:t>
      </w:r>
      <w:r>
        <w:rPr>
          <w:rFonts w:hint="eastAsia" w:ascii="宋体" w:hAnsi="宋体" w:cs="宋体"/>
          <w:szCs w:val="36"/>
        </w:rPr>
        <w:t xml:space="preserve"> </w:t>
      </w:r>
      <w:r>
        <w:rPr>
          <w:rFonts w:hint="eastAsia" w:ascii="宋体" w:hAnsi="宋体" w:cs="宋体"/>
        </w:rPr>
        <w:t>商务及技术响应说明</w:t>
      </w:r>
      <w:r>
        <w:tab/>
      </w:r>
      <w:r>
        <w:fldChar w:fldCharType="begin"/>
      </w:r>
      <w:r>
        <w:instrText xml:space="preserve"> PAGEREF _Toc2306 \h </w:instrText>
      </w:r>
      <w:r>
        <w:fldChar w:fldCharType="separate"/>
      </w:r>
      <w:r>
        <w:t>48</w:t>
      </w:r>
      <w:r>
        <w:fldChar w:fldCharType="end"/>
      </w:r>
      <w:r>
        <w:fldChar w:fldCharType="end"/>
      </w:r>
    </w:p>
    <w:p>
      <w:pPr>
        <w:pStyle w:val="24"/>
        <w:tabs>
          <w:tab w:val="right" w:leader="dot" w:pos="8306"/>
        </w:tabs>
      </w:pPr>
      <w:r>
        <w:fldChar w:fldCharType="begin"/>
      </w:r>
      <w:r>
        <w:instrText xml:space="preserve"> HYPERLINK \l "_Toc32198" </w:instrText>
      </w:r>
      <w:r>
        <w:fldChar w:fldCharType="separate"/>
      </w:r>
      <w:r>
        <w:rPr>
          <w:rFonts w:hint="eastAsia" w:ascii="宋体" w:hAnsi="宋体" w:cs="宋体"/>
          <w:szCs w:val="36"/>
        </w:rPr>
        <w:t>第四部分  供应商资格要求</w:t>
      </w:r>
      <w:r>
        <w:tab/>
      </w:r>
      <w:r>
        <w:fldChar w:fldCharType="begin"/>
      </w:r>
      <w:r>
        <w:instrText xml:space="preserve"> PAGEREF _Toc32198 \h </w:instrText>
      </w:r>
      <w:r>
        <w:fldChar w:fldCharType="separate"/>
      </w:r>
      <w:r>
        <w:t>50</w:t>
      </w:r>
      <w:r>
        <w:fldChar w:fldCharType="end"/>
      </w:r>
      <w:r>
        <w:fldChar w:fldCharType="end"/>
      </w:r>
    </w:p>
    <w:p>
      <w:pPr>
        <w:pStyle w:val="24"/>
        <w:tabs>
          <w:tab w:val="right" w:leader="dot" w:pos="8306"/>
        </w:tabs>
      </w:pPr>
      <w:r>
        <w:fldChar w:fldCharType="begin"/>
      </w:r>
      <w:r>
        <w:instrText xml:space="preserve"> HYPERLINK \l "_Toc18151" </w:instrText>
      </w:r>
      <w:r>
        <w:fldChar w:fldCharType="separate"/>
      </w:r>
      <w:r>
        <w:rPr>
          <w:rFonts w:hint="eastAsia" w:ascii="宋体" w:hAnsi="宋体" w:cs="宋体"/>
          <w:szCs w:val="36"/>
        </w:rPr>
        <w:t>第五部分 技术与服务方案</w:t>
      </w:r>
      <w:r>
        <w:tab/>
      </w:r>
      <w:r>
        <w:fldChar w:fldCharType="begin"/>
      </w:r>
      <w:r>
        <w:instrText xml:space="preserve"> PAGEREF _Toc18151 \h </w:instrText>
      </w:r>
      <w:r>
        <w:fldChar w:fldCharType="separate"/>
      </w:r>
      <w:r>
        <w:t>60</w:t>
      </w:r>
      <w:r>
        <w:fldChar w:fldCharType="end"/>
      </w:r>
      <w:r>
        <w:fldChar w:fldCharType="end"/>
      </w:r>
    </w:p>
    <w:p>
      <w:pPr>
        <w:pStyle w:val="24"/>
        <w:tabs>
          <w:tab w:val="right" w:leader="dot" w:pos="8306"/>
        </w:tabs>
      </w:pPr>
      <w:r>
        <w:fldChar w:fldCharType="begin"/>
      </w:r>
      <w:r>
        <w:instrText xml:space="preserve"> HYPERLINK \l "_Toc28968" </w:instrText>
      </w:r>
      <w:r>
        <w:fldChar w:fldCharType="separate"/>
      </w:r>
      <w:r>
        <w:rPr>
          <w:rFonts w:hint="eastAsia" w:ascii="宋体" w:hAnsi="宋体" w:cs="宋体"/>
          <w:szCs w:val="36"/>
        </w:rPr>
        <w:t>第六部分  服务承诺</w:t>
      </w:r>
      <w:r>
        <w:tab/>
      </w:r>
      <w:r>
        <w:fldChar w:fldCharType="begin"/>
      </w:r>
      <w:r>
        <w:instrText xml:space="preserve"> PAGEREF _Toc28968 \h </w:instrText>
      </w:r>
      <w:r>
        <w:fldChar w:fldCharType="separate"/>
      </w:r>
      <w:r>
        <w:t>61</w:t>
      </w:r>
      <w:r>
        <w:fldChar w:fldCharType="end"/>
      </w:r>
      <w:r>
        <w:fldChar w:fldCharType="end"/>
      </w:r>
    </w:p>
    <w:p>
      <w:pPr>
        <w:pStyle w:val="24"/>
        <w:tabs>
          <w:tab w:val="right" w:leader="dot" w:pos="8306"/>
        </w:tabs>
      </w:pPr>
      <w:r>
        <w:fldChar w:fldCharType="begin"/>
      </w:r>
      <w:r>
        <w:instrText xml:space="preserve"> HYPERLINK \l "_Toc11687" </w:instrText>
      </w:r>
      <w:r>
        <w:fldChar w:fldCharType="separate"/>
      </w:r>
      <w:r>
        <w:rPr>
          <w:rFonts w:hint="eastAsia" w:ascii="宋体" w:hAnsi="宋体" w:cs="宋体"/>
          <w:szCs w:val="36"/>
        </w:rPr>
        <w:t>第七部分  业绩一览表</w:t>
      </w:r>
      <w:r>
        <w:tab/>
      </w:r>
      <w:r>
        <w:fldChar w:fldCharType="begin"/>
      </w:r>
      <w:r>
        <w:instrText xml:space="preserve"> PAGEREF _Toc11687 \h </w:instrText>
      </w:r>
      <w:r>
        <w:fldChar w:fldCharType="separate"/>
      </w:r>
      <w:r>
        <w:t>62</w:t>
      </w:r>
      <w:r>
        <w:fldChar w:fldCharType="end"/>
      </w:r>
      <w:r>
        <w:fldChar w:fldCharType="end"/>
      </w:r>
    </w:p>
    <w:p>
      <w:pPr>
        <w:pStyle w:val="24"/>
        <w:tabs>
          <w:tab w:val="right" w:leader="dot" w:pos="8306"/>
        </w:tabs>
      </w:pPr>
      <w:r>
        <w:fldChar w:fldCharType="begin"/>
      </w:r>
      <w:r>
        <w:instrText xml:space="preserve"> HYPERLINK \l "_Toc8664" </w:instrText>
      </w:r>
      <w:r>
        <w:fldChar w:fldCharType="separate"/>
      </w:r>
      <w:r>
        <w:rPr>
          <w:rFonts w:hint="eastAsia" w:ascii="宋体" w:hAnsi="宋体" w:cs="宋体"/>
          <w:szCs w:val="36"/>
        </w:rPr>
        <w:t>第八部分 供应商认为有必要说明的其他问题</w:t>
      </w:r>
      <w:r>
        <w:tab/>
      </w:r>
      <w:r>
        <w:fldChar w:fldCharType="begin"/>
      </w:r>
      <w:r>
        <w:instrText xml:space="preserve"> PAGEREF _Toc8664 \h </w:instrText>
      </w:r>
      <w:r>
        <w:fldChar w:fldCharType="separate"/>
      </w:r>
      <w:r>
        <w:t>63</w:t>
      </w:r>
      <w:r>
        <w:fldChar w:fldCharType="end"/>
      </w:r>
      <w:r>
        <w:fldChar w:fldCharType="end"/>
      </w:r>
    </w:p>
    <w:p>
      <w:pPr>
        <w:pStyle w:val="24"/>
        <w:tabs>
          <w:tab w:val="right" w:leader="dot" w:pos="8306"/>
        </w:tabs>
      </w:pPr>
      <w:r>
        <w:fldChar w:fldCharType="begin"/>
      </w:r>
      <w:r>
        <w:instrText xml:space="preserve"> HYPERLINK \l "_Toc30181" </w:instrText>
      </w:r>
      <w:r>
        <w:fldChar w:fldCharType="separate"/>
      </w:r>
      <w:r>
        <w:rPr>
          <w:rFonts w:hint="eastAsia" w:ascii="宋体" w:hAnsi="宋体" w:cs="宋体"/>
        </w:rPr>
        <w:t>附件一、封袋正面标识式样</w:t>
      </w:r>
      <w:r>
        <w:tab/>
      </w:r>
      <w:r>
        <w:fldChar w:fldCharType="begin"/>
      </w:r>
      <w:r>
        <w:instrText xml:space="preserve"> PAGEREF _Toc30181 \h </w:instrText>
      </w:r>
      <w:r>
        <w:fldChar w:fldCharType="separate"/>
      </w:r>
      <w:r>
        <w:t>64</w:t>
      </w:r>
      <w:r>
        <w:fldChar w:fldCharType="end"/>
      </w:r>
      <w:r>
        <w:fldChar w:fldCharType="end"/>
      </w:r>
    </w:p>
    <w:p>
      <w:pPr>
        <w:pStyle w:val="24"/>
        <w:tabs>
          <w:tab w:val="right" w:leader="dot" w:pos="8306"/>
        </w:tabs>
      </w:pPr>
      <w:r>
        <w:fldChar w:fldCharType="begin"/>
      </w:r>
      <w:r>
        <w:instrText xml:space="preserve"> HYPERLINK \l "_Toc7884" </w:instrText>
      </w:r>
      <w:r>
        <w:fldChar w:fldCharType="separate"/>
      </w:r>
      <w:r>
        <w:rPr>
          <w:rFonts w:hint="eastAsia" w:ascii="宋体" w:hAnsi="宋体" w:cs="宋体"/>
        </w:rPr>
        <w:t>附件二、中小企业申明（货物）</w:t>
      </w:r>
      <w:r>
        <w:tab/>
      </w:r>
      <w:r>
        <w:fldChar w:fldCharType="begin"/>
      </w:r>
      <w:r>
        <w:instrText xml:space="preserve"> PAGEREF _Toc7884 \h </w:instrText>
      </w:r>
      <w:r>
        <w:fldChar w:fldCharType="separate"/>
      </w:r>
      <w:r>
        <w:t>66</w:t>
      </w:r>
      <w:r>
        <w:fldChar w:fldCharType="end"/>
      </w:r>
      <w:r>
        <w:fldChar w:fldCharType="end"/>
      </w:r>
    </w:p>
    <w:p>
      <w:pPr>
        <w:pStyle w:val="24"/>
        <w:tabs>
          <w:tab w:val="right" w:leader="dot" w:pos="8306"/>
        </w:tabs>
      </w:pPr>
      <w:r>
        <w:fldChar w:fldCharType="begin"/>
      </w:r>
      <w:r>
        <w:instrText xml:space="preserve"> HYPERLINK \l "_Toc20514" </w:instrText>
      </w:r>
      <w:r>
        <w:fldChar w:fldCharType="separate"/>
      </w:r>
      <w:r>
        <w:rPr>
          <w:rFonts w:hint="eastAsia" w:ascii="宋体" w:hAnsi="宋体" w:cs="宋体"/>
        </w:rPr>
        <w:t>附件三、残疾人福利性单位声明</w:t>
      </w:r>
      <w:r>
        <w:tab/>
      </w:r>
      <w:r>
        <w:fldChar w:fldCharType="begin"/>
      </w:r>
      <w:r>
        <w:instrText xml:space="preserve"> PAGEREF _Toc20514 \h </w:instrText>
      </w:r>
      <w:r>
        <w:fldChar w:fldCharType="separate"/>
      </w:r>
      <w:r>
        <w:t>67</w:t>
      </w:r>
      <w:r>
        <w:fldChar w:fldCharType="end"/>
      </w:r>
      <w:r>
        <w:fldChar w:fldCharType="end"/>
      </w:r>
    </w:p>
    <w:p>
      <w:pPr>
        <w:pStyle w:val="24"/>
        <w:tabs>
          <w:tab w:val="right" w:leader="dot" w:pos="8306"/>
        </w:tabs>
      </w:pPr>
      <w:r>
        <w:fldChar w:fldCharType="begin"/>
      </w:r>
      <w:r>
        <w:instrText xml:space="preserve"> HYPERLINK \l "_Toc9845" </w:instrText>
      </w:r>
      <w:r>
        <w:fldChar w:fldCharType="separate"/>
      </w:r>
      <w:r>
        <w:rPr>
          <w:rFonts w:hint="eastAsia" w:ascii="宋体" w:hAnsi="宋体" w:cs="宋体"/>
        </w:rPr>
        <w:t>附件四、监狱企业证明文件</w:t>
      </w:r>
      <w:r>
        <w:tab/>
      </w:r>
      <w:r>
        <w:fldChar w:fldCharType="begin"/>
      </w:r>
      <w:r>
        <w:instrText xml:space="preserve"> PAGEREF _Toc9845 \h </w:instrText>
      </w:r>
      <w:r>
        <w:fldChar w:fldCharType="separate"/>
      </w:r>
      <w:r>
        <w:t>67</w:t>
      </w:r>
      <w:r>
        <w:fldChar w:fldCharType="end"/>
      </w:r>
      <w:r>
        <w:fldChar w:fldCharType="end"/>
      </w:r>
    </w:p>
    <w:p>
      <w:pPr>
        <w:pStyle w:val="24"/>
        <w:tabs>
          <w:tab w:val="right" w:leader="dot" w:pos="8306"/>
        </w:tabs>
      </w:pPr>
      <w:r>
        <w:fldChar w:fldCharType="begin"/>
      </w:r>
      <w:r>
        <w:instrText xml:space="preserve"> HYPERLINK \l "_Toc22826" </w:instrText>
      </w:r>
      <w:r>
        <w:fldChar w:fldCharType="separate"/>
      </w:r>
      <w:r>
        <w:rPr>
          <w:rFonts w:hint="eastAsia" w:ascii="宋体" w:hAnsi="宋体" w:cs="宋体"/>
        </w:rPr>
        <w:t>附件五、“节能产品”，“环境标志产品”证明材料</w:t>
      </w:r>
      <w:r>
        <w:tab/>
      </w:r>
      <w:r>
        <w:fldChar w:fldCharType="begin"/>
      </w:r>
      <w:r>
        <w:instrText xml:space="preserve"> PAGEREF _Toc22826 \h </w:instrText>
      </w:r>
      <w:r>
        <w:fldChar w:fldCharType="separate"/>
      </w:r>
      <w:r>
        <w:t>67</w:t>
      </w:r>
      <w:r>
        <w:fldChar w:fldCharType="end"/>
      </w:r>
      <w:r>
        <w:fldChar w:fldCharType="end"/>
      </w:r>
    </w:p>
    <w:p>
      <w:pPr>
        <w:pStyle w:val="24"/>
        <w:tabs>
          <w:tab w:val="right" w:leader="dot" w:pos="8306"/>
        </w:tabs>
      </w:pPr>
      <w:r>
        <w:fldChar w:fldCharType="begin"/>
      </w:r>
      <w:r>
        <w:instrText xml:space="preserve"> HYPERLINK \l "_Toc494" </w:instrText>
      </w:r>
      <w:r>
        <w:fldChar w:fldCharType="separate"/>
      </w:r>
      <w:r>
        <w:rPr>
          <w:rFonts w:hint="eastAsia" w:ascii="宋体" w:hAnsi="宋体" w:cs="宋体"/>
        </w:rPr>
        <w:t>附件六、质疑函范本</w:t>
      </w:r>
      <w:r>
        <w:tab/>
      </w:r>
      <w:r>
        <w:fldChar w:fldCharType="begin"/>
      </w:r>
      <w:r>
        <w:instrText xml:space="preserve"> PAGEREF _Toc494 \h </w:instrText>
      </w:r>
      <w:r>
        <w:fldChar w:fldCharType="separate"/>
      </w:r>
      <w:r>
        <w:t>68</w:t>
      </w:r>
      <w:r>
        <w:fldChar w:fldCharType="end"/>
      </w:r>
      <w:r>
        <w:fldChar w:fldCharType="end"/>
      </w:r>
    </w:p>
    <w:p>
      <w:pPr>
        <w:pStyle w:val="24"/>
        <w:tabs>
          <w:tab w:val="right" w:leader="dot" w:pos="8306"/>
        </w:tabs>
      </w:pPr>
      <w:r>
        <w:fldChar w:fldCharType="begin"/>
      </w:r>
      <w:r>
        <w:instrText xml:space="preserve"> HYPERLINK \l "_Toc24367" </w:instrText>
      </w:r>
      <w:r>
        <w:fldChar w:fldCharType="separate"/>
      </w:r>
      <w:r>
        <w:rPr>
          <w:rFonts w:hint="eastAsia" w:ascii="宋体" w:hAnsi="宋体" w:cs="宋体"/>
        </w:rPr>
        <w:t>附件七、保证金退还账户信息确认表</w:t>
      </w:r>
      <w:r>
        <w:tab/>
      </w:r>
      <w:r>
        <w:fldChar w:fldCharType="begin"/>
      </w:r>
      <w:r>
        <w:instrText xml:space="preserve"> PAGEREF _Toc24367 \h </w:instrText>
      </w:r>
      <w:r>
        <w:fldChar w:fldCharType="separate"/>
      </w:r>
      <w:r>
        <w:t>70</w:t>
      </w:r>
      <w:r>
        <w:fldChar w:fldCharType="end"/>
      </w:r>
      <w:r>
        <w:fldChar w:fldCharType="end"/>
      </w:r>
    </w:p>
    <w:p>
      <w:pPr>
        <w:pStyle w:val="3"/>
        <w:spacing w:line="240" w:lineRule="auto"/>
        <w:rPr>
          <w:rFonts w:ascii="宋体" w:hAnsi="宋体" w:cs="宋体"/>
          <w:b w:val="0"/>
          <w:sz w:val="24"/>
          <w:szCs w:val="24"/>
        </w:rPr>
        <w:sectPr>
          <w:footerReference r:id="rId6" w:type="default"/>
          <w:pgSz w:w="11906" w:h="16838"/>
          <w:pgMar w:top="1440" w:right="1800" w:bottom="1440" w:left="1800" w:header="851" w:footer="992" w:gutter="0"/>
          <w:cols w:space="720" w:num="1"/>
          <w:docGrid w:type="lines" w:linePitch="312" w:charSpace="0"/>
        </w:sectPr>
      </w:pPr>
      <w:r>
        <w:rPr>
          <w:rFonts w:hint="eastAsia" w:ascii="宋体" w:hAnsi="宋体" w:cs="宋体"/>
          <w:szCs w:val="24"/>
        </w:rPr>
        <w:fldChar w:fldCharType="end"/>
      </w:r>
    </w:p>
    <w:p>
      <w:pPr>
        <w:pStyle w:val="3"/>
        <w:spacing w:before="312" w:beforeLines="100" w:after="468" w:afterLines="150" w:line="600" w:lineRule="exact"/>
        <w:rPr>
          <w:rFonts w:ascii="宋体" w:hAnsi="宋体" w:cs="宋体"/>
          <w:sz w:val="36"/>
          <w:szCs w:val="36"/>
        </w:rPr>
      </w:pPr>
      <w:bookmarkStart w:id="2" w:name="_Toc27062"/>
      <w:bookmarkStart w:id="3" w:name="_Toc26575"/>
      <w:r>
        <w:rPr>
          <w:rFonts w:hint="eastAsia" w:ascii="宋体" w:hAnsi="宋体" w:cs="宋体"/>
          <w:sz w:val="36"/>
          <w:szCs w:val="36"/>
        </w:rPr>
        <w:t>第一部分  公开招标公告</w:t>
      </w:r>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关于安塞区初级中学设备采购项目招标项目的潜在投标人应在西安市雁塔区科技路10号华奥大厦A座20层2002室获取招标文件，并于2022年04月18日09时00分（北京时间）前递交投标文件。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项目编号：ZMZB2022ASJTJ-02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项目名称：关于安塞区初级中学设备采购项目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预算金额：1,552,000.00元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合同包1(关于安塞区初级中学设备采购项目):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合同包预算金额：1,552,000.00元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合同包最高限价：1,552,000.00元</w:t>
      </w:r>
    </w:p>
    <w:tbl>
      <w:tblPr>
        <w:tblStyle w:val="37"/>
        <w:tblW w:w="1003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20"/>
        <w:gridCol w:w="1014"/>
        <w:gridCol w:w="2282"/>
        <w:gridCol w:w="1260"/>
        <w:gridCol w:w="1099"/>
        <w:gridCol w:w="1680"/>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65" w:hRule="atLeast"/>
          <w:tblHeader/>
          <w:jc w:val="center"/>
        </w:trPr>
        <w:tc>
          <w:tcPr>
            <w:tcW w:w="10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0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名称</w:t>
            </w:r>
          </w:p>
        </w:tc>
        <w:tc>
          <w:tcPr>
            <w:tcW w:w="22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12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（单位）</w:t>
            </w:r>
          </w:p>
        </w:tc>
        <w:tc>
          <w:tcPr>
            <w:tcW w:w="10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79" w:hRule="atLeast"/>
          <w:jc w:val="center"/>
        </w:trPr>
        <w:tc>
          <w:tcPr>
            <w:tcW w:w="10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p>
        </w:tc>
        <w:tc>
          <w:tcPr>
            <w:tcW w:w="10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终端机</w:t>
            </w:r>
          </w:p>
        </w:tc>
        <w:tc>
          <w:tcPr>
            <w:tcW w:w="22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1、智慧黑板：40套 2、多媒体智能教学终端：40台 3、多媒体讲台：40个</w:t>
            </w:r>
          </w:p>
        </w:tc>
        <w:tc>
          <w:tcPr>
            <w:tcW w:w="12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1(项)</w:t>
            </w:r>
          </w:p>
        </w:tc>
        <w:tc>
          <w:tcPr>
            <w:tcW w:w="10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1,552,000.00</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1,552,000.00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1.满足《中华人民共和国政府釆购法》第二十二条规定;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合同包1(关于安塞区初级中学设备采购项目)落实政府采购政策需满足的资格要求如下: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 </w:t>
      </w:r>
      <w:r>
        <w:rPr>
          <w:rFonts w:hint="eastAsia" w:ascii="宋体" w:hAnsi="宋体" w:eastAsia="宋体" w:cs="宋体"/>
          <w:sz w:val="24"/>
          <w:szCs w:val="24"/>
        </w:rPr>
        <w:br w:type="textWrapping"/>
      </w:r>
      <w:r>
        <w:rPr>
          <w:rFonts w:hint="eastAsia" w:ascii="宋体" w:hAnsi="宋体" w:eastAsia="宋体" w:cs="宋体"/>
          <w:sz w:val="24"/>
          <w:szCs w:val="24"/>
        </w:rPr>
        <w:t>（2）《财政部 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（6）《三部门联合发布关于促进残疾人就业政府采购政策的通知》（财库〔2017〕141号）。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（7）《财政部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（8）陕西省财政厅关于印发《陕西省中小企业政府采购信用融资办法》（陕财办采〔2018〕23号）。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合同包1(关于安塞区初级中学设备采购项目)特定资格要求如下: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（1）具有独立承担民事责任能力的法人、其他组织或自然人，提供合法有效的统一社会信用代码营业执照（事业单位提供事业单位法人证书，自然人应提供身份证）；</w:t>
      </w:r>
      <w:r>
        <w:rPr>
          <w:rFonts w:hint="eastAsia" w:ascii="宋体" w:hAnsi="宋体" w:eastAsia="宋体" w:cs="宋体"/>
          <w:sz w:val="24"/>
          <w:szCs w:val="24"/>
        </w:rPr>
        <w:br w:type="textWrapping"/>
      </w:r>
      <w:r>
        <w:rPr>
          <w:rFonts w:hint="eastAsia" w:ascii="宋体" w:hAnsi="宋体" w:eastAsia="宋体" w:cs="宋体"/>
          <w:sz w:val="24"/>
          <w:szCs w:val="24"/>
        </w:rPr>
        <w:t>（2）财务状况证明：供应商提供2020年度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eastAsia="宋体" w:cs="宋体"/>
          <w:sz w:val="24"/>
          <w:szCs w:val="24"/>
        </w:rPr>
        <w:br w:type="textWrapping"/>
      </w:r>
      <w:r>
        <w:rPr>
          <w:rFonts w:hint="eastAsia" w:ascii="宋体" w:hAnsi="宋体" w:eastAsia="宋体" w:cs="宋体"/>
          <w:sz w:val="24"/>
          <w:szCs w:val="24"/>
        </w:rPr>
        <w:t>（3）具有履行合同所必需的设备和专业技术能力的书面声明；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（4）税收缴纳证明：提供2021年1月以来至少一个月的纳税证明或完税证明，依法免税的单位应提供相关证明材料； </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（5）社会保障资金缴纳证明：提供2021年1月以来至少一个月的社会保障资金缴存单据或社保机构开具的社会保险参保缴费情况证明。依法不需要缴纳社会保障资金的供应商应提供相关文件证明；</w:t>
      </w:r>
      <w:r>
        <w:rPr>
          <w:rFonts w:hint="eastAsia" w:ascii="宋体" w:hAnsi="宋体" w:eastAsia="宋体" w:cs="宋体"/>
          <w:sz w:val="24"/>
          <w:szCs w:val="24"/>
        </w:rPr>
        <w:br w:type="textWrapping"/>
      </w:r>
      <w:r>
        <w:rPr>
          <w:rFonts w:hint="eastAsia" w:ascii="宋体" w:hAnsi="宋体" w:eastAsia="宋体" w:cs="宋体"/>
          <w:sz w:val="24"/>
          <w:szCs w:val="24"/>
        </w:rPr>
        <w:t>（6）参加政府采购活动前3年内在经营活动中没有重大违法记录的书面声明；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（7）非法定代表人参加投标的，须提供法定代表人委托授权书及被授权人身份证，法定代表人参加投标时,</w:t>
      </w:r>
      <w:r>
        <w:rPr>
          <w:rFonts w:hint="eastAsia" w:ascii="宋体" w:hAnsi="宋体" w:cs="宋体"/>
          <w:sz w:val="24"/>
          <w:szCs w:val="24"/>
          <w:lang w:eastAsia="zh-CN"/>
        </w:rPr>
        <w:t>只需</w:t>
      </w:r>
      <w:r>
        <w:rPr>
          <w:rFonts w:hint="eastAsia" w:ascii="宋体" w:hAnsi="宋体" w:eastAsia="宋体" w:cs="宋体"/>
          <w:sz w:val="24"/>
          <w:szCs w:val="24"/>
        </w:rPr>
        <w:t>提供法定代表人身份证； </w:t>
      </w:r>
      <w:r>
        <w:rPr>
          <w:rFonts w:hint="eastAsia" w:ascii="宋体" w:hAnsi="宋体" w:eastAsia="宋体" w:cs="宋体"/>
          <w:sz w:val="24"/>
          <w:szCs w:val="24"/>
        </w:rPr>
        <w:br w:type="textWrapping"/>
      </w:r>
      <w:r>
        <w:rPr>
          <w:rFonts w:hint="eastAsia" w:ascii="宋体" w:hAnsi="宋体" w:eastAsia="宋体" w:cs="宋体"/>
          <w:sz w:val="24"/>
          <w:szCs w:val="24"/>
        </w:rPr>
        <w:t>（8）供应商应出具中小企业声明函；</w:t>
      </w:r>
      <w:r>
        <w:rPr>
          <w:rFonts w:hint="eastAsia" w:ascii="宋体" w:hAnsi="宋体" w:eastAsia="宋体" w:cs="宋体"/>
          <w:sz w:val="24"/>
          <w:szCs w:val="24"/>
        </w:rPr>
        <w:br w:type="textWrapping"/>
      </w:r>
      <w:r>
        <w:rPr>
          <w:rFonts w:hint="eastAsia" w:ascii="宋体" w:hAnsi="宋体" w:eastAsia="宋体" w:cs="宋体"/>
          <w:sz w:val="24"/>
          <w:szCs w:val="24"/>
        </w:rPr>
        <w:t>（9）本项目不接受联合体投标。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时间：2022年03月28日至2022年04月02日，每天上午09:00:00至12:00:00，下午13:30:00至17:00:00（北京时间,法定节假日除外）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地点：西安市雁塔区科技路10号华奥大厦A座20层2002室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售价：500元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2022年04月18日 09时00分00秒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地点：西安市雁塔区科技路10号华奥大厦A座20层2002室开标室</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本项目开标地点：西安市雁塔区科技路10号华奥大厦A座20层2002室开标室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注：（1）时间：上午09:00 ----12:00，下午13:30--17:00（工 作 日），现场购买招标文件时请携带单位介绍信原件、身份证原件及复印件加盖公章，售后不退，谢绝邮递。（2）在采购文件获取时间内通过电子邮箱发送电子版报名资料的方式获取采购文件，供应商出具的对领取人的授权委托书或介绍信以及领取人的身份证，加盖公章后以扫描件形式发送至shanxizhuoming_zb@163.com邮箱，邮箱标题以投标单位名称和项目名称的方式命名，招标文件将通过邮箱发送，</w:t>
      </w:r>
      <w:r>
        <w:rPr>
          <w:rFonts w:hint="eastAsia" w:ascii="宋体" w:hAnsi="宋体" w:cs="宋体"/>
          <w:sz w:val="24"/>
          <w:szCs w:val="24"/>
          <w:lang w:val="en-US" w:eastAsia="zh-CN"/>
        </w:rPr>
        <w:t>无须</w:t>
      </w:r>
      <w:r>
        <w:rPr>
          <w:rFonts w:hint="eastAsia" w:ascii="宋体" w:hAnsi="宋体" w:eastAsia="宋体" w:cs="宋体"/>
          <w:sz w:val="24"/>
          <w:szCs w:val="24"/>
          <w:lang w:val="en-US" w:eastAsia="zh-CN"/>
        </w:rPr>
        <w:t>现场购买。（3）请供应商按照陕西省财政厅关于政府采购供应商注册登记有关事项的通知中的要求，通过陕西省政府采购网（http://www.ccgp-shaanxi.gov.cn/）注册登记加入陕西省政府采购供应商库。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1.釆购人信息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名称：延安市安塞区教育体育局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地址：延安市安塞区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联系方式：王会会 0911-6211933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2.釆购代理机构信息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名称：陕西卓佲项目管理有限公司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地址：西安市雁塔区科技路10号华奥大厦A座20层2002室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联系方式：029-88440695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项目联系人：米文佳 董菊莉 张倩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电话：029-88440695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陕西卓佲项目管理有限公司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2022年03月28日</w:t>
      </w:r>
    </w:p>
    <w:p>
      <w:pPr>
        <w:bidi w:val="0"/>
      </w:pPr>
    </w:p>
    <w:p>
      <w:pPr>
        <w:pStyle w:val="3"/>
        <w:keepLines w:val="0"/>
        <w:ind w:firstLine="562" w:firstLineChars="175"/>
        <w:rPr>
          <w:rFonts w:ascii="宋体" w:hAnsi="宋体" w:cs="宋体"/>
        </w:rPr>
        <w:sectPr>
          <w:footerReference r:id="rId7" w:type="default"/>
          <w:pgSz w:w="11906" w:h="16838"/>
          <w:pgMar w:top="1440" w:right="1486" w:bottom="1440" w:left="1800" w:header="851" w:footer="992" w:gutter="0"/>
          <w:cols w:space="720" w:num="1"/>
          <w:docGrid w:type="lines" w:linePitch="312" w:charSpace="0"/>
        </w:sectPr>
      </w:pPr>
    </w:p>
    <w:p>
      <w:pPr>
        <w:pStyle w:val="3"/>
        <w:spacing w:before="312" w:beforeLines="100" w:after="156" w:afterLines="50" w:line="600" w:lineRule="exact"/>
        <w:rPr>
          <w:rFonts w:ascii="宋体" w:hAnsi="宋体" w:cs="宋体"/>
          <w:sz w:val="36"/>
          <w:szCs w:val="36"/>
        </w:rPr>
      </w:pPr>
      <w:bookmarkStart w:id="4" w:name="_Toc438048787"/>
      <w:bookmarkStart w:id="5" w:name="_Toc18037"/>
      <w:bookmarkStart w:id="6" w:name="_Toc30089"/>
      <w:r>
        <w:rPr>
          <w:rFonts w:hint="eastAsia" w:ascii="宋体" w:hAnsi="宋体" w:cs="宋体"/>
          <w:sz w:val="36"/>
          <w:szCs w:val="36"/>
        </w:rPr>
        <w:t>第二部分  供应商须知前附表</w:t>
      </w:r>
      <w:bookmarkEnd w:id="4"/>
      <w:bookmarkEnd w:id="5"/>
      <w:bookmarkEnd w:id="6"/>
    </w:p>
    <w:tbl>
      <w:tblPr>
        <w:tblStyle w:val="37"/>
        <w:tblpPr w:leftFromText="180" w:rightFromText="180" w:vertAnchor="text" w:horzAnchor="page" w:tblpX="1509" w:tblpY="309"/>
        <w:tblOverlap w:val="never"/>
        <w:tblW w:w="92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494"/>
        <w:gridCol w:w="72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494"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219"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1</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资格要求</w:t>
            </w:r>
          </w:p>
        </w:tc>
        <w:tc>
          <w:tcPr>
            <w:tcW w:w="7219" w:type="dxa"/>
          </w:tcPr>
          <w:p>
            <w:pPr>
              <w:numPr>
                <w:ilvl w:val="0"/>
                <w:numId w:val="2"/>
              </w:numPr>
              <w:spacing w:line="360" w:lineRule="auto"/>
              <w:rPr>
                <w:rFonts w:ascii="宋体" w:hAnsi="宋体" w:cs="宋体"/>
                <w:sz w:val="24"/>
                <w:szCs w:val="24"/>
              </w:rPr>
            </w:pPr>
            <w:r>
              <w:rPr>
                <w:rFonts w:hint="eastAsia" w:ascii="宋体" w:hAnsi="宋体" w:cs="宋体"/>
                <w:sz w:val="24"/>
                <w:szCs w:val="24"/>
              </w:rPr>
              <w:t>基本资格条件：满足《中华人民共和国政府采购法》第二十二条规定。</w:t>
            </w:r>
          </w:p>
          <w:p>
            <w:pPr>
              <w:numPr>
                <w:ilvl w:val="0"/>
                <w:numId w:val="2"/>
              </w:numPr>
              <w:spacing w:line="360" w:lineRule="auto"/>
              <w:rPr>
                <w:rFonts w:ascii="宋体" w:hAnsi="宋体" w:cs="宋体"/>
                <w:sz w:val="24"/>
                <w:szCs w:val="24"/>
              </w:rPr>
            </w:pPr>
            <w:r>
              <w:rPr>
                <w:rFonts w:hint="eastAsia" w:ascii="宋体" w:hAnsi="宋体" w:cs="宋体"/>
                <w:sz w:val="24"/>
                <w:szCs w:val="24"/>
              </w:rPr>
              <w:t>特定资格条件：</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pPr>
            <w:r>
              <w:rPr>
                <w:rFonts w:hint="eastAsia" w:ascii="宋体" w:hAnsi="宋体" w:cs="宋体"/>
                <w:sz w:val="24"/>
                <w:szCs w:val="24"/>
              </w:rPr>
              <w:t>（2）财务状况证明：</w:t>
            </w:r>
            <w:r>
              <w:rPr>
                <w:rFonts w:hint="eastAsia" w:ascii="宋体" w:hAnsi="宋体" w:cs="宋体"/>
                <w:sz w:val="24"/>
              </w:rPr>
              <w:t>供应商提供2020年度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（3）具有履行合同所必需的设备和专业技术能力的书面声明；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（4）税收缴纳证明：提供2021年1月以来至少一个月的纳税证明或完税证明，依法免税的单位应提供相关证明材料； </w:t>
            </w:r>
          </w:p>
          <w:p>
            <w:pPr>
              <w:spacing w:line="360" w:lineRule="auto"/>
              <w:ind w:firstLine="480" w:firstLineChars="200"/>
              <w:rPr>
                <w:rFonts w:ascii="宋体" w:hAnsi="宋体" w:cs="宋体"/>
                <w:sz w:val="24"/>
                <w:szCs w:val="24"/>
              </w:rPr>
            </w:pPr>
            <w:r>
              <w:rPr>
                <w:rFonts w:hint="eastAsia" w:ascii="宋体" w:hAnsi="宋体" w:cs="宋体"/>
                <w:sz w:val="24"/>
                <w:szCs w:val="24"/>
              </w:rPr>
              <w:t>（5）社会保障资金缴纳证明：提供2021年1月以来至少一个月的社会保障资金缴存单据或社保机构开具的社会保险参保缴费情况证明。依法不需要缴纳社会保障资金的供应商应提供相关文件证明；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rPr>
            </w:pPr>
            <w:r>
              <w:rPr>
                <w:rFonts w:hint="eastAsia" w:ascii="宋体" w:hAnsi="宋体" w:cs="宋体"/>
                <w:sz w:val="24"/>
                <w:szCs w:val="24"/>
              </w:rPr>
              <w:t>（6）参加政府采购活动前3年内在经营活动中没有重大违法记录的书面声明；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（7）非法定代表人参加投标的，须提供法定代表人委托授权书及被授权人身份证，法定代表人参加投标时,</w:t>
            </w:r>
            <w:r>
              <w:rPr>
                <w:rFonts w:hint="eastAsia" w:ascii="宋体" w:hAnsi="宋体" w:cs="宋体"/>
                <w:sz w:val="24"/>
                <w:szCs w:val="24"/>
                <w:lang w:eastAsia="zh-CN"/>
              </w:rPr>
              <w:t>只需</w:t>
            </w:r>
            <w:r>
              <w:rPr>
                <w:rFonts w:hint="eastAsia" w:ascii="宋体" w:hAnsi="宋体" w:cs="宋体"/>
                <w:sz w:val="24"/>
                <w:szCs w:val="24"/>
              </w:rPr>
              <w:t xml:space="preserve">提供法定代表人身份证； </w:t>
            </w:r>
          </w:p>
          <w:p>
            <w:pPr>
              <w:spacing w:line="360" w:lineRule="auto"/>
              <w:ind w:firstLine="480" w:firstLineChars="200"/>
              <w:rPr>
                <w:rFonts w:ascii="宋体" w:hAnsi="宋体" w:cs="宋体"/>
                <w:sz w:val="24"/>
                <w:szCs w:val="24"/>
              </w:rPr>
            </w:pPr>
            <w:r>
              <w:rPr>
                <w:rFonts w:hint="eastAsia" w:ascii="宋体" w:hAnsi="宋体" w:cs="宋体"/>
                <w:sz w:val="24"/>
                <w:szCs w:val="24"/>
              </w:rPr>
              <w:t>（8）供应商应出具中小企业声明函；</w:t>
            </w:r>
          </w:p>
          <w:p>
            <w:pPr>
              <w:spacing w:line="360" w:lineRule="auto"/>
              <w:ind w:firstLine="480" w:firstLineChars="200"/>
              <w:rPr>
                <w:rFonts w:ascii="宋体" w:hAnsi="宋体" w:cs="宋体"/>
                <w:sz w:val="24"/>
                <w:szCs w:val="24"/>
              </w:rPr>
            </w:pPr>
            <w:r>
              <w:rPr>
                <w:rFonts w:hint="eastAsia" w:ascii="宋体" w:hAnsi="宋体" w:cs="宋体"/>
                <w:sz w:val="24"/>
                <w:szCs w:val="24"/>
              </w:rPr>
              <w:t>（9）本项目不接受联合体投标。</w:t>
            </w:r>
          </w:p>
          <w:p>
            <w:pPr>
              <w:spacing w:line="360" w:lineRule="auto"/>
              <w:ind w:firstLine="422" w:firstLineChars="175"/>
              <w:jc w:val="left"/>
              <w:rPr>
                <w:rFonts w:ascii="宋体" w:hAnsi="宋体" w:cs="宋体"/>
                <w:sz w:val="24"/>
                <w:szCs w:val="24"/>
              </w:rPr>
            </w:pPr>
            <w:r>
              <w:rPr>
                <w:rFonts w:hint="eastAsia" w:ascii="宋体" w:hAnsi="宋体" w:cs="宋体"/>
                <w:b/>
                <w:bCs/>
                <w:sz w:val="24"/>
                <w:szCs w:val="24"/>
              </w:rPr>
              <w:t>以上项为资格审查必备资质。投标文件的正本和全部副本必须附上述资格证明文件，缺少其中一项或某项达不到公开招标要求，其投标文件按无效文件处理。（开标现场携带相关原件及供应商代表身份证备查）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84"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2</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符合性审查</w:t>
            </w:r>
          </w:p>
        </w:tc>
        <w:tc>
          <w:tcPr>
            <w:tcW w:w="7219" w:type="dxa"/>
          </w:tcPr>
          <w:p>
            <w:pPr>
              <w:pStyle w:val="13"/>
              <w:snapToGrid w:val="0"/>
              <w:spacing w:line="360" w:lineRule="auto"/>
              <w:rPr>
                <w:rFonts w:hAnsi="宋体" w:cs="宋体"/>
                <w:kern w:val="0"/>
                <w:sz w:val="24"/>
                <w:szCs w:val="24"/>
              </w:rPr>
            </w:pPr>
            <w:r>
              <w:rPr>
                <w:rFonts w:hint="eastAsia" w:hAnsi="宋体" w:cs="宋体"/>
                <w:kern w:val="0"/>
                <w:sz w:val="24"/>
                <w:szCs w:val="24"/>
              </w:rPr>
              <w:t>有下列情形之一的，应在符合性审查时按照无效投标处理。</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 xml:space="preserve">投标报价超过采购预算或者最高限价； </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投标文件的交货期、质保期不满足招标文件要求；</w:t>
            </w:r>
          </w:p>
          <w:p>
            <w:pPr>
              <w:spacing w:line="360" w:lineRule="auto"/>
              <w:rPr>
                <w:rFonts w:ascii="宋体" w:hAnsi="宋体" w:cs="宋体"/>
                <w:sz w:val="24"/>
                <w:szCs w:val="24"/>
              </w:rPr>
            </w:pPr>
            <w:r>
              <w:rPr>
                <w:rFonts w:hint="eastAsia" w:ascii="宋体" w:hAnsi="宋体" w:cs="宋体"/>
                <w:sz w:val="24"/>
                <w:szCs w:val="24"/>
              </w:rPr>
              <w:t>（3）投标文件的数量、签署、盖章、装订不符合招标文件要求；</w:t>
            </w:r>
          </w:p>
          <w:p>
            <w:pPr>
              <w:spacing w:line="360" w:lineRule="auto"/>
              <w:rPr>
                <w:rFonts w:ascii="宋体" w:hAnsi="宋体" w:cs="宋体"/>
                <w:sz w:val="24"/>
                <w:szCs w:val="24"/>
              </w:rPr>
            </w:pPr>
            <w:r>
              <w:rPr>
                <w:rFonts w:hint="eastAsia" w:ascii="宋体" w:hAnsi="宋体" w:cs="宋体"/>
                <w:sz w:val="24"/>
                <w:szCs w:val="24"/>
              </w:rPr>
              <w:t>（4）投标文件无投标有效期或有效期达不到招标文件要求的；</w:t>
            </w:r>
          </w:p>
          <w:p>
            <w:pPr>
              <w:spacing w:line="360" w:lineRule="auto"/>
              <w:rPr>
                <w:rFonts w:ascii="宋体" w:hAnsi="宋体" w:cs="宋体"/>
                <w:sz w:val="24"/>
                <w:szCs w:val="24"/>
              </w:rPr>
            </w:pPr>
            <w:r>
              <w:rPr>
                <w:rFonts w:hint="eastAsia" w:ascii="宋体" w:hAnsi="宋体" w:cs="宋体"/>
                <w:sz w:val="24"/>
                <w:szCs w:val="24"/>
              </w:rPr>
              <w:t>（5）供应商未按照招标文件要求缴纳投标保证金或投标保证金缴纳金额少于招标文件要求的；</w:t>
            </w:r>
          </w:p>
          <w:p>
            <w:pPr>
              <w:spacing w:line="360" w:lineRule="auto"/>
              <w:rPr>
                <w:rFonts w:ascii="宋体" w:hAnsi="宋体" w:cs="宋体"/>
                <w:sz w:val="24"/>
                <w:szCs w:val="24"/>
              </w:rPr>
            </w:pPr>
            <w:r>
              <w:rPr>
                <w:rFonts w:hint="eastAsia" w:ascii="宋体" w:hAnsi="宋体" w:cs="宋体"/>
                <w:sz w:val="24"/>
                <w:szCs w:val="24"/>
              </w:rPr>
              <w:t>（6）供应商针对同一项目递交两份或多份内容不同的投标文件，未书面声明哪一份是有效的或出现选择性报价的；</w:t>
            </w:r>
          </w:p>
          <w:p>
            <w:pPr>
              <w:spacing w:line="360" w:lineRule="auto"/>
              <w:rPr>
                <w:rFonts w:ascii="宋体" w:hAnsi="宋体" w:cs="宋体"/>
                <w:sz w:val="24"/>
                <w:szCs w:val="24"/>
              </w:rPr>
            </w:pPr>
            <w:r>
              <w:rPr>
                <w:rFonts w:hint="eastAsia" w:ascii="宋体" w:hAnsi="宋体" w:cs="宋体"/>
                <w:sz w:val="24"/>
                <w:szCs w:val="24"/>
              </w:rPr>
              <w:t>（7）投标文件的标的或数量不满足采购要求的；</w:t>
            </w:r>
          </w:p>
          <w:p>
            <w:pPr>
              <w:spacing w:line="360" w:lineRule="auto"/>
              <w:rPr>
                <w:rFonts w:ascii="宋体" w:hAnsi="宋体" w:cs="宋体"/>
                <w:sz w:val="24"/>
                <w:szCs w:val="24"/>
              </w:rPr>
            </w:pPr>
            <w:r>
              <w:rPr>
                <w:rFonts w:hint="eastAsia" w:ascii="宋体" w:hAnsi="宋体" w:cs="宋体"/>
                <w:sz w:val="24"/>
                <w:szCs w:val="24"/>
              </w:rPr>
              <w:t>（8）“★”符号标明的条款为实质性要求和条件，投标文件对其中任何一条的负偏离，为实质性偏离，其投标无效；</w:t>
            </w:r>
          </w:p>
          <w:p>
            <w:pPr>
              <w:spacing w:line="360" w:lineRule="auto"/>
              <w:rPr>
                <w:rFonts w:ascii="宋体" w:hAnsi="宋体" w:cs="宋体"/>
                <w:sz w:val="24"/>
                <w:szCs w:val="24"/>
              </w:rPr>
            </w:pPr>
            <w:r>
              <w:rPr>
                <w:rFonts w:hint="eastAsia" w:ascii="宋体" w:hAnsi="宋体" w:cs="宋体"/>
                <w:sz w:val="24"/>
                <w:szCs w:val="24"/>
              </w:rPr>
              <w:t>（9）投标文件含有采购人不能接受的附加条件的；</w:t>
            </w:r>
          </w:p>
          <w:p>
            <w:pPr>
              <w:spacing w:line="360" w:lineRule="auto"/>
              <w:rPr>
                <w:rFonts w:ascii="宋体" w:hAnsi="宋体" w:cs="宋体"/>
                <w:b/>
                <w:bCs/>
                <w:sz w:val="24"/>
                <w:szCs w:val="24"/>
              </w:rPr>
            </w:pPr>
            <w:r>
              <w:rPr>
                <w:rFonts w:hint="eastAsia" w:ascii="宋体" w:hAnsi="宋体" w:cs="宋体"/>
                <w:b/>
                <w:bCs/>
                <w:sz w:val="24"/>
                <w:szCs w:val="24"/>
              </w:rPr>
              <w:t>（10）</w:t>
            </w:r>
            <w:r>
              <w:rPr>
                <w:rFonts w:ascii="宋体" w:hAnsi="宋体" w:cs="宋体"/>
                <w:b/>
                <w:bCs/>
                <w:sz w:val="24"/>
                <w:szCs w:val="24"/>
              </w:rPr>
              <w:t>供应商</w:t>
            </w:r>
            <w:r>
              <w:rPr>
                <w:rFonts w:hint="eastAsia" w:ascii="宋体" w:hAnsi="宋体" w:cs="宋体"/>
                <w:b/>
                <w:bCs/>
                <w:sz w:val="24"/>
                <w:szCs w:val="24"/>
              </w:rPr>
              <w:t>提供赠品、回扣或者与采购无关的其他商品、服务（不包括采购项目本身所包括涉及的采购事项，</w:t>
            </w:r>
            <w:r>
              <w:rPr>
                <w:rFonts w:ascii="宋体" w:hAnsi="宋体" w:cs="宋体"/>
                <w:b/>
                <w:bCs/>
                <w:sz w:val="24"/>
                <w:szCs w:val="24"/>
              </w:rPr>
              <w:t>供应商</w:t>
            </w:r>
            <w:r>
              <w:rPr>
                <w:rFonts w:hint="eastAsia" w:ascii="宋体" w:hAnsi="宋体" w:cs="宋体"/>
                <w:b/>
                <w:bCs/>
                <w:sz w:val="24"/>
                <w:szCs w:val="24"/>
              </w:rPr>
              <w:t>不能以“赠送、赠予”等任何名义提供货物和服务以规避招标文件的约束）。否则，供应商的投标行为将作为以不正当手段排挤其他供应商认定；</w:t>
            </w:r>
          </w:p>
          <w:p>
            <w:pPr>
              <w:spacing w:line="360" w:lineRule="auto"/>
              <w:rPr>
                <w:rFonts w:ascii="宋体" w:hAnsi="宋体" w:cs="宋体"/>
                <w:b/>
                <w:bCs/>
                <w:sz w:val="24"/>
                <w:szCs w:val="24"/>
              </w:rPr>
            </w:pPr>
            <w:r>
              <w:rPr>
                <w:rFonts w:hint="eastAsia" w:ascii="宋体" w:hAnsi="宋体" w:cs="宋体"/>
                <w:sz w:val="24"/>
                <w:szCs w:val="24"/>
              </w:rPr>
              <w:t>（11）法律、法规和招标文件规定的其他无效情形。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97"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3</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商务条款</w:t>
            </w:r>
          </w:p>
        </w:tc>
        <w:tc>
          <w:tcPr>
            <w:tcW w:w="7219" w:type="dxa"/>
          </w:tcPr>
          <w:p>
            <w:pPr>
              <w:spacing w:line="360" w:lineRule="auto"/>
              <w:rPr>
                <w:rFonts w:ascii="宋体" w:hAnsi="宋体" w:cs="宋体"/>
                <w:sz w:val="24"/>
                <w:szCs w:val="24"/>
                <w:highlight w:val="none"/>
              </w:rPr>
            </w:pPr>
            <w:r>
              <w:rPr>
                <w:rFonts w:hint="eastAsia" w:ascii="宋体" w:hAnsi="宋体" w:cs="宋体"/>
                <w:b/>
                <w:bCs/>
                <w:sz w:val="24"/>
                <w:szCs w:val="24"/>
                <w:highlight w:val="none"/>
              </w:rPr>
              <w:t>★</w:t>
            </w:r>
            <w:r>
              <w:rPr>
                <w:rFonts w:hint="eastAsia" w:ascii="宋体" w:hAnsi="宋体" w:cs="宋体"/>
                <w:sz w:val="24"/>
                <w:szCs w:val="24"/>
                <w:highlight w:val="none"/>
              </w:rPr>
              <w:t>1、交货期：合同签订后</w:t>
            </w:r>
            <w:r>
              <w:rPr>
                <w:rFonts w:hint="eastAsia" w:ascii="宋体" w:hAnsi="宋体" w:cs="宋体"/>
                <w:sz w:val="24"/>
                <w:szCs w:val="24"/>
                <w:highlight w:val="none"/>
                <w:u w:val="single"/>
              </w:rPr>
              <w:t xml:space="preserve"> 30 </w:t>
            </w:r>
            <w:r>
              <w:rPr>
                <w:rFonts w:hint="eastAsia" w:ascii="宋体" w:hAnsi="宋体" w:cs="宋体"/>
                <w:sz w:val="24"/>
                <w:szCs w:val="24"/>
                <w:highlight w:val="none"/>
              </w:rPr>
              <w:t>天日历日内。</w:t>
            </w:r>
          </w:p>
          <w:p>
            <w:pPr>
              <w:spacing w:line="360" w:lineRule="auto"/>
              <w:rPr>
                <w:rFonts w:ascii="宋体" w:hAnsi="宋体" w:cs="宋体"/>
                <w:sz w:val="24"/>
                <w:szCs w:val="24"/>
                <w:highlight w:val="none"/>
              </w:rPr>
            </w:pPr>
            <w:r>
              <w:rPr>
                <w:rFonts w:hint="eastAsia" w:ascii="宋体" w:hAnsi="宋体" w:cs="宋体"/>
                <w:b/>
                <w:bCs/>
                <w:sz w:val="24"/>
                <w:szCs w:val="24"/>
                <w:highlight w:val="none"/>
              </w:rPr>
              <w:t>★</w:t>
            </w:r>
            <w:r>
              <w:rPr>
                <w:rFonts w:hint="eastAsia" w:ascii="宋体" w:hAnsi="宋体" w:cs="宋体"/>
                <w:sz w:val="24"/>
                <w:szCs w:val="24"/>
                <w:highlight w:val="none"/>
              </w:rPr>
              <w:t>2、质保期：验收合格后</w:t>
            </w:r>
            <w:r>
              <w:rPr>
                <w:rFonts w:hint="eastAsia" w:ascii="宋体" w:hAnsi="宋体" w:cs="宋体"/>
                <w:sz w:val="24"/>
                <w:szCs w:val="24"/>
                <w:highlight w:val="none"/>
                <w:u w:val="single"/>
              </w:rPr>
              <w:t xml:space="preserve"> 3 </w:t>
            </w:r>
            <w:r>
              <w:rPr>
                <w:rFonts w:hint="eastAsia" w:ascii="宋体" w:hAnsi="宋体" w:cs="宋体"/>
                <w:sz w:val="24"/>
                <w:szCs w:val="24"/>
                <w:highlight w:val="none"/>
              </w:rPr>
              <w:t>年。</w:t>
            </w:r>
          </w:p>
          <w:p>
            <w:pPr>
              <w:spacing w:line="360" w:lineRule="auto"/>
              <w:rPr>
                <w:rFonts w:ascii="宋体" w:hAnsi="宋体" w:cs="宋体"/>
                <w:sz w:val="24"/>
                <w:szCs w:val="24"/>
                <w:highlight w:val="none"/>
              </w:rPr>
            </w:pPr>
            <w:r>
              <w:rPr>
                <w:rFonts w:hint="eastAsia" w:ascii="宋体" w:hAnsi="宋体" w:cs="宋体"/>
                <w:b/>
                <w:bCs/>
                <w:sz w:val="24"/>
                <w:szCs w:val="24"/>
                <w:highlight w:val="none"/>
              </w:rPr>
              <w:t>★</w:t>
            </w:r>
            <w:r>
              <w:rPr>
                <w:rFonts w:hint="eastAsia" w:ascii="宋体" w:hAnsi="宋体" w:cs="宋体"/>
                <w:sz w:val="24"/>
                <w:szCs w:val="24"/>
                <w:highlight w:val="none"/>
              </w:rPr>
              <w:t>3、交货地点：采购人指定地点。</w:t>
            </w:r>
          </w:p>
          <w:p>
            <w:pPr>
              <w:spacing w:line="360" w:lineRule="auto"/>
            </w:pPr>
            <w:r>
              <w:rPr>
                <w:rFonts w:hint="eastAsia" w:ascii="宋体" w:hAnsi="宋体" w:cs="宋体"/>
                <w:b/>
                <w:bCs/>
                <w:sz w:val="24"/>
                <w:szCs w:val="24"/>
                <w:highlight w:val="none"/>
              </w:rPr>
              <w:t>★</w:t>
            </w:r>
            <w:r>
              <w:rPr>
                <w:rFonts w:hint="eastAsia" w:ascii="宋体" w:hAnsi="宋体" w:cs="宋体"/>
                <w:sz w:val="24"/>
                <w:szCs w:val="24"/>
                <w:highlight w:val="none"/>
              </w:rPr>
              <w:t>4、付款方式：合同签订后30日内向乙方支付合同总价的30%，货物交付验收合格后，乙方连同货款发票，采购合同，货物验收单等相关材料送交甲方，甲方向乙方支付合同总金额的65％，剩余5％于验收合格一年后向乙方支付完成，不计算利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84"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4</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投标保证金</w:t>
            </w:r>
          </w:p>
          <w:p>
            <w:pPr>
              <w:spacing w:line="360" w:lineRule="auto"/>
              <w:jc w:val="center"/>
              <w:rPr>
                <w:rFonts w:ascii="宋体" w:hAnsi="宋体" w:cs="宋体"/>
                <w:sz w:val="24"/>
                <w:szCs w:val="24"/>
              </w:rPr>
            </w:pPr>
            <w:r>
              <w:rPr>
                <w:rFonts w:hint="eastAsia" w:ascii="宋体" w:hAnsi="宋体" w:cs="宋体"/>
                <w:sz w:val="24"/>
                <w:szCs w:val="24"/>
              </w:rPr>
              <w:t>缴纳</w:t>
            </w:r>
          </w:p>
        </w:tc>
        <w:tc>
          <w:tcPr>
            <w:tcW w:w="7219" w:type="dxa"/>
          </w:tcPr>
          <w:p>
            <w:pPr>
              <w:pStyle w:val="12"/>
              <w:numPr>
                <w:ilvl w:val="0"/>
                <w:numId w:val="4"/>
              </w:numPr>
              <w:spacing w:line="360" w:lineRule="auto"/>
              <w:ind w:firstLine="0"/>
              <w:jc w:val="left"/>
              <w:rPr>
                <w:rFonts w:ascii="宋体" w:hAnsi="宋体" w:cs="宋体"/>
                <w:sz w:val="24"/>
                <w:szCs w:val="24"/>
              </w:rPr>
            </w:pPr>
            <w:r>
              <w:rPr>
                <w:rFonts w:hint="eastAsia" w:ascii="宋体" w:hAnsi="宋体" w:cs="宋体"/>
                <w:b/>
                <w:bCs/>
                <w:sz w:val="24"/>
                <w:szCs w:val="24"/>
              </w:rPr>
              <w:t>保证金的缴纳：</w:t>
            </w:r>
            <w:r>
              <w:rPr>
                <w:rFonts w:hint="eastAsia" w:ascii="宋体" w:hAnsi="宋体" w:cs="宋体"/>
                <w:sz w:val="24"/>
                <w:szCs w:val="24"/>
              </w:rPr>
              <w:t>人民币叁万元整（¥30000.00元）</w:t>
            </w:r>
          </w:p>
          <w:p>
            <w:pPr>
              <w:pStyle w:val="12"/>
              <w:spacing w:line="360" w:lineRule="auto"/>
              <w:ind w:firstLine="0"/>
              <w:jc w:val="left"/>
              <w:rPr>
                <w:rFonts w:ascii="宋体" w:hAnsi="宋体" w:cs="宋体"/>
                <w:sz w:val="24"/>
                <w:szCs w:val="24"/>
              </w:rPr>
            </w:pPr>
            <w:r>
              <w:rPr>
                <w:rFonts w:hint="eastAsia" w:ascii="宋体" w:hAnsi="宋体" w:cs="宋体"/>
                <w:sz w:val="24"/>
                <w:szCs w:val="24"/>
              </w:rPr>
              <w:t xml:space="preserve">   缴纳截止时间：同投标文件递交截止时间一致</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投标保证金应当以银行转账（公户）、支票、汇票、本票或者金融机构、担保机构出具的保函等非现金形式提交（注投标保证金须以供应商名称汇款），且应在开标前致电代理机构财务部门确认投标保证金到账情况。</w:t>
            </w:r>
          </w:p>
          <w:p>
            <w:pPr>
              <w:spacing w:line="500" w:lineRule="exact"/>
              <w:jc w:val="left"/>
              <w:rPr>
                <w:rFonts w:ascii="宋体" w:hAnsi="宋体" w:cs="宋体"/>
                <w:sz w:val="24"/>
                <w:szCs w:val="24"/>
              </w:rPr>
            </w:pPr>
            <w:r>
              <w:rPr>
                <w:rFonts w:hint="eastAsia" w:ascii="宋体" w:hAnsi="宋体" w:cs="宋体"/>
                <w:sz w:val="24"/>
                <w:szCs w:val="24"/>
              </w:rPr>
              <w:t>户名：陕西卓佲项目管理有限公司</w:t>
            </w:r>
          </w:p>
          <w:p>
            <w:pPr>
              <w:spacing w:line="500" w:lineRule="exact"/>
              <w:jc w:val="left"/>
              <w:rPr>
                <w:rFonts w:ascii="宋体" w:hAnsi="宋体" w:cs="宋体"/>
                <w:sz w:val="24"/>
                <w:szCs w:val="24"/>
              </w:rPr>
            </w:pPr>
            <w:r>
              <w:rPr>
                <w:rFonts w:hint="eastAsia" w:ascii="宋体" w:hAnsi="宋体" w:cs="宋体"/>
                <w:sz w:val="24"/>
                <w:szCs w:val="24"/>
              </w:rPr>
              <w:t>开户行名称：中国光大银行西安太白路支行</w:t>
            </w:r>
          </w:p>
          <w:p>
            <w:pPr>
              <w:spacing w:line="500" w:lineRule="exact"/>
              <w:jc w:val="left"/>
              <w:rPr>
                <w:rFonts w:ascii="宋体" w:hAnsi="宋体" w:cs="宋体"/>
                <w:sz w:val="24"/>
                <w:szCs w:val="24"/>
              </w:rPr>
            </w:pPr>
            <w:r>
              <w:rPr>
                <w:rFonts w:hint="eastAsia" w:ascii="宋体" w:hAnsi="宋体" w:cs="宋体"/>
                <w:sz w:val="24"/>
                <w:szCs w:val="24"/>
              </w:rPr>
              <w:t>账号：78590188000191476</w:t>
            </w:r>
          </w:p>
          <w:p>
            <w:pPr>
              <w:spacing w:line="500" w:lineRule="exact"/>
              <w:jc w:val="left"/>
              <w:rPr>
                <w:rFonts w:ascii="宋体" w:hAnsi="宋体" w:cs="宋体"/>
                <w:sz w:val="24"/>
                <w:szCs w:val="24"/>
              </w:rPr>
            </w:pPr>
            <w:r>
              <w:rPr>
                <w:rFonts w:hint="eastAsia" w:ascii="宋体" w:hAnsi="宋体" w:cs="宋体"/>
                <w:sz w:val="24"/>
                <w:szCs w:val="24"/>
              </w:rPr>
              <w:t>咨询电话：029-88440695财务高老师</w:t>
            </w:r>
          </w:p>
          <w:p>
            <w:pPr>
              <w:spacing w:line="360" w:lineRule="auto"/>
              <w:jc w:val="left"/>
              <w:rPr>
                <w:rFonts w:ascii="宋体" w:hAnsi="宋体" w:cs="宋体"/>
                <w:sz w:val="24"/>
                <w:szCs w:val="24"/>
              </w:rPr>
            </w:pPr>
            <w:r>
              <w:rPr>
                <w:rFonts w:hint="eastAsia" w:ascii="宋体" w:hAnsi="宋体" w:cs="宋体"/>
                <w:sz w:val="24"/>
                <w:szCs w:val="24"/>
              </w:rPr>
              <w:t>转账摘要：安塞教体局-02投标保证金</w:t>
            </w:r>
          </w:p>
          <w:p>
            <w:pPr>
              <w:pStyle w:val="2"/>
              <w:numPr>
                <w:ilvl w:val="0"/>
                <w:numId w:val="5"/>
              </w:numPr>
              <w:rPr>
                <w:rFonts w:hint="default" w:ascii="宋体" w:hAnsi="宋体" w:cs="宋体"/>
                <w:sz w:val="24"/>
                <w:szCs w:val="24"/>
              </w:rPr>
            </w:pPr>
            <w:r>
              <w:rPr>
                <w:rFonts w:ascii="宋体" w:hAnsi="宋体" w:cs="宋体"/>
                <w:sz w:val="24"/>
                <w:szCs w:val="24"/>
              </w:rPr>
              <w:t>保证金的退还</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2.1未成交的供应商在退取投标保证金时，须携带以下资料办理到代理机构的财务部门办理:</w:t>
            </w:r>
          </w:p>
          <w:p>
            <w:pPr>
              <w:numPr>
                <w:ilvl w:val="0"/>
                <w:numId w:val="6"/>
              </w:numPr>
              <w:adjustRightInd w:val="0"/>
              <w:snapToGrid w:val="0"/>
              <w:spacing w:line="360" w:lineRule="auto"/>
              <w:rPr>
                <w:rFonts w:ascii="宋体" w:hAnsi="宋体" w:cs="宋体"/>
                <w:sz w:val="24"/>
                <w:szCs w:val="24"/>
              </w:rPr>
            </w:pPr>
            <w:r>
              <w:rPr>
                <w:rFonts w:hint="eastAsia" w:ascii="宋体" w:hAnsi="宋体" w:cs="宋体"/>
                <w:sz w:val="24"/>
                <w:szCs w:val="24"/>
              </w:rPr>
              <w:t>保证金汇款凭证复印件加盖公章；</w:t>
            </w:r>
          </w:p>
          <w:p>
            <w:pPr>
              <w:numPr>
                <w:ilvl w:val="0"/>
                <w:numId w:val="6"/>
              </w:numPr>
              <w:adjustRightInd w:val="0"/>
              <w:snapToGrid w:val="0"/>
              <w:spacing w:line="360" w:lineRule="auto"/>
              <w:rPr>
                <w:rFonts w:ascii="宋体" w:hAnsi="宋体" w:cs="宋体"/>
                <w:sz w:val="24"/>
                <w:szCs w:val="24"/>
              </w:rPr>
            </w:pPr>
            <w:r>
              <w:rPr>
                <w:rFonts w:hint="eastAsia" w:ascii="宋体" w:hAnsi="宋体" w:cs="宋体"/>
                <w:sz w:val="24"/>
                <w:szCs w:val="24"/>
              </w:rPr>
              <w:t>保证金退还信息确认表（加盖公章）见</w:t>
            </w:r>
            <w:r>
              <w:rPr>
                <w:rFonts w:hint="eastAsia" w:ascii="宋体" w:hAnsi="宋体" w:cs="宋体"/>
                <w:b/>
                <w:bCs/>
                <w:sz w:val="24"/>
                <w:szCs w:val="24"/>
              </w:rPr>
              <w:t>附件七</w:t>
            </w:r>
            <w:r>
              <w:rPr>
                <w:rFonts w:hint="eastAsia" w:ascii="宋体" w:hAnsi="宋体" w:cs="宋体"/>
                <w:sz w:val="24"/>
                <w:szCs w:val="24"/>
              </w:rPr>
              <w:t>。</w:t>
            </w:r>
          </w:p>
          <w:p>
            <w:pPr>
              <w:adjustRightInd w:val="0"/>
              <w:snapToGrid w:val="0"/>
              <w:spacing w:line="360" w:lineRule="auto"/>
              <w:rPr>
                <w:rFonts w:ascii="宋体" w:hAnsi="宋体" w:cs="宋体"/>
                <w:sz w:val="24"/>
                <w:szCs w:val="24"/>
              </w:rPr>
            </w:pPr>
            <w:r>
              <w:rPr>
                <w:rFonts w:hint="eastAsia" w:ascii="宋体" w:hAnsi="宋体" w:cs="宋体"/>
                <w:sz w:val="24"/>
                <w:szCs w:val="24"/>
              </w:rPr>
              <w:t>供应商可在开标当天将保证金退还账户信息确认表与</w:t>
            </w:r>
            <w:r>
              <w:rPr>
                <w:rFonts w:hint="eastAsia" w:ascii="宋体" w:hAnsi="宋体" w:cs="宋体"/>
                <w:bCs/>
                <w:sz w:val="24"/>
                <w:szCs w:val="24"/>
              </w:rPr>
              <w:t>保证金汇款凭证复印件加盖公章</w:t>
            </w:r>
            <w:r>
              <w:rPr>
                <w:rFonts w:hint="eastAsia" w:ascii="宋体" w:hAnsi="宋体" w:cs="宋体"/>
                <w:sz w:val="24"/>
                <w:szCs w:val="24"/>
              </w:rPr>
              <w:t>一并交给工作人员，当天未提交保证金退还账户信息确认表与投标保证金</w:t>
            </w:r>
            <w:r>
              <w:rPr>
                <w:rFonts w:hint="eastAsia" w:ascii="宋体" w:hAnsi="宋体" w:cs="宋体"/>
                <w:bCs/>
                <w:sz w:val="24"/>
                <w:szCs w:val="24"/>
              </w:rPr>
              <w:t>汇款凭证复印件加盖公章</w:t>
            </w:r>
            <w:r>
              <w:rPr>
                <w:rFonts w:hint="eastAsia" w:ascii="宋体" w:hAnsi="宋体" w:cs="宋体"/>
                <w:sz w:val="24"/>
                <w:szCs w:val="24"/>
              </w:rPr>
              <w:t>的供应商，在开标后将以上资料盖章扫描件发送至邮箱shanxizhuoming_zb@163.com并致电告知。</w:t>
            </w:r>
          </w:p>
          <w:p>
            <w:pPr>
              <w:pStyle w:val="10"/>
              <w:rPr>
                <w:rFonts w:ascii="宋体" w:hAnsi="宋体" w:cs="宋体"/>
                <w:color w:val="auto"/>
                <w:kern w:val="2"/>
              </w:rPr>
            </w:pPr>
            <w:r>
              <w:rPr>
                <w:rFonts w:hint="eastAsia" w:ascii="宋体" w:hAnsi="宋体" w:cs="宋体"/>
                <w:color w:val="auto"/>
                <w:kern w:val="2"/>
              </w:rPr>
              <w:t>2.2中标供应商在退取投标保证金时，除携带上述资料外还需携带与采购人签订的采购合同。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备选方案</w:t>
            </w:r>
          </w:p>
        </w:tc>
        <w:tc>
          <w:tcPr>
            <w:tcW w:w="7219" w:type="dxa"/>
            <w:vAlign w:val="center"/>
          </w:tcPr>
          <w:p>
            <w:pPr>
              <w:spacing w:line="500" w:lineRule="exact"/>
              <w:jc w:val="left"/>
              <w:rPr>
                <w:rFonts w:ascii="宋体" w:hAnsi="宋体" w:cs="宋体"/>
                <w:sz w:val="24"/>
                <w:szCs w:val="24"/>
              </w:rPr>
            </w:pPr>
            <w:r>
              <w:rPr>
                <w:rFonts w:hint="eastAsia" w:ascii="宋体"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联合体</w:t>
            </w:r>
          </w:p>
        </w:tc>
        <w:tc>
          <w:tcPr>
            <w:tcW w:w="7219" w:type="dxa"/>
            <w:vAlign w:val="center"/>
          </w:tcPr>
          <w:p>
            <w:pPr>
              <w:spacing w:line="400" w:lineRule="exact"/>
              <w:rPr>
                <w:rFonts w:ascii="宋体" w:hAnsi="宋体" w:cs="宋体"/>
                <w:sz w:val="24"/>
                <w:szCs w:val="24"/>
              </w:rPr>
            </w:pPr>
            <w:r>
              <w:rPr>
                <w:rFonts w:hint="eastAsia" w:ascii="宋体" w:hAnsi="宋体" w:cs="宋体"/>
                <w:sz w:val="24"/>
                <w:szCs w:val="24"/>
              </w:rPr>
              <w:t>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w:t>
            </w:r>
          </w:p>
          <w:p>
            <w:pPr>
              <w:spacing w:line="360" w:lineRule="auto"/>
              <w:jc w:val="center"/>
              <w:rPr>
                <w:rFonts w:ascii="宋体" w:hAnsi="宋体" w:cs="宋体"/>
                <w:sz w:val="24"/>
                <w:szCs w:val="24"/>
              </w:rPr>
            </w:pPr>
            <w:r>
              <w:rPr>
                <w:rFonts w:hint="eastAsia" w:ascii="宋体" w:hAnsi="宋体" w:cs="宋体"/>
                <w:sz w:val="24"/>
                <w:szCs w:val="24"/>
              </w:rPr>
              <w:t>有效期</w:t>
            </w:r>
          </w:p>
        </w:tc>
        <w:tc>
          <w:tcPr>
            <w:tcW w:w="7219" w:type="dxa"/>
            <w:vAlign w:val="center"/>
          </w:tcPr>
          <w:p>
            <w:pPr>
              <w:spacing w:line="360" w:lineRule="auto"/>
              <w:rPr>
                <w:rFonts w:ascii="宋体" w:hAnsi="宋体" w:cs="宋体"/>
                <w:sz w:val="24"/>
                <w:szCs w:val="24"/>
              </w:rPr>
            </w:pPr>
            <w:r>
              <w:rPr>
                <w:rFonts w:hint="eastAsia" w:ascii="宋体" w:hAnsi="宋体" w:cs="宋体"/>
                <w:b/>
                <w:bCs/>
                <w:sz w:val="24"/>
                <w:szCs w:val="24"/>
              </w:rPr>
              <w:t>投标文件有效期为从开标之日起有效期至少为90日历日。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00"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投标货币及报价</w:t>
            </w:r>
          </w:p>
        </w:tc>
        <w:tc>
          <w:tcPr>
            <w:tcW w:w="7219" w:type="dxa"/>
            <w:vAlign w:val="center"/>
          </w:tcPr>
          <w:p>
            <w:pPr>
              <w:numPr>
                <w:ilvl w:val="0"/>
                <w:numId w:val="7"/>
              </w:numPr>
              <w:spacing w:line="360" w:lineRule="auto"/>
              <w:ind w:firstLine="0"/>
              <w:jc w:val="left"/>
              <w:rPr>
                <w:rFonts w:ascii="宋体" w:hAnsi="宋体" w:cs="宋体"/>
                <w:sz w:val="24"/>
                <w:szCs w:val="24"/>
              </w:rPr>
            </w:pPr>
            <w:r>
              <w:rPr>
                <w:rFonts w:hint="eastAsia" w:ascii="宋体" w:hAnsi="宋体" w:cs="宋体"/>
                <w:b/>
                <w:bCs/>
                <w:sz w:val="24"/>
                <w:szCs w:val="24"/>
              </w:rPr>
              <w:t>供应商应当根据招标文件的要求和范围，以人民币为货币，以元为报价单位</w:t>
            </w:r>
            <w:r>
              <w:rPr>
                <w:rFonts w:hint="eastAsia" w:ascii="宋体" w:hAnsi="宋体" w:cs="宋体"/>
                <w:sz w:val="24"/>
                <w:szCs w:val="24"/>
              </w:rPr>
              <w:t>。</w:t>
            </w:r>
          </w:p>
          <w:p>
            <w:pPr>
              <w:numPr>
                <w:ilvl w:val="0"/>
                <w:numId w:val="7"/>
              </w:numPr>
              <w:spacing w:line="360" w:lineRule="auto"/>
              <w:ind w:firstLine="0"/>
              <w:jc w:val="left"/>
              <w:rPr>
                <w:rFonts w:ascii="宋体" w:hAnsi="宋体" w:cs="宋体"/>
                <w:sz w:val="24"/>
                <w:szCs w:val="24"/>
              </w:rPr>
            </w:pPr>
            <w:r>
              <w:rPr>
                <w:rFonts w:hint="eastAsia" w:ascii="宋体" w:hAnsi="宋体" w:cs="宋体"/>
                <w:b/>
                <w:bCs/>
                <w:sz w:val="24"/>
                <w:szCs w:val="24"/>
              </w:rPr>
              <w:t>供应商应在投标报价表中标明完成本次招标所要求的货物、服务且验收合格的所有费用，包括产品费、安装调试费、运杂费（含保险）、仓储保管费、技术培训费、检测费、施工费、运输费、人工费、税金及进口产品国家按现行税收政策征收的一切税费等</w:t>
            </w:r>
            <w:r>
              <w:rPr>
                <w:rFonts w:hint="eastAsia" w:ascii="宋体" w:hAnsi="宋体" w:cs="宋体"/>
                <w:sz w:val="24"/>
                <w:szCs w:val="24"/>
              </w:rPr>
              <w:t>。投标报价表中标明本次货物、服务的所有单项价格和总价，任何有选择的报价将不予接受，否则按无效投标处理。</w:t>
            </w:r>
          </w:p>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供应商应在投标文件中的开标一览表上按招标文件规定要求填写，并由法定代表人或被授权人代表签署；任何有选择的报价不予接受。</w:t>
            </w:r>
          </w:p>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开标一览表与分项报价表中的价格，在合同执行过程中，均不得以任何理由变更。</w:t>
            </w:r>
          </w:p>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采用综合评分法的，最低报价不是中标的唯一依据。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88"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投标文件份数及装订要求</w:t>
            </w:r>
          </w:p>
        </w:tc>
        <w:tc>
          <w:tcPr>
            <w:tcW w:w="7219" w:type="dxa"/>
            <w:vAlign w:val="center"/>
          </w:tcPr>
          <w:p>
            <w:pPr>
              <w:spacing w:line="360" w:lineRule="auto"/>
              <w:jc w:val="left"/>
              <w:rPr>
                <w:rFonts w:ascii="宋体" w:hAnsi="宋体" w:cs="宋体"/>
                <w:sz w:val="24"/>
                <w:szCs w:val="24"/>
              </w:rPr>
            </w:pPr>
            <w:r>
              <w:rPr>
                <w:rFonts w:hint="eastAsia" w:ascii="宋体" w:hAnsi="宋体" w:cs="宋体"/>
                <w:sz w:val="24"/>
                <w:szCs w:val="24"/>
              </w:rPr>
              <w:t>1、投标文件正本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rPr>
              <w:t>肆</w:t>
            </w:r>
            <w:r>
              <w:rPr>
                <w:rFonts w:hint="eastAsia" w:ascii="宋体" w:hAnsi="宋体" w:cs="宋体"/>
                <w:sz w:val="24"/>
                <w:szCs w:val="24"/>
              </w:rPr>
              <w:t>份、开标一览表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pPr>
              <w:spacing w:line="360" w:lineRule="auto"/>
              <w:jc w:val="left"/>
              <w:rPr>
                <w:rFonts w:ascii="宋体" w:hAnsi="宋体" w:cs="宋体"/>
                <w:sz w:val="24"/>
                <w:szCs w:val="24"/>
              </w:rPr>
            </w:pPr>
            <w:r>
              <w:rPr>
                <w:rFonts w:hint="eastAsia" w:ascii="宋体" w:hAnsi="宋体" w:cs="宋体"/>
                <w:sz w:val="24"/>
                <w:szCs w:val="24"/>
              </w:rPr>
              <w:t>2、正、副本分别</w:t>
            </w:r>
            <w:r>
              <w:rPr>
                <w:rFonts w:hint="eastAsia" w:ascii="宋体" w:hAnsi="宋体" w:cs="宋体"/>
                <w:b/>
                <w:bCs/>
                <w:sz w:val="24"/>
                <w:szCs w:val="24"/>
              </w:rPr>
              <w:t>胶装装订成册</w:t>
            </w:r>
            <w:r>
              <w:rPr>
                <w:rFonts w:hint="eastAsia" w:ascii="宋体" w:hAnsi="宋体" w:cs="宋体"/>
                <w:sz w:val="24"/>
                <w:szCs w:val="24"/>
              </w:rPr>
              <w:t>，逐页标注连页码，且封面须清楚地标明“正本”或“副本”；若正本和副本不符，以正本书面文件为准；同时提供与正本内容一致的电子版（U盘、电子文档应为PDF与WORD格式各一份，PDF版本需为正本签署盖章扫描件）、报价一览表（用于开标唱标单独提交的“报价一览表”应为原件）。</w:t>
            </w:r>
          </w:p>
          <w:p>
            <w:pPr>
              <w:spacing w:line="360" w:lineRule="auto"/>
              <w:jc w:val="left"/>
              <w:rPr>
                <w:rFonts w:ascii="宋体" w:hAnsi="宋体" w:cs="宋体"/>
                <w:sz w:val="24"/>
                <w:szCs w:val="24"/>
              </w:rPr>
            </w:pPr>
            <w:r>
              <w:rPr>
                <w:rFonts w:hint="eastAsia" w:ascii="宋体" w:hAnsi="宋体" w:cs="宋体"/>
                <w:sz w:val="24"/>
                <w:szCs w:val="24"/>
              </w:rPr>
              <w:t>3、所有的副本可以为正本的复印件。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2507"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投标文件的签署</w:t>
            </w:r>
          </w:p>
        </w:tc>
        <w:tc>
          <w:tcPr>
            <w:tcW w:w="7219" w:type="dxa"/>
            <w:vAlign w:val="center"/>
          </w:tcPr>
          <w:p>
            <w:pPr>
              <w:numPr>
                <w:ilvl w:val="0"/>
                <w:numId w:val="8"/>
              </w:numPr>
              <w:spacing w:line="360" w:lineRule="auto"/>
              <w:ind w:firstLine="0"/>
              <w:jc w:val="left"/>
              <w:rPr>
                <w:rFonts w:ascii="宋体" w:hAnsi="宋体" w:cs="宋体"/>
                <w:sz w:val="24"/>
                <w:szCs w:val="24"/>
              </w:rPr>
            </w:pPr>
            <w:r>
              <w:rPr>
                <w:rFonts w:hint="eastAsia" w:ascii="宋体" w:hAnsi="宋体" w:cs="宋体"/>
                <w:sz w:val="24"/>
                <w:szCs w:val="24"/>
              </w:rPr>
              <w:t>供应商在投标文件中指定的页面的落款处，按招标文件要求由供应商的法定代表人或其授权代表在规定的签章处签字或盖章。</w:t>
            </w:r>
          </w:p>
          <w:p>
            <w:pPr>
              <w:numPr>
                <w:ilvl w:val="0"/>
                <w:numId w:val="8"/>
              </w:numPr>
              <w:spacing w:line="360" w:lineRule="auto"/>
              <w:ind w:firstLine="0"/>
              <w:jc w:val="left"/>
              <w:rPr>
                <w:rFonts w:ascii="宋体" w:hAnsi="宋体" w:cs="宋体"/>
                <w:sz w:val="24"/>
                <w:szCs w:val="24"/>
              </w:rPr>
            </w:pPr>
            <w:r>
              <w:rPr>
                <w:rFonts w:hint="eastAsia" w:ascii="宋体" w:hAnsi="宋体" w:cs="宋体"/>
                <w:sz w:val="24"/>
                <w:szCs w:val="24"/>
              </w:rPr>
              <w:t>投标文件应字迹清楚、内容齐全、不得涂改或增删。如有修改和增删，必须有供应商公章及法定代表人或其授权的供应商代表签字。</w:t>
            </w:r>
          </w:p>
          <w:p>
            <w:pPr>
              <w:spacing w:line="360" w:lineRule="auto"/>
              <w:jc w:val="left"/>
              <w:rPr>
                <w:rFonts w:ascii="宋体" w:hAnsi="宋体" w:cs="宋体"/>
                <w:b/>
                <w:bCs/>
                <w:color w:val="000000"/>
                <w:sz w:val="24"/>
                <w:szCs w:val="24"/>
              </w:rPr>
            </w:pPr>
            <w:r>
              <w:rPr>
                <w:rFonts w:hint="eastAsia" w:ascii="宋体" w:hAnsi="宋体" w:cs="宋体"/>
                <w:sz w:val="24"/>
                <w:szCs w:val="24"/>
              </w:rPr>
              <w:t>因投标文件字迹潦草或表达不清所引起的不利后果由供应商承担。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227"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投标文件的密封</w:t>
            </w:r>
          </w:p>
        </w:tc>
        <w:tc>
          <w:tcPr>
            <w:tcW w:w="7219" w:type="dxa"/>
            <w:vAlign w:val="center"/>
          </w:tcPr>
          <w:p>
            <w:pPr>
              <w:pStyle w:val="64"/>
              <w:spacing w:line="360" w:lineRule="auto"/>
              <w:rPr>
                <w:kern w:val="2"/>
              </w:rPr>
            </w:pPr>
            <w:r>
              <w:rPr>
                <w:rFonts w:hint="eastAsia"/>
                <w:kern w:val="2"/>
              </w:rPr>
              <w:t>1、密封要求：</w:t>
            </w:r>
          </w:p>
          <w:p>
            <w:pPr>
              <w:pStyle w:val="64"/>
              <w:spacing w:line="360" w:lineRule="auto"/>
              <w:rPr>
                <w:kern w:val="2"/>
              </w:rPr>
            </w:pPr>
            <w:r>
              <w:rPr>
                <w:rFonts w:hint="eastAsia"/>
                <w:kern w:val="2"/>
              </w:rPr>
              <w:t>开标一览表单独密封递交，</w:t>
            </w:r>
          </w:p>
          <w:p>
            <w:pPr>
              <w:pStyle w:val="64"/>
              <w:spacing w:line="360" w:lineRule="auto"/>
              <w:rPr>
                <w:kern w:val="2"/>
              </w:rPr>
            </w:pPr>
            <w:r>
              <w:rPr>
                <w:rFonts w:hint="eastAsia"/>
                <w:kern w:val="2"/>
              </w:rPr>
              <w:t>电子文档单独密封递交。</w:t>
            </w:r>
          </w:p>
          <w:p>
            <w:pPr>
              <w:spacing w:line="360" w:lineRule="auto"/>
              <w:ind w:right="158" w:rightChars="75"/>
              <w:rPr>
                <w:rFonts w:ascii="宋体" w:hAnsi="宋体" w:cs="宋体"/>
                <w:sz w:val="24"/>
                <w:szCs w:val="24"/>
              </w:rPr>
            </w:pPr>
            <w:r>
              <w:rPr>
                <w:rFonts w:hint="eastAsia" w:ascii="宋体" w:hAnsi="宋体" w:cs="宋体"/>
                <w:sz w:val="24"/>
                <w:szCs w:val="24"/>
              </w:rPr>
              <w:t>所有正本单独密封递交，也可分册密封递交；</w:t>
            </w:r>
          </w:p>
          <w:p>
            <w:pPr>
              <w:spacing w:line="360" w:lineRule="auto"/>
              <w:ind w:right="158" w:rightChars="75"/>
              <w:rPr>
                <w:rFonts w:ascii="宋体" w:hAnsi="宋体" w:cs="宋体"/>
                <w:sz w:val="24"/>
                <w:szCs w:val="24"/>
                <w:lang w:val="zh-CN"/>
              </w:rPr>
            </w:pPr>
            <w:r>
              <w:rPr>
                <w:rFonts w:hint="eastAsia" w:ascii="宋体" w:hAnsi="宋体" w:cs="宋体"/>
                <w:sz w:val="24"/>
                <w:szCs w:val="24"/>
              </w:rPr>
              <w:t>所有副本单独密封递交，</w:t>
            </w:r>
            <w:r>
              <w:rPr>
                <w:rFonts w:hint="eastAsia" w:ascii="宋体" w:hAnsi="宋体" w:cs="宋体"/>
                <w:sz w:val="24"/>
                <w:szCs w:val="24"/>
                <w:lang w:val="zh-CN"/>
              </w:rPr>
              <w:t>也可分册</w:t>
            </w:r>
            <w:r>
              <w:rPr>
                <w:rFonts w:hint="eastAsia" w:ascii="宋体" w:hAnsi="宋体" w:cs="宋体"/>
                <w:sz w:val="24"/>
                <w:szCs w:val="24"/>
              </w:rPr>
              <w:t>密封递交</w:t>
            </w:r>
            <w:r>
              <w:rPr>
                <w:rFonts w:hint="eastAsia" w:ascii="宋体" w:hAnsi="宋体" w:cs="宋体"/>
                <w:sz w:val="24"/>
                <w:szCs w:val="24"/>
                <w:lang w:val="zh-CN"/>
              </w:rPr>
              <w:t>；</w:t>
            </w:r>
          </w:p>
          <w:p>
            <w:pPr>
              <w:spacing w:line="360" w:lineRule="auto"/>
              <w:jc w:val="left"/>
              <w:rPr>
                <w:rFonts w:ascii="宋体" w:hAnsi="宋体" w:cs="宋体"/>
                <w:sz w:val="24"/>
                <w:szCs w:val="24"/>
              </w:rPr>
            </w:pPr>
            <w:r>
              <w:rPr>
                <w:rFonts w:hint="eastAsia" w:ascii="宋体" w:hAnsi="宋体" w:cs="宋体"/>
                <w:sz w:val="24"/>
                <w:szCs w:val="24"/>
              </w:rPr>
              <w:t>2、在封袋正面标明“正本”“副本”“电子版”“开标一览表”字样。封袋应密封完整，封袋正面要粘贴供应商全称、项目名称、编号、等标识、且投标文件袋上应加盖供应商公章（封面标识见招标文件附件一）如果未按上述规定进行密封，供应商的投标文件有权被拒绝。</w:t>
            </w:r>
          </w:p>
          <w:p>
            <w:pPr>
              <w:spacing w:line="360" w:lineRule="auto"/>
              <w:jc w:val="left"/>
              <w:rPr>
                <w:rFonts w:ascii="宋体" w:hAnsi="宋体" w:cs="宋体"/>
                <w:sz w:val="24"/>
                <w:szCs w:val="24"/>
              </w:rPr>
            </w:pPr>
            <w:r>
              <w:rPr>
                <w:rFonts w:hint="eastAsia" w:ascii="宋体" w:hAnsi="宋体" w:cs="宋体"/>
                <w:sz w:val="24"/>
                <w:szCs w:val="24"/>
              </w:rPr>
              <w:t>3、如果供应商未按上述要求密封及加写标记，误投或过早启封的投标文件，将自行承担其投标文件被视为无效投标文件的风险。</w:t>
            </w:r>
          </w:p>
          <w:p>
            <w:pPr>
              <w:numPr>
                <w:ilvl w:val="0"/>
                <w:numId w:val="9"/>
              </w:numPr>
              <w:spacing w:line="360" w:lineRule="auto"/>
              <w:ind w:firstLine="0"/>
              <w:jc w:val="left"/>
              <w:rPr>
                <w:rFonts w:ascii="宋体" w:hAnsi="宋体" w:cs="宋体"/>
                <w:sz w:val="24"/>
                <w:szCs w:val="24"/>
              </w:rPr>
            </w:pPr>
            <w:r>
              <w:rPr>
                <w:rFonts w:hint="eastAsia" w:ascii="宋体" w:hAnsi="宋体" w:cs="宋体"/>
                <w:sz w:val="24"/>
                <w:szCs w:val="24"/>
              </w:rPr>
              <w:t>本次招标只接受简体中文文字的投标文件；如投标文件中出现外文资料，必须配以中文译文。否则，由此引发的一切责任由供应商自负。</w:t>
            </w:r>
          </w:p>
          <w:p>
            <w:pPr>
              <w:spacing w:line="360" w:lineRule="auto"/>
              <w:jc w:val="left"/>
              <w:rPr>
                <w:rFonts w:ascii="宋体" w:hAnsi="宋体" w:cs="宋体"/>
                <w:color w:val="FF0000"/>
                <w:sz w:val="24"/>
                <w:szCs w:val="24"/>
              </w:rPr>
            </w:pPr>
            <w:r>
              <w:rPr>
                <w:rFonts w:hint="eastAsia" w:ascii="宋体" w:hAnsi="宋体" w:cs="宋体"/>
                <w:sz w:val="24"/>
                <w:szCs w:val="24"/>
              </w:rPr>
              <w:t>4、拒绝接受以电话、传真、电子邮件形式的投标。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color w:val="FF0000"/>
                <w:sz w:val="24"/>
                <w:szCs w:val="24"/>
              </w:rPr>
            </w:pPr>
            <w:r>
              <w:rPr>
                <w:rFonts w:hint="eastAsia" w:ascii="宋体" w:hAnsi="宋体" w:cs="宋体"/>
                <w:sz w:val="24"/>
                <w:szCs w:val="24"/>
              </w:rPr>
              <w:t>12</w:t>
            </w:r>
          </w:p>
        </w:tc>
        <w:tc>
          <w:tcPr>
            <w:tcW w:w="1494" w:type="dxa"/>
            <w:vAlign w:val="center"/>
          </w:tcPr>
          <w:p>
            <w:pPr>
              <w:spacing w:line="360" w:lineRule="auto"/>
              <w:rPr>
                <w:rFonts w:ascii="宋体" w:hAnsi="宋体" w:cs="宋体"/>
                <w:sz w:val="24"/>
                <w:szCs w:val="24"/>
              </w:rPr>
            </w:pPr>
            <w:r>
              <w:rPr>
                <w:rFonts w:hint="eastAsia" w:ascii="宋体" w:hAnsi="宋体" w:cs="宋体"/>
                <w:b/>
                <w:bCs/>
                <w:sz w:val="24"/>
                <w:szCs w:val="24"/>
              </w:rPr>
              <w:t>评分标准</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综合评分法（详见第四部分）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color w:val="000000"/>
                <w:sz w:val="24"/>
                <w:szCs w:val="24"/>
              </w:rPr>
            </w:pPr>
            <w:r>
              <w:rPr>
                <w:rFonts w:hint="eastAsia" w:ascii="宋体" w:hAnsi="宋体" w:cs="宋体"/>
                <w:sz w:val="24"/>
                <w:szCs w:val="24"/>
              </w:rPr>
              <w:t>13</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是否采购进口产品</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14</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现场勘查</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15</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代理服务费</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 xml:space="preserve"> 参照国家计委颁布的《招标代理服务收费管理暂行办法》（计价格[2002]1980号）和发改办价格[2003]857号文件等法律法规规定的计价标准收取（含税），按照中标金额差额定率累进法计算，由中标/成交单位一次性支付给乙方。</w:t>
            </w:r>
          </w:p>
          <w:p>
            <w:pPr>
              <w:spacing w:line="360" w:lineRule="auto"/>
              <w:rPr>
                <w:rFonts w:ascii="宋体" w:hAnsi="宋体" w:cs="宋体"/>
                <w:sz w:val="24"/>
                <w:szCs w:val="24"/>
              </w:rPr>
            </w:pPr>
            <w:r>
              <w:rPr>
                <w:rFonts w:hint="eastAsia" w:ascii="宋体" w:hAnsi="宋体" w:cs="宋体"/>
                <w:sz w:val="24"/>
                <w:szCs w:val="24"/>
              </w:rPr>
              <w:t>供应商将招标代理服务费计入投标报价但不单独列明，中标单位在领取中标通知书前，须向采购代理机构一次性支付招标代理服务费；代理服务费以转账、电汇或现金等形式交纳。</w:t>
            </w:r>
          </w:p>
          <w:p>
            <w:pPr>
              <w:spacing w:line="360" w:lineRule="auto"/>
              <w:rPr>
                <w:rFonts w:ascii="宋体" w:hAnsi="宋体" w:cs="宋体"/>
                <w:sz w:val="24"/>
                <w:szCs w:val="24"/>
              </w:rPr>
            </w:pPr>
            <w:r>
              <w:rPr>
                <w:rFonts w:hint="eastAsia" w:ascii="宋体" w:hAnsi="宋体" w:cs="宋体"/>
                <w:sz w:val="24"/>
                <w:szCs w:val="24"/>
              </w:rPr>
              <w:t>招标代理服务费按差额定率累进法计算：</w:t>
            </w:r>
          </w:p>
          <w:tbl>
            <w:tblPr>
              <w:tblStyle w:val="37"/>
              <w:tblW w:w="71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1558"/>
              <w:gridCol w:w="1558"/>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2450" w:type="dxa"/>
                </w:tcPr>
                <w:p>
                  <w:pPr>
                    <w:rPr>
                      <w:rFonts w:ascii="仿宋" w:hAnsi="仿宋" w:cs="Courier New"/>
                      <w:color w:val="000000"/>
                      <w:szCs w:val="21"/>
                    </w:rPr>
                  </w:pPr>
                  <w:r>
                    <w:rPr>
                      <w:rFonts w:hint="eastAsia" w:ascii="仿宋" w:hAnsi="仿宋" w:cs="Courier New"/>
                      <w:color w:val="000000"/>
                      <w:szCs w:val="21"/>
                    </w:rPr>
                    <w:t>服务类型/费率/中标金额（万元）</w:t>
                  </w:r>
                </w:p>
              </w:tc>
              <w:tc>
                <w:tcPr>
                  <w:tcW w:w="1558" w:type="dxa"/>
                  <w:vAlign w:val="center"/>
                </w:tcPr>
                <w:p>
                  <w:pPr>
                    <w:jc w:val="center"/>
                    <w:rPr>
                      <w:rFonts w:ascii="仿宋" w:hAnsi="仿宋" w:cs="Courier New"/>
                      <w:color w:val="000000"/>
                      <w:szCs w:val="21"/>
                    </w:rPr>
                  </w:pPr>
                  <w:r>
                    <w:rPr>
                      <w:rFonts w:hint="eastAsia" w:ascii="仿宋" w:hAnsi="仿宋" w:cs="Courier New"/>
                      <w:color w:val="000000"/>
                      <w:szCs w:val="21"/>
                    </w:rPr>
                    <w:t>货物招标</w:t>
                  </w:r>
                </w:p>
              </w:tc>
              <w:tc>
                <w:tcPr>
                  <w:tcW w:w="1558" w:type="dxa"/>
                  <w:vAlign w:val="center"/>
                </w:tcPr>
                <w:p>
                  <w:pPr>
                    <w:jc w:val="center"/>
                    <w:rPr>
                      <w:rFonts w:ascii="仿宋" w:hAnsi="仿宋" w:cs="Courier New"/>
                      <w:color w:val="000000"/>
                      <w:szCs w:val="21"/>
                    </w:rPr>
                  </w:pPr>
                  <w:r>
                    <w:rPr>
                      <w:rFonts w:hint="eastAsia" w:ascii="仿宋" w:hAnsi="仿宋" w:cs="Courier New"/>
                      <w:color w:val="000000"/>
                      <w:szCs w:val="21"/>
                    </w:rPr>
                    <w:t>服务招标</w:t>
                  </w:r>
                </w:p>
              </w:tc>
              <w:tc>
                <w:tcPr>
                  <w:tcW w:w="1587" w:type="dxa"/>
                  <w:vAlign w:val="center"/>
                </w:tcPr>
                <w:p>
                  <w:pPr>
                    <w:jc w:val="center"/>
                    <w:rPr>
                      <w:rFonts w:ascii="仿宋" w:hAnsi="仿宋" w:cs="Courier New"/>
                      <w:color w:val="000000"/>
                      <w:szCs w:val="21"/>
                    </w:rPr>
                  </w:pPr>
                  <w:r>
                    <w:rPr>
                      <w:rFonts w:hint="eastAsia" w:ascii="仿宋" w:hAnsi="仿宋" w:cs="Courier New"/>
                      <w:color w:val="000000"/>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100以下</w:t>
                  </w:r>
                </w:p>
              </w:tc>
              <w:tc>
                <w:tcPr>
                  <w:tcW w:w="1558" w:type="dxa"/>
                </w:tcPr>
                <w:p>
                  <w:pPr>
                    <w:jc w:val="center"/>
                    <w:rPr>
                      <w:rFonts w:ascii="仿宋" w:hAnsi="仿宋" w:cs="Courier New"/>
                      <w:color w:val="000000"/>
                      <w:szCs w:val="21"/>
                    </w:rPr>
                  </w:pPr>
                  <w:r>
                    <w:rPr>
                      <w:rFonts w:hint="eastAsia" w:ascii="仿宋" w:hAnsi="仿宋" w:cs="Courier New"/>
                      <w:color w:val="000000"/>
                      <w:szCs w:val="21"/>
                    </w:rPr>
                    <w:t>1.5%</w:t>
                  </w:r>
                </w:p>
              </w:tc>
              <w:tc>
                <w:tcPr>
                  <w:tcW w:w="1558" w:type="dxa"/>
                </w:tcPr>
                <w:p>
                  <w:pPr>
                    <w:jc w:val="center"/>
                    <w:rPr>
                      <w:rFonts w:ascii="仿宋" w:hAnsi="仿宋" w:cs="Courier New"/>
                      <w:color w:val="000000"/>
                      <w:szCs w:val="21"/>
                    </w:rPr>
                  </w:pPr>
                  <w:r>
                    <w:rPr>
                      <w:rFonts w:hint="eastAsia" w:ascii="仿宋" w:hAnsi="仿宋" w:cs="Courier New"/>
                      <w:color w:val="000000"/>
                      <w:szCs w:val="21"/>
                    </w:rPr>
                    <w:t>1.5%</w:t>
                  </w:r>
                </w:p>
              </w:tc>
              <w:tc>
                <w:tcPr>
                  <w:tcW w:w="1587" w:type="dxa"/>
                </w:tcPr>
                <w:p>
                  <w:pPr>
                    <w:jc w:val="center"/>
                    <w:rPr>
                      <w:rFonts w:ascii="仿宋" w:hAnsi="仿宋" w:cs="Courier New"/>
                      <w:color w:val="000000"/>
                      <w:szCs w:val="21"/>
                    </w:rPr>
                  </w:pPr>
                  <w:r>
                    <w:rPr>
                      <w:rFonts w:hint="eastAsia" w:ascii="仿宋" w:hAnsi="仿宋" w:cs="Courier New"/>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100-500</w:t>
                  </w:r>
                </w:p>
              </w:tc>
              <w:tc>
                <w:tcPr>
                  <w:tcW w:w="1558" w:type="dxa"/>
                </w:tcPr>
                <w:p>
                  <w:pPr>
                    <w:jc w:val="center"/>
                    <w:rPr>
                      <w:rFonts w:ascii="仿宋" w:hAnsi="仿宋" w:cs="Courier New"/>
                      <w:color w:val="000000"/>
                      <w:szCs w:val="21"/>
                    </w:rPr>
                  </w:pPr>
                  <w:r>
                    <w:rPr>
                      <w:rFonts w:hint="eastAsia" w:ascii="仿宋" w:hAnsi="仿宋" w:cs="Courier New"/>
                      <w:color w:val="000000"/>
                      <w:szCs w:val="21"/>
                    </w:rPr>
                    <w:t>1.1%</w:t>
                  </w:r>
                </w:p>
              </w:tc>
              <w:tc>
                <w:tcPr>
                  <w:tcW w:w="1558" w:type="dxa"/>
                </w:tcPr>
                <w:p>
                  <w:pPr>
                    <w:jc w:val="center"/>
                    <w:rPr>
                      <w:rFonts w:ascii="仿宋" w:hAnsi="仿宋" w:cs="Courier New"/>
                      <w:color w:val="000000"/>
                      <w:szCs w:val="21"/>
                    </w:rPr>
                  </w:pPr>
                  <w:r>
                    <w:rPr>
                      <w:rFonts w:hint="eastAsia" w:ascii="仿宋" w:hAnsi="仿宋" w:cs="Courier New"/>
                      <w:color w:val="000000"/>
                      <w:szCs w:val="21"/>
                    </w:rPr>
                    <w:t>0.8%</w:t>
                  </w:r>
                </w:p>
              </w:tc>
              <w:tc>
                <w:tcPr>
                  <w:tcW w:w="1587" w:type="dxa"/>
                </w:tcPr>
                <w:p>
                  <w:pPr>
                    <w:jc w:val="center"/>
                    <w:rPr>
                      <w:rFonts w:ascii="仿宋" w:hAnsi="仿宋" w:cs="Courier New"/>
                      <w:color w:val="000000"/>
                      <w:szCs w:val="21"/>
                    </w:rPr>
                  </w:pPr>
                  <w:r>
                    <w:rPr>
                      <w:rFonts w:hint="eastAsia" w:ascii="仿宋" w:hAnsi="仿宋" w:cs="Courier New"/>
                      <w:color w:val="00000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500-1000</w:t>
                  </w:r>
                </w:p>
              </w:tc>
              <w:tc>
                <w:tcPr>
                  <w:tcW w:w="1558" w:type="dxa"/>
                </w:tcPr>
                <w:p>
                  <w:pPr>
                    <w:jc w:val="center"/>
                    <w:rPr>
                      <w:rFonts w:ascii="仿宋" w:hAnsi="仿宋" w:cs="Courier New"/>
                      <w:color w:val="000000"/>
                      <w:szCs w:val="21"/>
                    </w:rPr>
                  </w:pPr>
                  <w:r>
                    <w:rPr>
                      <w:rFonts w:hint="eastAsia" w:ascii="仿宋" w:hAnsi="仿宋" w:cs="Courier New"/>
                      <w:color w:val="000000"/>
                      <w:szCs w:val="21"/>
                    </w:rPr>
                    <w:t>0.8%</w:t>
                  </w:r>
                </w:p>
              </w:tc>
              <w:tc>
                <w:tcPr>
                  <w:tcW w:w="1558" w:type="dxa"/>
                </w:tcPr>
                <w:p>
                  <w:pPr>
                    <w:jc w:val="center"/>
                    <w:rPr>
                      <w:rFonts w:ascii="仿宋" w:hAnsi="仿宋" w:cs="Courier New"/>
                      <w:color w:val="000000"/>
                      <w:szCs w:val="21"/>
                    </w:rPr>
                  </w:pPr>
                  <w:r>
                    <w:rPr>
                      <w:rFonts w:hint="eastAsia" w:ascii="仿宋" w:hAnsi="仿宋" w:cs="Courier New"/>
                      <w:color w:val="000000"/>
                      <w:szCs w:val="21"/>
                    </w:rPr>
                    <w:t>0.45%</w:t>
                  </w:r>
                </w:p>
              </w:tc>
              <w:tc>
                <w:tcPr>
                  <w:tcW w:w="1587" w:type="dxa"/>
                </w:tcPr>
                <w:p>
                  <w:pPr>
                    <w:jc w:val="center"/>
                    <w:rPr>
                      <w:rFonts w:ascii="仿宋" w:hAnsi="仿宋" w:cs="Courier New"/>
                      <w:color w:val="000000"/>
                      <w:szCs w:val="21"/>
                    </w:rPr>
                  </w:pPr>
                  <w:r>
                    <w:rPr>
                      <w:rFonts w:hint="eastAsia" w:ascii="仿宋" w:hAnsi="仿宋" w:cs="Courier New"/>
                      <w:color w:val="00000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1000-5000</w:t>
                  </w:r>
                </w:p>
              </w:tc>
              <w:tc>
                <w:tcPr>
                  <w:tcW w:w="1558" w:type="dxa"/>
                </w:tcPr>
                <w:p>
                  <w:pPr>
                    <w:jc w:val="center"/>
                    <w:rPr>
                      <w:rFonts w:ascii="仿宋" w:hAnsi="仿宋" w:cs="Courier New"/>
                      <w:color w:val="000000"/>
                      <w:szCs w:val="21"/>
                    </w:rPr>
                  </w:pPr>
                  <w:r>
                    <w:rPr>
                      <w:rFonts w:hint="eastAsia" w:ascii="仿宋" w:hAnsi="仿宋" w:cs="Courier New"/>
                      <w:color w:val="000000"/>
                      <w:szCs w:val="21"/>
                    </w:rPr>
                    <w:t>0.5%</w:t>
                  </w:r>
                </w:p>
              </w:tc>
              <w:tc>
                <w:tcPr>
                  <w:tcW w:w="1558" w:type="dxa"/>
                </w:tcPr>
                <w:p>
                  <w:pPr>
                    <w:jc w:val="center"/>
                    <w:rPr>
                      <w:rFonts w:ascii="仿宋" w:hAnsi="仿宋" w:cs="Courier New"/>
                      <w:color w:val="000000"/>
                      <w:szCs w:val="21"/>
                    </w:rPr>
                  </w:pPr>
                  <w:r>
                    <w:rPr>
                      <w:rFonts w:hint="eastAsia" w:ascii="仿宋" w:hAnsi="仿宋" w:cs="Courier New"/>
                      <w:color w:val="000000"/>
                      <w:szCs w:val="21"/>
                    </w:rPr>
                    <w:t>0.25%</w:t>
                  </w:r>
                </w:p>
              </w:tc>
              <w:tc>
                <w:tcPr>
                  <w:tcW w:w="1587" w:type="dxa"/>
                </w:tcPr>
                <w:p>
                  <w:pPr>
                    <w:jc w:val="center"/>
                    <w:rPr>
                      <w:rFonts w:ascii="仿宋" w:hAnsi="仿宋" w:cs="Courier New"/>
                      <w:color w:val="000000"/>
                      <w:szCs w:val="21"/>
                    </w:rPr>
                  </w:pPr>
                  <w:r>
                    <w:rPr>
                      <w:rFonts w:hint="eastAsia" w:ascii="仿宋" w:hAnsi="仿宋" w:cs="Courier New"/>
                      <w:color w:val="00000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5000-10000</w:t>
                  </w:r>
                </w:p>
              </w:tc>
              <w:tc>
                <w:tcPr>
                  <w:tcW w:w="1558" w:type="dxa"/>
                </w:tcPr>
                <w:p>
                  <w:pPr>
                    <w:jc w:val="center"/>
                    <w:rPr>
                      <w:rFonts w:ascii="仿宋" w:hAnsi="仿宋" w:cs="Courier New"/>
                      <w:color w:val="000000"/>
                      <w:szCs w:val="21"/>
                    </w:rPr>
                  </w:pPr>
                  <w:r>
                    <w:rPr>
                      <w:rFonts w:hint="eastAsia" w:ascii="仿宋" w:hAnsi="仿宋" w:cs="Courier New"/>
                      <w:color w:val="000000"/>
                      <w:szCs w:val="21"/>
                    </w:rPr>
                    <w:t>0.25%</w:t>
                  </w:r>
                </w:p>
              </w:tc>
              <w:tc>
                <w:tcPr>
                  <w:tcW w:w="1558" w:type="dxa"/>
                </w:tcPr>
                <w:p>
                  <w:pPr>
                    <w:jc w:val="center"/>
                    <w:rPr>
                      <w:rFonts w:ascii="仿宋" w:hAnsi="仿宋" w:cs="Courier New"/>
                      <w:color w:val="000000"/>
                      <w:szCs w:val="21"/>
                    </w:rPr>
                  </w:pPr>
                  <w:r>
                    <w:rPr>
                      <w:rFonts w:hint="eastAsia" w:ascii="仿宋" w:hAnsi="仿宋" w:cs="Courier New"/>
                      <w:color w:val="000000"/>
                      <w:szCs w:val="21"/>
                    </w:rPr>
                    <w:t>0.1%</w:t>
                  </w:r>
                </w:p>
              </w:tc>
              <w:tc>
                <w:tcPr>
                  <w:tcW w:w="1587" w:type="dxa"/>
                </w:tcPr>
                <w:p>
                  <w:pPr>
                    <w:jc w:val="center"/>
                    <w:rPr>
                      <w:rFonts w:ascii="仿宋" w:hAnsi="仿宋" w:cs="Courier New"/>
                      <w:color w:val="000000"/>
                      <w:szCs w:val="21"/>
                    </w:rPr>
                  </w:pPr>
                  <w:r>
                    <w:rPr>
                      <w:rFonts w:hint="eastAsia" w:ascii="仿宋" w:hAnsi="仿宋" w:cs="Courier New"/>
                      <w:color w:val="00000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10000-100000</w:t>
                  </w:r>
                </w:p>
              </w:tc>
              <w:tc>
                <w:tcPr>
                  <w:tcW w:w="1558" w:type="dxa"/>
                </w:tcPr>
                <w:p>
                  <w:pPr>
                    <w:jc w:val="center"/>
                    <w:rPr>
                      <w:rFonts w:ascii="仿宋" w:hAnsi="仿宋" w:cs="Courier New"/>
                      <w:color w:val="000000"/>
                      <w:szCs w:val="21"/>
                    </w:rPr>
                  </w:pPr>
                  <w:r>
                    <w:rPr>
                      <w:rFonts w:hint="eastAsia" w:ascii="仿宋" w:hAnsi="仿宋" w:cs="Courier New"/>
                      <w:color w:val="000000"/>
                      <w:szCs w:val="21"/>
                    </w:rPr>
                    <w:t>0.05%</w:t>
                  </w:r>
                </w:p>
              </w:tc>
              <w:tc>
                <w:tcPr>
                  <w:tcW w:w="1558" w:type="dxa"/>
                </w:tcPr>
                <w:p>
                  <w:pPr>
                    <w:jc w:val="center"/>
                    <w:rPr>
                      <w:rFonts w:ascii="仿宋" w:hAnsi="仿宋" w:cs="Courier New"/>
                      <w:color w:val="000000"/>
                      <w:szCs w:val="21"/>
                    </w:rPr>
                  </w:pPr>
                  <w:r>
                    <w:rPr>
                      <w:rFonts w:hint="eastAsia" w:ascii="仿宋" w:hAnsi="仿宋" w:cs="Courier New"/>
                      <w:color w:val="000000"/>
                      <w:szCs w:val="21"/>
                    </w:rPr>
                    <w:t>0.05%</w:t>
                  </w:r>
                </w:p>
              </w:tc>
              <w:tc>
                <w:tcPr>
                  <w:tcW w:w="1587" w:type="dxa"/>
                </w:tcPr>
                <w:p>
                  <w:pPr>
                    <w:jc w:val="center"/>
                    <w:rPr>
                      <w:rFonts w:ascii="仿宋" w:hAnsi="仿宋" w:cs="Courier New"/>
                      <w:color w:val="000000"/>
                      <w:szCs w:val="21"/>
                    </w:rPr>
                  </w:pPr>
                  <w:r>
                    <w:rPr>
                      <w:rFonts w:hint="eastAsia" w:ascii="仿宋" w:hAnsi="仿宋" w:cs="Courier New"/>
                      <w:color w:val="000000"/>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1000000以上</w:t>
                  </w:r>
                </w:p>
              </w:tc>
              <w:tc>
                <w:tcPr>
                  <w:tcW w:w="1558" w:type="dxa"/>
                </w:tcPr>
                <w:p>
                  <w:pPr>
                    <w:jc w:val="center"/>
                    <w:rPr>
                      <w:rFonts w:ascii="仿宋" w:hAnsi="仿宋" w:cs="Courier New"/>
                      <w:color w:val="000000"/>
                      <w:szCs w:val="21"/>
                    </w:rPr>
                  </w:pPr>
                  <w:r>
                    <w:rPr>
                      <w:rFonts w:hint="eastAsia" w:ascii="仿宋" w:hAnsi="仿宋" w:cs="Courier New"/>
                      <w:color w:val="000000"/>
                      <w:szCs w:val="21"/>
                    </w:rPr>
                    <w:t>0.01%</w:t>
                  </w:r>
                </w:p>
              </w:tc>
              <w:tc>
                <w:tcPr>
                  <w:tcW w:w="1558" w:type="dxa"/>
                </w:tcPr>
                <w:p>
                  <w:pPr>
                    <w:jc w:val="center"/>
                    <w:rPr>
                      <w:rFonts w:ascii="仿宋" w:hAnsi="仿宋" w:cs="Courier New"/>
                      <w:color w:val="000000"/>
                      <w:szCs w:val="21"/>
                    </w:rPr>
                  </w:pPr>
                  <w:r>
                    <w:rPr>
                      <w:rFonts w:hint="eastAsia" w:ascii="仿宋" w:hAnsi="仿宋" w:cs="Courier New"/>
                      <w:color w:val="000000"/>
                      <w:szCs w:val="21"/>
                    </w:rPr>
                    <w:t>0.01%</w:t>
                  </w:r>
                </w:p>
              </w:tc>
              <w:tc>
                <w:tcPr>
                  <w:tcW w:w="1587" w:type="dxa"/>
                </w:tcPr>
                <w:p>
                  <w:pPr>
                    <w:jc w:val="center"/>
                    <w:rPr>
                      <w:rFonts w:ascii="仿宋" w:hAnsi="仿宋" w:cs="Courier New"/>
                      <w:color w:val="000000"/>
                      <w:szCs w:val="21"/>
                    </w:rPr>
                  </w:pPr>
                  <w:r>
                    <w:rPr>
                      <w:rFonts w:hint="eastAsia" w:ascii="仿宋" w:hAnsi="仿宋" w:cs="Courier New"/>
                      <w:color w:val="000000"/>
                      <w:szCs w:val="21"/>
                    </w:rPr>
                    <w:t>0.01%</w:t>
                  </w:r>
                </w:p>
              </w:tc>
            </w:tr>
          </w:tbl>
          <w:p>
            <w:pPr>
              <w:pStyle w:val="13"/>
              <w:spacing w:line="336" w:lineRule="auto"/>
              <w:jc w:val="left"/>
              <w:rPr>
                <w:rFonts w:ascii="仿宋" w:hAnsi="仿宋"/>
                <w:color w:val="000000"/>
                <w:sz w:val="24"/>
                <w:szCs w:val="24"/>
              </w:rPr>
            </w:pPr>
            <w:r>
              <w:rPr>
                <w:rFonts w:hint="eastAsia" w:ascii="仿宋" w:hAnsi="仿宋"/>
                <w:color w:val="000000"/>
                <w:sz w:val="24"/>
                <w:szCs w:val="24"/>
              </w:rPr>
              <w:t>例如：某服务招标中标金额为678.2万元，招标代理服务费计算如下：</w:t>
            </w:r>
          </w:p>
          <w:p>
            <w:pPr>
              <w:pStyle w:val="13"/>
              <w:spacing w:line="336" w:lineRule="auto"/>
              <w:jc w:val="left"/>
              <w:rPr>
                <w:rFonts w:ascii="仿宋" w:hAnsi="仿宋"/>
                <w:color w:val="000000"/>
                <w:sz w:val="24"/>
                <w:szCs w:val="24"/>
              </w:rPr>
            </w:pPr>
            <w:r>
              <w:rPr>
                <w:rFonts w:hint="eastAsia" w:ascii="仿宋" w:hAnsi="仿宋"/>
                <w:color w:val="000000"/>
                <w:sz w:val="24"/>
                <w:szCs w:val="24"/>
              </w:rPr>
              <w:t>100万元*1.5%=1.5</w:t>
            </w:r>
            <w:r>
              <w:rPr>
                <w:rFonts w:ascii="仿宋" w:hAnsi="仿宋"/>
                <w:color w:val="000000"/>
                <w:sz w:val="24"/>
                <w:szCs w:val="24"/>
              </w:rPr>
              <w:t>0</w:t>
            </w:r>
            <w:r>
              <w:rPr>
                <w:rFonts w:hint="eastAsia" w:ascii="仿宋" w:hAnsi="仿宋"/>
                <w:color w:val="000000"/>
                <w:sz w:val="24"/>
                <w:szCs w:val="24"/>
              </w:rPr>
              <w:t xml:space="preserve">万元 </w:t>
            </w:r>
          </w:p>
          <w:p>
            <w:pPr>
              <w:pStyle w:val="13"/>
              <w:spacing w:line="336" w:lineRule="auto"/>
              <w:jc w:val="left"/>
              <w:rPr>
                <w:rFonts w:ascii="仿宋" w:hAnsi="仿宋"/>
                <w:color w:val="000000"/>
                <w:sz w:val="24"/>
                <w:szCs w:val="24"/>
              </w:rPr>
            </w:pPr>
            <w:r>
              <w:rPr>
                <w:rFonts w:hint="eastAsia" w:ascii="仿宋" w:hAnsi="仿宋"/>
                <w:color w:val="000000"/>
                <w:sz w:val="24"/>
                <w:szCs w:val="24"/>
              </w:rPr>
              <w:t>(500-100)*</w:t>
            </w:r>
            <w:r>
              <w:rPr>
                <w:rFonts w:ascii="仿宋" w:hAnsi="仿宋"/>
                <w:color w:val="000000"/>
                <w:sz w:val="24"/>
                <w:szCs w:val="24"/>
              </w:rPr>
              <w:t>0.8</w:t>
            </w:r>
            <w:r>
              <w:rPr>
                <w:rFonts w:hint="eastAsia" w:ascii="仿宋" w:hAnsi="仿宋"/>
                <w:color w:val="000000"/>
                <w:sz w:val="24"/>
                <w:szCs w:val="24"/>
              </w:rPr>
              <w:t>%=</w:t>
            </w:r>
            <w:r>
              <w:rPr>
                <w:rFonts w:ascii="仿宋" w:hAnsi="仿宋"/>
                <w:color w:val="000000"/>
                <w:sz w:val="24"/>
                <w:szCs w:val="24"/>
              </w:rPr>
              <w:t>3</w:t>
            </w:r>
            <w:r>
              <w:rPr>
                <w:rFonts w:hint="eastAsia" w:ascii="仿宋" w:hAnsi="仿宋"/>
                <w:color w:val="000000"/>
                <w:sz w:val="24"/>
                <w:szCs w:val="24"/>
              </w:rPr>
              <w:t>.</w:t>
            </w:r>
            <w:r>
              <w:rPr>
                <w:rFonts w:ascii="仿宋" w:hAnsi="仿宋"/>
                <w:color w:val="000000"/>
                <w:sz w:val="24"/>
                <w:szCs w:val="24"/>
              </w:rPr>
              <w:t>20</w:t>
            </w:r>
            <w:r>
              <w:rPr>
                <w:rFonts w:hint="eastAsia" w:ascii="仿宋" w:hAnsi="仿宋"/>
                <w:color w:val="000000"/>
                <w:sz w:val="24"/>
                <w:szCs w:val="24"/>
              </w:rPr>
              <w:t>万元</w:t>
            </w:r>
          </w:p>
          <w:p>
            <w:pPr>
              <w:pStyle w:val="13"/>
              <w:spacing w:line="336" w:lineRule="auto"/>
              <w:jc w:val="left"/>
              <w:rPr>
                <w:rFonts w:ascii="仿宋" w:hAnsi="仿宋"/>
                <w:color w:val="000000"/>
                <w:sz w:val="24"/>
                <w:szCs w:val="24"/>
              </w:rPr>
            </w:pPr>
            <w:r>
              <w:rPr>
                <w:rFonts w:hint="eastAsia" w:ascii="仿宋" w:hAnsi="仿宋"/>
                <w:color w:val="000000"/>
                <w:sz w:val="24"/>
                <w:szCs w:val="24"/>
              </w:rPr>
              <w:t>(678.2-500)*0.</w:t>
            </w:r>
            <w:r>
              <w:rPr>
                <w:rFonts w:ascii="仿宋" w:hAnsi="仿宋"/>
                <w:color w:val="000000"/>
                <w:sz w:val="24"/>
                <w:szCs w:val="24"/>
              </w:rPr>
              <w:t>45</w:t>
            </w:r>
            <w:r>
              <w:rPr>
                <w:rFonts w:hint="eastAsia" w:ascii="仿宋" w:hAnsi="仿宋"/>
                <w:color w:val="000000"/>
                <w:sz w:val="24"/>
                <w:szCs w:val="24"/>
              </w:rPr>
              <w:t>%=</w:t>
            </w:r>
            <w:r>
              <w:rPr>
                <w:rFonts w:ascii="仿宋" w:hAnsi="仿宋"/>
                <w:color w:val="000000"/>
                <w:sz w:val="24"/>
                <w:szCs w:val="24"/>
              </w:rPr>
              <w:t>0.8019</w:t>
            </w:r>
            <w:r>
              <w:rPr>
                <w:rFonts w:hint="eastAsia" w:ascii="仿宋" w:hAnsi="仿宋"/>
                <w:color w:val="000000"/>
                <w:sz w:val="24"/>
                <w:szCs w:val="24"/>
              </w:rPr>
              <w:t>万元</w:t>
            </w:r>
          </w:p>
          <w:p>
            <w:pPr>
              <w:pStyle w:val="13"/>
              <w:spacing w:line="336" w:lineRule="auto"/>
              <w:jc w:val="left"/>
            </w:pPr>
            <w:r>
              <w:rPr>
                <w:rFonts w:hint="eastAsia" w:ascii="仿宋" w:hAnsi="仿宋"/>
                <w:color w:val="000000"/>
                <w:sz w:val="24"/>
                <w:szCs w:val="24"/>
              </w:rPr>
              <w:t>服务费=1.5</w:t>
            </w:r>
            <w:r>
              <w:rPr>
                <w:rFonts w:ascii="仿宋" w:hAnsi="仿宋"/>
                <w:color w:val="000000"/>
                <w:sz w:val="24"/>
                <w:szCs w:val="24"/>
              </w:rPr>
              <w:t>0</w:t>
            </w:r>
            <w:r>
              <w:rPr>
                <w:rFonts w:hint="eastAsia" w:ascii="仿宋" w:hAnsi="仿宋"/>
                <w:color w:val="000000"/>
                <w:sz w:val="24"/>
                <w:szCs w:val="24"/>
              </w:rPr>
              <w:t>+</w:t>
            </w:r>
            <w:r>
              <w:rPr>
                <w:rFonts w:ascii="仿宋" w:hAnsi="仿宋"/>
                <w:color w:val="000000"/>
                <w:sz w:val="24"/>
                <w:szCs w:val="24"/>
              </w:rPr>
              <w:t>3.20</w:t>
            </w:r>
            <w:r>
              <w:rPr>
                <w:rFonts w:hint="eastAsia" w:ascii="仿宋" w:hAnsi="仿宋"/>
                <w:color w:val="000000"/>
                <w:sz w:val="24"/>
                <w:szCs w:val="24"/>
              </w:rPr>
              <w:t>+</w:t>
            </w:r>
            <w:r>
              <w:rPr>
                <w:rFonts w:ascii="仿宋" w:hAnsi="仿宋"/>
                <w:color w:val="000000"/>
                <w:sz w:val="24"/>
                <w:szCs w:val="24"/>
              </w:rPr>
              <w:t>0.8019</w:t>
            </w:r>
            <w:r>
              <w:rPr>
                <w:rFonts w:hint="eastAsia" w:ascii="仿宋" w:hAnsi="仿宋"/>
                <w:color w:val="000000"/>
                <w:sz w:val="24"/>
                <w:szCs w:val="24"/>
              </w:rPr>
              <w:t>=</w:t>
            </w:r>
            <w:r>
              <w:rPr>
                <w:rFonts w:ascii="仿宋" w:hAnsi="仿宋"/>
                <w:color w:val="000000"/>
                <w:sz w:val="24"/>
                <w:szCs w:val="24"/>
              </w:rPr>
              <w:t>5.5019</w:t>
            </w:r>
            <w:r>
              <w:rPr>
                <w:rFonts w:hint="eastAsia" w:ascii="仿宋" w:hAnsi="仿宋"/>
                <w:color w:val="000000"/>
                <w:sz w:val="24"/>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16</w:t>
            </w:r>
          </w:p>
        </w:tc>
        <w:tc>
          <w:tcPr>
            <w:tcW w:w="1494"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项目属性</w:t>
            </w:r>
          </w:p>
        </w:tc>
        <w:tc>
          <w:tcPr>
            <w:tcW w:w="7219" w:type="dxa"/>
            <w:vAlign w:val="center"/>
          </w:tcPr>
          <w:p>
            <w:pPr>
              <w:pStyle w:val="23"/>
              <w:rPr>
                <w:rFonts w:ascii="仿宋" w:hAnsi="仿宋" w:cs="Courier New"/>
                <w:color w:val="000000"/>
                <w:sz w:val="24"/>
                <w:szCs w:val="24"/>
              </w:rPr>
            </w:pPr>
            <w:r>
              <w:rPr>
                <w:rFonts w:hint="eastAsia" w:ascii="仿宋" w:hAnsi="仿宋" w:cs="Courier New"/>
                <w:color w:val="000000"/>
                <w:sz w:val="24"/>
                <w:szCs w:val="24"/>
              </w:rPr>
              <w:t>货物招标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17</w:t>
            </w:r>
          </w:p>
        </w:tc>
        <w:tc>
          <w:tcPr>
            <w:tcW w:w="1494"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所属行业</w:t>
            </w:r>
          </w:p>
        </w:tc>
        <w:tc>
          <w:tcPr>
            <w:tcW w:w="7219" w:type="dxa"/>
            <w:vAlign w:val="center"/>
          </w:tcPr>
          <w:p>
            <w:pPr>
              <w:pStyle w:val="23"/>
              <w:rPr>
                <w:rFonts w:ascii="仿宋" w:hAnsi="仿宋" w:cs="Courier New"/>
                <w:color w:val="000000"/>
                <w:sz w:val="24"/>
                <w:szCs w:val="24"/>
              </w:rPr>
            </w:pPr>
            <w:r>
              <w:rPr>
                <w:rFonts w:hint="eastAsia" w:ascii="仿宋" w:hAnsi="仿宋" w:cs="Courier New"/>
                <w:color w:val="000000"/>
                <w:sz w:val="24"/>
                <w:szCs w:val="24"/>
              </w:rPr>
              <w:t>所有标的所属行业为工业。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18</w:t>
            </w:r>
          </w:p>
        </w:tc>
        <w:tc>
          <w:tcPr>
            <w:tcW w:w="1494" w:type="dxa"/>
            <w:vAlign w:val="center"/>
          </w:tcPr>
          <w:p>
            <w:r>
              <w:rPr>
                <w:rFonts w:hint="eastAsia" w:ascii="宋体" w:hAnsi="宋体" w:cs="宋体"/>
                <w:b/>
                <w:bCs/>
                <w:sz w:val="24"/>
                <w:szCs w:val="24"/>
              </w:rPr>
              <w:t>核心产品</w:t>
            </w:r>
          </w:p>
        </w:tc>
        <w:tc>
          <w:tcPr>
            <w:tcW w:w="7219" w:type="dxa"/>
            <w:vAlign w:val="center"/>
          </w:tcPr>
          <w:p>
            <w:pPr>
              <w:spacing w:line="560" w:lineRule="exact"/>
              <w:jc w:val="left"/>
              <w:rPr>
                <w:rFonts w:ascii="宋体" w:hAnsi="宋体" w:cs="宋体"/>
                <w:sz w:val="24"/>
                <w:szCs w:val="24"/>
              </w:rPr>
            </w:pPr>
            <w:r>
              <w:rPr>
                <w:rFonts w:hint="eastAsia" w:ascii="宋体" w:hAnsi="宋体" w:cs="宋体"/>
                <w:b/>
                <w:bCs/>
                <w:sz w:val="24"/>
                <w:szCs w:val="24"/>
              </w:rPr>
              <w:t>智慧黑板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19</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是否专门面向中小企业</w:t>
            </w:r>
          </w:p>
        </w:tc>
        <w:tc>
          <w:tcPr>
            <w:tcW w:w="7219" w:type="dxa"/>
            <w:vAlign w:val="center"/>
          </w:tcPr>
          <w:p>
            <w:pPr>
              <w:ind w:right="158" w:rightChars="75"/>
              <w:rPr>
                <w:sz w:val="24"/>
                <w:szCs w:val="24"/>
              </w:rPr>
            </w:pPr>
            <w:r>
              <w:rPr>
                <w:rFonts w:hint="eastAsia"/>
                <w:sz w:val="24"/>
                <w:szCs w:val="24"/>
              </w:rPr>
              <w:t>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20</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是否允许大中企业</w:t>
            </w:r>
          </w:p>
          <w:p>
            <w:pPr>
              <w:spacing w:line="360" w:lineRule="auto"/>
              <w:jc w:val="center"/>
              <w:rPr>
                <w:rFonts w:ascii="宋体" w:hAnsi="宋体" w:cs="宋体"/>
                <w:sz w:val="24"/>
                <w:szCs w:val="24"/>
                <w:lang w:val="zh-CN"/>
              </w:rPr>
            </w:pPr>
            <w:r>
              <w:rPr>
                <w:rFonts w:hint="eastAsia" w:ascii="宋体" w:hAnsi="宋体" w:cs="宋体"/>
                <w:sz w:val="24"/>
                <w:szCs w:val="24"/>
                <w:lang w:val="zh-CN"/>
              </w:rPr>
              <w:t>向小微企业分包</w:t>
            </w:r>
          </w:p>
        </w:tc>
        <w:tc>
          <w:tcPr>
            <w:tcW w:w="7219" w:type="dxa"/>
            <w:vAlign w:val="center"/>
          </w:tcPr>
          <w:p>
            <w:pPr>
              <w:spacing w:line="360" w:lineRule="auto"/>
              <w:jc w:val="left"/>
              <w:rPr>
                <w:rFonts w:ascii="宋体" w:hAnsi="宋体" w:cs="宋体"/>
                <w:sz w:val="24"/>
                <w:szCs w:val="24"/>
              </w:rPr>
            </w:pPr>
            <w:r>
              <w:rPr>
                <w:rFonts w:hint="eastAsia" w:ascii="宋体" w:hAnsi="宋体" w:cs="宋体"/>
                <w:sz w:val="24"/>
                <w:szCs w:val="24"/>
              </w:rPr>
              <w:t>否</w:t>
            </w:r>
          </w:p>
          <w:p>
            <w:pPr>
              <w:spacing w:line="360" w:lineRule="auto"/>
              <w:jc w:val="left"/>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21</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供应商</w:t>
            </w:r>
          </w:p>
          <w:p>
            <w:pPr>
              <w:spacing w:line="360" w:lineRule="auto"/>
              <w:jc w:val="center"/>
              <w:rPr>
                <w:rFonts w:ascii="宋体" w:hAnsi="宋体" w:cs="宋体"/>
                <w:sz w:val="24"/>
                <w:szCs w:val="24"/>
                <w:lang w:val="zh-CN"/>
              </w:rPr>
            </w:pPr>
            <w:r>
              <w:rPr>
                <w:rFonts w:hint="eastAsia" w:ascii="宋体" w:hAnsi="宋体" w:cs="宋体"/>
                <w:sz w:val="24"/>
                <w:szCs w:val="24"/>
                <w:lang w:val="zh-CN"/>
              </w:rPr>
              <w:t>提出质疑的时间、形式</w:t>
            </w:r>
          </w:p>
        </w:tc>
        <w:tc>
          <w:tcPr>
            <w:tcW w:w="7219" w:type="dxa"/>
            <w:vAlign w:val="center"/>
          </w:tcPr>
          <w:p>
            <w:pPr>
              <w:spacing w:line="360" w:lineRule="auto"/>
              <w:jc w:val="left"/>
              <w:rPr>
                <w:rFonts w:ascii="宋体" w:hAnsi="宋体" w:cs="宋体"/>
                <w:sz w:val="24"/>
                <w:szCs w:val="24"/>
                <w:lang w:val="zh-CN"/>
              </w:rPr>
            </w:pPr>
            <w:r>
              <w:rPr>
                <w:rFonts w:hint="eastAsia" w:ascii="宋体" w:hAnsi="宋体" w:cs="宋体"/>
                <w:sz w:val="24"/>
                <w:szCs w:val="24"/>
                <w:lang w:val="zh-CN"/>
              </w:rPr>
              <w:t>时间：供应商认为采购文件、采购过程和中标、成交结果使自己的权益受到损害的，可以在知道或者应知其权益受到损害之日起七个工作日内，超过期限的采购人或采购代理机构不再受理</w:t>
            </w:r>
          </w:p>
          <w:p>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p>
            <w:pPr>
              <w:spacing w:line="360" w:lineRule="auto"/>
              <w:jc w:val="left"/>
            </w:pPr>
            <w:r>
              <w:rPr>
                <w:rFonts w:hint="eastAsia" w:ascii="宋体" w:hAnsi="宋体" w:cs="宋体"/>
                <w:sz w:val="24"/>
                <w:szCs w:val="24"/>
              </w:rPr>
              <w:t>环节：</w:t>
            </w:r>
            <w:r>
              <w:rPr>
                <w:rFonts w:hint="eastAsia" w:ascii="宋体" w:hAnsi="宋体" w:cs="宋体"/>
                <w:sz w:val="24"/>
                <w:szCs w:val="24"/>
                <w:lang w:val="zh-CN"/>
              </w:rPr>
              <w:t>供应商应当在法定质疑期内一次性提出针对同一采购程序环节的质疑。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22</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对供应商提出质疑</w:t>
            </w:r>
          </w:p>
          <w:p>
            <w:pPr>
              <w:spacing w:line="360" w:lineRule="auto"/>
              <w:jc w:val="center"/>
              <w:rPr>
                <w:rFonts w:ascii="宋体" w:hAnsi="宋体" w:cs="宋体"/>
                <w:sz w:val="24"/>
                <w:szCs w:val="24"/>
                <w:lang w:val="zh-CN"/>
              </w:rPr>
            </w:pPr>
            <w:r>
              <w:rPr>
                <w:rFonts w:hint="eastAsia" w:ascii="宋体" w:hAnsi="宋体" w:cs="宋体"/>
                <w:sz w:val="24"/>
                <w:szCs w:val="24"/>
                <w:lang w:val="zh-CN"/>
              </w:rPr>
              <w:t>答复时间、形式</w:t>
            </w:r>
          </w:p>
        </w:tc>
        <w:tc>
          <w:tcPr>
            <w:tcW w:w="7219" w:type="dxa"/>
            <w:vAlign w:val="center"/>
          </w:tcPr>
          <w:p>
            <w:pPr>
              <w:spacing w:line="360" w:lineRule="auto"/>
              <w:jc w:val="left"/>
              <w:rPr>
                <w:rFonts w:ascii="宋体" w:hAnsi="宋体" w:cs="宋体"/>
                <w:sz w:val="24"/>
                <w:szCs w:val="24"/>
                <w:lang w:val="zh-CN"/>
              </w:rPr>
            </w:pPr>
            <w:r>
              <w:rPr>
                <w:rFonts w:hint="eastAsia" w:ascii="宋体" w:hAnsi="宋体" w:cs="宋体"/>
                <w:sz w:val="24"/>
                <w:szCs w:val="24"/>
                <w:lang w:val="zh-CN"/>
              </w:rPr>
              <w:t>时间：自收到供应商质疑函之日起7个工作日内</w:t>
            </w:r>
          </w:p>
          <w:p>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23</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供应商信用信息</w:t>
            </w:r>
          </w:p>
          <w:p>
            <w:pPr>
              <w:spacing w:line="360" w:lineRule="auto"/>
              <w:jc w:val="center"/>
              <w:rPr>
                <w:rFonts w:ascii="宋体" w:hAnsi="宋体" w:cs="宋体"/>
                <w:sz w:val="24"/>
                <w:szCs w:val="24"/>
                <w:lang w:val="zh-CN"/>
              </w:rPr>
            </w:pPr>
            <w:r>
              <w:rPr>
                <w:rFonts w:hint="eastAsia" w:ascii="宋体" w:hAnsi="宋体" w:cs="宋体"/>
                <w:sz w:val="24"/>
                <w:szCs w:val="24"/>
                <w:lang w:val="zh-CN"/>
              </w:rPr>
              <w:t>查询截止时点</w:t>
            </w:r>
          </w:p>
        </w:tc>
        <w:tc>
          <w:tcPr>
            <w:tcW w:w="7219" w:type="dxa"/>
            <w:vAlign w:val="center"/>
          </w:tcPr>
          <w:p>
            <w:pPr>
              <w:spacing w:line="360" w:lineRule="auto"/>
              <w:rPr>
                <w:rFonts w:ascii="宋体" w:hAnsi="宋体" w:cs="宋体"/>
                <w:sz w:val="24"/>
                <w:szCs w:val="24"/>
                <w:lang w:val="zh-CN"/>
              </w:rPr>
            </w:pPr>
            <w:r>
              <w:rPr>
                <w:rFonts w:hint="eastAsia" w:ascii="宋体" w:hAnsi="宋体" w:cs="宋体"/>
                <w:sz w:val="24"/>
                <w:szCs w:val="24"/>
              </w:rPr>
              <w:t>投标文件递交截止日，由采购人和采购代理机构共同查询。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24</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非实质性偏离</w:t>
            </w:r>
          </w:p>
        </w:tc>
        <w:tc>
          <w:tcPr>
            <w:tcW w:w="7219" w:type="dxa"/>
            <w:vAlign w:val="center"/>
          </w:tcPr>
          <w:p>
            <w:pPr>
              <w:spacing w:line="360" w:lineRule="auto"/>
              <w:rPr>
                <w:rFonts w:ascii="宋体" w:hAnsi="宋体" w:cs="宋体"/>
                <w:sz w:val="24"/>
                <w:szCs w:val="24"/>
              </w:rPr>
            </w:pPr>
            <w:r>
              <w:rPr>
                <w:rFonts w:hint="eastAsia"/>
                <w:szCs w:val="21"/>
                <w:lang w:val="zh-CN"/>
              </w:rPr>
              <w:t>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25</w:t>
            </w:r>
          </w:p>
        </w:tc>
        <w:tc>
          <w:tcPr>
            <w:tcW w:w="1494" w:type="dxa"/>
            <w:vAlign w:val="center"/>
          </w:tcPr>
          <w:p>
            <w:pPr>
              <w:pStyle w:val="13"/>
              <w:spacing w:line="336" w:lineRule="auto"/>
              <w:jc w:val="left"/>
              <w:rPr>
                <w:rFonts w:hAnsi="宋体" w:cs="宋体"/>
                <w:sz w:val="24"/>
                <w:szCs w:val="24"/>
                <w:lang w:val="zh-CN"/>
              </w:rPr>
            </w:pPr>
            <w:r>
              <w:rPr>
                <w:rFonts w:hint="eastAsia" w:ascii="仿宋" w:hAnsi="仿宋"/>
                <w:color w:val="000000"/>
                <w:sz w:val="24"/>
                <w:szCs w:val="24"/>
              </w:rPr>
              <w:t>其他</w:t>
            </w:r>
          </w:p>
        </w:tc>
        <w:tc>
          <w:tcPr>
            <w:tcW w:w="7219" w:type="dxa"/>
            <w:vAlign w:val="center"/>
          </w:tcPr>
          <w:p>
            <w:pPr>
              <w:pStyle w:val="13"/>
              <w:spacing w:line="336" w:lineRule="auto"/>
              <w:jc w:val="left"/>
              <w:rPr>
                <w:highlight w:val="yellow"/>
                <w:lang w:val="zh-CN"/>
              </w:rPr>
            </w:pPr>
            <w:r>
              <w:rPr>
                <w:rFonts w:hint="eastAsia" w:ascii="仿宋" w:hAnsi="仿宋"/>
                <w:color w:val="000000"/>
                <w:sz w:val="24"/>
                <w:szCs w:val="24"/>
              </w:rPr>
              <w:t>正文与前附表表述不一致时，以供应商须知前附表为准</w:t>
            </w:r>
          </w:p>
        </w:tc>
      </w:tr>
    </w:tbl>
    <w:p>
      <w:pPr>
        <w:pStyle w:val="3"/>
        <w:keepLines w:val="0"/>
        <w:spacing w:before="312" w:beforeLines="100" w:after="312" w:afterLines="100" w:line="500" w:lineRule="exact"/>
        <w:rPr>
          <w:rFonts w:ascii="宋体" w:hAnsi="宋体" w:cs="宋体"/>
          <w:sz w:val="36"/>
          <w:szCs w:val="36"/>
        </w:rPr>
      </w:pPr>
      <w:bookmarkStart w:id="7" w:name="_Toc10320"/>
      <w:bookmarkStart w:id="8" w:name="_Toc19272"/>
      <w:r>
        <w:rPr>
          <w:rFonts w:hint="eastAsia" w:ascii="宋体" w:hAnsi="宋体" w:cs="宋体"/>
          <w:sz w:val="36"/>
          <w:szCs w:val="36"/>
        </w:rPr>
        <w:t>第三部分  供应商须知</w:t>
      </w:r>
      <w:bookmarkEnd w:id="7"/>
      <w:bookmarkEnd w:id="8"/>
    </w:p>
    <w:p>
      <w:pPr>
        <w:pStyle w:val="4"/>
        <w:ind w:firstLine="562" w:firstLineChars="200"/>
        <w:jc w:val="center"/>
        <w:rPr>
          <w:rFonts w:ascii="宋体" w:hAnsi="宋体" w:cs="宋体"/>
        </w:rPr>
      </w:pPr>
      <w:bookmarkStart w:id="9" w:name="_Toc9958"/>
      <w:bookmarkStart w:id="10" w:name="_Toc26739"/>
      <w:r>
        <w:rPr>
          <w:rFonts w:hint="eastAsia" w:ascii="宋体" w:hAnsi="宋体" w:cs="宋体"/>
        </w:rPr>
        <w:t>一、总 则</w:t>
      </w:r>
      <w:bookmarkEnd w:id="9"/>
      <w:bookmarkEnd w:id="10"/>
    </w:p>
    <w:p>
      <w:pPr>
        <w:pStyle w:val="5"/>
        <w:numPr>
          <w:ilvl w:val="0"/>
          <w:numId w:val="10"/>
        </w:numPr>
        <w:spacing w:line="500" w:lineRule="exact"/>
        <w:ind w:firstLine="562" w:firstLineChars="200"/>
        <w:rPr>
          <w:rFonts w:ascii="宋体" w:hAnsi="宋体" w:cs="宋体"/>
          <w:szCs w:val="28"/>
        </w:rPr>
      </w:pPr>
      <w:bookmarkStart w:id="11" w:name="_Toc380336725"/>
      <w:bookmarkStart w:id="12" w:name="_Toc358364319"/>
      <w:bookmarkStart w:id="13" w:name="_Toc9257"/>
      <w:bookmarkStart w:id="14" w:name="_Toc6742"/>
      <w:r>
        <w:rPr>
          <w:rFonts w:hint="eastAsia" w:ascii="宋体" w:hAnsi="宋体" w:cs="宋体"/>
          <w:szCs w:val="28"/>
        </w:rPr>
        <w:t>适用范围</w:t>
      </w:r>
      <w:bookmarkEnd w:id="11"/>
      <w:bookmarkEnd w:id="12"/>
      <w:bookmarkEnd w:id="13"/>
      <w:bookmarkEnd w:id="14"/>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 本招标文件适用于本次招标活动的全过程。</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 本次采购属政府采购，采购人、采购代理机构、供应商、评标委员会的相关行为均受《中华人民共和国政府采购法》及实施条例、财政部规章及政府采购项目所在地有关法规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5"/>
        <w:numPr>
          <w:ilvl w:val="0"/>
          <w:numId w:val="10"/>
        </w:numPr>
        <w:spacing w:line="500" w:lineRule="exact"/>
        <w:ind w:firstLine="562" w:firstLineChars="200"/>
        <w:rPr>
          <w:rFonts w:ascii="宋体" w:hAnsi="宋体" w:cs="宋体"/>
          <w:szCs w:val="28"/>
        </w:rPr>
      </w:pPr>
      <w:bookmarkStart w:id="15" w:name="_Toc17676"/>
      <w:bookmarkStart w:id="16" w:name="_Toc358364321"/>
      <w:bookmarkStart w:id="17" w:name="_Toc23781"/>
      <w:bookmarkStart w:id="18" w:name="_Toc380336727"/>
      <w:r>
        <w:rPr>
          <w:rFonts w:hint="eastAsia" w:ascii="宋体" w:hAnsi="宋体" w:cs="宋体"/>
          <w:szCs w:val="28"/>
        </w:rPr>
        <w:t>合格的</w:t>
      </w:r>
      <w:bookmarkEnd w:id="15"/>
      <w:bookmarkEnd w:id="16"/>
      <w:bookmarkEnd w:id="17"/>
      <w:bookmarkEnd w:id="18"/>
      <w:r>
        <w:rPr>
          <w:rFonts w:hint="eastAsia" w:ascii="宋体" w:hAnsi="宋体" w:cs="宋体"/>
          <w:szCs w:val="28"/>
        </w:rPr>
        <w:t>供应商</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2.1供应商应遵守有关的国家法律、法规和条例，具备《中华人民共和国政府采购法》和本文件中规定的条件：</w:t>
      </w:r>
    </w:p>
    <w:p>
      <w:pPr>
        <w:numPr>
          <w:ilvl w:val="0"/>
          <w:numId w:val="11"/>
        </w:numPr>
        <w:spacing w:line="500" w:lineRule="exact"/>
        <w:ind w:firstLine="480" w:firstLineChars="200"/>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11"/>
        </w:numPr>
        <w:spacing w:line="500" w:lineRule="exact"/>
        <w:ind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11"/>
        </w:numPr>
        <w:spacing w:line="500" w:lineRule="exact"/>
        <w:ind w:firstLine="480" w:firstLineChars="200"/>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11"/>
        </w:numPr>
        <w:spacing w:line="500" w:lineRule="exact"/>
        <w:ind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11"/>
        </w:numPr>
        <w:spacing w:line="500" w:lineRule="exact"/>
        <w:ind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11"/>
        </w:numPr>
        <w:spacing w:line="500" w:lineRule="exact"/>
        <w:ind w:firstLine="480" w:firstLineChars="200"/>
        <w:jc w:val="left"/>
        <w:rPr>
          <w:rFonts w:ascii="宋体" w:hAnsi="宋体" w:cs="宋体"/>
          <w:sz w:val="24"/>
          <w:szCs w:val="24"/>
        </w:rPr>
      </w:pPr>
      <w:r>
        <w:rPr>
          <w:rFonts w:hint="eastAsia" w:ascii="宋体" w:hAnsi="宋体" w:cs="宋体"/>
          <w:sz w:val="24"/>
          <w:szCs w:val="24"/>
        </w:rPr>
        <w:t>法律、行政法规规定的其他条件。</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2.2供应商应独立于采购人，不得直接或间接地与采购人为采购本次招标的货物进行设计、编制技术规格和其它文件所委托的咨询公司或其附属机构有任何关联。</w:t>
      </w:r>
    </w:p>
    <w:p>
      <w:pPr>
        <w:tabs>
          <w:tab w:val="left" w:pos="0"/>
        </w:tabs>
        <w:spacing w:line="500" w:lineRule="exact"/>
        <w:ind w:left="420" w:leftChars="200"/>
        <w:jc w:val="left"/>
        <w:rPr>
          <w:rFonts w:ascii="宋体" w:hAnsi="宋体" w:cs="宋体"/>
          <w:kern w:val="0"/>
          <w:sz w:val="24"/>
          <w:szCs w:val="24"/>
        </w:rPr>
      </w:pPr>
      <w:r>
        <w:rPr>
          <w:rFonts w:hint="eastAsia" w:ascii="宋体" w:hAnsi="宋体" w:cs="宋体"/>
          <w:kern w:val="0"/>
          <w:sz w:val="24"/>
          <w:szCs w:val="24"/>
        </w:rPr>
        <w:t>2.3供应商存在下列情形之一，其投标文件按无效文件处理。</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（1）与采购人采购代理机构存在隶属关系或者其他利害关系；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（2）与参与同一合同项下的其他供应商的法定代表人（或者负责人）为同一人，或者与其他供应商存在直接控股、管理关系；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（3）</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pPr>
        <w:tabs>
          <w:tab w:val="left" w:pos="0"/>
        </w:tabs>
        <w:spacing w:line="50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4）在投标截止日前被列入失信被执行人、重大税收违法案件当事人名单、政府采购严重违法失信行为记录名单（处罚期限届满的除外）（以信用中国网（www.creditchina.gov.cn）、中国政府采购网（www.ccgp.gov.cn）查询结果为准。</w:t>
      </w:r>
    </w:p>
    <w:p>
      <w:pPr>
        <w:pStyle w:val="5"/>
        <w:numPr>
          <w:ilvl w:val="0"/>
          <w:numId w:val="10"/>
        </w:numPr>
        <w:spacing w:line="500" w:lineRule="exact"/>
        <w:ind w:firstLine="562" w:firstLineChars="200"/>
        <w:rPr>
          <w:rFonts w:ascii="宋体" w:hAnsi="宋体" w:cs="宋体"/>
          <w:szCs w:val="28"/>
        </w:rPr>
      </w:pPr>
      <w:bookmarkStart w:id="19" w:name="_Toc358364322"/>
      <w:bookmarkStart w:id="20" w:name="_Toc380336728"/>
      <w:bookmarkStart w:id="21" w:name="_Toc22444"/>
      <w:bookmarkStart w:id="22" w:name="_Toc540"/>
      <w:r>
        <w:rPr>
          <w:rFonts w:hint="eastAsia" w:ascii="宋体" w:hAnsi="宋体" w:cs="宋体"/>
          <w:szCs w:val="28"/>
        </w:rPr>
        <w:t>费用</w:t>
      </w:r>
      <w:bookmarkEnd w:id="19"/>
      <w:bookmarkEnd w:id="20"/>
      <w:bookmarkEnd w:id="21"/>
      <w:bookmarkEnd w:id="22"/>
    </w:p>
    <w:p>
      <w:pPr>
        <w:widowControl/>
        <w:spacing w:line="500" w:lineRule="exact"/>
        <w:ind w:firstLine="480" w:firstLineChars="200"/>
        <w:jc w:val="left"/>
        <w:rPr>
          <w:rFonts w:ascii="宋体" w:hAnsi="宋体" w:cs="宋体"/>
          <w:sz w:val="24"/>
          <w:szCs w:val="24"/>
        </w:rPr>
      </w:pPr>
      <w:bookmarkStart w:id="23" w:name="_Toc5801"/>
      <w:bookmarkStart w:id="24" w:name="_Toc17817"/>
      <w:r>
        <w:rPr>
          <w:rFonts w:hint="eastAsia" w:ascii="宋体" w:hAnsi="宋体" w:cs="宋体"/>
          <w:sz w:val="24"/>
          <w:szCs w:val="24"/>
        </w:rPr>
        <w:t>供应商必须从代理机构购买招标文件，供应商自行转让或复制招标文件视为无效。招标文件一经售出，一律不退，仅作为本次公开招标使用。</w:t>
      </w:r>
    </w:p>
    <w:p>
      <w:pPr>
        <w:spacing w:line="360" w:lineRule="auto"/>
        <w:ind w:firstLine="480" w:firstLineChars="200"/>
        <w:jc w:val="left"/>
        <w:rPr>
          <w:rFonts w:ascii="宋体" w:hAnsi="宋体" w:cs="宋体"/>
          <w:sz w:val="24"/>
        </w:rPr>
      </w:pPr>
      <w:r>
        <w:rPr>
          <w:rFonts w:hint="eastAsia" w:ascii="宋体" w:hAnsi="宋体" w:cs="宋体"/>
          <w:sz w:val="24"/>
        </w:rPr>
        <w:t>无论投标过程和结果如何，供应商自行承担与投标有关的全部费用。</w:t>
      </w:r>
    </w:p>
    <w:p>
      <w:pPr>
        <w:pStyle w:val="5"/>
        <w:numPr>
          <w:ilvl w:val="0"/>
          <w:numId w:val="10"/>
        </w:numPr>
        <w:spacing w:line="500" w:lineRule="exact"/>
        <w:ind w:firstLine="562" w:firstLineChars="200"/>
        <w:rPr>
          <w:rFonts w:ascii="宋体" w:hAnsi="宋体" w:cs="宋体"/>
          <w:szCs w:val="28"/>
        </w:rPr>
      </w:pPr>
      <w:r>
        <w:rPr>
          <w:rFonts w:hint="eastAsia" w:ascii="宋体" w:hAnsi="宋体" w:cs="宋体"/>
          <w:szCs w:val="28"/>
        </w:rPr>
        <w:t>实质性偏离</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投标文件应当对招标文件实质性要求和条件作出满足性或有利于采购人的响应，否则，供应商的投标无效。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偏离是指投标文件不响应或者不满足招标文件提出的要求和条件，分为实质性偏离和非实质性偏离。</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除法律、法规和招标文件规定的其他投标无效情形外，招标文件中用“★”符号标明的条款为实质性要求和条件，投标文件对其中任何一条的偏离，为实质性偏离，其投标无效。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投标文件偏离招标文件的非实质性要求和条件，为非实质性偏离。非实质性偏离的范围和项数应当符合投标须知前附表的规定，超出偏离范围和最高项数的投标无效。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投标文件对招标文件的全部偏离，均应在投标文件商务条款偏离表和技术参数偏离表中列明，除列明的内容外，视为供应商响应招标文件的全部要求。</w:t>
      </w:r>
    </w:p>
    <w:p>
      <w:pPr>
        <w:pStyle w:val="5"/>
        <w:numPr>
          <w:ilvl w:val="0"/>
          <w:numId w:val="10"/>
        </w:numPr>
        <w:spacing w:line="500" w:lineRule="exact"/>
        <w:ind w:firstLine="562" w:firstLineChars="200"/>
        <w:rPr>
          <w:rFonts w:ascii="宋体" w:hAnsi="宋体" w:cs="宋体"/>
          <w:szCs w:val="28"/>
        </w:rPr>
      </w:pPr>
      <w:bookmarkStart w:id="25" w:name="_Toc217446047"/>
      <w:r>
        <w:rPr>
          <w:rFonts w:hint="eastAsia" w:ascii="宋体" w:hAnsi="宋体" w:cs="宋体"/>
          <w:szCs w:val="28"/>
        </w:rPr>
        <w:t>知识产权</w:t>
      </w:r>
      <w:bookmarkEnd w:id="25"/>
    </w:p>
    <w:p>
      <w:pPr>
        <w:pStyle w:val="15"/>
        <w:spacing w:line="360" w:lineRule="auto"/>
        <w:ind w:left="0" w:leftChars="0" w:firstLine="480" w:firstLineChars="200"/>
        <w:rPr>
          <w:rFonts w:ascii="宋体" w:hAnsi="宋体" w:cs="宋体"/>
          <w:sz w:val="24"/>
          <w:szCs w:val="24"/>
        </w:rPr>
      </w:pPr>
      <w:r>
        <w:rPr>
          <w:rFonts w:hint="eastAsia" w:ascii="宋体" w:hAnsi="宋体" w:cs="宋体"/>
          <w:sz w:val="24"/>
          <w:szCs w:val="24"/>
        </w:rPr>
        <w:t>供应商应当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15"/>
        <w:spacing w:line="360" w:lineRule="auto"/>
        <w:ind w:left="0" w:leftChars="0" w:firstLine="480" w:firstLineChars="200"/>
        <w:rPr>
          <w:rFonts w:ascii="宋体" w:hAnsi="宋体" w:cs="宋体"/>
          <w:sz w:val="24"/>
          <w:szCs w:val="24"/>
        </w:rPr>
      </w:pPr>
      <w:r>
        <w:rPr>
          <w:rFonts w:hint="eastAsia" w:ascii="宋体" w:hAnsi="宋体" w:cs="宋体"/>
          <w:sz w:val="24"/>
          <w:szCs w:val="24"/>
        </w:rPr>
        <w:t>采购人享有本项目实施过程中产生的知识成果及知识产权。</w:t>
      </w:r>
    </w:p>
    <w:p>
      <w:pPr>
        <w:spacing w:line="360" w:lineRule="auto"/>
        <w:ind w:firstLine="480" w:firstLineChars="200"/>
        <w:rPr>
          <w:rFonts w:ascii="宋体" w:hAnsi="宋体" w:cs="宋体"/>
          <w:sz w:val="24"/>
          <w:szCs w:val="24"/>
        </w:rPr>
      </w:pPr>
      <w:r>
        <w:rPr>
          <w:rFonts w:hint="eastAsia" w:ascii="宋体" w:hAnsi="宋体" w:cs="宋体"/>
          <w:sz w:val="24"/>
          <w:szCs w:val="24"/>
        </w:rPr>
        <w:t>供应商如欲在项目实施过程中采用自有知识成果，需在投标文件中声明，并提供相关知识产权证明文件。使用该知识成果后，供应商需提供开发接口和开发手册等技术文档，并承诺提供无限期技术支持，采购人享有永久使用权。</w:t>
      </w:r>
    </w:p>
    <w:p>
      <w:pPr>
        <w:spacing w:line="360" w:lineRule="auto"/>
        <w:ind w:firstLine="480" w:firstLineChars="200"/>
        <w:rPr>
          <w:rFonts w:ascii="宋体" w:hAnsi="宋体" w:cs="宋体"/>
          <w:sz w:val="24"/>
          <w:szCs w:val="24"/>
        </w:rPr>
      </w:pPr>
      <w:r>
        <w:rPr>
          <w:rFonts w:hint="eastAsia" w:ascii="宋体" w:hAnsi="宋体" w:cs="宋体"/>
          <w:sz w:val="24"/>
          <w:szCs w:val="24"/>
        </w:rPr>
        <w:t>如采用供应商所不拥有的知识产权，则在投标报价中必须包括合法获取该知识产权的相关费用。</w:t>
      </w:r>
    </w:p>
    <w:p>
      <w:pPr>
        <w:pStyle w:val="9"/>
      </w:pPr>
    </w:p>
    <w:p>
      <w:pPr>
        <w:pStyle w:val="9"/>
      </w:pPr>
    </w:p>
    <w:bookmarkEnd w:id="23"/>
    <w:bookmarkEnd w:id="24"/>
    <w:p>
      <w:pPr>
        <w:spacing w:line="360" w:lineRule="auto"/>
        <w:jc w:val="left"/>
        <w:rPr>
          <w:rFonts w:ascii="宋体" w:hAnsi="宋体" w:cs="宋体"/>
          <w:kern w:val="0"/>
          <w:sz w:val="24"/>
          <w:szCs w:val="24"/>
        </w:rPr>
      </w:pPr>
      <w:bookmarkStart w:id="26" w:name="_Toc7144"/>
    </w:p>
    <w:p>
      <w:pPr>
        <w:rPr>
          <w:rFonts w:ascii="宋体" w:hAnsi="宋体" w:cs="宋体"/>
        </w:rPr>
      </w:pPr>
      <w:r>
        <w:rPr>
          <w:rFonts w:hint="eastAsia" w:ascii="宋体" w:hAnsi="宋体" w:cs="宋体"/>
        </w:rPr>
        <w:br w:type="page"/>
      </w:r>
    </w:p>
    <w:p>
      <w:pPr>
        <w:pStyle w:val="4"/>
        <w:numPr>
          <w:ilvl w:val="0"/>
          <w:numId w:val="12"/>
        </w:numPr>
        <w:jc w:val="center"/>
        <w:rPr>
          <w:rFonts w:ascii="宋体" w:hAnsi="宋体" w:cs="宋体"/>
          <w:sz w:val="36"/>
          <w:szCs w:val="28"/>
        </w:rPr>
      </w:pPr>
      <w:bookmarkStart w:id="27" w:name="_Toc22881"/>
      <w:r>
        <w:rPr>
          <w:rFonts w:hint="eastAsia" w:ascii="宋体" w:hAnsi="宋体" w:cs="宋体"/>
          <w:sz w:val="36"/>
          <w:szCs w:val="28"/>
        </w:rPr>
        <w:t>招标文件</w:t>
      </w:r>
      <w:bookmarkEnd w:id="26"/>
      <w:bookmarkEnd w:id="27"/>
    </w:p>
    <w:p>
      <w:pPr>
        <w:pStyle w:val="5"/>
        <w:keepNext w:val="0"/>
        <w:keepLines w:val="0"/>
        <w:numPr>
          <w:ilvl w:val="0"/>
          <w:numId w:val="13"/>
        </w:numPr>
        <w:spacing w:line="500" w:lineRule="exact"/>
        <w:ind w:firstLine="562" w:firstLineChars="200"/>
        <w:rPr>
          <w:rFonts w:ascii="宋体" w:hAnsi="宋体" w:cs="宋体"/>
          <w:szCs w:val="28"/>
        </w:rPr>
      </w:pPr>
      <w:r>
        <w:rPr>
          <w:rFonts w:hint="eastAsia" w:ascii="宋体" w:hAnsi="宋体" w:cs="宋体"/>
          <w:szCs w:val="28"/>
        </w:rPr>
        <w:t>招标文件的构成</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1.1 招标文件是供应商准备投标文件和参加投标的依据，同时也是评标的重要依据，具有准法律文件性质。本招标文件包括以下内容：</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公开招标公告；</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供应商须知前附表；</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供应商须知；</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评标方法；</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采购要求；</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合同条款；</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投标文件格式。</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color w:val="000000"/>
          <w:sz w:val="24"/>
          <w:szCs w:val="24"/>
        </w:rPr>
        <w:t>1.2</w:t>
      </w:r>
      <w:r>
        <w:rPr>
          <w:rFonts w:hint="eastAsia" w:ascii="宋体" w:hAnsi="宋体" w:cs="宋体"/>
          <w:sz w:val="24"/>
          <w:szCs w:val="24"/>
        </w:rPr>
        <w:t>供应商应认真阅读招标文件中所有的条款、事项、格式和技术规范、参数及要求等。供应商没有按照招标文件要求提交全部资料，或者没有对招标文件在各方面都</w:t>
      </w:r>
      <w:r>
        <w:rPr>
          <w:rFonts w:hint="eastAsia" w:ascii="宋体" w:hAnsi="宋体" w:cs="宋体"/>
          <w:sz w:val="24"/>
          <w:szCs w:val="24"/>
          <w:lang w:eastAsia="zh-CN"/>
        </w:rPr>
        <w:t>作出</w:t>
      </w:r>
      <w:r>
        <w:rPr>
          <w:rFonts w:hint="eastAsia" w:ascii="宋体" w:hAnsi="宋体" w:cs="宋体"/>
          <w:sz w:val="24"/>
          <w:szCs w:val="24"/>
        </w:rPr>
        <w:t>实质性响应，将导致其投标被拒绝或被认定为无效投标。</w:t>
      </w:r>
    </w:p>
    <w:p>
      <w:pPr>
        <w:pStyle w:val="5"/>
        <w:keepNext w:val="0"/>
        <w:keepLines w:val="0"/>
        <w:numPr>
          <w:ilvl w:val="0"/>
          <w:numId w:val="13"/>
        </w:numPr>
        <w:spacing w:line="500" w:lineRule="exact"/>
        <w:ind w:firstLine="562" w:firstLineChars="200"/>
        <w:rPr>
          <w:rFonts w:ascii="宋体" w:hAnsi="宋体" w:cs="宋体"/>
          <w:szCs w:val="28"/>
        </w:rPr>
      </w:pPr>
      <w:bookmarkStart w:id="28" w:name="_Toc19797"/>
      <w:r>
        <w:rPr>
          <w:rFonts w:hint="eastAsia" w:ascii="宋体" w:hAnsi="宋体" w:cs="宋体"/>
          <w:szCs w:val="28"/>
        </w:rPr>
        <w:t>招标文件的澄清</w:t>
      </w:r>
      <w:bookmarkEnd w:id="28"/>
    </w:p>
    <w:p>
      <w:pPr>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2.1 供应商应认真阅读和充分理解招标文件中所有的事项，如有问题或疑义请及时函告。否则，视为同意招标文件的一切条款和要求并承担由此引起的一切法律责任。凡因供应商对招标文件阅读不深、理解不透、误解、疏漏、或因市场行情了解不清造成的后果和风险均由供应商自行承担。</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2.2 任何对招标文件进行询问或要求进行澄清的供应商，均应在收到招标文件后七个工作日内按公开招标文件中的通讯地址以书面形式递交代理机构，采购人或代理机构对收到的任何询问或澄清要求将作出书面答复。</w:t>
      </w:r>
    </w:p>
    <w:p>
      <w:pPr>
        <w:pStyle w:val="5"/>
        <w:keepNext w:val="0"/>
        <w:keepLines w:val="0"/>
        <w:numPr>
          <w:ilvl w:val="0"/>
          <w:numId w:val="13"/>
        </w:numPr>
        <w:spacing w:line="500" w:lineRule="exact"/>
        <w:ind w:firstLine="562" w:firstLineChars="200"/>
        <w:rPr>
          <w:rFonts w:ascii="宋体" w:hAnsi="宋体" w:cs="宋体"/>
          <w:szCs w:val="28"/>
        </w:rPr>
      </w:pPr>
      <w:bookmarkStart w:id="29" w:name="_Toc6390"/>
      <w:r>
        <w:rPr>
          <w:rFonts w:hint="eastAsia" w:ascii="宋体" w:hAnsi="宋体" w:cs="宋体"/>
          <w:szCs w:val="28"/>
        </w:rPr>
        <w:t>招标文件的修改</w:t>
      </w:r>
      <w:bookmarkEnd w:id="29"/>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3.1 在投标截止时间十五日前，无论出于何种原因，代理机构可主动地或在解答供应商提出的澄清问题时，对招标文件进行修改。招标文件的澄清和修改将以书面形式通知所有供应商，并作为招标文件的补充，与其具有同等法律效力。</w:t>
      </w:r>
    </w:p>
    <w:p>
      <w:pPr>
        <w:tabs>
          <w:tab w:val="left" w:pos="0"/>
        </w:tabs>
        <w:adjustRightInd w:val="0"/>
        <w:snapToGrid w:val="0"/>
        <w:spacing w:line="500" w:lineRule="exact"/>
        <w:ind w:firstLine="480" w:firstLineChars="200"/>
        <w:jc w:val="left"/>
        <w:rPr>
          <w:rFonts w:ascii="宋体" w:hAnsi="宋体" w:cs="宋体"/>
          <w:b/>
          <w:bCs/>
          <w:color w:val="FF0000"/>
          <w:sz w:val="24"/>
          <w:szCs w:val="24"/>
        </w:rPr>
      </w:pPr>
      <w:r>
        <w:rPr>
          <w:rFonts w:hint="eastAsia" w:ascii="宋体" w:hAnsi="宋体" w:cs="宋体"/>
          <w:sz w:val="24"/>
          <w:szCs w:val="24"/>
        </w:rPr>
        <w:t>3.2 为方便供应商对招标文件修改或澄清内容有充分的时间进行补充修改，代理机构可适当延长投标截止时间和开标时间，在招标文件要求提交投标文件的截止日期前，将变更时间书面通知所有购买招标文件的供应商。</w:t>
      </w:r>
    </w:p>
    <w:p>
      <w:pPr>
        <w:pStyle w:val="5"/>
        <w:numPr>
          <w:ilvl w:val="0"/>
          <w:numId w:val="13"/>
        </w:numPr>
        <w:spacing w:line="500" w:lineRule="exact"/>
        <w:ind w:firstLine="562" w:firstLineChars="200"/>
        <w:rPr>
          <w:rFonts w:ascii="宋体" w:hAnsi="宋体" w:cs="宋体"/>
          <w:szCs w:val="28"/>
        </w:rPr>
      </w:pPr>
      <w:bookmarkStart w:id="30" w:name="_Toc5095"/>
      <w:r>
        <w:rPr>
          <w:rFonts w:hint="eastAsia" w:ascii="宋体" w:hAnsi="宋体" w:cs="宋体"/>
          <w:szCs w:val="28"/>
        </w:rPr>
        <w:t>招标文件的解释权归代理机构</w:t>
      </w:r>
      <w:bookmarkEnd w:id="30"/>
    </w:p>
    <w:p>
      <w:pPr>
        <w:pStyle w:val="5"/>
        <w:numPr>
          <w:ilvl w:val="0"/>
          <w:numId w:val="13"/>
        </w:numPr>
        <w:spacing w:line="360" w:lineRule="auto"/>
        <w:ind w:firstLine="562" w:firstLineChars="200"/>
        <w:rPr>
          <w:rFonts w:ascii="宋体" w:hAnsi="宋体" w:cs="宋体"/>
          <w:szCs w:val="28"/>
        </w:rPr>
      </w:pPr>
      <w:r>
        <w:rPr>
          <w:rFonts w:hint="eastAsia" w:ascii="宋体" w:hAnsi="宋体" w:cs="宋体"/>
          <w:szCs w:val="28"/>
        </w:rPr>
        <w:t>落实的政府采购政策</w:t>
      </w:r>
    </w:p>
    <w:p>
      <w:pPr>
        <w:pStyle w:val="13"/>
        <w:adjustRightInd w:val="0"/>
        <w:snapToGrid w:val="0"/>
        <w:spacing w:line="360" w:lineRule="auto"/>
        <w:ind w:firstLine="480" w:firstLineChars="200"/>
        <w:rPr>
          <w:rFonts w:hAnsi="宋体" w:cs="宋体"/>
          <w:sz w:val="24"/>
          <w:szCs w:val="24"/>
        </w:rPr>
      </w:pPr>
      <w:r>
        <w:rPr>
          <w:rFonts w:hint="eastAsia" w:hAnsi="宋体" w:cs="宋体"/>
          <w:sz w:val="24"/>
          <w:szCs w:val="24"/>
        </w:rPr>
        <w:t>5.1节能产品、环境标志产品</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 供应商所投产品，将依据《节能产品、环境标志产品品目清单》和认证证书实施政府优先采购和强制采购。</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供应商可以提供所投产品经国家确定的认证机构出具的、处于有效期之内的节能产品、环境标志产品认证证书复印件。采购代理机构通过中国政府采购网（</w:t>
      </w:r>
      <w:r>
        <w:fldChar w:fldCharType="begin"/>
      </w:r>
      <w:r>
        <w:instrText xml:space="preserve"> HYPERLINK "http://www.ccgp.gov.cn/" </w:instrText>
      </w:r>
      <w:r>
        <w:fldChar w:fldCharType="separate"/>
      </w:r>
      <w:r>
        <w:rPr>
          <w:rFonts w:hint="eastAsia" w:ascii="宋体" w:hAnsi="宋体" w:cs="宋体"/>
          <w:sz w:val="24"/>
          <w:szCs w:val="24"/>
        </w:rPr>
        <w:t>http：//www.ccgp.gov.cn/</w:t>
      </w:r>
      <w:r>
        <w:rPr>
          <w:rFonts w:hint="eastAsia" w:ascii="宋体" w:hAnsi="宋体" w:cs="宋体"/>
          <w:sz w:val="24"/>
          <w:szCs w:val="24"/>
        </w:rPr>
        <w:fldChar w:fldCharType="end"/>
      </w:r>
      <w:r>
        <w:rPr>
          <w:rFonts w:hint="eastAsia" w:ascii="宋体" w:hAnsi="宋体" w:cs="宋体"/>
          <w:sz w:val="24"/>
          <w:szCs w:val="24"/>
        </w:rPr>
        <w:t>）对获证产品信息进行核对。</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5.2中小企业</w:t>
      </w:r>
    </w:p>
    <w:p>
      <w:pPr>
        <w:tabs>
          <w:tab w:val="left" w:pos="0"/>
        </w:tabs>
        <w:adjustRightInd w:val="0"/>
        <w:snapToGrid w:val="0"/>
        <w:spacing w:line="500" w:lineRule="exact"/>
        <w:ind w:firstLine="480" w:firstLineChars="200"/>
        <w:jc w:val="left"/>
        <w:rPr>
          <w:rFonts w:hint="eastAsia" w:ascii="宋体" w:hAnsi="宋体" w:cs="宋体"/>
          <w:sz w:val="24"/>
          <w:szCs w:val="24"/>
        </w:rPr>
      </w:pPr>
      <w:r>
        <w:rPr>
          <w:rFonts w:hint="eastAsia" w:ascii="宋体" w:hAnsi="宋体" w:cs="宋体"/>
          <w:sz w:val="24"/>
          <w:szCs w:val="24"/>
        </w:rPr>
        <w:t>如项目专门面向中小企业，在货物采购项目中，货物由中小企业制造，即货物由中小企业生产且使用该中小企业商号或者注册商标，无论供应商本身是否属于中小企业，视为中小企业；在工程采购项目中，工程由中小企业承建，即工程施工单位为中小企业；在服务采购项目中，服务由中小企业承接，视为中小企业。符合中小企业政策条件的供应商参加政府采购活动，应当提供《中小企业声明函》（见附件二）。</w:t>
      </w:r>
    </w:p>
    <w:p>
      <w:pPr>
        <w:tabs>
          <w:tab w:val="left" w:pos="0"/>
        </w:tabs>
        <w:adjustRightInd w:val="0"/>
        <w:snapToGrid w:val="0"/>
        <w:spacing w:line="500" w:lineRule="exact"/>
        <w:ind w:firstLine="480" w:firstLineChars="200"/>
        <w:jc w:val="left"/>
        <w:rPr>
          <w:rFonts w:hint="eastAsia" w:ascii="宋体" w:hAnsi="宋体" w:cs="宋体"/>
          <w:sz w:val="24"/>
          <w:szCs w:val="24"/>
        </w:rPr>
      </w:pPr>
      <w:r>
        <w:rPr>
          <w:rFonts w:hint="eastAsia" w:ascii="宋体" w:hAnsi="宋体" w:cs="宋体"/>
          <w:sz w:val="24"/>
          <w:szCs w:val="24"/>
        </w:rPr>
        <w:t>如项目非专门面向中小企业，在货物采购项目中，货物由小微企业制造，即货物由小微企业生产且使用该小微企业商号或者注册商标，无论供应商本身是否属于小微企业，视为符合小微企业政策条件。在工程采购项目中，工程由小微企业承建，即工程施工单位为小微企业；在服务采购项目中，服务由小微企业承接，视为小微企业。符合中小企业政策条件的供应商参加政府采购活动，应当提供《中小企业声明函》（见附件二），不提供的在评标时不享受价格扣除优惠政策。</w:t>
      </w:r>
    </w:p>
    <w:p>
      <w:pPr>
        <w:tabs>
          <w:tab w:val="left" w:pos="0"/>
        </w:tabs>
        <w:adjustRightInd w:val="0"/>
        <w:snapToGrid w:val="0"/>
        <w:spacing w:line="500" w:lineRule="exact"/>
        <w:ind w:firstLine="480" w:firstLineChars="200"/>
        <w:jc w:val="left"/>
        <w:rPr>
          <w:rFonts w:hint="eastAsia" w:ascii="宋体" w:hAnsi="宋体" w:cs="宋体"/>
          <w:sz w:val="24"/>
          <w:szCs w:val="24"/>
        </w:rPr>
      </w:pPr>
      <w:r>
        <w:rPr>
          <w:rFonts w:hint="eastAsia" w:ascii="宋体" w:hAnsi="宋体" w:cs="宋体"/>
          <w:sz w:val="24"/>
          <w:szCs w:val="24"/>
        </w:rPr>
        <w:t>货物和服务项目，对小型和微型企业的价格给予6%～10%的扣除，用扣除后的价格参与评审。本项目的扣除比例为：小型企业扣除6%，微型企业扣除6%。</w:t>
      </w:r>
    </w:p>
    <w:p>
      <w:pPr>
        <w:tabs>
          <w:tab w:val="left" w:pos="0"/>
        </w:tabs>
        <w:adjustRightInd w:val="0"/>
        <w:snapToGrid w:val="0"/>
        <w:spacing w:line="500" w:lineRule="exact"/>
        <w:ind w:firstLine="480" w:firstLineChars="200"/>
        <w:jc w:val="left"/>
        <w:rPr>
          <w:rFonts w:hint="eastAsia" w:ascii="宋体" w:hAnsi="宋体" w:cs="宋体"/>
          <w:sz w:val="24"/>
          <w:szCs w:val="24"/>
        </w:rPr>
      </w:pPr>
      <w:r>
        <w:rPr>
          <w:rFonts w:hint="eastAsia" w:ascii="宋体" w:hAnsi="宋体" w:cs="宋体"/>
          <w:sz w:val="24"/>
          <w:szCs w:val="24"/>
        </w:rPr>
        <w:t>工程项目，对小型和微型企业的价格给予3%～5%的扣除，用扣除后的价格参与评审。本项目的扣除比例为：小型企业扣除3%，微型企业扣除3%。</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依据《财</w:t>
      </w:r>
      <w:bookmarkStart w:id="154" w:name="_GoBack"/>
      <w:bookmarkEnd w:id="154"/>
      <w:r>
        <w:rPr>
          <w:rFonts w:hint="eastAsia" w:ascii="宋体" w:hAnsi="宋体" w:cs="宋体"/>
          <w:sz w:val="24"/>
          <w:szCs w:val="24"/>
        </w:rPr>
        <w:t>政部、司法部关于政府采购支持监狱企业发展有关问题的通知》（财库〔2014〕68号）之规定，监狱企业参加政府采购活动，视同小微企业。本项目的扣除比例为：小型企业扣除6%，微型企业扣除6%。</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供应商为监狱企业的，应当提供由省级以上监狱管理局、戒毒管理局出具的属于监狱企业的证明文件，未提供或出具证明文件的单位不符合相关要求的，不视为小微企业，在评标时不享受价格扣除优惠政策。</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依据《财政部、民政部、中国残疾人联合会关于促进残疾人就业政府采购政策的通知》（财库〔2017〕141号）之规定，残疾人福利性单位参加政府采购活动，视同小微企业。</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5.3残疾人福利性单位属于小微企业的，不重复享受政策。</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供应商为残疾人福利性单位的，应当提供《残疾人福利性单位声明函》，本项目的扣除比例为：小型企业扣除6%，微型企业扣除6%，未提供的不视为小微企业，在评标时不享受价格扣除优惠政策。</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供应商以联合体形式参加政府采购活动，联合体各方提供的货物（产品）均为小微企业制造的，联合体视同小微企业，联合体牵头方应当提供《中小企业声明函》，未提供的在评标时不享受价格扣除优惠政策。</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供应商以联合体形式参加政府采购活动，联合体协议约定任意一方提供的货物（产品）全部由小微企业制造，且合同份额占到合同总金额30%以上的，联合体牵头方应提供《中小企业声明函》，未提供的在评标时不享受价格扣除优惠政策。</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供应商以分包意向协议形式参加政府采购活动，供应商（大中型企业）向小微企业分包</w:t>
      </w:r>
      <w:r>
        <w:rPr>
          <w:rFonts w:hint="eastAsia" w:ascii="宋体" w:hAnsi="宋体" w:cs="宋体"/>
          <w:sz w:val="24"/>
          <w:szCs w:val="24"/>
          <w:lang w:val="zh-CN"/>
        </w:rPr>
        <w:t>的</w:t>
      </w:r>
      <w:r>
        <w:rPr>
          <w:rFonts w:hint="eastAsia" w:ascii="宋体" w:hAnsi="宋体" w:cs="宋体"/>
          <w:sz w:val="24"/>
          <w:szCs w:val="24"/>
        </w:rPr>
        <w:t>意向协议约定小微企业制造的货物（产品）合同份额占到合同总金额30%以上的，应当提供《中小企业声明函》，未提供的在评标时不享受价格扣除优惠政策。</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供应商提供的《中小企业声明函》或者《残疾人福利性单位声明函》存在明显错误的，评标委员会可以要求供应商作出澄清；澄清后，符合小微企业条件的，供应商可以享受价格扣除优惠政策；否则，不享受价格扣除优惠政策。</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享受中小企业扶持政策的供应商可以同时享受节能产品、环境标志产品优先采购政策。</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政府采购监督检查、投诉处理及政府采购行政处罚中对中小企业的认定，由货物制造商注册登记所在地的县级以上人民政府中小企业主管部门负责。</w:t>
      </w:r>
    </w:p>
    <w:p>
      <w:pPr>
        <w:tabs>
          <w:tab w:val="left" w:pos="0"/>
        </w:tabs>
        <w:adjustRightInd w:val="0"/>
        <w:snapToGrid w:val="0"/>
        <w:spacing w:line="500" w:lineRule="exact"/>
        <w:ind w:firstLine="480" w:firstLineChars="200"/>
        <w:jc w:val="left"/>
        <w:rPr>
          <w:sz w:val="24"/>
          <w:szCs w:val="24"/>
        </w:rPr>
        <w:sectPr>
          <w:footerReference r:id="rId8" w:type="default"/>
          <w:pgSz w:w="11906" w:h="16838"/>
          <w:pgMar w:top="1440" w:right="1706" w:bottom="1440" w:left="1800" w:header="851" w:footer="992" w:gutter="0"/>
          <w:cols w:space="720" w:num="1"/>
          <w:docGrid w:type="lines" w:linePitch="312" w:charSpace="0"/>
        </w:sectPr>
      </w:pPr>
      <w:r>
        <w:rPr>
          <w:rFonts w:hint="eastAsia" w:ascii="宋体" w:hAnsi="宋体" w:cs="宋体"/>
          <w:sz w:val="24"/>
          <w:szCs w:val="24"/>
        </w:rPr>
        <w:t>（8）供应商有融资、担保需求的，具体办理流程按照财政部门及相关政策执行（陕西省财政厅关于印发《陕西省中小企业政府采购信用融资办法》（陕财办采〔2018〕23号））。</w:t>
      </w:r>
    </w:p>
    <w:p>
      <w:pPr>
        <w:pStyle w:val="4"/>
        <w:jc w:val="center"/>
        <w:rPr>
          <w:rFonts w:ascii="宋体" w:hAnsi="宋体" w:cs="宋体"/>
          <w:sz w:val="36"/>
          <w:szCs w:val="28"/>
        </w:rPr>
      </w:pPr>
      <w:bookmarkStart w:id="31" w:name="_Toc10031"/>
      <w:bookmarkStart w:id="32" w:name="_Toc15601"/>
      <w:r>
        <w:rPr>
          <w:rFonts w:hint="eastAsia" w:ascii="宋体" w:hAnsi="宋体" w:cs="宋体"/>
          <w:sz w:val="36"/>
          <w:szCs w:val="28"/>
        </w:rPr>
        <w:t>三、投标文件</w:t>
      </w:r>
      <w:bookmarkEnd w:id="31"/>
      <w:bookmarkEnd w:id="32"/>
    </w:p>
    <w:p>
      <w:pPr>
        <w:pStyle w:val="5"/>
        <w:numPr>
          <w:ilvl w:val="0"/>
          <w:numId w:val="15"/>
        </w:numPr>
        <w:spacing w:line="500" w:lineRule="exact"/>
        <w:ind w:firstLine="562" w:firstLineChars="200"/>
        <w:rPr>
          <w:rFonts w:ascii="宋体" w:hAnsi="宋体" w:cs="宋体"/>
          <w:szCs w:val="28"/>
        </w:rPr>
      </w:pPr>
      <w:bookmarkStart w:id="33" w:name="_Toc17549"/>
      <w:r>
        <w:rPr>
          <w:rFonts w:hint="eastAsia" w:ascii="宋体" w:hAnsi="宋体" w:cs="宋体"/>
          <w:szCs w:val="28"/>
        </w:rPr>
        <w:t>投标文件的编制</w:t>
      </w:r>
      <w:bookmarkEnd w:id="33"/>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 xml:space="preserve"> 供应商需依据招标文件内容和投标文件格式的要求编制投标文件，具体内容参见“第七部分 投标文件格式”。</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投标文件规格幅面（A4），</w:t>
      </w:r>
      <w:r>
        <w:rPr>
          <w:rFonts w:hint="eastAsia" w:ascii="宋体" w:hAnsi="宋体" w:cs="宋体"/>
          <w:b/>
          <w:bCs/>
          <w:sz w:val="24"/>
          <w:szCs w:val="24"/>
        </w:rPr>
        <w:t>推荐采用双面打印</w:t>
      </w:r>
      <w:r>
        <w:rPr>
          <w:rFonts w:hint="eastAsia" w:ascii="宋体" w:hAnsi="宋体" w:cs="宋体"/>
          <w:sz w:val="24"/>
          <w:szCs w:val="24"/>
        </w:rPr>
        <w:t>，按照招标文件所规定的内容顺序，统一编目、编页码装订，由于编排混乱导致投标文件被误读或查找不到，其责任应当由供应商承担。装订必须采用胶装形式，不得采用活页装订，必须编排页码。</w:t>
      </w:r>
    </w:p>
    <w:p>
      <w:pPr>
        <w:pStyle w:val="5"/>
        <w:numPr>
          <w:ilvl w:val="0"/>
          <w:numId w:val="15"/>
        </w:numPr>
        <w:spacing w:line="500" w:lineRule="exact"/>
        <w:ind w:firstLine="482" w:firstLineChars="200"/>
        <w:rPr>
          <w:rFonts w:ascii="宋体" w:hAnsi="宋体" w:cs="宋体"/>
          <w:sz w:val="24"/>
          <w:szCs w:val="24"/>
        </w:rPr>
      </w:pPr>
      <w:bookmarkStart w:id="34" w:name="_Toc27646"/>
      <w:bookmarkStart w:id="35" w:name="_Toc1311"/>
      <w:r>
        <w:rPr>
          <w:rFonts w:hint="eastAsia" w:ascii="宋体" w:hAnsi="宋体" w:cs="宋体"/>
          <w:sz w:val="24"/>
          <w:szCs w:val="24"/>
        </w:rPr>
        <w:t>投标报价</w:t>
      </w:r>
      <w:bookmarkEnd w:id="34"/>
    </w:p>
    <w:p>
      <w:pPr>
        <w:spacing w:line="360" w:lineRule="auto"/>
        <w:ind w:firstLine="482" w:firstLineChars="200"/>
        <w:rPr>
          <w:rFonts w:ascii="宋体" w:hAnsi="宋体" w:cs="宋体"/>
        </w:rPr>
      </w:pPr>
      <w:r>
        <w:rPr>
          <w:rFonts w:hint="eastAsia" w:ascii="宋体" w:hAnsi="宋体" w:cs="宋体"/>
          <w:b/>
          <w:bCs/>
          <w:sz w:val="24"/>
          <w:szCs w:val="24"/>
        </w:rPr>
        <w:t>详见供应商须知前附表。</w:t>
      </w:r>
    </w:p>
    <w:p>
      <w:pPr>
        <w:pStyle w:val="5"/>
        <w:numPr>
          <w:ilvl w:val="0"/>
          <w:numId w:val="15"/>
        </w:numPr>
        <w:spacing w:line="500" w:lineRule="exact"/>
        <w:ind w:firstLine="482" w:firstLineChars="200"/>
        <w:rPr>
          <w:rFonts w:ascii="宋体" w:hAnsi="宋体" w:cs="宋体"/>
          <w:sz w:val="24"/>
          <w:szCs w:val="24"/>
        </w:rPr>
      </w:pPr>
      <w:bookmarkStart w:id="36" w:name="_Toc29200"/>
      <w:r>
        <w:rPr>
          <w:rFonts w:hint="eastAsia" w:ascii="宋体" w:hAnsi="宋体" w:cs="宋体"/>
          <w:sz w:val="24"/>
          <w:szCs w:val="24"/>
        </w:rPr>
        <w:t>投标货币</w:t>
      </w:r>
      <w:bookmarkEnd w:id="36"/>
    </w:p>
    <w:p>
      <w:pPr>
        <w:spacing w:line="360" w:lineRule="auto"/>
        <w:ind w:firstLine="482" w:firstLineChars="200"/>
        <w:rPr>
          <w:rFonts w:ascii="宋体" w:hAnsi="宋体" w:cs="宋体"/>
        </w:rPr>
      </w:pPr>
      <w:r>
        <w:rPr>
          <w:rFonts w:hint="eastAsia" w:ascii="宋体" w:hAnsi="宋体" w:cs="宋体"/>
          <w:b/>
          <w:bCs/>
          <w:sz w:val="24"/>
          <w:szCs w:val="24"/>
        </w:rPr>
        <w:t>详见供应商须知前附表。</w:t>
      </w:r>
    </w:p>
    <w:p>
      <w:pPr>
        <w:pStyle w:val="5"/>
        <w:numPr>
          <w:ilvl w:val="0"/>
          <w:numId w:val="15"/>
        </w:numPr>
        <w:spacing w:line="500" w:lineRule="exact"/>
        <w:ind w:firstLine="562" w:firstLineChars="200"/>
        <w:rPr>
          <w:rFonts w:ascii="宋体" w:hAnsi="宋体" w:cs="宋体"/>
          <w:szCs w:val="28"/>
        </w:rPr>
      </w:pPr>
      <w:r>
        <w:rPr>
          <w:rFonts w:hint="eastAsia" w:ascii="宋体" w:hAnsi="宋体" w:cs="宋体"/>
          <w:szCs w:val="28"/>
        </w:rPr>
        <w:t>投标保证金</w:t>
      </w:r>
      <w:bookmarkEnd w:id="35"/>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4.1 投标保证金按照供应商须知前附表要求缴纳。</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4.2 未中标供应商的投标保证金，在中标通知书发出后5个工作日内无息退还；中标供应商的投标保证金在合同签订后5个工作日内无息退还。</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4.3 发生下列情形之一的，代理机构将不予退还供应商缴纳的投标保证金：</w:t>
      </w:r>
    </w:p>
    <w:p>
      <w:pPr>
        <w:numPr>
          <w:ilvl w:val="0"/>
          <w:numId w:val="16"/>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投标有效期内供应商撤销其所投投标文件的；</w:t>
      </w:r>
    </w:p>
    <w:p>
      <w:pPr>
        <w:numPr>
          <w:ilvl w:val="0"/>
          <w:numId w:val="16"/>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在采购人确定中标人以前放弃中标候选资格的；</w:t>
      </w:r>
    </w:p>
    <w:p>
      <w:pPr>
        <w:numPr>
          <w:ilvl w:val="0"/>
          <w:numId w:val="16"/>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供应商企图影响开标、评标的任何活动，将导致投标被拒绝，并由其承担相应的法律责任；</w:t>
      </w:r>
    </w:p>
    <w:p>
      <w:pPr>
        <w:numPr>
          <w:ilvl w:val="0"/>
          <w:numId w:val="16"/>
        </w:numPr>
        <w:adjustRightInd w:val="0"/>
        <w:snapToGrid w:val="0"/>
        <w:spacing w:line="500" w:lineRule="exact"/>
        <w:rPr>
          <w:rFonts w:ascii="宋体" w:hAnsi="宋体" w:cs="宋体"/>
          <w:sz w:val="24"/>
          <w:szCs w:val="24"/>
        </w:rPr>
      </w:pPr>
      <w:r>
        <w:rPr>
          <w:rFonts w:hint="eastAsia" w:ascii="宋体" w:hAnsi="宋体" w:cs="宋体"/>
          <w:kern w:val="0"/>
          <w:sz w:val="24"/>
          <w:szCs w:val="24"/>
        </w:rPr>
        <w:t>除因不可抗力或招标文件认可的情形以外，供应商</w:t>
      </w:r>
      <w:r>
        <w:rPr>
          <w:rFonts w:hint="eastAsia" w:ascii="宋体" w:hAnsi="宋体" w:cs="宋体"/>
          <w:sz w:val="24"/>
          <w:szCs w:val="24"/>
        </w:rPr>
        <w:t>不与采购人签订合同的；</w:t>
      </w:r>
    </w:p>
    <w:p>
      <w:pPr>
        <w:numPr>
          <w:ilvl w:val="0"/>
          <w:numId w:val="16"/>
        </w:numPr>
        <w:adjustRightInd w:val="0"/>
        <w:snapToGrid w:val="0"/>
        <w:spacing w:line="500" w:lineRule="exact"/>
        <w:rPr>
          <w:rFonts w:ascii="宋体" w:hAnsi="宋体" w:cs="宋体"/>
          <w:sz w:val="24"/>
          <w:szCs w:val="24"/>
        </w:rPr>
      </w:pPr>
      <w:r>
        <w:rPr>
          <w:rFonts w:hint="eastAsia" w:ascii="宋体" w:hAnsi="宋体" w:cs="宋体"/>
          <w:sz w:val="24"/>
          <w:szCs w:val="24"/>
        </w:rPr>
        <w:t>由于中标人原因未能按照招标文件的规定</w:t>
      </w:r>
      <w:r>
        <w:rPr>
          <w:rFonts w:hint="eastAsia" w:ascii="宋体" w:hAnsi="宋体" w:cs="宋体"/>
          <w:sz w:val="24"/>
          <w:szCs w:val="24"/>
          <w:lang w:eastAsia="zh-CN"/>
        </w:rPr>
        <w:t>缴纳</w:t>
      </w:r>
      <w:r>
        <w:rPr>
          <w:rFonts w:hint="eastAsia" w:ascii="宋体" w:hAnsi="宋体" w:cs="宋体"/>
          <w:sz w:val="24"/>
          <w:szCs w:val="24"/>
        </w:rPr>
        <w:t>履约保证金；</w:t>
      </w:r>
    </w:p>
    <w:p>
      <w:pPr>
        <w:numPr>
          <w:ilvl w:val="0"/>
          <w:numId w:val="16"/>
        </w:numPr>
        <w:adjustRightInd w:val="0"/>
        <w:snapToGrid w:val="0"/>
        <w:spacing w:line="500" w:lineRule="exact"/>
        <w:rPr>
          <w:rFonts w:ascii="宋体" w:hAnsi="宋体" w:cs="宋体"/>
          <w:sz w:val="24"/>
          <w:szCs w:val="24"/>
        </w:rPr>
      </w:pPr>
      <w:r>
        <w:rPr>
          <w:rFonts w:hint="eastAsia" w:ascii="宋体" w:hAnsi="宋体" w:cs="宋体"/>
          <w:sz w:val="24"/>
          <w:szCs w:val="24"/>
        </w:rPr>
        <w:t>投标有效期内，供应商在政府采购活动中有违法、违规、违纪行为；</w:t>
      </w:r>
    </w:p>
    <w:p>
      <w:pPr>
        <w:numPr>
          <w:ilvl w:val="0"/>
          <w:numId w:val="16"/>
        </w:numPr>
        <w:adjustRightInd w:val="0"/>
        <w:snapToGrid w:val="0"/>
        <w:spacing w:line="500" w:lineRule="exact"/>
        <w:rPr>
          <w:rFonts w:ascii="宋体" w:hAnsi="宋体" w:cs="宋体"/>
          <w:sz w:val="24"/>
          <w:szCs w:val="24"/>
        </w:rPr>
      </w:pPr>
      <w:r>
        <w:rPr>
          <w:rFonts w:hint="eastAsia" w:ascii="宋体" w:hAnsi="宋体" w:cs="宋体"/>
          <w:sz w:val="24"/>
          <w:szCs w:val="24"/>
        </w:rPr>
        <w:t xml:space="preserve">中标人与采购人订立背离合同实质性内容的其它协议； </w:t>
      </w:r>
    </w:p>
    <w:p>
      <w:pPr>
        <w:numPr>
          <w:ilvl w:val="0"/>
          <w:numId w:val="16"/>
        </w:numPr>
        <w:adjustRightInd w:val="0"/>
        <w:snapToGrid w:val="0"/>
        <w:spacing w:line="500" w:lineRule="exact"/>
        <w:rPr>
          <w:rFonts w:ascii="宋体" w:hAnsi="宋体" w:cs="宋体"/>
          <w:sz w:val="24"/>
          <w:szCs w:val="24"/>
        </w:rPr>
      </w:pPr>
      <w:r>
        <w:rPr>
          <w:rFonts w:hint="eastAsia" w:ascii="宋体" w:hAnsi="宋体" w:cs="宋体"/>
          <w:sz w:val="24"/>
          <w:szCs w:val="24"/>
        </w:rPr>
        <w:t>供应商未按招标文件规定和合同约定履行义务的。</w:t>
      </w:r>
    </w:p>
    <w:p>
      <w:pPr>
        <w:pStyle w:val="5"/>
        <w:numPr>
          <w:ilvl w:val="0"/>
          <w:numId w:val="15"/>
        </w:numPr>
        <w:spacing w:line="500" w:lineRule="exact"/>
        <w:ind w:firstLine="562" w:firstLineChars="200"/>
        <w:rPr>
          <w:rFonts w:ascii="宋体" w:hAnsi="宋体" w:cs="宋体"/>
          <w:szCs w:val="28"/>
        </w:rPr>
      </w:pPr>
      <w:bookmarkStart w:id="37" w:name="_Toc19668"/>
      <w:r>
        <w:rPr>
          <w:rFonts w:hint="eastAsia" w:ascii="宋体" w:hAnsi="宋体" w:cs="宋体"/>
          <w:szCs w:val="28"/>
        </w:rPr>
        <w:t>投标有效期</w:t>
      </w:r>
      <w:bookmarkEnd w:id="37"/>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投标有效期见供应商须知前附表，无投标有效期或投标有效期短于此规定期限的投标文件，视为无效文件，其投标将被拒绝。</w:t>
      </w:r>
    </w:p>
    <w:p>
      <w:pPr>
        <w:pStyle w:val="5"/>
        <w:numPr>
          <w:ilvl w:val="0"/>
          <w:numId w:val="15"/>
        </w:numPr>
        <w:spacing w:line="500" w:lineRule="exact"/>
        <w:ind w:firstLine="562" w:firstLineChars="200"/>
        <w:rPr>
          <w:rFonts w:ascii="宋体" w:hAnsi="宋体" w:cs="宋体"/>
          <w:szCs w:val="28"/>
        </w:rPr>
      </w:pPr>
      <w:bookmarkStart w:id="38" w:name="_Toc24827"/>
      <w:r>
        <w:rPr>
          <w:rFonts w:hint="eastAsia" w:ascii="宋体" w:hAnsi="宋体" w:cs="宋体"/>
          <w:szCs w:val="28"/>
        </w:rPr>
        <w:t>投标文件的装订、签署和</w:t>
      </w:r>
      <w:bookmarkEnd w:id="38"/>
      <w:r>
        <w:rPr>
          <w:rFonts w:hint="eastAsia" w:ascii="宋体" w:hAnsi="宋体" w:cs="宋体"/>
          <w:szCs w:val="28"/>
        </w:rPr>
        <w:t>密封</w:t>
      </w:r>
    </w:p>
    <w:p>
      <w:pPr>
        <w:tabs>
          <w:tab w:val="left" w:pos="0"/>
        </w:tabs>
        <w:spacing w:line="500" w:lineRule="exact"/>
        <w:ind w:firstLine="480" w:firstLineChars="200"/>
        <w:rPr>
          <w:rFonts w:ascii="宋体" w:hAnsi="宋体" w:cs="宋体"/>
          <w:sz w:val="24"/>
          <w:szCs w:val="24"/>
        </w:rPr>
      </w:pPr>
      <w:bookmarkStart w:id="39" w:name="_Toc22752"/>
      <w:r>
        <w:rPr>
          <w:rFonts w:hint="eastAsia" w:ascii="宋体" w:hAnsi="宋体" w:cs="宋体"/>
          <w:sz w:val="24"/>
          <w:szCs w:val="24"/>
        </w:rPr>
        <w:t>6.1 投标文件的装订</w:t>
      </w:r>
    </w:p>
    <w:p>
      <w:pPr>
        <w:spacing w:line="500" w:lineRule="exact"/>
        <w:ind w:firstLine="482" w:firstLineChars="200"/>
        <w:jc w:val="left"/>
        <w:rPr>
          <w:rFonts w:ascii="宋体" w:hAnsi="宋体" w:cs="宋体"/>
          <w:b/>
          <w:bCs/>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6.2 投标文件的签署</w:t>
      </w:r>
    </w:p>
    <w:p>
      <w:pPr>
        <w:spacing w:line="500" w:lineRule="exact"/>
        <w:ind w:firstLine="482" w:firstLineChars="200"/>
        <w:jc w:val="left"/>
        <w:rPr>
          <w:rFonts w:ascii="宋体" w:hAnsi="宋体" w:cs="宋体"/>
          <w:kern w:val="0"/>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6.3 投标文件的密封</w:t>
      </w:r>
    </w:p>
    <w:p>
      <w:pPr>
        <w:spacing w:line="500" w:lineRule="exact"/>
        <w:ind w:firstLine="482" w:firstLineChars="200"/>
        <w:jc w:val="left"/>
        <w:rPr>
          <w:rFonts w:ascii="宋体" w:hAnsi="宋体" w:cs="宋体"/>
        </w:rPr>
      </w:pPr>
      <w:r>
        <w:rPr>
          <w:rFonts w:hint="eastAsia" w:ascii="宋体" w:hAnsi="宋体" w:cs="宋体"/>
          <w:b/>
          <w:bCs/>
          <w:sz w:val="24"/>
          <w:szCs w:val="24"/>
        </w:rPr>
        <w:t>详见供应商须知前附表。</w:t>
      </w:r>
    </w:p>
    <w:bookmarkEnd w:id="39"/>
    <w:p>
      <w:pPr>
        <w:widowControl/>
        <w:numPr>
          <w:ilvl w:val="0"/>
          <w:numId w:val="17"/>
        </w:numPr>
        <w:spacing w:line="500" w:lineRule="exact"/>
        <w:ind w:firstLine="482" w:firstLineChars="200"/>
        <w:jc w:val="center"/>
        <w:outlineLvl w:val="1"/>
        <w:rPr>
          <w:rFonts w:ascii="宋体" w:hAnsi="宋体" w:cs="宋体"/>
          <w:b/>
          <w:bCs/>
          <w:kern w:val="0"/>
          <w:sz w:val="24"/>
          <w:szCs w:val="24"/>
        </w:rPr>
        <w:sectPr>
          <w:pgSz w:w="11906" w:h="16838"/>
          <w:pgMar w:top="1440" w:right="1706" w:bottom="1440" w:left="1800" w:header="851" w:footer="992" w:gutter="0"/>
          <w:cols w:space="720" w:num="1"/>
          <w:docGrid w:type="lines" w:linePitch="312" w:charSpace="0"/>
        </w:sectPr>
      </w:pPr>
      <w:bookmarkStart w:id="40" w:name="_Toc3736"/>
    </w:p>
    <w:p>
      <w:pPr>
        <w:widowControl/>
        <w:spacing w:before="159" w:beforeLines="50" w:after="159" w:afterLines="50" w:line="500" w:lineRule="exact"/>
        <w:jc w:val="center"/>
        <w:outlineLvl w:val="1"/>
        <w:rPr>
          <w:rFonts w:ascii="宋体" w:hAnsi="宋体" w:cs="宋体"/>
          <w:b/>
          <w:bCs/>
          <w:kern w:val="0"/>
          <w:sz w:val="32"/>
          <w:szCs w:val="28"/>
        </w:rPr>
      </w:pPr>
      <w:bookmarkStart w:id="41" w:name="_Toc10025"/>
      <w:bookmarkStart w:id="42" w:name="_Toc3565"/>
      <w:r>
        <w:rPr>
          <w:rFonts w:hint="eastAsia" w:ascii="宋体" w:hAnsi="宋体" w:cs="宋体"/>
          <w:b/>
          <w:bCs/>
          <w:kern w:val="0"/>
          <w:sz w:val="32"/>
          <w:szCs w:val="28"/>
        </w:rPr>
        <w:t>四、投标文件的递交</w:t>
      </w:r>
      <w:bookmarkEnd w:id="41"/>
      <w:bookmarkEnd w:id="42"/>
    </w:p>
    <w:bookmarkEnd w:id="40"/>
    <w:p>
      <w:pPr>
        <w:pStyle w:val="5"/>
        <w:keepNext w:val="0"/>
        <w:keepLines w:val="0"/>
        <w:numPr>
          <w:ilvl w:val="0"/>
          <w:numId w:val="18"/>
        </w:numPr>
        <w:spacing w:line="500" w:lineRule="exact"/>
        <w:ind w:firstLine="562" w:firstLineChars="200"/>
        <w:rPr>
          <w:rFonts w:ascii="宋体" w:hAnsi="宋体" w:cs="宋体"/>
          <w:szCs w:val="28"/>
        </w:rPr>
      </w:pPr>
      <w:bookmarkStart w:id="43" w:name="_Toc3685"/>
      <w:r>
        <w:rPr>
          <w:rFonts w:hint="eastAsia" w:ascii="宋体" w:hAnsi="宋体" w:cs="宋体"/>
          <w:szCs w:val="28"/>
        </w:rPr>
        <w:t>投标文件递交</w:t>
      </w:r>
      <w:bookmarkEnd w:id="43"/>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1.1 供应商应当在招标文件要求提交投标文件的截止时间前，将投标文件密封送达投标地点。采购代理机构收到投标文件后，应当如实记载投标文件的送达时间和密封情况，签收保存，并向供应商出具签收回执。任何单位和个人不得在开标前开启投标文件。代理机构项目承办人在招标文件规定的投标文件递交截止时间前，只负责投标文件的接收、清点、造册登记工作，并请供应商代表签字确认，对其有效性不负任何责任。</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1.2逾期送达或者未按照招标文件要求密封的投标文件，采购代理机构应当拒收。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1.3代理机构不接受邮寄的投标文件。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1.4 无论供应商中标与否，其投标文件恕不退还。</w:t>
      </w:r>
    </w:p>
    <w:p>
      <w:pPr>
        <w:pStyle w:val="5"/>
        <w:keepNext w:val="0"/>
        <w:keepLines w:val="0"/>
        <w:numPr>
          <w:ilvl w:val="0"/>
          <w:numId w:val="18"/>
        </w:numPr>
        <w:spacing w:line="500" w:lineRule="exact"/>
        <w:ind w:firstLine="562" w:firstLineChars="200"/>
        <w:rPr>
          <w:rFonts w:ascii="宋体" w:hAnsi="宋体" w:cs="宋体"/>
          <w:szCs w:val="28"/>
        </w:rPr>
      </w:pPr>
      <w:bookmarkStart w:id="44" w:name="_Toc12741"/>
      <w:r>
        <w:rPr>
          <w:rFonts w:hint="eastAsia" w:ascii="宋体" w:hAnsi="宋体" w:cs="宋体"/>
          <w:szCs w:val="28"/>
        </w:rPr>
        <w:t>投标文件的修改和撤回</w:t>
      </w:r>
      <w:bookmarkEnd w:id="44"/>
    </w:p>
    <w:p>
      <w:pPr>
        <w:spacing w:line="500" w:lineRule="exact"/>
        <w:ind w:firstLine="480" w:firstLineChars="200"/>
        <w:jc w:val="left"/>
        <w:rPr>
          <w:rFonts w:ascii="宋体" w:hAnsi="宋体" w:cs="宋体"/>
          <w:sz w:val="24"/>
          <w:szCs w:val="24"/>
        </w:rPr>
      </w:pPr>
      <w:r>
        <w:rPr>
          <w:rFonts w:hint="eastAsia" w:ascii="宋体" w:hAnsi="宋体" w:cs="宋体"/>
          <w:sz w:val="24"/>
          <w:szCs w:val="24"/>
        </w:rPr>
        <w:t>2.1 供应商可以在投标截止时间前，对所递交的投标文件进行补充、修改或者撤回，并以书面形式通知采购代理机构（或采购人)。</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2.2 供应商撤回投标的要求应由供应商法定代表人或供应商代表签署，补充、修改投标文件的书面材料，应当按照招标文件要求签署、盖章、密封，作为投标文件的组成部分，在投标截止时间前密封送达开标地点，同时应在封套上标明“修改投标文件(并注明项目编号)”字样。</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2.3 在投标截止时间之后，供应商不得对其投标文件进行补充、修改或撤回。</w:t>
      </w:r>
    </w:p>
    <w:p>
      <w:pPr>
        <w:widowControl/>
        <w:spacing w:before="159" w:beforeLines="50" w:after="159" w:afterLines="50" w:line="500" w:lineRule="exact"/>
        <w:jc w:val="center"/>
        <w:outlineLvl w:val="1"/>
        <w:rPr>
          <w:rFonts w:ascii="宋体" w:hAnsi="宋体" w:cs="宋体"/>
          <w:b/>
          <w:bCs/>
          <w:kern w:val="0"/>
          <w:sz w:val="32"/>
          <w:szCs w:val="28"/>
        </w:rPr>
      </w:pPr>
      <w:bookmarkStart w:id="45" w:name="_Toc14415"/>
      <w:bookmarkStart w:id="46" w:name="_Toc27066"/>
      <w:bookmarkStart w:id="47" w:name="_Toc5081"/>
      <w:r>
        <w:rPr>
          <w:rFonts w:hint="eastAsia" w:ascii="宋体" w:hAnsi="宋体" w:cs="宋体"/>
          <w:b/>
          <w:bCs/>
          <w:kern w:val="0"/>
          <w:sz w:val="32"/>
          <w:szCs w:val="28"/>
        </w:rPr>
        <w:t>五、 开标、评审、定标</w:t>
      </w:r>
      <w:bookmarkEnd w:id="45"/>
      <w:bookmarkEnd w:id="46"/>
      <w:bookmarkEnd w:id="47"/>
    </w:p>
    <w:p>
      <w:pPr>
        <w:pStyle w:val="5"/>
        <w:keepNext w:val="0"/>
        <w:keepLines w:val="0"/>
        <w:numPr>
          <w:ilvl w:val="0"/>
          <w:numId w:val="19"/>
        </w:numPr>
        <w:spacing w:line="500" w:lineRule="exact"/>
        <w:ind w:firstLine="562"/>
        <w:rPr>
          <w:rFonts w:ascii="宋体" w:hAnsi="宋体" w:cs="宋体"/>
          <w:szCs w:val="28"/>
        </w:rPr>
      </w:pPr>
      <w:bookmarkStart w:id="48" w:name="_Toc27216"/>
      <w:r>
        <w:rPr>
          <w:rFonts w:hint="eastAsia" w:ascii="宋体" w:hAnsi="宋体" w:cs="宋体"/>
          <w:szCs w:val="28"/>
        </w:rPr>
        <w:t>开标</w:t>
      </w:r>
      <w:bookmarkEnd w:id="48"/>
    </w:p>
    <w:p>
      <w:pPr>
        <w:widowControl/>
        <w:tabs>
          <w:tab w:val="left" w:pos="0"/>
        </w:tabs>
        <w:spacing w:line="500" w:lineRule="exact"/>
        <w:ind w:firstLine="480" w:firstLineChars="200"/>
        <w:jc w:val="left"/>
        <w:rPr>
          <w:rFonts w:ascii="宋体" w:hAnsi="宋体" w:cs="宋体"/>
          <w:color w:val="000000"/>
          <w:sz w:val="24"/>
          <w:szCs w:val="24"/>
          <w:highlight w:val="yellow"/>
        </w:rPr>
      </w:pPr>
      <w:r>
        <w:rPr>
          <w:rFonts w:hint="eastAsia" w:ascii="宋体" w:hAnsi="宋体" w:cs="宋体"/>
          <w:sz w:val="24"/>
          <w:szCs w:val="24"/>
        </w:rPr>
        <w:t>1.1 采购代理机构按招标公告中规定的时间和地点接收供应商递交的投标文件，主持开标会议，邀请供应商参加</w:t>
      </w:r>
      <w:r>
        <w:rPr>
          <w:rFonts w:hint="eastAsia" w:ascii="宋体" w:hAnsi="宋体" w:cs="宋体"/>
          <w:color w:val="000000"/>
          <w:sz w:val="24"/>
          <w:szCs w:val="24"/>
        </w:rPr>
        <w:t>，评标委员会成员不得参加开标活动。</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1.2开标时，由供应商或者其推选的代表检查投标文件的密封情况；经确认无误后，由采购代理机构工作人员当众拆封，宣布供应商名称、投标价格和招标文件规定的需要宣布的其他内容。代理机构指定专人负责将供应商的名称、投标项目名称、投标价格等进行记录，并存档备案；所有投标唱标完毕，如供应商代表对宣读的“报价一览表”上的内容有异议的，应在获得开标会议主持人同意后当场提出。如确实属于唱标人员宣读错误，经供应商代表核实后，当场予以更正，不属于唱标人员宣读错误的，以单独密封的报价一览表为准。</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1.3开标时，投标文件中出现下列情况，修正原则为：</w:t>
      </w:r>
    </w:p>
    <w:p>
      <w:pPr>
        <w:numPr>
          <w:ilvl w:val="0"/>
          <w:numId w:val="20"/>
        </w:numPr>
        <w:spacing w:line="500" w:lineRule="exact"/>
        <w:jc w:val="left"/>
        <w:rPr>
          <w:rFonts w:ascii="宋体" w:hAnsi="宋体" w:cs="宋体"/>
          <w:sz w:val="24"/>
          <w:szCs w:val="24"/>
        </w:rPr>
      </w:pPr>
      <w:r>
        <w:rPr>
          <w:rFonts w:hint="eastAsia" w:ascii="宋体" w:hAnsi="宋体" w:cs="宋体"/>
          <w:sz w:val="24"/>
          <w:szCs w:val="24"/>
        </w:rPr>
        <w:t>投标文件中报价一览表（报价表）内容与投标文件中相应内容不一致的，以报价一览表（报价表）为准；</w:t>
      </w:r>
    </w:p>
    <w:p>
      <w:pPr>
        <w:numPr>
          <w:ilvl w:val="0"/>
          <w:numId w:val="20"/>
        </w:numPr>
        <w:spacing w:line="500" w:lineRule="exact"/>
        <w:jc w:val="left"/>
        <w:rPr>
          <w:rFonts w:ascii="宋体" w:hAnsi="宋体" w:cs="宋体"/>
          <w:sz w:val="24"/>
          <w:szCs w:val="24"/>
        </w:rPr>
      </w:pPr>
      <w:r>
        <w:rPr>
          <w:rFonts w:hint="eastAsia" w:ascii="宋体" w:hAnsi="宋体" w:cs="宋体"/>
          <w:sz w:val="24"/>
          <w:szCs w:val="24"/>
        </w:rPr>
        <w:t>大写金额和小写金额不一致的，以大写金额为准；</w:t>
      </w:r>
    </w:p>
    <w:p>
      <w:pPr>
        <w:numPr>
          <w:ilvl w:val="0"/>
          <w:numId w:val="20"/>
        </w:numPr>
        <w:spacing w:line="500" w:lineRule="exact"/>
        <w:jc w:val="left"/>
        <w:rPr>
          <w:rFonts w:ascii="宋体" w:hAnsi="宋体" w:cs="宋体"/>
          <w:sz w:val="24"/>
          <w:szCs w:val="24"/>
        </w:rPr>
      </w:pPr>
      <w:r>
        <w:rPr>
          <w:rFonts w:hint="eastAsia" w:ascii="宋体" w:hAnsi="宋体" w:cs="宋体"/>
          <w:sz w:val="24"/>
          <w:szCs w:val="24"/>
        </w:rPr>
        <w:t>单价金额小数点或者百分比有明显错位的，以报价一览表的总价为准，并修改单价；</w:t>
      </w:r>
    </w:p>
    <w:p>
      <w:pPr>
        <w:numPr>
          <w:ilvl w:val="0"/>
          <w:numId w:val="20"/>
        </w:numPr>
        <w:spacing w:line="500" w:lineRule="exact"/>
        <w:jc w:val="left"/>
        <w:rPr>
          <w:rFonts w:ascii="宋体" w:hAnsi="宋体" w:cs="宋体"/>
          <w:sz w:val="24"/>
          <w:szCs w:val="24"/>
        </w:rPr>
      </w:pPr>
      <w:r>
        <w:rPr>
          <w:rFonts w:hint="eastAsia" w:ascii="宋体" w:hAnsi="宋体" w:cs="宋体"/>
          <w:sz w:val="24"/>
          <w:szCs w:val="24"/>
        </w:rPr>
        <w:t xml:space="preserve">总价金额与按单价汇总金额不一致的，以单价金额计算结果为准；报价金额精确到小数点后两位，不进行四舍五入；  </w:t>
      </w:r>
    </w:p>
    <w:p>
      <w:pPr>
        <w:numPr>
          <w:ilvl w:val="0"/>
          <w:numId w:val="20"/>
        </w:numPr>
        <w:spacing w:line="500" w:lineRule="exact"/>
        <w:jc w:val="left"/>
        <w:rPr>
          <w:rFonts w:ascii="宋体" w:hAnsi="宋体" w:cs="宋体"/>
          <w:sz w:val="24"/>
          <w:szCs w:val="24"/>
        </w:rPr>
      </w:pPr>
      <w:r>
        <w:rPr>
          <w:rFonts w:hint="eastAsia" w:ascii="宋体" w:hAnsi="宋体" w:cs="宋体"/>
          <w:sz w:val="24"/>
          <w:szCs w:val="24"/>
        </w:rPr>
        <w:t>投标文件正本与副本不一致的，以正本为准；</w:t>
      </w:r>
    </w:p>
    <w:p>
      <w:pPr>
        <w:numPr>
          <w:ilvl w:val="0"/>
          <w:numId w:val="20"/>
        </w:numPr>
        <w:spacing w:line="500" w:lineRule="exact"/>
        <w:jc w:val="left"/>
        <w:rPr>
          <w:rFonts w:ascii="宋体" w:hAnsi="宋体" w:cs="宋体"/>
          <w:sz w:val="24"/>
          <w:szCs w:val="24"/>
        </w:rPr>
      </w:pPr>
      <w:r>
        <w:rPr>
          <w:rFonts w:hint="eastAsia" w:ascii="宋体" w:hAnsi="宋体" w:cs="宋体"/>
          <w:sz w:val="24"/>
          <w:szCs w:val="24"/>
        </w:rPr>
        <w:t>投标文件单独密封递交的报价一览表与正本不一致的，以单独密封递交的报价一览表为准；</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同时出现两种以上不一致的，按照前款规定的顺序修正。修正后的报价按照《政府采购货物和服务招标投标管理办法》第五十一条第二款的规定经供应商确认后产生约束力，供应商不确认的，其投标无效。</w:t>
      </w:r>
    </w:p>
    <w:p>
      <w:pPr>
        <w:pStyle w:val="5"/>
        <w:keepNext w:val="0"/>
        <w:keepLines w:val="0"/>
        <w:numPr>
          <w:ilvl w:val="0"/>
          <w:numId w:val="19"/>
        </w:numPr>
        <w:spacing w:line="500" w:lineRule="exact"/>
        <w:ind w:firstLine="562"/>
        <w:rPr>
          <w:rFonts w:ascii="宋体" w:hAnsi="宋体" w:cs="宋体"/>
          <w:szCs w:val="28"/>
        </w:rPr>
      </w:pPr>
      <w:bookmarkStart w:id="49" w:name="_Toc801"/>
      <w:bookmarkStart w:id="50" w:name="_Toc380336750"/>
      <w:bookmarkStart w:id="51" w:name="_Toc358364344"/>
      <w:bookmarkStart w:id="52" w:name="_Toc20569"/>
      <w:r>
        <w:rPr>
          <w:rFonts w:hint="eastAsia" w:ascii="宋体" w:hAnsi="宋体" w:cs="宋体"/>
          <w:szCs w:val="28"/>
        </w:rPr>
        <w:t>评标委员会</w:t>
      </w:r>
      <w:bookmarkEnd w:id="49"/>
      <w:bookmarkEnd w:id="50"/>
      <w:bookmarkEnd w:id="51"/>
      <w:bookmarkEnd w:id="52"/>
    </w:p>
    <w:p>
      <w:pPr>
        <w:widowControl/>
        <w:spacing w:line="460" w:lineRule="exact"/>
        <w:ind w:firstLine="420" w:firstLineChars="175"/>
        <w:jc w:val="left"/>
        <w:rPr>
          <w:rFonts w:ascii="宋体" w:hAnsi="宋体" w:cs="宋体"/>
          <w:sz w:val="24"/>
          <w:szCs w:val="24"/>
        </w:rPr>
      </w:pPr>
      <w:r>
        <w:rPr>
          <w:rFonts w:hint="eastAsia" w:ascii="宋体" w:hAnsi="宋体" w:cs="宋体"/>
          <w:kern w:val="0"/>
          <w:sz w:val="24"/>
          <w:szCs w:val="24"/>
        </w:rPr>
        <w:t>2.1</w:t>
      </w:r>
      <w:r>
        <w:rPr>
          <w:rFonts w:hint="eastAsia" w:ascii="宋体" w:hAnsi="宋体" w:cs="宋体"/>
          <w:sz w:val="24"/>
          <w:szCs w:val="24"/>
        </w:rPr>
        <w:t>为确保评标工作公开、公平、公正，依法成立评标委员会。 评标委员会由采购人代表和评审专家组成，成员人数应当为5人以上单数，其中评审专家不得少于成员总数的三分之二。评标委员会成员应当遵守并履行下列责任和义务：</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2.1.1遵纪守法，客观、公正、认真负责地履行职责，审查投标文件是否符合招标文件的要求，并做出评价；</w:t>
      </w:r>
    </w:p>
    <w:p>
      <w:pPr>
        <w:spacing w:line="360" w:lineRule="auto"/>
        <w:ind w:left="420"/>
        <w:jc w:val="left"/>
        <w:rPr>
          <w:rFonts w:ascii="宋体" w:hAnsi="宋体" w:cs="宋体"/>
          <w:sz w:val="24"/>
          <w:szCs w:val="24"/>
        </w:rPr>
      </w:pPr>
      <w:r>
        <w:rPr>
          <w:rFonts w:hint="eastAsia" w:ascii="宋体" w:hAnsi="宋体" w:cs="宋体"/>
          <w:sz w:val="24"/>
          <w:szCs w:val="24"/>
        </w:rPr>
        <w:t>2.1.2要求供应商对投标文件有关事项作出解释或澄清；</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2.1.3按照招标文件的要求和评审办法进行评标，推荐中标候选单位名单，对评审意见承担个人责任；</w:t>
      </w:r>
    </w:p>
    <w:p>
      <w:pPr>
        <w:spacing w:line="360" w:lineRule="auto"/>
        <w:ind w:left="420"/>
        <w:jc w:val="left"/>
        <w:rPr>
          <w:rFonts w:ascii="宋体" w:hAnsi="宋体" w:cs="宋体"/>
          <w:sz w:val="24"/>
          <w:szCs w:val="24"/>
        </w:rPr>
      </w:pPr>
      <w:r>
        <w:rPr>
          <w:rFonts w:hint="eastAsia" w:ascii="宋体" w:hAnsi="宋体" w:cs="宋体"/>
          <w:sz w:val="24"/>
          <w:szCs w:val="24"/>
        </w:rPr>
        <w:t>2.1.4对评标过程和结果以及供应商的商业秘密保密；</w:t>
      </w:r>
    </w:p>
    <w:p>
      <w:pPr>
        <w:spacing w:line="360" w:lineRule="auto"/>
        <w:ind w:left="420"/>
        <w:jc w:val="left"/>
        <w:rPr>
          <w:rFonts w:ascii="宋体" w:hAnsi="宋体" w:cs="宋体"/>
          <w:sz w:val="24"/>
          <w:szCs w:val="24"/>
        </w:rPr>
      </w:pPr>
      <w:r>
        <w:rPr>
          <w:rFonts w:hint="eastAsia" w:ascii="宋体" w:hAnsi="宋体" w:cs="宋体"/>
          <w:sz w:val="24"/>
          <w:szCs w:val="24"/>
        </w:rPr>
        <w:t>2.1.5参与评标结果报告的起草；</w:t>
      </w:r>
    </w:p>
    <w:p>
      <w:pPr>
        <w:spacing w:line="360" w:lineRule="auto"/>
        <w:ind w:left="420"/>
        <w:jc w:val="left"/>
        <w:rPr>
          <w:rFonts w:ascii="宋体" w:hAnsi="宋体" w:cs="宋体"/>
          <w:sz w:val="24"/>
          <w:szCs w:val="24"/>
        </w:rPr>
      </w:pPr>
      <w:r>
        <w:rPr>
          <w:rFonts w:hint="eastAsia" w:ascii="宋体" w:hAnsi="宋体" w:cs="宋体"/>
          <w:sz w:val="24"/>
          <w:szCs w:val="24"/>
        </w:rPr>
        <w:t>2.1.6配合采购人、代理机构答复供应商提出的质疑；</w:t>
      </w:r>
    </w:p>
    <w:p>
      <w:pPr>
        <w:spacing w:line="360" w:lineRule="auto"/>
        <w:ind w:left="420"/>
        <w:jc w:val="left"/>
        <w:rPr>
          <w:rFonts w:ascii="宋体" w:hAnsi="宋体" w:cs="宋体"/>
          <w:kern w:val="0"/>
          <w:sz w:val="24"/>
          <w:szCs w:val="24"/>
        </w:rPr>
      </w:pPr>
      <w:r>
        <w:rPr>
          <w:rFonts w:hint="eastAsia" w:ascii="宋体" w:hAnsi="宋体" w:cs="宋体"/>
          <w:sz w:val="24"/>
          <w:szCs w:val="24"/>
        </w:rPr>
        <w:t>2.1.7配合财政部门处理投诉工作；</w:t>
      </w:r>
    </w:p>
    <w:p>
      <w:pPr>
        <w:pStyle w:val="5"/>
        <w:numPr>
          <w:ilvl w:val="0"/>
          <w:numId w:val="19"/>
        </w:numPr>
        <w:spacing w:line="500" w:lineRule="exact"/>
        <w:ind w:firstLine="562"/>
        <w:rPr>
          <w:rFonts w:ascii="宋体" w:hAnsi="宋体" w:cs="宋体"/>
          <w:szCs w:val="28"/>
        </w:rPr>
      </w:pPr>
      <w:bookmarkStart w:id="53" w:name="_Toc27940"/>
      <w:bookmarkStart w:id="54" w:name="_Toc385958808"/>
      <w:bookmarkStart w:id="55" w:name="_Toc28085"/>
      <w:bookmarkStart w:id="56" w:name="_Toc386129876"/>
      <w:r>
        <w:rPr>
          <w:rFonts w:hint="eastAsia" w:ascii="宋体" w:hAnsi="宋体" w:cs="宋体"/>
          <w:szCs w:val="28"/>
        </w:rPr>
        <w:t>投标文件初审</w:t>
      </w:r>
      <w:bookmarkEnd w:id="53"/>
      <w:bookmarkEnd w:id="54"/>
      <w:bookmarkEnd w:id="55"/>
      <w:bookmarkEnd w:id="56"/>
    </w:p>
    <w:p>
      <w:pPr>
        <w:overflowPunct w:val="0"/>
        <w:adjustRightInd w:val="0"/>
        <w:snapToGrid w:val="0"/>
        <w:spacing w:line="500" w:lineRule="exact"/>
        <w:ind w:left="420"/>
        <w:rPr>
          <w:rFonts w:ascii="宋体" w:hAnsi="宋体" w:cs="宋体"/>
          <w:kern w:val="0"/>
          <w:sz w:val="24"/>
          <w:szCs w:val="24"/>
        </w:rPr>
      </w:pPr>
      <w:r>
        <w:rPr>
          <w:rFonts w:hint="eastAsia" w:ascii="宋体" w:hAnsi="宋体" w:cs="宋体"/>
          <w:kern w:val="0"/>
          <w:sz w:val="24"/>
          <w:szCs w:val="24"/>
        </w:rPr>
        <w:t xml:space="preserve"> 3.1 供应商的资格性审查</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依据法律法规和招标文件的规</w:t>
      </w:r>
      <w:r>
        <w:rPr>
          <w:rFonts w:hint="eastAsia" w:ascii="宋体" w:hAnsi="宋体" w:cs="宋体"/>
          <w:color w:val="000000"/>
          <w:kern w:val="0"/>
          <w:sz w:val="24"/>
          <w:szCs w:val="24"/>
        </w:rPr>
        <w:t>定，由采购人或代理机构对供应商的</w:t>
      </w:r>
      <w:r>
        <w:rPr>
          <w:rFonts w:hint="eastAsia" w:ascii="宋体" w:hAnsi="宋体" w:cs="宋体"/>
          <w:kern w:val="0"/>
          <w:sz w:val="24"/>
          <w:szCs w:val="24"/>
        </w:rPr>
        <w:t>资格证明文件进行审查，以确保供应商是否具备相应资格，资格审查内容详见供应商须知前附表。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 投标文件符合性审查</w:t>
      </w:r>
    </w:p>
    <w:p>
      <w:pPr>
        <w:pStyle w:val="13"/>
        <w:snapToGrid w:val="0"/>
        <w:spacing w:line="360" w:lineRule="auto"/>
        <w:ind w:firstLine="480" w:firstLineChars="200"/>
        <w:rPr>
          <w:rFonts w:hAnsi="宋体" w:cs="宋体"/>
          <w:kern w:val="0"/>
          <w:sz w:val="24"/>
          <w:szCs w:val="24"/>
        </w:rPr>
      </w:pPr>
      <w:r>
        <w:rPr>
          <w:rFonts w:hint="eastAsia" w:hAnsi="宋体" w:cs="宋体"/>
          <w:color w:val="000000"/>
          <w:kern w:val="0"/>
          <w:sz w:val="24"/>
          <w:szCs w:val="24"/>
        </w:rPr>
        <w:t>评标委员会应当对符合资格的供应商的投标文件进行符合性审查，以确定其是否满足招标文件的实质性要求。符合性审查内容详见供应商须知前附表。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3.3有下列情形之一的，视为供应商串通投标，其投标无效：</w:t>
      </w:r>
    </w:p>
    <w:p>
      <w:pPr>
        <w:pStyle w:val="27"/>
        <w:spacing w:after="210" w:afterAutospacing="0" w:line="27" w:lineRule="atLeast"/>
        <w:jc w:val="both"/>
      </w:pPr>
      <w:r>
        <w:rPr>
          <w:rFonts w:hint="eastAsia"/>
        </w:rPr>
        <w:t>　　（一）不同供应商的投标文件由同一单位或者个人编制；</w:t>
      </w:r>
    </w:p>
    <w:p>
      <w:pPr>
        <w:pStyle w:val="27"/>
        <w:spacing w:after="210" w:afterAutospacing="0" w:line="27" w:lineRule="atLeast"/>
        <w:jc w:val="both"/>
      </w:pPr>
      <w:r>
        <w:rPr>
          <w:rFonts w:hint="eastAsia"/>
        </w:rPr>
        <w:t>　　（二）不同供应商委托同一单位或者个人办理投标事宜；</w:t>
      </w:r>
    </w:p>
    <w:p>
      <w:pPr>
        <w:pStyle w:val="27"/>
        <w:spacing w:after="210" w:afterAutospacing="0" w:line="27" w:lineRule="atLeast"/>
        <w:jc w:val="both"/>
      </w:pPr>
      <w:r>
        <w:rPr>
          <w:rFonts w:hint="eastAsia"/>
        </w:rPr>
        <w:t>　　（三）不同供应商的投标文件载明的项目管理成员或者联系人员为同一人；</w:t>
      </w:r>
    </w:p>
    <w:p>
      <w:pPr>
        <w:pStyle w:val="27"/>
        <w:spacing w:after="210" w:afterAutospacing="0" w:line="27" w:lineRule="atLeast"/>
        <w:jc w:val="both"/>
      </w:pPr>
      <w:r>
        <w:rPr>
          <w:rFonts w:hint="eastAsia"/>
        </w:rPr>
        <w:t>　　（四）不同供应商的投标文件异常一致或者投标报价呈规律性差异；</w:t>
      </w:r>
    </w:p>
    <w:p>
      <w:pPr>
        <w:pStyle w:val="27"/>
        <w:spacing w:after="210" w:afterAutospacing="0" w:line="27" w:lineRule="atLeast"/>
        <w:jc w:val="both"/>
      </w:pPr>
      <w:r>
        <w:rPr>
          <w:rFonts w:hint="eastAsia"/>
        </w:rPr>
        <w:t>　　（五）不同供应商的投标文件相互混装；</w:t>
      </w:r>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（六）不同供应商的投标保证金从同一单位或者个人的账户转出。</w:t>
      </w:r>
    </w:p>
    <w:p>
      <w:pPr>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3.4对通过审查的，被认为其投标文件完整、合格，投标有效，可进入下阶段的评标。</w:t>
      </w:r>
    </w:p>
    <w:p>
      <w:pPr>
        <w:pStyle w:val="5"/>
        <w:numPr>
          <w:ilvl w:val="0"/>
          <w:numId w:val="19"/>
        </w:numPr>
        <w:spacing w:line="500" w:lineRule="exact"/>
        <w:ind w:firstLine="562"/>
        <w:rPr>
          <w:rFonts w:ascii="宋体" w:hAnsi="宋体" w:cs="宋体"/>
          <w:szCs w:val="28"/>
        </w:rPr>
      </w:pPr>
      <w:bookmarkStart w:id="57" w:name="_Toc17705"/>
      <w:r>
        <w:rPr>
          <w:rFonts w:hint="eastAsia" w:ascii="宋体" w:hAnsi="宋体" w:cs="宋体"/>
          <w:szCs w:val="28"/>
        </w:rPr>
        <w:t>投标文件澄清</w:t>
      </w:r>
      <w:bookmarkEnd w:id="57"/>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4.1 在评标期间,采购代理机构可根据评标委员会对其投标文件有疑义不清楚的内容，要求供应商对其投标文件进行澄清。</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4.2 供应商必须按照评标委员会通知的内容和时间</w:t>
      </w:r>
      <w:r>
        <w:rPr>
          <w:rFonts w:hint="eastAsia" w:ascii="宋体" w:hAnsi="宋体" w:cs="宋体"/>
          <w:kern w:val="0"/>
          <w:sz w:val="24"/>
          <w:szCs w:val="24"/>
          <w:lang w:eastAsia="zh-CN"/>
        </w:rPr>
        <w:t>作出</w:t>
      </w:r>
      <w:r>
        <w:rPr>
          <w:rFonts w:hint="eastAsia" w:ascii="宋体" w:hAnsi="宋体" w:cs="宋体"/>
          <w:kern w:val="0"/>
          <w:sz w:val="24"/>
          <w:szCs w:val="24"/>
        </w:rPr>
        <w:t xml:space="preserve">书面答复，该答复经法定代表人或供应商代表的签字认可，将作为投标文件内容的一部分。澄清、说明或者补正不得超出投标文件的范围或者改变投标文件的实质性内容。供应商拒不按照要求对投标文件进行澄清、说明或者补正的，供应商将自行承担评标委员会视其投标无效的风险。 </w:t>
      </w:r>
    </w:p>
    <w:p>
      <w:pPr>
        <w:spacing w:line="500" w:lineRule="exact"/>
        <w:ind w:firstLine="480" w:firstLineChars="200"/>
        <w:rPr>
          <w:rFonts w:ascii="宋体" w:hAnsi="宋体" w:cs="宋体"/>
          <w:color w:val="000000"/>
          <w:kern w:val="0"/>
          <w:sz w:val="24"/>
          <w:szCs w:val="24"/>
        </w:rPr>
      </w:pPr>
      <w:r>
        <w:rPr>
          <w:rFonts w:hint="eastAsia" w:ascii="宋体" w:hAnsi="宋体" w:cs="宋体"/>
          <w:kern w:val="0"/>
          <w:sz w:val="24"/>
          <w:szCs w:val="24"/>
        </w:rPr>
        <w:t xml:space="preserve">4.3 </w:t>
      </w:r>
      <w:r>
        <w:rPr>
          <w:rFonts w:hint="eastAsia" w:ascii="宋体" w:hAnsi="宋体" w:cs="宋体"/>
          <w:color w:val="000000"/>
          <w:kern w:val="0"/>
          <w:sz w:val="24"/>
          <w:szCs w:val="24"/>
        </w:rPr>
        <w:t>评标委员会认为供应商的报价明显低于</w:t>
      </w:r>
      <w:r>
        <w:rPr>
          <w:rFonts w:hint="eastAsia" w:ascii="宋体" w:hAnsi="宋体" w:cs="宋体"/>
          <w:color w:val="000000"/>
          <w:sz w:val="24"/>
          <w:szCs w:val="24"/>
        </w:rPr>
        <w:t>其他通过符合性审查供应商的报价，有可能影响产品质量或者不能诚信履约的，将要求该供应商在评标现场合理的时间内提供书面说明，必要时提交相关证明材料；供应商不能证明其报价合理性的，评标委员会应当将其作为无效投标处理。</w:t>
      </w:r>
    </w:p>
    <w:p>
      <w:pPr>
        <w:pStyle w:val="5"/>
        <w:numPr>
          <w:ilvl w:val="0"/>
          <w:numId w:val="19"/>
        </w:numPr>
        <w:spacing w:line="500" w:lineRule="exact"/>
        <w:ind w:firstLine="562"/>
        <w:rPr>
          <w:rFonts w:ascii="宋体" w:hAnsi="宋体" w:cs="宋体"/>
          <w:szCs w:val="28"/>
        </w:rPr>
      </w:pPr>
      <w:bookmarkStart w:id="58" w:name="_Toc8353"/>
      <w:r>
        <w:rPr>
          <w:rFonts w:hint="eastAsia" w:ascii="宋体" w:hAnsi="宋体" w:cs="宋体"/>
          <w:szCs w:val="28"/>
        </w:rPr>
        <w:t>评标</w:t>
      </w:r>
      <w:bookmarkEnd w:id="58"/>
    </w:p>
    <w:p>
      <w:pPr>
        <w:spacing w:line="500" w:lineRule="exact"/>
        <w:ind w:firstLine="480" w:firstLineChars="200"/>
        <w:jc w:val="left"/>
        <w:rPr>
          <w:rFonts w:ascii="宋体" w:hAnsi="宋体" w:cs="宋体"/>
          <w:sz w:val="24"/>
          <w:szCs w:val="24"/>
        </w:rPr>
      </w:pPr>
      <w:r>
        <w:rPr>
          <w:rFonts w:hint="eastAsia" w:ascii="宋体" w:hAnsi="宋体" w:cs="宋体"/>
          <w:sz w:val="24"/>
          <w:szCs w:val="24"/>
        </w:rPr>
        <w:t>5.1评标委员会有权对在开标、评标过程中出现的一切问题，根据《中华人民共和国政府采购法》及实施条例和《政府采购货物和服务招标投标管理办法》的条款，本着公开、公平、公正的原则进行处理。</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5.2采用综合评分法：采取逐项分步评审方式，每一步评审不符合者，不进入下一步评审，全部评审合格的供应商由评标委员会按照公开招标文件中第四部分评分标准规定的各项因素进行比较、自主打分、综合评审。评标委员会将评审得分汇总后，按评标总得分由高到低汇总排序，推荐1～3名中标候选人；若有两个或两个以上供应商得分相同，供应商名次按报价得分高低排序；得分且投标报价相同的，按技术指标优劣顺序排列，并填报评标报告。</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根据《政府采购货物和服务招标投标管理办法》相关规定，单一产品采购项目提供相同品牌产品或非单一产品采购项目多家供应商提供的核心产品品牌完全相同的且通过资格审查、符合性审查的不同供应商参加同一合同项下投标的，按一家供应商计算，评审后得分最高的同品牌供应商获得中标供应商推荐资格；评审得分相同的，由采购人或者采购人委托评标委员会按照报价得分最高的方式确定一个供应商获得中标供应商推荐资格。</w:t>
      </w:r>
    </w:p>
    <w:p>
      <w:pPr>
        <w:spacing w:line="500" w:lineRule="exact"/>
        <w:ind w:firstLine="480" w:firstLineChars="200"/>
        <w:jc w:val="left"/>
        <w:rPr>
          <w:rFonts w:ascii="宋体" w:hAnsi="宋体" w:cs="宋体"/>
          <w:sz w:val="28"/>
          <w:szCs w:val="28"/>
        </w:rPr>
      </w:pPr>
      <w:r>
        <w:rPr>
          <w:rFonts w:hint="eastAsia" w:ascii="宋体" w:hAnsi="宋体" w:cs="宋体"/>
          <w:sz w:val="24"/>
          <w:szCs w:val="24"/>
        </w:rPr>
        <w:t>5.3评标委员会只对实质上响应招标文件的投标进行评价和比较；评审应严格按照招标文件的要求和条件进行；具体评审原则和中标条件详见招标文件第四部分“评标办法”。</w:t>
      </w:r>
    </w:p>
    <w:p>
      <w:pPr>
        <w:pStyle w:val="5"/>
        <w:numPr>
          <w:ilvl w:val="0"/>
          <w:numId w:val="19"/>
        </w:numPr>
        <w:spacing w:line="500" w:lineRule="exact"/>
        <w:ind w:firstLine="562"/>
        <w:rPr>
          <w:rFonts w:ascii="宋体" w:hAnsi="宋体" w:cs="宋体"/>
          <w:szCs w:val="28"/>
        </w:rPr>
      </w:pPr>
      <w:bookmarkStart w:id="59" w:name="_Toc12947"/>
      <w:r>
        <w:rPr>
          <w:rFonts w:hint="eastAsia" w:ascii="宋体" w:hAnsi="宋体" w:cs="宋体"/>
          <w:szCs w:val="28"/>
        </w:rPr>
        <w:t>定标</w:t>
      </w:r>
      <w:bookmarkEnd w:id="59"/>
    </w:p>
    <w:p>
      <w:pPr>
        <w:spacing w:line="500" w:lineRule="exact"/>
        <w:ind w:firstLine="480" w:firstLineChars="200"/>
        <w:jc w:val="left"/>
        <w:rPr>
          <w:rFonts w:ascii="宋体" w:hAnsi="宋体" w:cs="宋体"/>
          <w:sz w:val="24"/>
          <w:szCs w:val="24"/>
        </w:rPr>
      </w:pPr>
      <w:r>
        <w:rPr>
          <w:rFonts w:hint="eastAsia" w:ascii="宋体" w:hAnsi="宋体" w:cs="宋体"/>
          <w:sz w:val="24"/>
          <w:szCs w:val="24"/>
        </w:rPr>
        <w:t>6.1代理机构在评标结束后2个工作日内将评标报告送达采购单位，采购单位在收到评标报告后5个工作日内，按照评标报告中推荐的中标候选人顺序确认第一中标候选人为中标单位，同时书面复函代理机构；</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6.2代理机构收到采购单位“定标复函”后2个工作日内，在财政部门指定的政府采购信息媒体上发布公告，并向中标人发出“中标通知书”。</w:t>
      </w:r>
    </w:p>
    <w:p>
      <w:pPr>
        <w:widowControl/>
        <w:spacing w:before="159" w:beforeLines="50" w:after="159" w:afterLines="50" w:line="500" w:lineRule="exact"/>
        <w:jc w:val="center"/>
        <w:outlineLvl w:val="1"/>
        <w:rPr>
          <w:rFonts w:ascii="宋体" w:hAnsi="宋体" w:cs="宋体"/>
          <w:b/>
          <w:bCs/>
          <w:kern w:val="0"/>
          <w:sz w:val="32"/>
          <w:szCs w:val="28"/>
        </w:rPr>
      </w:pPr>
      <w:bookmarkStart w:id="60" w:name="_Toc576"/>
      <w:bookmarkStart w:id="61" w:name="_Toc19972"/>
      <w:bookmarkStart w:id="62" w:name="_Toc25308"/>
      <w:r>
        <w:rPr>
          <w:rFonts w:hint="eastAsia" w:ascii="宋体" w:hAnsi="宋体" w:cs="宋体"/>
          <w:b/>
          <w:bCs/>
          <w:kern w:val="0"/>
          <w:sz w:val="32"/>
          <w:szCs w:val="28"/>
        </w:rPr>
        <w:t>六、签订合同</w:t>
      </w:r>
      <w:bookmarkEnd w:id="60"/>
      <w:bookmarkEnd w:id="61"/>
      <w:bookmarkEnd w:id="62"/>
    </w:p>
    <w:p>
      <w:pPr>
        <w:pStyle w:val="12"/>
        <w:spacing w:line="360" w:lineRule="auto"/>
        <w:rPr>
          <w:rFonts w:ascii="宋体" w:hAnsi="宋体" w:cs="宋体"/>
          <w:sz w:val="24"/>
          <w:szCs w:val="24"/>
        </w:rPr>
      </w:pPr>
      <w:r>
        <w:rPr>
          <w:rFonts w:hint="eastAsia" w:ascii="宋体" w:hAnsi="宋体" w:cs="宋体"/>
          <w:sz w:val="24"/>
          <w:szCs w:val="24"/>
        </w:rPr>
        <w:t>采购人与中标、成交供应商应当在中标、成交通知书发出之日起三十日内，按照采购文件确定的事项签订政府采购合同。</w:t>
      </w:r>
    </w:p>
    <w:p>
      <w:pPr>
        <w:widowControl/>
        <w:spacing w:before="159" w:beforeLines="50" w:after="159" w:afterLines="50" w:line="500" w:lineRule="exact"/>
        <w:jc w:val="center"/>
        <w:outlineLvl w:val="1"/>
        <w:rPr>
          <w:rFonts w:ascii="宋体" w:hAnsi="宋体" w:cs="宋体"/>
          <w:b/>
          <w:bCs/>
          <w:kern w:val="0"/>
          <w:sz w:val="32"/>
          <w:szCs w:val="28"/>
        </w:rPr>
      </w:pPr>
      <w:bookmarkStart w:id="63" w:name="_Toc6361"/>
      <w:r>
        <w:rPr>
          <w:rFonts w:hint="eastAsia" w:ascii="宋体" w:hAnsi="宋体" w:cs="宋体"/>
          <w:b/>
          <w:bCs/>
          <w:kern w:val="0"/>
          <w:sz w:val="32"/>
          <w:szCs w:val="28"/>
        </w:rPr>
        <w:t>七、质疑和投诉</w:t>
      </w:r>
      <w:bookmarkEnd w:id="63"/>
    </w:p>
    <w:p>
      <w:pPr>
        <w:widowControl/>
        <w:spacing w:line="360" w:lineRule="auto"/>
        <w:ind w:firstLine="480" w:firstLineChars="200"/>
        <w:rPr>
          <w:rFonts w:ascii="宋体" w:hAnsi="宋体" w:cs="宋体"/>
          <w:sz w:val="24"/>
          <w:szCs w:val="24"/>
        </w:rPr>
      </w:pPr>
      <w:r>
        <w:rPr>
          <w:rFonts w:hint="eastAsia" w:ascii="宋体" w:hAnsi="宋体" w:cs="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1）对采购文件提出质疑的，为收到采购文件之日或者采购文件公告期限届满之日；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2）对采购过程提出质疑的，为各采购程序环节结束之日；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3）对中标或者成交结果提出质疑的，为中标或者成交结果公告期限届满之日。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2、供应商应当在法定质疑期内一次性提出针对同一采购程序环节的质疑。</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 、质疑函应当包括下列主要内容：</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1）供应商的姓名或者名称、地址、邮编、联系人及联系电话；</w:t>
      </w:r>
    </w:p>
    <w:p>
      <w:pPr>
        <w:widowControl/>
        <w:spacing w:line="360" w:lineRule="auto"/>
        <w:ind w:firstLine="240" w:firstLineChars="100"/>
        <w:rPr>
          <w:rFonts w:ascii="宋体" w:hAnsi="宋体" w:cs="宋体"/>
          <w:sz w:val="24"/>
          <w:szCs w:val="24"/>
        </w:rPr>
      </w:pPr>
      <w:r>
        <w:rPr>
          <w:rFonts w:hint="eastAsia" w:ascii="宋体" w:hAnsi="宋体" w:cs="宋体"/>
          <w:sz w:val="24"/>
          <w:szCs w:val="24"/>
        </w:rPr>
        <w:t xml:space="preserve">  2）质疑项目的名称、编号；</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3）具体、明确的质疑事项和与质疑事项相关的请求；</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4）事实依据；</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5）必要的法律依据；</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6）提出质疑的日期。</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代理人提出质疑和投诉，应当提交供应商签署的授权委托书。</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5、 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 xml:space="preserve">6、 质疑函接收方式：由自然人本人或法定代表人或者其授权代表携带书面原件及身份证明原件到现场递交，否则不予受理 。 </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7、质疑受理部门：陕西卓佲项目管理有限公司。</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 xml:space="preserve">    质疑受理电话：029-88440695。</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8、提交质疑函地点：西安市雁塔区科技路10号华奥大厦A座20层2002室。</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9、本次采购活动中，采购代理机构对质疑函回复的书面文件的送达方式为现场取件。</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如所质疑的问题比较复杂，采购人或者采购代理机构在规定的答复时间内无法回复，应事先告知提出质疑的供应商，同时向同级政府采购监督管理部门报告。</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10、质疑供应商对采购人、采购代理机构的答复不满意，或者采购人、采购代理机构未在规定的时间内作出答复的，可以在答复期满后15个工作日内向采购人的同级政府采购监督管理部门投诉。</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11、质疑函应当使用中文。质疑函范本详见财政部制定的范本即招标文件附件六。</w:t>
      </w:r>
    </w:p>
    <w:p>
      <w:pPr>
        <w:rPr>
          <w:rFonts w:ascii="宋体" w:hAnsi="宋体" w:cs="宋体"/>
        </w:rPr>
      </w:pPr>
    </w:p>
    <w:p>
      <w:pPr>
        <w:pStyle w:val="3"/>
        <w:pageBreakBefore/>
        <w:numPr>
          <w:ilvl w:val="0"/>
          <w:numId w:val="21"/>
        </w:numPr>
        <w:spacing w:before="319" w:beforeLines="100" w:after="319" w:afterLines="100" w:line="500" w:lineRule="exact"/>
        <w:rPr>
          <w:rFonts w:ascii="宋体" w:hAnsi="宋体" w:cs="宋体"/>
          <w:color w:val="000000"/>
          <w:sz w:val="36"/>
          <w:szCs w:val="36"/>
        </w:rPr>
      </w:pPr>
      <w:bookmarkStart w:id="64" w:name="_Toc3298"/>
      <w:bookmarkEnd w:id="64"/>
      <w:r>
        <w:rPr>
          <w:rFonts w:hint="eastAsia" w:ascii="宋体" w:hAnsi="宋体" w:cs="宋体"/>
          <w:color w:val="000000"/>
          <w:sz w:val="36"/>
          <w:szCs w:val="36"/>
        </w:rPr>
        <w:t xml:space="preserve">  </w:t>
      </w:r>
      <w:bookmarkStart w:id="65" w:name="_Toc29205"/>
      <w:r>
        <w:rPr>
          <w:rFonts w:hint="eastAsia" w:ascii="宋体" w:hAnsi="宋体" w:cs="宋体"/>
          <w:color w:val="000000"/>
          <w:sz w:val="36"/>
          <w:szCs w:val="36"/>
        </w:rPr>
        <w:t>评标方法</w:t>
      </w:r>
      <w:bookmarkEnd w:id="65"/>
    </w:p>
    <w:p>
      <w:pPr>
        <w:spacing w:line="500" w:lineRule="exact"/>
        <w:ind w:firstLine="480" w:firstLineChars="200"/>
        <w:rPr>
          <w:rFonts w:ascii="宋体" w:hAnsi="宋体" w:cs="宋体"/>
          <w:sz w:val="24"/>
          <w:szCs w:val="24"/>
          <w:highlight w:val="red"/>
        </w:rPr>
      </w:pPr>
      <w:r>
        <w:rPr>
          <w:rFonts w:hint="eastAsia" w:ascii="宋体" w:hAnsi="宋体" w:cs="宋体"/>
          <w:sz w:val="24"/>
          <w:szCs w:val="24"/>
        </w:rPr>
        <w:t>本次评标方法采用综合评分法，综合评分因素的主要因素为报价、技术、业绩、服务等以及对招标文件的响应程度。每一供应商的最终得分为所有评委评分的算数平均值四舍五入后保留到小数点后两位。</w:t>
      </w:r>
    </w:p>
    <w:tbl>
      <w:tblPr>
        <w:tblStyle w:val="37"/>
        <w:tblW w:w="89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232"/>
        <w:gridCol w:w="758"/>
        <w:gridCol w:w="4769"/>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518" w:type="dxa"/>
            <w:vAlign w:val="center"/>
          </w:tcPr>
          <w:p>
            <w:pPr>
              <w:widowControl/>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232" w:type="dxa"/>
            <w:vAlign w:val="center"/>
          </w:tcPr>
          <w:p>
            <w:pPr>
              <w:widowControl/>
              <w:jc w:val="center"/>
              <w:rPr>
                <w:rFonts w:hint="eastAsia" w:ascii="宋体" w:hAnsi="宋体" w:eastAsia="宋体" w:cs="宋体"/>
                <w:b/>
                <w:sz w:val="24"/>
                <w:szCs w:val="24"/>
              </w:rPr>
            </w:pPr>
            <w:r>
              <w:rPr>
                <w:rFonts w:hint="eastAsia" w:ascii="宋体" w:hAnsi="宋体" w:eastAsia="宋体" w:cs="宋体"/>
                <w:b/>
                <w:sz w:val="24"/>
                <w:szCs w:val="24"/>
              </w:rPr>
              <w:t>评分因素及权重</w:t>
            </w:r>
          </w:p>
        </w:tc>
        <w:tc>
          <w:tcPr>
            <w:tcW w:w="758" w:type="dxa"/>
            <w:vAlign w:val="center"/>
          </w:tcPr>
          <w:p>
            <w:pPr>
              <w:widowControl/>
              <w:jc w:val="center"/>
              <w:rPr>
                <w:rFonts w:hint="eastAsia" w:ascii="宋体" w:hAnsi="宋体" w:eastAsia="宋体" w:cs="宋体"/>
                <w:b/>
                <w:sz w:val="24"/>
                <w:szCs w:val="24"/>
              </w:rPr>
            </w:pPr>
            <w:r>
              <w:rPr>
                <w:rFonts w:hint="eastAsia" w:ascii="宋体" w:hAnsi="宋体" w:eastAsia="宋体" w:cs="宋体"/>
                <w:b/>
                <w:sz w:val="24"/>
                <w:szCs w:val="24"/>
              </w:rPr>
              <w:t>分值</w:t>
            </w:r>
          </w:p>
        </w:tc>
        <w:tc>
          <w:tcPr>
            <w:tcW w:w="4769" w:type="dxa"/>
            <w:vAlign w:val="center"/>
          </w:tcPr>
          <w:p>
            <w:pPr>
              <w:widowControl/>
              <w:jc w:val="center"/>
              <w:rPr>
                <w:rFonts w:hint="eastAsia" w:ascii="宋体" w:hAnsi="宋体" w:eastAsia="宋体" w:cs="宋体"/>
                <w:b/>
                <w:sz w:val="24"/>
                <w:szCs w:val="24"/>
              </w:rPr>
            </w:pPr>
            <w:r>
              <w:rPr>
                <w:rFonts w:hint="eastAsia" w:ascii="宋体" w:hAnsi="宋体" w:eastAsia="宋体" w:cs="宋体"/>
                <w:b/>
                <w:sz w:val="24"/>
                <w:szCs w:val="24"/>
              </w:rPr>
              <w:t>评分标准</w:t>
            </w:r>
          </w:p>
        </w:tc>
        <w:tc>
          <w:tcPr>
            <w:tcW w:w="1643" w:type="dxa"/>
            <w:vAlign w:val="center"/>
          </w:tcPr>
          <w:p>
            <w:pPr>
              <w:widowControl/>
              <w:jc w:val="center"/>
              <w:rPr>
                <w:rFonts w:hint="eastAsia" w:ascii="宋体" w:hAnsi="宋体" w:eastAsia="宋体" w:cs="宋体"/>
                <w:b/>
                <w:sz w:val="24"/>
                <w:szCs w:val="24"/>
              </w:rPr>
            </w:pPr>
            <w:r>
              <w:rPr>
                <w:rFonts w:hint="eastAsia" w:ascii="宋体" w:hAnsi="宋体" w:eastAsia="宋体" w:cs="宋体"/>
                <w:b/>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9" w:hRule="atLeast"/>
          <w:jc w:val="center"/>
        </w:trPr>
        <w:tc>
          <w:tcPr>
            <w:tcW w:w="518" w:type="dxa"/>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1</w:t>
            </w:r>
          </w:p>
        </w:tc>
        <w:tc>
          <w:tcPr>
            <w:tcW w:w="1232" w:type="dxa"/>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报价30%</w:t>
            </w:r>
          </w:p>
        </w:tc>
        <w:tc>
          <w:tcPr>
            <w:tcW w:w="758" w:type="dxa"/>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30</w:t>
            </w:r>
          </w:p>
        </w:tc>
        <w:tc>
          <w:tcPr>
            <w:tcW w:w="476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供应商的价格分值统一按下列公式计算：投标报价得分＝（评标基准价/投标报价）×30。评标基准价是指满足招标文件要求且投标价格最低的投标报价。</w:t>
            </w:r>
          </w:p>
          <w:p>
            <w:pPr>
              <w:widowControl/>
              <w:jc w:val="left"/>
              <w:rPr>
                <w:rFonts w:hint="eastAsia" w:ascii="宋体" w:hAnsi="宋体" w:eastAsia="宋体" w:cs="宋体"/>
                <w:sz w:val="24"/>
                <w:szCs w:val="24"/>
              </w:rPr>
            </w:pPr>
            <w:r>
              <w:rPr>
                <w:rFonts w:hint="eastAsia" w:ascii="宋体" w:hAnsi="宋体" w:eastAsia="宋体" w:cs="宋体"/>
                <w:sz w:val="24"/>
                <w:szCs w:val="24"/>
              </w:rPr>
              <w:t>注：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c>
          <w:tcPr>
            <w:tcW w:w="1643" w:type="dxa"/>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政策性优惠详见评审标准备注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5" w:hRule="atLeast"/>
          <w:jc w:val="center"/>
        </w:trPr>
        <w:tc>
          <w:tcPr>
            <w:tcW w:w="518" w:type="dxa"/>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2</w:t>
            </w:r>
          </w:p>
        </w:tc>
        <w:tc>
          <w:tcPr>
            <w:tcW w:w="1232" w:type="dxa"/>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技术指标和配置17%</w:t>
            </w:r>
          </w:p>
        </w:tc>
        <w:tc>
          <w:tcPr>
            <w:tcW w:w="758" w:type="dxa"/>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17</w:t>
            </w:r>
          </w:p>
        </w:tc>
        <w:tc>
          <w:tcPr>
            <w:tcW w:w="4769" w:type="dxa"/>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投标人提供所投产品的主要的技术指标（参数）的相应的证明材料（包括但不限于产品检测报告、官网和功能截图等技术支持性文件（资料），并经评审专家审定方可得分。</w:t>
            </w:r>
          </w:p>
          <w:p>
            <w:pPr>
              <w:widowControl/>
              <w:jc w:val="left"/>
              <w:rPr>
                <w:rFonts w:hint="eastAsia" w:ascii="宋体" w:hAnsi="宋体" w:eastAsia="宋体" w:cs="宋体"/>
                <w:sz w:val="24"/>
                <w:szCs w:val="24"/>
              </w:rPr>
            </w:pPr>
            <w:r>
              <w:rPr>
                <w:rFonts w:hint="eastAsia" w:ascii="宋体" w:hAnsi="宋体" w:eastAsia="宋体" w:cs="宋体"/>
                <w:sz w:val="24"/>
                <w:szCs w:val="24"/>
              </w:rPr>
              <w:t>优于或完全符合采购文件要求得17分，▲参数负偏离一项扣2分，参数负偏离一项扣1分，扣完为止。</w:t>
            </w:r>
          </w:p>
        </w:tc>
        <w:tc>
          <w:tcPr>
            <w:tcW w:w="1643" w:type="dxa"/>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采购文件要求提供证明材料而未提供或提供的证明材料不符合要求视为负偏离。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jc w:val="center"/>
        </w:trPr>
        <w:tc>
          <w:tcPr>
            <w:tcW w:w="518" w:type="dxa"/>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3</w:t>
            </w:r>
          </w:p>
        </w:tc>
        <w:tc>
          <w:tcPr>
            <w:tcW w:w="1232" w:type="dxa"/>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质量保证3%</w:t>
            </w:r>
          </w:p>
        </w:tc>
        <w:tc>
          <w:tcPr>
            <w:tcW w:w="758" w:type="dxa"/>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3</w:t>
            </w:r>
          </w:p>
        </w:tc>
        <w:tc>
          <w:tcPr>
            <w:tcW w:w="4769" w:type="dxa"/>
          </w:tcPr>
          <w:p>
            <w:pPr>
              <w:widowControl/>
              <w:jc w:val="left"/>
              <w:rPr>
                <w:rFonts w:hint="eastAsia" w:ascii="宋体" w:hAnsi="宋体" w:eastAsia="宋体" w:cs="宋体"/>
                <w:sz w:val="24"/>
                <w:szCs w:val="24"/>
              </w:rPr>
            </w:pPr>
            <w:r>
              <w:rPr>
                <w:rFonts w:hint="eastAsia" w:ascii="宋体" w:hAnsi="宋体" w:eastAsia="宋体" w:cs="宋体"/>
                <w:sz w:val="24"/>
                <w:szCs w:val="24"/>
              </w:rPr>
              <w:t>提供响应产品（智慧黑板、多媒体智能教学终端、多媒体讲台）来源渠道合法的证明文件（包括但不限于销售协议、代理协议、原厂授权等），每提供一个计1分，最高计3分，未提供不计分。</w:t>
            </w:r>
          </w:p>
        </w:tc>
        <w:tc>
          <w:tcPr>
            <w:tcW w:w="1643" w:type="dxa"/>
            <w:vAlign w:val="center"/>
          </w:tcPr>
          <w:p>
            <w:pPr>
              <w:widowControl/>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8" w:type="dxa"/>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4</w:t>
            </w:r>
          </w:p>
        </w:tc>
        <w:tc>
          <w:tcPr>
            <w:tcW w:w="1232" w:type="dxa"/>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演示10%</w:t>
            </w:r>
          </w:p>
        </w:tc>
        <w:tc>
          <w:tcPr>
            <w:tcW w:w="758" w:type="dxa"/>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10</w:t>
            </w:r>
          </w:p>
        </w:tc>
        <w:tc>
          <w:tcPr>
            <w:tcW w:w="4769" w:type="dxa"/>
          </w:tcPr>
          <w:p>
            <w:pPr>
              <w:widowControl/>
              <w:jc w:val="left"/>
              <w:rPr>
                <w:rFonts w:hint="eastAsia" w:ascii="宋体" w:hAnsi="宋体" w:eastAsia="宋体" w:cs="宋体"/>
                <w:sz w:val="24"/>
                <w:szCs w:val="24"/>
              </w:rPr>
            </w:pPr>
            <w:r>
              <w:rPr>
                <w:rFonts w:hint="eastAsia" w:ascii="宋体" w:hAnsi="宋体" w:eastAsia="宋体" w:cs="宋体"/>
                <w:sz w:val="24"/>
                <w:szCs w:val="24"/>
              </w:rPr>
              <w:t>按技术参数表中要求的演示项</w:t>
            </w:r>
            <w:r>
              <w:rPr>
                <w:rFonts w:hint="eastAsia" w:ascii="宋体" w:hAnsi="宋体" w:eastAsia="宋体" w:cs="宋体"/>
                <w:sz w:val="24"/>
                <w:szCs w:val="24"/>
                <w:lang w:eastAsia="zh-CN"/>
              </w:rPr>
              <w:t>搭建系统</w:t>
            </w:r>
            <w:r>
              <w:rPr>
                <w:rFonts w:hint="eastAsia" w:ascii="宋体" w:hAnsi="宋体" w:eastAsia="宋体" w:cs="宋体"/>
                <w:sz w:val="24"/>
                <w:szCs w:val="24"/>
              </w:rPr>
              <w:t>进行现场演示，每成功演示一项功能得</w:t>
            </w:r>
            <w:r>
              <w:rPr>
                <w:rFonts w:hint="eastAsia" w:ascii="宋体" w:hAnsi="宋体" w:eastAsia="宋体" w:cs="宋体"/>
                <w:sz w:val="24"/>
                <w:szCs w:val="24"/>
                <w:lang w:val="en-US" w:eastAsia="zh-CN"/>
              </w:rPr>
              <w:t xml:space="preserve"> 2 </w:t>
            </w:r>
            <w:r>
              <w:rPr>
                <w:rFonts w:hint="eastAsia" w:ascii="宋体" w:hAnsi="宋体" w:eastAsia="宋体" w:cs="宋体"/>
                <w:sz w:val="24"/>
                <w:szCs w:val="24"/>
              </w:rPr>
              <w:t>分，功能演示不完整</w:t>
            </w:r>
            <w:r>
              <w:rPr>
                <w:rFonts w:hint="eastAsia" w:ascii="宋体" w:hAnsi="宋体" w:eastAsia="宋体" w:cs="宋体"/>
                <w:sz w:val="24"/>
                <w:szCs w:val="24"/>
                <w:lang w:eastAsia="zh-CN"/>
              </w:rPr>
              <w:t>或</w:t>
            </w:r>
            <w:r>
              <w:rPr>
                <w:rFonts w:hint="eastAsia" w:ascii="宋体" w:hAnsi="宋体" w:eastAsia="宋体" w:cs="宋体"/>
                <w:sz w:val="24"/>
                <w:szCs w:val="24"/>
              </w:rPr>
              <w:t>不演示不得分；最多的</w:t>
            </w:r>
            <w:r>
              <w:rPr>
                <w:rFonts w:hint="eastAsia" w:ascii="宋体" w:hAnsi="宋体" w:cs="宋体"/>
                <w:sz w:val="24"/>
                <w:szCs w:val="24"/>
                <w:lang w:val="en-US" w:eastAsia="zh-CN"/>
              </w:rPr>
              <w:t>10</w:t>
            </w:r>
            <w:r>
              <w:rPr>
                <w:rFonts w:hint="eastAsia" w:ascii="宋体" w:hAnsi="宋体" w:eastAsia="宋体" w:cs="宋体"/>
                <w:sz w:val="24"/>
                <w:szCs w:val="24"/>
              </w:rPr>
              <w:t>分。</w:t>
            </w:r>
          </w:p>
          <w:p>
            <w:pPr>
              <w:widowControl/>
              <w:jc w:val="left"/>
              <w:rPr>
                <w:rFonts w:hint="eastAsia" w:ascii="宋体" w:hAnsi="宋体" w:eastAsia="宋体" w:cs="宋体"/>
                <w:sz w:val="24"/>
                <w:szCs w:val="24"/>
              </w:rPr>
            </w:pPr>
            <w:r>
              <w:rPr>
                <w:rFonts w:hint="eastAsia" w:ascii="宋体" w:hAnsi="宋体" w:eastAsia="宋体" w:cs="宋体"/>
                <w:sz w:val="24"/>
                <w:szCs w:val="24"/>
              </w:rPr>
              <w:t xml:space="preserve">（1）支持任何粉笔书写，检验字迹清晰度，书写流畅度及挂粉率。（现场板书书写演示） </w:t>
            </w:r>
          </w:p>
          <w:p>
            <w:pPr>
              <w:widowControl/>
              <w:jc w:val="left"/>
              <w:rPr>
                <w:rFonts w:hint="eastAsia" w:ascii="宋体" w:hAnsi="宋体" w:eastAsia="宋体" w:cs="宋体"/>
                <w:sz w:val="24"/>
                <w:szCs w:val="24"/>
              </w:rPr>
            </w:pPr>
            <w:r>
              <w:rPr>
                <w:rFonts w:hint="eastAsia" w:ascii="宋体" w:hAnsi="宋体" w:eastAsia="宋体" w:cs="宋体"/>
                <w:sz w:val="24"/>
                <w:szCs w:val="24"/>
              </w:rPr>
              <w:t>（2）具有刷卡开关机功能，黑板支持IC卡授权管理功能，可将不同的IC卡进行授权成为开关机卡，防止未经授权人员操作智慧黑板，确保设备日常使用的安全性。</w:t>
            </w:r>
          </w:p>
          <w:p>
            <w:pPr>
              <w:widowControl/>
              <w:jc w:val="left"/>
              <w:rPr>
                <w:rFonts w:hint="eastAsia" w:ascii="宋体" w:hAnsi="宋体" w:eastAsia="宋体" w:cs="宋体"/>
                <w:sz w:val="24"/>
                <w:szCs w:val="24"/>
              </w:rPr>
            </w:pPr>
            <w:r>
              <w:rPr>
                <w:rFonts w:hint="eastAsia" w:ascii="宋体" w:hAnsi="宋体" w:eastAsia="宋体" w:cs="宋体"/>
                <w:sz w:val="24"/>
                <w:szCs w:val="24"/>
              </w:rPr>
              <w:t>（3）智慧黑板具备前置多功能按键和接口实用便捷，可一键切换windows/android双系统实际教学应用。（检验功能）</w:t>
            </w:r>
          </w:p>
          <w:p>
            <w:pPr>
              <w:widowControl/>
              <w:jc w:val="left"/>
              <w:rPr>
                <w:rFonts w:hint="eastAsia" w:ascii="宋体" w:hAnsi="宋体" w:eastAsia="宋体" w:cs="宋体"/>
                <w:sz w:val="24"/>
                <w:szCs w:val="24"/>
              </w:rPr>
            </w:pPr>
            <w:r>
              <w:rPr>
                <w:rFonts w:hint="eastAsia" w:ascii="宋体" w:hAnsi="宋体" w:eastAsia="宋体" w:cs="宋体"/>
                <w:sz w:val="24"/>
                <w:szCs w:val="24"/>
              </w:rPr>
              <w:t xml:space="preserve">（4）智慧黑板传屏软件支持手机、笔记本电脑等移动端通过自动搜索接收端设备和六位识别码两种方式无线连接到智慧黑板。（检验功能） </w:t>
            </w:r>
          </w:p>
          <w:p>
            <w:pPr>
              <w:widowControl/>
              <w:jc w:val="left"/>
              <w:rPr>
                <w:rFonts w:hint="eastAsia" w:ascii="宋体" w:hAnsi="宋体" w:eastAsia="宋体" w:cs="宋体"/>
                <w:sz w:val="24"/>
                <w:szCs w:val="24"/>
              </w:rPr>
            </w:pPr>
            <w:r>
              <w:rPr>
                <w:rFonts w:hint="eastAsia" w:ascii="宋体" w:hAnsi="宋体" w:eastAsia="宋体" w:cs="宋体"/>
                <w:sz w:val="24"/>
                <w:szCs w:val="24"/>
              </w:rPr>
              <w:t>（5）黑板内置互动课堂系统，可与区教育局同步课堂云平台中的其它教室进行实时互动，完成教学，教研等应用场景。（演示远程互动过程中的随机提问功能，可以对远端互动教室端进行随机抽选提问）</w:t>
            </w:r>
          </w:p>
        </w:tc>
        <w:tc>
          <w:tcPr>
            <w:tcW w:w="1643" w:type="dxa"/>
            <w:vAlign w:val="center"/>
          </w:tcPr>
          <w:p>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供应商提供所投设备</w:t>
            </w:r>
            <w:r>
              <w:rPr>
                <w:rFonts w:hint="eastAsia" w:ascii="宋体" w:hAnsi="宋体" w:eastAsia="宋体" w:cs="宋体"/>
                <w:sz w:val="24"/>
                <w:szCs w:val="24"/>
                <w:highlight w:val="none"/>
                <w:lang w:eastAsia="zh-CN"/>
              </w:rPr>
              <w:t>进行演示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rPr>
              <w:t>演示时间不超过15分钟，演示现场只提供市电电源，演示所需的其它如：网络环境搭建、各类信号转换、显示设备、线材等自行解决，供应商现场提供所投设备进行演示</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8" w:hRule="atLeast"/>
          <w:jc w:val="center"/>
        </w:trPr>
        <w:tc>
          <w:tcPr>
            <w:tcW w:w="518" w:type="dxa"/>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5</w:t>
            </w:r>
          </w:p>
        </w:tc>
        <w:tc>
          <w:tcPr>
            <w:tcW w:w="1232" w:type="dxa"/>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技术方案8%</w:t>
            </w:r>
          </w:p>
        </w:tc>
        <w:tc>
          <w:tcPr>
            <w:tcW w:w="758" w:type="dxa"/>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8</w:t>
            </w:r>
          </w:p>
        </w:tc>
        <w:tc>
          <w:tcPr>
            <w:tcW w:w="4769" w:type="dxa"/>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根据供应商提供的技术方案包含但不限于产品选型和模块功能的选配能够体现出在学校在应用方面的先进性、兼容性、安全性、可扩展性，有学校应用场景，符合当前教育信息化发展方向，方案制定内容齐全，各类措施健全，完全满足采购需求并符合本项目实施特点得8分；每缺少一项扣2分，每有一处内容与实际需求不符扣1-1.5分，扣完为止。</w:t>
            </w:r>
          </w:p>
        </w:tc>
        <w:tc>
          <w:tcPr>
            <w:tcW w:w="1643" w:type="dxa"/>
            <w:vAlign w:val="center"/>
          </w:tcPr>
          <w:p>
            <w:pPr>
              <w:widowControl/>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2" w:hRule="atLeast"/>
          <w:jc w:val="center"/>
        </w:trPr>
        <w:tc>
          <w:tcPr>
            <w:tcW w:w="518" w:type="dxa"/>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6</w:t>
            </w:r>
          </w:p>
        </w:tc>
        <w:tc>
          <w:tcPr>
            <w:tcW w:w="1232" w:type="dxa"/>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实施方案12%</w:t>
            </w:r>
          </w:p>
        </w:tc>
        <w:tc>
          <w:tcPr>
            <w:tcW w:w="758" w:type="dxa"/>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12</w:t>
            </w:r>
          </w:p>
        </w:tc>
        <w:tc>
          <w:tcPr>
            <w:tcW w:w="4769" w:type="dxa"/>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具有完整的项目实施方案，包括项目总体实施方案、项目实施难点分析、项目团队方案、项目应急预案、项目实施安全方案、系统安装调试方案、项目验收方案、项目实施协调工作机制的建立等内容。</w:t>
            </w:r>
          </w:p>
          <w:p>
            <w:pPr>
              <w:widowControl/>
              <w:jc w:val="left"/>
              <w:rPr>
                <w:rFonts w:hint="eastAsia" w:ascii="宋体" w:hAnsi="宋体" w:eastAsia="宋体" w:cs="宋体"/>
                <w:sz w:val="24"/>
                <w:szCs w:val="24"/>
              </w:rPr>
            </w:pPr>
            <w:r>
              <w:rPr>
                <w:rFonts w:hint="eastAsia" w:ascii="宋体" w:hAnsi="宋体" w:eastAsia="宋体" w:cs="宋体"/>
                <w:sz w:val="24"/>
                <w:szCs w:val="24"/>
              </w:rPr>
              <w:t>方案制定内容齐全，各类措施健全，完全满足采购需求并符合本项目实施特点得12分；以上方面中每缺少一方面内容扣1.5分；每有一处内容与实际需求不符或不满足要求扣0.5-1分，扣完为止。</w:t>
            </w:r>
          </w:p>
        </w:tc>
        <w:tc>
          <w:tcPr>
            <w:tcW w:w="1643" w:type="dxa"/>
            <w:vAlign w:val="center"/>
          </w:tcPr>
          <w:p>
            <w:pPr>
              <w:widowControl/>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8"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7</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售后服务7%</w:t>
            </w:r>
          </w:p>
        </w:tc>
        <w:tc>
          <w:tcPr>
            <w:tcW w:w="75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7</w:t>
            </w:r>
          </w:p>
        </w:tc>
        <w:tc>
          <w:tcPr>
            <w:tcW w:w="476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r>
              <w:rPr>
                <w:rFonts w:hint="eastAsia" w:ascii="宋体" w:hAnsi="宋体" w:eastAsia="宋体" w:cs="宋体"/>
                <w:bCs/>
                <w:sz w:val="24"/>
                <w:szCs w:val="24"/>
              </w:rPr>
              <w:t>投标人提供售后服务方案（包含但不限于售后服务机制承诺、售后服务保障措施、售后服务人员配置及计划、故障处理等的响应时间安排计划、质量保证期限、质量保证的范围承诺、应急处理方案），售后服务方案完整且具有符合实际需求的得7分，每缺少一项扣1分，某一项不完整或不符合实际需求的扣0.1-0.5分，扣完为止。</w:t>
            </w:r>
          </w:p>
        </w:tc>
        <w:tc>
          <w:tcPr>
            <w:tcW w:w="164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1"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8</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培训方案7%</w:t>
            </w:r>
          </w:p>
        </w:tc>
        <w:tc>
          <w:tcPr>
            <w:tcW w:w="75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7</w:t>
            </w:r>
          </w:p>
        </w:tc>
        <w:tc>
          <w:tcPr>
            <w:tcW w:w="476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根据供应商提供的培训方案，方案应包含培训目标、培训内容、培训方式、培训计划、培训组织安排、培训人员配置、完善的培训体系。</w:t>
            </w:r>
            <w:r>
              <w:rPr>
                <w:rFonts w:hint="eastAsia" w:ascii="宋体" w:hAnsi="宋体" w:eastAsia="宋体" w:cs="宋体"/>
                <w:bCs/>
                <w:sz w:val="24"/>
                <w:szCs w:val="24"/>
              </w:rPr>
              <w:t>培训方案完整且具有符合实际需求的得7分，每缺少一项扣1分，某一项不完整或不符合实际需求的扣0.1-0.5分，扣完为止。</w:t>
            </w:r>
          </w:p>
        </w:tc>
        <w:tc>
          <w:tcPr>
            <w:tcW w:w="164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9</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业绩5%</w:t>
            </w:r>
          </w:p>
        </w:tc>
        <w:tc>
          <w:tcPr>
            <w:tcW w:w="75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5</w:t>
            </w:r>
          </w:p>
        </w:tc>
        <w:tc>
          <w:tcPr>
            <w:tcW w:w="476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供应商提供2018年1月1日至今同类项目合同（以合同签订日期为准，仅限供应商本身，提供完整合同）进行评定，每份计1分，最高计5分。</w:t>
            </w:r>
          </w:p>
        </w:tc>
        <w:tc>
          <w:tcPr>
            <w:tcW w:w="164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现场提供原件备查；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10</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节能环保产品1%</w:t>
            </w:r>
          </w:p>
        </w:tc>
        <w:tc>
          <w:tcPr>
            <w:tcW w:w="75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1</w:t>
            </w:r>
          </w:p>
        </w:tc>
        <w:tc>
          <w:tcPr>
            <w:tcW w:w="476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供应商所投产品中每有一项经国家认证机构认定为节能产品的得0.5分，每有一项为环境标志产品的得0.5分，供应商所投产品中每有一项产品即为节能产品又是环境标志产品得1分（产品不重复计分，如某一产品得到1分，不能再计节能或环境标志产品的0.5分），最多得1分。</w:t>
            </w:r>
          </w:p>
        </w:tc>
        <w:tc>
          <w:tcPr>
            <w:tcW w:w="164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以国家确定的认证机构出具的、处于有效期内的节能产品、环境标志产品认证证书为准。</w:t>
            </w:r>
          </w:p>
        </w:tc>
      </w:tr>
    </w:tbl>
    <w:p/>
    <w:p>
      <w:pPr>
        <w:spacing w:line="360" w:lineRule="auto"/>
        <w:rPr>
          <w:rFonts w:ascii="宋体" w:hAnsi="宋体" w:cs="宋体"/>
          <w:b/>
          <w:bCs/>
          <w:sz w:val="24"/>
        </w:rPr>
      </w:pPr>
      <w:r>
        <w:rPr>
          <w:rFonts w:hint="eastAsia" w:ascii="宋体" w:hAnsi="宋体" w:cs="宋体"/>
          <w:b/>
          <w:bCs/>
          <w:sz w:val="24"/>
        </w:rPr>
        <w:t xml:space="preserve">评审标准备注： </w:t>
      </w:r>
    </w:p>
    <w:p>
      <w:pPr>
        <w:spacing w:line="360" w:lineRule="auto"/>
        <w:ind w:firstLine="482" w:firstLineChars="200"/>
        <w:rPr>
          <w:rFonts w:hint="eastAsia" w:ascii="宋体" w:hAnsi="宋体" w:cs="宋体"/>
          <w:b/>
          <w:bCs/>
          <w:sz w:val="24"/>
        </w:rPr>
      </w:pPr>
      <w:bookmarkStart w:id="66" w:name="_Toc2046"/>
      <w:bookmarkStart w:id="67" w:name="_Toc2536"/>
      <w:bookmarkStart w:id="68" w:name="_Toc17048"/>
      <w:bookmarkStart w:id="69" w:name="_Toc6835"/>
      <w:bookmarkStart w:id="70" w:name="_Toc15647"/>
      <w:bookmarkStart w:id="71" w:name="_Toc14172"/>
      <w:r>
        <w:rPr>
          <w:rFonts w:hint="eastAsia" w:ascii="宋体" w:hAnsi="宋体" w:cs="宋体"/>
          <w:b/>
          <w:bCs/>
          <w:sz w:val="24"/>
        </w:rPr>
        <w:t>1、本项目专门面向中小企业采购。中小企业参加政府采购活动，必须出具《政府采购促进中小企业发展管理办法》（财库〔2020〕46号）规定的《中小企业声明函》，否则按无效响应处理。</w:t>
      </w:r>
    </w:p>
    <w:p>
      <w:pPr>
        <w:spacing w:line="360" w:lineRule="auto"/>
        <w:ind w:firstLine="482" w:firstLineChars="200"/>
        <w:rPr>
          <w:rFonts w:hint="eastAsia" w:ascii="宋体" w:hAnsi="宋体" w:cs="宋体"/>
          <w:b/>
          <w:bCs/>
          <w:sz w:val="24"/>
        </w:rPr>
      </w:pPr>
      <w:r>
        <w:rPr>
          <w:rFonts w:hint="eastAsia" w:ascii="宋体" w:hAnsi="宋体" w:cs="宋体"/>
          <w:b/>
          <w:bCs/>
          <w:sz w:val="24"/>
        </w:rPr>
        <w:t>2、在政府采购活动中，监狱企业视同小型、微型企业。监狱企业参加政府采购活动时，须提供由省级以上监狱管理局、戒毒管理局（含新疆生产建设兵团）出具的属于监狱企业的证明文件，否则按无效响应处理。</w:t>
      </w:r>
    </w:p>
    <w:p>
      <w:pPr>
        <w:spacing w:line="360" w:lineRule="auto"/>
        <w:ind w:firstLine="482" w:firstLineChars="200"/>
        <w:rPr>
          <w:rFonts w:hint="eastAsia" w:ascii="宋体" w:hAnsi="宋体" w:cs="宋体"/>
          <w:b/>
          <w:bCs/>
          <w:sz w:val="24"/>
        </w:rPr>
      </w:pPr>
      <w:r>
        <w:rPr>
          <w:rFonts w:hint="eastAsia" w:ascii="宋体" w:hAnsi="宋体" w:cs="宋体"/>
          <w:b/>
          <w:bCs/>
          <w:sz w:val="24"/>
        </w:rPr>
        <w:t>3、在政府采购活动中，残疾人福利性单位视同小型、微型企业。残疾人福利性单位参加政府采购活动时，须出具三部门联合发布关于促进残疾人就业政府采购政策的通知财库〔2017〕141号规定的残疾人福利性单位声明函，否则按无效响应处理。</w:t>
      </w:r>
    </w:p>
    <w:p>
      <w:pPr>
        <w:spacing w:line="360" w:lineRule="auto"/>
        <w:ind w:firstLine="482" w:firstLineChars="200"/>
        <w:rPr>
          <w:rFonts w:ascii="宋体" w:hAnsi="宋体" w:cs="宋体"/>
          <w:b/>
          <w:bCs/>
          <w:sz w:val="24"/>
        </w:rPr>
      </w:pPr>
      <w:r>
        <w:rPr>
          <w:rFonts w:hint="eastAsia" w:ascii="宋体" w:hAnsi="宋体" w:cs="宋体"/>
          <w:b/>
          <w:bCs/>
          <w:sz w:val="24"/>
          <w:lang w:val="en-US" w:eastAsia="zh-CN"/>
        </w:rPr>
        <w:t>4.</w:t>
      </w:r>
      <w:r>
        <w:rPr>
          <w:rFonts w:hint="eastAsia" w:ascii="宋体" w:hAnsi="宋体" w:cs="宋体"/>
          <w:b/>
          <w:bCs/>
          <w:sz w:val="24"/>
        </w:rPr>
        <w:t>节能环保产品以节能产品、环境标志产品认证证书为准</w:t>
      </w:r>
    </w:p>
    <w:p>
      <w:pPr>
        <w:spacing w:line="360" w:lineRule="auto"/>
        <w:ind w:firstLine="482" w:firstLineChars="200"/>
        <w:rPr>
          <w:rFonts w:ascii="宋体" w:hAnsi="宋体" w:cs="宋体"/>
          <w:b/>
          <w:bCs/>
          <w:sz w:val="24"/>
        </w:rPr>
      </w:pPr>
      <w:r>
        <w:rPr>
          <w:rFonts w:hint="eastAsia" w:ascii="宋体" w:hAnsi="宋体" w:cs="宋体"/>
          <w:b/>
          <w:bCs/>
          <w:sz w:val="24"/>
          <w:lang w:val="en-US" w:eastAsia="zh-CN"/>
        </w:rPr>
        <w:t>5</w:t>
      </w:r>
      <w:r>
        <w:rPr>
          <w:rFonts w:hint="eastAsia" w:ascii="宋体" w:hAnsi="宋体" w:cs="宋体"/>
          <w:b/>
          <w:bCs/>
          <w:sz w:val="24"/>
        </w:rPr>
        <w:t>.评审指标出现漏项的最低得分为零分。</w:t>
      </w:r>
      <w:bookmarkStart w:id="72" w:name="_Toc262"/>
    </w:p>
    <w:bookmarkEnd w:id="72"/>
    <w:p>
      <w:pPr>
        <w:pStyle w:val="3"/>
        <w:pageBreakBefore/>
        <w:numPr>
          <w:ilvl w:val="0"/>
          <w:numId w:val="21"/>
        </w:numPr>
        <w:spacing w:before="319" w:beforeLines="100" w:after="319" w:afterLines="100" w:line="500" w:lineRule="exact"/>
        <w:rPr>
          <w:rFonts w:ascii="宋体" w:hAnsi="宋体" w:cs="宋体"/>
          <w:color w:val="000000"/>
          <w:sz w:val="36"/>
          <w:szCs w:val="36"/>
        </w:rPr>
      </w:pPr>
      <w:r>
        <w:rPr>
          <w:rFonts w:hint="eastAsia" w:ascii="宋体" w:hAnsi="宋体" w:cs="宋体"/>
          <w:color w:val="000000"/>
          <w:sz w:val="36"/>
          <w:szCs w:val="36"/>
        </w:rPr>
        <w:t xml:space="preserve">  采购要求</w:t>
      </w:r>
      <w:bookmarkEnd w:id="66"/>
    </w:p>
    <w:p>
      <w:pPr>
        <w:numPr>
          <w:ilvl w:val="0"/>
          <w:numId w:val="22"/>
        </w:numPr>
        <w:spacing w:line="500" w:lineRule="exact"/>
        <w:rPr>
          <w:rFonts w:ascii="宋体" w:hAnsi="宋体" w:cs="宋体"/>
          <w:sz w:val="24"/>
        </w:rPr>
      </w:pPr>
      <w:r>
        <w:rPr>
          <w:rFonts w:hint="eastAsia" w:ascii="宋体" w:hAnsi="宋体" w:cs="宋体"/>
          <w:sz w:val="24"/>
        </w:rPr>
        <w:t>服务要求</w:t>
      </w:r>
    </w:p>
    <w:p>
      <w:pPr>
        <w:kinsoku w:val="0"/>
        <w:spacing w:line="400" w:lineRule="exact"/>
        <w:ind w:firstLine="480" w:firstLineChars="200"/>
        <w:rPr>
          <w:rFonts w:ascii="宋体" w:hAnsi="宋体" w:cs="宋体"/>
          <w:sz w:val="24"/>
        </w:rPr>
      </w:pPr>
      <w:r>
        <w:rPr>
          <w:rFonts w:hint="eastAsia" w:ascii="宋体" w:hAnsi="宋体" w:cs="宋体"/>
          <w:sz w:val="24"/>
        </w:rPr>
        <w:t xml:space="preserve">整套设备免费售后维护保养不小于 </w:t>
      </w:r>
      <w:r>
        <w:rPr>
          <w:rFonts w:ascii="宋体" w:hAnsi="宋体" w:cs="宋体"/>
          <w:sz w:val="24"/>
        </w:rPr>
        <w:t>3</w:t>
      </w:r>
      <w:r>
        <w:rPr>
          <w:rFonts w:hint="eastAsia" w:ascii="宋体" w:hAnsi="宋体" w:cs="宋体"/>
          <w:sz w:val="24"/>
        </w:rPr>
        <w:t xml:space="preserve"> 年。售后服务要求及时，接到用户报修维护信息后 30分钟内予以技术响应，2个工作日内如不能修复系统故障则提供备用设备。</w:t>
      </w:r>
    </w:p>
    <w:p>
      <w:pPr>
        <w:kinsoku w:val="0"/>
        <w:spacing w:line="400" w:lineRule="exact"/>
        <w:ind w:firstLine="480" w:firstLineChars="200"/>
        <w:rPr>
          <w:rFonts w:ascii="宋体" w:hAnsi="宋体" w:cs="宋体"/>
          <w:sz w:val="24"/>
        </w:rPr>
      </w:pPr>
      <w:r>
        <w:rPr>
          <w:rFonts w:hint="eastAsia" w:ascii="宋体" w:hAnsi="宋体" w:cs="宋体"/>
          <w:sz w:val="24"/>
        </w:rPr>
        <w:t>在设备免费保修期内，如投标人未及时响应，采购人有权安排他人到场维护，相关费用从项目履约保证金内扣除。</w:t>
      </w:r>
    </w:p>
    <w:p>
      <w:pPr>
        <w:kinsoku w:val="0"/>
        <w:spacing w:line="400" w:lineRule="exact"/>
        <w:ind w:firstLine="480" w:firstLineChars="200"/>
        <w:rPr>
          <w:rFonts w:ascii="宋体" w:hAnsi="宋体" w:cs="宋体"/>
          <w:sz w:val="24"/>
        </w:rPr>
      </w:pPr>
      <w:r>
        <w:rPr>
          <w:rFonts w:hint="eastAsia" w:ascii="宋体" w:hAnsi="宋体" w:cs="宋体"/>
          <w:sz w:val="24"/>
        </w:rPr>
        <w:t>设备安装调试完成通过验收后，应将相关文档资料和售后服务联系方式（联系人、固定电话、手机）交使用方。售后服务联系方式变更的，应及时通知使用方。</w:t>
      </w:r>
    </w:p>
    <w:p>
      <w:pPr>
        <w:kinsoku w:val="0"/>
        <w:spacing w:line="400" w:lineRule="exact"/>
        <w:ind w:firstLine="480" w:firstLineChars="200"/>
        <w:rPr>
          <w:rFonts w:ascii="宋体" w:hAnsi="宋体" w:cs="宋体"/>
          <w:sz w:val="24"/>
        </w:rPr>
      </w:pPr>
      <w:r>
        <w:rPr>
          <w:rFonts w:hint="eastAsia" w:ascii="宋体" w:hAnsi="宋体" w:cs="宋体"/>
          <w:sz w:val="24"/>
        </w:rPr>
        <w:t>每套设备必须在显著位置标明中标人公司名称，联系电话和保修期限，保修期限按合同承诺。</w:t>
      </w:r>
    </w:p>
    <w:p>
      <w:pPr>
        <w:kinsoku w:val="0"/>
        <w:spacing w:line="400" w:lineRule="exact"/>
        <w:ind w:firstLine="480" w:firstLineChars="200"/>
        <w:rPr>
          <w:rFonts w:ascii="宋体" w:hAnsi="宋体" w:cs="宋体"/>
          <w:sz w:val="24"/>
        </w:rPr>
      </w:pPr>
      <w:r>
        <w:rPr>
          <w:rFonts w:hint="eastAsia" w:ascii="宋体" w:hAnsi="宋体" w:cs="宋体"/>
          <w:sz w:val="24"/>
        </w:rPr>
        <w:t>中标人应对本项目中使用教师进行使用培训，应通过编制培训教材（含光盘）、现场操作讲解等方式，负责对使用方进行操作培训，直至使用方熟练掌握，并向每个培训老师提供一本培训手册。培训结束后由学校受训人员签字确认。</w:t>
      </w:r>
    </w:p>
    <w:p>
      <w:pPr>
        <w:kinsoku w:val="0"/>
        <w:spacing w:line="400" w:lineRule="exact"/>
        <w:ind w:firstLine="480" w:firstLineChars="200"/>
        <w:rPr>
          <w:rFonts w:ascii="宋体" w:hAnsi="宋体" w:cs="宋体"/>
          <w:sz w:val="24"/>
        </w:rPr>
      </w:pPr>
      <w:r>
        <w:rPr>
          <w:rFonts w:hint="eastAsia" w:ascii="宋体" w:hAnsi="宋体" w:cs="宋体"/>
          <w:sz w:val="24"/>
        </w:rPr>
        <w:t>在设备安装期间造成用户其它设施设备损坏的，由中标人照价赔偿或修复。</w:t>
      </w:r>
    </w:p>
    <w:tbl>
      <w:tblPr>
        <w:tblStyle w:val="37"/>
        <w:tblW w:w="8991" w:type="dxa"/>
        <w:jc w:val="center"/>
        <w:tblInd w:w="0" w:type="dxa"/>
        <w:tblLayout w:type="fixed"/>
        <w:tblCellMar>
          <w:top w:w="15" w:type="dxa"/>
          <w:left w:w="15" w:type="dxa"/>
          <w:bottom w:w="15" w:type="dxa"/>
          <w:right w:w="15" w:type="dxa"/>
        </w:tblCellMar>
      </w:tblPr>
      <w:tblGrid>
        <w:gridCol w:w="534"/>
        <w:gridCol w:w="1255"/>
        <w:gridCol w:w="6075"/>
        <w:gridCol w:w="584"/>
        <w:gridCol w:w="543"/>
      </w:tblGrid>
      <w:tr>
        <w:tblPrEx>
          <w:tblLayout w:type="fixed"/>
          <w:tblCellMar>
            <w:top w:w="15" w:type="dxa"/>
            <w:left w:w="15" w:type="dxa"/>
            <w:bottom w:w="15" w:type="dxa"/>
            <w:right w:w="15" w:type="dxa"/>
          </w:tblCellMar>
        </w:tblPrEx>
        <w:trPr>
          <w:trHeight w:val="462"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12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设备名称</w:t>
            </w:r>
          </w:p>
        </w:tc>
        <w:tc>
          <w:tcPr>
            <w:tcW w:w="6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参数</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数量</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单位</w:t>
            </w:r>
          </w:p>
        </w:tc>
      </w:tr>
      <w:tr>
        <w:tblPrEx>
          <w:tblLayout w:type="fixed"/>
          <w:tblCellMar>
            <w:top w:w="15" w:type="dxa"/>
            <w:left w:w="15" w:type="dxa"/>
            <w:bottom w:w="15" w:type="dxa"/>
            <w:right w:w="15" w:type="dxa"/>
          </w:tblCellMar>
        </w:tblPrEx>
        <w:trPr>
          <w:trHeight w:val="4189" w:hRule="atLeast"/>
          <w:jc w:val="center"/>
        </w:trPr>
        <w:tc>
          <w:tcPr>
            <w:tcW w:w="5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智慧黑板</w:t>
            </w:r>
          </w:p>
        </w:tc>
        <w:tc>
          <w:tcPr>
            <w:tcW w:w="6075"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sz w:val="24"/>
                <w:szCs w:val="24"/>
              </w:rPr>
            </w:pPr>
            <w:r>
              <w:rPr>
                <w:rFonts w:hint="eastAsia" w:ascii="宋体" w:hAnsi="宋体" w:eastAsia="宋体" w:cs="宋体"/>
                <w:b/>
                <w:sz w:val="24"/>
                <w:szCs w:val="24"/>
              </w:rPr>
              <w:t>一．智慧黑板</w:t>
            </w:r>
          </w:p>
          <w:p>
            <w:pPr>
              <w:rPr>
                <w:rFonts w:hint="eastAsia" w:ascii="宋体" w:hAnsi="宋体" w:eastAsia="宋体" w:cs="宋体"/>
                <w:sz w:val="24"/>
                <w:szCs w:val="24"/>
              </w:rPr>
            </w:pPr>
            <w:r>
              <w:rPr>
                <w:rFonts w:hint="eastAsia" w:ascii="宋体" w:hAnsi="宋体" w:eastAsia="宋体" w:cs="宋体"/>
                <w:sz w:val="24"/>
                <w:szCs w:val="24"/>
              </w:rPr>
              <w:t>★1.智慧黑板液晶屏尺寸≥86英寸。</w:t>
            </w:r>
          </w:p>
          <w:p>
            <w:pPr>
              <w:rPr>
                <w:rFonts w:hint="eastAsia" w:ascii="宋体" w:hAnsi="宋体" w:eastAsia="宋体" w:cs="宋体"/>
                <w:sz w:val="24"/>
                <w:szCs w:val="24"/>
              </w:rPr>
            </w:pPr>
            <w:r>
              <w:rPr>
                <w:rFonts w:hint="eastAsia" w:ascii="宋体" w:hAnsi="宋体" w:eastAsia="宋体" w:cs="宋体"/>
                <w:sz w:val="24"/>
                <w:szCs w:val="24"/>
              </w:rPr>
              <w:t>2.要求采用一体化设计，无明显拼接痕迹，外观简洁。可显示视频内容，进行交互触控操作等。黑板支持无尘粉笔，普通粉笔，环保水笔等多种媒介书写。</w:t>
            </w:r>
          </w:p>
          <w:p>
            <w:pPr>
              <w:rPr>
                <w:rStyle w:val="88"/>
                <w:rFonts w:hint="eastAsia" w:ascii="宋体" w:hAnsi="宋体" w:eastAsia="宋体" w:cs="宋体"/>
                <w:kern w:val="0"/>
                <w:sz w:val="24"/>
                <w:szCs w:val="24"/>
              </w:rPr>
            </w:pPr>
            <w:r>
              <w:rPr>
                <w:rFonts w:hint="eastAsia" w:ascii="宋体" w:hAnsi="宋体" w:eastAsia="宋体" w:cs="宋体"/>
                <w:sz w:val="24"/>
                <w:szCs w:val="24"/>
              </w:rPr>
              <w:t>▲3.要求智慧黑板具有一体化粉笔槽设计，可放置粉笔，翻页笔等物品，左右副板采用有机复合书写板，粉笔书写流畅、清晰，表面平整耐磨、抗冲击，支持磁性材料吸附。</w:t>
            </w:r>
          </w:p>
          <w:p>
            <w:pPr>
              <w:rPr>
                <w:rStyle w:val="88"/>
                <w:rFonts w:hint="eastAsia" w:ascii="宋体" w:hAnsi="宋体" w:eastAsia="宋体" w:cs="宋体"/>
                <w:sz w:val="24"/>
                <w:szCs w:val="24"/>
                <w:highlight w:val="yellow"/>
              </w:rPr>
            </w:pPr>
            <w:r>
              <w:rPr>
                <w:rFonts w:hint="eastAsia" w:ascii="宋体" w:hAnsi="宋体" w:eastAsia="宋体" w:cs="宋体"/>
                <w:sz w:val="24"/>
                <w:szCs w:val="24"/>
              </w:rPr>
              <w:t>▲4.黑板显示分辨率≥3840X2160。</w:t>
            </w:r>
            <w:r>
              <w:rPr>
                <w:rFonts w:hint="eastAsia" w:ascii="宋体" w:hAnsi="宋体" w:eastAsia="宋体" w:cs="宋体"/>
                <w:b/>
                <w:bCs/>
                <w:sz w:val="24"/>
                <w:szCs w:val="24"/>
              </w:rPr>
              <w:t>（提供证明材料）</w:t>
            </w:r>
          </w:p>
          <w:p>
            <w:pPr>
              <w:rPr>
                <w:rFonts w:hint="eastAsia" w:ascii="宋体" w:hAnsi="宋体" w:eastAsia="宋体" w:cs="宋体"/>
                <w:sz w:val="24"/>
                <w:szCs w:val="24"/>
              </w:rPr>
            </w:pPr>
            <w:r>
              <w:rPr>
                <w:rFonts w:hint="eastAsia" w:ascii="宋体" w:hAnsi="宋体" w:eastAsia="宋体" w:cs="宋体"/>
                <w:sz w:val="24"/>
                <w:szCs w:val="24"/>
              </w:rPr>
              <w:t>5.采用液晶显示屏对比度不低于4000:1，亮度不低于450cd/㎡，可视角度不低于178°，响应速度≤8ms。</w:t>
            </w:r>
          </w:p>
          <w:p>
            <w:pPr>
              <w:rPr>
                <w:rFonts w:hint="eastAsia" w:ascii="宋体" w:hAnsi="宋体" w:eastAsia="宋体" w:cs="宋体"/>
                <w:b/>
                <w:sz w:val="24"/>
                <w:szCs w:val="24"/>
              </w:rPr>
            </w:pPr>
            <w:r>
              <w:rPr>
                <w:rFonts w:hint="eastAsia" w:ascii="宋体" w:hAnsi="宋体" w:eastAsia="宋体" w:cs="宋体"/>
                <w:sz w:val="24"/>
                <w:szCs w:val="24"/>
              </w:rPr>
              <w:t>★6.智慧黑板采用电容触控技术，减少显示面板与玻璃间的偏光、散射，可视角度更广，支持不少于20点的触控互动体验</w:t>
            </w:r>
            <w:r>
              <w:rPr>
                <w:rFonts w:hint="eastAsia" w:ascii="宋体" w:hAnsi="宋体" w:eastAsia="宋体" w:cs="宋体"/>
                <w:b/>
                <w:sz w:val="24"/>
                <w:szCs w:val="24"/>
              </w:rPr>
              <w:t>（提供证明材料）。</w:t>
            </w:r>
          </w:p>
          <w:p>
            <w:pPr>
              <w:rPr>
                <w:rFonts w:hint="eastAsia" w:ascii="宋体" w:hAnsi="宋体" w:eastAsia="宋体" w:cs="宋体"/>
                <w:sz w:val="24"/>
                <w:szCs w:val="24"/>
              </w:rPr>
            </w:pPr>
            <w:r>
              <w:rPr>
                <w:rFonts w:hint="eastAsia" w:ascii="宋体" w:hAnsi="宋体" w:eastAsia="宋体" w:cs="宋体"/>
                <w:sz w:val="24"/>
                <w:szCs w:val="24"/>
              </w:rPr>
              <w:t>7.支持智慧黑板处于关机通电状态，外接电脑显示信号通过传输线连接至智慧黑板时，智慧黑板智能识别外接电脑设备信号输入并自动开机。</w:t>
            </w:r>
          </w:p>
          <w:p>
            <w:pPr>
              <w:rPr>
                <w:rFonts w:hint="eastAsia" w:ascii="宋体" w:hAnsi="宋体" w:eastAsia="宋体" w:cs="宋体"/>
                <w:sz w:val="24"/>
                <w:szCs w:val="24"/>
              </w:rPr>
            </w:pPr>
            <w:r>
              <w:rPr>
                <w:rFonts w:hint="eastAsia" w:ascii="宋体" w:hAnsi="宋体" w:eastAsia="宋体" w:cs="宋体"/>
                <w:sz w:val="24"/>
                <w:szCs w:val="24"/>
              </w:rPr>
              <w:t>8.智慧黑板支持环境感光功能，能感应并自动调节屏幕亮度来达到在不同光照环境下的最佳显示效果和相关功能。</w:t>
            </w:r>
          </w:p>
          <w:p>
            <w:pPr>
              <w:rPr>
                <w:rStyle w:val="88"/>
                <w:rFonts w:hint="eastAsia" w:ascii="宋体" w:hAnsi="宋体" w:eastAsia="宋体" w:cs="宋体"/>
                <w:b/>
                <w:sz w:val="24"/>
                <w:szCs w:val="24"/>
              </w:rPr>
            </w:pPr>
            <w:r>
              <w:rPr>
                <w:rStyle w:val="88"/>
                <w:rFonts w:hint="eastAsia" w:ascii="宋体" w:hAnsi="宋体" w:eastAsia="宋体" w:cs="宋体"/>
                <w:sz w:val="24"/>
                <w:szCs w:val="24"/>
              </w:rPr>
              <w:t>9.产品具有智能手势识别开关黑板背光功能，操作者可在显示区域任意位置，任意通道信号下，通过五指按压屏幕实现对屏幕的开关，触控功能与传统书写功能瞬间切换，切换响应速度</w:t>
            </w:r>
            <w:r>
              <w:rPr>
                <w:rFonts w:hint="eastAsia" w:ascii="宋体" w:hAnsi="宋体" w:eastAsia="宋体" w:cs="宋体"/>
                <w:sz w:val="24"/>
                <w:szCs w:val="24"/>
              </w:rPr>
              <w:t>≤2s。</w:t>
            </w:r>
            <w:r>
              <w:rPr>
                <w:rFonts w:hint="eastAsia" w:ascii="宋体" w:hAnsi="宋体" w:eastAsia="宋体" w:cs="宋体"/>
                <w:b/>
                <w:sz w:val="24"/>
                <w:szCs w:val="24"/>
              </w:rPr>
              <w:t xml:space="preserve"> </w:t>
            </w:r>
          </w:p>
          <w:p>
            <w:pPr>
              <w:rPr>
                <w:rFonts w:hint="eastAsia" w:ascii="宋体" w:hAnsi="宋体" w:eastAsia="宋体" w:cs="宋体"/>
                <w:sz w:val="24"/>
                <w:szCs w:val="24"/>
              </w:rPr>
            </w:pPr>
            <w:r>
              <w:rPr>
                <w:rFonts w:hint="eastAsia" w:ascii="宋体" w:hAnsi="宋体" w:eastAsia="宋体" w:cs="宋体"/>
                <w:sz w:val="24"/>
                <w:szCs w:val="24"/>
              </w:rPr>
              <w:t>10.支持</w:t>
            </w:r>
            <w:r>
              <w:rPr>
                <w:rStyle w:val="88"/>
                <w:rFonts w:hint="eastAsia" w:ascii="宋体" w:hAnsi="宋体" w:eastAsia="宋体" w:cs="宋体"/>
                <w:sz w:val="24"/>
                <w:szCs w:val="24"/>
              </w:rPr>
              <w:t>物理按键实现节能熄屏/唤醒。</w:t>
            </w:r>
          </w:p>
          <w:p>
            <w:pPr>
              <w:rPr>
                <w:rFonts w:hint="eastAsia" w:ascii="宋体" w:hAnsi="宋体" w:eastAsia="宋体" w:cs="宋体"/>
                <w:sz w:val="24"/>
                <w:szCs w:val="24"/>
              </w:rPr>
            </w:pPr>
            <w:r>
              <w:rPr>
                <w:rFonts w:hint="eastAsia" w:ascii="宋体" w:hAnsi="宋体" w:eastAsia="宋体" w:cs="宋体"/>
                <w:sz w:val="24"/>
                <w:szCs w:val="24"/>
              </w:rPr>
              <w:t>11.具有悬浮菜单功能，悬浮菜单中支持输入源选择、截屏、下拉等功能，并可自定义功能菜单，支持任意通道下，可随时调用计算器、日历等小工具，支持拖拽及关闭。</w:t>
            </w:r>
          </w:p>
          <w:p>
            <w:pPr>
              <w:rPr>
                <w:rFonts w:hint="eastAsia" w:ascii="宋体" w:hAnsi="宋体" w:eastAsia="宋体" w:cs="宋体"/>
                <w:sz w:val="24"/>
                <w:szCs w:val="24"/>
              </w:rPr>
            </w:pPr>
            <w:r>
              <w:rPr>
                <w:rFonts w:hint="eastAsia" w:ascii="宋体" w:hAnsi="宋体" w:eastAsia="宋体" w:cs="宋体"/>
                <w:sz w:val="24"/>
                <w:szCs w:val="24"/>
              </w:rPr>
              <w:t xml:space="preserve">12．智慧黑板具有前置物理按键，数量不少于6个，至少包含电源键、信号源、音量、一键录屏等，按键具备明显标识。 </w:t>
            </w:r>
          </w:p>
          <w:p>
            <w:pPr>
              <w:rPr>
                <w:rFonts w:hint="eastAsia" w:ascii="宋体" w:hAnsi="宋体" w:eastAsia="宋体" w:cs="宋体"/>
                <w:sz w:val="24"/>
                <w:szCs w:val="24"/>
              </w:rPr>
            </w:pPr>
            <w:r>
              <w:rPr>
                <w:rFonts w:hint="eastAsia" w:ascii="宋体" w:hAnsi="宋体" w:eastAsia="宋体" w:cs="宋体"/>
                <w:sz w:val="24"/>
                <w:szCs w:val="24"/>
                <w:lang w:bidi="ar"/>
              </w:rPr>
              <w:t>13.智慧黑板支持无信号接收状态时能够自动熄屏，自动熄屏的时间间隔可选，支持定时开关机。</w:t>
            </w:r>
          </w:p>
          <w:p>
            <w:pPr>
              <w:rPr>
                <w:rFonts w:hint="eastAsia" w:ascii="宋体" w:hAnsi="宋体" w:eastAsia="宋体" w:cs="宋体"/>
                <w:b/>
                <w:sz w:val="24"/>
                <w:szCs w:val="24"/>
                <w:highlight w:val="yellow"/>
              </w:rPr>
            </w:pPr>
            <w:r>
              <w:rPr>
                <w:rFonts w:hint="eastAsia" w:ascii="宋体" w:hAnsi="宋体" w:eastAsia="宋体" w:cs="宋体"/>
                <w:sz w:val="24"/>
                <w:szCs w:val="24"/>
              </w:rPr>
              <w:t>14.要求具有刷卡开关机功能，防止未经授权人员操作智慧黑板，支持查看、导入、导出、删除授权账号信息。</w:t>
            </w:r>
            <w:r>
              <w:rPr>
                <w:rFonts w:hint="eastAsia" w:ascii="宋体" w:hAnsi="宋体" w:eastAsia="宋体" w:cs="宋体"/>
                <w:b/>
                <w:bCs/>
                <w:sz w:val="24"/>
                <w:szCs w:val="24"/>
              </w:rPr>
              <w:t>（提供证明材料）</w:t>
            </w:r>
          </w:p>
          <w:p>
            <w:pPr>
              <w:rPr>
                <w:rFonts w:hint="eastAsia" w:ascii="宋体" w:hAnsi="宋体" w:eastAsia="宋体" w:cs="宋体"/>
                <w:sz w:val="24"/>
                <w:szCs w:val="24"/>
              </w:rPr>
            </w:pPr>
            <w:r>
              <w:rPr>
                <w:rFonts w:hint="eastAsia" w:ascii="宋体" w:hAnsi="宋体" w:eastAsia="宋体" w:cs="宋体"/>
                <w:sz w:val="24"/>
                <w:szCs w:val="24"/>
              </w:rPr>
              <w:t>15.智慧黑板支持Android、Windows双系统，可通过触摸操作一键切换，安卓系统版本不低于Android8.0，内存不低于2G,存储不低于16G,安卓下支持4K画面输出。</w:t>
            </w:r>
          </w:p>
          <w:p>
            <w:pPr>
              <w:rPr>
                <w:rFonts w:hint="eastAsia" w:ascii="宋体" w:hAnsi="宋体" w:eastAsia="宋体" w:cs="宋体"/>
                <w:sz w:val="24"/>
                <w:szCs w:val="24"/>
              </w:rPr>
            </w:pPr>
            <w:r>
              <w:rPr>
                <w:rFonts w:hint="eastAsia" w:ascii="宋体" w:hAnsi="宋体" w:eastAsia="宋体" w:cs="宋体"/>
                <w:sz w:val="24"/>
                <w:szCs w:val="24"/>
              </w:rPr>
              <w:t xml:space="preserve">16.支持内置电脑、外接信号源输入模式下，实现窗口一键下移功能，便于不同身高的人员操作使用。 </w:t>
            </w:r>
          </w:p>
          <w:p>
            <w:pPr>
              <w:rPr>
                <w:rFonts w:hint="eastAsia" w:ascii="宋体" w:hAnsi="宋体" w:eastAsia="宋体" w:cs="宋体"/>
                <w:sz w:val="24"/>
                <w:szCs w:val="24"/>
              </w:rPr>
            </w:pPr>
            <w:r>
              <w:rPr>
                <w:rFonts w:hint="eastAsia" w:ascii="宋体" w:hAnsi="宋体" w:eastAsia="宋体" w:cs="宋体"/>
                <w:sz w:val="24"/>
                <w:szCs w:val="24"/>
              </w:rPr>
              <w:t>17.智慧黑板支持Type-C接口，通过Type-C接口只一根线连接即可实现信号传输、外部电脑音视频信号传输给智慧黑板、智慧黑板对外接电脑进行触控操作等功能。</w:t>
            </w:r>
          </w:p>
          <w:p>
            <w:pPr>
              <w:rPr>
                <w:rFonts w:hint="eastAsia" w:ascii="宋体" w:hAnsi="宋体" w:eastAsia="宋体" w:cs="宋体"/>
                <w:sz w:val="24"/>
                <w:szCs w:val="24"/>
              </w:rPr>
            </w:pPr>
            <w:r>
              <w:rPr>
                <w:rFonts w:hint="eastAsia" w:ascii="宋体" w:hAnsi="宋体" w:eastAsia="宋体" w:cs="宋体"/>
                <w:sz w:val="24"/>
                <w:szCs w:val="24"/>
              </w:rPr>
              <w:t>18.菜单上的通道信号源名称支持自定义，支持中、英文、数字命名修改，方便老师识别。</w:t>
            </w:r>
          </w:p>
          <w:p>
            <w:pPr>
              <w:rPr>
                <w:rFonts w:hint="eastAsia" w:ascii="宋体" w:hAnsi="宋体" w:eastAsia="宋体" w:cs="宋体"/>
                <w:sz w:val="24"/>
                <w:szCs w:val="24"/>
              </w:rPr>
            </w:pPr>
            <w:r>
              <w:rPr>
                <w:rFonts w:hint="eastAsia" w:ascii="宋体" w:hAnsi="宋体" w:eastAsia="宋体" w:cs="宋体"/>
                <w:sz w:val="24"/>
                <w:szCs w:val="24"/>
              </w:rPr>
              <w:t>19.支持Windows、Android、HDMI、VGA、Type-C等多种信号源输入选择。</w:t>
            </w:r>
          </w:p>
          <w:p>
            <w:pPr>
              <w:rPr>
                <w:rFonts w:hint="eastAsia" w:ascii="宋体" w:hAnsi="宋体" w:eastAsia="宋体" w:cs="宋体"/>
                <w:sz w:val="24"/>
                <w:szCs w:val="24"/>
              </w:rPr>
            </w:pPr>
            <w:r>
              <w:rPr>
                <w:rFonts w:hint="eastAsia" w:ascii="宋体" w:hAnsi="宋体" w:eastAsia="宋体" w:cs="宋体"/>
                <w:sz w:val="24"/>
                <w:szCs w:val="24"/>
              </w:rPr>
              <w:t>20.产品接口具备≥2路USB双通道接口，支持Windows及Android双系统识别；具备≥1路前置USB触控输出接口，≥1路前置HDMI输入接口。</w:t>
            </w:r>
          </w:p>
          <w:p>
            <w:pPr>
              <w:rPr>
                <w:rFonts w:hint="eastAsia" w:ascii="宋体" w:hAnsi="宋体" w:eastAsia="宋体" w:cs="宋体"/>
                <w:sz w:val="24"/>
                <w:szCs w:val="24"/>
              </w:rPr>
            </w:pPr>
            <w:r>
              <w:rPr>
                <w:rFonts w:hint="eastAsia" w:ascii="宋体" w:hAnsi="宋体" w:eastAsia="宋体" w:cs="宋体"/>
                <w:sz w:val="24"/>
                <w:szCs w:val="24"/>
              </w:rPr>
              <w:t>21.智慧黑板内置摄像头，有效像素≥800W， 支持数字音频MIC，支持调用摄像头进行场景音视频录制。</w:t>
            </w:r>
          </w:p>
          <w:p>
            <w:pPr>
              <w:rPr>
                <w:rFonts w:hint="eastAsia" w:ascii="宋体" w:hAnsi="宋体" w:eastAsia="宋体" w:cs="宋体"/>
                <w:sz w:val="24"/>
                <w:szCs w:val="24"/>
              </w:rPr>
            </w:pPr>
            <w:r>
              <w:rPr>
                <w:rFonts w:hint="eastAsia" w:ascii="宋体" w:hAnsi="宋体" w:eastAsia="宋体" w:cs="宋体"/>
                <w:sz w:val="24"/>
                <w:szCs w:val="24"/>
              </w:rPr>
              <w:t>22.智慧黑板支持外接信号源接入时支持自动跳转到外接信号源通道。</w:t>
            </w:r>
          </w:p>
          <w:p>
            <w:pPr>
              <w:rPr>
                <w:rFonts w:hint="eastAsia" w:ascii="宋体" w:hAnsi="宋体" w:eastAsia="宋体" w:cs="宋体"/>
                <w:sz w:val="24"/>
                <w:szCs w:val="24"/>
              </w:rPr>
            </w:pPr>
            <w:r>
              <w:rPr>
                <w:rFonts w:hint="eastAsia" w:ascii="宋体" w:hAnsi="宋体" w:eastAsia="宋体" w:cs="宋体"/>
                <w:sz w:val="24"/>
                <w:szCs w:val="24"/>
              </w:rPr>
              <w:t>23.接口至少包括：≥2路HDMI 输入, ≥1路VGA 输入, ≥1路AUDIO 输入,≥1路3.5 mm耳机输出，≥1路3.5 mm MIC输入,≥1路RS232 输入， ≥1路LAN 输入， ≥1路 UP-USB 输入，≥2路 USB，输入≥1路TYPE-C端口输入。</w:t>
            </w:r>
          </w:p>
          <w:p>
            <w:pPr>
              <w:rPr>
                <w:rFonts w:hint="eastAsia" w:ascii="宋体" w:hAnsi="宋体" w:eastAsia="宋体" w:cs="宋体"/>
                <w:sz w:val="24"/>
                <w:szCs w:val="24"/>
              </w:rPr>
            </w:pPr>
            <w:r>
              <w:rPr>
                <w:rFonts w:hint="eastAsia" w:ascii="宋体" w:hAnsi="宋体" w:eastAsia="宋体" w:cs="宋体"/>
                <w:sz w:val="24"/>
                <w:szCs w:val="24"/>
              </w:rPr>
              <w:t>24.要求</w:t>
            </w:r>
            <w:r>
              <w:rPr>
                <w:rStyle w:val="88"/>
                <w:rFonts w:hint="eastAsia" w:ascii="宋体" w:hAnsi="宋体" w:eastAsia="宋体" w:cs="宋体"/>
                <w:sz w:val="24"/>
                <w:szCs w:val="24"/>
              </w:rPr>
              <w:t>智慧黑板内置喇叭，功率≥</w:t>
            </w:r>
            <w:r>
              <w:rPr>
                <w:rStyle w:val="88"/>
                <w:rFonts w:hint="eastAsia" w:ascii="宋体" w:hAnsi="宋体" w:eastAsia="宋体" w:cs="宋体"/>
                <w:sz w:val="24"/>
                <w:szCs w:val="24"/>
                <w:highlight w:val="none"/>
              </w:rPr>
              <w:t>2×30W, 立体声</w:t>
            </w:r>
            <w:r>
              <w:rPr>
                <w:rStyle w:val="88"/>
                <w:rFonts w:hint="eastAsia" w:ascii="宋体" w:hAnsi="宋体" w:eastAsia="宋体" w:cs="宋体"/>
                <w:sz w:val="24"/>
                <w:szCs w:val="24"/>
              </w:rPr>
              <w:t>、双声道。</w:t>
            </w:r>
          </w:p>
          <w:p>
            <w:pPr>
              <w:rPr>
                <w:rFonts w:hint="eastAsia" w:ascii="宋体" w:hAnsi="宋体" w:eastAsia="宋体" w:cs="宋体"/>
                <w:b/>
                <w:sz w:val="24"/>
                <w:szCs w:val="24"/>
              </w:rPr>
            </w:pPr>
            <w:r>
              <w:rPr>
                <w:rFonts w:hint="eastAsia" w:ascii="宋体" w:hAnsi="宋体" w:eastAsia="宋体" w:cs="宋体"/>
                <w:sz w:val="24"/>
                <w:szCs w:val="24"/>
              </w:rPr>
              <w:t>25.要求智慧黑板具有光生物安全（防蓝光）。</w:t>
            </w:r>
          </w:p>
          <w:p>
            <w:pPr>
              <w:rPr>
                <w:rFonts w:hint="eastAsia" w:ascii="宋体" w:hAnsi="宋体" w:eastAsia="宋体" w:cs="宋体"/>
                <w:b/>
                <w:sz w:val="24"/>
                <w:szCs w:val="24"/>
              </w:rPr>
            </w:pPr>
            <w:r>
              <w:rPr>
                <w:rFonts w:hint="eastAsia" w:ascii="宋体" w:hAnsi="宋体" w:eastAsia="宋体" w:cs="宋体"/>
                <w:b/>
                <w:sz w:val="24"/>
                <w:szCs w:val="24"/>
              </w:rPr>
              <w:t>二、智慧黑板教学软件</w:t>
            </w:r>
          </w:p>
          <w:p>
            <w:pPr>
              <w:rPr>
                <w:rFonts w:hint="eastAsia" w:ascii="宋体" w:hAnsi="宋体" w:eastAsia="宋体" w:cs="宋体"/>
                <w:sz w:val="24"/>
                <w:szCs w:val="24"/>
              </w:rPr>
            </w:pPr>
            <w:r>
              <w:rPr>
                <w:rFonts w:hint="eastAsia" w:ascii="宋体" w:hAnsi="宋体" w:eastAsia="宋体" w:cs="宋体"/>
                <w:sz w:val="24"/>
                <w:szCs w:val="24"/>
              </w:rPr>
              <w:t>1.主界面工具条简单实用，包含返回桌面、选择、铅笔、板擦、漫游、板中板、计时器、撤销、录屏、新建页、页面预览等功能。</w:t>
            </w:r>
          </w:p>
          <w:p>
            <w:pPr>
              <w:rPr>
                <w:rFonts w:hint="eastAsia" w:ascii="宋体" w:hAnsi="宋体" w:eastAsia="宋体" w:cs="宋体"/>
                <w:sz w:val="24"/>
                <w:szCs w:val="24"/>
              </w:rPr>
            </w:pPr>
            <w:r>
              <w:rPr>
                <w:rFonts w:hint="eastAsia" w:ascii="宋体" w:hAnsi="宋体" w:eastAsia="宋体" w:cs="宋体"/>
                <w:sz w:val="24"/>
                <w:szCs w:val="24"/>
              </w:rPr>
              <w:t>2.白板软件提供直接输入账号登录和扫码远程登录等多种快速登录方式，悬浮菜单支持拖动到桌面任意位置。</w:t>
            </w:r>
          </w:p>
          <w:p>
            <w:pPr>
              <w:rPr>
                <w:rFonts w:hint="eastAsia" w:ascii="宋体" w:hAnsi="宋体" w:eastAsia="宋体" w:cs="宋体"/>
                <w:sz w:val="24"/>
                <w:szCs w:val="24"/>
              </w:rPr>
            </w:pPr>
            <w:r>
              <w:rPr>
                <w:rFonts w:hint="eastAsia" w:ascii="宋体" w:hAnsi="宋体" w:eastAsia="宋体" w:cs="宋体"/>
                <w:sz w:val="24"/>
                <w:szCs w:val="24"/>
              </w:rPr>
              <w:t>3.支持多人同时书写。不论是笔迹、图片、图形都可以实现任意部分的擦除。</w:t>
            </w:r>
          </w:p>
          <w:p>
            <w:pPr>
              <w:rPr>
                <w:rFonts w:hint="eastAsia" w:ascii="宋体" w:hAnsi="宋体" w:eastAsia="宋体" w:cs="宋体"/>
                <w:sz w:val="24"/>
                <w:szCs w:val="24"/>
              </w:rPr>
            </w:pPr>
            <w:r>
              <w:rPr>
                <w:rFonts w:hint="eastAsia" w:ascii="宋体" w:hAnsi="宋体" w:eastAsia="宋体" w:cs="宋体"/>
                <w:sz w:val="24"/>
                <w:szCs w:val="24"/>
              </w:rPr>
              <w:t>4.支持边写边擦，擦除过程中擦除面积随手的接触面积大小改变而随时改变。</w:t>
            </w:r>
          </w:p>
          <w:p>
            <w:pPr>
              <w:rPr>
                <w:rFonts w:hint="eastAsia" w:ascii="宋体" w:hAnsi="宋体" w:eastAsia="宋体" w:cs="宋体"/>
                <w:sz w:val="24"/>
                <w:szCs w:val="24"/>
              </w:rPr>
            </w:pPr>
            <w:r>
              <w:rPr>
                <w:rFonts w:hint="eastAsia" w:ascii="宋体" w:hAnsi="宋体" w:eastAsia="宋体" w:cs="宋体"/>
                <w:sz w:val="24"/>
                <w:szCs w:val="24"/>
              </w:rPr>
              <w:t>5.支持批注、擦除、截图、调用展台、返回白板软件等功能。</w:t>
            </w:r>
          </w:p>
          <w:p>
            <w:pPr>
              <w:rPr>
                <w:rFonts w:hint="eastAsia" w:ascii="宋体" w:hAnsi="宋体" w:eastAsia="宋体" w:cs="宋体"/>
                <w:sz w:val="24"/>
                <w:szCs w:val="24"/>
              </w:rPr>
            </w:pPr>
            <w:r>
              <w:rPr>
                <w:rFonts w:hint="eastAsia" w:ascii="宋体" w:hAnsi="宋体" w:eastAsia="宋体" w:cs="宋体"/>
                <w:sz w:val="24"/>
                <w:szCs w:val="24"/>
              </w:rPr>
              <w:t>6.支持将白板外的任意文件截图和截屏直接发送到白板，并对截图内容可进行讲解和批注。</w:t>
            </w:r>
          </w:p>
          <w:p>
            <w:pPr>
              <w:rPr>
                <w:rFonts w:hint="eastAsia" w:ascii="宋体" w:hAnsi="宋体" w:eastAsia="宋体" w:cs="宋体"/>
                <w:sz w:val="24"/>
                <w:szCs w:val="24"/>
              </w:rPr>
            </w:pPr>
            <w:r>
              <w:rPr>
                <w:rFonts w:hint="eastAsia" w:ascii="宋体" w:hAnsi="宋体" w:eastAsia="宋体" w:cs="宋体"/>
                <w:sz w:val="24"/>
                <w:szCs w:val="24"/>
              </w:rPr>
              <w:t>7.支持单窗口下，全屏中英文、数字的混合智能同时识别。支持擦除文字。识别的文字支持修改字体和字号。</w:t>
            </w:r>
          </w:p>
          <w:p>
            <w:pPr>
              <w:rPr>
                <w:rFonts w:hint="eastAsia" w:ascii="宋体" w:hAnsi="宋体" w:eastAsia="宋体" w:cs="宋体"/>
                <w:sz w:val="24"/>
                <w:szCs w:val="24"/>
              </w:rPr>
            </w:pPr>
            <w:r>
              <w:rPr>
                <w:rFonts w:hint="eastAsia" w:ascii="宋体" w:hAnsi="宋体" w:eastAsia="宋体" w:cs="宋体"/>
                <w:sz w:val="24"/>
                <w:szCs w:val="24"/>
              </w:rPr>
              <w:t>8.资源访问需支持多种渠道，支持从本地素材库一键拖拽资源到白板中；也可以从我的电脑中添加本地资源到白板中。</w:t>
            </w:r>
          </w:p>
          <w:p>
            <w:pPr>
              <w:rPr>
                <w:rFonts w:hint="eastAsia" w:ascii="宋体" w:hAnsi="宋体" w:eastAsia="宋体" w:cs="宋体"/>
                <w:sz w:val="24"/>
                <w:szCs w:val="24"/>
              </w:rPr>
            </w:pPr>
            <w:r>
              <w:rPr>
                <w:rFonts w:hint="eastAsia" w:ascii="宋体" w:hAnsi="宋体" w:eastAsia="宋体" w:cs="宋体"/>
                <w:sz w:val="24"/>
                <w:szCs w:val="24"/>
              </w:rPr>
              <w:t>9.支持智能录制微视频和课堂内容，保存到本机上并可一键上传教育云教师空间。</w:t>
            </w:r>
          </w:p>
          <w:p>
            <w:pPr>
              <w:rPr>
                <w:rFonts w:hint="eastAsia" w:ascii="宋体" w:hAnsi="宋体" w:eastAsia="宋体" w:cs="宋体"/>
                <w:sz w:val="24"/>
                <w:szCs w:val="24"/>
              </w:rPr>
            </w:pPr>
            <w:r>
              <w:rPr>
                <w:rFonts w:hint="eastAsia" w:ascii="宋体" w:hAnsi="宋体" w:eastAsia="宋体" w:cs="宋体"/>
                <w:sz w:val="24"/>
                <w:szCs w:val="24"/>
              </w:rPr>
              <w:t>10.支持可自由切换学科模式，对应的背景主题、学科工具、资源素材、自动切换到对应学科。</w:t>
            </w:r>
          </w:p>
          <w:p>
            <w:pPr>
              <w:rPr>
                <w:rFonts w:hint="eastAsia" w:ascii="宋体" w:hAnsi="宋体" w:eastAsia="宋体" w:cs="宋体"/>
                <w:sz w:val="24"/>
                <w:szCs w:val="24"/>
              </w:rPr>
            </w:pPr>
            <w:r>
              <w:rPr>
                <w:rFonts w:hint="eastAsia" w:ascii="宋体" w:hAnsi="宋体" w:eastAsia="宋体" w:cs="宋体"/>
                <w:sz w:val="24"/>
                <w:szCs w:val="24"/>
              </w:rPr>
              <w:t>11.支持公式和图形的智能识别，公式识别：如ax²+bx+C=0等，图形识别：包括任何规则和不规则图形，如三角形、五角星等。</w:t>
            </w:r>
          </w:p>
          <w:p>
            <w:pPr>
              <w:rPr>
                <w:rFonts w:hint="eastAsia" w:ascii="宋体" w:hAnsi="宋体" w:eastAsia="宋体" w:cs="宋体"/>
                <w:sz w:val="24"/>
                <w:szCs w:val="24"/>
              </w:rPr>
            </w:pPr>
            <w:r>
              <w:rPr>
                <w:rFonts w:hint="eastAsia" w:ascii="宋体" w:hAnsi="宋体" w:eastAsia="宋体" w:cs="宋体"/>
                <w:sz w:val="24"/>
                <w:szCs w:val="24"/>
              </w:rPr>
              <w:t>12.要求支持备授课两种模式，备课模式下老师可根据教学需求对页面中任意的对象进行交互动画设置，如渐变、擦除等特效。</w:t>
            </w:r>
          </w:p>
          <w:p>
            <w:pPr>
              <w:rPr>
                <w:rFonts w:hint="eastAsia" w:ascii="宋体" w:hAnsi="宋体" w:eastAsia="宋体" w:cs="宋体"/>
                <w:sz w:val="24"/>
                <w:szCs w:val="24"/>
              </w:rPr>
            </w:pPr>
            <w:r>
              <w:rPr>
                <w:rFonts w:hint="eastAsia" w:ascii="宋体" w:hAnsi="宋体" w:eastAsia="宋体" w:cs="宋体"/>
                <w:sz w:val="24"/>
                <w:szCs w:val="24"/>
              </w:rPr>
              <w:t>13.书写笔包括铅笔、荧光笔、毛笔、钢笔、排刷、文本输入等多种笔型，老师还可以自己添加喜欢的图案；切换笔形后，图标显示为当前笔形及笔的颜色和粗细。</w:t>
            </w:r>
          </w:p>
          <w:p>
            <w:pPr>
              <w:rPr>
                <w:rFonts w:hint="eastAsia" w:ascii="宋体" w:hAnsi="宋体" w:eastAsia="宋体" w:cs="宋体"/>
                <w:sz w:val="24"/>
                <w:szCs w:val="24"/>
              </w:rPr>
            </w:pPr>
            <w:r>
              <w:rPr>
                <w:rFonts w:hint="eastAsia" w:ascii="宋体" w:hAnsi="宋体" w:eastAsia="宋体" w:cs="宋体"/>
                <w:sz w:val="24"/>
                <w:szCs w:val="24"/>
              </w:rPr>
              <w:t>14.板擦功能包括任意擦除、区域擦除、对象擦除以及全屏擦除。</w:t>
            </w:r>
          </w:p>
          <w:p>
            <w:pPr>
              <w:rPr>
                <w:rFonts w:hint="eastAsia" w:ascii="宋体" w:hAnsi="宋体" w:eastAsia="宋体" w:cs="宋体"/>
                <w:sz w:val="24"/>
                <w:szCs w:val="24"/>
              </w:rPr>
            </w:pPr>
            <w:r>
              <w:rPr>
                <w:rFonts w:hint="eastAsia" w:ascii="宋体" w:hAnsi="宋体" w:eastAsia="宋体" w:cs="宋体"/>
                <w:sz w:val="24"/>
                <w:szCs w:val="24"/>
              </w:rPr>
              <w:t>15.图形输入支持多种方式，可以从菜单中快速选择二维和三维图形；也可以通过图形智能识别画各种不规则图形。</w:t>
            </w:r>
          </w:p>
          <w:p>
            <w:pPr>
              <w:rPr>
                <w:rFonts w:hint="eastAsia" w:ascii="宋体" w:hAnsi="宋体" w:eastAsia="宋体" w:cs="宋体"/>
                <w:sz w:val="24"/>
                <w:szCs w:val="24"/>
              </w:rPr>
            </w:pPr>
            <w:r>
              <w:rPr>
                <w:rFonts w:hint="eastAsia" w:ascii="宋体" w:hAnsi="宋体" w:eastAsia="宋体" w:cs="宋体"/>
                <w:sz w:val="24"/>
                <w:szCs w:val="24"/>
              </w:rPr>
              <w:t>16.白板软件可与视频展台无缝对接，实现锁屏、选择、画笔、橡皮、截屏、拍照、分辨率设置等功能。</w:t>
            </w:r>
          </w:p>
          <w:p>
            <w:pPr>
              <w:rPr>
                <w:rFonts w:hint="eastAsia" w:ascii="宋体" w:hAnsi="宋体" w:eastAsia="宋体" w:cs="宋体"/>
                <w:sz w:val="24"/>
                <w:szCs w:val="24"/>
              </w:rPr>
            </w:pPr>
            <w:r>
              <w:rPr>
                <w:rFonts w:hint="eastAsia" w:ascii="宋体" w:hAnsi="宋体" w:eastAsia="宋体" w:cs="宋体"/>
                <w:sz w:val="24"/>
                <w:szCs w:val="24"/>
              </w:rPr>
              <w:t>17.可实现不同页面文档的快速翻页，实现页面预览功能，并且可以快速实现复制页面、删除页面、移动页面位置。</w:t>
            </w:r>
          </w:p>
          <w:p>
            <w:pPr>
              <w:rPr>
                <w:rFonts w:hint="eastAsia" w:ascii="宋体" w:hAnsi="宋体" w:eastAsia="宋体" w:cs="宋体"/>
                <w:sz w:val="24"/>
                <w:szCs w:val="24"/>
              </w:rPr>
            </w:pPr>
            <w:r>
              <w:rPr>
                <w:rFonts w:hint="eastAsia" w:ascii="宋体" w:hAnsi="宋体" w:eastAsia="宋体" w:cs="宋体"/>
                <w:sz w:val="24"/>
                <w:szCs w:val="24"/>
              </w:rPr>
              <w:t>18.office文档:提供PPT、Word、Excel等文档的嵌入打开,演示、批注及批注保存功能;在PPT播放模式下,既可以批注,也可以快速上下页切换;可将PPT文件导入到白板软件中,文本、音频、视频以对象形式导入可进行再次编辑和保存。</w:t>
            </w:r>
          </w:p>
          <w:p>
            <w:pPr>
              <w:rPr>
                <w:rFonts w:hint="eastAsia" w:ascii="宋体" w:hAnsi="宋体" w:eastAsia="宋体" w:cs="宋体"/>
                <w:b/>
                <w:sz w:val="24"/>
                <w:szCs w:val="24"/>
              </w:rPr>
            </w:pPr>
            <w:r>
              <w:rPr>
                <w:rFonts w:hint="eastAsia" w:ascii="宋体" w:hAnsi="宋体" w:eastAsia="宋体" w:cs="宋体"/>
                <w:b/>
                <w:sz w:val="24"/>
                <w:szCs w:val="24"/>
              </w:rPr>
              <w:t>三、教学应用管理软件</w:t>
            </w:r>
          </w:p>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t>1.远程监控：可实时监控设备，查看设备基本信息，如所在位置、型号、序列号、安卓版本、设备尺寸、固件版本、设备温度等。</w:t>
            </w:r>
          </w:p>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t>2、远程设备控制：可对设备进行实时控制，包括关机、重启、锁屏等功能。支持定时开关机和定时锁屏，支持以周为周期设置重复的时间策略。支持设置解锁密码。</w:t>
            </w:r>
          </w:p>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t>3、远程桌面控制：可查看处于开机状态下的设备实时画面。</w:t>
            </w:r>
          </w:p>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t>4、信息发布：支持远程发布滚动字幕广播信息到受控端，支持按时间和按次数两种播放方式，且支持设置播放时间。</w:t>
            </w:r>
          </w:p>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t>5、文件推送：支持远程推送视频等文件到受控端，方便用户快速发布文件。可设置定时发送，可选择推送后自动或手动打开文件。</w:t>
            </w:r>
          </w:p>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t>6、热点开关：支持设置设备热点开启或关闭，开启后可设置热点密码。</w:t>
            </w:r>
          </w:p>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t>7、息屏控制：支持控制设备息屏和取消息屏。</w:t>
            </w:r>
          </w:p>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t>8、远程清理：支持对设备执行清理任务。开启定时任务后，设置时间策略，将按照周期自动执行清理任务。</w:t>
            </w:r>
          </w:p>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t>9、USB接口控制：支持开启或关闭设备的USB接口，关闭后将无法识别U盘等USB接口。</w:t>
            </w:r>
          </w:p>
          <w:p>
            <w:pPr>
              <w:pStyle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10、停用控制：支持停用设备，停用状态下无法对设备进行远程控制。</w:t>
            </w:r>
          </w:p>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、需内嵌互动平台系统，可实时与教育局同步课堂云平台打通，且可实时连线需满足：</w:t>
            </w:r>
          </w:p>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互动课堂系统支持学校师生通过手机号自主注册互动账号，账号注册加密处理，有效保障账号安全。</w:t>
            </w:r>
          </w:p>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互动课堂系统具有会议与双师两种互动模式。会议模式时听讲端和主讲端都可以看到所有与会者的视频画面；双师模式时，主讲端可以看见所有与会者的视频画面，听讲端只能看见主讲端画面。</w:t>
            </w:r>
          </w:p>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互动过程可实时直播，可实时显示直播二维码，手机端可实时扫描二维码观看直播； </w:t>
            </w:r>
          </w:p>
          <w:p>
            <w:pPr>
              <w:pStyle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（4）远程互动中支持随机提问功能，点击随机提问时可以对与会者进行随机抽选提问</w:t>
            </w:r>
          </w:p>
          <w:p>
            <w:pPr>
              <w:rPr>
                <w:rFonts w:hint="eastAsia" w:ascii="宋体" w:hAnsi="宋体" w:eastAsia="宋体" w:cs="宋体"/>
                <w:b/>
                <w:sz w:val="24"/>
                <w:szCs w:val="24"/>
              </w:rPr>
            </w:pPr>
            <w:r>
              <w:rPr>
                <w:rFonts w:hint="eastAsia" w:ascii="宋体" w:hAnsi="宋体" w:eastAsia="宋体" w:cs="宋体"/>
                <w:b/>
                <w:sz w:val="24"/>
                <w:szCs w:val="24"/>
              </w:rPr>
              <w:t>四、传屏软件</w:t>
            </w:r>
          </w:p>
          <w:p>
            <w:pPr>
              <w:widowControl/>
              <w:rPr>
                <w:rFonts w:hint="eastAsia" w:ascii="宋体" w:hAnsi="宋体" w:eastAsia="宋体" w:cs="宋体"/>
                <w:sz w:val="24"/>
                <w:szCs w:val="24"/>
              </w:rPr>
            </w:pPr>
            <w:r>
              <w:rPr>
                <w:rFonts w:hint="eastAsia" w:ascii="宋体" w:hAnsi="宋体" w:eastAsia="宋体" w:cs="宋体"/>
                <w:sz w:val="24"/>
                <w:szCs w:val="24"/>
              </w:rPr>
              <w:t>1. 支持手机、笔记本电脑等移动端通过自动搜索接收端设备方式无线连接到智慧黑板。</w:t>
            </w:r>
          </w:p>
          <w:p>
            <w:pPr>
              <w:widowControl/>
              <w:rPr>
                <w:rFonts w:hint="eastAsia" w:ascii="宋体" w:hAnsi="宋体" w:eastAsia="宋体" w:cs="宋体"/>
                <w:sz w:val="24"/>
                <w:szCs w:val="24"/>
              </w:rPr>
            </w:pPr>
            <w:r>
              <w:rPr>
                <w:rFonts w:hint="eastAsia" w:ascii="宋体" w:hAnsi="宋体" w:eastAsia="宋体" w:cs="宋体"/>
                <w:sz w:val="24"/>
                <w:szCs w:val="24"/>
              </w:rPr>
              <w:t>2. 支持 ≥6个投屏客户端图像画面对比展示，在智慧黑板上可以反向控制操作笔记本电脑上的内容 ,支持单击、双击、右键控制。</w:t>
            </w:r>
          </w:p>
          <w:p>
            <w:pPr>
              <w:widowControl/>
              <w:rPr>
                <w:rFonts w:hint="eastAsia" w:ascii="宋体" w:hAnsi="宋体" w:eastAsia="宋体" w:cs="宋体"/>
                <w:sz w:val="24"/>
                <w:szCs w:val="24"/>
              </w:rPr>
            </w:pPr>
            <w:r>
              <w:rPr>
                <w:rFonts w:hint="eastAsia" w:ascii="宋体" w:hAnsi="宋体" w:eastAsia="宋体" w:cs="宋体"/>
                <w:sz w:val="24"/>
                <w:szCs w:val="24"/>
              </w:rPr>
              <w:t>3. 支持将手机中的音视频文件无线推送至智慧黑板 ,并能进行播放和进行音量大小调节。</w:t>
            </w:r>
          </w:p>
          <w:p>
            <w:pPr>
              <w:widowControl/>
              <w:rPr>
                <w:rFonts w:hint="eastAsia" w:ascii="宋体" w:hAnsi="宋体" w:eastAsia="宋体" w:cs="宋体"/>
                <w:sz w:val="24"/>
                <w:szCs w:val="24"/>
              </w:rPr>
            </w:pPr>
            <w:r>
              <w:rPr>
                <w:rFonts w:hint="eastAsia" w:ascii="宋体" w:hAnsi="宋体" w:eastAsia="宋体" w:cs="宋体"/>
                <w:sz w:val="24"/>
                <w:szCs w:val="24"/>
              </w:rPr>
              <w:t>▲4. 智慧黑板显示桌面可以实时同步到移动端上 ,通过手指对智慧黑板桌面进行放大、缩小操作 ,方便移动端对智慧黑板进行远程控制。</w:t>
            </w:r>
            <w:r>
              <w:rPr>
                <w:rFonts w:hint="eastAsia" w:ascii="宋体" w:hAnsi="宋体" w:eastAsia="宋体" w:cs="宋体"/>
                <w:b/>
                <w:bCs/>
                <w:sz w:val="24"/>
                <w:szCs w:val="24"/>
              </w:rPr>
              <w:t>（提供证明材料）</w:t>
            </w:r>
          </w:p>
          <w:p>
            <w:pPr>
              <w:rPr>
                <w:rFonts w:hint="eastAsia" w:ascii="宋体" w:hAnsi="宋体" w:eastAsia="宋体" w:cs="宋体"/>
                <w:sz w:val="24"/>
                <w:szCs w:val="24"/>
              </w:rPr>
            </w:pPr>
            <w:r>
              <w:rPr>
                <w:rFonts w:hint="eastAsia" w:ascii="宋体" w:hAnsi="宋体" w:eastAsia="宋体" w:cs="宋体"/>
                <w:sz w:val="24"/>
                <w:szCs w:val="24"/>
              </w:rPr>
              <w:t>5. 支持鼠标遥控器功能 ,通过软件一键进行鼠标左键 、右键、上下滚轮滑动 、触摸板操控等功能。</w:t>
            </w:r>
          </w:p>
        </w:tc>
        <w:tc>
          <w:tcPr>
            <w:tcW w:w="5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r>
      <w:tr>
        <w:tblPrEx>
          <w:tblLayout w:type="fixed"/>
          <w:tblCellMar>
            <w:top w:w="15" w:type="dxa"/>
            <w:left w:w="15" w:type="dxa"/>
            <w:bottom w:w="15" w:type="dxa"/>
            <w:right w:w="15" w:type="dxa"/>
          </w:tblCellMar>
        </w:tblPrEx>
        <w:trPr>
          <w:trHeight w:val="1888"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6075"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932"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6075"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038"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6075"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449"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6075"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480"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6075"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9"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6075"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336" w:hRule="atLeast"/>
          <w:jc w:val="center"/>
        </w:trPr>
        <w:tc>
          <w:tcPr>
            <w:tcW w:w="5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多媒体智能教学终端</w:t>
            </w:r>
          </w:p>
        </w:tc>
        <w:tc>
          <w:tcPr>
            <w:tcW w:w="6075"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hint="eastAsia" w:ascii="宋体" w:hAnsi="宋体" w:eastAsia="宋体" w:cs="宋体"/>
                <w:b/>
                <w:bCs/>
                <w:sz w:val="24"/>
                <w:szCs w:val="24"/>
              </w:rPr>
            </w:pPr>
            <w:r>
              <w:rPr>
                <w:rFonts w:hint="eastAsia" w:ascii="宋体" w:hAnsi="宋体" w:eastAsia="宋体" w:cs="宋体"/>
                <w:color w:val="000000"/>
                <w:kern w:val="0"/>
                <w:sz w:val="24"/>
                <w:szCs w:val="24"/>
                <w:lang w:bidi="ar"/>
              </w:rPr>
              <w:t xml:space="preserve">设计工艺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1.整机整体设计； </w:t>
            </w:r>
            <w:r>
              <w:rPr>
                <w:rFonts w:hint="eastAsia" w:ascii="宋体" w:hAnsi="宋体" w:eastAsia="宋体" w:cs="宋体"/>
                <w:color w:val="000000"/>
                <w:kern w:val="0"/>
                <w:sz w:val="24"/>
                <w:szCs w:val="24"/>
                <w:lang w:bidi="ar"/>
              </w:rPr>
              <w:br w:type="textWrapping"/>
            </w:r>
            <w:r>
              <w:rPr>
                <w:rFonts w:hint="eastAsia" w:ascii="宋体" w:hAnsi="宋体" w:eastAsia="宋体" w:cs="宋体"/>
                <w:sz w:val="24"/>
                <w:szCs w:val="24"/>
              </w:rPr>
              <w:t>▲</w:t>
            </w:r>
            <w:r>
              <w:rPr>
                <w:rFonts w:hint="eastAsia" w:ascii="宋体" w:hAnsi="宋体" w:eastAsia="宋体" w:cs="宋体"/>
                <w:color w:val="000000"/>
                <w:kern w:val="0"/>
                <w:sz w:val="24"/>
                <w:szCs w:val="24"/>
                <w:lang w:bidi="ar"/>
              </w:rPr>
              <w:t>2.箱体主体采用全塑料成型设计，防漏电、防静电、易清洁维护。箱体多层设计，电脑放置箱与展台放置箱要有独立的机械门锁，在无需移动整机的情况下可对任一设备进行维护及升级；</w:t>
            </w:r>
            <w:r>
              <w:rPr>
                <w:rFonts w:hint="eastAsia" w:ascii="宋体" w:hAnsi="宋体" w:eastAsia="宋体" w:cs="宋体"/>
                <w:color w:val="000000"/>
                <w:kern w:val="0"/>
                <w:sz w:val="24"/>
                <w:szCs w:val="24"/>
                <w:lang w:bidi="ar"/>
              </w:rPr>
              <w:br w:type="textWrapping"/>
            </w:r>
            <w:r>
              <w:rPr>
                <w:rFonts w:hint="eastAsia" w:ascii="宋体" w:hAnsi="宋体" w:eastAsia="宋体" w:cs="宋体"/>
                <w:b/>
                <w:bCs/>
                <w:sz w:val="24"/>
                <w:szCs w:val="24"/>
              </w:rPr>
              <w:t>（提供证明材料）</w:t>
            </w:r>
          </w:p>
          <w:p>
            <w:pPr>
              <w:widowControl/>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3.控制单元为常用的快捷控制区域。模块化的设计，方便后续维护以及设备的升级改造。产品内部走线隐蔽，要避免内部线路过于混乱，造成信号互相干扰；</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▲4.上下门板采用阻尼设计，打开可在任意位置停止。下箱体，可直接作为展台文稿托板；</w:t>
            </w:r>
            <w:r>
              <w:rPr>
                <w:rFonts w:hint="eastAsia" w:ascii="宋体" w:hAnsi="宋体" w:eastAsia="宋体" w:cs="宋体"/>
                <w:b/>
                <w:bCs/>
                <w:sz w:val="24"/>
                <w:szCs w:val="24"/>
              </w:rPr>
              <w:t>（提供证明材料）</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一体化设计：中控、视频展台、功放系统设计为一体。计算机使用OPS箱体接口，计算机内嵌在壁挂式多媒体箱体内，模块之间采用排针插拔式连接，抗干扰能力强。电脑部分维修时，仅需打开上盖门，将电脑终端抽出，便可维修。</w:t>
            </w:r>
          </w:p>
          <w:p>
            <w:pPr>
              <w:widowControl/>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中控单元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1.一键开关机功能，能够一键开关计算机系统、投影机、展台、音箱、功放等；</w:t>
            </w:r>
          </w:p>
          <w:p>
            <w:pPr>
              <w:widowControl/>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2.投影机控制功能（RS232控制或红外控制）；</w:t>
            </w:r>
          </w:p>
          <w:p>
            <w:pPr>
              <w:widowControl/>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3.具有延时断电功能；系统关机后能自动延时断电；</w:t>
            </w:r>
          </w:p>
          <w:p>
            <w:pPr>
              <w:widowControl/>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4.控制面板采用电容触摸按键设计，防尘防水防静电；</w:t>
            </w:r>
          </w:p>
          <w:p>
            <w:pPr>
              <w:widowControl/>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5.接口至少包括: </w:t>
            </w:r>
          </w:p>
          <w:p>
            <w:pPr>
              <w:widowControl/>
              <w:ind w:firstLine="240" w:firstLineChars="100"/>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音、视频输入: HDMI≥1</w:t>
            </w:r>
          </w:p>
          <w:p>
            <w:pPr>
              <w:widowControl/>
              <w:ind w:firstLine="240" w:firstLineChars="100"/>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音、视频输出：VGA≥2、HDMI≥1、3.5MM音频≥1、功放接口≥1；</w:t>
            </w:r>
          </w:p>
          <w:p>
            <w:pPr>
              <w:widowControl/>
              <w:ind w:firstLine="240" w:firstLineChars="100"/>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USB：USB-A接口: ≥4个；USB-B接口：≥1个</w:t>
            </w:r>
          </w:p>
          <w:p>
            <w:pPr>
              <w:widowControl/>
              <w:ind w:firstLine="240" w:firstLineChars="100"/>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网络：RJ45接口≥2；</w:t>
            </w:r>
          </w:p>
          <w:p>
            <w:pPr>
              <w:widowControl/>
              <w:ind w:firstLine="240" w:firstLineChars="100"/>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控制：IR≥1、RS-232≥1；</w:t>
            </w:r>
          </w:p>
          <w:p>
            <w:pPr>
              <w:widowControl/>
              <w:ind w:firstLine="240" w:firstLineChars="100"/>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电源：220VAC输入≥1，输出≥1；</w:t>
            </w:r>
          </w:p>
          <w:p>
            <w:pPr>
              <w:widowControl/>
              <w:ind w:firstLine="240" w:firstLineChars="100"/>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OPS接口：≥1；</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实物展台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1.展台：≥800万像素；</w:t>
            </w:r>
          </w:p>
          <w:p>
            <w:pPr>
              <w:widowControl/>
              <w:textAlignment w:val="top"/>
              <w:rPr>
                <w:rFonts w:hint="eastAsia" w:ascii="宋体" w:hAnsi="宋体" w:eastAsia="宋体" w:cs="宋体"/>
                <w:color w:val="000000"/>
                <w:kern w:val="0"/>
                <w:sz w:val="24"/>
                <w:szCs w:val="24"/>
                <w:highlight w:val="yellow"/>
                <w:lang w:bidi="ar"/>
              </w:rPr>
            </w:pPr>
            <w:r>
              <w:rPr>
                <w:rFonts w:hint="eastAsia" w:ascii="宋体" w:hAnsi="宋体" w:eastAsia="宋体" w:cs="宋体"/>
                <w:color w:val="000000"/>
                <w:kern w:val="0"/>
                <w:sz w:val="24"/>
                <w:szCs w:val="24"/>
                <w:lang w:bidi="ar"/>
              </w:rPr>
              <w:t>2.镜头为双层结构设计，下半部可直接水平旋转（旋转不小于180°），保证竖放纸也能正向输出，方便老师操作；</w:t>
            </w:r>
            <w:r>
              <w:rPr>
                <w:rFonts w:hint="eastAsia" w:ascii="宋体" w:hAnsi="宋体" w:eastAsia="宋体" w:cs="宋体"/>
                <w:b/>
                <w:bCs/>
                <w:sz w:val="24"/>
                <w:szCs w:val="24"/>
              </w:rPr>
              <w:t>（提供证明材料）</w:t>
            </w:r>
          </w:p>
          <w:p>
            <w:pPr>
              <w:widowControl/>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3.展台和中控一体化设计，无需每次折叠调整。</w:t>
            </w:r>
          </w:p>
          <w:p>
            <w:pPr>
              <w:widowControl/>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4.展台光源与展台主体分离式设计，成夹角设计，有效避免反光；使用LED补光灯，≥20颗灯珠；</w:t>
            </w:r>
          </w:p>
          <w:p>
            <w:pPr>
              <w:widowControl/>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5.打开展台可直接打开展台软件，展台收纳后可自动关闭展台软件.</w:t>
            </w:r>
          </w:p>
          <w:p>
            <w:pPr>
              <w:widowControl/>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6.软件功能：</w:t>
            </w:r>
          </w:p>
          <w:p>
            <w:pPr>
              <w:widowControl/>
              <w:ind w:firstLine="240" w:firstLineChars="100"/>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可进行视频与实物展示，具有动态白板批注、课件录制、对比教学、扫描管理、快速抓图等软件功能。通过软件与视频展示台可以实现讲稿动态即时旋转和按梯度缩放。 </w:t>
            </w:r>
          </w:p>
          <w:p>
            <w:pPr>
              <w:widowControl/>
              <w:ind w:firstLine="240" w:firstLineChars="100"/>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画面可以无级旋转或按90度旋转</w:t>
            </w:r>
          </w:p>
          <w:p>
            <w:pPr>
              <w:widowControl/>
              <w:ind w:firstLine="240" w:firstLineChars="100"/>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支持批注，可以自由划线标注，颜色、透明度、笔画粗细可调，支持多种图形绘制，支持文字输入后可随时编辑，批注过程可保存、录制。                                                                             </w:t>
            </w:r>
          </w:p>
          <w:p>
            <w:pPr>
              <w:widowControl/>
              <w:ind w:firstLine="240" w:firstLineChars="100"/>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带有标注的保存功能，可以存储标注，形成一张图片，方便保存。</w:t>
            </w:r>
          </w:p>
          <w:p>
            <w:pPr>
              <w:widowControl/>
              <w:ind w:firstLine="240" w:firstLineChars="100"/>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带录像功能，具有同屏多画面对比教学功能，具备快速抓图功能，可将镜头拍摄的图像直接拖入PPT、WORD等可编辑文档中。</w:t>
            </w:r>
          </w:p>
          <w:p>
            <w:pPr>
              <w:widowControl/>
              <w:ind w:firstLine="240" w:firstLineChars="10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软件可控制对比度、亮度、色彩饱和度、锐度、曝光度、自动对焦等调节。</w:t>
            </w:r>
          </w:p>
        </w:tc>
        <w:tc>
          <w:tcPr>
            <w:tcW w:w="584"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r>
      <w:tr>
        <w:tblPrEx>
          <w:tblLayout w:type="fixed"/>
          <w:tblCellMar>
            <w:top w:w="15" w:type="dxa"/>
            <w:left w:w="15" w:type="dxa"/>
            <w:bottom w:w="15" w:type="dxa"/>
            <w:right w:w="15" w:type="dxa"/>
          </w:tblCellMar>
        </w:tblPrEx>
        <w:trPr>
          <w:trHeight w:val="2504"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6075"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405"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6075"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449"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6075"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449"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6075"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747"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6075"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662"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OPS电脑</w:t>
            </w:r>
          </w:p>
        </w:tc>
        <w:tc>
          <w:tcPr>
            <w:tcW w:w="607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≥I5-4200M：主频≥2.5G，睿频≥3.1G；</w:t>
            </w:r>
          </w:p>
          <w:p>
            <w:pPr>
              <w:rPr>
                <w:rFonts w:hint="eastAsia" w:ascii="宋体" w:hAnsi="宋体" w:eastAsia="宋体" w:cs="宋体"/>
                <w:color w:val="000000"/>
                <w:sz w:val="24"/>
                <w:szCs w:val="24"/>
              </w:rPr>
            </w:pPr>
            <w:r>
              <w:rPr>
                <w:rFonts w:hint="eastAsia" w:ascii="宋体" w:hAnsi="宋体" w:eastAsia="宋体" w:cs="宋体"/>
                <w:color w:val="000000"/>
                <w:sz w:val="24"/>
                <w:szCs w:val="24"/>
              </w:rPr>
              <w:t>内存≥DDR3  4G；</w:t>
            </w:r>
          </w:p>
          <w:p>
            <w:pPr>
              <w:rPr>
                <w:rFonts w:hint="eastAsia" w:ascii="宋体" w:hAnsi="宋体" w:eastAsia="宋体" w:cs="宋体"/>
                <w:color w:val="000000"/>
                <w:sz w:val="24"/>
                <w:szCs w:val="24"/>
              </w:rPr>
            </w:pPr>
            <w:r>
              <w:rPr>
                <w:rFonts w:hint="eastAsia" w:ascii="宋体" w:hAnsi="宋体" w:eastAsia="宋体" w:cs="宋体"/>
                <w:color w:val="000000"/>
                <w:sz w:val="24"/>
                <w:szCs w:val="24"/>
              </w:rPr>
              <w:t>硬盘：SSD≥ 128G；</w:t>
            </w:r>
          </w:p>
          <w:p>
            <w:pPr>
              <w:rPr>
                <w:rFonts w:hint="eastAsia" w:ascii="宋体" w:hAnsi="宋体" w:eastAsia="宋体" w:cs="宋体"/>
                <w:color w:val="000000"/>
                <w:sz w:val="24"/>
                <w:szCs w:val="24"/>
              </w:rPr>
            </w:pPr>
            <w:r>
              <w:rPr>
                <w:rFonts w:hint="eastAsia" w:ascii="宋体" w:hAnsi="宋体" w:eastAsia="宋体" w:cs="宋体"/>
                <w:color w:val="000000"/>
                <w:sz w:val="24"/>
                <w:szCs w:val="24"/>
              </w:rPr>
              <w:t>接口：HDMI*1，VGA*1；</w:t>
            </w:r>
          </w:p>
          <w:p>
            <w:pPr>
              <w:rPr>
                <w:rFonts w:hint="eastAsia" w:ascii="宋体" w:hAnsi="宋体" w:eastAsia="宋体" w:cs="宋体"/>
                <w:color w:val="000000"/>
                <w:sz w:val="24"/>
                <w:szCs w:val="24"/>
              </w:rPr>
            </w:pPr>
            <w:r>
              <w:rPr>
                <w:rFonts w:hint="eastAsia" w:ascii="宋体" w:hAnsi="宋体" w:eastAsia="宋体" w:cs="宋体"/>
                <w:color w:val="000000"/>
                <w:sz w:val="24"/>
                <w:szCs w:val="24"/>
              </w:rPr>
              <w:t>网卡：LAN*1，WIFI*1；</w:t>
            </w:r>
          </w:p>
          <w:p>
            <w:pPr>
              <w:rPr>
                <w:rFonts w:hint="eastAsia" w:ascii="宋体" w:hAnsi="宋体" w:eastAsia="宋体" w:cs="宋体"/>
                <w:color w:val="000000"/>
                <w:sz w:val="24"/>
                <w:szCs w:val="24"/>
              </w:rPr>
            </w:pPr>
            <w:r>
              <w:rPr>
                <w:rFonts w:hint="eastAsia" w:ascii="宋体" w:hAnsi="宋体" w:eastAsia="宋体" w:cs="宋体"/>
                <w:color w:val="000000"/>
                <w:sz w:val="24"/>
                <w:szCs w:val="24"/>
              </w:rPr>
              <w:t>USB接口：USB2.0*4，USB3.0*2。</w:t>
            </w:r>
          </w:p>
        </w:tc>
        <w:tc>
          <w:tcPr>
            <w:tcW w:w="58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w:t>
            </w:r>
          </w:p>
        </w:tc>
        <w:tc>
          <w:tcPr>
            <w:tcW w:w="54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r>
      <w:tr>
        <w:tblPrEx>
          <w:tblLayout w:type="fixed"/>
          <w:tblCellMar>
            <w:top w:w="15" w:type="dxa"/>
            <w:left w:w="15" w:type="dxa"/>
            <w:bottom w:w="15" w:type="dxa"/>
            <w:right w:w="15" w:type="dxa"/>
          </w:tblCellMar>
        </w:tblPrEx>
        <w:trPr>
          <w:trHeight w:val="662"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无线麦</w:t>
            </w:r>
          </w:p>
        </w:tc>
        <w:tc>
          <w:tcPr>
            <w:tcW w:w="607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无线麦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音频传输采用UHF抗干扰射频技术，不受WiFi、蓝牙、手机等辐射信号干扰，对频方式采用2.4G自动对频方式，同一个无线咪，能在不同的教室接收机上使用，无线接收信道大于1000个，自动进行锁定、不串频；可选红外对频：可自动选择红外对频或2.4G自动对频方式；</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2.具有2.4G自动对频和锁频功能。具备自动搜索近距离优先连接，自动错开有干扰的频点，自动进行锁定；锁频功能：重新搜索近距离优先连接,对频配对连接成功并自动锁定频率，重新开机不需要再对频；</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3.具有≥1.4英寸LCD液晶屏,可显示发射信号、信道、对频方式、音频传输方式、音量大小、电池电量、充电、欠压、使用功能等工作状态；</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4.具有PPT控制功能，能一键全屏播放、播放退出、上页、下页、白屏、黑屏功能；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5.具有远距离激光教鞭功能；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6.具有电脑或手机或MP3或MP4等音源能在无线咪传输音频功能；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7.具有快捷打开电脑软件功能，适合一键打开电子白板和展示台等软件；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8.具有切换电脑软件界面和关闭当前软件界面功能；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9.具有话筒音量调节功能；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10.充电采用USB Type-C接口，输入电压DC 5V，与手机充电器通用；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11.采用聚合物锂电池供电，≥1000mAh大电量，充满电可连续使用8小时以上，电池可自行更换；</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12.具有USB软件升级接口功能；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13.传输范围：约15米到30米；音频传输：UHF600-750MHz；对频频率：2402-2480MHz；</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14.标配：无线咪1支、头戴咪1个、Type-C充电线1条、挂绳1条。</w:t>
            </w:r>
          </w:p>
        </w:tc>
        <w:tc>
          <w:tcPr>
            <w:tcW w:w="58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w:t>
            </w:r>
          </w:p>
        </w:tc>
        <w:tc>
          <w:tcPr>
            <w:tcW w:w="54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支</w:t>
            </w:r>
          </w:p>
        </w:tc>
      </w:tr>
      <w:tr>
        <w:tblPrEx>
          <w:tblLayout w:type="fixed"/>
          <w:tblCellMar>
            <w:top w:w="15" w:type="dxa"/>
            <w:left w:w="15" w:type="dxa"/>
            <w:bottom w:w="15" w:type="dxa"/>
            <w:right w:w="15" w:type="dxa"/>
          </w:tblCellMar>
        </w:tblPrEx>
        <w:trPr>
          <w:trHeight w:val="662"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外置音箱</w:t>
            </w:r>
          </w:p>
        </w:tc>
        <w:tc>
          <w:tcPr>
            <w:tcW w:w="607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1.功率：≥2×30W；</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2.喇叭：中低音喇叭单元：2×3英寸，4Ω；高音单元：2×1英寸，4Ω，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3.阻抗：4欧姆，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4.频响范围：80-20KHz，</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5.灵敏度：≥80dB，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6.失真：THD +N≤0.2，</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7.喇叭：中低音喇叭单元：2×3英寸，4Ω；高音单元：2×1英寸，4Ω，</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8.箱体材料：中密度纤维板</w:t>
            </w:r>
          </w:p>
        </w:tc>
        <w:tc>
          <w:tcPr>
            <w:tcW w:w="58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w:t>
            </w:r>
          </w:p>
        </w:tc>
        <w:tc>
          <w:tcPr>
            <w:tcW w:w="54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对</w:t>
            </w:r>
          </w:p>
        </w:tc>
      </w:tr>
      <w:tr>
        <w:tblPrEx>
          <w:tblLayout w:type="fixed"/>
          <w:tblCellMar>
            <w:top w:w="15" w:type="dxa"/>
            <w:left w:w="15" w:type="dxa"/>
            <w:bottom w:w="15" w:type="dxa"/>
            <w:right w:w="15" w:type="dxa"/>
          </w:tblCellMar>
        </w:tblPrEx>
        <w:trPr>
          <w:trHeight w:val="55"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12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多媒体讲台</w:t>
            </w:r>
          </w:p>
        </w:tc>
        <w:tc>
          <w:tcPr>
            <w:tcW w:w="6075" w:type="dxa"/>
            <w:tcBorders>
              <w:top w:val="single" w:color="000000" w:sz="4" w:space="0"/>
              <w:left w:val="single" w:color="000000" w:sz="4" w:space="0"/>
              <w:bottom w:val="single" w:color="000000" w:sz="4" w:space="0"/>
              <w:right w:val="single" w:color="000000" w:sz="4" w:space="0"/>
            </w:tcBorders>
            <w:vAlign w:val="center"/>
          </w:tcPr>
          <w:p>
            <w:pPr>
              <w:tabs>
                <w:tab w:val="left" w:pos="191"/>
              </w:tabs>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讲桌采用钢木结合构造，桌体上部分采用圆弧设计。讲台整体设计符合人体力学原理，提供左右木质扶手，供使用者扶用。重点部位须采用一次冲压成型技术，所有尖角倒圆角不小于R3，保证使用者和维护者不划伤。讲桌尺寸</w:t>
            </w:r>
            <w:r>
              <w:rPr>
                <w:rFonts w:hint="eastAsia" w:ascii="宋体" w:hAnsi="宋体" w:eastAsia="宋体" w:cs="宋体"/>
                <w:color w:val="auto"/>
                <w:sz w:val="24"/>
                <w:szCs w:val="24"/>
                <w:highlight w:val="none"/>
                <w:lang w:eastAsia="zh-CN"/>
              </w:rPr>
              <w:t>约</w:t>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0*780*1000mm（长宽高）。</w:t>
            </w:r>
          </w:p>
          <w:p>
            <w:pPr>
              <w:tabs>
                <w:tab w:val="left" w:pos="191"/>
              </w:tabs>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2、上柜体需机械锁控制，采用环环相扣设计，显示器盖板、键盘、中控和展示台抽屉逐步打开。操作简易，使用安全。</w:t>
            </w:r>
          </w:p>
          <w:p>
            <w:pPr>
              <w:tabs>
                <w:tab w:val="left" w:pos="191"/>
              </w:tabs>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3、讲桌桌面采用木质耐划台面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讲桌主体材料采用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1.2mm冷轧钢板，其他辅助</w:t>
            </w:r>
            <w:r>
              <w:rPr>
                <w:rFonts w:hint="eastAsia" w:ascii="宋体" w:hAnsi="宋体" w:eastAsia="宋体" w:cs="宋体"/>
                <w:color w:val="auto"/>
                <w:sz w:val="24"/>
                <w:szCs w:val="24"/>
                <w:highlight w:val="none"/>
                <w:lang w:eastAsia="zh-CN"/>
              </w:rPr>
              <w:t>部分</w:t>
            </w:r>
            <w:r>
              <w:rPr>
                <w:rFonts w:hint="eastAsia" w:ascii="宋体" w:hAnsi="宋体" w:eastAsia="宋体" w:cs="宋体"/>
                <w:color w:val="auto"/>
                <w:sz w:val="24"/>
                <w:szCs w:val="24"/>
                <w:highlight w:val="none"/>
              </w:rPr>
              <w:t>采用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1.0mm冷轧钢板。表面涂层</w:t>
            </w:r>
            <w:r>
              <w:rPr>
                <w:rFonts w:hint="eastAsia" w:ascii="宋体" w:hAnsi="宋体" w:eastAsia="宋体" w:cs="宋体"/>
                <w:color w:val="auto"/>
                <w:sz w:val="24"/>
                <w:szCs w:val="24"/>
                <w:highlight w:val="none"/>
                <w:lang w:eastAsia="zh-CN"/>
              </w:rPr>
              <w:t>有害物质必须符合环保要求</w:t>
            </w:r>
            <w:r>
              <w:rPr>
                <w:rFonts w:hint="eastAsia" w:ascii="宋体" w:hAnsi="宋体" w:eastAsia="宋体" w:cs="宋体"/>
                <w:color w:val="auto"/>
                <w:sz w:val="24"/>
                <w:szCs w:val="24"/>
                <w:highlight w:val="none"/>
              </w:rPr>
              <w:t>。讲台正面留有LOGO木制面板</w:t>
            </w:r>
            <w:r>
              <w:rPr>
                <w:rFonts w:hint="eastAsia" w:ascii="宋体" w:hAnsi="宋体" w:eastAsia="宋体" w:cs="宋体"/>
                <w:color w:val="auto"/>
                <w:sz w:val="24"/>
                <w:szCs w:val="24"/>
                <w:highlight w:val="none"/>
                <w:lang w:eastAsia="zh-CN"/>
              </w:rPr>
              <w:t>，提供台</w:t>
            </w:r>
            <w:r>
              <w:rPr>
                <w:rFonts w:hint="eastAsia" w:ascii="宋体" w:hAnsi="宋体" w:eastAsia="宋体" w:cs="宋体"/>
                <w:color w:val="auto"/>
                <w:sz w:val="24"/>
                <w:szCs w:val="24"/>
                <w:highlight w:val="none"/>
              </w:rPr>
              <w:t>面防菌防霉检测报告。</w:t>
            </w:r>
          </w:p>
          <w:p>
            <w:pPr>
              <w:tabs>
                <w:tab w:val="left" w:pos="191"/>
              </w:tabs>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讲桌上下层采用分体式设计，桌面部分和桌体部分自成一体。讲桌安装简单，安全防盗；产品通过针对桌体钣金、桌面木板等部件甲醛释放量、重金属含量等有害物质的检测，其中产品重金属，甲醛符合GB18584-2001 检验标准。</w:t>
            </w:r>
          </w:p>
          <w:p>
            <w:pPr>
              <w:tabs>
                <w:tab w:val="left" w:pos="191"/>
              </w:tabs>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、显示器盖板和键盘盖板均采用翻转式设计。显示器盖板可装置19-22寸液晶宽屏显示器。键盘下面放置中控系统。显示器盖板闭合时，台面恢复为完整的水平木台面。</w:t>
            </w:r>
          </w:p>
          <w:p>
            <w:pPr>
              <w:tabs>
                <w:tab w:val="left" w:pos="191"/>
              </w:tabs>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、上柜右侧抽屉可放置实物展示台，关闭后,所有设备都隐藏在讲台内。</w:t>
            </w:r>
            <w:r>
              <w:rPr>
                <w:rFonts w:hint="eastAsia" w:ascii="宋体" w:hAnsi="宋体" w:eastAsia="宋体" w:cs="宋体"/>
                <w:color w:val="auto"/>
                <w:sz w:val="24"/>
                <w:szCs w:val="24"/>
                <w:highlight w:val="none"/>
                <w:lang w:eastAsia="zh-CN"/>
              </w:rPr>
              <w:t>具有</w:t>
            </w:r>
            <w:r>
              <w:rPr>
                <w:rFonts w:hint="eastAsia" w:ascii="宋体" w:hAnsi="宋体" w:eastAsia="宋体" w:cs="宋体"/>
                <w:color w:val="auto"/>
                <w:sz w:val="24"/>
                <w:szCs w:val="24"/>
                <w:highlight w:val="none"/>
              </w:rPr>
              <w:t>漏电保护器，标配接口面板不少于HDMI*1，USB*2，网线*1，VGA*1，音频*1。</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张</w:t>
            </w:r>
          </w:p>
        </w:tc>
      </w:tr>
    </w:tbl>
    <w:p/>
    <w:p>
      <w:pPr>
        <w:pStyle w:val="12"/>
      </w:pPr>
    </w:p>
    <w:p>
      <w:pPr>
        <w:keepNext/>
        <w:keepLines/>
        <w:tabs>
          <w:tab w:val="left" w:pos="2410"/>
          <w:tab w:val="center" w:pos="4212"/>
        </w:tabs>
        <w:spacing w:line="360" w:lineRule="auto"/>
        <w:ind w:firstLine="720" w:firstLineChars="200"/>
        <w:jc w:val="left"/>
        <w:rPr>
          <w:rFonts w:ascii="宋体" w:hAnsi="宋体" w:cs="宋体"/>
          <w:sz w:val="36"/>
          <w:szCs w:val="36"/>
        </w:rPr>
        <w:sectPr>
          <w:headerReference r:id="rId9" w:type="default"/>
          <w:footerReference r:id="rId10" w:type="default"/>
          <w:pgSz w:w="11906" w:h="16838"/>
          <w:pgMar w:top="1440" w:right="1803" w:bottom="1440" w:left="1803" w:header="851" w:footer="992" w:gutter="0"/>
          <w:cols w:space="720" w:num="1"/>
          <w:docGrid w:type="lines" w:linePitch="319" w:charSpace="0"/>
        </w:sectPr>
      </w:pPr>
      <w:r>
        <w:rPr>
          <w:rFonts w:hint="eastAsia" w:ascii="宋体" w:hAnsi="宋体" w:cs="宋体"/>
          <w:sz w:val="36"/>
          <w:szCs w:val="36"/>
        </w:rPr>
        <w:tab/>
      </w:r>
    </w:p>
    <w:p>
      <w:pPr>
        <w:keepNext/>
        <w:keepLines/>
        <w:tabs>
          <w:tab w:val="left" w:pos="2410"/>
          <w:tab w:val="center" w:pos="4212"/>
        </w:tabs>
        <w:spacing w:line="360" w:lineRule="auto"/>
        <w:ind w:firstLine="723" w:firstLineChars="200"/>
        <w:jc w:val="center"/>
        <w:outlineLvl w:val="0"/>
        <w:rPr>
          <w:rFonts w:ascii="宋体" w:hAnsi="宋体" w:cs="宋体"/>
          <w:b/>
          <w:bCs/>
          <w:sz w:val="36"/>
          <w:szCs w:val="36"/>
        </w:rPr>
      </w:pPr>
      <w:r>
        <w:rPr>
          <w:rFonts w:hint="eastAsia" w:ascii="宋体" w:hAnsi="宋体" w:cs="宋体"/>
          <w:b/>
          <w:bCs/>
          <w:sz w:val="36"/>
          <w:szCs w:val="36"/>
        </w:rPr>
        <w:t>第六部分  合同条款</w:t>
      </w:r>
    </w:p>
    <w:p>
      <w:pPr>
        <w:kinsoku w:val="0"/>
        <w:spacing w:line="400" w:lineRule="exact"/>
        <w:ind w:firstLine="600" w:firstLineChars="250"/>
        <w:rPr>
          <w:rFonts w:ascii="宋体" w:hAnsi="宋体" w:cs="宋体"/>
          <w:sz w:val="24"/>
        </w:rPr>
      </w:pPr>
      <w:r>
        <w:rPr>
          <w:rFonts w:hint="eastAsia" w:ascii="宋体" w:hAnsi="宋体" w:cs="宋体"/>
          <w:sz w:val="24"/>
        </w:rPr>
        <w:t>甲方：安塞区教育体育局</w:t>
      </w:r>
    </w:p>
    <w:p>
      <w:pPr>
        <w:kinsoku w:val="0"/>
        <w:spacing w:line="400" w:lineRule="exact"/>
        <w:ind w:firstLine="600" w:firstLineChars="250"/>
        <w:rPr>
          <w:rFonts w:ascii="宋体" w:hAnsi="宋体" w:cs="宋体"/>
          <w:sz w:val="24"/>
        </w:rPr>
      </w:pPr>
      <w:r>
        <w:rPr>
          <w:rFonts w:hint="eastAsia" w:ascii="宋体" w:hAnsi="宋体" w:cs="宋体"/>
          <w:sz w:val="24"/>
        </w:rPr>
        <w:t>乙方：</w:t>
      </w:r>
      <w:r>
        <w:rPr>
          <w:rFonts w:hint="eastAsia" w:ascii="宋体" w:hAnsi="宋体" w:cs="宋体"/>
          <w:sz w:val="24"/>
          <w:u w:val="single"/>
        </w:rPr>
        <w:t xml:space="preserve">              </w:t>
      </w:r>
    </w:p>
    <w:p>
      <w:pPr>
        <w:kinsoku w:val="0"/>
        <w:spacing w:line="400" w:lineRule="exact"/>
        <w:ind w:firstLine="600" w:firstLineChars="250"/>
        <w:rPr>
          <w:rFonts w:ascii="宋体" w:hAnsi="宋体" w:cs="宋体"/>
          <w:sz w:val="24"/>
        </w:rPr>
      </w:pPr>
      <w:r>
        <w:rPr>
          <w:rFonts w:hint="eastAsia" w:ascii="宋体" w:hAnsi="宋体" w:cs="宋体"/>
          <w:sz w:val="24"/>
        </w:rPr>
        <w:t>根据《中华人民共和国政府采购法》、《中华人民共和国民法典》等法律法规，甲方通过公开招标，选定乙方为中标单位。甲、乙双方在平等基础上协商一致，达成如下合同条款：</w:t>
      </w:r>
    </w:p>
    <w:p>
      <w:pPr>
        <w:kinsoku w:val="0"/>
        <w:spacing w:line="400" w:lineRule="exact"/>
        <w:ind w:firstLine="600" w:firstLineChars="250"/>
        <w:rPr>
          <w:rFonts w:ascii="宋体" w:hAnsi="宋体" w:cs="宋体"/>
          <w:sz w:val="24"/>
        </w:rPr>
      </w:pPr>
      <w:r>
        <w:rPr>
          <w:rFonts w:hint="eastAsia" w:ascii="宋体" w:hAnsi="宋体" w:cs="宋体"/>
          <w:sz w:val="24"/>
        </w:rPr>
        <w:t>一、</w:t>
      </w:r>
      <w:r>
        <w:rPr>
          <w:rFonts w:hint="eastAsia" w:ascii="宋体" w:hAnsi="宋体" w:cs="宋体"/>
          <w:b/>
          <w:sz w:val="24"/>
        </w:rPr>
        <w:t>合同内容</w:t>
      </w:r>
    </w:p>
    <w:tbl>
      <w:tblPr>
        <w:tblStyle w:val="37"/>
        <w:tblW w:w="8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20"/>
        <w:gridCol w:w="1260"/>
        <w:gridCol w:w="900"/>
        <w:gridCol w:w="900"/>
        <w:gridCol w:w="900"/>
        <w:gridCol w:w="894"/>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exact"/>
          <w:jc w:val="center"/>
        </w:trPr>
        <w:tc>
          <w:tcPr>
            <w:tcW w:w="786"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序号</w:t>
            </w:r>
          </w:p>
        </w:tc>
        <w:tc>
          <w:tcPr>
            <w:tcW w:w="162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设备名称</w:t>
            </w:r>
          </w:p>
        </w:tc>
        <w:tc>
          <w:tcPr>
            <w:tcW w:w="126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型号</w:t>
            </w:r>
          </w:p>
        </w:tc>
        <w:tc>
          <w:tcPr>
            <w:tcW w:w="90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产地</w:t>
            </w:r>
          </w:p>
        </w:tc>
        <w:tc>
          <w:tcPr>
            <w:tcW w:w="90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数量</w:t>
            </w:r>
          </w:p>
        </w:tc>
        <w:tc>
          <w:tcPr>
            <w:tcW w:w="90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单价</w:t>
            </w:r>
          </w:p>
        </w:tc>
        <w:tc>
          <w:tcPr>
            <w:tcW w:w="894"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总价</w:t>
            </w:r>
          </w:p>
        </w:tc>
        <w:tc>
          <w:tcPr>
            <w:tcW w:w="839"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1</w:t>
            </w:r>
          </w:p>
        </w:tc>
        <w:tc>
          <w:tcPr>
            <w:tcW w:w="1620" w:type="dxa"/>
            <w:vAlign w:val="center"/>
          </w:tcPr>
          <w:p>
            <w:pPr>
              <w:adjustRightInd w:val="0"/>
              <w:snapToGrid w:val="0"/>
              <w:jc w:val="center"/>
              <w:rPr>
                <w:rFonts w:ascii="宋体" w:hAnsi="宋体" w:cs="宋体"/>
                <w:color w:val="000000"/>
                <w:szCs w:val="21"/>
              </w:rPr>
            </w:pPr>
          </w:p>
        </w:tc>
        <w:tc>
          <w:tcPr>
            <w:tcW w:w="1260" w:type="dxa"/>
            <w:vAlign w:val="center"/>
          </w:tcPr>
          <w:p>
            <w:pPr>
              <w:spacing w:line="400" w:lineRule="exact"/>
              <w:jc w:val="center"/>
              <w:rPr>
                <w:rFonts w:ascii="宋体" w:hAnsi="宋体" w:cs="宋体"/>
                <w:color w:val="000000"/>
                <w:szCs w:val="21"/>
              </w:rPr>
            </w:pPr>
          </w:p>
        </w:tc>
        <w:tc>
          <w:tcPr>
            <w:tcW w:w="900" w:type="dxa"/>
            <w:vAlign w:val="center"/>
          </w:tcPr>
          <w:p>
            <w:pPr>
              <w:spacing w:line="400" w:lineRule="exact"/>
              <w:jc w:val="center"/>
              <w:rPr>
                <w:rFonts w:ascii="宋体" w:hAnsi="宋体" w:cs="宋体"/>
                <w:color w:val="000000"/>
                <w:szCs w:val="21"/>
              </w:rPr>
            </w:pPr>
          </w:p>
        </w:tc>
        <w:tc>
          <w:tcPr>
            <w:tcW w:w="900" w:type="dxa"/>
            <w:vAlign w:val="center"/>
          </w:tcPr>
          <w:p>
            <w:pPr>
              <w:adjustRightInd w:val="0"/>
              <w:snapToGrid w:val="0"/>
              <w:jc w:val="center"/>
              <w:rPr>
                <w:rFonts w:ascii="宋体" w:hAnsi="宋体" w:cs="宋体"/>
                <w:color w:val="000000"/>
                <w:szCs w:val="21"/>
              </w:rPr>
            </w:pPr>
          </w:p>
        </w:tc>
        <w:tc>
          <w:tcPr>
            <w:tcW w:w="900" w:type="dxa"/>
            <w:vAlign w:val="center"/>
          </w:tcPr>
          <w:p>
            <w:pPr>
              <w:autoSpaceDN w:val="0"/>
              <w:jc w:val="center"/>
              <w:textAlignment w:val="center"/>
              <w:rPr>
                <w:rFonts w:ascii="宋体" w:hAnsi="宋体" w:cs="宋体"/>
                <w:color w:val="000000"/>
                <w:szCs w:val="21"/>
              </w:rPr>
            </w:pPr>
          </w:p>
        </w:tc>
        <w:tc>
          <w:tcPr>
            <w:tcW w:w="894" w:type="dxa"/>
            <w:vAlign w:val="center"/>
          </w:tcPr>
          <w:p>
            <w:pPr>
              <w:autoSpaceDN w:val="0"/>
              <w:jc w:val="center"/>
              <w:textAlignment w:val="center"/>
              <w:rPr>
                <w:rFonts w:ascii="宋体" w:hAnsi="宋体" w:cs="宋体"/>
                <w:color w:val="000000"/>
                <w:szCs w:val="21"/>
              </w:rPr>
            </w:pPr>
          </w:p>
        </w:tc>
        <w:tc>
          <w:tcPr>
            <w:tcW w:w="839" w:type="dxa"/>
            <w:vAlign w:val="center"/>
          </w:tcPr>
          <w:p>
            <w:pPr>
              <w:autoSpaceDN w:val="0"/>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color w:val="000000"/>
                <w:szCs w:val="21"/>
              </w:rPr>
            </w:pPr>
          </w:p>
        </w:tc>
        <w:tc>
          <w:tcPr>
            <w:tcW w:w="1620" w:type="dxa"/>
            <w:vAlign w:val="center"/>
          </w:tcPr>
          <w:p>
            <w:pPr>
              <w:adjustRightInd w:val="0"/>
              <w:snapToGrid w:val="0"/>
              <w:jc w:val="center"/>
              <w:rPr>
                <w:rFonts w:ascii="宋体" w:hAnsi="宋体" w:cs="宋体"/>
                <w:color w:val="000000"/>
                <w:szCs w:val="21"/>
              </w:rPr>
            </w:pPr>
          </w:p>
        </w:tc>
        <w:tc>
          <w:tcPr>
            <w:tcW w:w="1260" w:type="dxa"/>
            <w:vAlign w:val="center"/>
          </w:tcPr>
          <w:p>
            <w:pPr>
              <w:spacing w:line="400" w:lineRule="exact"/>
              <w:jc w:val="center"/>
              <w:rPr>
                <w:rFonts w:ascii="宋体" w:hAnsi="宋体" w:cs="宋体"/>
                <w:color w:val="000000"/>
                <w:szCs w:val="21"/>
              </w:rPr>
            </w:pPr>
          </w:p>
        </w:tc>
        <w:tc>
          <w:tcPr>
            <w:tcW w:w="900" w:type="dxa"/>
            <w:vAlign w:val="center"/>
          </w:tcPr>
          <w:p>
            <w:pPr>
              <w:spacing w:line="400" w:lineRule="exact"/>
              <w:jc w:val="center"/>
              <w:rPr>
                <w:rFonts w:ascii="宋体" w:hAnsi="宋体" w:cs="宋体"/>
                <w:color w:val="000000"/>
                <w:szCs w:val="21"/>
              </w:rPr>
            </w:pPr>
          </w:p>
        </w:tc>
        <w:tc>
          <w:tcPr>
            <w:tcW w:w="900" w:type="dxa"/>
            <w:vAlign w:val="center"/>
          </w:tcPr>
          <w:p>
            <w:pPr>
              <w:adjustRightInd w:val="0"/>
              <w:snapToGrid w:val="0"/>
              <w:jc w:val="center"/>
              <w:rPr>
                <w:rFonts w:ascii="宋体" w:hAnsi="宋体" w:cs="宋体"/>
                <w:color w:val="000000"/>
                <w:szCs w:val="21"/>
              </w:rPr>
            </w:pPr>
          </w:p>
        </w:tc>
        <w:tc>
          <w:tcPr>
            <w:tcW w:w="900" w:type="dxa"/>
            <w:vAlign w:val="center"/>
          </w:tcPr>
          <w:p>
            <w:pPr>
              <w:autoSpaceDN w:val="0"/>
              <w:jc w:val="center"/>
              <w:textAlignment w:val="center"/>
              <w:rPr>
                <w:rFonts w:ascii="宋体" w:hAnsi="宋体" w:cs="宋体"/>
                <w:color w:val="000000"/>
                <w:szCs w:val="21"/>
              </w:rPr>
            </w:pPr>
          </w:p>
        </w:tc>
        <w:tc>
          <w:tcPr>
            <w:tcW w:w="894" w:type="dxa"/>
            <w:vAlign w:val="center"/>
          </w:tcPr>
          <w:p>
            <w:pPr>
              <w:autoSpaceDN w:val="0"/>
              <w:jc w:val="center"/>
              <w:textAlignment w:val="center"/>
              <w:rPr>
                <w:rFonts w:ascii="宋体" w:hAnsi="宋体" w:cs="宋体"/>
                <w:color w:val="000000"/>
                <w:szCs w:val="21"/>
              </w:rPr>
            </w:pPr>
          </w:p>
        </w:tc>
        <w:tc>
          <w:tcPr>
            <w:tcW w:w="839" w:type="dxa"/>
            <w:vAlign w:val="center"/>
          </w:tcPr>
          <w:p>
            <w:pPr>
              <w:autoSpaceDN w:val="0"/>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color w:val="000000"/>
                <w:szCs w:val="21"/>
              </w:rPr>
            </w:pPr>
          </w:p>
        </w:tc>
        <w:tc>
          <w:tcPr>
            <w:tcW w:w="1620" w:type="dxa"/>
            <w:vAlign w:val="center"/>
          </w:tcPr>
          <w:p>
            <w:pPr>
              <w:adjustRightInd w:val="0"/>
              <w:snapToGrid w:val="0"/>
              <w:jc w:val="center"/>
              <w:rPr>
                <w:rFonts w:ascii="宋体" w:hAnsi="宋体" w:cs="宋体"/>
                <w:color w:val="000000"/>
                <w:szCs w:val="21"/>
              </w:rPr>
            </w:pPr>
          </w:p>
        </w:tc>
        <w:tc>
          <w:tcPr>
            <w:tcW w:w="1260" w:type="dxa"/>
            <w:vAlign w:val="center"/>
          </w:tcPr>
          <w:p>
            <w:pPr>
              <w:jc w:val="center"/>
              <w:rPr>
                <w:rFonts w:ascii="宋体" w:hAnsi="宋体" w:cs="宋体"/>
                <w:color w:val="000000"/>
                <w:szCs w:val="21"/>
              </w:rPr>
            </w:pPr>
          </w:p>
        </w:tc>
        <w:tc>
          <w:tcPr>
            <w:tcW w:w="900" w:type="dxa"/>
            <w:vAlign w:val="center"/>
          </w:tcPr>
          <w:p>
            <w:pPr>
              <w:spacing w:line="400" w:lineRule="exact"/>
              <w:jc w:val="center"/>
              <w:rPr>
                <w:rFonts w:ascii="宋体" w:hAnsi="宋体" w:cs="宋体"/>
                <w:color w:val="000000"/>
                <w:szCs w:val="21"/>
              </w:rPr>
            </w:pPr>
          </w:p>
        </w:tc>
        <w:tc>
          <w:tcPr>
            <w:tcW w:w="900" w:type="dxa"/>
            <w:vAlign w:val="center"/>
          </w:tcPr>
          <w:p>
            <w:pPr>
              <w:adjustRightInd w:val="0"/>
              <w:snapToGrid w:val="0"/>
              <w:jc w:val="center"/>
              <w:rPr>
                <w:rFonts w:ascii="宋体" w:hAnsi="宋体" w:cs="宋体"/>
                <w:color w:val="000000"/>
                <w:szCs w:val="21"/>
              </w:rPr>
            </w:pPr>
          </w:p>
        </w:tc>
        <w:tc>
          <w:tcPr>
            <w:tcW w:w="900" w:type="dxa"/>
            <w:vAlign w:val="center"/>
          </w:tcPr>
          <w:p>
            <w:pPr>
              <w:autoSpaceDN w:val="0"/>
              <w:jc w:val="center"/>
              <w:textAlignment w:val="center"/>
              <w:rPr>
                <w:rFonts w:ascii="宋体" w:hAnsi="宋体" w:cs="宋体"/>
                <w:color w:val="000000"/>
                <w:szCs w:val="21"/>
              </w:rPr>
            </w:pPr>
          </w:p>
        </w:tc>
        <w:tc>
          <w:tcPr>
            <w:tcW w:w="894" w:type="dxa"/>
            <w:vAlign w:val="center"/>
          </w:tcPr>
          <w:p>
            <w:pPr>
              <w:autoSpaceDN w:val="0"/>
              <w:jc w:val="center"/>
              <w:textAlignment w:val="center"/>
              <w:rPr>
                <w:rFonts w:ascii="宋体" w:hAnsi="宋体" w:cs="宋体"/>
                <w:color w:val="000000"/>
                <w:szCs w:val="21"/>
              </w:rPr>
            </w:pPr>
          </w:p>
        </w:tc>
        <w:tc>
          <w:tcPr>
            <w:tcW w:w="839" w:type="dxa"/>
            <w:vAlign w:val="center"/>
          </w:tcPr>
          <w:p>
            <w:pPr>
              <w:autoSpaceDN w:val="0"/>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jc w:val="center"/>
        </w:trPr>
        <w:tc>
          <w:tcPr>
            <w:tcW w:w="2406" w:type="dxa"/>
            <w:gridSpan w:val="2"/>
            <w:vAlign w:val="center"/>
          </w:tcPr>
          <w:p>
            <w:pPr>
              <w:adjustRightInd w:val="0"/>
              <w:snapToGrid w:val="0"/>
              <w:jc w:val="center"/>
              <w:rPr>
                <w:rFonts w:ascii="宋体" w:hAnsi="宋体" w:cs="宋体"/>
                <w:b/>
                <w:color w:val="000000"/>
                <w:sz w:val="24"/>
              </w:rPr>
            </w:pPr>
            <w:r>
              <w:rPr>
                <w:rFonts w:hint="eastAsia" w:ascii="宋体" w:hAnsi="宋体" w:cs="宋体"/>
                <w:b/>
                <w:color w:val="000000"/>
                <w:sz w:val="24"/>
              </w:rPr>
              <w:t>总计（人民币/元）</w:t>
            </w:r>
          </w:p>
        </w:tc>
        <w:tc>
          <w:tcPr>
            <w:tcW w:w="5693" w:type="dxa"/>
            <w:gridSpan w:val="6"/>
            <w:vAlign w:val="center"/>
          </w:tcPr>
          <w:p>
            <w:pPr>
              <w:adjustRightInd w:val="0"/>
              <w:snapToGrid w:val="0"/>
              <w:rPr>
                <w:rFonts w:ascii="宋体" w:hAnsi="宋体" w:cs="宋体"/>
                <w:b/>
                <w:color w:val="000000"/>
                <w:sz w:val="24"/>
              </w:rPr>
            </w:pPr>
            <w:r>
              <w:rPr>
                <w:rFonts w:hint="eastAsia" w:ascii="宋体" w:hAnsi="宋体" w:cs="宋体"/>
                <w:b/>
                <w:color w:val="000000"/>
                <w:sz w:val="24"/>
              </w:rPr>
              <w:t>¥：       （大写）</w:t>
            </w:r>
          </w:p>
        </w:tc>
      </w:tr>
    </w:tbl>
    <w:p>
      <w:pPr>
        <w:pStyle w:val="10"/>
        <w:spacing w:before="2" w:line="364" w:lineRule="auto"/>
        <w:ind w:right="200" w:firstLine="480"/>
        <w:rPr>
          <w:rFonts w:ascii="宋体" w:hAnsi="宋体" w:cs="宋体"/>
          <w:color w:val="auto"/>
          <w:kern w:val="2"/>
          <w:szCs w:val="22"/>
        </w:rPr>
      </w:pPr>
      <w:r>
        <w:rPr>
          <w:rFonts w:hint="eastAsia" w:ascii="宋体" w:hAnsi="宋体" w:cs="宋体"/>
          <w:color w:val="auto"/>
          <w:kern w:val="2"/>
          <w:szCs w:val="22"/>
        </w:rPr>
        <w:t>乙方负责按合同中确定内容进行服务；按时完成甲方延安市安塞区教育体育局关于安塞区初级中学设备采购项目工作，达到甲方要求；负责为甲方培训操作、维护人员，做好售后服务工作。</w:t>
      </w:r>
    </w:p>
    <w:p>
      <w:pPr>
        <w:spacing w:line="400" w:lineRule="exact"/>
        <w:ind w:firstLine="482" w:firstLineChars="200"/>
        <w:rPr>
          <w:rFonts w:ascii="宋体" w:hAnsi="宋体" w:cs="宋体"/>
          <w:b/>
          <w:sz w:val="24"/>
          <w:szCs w:val="24"/>
        </w:rPr>
      </w:pPr>
      <w:r>
        <w:rPr>
          <w:rFonts w:hint="eastAsia" w:ascii="宋体" w:hAnsi="宋体" w:cs="宋体"/>
          <w:b/>
          <w:sz w:val="24"/>
          <w:szCs w:val="24"/>
        </w:rPr>
        <w:t>二、合同价格</w:t>
      </w:r>
    </w:p>
    <w:p>
      <w:pPr>
        <w:kinsoku w:val="0"/>
        <w:spacing w:line="400" w:lineRule="exact"/>
        <w:ind w:firstLine="480" w:firstLineChars="200"/>
        <w:rPr>
          <w:rFonts w:ascii="宋体" w:hAnsi="宋体" w:cs="宋体"/>
          <w:sz w:val="24"/>
          <w:szCs w:val="24"/>
        </w:rPr>
      </w:pPr>
      <w:r>
        <w:rPr>
          <w:rFonts w:hint="eastAsia" w:ascii="宋体" w:hAnsi="宋体" w:cs="宋体"/>
          <w:sz w:val="24"/>
          <w:szCs w:val="24"/>
        </w:rPr>
        <w:t>合同总价：人民币大写：</w:t>
      </w:r>
      <w:r>
        <w:rPr>
          <w:rFonts w:hint="eastAsia" w:ascii="宋体" w:hAnsi="宋体" w:cs="宋体"/>
          <w:b/>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元。</w:t>
      </w:r>
    </w:p>
    <w:p>
      <w:pPr>
        <w:kinsoku w:val="0"/>
        <w:spacing w:line="400" w:lineRule="exact"/>
        <w:ind w:firstLine="480" w:firstLineChars="200"/>
        <w:rPr>
          <w:rFonts w:ascii="宋体" w:hAnsi="宋体" w:cs="宋体"/>
          <w:sz w:val="24"/>
        </w:rPr>
      </w:pPr>
      <w:r>
        <w:rPr>
          <w:rFonts w:hint="eastAsia" w:ascii="宋体" w:hAnsi="宋体" w:cs="宋体"/>
          <w:sz w:val="24"/>
        </w:rPr>
        <w:t>合同总价包括：技术培训费、人工费、税金及国家按现行税收政策征收的一切税费等</w:t>
      </w:r>
      <w:r>
        <w:rPr>
          <w:rFonts w:hint="eastAsia" w:ascii="宋体" w:hAnsi="宋体" w:cs="宋体"/>
          <w:sz w:val="24"/>
          <w:szCs w:val="24"/>
        </w:rPr>
        <w:t>。</w:t>
      </w:r>
      <w:r>
        <w:rPr>
          <w:rFonts w:hint="eastAsia" w:ascii="宋体" w:hAnsi="宋体" w:cs="宋体"/>
          <w:sz w:val="24"/>
        </w:rPr>
        <w:t>合同总价不可变更，不受市场价变化的影响，不受实际数量变化的影响。</w:t>
      </w:r>
    </w:p>
    <w:p>
      <w:pPr>
        <w:spacing w:line="400" w:lineRule="exact"/>
        <w:ind w:firstLine="482" w:firstLineChars="200"/>
        <w:rPr>
          <w:rFonts w:ascii="宋体" w:hAnsi="宋体" w:cs="宋体"/>
          <w:b/>
          <w:sz w:val="24"/>
          <w:szCs w:val="24"/>
        </w:rPr>
      </w:pPr>
      <w:r>
        <w:rPr>
          <w:rFonts w:hint="eastAsia" w:ascii="宋体" w:hAnsi="宋体" w:cs="宋体"/>
          <w:b/>
          <w:sz w:val="24"/>
          <w:szCs w:val="24"/>
          <w:lang w:eastAsia="zh-CN"/>
        </w:rPr>
        <w:t>三</w:t>
      </w:r>
      <w:r>
        <w:rPr>
          <w:rFonts w:hint="eastAsia" w:ascii="宋体" w:hAnsi="宋体" w:cs="宋体"/>
          <w:b/>
          <w:sz w:val="24"/>
          <w:szCs w:val="24"/>
        </w:rPr>
        <w:t>、交货条件</w:t>
      </w:r>
    </w:p>
    <w:p>
      <w:pPr>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1、交货</w:t>
      </w:r>
      <w:r>
        <w:rPr>
          <w:rFonts w:hint="eastAsia" w:ascii="宋体" w:hAnsi="宋体" w:cs="宋体"/>
          <w:sz w:val="24"/>
          <w:szCs w:val="24"/>
        </w:rPr>
        <w:t>条件</w:t>
      </w:r>
      <w:r>
        <w:rPr>
          <w:rFonts w:hint="eastAsia" w:ascii="宋体" w:hAnsi="宋体" w:cs="宋体"/>
          <w:sz w:val="24"/>
          <w:szCs w:val="24"/>
          <w:lang w:val="zh-CN"/>
        </w:rPr>
        <w:t>：乙方负责按合同中确定内容进行服务；按时完成甲方延安市安塞区教育体育局关于安塞区初级中学设备采购项目工作，达到甲方要求；负责为甲方培训操作、维护人员，做好售后服务工作。交付的货物、服务与投标文件、招标文件等所指明的，或者与本合同所指明的内容相一致。</w:t>
      </w:r>
    </w:p>
    <w:p>
      <w:pPr>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2、交货日期：</w:t>
      </w:r>
    </w:p>
    <w:p>
      <w:pPr>
        <w:spacing w:line="400" w:lineRule="exact"/>
        <w:ind w:firstLine="482" w:firstLineChars="200"/>
        <w:rPr>
          <w:rFonts w:ascii="宋体" w:hAnsi="宋体" w:cs="宋体"/>
          <w:b/>
          <w:sz w:val="24"/>
          <w:szCs w:val="24"/>
        </w:rPr>
      </w:pPr>
      <w:r>
        <w:rPr>
          <w:rFonts w:hint="eastAsia" w:cs="宋体"/>
          <w:b/>
          <w:sz w:val="24"/>
          <w:szCs w:val="24"/>
          <w:lang w:eastAsia="zh-CN"/>
        </w:rPr>
        <w:t>四</w:t>
      </w:r>
      <w:r>
        <w:rPr>
          <w:rFonts w:hint="eastAsia" w:cs="宋体"/>
          <w:b/>
          <w:sz w:val="24"/>
          <w:szCs w:val="24"/>
        </w:rPr>
        <w:t>、</w:t>
      </w:r>
      <w:r>
        <w:rPr>
          <w:rFonts w:hint="eastAsia" w:ascii="宋体" w:hAnsi="宋体" w:cs="宋体"/>
          <w:b/>
          <w:sz w:val="24"/>
          <w:szCs w:val="24"/>
        </w:rPr>
        <w:t>付款方式</w:t>
      </w:r>
    </w:p>
    <w:p>
      <w:pPr>
        <w:spacing w:line="400" w:lineRule="exact"/>
        <w:ind w:firstLine="480" w:firstLineChars="200"/>
        <w:outlineLvl w:val="9"/>
        <w:rPr>
          <w:rFonts w:hint="eastAsia" w:ascii="宋体" w:hAnsi="宋体" w:cs="宋体"/>
          <w:b w:val="0"/>
          <w:bCs w:val="0"/>
          <w:sz w:val="24"/>
          <w:szCs w:val="24"/>
          <w:highlight w:val="none"/>
        </w:rPr>
      </w:pPr>
      <w:r>
        <w:rPr>
          <w:rFonts w:hint="eastAsia" w:ascii="宋体" w:hAnsi="宋体" w:cs="宋体"/>
          <w:b w:val="0"/>
          <w:bCs w:val="0"/>
          <w:sz w:val="24"/>
          <w:szCs w:val="24"/>
          <w:highlight w:val="none"/>
        </w:rPr>
        <w:t>合同签订后30日内向乙方支付合同总价的30%，货物交付验收合格后，乙方连同货款发票，采购合同，货物验收单等相关材料送交甲方，甲方向乙方支付合同总金额的65％，剩余5％于验收合格一年后向乙方支付完成，不计算利息。</w:t>
      </w:r>
    </w:p>
    <w:p>
      <w:pPr>
        <w:spacing w:line="400" w:lineRule="exact"/>
        <w:ind w:firstLine="420" w:firstLineChars="200"/>
        <w:rPr>
          <w:rFonts w:cs="宋体"/>
          <w:b/>
          <w:sz w:val="24"/>
          <w:szCs w:val="24"/>
        </w:rPr>
      </w:pPr>
      <w:r>
        <w:rPr>
          <w:rFonts w:hint="eastAsia"/>
        </w:rPr>
        <w:t xml:space="preserve"> </w:t>
      </w:r>
      <w:r>
        <w:rPr>
          <w:rFonts w:hint="eastAsia" w:cs="宋体"/>
          <w:b/>
          <w:sz w:val="24"/>
          <w:szCs w:val="24"/>
          <w:lang w:eastAsia="zh-CN"/>
        </w:rPr>
        <w:t>五</w:t>
      </w:r>
      <w:r>
        <w:rPr>
          <w:rFonts w:hint="eastAsia" w:cs="宋体"/>
          <w:b/>
          <w:sz w:val="24"/>
          <w:szCs w:val="24"/>
        </w:rPr>
        <w:t>、违约责任：</w:t>
      </w:r>
    </w:p>
    <w:p>
      <w:pPr>
        <w:pStyle w:val="74"/>
        <w:spacing w:before="173" w:line="360" w:lineRule="auto"/>
        <w:ind w:left="-676" w:leftChars="-322" w:firstLine="1096" w:firstLineChars="457"/>
        <w:rPr>
          <w:rFonts w:ascii="宋体" w:hAnsi="宋体" w:cs="宋体"/>
          <w:sz w:val="24"/>
        </w:rPr>
      </w:pPr>
      <w:r>
        <w:rPr>
          <w:rFonts w:hint="eastAsia" w:ascii="宋体" w:hAnsi="宋体" w:cs="宋体"/>
          <w:sz w:val="24"/>
        </w:rPr>
        <w:t>（1）按《中华人民共和国民法典》中的相关条款执行。</w:t>
      </w:r>
    </w:p>
    <w:p>
      <w:pPr>
        <w:pStyle w:val="74"/>
        <w:spacing w:before="173" w:line="360" w:lineRule="auto"/>
        <w:ind w:firstLineChars="175"/>
        <w:rPr>
          <w:rFonts w:ascii="宋体" w:hAnsi="宋体" w:cs="宋体"/>
        </w:rPr>
      </w:pPr>
      <w:r>
        <w:rPr>
          <w:rFonts w:hint="eastAsia" w:ascii="宋体" w:hAnsi="宋体" w:cs="宋体"/>
          <w:sz w:val="24"/>
        </w:rPr>
        <w:t>（2）</w:t>
      </w:r>
      <w:r>
        <w:rPr>
          <w:rFonts w:hint="eastAsia" w:ascii="宋体" w:hAnsi="宋体" w:cs="宋体"/>
          <w:spacing w:val="-3"/>
          <w:sz w:val="24"/>
        </w:rPr>
        <w:t>未按合同要求提供服务或服务质量不能满足技术要求，采购人有权终止合同</w:t>
      </w:r>
      <w:r>
        <w:rPr>
          <w:rFonts w:hint="eastAsia" w:ascii="宋体" w:hAnsi="宋体" w:cs="宋体"/>
          <w:spacing w:val="-4"/>
          <w:sz w:val="24"/>
        </w:rPr>
        <w:t>，并对成交人违约行为进行追究，同时按《政府采购法》的有关规定进行处罚。</w:t>
      </w:r>
    </w:p>
    <w:p>
      <w:pPr>
        <w:tabs>
          <w:tab w:val="left" w:pos="840"/>
        </w:tabs>
        <w:spacing w:line="360" w:lineRule="auto"/>
        <w:ind w:firstLine="422" w:firstLineChars="175"/>
        <w:rPr>
          <w:rFonts w:ascii="宋体" w:hAnsi="宋体"/>
          <w:b/>
          <w:sz w:val="24"/>
        </w:rPr>
      </w:pPr>
      <w:r>
        <w:rPr>
          <w:rFonts w:hint="eastAsia" w:ascii="宋体" w:hAnsi="宋体"/>
          <w:b/>
          <w:sz w:val="24"/>
          <w:lang w:eastAsia="zh-CN"/>
        </w:rPr>
        <w:t>六</w:t>
      </w:r>
      <w:r>
        <w:rPr>
          <w:rFonts w:hint="eastAsia" w:ascii="宋体" w:hAnsi="宋体"/>
          <w:b/>
          <w:sz w:val="24"/>
        </w:rPr>
        <w:t>、双方的权利和义务</w:t>
      </w:r>
    </w:p>
    <w:p>
      <w:pPr>
        <w:tabs>
          <w:tab w:val="left" w:pos="840"/>
        </w:tabs>
        <w:spacing w:line="360" w:lineRule="auto"/>
        <w:ind w:firstLine="420" w:firstLineChars="175"/>
        <w:rPr>
          <w:rFonts w:hAnsi="宋体"/>
          <w:sz w:val="24"/>
        </w:rPr>
      </w:pPr>
      <w:r>
        <w:rPr>
          <w:rFonts w:hint="eastAsia" w:hAnsi="宋体"/>
          <w:sz w:val="24"/>
        </w:rPr>
        <w:t>1、甲方责任</w:t>
      </w:r>
    </w:p>
    <w:p>
      <w:pPr>
        <w:tabs>
          <w:tab w:val="left" w:pos="840"/>
        </w:tabs>
        <w:spacing w:line="360" w:lineRule="auto"/>
        <w:ind w:firstLine="420" w:firstLineChars="175"/>
        <w:rPr>
          <w:rFonts w:hAnsi="宋体"/>
          <w:sz w:val="24"/>
        </w:rPr>
      </w:pPr>
      <w:r>
        <w:rPr>
          <w:rFonts w:hint="eastAsia" w:hAnsi="宋体"/>
          <w:sz w:val="24"/>
        </w:rPr>
        <w:t>负责核准、认定本项目相关技术资料文档；监督、参与项目执行的整个过程为乙方提供必要的工作条件，并提供产品及服务所必需的运行环境；按照合同约定支付合同款项。</w:t>
      </w:r>
    </w:p>
    <w:p>
      <w:pPr>
        <w:tabs>
          <w:tab w:val="left" w:pos="840"/>
        </w:tabs>
        <w:spacing w:line="360" w:lineRule="auto"/>
        <w:ind w:firstLine="420" w:firstLineChars="175"/>
        <w:rPr>
          <w:rFonts w:hAnsi="宋体"/>
          <w:sz w:val="24"/>
        </w:rPr>
      </w:pPr>
      <w:r>
        <w:rPr>
          <w:rFonts w:hint="eastAsia" w:hAnsi="宋体"/>
          <w:sz w:val="24"/>
        </w:rPr>
        <w:t>2、乙方责任</w:t>
      </w:r>
    </w:p>
    <w:p>
      <w:pPr>
        <w:tabs>
          <w:tab w:val="left" w:pos="840"/>
        </w:tabs>
        <w:spacing w:line="360" w:lineRule="auto"/>
        <w:ind w:firstLine="420" w:firstLineChars="175"/>
      </w:pPr>
      <w:r>
        <w:rPr>
          <w:rFonts w:hint="eastAsia" w:hAnsi="宋体"/>
          <w:sz w:val="24"/>
        </w:rPr>
        <w:t>项目的交接；按时完成本合同所涉及产品及服务项目的验收工作；协助配合甲方完成延安市安塞区教育体育局关于安塞区初级中学设备采购项目；做好整个项目的售后服务技术支持工作。</w:t>
      </w:r>
    </w:p>
    <w:p>
      <w:pPr>
        <w:tabs>
          <w:tab w:val="left" w:pos="840"/>
        </w:tabs>
        <w:spacing w:line="360" w:lineRule="auto"/>
        <w:ind w:firstLine="422" w:firstLineChars="175"/>
        <w:rPr>
          <w:rFonts w:ascii="宋体" w:hAnsi="宋体"/>
          <w:b/>
          <w:sz w:val="24"/>
        </w:rPr>
      </w:pPr>
      <w:r>
        <w:rPr>
          <w:rFonts w:hint="eastAsia"/>
          <w:b/>
          <w:sz w:val="24"/>
          <w:lang w:eastAsia="zh-CN"/>
        </w:rPr>
        <w:t>七</w:t>
      </w:r>
      <w:r>
        <w:rPr>
          <w:rFonts w:hint="eastAsia" w:ascii="宋体" w:hAnsi="宋体"/>
          <w:b/>
          <w:sz w:val="24"/>
        </w:rPr>
        <w:t>、质量保证</w:t>
      </w:r>
    </w:p>
    <w:p>
      <w:pPr>
        <w:pStyle w:val="10"/>
        <w:spacing w:before="172"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val="zh-CN" w:bidi="zh-CN"/>
        </w:rPr>
        <w:t>1、本次延安市安塞区教育体育局关于安塞区初级中学设备采购项目应符合国家有关规范， 确保达到最佳状态。</w:t>
      </w:r>
    </w:p>
    <w:p>
      <w:pPr>
        <w:pStyle w:val="10"/>
        <w:spacing w:before="1"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val="zh-CN" w:bidi="zh-CN"/>
        </w:rPr>
        <w:t>2、成交供应商应根据服务方案规范及质量要求进行服务工作，并在质保期内、外应对由于产品设计、工艺或材料的缺陷而产生的质量问题负责，采购人在服务过程中起到配合、监督及管理的作用。</w:t>
      </w:r>
    </w:p>
    <w:p>
      <w:pPr>
        <w:pStyle w:val="10"/>
        <w:tabs>
          <w:tab w:val="left" w:pos="7560"/>
        </w:tabs>
        <w:spacing w:before="1"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val="zh-CN" w:bidi="zh-CN"/>
        </w:rPr>
        <w:t>3、在质保期内，如果发现服务范围、内容和服务质量等存在与合同中任何一项不符，采购人应在最短时间内，以书面形式向成交供应商提出索赔，同时通告采购代理机构。</w:t>
      </w:r>
    </w:p>
    <w:p>
      <w:pPr>
        <w:spacing w:before="1"/>
        <w:ind w:firstLine="422" w:firstLineChars="175"/>
        <w:rPr>
          <w:rFonts w:ascii="宋体" w:hAnsi="宋体" w:cs="宋体"/>
          <w:b/>
          <w:sz w:val="24"/>
          <w:lang w:bidi="zh-CN"/>
        </w:rPr>
      </w:pPr>
      <w:r>
        <w:rPr>
          <w:rFonts w:hint="eastAsia" w:ascii="宋体" w:hAnsi="宋体" w:cs="宋体"/>
          <w:b/>
          <w:sz w:val="24"/>
          <w:lang w:bidi="zh-CN"/>
        </w:rPr>
        <w:t>八、售后服务</w:t>
      </w:r>
    </w:p>
    <w:p>
      <w:pPr>
        <w:adjustRightInd w:val="0"/>
        <w:snapToGrid w:val="0"/>
        <w:spacing w:line="440" w:lineRule="exact"/>
        <w:ind w:firstLine="420" w:firstLineChars="175"/>
        <w:rPr>
          <w:rFonts w:ascii="宋体" w:hAnsi="宋体" w:cs="宋体"/>
          <w:sz w:val="24"/>
          <w:lang w:val="zh-CN" w:bidi="zh-CN"/>
        </w:rPr>
      </w:pPr>
      <w:r>
        <w:rPr>
          <w:rFonts w:hint="eastAsia" w:ascii="宋体" w:hAnsi="宋体" w:cs="宋体"/>
          <w:sz w:val="24"/>
          <w:lang w:val="zh-CN" w:bidi="zh-CN"/>
        </w:rPr>
        <w:t>以招标文件、投标文件、中标单位澄清表（函）为准。</w:t>
      </w:r>
    </w:p>
    <w:p>
      <w:pPr>
        <w:adjustRightInd w:val="0"/>
        <w:snapToGrid w:val="0"/>
        <w:spacing w:line="440" w:lineRule="exact"/>
        <w:ind w:firstLine="420" w:firstLineChars="175"/>
        <w:rPr>
          <w:rFonts w:ascii="宋体" w:hAnsi="宋体" w:cs="宋体"/>
          <w:kern w:val="0"/>
          <w:sz w:val="24"/>
          <w:lang w:val="zh-CN" w:bidi="zh-CN"/>
        </w:rPr>
      </w:pPr>
      <w:r>
        <w:rPr>
          <w:rFonts w:hint="eastAsia" w:ascii="宋体" w:hAnsi="宋体" w:cs="宋体"/>
          <w:kern w:val="0"/>
          <w:sz w:val="24"/>
          <w:lang w:val="zh-CN" w:bidi="zh-CN"/>
        </w:rPr>
        <w:t>①属于保修范围和内容的项目，承包人应在接到维修通知后， 15 天内派人维修。发生紧急抢修事故（如上水管跑水、爆裂，供电设施漏、断电等），承包人应在接到事故通知后 24 小时内到达事故现场并于 72 小时内完成应急维修。</w:t>
      </w:r>
    </w:p>
    <w:p>
      <w:pPr>
        <w:pStyle w:val="10"/>
        <w:spacing w:before="1" w:line="374" w:lineRule="auto"/>
        <w:ind w:firstLine="422" w:firstLineChars="175"/>
        <w:rPr>
          <w:rFonts w:ascii="宋体" w:hAnsi="宋体" w:cs="宋体"/>
          <w:b/>
          <w:bCs/>
          <w:color w:val="000000"/>
          <w:szCs w:val="22"/>
          <w:lang w:val="zh-CN" w:bidi="zh-CN"/>
        </w:rPr>
      </w:pPr>
      <w:r>
        <w:rPr>
          <w:rFonts w:hint="eastAsia" w:ascii="宋体" w:hAnsi="宋体" w:cs="宋体"/>
          <w:b/>
          <w:bCs/>
          <w:color w:val="000000"/>
          <w:szCs w:val="22"/>
          <w:lang w:bidi="zh-CN"/>
        </w:rPr>
        <w:t>九</w:t>
      </w:r>
      <w:r>
        <w:rPr>
          <w:rFonts w:hint="eastAsia" w:ascii="宋体" w:hAnsi="宋体" w:cs="宋体"/>
          <w:b/>
          <w:bCs/>
          <w:color w:val="000000"/>
          <w:szCs w:val="22"/>
          <w:lang w:val="zh-CN" w:bidi="zh-CN"/>
        </w:rPr>
        <w:t>、违约责任</w:t>
      </w:r>
    </w:p>
    <w:p>
      <w:pPr>
        <w:pStyle w:val="10"/>
        <w:spacing w:before="1"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val="zh-CN" w:bidi="zh-CN"/>
        </w:rPr>
        <w:t>依据《中华人民共和国民法典》、《中华人民共和国政府采购法》的相关条款和本合同约定，成交供应商未全面履行合同义务或者发生违约，采购人会同采购代理机构有权终止合同，依法向成交供应商要求经济索赔，并报请政府采购监督管理机关进行相应的行政处罚。采购人违约的，应当赔偿给成交供应商造成的经济损失。</w:t>
      </w:r>
    </w:p>
    <w:p>
      <w:pPr>
        <w:pStyle w:val="10"/>
        <w:spacing w:before="1"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bidi="zh-CN"/>
        </w:rPr>
        <w:t xml:space="preserve"> </w:t>
      </w:r>
      <w:r>
        <w:rPr>
          <w:rFonts w:hint="eastAsia" w:ascii="宋体" w:hAnsi="宋体" w:cs="宋体"/>
          <w:color w:val="000000"/>
          <w:szCs w:val="22"/>
          <w:lang w:val="zh-CN" w:bidi="zh-CN"/>
        </w:rPr>
        <w:t>乙方必须承担不合格产品总价5％的违约金，否则甲方有权解除合同并同时处理所扣押的不合格产品，乙方缴纳的合同履约保证金</w:t>
      </w:r>
      <w:r>
        <w:rPr>
          <w:rFonts w:hint="eastAsia" w:ascii="宋体" w:hAnsi="宋体" w:cs="宋体"/>
          <w:color w:val="000000"/>
          <w:szCs w:val="22"/>
          <w:u w:val="single"/>
          <w:lang w:val="zh-CN" w:bidi="zh-CN"/>
        </w:rPr>
        <w:t xml:space="preserve">       </w:t>
      </w:r>
      <w:r>
        <w:rPr>
          <w:rFonts w:hint="eastAsia" w:ascii="宋体" w:hAnsi="宋体" w:cs="宋体"/>
          <w:color w:val="000000"/>
          <w:szCs w:val="22"/>
          <w:lang w:val="zh-CN" w:bidi="zh-CN"/>
        </w:rPr>
        <w:t>人民币不予退还。</w:t>
      </w:r>
    </w:p>
    <w:p>
      <w:pPr>
        <w:pStyle w:val="10"/>
        <w:spacing w:before="1"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val="zh-CN" w:bidi="zh-CN"/>
        </w:rPr>
        <w:t>乙方未能依照本合同约定交付物品的，应向甲方支付合同总额5%的违约金。因乙方未能交付物品给甲方造成损失的，乙方还应赔偿甲方损失。</w:t>
      </w:r>
    </w:p>
    <w:p>
      <w:pPr>
        <w:pStyle w:val="10"/>
        <w:spacing w:before="1"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val="zh-CN" w:bidi="zh-CN"/>
        </w:rPr>
        <w:t>乙方交付的物品经甲方验收不合格或不符合本合同约定，甲方有权拒收，按乙方未能交付物品处置，交货期限不予顺延。</w:t>
      </w:r>
    </w:p>
    <w:p>
      <w:pPr>
        <w:pStyle w:val="10"/>
        <w:spacing w:before="1"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val="zh-CN" w:bidi="zh-CN"/>
        </w:rPr>
        <w:t>乙方逾期交付物品（含逾期补足物品的），则每日按合同总额3‰向甲方偿付违约金，违约金总额不超过合同总金额的5%。逾期交付超过15天，甲方有权终止合同，按乙方未能交付物品处置，乙方向甲方支付合同总额5%的违约金。</w:t>
      </w:r>
    </w:p>
    <w:p>
      <w:pPr>
        <w:pStyle w:val="10"/>
        <w:spacing w:before="1" w:line="374" w:lineRule="auto"/>
        <w:ind w:firstLine="420" w:firstLineChars="175"/>
        <w:rPr>
          <w:rFonts w:ascii="宋体" w:hAnsi="宋体" w:cs="宋体"/>
          <w:color w:val="000000"/>
          <w:szCs w:val="22"/>
          <w:lang w:bidi="zh-CN"/>
        </w:rPr>
      </w:pPr>
      <w:r>
        <w:rPr>
          <w:rFonts w:hint="eastAsia" w:ascii="宋体" w:hAnsi="宋体" w:cs="宋体"/>
          <w:color w:val="000000"/>
          <w:szCs w:val="22"/>
          <w:lang w:val="zh-CN" w:bidi="zh-CN"/>
        </w:rPr>
        <w:t>甲方无正当理由逾期付款，则每日按合同总额3‰向乙方偿付违约金。违约金总额不超过合同总金额的5%。逾期付款超过15天，乙方有权终止合同，甲方向乙方支付合同总额5%的违约金，已收乙方物品的退还物品。若属于财政拨款等非因甲方原因导致付款延迟或出现其他不符合约定的情形，甲方不承担任何责任。</w:t>
      </w:r>
    </w:p>
    <w:p>
      <w:pPr>
        <w:pStyle w:val="10"/>
        <w:spacing w:before="1" w:line="374" w:lineRule="auto"/>
        <w:ind w:firstLine="422" w:firstLineChars="175"/>
        <w:rPr>
          <w:rFonts w:ascii="宋体" w:hAnsi="宋体" w:cs="宋体"/>
          <w:b/>
          <w:bCs/>
          <w:color w:val="000000"/>
          <w:szCs w:val="22"/>
          <w:lang w:val="zh-CN" w:bidi="zh-CN"/>
        </w:rPr>
      </w:pPr>
      <w:r>
        <w:rPr>
          <w:rFonts w:hint="eastAsia" w:ascii="宋体" w:hAnsi="宋体" w:cs="宋体"/>
          <w:b/>
          <w:bCs/>
          <w:color w:val="000000"/>
          <w:szCs w:val="22"/>
          <w:lang w:bidi="zh-CN"/>
        </w:rPr>
        <w:t>十</w:t>
      </w:r>
      <w:r>
        <w:rPr>
          <w:rFonts w:hint="eastAsia" w:ascii="宋体" w:hAnsi="宋体" w:cs="宋体"/>
          <w:b/>
          <w:bCs/>
          <w:color w:val="000000"/>
          <w:szCs w:val="22"/>
          <w:lang w:val="zh-CN" w:bidi="zh-CN"/>
        </w:rPr>
        <w:t>、验收</w:t>
      </w:r>
    </w:p>
    <w:p>
      <w:pPr>
        <w:pStyle w:val="10"/>
        <w:spacing w:before="1"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val="zh-CN" w:bidi="zh-CN"/>
        </w:rPr>
        <w:t>验收：验收须以合同、招标文件、投标文件、澄清、及国家相应的标准、规范等为依据进行验收。</w:t>
      </w:r>
    </w:p>
    <w:p>
      <w:pPr>
        <w:pStyle w:val="10"/>
        <w:spacing w:before="1" w:line="374" w:lineRule="auto"/>
        <w:ind w:firstLine="422" w:firstLineChars="175"/>
        <w:rPr>
          <w:rFonts w:ascii="宋体" w:hAnsi="宋体" w:cs="宋体"/>
          <w:b/>
          <w:bCs/>
          <w:color w:val="000000"/>
          <w:szCs w:val="22"/>
          <w:lang w:val="zh-CN" w:bidi="zh-CN"/>
        </w:rPr>
      </w:pPr>
      <w:r>
        <w:rPr>
          <w:rFonts w:hint="eastAsia" w:ascii="宋体" w:hAnsi="宋体" w:cs="宋体"/>
          <w:b/>
          <w:bCs/>
          <w:color w:val="000000"/>
          <w:szCs w:val="22"/>
          <w:lang w:val="zh-CN" w:bidi="zh-CN"/>
        </w:rPr>
        <w:t>十一、合同争议解决的方式</w:t>
      </w:r>
    </w:p>
    <w:p>
      <w:pPr>
        <w:pStyle w:val="10"/>
        <w:spacing w:before="1"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val="zh-CN" w:bidi="zh-CN"/>
        </w:rPr>
        <w:t>合同执行中发生争议的，当事人双方应协商解决，协商达不成一致时，可向人民法院提请诉讼。</w:t>
      </w:r>
    </w:p>
    <w:p>
      <w:pPr>
        <w:pStyle w:val="10"/>
        <w:spacing w:before="1" w:line="374" w:lineRule="auto"/>
        <w:ind w:firstLine="482" w:firstLineChars="200"/>
        <w:rPr>
          <w:rFonts w:ascii="宋体" w:hAnsi="宋体" w:cs="宋体"/>
          <w:b/>
          <w:bCs/>
          <w:color w:val="000000"/>
          <w:szCs w:val="22"/>
          <w:lang w:val="zh-CN" w:bidi="zh-CN"/>
        </w:rPr>
      </w:pPr>
      <w:r>
        <w:rPr>
          <w:rFonts w:hint="eastAsia" w:ascii="宋体" w:hAnsi="宋体" w:cs="宋体"/>
          <w:b/>
          <w:bCs/>
          <w:color w:val="000000"/>
          <w:szCs w:val="22"/>
          <w:lang w:val="zh-CN" w:bidi="zh-CN"/>
        </w:rPr>
        <w:t>十</w:t>
      </w:r>
      <w:r>
        <w:rPr>
          <w:rFonts w:hint="eastAsia" w:ascii="宋体" w:hAnsi="宋体" w:cs="宋体"/>
          <w:b/>
          <w:bCs/>
          <w:color w:val="000000"/>
          <w:szCs w:val="22"/>
          <w:lang w:bidi="zh-CN"/>
        </w:rPr>
        <w:t>三</w:t>
      </w:r>
      <w:r>
        <w:rPr>
          <w:rFonts w:hint="eastAsia" w:ascii="宋体" w:hAnsi="宋体" w:cs="宋体"/>
          <w:b/>
          <w:bCs/>
          <w:color w:val="000000"/>
          <w:szCs w:val="22"/>
          <w:lang w:val="zh-CN" w:bidi="zh-CN"/>
        </w:rPr>
        <w:t>、其他事项</w:t>
      </w:r>
    </w:p>
    <w:p>
      <w:pPr>
        <w:pStyle w:val="10"/>
        <w:spacing w:before="1" w:line="374" w:lineRule="auto"/>
        <w:ind w:firstLine="480" w:firstLineChars="200"/>
        <w:rPr>
          <w:rFonts w:ascii="宋体" w:hAnsi="宋体" w:cs="宋体"/>
          <w:color w:val="000000"/>
          <w:szCs w:val="22"/>
          <w:lang w:val="zh-CN" w:bidi="zh-CN"/>
        </w:rPr>
      </w:pPr>
      <w:bookmarkStart w:id="73" w:name="第四章__竞争性磋商内容及服务要求"/>
      <w:bookmarkEnd w:id="73"/>
      <w:bookmarkStart w:id="74" w:name="_bookmark3"/>
      <w:bookmarkEnd w:id="74"/>
      <w:r>
        <w:rPr>
          <w:rFonts w:hint="eastAsia" w:ascii="宋体" w:hAnsi="宋体" w:cs="宋体"/>
          <w:color w:val="000000"/>
          <w:szCs w:val="22"/>
          <w:lang w:bidi="zh-CN"/>
        </w:rPr>
        <w:t>1、</w:t>
      </w:r>
      <w:r>
        <w:rPr>
          <w:rFonts w:hint="eastAsia" w:ascii="宋体" w:hAnsi="宋体" w:cs="宋体"/>
          <w:color w:val="000000"/>
          <w:szCs w:val="22"/>
          <w:lang w:val="zh-CN" w:bidi="zh-CN"/>
        </w:rPr>
        <w:t>本合同乙方在任何情况下都不得全部或部分转让其应履行的合同义务，乙方不得将本合同分包给他人。</w:t>
      </w:r>
    </w:p>
    <w:p>
      <w:pPr>
        <w:pStyle w:val="10"/>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2、</w:t>
      </w:r>
      <w:r>
        <w:rPr>
          <w:rFonts w:hint="eastAsia" w:ascii="宋体" w:hAnsi="宋体" w:cs="宋体"/>
          <w:color w:val="000000"/>
          <w:szCs w:val="22"/>
          <w:lang w:val="zh-CN" w:bidi="zh-CN"/>
        </w:rPr>
        <w:t>在执行本合同的过程中，所有经双方签署确认的文件（包括会议纪要、补充合同、合同修改书、往来信函等）均为本合同的有效组成部分，其生效日期为双方签字盖章或确认之日期。</w:t>
      </w:r>
    </w:p>
    <w:p>
      <w:pPr>
        <w:pStyle w:val="10"/>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3、</w:t>
      </w:r>
      <w:r>
        <w:rPr>
          <w:rFonts w:hint="eastAsia" w:ascii="宋体" w:hAnsi="宋体" w:cs="宋体"/>
          <w:color w:val="000000"/>
          <w:szCs w:val="22"/>
          <w:lang w:val="zh-CN" w:bidi="zh-CN"/>
        </w:rPr>
        <w:t>合</w:t>
      </w:r>
      <w:r>
        <w:rPr>
          <w:rFonts w:ascii="宋体" w:hAnsi="宋体" w:cs="宋体"/>
          <w:color w:val="000000"/>
          <w:szCs w:val="22"/>
          <w:lang w:val="zh-CN" w:bidi="zh-CN"/>
        </w:rPr>
        <w:t>同一式</w:t>
      </w:r>
      <w:r>
        <w:rPr>
          <w:rFonts w:hint="eastAsia" w:ascii="宋体" w:hAnsi="宋体" w:cs="宋体"/>
          <w:color w:val="000000"/>
          <w:szCs w:val="22"/>
          <w:lang w:bidi="zh-CN"/>
        </w:rPr>
        <w:t>八</w:t>
      </w:r>
      <w:r>
        <w:rPr>
          <w:rFonts w:ascii="宋体" w:hAnsi="宋体" w:cs="宋体"/>
          <w:color w:val="000000"/>
          <w:szCs w:val="22"/>
          <w:lang w:val="zh-CN" w:bidi="zh-CN"/>
        </w:rPr>
        <w:t>份，采购人</w:t>
      </w:r>
      <w:r>
        <w:rPr>
          <w:rFonts w:hint="eastAsia" w:ascii="宋体" w:hAnsi="宋体" w:cs="宋体"/>
          <w:color w:val="000000"/>
          <w:szCs w:val="22"/>
          <w:lang w:val="zh-CN" w:bidi="zh-CN"/>
        </w:rPr>
        <w:t>肆</w:t>
      </w:r>
      <w:r>
        <w:rPr>
          <w:rFonts w:ascii="宋体" w:hAnsi="宋体" w:cs="宋体"/>
          <w:color w:val="000000"/>
          <w:szCs w:val="22"/>
          <w:lang w:val="zh-CN" w:bidi="zh-CN"/>
        </w:rPr>
        <w:t>份，中标供应商</w:t>
      </w:r>
      <w:r>
        <w:rPr>
          <w:rFonts w:hint="eastAsia" w:ascii="宋体" w:hAnsi="宋体" w:cs="宋体"/>
          <w:color w:val="000000"/>
          <w:szCs w:val="22"/>
          <w:lang w:val="zh-CN" w:bidi="zh-CN"/>
        </w:rPr>
        <w:t>贰份</w:t>
      </w:r>
      <w:r>
        <w:rPr>
          <w:rFonts w:ascii="宋体" w:hAnsi="宋体" w:cs="宋体"/>
          <w:color w:val="000000"/>
          <w:szCs w:val="22"/>
          <w:lang w:val="zh-CN" w:bidi="zh-CN"/>
        </w:rPr>
        <w:t>、</w:t>
      </w:r>
      <w:r>
        <w:rPr>
          <w:rFonts w:hint="eastAsia" w:ascii="宋体" w:hAnsi="宋体" w:cs="宋体"/>
          <w:color w:val="000000"/>
          <w:szCs w:val="22"/>
          <w:lang w:val="zh-CN" w:bidi="zh-CN"/>
        </w:rPr>
        <w:t>招标代理机构壹</w:t>
      </w:r>
      <w:r>
        <w:rPr>
          <w:rFonts w:ascii="宋体" w:hAnsi="宋体" w:cs="宋体"/>
          <w:color w:val="000000"/>
          <w:szCs w:val="22"/>
          <w:lang w:val="zh-CN" w:bidi="zh-CN"/>
        </w:rPr>
        <w:t>份；政府采购监管机构备案一份</w:t>
      </w:r>
    </w:p>
    <w:p>
      <w:pPr>
        <w:pStyle w:val="10"/>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4、</w:t>
      </w:r>
      <w:r>
        <w:rPr>
          <w:rFonts w:hint="eastAsia" w:ascii="宋体" w:hAnsi="宋体" w:cs="宋体"/>
          <w:color w:val="000000"/>
          <w:szCs w:val="22"/>
          <w:lang w:val="zh-CN" w:bidi="zh-CN"/>
        </w:rPr>
        <w:t>合同经双方授权代表签字、盖章后生效，生效日以签字日期为准。</w:t>
      </w:r>
    </w:p>
    <w:p>
      <w:pPr>
        <w:pStyle w:val="10"/>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5、</w:t>
      </w:r>
      <w:r>
        <w:rPr>
          <w:rFonts w:hint="eastAsia" w:ascii="宋体" w:hAnsi="宋体" w:cs="宋体"/>
          <w:color w:val="000000"/>
          <w:szCs w:val="22"/>
          <w:lang w:val="zh-CN" w:bidi="zh-CN"/>
        </w:rPr>
        <w:t>本合同页眉页脚标有页码，加盖骑缝章，缺页之合同为无效合同。</w:t>
      </w:r>
    </w:p>
    <w:p>
      <w:pPr>
        <w:pStyle w:val="10"/>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6、</w:t>
      </w:r>
      <w:r>
        <w:rPr>
          <w:rFonts w:hint="eastAsia" w:ascii="宋体" w:hAnsi="宋体" w:cs="宋体"/>
          <w:color w:val="000000"/>
          <w:szCs w:val="22"/>
          <w:lang w:val="zh-CN" w:bidi="zh-CN"/>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pStyle w:val="10"/>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7、</w:t>
      </w:r>
      <w:r>
        <w:rPr>
          <w:rFonts w:hint="eastAsia" w:ascii="宋体" w:hAnsi="宋体" w:cs="宋体"/>
          <w:color w:val="000000"/>
          <w:szCs w:val="22"/>
          <w:lang w:val="zh-CN" w:bidi="zh-CN"/>
        </w:rPr>
        <w:t>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pStyle w:val="10"/>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8、</w:t>
      </w:r>
      <w:r>
        <w:rPr>
          <w:rFonts w:hint="eastAsia" w:ascii="宋体" w:hAnsi="宋体" w:cs="宋体"/>
          <w:color w:val="000000"/>
          <w:szCs w:val="22"/>
          <w:lang w:val="zh-CN" w:bidi="zh-CN"/>
        </w:rPr>
        <w:t>未详尽之处双方协商解决。</w:t>
      </w:r>
    </w:p>
    <w:tbl>
      <w:tblPr>
        <w:tblStyle w:val="37"/>
        <w:tblW w:w="9636"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51"/>
        <w:gridCol w:w="50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4551" w:type="dxa"/>
            <w:vAlign w:val="center"/>
          </w:tcPr>
          <w:p>
            <w:pPr>
              <w:rPr>
                <w:rFonts w:ascii="宋体" w:hAnsi="宋体" w:cs="宋体"/>
                <w:color w:val="000000"/>
                <w:sz w:val="24"/>
                <w:szCs w:val="24"/>
              </w:rPr>
            </w:pPr>
            <w:r>
              <w:rPr>
                <w:rFonts w:hint="eastAsia" w:ascii="宋体" w:hAnsi="宋体" w:cs="宋体"/>
                <w:color w:val="000000"/>
                <w:sz w:val="24"/>
                <w:szCs w:val="24"/>
              </w:rPr>
              <w:t>甲  方</w:t>
            </w:r>
          </w:p>
        </w:tc>
        <w:tc>
          <w:tcPr>
            <w:tcW w:w="5085" w:type="dxa"/>
            <w:vAlign w:val="center"/>
          </w:tcPr>
          <w:p>
            <w:pPr>
              <w:rPr>
                <w:rFonts w:ascii="宋体" w:hAnsi="宋体" w:cs="宋体"/>
                <w:color w:val="000000"/>
                <w:sz w:val="24"/>
                <w:szCs w:val="24"/>
              </w:rPr>
            </w:pPr>
            <w:r>
              <w:rPr>
                <w:rFonts w:hint="eastAsia" w:ascii="宋体" w:hAnsi="宋体" w:cs="宋体"/>
                <w:color w:val="000000"/>
                <w:sz w:val="24"/>
                <w:szCs w:val="24"/>
              </w:rPr>
              <w:t>乙  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4551" w:type="dxa"/>
            <w:vAlign w:val="center"/>
          </w:tcPr>
          <w:p>
            <w:pPr>
              <w:rPr>
                <w:rFonts w:ascii="宋体" w:hAnsi="宋体" w:cs="宋体"/>
                <w:color w:val="000000"/>
                <w:sz w:val="24"/>
                <w:szCs w:val="24"/>
              </w:rPr>
            </w:pPr>
            <w:r>
              <w:rPr>
                <w:rFonts w:hint="eastAsia" w:ascii="宋体" w:hAnsi="宋体" w:cs="宋体"/>
                <w:color w:val="000000"/>
                <w:sz w:val="24"/>
                <w:szCs w:val="24"/>
              </w:rPr>
              <w:t>延安市安塞区教育体育局（盖章）</w:t>
            </w:r>
          </w:p>
        </w:tc>
        <w:tc>
          <w:tcPr>
            <w:tcW w:w="5085" w:type="dxa"/>
            <w:vAlign w:val="center"/>
          </w:tcPr>
          <w:p>
            <w:pPr>
              <w:jc w:val="right"/>
              <w:rPr>
                <w:rFonts w:ascii="宋体" w:hAnsi="宋体" w:cs="宋体"/>
                <w:color w:val="FF0000"/>
                <w:szCs w:val="21"/>
              </w:rPr>
            </w:pPr>
            <w:r>
              <w:rPr>
                <w:rFonts w:hint="eastAsia" w:ascii="宋体" w:hAnsi="宋体" w:cs="宋体"/>
                <w:snapToGrid w:val="0"/>
                <w:sz w:val="24"/>
                <w:szCs w:val="24"/>
              </w:rPr>
              <w:t xml:space="preserve">   </w:t>
            </w:r>
            <w:r>
              <w:rPr>
                <w:rFonts w:hint="eastAsia" w:ascii="宋体" w:hAnsi="宋体" w:cs="宋体"/>
                <w:color w:val="000000"/>
                <w:sz w:val="24"/>
                <w:szCs w:val="24"/>
              </w:rPr>
              <w:t>（盖章）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4551" w:type="dxa"/>
            <w:vAlign w:val="center"/>
          </w:tcPr>
          <w:p>
            <w:pPr>
              <w:spacing w:line="360" w:lineRule="auto"/>
              <w:rPr>
                <w:rFonts w:ascii="宋体" w:hAnsi="宋体" w:cs="宋体"/>
                <w:sz w:val="24"/>
              </w:rPr>
            </w:pPr>
            <w:r>
              <w:rPr>
                <w:rFonts w:hint="eastAsia" w:ascii="宋体" w:hAnsi="宋体" w:cs="宋体"/>
                <w:sz w:val="24"/>
              </w:rPr>
              <w:t>地址：</w:t>
            </w:r>
          </w:p>
        </w:tc>
        <w:tc>
          <w:tcPr>
            <w:tcW w:w="5085" w:type="dxa"/>
            <w:vAlign w:val="center"/>
          </w:tcPr>
          <w:p>
            <w:pPr>
              <w:spacing w:line="360" w:lineRule="auto"/>
              <w:rPr>
                <w:rFonts w:ascii="宋体" w:hAnsi="宋体" w:cs="宋体"/>
                <w:sz w:val="24"/>
              </w:rPr>
            </w:pPr>
            <w:r>
              <w:rPr>
                <w:rFonts w:hint="eastAsia" w:ascii="宋体" w:hAnsi="宋体" w:cs="宋体"/>
                <w:sz w:val="24"/>
              </w:rPr>
              <w:t>地址：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4551" w:type="dxa"/>
            <w:vAlign w:val="center"/>
          </w:tcPr>
          <w:p>
            <w:pPr>
              <w:spacing w:line="360" w:lineRule="auto"/>
              <w:rPr>
                <w:rFonts w:ascii="宋体" w:hAnsi="宋体" w:cs="宋体"/>
                <w:sz w:val="24"/>
              </w:rPr>
            </w:pPr>
            <w:r>
              <w:rPr>
                <w:rFonts w:hint="eastAsia" w:ascii="宋体" w:hAnsi="宋体" w:cs="宋体"/>
                <w:sz w:val="24"/>
              </w:rPr>
              <w:t>邮编：</w:t>
            </w:r>
          </w:p>
        </w:tc>
        <w:tc>
          <w:tcPr>
            <w:tcW w:w="5085" w:type="dxa"/>
            <w:vAlign w:val="center"/>
          </w:tcPr>
          <w:p>
            <w:pPr>
              <w:spacing w:line="360" w:lineRule="auto"/>
              <w:rPr>
                <w:rFonts w:ascii="宋体" w:hAnsi="宋体" w:cs="宋体"/>
                <w:sz w:val="24"/>
              </w:rPr>
            </w:pPr>
            <w:r>
              <w:rPr>
                <w:rFonts w:hint="eastAsia" w:ascii="宋体" w:hAnsi="宋体" w:cs="宋体"/>
                <w:sz w:val="24"/>
              </w:rPr>
              <w:t>邮编：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4551" w:type="dxa"/>
            <w:tcBorders>
              <w:bottom w:val="single" w:color="auto" w:sz="4" w:space="0"/>
            </w:tcBorders>
            <w:vAlign w:val="center"/>
          </w:tcPr>
          <w:p>
            <w:pPr>
              <w:spacing w:line="360" w:lineRule="auto"/>
              <w:rPr>
                <w:rFonts w:ascii="宋体" w:hAnsi="宋体" w:cs="宋体"/>
                <w:sz w:val="24"/>
              </w:rPr>
            </w:pPr>
            <w:r>
              <w:rPr>
                <w:rFonts w:hint="eastAsia" w:ascii="宋体" w:hAnsi="宋体" w:cs="宋体"/>
                <w:sz w:val="24"/>
              </w:rPr>
              <w:t>法定代表人：</w:t>
            </w:r>
          </w:p>
        </w:tc>
        <w:tc>
          <w:tcPr>
            <w:tcW w:w="5085" w:type="dxa"/>
            <w:vAlign w:val="center"/>
          </w:tcPr>
          <w:p>
            <w:pPr>
              <w:spacing w:line="360" w:lineRule="auto"/>
              <w:rPr>
                <w:rFonts w:ascii="宋体" w:hAnsi="宋体" w:cs="宋体"/>
                <w:sz w:val="24"/>
              </w:rPr>
            </w:pPr>
            <w:r>
              <w:rPr>
                <w:rFonts w:hint="eastAsia" w:ascii="宋体" w:hAnsi="宋体" w:cs="宋体"/>
                <w:sz w:val="24"/>
              </w:rPr>
              <w:t>法定代表人：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4551" w:type="dxa"/>
            <w:tcBorders>
              <w:top w:val="single" w:color="auto" w:sz="4" w:space="0"/>
            </w:tcBorders>
            <w:vAlign w:val="center"/>
          </w:tcPr>
          <w:p>
            <w:pPr>
              <w:spacing w:line="360" w:lineRule="auto"/>
              <w:rPr>
                <w:rFonts w:ascii="宋体" w:hAnsi="宋体" w:cs="宋体"/>
                <w:sz w:val="24"/>
              </w:rPr>
            </w:pPr>
            <w:r>
              <w:rPr>
                <w:rFonts w:hint="eastAsia" w:ascii="宋体" w:hAnsi="宋体" w:cs="宋体"/>
                <w:sz w:val="24"/>
              </w:rPr>
              <w:t>被授权代表：（签字）</w:t>
            </w:r>
          </w:p>
        </w:tc>
        <w:tc>
          <w:tcPr>
            <w:tcW w:w="5085" w:type="dxa"/>
            <w:vAlign w:val="center"/>
          </w:tcPr>
          <w:p>
            <w:pPr>
              <w:spacing w:line="360" w:lineRule="auto"/>
              <w:rPr>
                <w:rFonts w:ascii="宋体" w:hAnsi="宋体" w:cs="宋体"/>
                <w:sz w:val="24"/>
              </w:rPr>
            </w:pPr>
            <w:r>
              <w:rPr>
                <w:rFonts w:hint="eastAsia" w:ascii="宋体" w:hAnsi="宋体" w:cs="宋体"/>
                <w:sz w:val="24"/>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4551" w:type="dxa"/>
            <w:vAlign w:val="center"/>
          </w:tcPr>
          <w:p>
            <w:pPr>
              <w:spacing w:line="360" w:lineRule="auto"/>
              <w:rPr>
                <w:rFonts w:ascii="宋体" w:hAnsi="宋体" w:cs="宋体"/>
                <w:sz w:val="24"/>
              </w:rPr>
            </w:pPr>
            <w:r>
              <w:rPr>
                <w:rFonts w:hint="eastAsia" w:ascii="宋体" w:hAnsi="宋体" w:cs="宋体"/>
                <w:sz w:val="24"/>
              </w:rPr>
              <w:t>电话：</w:t>
            </w:r>
          </w:p>
        </w:tc>
        <w:tc>
          <w:tcPr>
            <w:tcW w:w="5085" w:type="dxa"/>
            <w:vAlign w:val="center"/>
          </w:tcPr>
          <w:p>
            <w:pPr>
              <w:spacing w:line="360" w:lineRule="auto"/>
              <w:rPr>
                <w:rFonts w:ascii="宋体" w:hAnsi="宋体" w:cs="宋体"/>
                <w:sz w:val="24"/>
              </w:rPr>
            </w:pPr>
            <w:r>
              <w:rPr>
                <w:rFonts w:hint="eastAsia" w:ascii="宋体" w:hAnsi="宋体" w:cs="宋体"/>
                <w:sz w:val="24"/>
              </w:rPr>
              <w:t>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4551" w:type="dxa"/>
            <w:tcBorders>
              <w:bottom w:val="single" w:color="auto" w:sz="4" w:space="0"/>
            </w:tcBorders>
            <w:vAlign w:val="center"/>
          </w:tcPr>
          <w:p>
            <w:pPr>
              <w:spacing w:line="360" w:lineRule="auto"/>
              <w:rPr>
                <w:rFonts w:ascii="宋体" w:hAnsi="宋体" w:cs="宋体"/>
                <w:sz w:val="24"/>
              </w:rPr>
            </w:pPr>
            <w:r>
              <w:rPr>
                <w:rFonts w:hint="eastAsia" w:ascii="宋体" w:hAnsi="宋体" w:cs="宋体"/>
                <w:sz w:val="24"/>
              </w:rPr>
              <w:t>传真：</w:t>
            </w:r>
          </w:p>
        </w:tc>
        <w:tc>
          <w:tcPr>
            <w:tcW w:w="5085" w:type="dxa"/>
            <w:vAlign w:val="center"/>
          </w:tcPr>
          <w:p>
            <w:pPr>
              <w:spacing w:line="360" w:lineRule="auto"/>
              <w:rPr>
                <w:rFonts w:ascii="宋体" w:hAnsi="宋体" w:cs="宋体"/>
                <w:sz w:val="24"/>
              </w:rPr>
            </w:pPr>
            <w:r>
              <w:rPr>
                <w:rFonts w:hint="eastAsia" w:ascii="宋体" w:hAnsi="宋体" w:cs="宋体"/>
                <w:sz w:val="24"/>
              </w:rPr>
              <w:t>传真：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4551"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开户银行：</w:t>
            </w:r>
          </w:p>
        </w:tc>
        <w:tc>
          <w:tcPr>
            <w:tcW w:w="5085" w:type="dxa"/>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4551"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账户名称：</w:t>
            </w:r>
          </w:p>
        </w:tc>
        <w:tc>
          <w:tcPr>
            <w:tcW w:w="5085" w:type="dxa"/>
            <w:tcBorders>
              <w:bottom w:val="single" w:color="auto" w:sz="4" w:space="0"/>
            </w:tcBorders>
            <w:vAlign w:val="center"/>
          </w:tcPr>
          <w:p>
            <w:pPr>
              <w:spacing w:line="360" w:lineRule="auto"/>
              <w:rPr>
                <w:rFonts w:ascii="宋体" w:hAnsi="宋体" w:cs="宋体"/>
                <w:sz w:val="24"/>
              </w:rPr>
            </w:pPr>
            <w:r>
              <w:rPr>
                <w:rFonts w:hint="eastAsia" w:ascii="宋体" w:hAnsi="宋体" w:cs="宋体"/>
                <w:sz w:val="24"/>
              </w:rPr>
              <w:t>账户名称：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4551"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账号:  </w:t>
            </w:r>
          </w:p>
        </w:tc>
        <w:tc>
          <w:tcPr>
            <w:tcW w:w="5085"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账号: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9636" w:type="dxa"/>
            <w:gridSpan w:val="2"/>
            <w:tcBorders>
              <w:top w:val="single" w:color="auto" w:sz="4" w:space="0"/>
              <w:bottom w:val="single" w:color="auto" w:sz="4" w:space="0"/>
            </w:tcBorders>
            <w:vAlign w:val="center"/>
          </w:tcPr>
          <w:p>
            <w:pPr>
              <w:rPr>
                <w:rFonts w:ascii="宋体" w:hAnsi="宋体" w:cs="宋体"/>
                <w:sz w:val="24"/>
                <w:lang w:val="zh-CN" w:bidi="zh-CN"/>
              </w:rPr>
            </w:pPr>
            <w:bookmarkStart w:id="75" w:name="_Toc30893"/>
            <w:r>
              <w:rPr>
                <w:rFonts w:hint="eastAsia" w:ascii="宋体" w:hAnsi="宋体" w:cs="Tahoma"/>
                <w:b/>
                <w:sz w:val="24"/>
              </w:rPr>
              <w:t>陕西</w:t>
            </w:r>
            <w:r>
              <w:rPr>
                <w:rFonts w:hint="eastAsia" w:cs="Tahoma"/>
                <w:b/>
                <w:sz w:val="24"/>
              </w:rPr>
              <w:t>卓佲项目管理有限公司</w:t>
            </w:r>
            <w:r>
              <w:rPr>
                <w:rFonts w:hint="eastAsia" w:ascii="宋体" w:hAnsi="宋体" w:cs="宋体"/>
                <w:sz w:val="24"/>
              </w:rPr>
              <w:t>（盖章）</w:t>
            </w:r>
            <w:bookmarkEnd w:id="7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9636" w:type="dxa"/>
            <w:gridSpan w:val="2"/>
            <w:tcBorders>
              <w:top w:val="single" w:color="auto" w:sz="4" w:space="0"/>
              <w:bottom w:val="single" w:color="auto" w:sz="4" w:space="0"/>
            </w:tcBorders>
            <w:vAlign w:val="center"/>
          </w:tcPr>
          <w:p>
            <w:pPr>
              <w:spacing w:line="360" w:lineRule="auto"/>
              <w:rPr>
                <w:rFonts w:ascii="宋体" w:hAnsi="宋体" w:cs="宋体"/>
                <w:sz w:val="24"/>
                <w:lang w:val="zh-CN" w:bidi="zh-CN"/>
              </w:rPr>
            </w:pPr>
            <w:r>
              <w:rPr>
                <w:rFonts w:hint="eastAsia" w:ascii="宋体" w:hAnsi="宋体" w:cs="宋体"/>
                <w:sz w:val="24"/>
              </w:rPr>
              <w:t>地址：西安市雁塔区科技路10号华奥大厦A座20层2002室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9636" w:type="dxa"/>
            <w:gridSpan w:val="2"/>
            <w:tcBorders>
              <w:top w:val="single" w:color="auto" w:sz="4" w:space="0"/>
              <w:bottom w:val="single" w:color="auto" w:sz="4" w:space="0"/>
            </w:tcBorders>
            <w:vAlign w:val="center"/>
          </w:tcPr>
          <w:p>
            <w:pPr>
              <w:spacing w:line="360" w:lineRule="auto"/>
              <w:rPr>
                <w:rFonts w:ascii="宋体" w:hAnsi="宋体" w:cs="宋体"/>
                <w:sz w:val="24"/>
                <w:lang w:bidi="zh-CN"/>
              </w:rPr>
            </w:pPr>
            <w:r>
              <w:rPr>
                <w:rFonts w:hint="eastAsia" w:ascii="宋体" w:hAnsi="宋体" w:cs="宋体"/>
                <w:sz w:val="24"/>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9636" w:type="dxa"/>
            <w:gridSpan w:val="2"/>
            <w:tcBorders>
              <w:top w:val="single" w:color="auto" w:sz="4" w:space="0"/>
              <w:bottom w:val="single" w:color="auto" w:sz="4" w:space="0"/>
            </w:tcBorders>
            <w:vAlign w:val="center"/>
          </w:tcPr>
          <w:p>
            <w:pPr>
              <w:spacing w:line="360" w:lineRule="auto"/>
              <w:rPr>
                <w:rFonts w:ascii="宋体" w:hAnsi="宋体" w:cs="宋体"/>
                <w:sz w:val="24"/>
                <w:lang w:bidi="zh-CN"/>
              </w:rPr>
            </w:pPr>
            <w:r>
              <w:rPr>
                <w:rFonts w:hint="eastAsia" w:ascii="宋体" w:hAnsi="宋体" w:cs="宋体"/>
                <w:sz w:val="24"/>
              </w:rPr>
              <w:t>电话：029-88440695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9636" w:type="dxa"/>
            <w:gridSpan w:val="2"/>
            <w:tcBorders>
              <w:top w:val="single" w:color="auto" w:sz="4" w:space="0"/>
              <w:bottom w:val="single" w:color="auto" w:sz="4" w:space="0"/>
            </w:tcBorders>
            <w:vAlign w:val="center"/>
          </w:tcPr>
          <w:p>
            <w:pPr>
              <w:spacing w:line="360" w:lineRule="auto"/>
              <w:rPr>
                <w:rFonts w:ascii="宋体" w:hAnsi="宋体" w:cs="宋体"/>
                <w:sz w:val="24"/>
                <w:lang w:val="zh-CN" w:bidi="zh-CN"/>
              </w:rPr>
            </w:pPr>
            <w:r>
              <w:rPr>
                <w:rFonts w:hint="eastAsia" w:ascii="宋体" w:hAnsi="宋体" w:cs="宋体"/>
                <w:sz w:val="24"/>
              </w:rPr>
              <w:t xml:space="preserve">传真： </w:t>
            </w:r>
            <w:r>
              <w:rPr>
                <w:rFonts w:ascii="宋体" w:hAnsi="宋体" w:cs="Helvetica"/>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9636" w:type="dxa"/>
            <w:gridSpan w:val="2"/>
            <w:tcBorders>
              <w:top w:val="single" w:color="auto" w:sz="4" w:space="0"/>
            </w:tcBorders>
            <w:vAlign w:val="center"/>
          </w:tcPr>
          <w:p>
            <w:pPr>
              <w:spacing w:line="360" w:lineRule="auto"/>
              <w:ind w:firstLine="5760" w:firstLineChars="2400"/>
              <w:rPr>
                <w:rFonts w:ascii="宋体" w:hAnsi="宋体" w:cs="宋体"/>
                <w:sz w:val="24"/>
                <w:lang w:val="zh-CN" w:bidi="zh-CN"/>
              </w:rPr>
            </w:pPr>
            <w:r>
              <w:rPr>
                <w:rFonts w:hint="eastAsia" w:ascii="宋体" w:hAnsi="宋体" w:cs="宋体"/>
                <w:sz w:val="24"/>
              </w:rPr>
              <w:t>日期：     年   月   日</w:t>
            </w:r>
          </w:p>
        </w:tc>
      </w:tr>
    </w:tbl>
    <w:p>
      <w:pPr>
        <w:pStyle w:val="3"/>
        <w:keepNext w:val="0"/>
        <w:pageBreakBefore/>
        <w:spacing w:before="319" w:beforeLines="100" w:after="478" w:afterLines="150" w:line="500" w:lineRule="exact"/>
        <w:rPr>
          <w:rFonts w:ascii="宋体" w:hAnsi="宋体" w:cs="宋体"/>
        </w:rPr>
      </w:pPr>
      <w:bookmarkStart w:id="76" w:name="_Toc5155"/>
      <w:bookmarkStart w:id="77" w:name="_Toc2234"/>
      <w:r>
        <w:rPr>
          <w:rFonts w:hint="eastAsia" w:ascii="宋体" w:hAnsi="宋体" w:cs="宋体"/>
          <w:sz w:val="36"/>
          <w:szCs w:val="36"/>
        </w:rPr>
        <w:t>第七部分  投标文件格式</w:t>
      </w:r>
      <w:bookmarkEnd w:id="76"/>
      <w:bookmarkEnd w:id="77"/>
    </w:p>
    <w:p>
      <w:pPr>
        <w:adjustRightInd w:val="0"/>
        <w:snapToGrid w:val="0"/>
        <w:spacing w:line="360" w:lineRule="auto"/>
        <w:jc w:val="left"/>
        <w:rPr>
          <w:rFonts w:ascii="宋体" w:hAnsi="宋体" w:cs="宋体"/>
          <w:b/>
          <w:w w:val="120"/>
          <w:sz w:val="28"/>
          <w:szCs w:val="28"/>
        </w:rPr>
      </w:pPr>
    </w:p>
    <w:p>
      <w:pPr>
        <w:adjustRightInd w:val="0"/>
        <w:snapToGrid w:val="0"/>
        <w:spacing w:line="360" w:lineRule="auto"/>
        <w:jc w:val="left"/>
        <w:rPr>
          <w:rFonts w:ascii="宋体" w:hAnsi="宋体" w:cs="宋体"/>
          <w:b/>
          <w:w w:val="120"/>
          <w:sz w:val="28"/>
          <w:szCs w:val="28"/>
        </w:rPr>
      </w:pPr>
      <w:r>
        <w:rPr>
          <w:rFonts w:hint="eastAsia" w:ascii="宋体" w:hAnsi="宋体" w:cs="宋体"/>
          <w:b/>
          <w:w w:val="120"/>
          <w:sz w:val="28"/>
          <w:szCs w:val="28"/>
        </w:rPr>
        <w:t>项目编号：ZMZB2022ASJTJ-02      （正本或副本）</w:t>
      </w:r>
    </w:p>
    <w:p/>
    <w:p>
      <w:pPr>
        <w:pStyle w:val="12"/>
        <w:rPr>
          <w:rFonts w:ascii="宋体" w:hAnsi="宋体" w:cs="宋体"/>
        </w:rPr>
      </w:pPr>
    </w:p>
    <w:p>
      <w:pPr>
        <w:adjustRightInd w:val="0"/>
        <w:snapToGrid w:val="0"/>
        <w:spacing w:line="360" w:lineRule="auto"/>
        <w:jc w:val="center"/>
        <w:rPr>
          <w:rFonts w:ascii="宋体" w:hAnsi="宋体" w:cs="宋体"/>
          <w:b/>
          <w:sz w:val="56"/>
          <w:szCs w:val="56"/>
        </w:rPr>
      </w:pPr>
    </w:p>
    <w:p>
      <w:pPr>
        <w:adjustRightInd w:val="0"/>
        <w:snapToGrid w:val="0"/>
        <w:spacing w:line="360" w:lineRule="auto"/>
        <w:jc w:val="center"/>
        <w:rPr>
          <w:rFonts w:ascii="宋体" w:hAnsi="宋体" w:cs="宋体"/>
          <w:b/>
          <w:sz w:val="52"/>
          <w:szCs w:val="52"/>
        </w:rPr>
      </w:pPr>
      <w:r>
        <w:rPr>
          <w:rFonts w:hint="eastAsia" w:ascii="宋体" w:hAnsi="宋体" w:cs="宋体"/>
          <w:b/>
          <w:sz w:val="52"/>
          <w:szCs w:val="52"/>
        </w:rPr>
        <w:t>延安市安塞区教育体育局</w:t>
      </w:r>
    </w:p>
    <w:p>
      <w:pPr>
        <w:adjustRightInd w:val="0"/>
        <w:snapToGrid w:val="0"/>
        <w:spacing w:line="360" w:lineRule="auto"/>
        <w:jc w:val="center"/>
        <w:rPr>
          <w:rFonts w:ascii="宋体" w:hAnsi="宋体" w:cs="宋体"/>
          <w:b/>
          <w:sz w:val="52"/>
          <w:szCs w:val="52"/>
        </w:rPr>
      </w:pPr>
      <w:r>
        <w:rPr>
          <w:rFonts w:hint="eastAsia" w:ascii="宋体" w:hAnsi="宋体" w:cs="宋体"/>
          <w:b/>
          <w:sz w:val="52"/>
          <w:szCs w:val="52"/>
        </w:rPr>
        <w:t>关于安塞区初级中学设备采购项目</w:t>
      </w:r>
    </w:p>
    <w:p>
      <w:pPr>
        <w:snapToGrid w:val="0"/>
        <w:spacing w:line="480" w:lineRule="auto"/>
        <w:ind w:firstLine="2891" w:firstLineChars="400"/>
        <w:rPr>
          <w:rFonts w:ascii="宋体" w:hAnsi="宋体" w:cs="宋体"/>
          <w:b/>
          <w:bCs/>
          <w:sz w:val="72"/>
          <w:szCs w:val="72"/>
        </w:rPr>
      </w:pPr>
    </w:p>
    <w:p>
      <w:pPr>
        <w:snapToGrid w:val="0"/>
        <w:spacing w:line="480" w:lineRule="auto"/>
        <w:ind w:firstLine="2891" w:firstLineChars="400"/>
        <w:rPr>
          <w:rFonts w:ascii="宋体" w:hAnsi="宋体" w:cs="宋体"/>
          <w:b/>
          <w:bCs/>
          <w:sz w:val="72"/>
          <w:szCs w:val="72"/>
        </w:rPr>
      </w:pPr>
      <w:r>
        <w:rPr>
          <w:rFonts w:hint="eastAsia" w:ascii="宋体" w:hAnsi="宋体" w:cs="宋体"/>
          <w:b/>
          <w:bCs/>
          <w:sz w:val="72"/>
          <w:szCs w:val="72"/>
        </w:rPr>
        <w:t>投标文件</w:t>
      </w:r>
    </w:p>
    <w:p>
      <w:pPr>
        <w:pStyle w:val="12"/>
        <w:rPr>
          <w:rFonts w:ascii="宋体" w:hAnsi="宋体" w:cs="宋体"/>
          <w:lang w:val="zh-CN"/>
        </w:rPr>
      </w:pPr>
    </w:p>
    <w:p>
      <w:pPr>
        <w:rPr>
          <w:lang w:val="zh-CN"/>
        </w:rPr>
      </w:pPr>
    </w:p>
    <w:p>
      <w:pPr>
        <w:snapToGrid w:val="0"/>
        <w:spacing w:line="480" w:lineRule="auto"/>
        <w:jc w:val="left"/>
        <w:rPr>
          <w:rFonts w:ascii="宋体" w:hAnsi="宋体" w:cs="宋体"/>
          <w:sz w:val="32"/>
          <w:szCs w:val="32"/>
        </w:rPr>
      </w:pPr>
      <w:r>
        <w:rPr>
          <w:rFonts w:hint="eastAsia" w:ascii="宋体" w:hAnsi="宋体" w:cs="宋体"/>
          <w:sz w:val="32"/>
          <w:szCs w:val="32"/>
          <w:lang w:val="zh-CN"/>
        </w:rPr>
        <w:t>供应商（单位名称）：</w:t>
      </w:r>
      <w:r>
        <w:rPr>
          <w:rFonts w:hint="eastAsia" w:ascii="宋体" w:hAnsi="宋体" w:cs="宋体"/>
          <w:sz w:val="32"/>
          <w:szCs w:val="32"/>
        </w:rPr>
        <w:t>___________</w:t>
      </w:r>
    </w:p>
    <w:p>
      <w:pPr>
        <w:snapToGrid w:val="0"/>
        <w:spacing w:line="480" w:lineRule="auto"/>
        <w:jc w:val="left"/>
        <w:rPr>
          <w:rFonts w:ascii="宋体" w:hAnsi="宋体" w:cs="宋体"/>
          <w:sz w:val="32"/>
          <w:szCs w:val="32"/>
          <w:u w:val="single"/>
        </w:rPr>
      </w:pPr>
      <w:r>
        <w:rPr>
          <w:rFonts w:hint="eastAsia" w:ascii="宋体" w:hAnsi="宋体" w:cs="宋体"/>
          <w:sz w:val="32"/>
          <w:szCs w:val="32"/>
        </w:rPr>
        <w:t>日  期</w:t>
      </w:r>
      <w:r>
        <w:rPr>
          <w:rFonts w:hint="eastAsia" w:ascii="宋体" w:hAnsi="宋体" w:cs="宋体"/>
          <w:sz w:val="32"/>
          <w:szCs w:val="32"/>
          <w:lang w:val="zh-CN"/>
        </w:rPr>
        <w:t>：</w:t>
      </w:r>
      <w:r>
        <w:rPr>
          <w:rFonts w:hint="eastAsia" w:ascii="宋体" w:hAnsi="宋体" w:cs="宋体"/>
          <w:sz w:val="32"/>
          <w:szCs w:val="32"/>
        </w:rPr>
        <w:t>__________________</w:t>
      </w:r>
    </w:p>
    <w:p>
      <w:pPr>
        <w:pageBreakBefore/>
        <w:spacing w:before="319" w:beforeLines="100" w:after="478" w:afterLines="150" w:line="500" w:lineRule="exact"/>
        <w:ind w:firstLine="723" w:firstLineChars="200"/>
        <w:jc w:val="center"/>
        <w:rPr>
          <w:rFonts w:ascii="宋体" w:hAnsi="宋体" w:cs="宋体"/>
          <w:b/>
          <w:sz w:val="50"/>
        </w:rPr>
      </w:pPr>
      <w:r>
        <w:rPr>
          <w:rFonts w:hint="eastAsia" w:ascii="宋体" w:hAnsi="宋体" w:cs="宋体"/>
          <w:b/>
          <w:sz w:val="36"/>
          <w:szCs w:val="36"/>
        </w:rPr>
        <w:t>目 录</w:t>
      </w:r>
    </w:p>
    <w:p>
      <w:pPr>
        <w:pStyle w:val="13"/>
        <w:snapToGrid w:val="0"/>
        <w:spacing w:line="480" w:lineRule="auto"/>
        <w:ind w:firstLine="562" w:firstLineChars="200"/>
        <w:jc w:val="left"/>
        <w:rPr>
          <w:rFonts w:hAnsi="宋体" w:cs="宋体"/>
          <w:b/>
          <w:bCs/>
          <w:sz w:val="28"/>
          <w:szCs w:val="28"/>
        </w:rPr>
      </w:pPr>
      <w:r>
        <w:rPr>
          <w:rFonts w:hint="eastAsia" w:hAnsi="宋体" w:cs="宋体"/>
          <w:b/>
          <w:bCs/>
          <w:sz w:val="28"/>
          <w:szCs w:val="28"/>
        </w:rPr>
        <w:t>第一部分   投标函</w:t>
      </w:r>
    </w:p>
    <w:p>
      <w:pPr>
        <w:snapToGrid w:val="0"/>
        <w:spacing w:line="480" w:lineRule="auto"/>
        <w:ind w:firstLine="562" w:firstLineChars="200"/>
        <w:jc w:val="left"/>
        <w:rPr>
          <w:rFonts w:ascii="宋体" w:hAnsi="宋体" w:cs="宋体"/>
          <w:b/>
          <w:sz w:val="28"/>
          <w:szCs w:val="28"/>
        </w:rPr>
      </w:pPr>
      <w:r>
        <w:rPr>
          <w:rFonts w:hint="eastAsia" w:ascii="宋体" w:hAnsi="宋体" w:cs="宋体"/>
          <w:b/>
          <w:sz w:val="28"/>
          <w:szCs w:val="28"/>
        </w:rPr>
        <w:t>第二部分   报价一览表</w:t>
      </w:r>
    </w:p>
    <w:p>
      <w:pPr>
        <w:pStyle w:val="13"/>
        <w:snapToGrid w:val="0"/>
        <w:spacing w:line="480" w:lineRule="auto"/>
        <w:ind w:firstLine="562" w:firstLineChars="200"/>
        <w:jc w:val="left"/>
        <w:rPr>
          <w:rFonts w:hAnsi="宋体" w:cs="宋体"/>
          <w:b/>
          <w:kern w:val="0"/>
          <w:sz w:val="28"/>
          <w:szCs w:val="28"/>
        </w:rPr>
      </w:pPr>
      <w:r>
        <w:rPr>
          <w:rFonts w:hint="eastAsia" w:hAnsi="宋体" w:cs="宋体"/>
          <w:b/>
          <w:bCs/>
          <w:sz w:val="28"/>
          <w:szCs w:val="28"/>
        </w:rPr>
        <w:t xml:space="preserve">第三部分   </w:t>
      </w:r>
      <w:r>
        <w:rPr>
          <w:rFonts w:hint="eastAsia" w:hAnsi="宋体" w:cs="宋体"/>
          <w:b/>
          <w:kern w:val="0"/>
          <w:sz w:val="28"/>
          <w:szCs w:val="28"/>
        </w:rPr>
        <w:t>商务及技术响应说明</w:t>
      </w:r>
    </w:p>
    <w:p>
      <w:pPr>
        <w:pStyle w:val="13"/>
        <w:snapToGrid w:val="0"/>
        <w:spacing w:line="480" w:lineRule="auto"/>
        <w:ind w:firstLine="562" w:firstLineChars="200"/>
        <w:jc w:val="left"/>
        <w:rPr>
          <w:rFonts w:hAnsi="宋体" w:cs="宋体"/>
          <w:b/>
          <w:bCs/>
          <w:sz w:val="28"/>
          <w:szCs w:val="28"/>
        </w:rPr>
      </w:pPr>
      <w:r>
        <w:rPr>
          <w:rFonts w:hint="eastAsia" w:hAnsi="宋体" w:cs="宋体"/>
          <w:b/>
          <w:bCs/>
          <w:sz w:val="28"/>
          <w:szCs w:val="28"/>
        </w:rPr>
        <w:t xml:space="preserve">第四部分   </w:t>
      </w:r>
      <w:r>
        <w:rPr>
          <w:rFonts w:hint="eastAsia" w:hAnsi="宋体" w:cs="宋体"/>
          <w:b/>
          <w:sz w:val="28"/>
          <w:szCs w:val="28"/>
        </w:rPr>
        <w:t>供应商资格要求</w:t>
      </w:r>
    </w:p>
    <w:p>
      <w:pPr>
        <w:pStyle w:val="13"/>
        <w:snapToGrid w:val="0"/>
        <w:spacing w:line="480" w:lineRule="auto"/>
        <w:ind w:firstLine="562" w:firstLineChars="200"/>
        <w:jc w:val="left"/>
        <w:rPr>
          <w:rFonts w:hAnsi="宋体" w:cs="宋体"/>
          <w:b/>
          <w:sz w:val="28"/>
          <w:szCs w:val="28"/>
        </w:rPr>
      </w:pPr>
      <w:r>
        <w:rPr>
          <w:rFonts w:hint="eastAsia" w:hAnsi="宋体" w:cs="宋体"/>
          <w:b/>
          <w:sz w:val="28"/>
          <w:szCs w:val="28"/>
        </w:rPr>
        <w:t>第五部分   技术与服务方案</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第六部分   服务承诺</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第七部分   业绩一览表</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第八部分   供应商认为有必要说明的其他问题</w:t>
      </w:r>
    </w:p>
    <w:p>
      <w:pPr>
        <w:rPr>
          <w:rFonts w:ascii="宋体" w:hAnsi="宋体" w:cs="宋体"/>
        </w:rPr>
      </w:pPr>
    </w:p>
    <w:p>
      <w:pPr>
        <w:pStyle w:val="4"/>
        <w:pageBreakBefore/>
        <w:spacing w:before="319" w:beforeLines="100" w:after="478" w:afterLines="150" w:line="500" w:lineRule="exact"/>
        <w:jc w:val="center"/>
        <w:rPr>
          <w:rFonts w:ascii="宋体" w:hAnsi="宋体" w:cs="宋体"/>
          <w:sz w:val="36"/>
          <w:szCs w:val="36"/>
        </w:rPr>
      </w:pPr>
      <w:r>
        <w:rPr>
          <w:rFonts w:hint="eastAsia" w:ascii="宋体" w:hAnsi="宋体" w:cs="宋体"/>
          <w:sz w:val="36"/>
          <w:szCs w:val="36"/>
        </w:rPr>
        <w:t>第一部分  投标函</w:t>
      </w:r>
      <w:bookmarkEnd w:id="67"/>
      <w:bookmarkEnd w:id="68"/>
    </w:p>
    <w:p>
      <w:pPr>
        <w:adjustRightInd w:val="0"/>
        <w:snapToGrid w:val="0"/>
        <w:spacing w:line="276" w:lineRule="auto"/>
        <w:jc w:val="left"/>
        <w:rPr>
          <w:rFonts w:ascii="宋体" w:hAnsi="宋体" w:cs="宋体"/>
          <w:bCs/>
          <w:sz w:val="28"/>
          <w:szCs w:val="28"/>
        </w:rPr>
      </w:pPr>
      <w:r>
        <w:rPr>
          <w:rFonts w:hint="eastAsia" w:ascii="宋体" w:hAnsi="宋体" w:cs="宋体"/>
          <w:b/>
          <w:bCs/>
          <w:sz w:val="28"/>
          <w:szCs w:val="28"/>
        </w:rPr>
        <w:t>陕西卓佲项目管理有限公司</w:t>
      </w:r>
      <w:r>
        <w:rPr>
          <w:rFonts w:hint="eastAsia" w:ascii="宋体" w:hAnsi="宋体" w:cs="宋体"/>
          <w:bCs/>
          <w:sz w:val="28"/>
          <w:szCs w:val="28"/>
        </w:rPr>
        <w:t>：</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我单位收到编号为： </w:t>
      </w:r>
      <w:r>
        <w:rPr>
          <w:rFonts w:hint="eastAsia" w:ascii="宋体" w:hAnsi="宋体" w:cs="宋体"/>
          <w:sz w:val="24"/>
          <w:szCs w:val="24"/>
          <w:u w:val="single"/>
        </w:rPr>
        <w:t>ZMZB2022ASJTJ-02</w:t>
      </w:r>
      <w:r>
        <w:rPr>
          <w:rFonts w:hint="eastAsia" w:ascii="宋体" w:hAnsi="宋体" w:cs="宋体"/>
          <w:sz w:val="24"/>
          <w:szCs w:val="24"/>
        </w:rPr>
        <w:t xml:space="preserve"> 的招标文件，经详细研究，我公司决定参加本次招标活动。为此，我方郑重承诺以下诸点，并负法律责任。</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1、愿意按照招标文件中的全部要求，提供合格的产品及完善的技术服务，履行合同的责任和义务。</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2、我方提交的投标文件正本______份、副本_______份，电子文档_____份、报价一览表_____份。</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3、我们已详细阅读了招标文件，完全理解并同意放弃提出含糊不清和误解问题的权力。</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4、如果我方在投标后到规定的投标有效期内撤回投标文件及承诺，我们的保证金将被对方没收。</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5、同意向贵方提供贵方可能要求的、与本次投标有关的任何证据资料。</w:t>
      </w:r>
    </w:p>
    <w:p>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6、我方承诺投标有效期为开标后________日历日内有效。</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7、所有关于本次投标的函电，请按下列地址联系：</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帐    号：</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传    真：</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邮    编：</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日    期： </w:t>
      </w:r>
      <w:r>
        <w:rPr>
          <w:rFonts w:hint="eastAsia" w:ascii="宋体" w:hAnsi="宋体" w:cs="宋体"/>
          <w:sz w:val="24"/>
        </w:rPr>
        <w:t>_____</w:t>
      </w:r>
      <w:r>
        <w:rPr>
          <w:rFonts w:hint="eastAsia" w:ascii="宋体" w:hAnsi="宋体" w:cs="宋体"/>
          <w:sz w:val="24"/>
          <w:szCs w:val="24"/>
        </w:rPr>
        <w:t xml:space="preserve"> 年 </w:t>
      </w:r>
      <w:r>
        <w:rPr>
          <w:rFonts w:hint="eastAsia" w:ascii="宋体" w:hAnsi="宋体" w:cs="宋体"/>
          <w:sz w:val="24"/>
        </w:rPr>
        <w:t>_____</w:t>
      </w:r>
      <w:r>
        <w:rPr>
          <w:rFonts w:hint="eastAsia" w:ascii="宋体" w:hAnsi="宋体" w:cs="宋体"/>
          <w:sz w:val="24"/>
          <w:szCs w:val="24"/>
        </w:rPr>
        <w:t xml:space="preserve">  月</w:t>
      </w:r>
      <w:r>
        <w:rPr>
          <w:rFonts w:hint="eastAsia" w:ascii="宋体" w:hAnsi="宋体" w:cs="宋体"/>
          <w:sz w:val="24"/>
        </w:rPr>
        <w:t>_____</w:t>
      </w:r>
      <w:r>
        <w:rPr>
          <w:rFonts w:hint="eastAsia" w:ascii="宋体" w:hAnsi="宋体" w:cs="宋体"/>
          <w:sz w:val="24"/>
          <w:szCs w:val="24"/>
        </w:rPr>
        <w:t xml:space="preserve"> 日</w:t>
      </w:r>
    </w:p>
    <w:p>
      <w:pPr>
        <w:pStyle w:val="4"/>
        <w:numPr>
          <w:ilvl w:val="0"/>
          <w:numId w:val="23"/>
        </w:numPr>
        <w:spacing w:before="319" w:beforeLines="100" w:after="478" w:afterLines="150" w:line="500" w:lineRule="exact"/>
        <w:jc w:val="center"/>
        <w:rPr>
          <w:rFonts w:ascii="宋体" w:hAnsi="宋体" w:cs="宋体"/>
          <w:sz w:val="36"/>
          <w:szCs w:val="36"/>
        </w:rPr>
        <w:sectPr>
          <w:pgSz w:w="11906" w:h="16838"/>
          <w:pgMar w:top="1440" w:right="1803" w:bottom="1440" w:left="1803" w:header="851" w:footer="992" w:gutter="0"/>
          <w:cols w:space="720" w:num="1"/>
          <w:docGrid w:type="lines" w:linePitch="319" w:charSpace="0"/>
        </w:sectPr>
      </w:pPr>
      <w:bookmarkStart w:id="78" w:name="_Toc28494"/>
    </w:p>
    <w:p>
      <w:pPr>
        <w:pStyle w:val="4"/>
        <w:numPr>
          <w:ilvl w:val="0"/>
          <w:numId w:val="23"/>
        </w:numPr>
        <w:spacing w:before="319" w:beforeLines="100" w:after="478" w:afterLines="150" w:line="500" w:lineRule="exact"/>
        <w:jc w:val="center"/>
        <w:rPr>
          <w:rFonts w:ascii="宋体" w:hAnsi="宋体" w:cs="宋体"/>
          <w:sz w:val="36"/>
          <w:szCs w:val="36"/>
        </w:rPr>
      </w:pPr>
      <w:r>
        <w:rPr>
          <w:rFonts w:hint="eastAsia" w:ascii="宋体" w:hAnsi="宋体" w:cs="宋体"/>
          <w:sz w:val="36"/>
          <w:szCs w:val="36"/>
        </w:rPr>
        <w:t xml:space="preserve">  </w:t>
      </w:r>
      <w:bookmarkStart w:id="79" w:name="_Toc9105"/>
      <w:bookmarkEnd w:id="78"/>
      <w:r>
        <w:rPr>
          <w:rFonts w:hint="eastAsia" w:ascii="宋体" w:hAnsi="宋体" w:cs="宋体"/>
          <w:sz w:val="36"/>
          <w:szCs w:val="36"/>
        </w:rPr>
        <w:t>报价一览表</w:t>
      </w:r>
      <w:bookmarkEnd w:id="79"/>
    </w:p>
    <w:p>
      <w:pPr>
        <w:kinsoku w:val="0"/>
        <w:spacing w:line="360" w:lineRule="auto"/>
        <w:jc w:val="left"/>
        <w:rPr>
          <w:rFonts w:ascii="宋体" w:hAnsi="宋体" w:cs="宋体"/>
          <w:sz w:val="24"/>
          <w:szCs w:val="24"/>
        </w:rPr>
      </w:pPr>
      <w:r>
        <w:rPr>
          <w:rFonts w:hint="eastAsia" w:ascii="宋体" w:hAnsi="宋体" w:cs="宋体"/>
          <w:sz w:val="24"/>
          <w:szCs w:val="24"/>
        </w:rPr>
        <w:t xml:space="preserve">项目名称：延安市安塞区教育体育局关于安塞区初级中学设备采购项目                      </w:t>
      </w:r>
    </w:p>
    <w:p>
      <w:pPr>
        <w:rPr>
          <w:rFonts w:ascii="宋体" w:hAnsi="宋体" w:cs="宋体"/>
        </w:rPr>
      </w:pPr>
      <w:r>
        <w:rPr>
          <w:rFonts w:hint="eastAsia" w:ascii="宋体" w:hAnsi="宋体" w:cs="宋体"/>
          <w:sz w:val="24"/>
          <w:szCs w:val="24"/>
        </w:rPr>
        <w:t xml:space="preserve">单  位：元    </w:t>
      </w:r>
      <w:r>
        <w:rPr>
          <w:rFonts w:hint="eastAsia" w:ascii="宋体" w:hAnsi="宋体" w:cs="宋体"/>
          <w:sz w:val="28"/>
          <w:szCs w:val="28"/>
        </w:rPr>
        <w:t xml:space="preserve">             </w:t>
      </w:r>
    </w:p>
    <w:tbl>
      <w:tblPr>
        <w:tblStyle w:val="37"/>
        <w:tblW w:w="89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0"/>
        <w:gridCol w:w="1978"/>
        <w:gridCol w:w="2086"/>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5" w:hRule="atLeast"/>
          <w:jc w:val="center"/>
        </w:trPr>
        <w:tc>
          <w:tcPr>
            <w:tcW w:w="2980" w:type="dxa"/>
            <w:tcBorders>
              <w:tl2br w:val="single" w:color="auto" w:sz="4" w:space="0"/>
            </w:tcBorders>
            <w:vAlign w:val="center"/>
          </w:tcPr>
          <w:p>
            <w:pPr>
              <w:kinsoku w:val="0"/>
              <w:spacing w:line="360" w:lineRule="auto"/>
              <w:ind w:firstLine="1417" w:firstLineChars="675"/>
              <w:jc w:val="center"/>
              <w:rPr>
                <w:rFonts w:ascii="宋体" w:cs="宋体"/>
                <w:szCs w:val="21"/>
              </w:rPr>
            </w:pPr>
            <w:r>
              <w:rPr>
                <w:rFonts w:hint="eastAsia" w:ascii="宋体" w:cs="宋体"/>
                <w:szCs w:val="21"/>
              </w:rPr>
              <w:t>报价内容</w:t>
            </w:r>
          </w:p>
          <w:p>
            <w:pPr>
              <w:kinsoku w:val="0"/>
              <w:spacing w:line="360" w:lineRule="auto"/>
              <w:jc w:val="center"/>
              <w:rPr>
                <w:rFonts w:ascii="宋体" w:cs="宋体"/>
                <w:szCs w:val="21"/>
              </w:rPr>
            </w:pPr>
          </w:p>
          <w:p>
            <w:pPr>
              <w:kinsoku w:val="0"/>
              <w:spacing w:line="360" w:lineRule="auto"/>
              <w:rPr>
                <w:rFonts w:ascii="宋体" w:cs="宋体"/>
                <w:szCs w:val="21"/>
              </w:rPr>
            </w:pPr>
            <w:r>
              <w:rPr>
                <w:rFonts w:hint="eastAsia" w:ascii="宋体" w:cs="宋体"/>
                <w:szCs w:val="21"/>
              </w:rPr>
              <w:t>投标内容</w:t>
            </w:r>
          </w:p>
        </w:tc>
        <w:tc>
          <w:tcPr>
            <w:tcW w:w="1978" w:type="dxa"/>
            <w:vAlign w:val="center"/>
          </w:tcPr>
          <w:p>
            <w:pPr>
              <w:kinsoku w:val="0"/>
              <w:spacing w:line="360" w:lineRule="auto"/>
              <w:jc w:val="center"/>
              <w:rPr>
                <w:rFonts w:ascii="宋体" w:cs="宋体"/>
                <w:sz w:val="24"/>
                <w:szCs w:val="24"/>
              </w:rPr>
            </w:pPr>
            <w:r>
              <w:rPr>
                <w:rFonts w:hint="eastAsia" w:ascii="宋体" w:cs="宋体"/>
                <w:sz w:val="24"/>
                <w:szCs w:val="24"/>
              </w:rPr>
              <w:t>投标总报价</w:t>
            </w:r>
          </w:p>
          <w:p>
            <w:pPr>
              <w:kinsoku w:val="0"/>
              <w:spacing w:line="360" w:lineRule="auto"/>
              <w:jc w:val="center"/>
              <w:rPr>
                <w:rFonts w:ascii="宋体" w:cs="宋体"/>
                <w:sz w:val="24"/>
                <w:szCs w:val="24"/>
              </w:rPr>
            </w:pPr>
            <w:r>
              <w:rPr>
                <w:rFonts w:hint="eastAsia" w:ascii="宋体" w:cs="宋体"/>
                <w:sz w:val="24"/>
                <w:szCs w:val="24"/>
              </w:rPr>
              <w:t>（元）</w:t>
            </w:r>
          </w:p>
        </w:tc>
        <w:tc>
          <w:tcPr>
            <w:tcW w:w="2086" w:type="dxa"/>
            <w:vAlign w:val="center"/>
          </w:tcPr>
          <w:p>
            <w:pPr>
              <w:kinsoku w:val="0"/>
              <w:spacing w:line="360" w:lineRule="auto"/>
              <w:jc w:val="center"/>
              <w:rPr>
                <w:rFonts w:ascii="宋体" w:cs="宋体"/>
                <w:sz w:val="24"/>
                <w:szCs w:val="24"/>
              </w:rPr>
            </w:pPr>
            <w:r>
              <w:rPr>
                <w:rFonts w:hint="eastAsia" w:ascii="宋体" w:cs="宋体"/>
                <w:sz w:val="24"/>
                <w:szCs w:val="24"/>
              </w:rPr>
              <w:t>交货期</w:t>
            </w:r>
          </w:p>
        </w:tc>
        <w:tc>
          <w:tcPr>
            <w:tcW w:w="1916" w:type="dxa"/>
            <w:vAlign w:val="center"/>
          </w:tcPr>
          <w:p>
            <w:pPr>
              <w:kinsoku w:val="0"/>
              <w:spacing w:line="360" w:lineRule="auto"/>
              <w:jc w:val="center"/>
              <w:rPr>
                <w:rFonts w:ascii="宋体" w:cs="宋体"/>
                <w:sz w:val="24"/>
                <w:szCs w:val="24"/>
              </w:rPr>
            </w:pPr>
            <w:r>
              <w:rPr>
                <w:rFonts w:hint="eastAsia" w:ascii="宋体" w:cs="宋体"/>
                <w:sz w:val="24"/>
                <w:szCs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2" w:hRule="atLeast"/>
          <w:jc w:val="center"/>
        </w:trPr>
        <w:tc>
          <w:tcPr>
            <w:tcW w:w="2980" w:type="dxa"/>
            <w:vAlign w:val="center"/>
          </w:tcPr>
          <w:p>
            <w:pPr>
              <w:kinsoku w:val="0"/>
              <w:spacing w:line="480" w:lineRule="auto"/>
              <w:jc w:val="left"/>
              <w:rPr>
                <w:rFonts w:ascii="宋体" w:cs="宋体"/>
                <w:szCs w:val="21"/>
              </w:rPr>
            </w:pPr>
            <w:r>
              <w:rPr>
                <w:rFonts w:hint="eastAsia" w:ascii="宋体" w:cs="宋体"/>
                <w:szCs w:val="21"/>
              </w:rPr>
              <w:t>延安市安塞区教育体育局关于安塞区初级中学设备采购项目</w:t>
            </w:r>
          </w:p>
        </w:tc>
        <w:tc>
          <w:tcPr>
            <w:tcW w:w="1978" w:type="dxa"/>
            <w:vAlign w:val="center"/>
          </w:tcPr>
          <w:p>
            <w:pPr>
              <w:kinsoku w:val="0"/>
              <w:spacing w:line="480" w:lineRule="auto"/>
              <w:jc w:val="left"/>
              <w:rPr>
                <w:rFonts w:ascii="宋体" w:cs="宋体"/>
                <w:szCs w:val="21"/>
              </w:rPr>
            </w:pPr>
          </w:p>
        </w:tc>
        <w:tc>
          <w:tcPr>
            <w:tcW w:w="2086" w:type="dxa"/>
            <w:vAlign w:val="center"/>
          </w:tcPr>
          <w:p>
            <w:pPr>
              <w:kinsoku w:val="0"/>
              <w:spacing w:line="480" w:lineRule="auto"/>
              <w:jc w:val="left"/>
              <w:rPr>
                <w:rFonts w:ascii="宋体" w:cs="宋体"/>
                <w:szCs w:val="21"/>
              </w:rPr>
            </w:pPr>
          </w:p>
        </w:tc>
        <w:tc>
          <w:tcPr>
            <w:tcW w:w="1916" w:type="dxa"/>
            <w:vAlign w:val="center"/>
          </w:tcPr>
          <w:p>
            <w:pPr>
              <w:kinsoku w:val="0"/>
              <w:spacing w:line="480" w:lineRule="auto"/>
              <w:ind w:firstLine="420" w:firstLineChars="200"/>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jc w:val="center"/>
        </w:trPr>
        <w:tc>
          <w:tcPr>
            <w:tcW w:w="8960" w:type="dxa"/>
            <w:gridSpan w:val="4"/>
            <w:vAlign w:val="center"/>
          </w:tcPr>
          <w:p>
            <w:pPr>
              <w:kinsoku w:val="0"/>
              <w:spacing w:line="480" w:lineRule="auto"/>
              <w:jc w:val="left"/>
              <w:rPr>
                <w:rFonts w:ascii="宋体" w:cs="宋体"/>
                <w:szCs w:val="21"/>
              </w:rPr>
            </w:pPr>
            <w:r>
              <w:rPr>
                <w:rFonts w:hint="eastAsia" w:ascii="宋体" w:cs="宋体"/>
                <w:szCs w:val="21"/>
              </w:rPr>
              <w:t>投标总报价：（大写）</w:t>
            </w:r>
            <w:r>
              <w:rPr>
                <w:rFonts w:hint="eastAsia" w:ascii="宋体" w:cs="宋体"/>
                <w:szCs w:val="21"/>
                <w:u w:val="single"/>
              </w:rPr>
              <w:t xml:space="preserve">                   </w:t>
            </w:r>
            <w:r>
              <w:rPr>
                <w:rFonts w:hint="eastAsia" w:ascii="宋体" w:cs="宋体"/>
                <w:szCs w:val="21"/>
              </w:rPr>
              <w:t xml:space="preserve"> （小写）¥</w:t>
            </w:r>
            <w:r>
              <w:rPr>
                <w:rFonts w:hint="eastAsia" w:ascii="宋体" w:cs="宋体"/>
                <w:szCs w:val="21"/>
                <w:u w:val="single"/>
              </w:rPr>
              <w:t xml:space="preserve">          </w:t>
            </w:r>
            <w:r>
              <w:rPr>
                <w:rFonts w:hint="eastAsia" w:ascii="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3" w:hRule="atLeast"/>
          <w:jc w:val="center"/>
        </w:trPr>
        <w:tc>
          <w:tcPr>
            <w:tcW w:w="8960" w:type="dxa"/>
            <w:gridSpan w:val="4"/>
            <w:vAlign w:val="center"/>
          </w:tcPr>
          <w:p>
            <w:pPr>
              <w:kinsoku w:val="0"/>
              <w:spacing w:line="480" w:lineRule="auto"/>
              <w:jc w:val="left"/>
              <w:rPr>
                <w:rFonts w:ascii="宋体" w:cs="宋体"/>
                <w:szCs w:val="21"/>
              </w:rPr>
            </w:pPr>
            <w:r>
              <w:rPr>
                <w:rFonts w:hint="eastAsia" w:ascii="宋体" w:cs="宋体"/>
              </w:rPr>
              <w:t>备注：表内报价内容以元为单位，精确到小数点后两位；</w:t>
            </w:r>
          </w:p>
        </w:tc>
      </w:tr>
    </w:tbl>
    <w:p>
      <w:pPr>
        <w:widowControl/>
        <w:tabs>
          <w:tab w:val="left" w:pos="4000"/>
        </w:tabs>
        <w:snapToGrid w:val="0"/>
        <w:spacing w:line="300" w:lineRule="auto"/>
        <w:jc w:val="left"/>
        <w:rPr>
          <w:rFonts w:ascii="宋体" w:hAnsi="宋体" w:cs="宋体"/>
          <w:b/>
          <w:bCs/>
          <w:spacing w:val="20"/>
          <w:kern w:val="0"/>
          <w:sz w:val="28"/>
          <w:szCs w:val="28"/>
        </w:rPr>
      </w:pPr>
    </w:p>
    <w:p>
      <w:pPr>
        <w:widowControl/>
        <w:tabs>
          <w:tab w:val="left" w:pos="4000"/>
        </w:tabs>
        <w:snapToGrid w:val="0"/>
        <w:spacing w:line="300" w:lineRule="auto"/>
        <w:jc w:val="left"/>
        <w:rPr>
          <w:rFonts w:ascii="宋体" w:hAnsi="宋体" w:cs="宋体"/>
          <w:b/>
          <w:bCs/>
          <w:spacing w:val="20"/>
          <w:kern w:val="0"/>
          <w:sz w:val="28"/>
          <w:szCs w:val="28"/>
        </w:rPr>
      </w:pPr>
      <w:r>
        <w:rPr>
          <w:rFonts w:hint="eastAsia" w:ascii="宋体" w:hAnsi="宋体" w:cs="宋体"/>
          <w:b/>
          <w:bCs/>
          <w:spacing w:val="20"/>
          <w:kern w:val="0"/>
          <w:sz w:val="28"/>
          <w:szCs w:val="28"/>
        </w:rPr>
        <w:t>注：此表再制作一份原件单独密封递交，供唱标时使用。</w:t>
      </w:r>
    </w:p>
    <w:p>
      <w:pPr>
        <w:widowControl/>
        <w:tabs>
          <w:tab w:val="left" w:pos="4000"/>
        </w:tabs>
        <w:snapToGrid w:val="0"/>
        <w:spacing w:line="300" w:lineRule="auto"/>
        <w:jc w:val="left"/>
        <w:rPr>
          <w:rFonts w:ascii="宋体" w:hAnsi="宋体" w:cs="宋体"/>
          <w:b/>
          <w:bCs/>
          <w:spacing w:val="20"/>
          <w:kern w:val="0"/>
          <w:sz w:val="28"/>
          <w:szCs w:val="28"/>
        </w:rPr>
      </w:pPr>
      <w:r>
        <w:rPr>
          <w:rFonts w:hint="eastAsia" w:ascii="宋体" w:hAnsi="宋体" w:cs="宋体"/>
          <w:b/>
          <w:bCs/>
          <w:spacing w:val="20"/>
          <w:kern w:val="0"/>
          <w:sz w:val="28"/>
          <w:szCs w:val="28"/>
        </w:rPr>
        <w:t xml:space="preserve">    请写明大写、小写。</w:t>
      </w:r>
    </w:p>
    <w:p>
      <w:pPr>
        <w:adjustRightInd w:val="0"/>
        <w:snapToGrid w:val="0"/>
        <w:spacing w:line="480" w:lineRule="auto"/>
        <w:jc w:val="left"/>
        <w:rPr>
          <w:rFonts w:ascii="宋体" w:hAnsi="宋体" w:cs="宋体"/>
          <w:sz w:val="28"/>
          <w:szCs w:val="28"/>
        </w:rPr>
      </w:pPr>
    </w:p>
    <w:p>
      <w:pPr>
        <w:adjustRightInd w:val="0"/>
        <w:snapToGrid w:val="0"/>
        <w:spacing w:line="480" w:lineRule="auto"/>
        <w:jc w:val="left"/>
        <w:rPr>
          <w:rFonts w:ascii="宋体" w:hAnsi="宋体" w:cs="宋体"/>
          <w:sz w:val="28"/>
          <w:szCs w:val="28"/>
          <w:u w:val="single"/>
        </w:rPr>
      </w:pPr>
      <w:r>
        <w:rPr>
          <w:rFonts w:hint="eastAsia" w:ascii="宋体" w:hAnsi="宋体" w:cs="宋体"/>
          <w:sz w:val="28"/>
          <w:szCs w:val="28"/>
        </w:rPr>
        <w:t>供应商（单位名称及公章）：</w:t>
      </w:r>
      <w:r>
        <w:rPr>
          <w:rFonts w:hint="eastAsia" w:ascii="宋体" w:hAnsi="宋体" w:cs="宋体"/>
          <w:sz w:val="24"/>
        </w:rPr>
        <w:t>____________________</w:t>
      </w:r>
    </w:p>
    <w:p>
      <w:pPr>
        <w:adjustRightInd w:val="0"/>
        <w:snapToGrid w:val="0"/>
        <w:spacing w:line="480" w:lineRule="auto"/>
        <w:rPr>
          <w:rFonts w:ascii="宋体" w:hAnsi="宋体" w:cs="宋体"/>
          <w:sz w:val="28"/>
          <w:szCs w:val="28"/>
        </w:rPr>
      </w:pPr>
      <w:r>
        <w:rPr>
          <w:rFonts w:hint="eastAsia" w:ascii="宋体" w:hAnsi="宋体" w:cs="宋体"/>
          <w:sz w:val="28"/>
          <w:szCs w:val="28"/>
        </w:rPr>
        <w:t>法定代表人或被授权人（签字或盖章）：</w:t>
      </w:r>
      <w:r>
        <w:rPr>
          <w:rFonts w:hint="eastAsia" w:ascii="宋体" w:hAnsi="宋体" w:cs="宋体"/>
          <w:sz w:val="24"/>
        </w:rPr>
        <w:t>____________________</w:t>
      </w:r>
    </w:p>
    <w:p>
      <w:pPr>
        <w:adjustRightInd w:val="0"/>
        <w:snapToGrid w:val="0"/>
        <w:spacing w:line="480" w:lineRule="auto"/>
        <w:rPr>
          <w:rFonts w:ascii="宋体" w:hAnsi="宋体" w:cs="宋体"/>
          <w:b/>
          <w:sz w:val="32"/>
        </w:rPr>
        <w:sectPr>
          <w:pgSz w:w="11906" w:h="16838"/>
          <w:pgMar w:top="1440" w:right="1803" w:bottom="1440" w:left="1803" w:header="851" w:footer="992" w:gutter="0"/>
          <w:cols w:space="720" w:num="1"/>
          <w:docGrid w:type="lines" w:linePitch="319" w:charSpace="0"/>
        </w:sectPr>
      </w:pPr>
      <w:r>
        <w:rPr>
          <w:rFonts w:hint="eastAsia" w:ascii="宋体" w:hAnsi="宋体" w:cs="宋体"/>
          <w:sz w:val="28"/>
          <w:szCs w:val="28"/>
        </w:rPr>
        <w:t xml:space="preserve">日    期：  </w:t>
      </w:r>
      <w:r>
        <w:rPr>
          <w:rFonts w:hint="eastAsia" w:ascii="宋体" w:hAnsi="宋体" w:cs="宋体"/>
          <w:sz w:val="24"/>
        </w:rPr>
        <w:t>_____</w:t>
      </w:r>
      <w:r>
        <w:rPr>
          <w:rFonts w:hint="eastAsia" w:ascii="宋体" w:hAnsi="宋体" w:cs="宋体"/>
          <w:sz w:val="28"/>
          <w:szCs w:val="28"/>
        </w:rPr>
        <w:t>年</w:t>
      </w:r>
      <w:r>
        <w:rPr>
          <w:rFonts w:hint="eastAsia" w:ascii="宋体" w:hAnsi="宋体" w:cs="宋体"/>
          <w:sz w:val="24"/>
        </w:rPr>
        <w:t>_____</w:t>
      </w:r>
      <w:r>
        <w:rPr>
          <w:rFonts w:hint="eastAsia" w:ascii="宋体" w:hAnsi="宋体" w:cs="宋体"/>
          <w:sz w:val="28"/>
          <w:szCs w:val="28"/>
        </w:rPr>
        <w:t xml:space="preserve">  月</w:t>
      </w:r>
      <w:r>
        <w:rPr>
          <w:rFonts w:hint="eastAsia" w:ascii="宋体" w:hAnsi="宋体" w:cs="宋体"/>
          <w:sz w:val="24"/>
        </w:rPr>
        <w:t>_____</w:t>
      </w:r>
    </w:p>
    <w:p>
      <w:pPr>
        <w:pStyle w:val="12"/>
        <w:ind w:firstLine="0"/>
        <w:jc w:val="center"/>
        <w:rPr>
          <w:rFonts w:ascii="宋体" w:hAnsi="宋体" w:cs="宋体"/>
          <w:b/>
          <w:bCs/>
          <w:sz w:val="36"/>
          <w:szCs w:val="36"/>
        </w:rPr>
      </w:pPr>
      <w:bookmarkStart w:id="80" w:name="_Toc3356"/>
      <w:bookmarkStart w:id="81" w:name="_Toc9034"/>
      <w:bookmarkStart w:id="82" w:name="_Toc10126"/>
      <w:r>
        <w:rPr>
          <w:rFonts w:hint="eastAsia" w:ascii="宋体" w:hAnsi="宋体" w:cs="宋体"/>
          <w:b/>
          <w:bCs/>
          <w:sz w:val="36"/>
          <w:szCs w:val="36"/>
        </w:rPr>
        <w:t>分项报价表</w:t>
      </w:r>
    </w:p>
    <w:p>
      <w:pPr>
        <w:spacing w:after="120"/>
        <w:jc w:val="left"/>
        <w:rPr>
          <w:rFonts w:ascii="宋体" w:hAnsi="宋体" w:cs="宋体"/>
          <w:sz w:val="24"/>
          <w:szCs w:val="24"/>
        </w:rPr>
      </w:pPr>
      <w:r>
        <w:rPr>
          <w:rFonts w:hint="eastAsia" w:ascii="宋体" w:hAnsi="宋体" w:cs="宋体"/>
          <w:sz w:val="24"/>
          <w:szCs w:val="24"/>
        </w:rPr>
        <w:t>项目名称：延安市安塞区教育体育局关于安塞区初级中学设备采购项目</w:t>
      </w:r>
    </w:p>
    <w:p>
      <w:pPr>
        <w:spacing w:after="120"/>
        <w:jc w:val="left"/>
        <w:rPr>
          <w:rFonts w:ascii="宋体" w:hAnsi="宋体" w:cs="宋体"/>
          <w:sz w:val="24"/>
          <w:szCs w:val="24"/>
        </w:rPr>
      </w:pPr>
      <w:r>
        <w:rPr>
          <w:rFonts w:hint="eastAsia" w:ascii="宋体" w:hAnsi="宋体" w:cs="宋体"/>
          <w:sz w:val="24"/>
          <w:szCs w:val="24"/>
        </w:rPr>
        <w:t>项目编号： ZMZB2022ASJTJ-02</w:t>
      </w:r>
    </w:p>
    <w:tbl>
      <w:tblPr>
        <w:tblStyle w:val="37"/>
        <w:tblpPr w:leftFromText="180" w:rightFromText="180" w:vertAnchor="text" w:horzAnchor="page" w:tblpX="1534" w:tblpY="373"/>
        <w:tblOverlap w:val="never"/>
        <w:tblW w:w="9060" w:type="dxa"/>
        <w:tblInd w:w="0" w:type="dxa"/>
        <w:tblLayout w:type="fixed"/>
        <w:tblCellMar>
          <w:top w:w="0" w:type="dxa"/>
          <w:left w:w="28" w:type="dxa"/>
          <w:bottom w:w="0" w:type="dxa"/>
          <w:right w:w="28" w:type="dxa"/>
        </w:tblCellMar>
      </w:tblPr>
      <w:tblGrid>
        <w:gridCol w:w="1148"/>
        <w:gridCol w:w="530"/>
        <w:gridCol w:w="789"/>
        <w:gridCol w:w="862"/>
        <w:gridCol w:w="988"/>
        <w:gridCol w:w="1271"/>
        <w:gridCol w:w="966"/>
        <w:gridCol w:w="1353"/>
        <w:gridCol w:w="1153"/>
      </w:tblGrid>
      <w:tr>
        <w:tblPrEx>
          <w:tblLayout w:type="fixed"/>
          <w:tblCellMar>
            <w:top w:w="0" w:type="dxa"/>
            <w:left w:w="28" w:type="dxa"/>
            <w:bottom w:w="0" w:type="dxa"/>
            <w:right w:w="28" w:type="dxa"/>
          </w:tblCellMar>
        </w:tblPrEx>
        <w:trPr>
          <w:trHeight w:val="875" w:hRule="atLeast"/>
        </w:trPr>
        <w:tc>
          <w:tcPr>
            <w:tcW w:w="1148" w:type="dxa"/>
            <w:vMerge w:val="restart"/>
            <w:tcBorders>
              <w:top w:val="single" w:color="auto" w:sz="6" w:space="0"/>
              <w:left w:val="single" w:color="auto" w:sz="6" w:space="0"/>
              <w:bottom w:val="nil"/>
              <w:right w:val="single" w:color="auto" w:sz="4" w:space="0"/>
            </w:tcBorders>
            <w:vAlign w:val="center"/>
          </w:tcPr>
          <w:p>
            <w:pPr>
              <w:jc w:val="left"/>
              <w:rPr>
                <w:rFonts w:ascii="宋体" w:cs="宋体"/>
                <w:sz w:val="22"/>
              </w:rPr>
            </w:pPr>
            <w:r>
              <w:rPr>
                <w:rFonts w:hint="eastAsia" w:ascii="宋体" w:cs="宋体"/>
                <w:sz w:val="22"/>
              </w:rPr>
              <w:t>分项费用</w:t>
            </w:r>
          </w:p>
        </w:tc>
        <w:tc>
          <w:tcPr>
            <w:tcW w:w="530" w:type="dxa"/>
            <w:tcBorders>
              <w:top w:val="single" w:color="auto" w:sz="6" w:space="0"/>
              <w:left w:val="single" w:color="auto" w:sz="4" w:space="0"/>
              <w:bottom w:val="single" w:color="auto" w:sz="6" w:space="0"/>
              <w:right w:val="nil"/>
            </w:tcBorders>
            <w:vAlign w:val="center"/>
          </w:tcPr>
          <w:p>
            <w:pPr>
              <w:spacing w:after="120"/>
              <w:jc w:val="center"/>
              <w:rPr>
                <w:rFonts w:ascii="宋体" w:cs="宋体"/>
                <w:sz w:val="22"/>
              </w:rPr>
            </w:pPr>
            <w:r>
              <w:rPr>
                <w:rFonts w:hint="eastAsia" w:ascii="宋体" w:cs="宋体"/>
                <w:sz w:val="22"/>
              </w:rPr>
              <w:t>序号</w:t>
            </w:r>
          </w:p>
        </w:tc>
        <w:tc>
          <w:tcPr>
            <w:tcW w:w="789"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名称</w:t>
            </w:r>
          </w:p>
        </w:tc>
        <w:tc>
          <w:tcPr>
            <w:tcW w:w="862"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cs="宋体"/>
                <w:sz w:val="22"/>
              </w:rPr>
            </w:pPr>
            <w:r>
              <w:rPr>
                <w:rFonts w:hint="eastAsia" w:ascii="宋体" w:cs="宋体"/>
                <w:sz w:val="22"/>
              </w:rPr>
              <w:t>品牌</w:t>
            </w:r>
          </w:p>
        </w:tc>
        <w:tc>
          <w:tcPr>
            <w:tcW w:w="988"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型号或规格</w:t>
            </w:r>
          </w:p>
        </w:tc>
        <w:tc>
          <w:tcPr>
            <w:tcW w:w="1271" w:type="dxa"/>
            <w:tcBorders>
              <w:top w:val="single" w:color="auto" w:sz="6" w:space="0"/>
              <w:left w:val="single" w:color="auto" w:sz="6" w:space="0"/>
              <w:bottom w:val="single" w:color="auto" w:sz="6" w:space="0"/>
              <w:right w:val="single" w:color="auto" w:sz="6" w:space="0"/>
            </w:tcBorders>
            <w:vAlign w:val="center"/>
          </w:tcPr>
          <w:p>
            <w:pPr>
              <w:spacing w:before="159" w:after="120"/>
              <w:jc w:val="center"/>
              <w:rPr>
                <w:rFonts w:ascii="宋体" w:cs="宋体"/>
                <w:sz w:val="22"/>
              </w:rPr>
            </w:pPr>
            <w:r>
              <w:rPr>
                <w:rFonts w:hint="eastAsia" w:ascii="宋体" w:cs="宋体"/>
                <w:sz w:val="22"/>
              </w:rPr>
              <w:t>原产地及制造厂名</w:t>
            </w:r>
          </w:p>
        </w:tc>
        <w:tc>
          <w:tcPr>
            <w:tcW w:w="96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数量</w:t>
            </w:r>
          </w:p>
        </w:tc>
        <w:tc>
          <w:tcPr>
            <w:tcW w:w="13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单价</w:t>
            </w:r>
          </w:p>
          <w:p>
            <w:pPr>
              <w:spacing w:after="120"/>
              <w:jc w:val="center"/>
              <w:rPr>
                <w:rFonts w:ascii="宋体" w:cs="宋体"/>
                <w:bCs/>
                <w:sz w:val="22"/>
              </w:rPr>
            </w:pPr>
            <w:r>
              <w:rPr>
                <w:rFonts w:hint="eastAsia" w:ascii="宋体" w:cs="宋体"/>
                <w:sz w:val="22"/>
              </w:rPr>
              <w:t>（元）</w:t>
            </w:r>
          </w:p>
        </w:tc>
        <w:tc>
          <w:tcPr>
            <w:tcW w:w="11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bCs/>
                <w:sz w:val="22"/>
              </w:rPr>
            </w:pPr>
            <w:r>
              <w:rPr>
                <w:rFonts w:hint="eastAsia" w:ascii="宋体" w:cs="宋体"/>
                <w:bCs/>
                <w:sz w:val="22"/>
              </w:rPr>
              <w:t>总价</w:t>
            </w:r>
          </w:p>
          <w:p>
            <w:pPr>
              <w:spacing w:after="120"/>
              <w:jc w:val="center"/>
              <w:rPr>
                <w:rFonts w:ascii="宋体" w:cs="宋体"/>
                <w:bCs/>
                <w:sz w:val="22"/>
              </w:rPr>
            </w:pPr>
            <w:r>
              <w:rPr>
                <w:rFonts w:hint="eastAsia" w:ascii="宋体" w:cs="宋体"/>
                <w:bCs/>
                <w:sz w:val="22"/>
              </w:rPr>
              <w:t>（元）</w:t>
            </w:r>
          </w:p>
        </w:tc>
      </w:tr>
      <w:tr>
        <w:tblPrEx>
          <w:tblLayout w:type="fixed"/>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6" w:space="0"/>
              <w:left w:val="single" w:color="auto" w:sz="4" w:space="0"/>
              <w:bottom w:val="single" w:color="auto" w:sz="4" w:space="0"/>
              <w:right w:val="nil"/>
            </w:tcBorders>
            <w:vAlign w:val="center"/>
          </w:tcPr>
          <w:p>
            <w:pPr>
              <w:spacing w:before="319"/>
              <w:jc w:val="center"/>
              <w:rPr>
                <w:rFonts w:ascii="宋体" w:cs="宋体"/>
                <w:sz w:val="22"/>
              </w:rPr>
            </w:pPr>
            <w:r>
              <w:rPr>
                <w:rFonts w:hint="eastAsia" w:ascii="宋体" w:cs="宋体"/>
                <w:sz w:val="22"/>
              </w:rPr>
              <w:t>1</w:t>
            </w:r>
          </w:p>
        </w:tc>
        <w:tc>
          <w:tcPr>
            <w:tcW w:w="789"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862" w:type="dxa"/>
            <w:tcBorders>
              <w:top w:val="single" w:color="auto" w:sz="6" w:space="0"/>
              <w:left w:val="single" w:color="auto" w:sz="6" w:space="0"/>
              <w:bottom w:val="single" w:color="auto" w:sz="4" w:space="0"/>
              <w:right w:val="single" w:color="auto" w:sz="4" w:space="0"/>
            </w:tcBorders>
            <w:vAlign w:val="center"/>
          </w:tcPr>
          <w:p>
            <w:pPr>
              <w:spacing w:before="159"/>
              <w:jc w:val="center"/>
              <w:rPr>
                <w:rFonts w:ascii="宋体" w:cs="宋体"/>
                <w:sz w:val="22"/>
              </w:rPr>
            </w:pPr>
          </w:p>
        </w:tc>
        <w:tc>
          <w:tcPr>
            <w:tcW w:w="988" w:type="dxa"/>
            <w:tcBorders>
              <w:top w:val="single" w:color="auto" w:sz="6" w:space="0"/>
              <w:left w:val="single" w:color="auto" w:sz="4" w:space="0"/>
              <w:bottom w:val="single" w:color="auto" w:sz="4" w:space="0"/>
              <w:right w:val="single" w:color="auto" w:sz="6" w:space="0"/>
            </w:tcBorders>
            <w:vAlign w:val="center"/>
          </w:tcPr>
          <w:p>
            <w:pPr>
              <w:spacing w:before="159"/>
              <w:jc w:val="center"/>
              <w:rPr>
                <w:rFonts w:ascii="宋体" w:cs="宋体"/>
                <w:sz w:val="22"/>
              </w:rPr>
            </w:pPr>
          </w:p>
        </w:tc>
        <w:tc>
          <w:tcPr>
            <w:tcW w:w="1271"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966"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13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11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r>
      <w:tr>
        <w:tblPrEx>
          <w:tblLayout w:type="fixed"/>
          <w:tblCellMar>
            <w:top w:w="0" w:type="dxa"/>
            <w:left w:w="28" w:type="dxa"/>
            <w:bottom w:w="0" w:type="dxa"/>
            <w:right w:w="28" w:type="dxa"/>
          </w:tblCellMar>
        </w:tblPrEx>
        <w:trPr>
          <w:trHeight w:val="608"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2</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Layout w:type="fixed"/>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3</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Layout w:type="fixed"/>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4</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Layout w:type="fixed"/>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b/>
                <w:sz w:val="22"/>
              </w:rPr>
            </w:pPr>
            <w:r>
              <w:rPr>
                <w:rFonts w:hint="eastAsia" w:ascii="宋体" w:cs="宋体"/>
                <w:sz w:val="22"/>
              </w:rPr>
              <w:t>5</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Layout w:type="fixed"/>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single" w:color="auto" w:sz="6" w:space="0"/>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r>
              <w:rPr>
                <w:rFonts w:hint="eastAsia" w:ascii="宋体" w:cs="宋体"/>
                <w:sz w:val="22"/>
              </w:rPr>
              <w:t>...</w:t>
            </w: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Layout w:type="fixed"/>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安装调试费</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r>
              <w:rPr>
                <w:rFonts w:hint="eastAsia" w:ascii="宋体" w:cs="宋体"/>
                <w:sz w:val="22"/>
              </w:rPr>
              <w:t>……</w:t>
            </w:r>
          </w:p>
        </w:tc>
      </w:tr>
      <w:tr>
        <w:tblPrEx>
          <w:tblLayout w:type="fixed"/>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运杂费</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w:t>
            </w:r>
          </w:p>
        </w:tc>
      </w:tr>
      <w:tr>
        <w:tblPrEx>
          <w:tblLayout w:type="fixed"/>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其他费用</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w:t>
            </w:r>
          </w:p>
        </w:tc>
      </w:tr>
      <w:tr>
        <w:tblPrEx>
          <w:tblLayout w:type="fixed"/>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w:t>
            </w:r>
          </w:p>
        </w:tc>
      </w:tr>
      <w:tr>
        <w:tblPrEx>
          <w:tblLayout w:type="fixed"/>
          <w:tblCellMar>
            <w:top w:w="0" w:type="dxa"/>
            <w:left w:w="28" w:type="dxa"/>
            <w:bottom w:w="0" w:type="dxa"/>
            <w:right w:w="28" w:type="dxa"/>
          </w:tblCellMar>
        </w:tblPrEx>
        <w:trPr>
          <w:trHeight w:val="515"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sz w:val="22"/>
              </w:rPr>
            </w:pPr>
            <w:r>
              <w:rPr>
                <w:rFonts w:hint="eastAsia" w:ascii="宋体" w:cs="宋体"/>
                <w:sz w:val="22"/>
              </w:rPr>
              <w:t>投标总报价</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left"/>
              <w:rPr>
                <w:rFonts w:ascii="宋体" w:cs="宋体"/>
                <w:sz w:val="22"/>
              </w:rPr>
            </w:pPr>
            <w:r>
              <w:rPr>
                <w:rFonts w:hint="eastAsia" w:ascii="宋体" w:cs="宋体"/>
                <w:sz w:val="22"/>
              </w:rPr>
              <w:t>大写：</w:t>
            </w:r>
            <w:r>
              <w:rPr>
                <w:rFonts w:hint="eastAsia" w:ascii="宋体" w:cs="宋体"/>
                <w:sz w:val="22"/>
                <w:u w:val="single"/>
              </w:rPr>
              <w:t xml:space="preserve">                  </w:t>
            </w:r>
            <w:r>
              <w:rPr>
                <w:rFonts w:hint="eastAsia" w:ascii="宋体" w:cs="宋体"/>
                <w:sz w:val="22"/>
              </w:rPr>
              <w:t xml:space="preserve"> 小写：</w:t>
            </w:r>
            <w:r>
              <w:rPr>
                <w:rFonts w:hint="eastAsia" w:ascii="宋体" w:cs="宋体"/>
                <w:sz w:val="22"/>
                <w:u w:val="single"/>
              </w:rPr>
              <w:t xml:space="preserve">    </w:t>
            </w:r>
            <w:r>
              <w:rPr>
                <w:rFonts w:hint="eastAsia" w:ascii="宋体" w:cs="宋体"/>
                <w:sz w:val="22"/>
              </w:rPr>
              <w:t xml:space="preserve"> 元</w:t>
            </w:r>
          </w:p>
        </w:tc>
      </w:tr>
      <w:tr>
        <w:tblPrEx>
          <w:tblLayout w:type="fixed"/>
          <w:tblCellMar>
            <w:top w:w="0" w:type="dxa"/>
            <w:left w:w="28" w:type="dxa"/>
            <w:bottom w:w="0" w:type="dxa"/>
            <w:right w:w="28" w:type="dxa"/>
          </w:tblCellMar>
        </w:tblPrEx>
        <w:trPr>
          <w:trHeight w:val="577"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sz w:val="22"/>
              </w:rPr>
            </w:pPr>
            <w:r>
              <w:rPr>
                <w:rFonts w:hint="eastAsia" w:ascii="宋体" w:cs="宋体"/>
                <w:sz w:val="22"/>
              </w:rPr>
              <w:t>备注</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r>
              <w:rPr>
                <w:rFonts w:hint="eastAsia" w:ascii="宋体" w:cs="宋体"/>
                <w:spacing w:val="-6"/>
                <w:sz w:val="22"/>
              </w:rPr>
              <w:t>保留小数点后两位。</w:t>
            </w:r>
          </w:p>
        </w:tc>
      </w:tr>
    </w:tbl>
    <w:p>
      <w:pPr>
        <w:adjustRightInd w:val="0"/>
        <w:snapToGrid w:val="0"/>
        <w:spacing w:line="480" w:lineRule="auto"/>
        <w:jc w:val="left"/>
        <w:rPr>
          <w:rFonts w:ascii="宋体" w:hAnsi="宋体" w:cs="宋体"/>
          <w:sz w:val="28"/>
          <w:szCs w:val="28"/>
        </w:rPr>
      </w:pPr>
    </w:p>
    <w:p>
      <w:pPr>
        <w:adjustRightInd w:val="0"/>
        <w:snapToGrid w:val="0"/>
        <w:spacing w:line="480" w:lineRule="auto"/>
        <w:jc w:val="left"/>
        <w:rPr>
          <w:rFonts w:ascii="宋体" w:hAnsi="宋体" w:cs="宋体"/>
          <w:sz w:val="28"/>
          <w:szCs w:val="28"/>
          <w:u w:val="single"/>
        </w:rPr>
      </w:pPr>
      <w:r>
        <w:rPr>
          <w:rFonts w:hint="eastAsia" w:ascii="宋体" w:hAnsi="宋体" w:cs="宋体"/>
          <w:sz w:val="28"/>
          <w:szCs w:val="28"/>
        </w:rPr>
        <w:t>供应商（单位名称及公章）：</w:t>
      </w:r>
      <w:r>
        <w:rPr>
          <w:rFonts w:hint="eastAsia" w:ascii="宋体" w:hAnsi="宋体" w:cs="宋体"/>
          <w:sz w:val="24"/>
        </w:rPr>
        <w:t>____________________</w:t>
      </w:r>
    </w:p>
    <w:p>
      <w:pPr>
        <w:adjustRightInd w:val="0"/>
        <w:snapToGrid w:val="0"/>
        <w:spacing w:line="480" w:lineRule="auto"/>
        <w:rPr>
          <w:rFonts w:ascii="宋体" w:hAnsi="宋体" w:cs="宋体"/>
          <w:sz w:val="28"/>
          <w:szCs w:val="28"/>
        </w:rPr>
      </w:pPr>
      <w:r>
        <w:rPr>
          <w:rFonts w:hint="eastAsia" w:ascii="宋体" w:hAnsi="宋体" w:cs="宋体"/>
          <w:sz w:val="28"/>
          <w:szCs w:val="28"/>
        </w:rPr>
        <w:t>法定代表人或被授权人（签字或盖章）：</w:t>
      </w:r>
      <w:r>
        <w:rPr>
          <w:rFonts w:hint="eastAsia" w:ascii="宋体" w:hAnsi="宋体" w:cs="宋体"/>
          <w:sz w:val="24"/>
        </w:rPr>
        <w:t>____________________</w:t>
      </w:r>
    </w:p>
    <w:p>
      <w:pPr>
        <w:adjustRightInd w:val="0"/>
        <w:snapToGrid w:val="0"/>
        <w:spacing w:line="480" w:lineRule="auto"/>
        <w:rPr>
          <w:rFonts w:ascii="宋体" w:hAnsi="宋体" w:cs="宋体"/>
          <w:b/>
          <w:sz w:val="32"/>
        </w:rPr>
        <w:sectPr>
          <w:pgSz w:w="11906" w:h="16838"/>
          <w:pgMar w:top="1440" w:right="1803" w:bottom="1440" w:left="1803" w:header="851" w:footer="992" w:gutter="0"/>
          <w:cols w:space="720" w:num="1"/>
          <w:docGrid w:type="lines" w:linePitch="319" w:charSpace="0"/>
        </w:sectPr>
      </w:pPr>
      <w:r>
        <w:rPr>
          <w:rFonts w:hint="eastAsia" w:ascii="宋体" w:hAnsi="宋体" w:cs="宋体"/>
          <w:sz w:val="28"/>
          <w:szCs w:val="28"/>
        </w:rPr>
        <w:t xml:space="preserve">日    期：  </w:t>
      </w:r>
      <w:r>
        <w:rPr>
          <w:rFonts w:hint="eastAsia" w:ascii="宋体" w:hAnsi="宋体" w:cs="宋体"/>
          <w:sz w:val="24"/>
        </w:rPr>
        <w:t>_________</w:t>
      </w:r>
    </w:p>
    <w:p>
      <w:pPr>
        <w:pStyle w:val="4"/>
        <w:jc w:val="center"/>
        <w:rPr>
          <w:rFonts w:ascii="宋体" w:hAnsi="宋体" w:cs="宋体"/>
        </w:rPr>
      </w:pPr>
      <w:bookmarkStart w:id="83" w:name="_Toc2306"/>
      <w:r>
        <w:rPr>
          <w:rFonts w:hint="eastAsia" w:ascii="宋体" w:hAnsi="宋体" w:cs="宋体"/>
        </w:rPr>
        <w:t>第三部分</w:t>
      </w:r>
      <w:bookmarkEnd w:id="80"/>
      <w:r>
        <w:rPr>
          <w:rFonts w:hint="eastAsia" w:ascii="宋体" w:hAnsi="宋体" w:cs="宋体"/>
          <w:sz w:val="36"/>
          <w:szCs w:val="36"/>
        </w:rPr>
        <w:t xml:space="preserve">  </w:t>
      </w:r>
      <w:r>
        <w:rPr>
          <w:rFonts w:hint="eastAsia" w:ascii="宋体" w:hAnsi="宋体" w:cs="宋体"/>
        </w:rPr>
        <w:t>商务及技术响应说明</w:t>
      </w:r>
      <w:bookmarkEnd w:id="83"/>
    </w:p>
    <w:p>
      <w:pPr>
        <w:pStyle w:val="12"/>
        <w:ind w:firstLine="0"/>
        <w:rPr>
          <w:rFonts w:ascii="宋体" w:hAnsi="宋体" w:cs="宋体"/>
        </w:rPr>
      </w:pPr>
    </w:p>
    <w:p>
      <w:pPr>
        <w:jc w:val="center"/>
        <w:rPr>
          <w:rFonts w:ascii="宋体" w:hAnsi="宋体" w:cs="宋体"/>
          <w:b/>
          <w:bCs/>
          <w:sz w:val="28"/>
          <w:szCs w:val="32"/>
        </w:rPr>
      </w:pPr>
      <w:r>
        <w:rPr>
          <w:rFonts w:hint="eastAsia" w:ascii="宋体" w:hAnsi="宋体" w:cs="宋体"/>
          <w:b/>
          <w:bCs/>
          <w:sz w:val="28"/>
          <w:szCs w:val="32"/>
        </w:rPr>
        <w:t>商务偏离表</w:t>
      </w:r>
    </w:p>
    <w:tbl>
      <w:tblPr>
        <w:tblStyle w:val="37"/>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933" w:type="dxa"/>
            <w:vAlign w:val="center"/>
          </w:tcPr>
          <w:p>
            <w:pPr>
              <w:pStyle w:val="13"/>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pPr>
              <w:pStyle w:val="13"/>
              <w:spacing w:line="360" w:lineRule="auto"/>
              <w:jc w:val="center"/>
              <w:rPr>
                <w:rFonts w:hAnsi="宋体" w:cs="宋体"/>
                <w:sz w:val="24"/>
                <w:szCs w:val="24"/>
              </w:rPr>
            </w:pPr>
            <w:r>
              <w:rPr>
                <w:rFonts w:hint="eastAsia" w:hAnsi="宋体" w:cs="宋体"/>
                <w:sz w:val="24"/>
                <w:szCs w:val="24"/>
              </w:rPr>
              <w:t>商务条款</w:t>
            </w:r>
          </w:p>
        </w:tc>
        <w:tc>
          <w:tcPr>
            <w:tcW w:w="1600" w:type="dxa"/>
            <w:vAlign w:val="center"/>
          </w:tcPr>
          <w:p>
            <w:pPr>
              <w:pStyle w:val="13"/>
              <w:spacing w:line="360" w:lineRule="auto"/>
              <w:jc w:val="center"/>
              <w:rPr>
                <w:rFonts w:hAnsi="宋体" w:cs="宋体"/>
                <w:sz w:val="24"/>
                <w:szCs w:val="24"/>
              </w:rPr>
            </w:pPr>
            <w:r>
              <w:rPr>
                <w:rFonts w:hint="eastAsia" w:hAnsi="宋体" w:cs="宋体"/>
                <w:sz w:val="24"/>
                <w:szCs w:val="24"/>
              </w:rPr>
              <w:t>商务要求</w:t>
            </w:r>
          </w:p>
          <w:p>
            <w:pPr>
              <w:pStyle w:val="13"/>
              <w:spacing w:line="360" w:lineRule="auto"/>
              <w:jc w:val="center"/>
              <w:rPr>
                <w:rFonts w:hAnsi="宋体" w:cs="宋体"/>
                <w:sz w:val="24"/>
                <w:szCs w:val="24"/>
              </w:rPr>
            </w:pPr>
            <w:r>
              <w:rPr>
                <w:rFonts w:hint="eastAsia" w:hAnsi="宋体" w:cs="宋体"/>
                <w:sz w:val="24"/>
                <w:szCs w:val="24"/>
              </w:rPr>
              <w:t>内容</w:t>
            </w:r>
          </w:p>
        </w:tc>
        <w:tc>
          <w:tcPr>
            <w:tcW w:w="1938" w:type="dxa"/>
            <w:vAlign w:val="center"/>
          </w:tcPr>
          <w:p>
            <w:pPr>
              <w:pStyle w:val="13"/>
              <w:spacing w:line="360" w:lineRule="auto"/>
              <w:jc w:val="center"/>
              <w:rPr>
                <w:rFonts w:hAnsi="宋体" w:cs="宋体"/>
                <w:sz w:val="24"/>
                <w:szCs w:val="24"/>
              </w:rPr>
            </w:pPr>
            <w:r>
              <w:rPr>
                <w:rFonts w:hint="eastAsia" w:hAnsi="宋体" w:cs="宋体"/>
                <w:sz w:val="24"/>
                <w:szCs w:val="24"/>
              </w:rPr>
              <w:t>投标文件</w:t>
            </w:r>
          </w:p>
          <w:p>
            <w:pPr>
              <w:pStyle w:val="13"/>
              <w:spacing w:line="360" w:lineRule="auto"/>
              <w:jc w:val="center"/>
              <w:rPr>
                <w:rFonts w:hAnsi="宋体" w:cs="宋体"/>
                <w:sz w:val="24"/>
                <w:szCs w:val="24"/>
              </w:rPr>
            </w:pPr>
            <w:r>
              <w:rPr>
                <w:rFonts w:hint="eastAsia" w:hAnsi="宋体" w:cs="宋体"/>
                <w:sz w:val="24"/>
                <w:szCs w:val="24"/>
              </w:rPr>
              <w:t>响应商务内容</w:t>
            </w:r>
          </w:p>
        </w:tc>
        <w:tc>
          <w:tcPr>
            <w:tcW w:w="1410" w:type="dxa"/>
            <w:vAlign w:val="center"/>
          </w:tcPr>
          <w:p>
            <w:pPr>
              <w:pStyle w:val="13"/>
              <w:spacing w:line="360" w:lineRule="auto"/>
              <w:jc w:val="center"/>
              <w:rPr>
                <w:rFonts w:hAnsi="宋体" w:cs="宋体"/>
                <w:sz w:val="24"/>
                <w:szCs w:val="24"/>
              </w:rPr>
            </w:pPr>
            <w:r>
              <w:rPr>
                <w:rFonts w:hint="eastAsia" w:hAnsi="宋体" w:cs="宋体"/>
                <w:sz w:val="24"/>
                <w:szCs w:val="24"/>
              </w:rPr>
              <w:t>偏离情况</w:t>
            </w:r>
          </w:p>
        </w:tc>
        <w:tc>
          <w:tcPr>
            <w:tcW w:w="1356" w:type="dxa"/>
            <w:vAlign w:val="center"/>
          </w:tcPr>
          <w:p>
            <w:pPr>
              <w:pStyle w:val="13"/>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933" w:type="dxa"/>
          </w:tcPr>
          <w:p>
            <w:pPr>
              <w:pStyle w:val="13"/>
              <w:spacing w:line="480" w:lineRule="auto"/>
              <w:ind w:firstLine="480" w:firstLineChars="200"/>
              <w:jc w:val="left"/>
              <w:rPr>
                <w:rFonts w:hAnsi="宋体" w:cs="宋体"/>
                <w:sz w:val="24"/>
                <w:szCs w:val="24"/>
              </w:rPr>
            </w:pPr>
          </w:p>
        </w:tc>
        <w:tc>
          <w:tcPr>
            <w:tcW w:w="1521" w:type="dxa"/>
          </w:tcPr>
          <w:p>
            <w:pPr>
              <w:pStyle w:val="13"/>
              <w:spacing w:line="480" w:lineRule="auto"/>
              <w:ind w:firstLine="480" w:firstLineChars="200"/>
              <w:jc w:val="left"/>
              <w:rPr>
                <w:rFonts w:hAnsi="宋体" w:cs="宋体"/>
                <w:sz w:val="24"/>
                <w:szCs w:val="24"/>
              </w:rPr>
            </w:pPr>
          </w:p>
        </w:tc>
        <w:tc>
          <w:tcPr>
            <w:tcW w:w="1600" w:type="dxa"/>
            <w:vAlign w:val="center"/>
          </w:tcPr>
          <w:p>
            <w:pPr>
              <w:pStyle w:val="13"/>
              <w:spacing w:line="480" w:lineRule="auto"/>
              <w:ind w:firstLine="480" w:firstLineChars="200"/>
              <w:jc w:val="left"/>
              <w:rPr>
                <w:rFonts w:hAnsi="宋体" w:cs="宋体"/>
                <w:sz w:val="24"/>
                <w:szCs w:val="24"/>
              </w:rPr>
            </w:pPr>
          </w:p>
        </w:tc>
        <w:tc>
          <w:tcPr>
            <w:tcW w:w="1938" w:type="dxa"/>
            <w:vAlign w:val="center"/>
          </w:tcPr>
          <w:p>
            <w:pPr>
              <w:pStyle w:val="13"/>
              <w:spacing w:line="480" w:lineRule="auto"/>
              <w:ind w:firstLine="480" w:firstLineChars="200"/>
              <w:jc w:val="left"/>
              <w:rPr>
                <w:rFonts w:hAnsi="宋体" w:cs="宋体"/>
                <w:sz w:val="24"/>
                <w:szCs w:val="24"/>
              </w:rPr>
            </w:pPr>
          </w:p>
        </w:tc>
        <w:tc>
          <w:tcPr>
            <w:tcW w:w="1410" w:type="dxa"/>
            <w:vAlign w:val="center"/>
          </w:tcPr>
          <w:p>
            <w:pPr>
              <w:pStyle w:val="13"/>
              <w:spacing w:line="480" w:lineRule="auto"/>
              <w:ind w:firstLine="480" w:firstLineChars="200"/>
              <w:jc w:val="left"/>
              <w:rPr>
                <w:rFonts w:hAnsi="宋体" w:cs="宋体"/>
                <w:sz w:val="24"/>
                <w:szCs w:val="24"/>
              </w:rPr>
            </w:pPr>
          </w:p>
        </w:tc>
        <w:tc>
          <w:tcPr>
            <w:tcW w:w="1356" w:type="dxa"/>
            <w:vAlign w:val="center"/>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933" w:type="dxa"/>
          </w:tcPr>
          <w:p>
            <w:pPr>
              <w:pStyle w:val="13"/>
              <w:spacing w:line="480" w:lineRule="auto"/>
              <w:ind w:firstLine="480" w:firstLineChars="200"/>
              <w:jc w:val="left"/>
              <w:rPr>
                <w:rFonts w:hAnsi="宋体" w:cs="宋体"/>
                <w:sz w:val="24"/>
                <w:szCs w:val="24"/>
              </w:rPr>
            </w:pPr>
          </w:p>
        </w:tc>
        <w:tc>
          <w:tcPr>
            <w:tcW w:w="1521" w:type="dxa"/>
          </w:tcPr>
          <w:p>
            <w:pPr>
              <w:pStyle w:val="13"/>
              <w:spacing w:line="480" w:lineRule="auto"/>
              <w:ind w:firstLine="480" w:firstLineChars="200"/>
              <w:jc w:val="left"/>
              <w:rPr>
                <w:rFonts w:hAnsi="宋体" w:cs="宋体"/>
                <w:sz w:val="24"/>
                <w:szCs w:val="24"/>
              </w:rPr>
            </w:pPr>
          </w:p>
        </w:tc>
        <w:tc>
          <w:tcPr>
            <w:tcW w:w="1600" w:type="dxa"/>
          </w:tcPr>
          <w:p>
            <w:pPr>
              <w:pStyle w:val="13"/>
              <w:spacing w:line="480" w:lineRule="auto"/>
              <w:ind w:firstLine="480" w:firstLineChars="200"/>
              <w:jc w:val="left"/>
              <w:rPr>
                <w:rFonts w:hAnsi="宋体" w:cs="宋体"/>
                <w:sz w:val="24"/>
                <w:szCs w:val="24"/>
              </w:rPr>
            </w:pPr>
          </w:p>
        </w:tc>
        <w:tc>
          <w:tcPr>
            <w:tcW w:w="1938" w:type="dxa"/>
          </w:tcPr>
          <w:p>
            <w:pPr>
              <w:pStyle w:val="13"/>
              <w:spacing w:line="480" w:lineRule="auto"/>
              <w:ind w:firstLine="480" w:firstLineChars="200"/>
              <w:jc w:val="left"/>
              <w:rPr>
                <w:rFonts w:hAnsi="宋体" w:cs="宋体"/>
                <w:sz w:val="24"/>
                <w:szCs w:val="24"/>
              </w:rPr>
            </w:pPr>
          </w:p>
        </w:tc>
        <w:tc>
          <w:tcPr>
            <w:tcW w:w="1410" w:type="dxa"/>
          </w:tcPr>
          <w:p>
            <w:pPr>
              <w:pStyle w:val="13"/>
              <w:spacing w:line="480" w:lineRule="auto"/>
              <w:ind w:firstLine="480" w:firstLineChars="200"/>
              <w:jc w:val="left"/>
              <w:rPr>
                <w:rFonts w:hAnsi="宋体" w:cs="宋体"/>
                <w:sz w:val="24"/>
                <w:szCs w:val="24"/>
              </w:rPr>
            </w:pPr>
          </w:p>
        </w:tc>
        <w:tc>
          <w:tcPr>
            <w:tcW w:w="1356"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933" w:type="dxa"/>
          </w:tcPr>
          <w:p>
            <w:pPr>
              <w:pStyle w:val="13"/>
              <w:spacing w:line="480" w:lineRule="auto"/>
              <w:ind w:firstLine="480" w:firstLineChars="200"/>
              <w:jc w:val="left"/>
              <w:rPr>
                <w:rFonts w:hAnsi="宋体" w:cs="宋体"/>
                <w:sz w:val="24"/>
                <w:szCs w:val="24"/>
              </w:rPr>
            </w:pPr>
          </w:p>
        </w:tc>
        <w:tc>
          <w:tcPr>
            <w:tcW w:w="1521" w:type="dxa"/>
          </w:tcPr>
          <w:p>
            <w:pPr>
              <w:pStyle w:val="13"/>
              <w:spacing w:line="480" w:lineRule="auto"/>
              <w:ind w:firstLine="480" w:firstLineChars="200"/>
              <w:jc w:val="left"/>
              <w:rPr>
                <w:rFonts w:hAnsi="宋体" w:cs="宋体"/>
                <w:sz w:val="24"/>
                <w:szCs w:val="24"/>
              </w:rPr>
            </w:pPr>
          </w:p>
        </w:tc>
        <w:tc>
          <w:tcPr>
            <w:tcW w:w="1600" w:type="dxa"/>
          </w:tcPr>
          <w:p>
            <w:pPr>
              <w:pStyle w:val="13"/>
              <w:spacing w:line="480" w:lineRule="auto"/>
              <w:ind w:firstLine="480" w:firstLineChars="200"/>
              <w:jc w:val="left"/>
              <w:rPr>
                <w:rFonts w:hAnsi="宋体" w:cs="宋体"/>
                <w:sz w:val="24"/>
                <w:szCs w:val="24"/>
              </w:rPr>
            </w:pPr>
          </w:p>
        </w:tc>
        <w:tc>
          <w:tcPr>
            <w:tcW w:w="1938" w:type="dxa"/>
          </w:tcPr>
          <w:p>
            <w:pPr>
              <w:pStyle w:val="13"/>
              <w:spacing w:line="480" w:lineRule="auto"/>
              <w:ind w:firstLine="480" w:firstLineChars="200"/>
              <w:jc w:val="left"/>
              <w:rPr>
                <w:rFonts w:hAnsi="宋体" w:cs="宋体"/>
                <w:sz w:val="24"/>
                <w:szCs w:val="24"/>
              </w:rPr>
            </w:pPr>
          </w:p>
        </w:tc>
        <w:tc>
          <w:tcPr>
            <w:tcW w:w="1410" w:type="dxa"/>
          </w:tcPr>
          <w:p>
            <w:pPr>
              <w:pStyle w:val="13"/>
              <w:spacing w:line="480" w:lineRule="auto"/>
              <w:ind w:firstLine="480" w:firstLineChars="200"/>
              <w:jc w:val="left"/>
              <w:rPr>
                <w:rFonts w:hAnsi="宋体" w:cs="宋体"/>
                <w:sz w:val="24"/>
                <w:szCs w:val="24"/>
              </w:rPr>
            </w:pPr>
          </w:p>
        </w:tc>
        <w:tc>
          <w:tcPr>
            <w:tcW w:w="1356"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933" w:type="dxa"/>
          </w:tcPr>
          <w:p>
            <w:pPr>
              <w:pStyle w:val="13"/>
              <w:spacing w:line="480" w:lineRule="auto"/>
              <w:ind w:firstLine="480" w:firstLineChars="200"/>
              <w:jc w:val="left"/>
              <w:rPr>
                <w:rFonts w:hAnsi="宋体" w:cs="宋体"/>
                <w:sz w:val="24"/>
                <w:szCs w:val="24"/>
              </w:rPr>
            </w:pPr>
          </w:p>
        </w:tc>
        <w:tc>
          <w:tcPr>
            <w:tcW w:w="1521" w:type="dxa"/>
          </w:tcPr>
          <w:p>
            <w:pPr>
              <w:pStyle w:val="13"/>
              <w:spacing w:line="480" w:lineRule="auto"/>
              <w:ind w:firstLine="480" w:firstLineChars="200"/>
              <w:jc w:val="left"/>
              <w:rPr>
                <w:rFonts w:hAnsi="宋体" w:cs="宋体"/>
                <w:sz w:val="24"/>
                <w:szCs w:val="24"/>
              </w:rPr>
            </w:pPr>
          </w:p>
        </w:tc>
        <w:tc>
          <w:tcPr>
            <w:tcW w:w="1600" w:type="dxa"/>
          </w:tcPr>
          <w:p>
            <w:pPr>
              <w:pStyle w:val="13"/>
              <w:spacing w:line="480" w:lineRule="auto"/>
              <w:ind w:firstLine="480" w:firstLineChars="200"/>
              <w:jc w:val="left"/>
              <w:rPr>
                <w:rFonts w:hAnsi="宋体" w:cs="宋体"/>
                <w:sz w:val="24"/>
                <w:szCs w:val="24"/>
              </w:rPr>
            </w:pPr>
          </w:p>
        </w:tc>
        <w:tc>
          <w:tcPr>
            <w:tcW w:w="1938" w:type="dxa"/>
          </w:tcPr>
          <w:p>
            <w:pPr>
              <w:pStyle w:val="13"/>
              <w:spacing w:line="480" w:lineRule="auto"/>
              <w:ind w:firstLine="480" w:firstLineChars="200"/>
              <w:jc w:val="left"/>
              <w:rPr>
                <w:rFonts w:hAnsi="宋体" w:cs="宋体"/>
                <w:sz w:val="24"/>
                <w:szCs w:val="24"/>
              </w:rPr>
            </w:pPr>
          </w:p>
        </w:tc>
        <w:tc>
          <w:tcPr>
            <w:tcW w:w="1410" w:type="dxa"/>
          </w:tcPr>
          <w:p>
            <w:pPr>
              <w:pStyle w:val="13"/>
              <w:spacing w:line="480" w:lineRule="auto"/>
              <w:ind w:firstLine="480" w:firstLineChars="200"/>
              <w:jc w:val="left"/>
              <w:rPr>
                <w:rFonts w:hAnsi="宋体" w:cs="宋体"/>
                <w:sz w:val="24"/>
                <w:szCs w:val="24"/>
              </w:rPr>
            </w:pPr>
          </w:p>
        </w:tc>
        <w:tc>
          <w:tcPr>
            <w:tcW w:w="1356"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933" w:type="dxa"/>
          </w:tcPr>
          <w:p>
            <w:pPr>
              <w:pStyle w:val="13"/>
              <w:spacing w:line="480" w:lineRule="auto"/>
              <w:ind w:firstLine="480" w:firstLineChars="200"/>
              <w:jc w:val="left"/>
              <w:rPr>
                <w:rFonts w:hAnsi="宋体" w:cs="宋体"/>
                <w:sz w:val="24"/>
                <w:szCs w:val="24"/>
              </w:rPr>
            </w:pPr>
          </w:p>
        </w:tc>
        <w:tc>
          <w:tcPr>
            <w:tcW w:w="1521" w:type="dxa"/>
          </w:tcPr>
          <w:p>
            <w:pPr>
              <w:pStyle w:val="13"/>
              <w:spacing w:line="480" w:lineRule="auto"/>
              <w:ind w:firstLine="480" w:firstLineChars="200"/>
              <w:jc w:val="left"/>
              <w:rPr>
                <w:rFonts w:hAnsi="宋体" w:cs="宋体"/>
                <w:sz w:val="24"/>
                <w:szCs w:val="24"/>
              </w:rPr>
            </w:pPr>
          </w:p>
        </w:tc>
        <w:tc>
          <w:tcPr>
            <w:tcW w:w="1600" w:type="dxa"/>
          </w:tcPr>
          <w:p>
            <w:pPr>
              <w:pStyle w:val="13"/>
              <w:spacing w:line="480" w:lineRule="auto"/>
              <w:ind w:firstLine="480" w:firstLineChars="200"/>
              <w:jc w:val="left"/>
              <w:rPr>
                <w:rFonts w:hAnsi="宋体" w:cs="宋体"/>
                <w:sz w:val="24"/>
                <w:szCs w:val="24"/>
              </w:rPr>
            </w:pPr>
          </w:p>
        </w:tc>
        <w:tc>
          <w:tcPr>
            <w:tcW w:w="1938" w:type="dxa"/>
          </w:tcPr>
          <w:p>
            <w:pPr>
              <w:pStyle w:val="13"/>
              <w:spacing w:line="480" w:lineRule="auto"/>
              <w:ind w:firstLine="480" w:firstLineChars="200"/>
              <w:jc w:val="left"/>
              <w:rPr>
                <w:rFonts w:hAnsi="宋体" w:cs="宋体"/>
                <w:sz w:val="24"/>
                <w:szCs w:val="24"/>
              </w:rPr>
            </w:pPr>
          </w:p>
        </w:tc>
        <w:tc>
          <w:tcPr>
            <w:tcW w:w="1410" w:type="dxa"/>
          </w:tcPr>
          <w:p>
            <w:pPr>
              <w:pStyle w:val="13"/>
              <w:spacing w:line="480" w:lineRule="auto"/>
              <w:ind w:firstLine="480" w:firstLineChars="200"/>
              <w:jc w:val="left"/>
              <w:rPr>
                <w:rFonts w:hAnsi="宋体" w:cs="宋体"/>
                <w:sz w:val="24"/>
                <w:szCs w:val="24"/>
              </w:rPr>
            </w:pPr>
          </w:p>
        </w:tc>
        <w:tc>
          <w:tcPr>
            <w:tcW w:w="1356"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933" w:type="dxa"/>
          </w:tcPr>
          <w:p>
            <w:pPr>
              <w:pStyle w:val="13"/>
              <w:spacing w:line="480" w:lineRule="auto"/>
              <w:ind w:firstLine="480" w:firstLineChars="200"/>
              <w:jc w:val="left"/>
              <w:rPr>
                <w:rFonts w:hAnsi="宋体" w:cs="宋体"/>
                <w:sz w:val="24"/>
                <w:szCs w:val="24"/>
              </w:rPr>
            </w:pPr>
          </w:p>
        </w:tc>
        <w:tc>
          <w:tcPr>
            <w:tcW w:w="1521" w:type="dxa"/>
          </w:tcPr>
          <w:p>
            <w:pPr>
              <w:pStyle w:val="13"/>
              <w:spacing w:line="480" w:lineRule="auto"/>
              <w:ind w:firstLine="480" w:firstLineChars="200"/>
              <w:jc w:val="left"/>
              <w:rPr>
                <w:rFonts w:hAnsi="宋体" w:cs="宋体"/>
                <w:sz w:val="24"/>
                <w:szCs w:val="24"/>
              </w:rPr>
            </w:pPr>
          </w:p>
        </w:tc>
        <w:tc>
          <w:tcPr>
            <w:tcW w:w="1600" w:type="dxa"/>
          </w:tcPr>
          <w:p>
            <w:pPr>
              <w:pStyle w:val="13"/>
              <w:spacing w:line="480" w:lineRule="auto"/>
              <w:ind w:firstLine="480" w:firstLineChars="200"/>
              <w:jc w:val="left"/>
              <w:rPr>
                <w:rFonts w:hAnsi="宋体" w:cs="宋体"/>
                <w:sz w:val="24"/>
                <w:szCs w:val="24"/>
              </w:rPr>
            </w:pPr>
          </w:p>
        </w:tc>
        <w:tc>
          <w:tcPr>
            <w:tcW w:w="1938" w:type="dxa"/>
          </w:tcPr>
          <w:p>
            <w:pPr>
              <w:pStyle w:val="13"/>
              <w:spacing w:line="480" w:lineRule="auto"/>
              <w:ind w:firstLine="480" w:firstLineChars="200"/>
              <w:jc w:val="left"/>
              <w:rPr>
                <w:rFonts w:hAnsi="宋体" w:cs="宋体"/>
                <w:sz w:val="24"/>
                <w:szCs w:val="24"/>
              </w:rPr>
            </w:pPr>
          </w:p>
        </w:tc>
        <w:tc>
          <w:tcPr>
            <w:tcW w:w="1410" w:type="dxa"/>
          </w:tcPr>
          <w:p>
            <w:pPr>
              <w:pStyle w:val="13"/>
              <w:spacing w:line="480" w:lineRule="auto"/>
              <w:ind w:firstLine="480" w:firstLineChars="200"/>
              <w:jc w:val="left"/>
              <w:rPr>
                <w:rFonts w:hAnsi="宋体" w:cs="宋体"/>
                <w:sz w:val="24"/>
                <w:szCs w:val="24"/>
              </w:rPr>
            </w:pPr>
          </w:p>
        </w:tc>
        <w:tc>
          <w:tcPr>
            <w:tcW w:w="1356"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933" w:type="dxa"/>
          </w:tcPr>
          <w:p>
            <w:pPr>
              <w:pStyle w:val="13"/>
              <w:spacing w:line="480" w:lineRule="auto"/>
              <w:ind w:firstLine="480" w:firstLineChars="200"/>
              <w:jc w:val="left"/>
              <w:rPr>
                <w:rFonts w:hAnsi="宋体" w:cs="宋体"/>
                <w:sz w:val="24"/>
                <w:szCs w:val="24"/>
              </w:rPr>
            </w:pPr>
          </w:p>
        </w:tc>
        <w:tc>
          <w:tcPr>
            <w:tcW w:w="1521" w:type="dxa"/>
          </w:tcPr>
          <w:p>
            <w:pPr>
              <w:pStyle w:val="13"/>
              <w:spacing w:line="480" w:lineRule="auto"/>
              <w:ind w:firstLine="480" w:firstLineChars="200"/>
              <w:jc w:val="left"/>
              <w:rPr>
                <w:rFonts w:hAnsi="宋体" w:cs="宋体"/>
                <w:sz w:val="24"/>
                <w:szCs w:val="24"/>
              </w:rPr>
            </w:pPr>
          </w:p>
        </w:tc>
        <w:tc>
          <w:tcPr>
            <w:tcW w:w="1600" w:type="dxa"/>
          </w:tcPr>
          <w:p>
            <w:pPr>
              <w:pStyle w:val="13"/>
              <w:spacing w:line="480" w:lineRule="auto"/>
              <w:ind w:firstLine="480" w:firstLineChars="200"/>
              <w:jc w:val="left"/>
              <w:rPr>
                <w:rFonts w:hAnsi="宋体" w:cs="宋体"/>
                <w:sz w:val="24"/>
                <w:szCs w:val="24"/>
              </w:rPr>
            </w:pPr>
          </w:p>
        </w:tc>
        <w:tc>
          <w:tcPr>
            <w:tcW w:w="1938" w:type="dxa"/>
          </w:tcPr>
          <w:p>
            <w:pPr>
              <w:pStyle w:val="13"/>
              <w:spacing w:line="480" w:lineRule="auto"/>
              <w:ind w:firstLine="480" w:firstLineChars="200"/>
              <w:jc w:val="left"/>
              <w:rPr>
                <w:rFonts w:hAnsi="宋体" w:cs="宋体"/>
                <w:sz w:val="24"/>
                <w:szCs w:val="24"/>
              </w:rPr>
            </w:pPr>
          </w:p>
        </w:tc>
        <w:tc>
          <w:tcPr>
            <w:tcW w:w="1410" w:type="dxa"/>
          </w:tcPr>
          <w:p>
            <w:pPr>
              <w:pStyle w:val="13"/>
              <w:spacing w:line="480" w:lineRule="auto"/>
              <w:ind w:firstLine="480" w:firstLineChars="200"/>
              <w:jc w:val="left"/>
              <w:rPr>
                <w:rFonts w:hAnsi="宋体" w:cs="宋体"/>
                <w:sz w:val="24"/>
                <w:szCs w:val="24"/>
              </w:rPr>
            </w:pPr>
          </w:p>
        </w:tc>
        <w:tc>
          <w:tcPr>
            <w:tcW w:w="1356"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jc w:val="center"/>
        </w:trPr>
        <w:tc>
          <w:tcPr>
            <w:tcW w:w="933" w:type="dxa"/>
          </w:tcPr>
          <w:p>
            <w:pPr>
              <w:pStyle w:val="13"/>
              <w:spacing w:line="480" w:lineRule="auto"/>
              <w:jc w:val="left"/>
              <w:rPr>
                <w:rFonts w:hAnsi="宋体" w:cs="宋体"/>
                <w:sz w:val="24"/>
                <w:szCs w:val="24"/>
              </w:rPr>
            </w:pPr>
          </w:p>
        </w:tc>
        <w:tc>
          <w:tcPr>
            <w:tcW w:w="1521" w:type="dxa"/>
          </w:tcPr>
          <w:p>
            <w:pPr>
              <w:pStyle w:val="13"/>
              <w:spacing w:line="480" w:lineRule="auto"/>
              <w:jc w:val="left"/>
              <w:rPr>
                <w:rFonts w:hAnsi="宋体" w:cs="宋体"/>
                <w:sz w:val="24"/>
                <w:szCs w:val="24"/>
              </w:rPr>
            </w:pPr>
          </w:p>
        </w:tc>
        <w:tc>
          <w:tcPr>
            <w:tcW w:w="1600" w:type="dxa"/>
          </w:tcPr>
          <w:p>
            <w:pPr>
              <w:pStyle w:val="13"/>
              <w:spacing w:line="480" w:lineRule="auto"/>
              <w:ind w:firstLine="480" w:firstLineChars="200"/>
              <w:jc w:val="left"/>
              <w:rPr>
                <w:rFonts w:hAnsi="宋体" w:cs="宋体"/>
                <w:sz w:val="24"/>
                <w:szCs w:val="24"/>
              </w:rPr>
            </w:pPr>
          </w:p>
        </w:tc>
        <w:tc>
          <w:tcPr>
            <w:tcW w:w="1938" w:type="dxa"/>
          </w:tcPr>
          <w:p>
            <w:pPr>
              <w:pStyle w:val="13"/>
              <w:spacing w:line="480" w:lineRule="auto"/>
              <w:ind w:firstLine="480" w:firstLineChars="200"/>
              <w:jc w:val="left"/>
              <w:rPr>
                <w:rFonts w:hAnsi="宋体" w:cs="宋体"/>
                <w:sz w:val="24"/>
                <w:szCs w:val="24"/>
              </w:rPr>
            </w:pPr>
          </w:p>
        </w:tc>
        <w:tc>
          <w:tcPr>
            <w:tcW w:w="1410" w:type="dxa"/>
          </w:tcPr>
          <w:p>
            <w:pPr>
              <w:pStyle w:val="13"/>
              <w:spacing w:line="480" w:lineRule="auto"/>
              <w:ind w:firstLine="480" w:firstLineChars="200"/>
              <w:jc w:val="left"/>
              <w:rPr>
                <w:rFonts w:hAnsi="宋体" w:cs="宋体"/>
                <w:sz w:val="24"/>
                <w:szCs w:val="24"/>
              </w:rPr>
            </w:pPr>
          </w:p>
        </w:tc>
        <w:tc>
          <w:tcPr>
            <w:tcW w:w="1356" w:type="dxa"/>
          </w:tcPr>
          <w:p>
            <w:pPr>
              <w:pStyle w:val="13"/>
              <w:spacing w:line="480" w:lineRule="auto"/>
              <w:ind w:firstLine="480" w:firstLineChars="200"/>
              <w:jc w:val="left"/>
              <w:rPr>
                <w:rFonts w:hAnsi="宋体" w:cs="宋体"/>
                <w:sz w:val="24"/>
                <w:szCs w:val="24"/>
              </w:rPr>
            </w:pPr>
          </w:p>
        </w:tc>
      </w:tr>
    </w:tbl>
    <w:p>
      <w:pPr>
        <w:pStyle w:val="12"/>
        <w:numPr>
          <w:ilvl w:val="0"/>
          <w:numId w:val="24"/>
        </w:numPr>
        <w:spacing w:line="360" w:lineRule="auto"/>
        <w:rPr>
          <w:rFonts w:ascii="宋体" w:hAnsi="宋体" w:cs="宋体"/>
          <w:b/>
          <w:bCs/>
          <w:sz w:val="24"/>
          <w:szCs w:val="24"/>
        </w:rPr>
      </w:pPr>
      <w:r>
        <w:rPr>
          <w:rFonts w:hint="eastAsia" w:ascii="宋体" w:hAnsi="宋体" w:cs="宋体"/>
          <w:b/>
          <w:bCs/>
          <w:sz w:val="24"/>
          <w:szCs w:val="24"/>
        </w:rPr>
        <w:t>本表须按“供应商须知前附表”中所列商务条款进行比较和响应；</w:t>
      </w:r>
    </w:p>
    <w:p>
      <w:pPr>
        <w:pStyle w:val="12"/>
        <w:numPr>
          <w:ilvl w:val="0"/>
          <w:numId w:val="24"/>
        </w:numPr>
        <w:spacing w:line="360" w:lineRule="auto"/>
        <w:rPr>
          <w:rFonts w:ascii="宋体" w:hAnsi="宋体" w:cs="宋体"/>
          <w:b/>
          <w:bCs/>
          <w:sz w:val="24"/>
          <w:szCs w:val="24"/>
        </w:rPr>
      </w:pPr>
      <w:r>
        <w:rPr>
          <w:rFonts w:hint="eastAsia" w:ascii="宋体" w:hAnsi="宋体" w:cs="宋体"/>
          <w:b/>
          <w:bCs/>
          <w:sz w:val="24"/>
          <w:szCs w:val="24"/>
        </w:rPr>
        <w:t>该表必须按照招标文件要求逐条如实填写，根据情况在“偏离情况”项填写正偏离或负偏离或无偏离，在“说明”项填写正偏离或负偏离原因。</w:t>
      </w:r>
    </w:p>
    <w:p>
      <w:pPr>
        <w:pStyle w:val="12"/>
        <w:numPr>
          <w:ilvl w:val="0"/>
          <w:numId w:val="24"/>
        </w:numPr>
        <w:spacing w:line="360" w:lineRule="auto"/>
        <w:rPr>
          <w:rFonts w:ascii="宋体" w:hAnsi="宋体" w:cs="宋体"/>
          <w:b/>
          <w:bCs/>
          <w:sz w:val="24"/>
          <w:szCs w:val="24"/>
        </w:rPr>
      </w:pPr>
      <w:r>
        <w:rPr>
          <w:rFonts w:hint="eastAsia" w:ascii="宋体" w:hAnsi="宋体" w:cs="宋体"/>
          <w:b/>
          <w:bCs/>
          <w:sz w:val="24"/>
          <w:szCs w:val="24"/>
        </w:rPr>
        <w:t>该表可扩展。</w:t>
      </w:r>
    </w:p>
    <w:p>
      <w:pPr>
        <w:pStyle w:val="12"/>
        <w:spacing w:line="360" w:lineRule="auto"/>
        <w:ind w:left="140" w:firstLine="0"/>
        <w:rPr>
          <w:rFonts w:ascii="宋体" w:hAnsi="宋体" w:cs="宋体"/>
          <w:b/>
          <w:bCs/>
          <w:sz w:val="28"/>
          <w:szCs w:val="28"/>
        </w:rPr>
      </w:pPr>
      <w:r>
        <w:rPr>
          <w:rFonts w:hint="eastAsia" w:ascii="宋体" w:hAnsi="宋体" w:cs="宋体"/>
          <w:b/>
          <w:bCs/>
          <w:sz w:val="24"/>
          <w:szCs w:val="24"/>
        </w:rPr>
        <w:t>商务条款不允许负偏离；</w:t>
      </w:r>
    </w:p>
    <w:p>
      <w:pPr>
        <w:pStyle w:val="12"/>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ascii="宋体" w:hAnsi="宋体" w:cs="宋体"/>
          <w:sz w:val="28"/>
          <w:szCs w:val="28"/>
        </w:rPr>
        <w:sectPr>
          <w:headerReference r:id="rId11" w:type="default"/>
          <w:footerReference r:id="rId12" w:type="default"/>
          <w:pgSz w:w="11906" w:h="16838"/>
          <w:pgMar w:top="1440" w:right="1803" w:bottom="1440" w:left="1803" w:header="851" w:footer="992" w:gutter="0"/>
          <w:cols w:space="720" w:num="1"/>
          <w:docGrid w:type="lines" w:linePitch="319" w:charSpace="0"/>
        </w:sect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p>
    <w:p>
      <w:pPr>
        <w:jc w:val="center"/>
        <w:rPr>
          <w:rFonts w:ascii="宋体" w:hAnsi="宋体" w:cs="宋体"/>
          <w:b/>
          <w:bCs/>
          <w:sz w:val="28"/>
          <w:szCs w:val="32"/>
        </w:rPr>
      </w:pPr>
      <w:r>
        <w:rPr>
          <w:rFonts w:hint="eastAsia" w:ascii="宋体" w:hAnsi="宋体" w:cs="宋体"/>
          <w:b/>
          <w:bCs/>
          <w:sz w:val="28"/>
          <w:szCs w:val="32"/>
        </w:rPr>
        <w:t>技术偏离表</w:t>
      </w:r>
    </w:p>
    <w:p>
      <w:pPr>
        <w:pStyle w:val="12"/>
        <w:ind w:firstLine="0"/>
        <w:rPr>
          <w:rFonts w:ascii="宋体" w:hAnsi="宋体" w:cs="宋体"/>
        </w:rPr>
      </w:pPr>
    </w:p>
    <w:p>
      <w:pPr>
        <w:rPr>
          <w:rFonts w:ascii="宋体" w:hAnsi="宋体" w:cs="宋体"/>
          <w:sz w:val="24"/>
          <w:szCs w:val="24"/>
        </w:rPr>
      </w:pPr>
    </w:p>
    <w:tbl>
      <w:tblPr>
        <w:tblStyle w:val="37"/>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933" w:type="dxa"/>
            <w:vAlign w:val="center"/>
          </w:tcPr>
          <w:p>
            <w:pPr>
              <w:pStyle w:val="13"/>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pPr>
              <w:pStyle w:val="13"/>
              <w:spacing w:line="360" w:lineRule="auto"/>
              <w:jc w:val="center"/>
              <w:rPr>
                <w:rFonts w:hAnsi="宋体" w:cs="宋体"/>
                <w:sz w:val="24"/>
                <w:szCs w:val="24"/>
              </w:rPr>
            </w:pPr>
            <w:r>
              <w:rPr>
                <w:rFonts w:hint="eastAsia" w:hAnsi="宋体" w:cs="宋体"/>
                <w:sz w:val="24"/>
              </w:rPr>
              <w:t>产品名称</w:t>
            </w:r>
          </w:p>
        </w:tc>
        <w:tc>
          <w:tcPr>
            <w:tcW w:w="1600" w:type="dxa"/>
            <w:vAlign w:val="center"/>
          </w:tcPr>
          <w:p>
            <w:pPr>
              <w:spacing w:line="500" w:lineRule="exact"/>
              <w:jc w:val="center"/>
              <w:rPr>
                <w:rFonts w:ascii="宋体" w:hAnsi="宋体" w:cs="宋体"/>
                <w:sz w:val="24"/>
              </w:rPr>
            </w:pPr>
            <w:r>
              <w:rPr>
                <w:rFonts w:hint="eastAsia" w:ascii="宋体" w:hAnsi="宋体" w:cs="宋体"/>
                <w:sz w:val="24"/>
              </w:rPr>
              <w:t>标书要求</w:t>
            </w:r>
          </w:p>
          <w:p>
            <w:pPr>
              <w:spacing w:line="500" w:lineRule="exact"/>
              <w:jc w:val="center"/>
              <w:rPr>
                <w:rFonts w:ascii="宋体" w:hAnsi="宋体" w:cs="宋体"/>
                <w:sz w:val="24"/>
                <w:szCs w:val="24"/>
              </w:rPr>
            </w:pPr>
            <w:r>
              <w:rPr>
                <w:rFonts w:hint="eastAsia" w:ascii="宋体" w:hAnsi="宋体" w:cs="宋体"/>
                <w:sz w:val="24"/>
              </w:rPr>
              <w:t>技术指标</w:t>
            </w:r>
          </w:p>
        </w:tc>
        <w:tc>
          <w:tcPr>
            <w:tcW w:w="1938" w:type="dxa"/>
            <w:vAlign w:val="center"/>
          </w:tcPr>
          <w:p>
            <w:pPr>
              <w:spacing w:line="500" w:lineRule="exact"/>
              <w:jc w:val="center"/>
              <w:rPr>
                <w:rFonts w:ascii="宋体" w:hAnsi="宋体" w:cs="宋体"/>
                <w:sz w:val="24"/>
              </w:rPr>
            </w:pPr>
            <w:r>
              <w:rPr>
                <w:rFonts w:hint="eastAsia" w:ascii="宋体" w:hAnsi="宋体" w:cs="宋体"/>
                <w:sz w:val="24"/>
              </w:rPr>
              <w:t>投标产品</w:t>
            </w:r>
          </w:p>
          <w:p>
            <w:pPr>
              <w:spacing w:line="500" w:lineRule="exact"/>
              <w:jc w:val="center"/>
              <w:rPr>
                <w:rFonts w:ascii="宋体" w:hAnsi="宋体" w:cs="宋体"/>
                <w:sz w:val="24"/>
                <w:szCs w:val="24"/>
              </w:rPr>
            </w:pPr>
            <w:r>
              <w:rPr>
                <w:rFonts w:hint="eastAsia" w:ascii="宋体" w:hAnsi="宋体" w:cs="宋体"/>
                <w:sz w:val="24"/>
              </w:rPr>
              <w:t>技术指标</w:t>
            </w:r>
          </w:p>
        </w:tc>
        <w:tc>
          <w:tcPr>
            <w:tcW w:w="1410" w:type="dxa"/>
            <w:vAlign w:val="center"/>
          </w:tcPr>
          <w:p>
            <w:pPr>
              <w:spacing w:line="500" w:lineRule="exact"/>
              <w:jc w:val="center"/>
              <w:rPr>
                <w:rFonts w:ascii="宋体" w:hAnsi="宋体" w:cs="宋体"/>
                <w:sz w:val="24"/>
                <w:szCs w:val="24"/>
              </w:rPr>
            </w:pPr>
            <w:r>
              <w:rPr>
                <w:rFonts w:hint="eastAsia" w:ascii="宋体" w:hAnsi="宋体" w:cs="宋体"/>
                <w:sz w:val="24"/>
              </w:rPr>
              <w:t>偏离情况</w:t>
            </w:r>
          </w:p>
        </w:tc>
        <w:tc>
          <w:tcPr>
            <w:tcW w:w="1356" w:type="dxa"/>
            <w:vAlign w:val="center"/>
          </w:tcPr>
          <w:p>
            <w:pPr>
              <w:pStyle w:val="13"/>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933" w:type="dxa"/>
          </w:tcPr>
          <w:p>
            <w:pPr>
              <w:pStyle w:val="13"/>
              <w:spacing w:line="480" w:lineRule="auto"/>
              <w:ind w:firstLine="480" w:firstLineChars="200"/>
              <w:jc w:val="left"/>
              <w:rPr>
                <w:rFonts w:hAnsi="宋体" w:cs="宋体"/>
                <w:sz w:val="24"/>
                <w:szCs w:val="24"/>
              </w:rPr>
            </w:pPr>
          </w:p>
        </w:tc>
        <w:tc>
          <w:tcPr>
            <w:tcW w:w="1521" w:type="dxa"/>
          </w:tcPr>
          <w:p>
            <w:pPr>
              <w:pStyle w:val="13"/>
              <w:spacing w:line="480" w:lineRule="auto"/>
              <w:ind w:firstLine="480" w:firstLineChars="200"/>
              <w:jc w:val="left"/>
              <w:rPr>
                <w:rFonts w:hAnsi="宋体" w:cs="宋体"/>
                <w:sz w:val="24"/>
                <w:szCs w:val="24"/>
              </w:rPr>
            </w:pPr>
          </w:p>
        </w:tc>
        <w:tc>
          <w:tcPr>
            <w:tcW w:w="1600" w:type="dxa"/>
            <w:vAlign w:val="center"/>
          </w:tcPr>
          <w:p>
            <w:pPr>
              <w:pStyle w:val="13"/>
              <w:spacing w:line="480" w:lineRule="auto"/>
              <w:ind w:firstLine="480" w:firstLineChars="200"/>
              <w:jc w:val="left"/>
              <w:rPr>
                <w:rFonts w:hAnsi="宋体" w:cs="宋体"/>
                <w:sz w:val="24"/>
                <w:szCs w:val="24"/>
              </w:rPr>
            </w:pPr>
          </w:p>
        </w:tc>
        <w:tc>
          <w:tcPr>
            <w:tcW w:w="1938" w:type="dxa"/>
            <w:vAlign w:val="center"/>
          </w:tcPr>
          <w:p>
            <w:pPr>
              <w:pStyle w:val="13"/>
              <w:spacing w:line="480" w:lineRule="auto"/>
              <w:ind w:firstLine="480" w:firstLineChars="200"/>
              <w:jc w:val="left"/>
              <w:rPr>
                <w:rFonts w:hAnsi="宋体" w:cs="宋体"/>
                <w:sz w:val="24"/>
                <w:szCs w:val="24"/>
              </w:rPr>
            </w:pPr>
          </w:p>
        </w:tc>
        <w:tc>
          <w:tcPr>
            <w:tcW w:w="1410" w:type="dxa"/>
            <w:vAlign w:val="center"/>
          </w:tcPr>
          <w:p>
            <w:pPr>
              <w:pStyle w:val="13"/>
              <w:spacing w:line="480" w:lineRule="auto"/>
              <w:ind w:firstLine="480" w:firstLineChars="200"/>
              <w:jc w:val="left"/>
              <w:rPr>
                <w:rFonts w:hAnsi="宋体" w:cs="宋体"/>
                <w:sz w:val="24"/>
                <w:szCs w:val="24"/>
              </w:rPr>
            </w:pPr>
          </w:p>
        </w:tc>
        <w:tc>
          <w:tcPr>
            <w:tcW w:w="1356" w:type="dxa"/>
            <w:vAlign w:val="center"/>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933" w:type="dxa"/>
          </w:tcPr>
          <w:p>
            <w:pPr>
              <w:pStyle w:val="13"/>
              <w:spacing w:line="480" w:lineRule="auto"/>
              <w:ind w:firstLine="480" w:firstLineChars="200"/>
              <w:jc w:val="left"/>
              <w:rPr>
                <w:rFonts w:hAnsi="宋体" w:cs="宋体"/>
                <w:sz w:val="24"/>
                <w:szCs w:val="24"/>
              </w:rPr>
            </w:pPr>
          </w:p>
        </w:tc>
        <w:tc>
          <w:tcPr>
            <w:tcW w:w="1521" w:type="dxa"/>
          </w:tcPr>
          <w:p>
            <w:pPr>
              <w:pStyle w:val="13"/>
              <w:spacing w:line="480" w:lineRule="auto"/>
              <w:ind w:firstLine="480" w:firstLineChars="200"/>
              <w:jc w:val="left"/>
              <w:rPr>
                <w:rFonts w:hAnsi="宋体" w:cs="宋体"/>
                <w:sz w:val="24"/>
                <w:szCs w:val="24"/>
              </w:rPr>
            </w:pPr>
          </w:p>
        </w:tc>
        <w:tc>
          <w:tcPr>
            <w:tcW w:w="1600" w:type="dxa"/>
          </w:tcPr>
          <w:p>
            <w:pPr>
              <w:pStyle w:val="13"/>
              <w:spacing w:line="480" w:lineRule="auto"/>
              <w:ind w:firstLine="480" w:firstLineChars="200"/>
              <w:jc w:val="left"/>
              <w:rPr>
                <w:rFonts w:hAnsi="宋体" w:cs="宋体"/>
                <w:sz w:val="24"/>
                <w:szCs w:val="24"/>
              </w:rPr>
            </w:pPr>
          </w:p>
        </w:tc>
        <w:tc>
          <w:tcPr>
            <w:tcW w:w="1938" w:type="dxa"/>
          </w:tcPr>
          <w:p>
            <w:pPr>
              <w:pStyle w:val="13"/>
              <w:spacing w:line="480" w:lineRule="auto"/>
              <w:ind w:firstLine="480" w:firstLineChars="200"/>
              <w:jc w:val="left"/>
              <w:rPr>
                <w:rFonts w:hAnsi="宋体" w:cs="宋体"/>
                <w:sz w:val="24"/>
                <w:szCs w:val="24"/>
              </w:rPr>
            </w:pPr>
          </w:p>
        </w:tc>
        <w:tc>
          <w:tcPr>
            <w:tcW w:w="1410" w:type="dxa"/>
          </w:tcPr>
          <w:p>
            <w:pPr>
              <w:pStyle w:val="13"/>
              <w:spacing w:line="480" w:lineRule="auto"/>
              <w:ind w:firstLine="480" w:firstLineChars="200"/>
              <w:jc w:val="left"/>
              <w:rPr>
                <w:rFonts w:hAnsi="宋体" w:cs="宋体"/>
                <w:sz w:val="24"/>
                <w:szCs w:val="24"/>
              </w:rPr>
            </w:pPr>
          </w:p>
        </w:tc>
        <w:tc>
          <w:tcPr>
            <w:tcW w:w="1356"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933" w:type="dxa"/>
          </w:tcPr>
          <w:p>
            <w:pPr>
              <w:pStyle w:val="13"/>
              <w:spacing w:line="480" w:lineRule="auto"/>
              <w:ind w:firstLine="480" w:firstLineChars="200"/>
              <w:jc w:val="left"/>
              <w:rPr>
                <w:rFonts w:hAnsi="宋体" w:cs="宋体"/>
                <w:sz w:val="24"/>
                <w:szCs w:val="24"/>
              </w:rPr>
            </w:pPr>
          </w:p>
        </w:tc>
        <w:tc>
          <w:tcPr>
            <w:tcW w:w="1521" w:type="dxa"/>
          </w:tcPr>
          <w:p>
            <w:pPr>
              <w:pStyle w:val="13"/>
              <w:spacing w:line="480" w:lineRule="auto"/>
              <w:ind w:firstLine="480" w:firstLineChars="200"/>
              <w:jc w:val="left"/>
              <w:rPr>
                <w:rFonts w:hAnsi="宋体" w:cs="宋体"/>
                <w:sz w:val="24"/>
                <w:szCs w:val="24"/>
              </w:rPr>
            </w:pPr>
          </w:p>
        </w:tc>
        <w:tc>
          <w:tcPr>
            <w:tcW w:w="1600" w:type="dxa"/>
          </w:tcPr>
          <w:p>
            <w:pPr>
              <w:pStyle w:val="13"/>
              <w:spacing w:line="480" w:lineRule="auto"/>
              <w:ind w:firstLine="480" w:firstLineChars="200"/>
              <w:jc w:val="left"/>
              <w:rPr>
                <w:rFonts w:hAnsi="宋体" w:cs="宋体"/>
                <w:sz w:val="24"/>
                <w:szCs w:val="24"/>
              </w:rPr>
            </w:pPr>
          </w:p>
        </w:tc>
        <w:tc>
          <w:tcPr>
            <w:tcW w:w="1938" w:type="dxa"/>
          </w:tcPr>
          <w:p>
            <w:pPr>
              <w:pStyle w:val="13"/>
              <w:spacing w:line="480" w:lineRule="auto"/>
              <w:ind w:firstLine="480" w:firstLineChars="200"/>
              <w:jc w:val="left"/>
              <w:rPr>
                <w:rFonts w:hAnsi="宋体" w:cs="宋体"/>
                <w:sz w:val="24"/>
                <w:szCs w:val="24"/>
              </w:rPr>
            </w:pPr>
          </w:p>
        </w:tc>
        <w:tc>
          <w:tcPr>
            <w:tcW w:w="1410" w:type="dxa"/>
          </w:tcPr>
          <w:p>
            <w:pPr>
              <w:pStyle w:val="13"/>
              <w:spacing w:line="480" w:lineRule="auto"/>
              <w:ind w:firstLine="480" w:firstLineChars="200"/>
              <w:jc w:val="left"/>
              <w:rPr>
                <w:rFonts w:hAnsi="宋体" w:cs="宋体"/>
                <w:sz w:val="24"/>
                <w:szCs w:val="24"/>
              </w:rPr>
            </w:pPr>
          </w:p>
        </w:tc>
        <w:tc>
          <w:tcPr>
            <w:tcW w:w="1356"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933" w:type="dxa"/>
          </w:tcPr>
          <w:p>
            <w:pPr>
              <w:pStyle w:val="13"/>
              <w:spacing w:line="480" w:lineRule="auto"/>
              <w:ind w:firstLine="480" w:firstLineChars="200"/>
              <w:jc w:val="left"/>
              <w:rPr>
                <w:rFonts w:hAnsi="宋体" w:cs="宋体"/>
                <w:sz w:val="24"/>
                <w:szCs w:val="24"/>
              </w:rPr>
            </w:pPr>
          </w:p>
        </w:tc>
        <w:tc>
          <w:tcPr>
            <w:tcW w:w="1521" w:type="dxa"/>
          </w:tcPr>
          <w:p>
            <w:pPr>
              <w:pStyle w:val="13"/>
              <w:spacing w:line="480" w:lineRule="auto"/>
              <w:ind w:firstLine="480" w:firstLineChars="200"/>
              <w:jc w:val="left"/>
              <w:rPr>
                <w:rFonts w:hAnsi="宋体" w:cs="宋体"/>
                <w:sz w:val="24"/>
                <w:szCs w:val="24"/>
              </w:rPr>
            </w:pPr>
          </w:p>
        </w:tc>
        <w:tc>
          <w:tcPr>
            <w:tcW w:w="1600" w:type="dxa"/>
          </w:tcPr>
          <w:p>
            <w:pPr>
              <w:pStyle w:val="13"/>
              <w:spacing w:line="480" w:lineRule="auto"/>
              <w:ind w:firstLine="480" w:firstLineChars="200"/>
              <w:jc w:val="left"/>
              <w:rPr>
                <w:rFonts w:hAnsi="宋体" w:cs="宋体"/>
                <w:sz w:val="24"/>
                <w:szCs w:val="24"/>
              </w:rPr>
            </w:pPr>
          </w:p>
        </w:tc>
        <w:tc>
          <w:tcPr>
            <w:tcW w:w="1938" w:type="dxa"/>
          </w:tcPr>
          <w:p>
            <w:pPr>
              <w:pStyle w:val="13"/>
              <w:spacing w:line="480" w:lineRule="auto"/>
              <w:ind w:firstLine="480" w:firstLineChars="200"/>
              <w:jc w:val="left"/>
              <w:rPr>
                <w:rFonts w:hAnsi="宋体" w:cs="宋体"/>
                <w:sz w:val="24"/>
                <w:szCs w:val="24"/>
              </w:rPr>
            </w:pPr>
          </w:p>
        </w:tc>
        <w:tc>
          <w:tcPr>
            <w:tcW w:w="1410" w:type="dxa"/>
          </w:tcPr>
          <w:p>
            <w:pPr>
              <w:pStyle w:val="13"/>
              <w:spacing w:line="480" w:lineRule="auto"/>
              <w:ind w:firstLine="480" w:firstLineChars="200"/>
              <w:jc w:val="left"/>
              <w:rPr>
                <w:rFonts w:hAnsi="宋体" w:cs="宋体"/>
                <w:sz w:val="24"/>
                <w:szCs w:val="24"/>
              </w:rPr>
            </w:pPr>
          </w:p>
        </w:tc>
        <w:tc>
          <w:tcPr>
            <w:tcW w:w="1356"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933" w:type="dxa"/>
          </w:tcPr>
          <w:p>
            <w:pPr>
              <w:pStyle w:val="13"/>
              <w:spacing w:line="480" w:lineRule="auto"/>
              <w:ind w:firstLine="480" w:firstLineChars="200"/>
              <w:jc w:val="left"/>
              <w:rPr>
                <w:rFonts w:hAnsi="宋体" w:cs="宋体"/>
                <w:sz w:val="24"/>
                <w:szCs w:val="24"/>
              </w:rPr>
            </w:pPr>
          </w:p>
        </w:tc>
        <w:tc>
          <w:tcPr>
            <w:tcW w:w="1521" w:type="dxa"/>
          </w:tcPr>
          <w:p>
            <w:pPr>
              <w:pStyle w:val="13"/>
              <w:spacing w:line="480" w:lineRule="auto"/>
              <w:ind w:firstLine="480" w:firstLineChars="200"/>
              <w:jc w:val="left"/>
              <w:rPr>
                <w:rFonts w:hAnsi="宋体" w:cs="宋体"/>
                <w:sz w:val="24"/>
                <w:szCs w:val="24"/>
              </w:rPr>
            </w:pPr>
          </w:p>
        </w:tc>
        <w:tc>
          <w:tcPr>
            <w:tcW w:w="1600" w:type="dxa"/>
          </w:tcPr>
          <w:p>
            <w:pPr>
              <w:pStyle w:val="13"/>
              <w:spacing w:line="480" w:lineRule="auto"/>
              <w:ind w:firstLine="480" w:firstLineChars="200"/>
              <w:jc w:val="left"/>
              <w:rPr>
                <w:rFonts w:hAnsi="宋体" w:cs="宋体"/>
                <w:sz w:val="24"/>
                <w:szCs w:val="24"/>
              </w:rPr>
            </w:pPr>
          </w:p>
        </w:tc>
        <w:tc>
          <w:tcPr>
            <w:tcW w:w="1938" w:type="dxa"/>
          </w:tcPr>
          <w:p>
            <w:pPr>
              <w:pStyle w:val="13"/>
              <w:spacing w:line="480" w:lineRule="auto"/>
              <w:ind w:firstLine="480" w:firstLineChars="200"/>
              <w:jc w:val="left"/>
              <w:rPr>
                <w:rFonts w:hAnsi="宋体" w:cs="宋体"/>
                <w:sz w:val="24"/>
                <w:szCs w:val="24"/>
              </w:rPr>
            </w:pPr>
          </w:p>
        </w:tc>
        <w:tc>
          <w:tcPr>
            <w:tcW w:w="1410" w:type="dxa"/>
          </w:tcPr>
          <w:p>
            <w:pPr>
              <w:pStyle w:val="13"/>
              <w:spacing w:line="480" w:lineRule="auto"/>
              <w:ind w:firstLine="480" w:firstLineChars="200"/>
              <w:jc w:val="left"/>
              <w:rPr>
                <w:rFonts w:hAnsi="宋体" w:cs="宋体"/>
                <w:sz w:val="24"/>
                <w:szCs w:val="24"/>
              </w:rPr>
            </w:pPr>
          </w:p>
        </w:tc>
        <w:tc>
          <w:tcPr>
            <w:tcW w:w="1356"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933" w:type="dxa"/>
          </w:tcPr>
          <w:p>
            <w:pPr>
              <w:pStyle w:val="13"/>
              <w:spacing w:line="480" w:lineRule="auto"/>
              <w:ind w:firstLine="480" w:firstLineChars="200"/>
              <w:jc w:val="left"/>
              <w:rPr>
                <w:rFonts w:hAnsi="宋体" w:cs="宋体"/>
                <w:sz w:val="24"/>
                <w:szCs w:val="24"/>
              </w:rPr>
            </w:pPr>
          </w:p>
        </w:tc>
        <w:tc>
          <w:tcPr>
            <w:tcW w:w="1521" w:type="dxa"/>
          </w:tcPr>
          <w:p>
            <w:pPr>
              <w:pStyle w:val="13"/>
              <w:spacing w:line="480" w:lineRule="auto"/>
              <w:ind w:firstLine="480" w:firstLineChars="200"/>
              <w:jc w:val="left"/>
              <w:rPr>
                <w:rFonts w:hAnsi="宋体" w:cs="宋体"/>
                <w:sz w:val="24"/>
                <w:szCs w:val="24"/>
              </w:rPr>
            </w:pPr>
          </w:p>
        </w:tc>
        <w:tc>
          <w:tcPr>
            <w:tcW w:w="1600" w:type="dxa"/>
          </w:tcPr>
          <w:p>
            <w:pPr>
              <w:pStyle w:val="13"/>
              <w:spacing w:line="480" w:lineRule="auto"/>
              <w:ind w:firstLine="480" w:firstLineChars="200"/>
              <w:jc w:val="left"/>
              <w:rPr>
                <w:rFonts w:hAnsi="宋体" w:cs="宋体"/>
                <w:sz w:val="24"/>
                <w:szCs w:val="24"/>
              </w:rPr>
            </w:pPr>
          </w:p>
        </w:tc>
        <w:tc>
          <w:tcPr>
            <w:tcW w:w="1938" w:type="dxa"/>
          </w:tcPr>
          <w:p>
            <w:pPr>
              <w:pStyle w:val="13"/>
              <w:spacing w:line="480" w:lineRule="auto"/>
              <w:ind w:firstLine="480" w:firstLineChars="200"/>
              <w:jc w:val="left"/>
              <w:rPr>
                <w:rFonts w:hAnsi="宋体" w:cs="宋体"/>
                <w:sz w:val="24"/>
                <w:szCs w:val="24"/>
              </w:rPr>
            </w:pPr>
          </w:p>
        </w:tc>
        <w:tc>
          <w:tcPr>
            <w:tcW w:w="1410" w:type="dxa"/>
          </w:tcPr>
          <w:p>
            <w:pPr>
              <w:pStyle w:val="13"/>
              <w:spacing w:line="480" w:lineRule="auto"/>
              <w:ind w:firstLine="480" w:firstLineChars="200"/>
              <w:jc w:val="left"/>
              <w:rPr>
                <w:rFonts w:hAnsi="宋体" w:cs="宋体"/>
                <w:sz w:val="24"/>
                <w:szCs w:val="24"/>
              </w:rPr>
            </w:pPr>
          </w:p>
        </w:tc>
        <w:tc>
          <w:tcPr>
            <w:tcW w:w="1356"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933" w:type="dxa"/>
          </w:tcPr>
          <w:p>
            <w:pPr>
              <w:pStyle w:val="13"/>
              <w:spacing w:line="480" w:lineRule="auto"/>
              <w:ind w:firstLine="480" w:firstLineChars="200"/>
              <w:jc w:val="left"/>
              <w:rPr>
                <w:rFonts w:hAnsi="宋体" w:cs="宋体"/>
                <w:sz w:val="24"/>
                <w:szCs w:val="24"/>
              </w:rPr>
            </w:pPr>
          </w:p>
        </w:tc>
        <w:tc>
          <w:tcPr>
            <w:tcW w:w="1521" w:type="dxa"/>
          </w:tcPr>
          <w:p>
            <w:pPr>
              <w:pStyle w:val="13"/>
              <w:spacing w:line="480" w:lineRule="auto"/>
              <w:ind w:firstLine="480" w:firstLineChars="200"/>
              <w:jc w:val="left"/>
              <w:rPr>
                <w:rFonts w:hAnsi="宋体" w:cs="宋体"/>
                <w:sz w:val="24"/>
                <w:szCs w:val="24"/>
              </w:rPr>
            </w:pPr>
          </w:p>
        </w:tc>
        <w:tc>
          <w:tcPr>
            <w:tcW w:w="1600" w:type="dxa"/>
          </w:tcPr>
          <w:p>
            <w:pPr>
              <w:pStyle w:val="13"/>
              <w:spacing w:line="480" w:lineRule="auto"/>
              <w:ind w:firstLine="480" w:firstLineChars="200"/>
              <w:jc w:val="left"/>
              <w:rPr>
                <w:rFonts w:hAnsi="宋体" w:cs="宋体"/>
                <w:sz w:val="24"/>
                <w:szCs w:val="24"/>
              </w:rPr>
            </w:pPr>
          </w:p>
        </w:tc>
        <w:tc>
          <w:tcPr>
            <w:tcW w:w="1938" w:type="dxa"/>
          </w:tcPr>
          <w:p>
            <w:pPr>
              <w:pStyle w:val="13"/>
              <w:spacing w:line="480" w:lineRule="auto"/>
              <w:ind w:firstLine="480" w:firstLineChars="200"/>
              <w:jc w:val="left"/>
              <w:rPr>
                <w:rFonts w:hAnsi="宋体" w:cs="宋体"/>
                <w:sz w:val="24"/>
                <w:szCs w:val="24"/>
              </w:rPr>
            </w:pPr>
          </w:p>
        </w:tc>
        <w:tc>
          <w:tcPr>
            <w:tcW w:w="1410" w:type="dxa"/>
          </w:tcPr>
          <w:p>
            <w:pPr>
              <w:pStyle w:val="13"/>
              <w:spacing w:line="480" w:lineRule="auto"/>
              <w:ind w:firstLine="480" w:firstLineChars="200"/>
              <w:jc w:val="left"/>
              <w:rPr>
                <w:rFonts w:hAnsi="宋体" w:cs="宋体"/>
                <w:sz w:val="24"/>
                <w:szCs w:val="24"/>
              </w:rPr>
            </w:pPr>
          </w:p>
        </w:tc>
        <w:tc>
          <w:tcPr>
            <w:tcW w:w="1356"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jc w:val="center"/>
        </w:trPr>
        <w:tc>
          <w:tcPr>
            <w:tcW w:w="933" w:type="dxa"/>
          </w:tcPr>
          <w:p>
            <w:pPr>
              <w:pStyle w:val="13"/>
              <w:spacing w:line="480" w:lineRule="auto"/>
              <w:jc w:val="left"/>
              <w:rPr>
                <w:rFonts w:hAnsi="宋体" w:cs="宋体"/>
                <w:sz w:val="24"/>
                <w:szCs w:val="24"/>
              </w:rPr>
            </w:pPr>
          </w:p>
        </w:tc>
        <w:tc>
          <w:tcPr>
            <w:tcW w:w="1521" w:type="dxa"/>
          </w:tcPr>
          <w:p>
            <w:pPr>
              <w:pStyle w:val="13"/>
              <w:spacing w:line="480" w:lineRule="auto"/>
              <w:jc w:val="left"/>
              <w:rPr>
                <w:rFonts w:hAnsi="宋体" w:cs="宋体"/>
                <w:sz w:val="24"/>
                <w:szCs w:val="24"/>
              </w:rPr>
            </w:pPr>
          </w:p>
        </w:tc>
        <w:tc>
          <w:tcPr>
            <w:tcW w:w="1600" w:type="dxa"/>
          </w:tcPr>
          <w:p>
            <w:pPr>
              <w:pStyle w:val="13"/>
              <w:spacing w:line="480" w:lineRule="auto"/>
              <w:ind w:firstLine="480" w:firstLineChars="200"/>
              <w:jc w:val="left"/>
              <w:rPr>
                <w:rFonts w:hAnsi="宋体" w:cs="宋体"/>
                <w:sz w:val="24"/>
                <w:szCs w:val="24"/>
              </w:rPr>
            </w:pPr>
          </w:p>
        </w:tc>
        <w:tc>
          <w:tcPr>
            <w:tcW w:w="1938" w:type="dxa"/>
          </w:tcPr>
          <w:p>
            <w:pPr>
              <w:pStyle w:val="13"/>
              <w:spacing w:line="480" w:lineRule="auto"/>
              <w:ind w:firstLine="480" w:firstLineChars="200"/>
              <w:jc w:val="left"/>
              <w:rPr>
                <w:rFonts w:hAnsi="宋体" w:cs="宋体"/>
                <w:sz w:val="24"/>
                <w:szCs w:val="24"/>
              </w:rPr>
            </w:pPr>
          </w:p>
        </w:tc>
        <w:tc>
          <w:tcPr>
            <w:tcW w:w="1410" w:type="dxa"/>
          </w:tcPr>
          <w:p>
            <w:pPr>
              <w:pStyle w:val="13"/>
              <w:spacing w:line="480" w:lineRule="auto"/>
              <w:ind w:firstLine="480" w:firstLineChars="200"/>
              <w:jc w:val="left"/>
              <w:rPr>
                <w:rFonts w:hAnsi="宋体" w:cs="宋体"/>
                <w:sz w:val="24"/>
                <w:szCs w:val="24"/>
              </w:rPr>
            </w:pPr>
          </w:p>
        </w:tc>
        <w:tc>
          <w:tcPr>
            <w:tcW w:w="1356" w:type="dxa"/>
          </w:tcPr>
          <w:p>
            <w:pPr>
              <w:pStyle w:val="13"/>
              <w:spacing w:line="480" w:lineRule="auto"/>
              <w:ind w:firstLine="480" w:firstLineChars="200"/>
              <w:jc w:val="left"/>
              <w:rPr>
                <w:rFonts w:hAnsi="宋体" w:cs="宋体"/>
                <w:sz w:val="24"/>
                <w:szCs w:val="24"/>
              </w:rPr>
            </w:pPr>
          </w:p>
        </w:tc>
      </w:tr>
    </w:tbl>
    <w:p>
      <w:pPr>
        <w:pStyle w:val="12"/>
        <w:spacing w:line="360" w:lineRule="auto"/>
        <w:ind w:left="140" w:firstLine="0"/>
        <w:rPr>
          <w:rFonts w:ascii="宋体" w:hAnsi="宋体" w:cs="宋体"/>
          <w:b/>
          <w:bCs/>
          <w:sz w:val="24"/>
          <w:szCs w:val="24"/>
        </w:rPr>
      </w:pPr>
      <w:r>
        <w:rPr>
          <w:rFonts w:hint="eastAsia" w:ascii="宋体" w:hAnsi="宋体" w:cs="宋体"/>
          <w:b/>
          <w:bCs/>
          <w:sz w:val="24"/>
          <w:szCs w:val="24"/>
        </w:rPr>
        <w:t>1、本表须按“第五部分采购要求”中所列技术要求进行比较和响应；</w:t>
      </w:r>
    </w:p>
    <w:p>
      <w:pPr>
        <w:pStyle w:val="12"/>
        <w:spacing w:line="360" w:lineRule="auto"/>
        <w:ind w:left="140" w:firstLine="0"/>
        <w:rPr>
          <w:rFonts w:ascii="宋体" w:hAnsi="宋体" w:cs="宋体"/>
          <w:sz w:val="24"/>
          <w:szCs w:val="24"/>
        </w:rPr>
      </w:pPr>
      <w:r>
        <w:rPr>
          <w:rFonts w:hint="eastAsia" w:ascii="宋体" w:hAnsi="宋体" w:cs="宋体"/>
          <w:b/>
          <w:bCs/>
          <w:sz w:val="24"/>
          <w:szCs w:val="24"/>
        </w:rPr>
        <w:t>2、该表必须按照招标文件要求逐条如实填写，根据情况在“偏离情况”项填写正偏离或负偏离或无偏离，在“说明”项填写正偏离或负偏离原因。</w:t>
      </w:r>
    </w:p>
    <w:p>
      <w:pPr>
        <w:pStyle w:val="12"/>
        <w:spacing w:line="360" w:lineRule="auto"/>
        <w:ind w:left="140" w:firstLine="0"/>
        <w:rPr>
          <w:rFonts w:ascii="宋体" w:hAnsi="宋体" w:cs="宋体"/>
          <w:sz w:val="24"/>
          <w:szCs w:val="24"/>
        </w:rPr>
      </w:pPr>
      <w:r>
        <w:rPr>
          <w:rFonts w:hint="eastAsia" w:ascii="宋体" w:hAnsi="宋体" w:cs="宋体"/>
          <w:b/>
          <w:bCs/>
          <w:sz w:val="24"/>
          <w:szCs w:val="24"/>
        </w:rPr>
        <w:t>3、该表可扩展。</w:t>
      </w:r>
    </w:p>
    <w:p>
      <w:pPr>
        <w:pStyle w:val="12"/>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ascii="宋体" w:hAnsi="宋体" w:cs="宋体"/>
          <w:sz w:val="28"/>
          <w:szCs w:val="28"/>
        </w:rPr>
        <w:sectPr>
          <w:pgSz w:w="11906" w:h="16838"/>
          <w:pgMar w:top="1440" w:right="1803" w:bottom="1440" w:left="1803" w:header="851" w:footer="992" w:gutter="0"/>
          <w:cols w:space="720" w:num="1"/>
          <w:docGrid w:type="lines" w:linePitch="319" w:charSpace="0"/>
        </w:sect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p>
    <w:bookmarkEnd w:id="81"/>
    <w:bookmarkEnd w:id="82"/>
    <w:p>
      <w:pPr>
        <w:rPr>
          <w:rFonts w:ascii="宋体" w:hAnsi="宋体" w:cs="宋体"/>
        </w:rPr>
      </w:pPr>
      <w:bookmarkStart w:id="84" w:name="OLE_LINK1"/>
      <w:bookmarkStart w:id="85" w:name="_Toc31390"/>
    </w:p>
    <w:bookmarkEnd w:id="84"/>
    <w:p>
      <w:pPr>
        <w:pStyle w:val="4"/>
        <w:jc w:val="center"/>
        <w:rPr>
          <w:rFonts w:ascii="宋体" w:hAnsi="宋体" w:cs="宋体"/>
          <w:sz w:val="36"/>
          <w:szCs w:val="36"/>
        </w:rPr>
      </w:pPr>
      <w:bookmarkStart w:id="86" w:name="_Toc6356"/>
      <w:bookmarkStart w:id="87" w:name="_Toc32198"/>
      <w:bookmarkStart w:id="88" w:name="_Toc8621"/>
      <w:r>
        <w:rPr>
          <w:rFonts w:hint="eastAsia" w:ascii="宋体" w:hAnsi="宋体" w:cs="宋体"/>
          <w:sz w:val="36"/>
          <w:szCs w:val="36"/>
        </w:rPr>
        <w:t>第四部分  供应商资格要求</w:t>
      </w:r>
      <w:bookmarkEnd w:id="86"/>
      <w:bookmarkEnd w:id="87"/>
      <w:bookmarkEnd w:id="88"/>
    </w:p>
    <w:p>
      <w:pPr>
        <w:rPr>
          <w:rFonts w:ascii="宋体" w:hAnsi="宋体" w:cs="宋体"/>
        </w:rPr>
      </w:pPr>
    </w:p>
    <w:p>
      <w:pPr>
        <w:snapToGrid w:val="0"/>
        <w:spacing w:line="360" w:lineRule="auto"/>
        <w:ind w:right="-199" w:rightChars="-95"/>
        <w:jc w:val="left"/>
        <w:rPr>
          <w:rFonts w:ascii="宋体" w:hAnsi="宋体" w:cs="宋体"/>
          <w:kern w:val="0"/>
          <w:sz w:val="24"/>
          <w:szCs w:val="24"/>
        </w:rPr>
      </w:pPr>
      <w:r>
        <w:rPr>
          <w:rFonts w:hint="eastAsia" w:ascii="宋体" w:hAnsi="宋体" w:cs="宋体"/>
          <w:kern w:val="0"/>
          <w:sz w:val="24"/>
          <w:szCs w:val="24"/>
        </w:rPr>
        <w:t>供应商根据招标文件公告资质要求内容附资质证明文件。</w:t>
      </w:r>
    </w:p>
    <w:p>
      <w:pPr>
        <w:pStyle w:val="10"/>
        <w:rPr>
          <w:rFonts w:ascii="宋体" w:hAnsi="宋体" w:cs="宋体"/>
        </w:rPr>
        <w:sectPr>
          <w:headerReference r:id="rId13" w:type="default"/>
          <w:pgSz w:w="11906" w:h="16838"/>
          <w:pgMar w:top="1440" w:right="1803" w:bottom="1440" w:left="1803" w:header="851" w:footer="992" w:gutter="0"/>
          <w:cols w:space="720" w:num="1"/>
          <w:docGrid w:type="lines" w:linePitch="319" w:charSpace="0"/>
        </w:sectPr>
      </w:pPr>
      <w:r>
        <w:rPr>
          <w:rFonts w:hint="eastAsia" w:ascii="宋体" w:hAnsi="宋体" w:cs="宋体"/>
        </w:rPr>
        <w:t xml:space="preserve">                       </w:t>
      </w:r>
    </w:p>
    <w:p>
      <w:pPr>
        <w:rPr>
          <w:rFonts w:ascii="宋体" w:hAnsi="宋体" w:cs="宋体"/>
          <w:sz w:val="24"/>
          <w:szCs w:val="24"/>
        </w:rPr>
      </w:pPr>
      <w:r>
        <w:rPr>
          <w:rFonts w:hint="eastAsia" w:ascii="宋体" w:hAnsi="宋体" w:cs="宋体"/>
          <w:sz w:val="24"/>
          <w:szCs w:val="24"/>
        </w:rPr>
        <w:t>（一）基本资格条件</w:t>
      </w:r>
    </w:p>
    <w:p>
      <w:pPr>
        <w:rPr>
          <w:rFonts w:ascii="宋体" w:hAnsi="宋体" w:cs="宋体"/>
          <w:sz w:val="24"/>
          <w:szCs w:val="24"/>
        </w:rPr>
      </w:pPr>
    </w:p>
    <w:p>
      <w:pPr>
        <w:pStyle w:val="10"/>
        <w:rPr>
          <w:rFonts w:ascii="宋体" w:hAnsi="宋体" w:cs="宋体"/>
          <w:color w:val="auto"/>
          <w:sz w:val="32"/>
          <w:szCs w:val="32"/>
        </w:rPr>
      </w:pPr>
      <w:r>
        <w:rPr>
          <w:rFonts w:hint="eastAsia" w:ascii="宋体" w:hAnsi="宋体" w:cs="宋体"/>
          <w:color w:val="auto"/>
          <w:sz w:val="32"/>
          <w:szCs w:val="32"/>
        </w:rPr>
        <w:t>满足《中华人民共和国政府采购法》第二十二条规定的</w:t>
      </w:r>
    </w:p>
    <w:p>
      <w:pPr>
        <w:pStyle w:val="10"/>
        <w:jc w:val="center"/>
        <w:rPr>
          <w:rFonts w:ascii="宋体" w:hAnsi="宋体" w:cs="宋体"/>
          <w:color w:val="auto"/>
          <w:sz w:val="32"/>
          <w:szCs w:val="32"/>
        </w:rPr>
      </w:pPr>
      <w:r>
        <w:rPr>
          <w:rFonts w:hint="eastAsia" w:ascii="宋体" w:hAnsi="宋体" w:cs="宋体"/>
          <w:color w:val="auto"/>
          <w:sz w:val="32"/>
          <w:szCs w:val="32"/>
        </w:rPr>
        <w:t>资格承诺（格式）</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我单位参与陕西卓佲项目管理有限公司组织________________________(项目名称)公开招标，我公司符合《中华人民共和国政府采购法》规定的供应商资格条件：</w:t>
      </w:r>
    </w:p>
    <w:p>
      <w:pPr>
        <w:numPr>
          <w:ilvl w:val="0"/>
          <w:numId w:val="25"/>
        </w:numPr>
        <w:spacing w:line="500" w:lineRule="exact"/>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25"/>
        </w:numPr>
        <w:spacing w:line="500" w:lineRule="exact"/>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25"/>
        </w:numPr>
        <w:spacing w:line="500" w:lineRule="exact"/>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25"/>
        </w:numPr>
        <w:spacing w:line="500" w:lineRule="exact"/>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25"/>
        </w:numPr>
        <w:spacing w:line="500" w:lineRule="exact"/>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25"/>
        </w:numPr>
        <w:spacing w:line="500" w:lineRule="exact"/>
        <w:jc w:val="left"/>
        <w:rPr>
          <w:rFonts w:ascii="宋体" w:hAnsi="宋体" w:cs="宋体"/>
          <w:sz w:val="24"/>
          <w:szCs w:val="24"/>
        </w:rPr>
      </w:pPr>
      <w:r>
        <w:rPr>
          <w:rFonts w:hint="eastAsia" w:ascii="宋体" w:hAnsi="宋体" w:cs="宋体"/>
          <w:sz w:val="24"/>
          <w:szCs w:val="24"/>
        </w:rPr>
        <w:t>法律、行政法规规定的其他条件。</w:t>
      </w:r>
    </w:p>
    <w:p>
      <w:pPr>
        <w:pStyle w:val="10"/>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我方对此声明负全部法律责任。</w:t>
      </w:r>
    </w:p>
    <w:p>
      <w:pPr>
        <w:pStyle w:val="13"/>
        <w:spacing w:line="500" w:lineRule="exact"/>
        <w:jc w:val="left"/>
        <w:rPr>
          <w:rFonts w:hAnsi="宋体" w:cs="宋体"/>
          <w:sz w:val="24"/>
          <w:szCs w:val="24"/>
        </w:rPr>
      </w:pPr>
    </w:p>
    <w:p>
      <w:pPr>
        <w:pStyle w:val="13"/>
        <w:spacing w:line="480" w:lineRule="auto"/>
        <w:jc w:val="left"/>
        <w:rPr>
          <w:rFonts w:hAnsi="宋体" w:cs="宋体"/>
          <w:sz w:val="24"/>
        </w:rPr>
      </w:pPr>
    </w:p>
    <w:p>
      <w:pPr>
        <w:pStyle w:val="13"/>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3"/>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spacing w:line="360" w:lineRule="auto"/>
        <w:rPr>
          <w:rFonts w:ascii="宋体" w:hAnsi="宋体" w:cs="宋体"/>
          <w:sz w:val="24"/>
          <w:szCs w:val="24"/>
          <w:u w:val="single"/>
        </w:rPr>
      </w:pPr>
    </w:p>
    <w:p>
      <w:pPr>
        <w:spacing w:line="360" w:lineRule="auto"/>
        <w:rPr>
          <w:rFonts w:ascii="宋体" w:hAnsi="宋体" w:cs="宋体"/>
          <w:sz w:val="24"/>
          <w:szCs w:val="24"/>
          <w:u w:val="single"/>
        </w:rPr>
      </w:pPr>
    </w:p>
    <w:p>
      <w:pPr>
        <w:spacing w:line="360" w:lineRule="auto"/>
        <w:rPr>
          <w:rFonts w:ascii="宋体" w:hAnsi="宋体" w:cs="宋体"/>
          <w:sz w:val="24"/>
          <w:szCs w:val="24"/>
          <w:u w:val="single"/>
        </w:rPr>
      </w:pPr>
    </w:p>
    <w:p>
      <w:pPr>
        <w:spacing w:line="360" w:lineRule="auto"/>
        <w:rPr>
          <w:rFonts w:ascii="宋体" w:hAnsi="宋体" w:cs="宋体"/>
          <w:sz w:val="24"/>
          <w:szCs w:val="24"/>
          <w:u w:val="single"/>
        </w:rPr>
      </w:pPr>
    </w:p>
    <w:p>
      <w:pPr>
        <w:spacing w:line="360" w:lineRule="auto"/>
        <w:rPr>
          <w:rFonts w:ascii="宋体" w:hAnsi="宋体" w:cs="宋体"/>
          <w:sz w:val="24"/>
          <w:szCs w:val="24"/>
          <w:u w:val="single"/>
        </w:rPr>
      </w:pPr>
    </w:p>
    <w:p>
      <w:pPr>
        <w:spacing w:line="360" w:lineRule="auto"/>
        <w:rPr>
          <w:rFonts w:ascii="宋体" w:hAnsi="宋体" w:cs="宋体"/>
          <w:sz w:val="28"/>
          <w:szCs w:val="32"/>
        </w:rPr>
      </w:pPr>
      <w:r>
        <w:rPr>
          <w:rFonts w:hint="eastAsia" w:ascii="宋体" w:hAnsi="宋体" w:cs="宋体"/>
          <w:sz w:val="28"/>
          <w:szCs w:val="32"/>
        </w:rPr>
        <w:t>（二）特定资格条件</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pPr>
      <w:r>
        <w:rPr>
          <w:rFonts w:hint="eastAsia" w:ascii="宋体" w:hAnsi="宋体" w:cs="宋体"/>
          <w:sz w:val="24"/>
          <w:szCs w:val="24"/>
        </w:rPr>
        <w:t>2、财务状况证明：</w:t>
      </w:r>
      <w:r>
        <w:rPr>
          <w:rFonts w:hint="eastAsia" w:ascii="宋体" w:hAnsi="宋体" w:cs="宋体"/>
          <w:sz w:val="24"/>
        </w:rPr>
        <w:t>供应商提供2020年度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cs="宋体"/>
          <w:sz w:val="24"/>
          <w:szCs w:val="24"/>
        </w:rPr>
        <w:t>；</w:t>
      </w:r>
    </w:p>
    <w:p>
      <w:pPr>
        <w:keepNext/>
        <w:keepLines/>
        <w:spacing w:line="413" w:lineRule="auto"/>
        <w:jc w:val="center"/>
        <w:rPr>
          <w:rFonts w:ascii="宋体" w:hAnsi="宋体" w:cs="宋体"/>
          <w:sz w:val="32"/>
          <w:szCs w:val="24"/>
        </w:rPr>
        <w:sectPr>
          <w:headerReference r:id="rId14" w:type="default"/>
          <w:pgSz w:w="11906" w:h="16838"/>
          <w:pgMar w:top="1440" w:right="1803" w:bottom="1440" w:left="1803" w:header="851" w:footer="992" w:gutter="0"/>
          <w:cols w:space="720" w:num="1"/>
          <w:docGrid w:type="lines" w:linePitch="319" w:charSpace="0"/>
        </w:sectPr>
      </w:pPr>
    </w:p>
    <w:p>
      <w:pPr>
        <w:keepNext/>
        <w:keepLines/>
        <w:spacing w:line="413" w:lineRule="auto"/>
        <w:jc w:val="center"/>
        <w:rPr>
          <w:rFonts w:ascii="宋体" w:hAnsi="宋体" w:cs="宋体"/>
          <w:sz w:val="32"/>
          <w:szCs w:val="24"/>
        </w:rPr>
      </w:pPr>
      <w:r>
        <w:rPr>
          <w:rFonts w:hint="eastAsia" w:ascii="宋体" w:hAnsi="宋体" w:cs="宋体"/>
          <w:sz w:val="32"/>
          <w:szCs w:val="24"/>
        </w:rPr>
        <w:t>3、履行合同所必需的设备和专业技术能力声明（格式）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720" w:firstLineChars="3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3"/>
        <w:spacing w:line="500" w:lineRule="exact"/>
        <w:jc w:val="left"/>
        <w:rPr>
          <w:rFonts w:hAnsi="宋体" w:cs="宋体"/>
          <w:sz w:val="24"/>
          <w:szCs w:val="24"/>
        </w:rPr>
      </w:pPr>
    </w:p>
    <w:p>
      <w:pPr>
        <w:pStyle w:val="13"/>
        <w:spacing w:line="480" w:lineRule="auto"/>
        <w:jc w:val="left"/>
        <w:rPr>
          <w:rFonts w:hAnsi="宋体" w:cs="宋体"/>
          <w:sz w:val="24"/>
        </w:rPr>
      </w:pPr>
    </w:p>
    <w:p>
      <w:pPr>
        <w:pStyle w:val="13"/>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3"/>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spacing w:line="360" w:lineRule="auto"/>
        <w:ind w:firstLine="480" w:firstLineChars="200"/>
        <w:rPr>
          <w:rFonts w:ascii="宋体" w:hAnsi="宋体" w:cs="宋体"/>
          <w:sz w:val="24"/>
          <w:szCs w:val="24"/>
        </w:rPr>
        <w:sectPr>
          <w:pgSz w:w="11906" w:h="16838"/>
          <w:pgMar w:top="1440" w:right="1803" w:bottom="1440" w:left="1803" w:header="851" w:footer="992" w:gutter="0"/>
          <w:cols w:space="720" w:num="1"/>
          <w:docGrid w:type="lines" w:linePitch="319" w:charSpace="0"/>
        </w:sectPr>
      </w:pPr>
    </w:p>
    <w:p>
      <w:pPr>
        <w:spacing w:line="360" w:lineRule="auto"/>
        <w:ind w:firstLine="480" w:firstLineChars="200"/>
        <w:rPr>
          <w:rFonts w:ascii="宋体" w:hAnsi="宋体" w:cs="宋体"/>
          <w:sz w:val="24"/>
          <w:szCs w:val="24"/>
        </w:rPr>
      </w:pPr>
      <w:r>
        <w:rPr>
          <w:rFonts w:hint="eastAsia" w:ascii="宋体" w:hAnsi="宋体" w:cs="宋体"/>
          <w:sz w:val="24"/>
          <w:szCs w:val="24"/>
        </w:rPr>
        <w:t>4、社会保障资金缴纳证明：提供2021年1月以来至少一个月的社会保障资金缴存单据或社保机构开具的社会保险参保缴费情况证明。依法不需要缴纳社会保障资金的供应商应提供相关文件证明；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rPr>
      </w:pPr>
      <w:r>
        <w:rPr>
          <w:rFonts w:hint="eastAsia" w:ascii="宋体" w:hAnsi="宋体" w:cs="宋体"/>
          <w:sz w:val="24"/>
          <w:szCs w:val="24"/>
        </w:rPr>
        <w:t>5、税收缴纳证明：提供2021年1月以来至少一个月的纳税证明或完税证明，依法免税的单位应提供相关证明材料；</w:t>
      </w: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tabs>
          <w:tab w:val="left" w:pos="2850"/>
        </w:tabs>
        <w:jc w:val="left"/>
        <w:rPr>
          <w:rFonts w:ascii="宋体" w:hAnsi="宋体" w:cs="宋体"/>
          <w:sz w:val="28"/>
          <w:szCs w:val="32"/>
        </w:rPr>
      </w:pPr>
      <w:r>
        <w:rPr>
          <w:rFonts w:hint="eastAsia" w:ascii="宋体" w:hAnsi="宋体" w:cs="宋体"/>
          <w:sz w:val="28"/>
          <w:szCs w:val="32"/>
        </w:rPr>
        <w:tab/>
      </w:r>
    </w:p>
    <w:p>
      <w:pPr>
        <w:pStyle w:val="12"/>
      </w:pPr>
    </w:p>
    <w:p>
      <w:pPr>
        <w:tabs>
          <w:tab w:val="left" w:pos="2235"/>
        </w:tabs>
        <w:jc w:val="left"/>
        <w:rPr>
          <w:rFonts w:ascii="宋体" w:hAnsi="宋体" w:cs="宋体"/>
          <w:sz w:val="28"/>
          <w:szCs w:val="32"/>
        </w:rPr>
      </w:pPr>
      <w:r>
        <w:rPr>
          <w:rFonts w:hint="eastAsia" w:ascii="宋体" w:hAnsi="宋体" w:cs="宋体"/>
          <w:sz w:val="28"/>
          <w:szCs w:val="32"/>
        </w:rPr>
        <w:tab/>
      </w:r>
    </w:p>
    <w:p>
      <w:pPr>
        <w:pStyle w:val="12"/>
        <w:rPr>
          <w:rFonts w:ascii="宋体" w:hAnsi="宋体" w:cs="宋体"/>
          <w:sz w:val="28"/>
          <w:szCs w:val="32"/>
        </w:rPr>
      </w:pPr>
    </w:p>
    <w:p>
      <w:pPr>
        <w:pStyle w:val="13"/>
        <w:rPr>
          <w:rFonts w:hAnsi="宋体" w:cs="宋体"/>
          <w:sz w:val="28"/>
          <w:szCs w:val="32"/>
        </w:rPr>
      </w:pPr>
    </w:p>
    <w:p>
      <w:pPr>
        <w:pStyle w:val="13"/>
        <w:rPr>
          <w:rFonts w:hAnsi="宋体" w:cs="宋体"/>
          <w:sz w:val="28"/>
          <w:szCs w:val="32"/>
        </w:rPr>
      </w:pPr>
    </w:p>
    <w:p>
      <w:pPr>
        <w:pStyle w:val="13"/>
        <w:rPr>
          <w:rFonts w:hAnsi="宋体" w:cs="宋体"/>
          <w:sz w:val="28"/>
          <w:szCs w:val="32"/>
        </w:rPr>
      </w:pPr>
    </w:p>
    <w:p>
      <w:pPr>
        <w:pStyle w:val="13"/>
        <w:rPr>
          <w:rFonts w:hAnsi="宋体" w:cs="宋体"/>
          <w:sz w:val="28"/>
          <w:szCs w:val="32"/>
        </w:rPr>
      </w:pPr>
    </w:p>
    <w:p>
      <w:pPr>
        <w:pStyle w:val="13"/>
        <w:rPr>
          <w:rFonts w:hAnsi="宋体" w:cs="宋体"/>
          <w:sz w:val="28"/>
          <w:szCs w:val="32"/>
        </w:rPr>
      </w:pPr>
    </w:p>
    <w:p>
      <w:pPr>
        <w:jc w:val="center"/>
        <w:rPr>
          <w:rFonts w:ascii="宋体" w:hAnsi="宋体" w:cs="宋体"/>
          <w:sz w:val="28"/>
          <w:szCs w:val="32"/>
        </w:rPr>
      </w:pPr>
    </w:p>
    <w:p>
      <w:pPr>
        <w:keepNext/>
        <w:keepLines/>
        <w:spacing w:line="413" w:lineRule="auto"/>
        <w:jc w:val="center"/>
        <w:rPr>
          <w:rFonts w:ascii="宋体" w:hAnsi="宋体" w:cs="宋体"/>
          <w:sz w:val="32"/>
          <w:szCs w:val="24"/>
        </w:rPr>
      </w:pPr>
      <w:r>
        <w:rPr>
          <w:rFonts w:hint="eastAsia" w:ascii="宋体" w:hAnsi="宋体" w:cs="宋体"/>
          <w:sz w:val="32"/>
          <w:szCs w:val="24"/>
        </w:rPr>
        <w:t>6、无重大违法记录声明（格式）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__(项目名称)公开招标，我单位郑重声明：我方参加本项目公开招标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3"/>
        <w:spacing w:line="500" w:lineRule="exact"/>
        <w:jc w:val="left"/>
        <w:rPr>
          <w:rFonts w:hAnsi="宋体" w:cs="宋体"/>
          <w:sz w:val="24"/>
          <w:szCs w:val="24"/>
        </w:rPr>
      </w:pPr>
    </w:p>
    <w:p>
      <w:pPr>
        <w:pStyle w:val="13"/>
        <w:spacing w:line="480" w:lineRule="auto"/>
        <w:jc w:val="left"/>
        <w:rPr>
          <w:rFonts w:hAnsi="宋体" w:cs="宋体"/>
          <w:sz w:val="24"/>
        </w:rPr>
      </w:pPr>
    </w:p>
    <w:p>
      <w:pPr>
        <w:pStyle w:val="13"/>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3"/>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r>
        <w:rPr>
          <w:rFonts w:hint="eastAsia" w:ascii="宋体" w:hAnsi="宋体" w:cs="宋体"/>
          <w:sz w:val="28"/>
          <w:szCs w:val="32"/>
        </w:rPr>
        <w:t>7-1法定代表人证明书（格式）</w:t>
      </w:r>
    </w:p>
    <w:tbl>
      <w:tblPr>
        <w:tblStyle w:val="37"/>
        <w:tblW w:w="94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9410" w:type="dxa"/>
            <w:gridSpan w:val="6"/>
            <w:vAlign w:val="center"/>
          </w:tcPr>
          <w:p>
            <w:pPr>
              <w:tabs>
                <w:tab w:val="left" w:pos="210"/>
              </w:tabs>
              <w:spacing w:line="360" w:lineRule="auto"/>
              <w:jc w:val="left"/>
              <w:rPr>
                <w:rFonts w:ascii="宋体" w:hAnsi="宋体" w:cs="宋体"/>
                <w:kern w:val="0"/>
              </w:rPr>
            </w:pPr>
            <w:r>
              <w:rPr>
                <w:rFonts w:hint="eastAsia" w:ascii="宋体" w:hAnsi="宋体" w:cs="宋体"/>
                <w:kern w:val="0"/>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企</w:t>
            </w:r>
          </w:p>
          <w:p>
            <w:pPr>
              <w:tabs>
                <w:tab w:val="left" w:pos="210"/>
              </w:tabs>
              <w:spacing w:line="360" w:lineRule="auto"/>
              <w:jc w:val="center"/>
              <w:rPr>
                <w:rFonts w:ascii="宋体" w:hAnsi="宋体" w:cs="宋体"/>
                <w:kern w:val="0"/>
              </w:rPr>
            </w:pPr>
            <w:r>
              <w:rPr>
                <w:rFonts w:hint="eastAsia" w:ascii="宋体" w:hAnsi="宋体" w:cs="宋体"/>
                <w:kern w:val="0"/>
              </w:rPr>
              <w:t>业</w:t>
            </w:r>
          </w:p>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人</w:t>
            </w: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企业名称</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法定地址</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邮政编码</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工商登记机关</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统一社会信用代码</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定</w:t>
            </w:r>
          </w:p>
          <w:p>
            <w:pPr>
              <w:tabs>
                <w:tab w:val="left" w:pos="210"/>
              </w:tabs>
              <w:spacing w:line="360" w:lineRule="auto"/>
              <w:jc w:val="center"/>
              <w:rPr>
                <w:rFonts w:ascii="宋体" w:hAnsi="宋体" w:cs="宋体"/>
                <w:kern w:val="0"/>
              </w:rPr>
            </w:pPr>
            <w:r>
              <w:rPr>
                <w:rFonts w:hint="eastAsia" w:ascii="宋体" w:hAnsi="宋体" w:cs="宋体"/>
                <w:kern w:val="0"/>
              </w:rPr>
              <w:t>代</w:t>
            </w:r>
          </w:p>
          <w:p>
            <w:pPr>
              <w:tabs>
                <w:tab w:val="left" w:pos="210"/>
              </w:tabs>
              <w:spacing w:line="360" w:lineRule="auto"/>
              <w:jc w:val="center"/>
              <w:rPr>
                <w:rFonts w:ascii="宋体" w:hAnsi="宋体" w:cs="宋体"/>
                <w:kern w:val="0"/>
              </w:rPr>
            </w:pPr>
            <w:r>
              <w:rPr>
                <w:rFonts w:hint="eastAsia" w:ascii="宋体" w:hAnsi="宋体" w:cs="宋体"/>
                <w:kern w:val="0"/>
              </w:rPr>
              <w:t>表</w:t>
            </w:r>
          </w:p>
          <w:p>
            <w:pPr>
              <w:tabs>
                <w:tab w:val="left" w:pos="210"/>
              </w:tabs>
              <w:spacing w:line="360" w:lineRule="auto"/>
              <w:jc w:val="center"/>
              <w:rPr>
                <w:rFonts w:ascii="宋体" w:hAnsi="宋体" w:cs="宋体"/>
                <w:kern w:val="0"/>
              </w:rPr>
            </w:pPr>
            <w:r>
              <w:rPr>
                <w:rFonts w:hint="eastAsia" w:ascii="宋体" w:hAnsi="宋体" w:cs="宋体"/>
                <w:kern w:val="0"/>
              </w:rPr>
              <w:t>人</w:t>
            </w: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姓名</w:t>
            </w:r>
          </w:p>
        </w:tc>
        <w:tc>
          <w:tcPr>
            <w:tcW w:w="2340" w:type="dxa"/>
            <w:gridSpan w:val="2"/>
            <w:vAlign w:val="center"/>
          </w:tcPr>
          <w:p>
            <w:pPr>
              <w:tabs>
                <w:tab w:val="left" w:pos="210"/>
              </w:tabs>
              <w:spacing w:line="360" w:lineRule="auto"/>
              <w:ind w:firstLine="420" w:firstLineChars="200"/>
              <w:jc w:val="left"/>
              <w:rPr>
                <w:rFonts w:ascii="宋体" w:hAnsi="宋体" w:cs="宋体"/>
                <w:kern w:val="0"/>
              </w:rPr>
            </w:pPr>
          </w:p>
        </w:tc>
        <w:tc>
          <w:tcPr>
            <w:tcW w:w="2156" w:type="dxa"/>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性别</w:t>
            </w:r>
          </w:p>
        </w:tc>
        <w:tc>
          <w:tcPr>
            <w:tcW w:w="2160" w:type="dxa"/>
            <w:vAlign w:val="center"/>
          </w:tcPr>
          <w:p>
            <w:pPr>
              <w:tabs>
                <w:tab w:val="left" w:pos="210"/>
              </w:tabs>
              <w:spacing w:line="360" w:lineRule="auto"/>
              <w:ind w:firstLine="420" w:firstLineChars="200"/>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职务</w:t>
            </w:r>
          </w:p>
        </w:tc>
        <w:tc>
          <w:tcPr>
            <w:tcW w:w="2340" w:type="dxa"/>
            <w:gridSpan w:val="2"/>
            <w:vAlign w:val="center"/>
          </w:tcPr>
          <w:p>
            <w:pPr>
              <w:tabs>
                <w:tab w:val="left" w:pos="210"/>
              </w:tabs>
              <w:spacing w:line="360" w:lineRule="auto"/>
              <w:jc w:val="left"/>
              <w:rPr>
                <w:rFonts w:ascii="宋体" w:hAnsi="宋体" w:cs="宋体"/>
                <w:kern w:val="0"/>
              </w:rPr>
            </w:pPr>
          </w:p>
        </w:tc>
        <w:tc>
          <w:tcPr>
            <w:tcW w:w="2156" w:type="dxa"/>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联系电话</w:t>
            </w:r>
          </w:p>
        </w:tc>
        <w:tc>
          <w:tcPr>
            <w:tcW w:w="2160" w:type="dxa"/>
            <w:vAlign w:val="center"/>
          </w:tcPr>
          <w:p>
            <w:pPr>
              <w:tabs>
                <w:tab w:val="left" w:pos="210"/>
              </w:tabs>
              <w:spacing w:line="360" w:lineRule="auto"/>
              <w:ind w:firstLine="420" w:firstLineChars="200"/>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传真</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定</w:t>
            </w:r>
          </w:p>
          <w:p>
            <w:pPr>
              <w:tabs>
                <w:tab w:val="left" w:pos="210"/>
              </w:tabs>
              <w:spacing w:line="360" w:lineRule="auto"/>
              <w:jc w:val="center"/>
              <w:rPr>
                <w:rFonts w:ascii="宋体" w:hAnsi="宋体" w:cs="宋体"/>
                <w:kern w:val="0"/>
              </w:rPr>
            </w:pPr>
            <w:r>
              <w:rPr>
                <w:rFonts w:hint="eastAsia" w:ascii="宋体" w:hAnsi="宋体" w:cs="宋体"/>
                <w:kern w:val="0"/>
              </w:rPr>
              <w:t>代</w:t>
            </w:r>
          </w:p>
          <w:p>
            <w:pPr>
              <w:tabs>
                <w:tab w:val="left" w:pos="210"/>
              </w:tabs>
              <w:spacing w:line="360" w:lineRule="auto"/>
              <w:jc w:val="center"/>
              <w:rPr>
                <w:rFonts w:ascii="宋体" w:hAnsi="宋体" w:cs="宋体"/>
                <w:kern w:val="0"/>
              </w:rPr>
            </w:pPr>
            <w:r>
              <w:rPr>
                <w:rFonts w:hint="eastAsia" w:ascii="宋体" w:hAnsi="宋体" w:cs="宋体"/>
                <w:kern w:val="0"/>
              </w:rPr>
              <w:t>表</w:t>
            </w:r>
          </w:p>
          <w:p>
            <w:pPr>
              <w:tabs>
                <w:tab w:val="left" w:pos="210"/>
              </w:tabs>
              <w:spacing w:line="360" w:lineRule="auto"/>
              <w:jc w:val="center"/>
              <w:rPr>
                <w:rFonts w:ascii="宋体" w:hAnsi="宋体" w:cs="宋体"/>
                <w:kern w:val="0"/>
              </w:rPr>
            </w:pPr>
            <w:r>
              <w:rPr>
                <w:rFonts w:hint="eastAsia" w:ascii="宋体" w:hAnsi="宋体" w:cs="宋体"/>
                <w:kern w:val="0"/>
              </w:rPr>
              <w:t>人</w:t>
            </w:r>
          </w:p>
          <w:p>
            <w:pPr>
              <w:tabs>
                <w:tab w:val="left" w:pos="210"/>
              </w:tabs>
              <w:spacing w:line="360" w:lineRule="auto"/>
              <w:jc w:val="center"/>
              <w:rPr>
                <w:rFonts w:ascii="宋体" w:hAnsi="宋体" w:cs="宋体"/>
                <w:kern w:val="0"/>
              </w:rPr>
            </w:pPr>
            <w:r>
              <w:rPr>
                <w:rFonts w:hint="eastAsia" w:ascii="宋体" w:hAnsi="宋体" w:cs="宋体"/>
                <w:kern w:val="0"/>
              </w:rPr>
              <w:t>身</w:t>
            </w:r>
          </w:p>
          <w:p>
            <w:pPr>
              <w:tabs>
                <w:tab w:val="left" w:pos="210"/>
              </w:tabs>
              <w:spacing w:line="360" w:lineRule="auto"/>
              <w:jc w:val="center"/>
              <w:rPr>
                <w:rFonts w:ascii="宋体" w:hAnsi="宋体" w:cs="宋体"/>
                <w:kern w:val="0"/>
              </w:rPr>
            </w:pPr>
            <w:r>
              <w:rPr>
                <w:rFonts w:hint="eastAsia" w:ascii="宋体" w:hAnsi="宋体" w:cs="宋体"/>
                <w:kern w:val="0"/>
              </w:rPr>
              <w:t>份</w:t>
            </w:r>
          </w:p>
          <w:p>
            <w:pPr>
              <w:tabs>
                <w:tab w:val="left" w:pos="210"/>
              </w:tabs>
              <w:spacing w:line="360" w:lineRule="auto"/>
              <w:jc w:val="center"/>
              <w:rPr>
                <w:rFonts w:ascii="宋体" w:hAnsi="宋体" w:cs="宋体"/>
                <w:kern w:val="0"/>
              </w:rPr>
            </w:pPr>
            <w:r>
              <w:rPr>
                <w:rFonts w:hint="eastAsia" w:ascii="宋体" w:hAnsi="宋体" w:cs="宋体"/>
                <w:kern w:val="0"/>
              </w:rPr>
              <w:t>证</w:t>
            </w:r>
          </w:p>
          <w:p>
            <w:pPr>
              <w:tabs>
                <w:tab w:val="left" w:pos="210"/>
              </w:tabs>
              <w:spacing w:line="360" w:lineRule="auto"/>
              <w:jc w:val="center"/>
              <w:rPr>
                <w:rFonts w:ascii="宋体" w:hAnsi="宋体" w:cs="宋体"/>
                <w:kern w:val="0"/>
              </w:rPr>
            </w:pPr>
            <w:r>
              <w:rPr>
                <w:rFonts w:hint="eastAsia" w:ascii="宋体" w:hAnsi="宋体" w:cs="宋体"/>
                <w:kern w:val="0"/>
              </w:rPr>
              <w:t>复</w:t>
            </w:r>
          </w:p>
          <w:p>
            <w:pPr>
              <w:tabs>
                <w:tab w:val="left" w:pos="210"/>
              </w:tabs>
              <w:spacing w:line="360" w:lineRule="auto"/>
              <w:jc w:val="center"/>
              <w:rPr>
                <w:rFonts w:ascii="宋体" w:hAnsi="宋体" w:cs="宋体"/>
                <w:kern w:val="0"/>
              </w:rPr>
            </w:pPr>
            <w:r>
              <w:rPr>
                <w:rFonts w:hint="eastAsia" w:ascii="宋体" w:hAnsi="宋体" w:cs="宋体"/>
                <w:kern w:val="0"/>
              </w:rPr>
              <w:t>印</w:t>
            </w:r>
          </w:p>
          <w:p>
            <w:pPr>
              <w:tabs>
                <w:tab w:val="left" w:pos="210"/>
              </w:tabs>
              <w:spacing w:line="360" w:lineRule="auto"/>
              <w:jc w:val="center"/>
              <w:rPr>
                <w:rFonts w:ascii="宋体" w:hAnsi="宋体" w:cs="宋体"/>
                <w:kern w:val="0"/>
              </w:rPr>
            </w:pPr>
            <w:r>
              <w:rPr>
                <w:rFonts w:hint="eastAsia" w:ascii="宋体" w:hAnsi="宋体" w:cs="宋体"/>
                <w:kern w:val="0"/>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（正反面）</w:t>
            </w:r>
          </w:p>
        </w:tc>
        <w:tc>
          <w:tcPr>
            <w:tcW w:w="4500" w:type="dxa"/>
            <w:gridSpan w:val="3"/>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20" w:firstLineChars="200"/>
              <w:jc w:val="left"/>
              <w:rPr>
                <w:rFonts w:ascii="宋体" w:hAnsi="宋体" w:cs="宋体"/>
                <w:kern w:val="0"/>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kern w:val="0"/>
              </w:rPr>
            </w:pPr>
          </w:p>
        </w:tc>
        <w:tc>
          <w:tcPr>
            <w:tcW w:w="4500" w:type="dxa"/>
            <w:gridSpan w:val="3"/>
            <w:vAlign w:val="bottom"/>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（公章）</w:t>
            </w:r>
          </w:p>
          <w:p>
            <w:pPr>
              <w:tabs>
                <w:tab w:val="left" w:pos="210"/>
              </w:tabs>
              <w:spacing w:line="360" w:lineRule="auto"/>
              <w:jc w:val="left"/>
              <w:rPr>
                <w:rFonts w:ascii="宋体" w:hAnsi="宋体" w:cs="宋体"/>
                <w:kern w:val="0"/>
              </w:rPr>
            </w:pPr>
          </w:p>
          <w:p>
            <w:pPr>
              <w:tabs>
                <w:tab w:val="left" w:pos="210"/>
              </w:tabs>
              <w:spacing w:line="360" w:lineRule="auto"/>
              <w:jc w:val="left"/>
              <w:rPr>
                <w:rFonts w:ascii="宋体" w:hAnsi="宋体" w:cs="宋体"/>
                <w:kern w:val="0"/>
              </w:rPr>
            </w:pPr>
          </w:p>
          <w:p>
            <w:pPr>
              <w:tabs>
                <w:tab w:val="left" w:pos="210"/>
              </w:tabs>
              <w:spacing w:line="360" w:lineRule="auto"/>
              <w:jc w:val="left"/>
              <w:rPr>
                <w:rFonts w:ascii="宋体" w:hAnsi="宋体" w:cs="宋体"/>
                <w:kern w:val="0"/>
              </w:rPr>
            </w:pPr>
          </w:p>
          <w:p>
            <w:pPr>
              <w:adjustRightInd w:val="0"/>
              <w:snapToGrid w:val="0"/>
              <w:spacing w:line="480" w:lineRule="auto"/>
              <w:ind w:firstLine="480" w:firstLineChars="200"/>
              <w:jc w:val="right"/>
              <w:rPr>
                <w:rFonts w:ascii="宋体" w:hAnsi="宋体" w:cs="宋体"/>
                <w:kern w:val="0"/>
              </w:rPr>
            </w:pPr>
            <w:r>
              <w:rPr>
                <w:rFonts w:hint="eastAsia" w:ascii="宋体" w:hAnsi="宋体" w:cs="宋体"/>
                <w:sz w:val="24"/>
              </w:rPr>
              <w:t>_________年______月 _____日</w:t>
            </w:r>
          </w:p>
        </w:tc>
      </w:tr>
    </w:tbl>
    <w:p>
      <w:pPr>
        <w:pStyle w:val="13"/>
        <w:spacing w:line="500" w:lineRule="exact"/>
        <w:jc w:val="center"/>
        <w:rPr>
          <w:rFonts w:hAnsi="宋体" w:cs="宋体"/>
          <w:sz w:val="24"/>
          <w:szCs w:val="24"/>
        </w:rPr>
      </w:pPr>
      <w:r>
        <w:rPr>
          <w:rFonts w:hint="eastAsia" w:hAnsi="宋体" w:cs="宋体"/>
          <w:b/>
          <w:sz w:val="24"/>
          <w:szCs w:val="24"/>
        </w:rPr>
        <w:br w:type="page"/>
      </w:r>
      <w:r>
        <w:rPr>
          <w:rFonts w:hint="eastAsia" w:hAnsi="宋体" w:cs="宋体"/>
          <w:b/>
          <w:sz w:val="24"/>
          <w:szCs w:val="24"/>
        </w:rPr>
        <w:t>7-2法定代表人授权书（格式）</w:t>
      </w:r>
    </w:p>
    <w:p>
      <w:pPr>
        <w:pStyle w:val="13"/>
        <w:spacing w:line="500" w:lineRule="exact"/>
        <w:jc w:val="left"/>
        <w:rPr>
          <w:rFonts w:hAnsi="宋体" w:cs="宋体"/>
          <w:sz w:val="24"/>
          <w:szCs w:val="24"/>
        </w:rPr>
      </w:pPr>
      <w:r>
        <w:rPr>
          <w:rFonts w:hint="eastAsia" w:hAnsi="宋体" w:cs="宋体"/>
          <w:sz w:val="24"/>
          <w:szCs w:val="24"/>
        </w:rPr>
        <w:t>陕西卓佲项目管理有限公司：</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（项目名称） （项目编号）</w:t>
      </w:r>
      <w:r>
        <w:rPr>
          <w:rFonts w:hint="eastAsia" w:ascii="宋体" w:hAnsi="宋体" w:cs="宋体"/>
          <w:sz w:val="24"/>
        </w:rPr>
        <w:t>的采购活动。以我方名义全权处理该项目有关招标、签订合同以及执行合同等一切事宜。</w:t>
      </w:r>
    </w:p>
    <w:p>
      <w:pPr>
        <w:spacing w:line="360" w:lineRule="auto"/>
        <w:ind w:firstLine="482" w:firstLineChars="200"/>
        <w:rPr>
          <w:rFonts w:ascii="宋体" w:hAnsi="宋体" w:cs="宋体"/>
          <w:b/>
          <w:bCs/>
          <w:sz w:val="24"/>
          <w:szCs w:val="24"/>
        </w:rPr>
      </w:pPr>
      <w:r>
        <w:rPr>
          <w:rFonts w:hint="eastAsia" w:ascii="宋体" w:hAnsi="宋体" w:cs="宋体"/>
          <w:b/>
          <w:bCs/>
          <w:sz w:val="24"/>
        </w:rPr>
        <w:t>本授权书自投标文件递交截止之日起生效，有效期与投标文件有效期一致，特此声明。</w:t>
      </w:r>
    </w:p>
    <w:p>
      <w:pPr>
        <w:pStyle w:val="13"/>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8"/>
          <w:szCs w:val="28"/>
        </w:rPr>
        <w:t>__________________</w:t>
      </w:r>
    </w:p>
    <w:p>
      <w:pPr>
        <w:pStyle w:val="13"/>
        <w:spacing w:line="500" w:lineRule="exact"/>
        <w:ind w:firstLine="480" w:firstLineChars="200"/>
        <w:jc w:val="left"/>
        <w:rPr>
          <w:rFonts w:hAnsi="宋体" w:cs="宋体"/>
          <w:sz w:val="24"/>
          <w:szCs w:val="24"/>
        </w:rPr>
      </w:pPr>
      <w:r>
        <w:rPr>
          <w:rFonts w:hint="eastAsia" w:hAnsi="宋体" w:cs="宋体"/>
          <w:sz w:val="24"/>
          <w:szCs w:val="24"/>
        </w:rPr>
        <w:t xml:space="preserve">法定代表人（签字或盖章）： </w:t>
      </w:r>
      <w:r>
        <w:rPr>
          <w:rFonts w:hint="eastAsia" w:hAnsi="宋体" w:cs="宋体"/>
          <w:sz w:val="28"/>
          <w:szCs w:val="28"/>
        </w:rPr>
        <w:t>__________________</w:t>
      </w:r>
    </w:p>
    <w:p>
      <w:pPr>
        <w:pStyle w:val="13"/>
        <w:spacing w:line="500" w:lineRule="exact"/>
        <w:ind w:firstLine="480" w:firstLineChars="200"/>
        <w:jc w:val="left"/>
        <w:rPr>
          <w:rFonts w:hAnsi="宋体" w:cs="宋体"/>
          <w:sz w:val="24"/>
          <w:szCs w:val="24"/>
          <w:u w:val="single"/>
        </w:rPr>
      </w:pPr>
      <w:r>
        <w:rPr>
          <w:rFonts w:hint="eastAsia" w:hAnsi="宋体" w:cs="宋体"/>
          <w:sz w:val="24"/>
          <w:szCs w:val="24"/>
        </w:rPr>
        <w:t>被授权人：</w:t>
      </w:r>
      <w:r>
        <w:rPr>
          <w:rFonts w:hint="eastAsia" w:hAnsi="宋体" w:cs="宋体"/>
          <w:sz w:val="28"/>
          <w:szCs w:val="28"/>
        </w:rPr>
        <w:t>_____________</w:t>
      </w:r>
      <w:r>
        <w:rPr>
          <w:rFonts w:hint="eastAsia" w:hAnsi="宋体" w:cs="宋体"/>
          <w:sz w:val="24"/>
          <w:szCs w:val="24"/>
        </w:rPr>
        <w:t>性别：</w:t>
      </w:r>
      <w:r>
        <w:rPr>
          <w:rFonts w:hint="eastAsia" w:hAnsi="宋体" w:cs="宋体"/>
          <w:sz w:val="28"/>
          <w:szCs w:val="28"/>
        </w:rPr>
        <w:t>____________</w:t>
      </w:r>
      <w:r>
        <w:rPr>
          <w:rFonts w:hint="eastAsia" w:hAnsi="宋体" w:cs="宋体"/>
          <w:sz w:val="24"/>
          <w:szCs w:val="24"/>
        </w:rPr>
        <w:t>职务：</w:t>
      </w:r>
      <w:r>
        <w:rPr>
          <w:rFonts w:hint="eastAsia" w:hAnsi="宋体" w:cs="宋体"/>
          <w:sz w:val="28"/>
          <w:szCs w:val="28"/>
        </w:rPr>
        <w:t>_________</w:t>
      </w:r>
    </w:p>
    <w:p>
      <w:pPr>
        <w:pStyle w:val="13"/>
        <w:spacing w:line="500" w:lineRule="exact"/>
        <w:ind w:firstLine="480" w:firstLineChars="200"/>
        <w:jc w:val="left"/>
        <w:rPr>
          <w:rFonts w:hAnsi="宋体" w:cs="宋体"/>
          <w:sz w:val="24"/>
          <w:szCs w:val="24"/>
          <w:u w:val="single"/>
        </w:rPr>
      </w:pPr>
      <w:r>
        <w:rPr>
          <w:rFonts w:hint="eastAsia" w:hAnsi="宋体" w:cs="宋体"/>
          <w:sz w:val="24"/>
          <w:szCs w:val="24"/>
        </w:rPr>
        <w:t xml:space="preserve">联系地址：  </w:t>
      </w:r>
      <w:r>
        <w:rPr>
          <w:rFonts w:hint="eastAsia" w:hAnsi="宋体" w:cs="宋体"/>
          <w:sz w:val="28"/>
          <w:szCs w:val="28"/>
        </w:rPr>
        <w:t>________________</w:t>
      </w:r>
    </w:p>
    <w:p>
      <w:pPr>
        <w:pStyle w:val="13"/>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8"/>
          <w:szCs w:val="28"/>
        </w:rPr>
        <w:t>________________</w:t>
      </w:r>
    </w:p>
    <w:p>
      <w:pPr>
        <w:pStyle w:val="13"/>
        <w:spacing w:line="500" w:lineRule="exact"/>
        <w:ind w:firstLine="480" w:firstLineChars="200"/>
        <w:jc w:val="left"/>
        <w:rPr>
          <w:rFonts w:hAnsi="宋体" w:cs="宋体"/>
          <w:sz w:val="24"/>
          <w:szCs w:val="24"/>
        </w:rPr>
      </w:pPr>
      <w:r>
        <w:rPr>
          <w:rFonts w:hint="eastAsia" w:hAnsi="宋体" w:cs="宋体"/>
          <w:sz w:val="24"/>
          <w:szCs w:val="24"/>
        </w:rPr>
        <w:t>法定代表人及被授权人身份证复印件/扫描件</w:t>
      </w:r>
    </w:p>
    <w:tbl>
      <w:tblPr>
        <w:tblStyle w:val="37"/>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13"/>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法定代表人身份证复印件（正反面）</w:t>
            </w:r>
          </w:p>
          <w:p>
            <w:pPr>
              <w:pStyle w:val="13"/>
              <w:spacing w:line="500" w:lineRule="exact"/>
              <w:jc w:val="left"/>
              <w:rPr>
                <w:rFonts w:hAnsi="宋体" w:cs="宋体"/>
                <w:sz w:val="24"/>
                <w:szCs w:val="24"/>
                <w:shd w:val="pct10" w:color="auto" w:fill="FFFFFF"/>
              </w:rPr>
            </w:pPr>
          </w:p>
        </w:tc>
        <w:tc>
          <w:tcPr>
            <w:tcW w:w="4546" w:type="dxa"/>
            <w:shd w:val="clear" w:color="auto" w:fill="D9D9D9"/>
            <w:vAlign w:val="center"/>
          </w:tcPr>
          <w:p>
            <w:pPr>
              <w:pStyle w:val="13"/>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被授权人身份证复印件（正反面）</w:t>
            </w:r>
          </w:p>
          <w:p>
            <w:pPr>
              <w:pStyle w:val="13"/>
              <w:spacing w:line="500" w:lineRule="exact"/>
              <w:ind w:firstLine="480" w:firstLineChars="200"/>
              <w:jc w:val="left"/>
              <w:rPr>
                <w:rFonts w:hAnsi="宋体" w:cs="宋体"/>
                <w:sz w:val="24"/>
                <w:szCs w:val="24"/>
                <w:shd w:val="pct10" w:color="auto" w:fill="FFFFFF"/>
              </w:rPr>
            </w:pPr>
          </w:p>
        </w:tc>
      </w:tr>
    </w:tbl>
    <w:p>
      <w:pPr>
        <w:pStyle w:val="4"/>
        <w:spacing w:before="319" w:beforeLines="100" w:after="478" w:afterLines="150" w:line="500" w:lineRule="exact"/>
        <w:rPr>
          <w:rFonts w:ascii="宋体" w:hAnsi="宋体" w:cs="宋体"/>
          <w:sz w:val="36"/>
          <w:szCs w:val="36"/>
        </w:rPr>
        <w:sectPr>
          <w:pgSz w:w="11906" w:h="16838"/>
          <w:pgMar w:top="1440" w:right="1803" w:bottom="1440" w:left="1803" w:header="851" w:footer="992" w:gutter="0"/>
          <w:cols w:space="720" w:num="1"/>
          <w:docGrid w:type="lines" w:linePitch="319" w:charSpace="0"/>
        </w:sectPr>
      </w:pPr>
      <w:bookmarkStart w:id="89" w:name="_Toc9172"/>
      <w:bookmarkStart w:id="90" w:name="_Toc12851"/>
      <w:bookmarkStart w:id="91" w:name="_Toc1803"/>
    </w:p>
    <w:bookmarkEnd w:id="89"/>
    <w:bookmarkEnd w:id="90"/>
    <w:p>
      <w:pPr>
        <w:adjustRightInd w:val="0"/>
        <w:spacing w:line="416" w:lineRule="atLeast"/>
        <w:textAlignment w:val="baseline"/>
        <w:rPr>
          <w:rFonts w:ascii="宋体" w:hAnsi="宋体" w:cs="宋体"/>
          <w:bCs/>
          <w:sz w:val="28"/>
          <w:szCs w:val="32"/>
        </w:rPr>
      </w:pPr>
      <w:bookmarkStart w:id="92" w:name="_Toc18964"/>
      <w:bookmarkStart w:id="93" w:name="_Toc19138"/>
      <w:bookmarkStart w:id="94" w:name="_Toc23165"/>
      <w:r>
        <w:rPr>
          <w:rFonts w:hint="eastAsia" w:ascii="宋体" w:hAnsi="宋体" w:cs="宋体"/>
          <w:bCs/>
          <w:sz w:val="28"/>
          <w:szCs w:val="32"/>
        </w:rPr>
        <w:t>8、供应商应出具中小企业声明函</w:t>
      </w:r>
    </w:p>
    <w:p>
      <w:pPr>
        <w:adjustRightInd w:val="0"/>
        <w:spacing w:line="416" w:lineRule="atLeast"/>
        <w:jc w:val="center"/>
        <w:textAlignment w:val="baseline"/>
        <w:rPr>
          <w:rFonts w:ascii="宋体" w:hAnsi="宋体" w:cs="宋体"/>
          <w:sz w:val="28"/>
          <w:szCs w:val="32"/>
        </w:rPr>
      </w:pPr>
      <w:r>
        <w:rPr>
          <w:rFonts w:hint="eastAsia" w:ascii="宋体" w:hAnsi="宋体" w:cs="宋体"/>
          <w:sz w:val="28"/>
          <w:szCs w:val="32"/>
        </w:rPr>
        <w:t>中小企业申明（货物）</w:t>
      </w:r>
    </w:p>
    <w:p>
      <w:pPr>
        <w:spacing w:line="360" w:lineRule="auto"/>
        <w:ind w:right="140" w:firstLine="641"/>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pPr>
        <w:pStyle w:val="10"/>
        <w:numPr>
          <w:ilvl w:val="0"/>
          <w:numId w:val="26"/>
        </w:numPr>
        <w:spacing w:line="360" w:lineRule="auto"/>
        <w:rPr>
          <w:rFonts w:ascii="宋体" w:hAnsi="宋体" w:cs="宋体"/>
          <w:color w:val="auto"/>
          <w:w w:val="97"/>
        </w:rPr>
      </w:pPr>
      <w:r>
        <w:rPr>
          <w:rFonts w:hint="eastAsia" w:ascii="宋体" w:hAnsi="宋体" w:cs="宋体"/>
          <w:color w:val="auto"/>
          <w:w w:val="97"/>
          <w:u w:val="single"/>
        </w:rPr>
        <w:t xml:space="preserve">    （标的名称）</w:t>
      </w:r>
      <w:r>
        <w:rPr>
          <w:rFonts w:hint="eastAsia" w:ascii="宋体" w:hAnsi="宋体" w:cs="宋体"/>
          <w:color w:val="auto"/>
          <w:w w:val="97"/>
        </w:rPr>
        <w:t xml:space="preserve"> ，属于</w:t>
      </w:r>
      <w:r>
        <w:rPr>
          <w:rFonts w:hint="eastAsia" w:ascii="宋体" w:hAnsi="宋体" w:cs="宋体"/>
          <w:color w:val="auto"/>
          <w:w w:val="97"/>
          <w:u w:val="single"/>
        </w:rPr>
        <w:t xml:space="preserve">                （采购文件中明确的所属行业）            </w:t>
      </w:r>
    </w:p>
    <w:p>
      <w:pPr>
        <w:spacing w:line="360" w:lineRule="auto"/>
        <w:rPr>
          <w:rFonts w:ascii="宋体" w:hAnsi="宋体" w:cs="宋体"/>
          <w:w w:val="97"/>
          <w:sz w:val="24"/>
          <w:szCs w:val="24"/>
          <w:u w:val="single"/>
        </w:rPr>
      </w:pP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pStyle w:val="10"/>
        <w:numPr>
          <w:ilvl w:val="0"/>
          <w:numId w:val="26"/>
        </w:numPr>
        <w:spacing w:line="360" w:lineRule="auto"/>
        <w:rPr>
          <w:rFonts w:ascii="宋体" w:hAnsi="宋体" w:cs="宋体"/>
          <w:color w:val="auto"/>
          <w:w w:val="97"/>
        </w:rPr>
      </w:pPr>
      <w:r>
        <w:rPr>
          <w:rFonts w:hint="eastAsia" w:ascii="宋体" w:hAnsi="宋体" w:cs="宋体"/>
          <w:color w:val="auto"/>
          <w:w w:val="97"/>
          <w:u w:val="single"/>
        </w:rPr>
        <w:t xml:space="preserve">    （标的名称）</w:t>
      </w:r>
      <w:r>
        <w:rPr>
          <w:rFonts w:hint="eastAsia" w:ascii="宋体" w:hAnsi="宋体" w:cs="宋体"/>
          <w:color w:val="auto"/>
          <w:w w:val="97"/>
        </w:rPr>
        <w:t xml:space="preserve"> ，属于</w:t>
      </w:r>
      <w:r>
        <w:rPr>
          <w:rFonts w:hint="eastAsia" w:ascii="宋体" w:hAnsi="宋体" w:cs="宋体"/>
          <w:color w:val="auto"/>
          <w:w w:val="97"/>
          <w:u w:val="single"/>
        </w:rPr>
        <w:t xml:space="preserve">                （采购文件中明确的所属行业）            </w:t>
      </w:r>
    </w:p>
    <w:p>
      <w:pPr>
        <w:spacing w:line="360" w:lineRule="auto"/>
        <w:rPr>
          <w:rFonts w:ascii="宋体" w:hAnsi="宋体" w:cs="宋体"/>
          <w:w w:val="97"/>
          <w:sz w:val="24"/>
          <w:szCs w:val="24"/>
          <w:u w:val="single"/>
        </w:rPr>
      </w:pP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spacing w:line="360" w:lineRule="auto"/>
        <w:ind w:left="640"/>
        <w:rPr>
          <w:rFonts w:ascii="宋体" w:hAnsi="宋体" w:cs="宋体"/>
          <w:sz w:val="24"/>
          <w:szCs w:val="24"/>
        </w:rPr>
      </w:pPr>
      <w:r>
        <w:rPr>
          <w:rFonts w:hint="eastAsia" w:ascii="宋体" w:hAnsi="宋体" w:cs="宋体"/>
          <w:sz w:val="24"/>
          <w:szCs w:val="24"/>
        </w:rPr>
        <w:t>……</w:t>
      </w:r>
    </w:p>
    <w:p>
      <w:pPr>
        <w:spacing w:line="360" w:lineRule="auto"/>
        <w:ind w:right="160" w:firstLine="646"/>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spacing w:line="360" w:lineRule="auto"/>
        <w:rPr>
          <w:rFonts w:ascii="宋体" w:hAnsi="宋体" w:cs="宋体"/>
          <w:sz w:val="24"/>
          <w:szCs w:val="24"/>
        </w:rPr>
      </w:pPr>
    </w:p>
    <w:p>
      <w:pPr>
        <w:spacing w:line="360" w:lineRule="auto"/>
        <w:ind w:right="160" w:firstLine="646"/>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spacing w:line="360" w:lineRule="auto"/>
        <w:rPr>
          <w:rFonts w:ascii="宋体" w:hAnsi="宋体" w:cs="宋体"/>
          <w:sz w:val="24"/>
          <w:szCs w:val="24"/>
        </w:rPr>
      </w:pPr>
    </w:p>
    <w:p>
      <w:pPr>
        <w:spacing w:line="360" w:lineRule="auto"/>
        <w:ind w:left="3840" w:right="1900"/>
        <w:rPr>
          <w:rFonts w:ascii="宋体" w:hAnsi="宋体" w:cs="宋体"/>
          <w:sz w:val="24"/>
          <w:szCs w:val="24"/>
        </w:rPr>
      </w:pPr>
      <w:r>
        <w:rPr>
          <w:rFonts w:hint="eastAsia" w:ascii="宋体" w:hAnsi="宋体" w:cs="宋体"/>
          <w:sz w:val="24"/>
          <w:szCs w:val="24"/>
        </w:rPr>
        <w:t>企业名称（盖章）：日期：</w:t>
      </w:r>
    </w:p>
    <w:p>
      <w:pPr>
        <w:rPr>
          <w:rFonts w:ascii="宋体" w:hAnsi="宋体"/>
          <w:sz w:val="18"/>
        </w:rPr>
      </w:pPr>
      <w:r>
        <w:rPr>
          <w:rFonts w:ascii="仿宋" w:hAnsi="仿宋" w:eastAsia="仿宋"/>
          <w:sz w:val="32"/>
        </w:rPr>
        <w:drawing>
          <wp:anchor distT="0" distB="0" distL="114300" distR="114300" simplePos="0" relativeHeight="251666432" behindDoc="1" locked="0" layoutInCell="0" allowOverlap="1">
            <wp:simplePos x="0" y="0"/>
            <wp:positionH relativeFrom="column">
              <wp:posOffset>0</wp:posOffset>
            </wp:positionH>
            <wp:positionV relativeFrom="paragraph">
              <wp:posOffset>224790</wp:posOffset>
            </wp:positionV>
            <wp:extent cx="1828800" cy="12700"/>
            <wp:effectExtent l="0" t="0" r="0" b="0"/>
            <wp:wrapNone/>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24"/>
                    <a:stretch>
                      <a:fillRect/>
                    </a:stretch>
                  </pic:blipFill>
                  <pic:spPr>
                    <a:xfrm>
                      <a:off x="0" y="0"/>
                      <a:ext cx="1828800" cy="12700"/>
                    </a:xfrm>
                    <a:prstGeom prst="rect">
                      <a:avLst/>
                    </a:prstGeom>
                    <a:noFill/>
                    <a:ln>
                      <a:noFill/>
                    </a:ln>
                  </pic:spPr>
                </pic:pic>
              </a:graphicData>
            </a:graphic>
          </wp:anchor>
        </w:drawing>
      </w:r>
      <w:r>
        <w:rPr>
          <w:rFonts w:eastAsia="Times New Roman"/>
          <w:sz w:val="23"/>
          <w:vertAlign w:val="superscript"/>
        </w:rPr>
        <w:t>1</w:t>
      </w:r>
      <w:r>
        <w:rPr>
          <w:rFonts w:ascii="宋体" w:hAnsi="宋体"/>
          <w:sz w:val="18"/>
        </w:rPr>
        <w:t>从业人员、营业收入、资产总额填报上一年度数据，无上一年度数据的新成立企业可不填报。</w:t>
      </w:r>
    </w:p>
    <w:p>
      <w:pPr>
        <w:pStyle w:val="4"/>
        <w:rPr>
          <w:rFonts w:ascii="宋体" w:hAnsi="宋体" w:cs="宋体"/>
        </w:rPr>
        <w:sectPr>
          <w:footerReference r:id="rId15" w:type="default"/>
          <w:pgSz w:w="11906" w:h="16838"/>
          <w:pgMar w:top="1440" w:right="1803" w:bottom="1440" w:left="1803" w:header="851" w:footer="992" w:gutter="0"/>
          <w:cols w:space="720" w:num="1"/>
          <w:docGrid w:type="lines" w:linePitch="319" w:charSpace="0"/>
        </w:sectPr>
      </w:pPr>
    </w:p>
    <w:p>
      <w:pPr>
        <w:widowControl/>
        <w:spacing w:line="360" w:lineRule="auto"/>
        <w:ind w:left="840"/>
        <w:jc w:val="center"/>
        <w:rPr>
          <w:rFonts w:ascii="宋体" w:hAnsi="宋体" w:cs="宋体"/>
          <w:sz w:val="32"/>
          <w:szCs w:val="32"/>
        </w:rPr>
      </w:pPr>
      <w:r>
        <w:rPr>
          <w:rFonts w:hint="eastAsia" w:ascii="宋体" w:hAnsi="宋体" w:cs="宋体"/>
          <w:sz w:val="32"/>
          <w:szCs w:val="32"/>
        </w:rPr>
        <w:t>9、本项目不接受联合体</w:t>
      </w:r>
    </w:p>
    <w:p>
      <w:pPr>
        <w:pStyle w:val="12"/>
        <w:ind w:left="420" w:leftChars="200" w:firstLine="0"/>
        <w:rPr>
          <w:rFonts w:ascii="宋体" w:hAnsi="宋体" w:cs="宋体"/>
        </w:rPr>
      </w:pPr>
    </w:p>
    <w:p>
      <w:pPr>
        <w:pStyle w:val="21"/>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我单位参与陕西卓佲项目管理有限公司组织的____________________(项目名称)，我单位郑重声明：我方非联合体，如有虚假，承担相应责任。</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特此声明！</w:t>
      </w:r>
    </w:p>
    <w:p>
      <w:pPr>
        <w:rPr>
          <w:rFonts w:ascii="宋体" w:hAnsi="宋体" w:cs="宋体"/>
        </w:rPr>
      </w:pPr>
    </w:p>
    <w:p>
      <w:pPr>
        <w:pStyle w:val="12"/>
        <w:rPr>
          <w:rFonts w:ascii="宋体" w:hAnsi="宋体" w:cs="宋体"/>
          <w:sz w:val="24"/>
          <w:szCs w:val="24"/>
        </w:rPr>
      </w:pPr>
    </w:p>
    <w:p>
      <w:pPr>
        <w:pStyle w:val="12"/>
        <w:rPr>
          <w:rFonts w:ascii="宋体" w:hAnsi="宋体" w:cs="宋体"/>
          <w:sz w:val="24"/>
          <w:szCs w:val="24"/>
        </w:rPr>
      </w:pPr>
    </w:p>
    <w:p>
      <w:pPr>
        <w:pStyle w:val="12"/>
        <w:rPr>
          <w:rFonts w:ascii="宋体" w:hAnsi="宋体" w:cs="宋体"/>
          <w:sz w:val="24"/>
          <w:szCs w:val="24"/>
        </w:rPr>
      </w:pPr>
    </w:p>
    <w:p>
      <w:pPr>
        <w:pStyle w:val="12"/>
        <w:rPr>
          <w:rFonts w:ascii="宋体" w:hAnsi="宋体" w:cs="宋体"/>
          <w:sz w:val="24"/>
          <w:szCs w:val="24"/>
        </w:rPr>
      </w:pPr>
    </w:p>
    <w:p>
      <w:pPr>
        <w:pStyle w:val="12"/>
        <w:rPr>
          <w:rFonts w:ascii="宋体" w:hAnsi="宋体" w:cs="宋体"/>
          <w:sz w:val="24"/>
          <w:szCs w:val="24"/>
        </w:rPr>
      </w:pPr>
    </w:p>
    <w:p>
      <w:pPr>
        <w:pStyle w:val="12"/>
        <w:rPr>
          <w:rFonts w:ascii="宋体" w:hAnsi="宋体" w:cs="宋体"/>
          <w:sz w:val="24"/>
          <w:szCs w:val="24"/>
        </w:rPr>
      </w:pPr>
    </w:p>
    <w:p>
      <w:pPr>
        <w:pStyle w:val="13"/>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3"/>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pStyle w:val="4"/>
        <w:tabs>
          <w:tab w:val="left" w:pos="2096"/>
          <w:tab w:val="center" w:pos="5024"/>
        </w:tabs>
        <w:spacing w:before="319" w:beforeLines="100" w:after="478" w:afterLines="150" w:line="500" w:lineRule="exact"/>
        <w:ind w:firstLine="1084" w:firstLineChars="300"/>
        <w:rPr>
          <w:rFonts w:ascii="宋体" w:hAnsi="宋体" w:cs="宋体"/>
          <w:sz w:val="36"/>
          <w:szCs w:val="36"/>
        </w:rPr>
        <w:sectPr>
          <w:pgSz w:w="11906" w:h="16838"/>
          <w:pgMar w:top="1440" w:right="1803" w:bottom="1440" w:left="1803" w:header="851" w:footer="992" w:gutter="0"/>
          <w:cols w:space="720" w:num="1"/>
          <w:docGrid w:type="lines" w:linePitch="319" w:charSpace="0"/>
        </w:sectPr>
      </w:pPr>
    </w:p>
    <w:p>
      <w:pPr>
        <w:pStyle w:val="4"/>
        <w:tabs>
          <w:tab w:val="left" w:pos="2096"/>
          <w:tab w:val="center" w:pos="5024"/>
        </w:tabs>
        <w:spacing w:before="319" w:beforeLines="100" w:after="478" w:afterLines="150" w:line="500" w:lineRule="exact"/>
        <w:jc w:val="center"/>
        <w:rPr>
          <w:rFonts w:ascii="宋体" w:hAnsi="宋体" w:cs="宋体"/>
          <w:sz w:val="36"/>
          <w:szCs w:val="36"/>
        </w:rPr>
      </w:pPr>
      <w:bookmarkStart w:id="95" w:name="_Toc18151"/>
      <w:r>
        <w:rPr>
          <w:rFonts w:hint="eastAsia" w:ascii="宋体" w:hAnsi="宋体" w:cs="宋体"/>
          <w:sz w:val="36"/>
          <w:szCs w:val="36"/>
        </w:rPr>
        <w:t xml:space="preserve">第五部分 </w:t>
      </w:r>
      <w:bookmarkEnd w:id="92"/>
      <w:bookmarkEnd w:id="93"/>
      <w:bookmarkEnd w:id="94"/>
      <w:r>
        <w:rPr>
          <w:rFonts w:hint="eastAsia" w:ascii="宋体" w:hAnsi="宋体" w:cs="宋体"/>
          <w:sz w:val="36"/>
          <w:szCs w:val="36"/>
        </w:rPr>
        <w:t xml:space="preserve"> 技术与服务方案</w:t>
      </w:r>
      <w:bookmarkEnd w:id="95"/>
    </w:p>
    <w:p>
      <w:pPr>
        <w:rPr>
          <w:rFonts w:ascii="宋体" w:hAnsi="宋体" w:cs="宋体"/>
          <w:b/>
          <w:bCs/>
          <w:sz w:val="20"/>
          <w:szCs w:val="20"/>
        </w:rPr>
      </w:pPr>
      <w:r>
        <w:rPr>
          <w:rFonts w:hint="eastAsia" w:ascii="宋体" w:hAnsi="宋体" w:cs="宋体"/>
          <w:b/>
          <w:bCs/>
          <w:sz w:val="24"/>
          <w:szCs w:val="24"/>
        </w:rPr>
        <w:t>由供应商自行编写，无具体格式。</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adjustRightInd w:val="0"/>
        <w:snapToGrid w:val="0"/>
        <w:spacing w:line="480" w:lineRule="auto"/>
        <w:rPr>
          <w:rFonts w:ascii="宋体" w:hAnsi="宋体" w:cs="宋体"/>
        </w:rPr>
        <w:sectPr>
          <w:pgSz w:w="11906" w:h="16838"/>
          <w:pgMar w:top="1440" w:right="1803" w:bottom="1440" w:left="1803" w:header="851" w:footer="992" w:gutter="0"/>
          <w:cols w:space="720" w:num="1"/>
          <w:docGrid w:type="lines" w:linePitch="319" w:charSpace="0"/>
        </w:sectPr>
      </w:pPr>
    </w:p>
    <w:bookmarkEnd w:id="91"/>
    <w:p>
      <w:pPr>
        <w:pStyle w:val="4"/>
        <w:spacing w:before="319" w:beforeLines="100" w:after="478" w:afterLines="150" w:line="500" w:lineRule="exact"/>
        <w:jc w:val="center"/>
        <w:rPr>
          <w:rFonts w:ascii="宋体" w:hAnsi="宋体" w:cs="宋体"/>
          <w:sz w:val="36"/>
          <w:szCs w:val="36"/>
        </w:rPr>
      </w:pPr>
      <w:bookmarkStart w:id="96" w:name="_Toc26563"/>
      <w:bookmarkStart w:id="97" w:name="_Toc27522"/>
      <w:bookmarkStart w:id="98" w:name="_Toc16328"/>
      <w:bookmarkStart w:id="99" w:name="_Toc28968"/>
      <w:bookmarkStart w:id="100" w:name="_Toc10667"/>
      <w:r>
        <w:rPr>
          <w:rFonts w:hint="eastAsia" w:ascii="宋体" w:hAnsi="宋体" w:cs="宋体"/>
          <w:sz w:val="36"/>
          <w:szCs w:val="36"/>
        </w:rPr>
        <w:t xml:space="preserve">第六部分  </w:t>
      </w:r>
      <w:bookmarkStart w:id="101" w:name="_Toc21288"/>
      <w:bookmarkEnd w:id="101"/>
      <w:bookmarkEnd w:id="96"/>
      <w:bookmarkEnd w:id="97"/>
      <w:bookmarkEnd w:id="98"/>
      <w:r>
        <w:rPr>
          <w:rFonts w:hint="eastAsia" w:ascii="宋体" w:hAnsi="宋体" w:cs="宋体"/>
          <w:sz w:val="36"/>
          <w:szCs w:val="36"/>
        </w:rPr>
        <w:t>服务承诺</w:t>
      </w:r>
      <w:bookmarkEnd w:id="99"/>
    </w:p>
    <w:p>
      <w:pPr>
        <w:spacing w:line="360" w:lineRule="auto"/>
        <w:jc w:val="left"/>
        <w:rPr>
          <w:rFonts w:ascii="宋体" w:hAnsi="宋体" w:cs="宋体"/>
          <w:b/>
          <w:bCs/>
          <w:sz w:val="24"/>
          <w:szCs w:val="24"/>
        </w:rPr>
      </w:pPr>
      <w:r>
        <w:rPr>
          <w:rFonts w:hint="eastAsia" w:ascii="宋体" w:hAnsi="宋体" w:cs="宋体"/>
          <w:b/>
          <w:bCs/>
          <w:sz w:val="24"/>
          <w:szCs w:val="24"/>
        </w:rPr>
        <w:t>服务承诺由供应商自行编写，无具体格式。</w:t>
      </w:r>
    </w:p>
    <w:p>
      <w:pPr>
        <w:pStyle w:val="4"/>
        <w:jc w:val="center"/>
        <w:rPr>
          <w:rFonts w:ascii="宋体" w:hAnsi="宋体" w:cs="宋体"/>
          <w:sz w:val="36"/>
          <w:szCs w:val="36"/>
        </w:rPr>
      </w:pPr>
      <w:bookmarkStart w:id="102" w:name="_Toc3945"/>
      <w:r>
        <w:rPr>
          <w:rFonts w:hint="eastAsia" w:ascii="宋体" w:hAnsi="宋体" w:cs="宋体"/>
          <w:sz w:val="36"/>
          <w:szCs w:val="36"/>
        </w:rPr>
        <w:br w:type="page"/>
      </w:r>
      <w:bookmarkStart w:id="103" w:name="_Toc11687"/>
      <w:bookmarkStart w:id="104" w:name="_Toc2785"/>
      <w:r>
        <w:rPr>
          <w:rFonts w:hint="eastAsia" w:ascii="宋体" w:hAnsi="宋体" w:cs="宋体"/>
          <w:sz w:val="36"/>
          <w:szCs w:val="36"/>
        </w:rPr>
        <w:t>第七部分  业绩一览表</w:t>
      </w:r>
      <w:bookmarkEnd w:id="102"/>
      <w:bookmarkEnd w:id="103"/>
      <w:bookmarkEnd w:id="104"/>
    </w:p>
    <w:tbl>
      <w:tblPr>
        <w:tblStyle w:val="37"/>
        <w:tblW w:w="8784"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335"/>
        <w:gridCol w:w="1418"/>
        <w:gridCol w:w="1505"/>
        <w:gridCol w:w="104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pPr>
              <w:spacing w:line="400" w:lineRule="exact"/>
              <w:rPr>
                <w:rFonts w:ascii="宋体" w:hAnsi="宋体" w:cs="宋体"/>
              </w:rPr>
            </w:pPr>
            <w:r>
              <w:rPr>
                <w:rFonts w:hint="eastAsia" w:ascii="宋体" w:hAnsi="宋体" w:cs="宋体"/>
              </w:rPr>
              <w:t>年份</w:t>
            </w:r>
          </w:p>
        </w:tc>
        <w:tc>
          <w:tcPr>
            <w:tcW w:w="1440"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用户名称</w:t>
            </w:r>
          </w:p>
        </w:tc>
        <w:tc>
          <w:tcPr>
            <w:tcW w:w="1320"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项目名称</w:t>
            </w:r>
          </w:p>
        </w:tc>
        <w:tc>
          <w:tcPr>
            <w:tcW w:w="1335"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完成时间</w:t>
            </w:r>
          </w:p>
        </w:tc>
        <w:tc>
          <w:tcPr>
            <w:tcW w:w="1418" w:type="dxa"/>
            <w:tcBorders>
              <w:top w:val="single" w:color="auto" w:sz="4" w:space="0"/>
            </w:tcBorders>
            <w:vAlign w:val="center"/>
          </w:tcPr>
          <w:p>
            <w:pPr>
              <w:spacing w:line="400" w:lineRule="exact"/>
              <w:ind w:firstLine="105" w:firstLineChars="50"/>
              <w:rPr>
                <w:rFonts w:ascii="宋体" w:hAnsi="宋体" w:cs="宋体"/>
              </w:rPr>
            </w:pPr>
            <w:r>
              <w:rPr>
                <w:rFonts w:hint="eastAsia" w:ascii="宋体" w:hAnsi="宋体" w:cs="宋体"/>
              </w:rPr>
              <w:t>合同金额</w:t>
            </w:r>
          </w:p>
        </w:tc>
        <w:tc>
          <w:tcPr>
            <w:tcW w:w="1505" w:type="dxa"/>
            <w:tcBorders>
              <w:top w:val="single" w:color="auto" w:sz="4" w:space="0"/>
              <w:right w:val="single" w:color="auto" w:sz="4" w:space="0"/>
            </w:tcBorders>
            <w:vAlign w:val="center"/>
          </w:tcPr>
          <w:p>
            <w:pPr>
              <w:spacing w:line="400" w:lineRule="exact"/>
              <w:ind w:left="204" w:hanging="203" w:hangingChars="97"/>
              <w:rPr>
                <w:rFonts w:ascii="宋体" w:hAnsi="宋体" w:cs="宋体"/>
              </w:rPr>
            </w:pPr>
            <w:r>
              <w:rPr>
                <w:rFonts w:hint="eastAsia" w:ascii="宋体" w:hAnsi="宋体" w:cs="宋体"/>
              </w:rPr>
              <w:t>完成项目质量</w:t>
            </w:r>
          </w:p>
        </w:tc>
        <w:tc>
          <w:tcPr>
            <w:tcW w:w="1046" w:type="dxa"/>
            <w:tcBorders>
              <w:top w:val="single" w:color="auto" w:sz="4" w:space="0"/>
              <w:left w:val="single" w:color="auto" w:sz="4" w:space="0"/>
            </w:tcBorders>
            <w:vAlign w:val="center"/>
          </w:tcPr>
          <w:p>
            <w:pPr>
              <w:spacing w:line="400" w:lineRule="exact"/>
              <w:rPr>
                <w:rFonts w:ascii="宋体" w:hAnsi="宋体" w:cs="宋体"/>
              </w:rPr>
            </w:pPr>
            <w:r>
              <w:rPr>
                <w:rFonts w:hint="eastAsia" w:ascii="宋体" w:hAnsi="宋体" w:cs="宋体"/>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宋体"/>
              </w:rPr>
            </w:pPr>
          </w:p>
        </w:tc>
        <w:tc>
          <w:tcPr>
            <w:tcW w:w="1440" w:type="dxa"/>
            <w:vAlign w:val="center"/>
          </w:tcPr>
          <w:p>
            <w:pPr>
              <w:spacing w:line="400" w:lineRule="exact"/>
              <w:jc w:val="center"/>
              <w:rPr>
                <w:rFonts w:ascii="宋体" w:hAnsi="宋体" w:cs="宋体"/>
              </w:rPr>
            </w:pPr>
          </w:p>
        </w:tc>
        <w:tc>
          <w:tcPr>
            <w:tcW w:w="1320" w:type="dxa"/>
            <w:vAlign w:val="center"/>
          </w:tcPr>
          <w:p>
            <w:pPr>
              <w:spacing w:line="400" w:lineRule="exact"/>
              <w:jc w:val="center"/>
              <w:rPr>
                <w:rFonts w:ascii="宋体" w:hAnsi="宋体" w:cs="宋体"/>
              </w:rPr>
            </w:pPr>
          </w:p>
        </w:tc>
        <w:tc>
          <w:tcPr>
            <w:tcW w:w="1335" w:type="dxa"/>
            <w:vAlign w:val="center"/>
          </w:tcPr>
          <w:p>
            <w:pPr>
              <w:spacing w:line="400" w:lineRule="exact"/>
              <w:jc w:val="center"/>
              <w:rPr>
                <w:rFonts w:ascii="宋体" w:hAnsi="宋体" w:cs="宋体"/>
              </w:rPr>
            </w:pPr>
          </w:p>
        </w:tc>
        <w:tc>
          <w:tcPr>
            <w:tcW w:w="1418" w:type="dxa"/>
            <w:vAlign w:val="center"/>
          </w:tcPr>
          <w:p>
            <w:pPr>
              <w:spacing w:line="400" w:lineRule="exact"/>
              <w:jc w:val="center"/>
              <w:rPr>
                <w:rFonts w:ascii="宋体" w:hAnsi="宋体" w:cs="宋体"/>
              </w:rPr>
            </w:pPr>
          </w:p>
        </w:tc>
        <w:tc>
          <w:tcPr>
            <w:tcW w:w="1505" w:type="dxa"/>
            <w:tcBorders>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宋体"/>
              </w:rPr>
            </w:pPr>
          </w:p>
        </w:tc>
        <w:tc>
          <w:tcPr>
            <w:tcW w:w="1440" w:type="dxa"/>
            <w:vAlign w:val="center"/>
          </w:tcPr>
          <w:p>
            <w:pPr>
              <w:spacing w:line="400" w:lineRule="exact"/>
              <w:jc w:val="center"/>
              <w:rPr>
                <w:rFonts w:ascii="宋体" w:hAnsi="宋体" w:cs="宋体"/>
              </w:rPr>
            </w:pPr>
          </w:p>
        </w:tc>
        <w:tc>
          <w:tcPr>
            <w:tcW w:w="1320" w:type="dxa"/>
            <w:vAlign w:val="center"/>
          </w:tcPr>
          <w:p>
            <w:pPr>
              <w:spacing w:line="400" w:lineRule="exact"/>
              <w:jc w:val="center"/>
              <w:rPr>
                <w:rFonts w:ascii="宋体" w:hAnsi="宋体" w:cs="宋体"/>
              </w:rPr>
            </w:pPr>
          </w:p>
        </w:tc>
        <w:tc>
          <w:tcPr>
            <w:tcW w:w="1335" w:type="dxa"/>
            <w:vAlign w:val="center"/>
          </w:tcPr>
          <w:p>
            <w:pPr>
              <w:spacing w:line="400" w:lineRule="exact"/>
              <w:jc w:val="center"/>
              <w:rPr>
                <w:rFonts w:ascii="宋体" w:hAnsi="宋体" w:cs="宋体"/>
              </w:rPr>
            </w:pPr>
          </w:p>
        </w:tc>
        <w:tc>
          <w:tcPr>
            <w:tcW w:w="1418" w:type="dxa"/>
            <w:vAlign w:val="center"/>
          </w:tcPr>
          <w:p>
            <w:pPr>
              <w:spacing w:line="400" w:lineRule="exact"/>
              <w:jc w:val="center"/>
              <w:rPr>
                <w:rFonts w:ascii="宋体" w:hAnsi="宋体" w:cs="宋体"/>
              </w:rPr>
            </w:pPr>
          </w:p>
        </w:tc>
        <w:tc>
          <w:tcPr>
            <w:tcW w:w="1505" w:type="dxa"/>
            <w:tcBorders>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宋体"/>
              </w:rPr>
            </w:pPr>
          </w:p>
        </w:tc>
        <w:tc>
          <w:tcPr>
            <w:tcW w:w="1440" w:type="dxa"/>
            <w:vAlign w:val="center"/>
          </w:tcPr>
          <w:p>
            <w:pPr>
              <w:spacing w:line="400" w:lineRule="exact"/>
              <w:jc w:val="center"/>
              <w:rPr>
                <w:rFonts w:ascii="宋体" w:hAnsi="宋体" w:cs="宋体"/>
              </w:rPr>
            </w:pPr>
          </w:p>
        </w:tc>
        <w:tc>
          <w:tcPr>
            <w:tcW w:w="1320" w:type="dxa"/>
            <w:vAlign w:val="center"/>
          </w:tcPr>
          <w:p>
            <w:pPr>
              <w:spacing w:line="400" w:lineRule="exact"/>
              <w:jc w:val="center"/>
              <w:rPr>
                <w:rFonts w:ascii="宋体" w:hAnsi="宋体" w:cs="宋体"/>
              </w:rPr>
            </w:pPr>
          </w:p>
        </w:tc>
        <w:tc>
          <w:tcPr>
            <w:tcW w:w="1335" w:type="dxa"/>
            <w:vAlign w:val="center"/>
          </w:tcPr>
          <w:p>
            <w:pPr>
              <w:spacing w:line="400" w:lineRule="exact"/>
              <w:jc w:val="center"/>
              <w:rPr>
                <w:rFonts w:ascii="宋体" w:hAnsi="宋体" w:cs="宋体"/>
              </w:rPr>
            </w:pPr>
          </w:p>
        </w:tc>
        <w:tc>
          <w:tcPr>
            <w:tcW w:w="1418" w:type="dxa"/>
            <w:vAlign w:val="center"/>
          </w:tcPr>
          <w:p>
            <w:pPr>
              <w:spacing w:line="400" w:lineRule="exact"/>
              <w:jc w:val="center"/>
              <w:rPr>
                <w:rFonts w:ascii="宋体" w:hAnsi="宋体" w:cs="宋体"/>
              </w:rPr>
            </w:pPr>
          </w:p>
        </w:tc>
        <w:tc>
          <w:tcPr>
            <w:tcW w:w="1505" w:type="dxa"/>
            <w:tcBorders>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宋体"/>
              </w:rPr>
            </w:pPr>
          </w:p>
        </w:tc>
        <w:tc>
          <w:tcPr>
            <w:tcW w:w="1440" w:type="dxa"/>
            <w:tcBorders>
              <w:right w:val="single" w:color="auto" w:sz="4" w:space="0"/>
            </w:tcBorders>
            <w:vAlign w:val="center"/>
          </w:tcPr>
          <w:p>
            <w:pPr>
              <w:spacing w:line="400" w:lineRule="exact"/>
              <w:jc w:val="center"/>
              <w:rPr>
                <w:rFonts w:ascii="宋体" w:hAnsi="宋体" w:cs="宋体"/>
              </w:rPr>
            </w:pPr>
          </w:p>
        </w:tc>
        <w:tc>
          <w:tcPr>
            <w:tcW w:w="1320" w:type="dxa"/>
            <w:tcBorders>
              <w:left w:val="single" w:color="auto" w:sz="4" w:space="0"/>
            </w:tcBorders>
            <w:vAlign w:val="center"/>
          </w:tcPr>
          <w:p>
            <w:pPr>
              <w:spacing w:line="400" w:lineRule="exact"/>
              <w:jc w:val="center"/>
              <w:rPr>
                <w:rFonts w:ascii="宋体" w:hAnsi="宋体" w:cs="宋体"/>
              </w:rPr>
            </w:pPr>
          </w:p>
        </w:tc>
        <w:tc>
          <w:tcPr>
            <w:tcW w:w="1335" w:type="dxa"/>
            <w:vAlign w:val="center"/>
          </w:tcPr>
          <w:p>
            <w:pPr>
              <w:spacing w:line="400" w:lineRule="exact"/>
              <w:jc w:val="center"/>
              <w:rPr>
                <w:rFonts w:ascii="宋体" w:hAnsi="宋体" w:cs="宋体"/>
              </w:rPr>
            </w:pPr>
          </w:p>
        </w:tc>
        <w:tc>
          <w:tcPr>
            <w:tcW w:w="1418" w:type="dxa"/>
            <w:vAlign w:val="center"/>
          </w:tcPr>
          <w:p>
            <w:pPr>
              <w:spacing w:line="400" w:lineRule="exact"/>
              <w:jc w:val="center"/>
              <w:rPr>
                <w:rFonts w:ascii="宋体" w:hAnsi="宋体" w:cs="宋体"/>
              </w:rPr>
            </w:pPr>
          </w:p>
        </w:tc>
        <w:tc>
          <w:tcPr>
            <w:tcW w:w="1505" w:type="dxa"/>
            <w:tcBorders>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20" w:type="dxa"/>
            <w:tcBorders>
              <w:right w:val="single" w:color="auto" w:sz="4" w:space="0"/>
            </w:tcBorders>
            <w:vAlign w:val="center"/>
          </w:tcPr>
          <w:p>
            <w:pPr>
              <w:spacing w:line="400" w:lineRule="exact"/>
              <w:rPr>
                <w:rFonts w:ascii="宋体" w:hAnsi="宋体" w:cs="宋体"/>
              </w:rPr>
            </w:pPr>
          </w:p>
        </w:tc>
        <w:tc>
          <w:tcPr>
            <w:tcW w:w="1440" w:type="dxa"/>
            <w:tcBorders>
              <w:left w:val="single" w:color="auto" w:sz="4" w:space="0"/>
              <w:right w:val="single" w:color="auto" w:sz="4" w:space="0"/>
            </w:tcBorders>
            <w:vAlign w:val="center"/>
          </w:tcPr>
          <w:p>
            <w:pPr>
              <w:spacing w:line="400" w:lineRule="exact"/>
              <w:rPr>
                <w:rFonts w:ascii="宋体" w:hAnsi="宋体" w:cs="宋体"/>
              </w:rPr>
            </w:pPr>
          </w:p>
        </w:tc>
        <w:tc>
          <w:tcPr>
            <w:tcW w:w="1320" w:type="dxa"/>
            <w:tcBorders>
              <w:left w:val="single" w:color="auto" w:sz="4" w:space="0"/>
              <w:right w:val="single" w:color="auto" w:sz="4" w:space="0"/>
            </w:tcBorders>
            <w:vAlign w:val="center"/>
          </w:tcPr>
          <w:p>
            <w:pPr>
              <w:spacing w:line="400" w:lineRule="exact"/>
              <w:rPr>
                <w:rFonts w:ascii="宋体" w:hAnsi="宋体" w:cs="宋体"/>
              </w:rPr>
            </w:pPr>
          </w:p>
        </w:tc>
        <w:tc>
          <w:tcPr>
            <w:tcW w:w="1335" w:type="dxa"/>
            <w:tcBorders>
              <w:left w:val="single" w:color="auto" w:sz="4" w:space="0"/>
              <w:right w:val="single" w:color="auto" w:sz="4" w:space="0"/>
            </w:tcBorders>
            <w:vAlign w:val="center"/>
          </w:tcPr>
          <w:p>
            <w:pPr>
              <w:spacing w:line="400" w:lineRule="exact"/>
              <w:rPr>
                <w:rFonts w:ascii="宋体" w:hAnsi="宋体" w:cs="宋体"/>
              </w:rPr>
            </w:pPr>
          </w:p>
        </w:tc>
        <w:tc>
          <w:tcPr>
            <w:tcW w:w="1418" w:type="dxa"/>
            <w:tcBorders>
              <w:left w:val="single" w:color="auto" w:sz="4" w:space="0"/>
              <w:right w:val="single" w:color="auto" w:sz="4" w:space="0"/>
            </w:tcBorders>
            <w:vAlign w:val="center"/>
          </w:tcPr>
          <w:p>
            <w:pPr>
              <w:spacing w:line="400" w:lineRule="exact"/>
              <w:rPr>
                <w:rFonts w:ascii="宋体" w:hAnsi="宋体" w:cs="宋体"/>
              </w:rPr>
            </w:pPr>
          </w:p>
        </w:tc>
        <w:tc>
          <w:tcPr>
            <w:tcW w:w="1505" w:type="dxa"/>
            <w:tcBorders>
              <w:left w:val="single" w:color="auto" w:sz="4" w:space="0"/>
              <w:right w:val="single" w:color="auto" w:sz="4" w:space="0"/>
            </w:tcBorders>
            <w:vAlign w:val="center"/>
          </w:tcPr>
          <w:p>
            <w:pPr>
              <w:spacing w:line="400" w:lineRule="exact"/>
              <w:rPr>
                <w:rFonts w:ascii="宋体" w:hAnsi="宋体" w:cs="宋体"/>
              </w:rPr>
            </w:pPr>
          </w:p>
        </w:tc>
        <w:tc>
          <w:tcPr>
            <w:tcW w:w="1046"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rPr>
                <w:rFonts w:ascii="宋体" w:hAnsi="宋体" w:cs="宋体"/>
              </w:rPr>
            </w:pPr>
          </w:p>
        </w:tc>
        <w:tc>
          <w:tcPr>
            <w:tcW w:w="1440" w:type="dxa"/>
            <w:vAlign w:val="center"/>
          </w:tcPr>
          <w:p>
            <w:pPr>
              <w:spacing w:line="400" w:lineRule="exact"/>
              <w:rPr>
                <w:rFonts w:ascii="宋体" w:hAnsi="宋体" w:cs="宋体"/>
              </w:rPr>
            </w:pPr>
          </w:p>
        </w:tc>
        <w:tc>
          <w:tcPr>
            <w:tcW w:w="1320" w:type="dxa"/>
            <w:vAlign w:val="center"/>
          </w:tcPr>
          <w:p>
            <w:pPr>
              <w:spacing w:line="400" w:lineRule="exact"/>
              <w:rPr>
                <w:rFonts w:ascii="宋体" w:hAnsi="宋体" w:cs="宋体"/>
              </w:rPr>
            </w:pPr>
          </w:p>
        </w:tc>
        <w:tc>
          <w:tcPr>
            <w:tcW w:w="1335" w:type="dxa"/>
            <w:vAlign w:val="center"/>
          </w:tcPr>
          <w:p>
            <w:pPr>
              <w:spacing w:line="400" w:lineRule="exact"/>
              <w:rPr>
                <w:rFonts w:ascii="宋体" w:hAnsi="宋体" w:cs="宋体"/>
              </w:rPr>
            </w:pPr>
          </w:p>
        </w:tc>
        <w:tc>
          <w:tcPr>
            <w:tcW w:w="1418" w:type="dxa"/>
            <w:tcBorders>
              <w:right w:val="single" w:color="auto" w:sz="4" w:space="0"/>
            </w:tcBorders>
            <w:vAlign w:val="center"/>
          </w:tcPr>
          <w:p>
            <w:pPr>
              <w:spacing w:line="400" w:lineRule="exact"/>
              <w:rPr>
                <w:rFonts w:ascii="宋体" w:hAnsi="宋体" w:cs="宋体"/>
              </w:rPr>
            </w:pPr>
          </w:p>
        </w:tc>
        <w:tc>
          <w:tcPr>
            <w:tcW w:w="1505" w:type="dxa"/>
            <w:tcBorders>
              <w:left w:val="single" w:color="auto" w:sz="4" w:space="0"/>
              <w:right w:val="single" w:color="auto" w:sz="4" w:space="0"/>
            </w:tcBorders>
            <w:vAlign w:val="center"/>
          </w:tcPr>
          <w:p>
            <w:pPr>
              <w:spacing w:line="400" w:lineRule="exact"/>
              <w:rPr>
                <w:rFonts w:ascii="宋体" w:hAnsi="宋体" w:cs="宋体"/>
              </w:rPr>
            </w:pPr>
          </w:p>
        </w:tc>
        <w:tc>
          <w:tcPr>
            <w:tcW w:w="1046"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20" w:type="dxa"/>
            <w:tcBorders>
              <w:bottom w:val="single" w:color="auto" w:sz="4" w:space="0"/>
            </w:tcBorders>
            <w:vAlign w:val="center"/>
          </w:tcPr>
          <w:p>
            <w:pPr>
              <w:spacing w:line="400" w:lineRule="exact"/>
              <w:jc w:val="center"/>
              <w:rPr>
                <w:rFonts w:ascii="宋体" w:hAnsi="宋体" w:cs="宋体"/>
              </w:rPr>
            </w:pPr>
          </w:p>
        </w:tc>
        <w:tc>
          <w:tcPr>
            <w:tcW w:w="1440" w:type="dxa"/>
            <w:tcBorders>
              <w:bottom w:val="single" w:color="auto" w:sz="4" w:space="0"/>
            </w:tcBorders>
            <w:vAlign w:val="center"/>
          </w:tcPr>
          <w:p>
            <w:pPr>
              <w:spacing w:line="400" w:lineRule="exact"/>
              <w:jc w:val="center"/>
              <w:rPr>
                <w:rFonts w:ascii="宋体" w:hAnsi="宋体" w:cs="宋体"/>
              </w:rPr>
            </w:pPr>
          </w:p>
        </w:tc>
        <w:tc>
          <w:tcPr>
            <w:tcW w:w="1320" w:type="dxa"/>
            <w:tcBorders>
              <w:bottom w:val="single" w:color="auto" w:sz="4" w:space="0"/>
            </w:tcBorders>
            <w:vAlign w:val="center"/>
          </w:tcPr>
          <w:p>
            <w:pPr>
              <w:spacing w:line="400" w:lineRule="exact"/>
              <w:jc w:val="center"/>
              <w:rPr>
                <w:rFonts w:ascii="宋体" w:hAnsi="宋体" w:cs="宋体"/>
              </w:rPr>
            </w:pPr>
          </w:p>
        </w:tc>
        <w:tc>
          <w:tcPr>
            <w:tcW w:w="1335" w:type="dxa"/>
            <w:tcBorders>
              <w:bottom w:val="single" w:color="auto" w:sz="4" w:space="0"/>
            </w:tcBorders>
            <w:vAlign w:val="center"/>
          </w:tcPr>
          <w:p>
            <w:pPr>
              <w:spacing w:line="400" w:lineRule="exact"/>
              <w:jc w:val="center"/>
              <w:rPr>
                <w:rFonts w:ascii="宋体" w:hAnsi="宋体" w:cs="宋体"/>
              </w:rPr>
            </w:pPr>
          </w:p>
        </w:tc>
        <w:tc>
          <w:tcPr>
            <w:tcW w:w="1418" w:type="dxa"/>
            <w:tcBorders>
              <w:bottom w:val="single" w:color="auto" w:sz="4" w:space="0"/>
              <w:right w:val="single" w:color="auto" w:sz="4" w:space="0"/>
            </w:tcBorders>
            <w:vAlign w:val="center"/>
          </w:tcPr>
          <w:p>
            <w:pPr>
              <w:spacing w:line="400" w:lineRule="exact"/>
              <w:jc w:val="center"/>
              <w:rPr>
                <w:rFonts w:ascii="宋体" w:hAnsi="宋体" w:cs="宋体"/>
              </w:rPr>
            </w:pPr>
          </w:p>
        </w:tc>
        <w:tc>
          <w:tcPr>
            <w:tcW w:w="1505" w:type="dxa"/>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bottom w:val="single" w:color="auto" w:sz="4" w:space="0"/>
            </w:tcBorders>
            <w:vAlign w:val="center"/>
          </w:tcPr>
          <w:p>
            <w:pPr>
              <w:spacing w:line="400" w:lineRule="exact"/>
              <w:jc w:val="center"/>
              <w:rPr>
                <w:rFonts w:ascii="宋体" w:hAnsi="宋体" w:cs="宋体"/>
              </w:rPr>
            </w:pPr>
          </w:p>
        </w:tc>
      </w:tr>
    </w:tbl>
    <w:p>
      <w:pPr>
        <w:rPr>
          <w:rFonts w:ascii="宋体" w:hAnsi="宋体" w:cs="宋体"/>
        </w:rPr>
      </w:pPr>
    </w:p>
    <w:p>
      <w:pPr>
        <w:spacing w:line="360" w:lineRule="auto"/>
        <w:ind w:left="360"/>
        <w:jc w:val="left"/>
        <w:rPr>
          <w:rFonts w:ascii="宋体" w:hAnsi="宋体" w:cs="宋体"/>
          <w:sz w:val="24"/>
          <w:szCs w:val="24"/>
        </w:rPr>
      </w:pPr>
      <w:r>
        <w:rPr>
          <w:rFonts w:hint="eastAsia" w:ascii="宋体" w:hAnsi="宋体" w:cs="宋体"/>
          <w:sz w:val="24"/>
          <w:szCs w:val="24"/>
        </w:rPr>
        <w:t>后附合同复印件</w:t>
      </w:r>
    </w:p>
    <w:p>
      <w:pPr>
        <w:adjustRightInd w:val="0"/>
        <w:snapToGrid w:val="0"/>
        <w:spacing w:line="480" w:lineRule="auto"/>
        <w:jc w:val="left"/>
        <w:rPr>
          <w:rFonts w:ascii="宋体" w:hAnsi="宋体" w:cs="宋体"/>
          <w:sz w:val="24"/>
          <w:szCs w:val="24"/>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日    期：_____年_____月_____日</w:t>
      </w:r>
    </w:p>
    <w:p>
      <w:pPr>
        <w:pStyle w:val="4"/>
        <w:numPr>
          <w:ilvl w:val="0"/>
          <w:numId w:val="27"/>
        </w:numPr>
        <w:spacing w:before="319" w:beforeLines="100" w:after="478" w:afterLines="150" w:line="500" w:lineRule="exact"/>
        <w:jc w:val="center"/>
        <w:rPr>
          <w:rFonts w:ascii="宋体" w:hAnsi="宋体" w:cs="宋体"/>
          <w:sz w:val="36"/>
          <w:szCs w:val="36"/>
        </w:rPr>
      </w:pPr>
      <w:bookmarkStart w:id="105" w:name="_Toc19279"/>
      <w:r>
        <w:rPr>
          <w:rFonts w:hint="eastAsia" w:ascii="宋体" w:hAnsi="宋体" w:cs="宋体"/>
          <w:sz w:val="36"/>
          <w:szCs w:val="36"/>
        </w:rPr>
        <w:br w:type="page"/>
      </w:r>
      <w:bookmarkStart w:id="106" w:name="_Toc31275"/>
      <w:r>
        <w:rPr>
          <w:rFonts w:hint="eastAsia" w:ascii="宋体" w:hAnsi="宋体" w:cs="宋体"/>
          <w:sz w:val="36"/>
          <w:szCs w:val="36"/>
        </w:rPr>
        <w:t xml:space="preserve"> </w:t>
      </w:r>
      <w:bookmarkStart w:id="107" w:name="_Toc8664"/>
      <w:r>
        <w:rPr>
          <w:rFonts w:hint="eastAsia" w:ascii="宋体" w:hAnsi="宋体" w:cs="宋体"/>
          <w:sz w:val="36"/>
          <w:szCs w:val="36"/>
        </w:rPr>
        <w:t xml:space="preserve"> 供应商认为有必要说明的其他问题</w:t>
      </w:r>
      <w:bookmarkEnd w:id="105"/>
      <w:bookmarkEnd w:id="106"/>
      <w:bookmarkEnd w:id="107"/>
    </w:p>
    <w:p/>
    <w:p>
      <w:pPr>
        <w:pStyle w:val="10"/>
        <w:rPr>
          <w:color w:val="auto"/>
        </w:rPr>
        <w:sectPr>
          <w:pgSz w:w="11906" w:h="16838"/>
          <w:pgMar w:top="1440" w:right="1803" w:bottom="1440" w:left="1803" w:header="851" w:footer="992" w:gutter="0"/>
          <w:cols w:space="720" w:num="1"/>
          <w:docGrid w:type="lines" w:linePitch="319" w:charSpace="0"/>
        </w:sectPr>
      </w:pPr>
      <w:r>
        <w:rPr>
          <w:rFonts w:hint="eastAsia"/>
          <w:color w:val="auto"/>
        </w:rPr>
        <w:t>例如：投标保证金缴纳凭证</w:t>
      </w:r>
    </w:p>
    <w:bookmarkEnd w:id="100"/>
    <w:p>
      <w:pPr>
        <w:pStyle w:val="4"/>
        <w:adjustRightInd w:val="0"/>
        <w:spacing w:line="416" w:lineRule="atLeast"/>
        <w:jc w:val="center"/>
        <w:textAlignment w:val="baseline"/>
        <w:rPr>
          <w:rFonts w:ascii="宋体" w:hAnsi="宋体" w:cs="宋体"/>
        </w:rPr>
      </w:pPr>
      <w:bookmarkStart w:id="108" w:name="_Toc30181"/>
      <w:r>
        <w:rPr>
          <w:rFonts w:hint="eastAsia" w:ascii="宋体" w:hAnsi="宋体" w:cs="宋体"/>
        </w:rPr>
        <w:t>附件一、封袋正面标识式样</w:t>
      </w:r>
      <w:bookmarkEnd w:id="85"/>
      <w:bookmarkEnd w:id="108"/>
    </w:p>
    <w:p>
      <w:pPr>
        <w:spacing w:line="460" w:lineRule="exact"/>
        <w:ind w:firstLine="482" w:firstLineChars="200"/>
        <w:jc w:val="center"/>
        <w:rPr>
          <w:rFonts w:ascii="宋体" w:hAnsi="宋体" w:cs="宋体"/>
          <w:b/>
          <w:sz w:val="24"/>
        </w:rPr>
      </w:pPr>
      <w:r>
        <w:rPr>
          <w:rFonts w:hint="eastAsia" w:ascii="宋体" w:hAnsi="宋体" w:cs="宋体"/>
          <w:b/>
          <w:sz w:val="24"/>
        </w:rPr>
        <w:t>投标文件正本封袋正面标识式样</w:t>
      </w:r>
    </w:p>
    <w:p>
      <w:pPr>
        <w:spacing w:line="460" w:lineRule="exact"/>
        <w:ind w:firstLine="420" w:firstLineChars="200"/>
        <w:jc w:val="center"/>
        <w:rPr>
          <w:rFonts w:ascii="宋体" w:hAnsi="宋体" w:cs="宋体"/>
          <w:b/>
          <w:sz w:val="24"/>
        </w:rPr>
      </w:pPr>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-349885</wp:posOffset>
                </wp:positionH>
                <wp:positionV relativeFrom="paragraph">
                  <wp:posOffset>113030</wp:posOffset>
                </wp:positionV>
                <wp:extent cx="5819140" cy="2906395"/>
                <wp:effectExtent l="4445" t="4445" r="5715" b="22860"/>
                <wp:wrapNone/>
                <wp:docPr id="13" name="Text Box 3"/>
                <wp:cNvGraphicFramePr/>
                <a:graphic xmlns:a="http://schemas.openxmlformats.org/drawingml/2006/main">
                  <a:graphicData uri="http://schemas.microsoft.com/office/word/2010/wordprocessingShape">
                    <wps:wsp>
                      <wps:cNvSpPr txBox="1"/>
                      <wps:spPr>
                        <a:xfrm>
                          <a:off x="0" y="0"/>
                          <a:ext cx="5781040" cy="34918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r>
                              <w:rPr>
                                <w:rFonts w:hint="eastAsia"/>
                                <w:sz w:val="28"/>
                                <w:szCs w:val="28"/>
                              </w:rPr>
                              <w:t>致：陕西卓佲项目管理有限公司       项目编号：ZMZB2022ASJTJ-02</w:t>
                            </w:r>
                          </w:p>
                          <w:p>
                            <w:pPr>
                              <w:rPr>
                                <w:sz w:val="28"/>
                                <w:szCs w:val="28"/>
                              </w:rPr>
                            </w:pPr>
                            <w:r>
                              <w:rPr>
                                <w:rFonts w:hint="eastAsia"/>
                                <w:sz w:val="28"/>
                                <w:szCs w:val="28"/>
                              </w:rPr>
                              <w:t>项目名称：延安市安塞区教育体育局关于安塞区初级中学设备采购项目</w:t>
                            </w:r>
                          </w:p>
                          <w:p>
                            <w:pPr>
                              <w:jc w:val="center"/>
                              <w:rPr>
                                <w:b/>
                                <w:sz w:val="44"/>
                                <w:szCs w:val="44"/>
                              </w:rPr>
                            </w:pPr>
                            <w:r>
                              <w:rPr>
                                <w:rFonts w:hint="eastAsia"/>
                                <w:b/>
                                <w:sz w:val="44"/>
                                <w:szCs w:val="44"/>
                              </w:rPr>
                              <w:t>投标文件（正本）</w:t>
                            </w:r>
                          </w:p>
                          <w:p>
                            <w:pPr>
                              <w:pStyle w:val="2"/>
                              <w:ind w:firstLine="3092" w:firstLineChars="1100"/>
                              <w:jc w:val="both"/>
                              <w:rPr>
                                <w:rFonts w:hint="default"/>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wps:txbx>
                      <wps:bodyPr wrap="square" upright="1"/>
                    </wps:wsp>
                  </a:graphicData>
                </a:graphic>
              </wp:anchor>
            </w:drawing>
          </mc:Choice>
          <mc:Fallback>
            <w:pict>
              <v:shape id="Text Box 3" o:spid="_x0000_s1026" o:spt="202" type="#_x0000_t202" style="position:absolute;left:0pt;margin-left:-27.55pt;margin-top:8.9pt;height:228.85pt;width:458.2pt;z-index:251661312;mso-width-relative:page;mso-height-relative:page;" fillcolor="#FFFFFF" filled="t" stroked="t" coordsize="21600,21600" o:gfxdata="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vyEIPZAAAACgEAAA8AAAAAAAAAAQAgAAAAIgAAAGRycy9kb3ducmV2LnhtbFBLAQIU&#10;ABQAAAAIAIdO4kCEzvae8gEAAAUEAAAOAAAAAAAAAAEAIAAAACgBAABkcnMvZTJvRG9jLnhtbFBL&#10;BQYAAAAABgAGAFkBAACMBQAAAAA=&#10;">
                <v:fill on="t" focussize="0,0"/>
                <v:stroke color="#000000" joinstyle="miter"/>
                <v:imagedata o:title=""/>
                <o:lock v:ext="edit" aspectratio="f"/>
                <v:textbox>
                  <w:txbxContent>
                    <w:p>
                      <w:pPr>
                        <w:rPr>
                          <w:sz w:val="28"/>
                          <w:szCs w:val="28"/>
                        </w:rPr>
                      </w:pPr>
                      <w:r>
                        <w:rPr>
                          <w:rFonts w:hint="eastAsia"/>
                          <w:sz w:val="28"/>
                          <w:szCs w:val="28"/>
                        </w:rPr>
                        <w:t>致：陕西卓佲项目管理有限公司       项目编号：ZMZB2022ASJTJ-02</w:t>
                      </w:r>
                    </w:p>
                    <w:p>
                      <w:pPr>
                        <w:rPr>
                          <w:sz w:val="28"/>
                          <w:szCs w:val="28"/>
                        </w:rPr>
                      </w:pPr>
                      <w:r>
                        <w:rPr>
                          <w:rFonts w:hint="eastAsia"/>
                          <w:sz w:val="28"/>
                          <w:szCs w:val="28"/>
                        </w:rPr>
                        <w:t>项目名称：延安市安塞区教育体育局关于安塞区初级中学设备采购项目</w:t>
                      </w:r>
                    </w:p>
                    <w:p>
                      <w:pPr>
                        <w:jc w:val="center"/>
                        <w:rPr>
                          <w:b/>
                          <w:sz w:val="44"/>
                          <w:szCs w:val="44"/>
                        </w:rPr>
                      </w:pPr>
                      <w:r>
                        <w:rPr>
                          <w:rFonts w:hint="eastAsia"/>
                          <w:b/>
                          <w:sz w:val="44"/>
                          <w:szCs w:val="44"/>
                        </w:rPr>
                        <w:t>投标文件（正本）</w:t>
                      </w:r>
                    </w:p>
                    <w:p>
                      <w:pPr>
                        <w:pStyle w:val="2"/>
                        <w:ind w:firstLine="3092" w:firstLineChars="1100"/>
                        <w:jc w:val="both"/>
                        <w:rPr>
                          <w:rFonts w:hint="default"/>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pStyle w:val="12"/>
        <w:rPr>
          <w:rFonts w:ascii="宋体" w:hAnsi="宋体" w:cs="宋体"/>
        </w:rPr>
      </w:pPr>
    </w:p>
    <w:p>
      <w:pPr>
        <w:spacing w:line="460" w:lineRule="exact"/>
        <w:ind w:firstLine="482" w:firstLineChars="200"/>
        <w:jc w:val="center"/>
        <w:rPr>
          <w:rFonts w:ascii="宋体" w:hAnsi="宋体" w:cs="宋体"/>
          <w:b/>
          <w:sz w:val="24"/>
        </w:rPr>
      </w:pPr>
      <w:r>
        <w:rPr>
          <w:rFonts w:hint="eastAsia" w:ascii="宋体" w:hAnsi="宋体" w:cs="宋体"/>
          <w:b/>
          <w:sz w:val="24"/>
        </w:rPr>
        <w:t>投标文件副本封袋正面标识式样</w:t>
      </w:r>
    </w:p>
    <w:p>
      <w:pPr>
        <w:tabs>
          <w:tab w:val="left" w:pos="8280"/>
        </w:tabs>
        <w:spacing w:line="460" w:lineRule="exact"/>
        <w:ind w:firstLine="482" w:firstLineChars="200"/>
        <w:jc w:val="center"/>
        <w:rPr>
          <w:rFonts w:ascii="宋体" w:hAnsi="宋体" w:cs="宋体"/>
          <w:b/>
          <w:sz w:val="24"/>
        </w:rPr>
      </w:pPr>
    </w:p>
    <w:p>
      <w:pPr>
        <w:ind w:firstLine="420" w:firstLineChars="200"/>
        <w:jc w:val="center"/>
        <w:rPr>
          <w:rFonts w:ascii="宋体" w:hAnsi="宋体" w:cs="宋体"/>
        </w:rPr>
      </w:pPr>
    </w:p>
    <w:p>
      <w:pPr>
        <w:ind w:firstLine="420" w:firstLineChars="200"/>
        <w:jc w:val="center"/>
        <w:rPr>
          <w:rFonts w:ascii="宋体" w:hAnsi="宋体" w:cs="宋体"/>
        </w:rPr>
      </w:pPr>
      <w:r>
        <w:rPr>
          <w:rFonts w:hint="eastAsia"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-314325</wp:posOffset>
                </wp:positionH>
                <wp:positionV relativeFrom="paragraph">
                  <wp:posOffset>100330</wp:posOffset>
                </wp:positionV>
                <wp:extent cx="5870575" cy="3020060"/>
                <wp:effectExtent l="4445" t="4445" r="11430" b="23495"/>
                <wp:wrapNone/>
                <wp:docPr id="6" name="Text Box 4"/>
                <wp:cNvGraphicFramePr/>
                <a:graphic xmlns:a="http://schemas.openxmlformats.org/drawingml/2006/main">
                  <a:graphicData uri="http://schemas.microsoft.com/office/word/2010/wordprocessingShape">
                    <wps:wsp>
                      <wps:cNvSpPr txBox="1"/>
                      <wps:spPr>
                        <a:xfrm>
                          <a:off x="0" y="0"/>
                          <a:ext cx="5825490" cy="31807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r>
                              <w:rPr>
                                <w:rFonts w:hint="eastAsia"/>
                                <w:sz w:val="28"/>
                                <w:szCs w:val="28"/>
                              </w:rPr>
                              <w:t>致：陕西卓佲项目管理有限公司        项目编号：ZMZB2022ASJTJ-02</w:t>
                            </w:r>
                          </w:p>
                          <w:p>
                            <w:pPr>
                              <w:rPr>
                                <w:sz w:val="28"/>
                                <w:szCs w:val="28"/>
                              </w:rPr>
                            </w:pPr>
                            <w:r>
                              <w:rPr>
                                <w:rFonts w:hint="eastAsia"/>
                                <w:sz w:val="28"/>
                                <w:szCs w:val="28"/>
                              </w:rPr>
                              <w:t>项目名称：延安市安塞区教育体育局关于安塞区初级中学设备采购项目</w:t>
                            </w:r>
                          </w:p>
                          <w:p>
                            <w:pPr>
                              <w:pStyle w:val="10"/>
                              <w:ind w:firstLine="2650" w:firstLineChars="600"/>
                              <w:jc w:val="left"/>
                              <w:rPr>
                                <w:sz w:val="28"/>
                                <w:szCs w:val="28"/>
                              </w:rPr>
                            </w:pPr>
                            <w:r>
                              <w:rPr>
                                <w:rFonts w:hint="eastAsia"/>
                                <w:b/>
                                <w:color w:val="auto"/>
                                <w:sz w:val="44"/>
                                <w:szCs w:val="44"/>
                              </w:rPr>
                              <w:t>投标文件（副本）</w:t>
                            </w:r>
                          </w:p>
                          <w:p>
                            <w:pPr>
                              <w:pStyle w:val="2"/>
                              <w:ind w:firstLine="3092" w:firstLineChars="1100"/>
                              <w:rPr>
                                <w:rFonts w:hint="default"/>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wps:txbx>
                      <wps:bodyPr wrap="square" upright="1"/>
                    </wps:wsp>
                  </a:graphicData>
                </a:graphic>
              </wp:anchor>
            </w:drawing>
          </mc:Choice>
          <mc:Fallback>
            <w:pict>
              <v:shape id="Text Box 4" o:spid="_x0000_s1026" o:spt="202" type="#_x0000_t202" style="position:absolute;left:0pt;margin-left:-24.75pt;margin-top:7.9pt;height:237.8pt;width:462.25pt;z-index:251662336;mso-width-relative:page;mso-height-relative:page;" fillcolor="#FFFFFF" filled="t" stroked="t" coordsize="21600,21600" o:gfxdata="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PYrhtkAAAAKAQAADwAAAAAAAAABACAAAAAiAAAAZHJzL2Rvd25yZXYueG1sUEsBAhQA&#10;FAAAAAgAh07iQGLUGdzxAQAABAQAAA4AAAAAAAAAAQAgAAAAKAEAAGRycy9lMm9Eb2MueG1sUEsF&#10;BgAAAAAGAAYAWQEAAIsFAAAAAA==&#10;">
                <v:fill on="t" focussize="0,0"/>
                <v:stroke color="#000000" joinstyle="miter"/>
                <v:imagedata o:title=""/>
                <o:lock v:ext="edit" aspectratio="f"/>
                <v:textbox>
                  <w:txbxContent>
                    <w:p>
                      <w:pPr>
                        <w:rPr>
                          <w:sz w:val="28"/>
                          <w:szCs w:val="28"/>
                        </w:rPr>
                      </w:pPr>
                      <w:r>
                        <w:rPr>
                          <w:rFonts w:hint="eastAsia"/>
                          <w:sz w:val="28"/>
                          <w:szCs w:val="28"/>
                        </w:rPr>
                        <w:t>致：陕西卓佲项目管理有限公司        项目编号：ZMZB2022ASJTJ-02</w:t>
                      </w:r>
                    </w:p>
                    <w:p>
                      <w:pPr>
                        <w:rPr>
                          <w:sz w:val="28"/>
                          <w:szCs w:val="28"/>
                        </w:rPr>
                      </w:pPr>
                      <w:r>
                        <w:rPr>
                          <w:rFonts w:hint="eastAsia"/>
                          <w:sz w:val="28"/>
                          <w:szCs w:val="28"/>
                        </w:rPr>
                        <w:t>项目名称：延安市安塞区教育体育局关于安塞区初级中学设备采购项目</w:t>
                      </w:r>
                    </w:p>
                    <w:p>
                      <w:pPr>
                        <w:pStyle w:val="10"/>
                        <w:ind w:firstLine="2650" w:firstLineChars="600"/>
                        <w:jc w:val="left"/>
                        <w:rPr>
                          <w:sz w:val="28"/>
                          <w:szCs w:val="28"/>
                        </w:rPr>
                      </w:pPr>
                      <w:r>
                        <w:rPr>
                          <w:rFonts w:hint="eastAsia"/>
                          <w:b/>
                          <w:color w:val="auto"/>
                          <w:sz w:val="44"/>
                          <w:szCs w:val="44"/>
                        </w:rPr>
                        <w:t>投标文件（副本）</w:t>
                      </w:r>
                    </w:p>
                    <w:p>
                      <w:pPr>
                        <w:pStyle w:val="2"/>
                        <w:ind w:firstLine="3092" w:firstLineChars="1100"/>
                        <w:rPr>
                          <w:rFonts w:hint="default"/>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sz w:val="50"/>
        </w:rPr>
      </w:pPr>
    </w:p>
    <w:p>
      <w:pPr>
        <w:widowControl/>
        <w:spacing w:line="460" w:lineRule="exact"/>
        <w:ind w:firstLine="480" w:firstLineChars="200"/>
        <w:jc w:val="center"/>
        <w:rPr>
          <w:rFonts w:ascii="宋体" w:hAnsi="宋体" w:cs="宋体"/>
          <w:sz w:val="24"/>
          <w:szCs w:val="28"/>
        </w:rPr>
        <w:sectPr>
          <w:footerReference r:id="rId16" w:type="default"/>
          <w:pgSz w:w="11906" w:h="16838"/>
          <w:pgMar w:top="1440" w:right="1803" w:bottom="1440" w:left="1803" w:header="851" w:footer="992" w:gutter="0"/>
          <w:cols w:space="720" w:num="1"/>
          <w:docGrid w:type="lines" w:linePitch="319" w:charSpace="0"/>
        </w:sectPr>
      </w:pPr>
    </w:p>
    <w:p>
      <w:pPr>
        <w:spacing w:line="460" w:lineRule="exact"/>
        <w:ind w:firstLine="482" w:firstLineChars="200"/>
        <w:jc w:val="center"/>
        <w:rPr>
          <w:rFonts w:ascii="宋体" w:hAnsi="宋体" w:cs="宋体"/>
          <w:b/>
          <w:sz w:val="24"/>
        </w:rPr>
      </w:pPr>
      <w:r>
        <w:rPr>
          <w:rFonts w:hint="eastAsia" w:ascii="宋体" w:hAnsi="宋体" w:cs="宋体"/>
          <w:b/>
          <w:sz w:val="24"/>
        </w:rPr>
        <w:t>报价一览表封袋正面标识式样</w:t>
      </w:r>
    </w:p>
    <w:p>
      <w:pPr>
        <w:spacing w:line="460" w:lineRule="exact"/>
        <w:ind w:firstLine="420" w:firstLineChars="200"/>
        <w:jc w:val="center"/>
        <w:rPr>
          <w:rFonts w:ascii="宋体" w:hAnsi="宋体" w:cs="宋体"/>
          <w:b/>
          <w:sz w:val="24"/>
        </w:rPr>
      </w:pPr>
      <w:r>
        <w:rPr>
          <w:rFonts w:hint="eastAsia"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-325755</wp:posOffset>
                </wp:positionH>
                <wp:positionV relativeFrom="paragraph">
                  <wp:posOffset>191135</wp:posOffset>
                </wp:positionV>
                <wp:extent cx="5760085" cy="3042920"/>
                <wp:effectExtent l="5080" t="4445" r="6985" b="19685"/>
                <wp:wrapNone/>
                <wp:docPr id="11" name="Text Box 3"/>
                <wp:cNvGraphicFramePr/>
                <a:graphic xmlns:a="http://schemas.openxmlformats.org/drawingml/2006/main">
                  <a:graphicData uri="http://schemas.microsoft.com/office/word/2010/wordprocessingShape">
                    <wps:wsp>
                      <wps:cNvSpPr txBox="1"/>
                      <wps:spPr>
                        <a:xfrm>
                          <a:off x="0" y="0"/>
                          <a:ext cx="5706745" cy="3060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r>
                              <w:rPr>
                                <w:rFonts w:hint="eastAsia"/>
                                <w:sz w:val="28"/>
                                <w:szCs w:val="28"/>
                              </w:rPr>
                              <w:t>致：陕西卓佲项目管理有限公司        项目编号：ZMZB2022ASJTJ-02</w:t>
                            </w:r>
                          </w:p>
                          <w:p>
                            <w:pPr>
                              <w:rPr>
                                <w:sz w:val="28"/>
                                <w:szCs w:val="28"/>
                              </w:rPr>
                            </w:pPr>
                            <w:r>
                              <w:rPr>
                                <w:rFonts w:hint="eastAsia"/>
                                <w:sz w:val="28"/>
                                <w:szCs w:val="28"/>
                              </w:rPr>
                              <w:t>项目名称：延安市安塞区教育体育局关于安塞区初级中学设备采购项目</w:t>
                            </w:r>
                          </w:p>
                          <w:p>
                            <w:pPr>
                              <w:pStyle w:val="2"/>
                              <w:ind w:firstLine="3092" w:firstLineChars="700"/>
                              <w:jc w:val="both"/>
                              <w:rPr>
                                <w:rFonts w:hint="default"/>
                                <w:sz w:val="28"/>
                                <w:szCs w:val="28"/>
                              </w:rPr>
                            </w:pPr>
                            <w:r>
                              <w:rPr>
                                <w:sz w:val="44"/>
                                <w:szCs w:val="44"/>
                              </w:rPr>
                              <w:t>报价一览表</w:t>
                            </w:r>
                          </w:p>
                          <w:p>
                            <w:pPr>
                              <w:pStyle w:val="2"/>
                              <w:ind w:firstLine="2530" w:firstLineChars="900"/>
                              <w:jc w:val="both"/>
                              <w:rPr>
                                <w:rFonts w:hint="default"/>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wps:txbx>
                      <wps:bodyPr wrap="square" upright="1"/>
                    </wps:wsp>
                  </a:graphicData>
                </a:graphic>
              </wp:anchor>
            </w:drawing>
          </mc:Choice>
          <mc:Fallback>
            <w:pict>
              <v:shape id="Text Box 3" o:spid="_x0000_s1026" o:spt="202" type="#_x0000_t202" style="position:absolute;left:0pt;margin-left:-25.65pt;margin-top:15.05pt;height:239.6pt;width:453.55pt;z-index:251663360;mso-width-relative:page;mso-height-relative:page;" fillcolor="#FFFFFF" filled="t" stroked="t" coordsize="21600,21600" o:gfxdata="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uCdwNoAAAAKAQAADwAAAAAAAAABACAAAAAiAAAAZHJzL2Rvd25yZXYueG1sUEsB&#10;AhQAFAAAAAgAh07iQNPHhFbzAQAABQQAAA4AAAAAAAAAAQAgAAAAKQEAAGRycy9lMm9Eb2MueG1s&#10;UEsFBgAAAAAGAAYAWQEAAI4FAAAAAA==&#10;">
                <v:fill on="t" focussize="0,0"/>
                <v:stroke color="#000000" joinstyle="miter"/>
                <v:imagedata o:title=""/>
                <o:lock v:ext="edit" aspectratio="f"/>
                <v:textbox>
                  <w:txbxContent>
                    <w:p>
                      <w:pPr>
                        <w:rPr>
                          <w:sz w:val="28"/>
                          <w:szCs w:val="28"/>
                        </w:rPr>
                      </w:pPr>
                      <w:r>
                        <w:rPr>
                          <w:rFonts w:hint="eastAsia"/>
                          <w:sz w:val="28"/>
                          <w:szCs w:val="28"/>
                        </w:rPr>
                        <w:t>致：陕西卓佲项目管理有限公司        项目编号：ZMZB2022ASJTJ-02</w:t>
                      </w:r>
                    </w:p>
                    <w:p>
                      <w:pPr>
                        <w:rPr>
                          <w:sz w:val="28"/>
                          <w:szCs w:val="28"/>
                        </w:rPr>
                      </w:pPr>
                      <w:r>
                        <w:rPr>
                          <w:rFonts w:hint="eastAsia"/>
                          <w:sz w:val="28"/>
                          <w:szCs w:val="28"/>
                        </w:rPr>
                        <w:t>项目名称：延安市安塞区教育体育局关于安塞区初级中学设备采购项目</w:t>
                      </w:r>
                    </w:p>
                    <w:p>
                      <w:pPr>
                        <w:pStyle w:val="2"/>
                        <w:ind w:firstLine="3092" w:firstLineChars="700"/>
                        <w:jc w:val="both"/>
                        <w:rPr>
                          <w:rFonts w:hint="default"/>
                          <w:sz w:val="28"/>
                          <w:szCs w:val="28"/>
                        </w:rPr>
                      </w:pPr>
                      <w:r>
                        <w:rPr>
                          <w:sz w:val="44"/>
                          <w:szCs w:val="44"/>
                        </w:rPr>
                        <w:t>报价一览表</w:t>
                      </w:r>
                    </w:p>
                    <w:p>
                      <w:pPr>
                        <w:pStyle w:val="2"/>
                        <w:ind w:firstLine="2530" w:firstLineChars="900"/>
                        <w:jc w:val="both"/>
                        <w:rPr>
                          <w:rFonts w:hint="default"/>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r>
        <w:rPr>
          <w:rFonts w:hint="eastAsia" w:ascii="宋体" w:hAnsi="宋体" w:cs="宋体"/>
          <w:b/>
          <w:sz w:val="24"/>
        </w:rPr>
        <w:t>电子文档封袋正面标识式样</w:t>
      </w:r>
    </w:p>
    <w:p>
      <w:pPr>
        <w:tabs>
          <w:tab w:val="left" w:pos="8280"/>
        </w:tabs>
        <w:spacing w:line="460" w:lineRule="exact"/>
        <w:ind w:firstLine="420" w:firstLineChars="200"/>
        <w:jc w:val="center"/>
        <w:rPr>
          <w:rFonts w:ascii="宋体" w:hAnsi="宋体" w:cs="宋体"/>
          <w:b/>
          <w:sz w:val="24"/>
        </w:rPr>
      </w:pPr>
      <w:r>
        <w:rPr>
          <w:rFonts w:hint="eastAsia"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-331470</wp:posOffset>
                </wp:positionH>
                <wp:positionV relativeFrom="paragraph">
                  <wp:posOffset>142240</wp:posOffset>
                </wp:positionV>
                <wp:extent cx="5796280" cy="3056890"/>
                <wp:effectExtent l="4445" t="4445" r="9525" b="5715"/>
                <wp:wrapNone/>
                <wp:docPr id="10" name="Text Box 3"/>
                <wp:cNvGraphicFramePr/>
                <a:graphic xmlns:a="http://schemas.openxmlformats.org/drawingml/2006/main">
                  <a:graphicData uri="http://schemas.microsoft.com/office/word/2010/wordprocessingShape">
                    <wps:wsp>
                      <wps:cNvSpPr txBox="1"/>
                      <wps:spPr>
                        <a:xfrm>
                          <a:off x="0" y="0"/>
                          <a:ext cx="5750560" cy="28994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r>
                              <w:rPr>
                                <w:rFonts w:hint="eastAsia"/>
                                <w:sz w:val="28"/>
                                <w:szCs w:val="28"/>
                              </w:rPr>
                              <w:t>致：陕西卓佲项目管理有限公司        项目编号：ZMZB2022ASJTJ-02</w:t>
                            </w:r>
                          </w:p>
                          <w:p>
                            <w:pPr>
                              <w:rPr>
                                <w:sz w:val="28"/>
                                <w:szCs w:val="28"/>
                              </w:rPr>
                            </w:pPr>
                            <w:r>
                              <w:rPr>
                                <w:rFonts w:hint="eastAsia"/>
                                <w:sz w:val="28"/>
                                <w:szCs w:val="28"/>
                              </w:rPr>
                              <w:t>项目名称：延安市安塞区教育体育局关于安塞区初级中学设备采购项目</w:t>
                            </w:r>
                          </w:p>
                          <w:p>
                            <w:pPr>
                              <w:pStyle w:val="2"/>
                              <w:ind w:firstLine="3534" w:firstLineChars="800"/>
                              <w:jc w:val="both"/>
                              <w:rPr>
                                <w:rFonts w:hint="default"/>
                                <w:sz w:val="28"/>
                                <w:szCs w:val="28"/>
                              </w:rPr>
                            </w:pPr>
                            <w:r>
                              <w:rPr>
                                <w:sz w:val="44"/>
                                <w:szCs w:val="44"/>
                              </w:rPr>
                              <w:t>电子文档</w:t>
                            </w:r>
                          </w:p>
                          <w:p>
                            <w:pPr>
                              <w:ind w:firstLine="2800" w:firstLineChars="1000"/>
                              <w:rPr>
                                <w:sz w:val="28"/>
                                <w:szCs w:val="28"/>
                              </w:rPr>
                            </w:pPr>
                            <w:r>
                              <w:rPr>
                                <w:rFonts w:hint="eastAsia"/>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wps:txbx>
                      <wps:bodyPr wrap="square" upright="1"/>
                    </wps:wsp>
                  </a:graphicData>
                </a:graphic>
              </wp:anchor>
            </w:drawing>
          </mc:Choice>
          <mc:Fallback>
            <w:pict>
              <v:shape id="Text Box 3" o:spid="_x0000_s1026" o:spt="202" type="#_x0000_t202" style="position:absolute;left:0pt;margin-left:-26.1pt;margin-top:11.2pt;height:240.7pt;width:456.4pt;z-index:251664384;mso-width-relative:page;mso-height-relative:page;" fillcolor="#FFFFFF" filled="t" stroked="t" coordsize="21600,21600" o:gfxdata="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pAiBtoAAAAKAQAADwAAAAAAAAABACAAAAAiAAAAZHJzL2Rvd25yZXYueG1sUEsBAhQA&#10;FAAAAAgAh07iQNhhY4TwAQAABQQAAA4AAAAAAAAAAQAgAAAAKQEAAGRycy9lMm9Eb2MueG1sUEsF&#10;BgAAAAAGAAYAWQEAAIsFAAAAAA==&#10;">
                <v:fill on="t" focussize="0,0"/>
                <v:stroke color="#000000" joinstyle="miter"/>
                <v:imagedata o:title=""/>
                <o:lock v:ext="edit" aspectratio="f"/>
                <v:textbox>
                  <w:txbxContent>
                    <w:p>
                      <w:pPr>
                        <w:rPr>
                          <w:sz w:val="28"/>
                          <w:szCs w:val="28"/>
                        </w:rPr>
                      </w:pPr>
                      <w:r>
                        <w:rPr>
                          <w:rFonts w:hint="eastAsia"/>
                          <w:sz w:val="28"/>
                          <w:szCs w:val="28"/>
                        </w:rPr>
                        <w:t>致：陕西卓佲项目管理有限公司        项目编号：ZMZB2022ASJTJ-02</w:t>
                      </w:r>
                    </w:p>
                    <w:p>
                      <w:pPr>
                        <w:rPr>
                          <w:sz w:val="28"/>
                          <w:szCs w:val="28"/>
                        </w:rPr>
                      </w:pPr>
                      <w:r>
                        <w:rPr>
                          <w:rFonts w:hint="eastAsia"/>
                          <w:sz w:val="28"/>
                          <w:szCs w:val="28"/>
                        </w:rPr>
                        <w:t>项目名称：延安市安塞区教育体育局关于安塞区初级中学设备采购项目</w:t>
                      </w:r>
                    </w:p>
                    <w:p>
                      <w:pPr>
                        <w:pStyle w:val="2"/>
                        <w:ind w:firstLine="3534" w:firstLineChars="800"/>
                        <w:jc w:val="both"/>
                        <w:rPr>
                          <w:rFonts w:hint="default"/>
                          <w:sz w:val="28"/>
                          <w:szCs w:val="28"/>
                        </w:rPr>
                      </w:pPr>
                      <w:r>
                        <w:rPr>
                          <w:sz w:val="44"/>
                          <w:szCs w:val="44"/>
                        </w:rPr>
                        <w:t>电子文档</w:t>
                      </w:r>
                    </w:p>
                    <w:p>
                      <w:pPr>
                        <w:ind w:firstLine="2800" w:firstLineChars="1000"/>
                        <w:rPr>
                          <w:sz w:val="28"/>
                          <w:szCs w:val="28"/>
                        </w:rPr>
                      </w:pPr>
                      <w:r>
                        <w:rPr>
                          <w:rFonts w:hint="eastAsia"/>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v:textbox>
              </v:shape>
            </w:pict>
          </mc:Fallback>
        </mc:AlternateContent>
      </w: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sz w:val="50"/>
        </w:rPr>
      </w:pPr>
    </w:p>
    <w:p>
      <w:pPr>
        <w:pageBreakBefore/>
        <w:spacing w:line="420" w:lineRule="auto"/>
        <w:jc w:val="center"/>
        <w:rPr>
          <w:rFonts w:ascii="宋体" w:hAnsi="宋体" w:cs="宋体"/>
          <w:b/>
          <w:bCs/>
          <w:sz w:val="36"/>
          <w:szCs w:val="36"/>
        </w:rPr>
        <w:sectPr>
          <w:pgSz w:w="11906" w:h="16838"/>
          <w:pgMar w:top="1440" w:right="1803" w:bottom="1440" w:left="1803" w:header="851" w:footer="992" w:gutter="0"/>
          <w:cols w:space="720" w:num="1"/>
          <w:docGrid w:type="lines" w:linePitch="319" w:charSpace="0"/>
        </w:sectPr>
      </w:pPr>
    </w:p>
    <w:p>
      <w:pPr>
        <w:pStyle w:val="4"/>
        <w:adjustRightInd w:val="0"/>
        <w:spacing w:line="416" w:lineRule="atLeast"/>
        <w:textAlignment w:val="baseline"/>
        <w:rPr>
          <w:rFonts w:ascii="宋体" w:hAnsi="宋体" w:cs="宋体"/>
        </w:rPr>
      </w:pPr>
      <w:bookmarkStart w:id="109" w:name="_Toc11632"/>
      <w:bookmarkStart w:id="110" w:name="_Toc20374"/>
      <w:bookmarkStart w:id="111" w:name="_Toc20088"/>
      <w:bookmarkStart w:id="112" w:name="_Toc30485"/>
      <w:bookmarkStart w:id="113" w:name="_Toc1641"/>
      <w:bookmarkStart w:id="114" w:name="_Toc8177"/>
      <w:bookmarkStart w:id="115" w:name="_Toc2630"/>
      <w:bookmarkStart w:id="116" w:name="_Toc3008"/>
      <w:bookmarkStart w:id="117" w:name="_Toc18633"/>
      <w:bookmarkStart w:id="118" w:name="_Toc7884"/>
      <w:bookmarkStart w:id="119" w:name="_Toc30536"/>
      <w:bookmarkStart w:id="120" w:name="_Toc30870"/>
      <w:bookmarkStart w:id="121" w:name="_Toc15467"/>
      <w:r>
        <w:rPr>
          <w:rFonts w:hint="eastAsia" w:ascii="宋体" w:hAnsi="宋体" w:cs="宋体"/>
        </w:rPr>
        <w:t>附件二、中小企业申明</w:t>
      </w:r>
      <w:bookmarkEnd w:id="109"/>
      <w:bookmarkEnd w:id="110"/>
      <w:bookmarkEnd w:id="111"/>
      <w:bookmarkEnd w:id="112"/>
      <w:bookmarkEnd w:id="113"/>
      <w:bookmarkEnd w:id="114"/>
      <w:bookmarkEnd w:id="115"/>
      <w:bookmarkEnd w:id="116"/>
      <w:bookmarkEnd w:id="117"/>
      <w:r>
        <w:rPr>
          <w:rFonts w:hint="eastAsia" w:ascii="宋体" w:hAnsi="宋体" w:cs="宋体"/>
        </w:rPr>
        <w:t>（货物）</w:t>
      </w:r>
      <w:bookmarkEnd w:id="118"/>
    </w:p>
    <w:p>
      <w:pPr>
        <w:spacing w:line="360" w:lineRule="auto"/>
        <w:ind w:right="140" w:firstLine="641"/>
        <w:rPr>
          <w:rFonts w:ascii="宋体" w:hAnsi="宋体" w:cs="宋体"/>
          <w:sz w:val="24"/>
          <w:szCs w:val="24"/>
        </w:rPr>
      </w:pPr>
      <w:bookmarkStart w:id="122" w:name="_Toc6022"/>
      <w:bookmarkStart w:id="123" w:name="_Toc21117"/>
      <w:bookmarkStart w:id="124" w:name="_Toc11896"/>
      <w:bookmarkStart w:id="125" w:name="_Toc5814"/>
      <w:bookmarkStart w:id="126" w:name="_Toc12531"/>
      <w:bookmarkStart w:id="127" w:name="_Toc10807"/>
      <w:bookmarkStart w:id="128" w:name="_Toc32438"/>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pPr>
        <w:pStyle w:val="10"/>
        <w:numPr>
          <w:ilvl w:val="0"/>
          <w:numId w:val="26"/>
        </w:numPr>
        <w:spacing w:line="360" w:lineRule="auto"/>
        <w:rPr>
          <w:rFonts w:ascii="宋体" w:hAnsi="宋体" w:cs="宋体"/>
          <w:color w:val="auto"/>
          <w:w w:val="97"/>
        </w:rPr>
      </w:pPr>
      <w:r>
        <w:rPr>
          <w:rFonts w:hint="eastAsia" w:ascii="宋体" w:hAnsi="宋体" w:cs="宋体"/>
          <w:color w:val="auto"/>
          <w:w w:val="97"/>
          <w:u w:val="single"/>
        </w:rPr>
        <w:t xml:space="preserve">    （标的名称）</w:t>
      </w:r>
      <w:r>
        <w:rPr>
          <w:rFonts w:hint="eastAsia" w:ascii="宋体" w:hAnsi="宋体" w:cs="宋体"/>
          <w:color w:val="auto"/>
          <w:w w:val="97"/>
        </w:rPr>
        <w:t xml:space="preserve"> ，属于</w:t>
      </w:r>
      <w:r>
        <w:rPr>
          <w:rFonts w:hint="eastAsia" w:ascii="宋体" w:hAnsi="宋体" w:cs="宋体"/>
          <w:color w:val="auto"/>
          <w:w w:val="97"/>
          <w:u w:val="single"/>
        </w:rPr>
        <w:t xml:space="preserve">                （采购文件中明确的所属行业）            </w:t>
      </w:r>
    </w:p>
    <w:p>
      <w:pPr>
        <w:spacing w:line="360" w:lineRule="auto"/>
        <w:rPr>
          <w:rFonts w:ascii="宋体" w:hAnsi="宋体" w:cs="宋体"/>
          <w:w w:val="97"/>
          <w:sz w:val="24"/>
          <w:szCs w:val="24"/>
          <w:u w:val="single"/>
        </w:rPr>
      </w:pP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pStyle w:val="10"/>
        <w:numPr>
          <w:ilvl w:val="0"/>
          <w:numId w:val="26"/>
        </w:numPr>
        <w:spacing w:line="360" w:lineRule="auto"/>
        <w:rPr>
          <w:rFonts w:ascii="宋体" w:hAnsi="宋体" w:cs="宋体"/>
          <w:color w:val="auto"/>
          <w:w w:val="97"/>
        </w:rPr>
      </w:pPr>
      <w:r>
        <w:rPr>
          <w:rFonts w:hint="eastAsia" w:ascii="宋体" w:hAnsi="宋体" w:cs="宋体"/>
          <w:color w:val="auto"/>
          <w:w w:val="97"/>
          <w:u w:val="single"/>
        </w:rPr>
        <w:t xml:space="preserve">    （标的名称）</w:t>
      </w:r>
      <w:r>
        <w:rPr>
          <w:rFonts w:hint="eastAsia" w:ascii="宋体" w:hAnsi="宋体" w:cs="宋体"/>
          <w:color w:val="auto"/>
          <w:w w:val="97"/>
        </w:rPr>
        <w:t xml:space="preserve"> ，属于</w:t>
      </w:r>
      <w:r>
        <w:rPr>
          <w:rFonts w:hint="eastAsia" w:ascii="宋体" w:hAnsi="宋体" w:cs="宋体"/>
          <w:color w:val="auto"/>
          <w:w w:val="97"/>
          <w:u w:val="single"/>
        </w:rPr>
        <w:t xml:space="preserve">                （采购文件中明确的所属行业）            </w:t>
      </w:r>
    </w:p>
    <w:p>
      <w:pPr>
        <w:spacing w:line="360" w:lineRule="auto"/>
        <w:rPr>
          <w:rFonts w:ascii="宋体" w:hAnsi="宋体" w:cs="宋体"/>
          <w:w w:val="97"/>
          <w:sz w:val="24"/>
          <w:szCs w:val="24"/>
          <w:u w:val="single"/>
        </w:rPr>
      </w:pP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spacing w:line="360" w:lineRule="auto"/>
        <w:ind w:left="640"/>
        <w:rPr>
          <w:rFonts w:ascii="宋体" w:hAnsi="宋体" w:cs="宋体"/>
          <w:sz w:val="24"/>
          <w:szCs w:val="24"/>
        </w:rPr>
      </w:pPr>
      <w:r>
        <w:rPr>
          <w:rFonts w:hint="eastAsia" w:ascii="宋体" w:hAnsi="宋体" w:cs="宋体"/>
          <w:sz w:val="24"/>
          <w:szCs w:val="24"/>
        </w:rPr>
        <w:t>……</w:t>
      </w:r>
    </w:p>
    <w:p>
      <w:pPr>
        <w:spacing w:line="360" w:lineRule="auto"/>
        <w:ind w:right="160" w:firstLine="646"/>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spacing w:line="360" w:lineRule="auto"/>
        <w:rPr>
          <w:rFonts w:ascii="宋体" w:hAnsi="宋体" w:cs="宋体"/>
          <w:sz w:val="24"/>
          <w:szCs w:val="24"/>
        </w:rPr>
      </w:pPr>
    </w:p>
    <w:p>
      <w:pPr>
        <w:spacing w:line="360" w:lineRule="auto"/>
        <w:ind w:right="160" w:firstLine="646"/>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spacing w:line="360" w:lineRule="auto"/>
        <w:rPr>
          <w:rFonts w:ascii="宋体" w:hAnsi="宋体" w:cs="宋体"/>
          <w:sz w:val="24"/>
          <w:szCs w:val="24"/>
        </w:rPr>
      </w:pPr>
    </w:p>
    <w:p>
      <w:pPr>
        <w:spacing w:line="360" w:lineRule="auto"/>
        <w:ind w:left="3840" w:right="1900"/>
        <w:rPr>
          <w:rFonts w:ascii="宋体" w:hAnsi="宋体" w:cs="宋体"/>
          <w:sz w:val="24"/>
          <w:szCs w:val="24"/>
        </w:rPr>
      </w:pPr>
      <w:r>
        <w:rPr>
          <w:rFonts w:hint="eastAsia" w:ascii="宋体" w:hAnsi="宋体" w:cs="宋体"/>
          <w:sz w:val="24"/>
          <w:szCs w:val="24"/>
        </w:rPr>
        <w:t>企业名称（盖章）：日期：</w:t>
      </w:r>
    </w:p>
    <w:p>
      <w:pPr>
        <w:rPr>
          <w:rFonts w:ascii="宋体" w:hAnsi="宋体"/>
          <w:sz w:val="18"/>
        </w:rPr>
      </w:pPr>
      <w:r>
        <w:rPr>
          <w:rFonts w:ascii="仿宋" w:hAnsi="仿宋" w:eastAsia="仿宋"/>
          <w:sz w:val="32"/>
        </w:rPr>
        <w:drawing>
          <wp:anchor distT="0" distB="0" distL="114300" distR="114300" simplePos="0" relativeHeight="251659264" behindDoc="1" locked="0" layoutInCell="0" allowOverlap="1">
            <wp:simplePos x="0" y="0"/>
            <wp:positionH relativeFrom="column">
              <wp:posOffset>0</wp:posOffset>
            </wp:positionH>
            <wp:positionV relativeFrom="paragraph">
              <wp:posOffset>224790</wp:posOffset>
            </wp:positionV>
            <wp:extent cx="1828800" cy="127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4"/>
                    <a:stretch>
                      <a:fillRect/>
                    </a:stretch>
                  </pic:blipFill>
                  <pic:spPr>
                    <a:xfrm>
                      <a:off x="0" y="0"/>
                      <a:ext cx="1828800" cy="12700"/>
                    </a:xfrm>
                    <a:prstGeom prst="rect">
                      <a:avLst/>
                    </a:prstGeom>
                    <a:noFill/>
                    <a:ln>
                      <a:noFill/>
                    </a:ln>
                  </pic:spPr>
                </pic:pic>
              </a:graphicData>
            </a:graphic>
          </wp:anchor>
        </w:drawing>
      </w:r>
      <w:r>
        <w:rPr>
          <w:rFonts w:eastAsia="Times New Roman"/>
          <w:sz w:val="23"/>
          <w:vertAlign w:val="superscript"/>
        </w:rPr>
        <w:t>1</w:t>
      </w:r>
      <w:r>
        <w:rPr>
          <w:rFonts w:ascii="宋体" w:hAnsi="宋体"/>
          <w:sz w:val="18"/>
        </w:rPr>
        <w:t>从业人员、营业收入、资产总额填报上一年度数据，无上一年度数据的新成立企业可不填报。</w:t>
      </w:r>
    </w:p>
    <w:p>
      <w:pPr>
        <w:pStyle w:val="4"/>
        <w:rPr>
          <w:rFonts w:ascii="宋体" w:hAnsi="宋体" w:cs="宋体"/>
        </w:rPr>
        <w:sectPr>
          <w:footerReference r:id="rId17" w:type="default"/>
          <w:pgSz w:w="11906" w:h="16838"/>
          <w:pgMar w:top="1440" w:right="1803" w:bottom="1440" w:left="1803" w:header="851" w:footer="992" w:gutter="0"/>
          <w:cols w:space="720" w:num="1"/>
          <w:docGrid w:type="lines" w:linePitch="319" w:charSpace="0"/>
        </w:sectPr>
      </w:pPr>
    </w:p>
    <w:p>
      <w:pPr>
        <w:pStyle w:val="4"/>
        <w:rPr>
          <w:rFonts w:ascii="宋体" w:hAnsi="宋体" w:cs="宋体"/>
        </w:rPr>
      </w:pPr>
      <w:bookmarkStart w:id="129" w:name="_Toc20514"/>
      <w:r>
        <w:rPr>
          <w:rFonts w:hint="eastAsia" w:ascii="宋体" w:hAnsi="宋体" w:cs="宋体"/>
        </w:rPr>
        <w:t>附件三、残疾人福利性单位声明</w:t>
      </w:r>
      <w:bookmarkEnd w:id="122"/>
      <w:bookmarkEnd w:id="123"/>
      <w:bookmarkEnd w:id="124"/>
      <w:bookmarkEnd w:id="125"/>
      <w:bookmarkEnd w:id="126"/>
      <w:bookmarkEnd w:id="127"/>
      <w:bookmarkEnd w:id="128"/>
      <w:bookmarkEnd w:id="129"/>
    </w:p>
    <w:p>
      <w:pPr>
        <w:spacing w:line="588" w:lineRule="exact"/>
        <w:ind w:firstLine="504" w:firstLineChars="200"/>
        <w:rPr>
          <w:rFonts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pPr>
        <w:rPr>
          <w:rFonts w:ascii="宋体" w:hAnsi="宋体" w:cs="宋体"/>
        </w:rPr>
      </w:pPr>
    </w:p>
    <w:p>
      <w:pPr>
        <w:pStyle w:val="4"/>
        <w:rPr>
          <w:rFonts w:ascii="宋体" w:hAnsi="宋体" w:cs="宋体"/>
        </w:rPr>
      </w:pPr>
      <w:bookmarkStart w:id="130" w:name="_Toc9845"/>
      <w:bookmarkStart w:id="131" w:name="_Toc2723"/>
      <w:bookmarkStart w:id="132" w:name="_Toc3053"/>
      <w:r>
        <w:rPr>
          <w:rFonts w:hint="eastAsia" w:ascii="宋体" w:hAnsi="宋体" w:cs="宋体"/>
        </w:rPr>
        <w:t>附件四、监狱企业证明文件</w:t>
      </w:r>
      <w:bookmarkEnd w:id="119"/>
      <w:bookmarkEnd w:id="120"/>
      <w:bookmarkEnd w:id="121"/>
      <w:bookmarkEnd w:id="130"/>
      <w:bookmarkEnd w:id="131"/>
      <w:bookmarkEnd w:id="132"/>
    </w:p>
    <w:p>
      <w:pPr>
        <w:rPr>
          <w:rFonts w:ascii="宋体" w:hAnsi="宋体" w:cs="宋体"/>
        </w:rPr>
      </w:pPr>
    </w:p>
    <w:p>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ascii="宋体" w:hAnsi="宋体" w:cs="宋体"/>
        </w:rPr>
      </w:pPr>
      <w:bookmarkStart w:id="133" w:name="_Toc3267"/>
      <w:bookmarkStart w:id="134" w:name="_Toc13303"/>
      <w:bookmarkStart w:id="135" w:name="_Toc22826"/>
      <w:bookmarkStart w:id="136" w:name="_Toc13122"/>
      <w:bookmarkStart w:id="137" w:name="_Toc563"/>
      <w:bookmarkStart w:id="138" w:name="_Toc2126"/>
      <w:bookmarkStart w:id="139" w:name="_Toc11969"/>
      <w:r>
        <w:rPr>
          <w:rFonts w:hint="eastAsia" w:ascii="宋体" w:hAnsi="宋体" w:cs="宋体"/>
        </w:rPr>
        <w:t>附件五、“节能产品”，“环境标志产品”证明材料</w:t>
      </w:r>
      <w:bookmarkEnd w:id="133"/>
      <w:bookmarkEnd w:id="134"/>
      <w:bookmarkEnd w:id="135"/>
      <w:bookmarkEnd w:id="136"/>
      <w:bookmarkEnd w:id="137"/>
      <w:bookmarkEnd w:id="138"/>
      <w:bookmarkEnd w:id="139"/>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1、供应商提供的产品属于“节能产品”，“环境标志产品”，应提供产品列入“节能产品”，“环境标志产品”相应产品的国家确定的认证机构出具的、处于有效期内的节能产品、环境标志产品认证证书。</w:t>
      </w:r>
    </w:p>
    <w:p>
      <w:pPr>
        <w:widowControl/>
        <w:spacing w:line="360" w:lineRule="auto"/>
        <w:ind w:left="420" w:leftChars="200"/>
        <w:rPr>
          <w:rFonts w:ascii="宋体" w:hAnsi="宋体" w:cs="宋体"/>
          <w:sz w:val="24"/>
          <w:szCs w:val="24"/>
        </w:rPr>
      </w:pPr>
      <w:r>
        <w:rPr>
          <w:rFonts w:hint="eastAsia" w:ascii="宋体" w:hAnsi="宋体" w:cs="宋体"/>
          <w:sz w:val="24"/>
          <w:szCs w:val="24"/>
        </w:rPr>
        <w:t>2、未按照上述要求提供的，评审时不予以考虑。</w:t>
      </w:r>
    </w:p>
    <w:p>
      <w:pPr>
        <w:snapToGrid w:val="0"/>
        <w:spacing w:line="360" w:lineRule="auto"/>
        <w:ind w:firstLine="480" w:firstLineChars="200"/>
        <w:rPr>
          <w:rFonts w:ascii="宋体" w:hAnsi="宋体" w:cs="宋体"/>
          <w:sz w:val="24"/>
          <w:szCs w:val="24"/>
        </w:rPr>
      </w:pPr>
    </w:p>
    <w:p>
      <w:pPr>
        <w:spacing w:line="588" w:lineRule="exact"/>
        <w:ind w:firstLine="504" w:firstLineChars="200"/>
        <w:rPr>
          <w:rFonts w:ascii="宋体" w:hAnsi="宋体" w:cs="宋体"/>
          <w:spacing w:val="6"/>
          <w:sz w:val="24"/>
          <w:szCs w:val="24"/>
        </w:rPr>
      </w:pPr>
    </w:p>
    <w:p>
      <w:pPr>
        <w:pStyle w:val="4"/>
        <w:adjustRightInd w:val="0"/>
        <w:spacing w:line="416" w:lineRule="atLeast"/>
        <w:textAlignment w:val="baseline"/>
        <w:rPr>
          <w:rFonts w:ascii="宋体" w:hAnsi="宋体" w:cs="宋体"/>
        </w:rPr>
        <w:sectPr>
          <w:pgSz w:w="11906" w:h="16838"/>
          <w:pgMar w:top="1440" w:right="1803" w:bottom="1440" w:left="1803" w:header="851" w:footer="992" w:gutter="0"/>
          <w:cols w:space="720" w:num="1"/>
          <w:docGrid w:type="lines" w:linePitch="319" w:charSpace="0"/>
        </w:sectPr>
      </w:pPr>
    </w:p>
    <w:p>
      <w:pPr>
        <w:pStyle w:val="4"/>
        <w:rPr>
          <w:rFonts w:ascii="宋体" w:hAnsi="宋体" w:cs="宋体"/>
        </w:rPr>
      </w:pPr>
      <w:bookmarkStart w:id="140" w:name="_Toc494"/>
      <w:bookmarkStart w:id="141" w:name="_Toc26351"/>
      <w:bookmarkStart w:id="142" w:name="_Toc23799"/>
      <w:bookmarkStart w:id="143" w:name="_Toc24855"/>
      <w:bookmarkStart w:id="144" w:name="_Toc4414"/>
      <w:bookmarkStart w:id="145" w:name="_Toc11924"/>
      <w:bookmarkStart w:id="146" w:name="_Toc10027"/>
      <w:bookmarkStart w:id="147" w:name="_Toc5338"/>
      <w:r>
        <w:rPr>
          <w:rFonts w:hint="eastAsia" w:ascii="宋体" w:hAnsi="宋体" w:cs="宋体"/>
        </w:rPr>
        <w:t>附件六、质疑函范本</w:t>
      </w:r>
      <w:bookmarkEnd w:id="140"/>
      <w:bookmarkEnd w:id="141"/>
      <w:bookmarkEnd w:id="142"/>
      <w:bookmarkEnd w:id="143"/>
      <w:bookmarkEnd w:id="144"/>
    </w:p>
    <w:p>
      <w:pPr>
        <w:widowControl/>
        <w:spacing w:line="360" w:lineRule="auto"/>
        <w:ind w:left="420" w:leftChars="200"/>
        <w:rPr>
          <w:rFonts w:ascii="宋体" w:hAnsi="宋体" w:cs="宋体"/>
          <w:sz w:val="24"/>
          <w:szCs w:val="24"/>
        </w:rPr>
      </w:pPr>
      <w:r>
        <w:rPr>
          <w:rFonts w:hint="eastAsia" w:ascii="宋体" w:hAnsi="宋体" w:cs="宋体"/>
          <w:sz w:val="24"/>
          <w:szCs w:val="24"/>
        </w:rPr>
        <w:t>一、质疑供应商基本信息</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质疑供应商：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包号：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pPr>
        <w:widowControl/>
        <w:spacing w:line="360" w:lineRule="auto"/>
        <w:ind w:left="420" w:leftChars="200"/>
        <w:rPr>
          <w:rFonts w:ascii="宋体" w:hAnsi="宋体" w:cs="宋体"/>
          <w:sz w:val="24"/>
          <w:szCs w:val="24"/>
        </w:rPr>
      </w:pPr>
      <w:r>
        <w:rPr>
          <w:rFonts w:hint="eastAsia" w:ascii="宋体" w:hAnsi="宋体" w:cs="宋体"/>
          <w:sz w:val="24"/>
          <w:szCs w:val="24"/>
        </w:rPr>
        <w:t>……</w:t>
      </w:r>
    </w:p>
    <w:p>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pPr>
        <w:widowControl/>
        <w:spacing w:line="360" w:lineRule="auto"/>
        <w:ind w:left="420" w:leftChars="200"/>
        <w:rPr>
          <w:rFonts w:ascii="宋体" w:hAnsi="宋体" w:cs="宋体"/>
        </w:rPr>
      </w:pPr>
      <w:r>
        <w:rPr>
          <w:rFonts w:hint="eastAsia" w:ascii="宋体" w:hAnsi="宋体" w:cs="宋体"/>
          <w:sz w:val="24"/>
          <w:szCs w:val="24"/>
        </w:rPr>
        <w:t xml:space="preserve">日期：    </w:t>
      </w:r>
    </w:p>
    <w:p>
      <w:pPr>
        <w:widowControl/>
        <w:spacing w:line="360" w:lineRule="auto"/>
        <w:rPr>
          <w:rFonts w:ascii="宋体" w:hAnsi="宋体" w:cs="宋体"/>
          <w:sz w:val="24"/>
          <w:szCs w:val="24"/>
        </w:rPr>
        <w:sectPr>
          <w:pgSz w:w="11906" w:h="16838"/>
          <w:pgMar w:top="1440" w:right="1803" w:bottom="1440" w:left="1803" w:header="851" w:footer="992" w:gutter="0"/>
          <w:cols w:space="720" w:num="1"/>
          <w:docGrid w:type="lines" w:linePitch="319" w:charSpace="0"/>
        </w:sectPr>
      </w:pPr>
    </w:p>
    <w:p>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20" w:leftChars="200"/>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360" w:lineRule="auto"/>
        <w:ind w:left="420"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pPr>
        <w:widowControl/>
        <w:spacing w:line="360" w:lineRule="auto"/>
        <w:ind w:left="420" w:leftChars="200"/>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4"/>
        <w:adjustRightInd w:val="0"/>
        <w:spacing w:line="416" w:lineRule="atLeast"/>
        <w:jc w:val="both"/>
        <w:textAlignment w:val="baseline"/>
        <w:rPr>
          <w:rFonts w:ascii="宋体" w:hAnsi="宋体" w:cs="宋体"/>
        </w:rPr>
        <w:sectPr>
          <w:pgSz w:w="11906" w:h="16838"/>
          <w:pgMar w:top="1440" w:right="1803" w:bottom="1440" w:left="1803" w:header="851" w:footer="992" w:gutter="0"/>
          <w:cols w:space="720" w:num="1"/>
          <w:docGrid w:type="lines" w:linePitch="319" w:charSpace="0"/>
        </w:sectPr>
      </w:pPr>
    </w:p>
    <w:p>
      <w:pPr>
        <w:pStyle w:val="4"/>
        <w:adjustRightInd w:val="0"/>
        <w:spacing w:line="416" w:lineRule="atLeast"/>
        <w:textAlignment w:val="baseline"/>
        <w:rPr>
          <w:rFonts w:ascii="宋体" w:hAnsi="宋体" w:cs="宋体"/>
        </w:rPr>
      </w:pPr>
      <w:bookmarkStart w:id="148" w:name="_Toc19897"/>
      <w:bookmarkStart w:id="149" w:name="_Toc1200"/>
      <w:bookmarkStart w:id="150" w:name="_Toc24367"/>
      <w:bookmarkStart w:id="151" w:name="_Toc2686"/>
      <w:r>
        <w:rPr>
          <w:rFonts w:hint="eastAsia" w:ascii="宋体" w:hAnsi="宋体" w:cs="宋体"/>
        </w:rPr>
        <w:t>附件七、保证金退还账户信息确认表</w:t>
      </w:r>
      <w:bookmarkEnd w:id="145"/>
      <w:bookmarkEnd w:id="146"/>
      <w:bookmarkEnd w:id="147"/>
      <w:bookmarkEnd w:id="148"/>
      <w:bookmarkEnd w:id="149"/>
      <w:bookmarkEnd w:id="150"/>
      <w:bookmarkEnd w:id="151"/>
      <w:bookmarkStart w:id="152" w:name="_Toc378248335"/>
    </w:p>
    <w:p>
      <w:pPr>
        <w:rPr>
          <w:rFonts w:ascii="宋体" w:hAnsi="宋体" w:cs="宋体"/>
        </w:rPr>
      </w:pPr>
    </w:p>
    <w:p>
      <w:pPr>
        <w:rPr>
          <w:rFonts w:ascii="宋体" w:hAnsi="宋体" w:cs="宋体"/>
          <w:sz w:val="28"/>
          <w:szCs w:val="28"/>
        </w:rPr>
      </w:pPr>
      <w:r>
        <w:rPr>
          <w:rFonts w:hint="eastAsia" w:ascii="宋体" w:hAnsi="宋体" w:cs="宋体"/>
          <w:sz w:val="28"/>
          <w:szCs w:val="28"/>
        </w:rPr>
        <w:t>项目名称：</w:t>
      </w:r>
      <w:r>
        <w:rPr>
          <w:rFonts w:hint="eastAsia" w:ascii="宋体" w:hAnsi="宋体" w:cs="宋体"/>
          <w:kern w:val="0"/>
          <w:sz w:val="24"/>
          <w:szCs w:val="24"/>
        </w:rPr>
        <w:t>_____________________________</w:t>
      </w:r>
    </w:p>
    <w:p>
      <w:pPr>
        <w:tabs>
          <w:tab w:val="center" w:pos="4150"/>
        </w:tabs>
        <w:rPr>
          <w:rFonts w:ascii="宋体" w:hAnsi="宋体" w:cs="宋体"/>
          <w:sz w:val="28"/>
          <w:szCs w:val="28"/>
        </w:rPr>
      </w:pPr>
      <w:r>
        <w:rPr>
          <w:rFonts w:hint="eastAsia" w:ascii="宋体" w:hAnsi="宋体" w:cs="宋体"/>
          <w:sz w:val="28"/>
          <w:szCs w:val="28"/>
        </w:rPr>
        <w:t>项目编号：</w:t>
      </w:r>
      <w:bookmarkEnd w:id="152"/>
      <w:r>
        <w:rPr>
          <w:rFonts w:hint="eastAsia" w:ascii="宋体" w:hAnsi="宋体" w:cs="宋体"/>
          <w:kern w:val="0"/>
          <w:sz w:val="24"/>
          <w:szCs w:val="24"/>
        </w:rPr>
        <w:t>_____________________________</w:t>
      </w:r>
      <w:r>
        <w:rPr>
          <w:rFonts w:hint="eastAsia" w:ascii="宋体" w:hAnsi="宋体" w:cs="宋体"/>
          <w:sz w:val="28"/>
          <w:szCs w:val="28"/>
        </w:rPr>
        <w:tab/>
      </w:r>
    </w:p>
    <w:tbl>
      <w:tblPr>
        <w:tblStyle w:val="37"/>
        <w:tblW w:w="864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4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5" w:hRule="atLeast"/>
        </w:trPr>
        <w:tc>
          <w:tcPr>
            <w:tcW w:w="2268" w:type="dxa"/>
            <w:vMerge w:val="restart"/>
            <w:vAlign w:val="center"/>
          </w:tcPr>
          <w:p>
            <w:pPr>
              <w:jc w:val="center"/>
              <w:rPr>
                <w:rFonts w:ascii="宋体" w:hAnsi="宋体" w:cs="宋体"/>
                <w:sz w:val="24"/>
                <w:szCs w:val="24"/>
              </w:rPr>
            </w:pPr>
            <w:r>
              <w:rPr>
                <w:rFonts w:hint="eastAsia" w:ascii="宋体" w:hAnsi="宋体" w:cs="宋体"/>
                <w:sz w:val="24"/>
                <w:szCs w:val="24"/>
              </w:rPr>
              <w:t>应退投标保证金</w:t>
            </w:r>
          </w:p>
        </w:tc>
        <w:tc>
          <w:tcPr>
            <w:tcW w:w="6372" w:type="dxa"/>
            <w:gridSpan w:val="2"/>
          </w:tcPr>
          <w:p>
            <w:pPr>
              <w:rPr>
                <w:rFonts w:ascii="宋体" w:hAnsi="宋体" w:cs="宋体"/>
                <w:sz w:val="24"/>
                <w:szCs w:val="24"/>
              </w:rPr>
            </w:pPr>
            <w:r>
              <w:rPr>
                <w:rFonts w:hint="eastAsia" w:ascii="宋体" w:hAnsi="宋体" w:cs="宋体"/>
                <w:sz w:val="24"/>
                <w:szCs w:val="24"/>
              </w:rPr>
              <w:t>小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trPr>
        <w:tc>
          <w:tcPr>
            <w:tcW w:w="2268" w:type="dxa"/>
            <w:vMerge w:val="continue"/>
          </w:tcPr>
          <w:p>
            <w:pPr>
              <w:rPr>
                <w:rFonts w:ascii="宋体" w:hAnsi="宋体" w:cs="宋体"/>
                <w:sz w:val="24"/>
                <w:szCs w:val="24"/>
              </w:rPr>
            </w:pPr>
          </w:p>
        </w:tc>
        <w:tc>
          <w:tcPr>
            <w:tcW w:w="6372" w:type="dxa"/>
            <w:gridSpan w:val="2"/>
          </w:tcPr>
          <w:p>
            <w:pPr>
              <w:rPr>
                <w:rFonts w:ascii="宋体" w:hAnsi="宋体" w:cs="宋体"/>
                <w:sz w:val="24"/>
                <w:szCs w:val="24"/>
              </w:rPr>
            </w:pPr>
            <w:r>
              <w:rPr>
                <w:rFonts w:hint="eastAsia" w:ascii="宋体" w:hAnsi="宋体" w:cs="宋体"/>
                <w:sz w:val="24"/>
                <w:szCs w:val="24"/>
              </w:rPr>
              <w:t>大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2" w:hRule="atLeast"/>
        </w:trPr>
        <w:tc>
          <w:tcPr>
            <w:tcW w:w="2268" w:type="dxa"/>
            <w:vMerge w:val="restart"/>
            <w:vAlign w:val="center"/>
          </w:tcPr>
          <w:p>
            <w:pPr>
              <w:rPr>
                <w:rFonts w:ascii="宋体" w:hAnsi="宋体" w:cs="宋体"/>
              </w:rPr>
            </w:pPr>
            <w:r>
              <w:rPr>
                <w:rFonts w:hint="eastAsia" w:ascii="宋体" w:hAnsi="宋体" w:cs="宋体"/>
              </w:rPr>
              <w:t>收款单位（盖章）</w:t>
            </w:r>
          </w:p>
        </w:tc>
        <w:tc>
          <w:tcPr>
            <w:tcW w:w="2370" w:type="dxa"/>
            <w:vAlign w:val="center"/>
          </w:tcPr>
          <w:p>
            <w:pPr>
              <w:jc w:val="center"/>
              <w:rPr>
                <w:rFonts w:ascii="宋体" w:hAnsi="宋体" w:cs="宋体"/>
                <w:sz w:val="24"/>
                <w:szCs w:val="24"/>
              </w:rPr>
            </w:pPr>
            <w:r>
              <w:rPr>
                <w:rFonts w:hint="eastAsia" w:ascii="宋体" w:hAnsi="宋体" w:cs="宋体"/>
                <w:sz w:val="24"/>
                <w:szCs w:val="24"/>
              </w:rPr>
              <w:t>单  位 名 称</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0"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开   户   行</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8"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账        号</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2"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联系人及电话</w:t>
            </w:r>
          </w:p>
        </w:tc>
        <w:tc>
          <w:tcPr>
            <w:tcW w:w="4002" w:type="dxa"/>
          </w:tcPr>
          <w:p>
            <w:pPr>
              <w:rPr>
                <w:rFonts w:ascii="宋体" w:hAnsi="宋体" w:cs="宋体"/>
                <w:sz w:val="24"/>
                <w:szCs w:val="24"/>
              </w:rPr>
            </w:pPr>
          </w:p>
        </w:tc>
      </w:tr>
    </w:tbl>
    <w:p>
      <w:pPr>
        <w:keepNext/>
        <w:keepLines/>
        <w:adjustRightInd w:val="0"/>
        <w:spacing w:line="416" w:lineRule="atLeast"/>
        <w:textAlignment w:val="baseline"/>
        <w:rPr>
          <w:rFonts w:ascii="宋体" w:hAnsi="宋体" w:cs="宋体"/>
          <w:b/>
          <w:bCs/>
          <w:sz w:val="24"/>
          <w:szCs w:val="24"/>
        </w:rPr>
      </w:pPr>
      <w:r>
        <w:rPr>
          <w:rFonts w:hint="eastAsia" w:ascii="宋体" w:hAnsi="宋体" w:cs="宋体"/>
          <w:b/>
          <w:bCs/>
          <w:sz w:val="24"/>
          <w:szCs w:val="24"/>
        </w:rPr>
        <w:t>注：单位公章需清晰完整。（仅作为退还保证金时使用，需单独提供）</w:t>
      </w: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供应商可在开标当天将保证金退还账户信息确认表与保证金汇款凭证复印件加盖公章一并交给工作人员，当天未提交保证金退还账户信息确认表与保证金汇款凭证复印件加盖公章的供应商，在开标后自行找财务办理保证金退还手续。</w:t>
      </w:r>
    </w:p>
    <w:p>
      <w:pPr>
        <w:jc w:val="left"/>
        <w:rPr>
          <w:rFonts w:ascii="宋体" w:hAnsi="宋体" w:cs="宋体"/>
          <w:b/>
          <w:bCs/>
          <w:spacing w:val="48"/>
          <w:sz w:val="72"/>
          <w:szCs w:val="72"/>
        </w:rPr>
      </w:pPr>
    </w:p>
    <w:p>
      <w:pPr>
        <w:rPr>
          <w:rFonts w:ascii="宋体" w:hAnsi="宋体" w:cs="宋体"/>
        </w:rPr>
      </w:pPr>
    </w:p>
    <w:p>
      <w:pPr>
        <w:jc w:val="left"/>
        <w:rPr>
          <w:rFonts w:ascii="宋体" w:hAnsi="宋体" w:cs="宋体"/>
          <w:b/>
          <w:bCs/>
          <w:spacing w:val="48"/>
          <w:sz w:val="72"/>
          <w:szCs w:val="72"/>
        </w:rPr>
      </w:pPr>
    </w:p>
    <w:p>
      <w:pPr>
        <w:rPr>
          <w:rFonts w:ascii="宋体" w:hAnsi="宋体" w:cs="宋体"/>
        </w:rPr>
      </w:pPr>
    </w:p>
    <w:p>
      <w:pPr>
        <w:rPr>
          <w:rFonts w:ascii="宋体" w:hAnsi="宋体" w:cs="宋体"/>
          <w:b/>
          <w:bCs/>
          <w:spacing w:val="48"/>
          <w:sz w:val="72"/>
          <w:szCs w:val="72"/>
        </w:rPr>
      </w:pPr>
    </w:p>
    <w:p>
      <w:pPr>
        <w:rPr>
          <w:rFonts w:ascii="宋体" w:hAnsi="宋体" w:cs="宋体"/>
        </w:rPr>
      </w:pPr>
    </w:p>
    <w:p>
      <w:pPr>
        <w:jc w:val="left"/>
        <w:rPr>
          <w:rFonts w:ascii="宋体" w:hAnsi="宋体" w:cs="宋体"/>
          <w:b/>
          <w:spacing w:val="48"/>
          <w:sz w:val="72"/>
          <w:szCs w:val="72"/>
        </w:rPr>
        <w:sectPr>
          <w:headerReference r:id="rId18" w:type="default"/>
          <w:footerReference r:id="rId19" w:type="default"/>
          <w:pgSz w:w="11906" w:h="16838"/>
          <w:pgMar w:top="1440" w:right="1803" w:bottom="1440" w:left="1803" w:header="851" w:footer="992" w:gutter="0"/>
          <w:cols w:space="720" w:num="1"/>
          <w:docGrid w:type="lines" w:linePitch="319" w:charSpace="0"/>
        </w:sectPr>
      </w:pPr>
    </w:p>
    <w:p>
      <w:pPr>
        <w:ind w:firstLine="819" w:firstLineChars="100"/>
        <w:jc w:val="left"/>
        <w:rPr>
          <w:rFonts w:ascii="宋体" w:hAnsi="宋体" w:cs="宋体"/>
          <w:b/>
          <w:spacing w:val="48"/>
          <w:sz w:val="72"/>
          <w:szCs w:val="72"/>
        </w:rPr>
      </w:pPr>
      <w:r>
        <w:rPr>
          <w:rFonts w:hint="eastAsia" w:ascii="宋体" w:hAnsi="宋体" w:cs="宋体"/>
          <w:b/>
          <w:spacing w:val="48"/>
          <w:sz w:val="72"/>
          <w:szCs w:val="72"/>
        </w:rPr>
        <w:t>公平       公正</w:t>
      </w:r>
    </w:p>
    <w:p>
      <w:pPr>
        <w:jc w:val="left"/>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ind w:firstLine="819" w:firstLineChars="100"/>
        <w:rPr>
          <w:rFonts w:ascii="宋体" w:hAnsi="宋体" w:cs="宋体"/>
          <w:b/>
          <w:spacing w:val="48"/>
          <w:sz w:val="72"/>
          <w:szCs w:val="72"/>
        </w:rPr>
      </w:pPr>
      <w:r>
        <w:rPr>
          <w:rFonts w:hint="eastAsia" w:ascii="宋体" w:hAnsi="宋体" w:cs="宋体"/>
          <w:b/>
          <w:spacing w:val="48"/>
          <w:sz w:val="72"/>
          <w:szCs w:val="72"/>
        </w:rPr>
        <w:t>专业       高效</w:t>
      </w:r>
    </w:p>
    <w:p>
      <w:pPr>
        <w:rPr>
          <w:rFonts w:ascii="宋体" w:hAnsi="宋体" w:cs="宋体"/>
          <w:spacing w:val="48"/>
          <w:sz w:val="72"/>
          <w:szCs w:val="72"/>
        </w:rPr>
      </w:pPr>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rPr>
          <w:rFonts w:ascii="宋体" w:hAnsi="宋体" w:cs="宋体"/>
          <w:b/>
          <w:sz w:val="30"/>
          <w:szCs w:val="30"/>
        </w:rPr>
      </w:pPr>
    </w:p>
    <w:p>
      <w:pPr>
        <w:rPr>
          <w:rFonts w:ascii="宋体" w:hAnsi="宋体" w:cs="宋体"/>
          <w:b/>
          <w:sz w:val="30"/>
          <w:szCs w:val="30"/>
        </w:rPr>
      </w:pPr>
      <w:r>
        <w:rPr>
          <w:rFonts w:hint="eastAsia" w:ascii="宋体" w:hAnsi="宋体" w:cs="宋体"/>
          <w:b/>
          <w:sz w:val="30"/>
          <w:szCs w:val="30"/>
        </w:rPr>
        <w:t>企业名称：陕西卓佲项目管理有限公司</w:t>
      </w:r>
    </w:p>
    <w:p>
      <w:pPr>
        <w:rPr>
          <w:rFonts w:ascii="宋体" w:hAnsi="宋体" w:cs="宋体"/>
          <w:b/>
          <w:sz w:val="30"/>
          <w:szCs w:val="30"/>
        </w:rPr>
      </w:pPr>
      <w:r>
        <w:rPr>
          <w:rFonts w:hint="eastAsia" w:ascii="宋体" w:hAnsi="宋体" w:cs="宋体"/>
          <w:b/>
          <w:sz w:val="30"/>
          <w:szCs w:val="30"/>
        </w:rPr>
        <w:t>地址：西安市雁塔区科技路十号华奥大厦A座2002室</w:t>
      </w:r>
    </w:p>
    <w:p>
      <w:pPr>
        <w:rPr>
          <w:rFonts w:ascii="宋体" w:hAnsi="宋体" w:cs="宋体"/>
          <w:b/>
          <w:sz w:val="30"/>
          <w:szCs w:val="30"/>
        </w:rPr>
      </w:pPr>
      <w:r>
        <w:rPr>
          <w:rFonts w:hint="eastAsia" w:ascii="宋体" w:hAnsi="宋体" w:cs="宋体"/>
          <w:b/>
          <w:sz w:val="30"/>
          <w:szCs w:val="30"/>
        </w:rPr>
        <w:t>邮政编码：710065</w:t>
      </w:r>
    </w:p>
    <w:p>
      <w:pPr>
        <w:rPr>
          <w:rFonts w:ascii="宋体" w:hAnsi="宋体" w:cs="宋体"/>
          <w:b/>
          <w:sz w:val="30"/>
          <w:szCs w:val="30"/>
        </w:rPr>
      </w:pPr>
      <w:r>
        <w:rPr>
          <w:rFonts w:hint="eastAsia" w:ascii="宋体" w:hAnsi="宋体" w:cs="宋体"/>
          <w:b/>
          <w:sz w:val="30"/>
          <w:szCs w:val="30"/>
        </w:rPr>
        <w:t>电话：029-88440695</w:t>
      </w:r>
    </w:p>
    <w:p>
      <w:pPr>
        <w:rPr>
          <w:rFonts w:ascii="宋体" w:hAnsi="宋体" w:cs="宋体"/>
        </w:rPr>
      </w:pPr>
      <w:r>
        <w:rPr>
          <w:rFonts w:hint="eastAsia" w:ascii="宋体" w:hAnsi="宋体" w:cs="宋体"/>
          <w:b/>
          <w:sz w:val="30"/>
          <w:szCs w:val="30"/>
        </w:rPr>
        <w:t>传真：029-88440695</w:t>
      </w:r>
    </w:p>
    <w:p>
      <w:pPr>
        <w:rPr>
          <w:rFonts w:ascii="宋体" w:hAnsi="宋体" w:cs="宋体"/>
        </w:rPr>
      </w:pPr>
    </w:p>
    <w:bookmarkEnd w:id="0"/>
    <w:bookmarkEnd w:id="69"/>
    <w:bookmarkEnd w:id="70"/>
    <w:bookmarkEnd w:id="71"/>
    <w:p>
      <w:pPr>
        <w:rPr>
          <w:rFonts w:ascii="宋体" w:hAnsi="宋体" w:cs="宋体"/>
        </w:rPr>
      </w:pPr>
    </w:p>
    <w:sectPr>
      <w:headerReference r:id="rId20" w:type="default"/>
      <w:footerReference r:id="rId21"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Corbel"/>
    <w:panose1 w:val="00000000000000000000"/>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PMingLiU">
    <w:panose1 w:val="02020500000000000000"/>
    <w:charset w:val="88"/>
    <w:family w:val="auto"/>
    <w:pitch w:val="default"/>
    <w:sig w:usb0="A00002FF" w:usb1="28CFFCFA" w:usb2="00000016" w:usb3="00000000" w:csb0="0010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ascii="宋体" w:hAns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21715"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021715"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wrap="square" lIns="0" tIns="0" rIns="0" bIns="0">
                      <a:spAutoFit/>
                    </wps:bodyPr>
                  </wps:wsp>
                </a:graphicData>
              </a:graphic>
            </wp:anchor>
          </w:drawing>
        </mc:Choice>
        <mc:Fallback>
          <w:pict>
            <v:shape id="文本框 17" o:spid="_x0000_s1026" o:spt="202" type="#_x0000_t202" style="position:absolute;left:0pt;margin-top:0pt;height:144pt;width:80.45pt;mso-position-horizontal:center;mso-position-horizontal-relative:margin;z-index:251659264;mso-width-relative:page;mso-height-relative:page;" filled="f" stroked="f" coordsize="21600,21600" o:gfxdata="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GpQ8dMAAAAF&#10;AQAADwAAAAAAAAABACAAAAAiAAAAZHJzL2Rvd25yZXYueG1sUEsBAhQAFAAAAAgAh07iQDOmRpKv&#10;AQAAQgMAAA4AAAAAAAAAAQAgAAAAIgEAAGRycy9lMm9Eb2MueG1sUEsFBgAAAAAGAAYAWQEAAEMF&#10;A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052195" cy="1828800"/>
              <wp:effectExtent l="0" t="0" r="0" b="0"/>
              <wp:wrapNone/>
              <wp:docPr id="15" name="文本框 25"/>
              <wp:cNvGraphicFramePr/>
              <a:graphic xmlns:a="http://schemas.openxmlformats.org/drawingml/2006/main">
                <a:graphicData uri="http://schemas.microsoft.com/office/word/2010/wordprocessingShape">
                  <wps:wsp>
                    <wps:cNvSpPr txBox="1"/>
                    <wps:spPr>
                      <a:xfrm>
                        <a:off x="0" y="0"/>
                        <a:ext cx="1052195"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wrap="square" lIns="0" tIns="0" rIns="0" bIns="0">
                      <a:spAutoFit/>
                    </wps:bodyPr>
                  </wps:wsp>
                </a:graphicData>
              </a:graphic>
            </wp:anchor>
          </w:drawing>
        </mc:Choice>
        <mc:Fallback>
          <w:pict>
            <v:shape id="文本框 25" o:spid="_x0000_s1026" o:spt="202" type="#_x0000_t202" style="position:absolute;left:0pt;margin-top:0pt;height:144pt;width:82.85pt;mso-position-horizontal:center;mso-position-horizontal-relative:margin;z-index:251667456;mso-width-relative:page;mso-height-relative:page;" filled="f" stroked="f" coordsize="21600,21600" o:gfxdata="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zcqzdMAAAAF&#10;AQAADwAAAAAAAAABACAAAAAiAAAAZHJzL2Rvd25yZXYueG1sUEsBAhQAFAAAAAgAh07iQLFLRvev&#10;AQAAQwMAAA4AAAAAAAAAAQAgAAAAIgEAAGRycy9lMm9Eb2MueG1sUEsFBgAAAAAGAAYAWQEAAEMF&#10;A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150"/>
        <w:tab w:val="right" w:pos="8420"/>
        <w:tab w:val="clear" w:pos="4153"/>
      </w:tabs>
      <w:rPr>
        <w:rFonts w:ascii="宋体"/>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069975" cy="1828800"/>
              <wp:effectExtent l="0" t="0" r="0" b="0"/>
              <wp:wrapNone/>
              <wp:docPr id="16" name="文本框 26"/>
              <wp:cNvGraphicFramePr/>
              <a:graphic xmlns:a="http://schemas.openxmlformats.org/drawingml/2006/main">
                <a:graphicData uri="http://schemas.microsoft.com/office/word/2010/wordprocessingShape">
                  <wps:wsp>
                    <wps:cNvSpPr txBox="1"/>
                    <wps:spPr>
                      <a:xfrm>
                        <a:off x="0" y="0"/>
                        <a:ext cx="1069975"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wrap="square" lIns="0" tIns="0" rIns="0" bIns="0">
                      <a:spAutoFit/>
                    </wps:bodyPr>
                  </wps:wsp>
                </a:graphicData>
              </a:graphic>
            </wp:anchor>
          </w:drawing>
        </mc:Choice>
        <mc:Fallback>
          <w:pict>
            <v:shape id="文本框 26" o:spid="_x0000_s1026" o:spt="202" type="#_x0000_t202" style="position:absolute;left:0pt;margin-top:0pt;height:144pt;width:84.25pt;mso-position-horizontal:center;mso-position-horizontal-relative:margin;z-index:251668480;mso-width-relative:page;mso-height-relative:page;" filled="f" stroked="f" coordsize="21600,21600" o:gfxdata="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Kz9FTTAAAA&#10;BQEAAA8AAAAAAAAAAQAgAAAAIgAAAGRycy9kb3ducmV2LnhtbFBLAQIUABQAAAAIAIdO4kB+OJxu&#10;sAEAAEMDAAAOAAAAAAAAAAEAIAAAACIBAABkcnMvZTJvRG9jLnhtbFBLBQYAAAAABgAGAFkBAABE&#10;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right" w:pos="8426"/>
      </w:tabs>
      <w:rPr>
        <w:rFonts w:ascii="宋体" w:hAnsi="宋体" w:cs="宋体"/>
      </w:rPr>
    </w:pPr>
    <w:r>
      <mc:AlternateContent>
        <mc:Choice Requires="wps">
          <w:drawing>
            <wp:anchor distT="0" distB="0" distL="114300" distR="114300" simplePos="0" relativeHeight="251660288" behindDoc="0" locked="0" layoutInCell="1" allowOverlap="1">
              <wp:simplePos x="0" y="0"/>
              <wp:positionH relativeFrom="margin">
                <wp:posOffset>2208530</wp:posOffset>
              </wp:positionH>
              <wp:positionV relativeFrom="paragraph">
                <wp:posOffset>0</wp:posOffset>
              </wp:positionV>
              <wp:extent cx="977900" cy="147955"/>
              <wp:effectExtent l="0" t="0" r="0" b="0"/>
              <wp:wrapNone/>
              <wp:docPr id="4" name="文本框 18"/>
              <wp:cNvGraphicFramePr/>
              <a:graphic xmlns:a="http://schemas.openxmlformats.org/drawingml/2006/main">
                <a:graphicData uri="http://schemas.microsoft.com/office/word/2010/wordprocessingShape">
                  <wps:wsp>
                    <wps:cNvSpPr txBox="1"/>
                    <wps:spPr>
                      <a:xfrm>
                        <a:off x="0" y="0"/>
                        <a:ext cx="977900" cy="147955"/>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square" lIns="0" tIns="0" rIns="0" bIns="0">
                      <a:noAutofit/>
                    </wps:bodyPr>
                  </wps:wsp>
                </a:graphicData>
              </a:graphic>
            </wp:anchor>
          </w:drawing>
        </mc:Choice>
        <mc:Fallback>
          <w:pict>
            <v:shape id="文本框 18" o:spid="_x0000_s1026" o:spt="202" type="#_x0000_t202" style="position:absolute;left:0pt;margin-left:173.9pt;margin-top:0pt;height:11.65pt;width:77pt;mso-position-horizontal-relative:margin;z-index:251660288;mso-width-relative:page;mso-height-relative:page;" filled="f" stroked="f" coordsize="21600,21600" o:gfxdata="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iTNUAAAAH&#10;AQAADwAAAAAAAAABACAAAAAiAAAAZHJzL2Rvd25yZXYueG1sUEsBAhQAFAAAAAgAh07iQLhB6gmt&#10;AQAAQAMAAA4AAAAAAAAAAQAgAAAAJAEAAGRycy9lMm9Eb2MueG1sUEsFBgAAAAAGAAYAWQEAAEMF&#10;AAAAAA==&#10;">
              <v:fill on="f" focussize="0,0"/>
              <v:stroke on="f"/>
              <v:imagedata o:title=""/>
              <o:lock v:ext="edit" aspectratio="f"/>
              <v:textbox inset="0mm,0mm,0mm,0mm">
                <w:txbxContent>
                  <w:p>
                    <w:pPr>
                      <w:pStyle w:val="2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30605" cy="1828800"/>
              <wp:effectExtent l="0" t="0" r="0" b="0"/>
              <wp:wrapNone/>
              <wp:docPr id="5" name="文本框 19"/>
              <wp:cNvGraphicFramePr/>
              <a:graphic xmlns:a="http://schemas.openxmlformats.org/drawingml/2006/main">
                <a:graphicData uri="http://schemas.microsoft.com/office/word/2010/wordprocessingShape">
                  <wps:wsp>
                    <wps:cNvSpPr txBox="1"/>
                    <wps:spPr>
                      <a:xfrm>
                        <a:off x="0" y="0"/>
                        <a:ext cx="1030605"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wrap="square" lIns="0" tIns="0" rIns="0" bIns="0">
                      <a:spAutoFit/>
                    </wps:bodyPr>
                  </wps:wsp>
                </a:graphicData>
              </a:graphic>
            </wp:anchor>
          </w:drawing>
        </mc:Choice>
        <mc:Fallback>
          <w:pict>
            <v:shape id="文本框 19" o:spid="_x0000_s1026" o:spt="202" type="#_x0000_t202" style="position:absolute;left:0pt;margin-top:0pt;height:144pt;width:81.15pt;mso-position-horizontal:center;mso-position-horizontal-relative:margin;z-index:251661312;mso-width-relative:page;mso-height-relative:page;" filled="f" stroked="f" coordsize="21600,21600" o:gfxdata="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bKmznTAAAA&#10;BQEAAA8AAAAAAAAAAQAgAAAAIgAAAGRycy9kb3ducmV2LnhtbFBLAQIUABQAAAAIAIdO4kAADC4Y&#10;sAEAAEIDAAAOAAAAAAAAAAEAIAAAACIBAABkcnMvZTJvRG9jLnhtbFBLBQYAAAAABgAGAFkBAABE&#10;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2336" behindDoc="0" locked="0" layoutInCell="1" allowOverlap="1">
              <wp:simplePos x="0" y="0"/>
              <wp:positionH relativeFrom="margin">
                <wp:posOffset>2238375</wp:posOffset>
              </wp:positionH>
              <wp:positionV relativeFrom="paragraph">
                <wp:posOffset>0</wp:posOffset>
              </wp:positionV>
              <wp:extent cx="1012190" cy="147955"/>
              <wp:effectExtent l="0" t="0" r="0" b="0"/>
              <wp:wrapNone/>
              <wp:docPr id="7" name="文本框 20"/>
              <wp:cNvGraphicFramePr/>
              <a:graphic xmlns:a="http://schemas.openxmlformats.org/drawingml/2006/main">
                <a:graphicData uri="http://schemas.microsoft.com/office/word/2010/wordprocessingShape">
                  <wps:wsp>
                    <wps:cNvSpPr txBox="1"/>
                    <wps:spPr>
                      <a:xfrm>
                        <a:off x="0" y="0"/>
                        <a:ext cx="1012190" cy="147955"/>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wrap="square" lIns="0" tIns="0" rIns="0" bIns="0">
                      <a:noAutofit/>
                    </wps:bodyPr>
                  </wps:wsp>
                </a:graphicData>
              </a:graphic>
            </wp:anchor>
          </w:drawing>
        </mc:Choice>
        <mc:Fallback>
          <w:pict>
            <v:shape id="文本框 20" o:spid="_x0000_s1026" o:spt="202" type="#_x0000_t202" style="position:absolute;left:0pt;margin-left:176.25pt;margin-top:0pt;height:11.65pt;width:79.7pt;mso-position-horizontal-relative:margin;z-index:251662336;mso-width-relative:page;mso-height-relative:page;" filled="f" stroked="f" coordsize="21600,21600" o:gfxdata="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GIf7qtYAAAAH&#10;AQAADwAAAAAAAAABACAAAAAiAAAAZHJzL2Rvd25yZXYueG1sUEsBAhQAFAAAAAgAh07iQAz3Hzas&#10;AQAAQQMAAA4AAAAAAAAAAQAgAAAAJQEAAGRycy9lMm9Eb2MueG1sUEsFBgAAAAAGAAYAWQEAAEMF&#10;AAAAAA==&#10;">
              <v:fill on="f" focussize="0,0"/>
              <v:stroke on="f"/>
              <v:imagedata o:title=""/>
              <o:lock v:ext="edit" aspectratio="f"/>
              <v:textbox inset="0mm,0mm,0mm,0mm">
                <w:txbxContent>
                  <w:p>
                    <w:pPr>
                      <w:pStyle w:val="20"/>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3360" behindDoc="0" locked="0" layoutInCell="1" allowOverlap="1">
              <wp:simplePos x="0" y="0"/>
              <wp:positionH relativeFrom="margin">
                <wp:posOffset>2178050</wp:posOffset>
              </wp:positionH>
              <wp:positionV relativeFrom="paragraph">
                <wp:posOffset>0</wp:posOffset>
              </wp:positionV>
              <wp:extent cx="1095375" cy="147955"/>
              <wp:effectExtent l="0" t="0" r="0" b="0"/>
              <wp:wrapNone/>
              <wp:docPr id="8" name="文本框 21"/>
              <wp:cNvGraphicFramePr/>
              <a:graphic xmlns:a="http://schemas.openxmlformats.org/drawingml/2006/main">
                <a:graphicData uri="http://schemas.microsoft.com/office/word/2010/wordprocessingShape">
                  <wps:wsp>
                    <wps:cNvSpPr txBox="1"/>
                    <wps:spPr>
                      <a:xfrm>
                        <a:off x="0" y="0"/>
                        <a:ext cx="1095375" cy="147955"/>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wrap="square" lIns="0" tIns="0" rIns="0" bIns="0">
                      <a:noAutofit/>
                    </wps:bodyPr>
                  </wps:wsp>
                </a:graphicData>
              </a:graphic>
            </wp:anchor>
          </w:drawing>
        </mc:Choice>
        <mc:Fallback>
          <w:pict>
            <v:shape id="文本框 21" o:spid="_x0000_s1026" o:spt="202" type="#_x0000_t202" style="position:absolute;left:0pt;margin-left:171.5pt;margin-top:0pt;height:11.65pt;width:86.25pt;mso-position-horizontal-relative:margin;z-index:251663360;mso-width-relative:page;mso-height-relative:page;" filled="f" stroked="f" coordsize="21600,21600" o:gfxdata="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dmCrY&#10;AAAABwEAAA8AAAAAAAAAAQAgAAAAIgAAAGRycy9kb3ducmV2LnhtbFBLAQIUABQAAAAIAIdO4kBn&#10;rJOgrgEAAEEDAAAOAAAAAAAAAAEAIAAAACcBAABkcnMvZTJvRG9jLnhtbFBLBQYAAAAABgAGAFkB&#10;AABHBQAAAAA=&#10;">
              <v:fill on="f" focussize="0,0"/>
              <v:stroke on="f"/>
              <v:imagedata o:title=""/>
              <o:lock v:ext="edit" aspectratio="f"/>
              <v:textbox inset="0mm,0mm,0mm,0mm">
                <w:txbxContent>
                  <w:p>
                    <w:pPr>
                      <w:pStyle w:val="20"/>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ascii="宋体"/>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047115" cy="139065"/>
              <wp:effectExtent l="0" t="0" r="0" b="0"/>
              <wp:wrapNone/>
              <wp:docPr id="9" name="文本框 22"/>
              <wp:cNvGraphicFramePr/>
              <a:graphic xmlns:a="http://schemas.openxmlformats.org/drawingml/2006/main">
                <a:graphicData uri="http://schemas.microsoft.com/office/word/2010/wordprocessingShape">
                  <wps:wsp>
                    <wps:cNvSpPr txBox="1"/>
                    <wps:spPr>
                      <a:xfrm>
                        <a:off x="0" y="0"/>
                        <a:ext cx="1047115" cy="139065"/>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wrap="square" lIns="0" tIns="0" rIns="0" bIns="0">
                      <a:noAutofit/>
                    </wps:bodyPr>
                  </wps:wsp>
                </a:graphicData>
              </a:graphic>
            </wp:anchor>
          </w:drawing>
        </mc:Choice>
        <mc:Fallback>
          <w:pict>
            <v:shape id="文本框 22" o:spid="_x0000_s1026" o:spt="202" type="#_x0000_t202" style="position:absolute;left:0pt;margin-top:0pt;height:10.95pt;width:82.45pt;mso-position-horizontal:center;mso-position-horizontal-relative:margin;z-index:251664384;mso-width-relative:page;mso-height-relative:page;" filled="f" stroked="f" coordsize="21600,21600" o:gfxdata="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5UYuMtQAAAAE&#10;AQAADwAAAAAAAAABACAAAAAiAAAAZHJzL2Rvd25yZXYueG1sUEsBAhQAFAAAAAgAh07iQEb60qeu&#10;AQAAQQMAAA4AAAAAAAAAAQAgAAAAIwEAAGRycy9lMm9Eb2MueG1sUEsFBgAAAAAGAAYAWQEAAEMF&#10;AAAAAA==&#10;">
              <v:fill on="f" focussize="0,0"/>
              <v:stroke on="f"/>
              <v:imagedata o:title=""/>
              <o:lock v:ext="edit" aspectratio="f"/>
              <v:textbox inset="0mm,0mm,0mm,0mm">
                <w:txbxContent>
                  <w:p>
                    <w:pPr>
                      <w:pStyle w:val="20"/>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150"/>
        <w:tab w:val="right" w:pos="8420"/>
        <w:tab w:val="clear" w:pos="4153"/>
      </w:tabs>
      <w:rPr>
        <w:rFonts w:ascii="宋体"/>
      </w:rPr>
    </w:pPr>
    <w:r>
      <mc:AlternateContent>
        <mc:Choice Requires="wps">
          <w:drawing>
            <wp:anchor distT="0" distB="0" distL="114300" distR="114300" simplePos="0" relativeHeight="251669504" behindDoc="0" locked="0" layoutInCell="1" allowOverlap="1">
              <wp:simplePos x="0" y="0"/>
              <wp:positionH relativeFrom="margin">
                <wp:posOffset>2216150</wp:posOffset>
              </wp:positionH>
              <wp:positionV relativeFrom="paragraph">
                <wp:posOffset>9525</wp:posOffset>
              </wp:positionV>
              <wp:extent cx="1038225" cy="139065"/>
              <wp:effectExtent l="0" t="0" r="0" b="0"/>
              <wp:wrapNone/>
              <wp:docPr id="18" name="文本框 24"/>
              <wp:cNvGraphicFramePr/>
              <a:graphic xmlns:a="http://schemas.openxmlformats.org/drawingml/2006/main">
                <a:graphicData uri="http://schemas.microsoft.com/office/word/2010/wordprocessingShape">
                  <wps:wsp>
                    <wps:cNvSpPr txBox="1"/>
                    <wps:spPr>
                      <a:xfrm>
                        <a:off x="0" y="0"/>
                        <a:ext cx="1038225" cy="139065"/>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square" lIns="0" tIns="0" rIns="0" bIns="0">
                      <a:noAutofit/>
                    </wps:bodyPr>
                  </wps:wsp>
                </a:graphicData>
              </a:graphic>
            </wp:anchor>
          </w:drawing>
        </mc:Choice>
        <mc:Fallback>
          <w:pict>
            <v:shape id="文本框 24" o:spid="_x0000_s1026" o:spt="202" type="#_x0000_t202" style="position:absolute;left:0pt;margin-left:174.5pt;margin-top:0.75pt;height:10.95pt;width:81.75pt;mso-position-horizontal-relative:margin;z-index:251669504;mso-width-relative:page;mso-height-relative:page;" filled="f" stroked="f" coordsize="21600,21600" o:gfxdata="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z8bLzY&#10;AAAACAEAAA8AAAAAAAAAAQAgAAAAIgAAAGRycy9kb3ducmV2LnhtbFBLAQIUABQAAAAIAIdO4kDk&#10;rsECrgEAAEIDAAAOAAAAAAAAAAEAIAAAACcBAABkcnMvZTJvRG9jLnhtbFBLBQYAAAAABgAGAFkB&#10;AABHBQAAAAA=&#10;">
              <v:fill on="f" focussize="0,0"/>
              <v:stroke on="f"/>
              <v:imagedata o:title=""/>
              <o:lock v:ext="edit" aspectratio="f"/>
              <v:textbox inset="0mm,0mm,0mm,0mm">
                <w:txbxContent>
                  <w:p>
                    <w:pPr>
                      <w:pStyle w:val="20"/>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ascii="宋体" w:cs="宋体"/>
      </w:rPr>
    </w:pPr>
    <w:r>
      <mc:AlternateContent>
        <mc:Choice Requires="wps">
          <w:drawing>
            <wp:anchor distT="0" distB="0" distL="114300" distR="114300" simplePos="0" relativeHeight="251665408" behindDoc="0" locked="0" layoutInCell="1" allowOverlap="1">
              <wp:simplePos x="0" y="0"/>
              <wp:positionH relativeFrom="margin">
                <wp:posOffset>2178050</wp:posOffset>
              </wp:positionH>
              <wp:positionV relativeFrom="paragraph">
                <wp:posOffset>0</wp:posOffset>
              </wp:positionV>
              <wp:extent cx="971550" cy="147955"/>
              <wp:effectExtent l="0" t="0" r="0" b="0"/>
              <wp:wrapNone/>
              <wp:docPr id="12" name="文本框 23"/>
              <wp:cNvGraphicFramePr/>
              <a:graphic xmlns:a="http://schemas.openxmlformats.org/drawingml/2006/main">
                <a:graphicData uri="http://schemas.microsoft.com/office/word/2010/wordprocessingShape">
                  <wps:wsp>
                    <wps:cNvSpPr txBox="1"/>
                    <wps:spPr>
                      <a:xfrm>
                        <a:off x="0" y="0"/>
                        <a:ext cx="971550" cy="147955"/>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wrap="square" lIns="0" tIns="0" rIns="0" bIns="0">
                      <a:noAutofit/>
                    </wps:bodyPr>
                  </wps:wsp>
                </a:graphicData>
              </a:graphic>
            </wp:anchor>
          </w:drawing>
        </mc:Choice>
        <mc:Fallback>
          <w:pict>
            <v:shape id="文本框 23" o:spid="_x0000_s1026" o:spt="202" type="#_x0000_t202" style="position:absolute;left:0pt;margin-left:171.5pt;margin-top:0pt;height:11.65pt;width:76.5pt;mso-position-horizontal-relative:margin;z-index:251665408;mso-width-relative:page;mso-height-relative:page;" filled="f" stroked="f" coordsize="21600,21600" o:gfxdata="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sw3tdcA&#10;AAAHAQAADwAAAAAAAAABACAAAAAiAAAAZHJzL2Rvd25yZXYueG1sUEsBAhQAFAAAAAgAh07iQL98&#10;wZyuAQAAQQMAAA4AAAAAAAAAAQAgAAAAJgEAAGRycy9lMm9Eb2MueG1sUEsFBgAAAAAGAAYAWQEA&#10;AEYFAAAAAA==&#10;">
              <v:fill on="f" focussize="0,0"/>
              <v:stroke on="f"/>
              <v:imagedata o:title=""/>
              <o:lock v:ext="edit" aspectratio="f"/>
              <v:textbox inset="0mm,0mm,0mm,0mm">
                <w:txbxContent>
                  <w:p>
                    <w:pPr>
                      <w:pStyle w:val="20"/>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150"/>
        <w:tab w:val="right" w:pos="8420"/>
        <w:tab w:val="clear" w:pos="4153"/>
      </w:tabs>
      <w:rPr>
        <w:rFonts w:ascii="宋体"/>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078865" cy="1828800"/>
              <wp:effectExtent l="0" t="0" r="0" b="0"/>
              <wp:wrapNone/>
              <wp:docPr id="14" name="文本框 24"/>
              <wp:cNvGraphicFramePr/>
              <a:graphic xmlns:a="http://schemas.openxmlformats.org/drawingml/2006/main">
                <a:graphicData uri="http://schemas.microsoft.com/office/word/2010/wordprocessingShape">
                  <wps:wsp>
                    <wps:cNvSpPr txBox="1"/>
                    <wps:spPr>
                      <a:xfrm>
                        <a:off x="0" y="0"/>
                        <a:ext cx="1078865"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wrap="square" lIns="0" tIns="0" rIns="0" bIns="0">
                      <a:spAutoFit/>
                    </wps:bodyPr>
                  </wps:wsp>
                </a:graphicData>
              </a:graphic>
            </wp:anchor>
          </w:drawing>
        </mc:Choice>
        <mc:Fallback>
          <w:pict>
            <v:shape id="文本框 24" o:spid="_x0000_s1026" o:spt="202" type="#_x0000_t202" style="position:absolute;left:0pt;margin-top:0pt;height:144pt;width:84.95pt;mso-position-horizontal:center;mso-position-horizontal-relative:margin;z-index:251666432;mso-width-relative:page;mso-height-relative:page;" filled="f" stroked="f" coordsize="21600,21600" o:gfxdata="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p2izzTAAAA&#10;BQEAAA8AAAAAAAAAAQAgAAAAIgAAAGRycy9kb3ducmV2LnhtbFBLAQIUABQAAAAIAIdO4kD82Yca&#10;sAEAAEMDAAAOAAAAAAAAAAEAIAAAACIBAABkcnMvZTJvRG9jLnhtbFBLBQYAAAAABgAGAFkBAABE&#10;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hAnsi="宋体" w:cs="宋体"/>
        <w:u w:val="single"/>
      </w:rPr>
    </w:pPr>
    <w:r>
      <w:rPr>
        <w:rFonts w:hint="eastAsia" w:ascii="宋体" w:hAnsi="宋体" w:cs="宋体"/>
        <w:sz w:val="15"/>
        <w:szCs w:val="15"/>
        <w:u w:val="single"/>
      </w:rPr>
      <w:t>延安市安塞区教育体育局关于安塞区初级中学设备采购项目                                          ZMZB2022ASJTJ-02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rPr>
      <w:t xml:space="preserve">西安外国语大学长安校区中心机房改造项目                                                      </w:t>
    </w:r>
    <w:bookmarkStart w:id="153" w:name="OLE_LINK16"/>
    <w:r>
      <w:rPr>
        <w:rFonts w:hint="eastAsia" w:ascii="宋体" w:hAnsi="宋体" w:cs="宋体"/>
        <w:sz w:val="15"/>
        <w:szCs w:val="15"/>
        <w:u w:val="single"/>
      </w:rPr>
      <w:t>SXWZ2017ZB-XAWGY-02</w:t>
    </w:r>
    <w:bookmarkEnd w:id="15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rPr>
      <w:t>延安市安塞区教育体育局关于安塞区初级中学设备采购项目                                          ZMZB2022ASJTJ-02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rPr>
      <w:t>延安市安塞区教育体育局关于安塞区初级中学设备采购项目                                         ZMZB2022ASJTJ-02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rPr>
      <w:t>延安市安塞区教育体育局关于安塞区初级中学设备采购项目                                         ZMZB2022ASJTJ-02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rPr>
      <w:t>延安市安塞区教育体育局关于安塞区初级中学设备采购项目                                      ZMZB2022ASJTJ-02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rPr>
      <w:t>延安市安塞区教育体育局关于安塞区初级中学设备采购项目                                         ZMZB2022ASJTJ-02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rPr>
      <w:t>延安市安塞区教育体育局关于安塞区初级中学设备采购项目                                        ZMZB2022ASJTJ-02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1">
    <w:nsid w:val="C435DD92"/>
    <w:multiLevelType w:val="singleLevel"/>
    <w:tmpl w:val="C435DD92"/>
    <w:lvl w:ilvl="0" w:tentative="0">
      <w:start w:val="2"/>
      <w:numFmt w:val="chineseCounting"/>
      <w:suff w:val="nothing"/>
      <w:lvlText w:val="%1、"/>
      <w:lvlJc w:val="left"/>
      <w:rPr>
        <w:rFonts w:hint="eastAsia"/>
      </w:rPr>
    </w:lvl>
  </w:abstractNum>
  <w:abstractNum w:abstractNumId="2">
    <w:nsid w:val="C99BDCD1"/>
    <w:multiLevelType w:val="singleLevel"/>
    <w:tmpl w:val="C99BDCD1"/>
    <w:lvl w:ilvl="0" w:tentative="0">
      <w:start w:val="1"/>
      <w:numFmt w:val="chineseCounting"/>
      <w:suff w:val="nothing"/>
      <w:lvlText w:val="（%1）"/>
      <w:lvlJc w:val="left"/>
      <w:rPr>
        <w:rFonts w:hint="eastAsia"/>
      </w:rPr>
    </w:lvl>
  </w:abstractNum>
  <w:abstractNum w:abstractNumId="3">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4">
    <w:nsid w:val="F20ECAEB"/>
    <w:multiLevelType w:val="singleLevel"/>
    <w:tmpl w:val="F20ECAEB"/>
    <w:lvl w:ilvl="0" w:tentative="0">
      <w:start w:val="4"/>
      <w:numFmt w:val="chineseCounting"/>
      <w:suff w:val="space"/>
      <w:lvlText w:val="第%1部分"/>
      <w:lvlJc w:val="left"/>
      <w:rPr>
        <w:rFonts w:hint="eastAsia"/>
      </w:rPr>
    </w:lvl>
  </w:abstractNum>
  <w:abstractNum w:abstractNumId="5">
    <w:nsid w:val="09BC2C4D"/>
    <w:multiLevelType w:val="singleLevel"/>
    <w:tmpl w:val="09BC2C4D"/>
    <w:lvl w:ilvl="0" w:tentative="0">
      <w:start w:val="1"/>
      <w:numFmt w:val="decimal"/>
      <w:suff w:val="nothing"/>
      <w:lvlText w:val="%1、"/>
      <w:lvlJc w:val="left"/>
      <w:pPr>
        <w:ind w:left="200" w:firstLine="420"/>
      </w:pPr>
      <w:rPr>
        <w:rFonts w:hint="default"/>
      </w:rPr>
    </w:lvl>
  </w:abstractNum>
  <w:abstractNum w:abstractNumId="6">
    <w:nsid w:val="19B057FC"/>
    <w:multiLevelType w:val="singleLevel"/>
    <w:tmpl w:val="19B057FC"/>
    <w:lvl w:ilvl="0" w:tentative="0">
      <w:start w:val="1"/>
      <w:numFmt w:val="decimal"/>
      <w:suff w:val="nothing"/>
      <w:lvlText w:val="%1、"/>
      <w:lvlJc w:val="left"/>
      <w:pPr>
        <w:ind w:left="140" w:firstLine="0"/>
      </w:pPr>
    </w:lvl>
  </w:abstractNum>
  <w:abstractNum w:abstractNumId="7">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8">
    <w:nsid w:val="55698368"/>
    <w:multiLevelType w:val="singleLevel"/>
    <w:tmpl w:val="55698368"/>
    <w:lvl w:ilvl="0" w:tentative="0">
      <w:start w:val="1"/>
      <w:numFmt w:val="decimal"/>
      <w:suff w:val="nothing"/>
      <w:lvlText w:val="%1、"/>
      <w:lvlJc w:val="left"/>
      <w:pPr>
        <w:ind w:firstLine="420"/>
      </w:pPr>
      <w:rPr>
        <w:rFonts w:hint="default" w:cs="Times New Roman"/>
      </w:rPr>
    </w:lvl>
  </w:abstractNum>
  <w:abstractNum w:abstractNumId="9">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10">
    <w:nsid w:val="58BE4A74"/>
    <w:multiLevelType w:val="singleLevel"/>
    <w:tmpl w:val="58BE4A74"/>
    <w:lvl w:ilvl="0" w:tentative="0">
      <w:start w:val="1"/>
      <w:numFmt w:val="chineseCounting"/>
      <w:suff w:val="nothing"/>
      <w:lvlText w:val="%1、"/>
      <w:lvlJc w:val="left"/>
      <w:pPr>
        <w:ind w:left="0" w:firstLine="420"/>
      </w:pPr>
      <w:rPr>
        <w:rFonts w:hint="eastAsia"/>
      </w:rPr>
    </w:lvl>
  </w:abstractNum>
  <w:abstractNum w:abstractNumId="11">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12">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13">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14">
    <w:nsid w:val="58BE6519"/>
    <w:multiLevelType w:val="singleLevel"/>
    <w:tmpl w:val="58BE6519"/>
    <w:lvl w:ilvl="0" w:tentative="0">
      <w:start w:val="1"/>
      <w:numFmt w:val="decimal"/>
      <w:suff w:val="nothing"/>
      <w:lvlText w:val="%1、"/>
      <w:lvlJc w:val="left"/>
      <w:pPr>
        <w:ind w:left="200" w:firstLine="420"/>
      </w:pPr>
      <w:rPr>
        <w:rFonts w:hint="default"/>
      </w:rPr>
    </w:lvl>
  </w:abstractNum>
  <w:abstractNum w:abstractNumId="15">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16">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17">
    <w:nsid w:val="58E5B8A6"/>
    <w:multiLevelType w:val="singleLevel"/>
    <w:tmpl w:val="58E5B8A6"/>
    <w:lvl w:ilvl="0" w:tentative="0">
      <w:start w:val="1"/>
      <w:numFmt w:val="decimal"/>
      <w:suff w:val="nothing"/>
      <w:lvlText w:val="（%1）"/>
      <w:lvlJc w:val="left"/>
      <w:pPr>
        <w:ind w:left="0" w:firstLine="420"/>
      </w:pPr>
      <w:rPr>
        <w:rFonts w:hint="default"/>
      </w:rPr>
    </w:lvl>
  </w:abstractNum>
  <w:abstractNum w:abstractNumId="18">
    <w:nsid w:val="58E5C1FF"/>
    <w:multiLevelType w:val="singleLevel"/>
    <w:tmpl w:val="58E5C1FF"/>
    <w:lvl w:ilvl="0" w:tentative="0">
      <w:start w:val="1"/>
      <w:numFmt w:val="decimal"/>
      <w:suff w:val="nothing"/>
      <w:lvlText w:val="（%1）"/>
      <w:lvlJc w:val="left"/>
      <w:pPr>
        <w:ind w:left="0" w:firstLine="420"/>
      </w:pPr>
      <w:rPr>
        <w:rFonts w:hint="default"/>
      </w:rPr>
    </w:lvl>
  </w:abstractNum>
  <w:abstractNum w:abstractNumId="19">
    <w:nsid w:val="58E5CD31"/>
    <w:multiLevelType w:val="singleLevel"/>
    <w:tmpl w:val="58E5CD31"/>
    <w:lvl w:ilvl="0" w:tentative="0">
      <w:start w:val="1"/>
      <w:numFmt w:val="decimal"/>
      <w:suff w:val="nothing"/>
      <w:lvlText w:val="（%1）"/>
      <w:lvlJc w:val="left"/>
      <w:pPr>
        <w:ind w:left="0" w:firstLine="420"/>
      </w:pPr>
      <w:rPr>
        <w:rFonts w:hint="default"/>
      </w:rPr>
    </w:lvl>
  </w:abstractNum>
  <w:abstractNum w:abstractNumId="20">
    <w:nsid w:val="5902B6A7"/>
    <w:multiLevelType w:val="singleLevel"/>
    <w:tmpl w:val="5902B6A7"/>
    <w:lvl w:ilvl="0" w:tentative="0">
      <w:start w:val="1"/>
      <w:numFmt w:val="decimal"/>
      <w:pStyle w:val="11"/>
      <w:lvlText w:val="%1."/>
      <w:lvlJc w:val="left"/>
      <w:pPr>
        <w:tabs>
          <w:tab w:val="left" w:pos="360"/>
        </w:tabs>
        <w:ind w:left="360" w:hanging="360"/>
      </w:pPr>
    </w:lvl>
  </w:abstractNum>
  <w:abstractNum w:abstractNumId="21">
    <w:nsid w:val="59F098CD"/>
    <w:multiLevelType w:val="singleLevel"/>
    <w:tmpl w:val="59F098CD"/>
    <w:lvl w:ilvl="0" w:tentative="0">
      <w:start w:val="1"/>
      <w:numFmt w:val="decimal"/>
      <w:suff w:val="nothing"/>
      <w:lvlText w:val="（%1）"/>
      <w:lvlJc w:val="left"/>
      <w:pPr>
        <w:ind w:firstLine="420"/>
      </w:pPr>
      <w:rPr>
        <w:rFonts w:hint="default" w:cs="Times New Roman"/>
      </w:rPr>
    </w:lvl>
  </w:abstractNum>
  <w:abstractNum w:abstractNumId="22">
    <w:nsid w:val="5FB1E77F"/>
    <w:multiLevelType w:val="singleLevel"/>
    <w:tmpl w:val="5FB1E77F"/>
    <w:lvl w:ilvl="0" w:tentative="0">
      <w:start w:val="1"/>
      <w:numFmt w:val="decimal"/>
      <w:suff w:val="nothing"/>
      <w:lvlText w:val="%1、"/>
      <w:lvlJc w:val="left"/>
    </w:lvl>
  </w:abstractNum>
  <w:abstractNum w:abstractNumId="23">
    <w:nsid w:val="604094DA"/>
    <w:multiLevelType w:val="singleLevel"/>
    <w:tmpl w:val="604094DA"/>
    <w:lvl w:ilvl="0" w:tentative="0">
      <w:start w:val="1"/>
      <w:numFmt w:val="decimal"/>
      <w:suff w:val="space"/>
      <w:lvlText w:val="%1."/>
      <w:lvlJc w:val="left"/>
    </w:lvl>
  </w:abstractNum>
  <w:abstractNum w:abstractNumId="24">
    <w:nsid w:val="61F7CCE3"/>
    <w:multiLevelType w:val="singleLevel"/>
    <w:tmpl w:val="61F7CCE3"/>
    <w:lvl w:ilvl="0" w:tentative="0">
      <w:start w:val="2"/>
      <w:numFmt w:val="chineseCounting"/>
      <w:suff w:val="space"/>
      <w:lvlText w:val="第%1部分"/>
      <w:lvlJc w:val="left"/>
      <w:rPr>
        <w:rFonts w:hint="eastAsia"/>
      </w:rPr>
    </w:lvl>
  </w:abstractNum>
  <w:abstractNum w:abstractNumId="25">
    <w:nsid w:val="64402E50"/>
    <w:multiLevelType w:val="singleLevel"/>
    <w:tmpl w:val="64402E50"/>
    <w:lvl w:ilvl="0" w:tentative="0">
      <w:start w:val="8"/>
      <w:numFmt w:val="chineseCounting"/>
      <w:suff w:val="space"/>
      <w:lvlText w:val="第%1部分"/>
      <w:lvlJc w:val="left"/>
      <w:rPr>
        <w:rFonts w:hint="eastAsia"/>
      </w:rPr>
    </w:lvl>
  </w:abstractNum>
  <w:abstractNum w:abstractNumId="26">
    <w:nsid w:val="744D776A"/>
    <w:multiLevelType w:val="singleLevel"/>
    <w:tmpl w:val="744D776A"/>
    <w:lvl w:ilvl="0" w:tentative="0">
      <w:start w:val="2"/>
      <w:numFmt w:val="decimal"/>
      <w:suff w:val="nothing"/>
      <w:lvlText w:val="%1、"/>
      <w:lvlJc w:val="left"/>
    </w:lvl>
  </w:abstractNum>
  <w:num w:numId="1">
    <w:abstractNumId w:val="20"/>
  </w:num>
  <w:num w:numId="2">
    <w:abstractNumId w:val="2"/>
  </w:num>
  <w:num w:numId="3">
    <w:abstractNumId w:val="19"/>
  </w:num>
  <w:num w:numId="4">
    <w:abstractNumId w:val="22"/>
  </w:num>
  <w:num w:numId="5">
    <w:abstractNumId w:val="26"/>
  </w:num>
  <w:num w:numId="6">
    <w:abstractNumId w:val="21"/>
  </w:num>
  <w:num w:numId="7">
    <w:abstractNumId w:val="3"/>
  </w:num>
  <w:num w:numId="8">
    <w:abstractNumId w:val="0"/>
  </w:num>
  <w:num w:numId="9">
    <w:abstractNumId w:val="8"/>
  </w:num>
  <w:num w:numId="10">
    <w:abstractNumId w:val="11"/>
  </w:num>
  <w:num w:numId="11">
    <w:abstractNumId w:val="9"/>
  </w:num>
  <w:num w:numId="12">
    <w:abstractNumId w:val="1"/>
  </w:num>
  <w:num w:numId="13">
    <w:abstractNumId w:val="15"/>
  </w:num>
  <w:num w:numId="14">
    <w:abstractNumId w:val="16"/>
  </w:num>
  <w:num w:numId="15">
    <w:abstractNumId w:val="12"/>
  </w:num>
  <w:num w:numId="16">
    <w:abstractNumId w:val="17"/>
  </w:num>
  <w:num w:numId="17">
    <w:abstractNumId w:val="10"/>
  </w:num>
  <w:num w:numId="18">
    <w:abstractNumId w:val="13"/>
  </w:num>
  <w:num w:numId="19">
    <w:abstractNumId w:val="14"/>
  </w:num>
  <w:num w:numId="20">
    <w:abstractNumId w:val="18"/>
  </w:num>
  <w:num w:numId="21">
    <w:abstractNumId w:val="4"/>
  </w:num>
  <w:num w:numId="22">
    <w:abstractNumId w:val="5"/>
  </w:num>
  <w:num w:numId="23">
    <w:abstractNumId w:val="24"/>
  </w:num>
  <w:num w:numId="24">
    <w:abstractNumId w:val="6"/>
  </w:num>
  <w:num w:numId="25">
    <w:abstractNumId w:val="7"/>
  </w:num>
  <w:num w:numId="26">
    <w:abstractNumId w:val="2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D1C"/>
    <w:rsid w:val="00037E51"/>
    <w:rsid w:val="00042D40"/>
    <w:rsid w:val="00067B07"/>
    <w:rsid w:val="000743B6"/>
    <w:rsid w:val="0009265D"/>
    <w:rsid w:val="000A3AD6"/>
    <w:rsid w:val="000A6804"/>
    <w:rsid w:val="000B3DD4"/>
    <w:rsid w:val="000C0895"/>
    <w:rsid w:val="000C673D"/>
    <w:rsid w:val="000D7288"/>
    <w:rsid w:val="000E2734"/>
    <w:rsid w:val="000F3806"/>
    <w:rsid w:val="00102202"/>
    <w:rsid w:val="0011607E"/>
    <w:rsid w:val="00122D04"/>
    <w:rsid w:val="00126C11"/>
    <w:rsid w:val="00140E4D"/>
    <w:rsid w:val="00152CAF"/>
    <w:rsid w:val="00167A28"/>
    <w:rsid w:val="0017037F"/>
    <w:rsid w:val="00172A27"/>
    <w:rsid w:val="00192A67"/>
    <w:rsid w:val="00195B2A"/>
    <w:rsid w:val="001A00DF"/>
    <w:rsid w:val="001A439C"/>
    <w:rsid w:val="001A6727"/>
    <w:rsid w:val="001B0BC1"/>
    <w:rsid w:val="001B1459"/>
    <w:rsid w:val="001B3264"/>
    <w:rsid w:val="001C2786"/>
    <w:rsid w:val="001D74E8"/>
    <w:rsid w:val="001D76B9"/>
    <w:rsid w:val="001E1FE3"/>
    <w:rsid w:val="001E5E5C"/>
    <w:rsid w:val="001E7BD1"/>
    <w:rsid w:val="001E7E49"/>
    <w:rsid w:val="001F403A"/>
    <w:rsid w:val="00205EEF"/>
    <w:rsid w:val="00221202"/>
    <w:rsid w:val="002331D3"/>
    <w:rsid w:val="00244E6C"/>
    <w:rsid w:val="00247C1D"/>
    <w:rsid w:val="0025657F"/>
    <w:rsid w:val="002647A7"/>
    <w:rsid w:val="0026628D"/>
    <w:rsid w:val="00274C97"/>
    <w:rsid w:val="002766DD"/>
    <w:rsid w:val="002863B0"/>
    <w:rsid w:val="00287CC7"/>
    <w:rsid w:val="00290135"/>
    <w:rsid w:val="00295F6C"/>
    <w:rsid w:val="0029755A"/>
    <w:rsid w:val="002A2AC6"/>
    <w:rsid w:val="002A5E9A"/>
    <w:rsid w:val="002C54CF"/>
    <w:rsid w:val="002D2909"/>
    <w:rsid w:val="002D4DA4"/>
    <w:rsid w:val="002D7A6D"/>
    <w:rsid w:val="002E07BF"/>
    <w:rsid w:val="002F6FCA"/>
    <w:rsid w:val="003146F7"/>
    <w:rsid w:val="00326800"/>
    <w:rsid w:val="003322AB"/>
    <w:rsid w:val="00332CAB"/>
    <w:rsid w:val="00337601"/>
    <w:rsid w:val="0035235D"/>
    <w:rsid w:val="00360C09"/>
    <w:rsid w:val="00376929"/>
    <w:rsid w:val="003929E2"/>
    <w:rsid w:val="00395491"/>
    <w:rsid w:val="003A2D46"/>
    <w:rsid w:val="003A3201"/>
    <w:rsid w:val="003B290E"/>
    <w:rsid w:val="003C2DEE"/>
    <w:rsid w:val="003C2E0B"/>
    <w:rsid w:val="003C67F2"/>
    <w:rsid w:val="003D37C1"/>
    <w:rsid w:val="003E1DDF"/>
    <w:rsid w:val="003E65D8"/>
    <w:rsid w:val="003E7B81"/>
    <w:rsid w:val="003F04B9"/>
    <w:rsid w:val="003F3D18"/>
    <w:rsid w:val="003F5518"/>
    <w:rsid w:val="003F64A7"/>
    <w:rsid w:val="00402272"/>
    <w:rsid w:val="004057C8"/>
    <w:rsid w:val="00435D6D"/>
    <w:rsid w:val="004456E2"/>
    <w:rsid w:val="00450476"/>
    <w:rsid w:val="00480A2B"/>
    <w:rsid w:val="00482B14"/>
    <w:rsid w:val="004862AD"/>
    <w:rsid w:val="004A1B24"/>
    <w:rsid w:val="004A2796"/>
    <w:rsid w:val="004B0BF8"/>
    <w:rsid w:val="004C2AF8"/>
    <w:rsid w:val="004D70C5"/>
    <w:rsid w:val="004E4CF5"/>
    <w:rsid w:val="004E753C"/>
    <w:rsid w:val="00501EEF"/>
    <w:rsid w:val="0050491F"/>
    <w:rsid w:val="00513C7F"/>
    <w:rsid w:val="00517E36"/>
    <w:rsid w:val="00520C66"/>
    <w:rsid w:val="005217F8"/>
    <w:rsid w:val="00522064"/>
    <w:rsid w:val="00530399"/>
    <w:rsid w:val="00536870"/>
    <w:rsid w:val="00541724"/>
    <w:rsid w:val="00561B5B"/>
    <w:rsid w:val="00571D17"/>
    <w:rsid w:val="00572154"/>
    <w:rsid w:val="00576A5F"/>
    <w:rsid w:val="005923E3"/>
    <w:rsid w:val="005B0E59"/>
    <w:rsid w:val="005B3960"/>
    <w:rsid w:val="005B7D7A"/>
    <w:rsid w:val="005C1A4E"/>
    <w:rsid w:val="005C7704"/>
    <w:rsid w:val="005D7A12"/>
    <w:rsid w:val="005E1A4A"/>
    <w:rsid w:val="005F0772"/>
    <w:rsid w:val="005F5307"/>
    <w:rsid w:val="0060689C"/>
    <w:rsid w:val="00613B65"/>
    <w:rsid w:val="00616F2D"/>
    <w:rsid w:val="006177A7"/>
    <w:rsid w:val="006258BB"/>
    <w:rsid w:val="00641FD9"/>
    <w:rsid w:val="0064781D"/>
    <w:rsid w:val="00662B94"/>
    <w:rsid w:val="006634A1"/>
    <w:rsid w:val="006657C9"/>
    <w:rsid w:val="0067149C"/>
    <w:rsid w:val="00680400"/>
    <w:rsid w:val="00681782"/>
    <w:rsid w:val="006849A6"/>
    <w:rsid w:val="00695476"/>
    <w:rsid w:val="00696FBA"/>
    <w:rsid w:val="006A0541"/>
    <w:rsid w:val="006A5684"/>
    <w:rsid w:val="006B535E"/>
    <w:rsid w:val="006C2460"/>
    <w:rsid w:val="006D761F"/>
    <w:rsid w:val="006E169C"/>
    <w:rsid w:val="006E46DF"/>
    <w:rsid w:val="006E7F0D"/>
    <w:rsid w:val="006E7F57"/>
    <w:rsid w:val="006F1FD6"/>
    <w:rsid w:val="007027C4"/>
    <w:rsid w:val="00711C0F"/>
    <w:rsid w:val="0071294E"/>
    <w:rsid w:val="007359DA"/>
    <w:rsid w:val="00736BCC"/>
    <w:rsid w:val="0074281E"/>
    <w:rsid w:val="00743051"/>
    <w:rsid w:val="007447C1"/>
    <w:rsid w:val="00754F21"/>
    <w:rsid w:val="00770871"/>
    <w:rsid w:val="0077254B"/>
    <w:rsid w:val="00792491"/>
    <w:rsid w:val="007A3A90"/>
    <w:rsid w:val="007A4E4B"/>
    <w:rsid w:val="007B5B95"/>
    <w:rsid w:val="007B5F39"/>
    <w:rsid w:val="007C08C3"/>
    <w:rsid w:val="007C2279"/>
    <w:rsid w:val="007D0BA4"/>
    <w:rsid w:val="007D15F9"/>
    <w:rsid w:val="007D308B"/>
    <w:rsid w:val="007E485E"/>
    <w:rsid w:val="00811783"/>
    <w:rsid w:val="00813B07"/>
    <w:rsid w:val="008168BC"/>
    <w:rsid w:val="00823C25"/>
    <w:rsid w:val="008259FA"/>
    <w:rsid w:val="00847A3B"/>
    <w:rsid w:val="008573C1"/>
    <w:rsid w:val="0086367E"/>
    <w:rsid w:val="00872924"/>
    <w:rsid w:val="00876C01"/>
    <w:rsid w:val="008866C0"/>
    <w:rsid w:val="00895737"/>
    <w:rsid w:val="008962A7"/>
    <w:rsid w:val="008A367A"/>
    <w:rsid w:val="008B3D72"/>
    <w:rsid w:val="008C650D"/>
    <w:rsid w:val="008D379A"/>
    <w:rsid w:val="008E455E"/>
    <w:rsid w:val="008E7C81"/>
    <w:rsid w:val="008F5E34"/>
    <w:rsid w:val="008F6EFE"/>
    <w:rsid w:val="00900E76"/>
    <w:rsid w:val="009325F4"/>
    <w:rsid w:val="00934062"/>
    <w:rsid w:val="0093477B"/>
    <w:rsid w:val="00954CF1"/>
    <w:rsid w:val="00970225"/>
    <w:rsid w:val="00974733"/>
    <w:rsid w:val="00980469"/>
    <w:rsid w:val="00986403"/>
    <w:rsid w:val="00987EB4"/>
    <w:rsid w:val="00992950"/>
    <w:rsid w:val="009B4326"/>
    <w:rsid w:val="009B6BFE"/>
    <w:rsid w:val="009C0319"/>
    <w:rsid w:val="009C319B"/>
    <w:rsid w:val="009C3D12"/>
    <w:rsid w:val="009E3BD2"/>
    <w:rsid w:val="009E7878"/>
    <w:rsid w:val="009F29DA"/>
    <w:rsid w:val="00A02D64"/>
    <w:rsid w:val="00A057C5"/>
    <w:rsid w:val="00A066C4"/>
    <w:rsid w:val="00A12A43"/>
    <w:rsid w:val="00A245C5"/>
    <w:rsid w:val="00A248F4"/>
    <w:rsid w:val="00A368E5"/>
    <w:rsid w:val="00A50E8F"/>
    <w:rsid w:val="00A51FDF"/>
    <w:rsid w:val="00A55ABC"/>
    <w:rsid w:val="00A62024"/>
    <w:rsid w:val="00A63494"/>
    <w:rsid w:val="00A73408"/>
    <w:rsid w:val="00A73B47"/>
    <w:rsid w:val="00A8343C"/>
    <w:rsid w:val="00A9028E"/>
    <w:rsid w:val="00A921BA"/>
    <w:rsid w:val="00A924AE"/>
    <w:rsid w:val="00AB0730"/>
    <w:rsid w:val="00AC0ACE"/>
    <w:rsid w:val="00AC33EA"/>
    <w:rsid w:val="00AC7625"/>
    <w:rsid w:val="00AD6709"/>
    <w:rsid w:val="00AE1E9D"/>
    <w:rsid w:val="00AF40F8"/>
    <w:rsid w:val="00B32079"/>
    <w:rsid w:val="00B356BE"/>
    <w:rsid w:val="00B420E2"/>
    <w:rsid w:val="00B51036"/>
    <w:rsid w:val="00B530E4"/>
    <w:rsid w:val="00B657CE"/>
    <w:rsid w:val="00B71E47"/>
    <w:rsid w:val="00B73E01"/>
    <w:rsid w:val="00B76303"/>
    <w:rsid w:val="00B76DB3"/>
    <w:rsid w:val="00BC1AB3"/>
    <w:rsid w:val="00BC6B73"/>
    <w:rsid w:val="00BD2757"/>
    <w:rsid w:val="00BD2877"/>
    <w:rsid w:val="00BF4AB5"/>
    <w:rsid w:val="00C003AB"/>
    <w:rsid w:val="00C01089"/>
    <w:rsid w:val="00C12CCF"/>
    <w:rsid w:val="00C21BE4"/>
    <w:rsid w:val="00C24C41"/>
    <w:rsid w:val="00C41E46"/>
    <w:rsid w:val="00C53048"/>
    <w:rsid w:val="00C5725C"/>
    <w:rsid w:val="00C7157F"/>
    <w:rsid w:val="00C72367"/>
    <w:rsid w:val="00C73C93"/>
    <w:rsid w:val="00C74D12"/>
    <w:rsid w:val="00C8216D"/>
    <w:rsid w:val="00C9521D"/>
    <w:rsid w:val="00C96F1D"/>
    <w:rsid w:val="00CA5BC4"/>
    <w:rsid w:val="00CB13A4"/>
    <w:rsid w:val="00CB53E0"/>
    <w:rsid w:val="00CC1096"/>
    <w:rsid w:val="00CE27E5"/>
    <w:rsid w:val="00CE65B1"/>
    <w:rsid w:val="00CE797B"/>
    <w:rsid w:val="00CF14E5"/>
    <w:rsid w:val="00D01247"/>
    <w:rsid w:val="00D101F6"/>
    <w:rsid w:val="00D17C17"/>
    <w:rsid w:val="00D33A75"/>
    <w:rsid w:val="00D47F0C"/>
    <w:rsid w:val="00D55097"/>
    <w:rsid w:val="00D574E4"/>
    <w:rsid w:val="00D576EF"/>
    <w:rsid w:val="00D60EC1"/>
    <w:rsid w:val="00D67E55"/>
    <w:rsid w:val="00D73573"/>
    <w:rsid w:val="00D90775"/>
    <w:rsid w:val="00D961C4"/>
    <w:rsid w:val="00DA4229"/>
    <w:rsid w:val="00DB5A77"/>
    <w:rsid w:val="00DC1986"/>
    <w:rsid w:val="00DC7FB0"/>
    <w:rsid w:val="00DD0388"/>
    <w:rsid w:val="00DE7E5C"/>
    <w:rsid w:val="00DF3984"/>
    <w:rsid w:val="00E04145"/>
    <w:rsid w:val="00E07442"/>
    <w:rsid w:val="00E122B7"/>
    <w:rsid w:val="00E12838"/>
    <w:rsid w:val="00E13657"/>
    <w:rsid w:val="00E20E24"/>
    <w:rsid w:val="00E2372B"/>
    <w:rsid w:val="00E24AFE"/>
    <w:rsid w:val="00E2696A"/>
    <w:rsid w:val="00E27FDA"/>
    <w:rsid w:val="00E310F2"/>
    <w:rsid w:val="00E3370B"/>
    <w:rsid w:val="00E42FF4"/>
    <w:rsid w:val="00E448F4"/>
    <w:rsid w:val="00E55BD3"/>
    <w:rsid w:val="00E604D4"/>
    <w:rsid w:val="00E631A6"/>
    <w:rsid w:val="00E65904"/>
    <w:rsid w:val="00E71508"/>
    <w:rsid w:val="00E736A5"/>
    <w:rsid w:val="00E809CE"/>
    <w:rsid w:val="00E921E3"/>
    <w:rsid w:val="00E96FE9"/>
    <w:rsid w:val="00E9724B"/>
    <w:rsid w:val="00EA1ECE"/>
    <w:rsid w:val="00EB6716"/>
    <w:rsid w:val="00EC1E3D"/>
    <w:rsid w:val="00EC6E7A"/>
    <w:rsid w:val="00ED35D5"/>
    <w:rsid w:val="00EE2BA1"/>
    <w:rsid w:val="00EE2BEF"/>
    <w:rsid w:val="00EE7A3A"/>
    <w:rsid w:val="00F01B7A"/>
    <w:rsid w:val="00F15049"/>
    <w:rsid w:val="00F16A08"/>
    <w:rsid w:val="00F20B01"/>
    <w:rsid w:val="00F213BC"/>
    <w:rsid w:val="00F234ED"/>
    <w:rsid w:val="00F26B97"/>
    <w:rsid w:val="00F41A9D"/>
    <w:rsid w:val="00F55CEC"/>
    <w:rsid w:val="00F57027"/>
    <w:rsid w:val="00F57524"/>
    <w:rsid w:val="00F75245"/>
    <w:rsid w:val="00F9354D"/>
    <w:rsid w:val="00F94DCB"/>
    <w:rsid w:val="00FB05DA"/>
    <w:rsid w:val="00FC12C0"/>
    <w:rsid w:val="00FC3301"/>
    <w:rsid w:val="00FC6694"/>
    <w:rsid w:val="00FE167F"/>
    <w:rsid w:val="00FE2720"/>
    <w:rsid w:val="00FF1D7C"/>
    <w:rsid w:val="00FF2A69"/>
    <w:rsid w:val="00FF4B45"/>
    <w:rsid w:val="00FF4F56"/>
    <w:rsid w:val="01351C73"/>
    <w:rsid w:val="013A223F"/>
    <w:rsid w:val="013F2FCF"/>
    <w:rsid w:val="014C6453"/>
    <w:rsid w:val="01623C08"/>
    <w:rsid w:val="01752AFE"/>
    <w:rsid w:val="017840A9"/>
    <w:rsid w:val="01813926"/>
    <w:rsid w:val="01920D21"/>
    <w:rsid w:val="01B36AC8"/>
    <w:rsid w:val="01F90F7C"/>
    <w:rsid w:val="02064B47"/>
    <w:rsid w:val="02092073"/>
    <w:rsid w:val="02132B87"/>
    <w:rsid w:val="02264FBE"/>
    <w:rsid w:val="022B6D52"/>
    <w:rsid w:val="023E4F05"/>
    <w:rsid w:val="026E269C"/>
    <w:rsid w:val="02701597"/>
    <w:rsid w:val="0277484A"/>
    <w:rsid w:val="02854F8C"/>
    <w:rsid w:val="0299229B"/>
    <w:rsid w:val="029C5E74"/>
    <w:rsid w:val="029D1C8E"/>
    <w:rsid w:val="02CE7259"/>
    <w:rsid w:val="02DB4DF7"/>
    <w:rsid w:val="02F8646C"/>
    <w:rsid w:val="030A0C9E"/>
    <w:rsid w:val="03205381"/>
    <w:rsid w:val="036A1C71"/>
    <w:rsid w:val="036F1D46"/>
    <w:rsid w:val="037F6424"/>
    <w:rsid w:val="03802F70"/>
    <w:rsid w:val="039614B8"/>
    <w:rsid w:val="03A62FDF"/>
    <w:rsid w:val="03AD7A96"/>
    <w:rsid w:val="03B43B3F"/>
    <w:rsid w:val="03BE46A4"/>
    <w:rsid w:val="03C25B44"/>
    <w:rsid w:val="03FA6DFF"/>
    <w:rsid w:val="041378F5"/>
    <w:rsid w:val="04201F87"/>
    <w:rsid w:val="04316655"/>
    <w:rsid w:val="04922828"/>
    <w:rsid w:val="04970E19"/>
    <w:rsid w:val="04AC6CA5"/>
    <w:rsid w:val="04B351C5"/>
    <w:rsid w:val="04BF5AD0"/>
    <w:rsid w:val="04C3210C"/>
    <w:rsid w:val="04E5250D"/>
    <w:rsid w:val="04F209CD"/>
    <w:rsid w:val="05290726"/>
    <w:rsid w:val="0535429B"/>
    <w:rsid w:val="05402991"/>
    <w:rsid w:val="054E1CE0"/>
    <w:rsid w:val="057A7F6E"/>
    <w:rsid w:val="058469D6"/>
    <w:rsid w:val="0589504E"/>
    <w:rsid w:val="058C1707"/>
    <w:rsid w:val="05AC0A53"/>
    <w:rsid w:val="05AE40A3"/>
    <w:rsid w:val="05E740AF"/>
    <w:rsid w:val="05EF0793"/>
    <w:rsid w:val="05F66E7E"/>
    <w:rsid w:val="05FC494C"/>
    <w:rsid w:val="06007989"/>
    <w:rsid w:val="060454DB"/>
    <w:rsid w:val="0618781F"/>
    <w:rsid w:val="062A4F87"/>
    <w:rsid w:val="06610A08"/>
    <w:rsid w:val="06686B0C"/>
    <w:rsid w:val="066D1D57"/>
    <w:rsid w:val="068D7620"/>
    <w:rsid w:val="06926006"/>
    <w:rsid w:val="06937EB7"/>
    <w:rsid w:val="06BE30D0"/>
    <w:rsid w:val="06EF35C6"/>
    <w:rsid w:val="070D73CC"/>
    <w:rsid w:val="072653F5"/>
    <w:rsid w:val="072852D5"/>
    <w:rsid w:val="07806CC6"/>
    <w:rsid w:val="07996308"/>
    <w:rsid w:val="079B0B7D"/>
    <w:rsid w:val="079C7ECA"/>
    <w:rsid w:val="07A86445"/>
    <w:rsid w:val="07E654DD"/>
    <w:rsid w:val="07EC334E"/>
    <w:rsid w:val="08061DBD"/>
    <w:rsid w:val="080B471B"/>
    <w:rsid w:val="08186ED9"/>
    <w:rsid w:val="083512EB"/>
    <w:rsid w:val="085B6064"/>
    <w:rsid w:val="08667849"/>
    <w:rsid w:val="086F12F7"/>
    <w:rsid w:val="087D5CEF"/>
    <w:rsid w:val="08970B55"/>
    <w:rsid w:val="08B828C6"/>
    <w:rsid w:val="08D5284D"/>
    <w:rsid w:val="08D97EBA"/>
    <w:rsid w:val="08ED0768"/>
    <w:rsid w:val="090A42F6"/>
    <w:rsid w:val="090B1FA9"/>
    <w:rsid w:val="091F7003"/>
    <w:rsid w:val="09545334"/>
    <w:rsid w:val="09583F4A"/>
    <w:rsid w:val="095F037B"/>
    <w:rsid w:val="096A27B4"/>
    <w:rsid w:val="096E6A8F"/>
    <w:rsid w:val="099B5A1C"/>
    <w:rsid w:val="09E86A45"/>
    <w:rsid w:val="09EA213D"/>
    <w:rsid w:val="0A073DB5"/>
    <w:rsid w:val="0A08744C"/>
    <w:rsid w:val="0A0976BB"/>
    <w:rsid w:val="0A1608E8"/>
    <w:rsid w:val="0A1763FE"/>
    <w:rsid w:val="0A3E3F88"/>
    <w:rsid w:val="0A3E7542"/>
    <w:rsid w:val="0A4D39C2"/>
    <w:rsid w:val="0A583CC6"/>
    <w:rsid w:val="0A5E3784"/>
    <w:rsid w:val="0A672A35"/>
    <w:rsid w:val="0A726026"/>
    <w:rsid w:val="0A981C9A"/>
    <w:rsid w:val="0AA72862"/>
    <w:rsid w:val="0AA74B6E"/>
    <w:rsid w:val="0ADF7AEC"/>
    <w:rsid w:val="0B167DBC"/>
    <w:rsid w:val="0B21105A"/>
    <w:rsid w:val="0B212724"/>
    <w:rsid w:val="0B2209A4"/>
    <w:rsid w:val="0B483C08"/>
    <w:rsid w:val="0B5D1A85"/>
    <w:rsid w:val="0B756EDB"/>
    <w:rsid w:val="0B834CF3"/>
    <w:rsid w:val="0B986F9F"/>
    <w:rsid w:val="0BBE458A"/>
    <w:rsid w:val="0BCF5E37"/>
    <w:rsid w:val="0BD74A5E"/>
    <w:rsid w:val="0BD928E6"/>
    <w:rsid w:val="0BE03D2B"/>
    <w:rsid w:val="0BE92434"/>
    <w:rsid w:val="0C090444"/>
    <w:rsid w:val="0C1D7DEF"/>
    <w:rsid w:val="0C2413F5"/>
    <w:rsid w:val="0C2C1105"/>
    <w:rsid w:val="0C4B1E57"/>
    <w:rsid w:val="0C545F5A"/>
    <w:rsid w:val="0C567D9E"/>
    <w:rsid w:val="0C606202"/>
    <w:rsid w:val="0C662702"/>
    <w:rsid w:val="0C7F3BFC"/>
    <w:rsid w:val="0C8949E4"/>
    <w:rsid w:val="0C997EBB"/>
    <w:rsid w:val="0CB6728F"/>
    <w:rsid w:val="0CC31335"/>
    <w:rsid w:val="0CC455C5"/>
    <w:rsid w:val="0CE32B9C"/>
    <w:rsid w:val="0CF14B0E"/>
    <w:rsid w:val="0CF5585C"/>
    <w:rsid w:val="0CFB6A75"/>
    <w:rsid w:val="0CFD25BD"/>
    <w:rsid w:val="0D24297B"/>
    <w:rsid w:val="0D34678D"/>
    <w:rsid w:val="0D3A39B1"/>
    <w:rsid w:val="0D4A02A6"/>
    <w:rsid w:val="0D4D794B"/>
    <w:rsid w:val="0D607508"/>
    <w:rsid w:val="0D8F75BB"/>
    <w:rsid w:val="0D933F5C"/>
    <w:rsid w:val="0DA3517A"/>
    <w:rsid w:val="0DAB1B73"/>
    <w:rsid w:val="0E06783A"/>
    <w:rsid w:val="0E0C42FA"/>
    <w:rsid w:val="0E252FB4"/>
    <w:rsid w:val="0E340C77"/>
    <w:rsid w:val="0E3656D6"/>
    <w:rsid w:val="0E387EC2"/>
    <w:rsid w:val="0E502C29"/>
    <w:rsid w:val="0E6B4E26"/>
    <w:rsid w:val="0E734739"/>
    <w:rsid w:val="0E847919"/>
    <w:rsid w:val="0E8B4F0A"/>
    <w:rsid w:val="0E9A15CB"/>
    <w:rsid w:val="0E9C201E"/>
    <w:rsid w:val="0EA727EB"/>
    <w:rsid w:val="0EE26BE2"/>
    <w:rsid w:val="0F4D0852"/>
    <w:rsid w:val="0F784044"/>
    <w:rsid w:val="0F823D5D"/>
    <w:rsid w:val="0F862A78"/>
    <w:rsid w:val="0F9937DA"/>
    <w:rsid w:val="0FA029A3"/>
    <w:rsid w:val="0FAB24D3"/>
    <w:rsid w:val="0FC00610"/>
    <w:rsid w:val="0FE973CA"/>
    <w:rsid w:val="10005F5F"/>
    <w:rsid w:val="10063AFE"/>
    <w:rsid w:val="100B449D"/>
    <w:rsid w:val="104B4EC7"/>
    <w:rsid w:val="105356D7"/>
    <w:rsid w:val="106252FB"/>
    <w:rsid w:val="107E5C87"/>
    <w:rsid w:val="108B226C"/>
    <w:rsid w:val="108E6DDE"/>
    <w:rsid w:val="109827F5"/>
    <w:rsid w:val="10B152EF"/>
    <w:rsid w:val="10D20FA3"/>
    <w:rsid w:val="10D54BEF"/>
    <w:rsid w:val="10FA43D2"/>
    <w:rsid w:val="10FD3277"/>
    <w:rsid w:val="112F26C0"/>
    <w:rsid w:val="113E52CA"/>
    <w:rsid w:val="114215F5"/>
    <w:rsid w:val="114542EA"/>
    <w:rsid w:val="1149117E"/>
    <w:rsid w:val="116B59DD"/>
    <w:rsid w:val="117C761C"/>
    <w:rsid w:val="11A56A4F"/>
    <w:rsid w:val="11B361D3"/>
    <w:rsid w:val="11CF66B5"/>
    <w:rsid w:val="11D83639"/>
    <w:rsid w:val="11E63FFF"/>
    <w:rsid w:val="11E75F2F"/>
    <w:rsid w:val="12137217"/>
    <w:rsid w:val="121E0F14"/>
    <w:rsid w:val="12415950"/>
    <w:rsid w:val="12440EBB"/>
    <w:rsid w:val="124A1C36"/>
    <w:rsid w:val="12650308"/>
    <w:rsid w:val="126E66D8"/>
    <w:rsid w:val="12766F68"/>
    <w:rsid w:val="12784E55"/>
    <w:rsid w:val="128A78E8"/>
    <w:rsid w:val="128C33F4"/>
    <w:rsid w:val="12993806"/>
    <w:rsid w:val="12BA218D"/>
    <w:rsid w:val="12BB4574"/>
    <w:rsid w:val="12CB0E85"/>
    <w:rsid w:val="12CB2C15"/>
    <w:rsid w:val="12CB3E6D"/>
    <w:rsid w:val="12E40295"/>
    <w:rsid w:val="12FB01C6"/>
    <w:rsid w:val="13063EC1"/>
    <w:rsid w:val="13336A4D"/>
    <w:rsid w:val="13365AD3"/>
    <w:rsid w:val="133F5E2F"/>
    <w:rsid w:val="13451BDF"/>
    <w:rsid w:val="13487675"/>
    <w:rsid w:val="134E7BFD"/>
    <w:rsid w:val="13783B8A"/>
    <w:rsid w:val="137F4EEC"/>
    <w:rsid w:val="138D11BC"/>
    <w:rsid w:val="13972080"/>
    <w:rsid w:val="139D2FCC"/>
    <w:rsid w:val="13A05A9F"/>
    <w:rsid w:val="13AB6434"/>
    <w:rsid w:val="13BC75DB"/>
    <w:rsid w:val="13C62E93"/>
    <w:rsid w:val="13C96DAF"/>
    <w:rsid w:val="13D84C83"/>
    <w:rsid w:val="13F54EEA"/>
    <w:rsid w:val="14253493"/>
    <w:rsid w:val="1441058C"/>
    <w:rsid w:val="14565420"/>
    <w:rsid w:val="145E0E2B"/>
    <w:rsid w:val="14663755"/>
    <w:rsid w:val="14A91413"/>
    <w:rsid w:val="14B53C19"/>
    <w:rsid w:val="14B629C7"/>
    <w:rsid w:val="14E26901"/>
    <w:rsid w:val="14E72B42"/>
    <w:rsid w:val="15125E09"/>
    <w:rsid w:val="15265BC4"/>
    <w:rsid w:val="15285578"/>
    <w:rsid w:val="15550B09"/>
    <w:rsid w:val="155550C1"/>
    <w:rsid w:val="156234AA"/>
    <w:rsid w:val="156E26BA"/>
    <w:rsid w:val="157509B7"/>
    <w:rsid w:val="1588419E"/>
    <w:rsid w:val="15BE498C"/>
    <w:rsid w:val="15C56451"/>
    <w:rsid w:val="15C8772A"/>
    <w:rsid w:val="15ED5C46"/>
    <w:rsid w:val="160D697A"/>
    <w:rsid w:val="16162C58"/>
    <w:rsid w:val="1654287F"/>
    <w:rsid w:val="166B3507"/>
    <w:rsid w:val="166F313A"/>
    <w:rsid w:val="169754A7"/>
    <w:rsid w:val="16A5117D"/>
    <w:rsid w:val="16AA0B6A"/>
    <w:rsid w:val="16B25E6D"/>
    <w:rsid w:val="16BF6BE7"/>
    <w:rsid w:val="16DB3ACD"/>
    <w:rsid w:val="16E63F78"/>
    <w:rsid w:val="16F17C9B"/>
    <w:rsid w:val="172072CE"/>
    <w:rsid w:val="17411B66"/>
    <w:rsid w:val="17447531"/>
    <w:rsid w:val="17464982"/>
    <w:rsid w:val="17536E6E"/>
    <w:rsid w:val="17563FF8"/>
    <w:rsid w:val="177D7BBD"/>
    <w:rsid w:val="17821F33"/>
    <w:rsid w:val="178A477B"/>
    <w:rsid w:val="17907B2D"/>
    <w:rsid w:val="17B351C8"/>
    <w:rsid w:val="17CE0395"/>
    <w:rsid w:val="17E751D5"/>
    <w:rsid w:val="17F976EF"/>
    <w:rsid w:val="17FD76AA"/>
    <w:rsid w:val="180B3DC5"/>
    <w:rsid w:val="18170899"/>
    <w:rsid w:val="182D3C78"/>
    <w:rsid w:val="18444CBC"/>
    <w:rsid w:val="18603535"/>
    <w:rsid w:val="18656CB7"/>
    <w:rsid w:val="186A63EF"/>
    <w:rsid w:val="186C201D"/>
    <w:rsid w:val="186E1A30"/>
    <w:rsid w:val="187152F8"/>
    <w:rsid w:val="18740800"/>
    <w:rsid w:val="18870D4A"/>
    <w:rsid w:val="188B1530"/>
    <w:rsid w:val="18921717"/>
    <w:rsid w:val="18E02502"/>
    <w:rsid w:val="18FA490E"/>
    <w:rsid w:val="191346B2"/>
    <w:rsid w:val="19275568"/>
    <w:rsid w:val="192F739D"/>
    <w:rsid w:val="19366E96"/>
    <w:rsid w:val="193D5954"/>
    <w:rsid w:val="194C04D8"/>
    <w:rsid w:val="19556FF9"/>
    <w:rsid w:val="195948F7"/>
    <w:rsid w:val="195E0E17"/>
    <w:rsid w:val="1971204D"/>
    <w:rsid w:val="19805D37"/>
    <w:rsid w:val="19C639D9"/>
    <w:rsid w:val="19C82216"/>
    <w:rsid w:val="19CA4AD8"/>
    <w:rsid w:val="19D45248"/>
    <w:rsid w:val="1A105E9F"/>
    <w:rsid w:val="1A1C6F29"/>
    <w:rsid w:val="1A324F2D"/>
    <w:rsid w:val="1A407579"/>
    <w:rsid w:val="1A462475"/>
    <w:rsid w:val="1A710808"/>
    <w:rsid w:val="1A745370"/>
    <w:rsid w:val="1A7A0EF6"/>
    <w:rsid w:val="1A8B389F"/>
    <w:rsid w:val="1A997EE2"/>
    <w:rsid w:val="1AA35F36"/>
    <w:rsid w:val="1AAD5B72"/>
    <w:rsid w:val="1ABE5C90"/>
    <w:rsid w:val="1AE37041"/>
    <w:rsid w:val="1AF67185"/>
    <w:rsid w:val="1B115D3C"/>
    <w:rsid w:val="1B1E0896"/>
    <w:rsid w:val="1B3E1F3A"/>
    <w:rsid w:val="1B464213"/>
    <w:rsid w:val="1B6A11E1"/>
    <w:rsid w:val="1B6A6896"/>
    <w:rsid w:val="1B6D6F30"/>
    <w:rsid w:val="1B785979"/>
    <w:rsid w:val="1B807337"/>
    <w:rsid w:val="1B99695D"/>
    <w:rsid w:val="1BA47A56"/>
    <w:rsid w:val="1BA47C58"/>
    <w:rsid w:val="1BB80F43"/>
    <w:rsid w:val="1BC170B5"/>
    <w:rsid w:val="1BC35954"/>
    <w:rsid w:val="1BC85289"/>
    <w:rsid w:val="1BD21379"/>
    <w:rsid w:val="1BDB5F9B"/>
    <w:rsid w:val="1BDC34D1"/>
    <w:rsid w:val="1BE64759"/>
    <w:rsid w:val="1BE84701"/>
    <w:rsid w:val="1BEC1D27"/>
    <w:rsid w:val="1BF010E9"/>
    <w:rsid w:val="1BF02765"/>
    <w:rsid w:val="1BF0529D"/>
    <w:rsid w:val="1C2E159D"/>
    <w:rsid w:val="1C326500"/>
    <w:rsid w:val="1C550846"/>
    <w:rsid w:val="1C60680C"/>
    <w:rsid w:val="1C63114B"/>
    <w:rsid w:val="1C6C08F4"/>
    <w:rsid w:val="1C763C77"/>
    <w:rsid w:val="1C7E1815"/>
    <w:rsid w:val="1C9B7F2C"/>
    <w:rsid w:val="1CC22D92"/>
    <w:rsid w:val="1CC31868"/>
    <w:rsid w:val="1CD54AE5"/>
    <w:rsid w:val="1CEF4C58"/>
    <w:rsid w:val="1D1A5AAC"/>
    <w:rsid w:val="1D2073F3"/>
    <w:rsid w:val="1D385997"/>
    <w:rsid w:val="1D6B0D1C"/>
    <w:rsid w:val="1D714633"/>
    <w:rsid w:val="1D717C32"/>
    <w:rsid w:val="1D8E77C6"/>
    <w:rsid w:val="1D9E1ACD"/>
    <w:rsid w:val="1DB7132F"/>
    <w:rsid w:val="1DB74394"/>
    <w:rsid w:val="1DD4019E"/>
    <w:rsid w:val="1DF636F7"/>
    <w:rsid w:val="1DF97E9A"/>
    <w:rsid w:val="1E106418"/>
    <w:rsid w:val="1E1438E8"/>
    <w:rsid w:val="1E1A49CB"/>
    <w:rsid w:val="1E213710"/>
    <w:rsid w:val="1E240C9D"/>
    <w:rsid w:val="1E2801FF"/>
    <w:rsid w:val="1E597123"/>
    <w:rsid w:val="1E635C85"/>
    <w:rsid w:val="1E6D42C6"/>
    <w:rsid w:val="1E6E1C3C"/>
    <w:rsid w:val="1EAF03E7"/>
    <w:rsid w:val="1EB12D5B"/>
    <w:rsid w:val="1ECA20B1"/>
    <w:rsid w:val="1ECA48AD"/>
    <w:rsid w:val="1EF350E8"/>
    <w:rsid w:val="1EFD2C6E"/>
    <w:rsid w:val="1F011883"/>
    <w:rsid w:val="1F177E2D"/>
    <w:rsid w:val="1F2540E6"/>
    <w:rsid w:val="1F3609F3"/>
    <w:rsid w:val="1F733EF9"/>
    <w:rsid w:val="1F7E0B62"/>
    <w:rsid w:val="1F8C1AB1"/>
    <w:rsid w:val="1FB737DB"/>
    <w:rsid w:val="1FB818B3"/>
    <w:rsid w:val="1FC13F05"/>
    <w:rsid w:val="1FC4124F"/>
    <w:rsid w:val="1FC87E17"/>
    <w:rsid w:val="1FCB10F3"/>
    <w:rsid w:val="1FEA26D0"/>
    <w:rsid w:val="1FF44E35"/>
    <w:rsid w:val="1FFC0CD6"/>
    <w:rsid w:val="20477762"/>
    <w:rsid w:val="204E6680"/>
    <w:rsid w:val="205D49DE"/>
    <w:rsid w:val="20673EC4"/>
    <w:rsid w:val="206E1703"/>
    <w:rsid w:val="207D08E0"/>
    <w:rsid w:val="207E1154"/>
    <w:rsid w:val="208B64ED"/>
    <w:rsid w:val="20BD2B9D"/>
    <w:rsid w:val="20C47E79"/>
    <w:rsid w:val="20F40677"/>
    <w:rsid w:val="20FF648C"/>
    <w:rsid w:val="211D538B"/>
    <w:rsid w:val="214D7F75"/>
    <w:rsid w:val="21692402"/>
    <w:rsid w:val="218F01B7"/>
    <w:rsid w:val="21AC6C50"/>
    <w:rsid w:val="21B04A82"/>
    <w:rsid w:val="21B53414"/>
    <w:rsid w:val="21CC25D2"/>
    <w:rsid w:val="21CF34D5"/>
    <w:rsid w:val="21D06BFB"/>
    <w:rsid w:val="21D278F8"/>
    <w:rsid w:val="21E17532"/>
    <w:rsid w:val="21E42164"/>
    <w:rsid w:val="21FE0428"/>
    <w:rsid w:val="220426D8"/>
    <w:rsid w:val="22292C54"/>
    <w:rsid w:val="223606BE"/>
    <w:rsid w:val="22736881"/>
    <w:rsid w:val="228826E5"/>
    <w:rsid w:val="22C17C41"/>
    <w:rsid w:val="22DC1101"/>
    <w:rsid w:val="22DD2076"/>
    <w:rsid w:val="22E26D93"/>
    <w:rsid w:val="22FC5224"/>
    <w:rsid w:val="23536B7C"/>
    <w:rsid w:val="23A31B76"/>
    <w:rsid w:val="23AF484A"/>
    <w:rsid w:val="23B91130"/>
    <w:rsid w:val="23CD6F18"/>
    <w:rsid w:val="23E303FA"/>
    <w:rsid w:val="23F33D54"/>
    <w:rsid w:val="23F34FB7"/>
    <w:rsid w:val="23FB1111"/>
    <w:rsid w:val="2423604A"/>
    <w:rsid w:val="24292561"/>
    <w:rsid w:val="24373F6D"/>
    <w:rsid w:val="2448484C"/>
    <w:rsid w:val="24575A93"/>
    <w:rsid w:val="24673185"/>
    <w:rsid w:val="248255ED"/>
    <w:rsid w:val="248B56E2"/>
    <w:rsid w:val="24A32C9D"/>
    <w:rsid w:val="24BE2F37"/>
    <w:rsid w:val="24F50FAE"/>
    <w:rsid w:val="25030742"/>
    <w:rsid w:val="250A771D"/>
    <w:rsid w:val="251E7700"/>
    <w:rsid w:val="252614C9"/>
    <w:rsid w:val="252826CC"/>
    <w:rsid w:val="252E1698"/>
    <w:rsid w:val="25326A1A"/>
    <w:rsid w:val="25453397"/>
    <w:rsid w:val="25574B16"/>
    <w:rsid w:val="255F7AD2"/>
    <w:rsid w:val="256D4FBD"/>
    <w:rsid w:val="257E226E"/>
    <w:rsid w:val="259127F9"/>
    <w:rsid w:val="25960536"/>
    <w:rsid w:val="259D3142"/>
    <w:rsid w:val="25D57A32"/>
    <w:rsid w:val="25F211DB"/>
    <w:rsid w:val="25F60C3B"/>
    <w:rsid w:val="25F65D0C"/>
    <w:rsid w:val="25FA3C32"/>
    <w:rsid w:val="25FA60CF"/>
    <w:rsid w:val="260C04D1"/>
    <w:rsid w:val="26145425"/>
    <w:rsid w:val="26230DF0"/>
    <w:rsid w:val="2627224F"/>
    <w:rsid w:val="263C4A01"/>
    <w:rsid w:val="263F5222"/>
    <w:rsid w:val="264B2FCC"/>
    <w:rsid w:val="26507C71"/>
    <w:rsid w:val="26541B7D"/>
    <w:rsid w:val="26657DD8"/>
    <w:rsid w:val="26794F20"/>
    <w:rsid w:val="26CC079E"/>
    <w:rsid w:val="26D1505D"/>
    <w:rsid w:val="26E15169"/>
    <w:rsid w:val="26F267D1"/>
    <w:rsid w:val="270C7E7B"/>
    <w:rsid w:val="27180E6A"/>
    <w:rsid w:val="271E393C"/>
    <w:rsid w:val="2727416B"/>
    <w:rsid w:val="272D4984"/>
    <w:rsid w:val="27581696"/>
    <w:rsid w:val="276B26C0"/>
    <w:rsid w:val="278F4995"/>
    <w:rsid w:val="278F7628"/>
    <w:rsid w:val="279D08CA"/>
    <w:rsid w:val="27A872D6"/>
    <w:rsid w:val="27B92311"/>
    <w:rsid w:val="27CE4C4F"/>
    <w:rsid w:val="27DA6390"/>
    <w:rsid w:val="27E50D7B"/>
    <w:rsid w:val="27F513D0"/>
    <w:rsid w:val="281D1842"/>
    <w:rsid w:val="28223089"/>
    <w:rsid w:val="28515969"/>
    <w:rsid w:val="28556900"/>
    <w:rsid w:val="287C52A9"/>
    <w:rsid w:val="287F71CF"/>
    <w:rsid w:val="289711B8"/>
    <w:rsid w:val="28AA44A4"/>
    <w:rsid w:val="28B34564"/>
    <w:rsid w:val="28C246A0"/>
    <w:rsid w:val="28DB07EC"/>
    <w:rsid w:val="28FA13D4"/>
    <w:rsid w:val="29184803"/>
    <w:rsid w:val="294409BC"/>
    <w:rsid w:val="29686931"/>
    <w:rsid w:val="29690D96"/>
    <w:rsid w:val="29746DFF"/>
    <w:rsid w:val="29783FB6"/>
    <w:rsid w:val="298076E2"/>
    <w:rsid w:val="29911DBB"/>
    <w:rsid w:val="299D5957"/>
    <w:rsid w:val="29B46D85"/>
    <w:rsid w:val="29C9235D"/>
    <w:rsid w:val="29CA3422"/>
    <w:rsid w:val="29DC316A"/>
    <w:rsid w:val="29E94C34"/>
    <w:rsid w:val="29F20DAE"/>
    <w:rsid w:val="29FB48F8"/>
    <w:rsid w:val="2A0D32E4"/>
    <w:rsid w:val="2A4A0382"/>
    <w:rsid w:val="2A4B34A7"/>
    <w:rsid w:val="2A604683"/>
    <w:rsid w:val="2A641987"/>
    <w:rsid w:val="2A745AF1"/>
    <w:rsid w:val="2AA02867"/>
    <w:rsid w:val="2AB357E7"/>
    <w:rsid w:val="2ACD0A6A"/>
    <w:rsid w:val="2AF76423"/>
    <w:rsid w:val="2B0747FE"/>
    <w:rsid w:val="2B096C7A"/>
    <w:rsid w:val="2B0F15B2"/>
    <w:rsid w:val="2B1431BE"/>
    <w:rsid w:val="2B2144A5"/>
    <w:rsid w:val="2B2A3AC8"/>
    <w:rsid w:val="2B2D17EA"/>
    <w:rsid w:val="2B3167F0"/>
    <w:rsid w:val="2B395A62"/>
    <w:rsid w:val="2B421606"/>
    <w:rsid w:val="2B467033"/>
    <w:rsid w:val="2B63494F"/>
    <w:rsid w:val="2B6E40C9"/>
    <w:rsid w:val="2B93610E"/>
    <w:rsid w:val="2B9F615B"/>
    <w:rsid w:val="2BB23B01"/>
    <w:rsid w:val="2BC206A6"/>
    <w:rsid w:val="2BC22732"/>
    <w:rsid w:val="2BC537D3"/>
    <w:rsid w:val="2BE212BA"/>
    <w:rsid w:val="2BE43FF8"/>
    <w:rsid w:val="2BF64BF9"/>
    <w:rsid w:val="2C006AC9"/>
    <w:rsid w:val="2C1C5425"/>
    <w:rsid w:val="2C485018"/>
    <w:rsid w:val="2C594A5D"/>
    <w:rsid w:val="2CA07757"/>
    <w:rsid w:val="2CAC46BC"/>
    <w:rsid w:val="2CC9536F"/>
    <w:rsid w:val="2CD32354"/>
    <w:rsid w:val="2CF617E0"/>
    <w:rsid w:val="2D1F08A9"/>
    <w:rsid w:val="2D341634"/>
    <w:rsid w:val="2D354A38"/>
    <w:rsid w:val="2D5807DA"/>
    <w:rsid w:val="2D59741D"/>
    <w:rsid w:val="2D61222D"/>
    <w:rsid w:val="2D6A3083"/>
    <w:rsid w:val="2D767628"/>
    <w:rsid w:val="2DB0725B"/>
    <w:rsid w:val="2DBB723B"/>
    <w:rsid w:val="2DC37DF1"/>
    <w:rsid w:val="2DD560C3"/>
    <w:rsid w:val="2DDD4AFC"/>
    <w:rsid w:val="2DE43DE4"/>
    <w:rsid w:val="2DE72CC0"/>
    <w:rsid w:val="2E0D173F"/>
    <w:rsid w:val="2E825B76"/>
    <w:rsid w:val="2EB433C6"/>
    <w:rsid w:val="2ECB5D09"/>
    <w:rsid w:val="2EEC509E"/>
    <w:rsid w:val="2EF57EBC"/>
    <w:rsid w:val="2F0036B2"/>
    <w:rsid w:val="2F0B25ED"/>
    <w:rsid w:val="2F306712"/>
    <w:rsid w:val="2F4A1FBC"/>
    <w:rsid w:val="2F8932A3"/>
    <w:rsid w:val="2F984ABB"/>
    <w:rsid w:val="2FA74539"/>
    <w:rsid w:val="2FB154F2"/>
    <w:rsid w:val="2FCD489F"/>
    <w:rsid w:val="2FD91952"/>
    <w:rsid w:val="2FE32412"/>
    <w:rsid w:val="2FFB1CEA"/>
    <w:rsid w:val="30237284"/>
    <w:rsid w:val="30323073"/>
    <w:rsid w:val="30346EAA"/>
    <w:rsid w:val="30561692"/>
    <w:rsid w:val="306E03FB"/>
    <w:rsid w:val="307D7DB5"/>
    <w:rsid w:val="308A1A0F"/>
    <w:rsid w:val="309218B2"/>
    <w:rsid w:val="30981D92"/>
    <w:rsid w:val="309B6B2B"/>
    <w:rsid w:val="30AA13BF"/>
    <w:rsid w:val="30C20FF2"/>
    <w:rsid w:val="30CA54D9"/>
    <w:rsid w:val="30EF353D"/>
    <w:rsid w:val="30F10891"/>
    <w:rsid w:val="30F13338"/>
    <w:rsid w:val="310C4A4C"/>
    <w:rsid w:val="311444A1"/>
    <w:rsid w:val="31195802"/>
    <w:rsid w:val="314F19DE"/>
    <w:rsid w:val="315757AE"/>
    <w:rsid w:val="31742E4E"/>
    <w:rsid w:val="31892206"/>
    <w:rsid w:val="31926D16"/>
    <w:rsid w:val="31974ED2"/>
    <w:rsid w:val="31A1306B"/>
    <w:rsid w:val="31AA13C8"/>
    <w:rsid w:val="31B242B9"/>
    <w:rsid w:val="31DF6482"/>
    <w:rsid w:val="32000348"/>
    <w:rsid w:val="320423B2"/>
    <w:rsid w:val="32396CA7"/>
    <w:rsid w:val="32406CFD"/>
    <w:rsid w:val="324E226E"/>
    <w:rsid w:val="326B1A60"/>
    <w:rsid w:val="327B0EE3"/>
    <w:rsid w:val="32842723"/>
    <w:rsid w:val="32B15F25"/>
    <w:rsid w:val="32B82304"/>
    <w:rsid w:val="32B871AC"/>
    <w:rsid w:val="32C57B5B"/>
    <w:rsid w:val="32CB3041"/>
    <w:rsid w:val="32D4454C"/>
    <w:rsid w:val="32F341BB"/>
    <w:rsid w:val="32FE6DB5"/>
    <w:rsid w:val="32FF588D"/>
    <w:rsid w:val="330A5D26"/>
    <w:rsid w:val="3341058C"/>
    <w:rsid w:val="33434A04"/>
    <w:rsid w:val="335C0F0C"/>
    <w:rsid w:val="338F5AA2"/>
    <w:rsid w:val="33CA38C0"/>
    <w:rsid w:val="33DC601A"/>
    <w:rsid w:val="33F62CD1"/>
    <w:rsid w:val="33FE76D9"/>
    <w:rsid w:val="3404140F"/>
    <w:rsid w:val="342B427E"/>
    <w:rsid w:val="344A3B15"/>
    <w:rsid w:val="344A5CAF"/>
    <w:rsid w:val="344D559D"/>
    <w:rsid w:val="34627E84"/>
    <w:rsid w:val="346678FC"/>
    <w:rsid w:val="34700CE5"/>
    <w:rsid w:val="34724319"/>
    <w:rsid w:val="34761B3D"/>
    <w:rsid w:val="34B70E92"/>
    <w:rsid w:val="34BC38A3"/>
    <w:rsid w:val="34BC47EE"/>
    <w:rsid w:val="34D33456"/>
    <w:rsid w:val="34ED2EF3"/>
    <w:rsid w:val="34FB6280"/>
    <w:rsid w:val="35096656"/>
    <w:rsid w:val="351274ED"/>
    <w:rsid w:val="35413CA8"/>
    <w:rsid w:val="35523A36"/>
    <w:rsid w:val="35552533"/>
    <w:rsid w:val="355C608F"/>
    <w:rsid w:val="35884C5D"/>
    <w:rsid w:val="358B16A6"/>
    <w:rsid w:val="359114B6"/>
    <w:rsid w:val="35DA1085"/>
    <w:rsid w:val="35F8503E"/>
    <w:rsid w:val="36065048"/>
    <w:rsid w:val="360E3D96"/>
    <w:rsid w:val="360F3340"/>
    <w:rsid w:val="36100B60"/>
    <w:rsid w:val="363A6CD2"/>
    <w:rsid w:val="36504388"/>
    <w:rsid w:val="366F798B"/>
    <w:rsid w:val="36845E45"/>
    <w:rsid w:val="36860188"/>
    <w:rsid w:val="3687528F"/>
    <w:rsid w:val="369E1856"/>
    <w:rsid w:val="369F5F8F"/>
    <w:rsid w:val="36AB53A8"/>
    <w:rsid w:val="36BF7024"/>
    <w:rsid w:val="36CB2A00"/>
    <w:rsid w:val="36D71B6D"/>
    <w:rsid w:val="36D72354"/>
    <w:rsid w:val="36D954F0"/>
    <w:rsid w:val="370666E5"/>
    <w:rsid w:val="370C60A4"/>
    <w:rsid w:val="370F5BFD"/>
    <w:rsid w:val="371B6273"/>
    <w:rsid w:val="37323C4D"/>
    <w:rsid w:val="374375AF"/>
    <w:rsid w:val="374E58D6"/>
    <w:rsid w:val="376B6B46"/>
    <w:rsid w:val="377B22EA"/>
    <w:rsid w:val="37801AA2"/>
    <w:rsid w:val="3782361C"/>
    <w:rsid w:val="3797682D"/>
    <w:rsid w:val="37B70D55"/>
    <w:rsid w:val="37B91CA7"/>
    <w:rsid w:val="37E234BF"/>
    <w:rsid w:val="380C7B3D"/>
    <w:rsid w:val="381730CC"/>
    <w:rsid w:val="383A131B"/>
    <w:rsid w:val="3849652C"/>
    <w:rsid w:val="385C1B20"/>
    <w:rsid w:val="385F1A9D"/>
    <w:rsid w:val="38645417"/>
    <w:rsid w:val="386B0171"/>
    <w:rsid w:val="387979F1"/>
    <w:rsid w:val="387C2795"/>
    <w:rsid w:val="38881EBB"/>
    <w:rsid w:val="38942AAD"/>
    <w:rsid w:val="389712F2"/>
    <w:rsid w:val="38BC5D6B"/>
    <w:rsid w:val="38C63D66"/>
    <w:rsid w:val="38CA4FC5"/>
    <w:rsid w:val="38D26913"/>
    <w:rsid w:val="38D93327"/>
    <w:rsid w:val="38E21DE2"/>
    <w:rsid w:val="39215CC3"/>
    <w:rsid w:val="3935437F"/>
    <w:rsid w:val="393973DB"/>
    <w:rsid w:val="395550D1"/>
    <w:rsid w:val="398630C2"/>
    <w:rsid w:val="399805D2"/>
    <w:rsid w:val="39A03524"/>
    <w:rsid w:val="39B32851"/>
    <w:rsid w:val="39B611DA"/>
    <w:rsid w:val="39BB476A"/>
    <w:rsid w:val="39C70DF7"/>
    <w:rsid w:val="39CD7D12"/>
    <w:rsid w:val="39E21628"/>
    <w:rsid w:val="39E901AB"/>
    <w:rsid w:val="39E91C6F"/>
    <w:rsid w:val="39FD40D4"/>
    <w:rsid w:val="3A0462CC"/>
    <w:rsid w:val="3A1B3636"/>
    <w:rsid w:val="3A2959B1"/>
    <w:rsid w:val="3A466C85"/>
    <w:rsid w:val="3A8D3267"/>
    <w:rsid w:val="3A8E4793"/>
    <w:rsid w:val="3AB2321F"/>
    <w:rsid w:val="3AB32333"/>
    <w:rsid w:val="3ABB31FD"/>
    <w:rsid w:val="3ACC6A5F"/>
    <w:rsid w:val="3AD07C99"/>
    <w:rsid w:val="3AD30754"/>
    <w:rsid w:val="3AE267C9"/>
    <w:rsid w:val="3AE42D07"/>
    <w:rsid w:val="3AF67989"/>
    <w:rsid w:val="3B0F5D78"/>
    <w:rsid w:val="3B291F18"/>
    <w:rsid w:val="3B35149A"/>
    <w:rsid w:val="3B4F12B2"/>
    <w:rsid w:val="3B730A2C"/>
    <w:rsid w:val="3B8D15A9"/>
    <w:rsid w:val="3BBD3970"/>
    <w:rsid w:val="3BD13837"/>
    <w:rsid w:val="3BD43349"/>
    <w:rsid w:val="3C0A04BB"/>
    <w:rsid w:val="3C1134A9"/>
    <w:rsid w:val="3C1278E0"/>
    <w:rsid w:val="3C2B2044"/>
    <w:rsid w:val="3C555015"/>
    <w:rsid w:val="3C583D72"/>
    <w:rsid w:val="3C6524E5"/>
    <w:rsid w:val="3C691DB4"/>
    <w:rsid w:val="3C7057AE"/>
    <w:rsid w:val="3C71272F"/>
    <w:rsid w:val="3CA8627B"/>
    <w:rsid w:val="3CA97F92"/>
    <w:rsid w:val="3CB07A2D"/>
    <w:rsid w:val="3CF177EF"/>
    <w:rsid w:val="3CF87315"/>
    <w:rsid w:val="3D1E45E5"/>
    <w:rsid w:val="3D3712B0"/>
    <w:rsid w:val="3D4B442E"/>
    <w:rsid w:val="3D7263EA"/>
    <w:rsid w:val="3D7B54EF"/>
    <w:rsid w:val="3D7D48B2"/>
    <w:rsid w:val="3D86267D"/>
    <w:rsid w:val="3D8B6E52"/>
    <w:rsid w:val="3DA70962"/>
    <w:rsid w:val="3DAF4BE0"/>
    <w:rsid w:val="3DB724DE"/>
    <w:rsid w:val="3DC70F93"/>
    <w:rsid w:val="3DE628EA"/>
    <w:rsid w:val="3DF41F1A"/>
    <w:rsid w:val="3E183724"/>
    <w:rsid w:val="3E22369C"/>
    <w:rsid w:val="3E2258E7"/>
    <w:rsid w:val="3E2E431B"/>
    <w:rsid w:val="3E3660A4"/>
    <w:rsid w:val="3E4D5D4B"/>
    <w:rsid w:val="3E5F3821"/>
    <w:rsid w:val="3E662C4E"/>
    <w:rsid w:val="3E6836C3"/>
    <w:rsid w:val="3E74486F"/>
    <w:rsid w:val="3E9D7D6C"/>
    <w:rsid w:val="3EA271E9"/>
    <w:rsid w:val="3EBE544B"/>
    <w:rsid w:val="3EC7628C"/>
    <w:rsid w:val="3EC774ED"/>
    <w:rsid w:val="3ED309C1"/>
    <w:rsid w:val="3ED545DB"/>
    <w:rsid w:val="3ED613E3"/>
    <w:rsid w:val="3EDC2981"/>
    <w:rsid w:val="3EE4471D"/>
    <w:rsid w:val="3EF75F01"/>
    <w:rsid w:val="3F0C2C0C"/>
    <w:rsid w:val="3F23004F"/>
    <w:rsid w:val="3F3C71CB"/>
    <w:rsid w:val="3F4F184E"/>
    <w:rsid w:val="3F597C70"/>
    <w:rsid w:val="3F5A50A4"/>
    <w:rsid w:val="3F86322C"/>
    <w:rsid w:val="3F8F2F70"/>
    <w:rsid w:val="3FA10922"/>
    <w:rsid w:val="3FA115F0"/>
    <w:rsid w:val="3FA46EF8"/>
    <w:rsid w:val="3FBF69C8"/>
    <w:rsid w:val="3FD4031B"/>
    <w:rsid w:val="3FDA0AC6"/>
    <w:rsid w:val="3FE47F77"/>
    <w:rsid w:val="3FFE53E9"/>
    <w:rsid w:val="40164160"/>
    <w:rsid w:val="40170374"/>
    <w:rsid w:val="4019218E"/>
    <w:rsid w:val="40270EDB"/>
    <w:rsid w:val="403F5839"/>
    <w:rsid w:val="40596BBF"/>
    <w:rsid w:val="406A433E"/>
    <w:rsid w:val="40841FFE"/>
    <w:rsid w:val="40BD6A2F"/>
    <w:rsid w:val="40E517EC"/>
    <w:rsid w:val="40E724CE"/>
    <w:rsid w:val="41181D29"/>
    <w:rsid w:val="41303C39"/>
    <w:rsid w:val="413D1880"/>
    <w:rsid w:val="414B2E3E"/>
    <w:rsid w:val="414F74CB"/>
    <w:rsid w:val="4152668D"/>
    <w:rsid w:val="415B6654"/>
    <w:rsid w:val="417371BA"/>
    <w:rsid w:val="417C2EE6"/>
    <w:rsid w:val="418515F9"/>
    <w:rsid w:val="41A0365E"/>
    <w:rsid w:val="41A5316F"/>
    <w:rsid w:val="41C92B51"/>
    <w:rsid w:val="41D301C3"/>
    <w:rsid w:val="41D623AF"/>
    <w:rsid w:val="41E618AB"/>
    <w:rsid w:val="41EC095F"/>
    <w:rsid w:val="41FB53EF"/>
    <w:rsid w:val="421F1BB6"/>
    <w:rsid w:val="422F49B3"/>
    <w:rsid w:val="425372A2"/>
    <w:rsid w:val="426A0418"/>
    <w:rsid w:val="426A1898"/>
    <w:rsid w:val="426C23E2"/>
    <w:rsid w:val="427330DF"/>
    <w:rsid w:val="427D7873"/>
    <w:rsid w:val="42802614"/>
    <w:rsid w:val="428B7594"/>
    <w:rsid w:val="42A853C7"/>
    <w:rsid w:val="42B01704"/>
    <w:rsid w:val="42CC4106"/>
    <w:rsid w:val="42E068CB"/>
    <w:rsid w:val="430274F1"/>
    <w:rsid w:val="43287BCC"/>
    <w:rsid w:val="43330CA7"/>
    <w:rsid w:val="433858A5"/>
    <w:rsid w:val="433E126A"/>
    <w:rsid w:val="433F10B4"/>
    <w:rsid w:val="43606EA0"/>
    <w:rsid w:val="43920E07"/>
    <w:rsid w:val="43951B04"/>
    <w:rsid w:val="43A7649F"/>
    <w:rsid w:val="43B41E3E"/>
    <w:rsid w:val="43BC110E"/>
    <w:rsid w:val="43D32426"/>
    <w:rsid w:val="43EE6D65"/>
    <w:rsid w:val="43FC7E87"/>
    <w:rsid w:val="44210A17"/>
    <w:rsid w:val="44271441"/>
    <w:rsid w:val="4465559E"/>
    <w:rsid w:val="44712172"/>
    <w:rsid w:val="447734D9"/>
    <w:rsid w:val="44833414"/>
    <w:rsid w:val="4491600F"/>
    <w:rsid w:val="44984355"/>
    <w:rsid w:val="44A8226D"/>
    <w:rsid w:val="44C80955"/>
    <w:rsid w:val="44CC2C4F"/>
    <w:rsid w:val="44E27A7E"/>
    <w:rsid w:val="44F71504"/>
    <w:rsid w:val="44FB7340"/>
    <w:rsid w:val="451A55B3"/>
    <w:rsid w:val="451E0828"/>
    <w:rsid w:val="451E2AD9"/>
    <w:rsid w:val="4524498B"/>
    <w:rsid w:val="45461523"/>
    <w:rsid w:val="454817C9"/>
    <w:rsid w:val="454F0C0F"/>
    <w:rsid w:val="456909A8"/>
    <w:rsid w:val="456D3D22"/>
    <w:rsid w:val="457E1251"/>
    <w:rsid w:val="45995BB4"/>
    <w:rsid w:val="45B93063"/>
    <w:rsid w:val="45C23361"/>
    <w:rsid w:val="45CA18A8"/>
    <w:rsid w:val="45CC3056"/>
    <w:rsid w:val="45FB5A7C"/>
    <w:rsid w:val="45FD3E50"/>
    <w:rsid w:val="4601483F"/>
    <w:rsid w:val="46163E05"/>
    <w:rsid w:val="462569BC"/>
    <w:rsid w:val="464E3334"/>
    <w:rsid w:val="4650702B"/>
    <w:rsid w:val="466D6B73"/>
    <w:rsid w:val="46760020"/>
    <w:rsid w:val="468F7B5E"/>
    <w:rsid w:val="469D3DE5"/>
    <w:rsid w:val="46A34E08"/>
    <w:rsid w:val="46A7659A"/>
    <w:rsid w:val="46C24284"/>
    <w:rsid w:val="46C853F2"/>
    <w:rsid w:val="46CE53B7"/>
    <w:rsid w:val="46F722E3"/>
    <w:rsid w:val="472B3FFD"/>
    <w:rsid w:val="472E7B5B"/>
    <w:rsid w:val="4734684B"/>
    <w:rsid w:val="47353DAC"/>
    <w:rsid w:val="4740541B"/>
    <w:rsid w:val="47427099"/>
    <w:rsid w:val="47542182"/>
    <w:rsid w:val="476A5FE9"/>
    <w:rsid w:val="477251CE"/>
    <w:rsid w:val="4780564D"/>
    <w:rsid w:val="478610F4"/>
    <w:rsid w:val="47A92D09"/>
    <w:rsid w:val="47CC1367"/>
    <w:rsid w:val="47D54BA7"/>
    <w:rsid w:val="48017210"/>
    <w:rsid w:val="48087FE3"/>
    <w:rsid w:val="481A3E81"/>
    <w:rsid w:val="482C5D39"/>
    <w:rsid w:val="485B1902"/>
    <w:rsid w:val="48626892"/>
    <w:rsid w:val="48AF419F"/>
    <w:rsid w:val="48D75B88"/>
    <w:rsid w:val="48DB7360"/>
    <w:rsid w:val="48E33E5F"/>
    <w:rsid w:val="48FF5525"/>
    <w:rsid w:val="49001E86"/>
    <w:rsid w:val="490647BE"/>
    <w:rsid w:val="493618EF"/>
    <w:rsid w:val="494C4436"/>
    <w:rsid w:val="495F5D36"/>
    <w:rsid w:val="49734683"/>
    <w:rsid w:val="497E5010"/>
    <w:rsid w:val="499250A4"/>
    <w:rsid w:val="49DF3A58"/>
    <w:rsid w:val="49EC0086"/>
    <w:rsid w:val="49F64E88"/>
    <w:rsid w:val="4A234FEC"/>
    <w:rsid w:val="4A2D2C3E"/>
    <w:rsid w:val="4A2F090E"/>
    <w:rsid w:val="4A320278"/>
    <w:rsid w:val="4A467DEA"/>
    <w:rsid w:val="4A480B48"/>
    <w:rsid w:val="4A8307F4"/>
    <w:rsid w:val="4A8A57B2"/>
    <w:rsid w:val="4AA31EB3"/>
    <w:rsid w:val="4AB30EDE"/>
    <w:rsid w:val="4ABA38FB"/>
    <w:rsid w:val="4AFA1E51"/>
    <w:rsid w:val="4B242129"/>
    <w:rsid w:val="4B341F77"/>
    <w:rsid w:val="4B543C59"/>
    <w:rsid w:val="4B6828A2"/>
    <w:rsid w:val="4B730590"/>
    <w:rsid w:val="4B7D207A"/>
    <w:rsid w:val="4B875EB6"/>
    <w:rsid w:val="4BA731AA"/>
    <w:rsid w:val="4BAD1EF1"/>
    <w:rsid w:val="4BAF7C51"/>
    <w:rsid w:val="4BB2318A"/>
    <w:rsid w:val="4BB961D0"/>
    <w:rsid w:val="4BBA6469"/>
    <w:rsid w:val="4BD73847"/>
    <w:rsid w:val="4BE136FC"/>
    <w:rsid w:val="4C000FEE"/>
    <w:rsid w:val="4C160901"/>
    <w:rsid w:val="4C2A27C2"/>
    <w:rsid w:val="4C3F1AD6"/>
    <w:rsid w:val="4C6514B0"/>
    <w:rsid w:val="4C670BA8"/>
    <w:rsid w:val="4C6C0D90"/>
    <w:rsid w:val="4C6F4DDF"/>
    <w:rsid w:val="4C7D1FFD"/>
    <w:rsid w:val="4C7E7777"/>
    <w:rsid w:val="4CB7716D"/>
    <w:rsid w:val="4CE21E5B"/>
    <w:rsid w:val="4CED4287"/>
    <w:rsid w:val="4CF5763E"/>
    <w:rsid w:val="4D035F30"/>
    <w:rsid w:val="4D361E73"/>
    <w:rsid w:val="4D3F7CBF"/>
    <w:rsid w:val="4D48482F"/>
    <w:rsid w:val="4D62389D"/>
    <w:rsid w:val="4D8B6E28"/>
    <w:rsid w:val="4DA8223C"/>
    <w:rsid w:val="4DBB5850"/>
    <w:rsid w:val="4DC46301"/>
    <w:rsid w:val="4DF60896"/>
    <w:rsid w:val="4DFD5ECA"/>
    <w:rsid w:val="4DFE3CC8"/>
    <w:rsid w:val="4E025DB2"/>
    <w:rsid w:val="4E1630B6"/>
    <w:rsid w:val="4E25354C"/>
    <w:rsid w:val="4E4B405F"/>
    <w:rsid w:val="4E4E418E"/>
    <w:rsid w:val="4E655042"/>
    <w:rsid w:val="4E8D19A7"/>
    <w:rsid w:val="4EA345E7"/>
    <w:rsid w:val="4EB03F47"/>
    <w:rsid w:val="4EB66AEE"/>
    <w:rsid w:val="4EB9175E"/>
    <w:rsid w:val="4ED22709"/>
    <w:rsid w:val="4EF6108D"/>
    <w:rsid w:val="4EF8347E"/>
    <w:rsid w:val="4EFA23C6"/>
    <w:rsid w:val="4F0A7123"/>
    <w:rsid w:val="4F0F7608"/>
    <w:rsid w:val="4F1C1A77"/>
    <w:rsid w:val="4F2A3762"/>
    <w:rsid w:val="4F2E0DB1"/>
    <w:rsid w:val="4F3517A8"/>
    <w:rsid w:val="4F422CA5"/>
    <w:rsid w:val="4F43009A"/>
    <w:rsid w:val="4F7119FF"/>
    <w:rsid w:val="4F756C5E"/>
    <w:rsid w:val="4F7A5394"/>
    <w:rsid w:val="4F992590"/>
    <w:rsid w:val="4FD412A3"/>
    <w:rsid w:val="4FD41C1D"/>
    <w:rsid w:val="4FD54DAA"/>
    <w:rsid w:val="4FD64014"/>
    <w:rsid w:val="4FE17A31"/>
    <w:rsid w:val="4FE311D6"/>
    <w:rsid w:val="4FED2322"/>
    <w:rsid w:val="4FFD53C6"/>
    <w:rsid w:val="500B0D4B"/>
    <w:rsid w:val="501A4614"/>
    <w:rsid w:val="501F4A64"/>
    <w:rsid w:val="5030543D"/>
    <w:rsid w:val="503D1B16"/>
    <w:rsid w:val="5074268E"/>
    <w:rsid w:val="508E47DC"/>
    <w:rsid w:val="50A940E7"/>
    <w:rsid w:val="50AE3F83"/>
    <w:rsid w:val="50AE699A"/>
    <w:rsid w:val="50AF63AC"/>
    <w:rsid w:val="50B14097"/>
    <w:rsid w:val="50B32A80"/>
    <w:rsid w:val="50CF7A4B"/>
    <w:rsid w:val="50DE4A3D"/>
    <w:rsid w:val="51022777"/>
    <w:rsid w:val="510C092F"/>
    <w:rsid w:val="51162402"/>
    <w:rsid w:val="511D028B"/>
    <w:rsid w:val="512B1EE0"/>
    <w:rsid w:val="5137564E"/>
    <w:rsid w:val="5146011D"/>
    <w:rsid w:val="51545EBF"/>
    <w:rsid w:val="51585972"/>
    <w:rsid w:val="515C0CB9"/>
    <w:rsid w:val="516473A7"/>
    <w:rsid w:val="5165226A"/>
    <w:rsid w:val="516C1A4D"/>
    <w:rsid w:val="517721D1"/>
    <w:rsid w:val="51781492"/>
    <w:rsid w:val="517A5728"/>
    <w:rsid w:val="517E61CE"/>
    <w:rsid w:val="51A846EE"/>
    <w:rsid w:val="51C07C63"/>
    <w:rsid w:val="51C606E4"/>
    <w:rsid w:val="51C72B2F"/>
    <w:rsid w:val="51D22D16"/>
    <w:rsid w:val="51F10280"/>
    <w:rsid w:val="520923F4"/>
    <w:rsid w:val="5211020B"/>
    <w:rsid w:val="52187918"/>
    <w:rsid w:val="5241154F"/>
    <w:rsid w:val="524467AD"/>
    <w:rsid w:val="52550EE8"/>
    <w:rsid w:val="52592B52"/>
    <w:rsid w:val="527543BE"/>
    <w:rsid w:val="527B1047"/>
    <w:rsid w:val="52885691"/>
    <w:rsid w:val="529E7DC9"/>
    <w:rsid w:val="52A1157D"/>
    <w:rsid w:val="52A13940"/>
    <w:rsid w:val="52B7492F"/>
    <w:rsid w:val="52C276E1"/>
    <w:rsid w:val="52F30525"/>
    <w:rsid w:val="530418F1"/>
    <w:rsid w:val="53143DBE"/>
    <w:rsid w:val="532452B2"/>
    <w:rsid w:val="533D3764"/>
    <w:rsid w:val="53560A73"/>
    <w:rsid w:val="535B4CF0"/>
    <w:rsid w:val="537323E7"/>
    <w:rsid w:val="539A7F34"/>
    <w:rsid w:val="53A53D5A"/>
    <w:rsid w:val="53E37C63"/>
    <w:rsid w:val="53E4696D"/>
    <w:rsid w:val="53E8598B"/>
    <w:rsid w:val="53EB7EF9"/>
    <w:rsid w:val="53F11E92"/>
    <w:rsid w:val="53F34C98"/>
    <w:rsid w:val="53F90D5A"/>
    <w:rsid w:val="5400093A"/>
    <w:rsid w:val="540D2227"/>
    <w:rsid w:val="543E150A"/>
    <w:rsid w:val="54640DD5"/>
    <w:rsid w:val="546829F9"/>
    <w:rsid w:val="5473410F"/>
    <w:rsid w:val="54811A0B"/>
    <w:rsid w:val="549D2F6A"/>
    <w:rsid w:val="54DE453A"/>
    <w:rsid w:val="54FD05CF"/>
    <w:rsid w:val="550E2018"/>
    <w:rsid w:val="551C0949"/>
    <w:rsid w:val="55245AF4"/>
    <w:rsid w:val="55332140"/>
    <w:rsid w:val="553515CF"/>
    <w:rsid w:val="5535226D"/>
    <w:rsid w:val="55411377"/>
    <w:rsid w:val="55684380"/>
    <w:rsid w:val="5569348D"/>
    <w:rsid w:val="556F0C82"/>
    <w:rsid w:val="55992746"/>
    <w:rsid w:val="55A8783C"/>
    <w:rsid w:val="55B70080"/>
    <w:rsid w:val="55C019F9"/>
    <w:rsid w:val="55C22D99"/>
    <w:rsid w:val="55C34875"/>
    <w:rsid w:val="55DA0671"/>
    <w:rsid w:val="55DE462D"/>
    <w:rsid w:val="56600C3C"/>
    <w:rsid w:val="566C6AAD"/>
    <w:rsid w:val="569549B7"/>
    <w:rsid w:val="569B59A6"/>
    <w:rsid w:val="569E768C"/>
    <w:rsid w:val="56D026DA"/>
    <w:rsid w:val="56F00AC2"/>
    <w:rsid w:val="56FF02B9"/>
    <w:rsid w:val="57030085"/>
    <w:rsid w:val="570407FA"/>
    <w:rsid w:val="5707087A"/>
    <w:rsid w:val="57132F95"/>
    <w:rsid w:val="572D56F6"/>
    <w:rsid w:val="57300244"/>
    <w:rsid w:val="57416FDD"/>
    <w:rsid w:val="574B6AFB"/>
    <w:rsid w:val="5757511D"/>
    <w:rsid w:val="57633E93"/>
    <w:rsid w:val="5764383E"/>
    <w:rsid w:val="576D6289"/>
    <w:rsid w:val="57797419"/>
    <w:rsid w:val="57817915"/>
    <w:rsid w:val="57BA76D9"/>
    <w:rsid w:val="57CA2EE6"/>
    <w:rsid w:val="57D069E1"/>
    <w:rsid w:val="57DE551D"/>
    <w:rsid w:val="580A08CC"/>
    <w:rsid w:val="580C23E4"/>
    <w:rsid w:val="58191B0C"/>
    <w:rsid w:val="5827740E"/>
    <w:rsid w:val="58315B21"/>
    <w:rsid w:val="58424C7E"/>
    <w:rsid w:val="58430210"/>
    <w:rsid w:val="585320E4"/>
    <w:rsid w:val="5863214C"/>
    <w:rsid w:val="58717162"/>
    <w:rsid w:val="587B41B2"/>
    <w:rsid w:val="587E2FB0"/>
    <w:rsid w:val="587F4E33"/>
    <w:rsid w:val="587F6BA5"/>
    <w:rsid w:val="58915138"/>
    <w:rsid w:val="589A70FA"/>
    <w:rsid w:val="58A228DA"/>
    <w:rsid w:val="58B8618D"/>
    <w:rsid w:val="58F663EC"/>
    <w:rsid w:val="593740EF"/>
    <w:rsid w:val="5939592A"/>
    <w:rsid w:val="59536DE1"/>
    <w:rsid w:val="595C4CF9"/>
    <w:rsid w:val="59703EC5"/>
    <w:rsid w:val="597F2884"/>
    <w:rsid w:val="598B393C"/>
    <w:rsid w:val="59CE222A"/>
    <w:rsid w:val="59CE6281"/>
    <w:rsid w:val="59D022CD"/>
    <w:rsid w:val="59DF31C4"/>
    <w:rsid w:val="5A2B0D3B"/>
    <w:rsid w:val="5A341255"/>
    <w:rsid w:val="5A3571BF"/>
    <w:rsid w:val="5A400973"/>
    <w:rsid w:val="5A44572C"/>
    <w:rsid w:val="5A455381"/>
    <w:rsid w:val="5A8A6ADB"/>
    <w:rsid w:val="5A936EBE"/>
    <w:rsid w:val="5AA549B2"/>
    <w:rsid w:val="5ADF3379"/>
    <w:rsid w:val="5B0416C7"/>
    <w:rsid w:val="5B1A400E"/>
    <w:rsid w:val="5B316F94"/>
    <w:rsid w:val="5B45691B"/>
    <w:rsid w:val="5B46631F"/>
    <w:rsid w:val="5B5104F9"/>
    <w:rsid w:val="5B562BF6"/>
    <w:rsid w:val="5B6950AB"/>
    <w:rsid w:val="5B6A7A00"/>
    <w:rsid w:val="5B6B014D"/>
    <w:rsid w:val="5B823CDC"/>
    <w:rsid w:val="5B8857E6"/>
    <w:rsid w:val="5B8F4879"/>
    <w:rsid w:val="5B936B9D"/>
    <w:rsid w:val="5BAC4E3A"/>
    <w:rsid w:val="5BC849D6"/>
    <w:rsid w:val="5BF32F12"/>
    <w:rsid w:val="5BF7148A"/>
    <w:rsid w:val="5C2D1687"/>
    <w:rsid w:val="5C362AF4"/>
    <w:rsid w:val="5C3E4720"/>
    <w:rsid w:val="5C4668A9"/>
    <w:rsid w:val="5C526BB4"/>
    <w:rsid w:val="5C620538"/>
    <w:rsid w:val="5C7A7CF8"/>
    <w:rsid w:val="5C802FB3"/>
    <w:rsid w:val="5CB033FC"/>
    <w:rsid w:val="5CC34110"/>
    <w:rsid w:val="5D024954"/>
    <w:rsid w:val="5D05489E"/>
    <w:rsid w:val="5D0A579A"/>
    <w:rsid w:val="5D28094E"/>
    <w:rsid w:val="5D4741D2"/>
    <w:rsid w:val="5D4A7B65"/>
    <w:rsid w:val="5D5515B5"/>
    <w:rsid w:val="5D6871F6"/>
    <w:rsid w:val="5D7727EC"/>
    <w:rsid w:val="5D7C1CCD"/>
    <w:rsid w:val="5D806973"/>
    <w:rsid w:val="5D8E4670"/>
    <w:rsid w:val="5DAD3F76"/>
    <w:rsid w:val="5DB22A59"/>
    <w:rsid w:val="5DB30A1E"/>
    <w:rsid w:val="5DD07349"/>
    <w:rsid w:val="5DE47236"/>
    <w:rsid w:val="5DE95B3D"/>
    <w:rsid w:val="5DEF4402"/>
    <w:rsid w:val="5DFC469C"/>
    <w:rsid w:val="5E074110"/>
    <w:rsid w:val="5E1C0FFA"/>
    <w:rsid w:val="5E203806"/>
    <w:rsid w:val="5E401FD5"/>
    <w:rsid w:val="5E430067"/>
    <w:rsid w:val="5E58634F"/>
    <w:rsid w:val="5E7A4A4B"/>
    <w:rsid w:val="5E7B4EF1"/>
    <w:rsid w:val="5EC52109"/>
    <w:rsid w:val="5EDC6635"/>
    <w:rsid w:val="5EDF242A"/>
    <w:rsid w:val="5EEC4CC9"/>
    <w:rsid w:val="5F2C5614"/>
    <w:rsid w:val="5F334632"/>
    <w:rsid w:val="5F387DD8"/>
    <w:rsid w:val="5F3D46C8"/>
    <w:rsid w:val="5F3F3A92"/>
    <w:rsid w:val="5F610F9A"/>
    <w:rsid w:val="5F723B9C"/>
    <w:rsid w:val="5F740D96"/>
    <w:rsid w:val="5FAB1E22"/>
    <w:rsid w:val="5FAE7B2D"/>
    <w:rsid w:val="5FEF51B4"/>
    <w:rsid w:val="5FFD47CB"/>
    <w:rsid w:val="600F713A"/>
    <w:rsid w:val="60295475"/>
    <w:rsid w:val="602976E5"/>
    <w:rsid w:val="602B5CAC"/>
    <w:rsid w:val="60352928"/>
    <w:rsid w:val="604069C8"/>
    <w:rsid w:val="60442474"/>
    <w:rsid w:val="605308B8"/>
    <w:rsid w:val="60536876"/>
    <w:rsid w:val="606C21F5"/>
    <w:rsid w:val="606E421F"/>
    <w:rsid w:val="607A502C"/>
    <w:rsid w:val="608B55D8"/>
    <w:rsid w:val="608D3579"/>
    <w:rsid w:val="609B3534"/>
    <w:rsid w:val="609C3B6D"/>
    <w:rsid w:val="60A50722"/>
    <w:rsid w:val="60CA7929"/>
    <w:rsid w:val="60D31A6F"/>
    <w:rsid w:val="60D325C8"/>
    <w:rsid w:val="6116450B"/>
    <w:rsid w:val="611651BB"/>
    <w:rsid w:val="61902044"/>
    <w:rsid w:val="61A83C0D"/>
    <w:rsid w:val="61AD0E69"/>
    <w:rsid w:val="61AE2894"/>
    <w:rsid w:val="61B42655"/>
    <w:rsid w:val="61B64AE6"/>
    <w:rsid w:val="61B95A3D"/>
    <w:rsid w:val="61DD55E6"/>
    <w:rsid w:val="61E30170"/>
    <w:rsid w:val="61E5752D"/>
    <w:rsid w:val="61EB04E9"/>
    <w:rsid w:val="622F4266"/>
    <w:rsid w:val="62462A72"/>
    <w:rsid w:val="624B3781"/>
    <w:rsid w:val="625F13E8"/>
    <w:rsid w:val="62602CF8"/>
    <w:rsid w:val="6275441F"/>
    <w:rsid w:val="62A565F5"/>
    <w:rsid w:val="62B93485"/>
    <w:rsid w:val="62E21A96"/>
    <w:rsid w:val="62F673DB"/>
    <w:rsid w:val="62F76DDA"/>
    <w:rsid w:val="6301006C"/>
    <w:rsid w:val="63030F14"/>
    <w:rsid w:val="635E40F3"/>
    <w:rsid w:val="636173F7"/>
    <w:rsid w:val="6384416F"/>
    <w:rsid w:val="638B7104"/>
    <w:rsid w:val="639076DF"/>
    <w:rsid w:val="63923F11"/>
    <w:rsid w:val="63D20FF4"/>
    <w:rsid w:val="63DD7C86"/>
    <w:rsid w:val="63F427DF"/>
    <w:rsid w:val="63FB1C28"/>
    <w:rsid w:val="640C3504"/>
    <w:rsid w:val="64121615"/>
    <w:rsid w:val="641341B5"/>
    <w:rsid w:val="642011FC"/>
    <w:rsid w:val="643125C3"/>
    <w:rsid w:val="64323CBE"/>
    <w:rsid w:val="645513CC"/>
    <w:rsid w:val="64553B73"/>
    <w:rsid w:val="645B5B40"/>
    <w:rsid w:val="645C0EE4"/>
    <w:rsid w:val="64797C89"/>
    <w:rsid w:val="648B66BA"/>
    <w:rsid w:val="64A036C7"/>
    <w:rsid w:val="64A04E14"/>
    <w:rsid w:val="64AE2DC0"/>
    <w:rsid w:val="64EC5F80"/>
    <w:rsid w:val="65037271"/>
    <w:rsid w:val="651E6389"/>
    <w:rsid w:val="65312AB4"/>
    <w:rsid w:val="653A1465"/>
    <w:rsid w:val="654235AD"/>
    <w:rsid w:val="654E6126"/>
    <w:rsid w:val="656B6764"/>
    <w:rsid w:val="6577447A"/>
    <w:rsid w:val="657A65E0"/>
    <w:rsid w:val="657C4F3A"/>
    <w:rsid w:val="65870560"/>
    <w:rsid w:val="65A12770"/>
    <w:rsid w:val="65B070B7"/>
    <w:rsid w:val="65BD72CE"/>
    <w:rsid w:val="65F14EE8"/>
    <w:rsid w:val="661462F7"/>
    <w:rsid w:val="66167837"/>
    <w:rsid w:val="663A65CE"/>
    <w:rsid w:val="66474639"/>
    <w:rsid w:val="666274B9"/>
    <w:rsid w:val="667128E4"/>
    <w:rsid w:val="66740D91"/>
    <w:rsid w:val="669C6912"/>
    <w:rsid w:val="66A85798"/>
    <w:rsid w:val="66E30E48"/>
    <w:rsid w:val="66EA4259"/>
    <w:rsid w:val="66F26EF2"/>
    <w:rsid w:val="67010AE3"/>
    <w:rsid w:val="67075894"/>
    <w:rsid w:val="672112E1"/>
    <w:rsid w:val="672659F3"/>
    <w:rsid w:val="67293668"/>
    <w:rsid w:val="67420EC9"/>
    <w:rsid w:val="67465655"/>
    <w:rsid w:val="67545C6E"/>
    <w:rsid w:val="676778F6"/>
    <w:rsid w:val="67685576"/>
    <w:rsid w:val="67686F27"/>
    <w:rsid w:val="67740C3E"/>
    <w:rsid w:val="6781543A"/>
    <w:rsid w:val="67983015"/>
    <w:rsid w:val="679D7A01"/>
    <w:rsid w:val="67A75C44"/>
    <w:rsid w:val="67C119C7"/>
    <w:rsid w:val="67C373D8"/>
    <w:rsid w:val="67E70630"/>
    <w:rsid w:val="68002120"/>
    <w:rsid w:val="6804255B"/>
    <w:rsid w:val="680D1350"/>
    <w:rsid w:val="68347656"/>
    <w:rsid w:val="683977E8"/>
    <w:rsid w:val="683A2EED"/>
    <w:rsid w:val="6842615A"/>
    <w:rsid w:val="68450B02"/>
    <w:rsid w:val="684E3240"/>
    <w:rsid w:val="68556588"/>
    <w:rsid w:val="68A42834"/>
    <w:rsid w:val="68CE58E6"/>
    <w:rsid w:val="68CF2A69"/>
    <w:rsid w:val="68E814B4"/>
    <w:rsid w:val="68F91EAB"/>
    <w:rsid w:val="69142EFB"/>
    <w:rsid w:val="69154D60"/>
    <w:rsid w:val="692B56B7"/>
    <w:rsid w:val="692F6F57"/>
    <w:rsid w:val="694A6DBA"/>
    <w:rsid w:val="696F09AF"/>
    <w:rsid w:val="69752697"/>
    <w:rsid w:val="698E764A"/>
    <w:rsid w:val="69915568"/>
    <w:rsid w:val="69951D6A"/>
    <w:rsid w:val="69C64C75"/>
    <w:rsid w:val="69CD7FDE"/>
    <w:rsid w:val="69CF6EC4"/>
    <w:rsid w:val="69D05FDB"/>
    <w:rsid w:val="69DA551E"/>
    <w:rsid w:val="69DE5E8A"/>
    <w:rsid w:val="69E00D11"/>
    <w:rsid w:val="69F0389C"/>
    <w:rsid w:val="69F453FE"/>
    <w:rsid w:val="6A1849B7"/>
    <w:rsid w:val="6A3828E1"/>
    <w:rsid w:val="6A3E49CA"/>
    <w:rsid w:val="6A6468A5"/>
    <w:rsid w:val="6A727EED"/>
    <w:rsid w:val="6A783CBE"/>
    <w:rsid w:val="6A8755D3"/>
    <w:rsid w:val="6AA54025"/>
    <w:rsid w:val="6AC9111D"/>
    <w:rsid w:val="6ADD40D7"/>
    <w:rsid w:val="6AE2354A"/>
    <w:rsid w:val="6AE91398"/>
    <w:rsid w:val="6AED7E18"/>
    <w:rsid w:val="6AF80E24"/>
    <w:rsid w:val="6AFA140D"/>
    <w:rsid w:val="6B0914DC"/>
    <w:rsid w:val="6B0F3217"/>
    <w:rsid w:val="6B1529A0"/>
    <w:rsid w:val="6B22477C"/>
    <w:rsid w:val="6B2B6B35"/>
    <w:rsid w:val="6B320A31"/>
    <w:rsid w:val="6B3525D9"/>
    <w:rsid w:val="6B467AE6"/>
    <w:rsid w:val="6B491DA4"/>
    <w:rsid w:val="6B563D11"/>
    <w:rsid w:val="6B5D28FD"/>
    <w:rsid w:val="6B5E4D2E"/>
    <w:rsid w:val="6B6508C2"/>
    <w:rsid w:val="6B6B0456"/>
    <w:rsid w:val="6B837812"/>
    <w:rsid w:val="6BBE7BEB"/>
    <w:rsid w:val="6BE116D3"/>
    <w:rsid w:val="6BFE01CD"/>
    <w:rsid w:val="6C084F5B"/>
    <w:rsid w:val="6C27645D"/>
    <w:rsid w:val="6C2A7865"/>
    <w:rsid w:val="6C2D715B"/>
    <w:rsid w:val="6C5207BE"/>
    <w:rsid w:val="6C562931"/>
    <w:rsid w:val="6C5D5B6B"/>
    <w:rsid w:val="6C625544"/>
    <w:rsid w:val="6C6A54FD"/>
    <w:rsid w:val="6C7D01C0"/>
    <w:rsid w:val="6C7D32EB"/>
    <w:rsid w:val="6C82426E"/>
    <w:rsid w:val="6C98158A"/>
    <w:rsid w:val="6CC21518"/>
    <w:rsid w:val="6CE06EE3"/>
    <w:rsid w:val="6D0E0C03"/>
    <w:rsid w:val="6D1E0EC9"/>
    <w:rsid w:val="6D1F6156"/>
    <w:rsid w:val="6D257859"/>
    <w:rsid w:val="6D301B26"/>
    <w:rsid w:val="6D3549DB"/>
    <w:rsid w:val="6D4123A1"/>
    <w:rsid w:val="6D555633"/>
    <w:rsid w:val="6D572015"/>
    <w:rsid w:val="6D5864F7"/>
    <w:rsid w:val="6D805F6C"/>
    <w:rsid w:val="6D9B002E"/>
    <w:rsid w:val="6DA301E3"/>
    <w:rsid w:val="6DB166DC"/>
    <w:rsid w:val="6DB70CB4"/>
    <w:rsid w:val="6DE242AA"/>
    <w:rsid w:val="6DFC6FEC"/>
    <w:rsid w:val="6E094352"/>
    <w:rsid w:val="6E200223"/>
    <w:rsid w:val="6E3E2358"/>
    <w:rsid w:val="6E424BD5"/>
    <w:rsid w:val="6E6A27E1"/>
    <w:rsid w:val="6EC266E7"/>
    <w:rsid w:val="6ECB70B1"/>
    <w:rsid w:val="6F077F6F"/>
    <w:rsid w:val="6F1C37FF"/>
    <w:rsid w:val="6F7209F9"/>
    <w:rsid w:val="6F815117"/>
    <w:rsid w:val="6F8C3D1F"/>
    <w:rsid w:val="6FB04A52"/>
    <w:rsid w:val="6FBA66BD"/>
    <w:rsid w:val="6FBC2C44"/>
    <w:rsid w:val="6FD67F20"/>
    <w:rsid w:val="6FD9564E"/>
    <w:rsid w:val="6FDB0700"/>
    <w:rsid w:val="6FF65032"/>
    <w:rsid w:val="70222F03"/>
    <w:rsid w:val="702A2DF0"/>
    <w:rsid w:val="70385CF1"/>
    <w:rsid w:val="704A1802"/>
    <w:rsid w:val="706F095A"/>
    <w:rsid w:val="70702B1B"/>
    <w:rsid w:val="708F3F4F"/>
    <w:rsid w:val="70AF29BB"/>
    <w:rsid w:val="70CD73A6"/>
    <w:rsid w:val="70D17379"/>
    <w:rsid w:val="70E34A11"/>
    <w:rsid w:val="70EC1752"/>
    <w:rsid w:val="70FA6A76"/>
    <w:rsid w:val="71016664"/>
    <w:rsid w:val="71144AD3"/>
    <w:rsid w:val="71165FE2"/>
    <w:rsid w:val="71173E45"/>
    <w:rsid w:val="7131211A"/>
    <w:rsid w:val="7137018B"/>
    <w:rsid w:val="7137369D"/>
    <w:rsid w:val="719E503F"/>
    <w:rsid w:val="71AC3D91"/>
    <w:rsid w:val="71BB1304"/>
    <w:rsid w:val="71BF09ED"/>
    <w:rsid w:val="71C13A31"/>
    <w:rsid w:val="71D62B72"/>
    <w:rsid w:val="71ED03B4"/>
    <w:rsid w:val="71FF0740"/>
    <w:rsid w:val="71FF0BB1"/>
    <w:rsid w:val="7205522D"/>
    <w:rsid w:val="72247F14"/>
    <w:rsid w:val="723A4899"/>
    <w:rsid w:val="72506C47"/>
    <w:rsid w:val="72521192"/>
    <w:rsid w:val="72660F67"/>
    <w:rsid w:val="728733AE"/>
    <w:rsid w:val="728A466C"/>
    <w:rsid w:val="729A404B"/>
    <w:rsid w:val="72CB47D7"/>
    <w:rsid w:val="72D3059A"/>
    <w:rsid w:val="73013FCC"/>
    <w:rsid w:val="7305661E"/>
    <w:rsid w:val="730967FD"/>
    <w:rsid w:val="730B40D5"/>
    <w:rsid w:val="730C18EF"/>
    <w:rsid w:val="73147453"/>
    <w:rsid w:val="73547991"/>
    <w:rsid w:val="736938A6"/>
    <w:rsid w:val="736B7CB7"/>
    <w:rsid w:val="737A7FF3"/>
    <w:rsid w:val="73891BFD"/>
    <w:rsid w:val="73904D90"/>
    <w:rsid w:val="739169F9"/>
    <w:rsid w:val="73A93B13"/>
    <w:rsid w:val="73B76D83"/>
    <w:rsid w:val="73C347BF"/>
    <w:rsid w:val="73F328B4"/>
    <w:rsid w:val="740E561C"/>
    <w:rsid w:val="74324CC1"/>
    <w:rsid w:val="7433686E"/>
    <w:rsid w:val="74375F03"/>
    <w:rsid w:val="743A39BF"/>
    <w:rsid w:val="74523D2E"/>
    <w:rsid w:val="746B439E"/>
    <w:rsid w:val="746E5CAF"/>
    <w:rsid w:val="7471367E"/>
    <w:rsid w:val="7474255D"/>
    <w:rsid w:val="749E119A"/>
    <w:rsid w:val="749F7F31"/>
    <w:rsid w:val="74AE17EE"/>
    <w:rsid w:val="74BB3D0A"/>
    <w:rsid w:val="74C508AE"/>
    <w:rsid w:val="74D33EF6"/>
    <w:rsid w:val="7505631A"/>
    <w:rsid w:val="75317252"/>
    <w:rsid w:val="753D0120"/>
    <w:rsid w:val="7545306E"/>
    <w:rsid w:val="75645C23"/>
    <w:rsid w:val="756F79DE"/>
    <w:rsid w:val="75887F63"/>
    <w:rsid w:val="75925EFC"/>
    <w:rsid w:val="75992D53"/>
    <w:rsid w:val="75A2439F"/>
    <w:rsid w:val="75A91967"/>
    <w:rsid w:val="75C32B15"/>
    <w:rsid w:val="75C56AEC"/>
    <w:rsid w:val="75D94171"/>
    <w:rsid w:val="75E12807"/>
    <w:rsid w:val="75EE6F1B"/>
    <w:rsid w:val="75FB22F9"/>
    <w:rsid w:val="76023178"/>
    <w:rsid w:val="760A68D4"/>
    <w:rsid w:val="761A6A1B"/>
    <w:rsid w:val="763165DE"/>
    <w:rsid w:val="76346F66"/>
    <w:rsid w:val="76390822"/>
    <w:rsid w:val="76661857"/>
    <w:rsid w:val="76784C8D"/>
    <w:rsid w:val="767A50C2"/>
    <w:rsid w:val="7698243C"/>
    <w:rsid w:val="769D4442"/>
    <w:rsid w:val="76AF515A"/>
    <w:rsid w:val="76B80C7F"/>
    <w:rsid w:val="76C75DB3"/>
    <w:rsid w:val="76E85855"/>
    <w:rsid w:val="76EC12E2"/>
    <w:rsid w:val="76F658FD"/>
    <w:rsid w:val="76F6644C"/>
    <w:rsid w:val="772B3F12"/>
    <w:rsid w:val="772D0C87"/>
    <w:rsid w:val="773D64AD"/>
    <w:rsid w:val="774A4881"/>
    <w:rsid w:val="77616EF2"/>
    <w:rsid w:val="77663478"/>
    <w:rsid w:val="777703EE"/>
    <w:rsid w:val="777E2C3B"/>
    <w:rsid w:val="777F21C3"/>
    <w:rsid w:val="7789020C"/>
    <w:rsid w:val="778C3F53"/>
    <w:rsid w:val="778F32FA"/>
    <w:rsid w:val="77972A00"/>
    <w:rsid w:val="7798025B"/>
    <w:rsid w:val="77CA5641"/>
    <w:rsid w:val="77D46871"/>
    <w:rsid w:val="77D51D10"/>
    <w:rsid w:val="77D86A80"/>
    <w:rsid w:val="77DD019D"/>
    <w:rsid w:val="77F16BB1"/>
    <w:rsid w:val="77F82B38"/>
    <w:rsid w:val="780C3DBA"/>
    <w:rsid w:val="780D4DDE"/>
    <w:rsid w:val="78203AD8"/>
    <w:rsid w:val="78307537"/>
    <w:rsid w:val="783A582F"/>
    <w:rsid w:val="78636907"/>
    <w:rsid w:val="78780CEE"/>
    <w:rsid w:val="78807E7F"/>
    <w:rsid w:val="788A489C"/>
    <w:rsid w:val="7899691A"/>
    <w:rsid w:val="78A37D7C"/>
    <w:rsid w:val="78C83AD2"/>
    <w:rsid w:val="794037B5"/>
    <w:rsid w:val="79455F0D"/>
    <w:rsid w:val="7945643C"/>
    <w:rsid w:val="795C6137"/>
    <w:rsid w:val="795E77E1"/>
    <w:rsid w:val="79746DD5"/>
    <w:rsid w:val="79755663"/>
    <w:rsid w:val="797845D9"/>
    <w:rsid w:val="797D5665"/>
    <w:rsid w:val="798A5C60"/>
    <w:rsid w:val="79A07515"/>
    <w:rsid w:val="79A1229B"/>
    <w:rsid w:val="7A00729F"/>
    <w:rsid w:val="7A135A7D"/>
    <w:rsid w:val="7A1B2D1C"/>
    <w:rsid w:val="7A2E15EF"/>
    <w:rsid w:val="7A374B1F"/>
    <w:rsid w:val="7A382897"/>
    <w:rsid w:val="7A392CE7"/>
    <w:rsid w:val="7A3E2F80"/>
    <w:rsid w:val="7A7C38B0"/>
    <w:rsid w:val="7A9861CB"/>
    <w:rsid w:val="7AAE3E65"/>
    <w:rsid w:val="7AB861F9"/>
    <w:rsid w:val="7ACA5466"/>
    <w:rsid w:val="7AD45C10"/>
    <w:rsid w:val="7AD537D1"/>
    <w:rsid w:val="7ADC5436"/>
    <w:rsid w:val="7AE3328E"/>
    <w:rsid w:val="7AE959D4"/>
    <w:rsid w:val="7B0077C8"/>
    <w:rsid w:val="7B0A6A9B"/>
    <w:rsid w:val="7B0D2818"/>
    <w:rsid w:val="7B1254BB"/>
    <w:rsid w:val="7B1306E3"/>
    <w:rsid w:val="7B2750E0"/>
    <w:rsid w:val="7B795F0A"/>
    <w:rsid w:val="7B81556A"/>
    <w:rsid w:val="7B8D4E9E"/>
    <w:rsid w:val="7B8E1EA6"/>
    <w:rsid w:val="7B94060C"/>
    <w:rsid w:val="7B994E29"/>
    <w:rsid w:val="7BA73227"/>
    <w:rsid w:val="7BA838BD"/>
    <w:rsid w:val="7BB75777"/>
    <w:rsid w:val="7BC266AD"/>
    <w:rsid w:val="7BCC6F60"/>
    <w:rsid w:val="7BD41347"/>
    <w:rsid w:val="7BD63B6E"/>
    <w:rsid w:val="7BE45584"/>
    <w:rsid w:val="7BF22378"/>
    <w:rsid w:val="7C291216"/>
    <w:rsid w:val="7C2B048D"/>
    <w:rsid w:val="7C362CAE"/>
    <w:rsid w:val="7C44237D"/>
    <w:rsid w:val="7C460013"/>
    <w:rsid w:val="7C66565C"/>
    <w:rsid w:val="7C884F07"/>
    <w:rsid w:val="7C8D43AB"/>
    <w:rsid w:val="7C8F1DDB"/>
    <w:rsid w:val="7C99511D"/>
    <w:rsid w:val="7C996138"/>
    <w:rsid w:val="7CA879AC"/>
    <w:rsid w:val="7CB82DCD"/>
    <w:rsid w:val="7CBD31D9"/>
    <w:rsid w:val="7CE3614E"/>
    <w:rsid w:val="7CFB2AE8"/>
    <w:rsid w:val="7CFD06A4"/>
    <w:rsid w:val="7D635745"/>
    <w:rsid w:val="7D6D0647"/>
    <w:rsid w:val="7D984607"/>
    <w:rsid w:val="7DA9460F"/>
    <w:rsid w:val="7DB02E07"/>
    <w:rsid w:val="7DC6049B"/>
    <w:rsid w:val="7DDF08AD"/>
    <w:rsid w:val="7DE65FBE"/>
    <w:rsid w:val="7DFD3D7D"/>
    <w:rsid w:val="7DFF6F70"/>
    <w:rsid w:val="7E0B4334"/>
    <w:rsid w:val="7E1640FB"/>
    <w:rsid w:val="7E1D725E"/>
    <w:rsid w:val="7E232692"/>
    <w:rsid w:val="7E345DFF"/>
    <w:rsid w:val="7E3B2283"/>
    <w:rsid w:val="7E4B0118"/>
    <w:rsid w:val="7E5871FA"/>
    <w:rsid w:val="7E5B49B5"/>
    <w:rsid w:val="7E6C6EF8"/>
    <w:rsid w:val="7E7145B3"/>
    <w:rsid w:val="7E7B3986"/>
    <w:rsid w:val="7E826950"/>
    <w:rsid w:val="7E9064E4"/>
    <w:rsid w:val="7E9E2C4F"/>
    <w:rsid w:val="7E9F4D2C"/>
    <w:rsid w:val="7EA30CDC"/>
    <w:rsid w:val="7EC30BBA"/>
    <w:rsid w:val="7ED8373F"/>
    <w:rsid w:val="7EDD57F4"/>
    <w:rsid w:val="7EED0F0A"/>
    <w:rsid w:val="7EF82D86"/>
    <w:rsid w:val="7EFB1E9B"/>
    <w:rsid w:val="7F096F96"/>
    <w:rsid w:val="7F182FE7"/>
    <w:rsid w:val="7F220E8A"/>
    <w:rsid w:val="7F5828CA"/>
    <w:rsid w:val="7F651FE6"/>
    <w:rsid w:val="7F7405C7"/>
    <w:rsid w:val="7F8A7F3B"/>
    <w:rsid w:val="7F8B15A9"/>
    <w:rsid w:val="7F925810"/>
    <w:rsid w:val="7FF45605"/>
    <w:rsid w:val="7FFA2F4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0"/>
    <w:qFormat/>
    <w:uiPriority w:val="0"/>
    <w:pPr>
      <w:keepNext/>
      <w:keepLines/>
      <w:spacing w:line="576" w:lineRule="auto"/>
      <w:jc w:val="center"/>
      <w:outlineLvl w:val="0"/>
    </w:pPr>
    <w:rPr>
      <w:b/>
      <w:kern w:val="44"/>
      <w:sz w:val="32"/>
      <w:szCs w:val="20"/>
    </w:rPr>
  </w:style>
  <w:style w:type="paragraph" w:styleId="4">
    <w:name w:val="heading 2"/>
    <w:basedOn w:val="1"/>
    <w:next w:val="1"/>
    <w:qFormat/>
    <w:uiPriority w:val="0"/>
    <w:pPr>
      <w:keepNext/>
      <w:keepLines/>
      <w:spacing w:line="413" w:lineRule="auto"/>
      <w:jc w:val="left"/>
      <w:outlineLvl w:val="1"/>
    </w:pPr>
    <w:rPr>
      <w:rFonts w:ascii="Arial" w:hAnsi="Arial"/>
      <w:b/>
      <w:sz w:val="28"/>
    </w:rPr>
  </w:style>
  <w:style w:type="paragraph" w:styleId="5">
    <w:name w:val="heading 3"/>
    <w:basedOn w:val="1"/>
    <w:next w:val="1"/>
    <w:qFormat/>
    <w:uiPriority w:val="0"/>
    <w:pPr>
      <w:keepNext/>
      <w:keepLines/>
      <w:spacing w:line="413" w:lineRule="auto"/>
      <w:outlineLvl w:val="2"/>
    </w:pPr>
    <w:rPr>
      <w:b/>
      <w:sz w:val="28"/>
    </w:rPr>
  </w:style>
  <w:style w:type="paragraph" w:styleId="2">
    <w:name w:val="heading 4"/>
    <w:basedOn w:val="1"/>
    <w:next w:val="1"/>
    <w:qFormat/>
    <w:uiPriority w:val="0"/>
    <w:pPr>
      <w:keepNext/>
      <w:keepLines/>
      <w:jc w:val="left"/>
      <w:outlineLvl w:val="3"/>
    </w:pPr>
    <w:rPr>
      <w:rFonts w:hint="eastAsia" w:ascii="Arial" w:hAnsi="Arial"/>
      <w:b/>
      <w:sz w:val="32"/>
    </w:rPr>
  </w:style>
  <w:style w:type="paragraph" w:styleId="6">
    <w:name w:val="heading 6"/>
    <w:basedOn w:val="1"/>
    <w:next w:val="1"/>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9">
    <w:name w:val="Default Paragraph Font"/>
    <w:unhideWhenUsed/>
    <w:qFormat/>
    <w:uiPriority w:val="1"/>
  </w:style>
  <w:style w:type="table" w:default="1" w:styleId="37">
    <w:name w:val="Normal Table"/>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44"/>
    <w:qFormat/>
    <w:uiPriority w:val="0"/>
    <w:rPr>
      <w:rFonts w:ascii="Calibri"/>
      <w:b/>
      <w:bCs/>
      <w:kern w:val="2"/>
      <w:sz w:val="21"/>
    </w:rPr>
  </w:style>
  <w:style w:type="paragraph" w:styleId="8">
    <w:name w:val="annotation text"/>
    <w:basedOn w:val="1"/>
    <w:link w:val="42"/>
    <w:qFormat/>
    <w:uiPriority w:val="0"/>
    <w:pPr>
      <w:jc w:val="left"/>
    </w:pPr>
    <w:rPr>
      <w:rFonts w:ascii="宋体" w:hAnsi="Calibri"/>
      <w:kern w:val="0"/>
      <w:sz w:val="34"/>
    </w:rPr>
  </w:style>
  <w:style w:type="paragraph" w:styleId="9">
    <w:name w:val="Body Text First Indent"/>
    <w:basedOn w:val="10"/>
    <w:qFormat/>
    <w:uiPriority w:val="0"/>
    <w:rPr>
      <w:rFonts w:hAnsi="宋体"/>
      <w:sz w:val="18"/>
      <w:szCs w:val="18"/>
    </w:rPr>
  </w:style>
  <w:style w:type="paragraph" w:styleId="10">
    <w:name w:val="Body Text"/>
    <w:basedOn w:val="1"/>
    <w:next w:val="1"/>
    <w:link w:val="39"/>
    <w:qFormat/>
    <w:uiPriority w:val="0"/>
    <w:rPr>
      <w:color w:val="993300"/>
      <w:kern w:val="0"/>
      <w:sz w:val="24"/>
      <w:szCs w:val="24"/>
    </w:rPr>
  </w:style>
  <w:style w:type="paragraph" w:styleId="11">
    <w:name w:val="List Number"/>
    <w:basedOn w:val="1"/>
    <w:qFormat/>
    <w:uiPriority w:val="0"/>
    <w:pPr>
      <w:numPr>
        <w:ilvl w:val="0"/>
        <w:numId w:val="1"/>
      </w:numPr>
    </w:pPr>
  </w:style>
  <w:style w:type="paragraph" w:styleId="12">
    <w:name w:val="Normal Indent"/>
    <w:basedOn w:val="1"/>
    <w:next w:val="13"/>
    <w:qFormat/>
    <w:uiPriority w:val="0"/>
    <w:pPr>
      <w:ind w:firstLine="420"/>
    </w:pPr>
    <w:rPr>
      <w:szCs w:val="20"/>
    </w:rPr>
  </w:style>
  <w:style w:type="paragraph" w:styleId="13">
    <w:name w:val="Plain Text"/>
    <w:basedOn w:val="1"/>
    <w:qFormat/>
    <w:uiPriority w:val="0"/>
    <w:pPr>
      <w:spacing w:line="324" w:lineRule="auto"/>
    </w:pPr>
    <w:rPr>
      <w:rFonts w:ascii="宋体" w:hAnsi="Courier New" w:cs="Courier New"/>
      <w:szCs w:val="21"/>
    </w:rPr>
  </w:style>
  <w:style w:type="paragraph" w:styleId="14">
    <w:name w:val="Document Map"/>
    <w:basedOn w:val="1"/>
    <w:link w:val="41"/>
    <w:qFormat/>
    <w:uiPriority w:val="0"/>
    <w:rPr>
      <w:rFonts w:ascii="宋体" w:hAnsi="Calibri"/>
      <w:sz w:val="18"/>
      <w:szCs w:val="18"/>
    </w:rPr>
  </w:style>
  <w:style w:type="paragraph" w:styleId="15">
    <w:name w:val="Body Text Indent"/>
    <w:basedOn w:val="1"/>
    <w:qFormat/>
    <w:uiPriority w:val="0"/>
    <w:pPr>
      <w:ind w:left="420" w:leftChars="200"/>
    </w:pPr>
  </w:style>
  <w:style w:type="paragraph" w:styleId="16">
    <w:name w:val="toc 3"/>
    <w:basedOn w:val="1"/>
    <w:next w:val="1"/>
    <w:qFormat/>
    <w:uiPriority w:val="0"/>
    <w:pPr>
      <w:ind w:left="840" w:leftChars="400"/>
    </w:pPr>
  </w:style>
  <w:style w:type="paragraph" w:styleId="17">
    <w:name w:val="Date"/>
    <w:basedOn w:val="1"/>
    <w:next w:val="1"/>
    <w:qFormat/>
    <w:uiPriority w:val="0"/>
    <w:rPr>
      <w:rFonts w:ascii="Copperplate Gothic Bold" w:hAnsi="Copperplate Gothic Bold"/>
      <w:sz w:val="32"/>
      <w:szCs w:val="20"/>
    </w:rPr>
  </w:style>
  <w:style w:type="paragraph" w:styleId="18">
    <w:name w:val="Body Text Indent 2"/>
    <w:basedOn w:val="1"/>
    <w:qFormat/>
    <w:uiPriority w:val="0"/>
    <w:pPr>
      <w:spacing w:after="120" w:line="480" w:lineRule="auto"/>
      <w:ind w:left="420" w:leftChars="200"/>
    </w:pPr>
  </w:style>
  <w:style w:type="paragraph" w:styleId="19">
    <w:name w:val="Balloon Text"/>
    <w:basedOn w:val="1"/>
    <w:link w:val="43"/>
    <w:qFormat/>
    <w:uiPriority w:val="0"/>
    <w:rPr>
      <w:rFonts w:ascii="Calibri" w:hAnsi="Calibri"/>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Body Text First Indent 2"/>
    <w:basedOn w:val="15"/>
    <w:unhideWhenUsed/>
    <w:qFormat/>
    <w:uiPriority w:val="0"/>
    <w:pPr>
      <w:ind w:firstLine="420" w:firstLineChars="200"/>
    </w:pPr>
    <w:rPr>
      <w:szCs w:val="20"/>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2"/>
    <w:basedOn w:val="1"/>
    <w:next w:val="1"/>
    <w:qFormat/>
    <w:uiPriority w:val="0"/>
    <w:pPr>
      <w:ind w:left="420" w:leftChars="200"/>
    </w:pPr>
  </w:style>
  <w:style w:type="paragraph" w:styleId="25">
    <w:name w:val="toc 9"/>
    <w:basedOn w:val="1"/>
    <w:next w:val="1"/>
    <w:qFormat/>
    <w:uiPriority w:val="0"/>
    <w:pPr>
      <w:wordWrap w:val="0"/>
      <w:ind w:left="2975"/>
    </w:pPr>
  </w:style>
  <w:style w:type="paragraph" w:styleId="26">
    <w:name w:val="Body Text 2"/>
    <w:basedOn w:val="1"/>
    <w:qFormat/>
    <w:uiPriority w:val="0"/>
    <w:pPr>
      <w:jc w:val="center"/>
    </w:pPr>
    <w:rPr>
      <w:b/>
      <w:spacing w:val="-20"/>
      <w:w w:val="130"/>
      <w:sz w:val="48"/>
      <w:szCs w:val="20"/>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8">
    <w:name w:val="Title"/>
    <w:basedOn w:val="1"/>
    <w:qFormat/>
    <w:uiPriority w:val="0"/>
    <w:pPr>
      <w:jc w:val="center"/>
    </w:pPr>
    <w:rPr>
      <w:sz w:val="30"/>
      <w:szCs w:val="24"/>
    </w:rPr>
  </w:style>
  <w:style w:type="character" w:styleId="30">
    <w:name w:val="Strong"/>
    <w:qFormat/>
    <w:uiPriority w:val="0"/>
    <w:rPr>
      <w:b/>
      <w:sz w:val="24"/>
      <w:szCs w:val="24"/>
    </w:rPr>
  </w:style>
  <w:style w:type="character" w:styleId="31">
    <w:name w:val="page number"/>
    <w:qFormat/>
    <w:uiPriority w:val="0"/>
  </w:style>
  <w:style w:type="character" w:styleId="32">
    <w:name w:val="FollowedHyperlink"/>
    <w:qFormat/>
    <w:uiPriority w:val="0"/>
    <w:rPr>
      <w:rFonts w:hint="eastAsia" w:ascii="宋体" w:hAnsi="宋体" w:eastAsia="宋体" w:cs="宋体"/>
      <w:color w:val="000000"/>
      <w:sz w:val="18"/>
      <w:szCs w:val="18"/>
      <w:u w:val="none"/>
    </w:rPr>
  </w:style>
  <w:style w:type="character" w:styleId="33">
    <w:name w:val="Emphasis"/>
    <w:qFormat/>
    <w:uiPriority w:val="0"/>
    <w:rPr>
      <w:i/>
      <w:iCs/>
    </w:rPr>
  </w:style>
  <w:style w:type="character" w:styleId="34">
    <w:name w:val="Hyperlink"/>
    <w:qFormat/>
    <w:uiPriority w:val="0"/>
    <w:rPr>
      <w:color w:val="0000FF"/>
      <w:u w:val="single"/>
    </w:rPr>
  </w:style>
  <w:style w:type="character" w:styleId="35">
    <w:name w:val="annotation reference"/>
    <w:qFormat/>
    <w:uiPriority w:val="99"/>
    <w:rPr>
      <w:sz w:val="21"/>
      <w:szCs w:val="21"/>
    </w:rPr>
  </w:style>
  <w:style w:type="character" w:styleId="36">
    <w:name w:val="HTML Cite"/>
    <w:qFormat/>
    <w:uiPriority w:val="0"/>
    <w:rPr>
      <w:sz w:val="24"/>
      <w:szCs w:val="24"/>
    </w:rPr>
  </w:style>
  <w:style w:type="table" w:styleId="38">
    <w:name w:val="Table Grid"/>
    <w:basedOn w:val="3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9">
    <w:name w:val="正文文本 字符"/>
    <w:link w:val="10"/>
    <w:qFormat/>
    <w:uiPriority w:val="0"/>
    <w:rPr>
      <w:rFonts w:hint="default" w:ascii="Times New Roman" w:hAnsi="Times New Roman" w:eastAsia="宋体" w:cs="Times New Roman"/>
      <w:color w:val="993300"/>
      <w:sz w:val="24"/>
      <w:szCs w:val="24"/>
    </w:rPr>
  </w:style>
  <w:style w:type="character" w:customStyle="1" w:styleId="40">
    <w:name w:val="标题 1 字符"/>
    <w:link w:val="3"/>
    <w:qFormat/>
    <w:uiPriority w:val="0"/>
    <w:rPr>
      <w:rFonts w:ascii="Times New Roman" w:hAnsi="Times New Roman" w:eastAsia="宋体"/>
      <w:b/>
      <w:kern w:val="44"/>
      <w:sz w:val="32"/>
    </w:rPr>
  </w:style>
  <w:style w:type="character" w:customStyle="1" w:styleId="41">
    <w:name w:val="文档结构图 字符"/>
    <w:link w:val="14"/>
    <w:qFormat/>
    <w:uiPriority w:val="0"/>
    <w:rPr>
      <w:rFonts w:ascii="宋体" w:hAnsi="Calibri" w:cs="Times New Roman"/>
      <w:kern w:val="2"/>
      <w:sz w:val="18"/>
      <w:szCs w:val="18"/>
    </w:rPr>
  </w:style>
  <w:style w:type="character" w:customStyle="1" w:styleId="42">
    <w:name w:val="批注文字 字符"/>
    <w:link w:val="8"/>
    <w:qFormat/>
    <w:uiPriority w:val="99"/>
    <w:rPr>
      <w:rFonts w:ascii="宋体" w:hAnsi="Calibri" w:eastAsia="宋体" w:cs="Times New Roman"/>
      <w:sz w:val="34"/>
      <w:szCs w:val="22"/>
    </w:rPr>
  </w:style>
  <w:style w:type="character" w:customStyle="1" w:styleId="43">
    <w:name w:val="批注框文本 字符"/>
    <w:link w:val="19"/>
    <w:qFormat/>
    <w:uiPriority w:val="0"/>
    <w:rPr>
      <w:rFonts w:ascii="Calibri" w:hAnsi="Calibri" w:eastAsia="宋体" w:cs="Times New Roman"/>
      <w:kern w:val="2"/>
      <w:sz w:val="18"/>
      <w:szCs w:val="18"/>
    </w:rPr>
  </w:style>
  <w:style w:type="character" w:customStyle="1" w:styleId="44">
    <w:name w:val="批注主题 字符"/>
    <w:link w:val="7"/>
    <w:qFormat/>
    <w:uiPriority w:val="0"/>
    <w:rPr>
      <w:rFonts w:ascii="Calibri" w:hAnsi="Calibri" w:eastAsia="宋体" w:cs="Times New Roman"/>
      <w:b/>
      <w:bCs/>
      <w:kern w:val="2"/>
      <w:sz w:val="21"/>
      <w:szCs w:val="22"/>
    </w:rPr>
  </w:style>
  <w:style w:type="character" w:customStyle="1" w:styleId="45">
    <w:name w:val="font11"/>
    <w:qFormat/>
    <w:uiPriority w:val="0"/>
    <w:rPr>
      <w:rFonts w:hint="eastAsia" w:ascii="宋体" w:hAnsi="宋体" w:eastAsia="宋体" w:cs="宋体"/>
      <w:color w:val="000000"/>
      <w:sz w:val="22"/>
      <w:szCs w:val="22"/>
      <w:u w:val="none"/>
    </w:rPr>
  </w:style>
  <w:style w:type="character" w:customStyle="1" w:styleId="46">
    <w:name w:val="del3"/>
    <w:qFormat/>
    <w:uiPriority w:val="0"/>
    <w:rPr>
      <w:vanish/>
    </w:rPr>
  </w:style>
  <w:style w:type="character" w:customStyle="1" w:styleId="47">
    <w:name w:val="15"/>
    <w:qFormat/>
    <w:uiPriority w:val="0"/>
    <w:rPr>
      <w:rFonts w:hint="default" w:ascii="Calibri" w:hAnsi="Calibri"/>
      <w:i/>
      <w:iCs/>
    </w:rPr>
  </w:style>
  <w:style w:type="character" w:customStyle="1" w:styleId="48">
    <w:name w:val="font01"/>
    <w:qFormat/>
    <w:uiPriority w:val="0"/>
    <w:rPr>
      <w:rFonts w:hint="eastAsia" w:ascii="宋体" w:hAnsi="宋体" w:eastAsia="宋体" w:cs="宋体"/>
      <w:b/>
      <w:color w:val="000000"/>
      <w:sz w:val="24"/>
      <w:szCs w:val="24"/>
      <w:u w:val="none"/>
    </w:rPr>
  </w:style>
  <w:style w:type="character" w:customStyle="1" w:styleId="49">
    <w:name w:val="del2"/>
    <w:qFormat/>
    <w:uiPriority w:val="0"/>
    <w:rPr>
      <w:vanish/>
    </w:rPr>
  </w:style>
  <w:style w:type="character" w:customStyle="1" w:styleId="50">
    <w:name w:val="apple-style-span"/>
    <w:qFormat/>
    <w:uiPriority w:val="0"/>
  </w:style>
  <w:style w:type="character" w:customStyle="1" w:styleId="51">
    <w:name w:val="font61"/>
    <w:qFormat/>
    <w:uiPriority w:val="0"/>
    <w:rPr>
      <w:rFonts w:hint="default" w:ascii="Tahoma" w:hAnsi="Tahoma" w:eastAsia="Tahoma" w:cs="Tahoma"/>
      <w:color w:val="000000"/>
      <w:sz w:val="22"/>
      <w:szCs w:val="22"/>
      <w:u w:val="none"/>
    </w:rPr>
  </w:style>
  <w:style w:type="character" w:customStyle="1" w:styleId="52">
    <w:name w:val="del"/>
    <w:qFormat/>
    <w:uiPriority w:val="0"/>
  </w:style>
  <w:style w:type="character" w:customStyle="1" w:styleId="53">
    <w:name w:val="10"/>
    <w:qFormat/>
    <w:uiPriority w:val="0"/>
    <w:rPr>
      <w:rFonts w:hint="default" w:ascii="Calibri" w:hAnsi="Calibri"/>
    </w:rPr>
  </w:style>
  <w:style w:type="character" w:customStyle="1" w:styleId="54">
    <w:name w:val="del1"/>
    <w:qFormat/>
    <w:uiPriority w:val="0"/>
    <w:rPr>
      <w:vanish/>
      <w:color w:val="666666"/>
      <w:sz w:val="18"/>
      <w:szCs w:val="18"/>
      <w:u w:val="single"/>
    </w:rPr>
  </w:style>
  <w:style w:type="paragraph" w:customStyle="1" w:styleId="55">
    <w:name w:val="样式 宋体 小四 首行缩进:  0.93 厘米 段前: 11.15 磅 段后: 11.15 磅1"/>
    <w:basedOn w:val="1"/>
    <w:qFormat/>
    <w:uiPriority w:val="0"/>
    <w:pPr>
      <w:ind w:left="200"/>
    </w:pPr>
    <w:rPr>
      <w:rFonts w:hint="eastAsia" w:ascii="宋体" w:hAnsi="宋体"/>
      <w:color w:val="000000"/>
      <w:kern w:val="1"/>
      <w:sz w:val="24"/>
      <w:szCs w:val="20"/>
    </w:rPr>
  </w:style>
  <w:style w:type="paragraph" w:customStyle="1" w:styleId="56">
    <w:name w:val="List Paragraph1"/>
    <w:basedOn w:val="1"/>
    <w:qFormat/>
    <w:uiPriority w:val="99"/>
    <w:pPr>
      <w:ind w:firstLine="420" w:firstLineChars="200"/>
    </w:pPr>
  </w:style>
  <w:style w:type="paragraph" w:customStyle="1" w:styleId="57">
    <w:name w:val="列出段落11"/>
    <w:basedOn w:val="1"/>
    <w:qFormat/>
    <w:uiPriority w:val="99"/>
    <w:pPr>
      <w:ind w:firstLine="420" w:firstLineChars="200"/>
    </w:pPr>
  </w:style>
  <w:style w:type="paragraph" w:customStyle="1" w:styleId="58">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5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列出段落3"/>
    <w:basedOn w:val="1"/>
    <w:qFormat/>
    <w:uiPriority w:val="0"/>
    <w:pPr>
      <w:ind w:firstLine="420" w:firstLineChars="200"/>
    </w:pPr>
    <w:rPr>
      <w:rFonts w:ascii="宋体"/>
      <w:sz w:val="28"/>
    </w:rPr>
  </w:style>
  <w:style w:type="paragraph" w:customStyle="1" w:styleId="61">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表格内文字"/>
    <w:basedOn w:val="1"/>
    <w:qFormat/>
    <w:uiPriority w:val="0"/>
    <w:pPr>
      <w:keepLines/>
      <w:widowControl/>
      <w:spacing w:before="40" w:after="40"/>
    </w:pPr>
    <w:rPr>
      <w:rFonts w:ascii="Arial" w:hAnsi="Arial" w:cs="宋体"/>
      <w:color w:val="008ED3"/>
      <w:kern w:val="0"/>
      <w:sz w:val="18"/>
      <w:szCs w:val="18"/>
    </w:rPr>
  </w:style>
  <w:style w:type="paragraph" w:customStyle="1" w:styleId="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6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5">
    <w:name w:val="列出段落6"/>
    <w:basedOn w:val="1"/>
    <w:qFormat/>
    <w:uiPriority w:val="34"/>
    <w:pPr>
      <w:widowControl/>
      <w:spacing w:after="200" w:line="276" w:lineRule="auto"/>
      <w:ind w:left="720"/>
      <w:contextualSpacing/>
      <w:jc w:val="left"/>
    </w:pPr>
    <w:rPr>
      <w:kern w:val="0"/>
      <w:sz w:val="22"/>
    </w:rPr>
  </w:style>
  <w:style w:type="paragraph" w:customStyle="1" w:styleId="66">
    <w:name w:val="TableHeader"/>
    <w:qFormat/>
    <w:uiPriority w:val="1"/>
    <w:pPr>
      <w:spacing w:before="40" w:after="40"/>
      <w:jc w:val="center"/>
    </w:pPr>
    <w:rPr>
      <w:rFonts w:ascii="Arial" w:hAnsi="Arial" w:eastAsia="宋体" w:cs="Times New Roman"/>
      <w:b/>
      <w:bCs/>
      <w:kern w:val="44"/>
      <w:sz w:val="18"/>
      <w:szCs w:val="44"/>
      <w:lang w:val="en-US" w:eastAsia="zh-CN" w:bidi="ar-SA"/>
    </w:rPr>
  </w:style>
  <w:style w:type="paragraph" w:customStyle="1" w:styleId="67">
    <w:name w:val="No Spacing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68">
    <w:name w:val="小标题"/>
    <w:next w:val="1"/>
    <w:qFormat/>
    <w:uiPriority w:val="0"/>
    <w:pPr>
      <w:keepNext/>
      <w:outlineLvl w:val="0"/>
    </w:pPr>
    <w:rPr>
      <w:rFonts w:ascii="Helvetica Neue" w:hAnsi="Helvetica Neue" w:eastAsia="Helvetica Neue" w:cs="Helvetica Neue"/>
      <w:b/>
      <w:bCs/>
      <w:color w:val="000000"/>
      <w:sz w:val="36"/>
      <w:szCs w:val="36"/>
      <w:lang w:val="en-US" w:eastAsia="zh-CN" w:bidi="ar-SA"/>
    </w:rPr>
  </w:style>
  <w:style w:type="paragraph" w:customStyle="1" w:styleId="69">
    <w:name w:val="表格样式 2"/>
    <w:qFormat/>
    <w:uiPriority w:val="0"/>
    <w:rPr>
      <w:rFonts w:ascii="Helvetica Neue" w:hAnsi="Helvetica Neue" w:eastAsia="Helvetica Neue" w:cs="Helvetica Neue"/>
      <w:color w:val="000000"/>
      <w:lang w:val="en-US" w:eastAsia="zh-CN" w:bidi="ar-SA"/>
    </w:rPr>
  </w:style>
  <w:style w:type="paragraph" w:customStyle="1" w:styleId="70">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71">
    <w:name w:val="普通(网站)1"/>
    <w:basedOn w:val="1"/>
    <w:qFormat/>
    <w:uiPriority w:val="0"/>
    <w:pPr>
      <w:widowControl/>
      <w:spacing w:before="100" w:beforeAutospacing="1" w:after="100" w:afterAutospacing="1" w:line="360" w:lineRule="auto"/>
      <w:ind w:firstLine="200" w:firstLineChars="200"/>
      <w:jc w:val="left"/>
    </w:pPr>
    <w:rPr>
      <w:rFonts w:ascii="宋体"/>
      <w:kern w:val="0"/>
      <w:sz w:val="24"/>
      <w:szCs w:val="20"/>
    </w:rPr>
  </w:style>
  <w:style w:type="paragraph" w:customStyle="1" w:styleId="72">
    <w:name w:val="列出段落4"/>
    <w:basedOn w:val="1"/>
    <w:qFormat/>
    <w:uiPriority w:val="34"/>
    <w:pPr>
      <w:ind w:firstLine="420" w:firstLineChars="200"/>
    </w:pPr>
  </w:style>
  <w:style w:type="paragraph" w:customStyle="1" w:styleId="73">
    <w:name w:val="正文框"/>
    <w:basedOn w:val="1"/>
    <w:qFormat/>
    <w:uiPriority w:val="0"/>
    <w:pPr>
      <w:widowControl/>
      <w:adjustRightInd w:val="0"/>
      <w:spacing w:line="312" w:lineRule="atLeast"/>
      <w:jc w:val="left"/>
      <w:textAlignment w:val="baseline"/>
    </w:pPr>
    <w:rPr>
      <w:sz w:val="24"/>
    </w:rPr>
  </w:style>
  <w:style w:type="paragraph" w:customStyle="1" w:styleId="74">
    <w:name w:val="列出段落1"/>
    <w:basedOn w:val="1"/>
    <w:qFormat/>
    <w:uiPriority w:val="99"/>
    <w:pPr>
      <w:ind w:firstLine="420" w:firstLineChars="200"/>
    </w:pPr>
  </w:style>
  <w:style w:type="paragraph" w:customStyle="1" w:styleId="75">
    <w:name w:val="列出段落12"/>
    <w:basedOn w:val="1"/>
    <w:unhideWhenUsed/>
    <w:qFormat/>
    <w:uiPriority w:val="99"/>
    <w:pPr>
      <w:ind w:firstLine="420" w:firstLineChars="200"/>
    </w:pPr>
  </w:style>
  <w:style w:type="paragraph" w:customStyle="1" w:styleId="76">
    <w:name w:val="表格样式 1"/>
    <w:qFormat/>
    <w:uiPriority w:val="0"/>
    <w:rPr>
      <w:rFonts w:ascii="Helvetica Neue" w:hAnsi="Helvetica Neue" w:eastAsia="Helvetica Neue" w:cs="Helvetica Neue"/>
      <w:b/>
      <w:bCs/>
      <w:color w:val="000000"/>
      <w:lang w:val="en-US" w:eastAsia="zh-CN" w:bidi="ar-SA"/>
    </w:rPr>
  </w:style>
  <w:style w:type="paragraph" w:customStyle="1" w:styleId="77">
    <w:name w:val="Char"/>
    <w:basedOn w:val="1"/>
    <w:qFormat/>
    <w:uiPriority w:val="0"/>
    <w:pPr>
      <w:jc w:val="left"/>
    </w:pPr>
    <w:rPr>
      <w:rFonts w:ascii="Tahoma" w:hAnsi="Tahoma"/>
      <w:sz w:val="24"/>
      <w:szCs w:val="20"/>
    </w:rPr>
  </w:style>
  <w:style w:type="paragraph" w:customStyle="1" w:styleId="78">
    <w:name w:val="列出段落61"/>
    <w:basedOn w:val="1"/>
    <w:qFormat/>
    <w:uiPriority w:val="34"/>
    <w:pPr>
      <w:widowControl/>
      <w:spacing w:after="200" w:line="276" w:lineRule="auto"/>
      <w:ind w:left="720"/>
      <w:contextualSpacing/>
      <w:jc w:val="left"/>
    </w:pPr>
    <w:rPr>
      <w:kern w:val="0"/>
      <w:sz w:val="22"/>
    </w:rPr>
  </w:style>
  <w:style w:type="paragraph" w:customStyle="1" w:styleId="79">
    <w:name w:val="Char2 Char Char Char"/>
    <w:basedOn w:val="1"/>
    <w:qFormat/>
    <w:uiPriority w:val="0"/>
    <w:rPr>
      <w:rFonts w:ascii="Tahoma" w:hAnsi="Tahoma"/>
      <w:sz w:val="24"/>
      <w:szCs w:val="20"/>
    </w:rPr>
  </w:style>
  <w:style w:type="paragraph" w:customStyle="1" w:styleId="80">
    <w:name w:val="列出段落2"/>
    <w:basedOn w:val="1"/>
    <w:qFormat/>
    <w:uiPriority w:val="0"/>
    <w:pPr>
      <w:ind w:firstLine="420" w:firstLineChars="200"/>
    </w:pPr>
    <w:rPr>
      <w:rFonts w:ascii="宋体"/>
      <w:sz w:val="28"/>
    </w:rPr>
  </w:style>
  <w:style w:type="paragraph" w:customStyle="1" w:styleId="81">
    <w:name w:val="_Style 2"/>
    <w:basedOn w:val="1"/>
    <w:qFormat/>
    <w:uiPriority w:val="34"/>
    <w:pPr>
      <w:ind w:firstLine="420" w:firstLineChars="200"/>
    </w:pPr>
  </w:style>
  <w:style w:type="paragraph" w:customStyle="1" w:styleId="82">
    <w:name w:val="list number ＋left spaceing"/>
    <w:basedOn w:val="11"/>
    <w:qFormat/>
    <w:uiPriority w:val="0"/>
    <w:pPr>
      <w:widowControl/>
      <w:tabs>
        <w:tab w:val="left" w:pos="839"/>
      </w:tabs>
      <w:ind w:left="0" w:firstLine="0"/>
      <w:jc w:val="left"/>
    </w:pPr>
    <w:rPr>
      <w:kern w:val="0"/>
    </w:rPr>
  </w:style>
  <w:style w:type="paragraph" w:customStyle="1" w:styleId="83">
    <w:name w:val="Body text|21"/>
    <w:basedOn w:val="1"/>
    <w:qFormat/>
    <w:uiPriority w:val="0"/>
    <w:pPr>
      <w:shd w:val="clear" w:color="auto" w:fill="FFFFFF"/>
      <w:spacing w:before="240" w:after="340" w:line="200" w:lineRule="exact"/>
      <w:ind w:hanging="480"/>
      <w:jc w:val="left"/>
    </w:pPr>
    <w:rPr>
      <w:rFonts w:ascii="PMingLiU" w:hAnsi="PMingLiU" w:eastAsia="PMingLiU" w:cs="PMingLiU"/>
      <w:spacing w:val="10"/>
      <w:kern w:val="0"/>
      <w:sz w:val="20"/>
      <w:szCs w:val="20"/>
    </w:rPr>
  </w:style>
  <w:style w:type="paragraph" w:customStyle="1" w:styleId="84">
    <w:name w:val="列出段落5"/>
    <w:basedOn w:val="1"/>
    <w:unhideWhenUsed/>
    <w:qFormat/>
    <w:uiPriority w:val="99"/>
    <w:pPr>
      <w:ind w:firstLine="420" w:firstLineChars="200"/>
    </w:pPr>
  </w:style>
  <w:style w:type="paragraph" w:customStyle="1" w:styleId="85">
    <w:name w:val="Default"/>
    <w:qFormat/>
    <w:uiPriority w:val="0"/>
    <w:pPr>
      <w:widowControl w:val="0"/>
      <w:autoSpaceDE w:val="0"/>
      <w:autoSpaceDN w:val="0"/>
      <w:adjustRightInd w:val="0"/>
    </w:pPr>
    <w:rPr>
      <w:rFonts w:ascii="华文仿宋" w:hAnsi="华文仿宋" w:eastAsia="宋体" w:cs="华文仿宋"/>
      <w:color w:val="000000"/>
      <w:sz w:val="24"/>
      <w:szCs w:val="24"/>
      <w:lang w:val="en-US" w:eastAsia="zh-CN" w:bidi="ar-SA"/>
    </w:rPr>
  </w:style>
  <w:style w:type="paragraph" w:customStyle="1" w:styleId="86">
    <w:name w:val="Table Paragraph"/>
    <w:basedOn w:val="1"/>
    <w:qFormat/>
    <w:uiPriority w:val="0"/>
    <w:pPr>
      <w:autoSpaceDE w:val="0"/>
      <w:autoSpaceDN w:val="0"/>
      <w:jc w:val="left"/>
    </w:pPr>
    <w:rPr>
      <w:rFonts w:hint="eastAsia" w:ascii="宋体" w:hAnsi="宋体"/>
      <w:kern w:val="0"/>
      <w:sz w:val="22"/>
    </w:rPr>
  </w:style>
  <w:style w:type="table" w:customStyle="1" w:styleId="87">
    <w:name w:val="Table Normal"/>
    <w:qFormat/>
    <w:uiPriority w:val="0"/>
    <w:tblPr>
      <w:tblLayout w:type="fixed"/>
      <w:tblCellMar>
        <w:top w:w="0" w:type="dxa"/>
        <w:left w:w="0" w:type="dxa"/>
        <w:bottom w:w="0" w:type="dxa"/>
        <w:right w:w="0" w:type="dxa"/>
      </w:tblCellMar>
    </w:tblPr>
  </w:style>
  <w:style w:type="character" w:customStyle="1" w:styleId="88">
    <w:name w:val="font21"/>
    <w:qFormat/>
    <w:uiPriority w:val="0"/>
    <w:rPr>
      <w:rFonts w:hint="eastAsia" w:ascii="宋体" w:hAnsi="宋体" w:eastAsia="宋体" w:cs="宋体"/>
      <w:color w:val="000000"/>
      <w:sz w:val="21"/>
      <w:szCs w:val="21"/>
      <w:u w:val="none"/>
    </w:rPr>
  </w:style>
  <w:style w:type="paragraph" w:customStyle="1" w:styleId="89">
    <w:name w:val="_Style 87"/>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jpe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71</Pages>
  <Words>29326</Words>
  <Characters>32136</Characters>
  <Lines>259</Lines>
  <Paragraphs>73</Paragraphs>
  <ScaleCrop>false</ScaleCrop>
  <LinksUpToDate>false</LinksUpToDate>
  <CharactersWithSpaces>33731</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2022-03-28T09:59:00Z</dcterms:created>
  <dc:creator>Administrator</dc:creator>
  <cp:lastModifiedBy>Administrator</cp:lastModifiedBy>
  <cp:lastPrinted>2022-03-31T02:21:00Z</cp:lastPrinted>
  <dcterms:modified xsi:type="dcterms:W3CDTF">2022-04-19T06:27:05Z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y fmtid="{D5CDD505-2E9C-101B-9397-08002B2CF9AE}" pid="3" name="ICV">
    <vt:lpwstr>91BDB47D7C164A7CAA7B59F388EB8CFE</vt:lpwstr>
  </property>
</Properties>
</file>