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before="0" w:beforeAutospacing="0" w:afterLines="100" w:afterAutospacing="0" w:line="360" w:lineRule="auto"/>
        <w:ind w:left="425" w:hanging="425"/>
        <w:rPr>
          <w:color w:val="auto"/>
          <w:highlight w:val="none"/>
          <w:u w:val="single"/>
        </w:rPr>
      </w:pPr>
      <w:r>
        <w:rPr>
          <w:rFonts w:hint="eastAsia"/>
          <w:color w:val="auto"/>
          <w:sz w:val="30"/>
          <w:szCs w:val="30"/>
          <w:highlight w:val="none"/>
        </w:rPr>
        <w:t>项目编号：ZZZC-202204</w:t>
      </w:r>
    </w:p>
    <w:p>
      <w:pPr>
        <w:jc w:val="center"/>
        <w:rPr>
          <w:rFonts w:ascii="宋体" w:hAnsi="宋体" w:cs="宋体"/>
          <w:bCs/>
          <w:color w:val="auto"/>
          <w:sz w:val="56"/>
          <w:szCs w:val="48"/>
          <w:highlight w:val="none"/>
        </w:rPr>
      </w:pPr>
    </w:p>
    <w:p>
      <w:pPr>
        <w:jc w:val="center"/>
        <w:rPr>
          <w:rFonts w:ascii="宋体" w:hAnsi="宋体" w:cs="宋体"/>
          <w:b/>
          <w:color w:val="auto"/>
          <w:sz w:val="56"/>
          <w:szCs w:val="48"/>
          <w:highlight w:val="none"/>
        </w:rPr>
      </w:pPr>
      <w:r>
        <w:rPr>
          <w:rFonts w:hint="eastAsia" w:ascii="宋体" w:hAnsi="宋体" w:cs="宋体"/>
          <w:b/>
          <w:color w:val="auto"/>
          <w:sz w:val="56"/>
          <w:szCs w:val="48"/>
          <w:highlight w:val="none"/>
        </w:rPr>
        <w:t>甘泉美水街道办事处垃圾收运车及垃圾桶购买项目</w:t>
      </w:r>
    </w:p>
    <w:p>
      <w:pPr>
        <w:pStyle w:val="14"/>
        <w:rPr>
          <w:rFonts w:ascii="宋体" w:hAnsi="宋体" w:eastAsia="宋体" w:cs="宋体"/>
          <w:b/>
          <w:color w:val="auto"/>
          <w:sz w:val="70"/>
          <w:szCs w:val="52"/>
          <w:highlight w:val="none"/>
        </w:rPr>
      </w:pPr>
    </w:p>
    <w:p>
      <w:pPr>
        <w:jc w:val="center"/>
        <w:rPr>
          <w:rFonts w:ascii="宋体" w:hAnsi="宋体" w:cs="宋体"/>
          <w:b/>
          <w:color w:val="auto"/>
          <w:sz w:val="70"/>
          <w:szCs w:val="52"/>
          <w:highlight w:val="none"/>
        </w:rPr>
      </w:pPr>
    </w:p>
    <w:p>
      <w:pPr>
        <w:jc w:val="center"/>
        <w:rPr>
          <w:rFonts w:ascii="宋体" w:hAnsi="宋体" w:cs="宋体"/>
          <w:b/>
          <w:color w:val="auto"/>
          <w:sz w:val="70"/>
          <w:szCs w:val="52"/>
          <w:highlight w:val="none"/>
        </w:rPr>
      </w:pPr>
    </w:p>
    <w:p>
      <w:pPr>
        <w:jc w:val="center"/>
        <w:rPr>
          <w:rFonts w:ascii="宋体" w:hAnsi="宋体" w:cs="宋体"/>
          <w:b/>
          <w:color w:val="auto"/>
          <w:sz w:val="70"/>
          <w:szCs w:val="52"/>
          <w:highlight w:val="none"/>
        </w:rPr>
      </w:pPr>
      <w:r>
        <w:rPr>
          <w:rFonts w:hint="eastAsia" w:ascii="宋体" w:hAnsi="宋体" w:cs="宋体"/>
          <w:b/>
          <w:color w:val="auto"/>
          <w:sz w:val="70"/>
          <w:szCs w:val="52"/>
          <w:highlight w:val="none"/>
        </w:rPr>
        <w:t>招  标  文  件</w:t>
      </w:r>
    </w:p>
    <w:p>
      <w:pPr>
        <w:jc w:val="center"/>
        <w:rPr>
          <w:rFonts w:ascii="宋体" w:hAnsi="宋体" w:cs="宋体"/>
          <w:color w:val="auto"/>
          <w:sz w:val="52"/>
          <w:szCs w:val="52"/>
          <w:highlight w:val="none"/>
        </w:rPr>
      </w:pPr>
    </w:p>
    <w:p>
      <w:pPr>
        <w:pStyle w:val="3"/>
        <w:numPr>
          <w:ilvl w:val="0"/>
          <w:numId w:val="0"/>
        </w:numPr>
        <w:jc w:val="both"/>
        <w:rPr>
          <w:rFonts w:ascii="宋体" w:hAnsi="宋体" w:eastAsia="宋体" w:cs="宋体"/>
          <w:color w:val="auto"/>
          <w:highlight w:val="none"/>
        </w:rPr>
      </w:pPr>
    </w:p>
    <w:p>
      <w:pPr>
        <w:rPr>
          <w:rFonts w:ascii="宋体" w:hAnsi="宋体" w:cs="宋体"/>
          <w:color w:val="auto"/>
          <w:highlight w:val="none"/>
        </w:rPr>
      </w:pPr>
    </w:p>
    <w:p>
      <w:pPr>
        <w:pStyle w:val="3"/>
        <w:numPr>
          <w:ilvl w:val="0"/>
          <w:numId w:val="0"/>
        </w:numPr>
        <w:jc w:val="both"/>
        <w:rPr>
          <w:rFonts w:ascii="宋体" w:hAnsi="宋体" w:eastAsia="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spacing w:line="560" w:lineRule="exact"/>
        <w:jc w:val="center"/>
        <w:rPr>
          <w:rFonts w:ascii="宋体" w:hAnsi="宋体" w:cs="宋体"/>
          <w:b/>
          <w:color w:val="auto"/>
          <w:sz w:val="30"/>
          <w:highlight w:val="none"/>
        </w:rPr>
      </w:pPr>
      <w:r>
        <w:rPr>
          <w:rFonts w:hint="eastAsia" w:ascii="宋体" w:hAnsi="宋体" w:cs="宋体"/>
          <w:b/>
          <w:color w:val="auto"/>
          <w:sz w:val="32"/>
          <w:highlight w:val="none"/>
        </w:rPr>
        <w:t>采  购   人：</w:t>
      </w:r>
      <w:r>
        <w:rPr>
          <w:rFonts w:hint="eastAsia" w:ascii="宋体" w:hAnsi="宋体" w:cs="宋体"/>
          <w:b/>
          <w:color w:val="auto"/>
          <w:sz w:val="30"/>
          <w:highlight w:val="none"/>
        </w:rPr>
        <w:t>甘泉县美水街道办事处 （加盖公章）</w:t>
      </w:r>
    </w:p>
    <w:p>
      <w:pPr>
        <w:tabs>
          <w:tab w:val="left" w:pos="3240"/>
        </w:tabs>
        <w:spacing w:line="700" w:lineRule="exact"/>
        <w:ind w:right="-159"/>
        <w:jc w:val="center"/>
        <w:rPr>
          <w:rFonts w:ascii="宋体" w:hAnsi="宋体" w:cs="宋体"/>
          <w:b/>
          <w:color w:val="auto"/>
          <w:sz w:val="30"/>
          <w:highlight w:val="none"/>
          <w:u w:val="single"/>
        </w:rPr>
      </w:pPr>
      <w:r>
        <w:rPr>
          <w:rFonts w:hint="eastAsia" w:ascii="宋体" w:hAnsi="宋体" w:cs="宋体"/>
          <w:b/>
          <w:color w:val="auto"/>
          <w:sz w:val="32"/>
          <w:highlight w:val="none"/>
        </w:rPr>
        <w:t>采购代理机构：</w:t>
      </w:r>
      <w:r>
        <w:rPr>
          <w:rFonts w:hint="eastAsia" w:ascii="宋体" w:hAnsi="宋体" w:cs="宋体"/>
          <w:b/>
          <w:color w:val="auto"/>
          <w:sz w:val="30"/>
          <w:highlight w:val="none"/>
        </w:rPr>
        <w:t>陕西中振项目咨询有限公司（加盖公章）</w:t>
      </w:r>
    </w:p>
    <w:p>
      <w:pPr>
        <w:tabs>
          <w:tab w:val="left" w:pos="3240"/>
        </w:tabs>
        <w:spacing w:line="700" w:lineRule="exact"/>
        <w:ind w:right="-159"/>
        <w:jc w:val="center"/>
        <w:rPr>
          <w:rFonts w:ascii="宋体" w:hAnsi="宋体" w:cs="宋体"/>
          <w:b/>
          <w:color w:val="auto"/>
          <w:sz w:val="30"/>
          <w:highlight w:val="none"/>
          <w:u w:val="single"/>
        </w:rPr>
      </w:pPr>
    </w:p>
    <w:p>
      <w:pPr>
        <w:jc w:val="center"/>
        <w:rPr>
          <w:rFonts w:ascii="宋体" w:hAnsi="宋体" w:cs="宋体"/>
          <w:b/>
          <w:color w:val="auto"/>
          <w:sz w:val="30"/>
          <w:highlight w:val="none"/>
        </w:rPr>
      </w:pPr>
      <w:r>
        <w:rPr>
          <w:rFonts w:hint="eastAsia" w:ascii="宋体" w:hAnsi="宋体" w:cs="宋体"/>
          <w:b/>
          <w:color w:val="auto"/>
          <w:sz w:val="30"/>
          <w:highlight w:val="none"/>
        </w:rPr>
        <w:t>二〇二二年七月</w:t>
      </w:r>
    </w:p>
    <w:p>
      <w:pPr>
        <w:rPr>
          <w:rFonts w:ascii="宋体" w:hAnsi="宋体" w:cs="宋体"/>
          <w:b/>
          <w:color w:val="auto"/>
          <w:sz w:val="30"/>
          <w:highlight w:val="none"/>
        </w:rPr>
      </w:pPr>
      <w:r>
        <w:rPr>
          <w:rFonts w:hint="eastAsia" w:ascii="宋体" w:hAnsi="宋体" w:cs="宋体"/>
          <w:b/>
          <w:color w:val="auto"/>
          <w:sz w:val="30"/>
          <w:highlight w:val="none"/>
        </w:rPr>
        <w:br w:type="page"/>
      </w:r>
    </w:p>
    <w:p>
      <w:pPr>
        <w:pStyle w:val="3"/>
        <w:numPr>
          <w:ilvl w:val="0"/>
          <w:numId w:val="0"/>
        </w:numPr>
        <w:jc w:val="both"/>
        <w:rPr>
          <w:rFonts w:ascii="宋体" w:hAnsi="宋体" w:eastAsia="宋体" w:cs="宋体"/>
          <w:color w:val="auto"/>
          <w:highlight w:val="none"/>
        </w:rPr>
      </w:pPr>
    </w:p>
    <w:p>
      <w:pPr>
        <w:jc w:val="center"/>
        <w:rPr>
          <w:rFonts w:ascii="宋体" w:hAnsi="宋体" w:cs="宋体"/>
          <w:color w:val="auto"/>
          <w:highlight w:val="none"/>
        </w:rPr>
      </w:pPr>
      <w:r>
        <w:rPr>
          <w:rFonts w:hint="eastAsia" w:ascii="宋体" w:hAnsi="宋体" w:cs="宋体"/>
          <w:color w:val="auto"/>
          <w:sz w:val="32"/>
          <w:szCs w:val="32"/>
          <w:highlight w:val="none"/>
        </w:rPr>
        <w:t>目  录</w:t>
      </w:r>
    </w:p>
    <w:p>
      <w:pPr>
        <w:spacing w:line="600" w:lineRule="auto"/>
        <w:jc w:val="center"/>
        <w:rPr>
          <w:rFonts w:ascii="宋体" w:hAnsi="宋体" w:cs="宋体"/>
          <w:b/>
          <w:color w:val="auto"/>
          <w:sz w:val="32"/>
          <w:szCs w:val="32"/>
          <w:highlight w:val="none"/>
        </w:rPr>
      </w:pPr>
      <w:bookmarkStart w:id="0" w:name="_Toc29558"/>
      <w:bookmarkStart w:id="1" w:name="_Toc26157"/>
      <w:bookmarkStart w:id="2" w:name="_Toc17412"/>
    </w:p>
    <w:sdt>
      <w:sdtPr>
        <w:rPr>
          <w:rFonts w:hint="eastAsia" w:ascii="宋体" w:hAnsi="宋体" w:cs="宋体"/>
          <w:color w:val="auto"/>
          <w:highlight w:val="none"/>
        </w:rPr>
        <w:id w:val="147461311"/>
        <w:docPartObj>
          <w:docPartGallery w:val="Table of Contents"/>
          <w:docPartUnique/>
        </w:docPartObj>
      </w:sdtPr>
      <w:sdtEndPr>
        <w:rPr>
          <w:rFonts w:hint="eastAsia" w:ascii="宋体" w:hAnsi="宋体" w:cs="宋体"/>
          <w:color w:val="auto"/>
          <w:sz w:val="24"/>
          <w:highlight w:val="none"/>
        </w:rPr>
      </w:sdtEndPr>
      <w:sdtContent>
        <w:p>
          <w:pPr>
            <w:spacing w:line="240" w:lineRule="auto"/>
            <w:jc w:val="center"/>
            <w:rPr>
              <w:rFonts w:ascii="宋体" w:hAnsi="宋体" w:cs="宋体"/>
              <w:color w:val="auto"/>
              <w:highlight w:val="none"/>
            </w:rPr>
          </w:pPr>
        </w:p>
        <w:p>
          <w:pPr>
            <w:pStyle w:val="24"/>
            <w:tabs>
              <w:tab w:val="right" w:leader="dot" w:pos="9451"/>
            </w:tabs>
            <w:spacing w:line="480" w:lineRule="auto"/>
            <w:rPr>
              <w:rFonts w:ascii="宋体" w:hAnsi="宋体" w:cs="宋体"/>
              <w:color w:val="auto"/>
              <w:sz w:val="21"/>
              <w:szCs w:val="21"/>
              <w:highlight w:val="none"/>
            </w:rPr>
          </w:pP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TOC \o "1-1" \h \u </w:instrText>
          </w:r>
          <w:r>
            <w:rPr>
              <w:rFonts w:hint="eastAsia" w:ascii="宋体" w:hAnsi="宋体" w:cs="宋体"/>
              <w:color w:val="auto"/>
              <w:sz w:val="21"/>
              <w:szCs w:val="21"/>
              <w:highlight w:val="none"/>
            </w:rPr>
            <w:fldChar w:fldCharType="separate"/>
          </w:r>
          <w:r>
            <w:rPr>
              <w:color w:val="auto"/>
              <w:highlight w:val="none"/>
            </w:rPr>
            <w:fldChar w:fldCharType="begin"/>
          </w:r>
          <w:r>
            <w:rPr>
              <w:color w:val="auto"/>
              <w:highlight w:val="none"/>
            </w:rPr>
            <w:instrText xml:space="preserve"> HYPERLINK \l "_Toc18922" </w:instrText>
          </w:r>
          <w:r>
            <w:rPr>
              <w:color w:val="auto"/>
              <w:highlight w:val="none"/>
            </w:rPr>
            <w:fldChar w:fldCharType="separate"/>
          </w:r>
          <w:r>
            <w:rPr>
              <w:rFonts w:hint="eastAsia" w:ascii="宋体" w:hAnsi="宋体" w:cs="宋体"/>
              <w:color w:val="auto"/>
              <w:sz w:val="21"/>
              <w:szCs w:val="36"/>
              <w:highlight w:val="none"/>
            </w:rPr>
            <w:t>第一部分  招标公告</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_Toc18922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2</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pPr>
            <w:pStyle w:val="24"/>
            <w:tabs>
              <w:tab w:val="right" w:leader="dot" w:pos="9451"/>
            </w:tabs>
            <w:spacing w:line="480" w:lineRule="auto"/>
            <w:rPr>
              <w:rFonts w:ascii="宋体" w:hAnsi="宋体" w:cs="宋体"/>
              <w:color w:val="auto"/>
              <w:sz w:val="21"/>
              <w:szCs w:val="21"/>
              <w:highlight w:val="none"/>
            </w:rPr>
          </w:pPr>
          <w:r>
            <w:rPr>
              <w:color w:val="auto"/>
              <w:highlight w:val="none"/>
            </w:rPr>
            <w:fldChar w:fldCharType="begin"/>
          </w:r>
          <w:r>
            <w:rPr>
              <w:color w:val="auto"/>
              <w:highlight w:val="none"/>
            </w:rPr>
            <w:instrText xml:space="preserve"> HYPERLINK \l "_Toc28595" </w:instrText>
          </w:r>
          <w:r>
            <w:rPr>
              <w:color w:val="auto"/>
              <w:highlight w:val="none"/>
            </w:rPr>
            <w:fldChar w:fldCharType="separate"/>
          </w:r>
          <w:r>
            <w:rPr>
              <w:rFonts w:hint="eastAsia" w:ascii="宋体" w:hAnsi="宋体" w:cs="宋体"/>
              <w:color w:val="auto"/>
              <w:sz w:val="21"/>
              <w:szCs w:val="36"/>
              <w:highlight w:val="none"/>
            </w:rPr>
            <w:t>第二部分 投标单位须知</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_Toc28595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5</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pPr>
            <w:pStyle w:val="24"/>
            <w:tabs>
              <w:tab w:val="right" w:leader="dot" w:pos="9451"/>
            </w:tabs>
            <w:spacing w:line="480" w:lineRule="auto"/>
            <w:rPr>
              <w:rFonts w:ascii="宋体" w:hAnsi="宋体" w:cs="宋体"/>
              <w:color w:val="auto"/>
              <w:sz w:val="21"/>
              <w:szCs w:val="21"/>
              <w:highlight w:val="none"/>
            </w:rPr>
          </w:pPr>
          <w:r>
            <w:rPr>
              <w:color w:val="auto"/>
              <w:highlight w:val="none"/>
            </w:rPr>
            <w:fldChar w:fldCharType="begin"/>
          </w:r>
          <w:r>
            <w:rPr>
              <w:color w:val="auto"/>
              <w:highlight w:val="none"/>
            </w:rPr>
            <w:instrText xml:space="preserve"> HYPERLINK \l "_Toc32123" </w:instrText>
          </w:r>
          <w:r>
            <w:rPr>
              <w:color w:val="auto"/>
              <w:highlight w:val="none"/>
            </w:rPr>
            <w:fldChar w:fldCharType="separate"/>
          </w:r>
          <w:r>
            <w:rPr>
              <w:rFonts w:hint="eastAsia" w:ascii="宋体" w:hAnsi="宋体" w:cs="宋体"/>
              <w:bCs/>
              <w:color w:val="auto"/>
              <w:kern w:val="44"/>
              <w:sz w:val="21"/>
              <w:szCs w:val="36"/>
              <w:highlight w:val="none"/>
            </w:rPr>
            <w:t>第三部分 招标内容及参数要求</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_Toc32123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24</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pPr>
            <w:pStyle w:val="24"/>
            <w:tabs>
              <w:tab w:val="right" w:leader="dot" w:pos="9451"/>
            </w:tabs>
            <w:spacing w:line="480" w:lineRule="auto"/>
            <w:rPr>
              <w:rFonts w:ascii="宋体" w:hAnsi="宋体" w:cs="宋体"/>
              <w:color w:val="auto"/>
              <w:sz w:val="21"/>
              <w:szCs w:val="21"/>
              <w:highlight w:val="none"/>
            </w:rPr>
          </w:pPr>
          <w:r>
            <w:rPr>
              <w:color w:val="auto"/>
              <w:highlight w:val="none"/>
            </w:rPr>
            <w:fldChar w:fldCharType="begin"/>
          </w:r>
          <w:r>
            <w:rPr>
              <w:color w:val="auto"/>
              <w:highlight w:val="none"/>
            </w:rPr>
            <w:instrText xml:space="preserve"> HYPERLINK \l "_Toc26982" </w:instrText>
          </w:r>
          <w:r>
            <w:rPr>
              <w:color w:val="auto"/>
              <w:highlight w:val="none"/>
            </w:rPr>
            <w:fldChar w:fldCharType="separate"/>
          </w:r>
          <w:r>
            <w:rPr>
              <w:rFonts w:hint="eastAsia" w:ascii="宋体" w:hAnsi="宋体" w:cs="宋体"/>
              <w:color w:val="auto"/>
              <w:sz w:val="21"/>
              <w:szCs w:val="36"/>
              <w:highlight w:val="none"/>
            </w:rPr>
            <w:t>第四部分 商务及合同主要条款</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_Toc26982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27</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pPr>
            <w:pStyle w:val="24"/>
            <w:tabs>
              <w:tab w:val="right" w:leader="dot" w:pos="9451"/>
            </w:tabs>
            <w:spacing w:line="480" w:lineRule="auto"/>
            <w:rPr>
              <w:rFonts w:ascii="宋体" w:hAnsi="宋体" w:cs="宋体"/>
              <w:color w:val="auto"/>
              <w:sz w:val="21"/>
              <w:szCs w:val="21"/>
              <w:highlight w:val="none"/>
            </w:rPr>
          </w:pPr>
          <w:r>
            <w:rPr>
              <w:color w:val="auto"/>
              <w:highlight w:val="none"/>
            </w:rPr>
            <w:fldChar w:fldCharType="begin"/>
          </w:r>
          <w:r>
            <w:rPr>
              <w:color w:val="auto"/>
              <w:highlight w:val="none"/>
            </w:rPr>
            <w:instrText xml:space="preserve"> HYPERLINK \l "_Toc28114" </w:instrText>
          </w:r>
          <w:r>
            <w:rPr>
              <w:color w:val="auto"/>
              <w:highlight w:val="none"/>
            </w:rPr>
            <w:fldChar w:fldCharType="separate"/>
          </w:r>
          <w:r>
            <w:rPr>
              <w:rFonts w:hint="eastAsia" w:ascii="宋体" w:hAnsi="宋体" w:cs="宋体"/>
              <w:color w:val="auto"/>
              <w:sz w:val="21"/>
              <w:szCs w:val="36"/>
              <w:highlight w:val="none"/>
            </w:rPr>
            <w:t>第五部分  投标文件格式</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_Toc28114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30</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pPr>
            <w:pStyle w:val="24"/>
            <w:tabs>
              <w:tab w:val="right" w:leader="dot" w:pos="9451"/>
            </w:tabs>
            <w:spacing w:line="480" w:lineRule="auto"/>
            <w:rPr>
              <w:rFonts w:ascii="宋体" w:hAnsi="宋体" w:cs="宋体"/>
              <w:color w:val="auto"/>
              <w:sz w:val="21"/>
              <w:szCs w:val="21"/>
              <w:highlight w:val="none"/>
            </w:rPr>
          </w:pPr>
        </w:p>
        <w:p>
          <w:pPr>
            <w:pStyle w:val="2"/>
            <w:spacing w:line="480" w:lineRule="auto"/>
            <w:rPr>
              <w:rFonts w:ascii="宋体" w:hAnsi="宋体" w:cs="宋体"/>
              <w:color w:val="auto"/>
              <w:highlight w:val="none"/>
            </w:rPr>
            <w:sectPr>
              <w:headerReference r:id="rId5" w:type="default"/>
              <w:footerReference r:id="rId6" w:type="default"/>
              <w:footerReference r:id="rId7" w:type="even"/>
              <w:pgSz w:w="11906" w:h="16838"/>
              <w:pgMar w:top="1558" w:right="1134" w:bottom="1021" w:left="1321" w:header="851" w:footer="992" w:gutter="0"/>
              <w:pgNumType w:start="1"/>
              <w:cols w:space="720" w:num="1"/>
              <w:docGrid w:type="lines" w:linePitch="312" w:charSpace="0"/>
            </w:sectPr>
          </w:pPr>
          <w:r>
            <w:rPr>
              <w:rFonts w:hint="eastAsia" w:ascii="宋体" w:hAnsi="宋体" w:cs="宋体"/>
              <w:color w:val="auto"/>
              <w:sz w:val="28"/>
              <w:szCs w:val="28"/>
              <w:highlight w:val="none"/>
            </w:rPr>
            <w:fldChar w:fldCharType="end"/>
          </w:r>
        </w:p>
      </w:sdtContent>
    </w:sdt>
    <w:p>
      <w:pPr>
        <w:spacing w:line="600" w:lineRule="auto"/>
        <w:jc w:val="center"/>
        <w:outlineLvl w:val="0"/>
        <w:rPr>
          <w:rFonts w:ascii="宋体" w:hAnsi="宋体" w:cs="宋体"/>
          <w:b/>
          <w:color w:val="auto"/>
          <w:sz w:val="32"/>
          <w:szCs w:val="32"/>
          <w:highlight w:val="none"/>
        </w:rPr>
      </w:pPr>
      <w:bookmarkStart w:id="3" w:name="_Toc18922"/>
      <w:r>
        <w:rPr>
          <w:rFonts w:hint="eastAsia" w:ascii="宋体" w:hAnsi="宋体" w:cs="宋体"/>
          <w:b/>
          <w:color w:val="auto"/>
          <w:sz w:val="32"/>
          <w:szCs w:val="32"/>
          <w:highlight w:val="none"/>
        </w:rPr>
        <w:t>第一部分  招标公告</w:t>
      </w:r>
      <w:bookmarkEnd w:id="3"/>
    </w:p>
    <w:p>
      <w:pPr>
        <w:pStyle w:val="15"/>
        <w:spacing w:beforeAutospacing="0" w:afterAutospacing="0" w:line="360" w:lineRule="auto"/>
        <w:ind w:firstLine="480" w:firstLineChars="200"/>
        <w:rPr>
          <w:color w:val="auto"/>
          <w:highlight w:val="none"/>
        </w:rPr>
      </w:pPr>
      <w:r>
        <w:rPr>
          <w:rFonts w:hint="eastAsia"/>
          <w:color w:val="auto"/>
          <w:highlight w:val="none"/>
        </w:rPr>
        <w:t xml:space="preserve">陕西中振项目咨询有限公司受甘泉县美水街道办事处的委托，按照政府采购程序，对甘泉美水街道办事处垃圾收运车及垃圾桶购买项目进行公开招标，欢迎符合资格条件的、有能力提供本项目所需服务的供应商参加投标。 </w:t>
      </w:r>
    </w:p>
    <w:p>
      <w:pPr>
        <w:pStyle w:val="15"/>
        <w:spacing w:beforeAutospacing="0" w:afterAutospacing="0" w:line="360" w:lineRule="auto"/>
        <w:rPr>
          <w:color w:val="auto"/>
          <w:highlight w:val="none"/>
        </w:rPr>
      </w:pPr>
      <w:r>
        <w:rPr>
          <w:rFonts w:hint="eastAsia"/>
          <w:color w:val="auto"/>
          <w:kern w:val="2"/>
          <w:highlight w:val="none"/>
        </w:rPr>
        <w:t>一 、采购项目</w:t>
      </w:r>
      <w:r>
        <w:rPr>
          <w:rFonts w:hint="eastAsia"/>
          <w:color w:val="auto"/>
          <w:highlight w:val="none"/>
        </w:rPr>
        <w:t>名称:甘泉美水街道办事处垃圾收运车及垃圾桶购买项目</w:t>
      </w:r>
    </w:p>
    <w:p>
      <w:pPr>
        <w:pStyle w:val="15"/>
        <w:numPr>
          <w:ilvl w:val="0"/>
          <w:numId w:val="2"/>
        </w:numPr>
        <w:spacing w:beforeAutospacing="0" w:afterAutospacing="0" w:line="360" w:lineRule="auto"/>
        <w:rPr>
          <w:color w:val="auto"/>
          <w:highlight w:val="none"/>
        </w:rPr>
      </w:pPr>
      <w:r>
        <w:rPr>
          <w:rFonts w:hint="eastAsia"/>
          <w:color w:val="auto"/>
          <w:kern w:val="2"/>
          <w:highlight w:val="none"/>
        </w:rPr>
        <w:t>采购项</w:t>
      </w:r>
      <w:r>
        <w:rPr>
          <w:rFonts w:hint="eastAsia"/>
          <w:color w:val="auto"/>
          <w:highlight w:val="none"/>
        </w:rPr>
        <w:t>目编号:ZZZC-202204</w:t>
      </w:r>
    </w:p>
    <w:p>
      <w:pPr>
        <w:pStyle w:val="15"/>
        <w:numPr>
          <w:ilvl w:val="0"/>
          <w:numId w:val="2"/>
        </w:numPr>
        <w:spacing w:beforeAutospacing="0" w:afterAutospacing="0" w:line="360" w:lineRule="auto"/>
        <w:rPr>
          <w:color w:val="auto"/>
          <w:highlight w:val="none"/>
        </w:rPr>
      </w:pPr>
      <w:r>
        <w:rPr>
          <w:rFonts w:hint="eastAsia"/>
          <w:color w:val="auto"/>
          <w:kern w:val="2"/>
          <w:highlight w:val="none"/>
        </w:rPr>
        <w:t>采购人名称：</w:t>
      </w:r>
      <w:r>
        <w:rPr>
          <w:rFonts w:hint="eastAsia"/>
          <w:color w:val="auto"/>
          <w:highlight w:val="none"/>
        </w:rPr>
        <w:t>甘泉县美水街道办事处</w:t>
      </w:r>
    </w:p>
    <w:p>
      <w:pPr>
        <w:pStyle w:val="15"/>
        <w:spacing w:beforeAutospacing="0" w:afterAutospacing="0" w:line="360" w:lineRule="auto"/>
        <w:rPr>
          <w:color w:val="auto"/>
          <w:kern w:val="2"/>
          <w:highlight w:val="none"/>
        </w:rPr>
      </w:pPr>
      <w:r>
        <w:rPr>
          <w:rFonts w:hint="eastAsia"/>
          <w:color w:val="auto"/>
          <w:kern w:val="2"/>
          <w:highlight w:val="none"/>
        </w:rPr>
        <w:t>    地址：延安市甘泉县县城</w:t>
      </w:r>
    </w:p>
    <w:p>
      <w:pPr>
        <w:pStyle w:val="15"/>
        <w:spacing w:beforeAutospacing="0" w:afterAutospacing="0" w:line="360" w:lineRule="auto"/>
        <w:ind w:firstLine="480" w:firstLineChars="200"/>
        <w:rPr>
          <w:color w:val="auto"/>
          <w:kern w:val="2"/>
          <w:highlight w:val="none"/>
        </w:rPr>
      </w:pPr>
      <w:r>
        <w:rPr>
          <w:rFonts w:hint="eastAsia"/>
          <w:color w:val="auto"/>
          <w:kern w:val="2"/>
          <w:highlight w:val="none"/>
        </w:rPr>
        <w:t>联系人及联系方式：张磊  18717419000</w:t>
      </w:r>
    </w:p>
    <w:p>
      <w:pPr>
        <w:pStyle w:val="15"/>
        <w:spacing w:beforeAutospacing="0" w:afterAutospacing="0" w:line="360" w:lineRule="auto"/>
        <w:rPr>
          <w:color w:val="auto"/>
          <w:kern w:val="2"/>
          <w:highlight w:val="none"/>
        </w:rPr>
      </w:pPr>
      <w:r>
        <w:rPr>
          <w:rFonts w:hint="eastAsia"/>
          <w:color w:val="auto"/>
          <w:kern w:val="2"/>
          <w:highlight w:val="none"/>
        </w:rPr>
        <w:t>四、采购代理机构名称：陕西中振项目咨询有限公司</w:t>
      </w:r>
    </w:p>
    <w:p>
      <w:pPr>
        <w:pStyle w:val="15"/>
        <w:spacing w:beforeAutospacing="0" w:afterAutospacing="0" w:line="360" w:lineRule="auto"/>
        <w:ind w:firstLine="480" w:firstLineChars="200"/>
        <w:rPr>
          <w:color w:val="auto"/>
          <w:kern w:val="2"/>
          <w:highlight w:val="none"/>
        </w:rPr>
      </w:pPr>
      <w:r>
        <w:rPr>
          <w:rFonts w:hint="eastAsia"/>
          <w:color w:val="auto"/>
          <w:kern w:val="2"/>
          <w:highlight w:val="none"/>
        </w:rPr>
        <w:t>地址：延安市新区创业小镇G区-3F</w:t>
      </w:r>
    </w:p>
    <w:p>
      <w:pPr>
        <w:pStyle w:val="15"/>
        <w:spacing w:beforeAutospacing="0" w:afterAutospacing="0" w:line="360" w:lineRule="auto"/>
        <w:ind w:firstLine="480" w:firstLineChars="200"/>
        <w:rPr>
          <w:color w:val="auto"/>
          <w:kern w:val="2"/>
          <w:highlight w:val="none"/>
        </w:rPr>
      </w:pPr>
      <w:r>
        <w:rPr>
          <w:rFonts w:hint="eastAsia"/>
          <w:color w:val="auto"/>
          <w:kern w:val="2"/>
          <w:highlight w:val="none"/>
        </w:rPr>
        <w:t>联系方式： 乔工   13992118950</w:t>
      </w:r>
    </w:p>
    <w:p>
      <w:pPr>
        <w:pStyle w:val="15"/>
        <w:spacing w:beforeAutospacing="0" w:afterAutospacing="0" w:line="360" w:lineRule="auto"/>
        <w:rPr>
          <w:color w:val="auto"/>
          <w:kern w:val="2"/>
          <w:highlight w:val="none"/>
        </w:rPr>
      </w:pPr>
      <w:r>
        <w:rPr>
          <w:rFonts w:hint="eastAsia"/>
          <w:color w:val="auto"/>
          <w:kern w:val="2"/>
          <w:highlight w:val="none"/>
        </w:rPr>
        <w:t>五、采购内容和要求 </w:t>
      </w:r>
    </w:p>
    <w:p>
      <w:pPr>
        <w:pStyle w:val="15"/>
        <w:spacing w:beforeAutospacing="0" w:afterAutospacing="0" w:line="360" w:lineRule="auto"/>
        <w:ind w:firstLine="480" w:firstLineChars="200"/>
        <w:rPr>
          <w:color w:val="auto"/>
          <w:highlight w:val="none"/>
        </w:rPr>
      </w:pPr>
      <w:r>
        <w:rPr>
          <w:rFonts w:hint="eastAsia"/>
          <w:color w:val="auto"/>
          <w:kern w:val="2"/>
          <w:highlight w:val="none"/>
        </w:rPr>
        <w:t>采购内容：采购压缩车、清扫车、勾臂车及垃圾桶（具体内容详见公开招标文件）</w:t>
      </w:r>
      <w:r>
        <w:rPr>
          <w:rFonts w:hint="eastAsia"/>
          <w:color w:val="auto"/>
          <w:highlight w:val="none"/>
        </w:rPr>
        <w:t xml:space="preserve">。  </w:t>
      </w:r>
    </w:p>
    <w:p>
      <w:pPr>
        <w:pStyle w:val="15"/>
        <w:spacing w:beforeAutospacing="0" w:afterAutospacing="0" w:line="360" w:lineRule="auto"/>
        <w:ind w:firstLine="480" w:firstLineChars="200"/>
        <w:rPr>
          <w:color w:val="auto"/>
          <w:kern w:val="2"/>
          <w:highlight w:val="none"/>
        </w:rPr>
      </w:pPr>
      <w:r>
        <w:rPr>
          <w:rFonts w:hint="eastAsia"/>
          <w:color w:val="auto"/>
          <w:kern w:val="2"/>
          <w:highlight w:val="none"/>
        </w:rPr>
        <w:t>采购预算：1852000.00元</w:t>
      </w:r>
    </w:p>
    <w:p>
      <w:pPr>
        <w:pStyle w:val="15"/>
        <w:spacing w:beforeAutospacing="0" w:afterAutospacing="0" w:line="360" w:lineRule="auto"/>
        <w:rPr>
          <w:color w:val="auto"/>
          <w:kern w:val="2"/>
          <w:highlight w:val="none"/>
        </w:rPr>
      </w:pPr>
      <w:r>
        <w:rPr>
          <w:rFonts w:hint="eastAsia"/>
          <w:color w:val="auto"/>
          <w:kern w:val="2"/>
          <w:highlight w:val="none"/>
        </w:rPr>
        <w:t>六、投标人资格要求：</w:t>
      </w:r>
    </w:p>
    <w:p>
      <w:pPr>
        <w:pStyle w:val="15"/>
        <w:spacing w:beforeAutospacing="0" w:afterAutospacing="0" w:line="360" w:lineRule="auto"/>
        <w:ind w:firstLine="480" w:firstLineChars="200"/>
        <w:rPr>
          <w:color w:val="auto"/>
          <w:kern w:val="2"/>
          <w:highlight w:val="none"/>
        </w:rPr>
      </w:pPr>
      <w:r>
        <w:rPr>
          <w:rFonts w:hint="eastAsia"/>
          <w:color w:val="auto"/>
          <w:kern w:val="2"/>
          <w:highlight w:val="none"/>
        </w:rPr>
        <w:t>符合《中华人民共和国政府采购法》第二十二条规定的所有条款，供应商需具有独立法人资格，能够独立承担民事责任，有履行完成本项目能力，经营范围与所投内容相符，并具备以下条件：</w:t>
      </w:r>
    </w:p>
    <w:p>
      <w:pPr>
        <w:pStyle w:val="15"/>
        <w:spacing w:beforeAutospacing="0" w:afterAutospacing="0" w:line="360" w:lineRule="auto"/>
        <w:ind w:firstLine="480" w:firstLineChars="200"/>
        <w:rPr>
          <w:color w:val="auto"/>
          <w:kern w:val="2"/>
          <w:highlight w:val="none"/>
        </w:rPr>
      </w:pPr>
      <w:r>
        <w:rPr>
          <w:rFonts w:hint="eastAsia"/>
          <w:color w:val="auto"/>
          <w:kern w:val="2"/>
          <w:highlight w:val="none"/>
        </w:rPr>
        <w:t xml:space="preserve">1、具有独立承担民事责任能力的法人或其他组织，提供合法有效的统一社会信用代码的营业执照（附年度报告书）或事业单位法人证书等国家规定的相关证明，自然人参与的提供其身份证明； </w:t>
      </w:r>
    </w:p>
    <w:p>
      <w:pPr>
        <w:pStyle w:val="15"/>
        <w:spacing w:beforeAutospacing="0" w:afterAutospacing="0" w:line="360" w:lineRule="auto"/>
        <w:ind w:firstLine="480" w:firstLineChars="200"/>
        <w:rPr>
          <w:color w:val="auto"/>
          <w:kern w:val="2"/>
          <w:highlight w:val="none"/>
        </w:rPr>
      </w:pPr>
      <w:r>
        <w:rPr>
          <w:rFonts w:hint="eastAsia"/>
          <w:color w:val="auto"/>
          <w:kern w:val="2"/>
          <w:highlight w:val="none"/>
        </w:rPr>
        <w:t xml:space="preserve">2、法定代表人授权书（附法定代表人身份证复印件）及被授权人身份证（法定代表人直接参加只须提供法定代表人身份证）； </w:t>
      </w:r>
    </w:p>
    <w:p>
      <w:pPr>
        <w:pStyle w:val="15"/>
        <w:spacing w:beforeAutospacing="0" w:afterAutospacing="0" w:line="360" w:lineRule="auto"/>
        <w:ind w:firstLine="480" w:firstLineChars="200"/>
        <w:rPr>
          <w:color w:val="auto"/>
          <w:kern w:val="2"/>
          <w:highlight w:val="none"/>
        </w:rPr>
      </w:pPr>
      <w:r>
        <w:rPr>
          <w:rFonts w:hint="eastAsia"/>
          <w:color w:val="auto"/>
          <w:kern w:val="2"/>
          <w:highlight w:val="none"/>
        </w:rPr>
        <w:t>3、供应商提供2021年度的财务审计报告(成立时间至提交投标文件截止时间不足一年的可提供成立后任意时段的资产负债表)或其基本存款账户开户银行出具的资信证明及基本存款账户开户信息；</w:t>
      </w:r>
    </w:p>
    <w:p>
      <w:pPr>
        <w:pStyle w:val="15"/>
        <w:spacing w:beforeAutospacing="0" w:afterAutospacing="0" w:line="360" w:lineRule="auto"/>
        <w:ind w:firstLine="480" w:firstLineChars="200"/>
        <w:rPr>
          <w:color w:val="auto"/>
          <w:kern w:val="2"/>
          <w:highlight w:val="none"/>
        </w:rPr>
      </w:pPr>
      <w:r>
        <w:rPr>
          <w:rFonts w:hint="eastAsia"/>
          <w:color w:val="auto"/>
          <w:kern w:val="2"/>
          <w:highlight w:val="none"/>
        </w:rPr>
        <w:t>4、税收缴纳证明：提供已缴纳的本年度连续三个月缴税凭证，依法免税的供应商应提供相关文件证明；</w:t>
      </w:r>
    </w:p>
    <w:p>
      <w:pPr>
        <w:pStyle w:val="15"/>
        <w:spacing w:beforeAutospacing="0" w:afterAutospacing="0" w:line="360" w:lineRule="auto"/>
        <w:ind w:firstLine="480" w:firstLineChars="200"/>
        <w:rPr>
          <w:color w:val="auto"/>
          <w:kern w:val="2"/>
          <w:highlight w:val="none"/>
        </w:rPr>
      </w:pPr>
      <w:r>
        <w:rPr>
          <w:rFonts w:hint="eastAsia"/>
          <w:color w:val="auto"/>
          <w:kern w:val="2"/>
          <w:highlight w:val="none"/>
        </w:rPr>
        <w:t>5、社会保障资金缴纳证明：提供已缴纳的本年度连续三个月的社会保障资金缴存证明或社保机构开具的社会保险参保缴费情况证明；依法不需要缴纳社会保障资金的应提供相关文件证明；</w:t>
      </w:r>
    </w:p>
    <w:p>
      <w:pPr>
        <w:pStyle w:val="15"/>
        <w:spacing w:beforeAutospacing="0" w:afterAutospacing="0" w:line="360" w:lineRule="auto"/>
        <w:ind w:firstLine="480" w:firstLineChars="200"/>
        <w:rPr>
          <w:color w:val="auto"/>
          <w:kern w:val="2"/>
          <w:highlight w:val="none"/>
        </w:rPr>
      </w:pPr>
      <w:r>
        <w:rPr>
          <w:rFonts w:hint="eastAsia"/>
          <w:color w:val="auto"/>
          <w:kern w:val="2"/>
          <w:highlight w:val="none"/>
        </w:rPr>
        <w:t xml:space="preserve">6、供应商不得为“信用中国”失信惩戒对象和行政处罚对象；不得为“中国政府采购网”政府采购严重违法失信行为记录名单中被财政部门禁止参加政府采购活动的供应商（提供网站截图并加盖供应商公章）； </w:t>
      </w:r>
    </w:p>
    <w:p>
      <w:pPr>
        <w:pStyle w:val="15"/>
        <w:spacing w:beforeAutospacing="0" w:afterAutospacing="0" w:line="360" w:lineRule="auto"/>
        <w:ind w:firstLine="480" w:firstLineChars="200"/>
        <w:rPr>
          <w:color w:val="auto"/>
          <w:kern w:val="2"/>
          <w:highlight w:val="none"/>
        </w:rPr>
      </w:pPr>
      <w:r>
        <w:rPr>
          <w:rFonts w:hint="eastAsia"/>
          <w:color w:val="auto"/>
          <w:kern w:val="2"/>
          <w:highlight w:val="none"/>
        </w:rPr>
        <w:t>7、参加政府采购活动近三年内，在经营活动中没有重大违法记录声明函；</w:t>
      </w:r>
    </w:p>
    <w:p>
      <w:pPr>
        <w:pStyle w:val="15"/>
        <w:spacing w:beforeAutospacing="0" w:afterAutospacing="0" w:line="360" w:lineRule="auto"/>
        <w:ind w:firstLine="480" w:firstLineChars="200"/>
        <w:rPr>
          <w:color w:val="auto"/>
          <w:kern w:val="2"/>
          <w:highlight w:val="none"/>
        </w:rPr>
      </w:pPr>
      <w:r>
        <w:rPr>
          <w:rFonts w:hint="eastAsia"/>
          <w:color w:val="auto"/>
          <w:kern w:val="2"/>
          <w:highlight w:val="none"/>
        </w:rPr>
        <w:t>8、本项目不接受联合体投标。</w:t>
      </w:r>
    </w:p>
    <w:p>
      <w:pPr>
        <w:pStyle w:val="15"/>
        <w:spacing w:beforeAutospacing="0" w:afterAutospacing="0" w:line="360" w:lineRule="auto"/>
        <w:rPr>
          <w:color w:val="auto"/>
          <w:kern w:val="2"/>
          <w:highlight w:val="none"/>
        </w:rPr>
      </w:pPr>
      <w:r>
        <w:rPr>
          <w:rFonts w:hint="eastAsia"/>
          <w:color w:val="auto"/>
          <w:kern w:val="2"/>
          <w:highlight w:val="none"/>
        </w:rPr>
        <w:t>七、采购项目需要落实的政府采购政策：依据《中华人民共和国政府采购法》和《中华人民共和国政府采购实施条例》的有关规定，落实政府采购政策。</w:t>
      </w:r>
    </w:p>
    <w:p>
      <w:pPr>
        <w:pStyle w:val="15"/>
        <w:spacing w:beforeAutospacing="0" w:afterAutospacing="0" w:line="360" w:lineRule="auto"/>
        <w:ind w:firstLine="420"/>
        <w:rPr>
          <w:color w:val="auto"/>
          <w:kern w:val="2"/>
          <w:highlight w:val="none"/>
        </w:rPr>
      </w:pPr>
      <w:r>
        <w:rPr>
          <w:rFonts w:hint="eastAsia"/>
          <w:color w:val="auto"/>
          <w:kern w:val="2"/>
          <w:highlight w:val="none"/>
        </w:rPr>
        <w:t>1、《财政部工业和信息化部关于印发〈政府采购促进中小企业发展管理办法〉的通知》（财库〔2020〕46号）；</w:t>
      </w:r>
    </w:p>
    <w:p>
      <w:pPr>
        <w:pStyle w:val="15"/>
        <w:spacing w:beforeAutospacing="0" w:afterAutospacing="0" w:line="360" w:lineRule="auto"/>
        <w:ind w:firstLine="420"/>
        <w:rPr>
          <w:color w:val="auto"/>
          <w:kern w:val="2"/>
          <w:highlight w:val="none"/>
        </w:rPr>
      </w:pPr>
      <w:r>
        <w:rPr>
          <w:rFonts w:hint="eastAsia"/>
          <w:color w:val="auto"/>
          <w:kern w:val="2"/>
          <w:highlight w:val="none"/>
        </w:rPr>
        <w:t>2、《财政部司法部关于政府采购支持监狱企业发展有关问题的通知》（财库〔2014〕68号）；</w:t>
      </w:r>
    </w:p>
    <w:p>
      <w:pPr>
        <w:pStyle w:val="15"/>
        <w:spacing w:beforeAutospacing="0" w:afterAutospacing="0" w:line="360" w:lineRule="auto"/>
        <w:ind w:firstLine="420"/>
        <w:rPr>
          <w:color w:val="auto"/>
          <w:kern w:val="2"/>
          <w:highlight w:val="none"/>
        </w:rPr>
      </w:pPr>
      <w:r>
        <w:rPr>
          <w:rFonts w:hint="eastAsia"/>
          <w:color w:val="auto"/>
          <w:kern w:val="2"/>
          <w:highlight w:val="none"/>
        </w:rPr>
        <w:t>3、《国务院办公厅关于建立政府强制采购节能产品制度的通知》（国办发〔2007〕51号）；</w:t>
      </w:r>
    </w:p>
    <w:p>
      <w:pPr>
        <w:pStyle w:val="15"/>
        <w:spacing w:beforeAutospacing="0" w:afterAutospacing="0" w:line="360" w:lineRule="auto"/>
        <w:ind w:firstLine="420"/>
        <w:rPr>
          <w:color w:val="auto"/>
          <w:kern w:val="2"/>
          <w:highlight w:val="none"/>
        </w:rPr>
      </w:pPr>
      <w:r>
        <w:rPr>
          <w:rFonts w:hint="eastAsia"/>
          <w:color w:val="auto"/>
          <w:kern w:val="2"/>
          <w:highlight w:val="none"/>
        </w:rPr>
        <w:t>4、《节能产品政府采购实施意见》（财库[2004]185号）；</w:t>
      </w:r>
    </w:p>
    <w:p>
      <w:pPr>
        <w:pStyle w:val="15"/>
        <w:spacing w:beforeAutospacing="0" w:afterAutospacing="0" w:line="360" w:lineRule="auto"/>
        <w:ind w:firstLine="420"/>
        <w:rPr>
          <w:color w:val="auto"/>
          <w:kern w:val="2"/>
          <w:highlight w:val="none"/>
        </w:rPr>
      </w:pPr>
      <w:r>
        <w:rPr>
          <w:rFonts w:hint="eastAsia"/>
          <w:color w:val="auto"/>
          <w:kern w:val="2"/>
          <w:highlight w:val="none"/>
        </w:rPr>
        <w:t>5、《环境标志产品政府采购实施的意见》（财库[2006]90号）；</w:t>
      </w:r>
    </w:p>
    <w:p>
      <w:pPr>
        <w:pStyle w:val="15"/>
        <w:spacing w:beforeAutospacing="0" w:afterAutospacing="0" w:line="360" w:lineRule="auto"/>
        <w:ind w:firstLine="420"/>
        <w:rPr>
          <w:color w:val="auto"/>
          <w:kern w:val="2"/>
          <w:highlight w:val="none"/>
        </w:rPr>
      </w:pPr>
      <w:r>
        <w:rPr>
          <w:rFonts w:hint="eastAsia"/>
          <w:color w:val="auto"/>
          <w:kern w:val="2"/>
          <w:highlight w:val="none"/>
        </w:rPr>
        <w:t>6、《三部门联合发布关于促进残疾人就业政府采购政策的通知》（财库〔2017〕141号）。</w:t>
      </w:r>
    </w:p>
    <w:p>
      <w:pPr>
        <w:rPr>
          <w:rFonts w:ascii="宋体" w:hAnsi="宋体" w:cs="宋体"/>
          <w:color w:val="auto"/>
          <w:sz w:val="24"/>
          <w:highlight w:val="none"/>
        </w:rPr>
      </w:pPr>
      <w:r>
        <w:rPr>
          <w:rFonts w:hint="eastAsia" w:ascii="宋体" w:hAnsi="宋体" w:cs="宋体"/>
          <w:color w:val="auto"/>
          <w:sz w:val="24"/>
          <w:highlight w:val="none"/>
        </w:rPr>
        <w:br w:type="page"/>
      </w:r>
    </w:p>
    <w:p>
      <w:pPr>
        <w:pStyle w:val="15"/>
        <w:spacing w:beforeAutospacing="0" w:afterAutospacing="0" w:line="360" w:lineRule="auto"/>
        <w:ind w:firstLine="420"/>
        <w:rPr>
          <w:color w:val="auto"/>
          <w:kern w:val="2"/>
          <w:highlight w:val="none"/>
        </w:rPr>
      </w:pPr>
      <w:r>
        <w:rPr>
          <w:rFonts w:hint="eastAsia"/>
          <w:color w:val="auto"/>
          <w:kern w:val="2"/>
          <w:highlight w:val="none"/>
        </w:rPr>
        <w:t>7、《财政部 农业农村部 国家乡村振兴局关于运用政府采购政策支持乡村产业振兴的通知》（财库〔2021〕19号）；</w:t>
      </w:r>
    </w:p>
    <w:p>
      <w:pPr>
        <w:pStyle w:val="15"/>
        <w:spacing w:beforeAutospacing="0" w:afterAutospacing="0" w:line="360" w:lineRule="auto"/>
        <w:ind w:firstLine="420"/>
        <w:rPr>
          <w:color w:val="auto"/>
          <w:kern w:val="2"/>
          <w:highlight w:val="none"/>
        </w:rPr>
      </w:pPr>
      <w:r>
        <w:rPr>
          <w:rFonts w:hint="eastAsia"/>
          <w:color w:val="auto"/>
          <w:kern w:val="2"/>
          <w:highlight w:val="none"/>
        </w:rPr>
        <w:t>8、陕西省财政厅关于印发《陕西省中小企业政府采购信用融资办法》（陕财办采〔2018〕23号）；</w:t>
      </w:r>
    </w:p>
    <w:p>
      <w:pPr>
        <w:pStyle w:val="15"/>
        <w:spacing w:beforeAutospacing="0" w:afterAutospacing="0" w:line="360" w:lineRule="auto"/>
        <w:ind w:firstLine="420"/>
        <w:rPr>
          <w:color w:val="auto"/>
          <w:kern w:val="2"/>
          <w:highlight w:val="none"/>
        </w:rPr>
      </w:pPr>
      <w:r>
        <w:rPr>
          <w:rFonts w:hint="eastAsia"/>
          <w:color w:val="auto"/>
          <w:kern w:val="2"/>
          <w:highlight w:val="none"/>
        </w:rPr>
        <w:t>9、其他需要落实的政府采购政策。</w:t>
      </w:r>
    </w:p>
    <w:p>
      <w:pPr>
        <w:pStyle w:val="15"/>
        <w:spacing w:beforeAutospacing="0" w:afterAutospacing="0" w:line="360" w:lineRule="auto"/>
        <w:rPr>
          <w:color w:val="auto"/>
          <w:kern w:val="2"/>
          <w:highlight w:val="none"/>
        </w:rPr>
      </w:pPr>
      <w:r>
        <w:rPr>
          <w:rFonts w:hint="eastAsia"/>
          <w:color w:val="auto"/>
          <w:kern w:val="2"/>
          <w:highlight w:val="none"/>
        </w:rPr>
        <w:t>八、获取招标文件时间地点:</w:t>
      </w:r>
    </w:p>
    <w:p>
      <w:pPr>
        <w:pStyle w:val="15"/>
        <w:spacing w:beforeAutospacing="0" w:afterAutospacing="0" w:line="360" w:lineRule="auto"/>
        <w:rPr>
          <w:color w:val="auto"/>
          <w:kern w:val="2"/>
          <w:highlight w:val="none"/>
        </w:rPr>
      </w:pPr>
      <w:r>
        <w:rPr>
          <w:rFonts w:hint="eastAsia"/>
          <w:color w:val="auto"/>
          <w:kern w:val="2"/>
          <w:highlight w:val="none"/>
        </w:rPr>
        <w:t>1、获取时间:2022年</w:t>
      </w:r>
      <w:r>
        <w:rPr>
          <w:rFonts w:hint="eastAsia"/>
          <w:color w:val="auto"/>
          <w:kern w:val="2"/>
          <w:highlight w:val="none"/>
          <w:u w:val="single"/>
        </w:rPr>
        <w:t xml:space="preserve"> 07 </w:t>
      </w:r>
      <w:r>
        <w:rPr>
          <w:rFonts w:hint="eastAsia"/>
          <w:color w:val="auto"/>
          <w:kern w:val="2"/>
          <w:highlight w:val="none"/>
        </w:rPr>
        <w:t>月</w:t>
      </w:r>
      <w:r>
        <w:rPr>
          <w:rFonts w:hint="eastAsia"/>
          <w:color w:val="auto"/>
          <w:kern w:val="2"/>
          <w:highlight w:val="none"/>
          <w:u w:val="single"/>
        </w:rPr>
        <w:t xml:space="preserve"> 0</w:t>
      </w:r>
      <w:r>
        <w:rPr>
          <w:rFonts w:hint="eastAsia"/>
          <w:color w:val="auto"/>
          <w:kern w:val="2"/>
          <w:highlight w:val="none"/>
          <w:u w:val="single"/>
          <w:lang w:val="en-US" w:eastAsia="zh-CN"/>
        </w:rPr>
        <w:t>8</w:t>
      </w:r>
      <w:r>
        <w:rPr>
          <w:rFonts w:hint="eastAsia"/>
          <w:color w:val="auto"/>
          <w:kern w:val="2"/>
          <w:highlight w:val="none"/>
          <w:u w:val="single"/>
        </w:rPr>
        <w:t xml:space="preserve"> </w:t>
      </w:r>
      <w:r>
        <w:rPr>
          <w:rFonts w:hint="eastAsia"/>
          <w:color w:val="auto"/>
          <w:kern w:val="2"/>
          <w:highlight w:val="none"/>
        </w:rPr>
        <w:t>日至2022年</w:t>
      </w:r>
      <w:r>
        <w:rPr>
          <w:rFonts w:hint="eastAsia"/>
          <w:color w:val="auto"/>
          <w:kern w:val="2"/>
          <w:highlight w:val="none"/>
          <w:u w:val="single"/>
        </w:rPr>
        <w:t xml:space="preserve"> 07 </w:t>
      </w:r>
      <w:r>
        <w:rPr>
          <w:rFonts w:hint="eastAsia"/>
          <w:color w:val="auto"/>
          <w:kern w:val="2"/>
          <w:highlight w:val="none"/>
        </w:rPr>
        <w:t>月</w:t>
      </w:r>
      <w:r>
        <w:rPr>
          <w:rFonts w:hint="eastAsia"/>
          <w:color w:val="auto"/>
          <w:kern w:val="2"/>
          <w:highlight w:val="none"/>
          <w:u w:val="single"/>
        </w:rPr>
        <w:t xml:space="preserve"> </w:t>
      </w:r>
      <w:r>
        <w:rPr>
          <w:rFonts w:hint="eastAsia"/>
          <w:color w:val="auto"/>
          <w:kern w:val="2"/>
          <w:highlight w:val="none"/>
          <w:u w:val="single"/>
          <w:lang w:val="en-US" w:eastAsia="zh-CN"/>
        </w:rPr>
        <w:t>14</w:t>
      </w:r>
      <w:r>
        <w:rPr>
          <w:rFonts w:hint="eastAsia"/>
          <w:color w:val="auto"/>
          <w:kern w:val="2"/>
          <w:highlight w:val="none"/>
          <w:u w:val="single"/>
        </w:rPr>
        <w:t xml:space="preserve"> </w:t>
      </w:r>
      <w:r>
        <w:rPr>
          <w:rFonts w:hint="eastAsia"/>
          <w:color w:val="auto"/>
          <w:kern w:val="2"/>
          <w:highlight w:val="none"/>
        </w:rPr>
        <w:t>日(09:00-12:00,14:00-17:00时止)，节假日休息;</w:t>
      </w:r>
    </w:p>
    <w:p>
      <w:pPr>
        <w:pStyle w:val="15"/>
        <w:spacing w:beforeAutospacing="0" w:afterAutospacing="0" w:line="360" w:lineRule="auto"/>
        <w:rPr>
          <w:color w:val="auto"/>
          <w:kern w:val="2"/>
          <w:highlight w:val="none"/>
        </w:rPr>
      </w:pPr>
      <w:r>
        <w:rPr>
          <w:rFonts w:hint="eastAsia"/>
          <w:color w:val="auto"/>
          <w:kern w:val="2"/>
          <w:highlight w:val="none"/>
        </w:rPr>
        <w:t>2、获取地点:全国公共资源交易中心平台（陕西省·延安市）平台</w:t>
      </w:r>
    </w:p>
    <w:p>
      <w:pPr>
        <w:pStyle w:val="15"/>
        <w:spacing w:beforeAutospacing="0" w:afterAutospacing="0" w:line="360" w:lineRule="auto"/>
        <w:rPr>
          <w:color w:val="auto"/>
          <w:kern w:val="2"/>
          <w:highlight w:val="none"/>
        </w:rPr>
      </w:pPr>
      <w:r>
        <w:rPr>
          <w:rFonts w:hint="eastAsia"/>
          <w:color w:val="auto"/>
          <w:kern w:val="2"/>
          <w:highlight w:val="none"/>
        </w:rPr>
        <w:t>3、获取方式:线上获取</w:t>
      </w:r>
    </w:p>
    <w:p>
      <w:pPr>
        <w:pStyle w:val="15"/>
        <w:spacing w:beforeAutospacing="0" w:afterAutospacing="0" w:line="360" w:lineRule="auto"/>
        <w:rPr>
          <w:color w:val="auto"/>
          <w:kern w:val="2"/>
          <w:highlight w:val="none"/>
        </w:rPr>
      </w:pPr>
      <w:r>
        <w:rPr>
          <w:rFonts w:hint="eastAsia"/>
          <w:color w:val="auto"/>
          <w:kern w:val="2"/>
          <w:highlight w:val="none"/>
        </w:rPr>
        <w:t>4、售价： 免费获取</w:t>
      </w:r>
    </w:p>
    <w:p>
      <w:pPr>
        <w:pStyle w:val="15"/>
        <w:spacing w:beforeAutospacing="0" w:afterAutospacing="0" w:line="360" w:lineRule="auto"/>
        <w:rPr>
          <w:color w:val="auto"/>
          <w:kern w:val="2"/>
          <w:highlight w:val="none"/>
        </w:rPr>
      </w:pPr>
      <w:r>
        <w:rPr>
          <w:rFonts w:hint="eastAsia"/>
          <w:color w:val="auto"/>
          <w:kern w:val="2"/>
          <w:highlight w:val="none"/>
        </w:rPr>
        <w:t>九、投标文件递交截止时间及开标时间和地点:</w:t>
      </w:r>
    </w:p>
    <w:p>
      <w:pPr>
        <w:pStyle w:val="15"/>
        <w:spacing w:beforeAutospacing="0" w:afterAutospacing="0" w:line="360" w:lineRule="auto"/>
        <w:rPr>
          <w:kern w:val="2"/>
        </w:rPr>
      </w:pPr>
      <w:r>
        <w:rPr>
          <w:rFonts w:hint="eastAsia"/>
          <w:kern w:val="2"/>
        </w:rPr>
        <w:t>1、投标文件递交截止时间:2022年</w:t>
      </w:r>
      <w:r>
        <w:rPr>
          <w:rFonts w:hint="eastAsia"/>
          <w:kern w:val="2"/>
          <w:lang w:val="en-US" w:eastAsia="zh-CN"/>
        </w:rPr>
        <w:t>07</w:t>
      </w:r>
      <w:r>
        <w:rPr>
          <w:rFonts w:hint="eastAsia"/>
          <w:kern w:val="2"/>
        </w:rPr>
        <w:t>月</w:t>
      </w:r>
      <w:r>
        <w:rPr>
          <w:rFonts w:hint="eastAsia"/>
          <w:kern w:val="2"/>
          <w:lang w:val="en-US" w:eastAsia="zh-CN"/>
        </w:rPr>
        <w:t>29</w:t>
      </w:r>
      <w:r>
        <w:rPr>
          <w:rFonts w:hint="eastAsia"/>
          <w:kern w:val="2"/>
        </w:rPr>
        <w:t>日</w:t>
      </w:r>
      <w:r>
        <w:rPr>
          <w:rFonts w:hint="eastAsia"/>
          <w:kern w:val="2"/>
          <w:lang w:val="en-US" w:eastAsia="zh-CN"/>
        </w:rPr>
        <w:t xml:space="preserve"> 15</w:t>
      </w:r>
      <w:r>
        <w:rPr>
          <w:rFonts w:hint="eastAsia"/>
          <w:kern w:val="2"/>
        </w:rPr>
        <w:t>时</w:t>
      </w:r>
      <w:r>
        <w:rPr>
          <w:rFonts w:hint="eastAsia"/>
          <w:kern w:val="2"/>
          <w:lang w:val="en-US" w:eastAsia="zh-CN"/>
        </w:rPr>
        <w:t>00</w:t>
      </w:r>
      <w:r>
        <w:rPr>
          <w:rFonts w:hint="eastAsia"/>
          <w:kern w:val="2"/>
        </w:rPr>
        <w:t>前</w:t>
      </w:r>
    </w:p>
    <w:p>
      <w:pPr>
        <w:pStyle w:val="15"/>
        <w:spacing w:beforeAutospacing="0" w:afterAutospacing="0" w:line="360" w:lineRule="auto"/>
        <w:rPr>
          <w:kern w:val="2"/>
        </w:rPr>
      </w:pPr>
      <w:r>
        <w:rPr>
          <w:rFonts w:hint="eastAsia"/>
          <w:kern w:val="2"/>
        </w:rPr>
        <w:t>2、开标时间:2022年</w:t>
      </w:r>
      <w:r>
        <w:rPr>
          <w:rFonts w:hint="eastAsia"/>
          <w:kern w:val="2"/>
          <w:lang w:val="en-US" w:eastAsia="zh-CN"/>
        </w:rPr>
        <w:t>07</w:t>
      </w:r>
      <w:r>
        <w:rPr>
          <w:rFonts w:hint="eastAsia"/>
          <w:kern w:val="2"/>
        </w:rPr>
        <w:t>月</w:t>
      </w:r>
      <w:r>
        <w:rPr>
          <w:rFonts w:hint="eastAsia"/>
          <w:kern w:val="2"/>
          <w:lang w:val="en-US" w:eastAsia="zh-CN"/>
        </w:rPr>
        <w:t xml:space="preserve">29 </w:t>
      </w:r>
      <w:r>
        <w:rPr>
          <w:rFonts w:hint="eastAsia"/>
          <w:kern w:val="2"/>
        </w:rPr>
        <w:t>日</w:t>
      </w:r>
      <w:r>
        <w:rPr>
          <w:rFonts w:hint="eastAsia"/>
          <w:kern w:val="2"/>
          <w:lang w:val="en-US" w:eastAsia="zh-CN"/>
        </w:rPr>
        <w:t xml:space="preserve">15 </w:t>
      </w:r>
      <w:r>
        <w:rPr>
          <w:rFonts w:hint="eastAsia"/>
          <w:kern w:val="2"/>
        </w:rPr>
        <w:t>时</w:t>
      </w:r>
    </w:p>
    <w:p>
      <w:pPr>
        <w:pStyle w:val="15"/>
        <w:spacing w:beforeAutospacing="0" w:afterAutospacing="0" w:line="360" w:lineRule="auto"/>
        <w:rPr>
          <w:kern w:val="2"/>
        </w:rPr>
      </w:pPr>
      <w:r>
        <w:rPr>
          <w:rFonts w:hint="eastAsia"/>
          <w:kern w:val="2"/>
        </w:rPr>
        <w:t>3、开标地点:延安市公共资源交易中心交易</w:t>
      </w:r>
      <w:r>
        <w:rPr>
          <w:rFonts w:hint="eastAsia"/>
          <w:kern w:val="2"/>
          <w:lang w:val="en-US" w:eastAsia="zh-CN"/>
        </w:rPr>
        <w:t>一</w:t>
      </w:r>
      <w:r>
        <w:rPr>
          <w:rFonts w:hint="eastAsia"/>
          <w:kern w:val="2"/>
        </w:rPr>
        <w:t>厅</w:t>
      </w:r>
    </w:p>
    <w:p>
      <w:pPr>
        <w:pStyle w:val="15"/>
        <w:spacing w:beforeAutospacing="0" w:afterAutospacing="0" w:line="360" w:lineRule="auto"/>
        <w:rPr>
          <w:color w:val="auto"/>
          <w:kern w:val="2"/>
          <w:highlight w:val="none"/>
        </w:rPr>
      </w:pPr>
      <w:r>
        <w:rPr>
          <w:rFonts w:hint="eastAsia"/>
          <w:color w:val="auto"/>
          <w:kern w:val="2"/>
          <w:highlight w:val="none"/>
        </w:rPr>
        <w:t>十、其他应说明的事项:</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1.报名登记：投标人使用捆绑CA证书登录 全国公共资源交易平台（陕西省·延安市）延安市公共资源交易中心 ，选择电子交易平台中的陕西政府采购交易系统 进行登录，登录后选择“交易乙方”身份进入投标人界面进行报名。</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2.下载文件：投标人登录延安市公共资源交易中心 ，选择“交易乙方”身份进入投标人界面下载招标文件。</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3.递交投标文件截止时间和方式：</w:t>
      </w:r>
    </w:p>
    <w:p>
      <w:pPr>
        <w:rPr>
          <w:rFonts w:ascii="宋体" w:hAnsi="宋体" w:cs="宋体"/>
          <w:color w:val="auto"/>
          <w:sz w:val="24"/>
          <w:highlight w:val="none"/>
        </w:rPr>
      </w:pPr>
      <w:r>
        <w:rPr>
          <w:rFonts w:hint="eastAsia" w:ascii="宋体" w:hAnsi="宋体" w:cs="宋体"/>
          <w:color w:val="auto"/>
          <w:sz w:val="24"/>
          <w:highlight w:val="none"/>
        </w:rPr>
        <w:t>（1）电子投标文件可于提交投标文件截止时间前任意时段进行提交，逾期系统将拒绝接收。</w:t>
      </w:r>
    </w:p>
    <w:p>
      <w:pPr>
        <w:pStyle w:val="15"/>
        <w:spacing w:beforeAutospacing="0" w:afterAutospacing="0" w:line="360" w:lineRule="auto"/>
        <w:rPr>
          <w:color w:val="auto"/>
          <w:kern w:val="2"/>
          <w:highlight w:val="none"/>
        </w:rPr>
      </w:pPr>
      <w:r>
        <w:rPr>
          <w:rFonts w:hint="eastAsia"/>
          <w:color w:val="auto"/>
          <w:kern w:val="2"/>
          <w:highlight w:val="none"/>
        </w:rPr>
        <w:t>（2）纸质版投标文件递交地点：延安市为民服务中心7号楼二楼（延安市公共资源交易中心交易厅），投标文件递交的具体要求详见招标文件的规定。</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4.本次招标公告在《陕西省政府采购网》、《全国公共资源交易平台（陕西省·延安市）》媒介上发布。</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注（1）请投标人按照陕西省财政厅关于政府采购供应商注册登记有关事项的通知中的要求，通过陕西省政府采购网注册登记加入陕西省政府采购供应商库。</w:t>
      </w:r>
    </w:p>
    <w:p>
      <w:pPr>
        <w:rPr>
          <w:rFonts w:ascii="宋体" w:hAnsi="宋体" w:cs="宋体"/>
          <w:color w:val="auto"/>
          <w:sz w:val="24"/>
          <w:highlight w:val="none"/>
        </w:rPr>
      </w:pPr>
      <w:r>
        <w:rPr>
          <w:rFonts w:hint="eastAsia" w:ascii="宋体" w:hAnsi="宋体" w:cs="宋体"/>
          <w:color w:val="auto"/>
          <w:sz w:val="24"/>
          <w:highlight w:val="none"/>
        </w:rPr>
        <w:t>（2）凡有意参加的投标人须完成数字认证证书（CA锁）办理（包括法人锁、主锁、副锁）及信息绑定。数字认证证书（CA锁）办理地址：延安市新区为民服务中心7号楼2楼B205室，CA锁企业信息绑定在1号服务窗口（7号楼2楼大厅）办理。已办理陕西省CA锁未参加过延安市政府采购项目的企业，应至延安市公告资源交易中心1号服务窗口进行激活政府采购功能。</w:t>
      </w:r>
    </w:p>
    <w:p>
      <w:pPr>
        <w:pStyle w:val="15"/>
        <w:numPr>
          <w:ilvl w:val="0"/>
          <w:numId w:val="3"/>
        </w:numPr>
        <w:spacing w:beforeAutospacing="0" w:afterAutospacing="0" w:line="360" w:lineRule="auto"/>
        <w:rPr>
          <w:color w:val="auto"/>
          <w:kern w:val="2"/>
          <w:highlight w:val="none"/>
        </w:rPr>
      </w:pPr>
      <w:r>
        <w:rPr>
          <w:rFonts w:hint="eastAsia"/>
          <w:color w:val="auto"/>
          <w:kern w:val="2"/>
          <w:highlight w:val="none"/>
        </w:rPr>
        <w:t>凡对本次采购提出询问，请按以下方式联系。</w:t>
      </w:r>
    </w:p>
    <w:p>
      <w:pPr>
        <w:pStyle w:val="15"/>
        <w:spacing w:beforeAutospacing="0" w:afterAutospacing="0" w:line="360" w:lineRule="auto"/>
        <w:rPr>
          <w:color w:val="auto"/>
          <w:kern w:val="2"/>
          <w:highlight w:val="none"/>
        </w:rPr>
      </w:pPr>
      <w:r>
        <w:rPr>
          <w:rFonts w:hint="eastAsia"/>
          <w:color w:val="auto"/>
          <w:kern w:val="2"/>
          <w:highlight w:val="none"/>
        </w:rPr>
        <w:t xml:space="preserve">采购人联系人：张磊 </w:t>
      </w:r>
    </w:p>
    <w:p>
      <w:pPr>
        <w:pStyle w:val="15"/>
        <w:spacing w:beforeAutospacing="0" w:afterAutospacing="0" w:line="360" w:lineRule="auto"/>
        <w:rPr>
          <w:color w:val="auto"/>
          <w:kern w:val="2"/>
          <w:highlight w:val="none"/>
        </w:rPr>
      </w:pPr>
      <w:r>
        <w:rPr>
          <w:rFonts w:hint="eastAsia"/>
          <w:color w:val="auto"/>
          <w:kern w:val="2"/>
          <w:highlight w:val="none"/>
        </w:rPr>
        <w:t>联系方式： 18717419000</w:t>
      </w:r>
    </w:p>
    <w:p>
      <w:pPr>
        <w:pStyle w:val="15"/>
        <w:spacing w:beforeAutospacing="0" w:afterAutospacing="0" w:line="360" w:lineRule="auto"/>
        <w:rPr>
          <w:color w:val="auto"/>
          <w:kern w:val="2"/>
          <w:highlight w:val="none"/>
        </w:rPr>
      </w:pPr>
      <w:r>
        <w:rPr>
          <w:rFonts w:hint="eastAsia"/>
          <w:color w:val="auto"/>
          <w:kern w:val="2"/>
          <w:highlight w:val="none"/>
        </w:rPr>
        <w:t>采购项目联系人：乔工</w:t>
      </w:r>
    </w:p>
    <w:p>
      <w:pPr>
        <w:pStyle w:val="15"/>
        <w:spacing w:beforeAutospacing="0" w:afterAutospacing="0" w:line="360" w:lineRule="auto"/>
        <w:rPr>
          <w:color w:val="auto"/>
          <w:kern w:val="2"/>
          <w:highlight w:val="none"/>
        </w:rPr>
      </w:pPr>
      <w:r>
        <w:rPr>
          <w:rFonts w:hint="eastAsia"/>
          <w:color w:val="auto"/>
          <w:kern w:val="2"/>
          <w:highlight w:val="none"/>
        </w:rPr>
        <w:t>联系方式：13992118950</w:t>
      </w:r>
    </w:p>
    <w:p>
      <w:pPr>
        <w:pStyle w:val="15"/>
        <w:spacing w:beforeAutospacing="0" w:afterAutospacing="0" w:line="360" w:lineRule="auto"/>
        <w:rPr>
          <w:color w:val="auto"/>
          <w:kern w:val="2"/>
          <w:highlight w:val="none"/>
        </w:rPr>
      </w:pPr>
      <w:r>
        <w:rPr>
          <w:rFonts w:hint="eastAsia"/>
          <w:color w:val="auto"/>
          <w:kern w:val="2"/>
          <w:highlight w:val="none"/>
        </w:rPr>
        <w:t>采购代理机构开户名称：陕西中振项目咨询有限公司</w:t>
      </w:r>
    </w:p>
    <w:p>
      <w:pPr>
        <w:pStyle w:val="15"/>
        <w:spacing w:beforeAutospacing="0" w:afterAutospacing="0" w:line="360" w:lineRule="auto"/>
        <w:rPr>
          <w:color w:val="auto"/>
          <w:kern w:val="2"/>
          <w:highlight w:val="none"/>
        </w:rPr>
      </w:pPr>
      <w:r>
        <w:rPr>
          <w:rFonts w:hint="eastAsia"/>
          <w:color w:val="auto"/>
          <w:kern w:val="2"/>
          <w:highlight w:val="none"/>
        </w:rPr>
        <w:t>开户行名称：中国建设银行股份有限公司延安南桥支行</w:t>
      </w:r>
    </w:p>
    <w:p>
      <w:pPr>
        <w:spacing w:line="460" w:lineRule="exact"/>
        <w:rPr>
          <w:rFonts w:ascii="宋体" w:hAnsi="宋体" w:cs="宋体"/>
          <w:b/>
          <w:bCs/>
          <w:color w:val="auto"/>
          <w:sz w:val="24"/>
          <w:highlight w:val="none"/>
        </w:rPr>
      </w:pPr>
      <w:r>
        <w:rPr>
          <w:rFonts w:hint="eastAsia" w:ascii="宋体" w:hAnsi="宋体" w:cs="宋体"/>
          <w:color w:val="auto"/>
          <w:sz w:val="24"/>
          <w:highlight w:val="none"/>
        </w:rPr>
        <w:t>账号：6105 0168 3611 0000 0662</w:t>
      </w:r>
    </w:p>
    <w:p>
      <w:pPr>
        <w:jc w:val="center"/>
      </w:pPr>
      <w:r>
        <w:rPr>
          <w:rFonts w:hint="eastAsia" w:ascii="宋体" w:hAnsi="宋体" w:cs="宋体"/>
          <w:b/>
          <w:color w:val="auto"/>
          <w:sz w:val="32"/>
          <w:szCs w:val="32"/>
          <w:highlight w:val="none"/>
        </w:rPr>
        <w:br w:type="page"/>
      </w:r>
      <w:bookmarkStart w:id="4" w:name="_Toc28595"/>
      <w:r>
        <w:rPr>
          <w:rFonts w:hint="eastAsia"/>
          <w:b/>
          <w:bCs/>
          <w:sz w:val="32"/>
          <w:szCs w:val="40"/>
        </w:rPr>
        <w:t>甘泉美水街道办事处垃圾收运车及垃圾桶购买项目变更公告</w:t>
      </w:r>
    </w:p>
    <w:p>
      <w:pPr>
        <w:spacing w:line="480" w:lineRule="auto"/>
        <w:rPr>
          <w:rFonts w:hint="eastAsia"/>
          <w:b/>
          <w:bCs/>
          <w:sz w:val="28"/>
          <w:szCs w:val="28"/>
        </w:rPr>
      </w:pPr>
      <w:r>
        <w:rPr>
          <w:rFonts w:hint="eastAsia"/>
          <w:b/>
          <w:bCs/>
          <w:sz w:val="28"/>
          <w:szCs w:val="28"/>
        </w:rPr>
        <w:t>一、项目基本情况</w:t>
      </w:r>
    </w:p>
    <w:p>
      <w:pPr>
        <w:pStyle w:val="15"/>
        <w:spacing w:before="0" w:beforeAutospacing="0" w:afterLines="100" w:afterAutospacing="0" w:line="360" w:lineRule="auto"/>
        <w:ind w:left="425" w:hanging="425"/>
        <w:rPr>
          <w:rFonts w:hint="eastAsia"/>
          <w:color w:val="auto"/>
          <w:sz w:val="28"/>
          <w:szCs w:val="28"/>
          <w:highlight w:val="none"/>
        </w:rPr>
      </w:pPr>
      <w:r>
        <w:rPr>
          <w:rFonts w:hint="eastAsia"/>
          <w:sz w:val="24"/>
          <w:szCs w:val="24"/>
        </w:rPr>
        <w:t>原公告的采购项目编号</w:t>
      </w:r>
      <w:r>
        <w:rPr>
          <w:rFonts w:hint="eastAsia"/>
          <w:sz w:val="24"/>
          <w:szCs w:val="24"/>
          <w:lang w:eastAsia="zh-CN"/>
        </w:rPr>
        <w:t>：</w:t>
      </w:r>
      <w:r>
        <w:rPr>
          <w:rFonts w:hint="eastAsia"/>
          <w:color w:val="auto"/>
          <w:sz w:val="28"/>
          <w:szCs w:val="28"/>
          <w:highlight w:val="none"/>
        </w:rPr>
        <w:t>ZZZC-202204</w:t>
      </w:r>
    </w:p>
    <w:p>
      <w:pPr>
        <w:pStyle w:val="15"/>
        <w:spacing w:before="0" w:beforeAutospacing="0" w:afterLines="100" w:afterAutospacing="0" w:line="360" w:lineRule="auto"/>
        <w:ind w:left="425" w:hanging="425"/>
        <w:rPr>
          <w:rFonts w:hint="eastAsia"/>
          <w:sz w:val="24"/>
          <w:szCs w:val="24"/>
        </w:rPr>
      </w:pPr>
      <w:r>
        <w:rPr>
          <w:rFonts w:hint="eastAsia"/>
          <w:sz w:val="24"/>
          <w:szCs w:val="24"/>
        </w:rPr>
        <w:t>原公告的采购项目名称：甘泉美水街道办事处垃圾收运车及垃圾桶购买项目</w:t>
      </w:r>
    </w:p>
    <w:p>
      <w:pPr>
        <w:spacing w:line="480" w:lineRule="auto"/>
        <w:rPr>
          <w:rFonts w:hint="eastAsia"/>
          <w:sz w:val="28"/>
          <w:szCs w:val="28"/>
          <w:lang w:val="en-US" w:eastAsia="zh-CN"/>
        </w:rPr>
      </w:pPr>
      <w:r>
        <w:rPr>
          <w:rFonts w:hint="eastAsia"/>
          <w:sz w:val="24"/>
          <w:szCs w:val="24"/>
        </w:rPr>
        <w:t>首次公告日期：2022年07月</w:t>
      </w:r>
      <w:r>
        <w:rPr>
          <w:rFonts w:hint="eastAsia"/>
          <w:sz w:val="24"/>
          <w:szCs w:val="24"/>
          <w:lang w:val="en-US" w:eastAsia="zh-CN"/>
        </w:rPr>
        <w:t>08</w:t>
      </w:r>
      <w:r>
        <w:rPr>
          <w:rFonts w:hint="eastAsia"/>
          <w:sz w:val="24"/>
          <w:szCs w:val="24"/>
        </w:rPr>
        <w:t>日</w:t>
      </w:r>
    </w:p>
    <w:p>
      <w:pPr>
        <w:spacing w:line="480" w:lineRule="auto"/>
        <w:rPr>
          <w:rFonts w:hint="eastAsia"/>
          <w:b/>
          <w:bCs/>
          <w:sz w:val="28"/>
          <w:szCs w:val="28"/>
        </w:rPr>
      </w:pPr>
      <w:r>
        <w:rPr>
          <w:rFonts w:hint="eastAsia"/>
          <w:b/>
          <w:bCs/>
          <w:sz w:val="28"/>
          <w:szCs w:val="28"/>
          <w:lang w:val="en-US" w:eastAsia="zh-CN"/>
        </w:rPr>
        <w:t>二、</w:t>
      </w:r>
      <w:r>
        <w:rPr>
          <w:rFonts w:hint="eastAsia"/>
          <w:b/>
          <w:bCs/>
          <w:sz w:val="28"/>
          <w:szCs w:val="28"/>
        </w:rPr>
        <w:t>更正内容：</w:t>
      </w:r>
    </w:p>
    <w:p>
      <w:pPr>
        <w:spacing w:line="480" w:lineRule="auto"/>
        <w:rPr>
          <w:sz w:val="24"/>
          <w:szCs w:val="24"/>
        </w:rPr>
      </w:pPr>
      <w:r>
        <w:rPr>
          <w:rFonts w:hint="eastAsia"/>
          <w:sz w:val="24"/>
          <w:szCs w:val="24"/>
        </w:rPr>
        <w:t>原投标文件递交截止时间及开标时间和地点:</w:t>
      </w:r>
    </w:p>
    <w:p>
      <w:pPr>
        <w:spacing w:line="480" w:lineRule="auto"/>
        <w:rPr>
          <w:sz w:val="24"/>
          <w:szCs w:val="24"/>
        </w:rPr>
      </w:pPr>
      <w:r>
        <w:rPr>
          <w:rFonts w:hint="eastAsia"/>
          <w:sz w:val="24"/>
          <w:szCs w:val="24"/>
        </w:rPr>
        <w:t>       1、投标文件递交截止时间:2022年07月29日 15时00前</w:t>
      </w:r>
    </w:p>
    <w:p>
      <w:pPr>
        <w:spacing w:line="480" w:lineRule="auto"/>
        <w:rPr>
          <w:sz w:val="24"/>
          <w:szCs w:val="24"/>
        </w:rPr>
      </w:pPr>
      <w:r>
        <w:rPr>
          <w:rFonts w:hint="eastAsia"/>
          <w:sz w:val="24"/>
          <w:szCs w:val="24"/>
          <w:lang w:val="en-US" w:eastAsia="zh-CN"/>
        </w:rPr>
        <w:t>      2、开标时间:2022年07月29日15时</w:t>
      </w:r>
    </w:p>
    <w:p>
      <w:pPr>
        <w:spacing w:line="480" w:lineRule="auto"/>
        <w:rPr>
          <w:sz w:val="24"/>
          <w:szCs w:val="24"/>
        </w:rPr>
      </w:pPr>
      <w:r>
        <w:rPr>
          <w:rFonts w:hint="eastAsia"/>
          <w:sz w:val="24"/>
          <w:szCs w:val="24"/>
          <w:lang w:val="en-US" w:eastAsia="zh-CN"/>
        </w:rPr>
        <w:t>      3、开标地点:延安市公共资源交易中心交易一厅</w:t>
      </w:r>
    </w:p>
    <w:p>
      <w:pPr>
        <w:spacing w:line="480" w:lineRule="auto"/>
        <w:rPr>
          <w:sz w:val="24"/>
          <w:szCs w:val="24"/>
        </w:rPr>
      </w:pPr>
      <w:r>
        <w:rPr>
          <w:rFonts w:hint="eastAsia"/>
          <w:sz w:val="24"/>
          <w:szCs w:val="24"/>
          <w:lang w:val="en-US" w:eastAsia="zh-CN"/>
        </w:rPr>
        <w:t xml:space="preserve">   现投标文件递交截止时间及开标时间和地点便跟为: </w:t>
      </w:r>
    </w:p>
    <w:p>
      <w:pPr>
        <w:spacing w:line="480" w:lineRule="auto"/>
        <w:rPr>
          <w:sz w:val="24"/>
          <w:szCs w:val="24"/>
        </w:rPr>
      </w:pPr>
      <w:r>
        <w:rPr>
          <w:rFonts w:hint="eastAsia"/>
          <w:sz w:val="24"/>
          <w:szCs w:val="24"/>
        </w:rPr>
        <w:t>      1、投标文件递交截止时间:2022年08月12日 15时00前</w:t>
      </w:r>
    </w:p>
    <w:p>
      <w:pPr>
        <w:spacing w:line="480" w:lineRule="auto"/>
        <w:rPr>
          <w:sz w:val="24"/>
          <w:szCs w:val="24"/>
        </w:rPr>
      </w:pPr>
      <w:r>
        <w:rPr>
          <w:rFonts w:hint="eastAsia"/>
          <w:sz w:val="24"/>
          <w:szCs w:val="24"/>
          <w:lang w:val="en-US" w:eastAsia="zh-CN"/>
        </w:rPr>
        <w:t>      2、开标时间:2022年08月12日15时</w:t>
      </w:r>
    </w:p>
    <w:p>
      <w:pPr>
        <w:spacing w:line="480" w:lineRule="auto"/>
        <w:rPr>
          <w:rFonts w:hint="eastAsia" w:ascii="微软雅黑" w:hAnsi="微软雅黑" w:eastAsia="微软雅黑" w:cs="微软雅黑"/>
          <w:i w:val="0"/>
          <w:iCs w:val="0"/>
          <w:caps w:val="0"/>
          <w:color w:val="333333"/>
          <w:spacing w:val="0"/>
          <w:sz w:val="20"/>
          <w:szCs w:val="20"/>
          <w:shd w:val="clear" w:fill="FFFFFF"/>
          <w:vertAlign w:val="baseline"/>
        </w:rPr>
      </w:pPr>
      <w:r>
        <w:rPr>
          <w:rFonts w:hint="eastAsia"/>
          <w:sz w:val="24"/>
          <w:szCs w:val="24"/>
          <w:lang w:val="en-US" w:eastAsia="zh-CN"/>
        </w:rPr>
        <w:t>      3、开标地点:延安市公共资源交易中心交易三厅</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Theme="minorHAnsi" w:hAnsiTheme="minorHAnsi" w:eastAsiaTheme="minorEastAsia" w:cstheme="minorBidi"/>
          <w:b/>
          <w:bCs/>
          <w:kern w:val="2"/>
          <w:sz w:val="28"/>
          <w:szCs w:val="28"/>
          <w:lang w:val="en-US" w:eastAsia="zh-CN" w:bidi="ar-SA"/>
        </w:rPr>
      </w:pPr>
      <w:r>
        <w:rPr>
          <w:rFonts w:hint="eastAsia" w:asciiTheme="minorHAnsi" w:hAnsiTheme="minorHAnsi" w:eastAsiaTheme="minorEastAsia" w:cstheme="minorBidi"/>
          <w:b/>
          <w:bCs/>
          <w:kern w:val="2"/>
          <w:sz w:val="28"/>
          <w:szCs w:val="28"/>
          <w:lang w:val="en-US" w:eastAsia="zh-CN" w:bidi="ar-SA"/>
        </w:rPr>
        <w:t>三、其他内容均不变</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480"/>
        <w:jc w:val="both"/>
        <w:textAlignment w:val="baseline"/>
        <w:rPr>
          <w:rFonts w:hint="default"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其他内容不变</w:t>
      </w:r>
      <w:r>
        <w:rPr>
          <w:rFonts w:hint="eastAsia" w:cstheme="minorBidi"/>
          <w:kern w:val="2"/>
          <w:sz w:val="24"/>
          <w:szCs w:val="24"/>
          <w:lang w:val="en-US" w:eastAsia="zh-CN" w:bidi="ar-SA"/>
        </w:rPr>
        <w:t>。</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480"/>
        <w:jc w:val="both"/>
        <w:textAlignment w:val="baseline"/>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更正日期：2022年07月2</w:t>
      </w:r>
      <w:r>
        <w:rPr>
          <w:rFonts w:hint="eastAsia" w:cstheme="minorBidi"/>
          <w:kern w:val="2"/>
          <w:sz w:val="24"/>
          <w:szCs w:val="24"/>
          <w:lang w:val="en-US" w:eastAsia="zh-CN" w:bidi="ar-SA"/>
        </w:rPr>
        <w:t>8</w:t>
      </w:r>
      <w:r>
        <w:rPr>
          <w:rFonts w:hint="eastAsia" w:asciiTheme="minorHAnsi" w:hAnsiTheme="minorHAnsi" w:eastAsiaTheme="minorEastAsia" w:cstheme="minorBidi"/>
          <w:kern w:val="2"/>
          <w:sz w:val="24"/>
          <w:szCs w:val="24"/>
          <w:lang w:val="en-US" w:eastAsia="zh-CN" w:bidi="ar-SA"/>
        </w:rPr>
        <w:t>日</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right="0"/>
        <w:jc w:val="both"/>
        <w:textAlignment w:val="baseline"/>
        <w:rPr>
          <w:rFonts w:hint="eastAsia" w:asciiTheme="minorHAnsi" w:hAnsiTheme="minorHAnsi" w:eastAsiaTheme="minorEastAsia" w:cstheme="minorBidi"/>
          <w:b/>
          <w:bCs/>
          <w:kern w:val="2"/>
          <w:sz w:val="28"/>
          <w:szCs w:val="28"/>
          <w:lang w:val="en-US" w:eastAsia="zh-CN" w:bidi="ar-SA"/>
        </w:rPr>
      </w:pPr>
      <w:r>
        <w:rPr>
          <w:rFonts w:hint="eastAsia" w:asciiTheme="minorHAnsi" w:hAnsiTheme="minorHAnsi" w:eastAsiaTheme="minorEastAsia" w:cstheme="minorBidi"/>
          <w:b/>
          <w:bCs/>
          <w:kern w:val="2"/>
          <w:sz w:val="28"/>
          <w:szCs w:val="28"/>
          <w:lang w:val="en-US" w:eastAsia="zh-CN" w:bidi="ar-SA"/>
        </w:rPr>
        <w:t>四、凡对本次公告内容提出询问，请按以下方式联系。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textAlignment w:val="baseline"/>
        <w:rPr>
          <w:rFonts w:hint="eastAsia" w:asciiTheme="minorHAnsi" w:hAnsiTheme="minorHAnsi" w:eastAsiaTheme="minorEastAsia" w:cstheme="minorBidi"/>
          <w:b w:val="0"/>
          <w:bCs w:val="0"/>
          <w:kern w:val="2"/>
          <w:sz w:val="24"/>
          <w:szCs w:val="24"/>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textAlignment w:val="baseline"/>
        <w:rPr>
          <w:rFonts w:hint="eastAsia" w:asciiTheme="minorHAnsi" w:hAnsiTheme="minorHAnsi" w:eastAsiaTheme="minorEastAsia" w:cstheme="minorBidi"/>
          <w:b w:val="0"/>
          <w:bCs w:val="0"/>
          <w:kern w:val="2"/>
          <w:sz w:val="24"/>
          <w:szCs w:val="24"/>
          <w:lang w:val="en-US" w:eastAsia="zh-CN" w:bidi="ar-SA"/>
        </w:rPr>
      </w:pPr>
      <w:r>
        <w:rPr>
          <w:rFonts w:hint="eastAsia" w:asciiTheme="minorHAnsi" w:hAnsiTheme="minorHAnsi" w:eastAsiaTheme="minorEastAsia" w:cstheme="minorBidi"/>
          <w:b w:val="0"/>
          <w:bCs w:val="0"/>
          <w:kern w:val="2"/>
          <w:sz w:val="24"/>
          <w:szCs w:val="24"/>
          <w:lang w:val="en-US" w:eastAsia="zh-CN" w:bidi="ar-SA"/>
        </w:rPr>
        <w:t>1、采购人信息</w:t>
      </w:r>
    </w:p>
    <w:p>
      <w:pPr>
        <w:pStyle w:val="15"/>
        <w:spacing w:beforeAutospacing="0" w:afterAutospacing="0" w:line="480" w:lineRule="auto"/>
        <w:ind w:firstLine="480" w:firstLineChars="200"/>
        <w:rPr>
          <w:rFonts w:hint="eastAsia" w:asciiTheme="minorHAnsi" w:hAnsiTheme="minorHAnsi" w:eastAsiaTheme="minorEastAsia" w:cstheme="minorBidi"/>
          <w:b w:val="0"/>
          <w:bCs w:val="0"/>
          <w:kern w:val="2"/>
          <w:sz w:val="24"/>
          <w:szCs w:val="24"/>
          <w:lang w:val="en-US" w:eastAsia="zh-CN" w:bidi="ar-SA"/>
        </w:rPr>
      </w:pPr>
      <w:r>
        <w:rPr>
          <w:rFonts w:hint="eastAsia" w:asciiTheme="minorHAnsi" w:hAnsiTheme="minorHAnsi" w:eastAsiaTheme="minorEastAsia" w:cstheme="minorBidi"/>
          <w:b w:val="0"/>
          <w:bCs w:val="0"/>
          <w:kern w:val="2"/>
          <w:sz w:val="24"/>
          <w:szCs w:val="24"/>
          <w:lang w:val="en-US" w:eastAsia="zh-CN" w:bidi="ar-SA"/>
        </w:rPr>
        <w:t>采购人：甘泉美水街道办事处</w:t>
      </w:r>
    </w:p>
    <w:p>
      <w:pPr>
        <w:pStyle w:val="15"/>
        <w:spacing w:beforeAutospacing="0" w:afterAutospacing="0" w:line="480" w:lineRule="auto"/>
        <w:ind w:firstLine="480" w:firstLineChars="200"/>
        <w:rPr>
          <w:color w:val="auto"/>
          <w:kern w:val="2"/>
          <w:highlight w:val="none"/>
        </w:rPr>
      </w:pPr>
      <w:r>
        <w:rPr>
          <w:rFonts w:hint="eastAsia" w:asciiTheme="minorHAnsi" w:hAnsiTheme="minorHAnsi" w:eastAsiaTheme="minorEastAsia" w:cstheme="minorBidi"/>
          <w:b w:val="0"/>
          <w:bCs w:val="0"/>
          <w:kern w:val="2"/>
          <w:sz w:val="24"/>
          <w:szCs w:val="24"/>
          <w:lang w:val="en-US" w:eastAsia="zh-CN" w:bidi="ar-SA"/>
        </w:rPr>
        <w:t>联系方式： 187174190</w:t>
      </w:r>
      <w:r>
        <w:rPr>
          <w:rFonts w:hint="eastAsia"/>
          <w:color w:val="auto"/>
          <w:kern w:val="2"/>
          <w:highlight w:val="none"/>
        </w:rPr>
        <w:t>00</w:t>
      </w:r>
    </w:p>
    <w:p>
      <w:pPr>
        <w:pStyle w:val="15"/>
        <w:spacing w:beforeAutospacing="0" w:afterAutospacing="0" w:line="480" w:lineRule="auto"/>
        <w:rPr>
          <w:color w:val="auto"/>
          <w:kern w:val="2"/>
          <w:highlight w:val="none"/>
        </w:rPr>
      </w:pPr>
      <w:r>
        <w:rPr>
          <w:rFonts w:hint="eastAsia"/>
          <w:color w:val="auto"/>
          <w:kern w:val="2"/>
          <w:highlight w:val="none"/>
          <w:lang w:val="en-US" w:eastAsia="zh-CN"/>
        </w:rPr>
        <w:t>2、</w:t>
      </w:r>
      <w:r>
        <w:rPr>
          <w:rFonts w:hint="eastAsia"/>
          <w:color w:val="auto"/>
          <w:kern w:val="2"/>
          <w:highlight w:val="none"/>
        </w:rPr>
        <w:t>采购项目联系人：乔工</w:t>
      </w:r>
    </w:p>
    <w:p>
      <w:pPr>
        <w:pStyle w:val="15"/>
        <w:spacing w:beforeAutospacing="0" w:afterAutospacing="0" w:line="480" w:lineRule="auto"/>
        <w:rPr>
          <w:color w:val="auto"/>
          <w:kern w:val="2"/>
          <w:highlight w:val="none"/>
        </w:rPr>
      </w:pPr>
      <w:r>
        <w:rPr>
          <w:rFonts w:hint="eastAsia"/>
          <w:color w:val="auto"/>
          <w:kern w:val="2"/>
          <w:highlight w:val="none"/>
        </w:rPr>
        <w:t>联系方式：13992118950</w:t>
      </w:r>
    </w:p>
    <w:p>
      <w:pPr>
        <w:pStyle w:val="15"/>
        <w:spacing w:beforeAutospacing="0" w:afterAutospacing="0" w:line="480" w:lineRule="auto"/>
        <w:rPr>
          <w:color w:val="auto"/>
          <w:kern w:val="2"/>
          <w:highlight w:val="none"/>
        </w:rPr>
      </w:pPr>
      <w:r>
        <w:rPr>
          <w:rFonts w:hint="eastAsia"/>
          <w:color w:val="auto"/>
          <w:kern w:val="2"/>
          <w:highlight w:val="none"/>
        </w:rPr>
        <w:t>采购代理机构开户名称：陕西中振项目咨询有限公司</w:t>
      </w:r>
    </w:p>
    <w:p/>
    <w:p>
      <w:pPr>
        <w:rPr>
          <w:rFonts w:hint="eastAsia" w:ascii="宋体" w:hAnsi="宋体" w:cs="宋体"/>
          <w:b/>
          <w:color w:val="auto"/>
          <w:sz w:val="32"/>
          <w:szCs w:val="32"/>
          <w:highlight w:val="none"/>
        </w:rPr>
      </w:pPr>
    </w:p>
    <w:p>
      <w:pP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pPr>
        <w:spacing w:line="480" w:lineRule="exact"/>
        <w:jc w:val="center"/>
        <w:outlineLvl w:val="0"/>
        <w:rPr>
          <w:rFonts w:ascii="宋体" w:hAnsi="宋体" w:cs="宋体"/>
          <w:b/>
          <w:color w:val="auto"/>
          <w:sz w:val="32"/>
          <w:szCs w:val="32"/>
          <w:highlight w:val="none"/>
        </w:rPr>
      </w:pPr>
      <w:bookmarkStart w:id="91" w:name="_GoBack"/>
      <w:bookmarkEnd w:id="91"/>
      <w:r>
        <w:rPr>
          <w:rFonts w:hint="eastAsia" w:ascii="宋体" w:hAnsi="宋体" w:cs="宋体"/>
          <w:b/>
          <w:color w:val="auto"/>
          <w:sz w:val="32"/>
          <w:szCs w:val="32"/>
          <w:highlight w:val="none"/>
        </w:rPr>
        <w:t>第二部分 投标单位须知</w:t>
      </w:r>
      <w:bookmarkEnd w:id="4"/>
    </w:p>
    <w:p>
      <w:pPr>
        <w:jc w:val="center"/>
        <w:rPr>
          <w:rFonts w:ascii="宋体" w:hAnsi="宋体" w:cs="宋体"/>
          <w:b/>
          <w:color w:val="auto"/>
          <w:sz w:val="30"/>
          <w:szCs w:val="30"/>
          <w:highlight w:val="none"/>
        </w:rPr>
      </w:pPr>
      <w:r>
        <w:rPr>
          <w:rFonts w:hint="eastAsia" w:ascii="宋体" w:hAnsi="宋体" w:cs="宋体"/>
          <w:b/>
          <w:color w:val="auto"/>
          <w:sz w:val="30"/>
          <w:szCs w:val="30"/>
          <w:highlight w:val="none"/>
        </w:rPr>
        <w:t>一．名词解释</w:t>
      </w:r>
    </w:p>
    <w:bookmarkEnd w:id="0"/>
    <w:bookmarkEnd w:id="1"/>
    <w:bookmarkEnd w:id="2"/>
    <w:p>
      <w:pPr>
        <w:numPr>
          <w:ilvl w:val="0"/>
          <w:numId w:val="4"/>
        </w:numPr>
        <w:tabs>
          <w:tab w:val="left" w:pos="600"/>
          <w:tab w:val="left" w:pos="1140"/>
        </w:tabs>
        <w:spacing w:line="440" w:lineRule="exact"/>
        <w:ind w:left="239" w:leftChars="114" w:firstLine="0"/>
        <w:rPr>
          <w:rFonts w:ascii="宋体" w:hAnsi="宋体" w:cs="宋体"/>
          <w:bCs/>
          <w:color w:val="auto"/>
          <w:sz w:val="24"/>
          <w:highlight w:val="none"/>
        </w:rPr>
      </w:pPr>
      <w:r>
        <w:rPr>
          <w:rFonts w:hint="eastAsia" w:ascii="宋体" w:hAnsi="宋体" w:cs="宋体"/>
          <w:b/>
          <w:bCs/>
          <w:color w:val="auto"/>
          <w:sz w:val="24"/>
          <w:highlight w:val="none"/>
        </w:rPr>
        <w:t>采购人：</w:t>
      </w:r>
      <w:r>
        <w:rPr>
          <w:rFonts w:hint="eastAsia" w:ascii="宋体" w:hAnsi="宋体" w:cs="宋体"/>
          <w:color w:val="auto"/>
          <w:sz w:val="24"/>
          <w:highlight w:val="none"/>
        </w:rPr>
        <w:t>甘泉县美水街道办事处</w:t>
      </w:r>
    </w:p>
    <w:p>
      <w:pPr>
        <w:numPr>
          <w:ilvl w:val="0"/>
          <w:numId w:val="4"/>
        </w:numPr>
        <w:tabs>
          <w:tab w:val="left" w:pos="600"/>
          <w:tab w:val="left" w:pos="1140"/>
        </w:tabs>
        <w:spacing w:line="440" w:lineRule="exact"/>
        <w:ind w:left="239" w:leftChars="114" w:firstLine="0"/>
        <w:rPr>
          <w:rFonts w:ascii="宋体" w:hAnsi="宋体" w:cs="宋体"/>
          <w:bCs/>
          <w:color w:val="auto"/>
          <w:sz w:val="24"/>
          <w:highlight w:val="none"/>
        </w:rPr>
      </w:pPr>
      <w:r>
        <w:rPr>
          <w:rFonts w:hint="eastAsia" w:ascii="宋体" w:hAnsi="宋体" w:cs="宋体"/>
          <w:b/>
          <w:bCs/>
          <w:color w:val="auto"/>
          <w:sz w:val="24"/>
          <w:highlight w:val="none"/>
        </w:rPr>
        <w:t>采购代理机构</w:t>
      </w:r>
      <w:r>
        <w:rPr>
          <w:rFonts w:hint="eastAsia" w:ascii="宋体" w:hAnsi="宋体" w:cs="宋体"/>
          <w:bCs/>
          <w:color w:val="auto"/>
          <w:sz w:val="24"/>
          <w:highlight w:val="none"/>
        </w:rPr>
        <w:t>：陕西中振项目咨询有限公司</w:t>
      </w:r>
    </w:p>
    <w:p>
      <w:pPr>
        <w:numPr>
          <w:ilvl w:val="0"/>
          <w:numId w:val="4"/>
        </w:numPr>
        <w:tabs>
          <w:tab w:val="left" w:pos="600"/>
          <w:tab w:val="left" w:pos="1140"/>
        </w:tabs>
        <w:spacing w:line="440" w:lineRule="exact"/>
        <w:ind w:left="239" w:leftChars="114" w:firstLine="0"/>
        <w:rPr>
          <w:rFonts w:ascii="宋体" w:hAnsi="宋体" w:cs="宋体"/>
          <w:bCs/>
          <w:color w:val="auto"/>
          <w:sz w:val="24"/>
          <w:highlight w:val="none"/>
        </w:rPr>
      </w:pPr>
      <w:r>
        <w:rPr>
          <w:rFonts w:hint="eastAsia" w:ascii="宋体" w:hAnsi="宋体" w:cs="宋体"/>
          <w:b/>
          <w:bCs/>
          <w:color w:val="auto"/>
          <w:sz w:val="24"/>
          <w:highlight w:val="none"/>
        </w:rPr>
        <w:t>投标人</w:t>
      </w:r>
      <w:r>
        <w:rPr>
          <w:rFonts w:hint="eastAsia" w:ascii="宋体" w:hAnsi="宋体" w:cs="宋体"/>
          <w:bCs/>
          <w:color w:val="auto"/>
          <w:sz w:val="24"/>
          <w:highlight w:val="none"/>
        </w:rPr>
        <w:t>：满足本次招标要求、具有相应资质和完成项目能力的投标单位</w:t>
      </w:r>
    </w:p>
    <w:p>
      <w:pPr>
        <w:numPr>
          <w:ilvl w:val="0"/>
          <w:numId w:val="4"/>
        </w:numPr>
        <w:tabs>
          <w:tab w:val="left" w:pos="600"/>
          <w:tab w:val="left" w:pos="1140"/>
        </w:tabs>
        <w:spacing w:line="440" w:lineRule="exact"/>
        <w:ind w:left="239" w:leftChars="114" w:firstLine="0"/>
        <w:rPr>
          <w:rFonts w:ascii="宋体" w:hAnsi="宋体" w:cs="宋体"/>
          <w:bCs/>
          <w:color w:val="auto"/>
          <w:sz w:val="24"/>
          <w:highlight w:val="none"/>
        </w:rPr>
      </w:pPr>
      <w:r>
        <w:rPr>
          <w:rFonts w:hint="eastAsia" w:ascii="宋体" w:hAnsi="宋体" w:cs="宋体"/>
          <w:b/>
          <w:bCs/>
          <w:color w:val="auto"/>
          <w:sz w:val="24"/>
          <w:highlight w:val="none"/>
        </w:rPr>
        <w:t>标书</w:t>
      </w:r>
      <w:r>
        <w:rPr>
          <w:rFonts w:hint="eastAsia" w:ascii="宋体" w:hAnsi="宋体" w:cs="宋体"/>
          <w:bCs/>
          <w:color w:val="auto"/>
          <w:sz w:val="24"/>
          <w:highlight w:val="none"/>
        </w:rPr>
        <w:t>：招标文件与投标文件的统称</w:t>
      </w:r>
    </w:p>
    <w:p>
      <w:pPr>
        <w:numPr>
          <w:ilvl w:val="0"/>
          <w:numId w:val="4"/>
        </w:numPr>
        <w:tabs>
          <w:tab w:val="left" w:pos="600"/>
          <w:tab w:val="left" w:pos="1140"/>
        </w:tabs>
        <w:spacing w:line="440" w:lineRule="exact"/>
        <w:ind w:left="239" w:leftChars="114" w:firstLine="0"/>
        <w:rPr>
          <w:rFonts w:ascii="宋体" w:hAnsi="宋体" w:cs="宋体"/>
          <w:bCs/>
          <w:color w:val="auto"/>
          <w:sz w:val="24"/>
          <w:highlight w:val="none"/>
        </w:rPr>
      </w:pPr>
      <w:r>
        <w:rPr>
          <w:rFonts w:hint="eastAsia" w:ascii="宋体" w:hAnsi="宋体" w:cs="宋体"/>
          <w:bCs/>
          <w:color w:val="auto"/>
          <w:sz w:val="24"/>
          <w:highlight w:val="none"/>
        </w:rPr>
        <w:t>中标人：评标委员会推荐的投标人</w:t>
      </w:r>
    </w:p>
    <w:p>
      <w:pPr>
        <w:numPr>
          <w:ilvl w:val="0"/>
          <w:numId w:val="4"/>
        </w:numPr>
        <w:tabs>
          <w:tab w:val="left" w:pos="600"/>
          <w:tab w:val="left" w:pos="1140"/>
        </w:tabs>
        <w:spacing w:line="440" w:lineRule="exact"/>
        <w:ind w:left="239" w:leftChars="114" w:firstLine="0"/>
        <w:rPr>
          <w:rFonts w:ascii="宋体" w:hAnsi="宋体" w:cs="宋体"/>
          <w:bCs/>
          <w:color w:val="auto"/>
          <w:sz w:val="24"/>
          <w:highlight w:val="none"/>
        </w:rPr>
      </w:pPr>
      <w:r>
        <w:rPr>
          <w:rFonts w:hint="eastAsia" w:ascii="宋体" w:hAnsi="宋体" w:cs="宋体"/>
          <w:bCs/>
          <w:color w:val="auto"/>
          <w:sz w:val="24"/>
          <w:highlight w:val="none"/>
        </w:rPr>
        <w:t>标有“★”记号的条款系指关键性要求条款</w:t>
      </w:r>
    </w:p>
    <w:p>
      <w:pPr>
        <w:spacing w:line="360" w:lineRule="auto"/>
        <w:rPr>
          <w:rFonts w:ascii="宋体" w:hAnsi="宋体" w:cs="宋体"/>
          <w:color w:val="auto"/>
          <w:sz w:val="24"/>
          <w:highlight w:val="none"/>
        </w:rPr>
      </w:pPr>
    </w:p>
    <w:p>
      <w:pPr>
        <w:jc w:val="center"/>
        <w:rPr>
          <w:rFonts w:ascii="宋体" w:hAnsi="宋体" w:cs="宋体"/>
          <w:b/>
          <w:color w:val="auto"/>
          <w:sz w:val="30"/>
          <w:szCs w:val="30"/>
          <w:highlight w:val="none"/>
        </w:rPr>
      </w:pPr>
      <w:r>
        <w:rPr>
          <w:rFonts w:hint="eastAsia" w:ascii="宋体" w:hAnsi="宋体" w:cs="宋体"/>
          <w:b/>
          <w:color w:val="auto"/>
          <w:sz w:val="30"/>
          <w:szCs w:val="30"/>
          <w:highlight w:val="none"/>
        </w:rPr>
        <w:t>二．投标人</w:t>
      </w:r>
    </w:p>
    <w:p>
      <w:pPr>
        <w:spacing w:line="440" w:lineRule="exact"/>
        <w:ind w:left="-122" w:leftChars="-58" w:firstLine="482" w:firstLineChars="200"/>
        <w:rPr>
          <w:rFonts w:ascii="宋体" w:hAnsi="宋体" w:cs="宋体"/>
          <w:b/>
          <w:color w:val="auto"/>
          <w:sz w:val="24"/>
          <w:highlight w:val="none"/>
        </w:rPr>
      </w:pPr>
      <w:r>
        <w:rPr>
          <w:rFonts w:hint="eastAsia" w:ascii="宋体" w:hAnsi="宋体" w:cs="宋体"/>
          <w:b/>
          <w:color w:val="auto"/>
          <w:sz w:val="24"/>
          <w:highlight w:val="none"/>
        </w:rPr>
        <w:t>1.投标单位参加政府采购应当具备下列条件：</w:t>
      </w:r>
    </w:p>
    <w:p>
      <w:pPr>
        <w:spacing w:line="440" w:lineRule="exact"/>
        <w:ind w:left="-122" w:leftChars="-58" w:firstLine="480" w:firstLineChars="200"/>
        <w:rPr>
          <w:rFonts w:ascii="宋体" w:hAnsi="宋体" w:cs="宋体"/>
          <w:color w:val="auto"/>
          <w:sz w:val="24"/>
          <w:highlight w:val="none"/>
        </w:rPr>
      </w:pPr>
      <w:r>
        <w:rPr>
          <w:rFonts w:hint="eastAsia" w:ascii="宋体" w:hAnsi="宋体" w:cs="宋体"/>
          <w:color w:val="auto"/>
          <w:sz w:val="24"/>
          <w:highlight w:val="none"/>
        </w:rPr>
        <w:t>（1）凡具有法人资格，在国内注册的企业、且具较大的经营规模，具备承担投标项目的能力；</w:t>
      </w:r>
    </w:p>
    <w:p>
      <w:pPr>
        <w:spacing w:line="440" w:lineRule="exact"/>
        <w:ind w:left="-122" w:leftChars="-58" w:firstLine="480" w:firstLineChars="200"/>
        <w:rPr>
          <w:rFonts w:ascii="宋体" w:hAnsi="宋体" w:cs="宋体"/>
          <w:color w:val="auto"/>
          <w:sz w:val="24"/>
          <w:highlight w:val="none"/>
        </w:rPr>
      </w:pPr>
      <w:r>
        <w:rPr>
          <w:rFonts w:hint="eastAsia" w:ascii="宋体" w:hAnsi="宋体" w:cs="宋体"/>
          <w:color w:val="auto"/>
          <w:sz w:val="24"/>
          <w:highlight w:val="none"/>
        </w:rPr>
        <w:t>（2）具有独立承担民事责任能力和履行合同所必需的货物；具有可靠的质量保障和售后服务；</w:t>
      </w:r>
    </w:p>
    <w:p>
      <w:pPr>
        <w:spacing w:line="440" w:lineRule="exact"/>
        <w:ind w:left="-122" w:leftChars="-58" w:firstLine="480" w:firstLineChars="200"/>
        <w:rPr>
          <w:rFonts w:ascii="宋体" w:hAnsi="宋体" w:cs="宋体"/>
          <w:color w:val="auto"/>
          <w:sz w:val="24"/>
          <w:highlight w:val="none"/>
        </w:rPr>
      </w:pPr>
      <w:r>
        <w:rPr>
          <w:rFonts w:hint="eastAsia" w:ascii="宋体" w:hAnsi="宋体" w:cs="宋体"/>
          <w:color w:val="auto"/>
          <w:sz w:val="24"/>
          <w:highlight w:val="none"/>
        </w:rPr>
        <w:t>（3）具有良好的商业信誉和健全的财务会计制度；</w:t>
      </w:r>
    </w:p>
    <w:p>
      <w:pPr>
        <w:spacing w:line="440" w:lineRule="exact"/>
        <w:ind w:left="-122" w:leftChars="-58"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pPr>
        <w:spacing w:line="440" w:lineRule="exact"/>
        <w:ind w:left="-122" w:leftChars="-58"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pPr>
        <w:spacing w:line="440" w:lineRule="exact"/>
        <w:ind w:left="-122" w:leftChars="-58" w:firstLine="480" w:firstLineChars="200"/>
        <w:rPr>
          <w:rFonts w:ascii="宋体" w:hAnsi="宋体" w:cs="宋体"/>
          <w:color w:val="auto"/>
          <w:sz w:val="24"/>
          <w:highlight w:val="none"/>
        </w:rPr>
      </w:pPr>
      <w:r>
        <w:rPr>
          <w:rFonts w:hint="eastAsia" w:ascii="宋体" w:hAnsi="宋体" w:cs="宋体"/>
          <w:color w:val="auto"/>
          <w:sz w:val="24"/>
          <w:highlight w:val="none"/>
        </w:rPr>
        <w:t>（6）没有重大经济纠纷；</w:t>
      </w:r>
    </w:p>
    <w:p>
      <w:pPr>
        <w:spacing w:line="440" w:lineRule="exact"/>
        <w:ind w:left="-122" w:leftChars="-58" w:firstLine="480" w:firstLineChars="200"/>
        <w:rPr>
          <w:rFonts w:ascii="宋体" w:hAnsi="宋体" w:cs="宋体"/>
          <w:color w:val="auto"/>
          <w:sz w:val="24"/>
          <w:highlight w:val="none"/>
        </w:rPr>
      </w:pPr>
      <w:r>
        <w:rPr>
          <w:rFonts w:hint="eastAsia" w:ascii="宋体" w:hAnsi="宋体" w:cs="宋体"/>
          <w:color w:val="auto"/>
          <w:sz w:val="24"/>
          <w:highlight w:val="none"/>
        </w:rPr>
        <w:t>（7）法律、行政法规规定的其他条件；</w:t>
      </w:r>
    </w:p>
    <w:p>
      <w:pPr>
        <w:spacing w:line="440" w:lineRule="exact"/>
        <w:ind w:left="-122" w:leftChars="-58" w:firstLine="480" w:firstLineChars="200"/>
        <w:rPr>
          <w:rFonts w:ascii="宋体" w:hAnsi="宋体" w:cs="宋体"/>
          <w:color w:val="auto"/>
          <w:sz w:val="24"/>
          <w:highlight w:val="none"/>
        </w:rPr>
      </w:pPr>
      <w:r>
        <w:rPr>
          <w:rFonts w:hint="eastAsia" w:ascii="宋体" w:hAnsi="宋体" w:cs="宋体"/>
          <w:color w:val="auto"/>
          <w:sz w:val="24"/>
          <w:highlight w:val="none"/>
        </w:rPr>
        <w:t>（8）完全同意并愿意自觉遵守本招标文件中的所有规定和要求；</w:t>
      </w:r>
    </w:p>
    <w:p>
      <w:pPr>
        <w:spacing w:line="312" w:lineRule="auto"/>
        <w:ind w:firstLine="360" w:firstLineChars="150"/>
        <w:rPr>
          <w:rFonts w:ascii="宋体" w:hAnsi="宋体" w:cs="宋体"/>
          <w:color w:val="auto"/>
          <w:sz w:val="24"/>
          <w:highlight w:val="none"/>
        </w:rPr>
      </w:pPr>
      <w:r>
        <w:rPr>
          <w:rFonts w:hint="eastAsia" w:ascii="宋体" w:hAnsi="宋体" w:cs="宋体"/>
          <w:color w:val="auto"/>
          <w:sz w:val="24"/>
          <w:highlight w:val="none"/>
        </w:rPr>
        <w:t>（9）单位负责人为同一人或者存在直接控股、管理关系的不同投标单位，不得参加同一合同项下的政府采购活动。</w:t>
      </w:r>
    </w:p>
    <w:p>
      <w:pPr>
        <w:spacing w:line="312" w:lineRule="auto"/>
        <w:ind w:firstLine="360" w:firstLineChars="150"/>
        <w:rPr>
          <w:rFonts w:ascii="宋体" w:hAnsi="宋体" w:cs="宋体"/>
          <w:color w:val="auto"/>
          <w:sz w:val="24"/>
          <w:highlight w:val="none"/>
        </w:rPr>
      </w:pPr>
      <w:r>
        <w:rPr>
          <w:rFonts w:hint="eastAsia" w:ascii="宋体" w:hAnsi="宋体" w:cs="宋体"/>
          <w:color w:val="auto"/>
          <w:sz w:val="24"/>
          <w:highlight w:val="none"/>
        </w:rPr>
        <w:t>除单一来源采购项目外，为本项目提供前期整体设计、规范编制或者项目管理、监理、检测等服务的投标单位，不得再参加该采购项目的其他活动。</w:t>
      </w:r>
    </w:p>
    <w:p>
      <w:pPr>
        <w:spacing w:line="440" w:lineRule="exact"/>
        <w:ind w:left="-122" w:leftChars="-58" w:firstLine="482" w:firstLineChars="200"/>
        <w:rPr>
          <w:rFonts w:ascii="宋体" w:hAnsi="宋体" w:cs="宋体"/>
          <w:b/>
          <w:color w:val="auto"/>
          <w:sz w:val="24"/>
          <w:highlight w:val="none"/>
        </w:rPr>
      </w:pPr>
      <w:r>
        <w:rPr>
          <w:rFonts w:hint="eastAsia" w:ascii="宋体" w:hAnsi="宋体" w:cs="宋体"/>
          <w:b/>
          <w:color w:val="auto"/>
          <w:sz w:val="24"/>
          <w:highlight w:val="none"/>
        </w:rPr>
        <w:t>2.投标委托</w:t>
      </w:r>
    </w:p>
    <w:p>
      <w:pPr>
        <w:spacing w:line="440" w:lineRule="exact"/>
        <w:ind w:left="-122" w:leftChars="-58" w:firstLine="480" w:firstLineChars="200"/>
        <w:rPr>
          <w:rFonts w:ascii="宋体" w:hAnsi="宋体" w:cs="宋体"/>
          <w:color w:val="auto"/>
          <w:sz w:val="24"/>
          <w:highlight w:val="none"/>
        </w:rPr>
      </w:pPr>
      <w:r>
        <w:rPr>
          <w:rFonts w:hint="eastAsia" w:ascii="宋体" w:hAnsi="宋体" w:cs="宋体"/>
          <w:color w:val="auto"/>
          <w:sz w:val="24"/>
          <w:highlight w:val="none"/>
        </w:rPr>
        <w:t>如投标人代表不是法定代表人，须持有《法定代表人授权书》（原件）。</w:t>
      </w:r>
    </w:p>
    <w:p>
      <w:pPr>
        <w:spacing w:line="440" w:lineRule="exact"/>
        <w:ind w:left="-122" w:leftChars="-58" w:firstLine="482" w:firstLineChars="200"/>
        <w:rPr>
          <w:rFonts w:ascii="宋体" w:hAnsi="宋体" w:cs="宋体"/>
          <w:b/>
          <w:color w:val="auto"/>
          <w:sz w:val="24"/>
          <w:highlight w:val="none"/>
        </w:rPr>
      </w:pPr>
      <w:r>
        <w:rPr>
          <w:rFonts w:hint="eastAsia" w:ascii="宋体" w:hAnsi="宋体" w:cs="宋体"/>
          <w:b/>
          <w:color w:val="auto"/>
          <w:sz w:val="24"/>
          <w:highlight w:val="none"/>
        </w:rPr>
        <w:t>3.投标费用</w:t>
      </w:r>
    </w:p>
    <w:p>
      <w:pPr>
        <w:spacing w:line="440" w:lineRule="exact"/>
        <w:ind w:left="-122" w:leftChars="-58" w:firstLine="480" w:firstLineChars="200"/>
        <w:rPr>
          <w:rFonts w:ascii="宋体" w:hAnsi="宋体" w:cs="宋体"/>
          <w:color w:val="auto"/>
          <w:sz w:val="24"/>
          <w:highlight w:val="none"/>
        </w:rPr>
      </w:pPr>
      <w:r>
        <w:rPr>
          <w:rFonts w:hint="eastAsia" w:ascii="宋体" w:hAnsi="宋体" w:cs="宋体"/>
          <w:color w:val="auto"/>
          <w:sz w:val="24"/>
          <w:highlight w:val="none"/>
        </w:rPr>
        <w:t>投标人自行承担参加投标相关的全部费用，无论投标的结果如何。</w:t>
      </w:r>
    </w:p>
    <w:p>
      <w:pPr>
        <w:pStyle w:val="18"/>
        <w:rPr>
          <w:rFonts w:cs="宋体"/>
          <w:color w:val="auto"/>
          <w:highlight w:val="none"/>
        </w:rPr>
      </w:pPr>
    </w:p>
    <w:p>
      <w:pPr>
        <w:pStyle w:val="18"/>
        <w:rPr>
          <w:rFonts w:cs="宋体"/>
          <w:color w:val="auto"/>
          <w:highlight w:val="none"/>
        </w:rPr>
      </w:pPr>
    </w:p>
    <w:p>
      <w:pPr>
        <w:jc w:val="center"/>
        <w:rPr>
          <w:rFonts w:ascii="宋体" w:hAnsi="宋体" w:cs="宋体"/>
          <w:color w:val="auto"/>
          <w:sz w:val="30"/>
          <w:szCs w:val="30"/>
          <w:highlight w:val="none"/>
        </w:rPr>
      </w:pPr>
      <w:r>
        <w:rPr>
          <w:rFonts w:hint="eastAsia" w:ascii="宋体" w:hAnsi="宋体" w:cs="宋体"/>
          <w:b/>
          <w:color w:val="auto"/>
          <w:sz w:val="30"/>
          <w:szCs w:val="30"/>
          <w:highlight w:val="none"/>
        </w:rPr>
        <w:t>三．招标文件</w:t>
      </w:r>
    </w:p>
    <w:p>
      <w:pPr>
        <w:spacing w:line="336" w:lineRule="auto"/>
        <w:rPr>
          <w:rFonts w:ascii="宋体" w:hAnsi="宋体" w:cs="宋体"/>
          <w:b/>
          <w:color w:val="auto"/>
          <w:sz w:val="24"/>
          <w:highlight w:val="none"/>
        </w:rPr>
      </w:pPr>
      <w:r>
        <w:rPr>
          <w:rFonts w:hint="eastAsia" w:ascii="宋体" w:hAnsi="宋体" w:cs="宋体"/>
          <w:b/>
          <w:color w:val="auto"/>
          <w:sz w:val="24"/>
          <w:highlight w:val="none"/>
        </w:rPr>
        <w:t>1、招标文件</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 xml:space="preserve"> （1）招标文件由招标文件总目录所列内容组成；投标人应详细阅读招标文件中所有的事项、格式、条款和规范要求,在投标文件中对招标文件的各方面都应做出实质性的响应，按照招标文件的要求提交全部资料。</w:t>
      </w:r>
    </w:p>
    <w:p>
      <w:pPr>
        <w:pStyle w:val="15"/>
        <w:spacing w:before="0" w:beforeAutospacing="0" w:after="0" w:afterAutospacing="0" w:line="360" w:lineRule="auto"/>
        <w:ind w:firstLine="360" w:firstLineChars="150"/>
        <w:rPr>
          <w:color w:val="auto"/>
          <w:kern w:val="2"/>
          <w:highlight w:val="none"/>
        </w:rPr>
      </w:pPr>
      <w:r>
        <w:rPr>
          <w:rFonts w:hint="eastAsia"/>
          <w:color w:val="auto"/>
          <w:kern w:val="2"/>
          <w:highlight w:val="none"/>
        </w:rPr>
        <w:t>（2）适用范围</w:t>
      </w:r>
    </w:p>
    <w:p>
      <w:pPr>
        <w:pStyle w:val="15"/>
        <w:spacing w:before="0" w:beforeAutospacing="0" w:after="0" w:afterAutospacing="0" w:line="360" w:lineRule="auto"/>
        <w:ind w:firstLine="360" w:firstLineChars="150"/>
        <w:rPr>
          <w:color w:val="auto"/>
          <w:kern w:val="2"/>
          <w:highlight w:val="none"/>
        </w:rPr>
      </w:pPr>
      <w:r>
        <w:rPr>
          <w:rFonts w:hint="eastAsia"/>
          <w:color w:val="auto"/>
          <w:kern w:val="2"/>
          <w:highlight w:val="none"/>
        </w:rPr>
        <w:t xml:space="preserve">  本次招标依据采购人的采购计划，仅适用于本招标文件中所叙述的项目。</w:t>
      </w:r>
    </w:p>
    <w:p>
      <w:pPr>
        <w:spacing w:line="360" w:lineRule="auto"/>
        <w:ind w:firstLine="360" w:firstLineChars="150"/>
        <w:rPr>
          <w:rFonts w:ascii="宋体" w:hAnsi="宋体" w:cs="宋体"/>
          <w:color w:val="auto"/>
          <w:highlight w:val="none"/>
        </w:rPr>
      </w:pPr>
      <w:r>
        <w:rPr>
          <w:rFonts w:hint="eastAsia" w:ascii="宋体" w:hAnsi="宋体" w:cs="宋体"/>
          <w:color w:val="auto"/>
          <w:sz w:val="24"/>
          <w:highlight w:val="none"/>
        </w:rPr>
        <w:t>（3）招标文件的购买：招标公告发布后，投标人应从采购代理机构购买招标文件，投标人自行转让或复制的招标文件视为无效招标文件；招标文件一经售出，一律不退，仅作为本次招标使用。</w:t>
      </w:r>
    </w:p>
    <w:p>
      <w:pPr>
        <w:rPr>
          <w:rFonts w:ascii="宋体" w:hAnsi="宋体" w:cs="宋体"/>
          <w:b/>
          <w:color w:val="auto"/>
          <w:sz w:val="24"/>
          <w:highlight w:val="none"/>
        </w:rPr>
      </w:pPr>
      <w:r>
        <w:rPr>
          <w:rFonts w:hint="eastAsia" w:ascii="宋体" w:hAnsi="宋体" w:cs="宋体"/>
          <w:b/>
          <w:color w:val="auto"/>
          <w:sz w:val="24"/>
          <w:highlight w:val="none"/>
        </w:rPr>
        <w:t>2、招标文件的澄清及修改</w:t>
      </w:r>
    </w:p>
    <w:p>
      <w:pPr>
        <w:pStyle w:val="15"/>
        <w:wordWrap w:val="0"/>
        <w:spacing w:before="0" w:beforeAutospacing="0" w:after="0" w:afterAutospacing="0" w:line="360" w:lineRule="auto"/>
        <w:ind w:firstLine="480" w:firstLineChars="200"/>
        <w:rPr>
          <w:color w:val="auto"/>
          <w:kern w:val="2"/>
          <w:highlight w:val="none"/>
        </w:rPr>
      </w:pPr>
      <w:r>
        <w:rPr>
          <w:rFonts w:hint="eastAsia"/>
          <w:color w:val="auto"/>
          <w:kern w:val="2"/>
          <w:highlight w:val="none"/>
        </w:rPr>
        <w:t>采购代理机构可对已发出的招标文件进行必要的澄清或者修改，澄清或者修改的内容作为招标文件的组成部分。澄清和修改的内容可能影响投标文件编制的，采购代理机构应当在投标文件截止时间至少</w:t>
      </w:r>
      <w:r>
        <w:rPr>
          <w:rFonts w:hint="eastAsia"/>
          <w:color w:val="auto"/>
          <w:highlight w:val="none"/>
        </w:rPr>
        <w:t>十五日</w:t>
      </w:r>
      <w:r>
        <w:rPr>
          <w:rFonts w:hint="eastAsia"/>
          <w:color w:val="auto"/>
          <w:kern w:val="2"/>
          <w:highlight w:val="none"/>
        </w:rPr>
        <w:t>前，以书面形式通知所有获取招标文件的潜在投标人</w:t>
      </w:r>
      <w:r>
        <w:rPr>
          <w:rFonts w:hint="eastAsia"/>
          <w:color w:val="auto"/>
          <w:highlight w:val="none"/>
          <w:lang w:val="zh-CN"/>
        </w:rPr>
        <w:t>，并对投标人具有约束力。投标人在收到上述通知后，</w:t>
      </w:r>
      <w:r>
        <w:rPr>
          <w:rFonts w:hint="eastAsia"/>
          <w:color w:val="auto"/>
          <w:kern w:val="2"/>
          <w:highlight w:val="none"/>
        </w:rPr>
        <w:t>应当立即以书面形式向采购代理机构确认；不足十五日的，采购代理机构应当顺延提交投标文件的截止时间。</w:t>
      </w:r>
    </w:p>
    <w:p>
      <w:pPr>
        <w:pStyle w:val="15"/>
        <w:spacing w:before="0" w:beforeAutospacing="0" w:after="0" w:afterAutospacing="0" w:line="360" w:lineRule="auto"/>
        <w:rPr>
          <w:b/>
          <w:color w:val="auto"/>
          <w:kern w:val="2"/>
          <w:highlight w:val="none"/>
        </w:rPr>
      </w:pPr>
      <w:r>
        <w:rPr>
          <w:rFonts w:hint="eastAsia"/>
          <w:b/>
          <w:color w:val="auto"/>
          <w:kern w:val="2"/>
          <w:highlight w:val="none"/>
        </w:rPr>
        <w:t>3、质疑提出与答复</w:t>
      </w:r>
    </w:p>
    <w:p>
      <w:pPr>
        <w:pStyle w:val="15"/>
        <w:spacing w:before="0" w:beforeAutospacing="0" w:after="0" w:afterAutospacing="0" w:line="360" w:lineRule="auto"/>
        <w:ind w:firstLine="360" w:firstLineChars="150"/>
        <w:rPr>
          <w:color w:val="auto"/>
          <w:kern w:val="2"/>
          <w:highlight w:val="none"/>
        </w:rPr>
      </w:pPr>
      <w:r>
        <w:rPr>
          <w:rFonts w:hint="eastAsia"/>
          <w:color w:val="auto"/>
          <w:highlight w:val="none"/>
        </w:rPr>
        <w:t>（1）投标人认为采购文件、采购过程、中标结果使自己的权益受到损害的，可以在知道或者应知其权益受到损害之日起七个工作日内，</w:t>
      </w:r>
      <w:r>
        <w:rPr>
          <w:rFonts w:hint="eastAsia"/>
          <w:color w:val="auto"/>
          <w:kern w:val="2"/>
          <w:highlight w:val="none"/>
        </w:rPr>
        <w:t xml:space="preserve">以书面形式向采购代理机构提出（质疑函接收联系人、联系电话和通讯地址等详见招标公告）。 </w:t>
      </w:r>
    </w:p>
    <w:p>
      <w:pPr>
        <w:pStyle w:val="15"/>
        <w:spacing w:before="0" w:beforeAutospacing="0" w:after="0" w:afterAutospacing="0" w:line="360" w:lineRule="auto"/>
        <w:ind w:firstLine="360" w:firstLineChars="150"/>
        <w:rPr>
          <w:color w:val="auto"/>
          <w:kern w:val="2"/>
          <w:highlight w:val="none"/>
        </w:rPr>
      </w:pPr>
      <w:r>
        <w:rPr>
          <w:rFonts w:hint="eastAsia"/>
          <w:color w:val="auto"/>
          <w:highlight w:val="none"/>
        </w:rPr>
        <w:t>（2）质疑投标单位法定代表人提交质疑的，须出具法定代表人资格证明书；委托代理人提交质疑的，必须向其出具授权委托书，授权委托书应当载明代理人的姓名或者名称、代理事项、具体权限、期限和相关事项，由法定代表人签字或者盖章，并加盖单位公章。</w:t>
      </w:r>
    </w:p>
    <w:p>
      <w:pPr>
        <w:snapToGrid w:val="0"/>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质疑函应当包括下列内容：</w:t>
      </w:r>
    </w:p>
    <w:p>
      <w:pPr>
        <w:pStyle w:val="25"/>
        <w:snapToGrid w:val="0"/>
        <w:spacing w:line="360" w:lineRule="auto"/>
        <w:ind w:firstLine="48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zh-CN"/>
        </w:rPr>
        <w:t>投标人</w:t>
      </w:r>
      <w:r>
        <w:rPr>
          <w:rFonts w:hint="eastAsia" w:ascii="宋体" w:hAnsi="宋体" w:cs="宋体"/>
          <w:color w:val="auto"/>
          <w:highlight w:val="none"/>
        </w:rPr>
        <w:t>的姓名或者名称、地址、邮编、联系人及联系电话；</w:t>
      </w:r>
    </w:p>
    <w:p>
      <w:pPr>
        <w:pStyle w:val="25"/>
        <w:snapToGrid w:val="0"/>
        <w:spacing w:line="360" w:lineRule="auto"/>
        <w:ind w:firstLine="480"/>
        <w:rPr>
          <w:rFonts w:ascii="宋体" w:hAnsi="宋体" w:cs="宋体"/>
          <w:color w:val="auto"/>
          <w:highlight w:val="none"/>
        </w:rPr>
      </w:pPr>
      <w:r>
        <w:rPr>
          <w:rFonts w:hint="eastAsia" w:ascii="宋体" w:hAnsi="宋体" w:cs="宋体"/>
          <w:color w:val="auto"/>
          <w:highlight w:val="none"/>
        </w:rPr>
        <w:t>2、质疑项目的名称、编号；</w:t>
      </w:r>
    </w:p>
    <w:p>
      <w:pPr>
        <w:pStyle w:val="25"/>
        <w:snapToGrid w:val="0"/>
        <w:spacing w:line="360" w:lineRule="auto"/>
        <w:ind w:firstLine="48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pPr>
        <w:pStyle w:val="25"/>
        <w:snapToGrid w:val="0"/>
        <w:spacing w:line="360" w:lineRule="auto"/>
        <w:ind w:firstLine="480"/>
        <w:rPr>
          <w:rFonts w:ascii="宋体" w:hAnsi="宋体" w:cs="宋体"/>
          <w:color w:val="auto"/>
          <w:highlight w:val="none"/>
        </w:rPr>
      </w:pPr>
      <w:r>
        <w:rPr>
          <w:rFonts w:hint="eastAsia" w:ascii="宋体" w:hAnsi="宋体" w:cs="宋体"/>
          <w:color w:val="auto"/>
          <w:highlight w:val="none"/>
        </w:rPr>
        <w:t>4、事实依据；</w:t>
      </w:r>
    </w:p>
    <w:p>
      <w:pPr>
        <w:pStyle w:val="25"/>
        <w:snapToGrid w:val="0"/>
        <w:spacing w:line="360" w:lineRule="auto"/>
        <w:ind w:firstLine="480"/>
        <w:rPr>
          <w:rFonts w:ascii="宋体" w:hAnsi="宋体" w:cs="宋体"/>
          <w:color w:val="auto"/>
          <w:highlight w:val="none"/>
        </w:rPr>
      </w:pPr>
      <w:r>
        <w:rPr>
          <w:rFonts w:hint="eastAsia" w:ascii="宋体" w:hAnsi="宋体" w:cs="宋体"/>
          <w:color w:val="auto"/>
          <w:highlight w:val="none"/>
        </w:rPr>
        <w:t>5、必要的法律依据；</w:t>
      </w:r>
    </w:p>
    <w:p>
      <w:pPr>
        <w:pStyle w:val="25"/>
        <w:snapToGrid w:val="0"/>
        <w:spacing w:line="360" w:lineRule="auto"/>
        <w:ind w:firstLine="480"/>
        <w:rPr>
          <w:rFonts w:ascii="宋体" w:hAnsi="宋体" w:cs="宋体"/>
          <w:color w:val="auto"/>
          <w:highlight w:val="none"/>
        </w:rPr>
      </w:pPr>
      <w:r>
        <w:rPr>
          <w:rFonts w:hint="eastAsia" w:ascii="宋体" w:hAnsi="宋体" w:cs="宋体"/>
          <w:color w:val="auto"/>
          <w:highlight w:val="none"/>
        </w:rPr>
        <w:t xml:space="preserve">6、提出质疑的日期。 </w:t>
      </w:r>
    </w:p>
    <w:p>
      <w:pPr>
        <w:pStyle w:val="25"/>
        <w:snapToGrid w:val="0"/>
        <w:spacing w:line="360" w:lineRule="auto"/>
        <w:ind w:firstLine="480"/>
        <w:rPr>
          <w:rFonts w:ascii="宋体" w:hAnsi="宋体" w:cs="宋体"/>
          <w:color w:val="auto"/>
          <w:szCs w:val="24"/>
          <w:highlight w:val="none"/>
        </w:rPr>
      </w:pPr>
      <w:r>
        <w:rPr>
          <w:rFonts w:hint="eastAsia" w:ascii="宋体" w:hAnsi="宋体" w:cs="宋体"/>
          <w:color w:val="auto"/>
          <w:szCs w:val="24"/>
          <w:highlight w:val="none"/>
        </w:rPr>
        <w:t>备注：</w:t>
      </w:r>
      <w:r>
        <w:rPr>
          <w:rFonts w:hint="eastAsia" w:ascii="宋体" w:hAnsi="宋体" w:cs="宋体"/>
          <w:color w:val="auto"/>
          <w:highlight w:val="none"/>
          <w:lang w:val="zh-CN"/>
        </w:rPr>
        <w:t>投标人</w:t>
      </w:r>
      <w:r>
        <w:rPr>
          <w:rFonts w:hint="eastAsia" w:ascii="宋体" w:hAnsi="宋体" w:cs="宋体"/>
          <w:color w:val="auto"/>
          <w:szCs w:val="24"/>
          <w:highlight w:val="none"/>
        </w:rPr>
        <w:t>须在法定质疑期内一次性提出针对同一采购程序环节的质疑。</w:t>
      </w:r>
    </w:p>
    <w:p>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（3）质疑有以下情形之一的，采购代理机构不予受理：</w:t>
      </w:r>
    </w:p>
    <w:p>
      <w:pPr>
        <w:pStyle w:val="25"/>
        <w:snapToGrid w:val="0"/>
        <w:spacing w:line="360" w:lineRule="auto"/>
        <w:ind w:firstLine="480"/>
        <w:rPr>
          <w:rFonts w:ascii="宋体" w:hAnsi="宋体" w:cs="宋体"/>
          <w:color w:val="auto"/>
          <w:szCs w:val="24"/>
          <w:highlight w:val="none"/>
        </w:rPr>
      </w:pPr>
      <w:r>
        <w:rPr>
          <w:rFonts w:hint="eastAsia" w:ascii="宋体" w:hAnsi="宋体" w:cs="宋体"/>
          <w:color w:val="auto"/>
          <w:szCs w:val="24"/>
          <w:highlight w:val="none"/>
        </w:rPr>
        <w:t>1、未按规定程序和渠道提出质疑的；</w:t>
      </w:r>
    </w:p>
    <w:p>
      <w:pPr>
        <w:pStyle w:val="25"/>
        <w:snapToGrid w:val="0"/>
        <w:spacing w:line="360" w:lineRule="auto"/>
        <w:ind w:firstLine="480"/>
        <w:rPr>
          <w:rFonts w:ascii="宋体" w:hAnsi="宋体" w:cs="宋体"/>
          <w:color w:val="auto"/>
          <w:szCs w:val="24"/>
          <w:highlight w:val="none"/>
        </w:rPr>
      </w:pPr>
      <w:r>
        <w:rPr>
          <w:rFonts w:hint="eastAsia" w:ascii="宋体" w:hAnsi="宋体" w:cs="宋体"/>
          <w:color w:val="auto"/>
          <w:szCs w:val="24"/>
          <w:highlight w:val="none"/>
        </w:rPr>
        <w:t xml:space="preserve">2、超过法定质疑期限的； </w:t>
      </w:r>
    </w:p>
    <w:p>
      <w:pPr>
        <w:pStyle w:val="25"/>
        <w:snapToGrid w:val="0"/>
        <w:spacing w:line="360" w:lineRule="auto"/>
        <w:ind w:firstLine="480"/>
        <w:rPr>
          <w:rFonts w:ascii="宋体" w:hAnsi="宋体" w:cs="宋体"/>
          <w:color w:val="auto"/>
          <w:szCs w:val="24"/>
          <w:highlight w:val="none"/>
        </w:rPr>
      </w:pPr>
      <w:r>
        <w:rPr>
          <w:rFonts w:hint="eastAsia" w:ascii="宋体" w:hAnsi="宋体" w:cs="宋体"/>
          <w:color w:val="auto"/>
          <w:szCs w:val="24"/>
          <w:highlight w:val="none"/>
        </w:rPr>
        <w:t>3、书面质疑的形式和内容不符合上述要求的；</w:t>
      </w:r>
    </w:p>
    <w:p>
      <w:pPr>
        <w:pStyle w:val="25"/>
        <w:snapToGrid w:val="0"/>
        <w:spacing w:line="360" w:lineRule="auto"/>
        <w:ind w:firstLine="480"/>
        <w:rPr>
          <w:rFonts w:ascii="宋体" w:hAnsi="宋体" w:cs="宋体"/>
          <w:color w:val="auto"/>
          <w:szCs w:val="24"/>
          <w:highlight w:val="none"/>
        </w:rPr>
      </w:pPr>
      <w:r>
        <w:rPr>
          <w:rFonts w:hint="eastAsia" w:ascii="宋体" w:hAnsi="宋体" w:cs="宋体"/>
          <w:color w:val="auto"/>
          <w:szCs w:val="24"/>
          <w:highlight w:val="none"/>
        </w:rPr>
        <w:t xml:space="preserve">4、提出的质疑事项已经明确答复的； </w:t>
      </w:r>
    </w:p>
    <w:p>
      <w:pPr>
        <w:pStyle w:val="25"/>
        <w:snapToGrid w:val="0"/>
        <w:spacing w:line="360" w:lineRule="auto"/>
        <w:ind w:firstLine="480"/>
        <w:rPr>
          <w:rFonts w:ascii="宋体" w:hAnsi="宋体" w:cs="宋体"/>
          <w:color w:val="auto"/>
          <w:szCs w:val="24"/>
          <w:highlight w:val="none"/>
        </w:rPr>
      </w:pPr>
      <w:r>
        <w:rPr>
          <w:rFonts w:hint="eastAsia" w:ascii="宋体" w:hAnsi="宋体" w:cs="宋体"/>
          <w:color w:val="auto"/>
          <w:szCs w:val="24"/>
          <w:highlight w:val="none"/>
        </w:rPr>
        <w:t>5、法律法规规定的其他不予受理的条件。</w:t>
      </w:r>
    </w:p>
    <w:p>
      <w:pPr>
        <w:pStyle w:val="15"/>
        <w:spacing w:before="0" w:beforeAutospacing="0" w:after="0" w:afterAutospacing="0" w:line="360" w:lineRule="auto"/>
        <w:ind w:firstLine="360" w:firstLineChars="150"/>
        <w:rPr>
          <w:color w:val="auto"/>
          <w:highlight w:val="none"/>
        </w:rPr>
      </w:pPr>
      <w:r>
        <w:rPr>
          <w:rFonts w:hint="eastAsia"/>
          <w:color w:val="auto"/>
          <w:highlight w:val="none"/>
        </w:rPr>
        <w:t>（4）</w:t>
      </w:r>
      <w:r>
        <w:rPr>
          <w:rFonts w:hint="eastAsia"/>
          <w:color w:val="auto"/>
          <w:kern w:val="2"/>
          <w:highlight w:val="none"/>
        </w:rPr>
        <w:t>采购代理机构应当在收到质疑函后</w:t>
      </w:r>
      <w:r>
        <w:rPr>
          <w:rFonts w:hint="eastAsia"/>
          <w:color w:val="auto"/>
          <w:highlight w:val="none"/>
        </w:rPr>
        <w:t>七个工作日内做出书面答复。答复内容同时通知与处理结果有关的投标人，但答复内容不得涉及投标人的商业秘密。</w:t>
      </w:r>
    </w:p>
    <w:p>
      <w:pPr>
        <w:rPr>
          <w:rFonts w:ascii="宋体" w:hAnsi="宋体" w:cs="宋体"/>
          <w:b/>
          <w:color w:val="auto"/>
          <w:sz w:val="24"/>
          <w:highlight w:val="none"/>
        </w:rPr>
      </w:pPr>
      <w:r>
        <w:rPr>
          <w:rFonts w:hint="eastAsia" w:ascii="宋体" w:hAnsi="宋体" w:cs="宋体"/>
          <w:b/>
          <w:color w:val="auto"/>
          <w:sz w:val="24"/>
          <w:highlight w:val="none"/>
        </w:rPr>
        <w:t>4、投标的处理依据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评标委员会有权对在投标过程中出现的一切问题，根据《中华人民共和国政府采购法》、《中华人民共和国政府采购实施条例》和《政府采购公开招标采购方式管理暂行办法》的条款，本着公开、公平、公正的原则进行处理。</w:t>
      </w:r>
    </w:p>
    <w:p>
      <w:pPr>
        <w:rPr>
          <w:rFonts w:ascii="宋体" w:hAnsi="宋体" w:cs="宋体"/>
          <w:b/>
          <w:color w:val="auto"/>
          <w:sz w:val="24"/>
          <w:highlight w:val="none"/>
        </w:rPr>
      </w:pPr>
      <w:r>
        <w:rPr>
          <w:rFonts w:hint="eastAsia" w:ascii="宋体" w:hAnsi="宋体" w:cs="宋体"/>
          <w:b/>
          <w:color w:val="auto"/>
          <w:sz w:val="24"/>
          <w:highlight w:val="none"/>
        </w:rPr>
        <w:t>5、解释权归属</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本次投标文件的解释权归采购代理机构。</w:t>
      </w:r>
    </w:p>
    <w:p>
      <w:pPr>
        <w:jc w:val="center"/>
        <w:rPr>
          <w:rFonts w:ascii="宋体" w:hAnsi="宋体" w:cs="宋体"/>
          <w:b/>
          <w:color w:val="auto"/>
          <w:sz w:val="30"/>
          <w:szCs w:val="30"/>
          <w:highlight w:val="none"/>
        </w:rPr>
      </w:pPr>
      <w:r>
        <w:rPr>
          <w:rFonts w:hint="eastAsia" w:ascii="宋体" w:hAnsi="宋体" w:cs="宋体"/>
          <w:b/>
          <w:color w:val="auto"/>
          <w:sz w:val="30"/>
          <w:szCs w:val="30"/>
          <w:highlight w:val="none"/>
        </w:rPr>
        <w:t>四．招标要求</w:t>
      </w:r>
    </w:p>
    <w:p>
      <w:pPr>
        <w:ind w:firstLine="480"/>
        <w:rPr>
          <w:rFonts w:ascii="宋体" w:hAnsi="宋体" w:cs="宋体"/>
          <w:b/>
          <w:bCs/>
          <w:color w:val="auto"/>
          <w:sz w:val="24"/>
          <w:highlight w:val="none"/>
        </w:rPr>
      </w:pPr>
      <w:r>
        <w:rPr>
          <w:rFonts w:hint="eastAsia" w:ascii="宋体" w:hAnsi="宋体" w:cs="宋体"/>
          <w:b/>
          <w:bCs/>
          <w:color w:val="auto"/>
          <w:sz w:val="24"/>
          <w:highlight w:val="none"/>
        </w:rPr>
        <w:t>1、招标文件内容</w:t>
      </w:r>
    </w:p>
    <w:p>
      <w:pPr>
        <w:kinsoku w:val="0"/>
        <w:spacing w:line="360" w:lineRule="auto"/>
        <w:ind w:firstLine="480" w:firstLineChars="200"/>
        <w:rPr>
          <w:rFonts w:ascii="宋体" w:hAnsi="宋体" w:cs="宋体"/>
          <w:color w:val="auto"/>
          <w:spacing w:val="-6"/>
          <w:sz w:val="24"/>
          <w:highlight w:val="none"/>
        </w:rPr>
      </w:pPr>
      <w:r>
        <w:rPr>
          <w:rFonts w:hint="eastAsia" w:ascii="宋体" w:hAnsi="宋体" w:cs="宋体"/>
          <w:color w:val="auto"/>
          <w:sz w:val="24"/>
          <w:highlight w:val="none"/>
        </w:rPr>
        <w:t>本次招标分为一个标包：供应商不得将其子目再行分解或只投其中的一部分内容，否则投标无效；开标、阅标、评标、定标、签订合同均以标段为单位进行。</w:t>
      </w:r>
    </w:p>
    <w:p>
      <w:pPr>
        <w:ind w:firstLine="480"/>
        <w:rPr>
          <w:rFonts w:ascii="宋体" w:hAnsi="宋体" w:cs="宋体"/>
          <w:color w:val="auto"/>
          <w:sz w:val="24"/>
          <w:highlight w:val="none"/>
        </w:rPr>
      </w:pPr>
      <w:r>
        <w:rPr>
          <w:rFonts w:hint="eastAsia" w:ascii="宋体" w:hAnsi="宋体" w:cs="宋体"/>
          <w:b/>
          <w:bCs/>
          <w:color w:val="auto"/>
          <w:sz w:val="24"/>
          <w:highlight w:val="none"/>
        </w:rPr>
        <w:t>2、供应商须提交以下资格文件：（提供原件或者加盖鲜章的复印件，原件备查）</w:t>
      </w:r>
    </w:p>
    <w:p>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（1）具有独立承担民事责任能力的法人或其他组织，提供合法有效的统一社会信用代码的营业执照（附年度报告书）或事业单位法人证书等国家规定的相关证明，自然人参与的提供其身份证明； </w:t>
      </w:r>
    </w:p>
    <w:p>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（2）法定代表人授权书（附法定代表人身份证复印件）及被授权人身份证（法定代表人直接参加只须提供法定代表人身份证）； </w:t>
      </w:r>
    </w:p>
    <w:p>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（3）供应商提供2021年度的财务审计报告(成立时间至提交投标文件截止时间不足一年的可提供成立后任意时段的资产负债表)或其基本存款账户开户银行出具的资信证明及基本存款账户开户信息；</w:t>
      </w:r>
    </w:p>
    <w:p>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（4）税收缴纳证明：提供已缴纳的本年度连续三个月缴税凭证，依法免税的供应商应提供相关文件证明；</w:t>
      </w:r>
    </w:p>
    <w:p>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（5）社会保障资金缴纳证明：提供已缴纳的本年度连续三个月的社会保障资金缴存证明或社保机构开具的社会保险参保缴费情况证明；依法不需要缴纳社会保障资金的应提供相关文件证明；</w:t>
      </w:r>
    </w:p>
    <w:p>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6）供应商不得为“信用中国”失信惩戒对象和行政处罚对象；不得为“中国政府采购网”政府采购严重违法失信行为记录名单中被财政部门禁止参加政府采购活动的供应商（提供网站截图并加盖供应商公章）； </w:t>
      </w:r>
    </w:p>
    <w:p>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（7）参加政府采购活动近三年内，在经营活动中没有重大违法记录声明函；</w:t>
      </w:r>
    </w:p>
    <w:p>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（8）本项目不接受联合体投标。</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以上资格证明文件中(1)-(</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)项为必备资质，缺少一项或某项达不到要求，其投标均无效。若证件的有效期已过，且发证机关未统一换证，须提供发证主管机关的证明文件，否则按无效证明对待。</w:t>
      </w:r>
    </w:p>
    <w:p>
      <w:pPr>
        <w:kinsoku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3、投标文件的编制</w:t>
      </w:r>
    </w:p>
    <w:p>
      <w:pPr>
        <w:kinsoku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投标文件必须根据招标文件提供的内容及格式编制，并对招标文件做出实质性响应；具体内容包括：</w:t>
      </w:r>
    </w:p>
    <w:p>
      <w:pPr>
        <w:pStyle w:val="8"/>
        <w:spacing w:line="360" w:lineRule="auto"/>
        <w:ind w:firstLine="360" w:firstLineChars="150"/>
        <w:rPr>
          <w:rFonts w:hAnsi="宋体" w:cs="宋体"/>
          <w:color w:val="auto"/>
          <w:sz w:val="24"/>
          <w:szCs w:val="24"/>
          <w:highlight w:val="none"/>
        </w:rPr>
      </w:pPr>
      <w:r>
        <w:rPr>
          <w:rFonts w:hint="eastAsia" w:hAnsi="宋体" w:cs="宋体"/>
          <w:color w:val="auto"/>
          <w:sz w:val="24"/>
          <w:szCs w:val="24"/>
          <w:highlight w:val="none"/>
        </w:rPr>
        <w:t>（1）投标函</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（2）开标一览表（唱标报告）</w:t>
      </w:r>
    </w:p>
    <w:p>
      <w:pPr>
        <w:pStyle w:val="8"/>
        <w:spacing w:line="360" w:lineRule="auto"/>
        <w:ind w:firstLine="360" w:firstLineChars="150"/>
        <w:rPr>
          <w:rFonts w:hAnsi="宋体" w:cs="宋体"/>
          <w:color w:val="auto"/>
          <w:sz w:val="24"/>
          <w:szCs w:val="24"/>
          <w:highlight w:val="none"/>
        </w:rPr>
      </w:pPr>
      <w:r>
        <w:rPr>
          <w:rFonts w:hint="eastAsia" w:hAnsi="宋体" w:cs="宋体"/>
          <w:color w:val="auto"/>
          <w:sz w:val="24"/>
          <w:szCs w:val="24"/>
          <w:highlight w:val="none"/>
        </w:rPr>
        <w:t>（3）分项报价表</w:t>
      </w:r>
    </w:p>
    <w:p>
      <w:pPr>
        <w:pStyle w:val="8"/>
        <w:spacing w:line="360" w:lineRule="auto"/>
        <w:ind w:firstLine="360" w:firstLineChars="150"/>
        <w:rPr>
          <w:rFonts w:hAnsi="宋体" w:cs="宋体"/>
          <w:color w:val="auto"/>
          <w:sz w:val="24"/>
          <w:szCs w:val="24"/>
          <w:highlight w:val="none"/>
        </w:rPr>
      </w:pPr>
      <w:r>
        <w:rPr>
          <w:rFonts w:hint="eastAsia" w:hAnsi="宋体" w:cs="宋体"/>
          <w:color w:val="auto"/>
          <w:sz w:val="24"/>
          <w:szCs w:val="24"/>
          <w:highlight w:val="none"/>
        </w:rPr>
        <w:t>（4）法定代表人证明书与授权书</w:t>
      </w:r>
    </w:p>
    <w:p>
      <w:pPr>
        <w:pStyle w:val="8"/>
        <w:spacing w:line="360" w:lineRule="auto"/>
        <w:ind w:firstLine="360" w:firstLineChars="150"/>
        <w:rPr>
          <w:rFonts w:hAnsi="宋体" w:cs="宋体"/>
          <w:color w:val="auto"/>
          <w:sz w:val="24"/>
          <w:szCs w:val="24"/>
          <w:highlight w:val="none"/>
        </w:rPr>
      </w:pPr>
      <w:r>
        <w:rPr>
          <w:rFonts w:hint="eastAsia" w:hAnsi="宋体" w:cs="宋体"/>
          <w:color w:val="auto"/>
          <w:sz w:val="24"/>
          <w:szCs w:val="24"/>
          <w:highlight w:val="none"/>
        </w:rPr>
        <w:t>（5）供应商资格证明文件</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（6）技术方案</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（7）承诺书</w:t>
      </w:r>
    </w:p>
    <w:p>
      <w:pPr>
        <w:ind w:firstLine="480"/>
        <w:rPr>
          <w:rFonts w:ascii="宋体" w:hAnsi="宋体" w:cs="宋体"/>
          <w:b/>
          <w:bCs/>
          <w:color w:val="auto"/>
          <w:sz w:val="24"/>
          <w:highlight w:val="none"/>
        </w:rPr>
      </w:pPr>
      <w:r>
        <w:rPr>
          <w:rFonts w:hint="eastAsia" w:ascii="宋体" w:hAnsi="宋体" w:cs="宋体"/>
          <w:b/>
          <w:bCs/>
          <w:color w:val="auto"/>
          <w:sz w:val="24"/>
          <w:highlight w:val="none"/>
        </w:rPr>
        <w:t>4、投标报价</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（1）投标报价是指完成</w:t>
      </w:r>
      <w:r>
        <w:rPr>
          <w:rFonts w:hint="eastAsia" w:ascii="宋体" w:hAnsi="宋体" w:cs="宋体"/>
          <w:color w:val="auto"/>
          <w:kern w:val="0"/>
          <w:sz w:val="24"/>
          <w:highlight w:val="none"/>
        </w:rPr>
        <w:t>本项目服务</w:t>
      </w:r>
      <w:r>
        <w:rPr>
          <w:rFonts w:hint="eastAsia" w:ascii="宋体" w:hAnsi="宋体" w:cs="宋体"/>
          <w:color w:val="auto"/>
          <w:sz w:val="24"/>
          <w:highlight w:val="none"/>
        </w:rPr>
        <w:t>过程中发生的全部费用。用以招标文件的内容和要求作为投标依据；</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（2）供应商应在投标文件中的开标一览表（唱标报告）上，标明服务的供应价等其它费用；任何有选择的报价不予接受；</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（3）投标货币：人民币；单位：元；</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（4）开标一览表应有供应商公章（鲜章）及法定代表人或被授权人的签字；</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（5）投标报价表中标明的价格，在合同执行过程中，不得以任何理由变更；</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（6）凡因供应商对招标文件阅读不深、理解不透、误解、疏漏、或因市场行情了解不清造成的后果和风险均由供应商自负；</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（7）最低报价不是中标的唯一依据。</w:t>
      </w:r>
    </w:p>
    <w:p>
      <w:pPr>
        <w:ind w:firstLine="480"/>
        <w:rPr>
          <w:rFonts w:ascii="宋体" w:hAnsi="宋体" w:cs="宋体"/>
          <w:b/>
          <w:bCs/>
          <w:color w:val="auto"/>
          <w:sz w:val="24"/>
          <w:highlight w:val="none"/>
        </w:rPr>
      </w:pPr>
      <w:r>
        <w:rPr>
          <w:rFonts w:hint="eastAsia" w:ascii="宋体" w:hAnsi="宋体" w:cs="宋体"/>
          <w:b/>
          <w:bCs/>
          <w:color w:val="auto"/>
          <w:sz w:val="24"/>
          <w:highlight w:val="none"/>
        </w:rPr>
        <w:t>5、投标保证金</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本项目不收取投标保证金。</w:t>
      </w:r>
    </w:p>
    <w:p>
      <w:pPr>
        <w:ind w:firstLine="480"/>
        <w:rPr>
          <w:rFonts w:ascii="宋体" w:hAnsi="宋体" w:cs="宋体"/>
          <w:b/>
          <w:bCs/>
          <w:color w:val="auto"/>
          <w:sz w:val="24"/>
          <w:highlight w:val="none"/>
        </w:rPr>
      </w:pPr>
      <w:r>
        <w:rPr>
          <w:rFonts w:hint="eastAsia" w:ascii="宋体" w:hAnsi="宋体" w:cs="宋体"/>
          <w:b/>
          <w:bCs/>
          <w:color w:val="auto"/>
          <w:sz w:val="24"/>
          <w:highlight w:val="none"/>
        </w:rPr>
        <w:t>6、投标文件的有效期</w:t>
      </w:r>
    </w:p>
    <w:p>
      <w:pPr>
        <w:pStyle w:val="26"/>
        <w:spacing w:line="360" w:lineRule="auto"/>
        <w:ind w:firstLine="480"/>
        <w:rPr>
          <w:rFonts w:ascii="宋体" w:hAnsi="宋体" w:cs="宋体"/>
          <w:color w:val="auto"/>
          <w:kern w:val="2"/>
          <w:sz w:val="24"/>
          <w:szCs w:val="24"/>
          <w:highlight w:val="none"/>
        </w:rPr>
      </w:pPr>
      <w:r>
        <w:rPr>
          <w:rFonts w:hint="eastAsia" w:ascii="宋体" w:hAnsi="宋体" w:cs="宋体"/>
          <w:color w:val="auto"/>
          <w:sz w:val="24"/>
          <w:szCs w:val="24"/>
          <w:highlight w:val="none"/>
        </w:rPr>
        <w:t>投标文件有效期为</w:t>
      </w:r>
      <w:r>
        <w:rPr>
          <w:rFonts w:hint="eastAsia" w:ascii="宋体" w:hAnsi="宋体" w:cs="宋体"/>
          <w:color w:val="auto"/>
          <w:kern w:val="2"/>
          <w:sz w:val="24"/>
          <w:szCs w:val="24"/>
          <w:highlight w:val="none"/>
        </w:rPr>
        <w:t>自开标之日起算一百二十个日历日；投标文件有效期短于规定的投标有效期，按无效文件处理。中标人的投标文件有效期延长至合同执行完毕。</w:t>
      </w:r>
    </w:p>
    <w:p>
      <w:pPr>
        <w:ind w:firstLine="480"/>
        <w:rPr>
          <w:rFonts w:ascii="宋体" w:hAnsi="宋体" w:cs="宋体"/>
          <w:b/>
          <w:bCs/>
          <w:color w:val="auto"/>
          <w:sz w:val="24"/>
          <w:highlight w:val="none"/>
        </w:rPr>
      </w:pPr>
      <w:r>
        <w:rPr>
          <w:rFonts w:hint="eastAsia" w:ascii="宋体" w:hAnsi="宋体" w:cs="宋体"/>
          <w:b/>
          <w:bCs/>
          <w:color w:val="auto"/>
          <w:sz w:val="24"/>
          <w:highlight w:val="none"/>
        </w:rPr>
        <w:t>7、投标文件的签署及规定</w:t>
      </w:r>
    </w:p>
    <w:p>
      <w:pPr>
        <w:pStyle w:val="26"/>
        <w:spacing w:line="360" w:lineRule="auto"/>
        <w:ind w:firstLine="480"/>
        <w:rPr>
          <w:rFonts w:ascii="宋体" w:hAnsi="宋体" w:cs="宋体"/>
          <w:color w:val="auto"/>
          <w:kern w:val="2"/>
          <w:sz w:val="24"/>
          <w:szCs w:val="24"/>
          <w:highlight w:val="none"/>
        </w:rPr>
      </w:pPr>
      <w:r>
        <w:rPr>
          <w:rFonts w:hint="eastAsia" w:ascii="宋体" w:hAnsi="宋体" w:cs="宋体"/>
          <w:color w:val="auto"/>
          <w:kern w:val="2"/>
          <w:sz w:val="24"/>
          <w:szCs w:val="24"/>
          <w:highlight w:val="none"/>
        </w:rPr>
        <w:t>（1）供应商须依据招标文件内容和投标文件格式的要求编制投标文件；</w:t>
      </w:r>
    </w:p>
    <w:p>
      <w:pPr>
        <w:pStyle w:val="26"/>
        <w:spacing w:line="360" w:lineRule="auto"/>
        <w:ind w:firstLine="480"/>
        <w:rPr>
          <w:rFonts w:ascii="宋体" w:hAnsi="宋体" w:cs="宋体"/>
          <w:color w:val="auto"/>
          <w:kern w:val="2"/>
          <w:sz w:val="24"/>
          <w:szCs w:val="24"/>
          <w:highlight w:val="none"/>
        </w:rPr>
      </w:pPr>
      <w:r>
        <w:rPr>
          <w:rFonts w:hint="eastAsia" w:ascii="宋体" w:hAnsi="宋体" w:cs="宋体"/>
          <w:color w:val="auto"/>
          <w:kern w:val="2"/>
          <w:sz w:val="24"/>
          <w:szCs w:val="24"/>
          <w:highlight w:val="none"/>
        </w:rPr>
        <w:t>（2）投标文件的正本和所有的副本均需打印或用不褪色的蓝（黑）墨水填写，注明“正本”、“副本”、“资格证明文件”字样。统一装订、编码，在每一页的正下方清楚标明共几页、第几页等字样；</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（3）本次招标需提交投标文件</w:t>
      </w:r>
      <w:r>
        <w:rPr>
          <w:rFonts w:hint="eastAsia" w:ascii="宋体" w:hAnsi="宋体" w:cs="宋体"/>
          <w:b/>
          <w:color w:val="auto"/>
          <w:sz w:val="24"/>
          <w:highlight w:val="none"/>
        </w:rPr>
        <w:t>共伍份，其中正本壹份，副本肆份，资格证明文件一份（需单独胶装），开标一览表一份（单独封装），电子版投标文件提供PDF格式一份，Word格式一份，用（U盘）各拷贝一份;</w:t>
      </w:r>
    </w:p>
    <w:p>
      <w:pPr>
        <w:pStyle w:val="26"/>
        <w:spacing w:line="360" w:lineRule="auto"/>
        <w:ind w:firstLine="480"/>
        <w:rPr>
          <w:rFonts w:ascii="宋体" w:hAnsi="宋体" w:cs="宋体"/>
          <w:color w:val="auto"/>
          <w:kern w:val="2"/>
          <w:sz w:val="24"/>
          <w:szCs w:val="24"/>
          <w:highlight w:val="none"/>
        </w:rPr>
      </w:pPr>
      <w:r>
        <w:rPr>
          <w:rFonts w:hint="eastAsia" w:ascii="宋体" w:hAnsi="宋体" w:cs="宋体"/>
          <w:color w:val="auto"/>
          <w:kern w:val="2"/>
          <w:sz w:val="24"/>
          <w:szCs w:val="24"/>
          <w:highlight w:val="none"/>
        </w:rPr>
        <w:t>（4）供应商在投标文件中需逐页加盖公章（鲜章），并按招标文件要求加盖公章、签字；</w:t>
      </w:r>
    </w:p>
    <w:p>
      <w:pPr>
        <w:pStyle w:val="26"/>
        <w:spacing w:line="360" w:lineRule="auto"/>
        <w:ind w:firstLine="480"/>
        <w:rPr>
          <w:rFonts w:ascii="宋体" w:hAnsi="宋体" w:cs="宋体"/>
          <w:color w:val="auto"/>
          <w:kern w:val="2"/>
          <w:sz w:val="24"/>
          <w:szCs w:val="24"/>
          <w:highlight w:val="none"/>
        </w:rPr>
      </w:pPr>
      <w:r>
        <w:rPr>
          <w:rFonts w:hint="eastAsia" w:ascii="宋体" w:hAnsi="宋体" w:cs="宋体"/>
          <w:color w:val="auto"/>
          <w:kern w:val="2"/>
          <w:sz w:val="24"/>
          <w:szCs w:val="24"/>
          <w:highlight w:val="none"/>
        </w:rPr>
        <w:t>（5）供应商名称应填写全称，同时加盖公章（鲜章）；</w:t>
      </w:r>
    </w:p>
    <w:p>
      <w:pPr>
        <w:pStyle w:val="26"/>
        <w:spacing w:line="360" w:lineRule="auto"/>
        <w:ind w:firstLine="480"/>
        <w:rPr>
          <w:rFonts w:ascii="宋体" w:hAnsi="宋体" w:cs="宋体"/>
          <w:color w:val="auto"/>
          <w:kern w:val="2"/>
          <w:sz w:val="24"/>
          <w:szCs w:val="24"/>
          <w:highlight w:val="none"/>
        </w:rPr>
      </w:pPr>
      <w:r>
        <w:rPr>
          <w:rFonts w:hint="eastAsia" w:ascii="宋体" w:hAnsi="宋体" w:cs="宋体"/>
          <w:color w:val="auto"/>
          <w:kern w:val="2"/>
          <w:sz w:val="24"/>
          <w:szCs w:val="24"/>
          <w:highlight w:val="none"/>
        </w:rPr>
        <w:t>（6）投标文件的任何行间插字、涂改和增删，必须由法定代表人或被授权人在改动处旁签字方为有效；</w:t>
      </w:r>
    </w:p>
    <w:p>
      <w:pPr>
        <w:pStyle w:val="26"/>
        <w:spacing w:line="360" w:lineRule="auto"/>
        <w:ind w:firstLine="480"/>
        <w:rPr>
          <w:rFonts w:ascii="宋体" w:hAnsi="宋体" w:cs="宋体"/>
          <w:color w:val="auto"/>
          <w:kern w:val="2"/>
          <w:sz w:val="24"/>
          <w:szCs w:val="24"/>
          <w:highlight w:val="none"/>
        </w:rPr>
      </w:pPr>
      <w:r>
        <w:rPr>
          <w:rFonts w:hint="eastAsia" w:ascii="宋体" w:hAnsi="宋体" w:cs="宋体"/>
          <w:color w:val="auto"/>
          <w:kern w:val="2"/>
          <w:sz w:val="24"/>
          <w:szCs w:val="24"/>
          <w:highlight w:val="none"/>
        </w:rPr>
        <w:t>（7）投标文件因字迹潦草或表达不清所引起的后果由供应商负责。</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8、文字要求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本次招标只接受简体中文文字的投标文件。</w:t>
      </w:r>
    </w:p>
    <w:p>
      <w:pPr>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五．投标文件密封、递交</w:t>
      </w:r>
    </w:p>
    <w:p>
      <w:pPr>
        <w:ind w:firstLine="480"/>
        <w:rPr>
          <w:rFonts w:ascii="宋体" w:hAnsi="宋体" w:cs="宋体"/>
          <w:b/>
          <w:bCs/>
          <w:color w:val="auto"/>
          <w:sz w:val="24"/>
          <w:highlight w:val="none"/>
        </w:rPr>
      </w:pPr>
      <w:r>
        <w:rPr>
          <w:rFonts w:hint="eastAsia" w:ascii="宋体" w:hAnsi="宋体" w:cs="宋体"/>
          <w:b/>
          <w:bCs/>
          <w:color w:val="auto"/>
          <w:sz w:val="24"/>
          <w:highlight w:val="none"/>
        </w:rPr>
        <w:t>1、投标文件的密封及标记</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pacing w:val="6"/>
          <w:sz w:val="24"/>
          <w:highlight w:val="none"/>
        </w:rPr>
        <w:t>投标文件</w:t>
      </w:r>
      <w:r>
        <w:rPr>
          <w:rFonts w:hint="eastAsia" w:ascii="宋体" w:hAnsi="宋体" w:cs="宋体"/>
          <w:color w:val="auto"/>
          <w:sz w:val="24"/>
          <w:highlight w:val="none"/>
        </w:rPr>
        <w:t>的封装：</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供应商应将投标响应文件的正本、副本、资质证明文件、开标一览表、投标文件电子版分别用单独的封袋密封（封袋不得有破损），在封袋上标明“正本”、“副本”“资质证明文件”、“开标一览表”、投标文件电子版”字样，封袋应加贴封条，并在封线处加盖投标供应商公章及法人章，封袋正面要粘贴标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封袋正面标识式样（参见格式）。</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（2）如果供应商未按上述要求密封及加写标记，误投或过早启封的投标文件，出现此类情况的投标文件，采购代理机构将拒绝接收，并退回供应商。采购代理机构对投标文件的误投和提前启封概不负责。</w:t>
      </w:r>
    </w:p>
    <w:p>
      <w:pPr>
        <w:ind w:firstLine="480"/>
        <w:rPr>
          <w:rFonts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pacing w:val="6"/>
          <w:sz w:val="24"/>
          <w:highlight w:val="none"/>
        </w:rPr>
        <w:t>投标文件递交</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（1）供应商必须在招标文件规定的开标时间和地点，将全部投标文件递交至采购代理机构项目承办人；</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（2）采购代理机构项目承办人在招标文件规定的投标文件递交截止时间前，只负责投标文件的接收、清点、造册登记工作，并请递交人签字确认，对其有效性不负任何责任；</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（3）采购代理机构在宣布递交投标文件时间截止之后，拒绝接收任何人送达、递交的投标文件；</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（4）采购代理机构对投标文件在邮寄过程中的遗失或损坏不负责任；</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（5）无论</w:t>
      </w:r>
      <w:r>
        <w:rPr>
          <w:rFonts w:hint="eastAsia" w:ascii="宋体" w:hAnsi="宋体" w:cs="宋体"/>
          <w:color w:val="auto"/>
          <w:spacing w:val="6"/>
          <w:sz w:val="24"/>
          <w:highlight w:val="none"/>
        </w:rPr>
        <w:t>供应商</w:t>
      </w:r>
      <w:r>
        <w:rPr>
          <w:rFonts w:hint="eastAsia" w:ascii="宋体" w:hAnsi="宋体" w:cs="宋体"/>
          <w:color w:val="auto"/>
          <w:sz w:val="24"/>
          <w:highlight w:val="none"/>
        </w:rPr>
        <w:t>中标与否，其</w:t>
      </w:r>
      <w:r>
        <w:rPr>
          <w:rFonts w:hint="eastAsia" w:ascii="宋体" w:hAnsi="宋体" w:cs="宋体"/>
          <w:color w:val="auto"/>
          <w:spacing w:val="6"/>
          <w:sz w:val="24"/>
          <w:highlight w:val="none"/>
        </w:rPr>
        <w:t>投标文件</w:t>
      </w:r>
      <w:r>
        <w:rPr>
          <w:rFonts w:hint="eastAsia" w:ascii="宋体" w:hAnsi="宋体" w:cs="宋体"/>
          <w:color w:val="auto"/>
          <w:sz w:val="24"/>
          <w:highlight w:val="none"/>
        </w:rPr>
        <w:t>恕不退还，投标文件由采购人负责妥善保管。</w:t>
      </w:r>
    </w:p>
    <w:p>
      <w:pPr>
        <w:ind w:firstLine="480"/>
        <w:rPr>
          <w:rFonts w:ascii="宋体" w:hAnsi="宋体" w:cs="宋体"/>
          <w:b/>
          <w:bCs/>
          <w:color w:val="auto"/>
          <w:sz w:val="24"/>
          <w:highlight w:val="none"/>
        </w:rPr>
      </w:pPr>
      <w:r>
        <w:rPr>
          <w:rFonts w:hint="eastAsia" w:ascii="宋体" w:hAnsi="宋体" w:cs="宋体"/>
          <w:b/>
          <w:bCs/>
          <w:color w:val="auto"/>
          <w:sz w:val="24"/>
          <w:highlight w:val="none"/>
        </w:rPr>
        <w:t>3、投标截止时间</w:t>
      </w:r>
    </w:p>
    <w:p>
      <w:pPr>
        <w:kinsoku w:val="0"/>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（1）供应商</w:t>
      </w:r>
      <w:r>
        <w:rPr>
          <w:rFonts w:hint="eastAsia" w:ascii="宋体" w:hAnsi="宋体" w:cs="宋体"/>
          <w:color w:val="auto"/>
          <w:spacing w:val="6"/>
          <w:sz w:val="24"/>
          <w:highlight w:val="none"/>
        </w:rPr>
        <w:t>必须在招标文件规定的递交截止时间之前递交投标文件，</w:t>
      </w:r>
      <w:r>
        <w:rPr>
          <w:rFonts w:hint="eastAsia" w:ascii="宋体" w:hAnsi="宋体" w:cs="宋体"/>
          <w:color w:val="auto"/>
          <w:sz w:val="24"/>
          <w:highlight w:val="none"/>
        </w:rPr>
        <w:t>采购代理机构在截止时间后拒绝接收任何投标文件。</w:t>
      </w:r>
    </w:p>
    <w:p>
      <w:pPr>
        <w:wordWrap w:val="0"/>
        <w:topLinePunct/>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（2）因采购人推迟投标截止时间时，采购代理机构应以书面或传真的形式,通知所有供应商；在这种情况下，采购代理机构和供应商的权利和义务将受到新的截止期的约束。</w:t>
      </w:r>
    </w:p>
    <w:p>
      <w:pPr>
        <w:ind w:firstLine="480"/>
        <w:rPr>
          <w:rFonts w:ascii="宋体" w:hAnsi="宋体" w:cs="宋体"/>
          <w:b/>
          <w:bCs/>
          <w:color w:val="auto"/>
          <w:sz w:val="24"/>
          <w:highlight w:val="none"/>
        </w:rPr>
      </w:pPr>
      <w:r>
        <w:rPr>
          <w:rFonts w:hint="eastAsia" w:ascii="宋体" w:hAnsi="宋体" w:cs="宋体"/>
          <w:b/>
          <w:bCs/>
          <w:color w:val="auto"/>
          <w:sz w:val="24"/>
          <w:highlight w:val="none"/>
        </w:rPr>
        <w:t>4、投标文件的修改和撤回</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（1）投标文件递交后，如果供应商提出书面修改和撤回投标文件要求，在投标截止时间前以书面形式送达采购代理机构，采购代理机构可以予以接受，但不退还投标文件；</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（2）供应商修改投标文件的书面材料，须密封送达采购代理机构，修改或补充的内容应按招标文件要求签署、盖章、密封、标记，并作为投标文件的组成部分；</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（3）撤回投标文件应以书面的形式通知采购代理机构；</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（4）在投标截止时间后到招标文件规定的投标有效期满之间的这段时间内，供应商不得撤回其投标文件，如有发生，其投标保证金将被没收；</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（5）供应商在投标文件递交截止时间后，不得对其投标文件做任何修改。</w:t>
      </w:r>
    </w:p>
    <w:p>
      <w:pPr>
        <w:ind w:firstLine="602" w:firstLineChars="200"/>
        <w:jc w:val="center"/>
        <w:rPr>
          <w:rFonts w:ascii="宋体" w:hAnsi="宋体" w:cs="宋体"/>
          <w:b/>
          <w:bCs/>
          <w:color w:val="auto"/>
          <w:sz w:val="30"/>
          <w:szCs w:val="30"/>
          <w:highlight w:val="none"/>
        </w:rPr>
      </w:pPr>
    </w:p>
    <w:p>
      <w:pPr>
        <w:ind w:firstLine="602" w:firstLineChars="20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六．开标、评标、定标</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1、开标</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（1）采购代理机构按招标文件规定的时间、地点组织公开开标大会。</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（2）开标大会由采购代理机构主持，采购人参会人员、投标人代表及有关工作人员参加，参加开标的代表应签名报到，以证明其出席。</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3）开标时，由投标人或者其推选的代表检查投标文件的密封情况，经确认无误后，由采购代理机构工作人员当众拆封，以公开唱价的形式将开标一览表（报价表）的内容公布，宣布投标人名称、投标价格和招标文件中规定的需要宣布的其他内容，采购代理机构指定专人负责记录，由参加开标的各投标人代表和相关工作人员签字确认后并存档备案。</w:t>
      </w:r>
    </w:p>
    <w:p>
      <w:pPr>
        <w:tabs>
          <w:tab w:val="left" w:pos="1478"/>
        </w:tabs>
        <w:spacing w:line="360" w:lineRule="auto"/>
        <w:ind w:firstLine="120" w:firstLineChars="50"/>
        <w:rPr>
          <w:rFonts w:ascii="宋体" w:hAnsi="宋体" w:cs="宋体"/>
          <w:b/>
          <w:color w:val="auto"/>
          <w:sz w:val="24"/>
          <w:highlight w:val="none"/>
        </w:rPr>
      </w:pPr>
      <w:r>
        <w:rPr>
          <w:rFonts w:hint="eastAsia" w:ascii="宋体" w:hAnsi="宋体" w:cs="宋体"/>
          <w:b/>
          <w:color w:val="auto"/>
          <w:sz w:val="24"/>
          <w:highlight w:val="none"/>
        </w:rPr>
        <w:t>2、评标委员会组成与职责</w:t>
      </w:r>
      <w:r>
        <w:rPr>
          <w:rFonts w:hint="eastAsia" w:ascii="宋体" w:hAnsi="宋体" w:cs="宋体"/>
          <w:b/>
          <w:color w:val="auto"/>
          <w:sz w:val="24"/>
          <w:highlight w:val="none"/>
        </w:rPr>
        <w:tab/>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2.1为确保评标工作公开、公平、公正，依法成立评标委员会。评标委员会由采购人代表及评审专家组成，成员人数为5人以上单数，其中评审专家不得少于成员总数的三分之二，</w:t>
      </w:r>
      <w:r>
        <w:rPr>
          <w:rFonts w:hint="eastAsia" w:ascii="宋体" w:hAnsi="宋体" w:cs="宋体"/>
          <w:color w:val="auto"/>
          <w:spacing w:val="6"/>
          <w:sz w:val="24"/>
          <w:highlight w:val="none"/>
        </w:rPr>
        <w:t>采购预算金额在1000万元以上、技术复杂的项目或者社会影响较大的项目，评标委员会成员应当为7人以上。</w:t>
      </w:r>
      <w:r>
        <w:rPr>
          <w:rFonts w:hint="eastAsia" w:ascii="宋体" w:hAnsi="宋体" w:cs="宋体"/>
          <w:color w:val="auto"/>
          <w:sz w:val="24"/>
          <w:highlight w:val="none"/>
        </w:rPr>
        <w:t>专家名单由有关人员从省级以上的财政部门设立的政府采购评审专家库中随机抽取，评标委员会成员应当遵守并履行下列责任和义务：</w:t>
      </w:r>
    </w:p>
    <w:p>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A、要严格遵守政府采购相关法律制度，依法履行各自职责，公正、客观、审慎地组织和参与评审工作；</w:t>
      </w:r>
    </w:p>
    <w:p>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B、审查、评价投标文件是否符合招标文件的商务、技术等实质性要求；</w:t>
      </w:r>
    </w:p>
    <w:p>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C、要求投标人对投标文件有关事项作出澄清或说明；</w:t>
      </w:r>
    </w:p>
    <w:p>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D、按招标文件规定的评审方法和标准，对投标文件进行比较和评价；对投标人的客观评分项的评分应当一致；</w:t>
      </w:r>
    </w:p>
    <w:p>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E、要依法独立评审，按照招标文件的要求和评标标准进行评标，推荐中标候选人名单，对评审意见承担个人责任；</w:t>
      </w:r>
    </w:p>
    <w:p>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 xml:space="preserve">F、对需要共同认定的事项存在争议的，按照少数服从多数的原则做出结论。持不同意见的评审委员会成员应当在评审报告上签署不同意见并说明理由，否则视为同意； </w:t>
      </w:r>
    </w:p>
    <w:p>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G、对评审情况以及在评审过程中获悉的国家秘密、商业秘密负有保密责任；</w:t>
      </w:r>
    </w:p>
    <w:p>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H、向采购人、采购代理机构或者有关部门报告评标中发现的违法行为；</w:t>
      </w:r>
    </w:p>
    <w:p>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I、配合采购人、采购代理机构答复投标人提出的质疑；</w:t>
      </w:r>
    </w:p>
    <w:p>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J、配合财政部门处理投诉工作。</w:t>
      </w:r>
    </w:p>
    <w:p>
      <w:pPr>
        <w:pStyle w:val="15"/>
        <w:shd w:val="clear" w:color="auto" w:fill="FFFFFF"/>
        <w:spacing w:before="0" w:beforeAutospacing="0" w:after="0" w:afterAutospacing="0" w:line="360" w:lineRule="auto"/>
        <w:ind w:firstLine="480" w:firstLineChars="200"/>
        <w:rPr>
          <w:bCs/>
          <w:color w:val="auto"/>
          <w:kern w:val="2"/>
          <w:highlight w:val="none"/>
        </w:rPr>
      </w:pPr>
      <w:r>
        <w:rPr>
          <w:rFonts w:hint="eastAsia"/>
          <w:bCs/>
          <w:color w:val="auto"/>
          <w:kern w:val="2"/>
          <w:highlight w:val="none"/>
        </w:rPr>
        <w:t>对技术复杂、专业性强的采购项目，通过随机方式难以确定合适评审专家的，经主管预算单位同意，采购人或采购代理机构可以自行选定相应专业领域的评审专家。</w:t>
      </w:r>
    </w:p>
    <w:p>
      <w:pPr>
        <w:spacing w:line="360" w:lineRule="auto"/>
        <w:ind w:left="120" w:leftChars="57" w:firstLine="360" w:firstLineChars="150"/>
        <w:rPr>
          <w:rFonts w:ascii="宋体" w:hAnsi="宋体" w:cs="宋体"/>
          <w:color w:val="auto"/>
          <w:sz w:val="24"/>
          <w:highlight w:val="none"/>
        </w:rPr>
      </w:pPr>
      <w:r>
        <w:rPr>
          <w:rFonts w:hint="eastAsia" w:ascii="宋体" w:hAnsi="宋体" w:cs="宋体"/>
          <w:color w:val="auto"/>
          <w:sz w:val="24"/>
          <w:highlight w:val="none"/>
        </w:rPr>
        <w:t>2.2评委会成员到位后，推荐一名评审专家担任评标组长，并由评标组长牵头组织该项目评标工作，采购人授权的评审专家，不得担任评标组长。</w:t>
      </w:r>
    </w:p>
    <w:p>
      <w:pPr>
        <w:spacing w:line="360" w:lineRule="auto"/>
        <w:ind w:left="120" w:leftChars="57" w:firstLine="360" w:firstLineChars="150"/>
        <w:rPr>
          <w:rFonts w:ascii="宋体" w:hAnsi="宋体" w:cs="宋体"/>
          <w:color w:val="auto"/>
          <w:sz w:val="24"/>
          <w:highlight w:val="none"/>
        </w:rPr>
      </w:pPr>
      <w:r>
        <w:rPr>
          <w:rFonts w:hint="eastAsia" w:ascii="宋体" w:hAnsi="宋体" w:cs="宋体"/>
          <w:color w:val="auto"/>
          <w:sz w:val="24"/>
          <w:highlight w:val="none"/>
        </w:rPr>
        <w:t>2.3评委会成员有下列情形之一的，应当回避：</w:t>
      </w:r>
    </w:p>
    <w:p>
      <w:pPr>
        <w:spacing w:line="360" w:lineRule="auto"/>
        <w:ind w:left="120" w:leftChars="57" w:firstLine="360" w:firstLineChars="150"/>
        <w:rPr>
          <w:rFonts w:ascii="宋体" w:hAnsi="宋体" w:cs="宋体"/>
          <w:color w:val="auto"/>
          <w:sz w:val="24"/>
          <w:highlight w:val="none"/>
        </w:rPr>
      </w:pPr>
      <w:r>
        <w:rPr>
          <w:rFonts w:hint="eastAsia" w:ascii="宋体" w:hAnsi="宋体" w:cs="宋体"/>
          <w:color w:val="auto"/>
          <w:sz w:val="24"/>
          <w:highlight w:val="none"/>
        </w:rPr>
        <w:t>（1）采购人或投标人主要负责人的近亲属；</w:t>
      </w:r>
    </w:p>
    <w:p>
      <w:pPr>
        <w:spacing w:line="360" w:lineRule="auto"/>
        <w:ind w:left="120" w:leftChars="57" w:firstLine="360" w:firstLineChars="150"/>
        <w:rPr>
          <w:rFonts w:ascii="宋体" w:hAnsi="宋体" w:cs="宋体"/>
          <w:color w:val="auto"/>
          <w:sz w:val="24"/>
          <w:highlight w:val="none"/>
        </w:rPr>
      </w:pPr>
      <w:r>
        <w:rPr>
          <w:rFonts w:hint="eastAsia" w:ascii="宋体" w:hAnsi="宋体" w:cs="宋体"/>
          <w:color w:val="auto"/>
          <w:sz w:val="24"/>
          <w:highlight w:val="none"/>
        </w:rPr>
        <w:t>（2）与投标人有经济利益关系，可能影响对投标公正评审的；</w:t>
      </w:r>
    </w:p>
    <w:p>
      <w:pPr>
        <w:spacing w:line="360" w:lineRule="auto"/>
        <w:ind w:left="120" w:leftChars="57" w:firstLine="360" w:firstLineChars="150"/>
        <w:rPr>
          <w:rFonts w:ascii="宋体" w:hAnsi="宋体" w:cs="宋体"/>
          <w:color w:val="auto"/>
          <w:sz w:val="24"/>
          <w:highlight w:val="none"/>
        </w:rPr>
      </w:pPr>
      <w:r>
        <w:rPr>
          <w:rFonts w:hint="eastAsia" w:ascii="宋体" w:hAnsi="宋体" w:cs="宋体"/>
          <w:color w:val="auto"/>
          <w:sz w:val="24"/>
          <w:highlight w:val="none"/>
        </w:rPr>
        <w:t>（3）曾因在招标、评标以及其他与招标投标有关活动中从事违法行为而受过行政处罚或刑事处罚的。</w:t>
      </w:r>
    </w:p>
    <w:p>
      <w:pPr>
        <w:spacing w:line="360" w:lineRule="auto"/>
        <w:ind w:left="120" w:leftChars="57" w:firstLine="360" w:firstLineChars="150"/>
        <w:rPr>
          <w:rFonts w:ascii="宋体" w:hAnsi="宋体" w:cs="宋体"/>
          <w:color w:val="auto"/>
          <w:sz w:val="24"/>
          <w:highlight w:val="none"/>
        </w:rPr>
      </w:pPr>
      <w:r>
        <w:rPr>
          <w:rFonts w:hint="eastAsia" w:ascii="宋体" w:hAnsi="宋体" w:cs="宋体"/>
          <w:color w:val="auto"/>
          <w:sz w:val="24"/>
          <w:highlight w:val="none"/>
        </w:rPr>
        <w:t>2.4 评委会成员名单在中标结果公告前，应当保密。</w:t>
      </w:r>
    </w:p>
    <w:p>
      <w:pPr>
        <w:spacing w:line="440" w:lineRule="exact"/>
        <w:ind w:left="-122" w:leftChars="-58" w:firstLine="482" w:firstLineChars="200"/>
        <w:rPr>
          <w:rFonts w:ascii="宋体" w:hAnsi="宋体" w:cs="宋体"/>
          <w:b/>
          <w:color w:val="auto"/>
          <w:sz w:val="24"/>
          <w:highlight w:val="none"/>
        </w:rPr>
      </w:pPr>
      <w:r>
        <w:rPr>
          <w:rFonts w:hint="eastAsia" w:ascii="宋体" w:hAnsi="宋体" w:cs="宋体"/>
          <w:b/>
          <w:color w:val="auto"/>
          <w:sz w:val="24"/>
          <w:highlight w:val="none"/>
        </w:rPr>
        <w:t>3.投标人资格审查</w:t>
      </w:r>
    </w:p>
    <w:p>
      <w:pPr>
        <w:overflowPunct w:val="0"/>
        <w:adjustRightInd w:val="0"/>
        <w:snapToGrid w:val="0"/>
        <w:spacing w:line="500" w:lineRule="exact"/>
        <w:ind w:left="420"/>
        <w:rPr>
          <w:rFonts w:ascii="宋体" w:hAnsi="宋体" w:cs="宋体"/>
          <w:color w:val="auto"/>
          <w:kern w:val="0"/>
          <w:sz w:val="24"/>
          <w:highlight w:val="none"/>
        </w:rPr>
      </w:pPr>
      <w:r>
        <w:rPr>
          <w:rFonts w:hint="eastAsia" w:ascii="宋体" w:hAnsi="宋体" w:cs="宋体"/>
          <w:color w:val="auto"/>
          <w:kern w:val="0"/>
          <w:sz w:val="24"/>
          <w:highlight w:val="none"/>
        </w:rPr>
        <w:t>3.1 投标人的资格性审查</w:t>
      </w:r>
    </w:p>
    <w:p>
      <w:pPr>
        <w:overflowPunct w:val="0"/>
        <w:adjustRightInd w:val="0"/>
        <w:snapToGrid w:val="0"/>
        <w:spacing w:line="5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依据法律法规和招标文件的规定，由采购人或代理机构对投标人的资格证明文件进行审查，以确保投标人是否具备相应资格。</w:t>
      </w:r>
    </w:p>
    <w:p>
      <w:pPr>
        <w:overflowPunct w:val="0"/>
        <w:adjustRightInd w:val="0"/>
        <w:snapToGrid w:val="0"/>
        <w:spacing w:line="500" w:lineRule="exact"/>
        <w:ind w:left="420"/>
        <w:rPr>
          <w:rFonts w:ascii="宋体" w:hAnsi="宋体" w:cs="宋体"/>
          <w:color w:val="auto"/>
          <w:kern w:val="0"/>
          <w:sz w:val="24"/>
          <w:highlight w:val="none"/>
        </w:rPr>
      </w:pPr>
      <w:r>
        <w:rPr>
          <w:rFonts w:hint="eastAsia" w:ascii="宋体" w:hAnsi="宋体" w:cs="宋体"/>
          <w:color w:val="auto"/>
          <w:kern w:val="0"/>
          <w:sz w:val="24"/>
          <w:highlight w:val="none"/>
        </w:rPr>
        <w:t>3.2 投标文件符合性审查</w:t>
      </w:r>
    </w:p>
    <w:p>
      <w:pPr>
        <w:pStyle w:val="8"/>
        <w:snapToGrid w:val="0"/>
        <w:spacing w:line="360" w:lineRule="auto"/>
        <w:ind w:firstLine="480"/>
        <w:rPr>
          <w:rFonts w:hAnsi="宋体" w:cs="宋体"/>
          <w:color w:val="auto"/>
          <w:sz w:val="24"/>
          <w:szCs w:val="24"/>
          <w:highlight w:val="none"/>
        </w:rPr>
      </w:pPr>
      <w:r>
        <w:rPr>
          <w:rFonts w:hint="eastAsia" w:hAnsi="宋体" w:cs="宋体"/>
          <w:color w:val="auto"/>
          <w:kern w:val="0"/>
          <w:sz w:val="24"/>
          <w:szCs w:val="24"/>
          <w:highlight w:val="none"/>
        </w:rPr>
        <w:t>依据法律法规和招标文件的规定，由评标委员会对符合资格要求的投标人的投标文件有效性、完整性和对招标文件的响应程度进行符合性审查，以确定是否对招标文件的实质性内容作出响应。</w:t>
      </w:r>
      <w:r>
        <w:rPr>
          <w:rFonts w:hint="eastAsia" w:hAnsi="宋体" w:cs="宋体"/>
          <w:color w:val="auto"/>
          <w:sz w:val="24"/>
          <w:szCs w:val="24"/>
          <w:highlight w:val="none"/>
        </w:rPr>
        <w:t>投标文件的符合性评审（合格性、完整性、有效性），具体审查：</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6492"/>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spacing w:line="240" w:lineRule="auto"/>
              <w:jc w:val="center"/>
              <w:rPr>
                <w:rFonts w:ascii="宋体" w:hAnsi="宋体" w:cs="宋体"/>
                <w:color w:val="auto"/>
                <w:sz w:val="24"/>
                <w:highlight w:val="none"/>
              </w:rPr>
            </w:pPr>
            <w:r>
              <w:rPr>
                <w:rFonts w:hint="eastAsia" w:ascii="宋体" w:hAnsi="宋体" w:cs="宋体"/>
                <w:b/>
                <w:color w:val="auto"/>
                <w:sz w:val="24"/>
                <w:highlight w:val="none"/>
              </w:rPr>
              <w:t>序号</w:t>
            </w:r>
          </w:p>
        </w:tc>
        <w:tc>
          <w:tcPr>
            <w:tcW w:w="6492" w:type="dxa"/>
            <w:vAlign w:val="center"/>
          </w:tcPr>
          <w:p>
            <w:pPr>
              <w:spacing w:line="240" w:lineRule="auto"/>
              <w:jc w:val="center"/>
              <w:rPr>
                <w:rFonts w:ascii="宋体" w:hAnsi="宋体" w:cs="宋体"/>
                <w:color w:val="auto"/>
                <w:sz w:val="24"/>
                <w:highlight w:val="none"/>
              </w:rPr>
            </w:pPr>
            <w:r>
              <w:rPr>
                <w:rFonts w:hint="eastAsia" w:ascii="宋体" w:hAnsi="宋体" w:cs="宋体"/>
                <w:b/>
                <w:color w:val="auto"/>
                <w:sz w:val="24"/>
                <w:highlight w:val="none"/>
              </w:rPr>
              <w:t>符合性审查内容</w:t>
            </w:r>
          </w:p>
        </w:tc>
        <w:tc>
          <w:tcPr>
            <w:tcW w:w="1838" w:type="dxa"/>
            <w:vAlign w:val="center"/>
          </w:tcPr>
          <w:p>
            <w:pPr>
              <w:spacing w:line="240" w:lineRule="auto"/>
              <w:jc w:val="center"/>
              <w:rPr>
                <w:rFonts w:ascii="宋体" w:hAnsi="宋体" w:cs="宋体"/>
                <w:color w:val="auto"/>
                <w:sz w:val="24"/>
                <w:highlight w:val="none"/>
              </w:rPr>
            </w:pPr>
            <w:r>
              <w:rPr>
                <w:rFonts w:hint="eastAsia" w:ascii="宋体" w:hAnsi="宋体" w:cs="宋体"/>
                <w:b/>
                <w:color w:val="auto"/>
                <w:sz w:val="24"/>
                <w:highlight w:val="none"/>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Pr>
          <w:p>
            <w:pPr>
              <w:overflowPunct w:val="0"/>
              <w:adjustRightInd w:val="0"/>
              <w:snapToGrid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A</w:t>
            </w:r>
          </w:p>
        </w:tc>
        <w:tc>
          <w:tcPr>
            <w:tcW w:w="6492" w:type="dxa"/>
          </w:tcPr>
          <w:p>
            <w:pPr>
              <w:overflowPunct w:val="0"/>
              <w:adjustRightInd w:val="0"/>
              <w:snapToGrid w:val="0"/>
              <w:spacing w:line="500" w:lineRule="exact"/>
              <w:rPr>
                <w:rFonts w:ascii="宋体" w:hAnsi="宋体" w:cs="宋体"/>
                <w:color w:val="auto"/>
                <w:sz w:val="24"/>
                <w:highlight w:val="none"/>
              </w:rPr>
            </w:pPr>
            <w:r>
              <w:rPr>
                <w:rFonts w:hint="eastAsia" w:ascii="宋体" w:hAnsi="宋体" w:cs="宋体"/>
                <w:color w:val="auto"/>
                <w:sz w:val="24"/>
                <w:highlight w:val="none"/>
              </w:rPr>
              <w:t>投标报价是否唯一且未超过采购预算；</w:t>
            </w:r>
          </w:p>
        </w:tc>
        <w:tc>
          <w:tcPr>
            <w:tcW w:w="1838" w:type="dxa"/>
          </w:tcPr>
          <w:p>
            <w:pPr>
              <w:overflowPunct w:val="0"/>
              <w:adjustRightInd w:val="0"/>
              <w:snapToGrid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Pr>
          <w:p>
            <w:pPr>
              <w:overflowPunct w:val="0"/>
              <w:adjustRightInd w:val="0"/>
              <w:snapToGrid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B</w:t>
            </w:r>
          </w:p>
        </w:tc>
        <w:tc>
          <w:tcPr>
            <w:tcW w:w="6492" w:type="dxa"/>
          </w:tcPr>
          <w:p>
            <w:pPr>
              <w:pStyle w:val="8"/>
              <w:overflowPunct w:val="0"/>
              <w:adjustRightInd w:val="0"/>
              <w:snapToGrid w:val="0"/>
              <w:spacing w:line="360" w:lineRule="auto"/>
              <w:rPr>
                <w:rFonts w:hAnsi="宋体" w:cs="宋体"/>
                <w:color w:val="auto"/>
                <w:sz w:val="24"/>
                <w:highlight w:val="none"/>
              </w:rPr>
            </w:pPr>
            <w:r>
              <w:rPr>
                <w:rFonts w:hint="eastAsia" w:hAnsi="宋体" w:cs="宋体"/>
                <w:color w:val="auto"/>
                <w:sz w:val="24"/>
                <w:szCs w:val="24"/>
                <w:highlight w:val="none"/>
              </w:rPr>
              <w:t>交货期是否满足招标文件最低要求；</w:t>
            </w:r>
          </w:p>
        </w:tc>
        <w:tc>
          <w:tcPr>
            <w:tcW w:w="1838" w:type="dxa"/>
          </w:tcPr>
          <w:p>
            <w:pPr>
              <w:overflowPunct w:val="0"/>
              <w:adjustRightInd w:val="0"/>
              <w:snapToGrid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Pr>
          <w:p>
            <w:pPr>
              <w:overflowPunct w:val="0"/>
              <w:adjustRightInd w:val="0"/>
              <w:snapToGrid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C</w:t>
            </w:r>
          </w:p>
        </w:tc>
        <w:tc>
          <w:tcPr>
            <w:tcW w:w="6492" w:type="dxa"/>
          </w:tcPr>
          <w:p>
            <w:pPr>
              <w:pStyle w:val="8"/>
              <w:overflowPunct w:val="0"/>
              <w:adjustRightInd w:val="0"/>
              <w:snapToGrid w:val="0"/>
              <w:spacing w:line="360" w:lineRule="auto"/>
              <w:rPr>
                <w:rFonts w:hAnsi="宋体" w:cs="宋体"/>
                <w:color w:val="auto"/>
                <w:sz w:val="24"/>
                <w:highlight w:val="none"/>
              </w:rPr>
            </w:pPr>
            <w:r>
              <w:rPr>
                <w:rFonts w:hint="eastAsia" w:hAnsi="宋体" w:cs="宋体"/>
                <w:color w:val="auto"/>
                <w:sz w:val="24"/>
                <w:szCs w:val="24"/>
                <w:highlight w:val="none"/>
              </w:rPr>
              <w:t>质保期是否满足招标文件最低要求</w:t>
            </w:r>
            <w:r>
              <w:rPr>
                <w:rFonts w:hint="eastAsia" w:hAnsi="宋体" w:cs="宋体"/>
                <w:color w:val="auto"/>
                <w:sz w:val="24"/>
                <w:highlight w:val="none"/>
              </w:rPr>
              <w:t>；</w:t>
            </w:r>
          </w:p>
        </w:tc>
        <w:tc>
          <w:tcPr>
            <w:tcW w:w="1838" w:type="dxa"/>
          </w:tcPr>
          <w:p>
            <w:pPr>
              <w:overflowPunct w:val="0"/>
              <w:adjustRightInd w:val="0"/>
              <w:snapToGrid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Pr>
          <w:p>
            <w:pPr>
              <w:overflowPunct w:val="0"/>
              <w:adjustRightInd w:val="0"/>
              <w:snapToGrid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D</w:t>
            </w:r>
          </w:p>
        </w:tc>
        <w:tc>
          <w:tcPr>
            <w:tcW w:w="6492" w:type="dxa"/>
          </w:tcPr>
          <w:p>
            <w:pPr>
              <w:pStyle w:val="8"/>
              <w:overflowPunct w:val="0"/>
              <w:adjustRightInd w:val="0"/>
              <w:snapToGrid w:val="0"/>
              <w:spacing w:line="360" w:lineRule="auto"/>
              <w:rPr>
                <w:rFonts w:hAnsi="宋体" w:cs="宋体"/>
                <w:color w:val="auto"/>
                <w:sz w:val="24"/>
                <w:highlight w:val="none"/>
              </w:rPr>
            </w:pPr>
            <w:r>
              <w:rPr>
                <w:rFonts w:hint="eastAsia" w:hAnsi="宋体" w:cs="宋体"/>
                <w:color w:val="auto"/>
                <w:sz w:val="24"/>
                <w:highlight w:val="none"/>
              </w:rPr>
              <w:t>投标有效期是否满足</w:t>
            </w:r>
            <w:r>
              <w:rPr>
                <w:rFonts w:hint="eastAsia" w:hAnsi="宋体" w:cs="宋体"/>
                <w:color w:val="auto"/>
                <w:sz w:val="24"/>
                <w:szCs w:val="24"/>
                <w:highlight w:val="none"/>
              </w:rPr>
              <w:t>招标</w:t>
            </w:r>
            <w:r>
              <w:rPr>
                <w:rFonts w:hint="eastAsia" w:hAnsi="宋体" w:cs="宋体"/>
                <w:color w:val="auto"/>
                <w:sz w:val="24"/>
                <w:highlight w:val="none"/>
              </w:rPr>
              <w:t>文件最低要求；</w:t>
            </w:r>
          </w:p>
        </w:tc>
        <w:tc>
          <w:tcPr>
            <w:tcW w:w="1838" w:type="dxa"/>
          </w:tcPr>
          <w:p>
            <w:pPr>
              <w:overflowPunct w:val="0"/>
              <w:adjustRightInd w:val="0"/>
              <w:snapToGrid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Pr>
          <w:p>
            <w:pPr>
              <w:overflowPunct w:val="0"/>
              <w:adjustRightInd w:val="0"/>
              <w:snapToGrid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E</w:t>
            </w:r>
          </w:p>
        </w:tc>
        <w:tc>
          <w:tcPr>
            <w:tcW w:w="6492" w:type="dxa"/>
          </w:tcPr>
          <w:p>
            <w:pPr>
              <w:pStyle w:val="8"/>
              <w:overflowPunct w:val="0"/>
              <w:adjustRightInd w:val="0"/>
              <w:snapToGrid w:val="0"/>
              <w:spacing w:line="360" w:lineRule="auto"/>
              <w:rPr>
                <w:rFonts w:hAnsi="宋体" w:cs="宋体"/>
                <w:color w:val="auto"/>
                <w:sz w:val="24"/>
                <w:highlight w:val="none"/>
              </w:rPr>
            </w:pPr>
            <w:r>
              <w:rPr>
                <w:rFonts w:hint="eastAsia" w:hAnsi="宋体" w:cs="宋体"/>
                <w:color w:val="auto"/>
                <w:sz w:val="24"/>
                <w:highlight w:val="none"/>
              </w:rPr>
              <w:t>投标文件的签署盖章是否符合</w:t>
            </w:r>
            <w:r>
              <w:rPr>
                <w:rFonts w:hint="eastAsia" w:hAnsi="宋体" w:cs="宋体"/>
                <w:color w:val="auto"/>
                <w:sz w:val="24"/>
                <w:szCs w:val="24"/>
                <w:highlight w:val="none"/>
              </w:rPr>
              <w:t>招标</w:t>
            </w:r>
            <w:r>
              <w:rPr>
                <w:rFonts w:hint="eastAsia" w:hAnsi="宋体" w:cs="宋体"/>
                <w:color w:val="auto"/>
                <w:sz w:val="24"/>
                <w:highlight w:val="none"/>
              </w:rPr>
              <w:t>文件要求；</w:t>
            </w:r>
          </w:p>
        </w:tc>
        <w:tc>
          <w:tcPr>
            <w:tcW w:w="1838" w:type="dxa"/>
          </w:tcPr>
          <w:p>
            <w:pPr>
              <w:overflowPunct w:val="0"/>
              <w:adjustRightInd w:val="0"/>
              <w:snapToGrid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Pr>
          <w:p>
            <w:pPr>
              <w:overflowPunct w:val="0"/>
              <w:adjustRightInd w:val="0"/>
              <w:snapToGrid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F</w:t>
            </w:r>
          </w:p>
        </w:tc>
        <w:tc>
          <w:tcPr>
            <w:tcW w:w="6492" w:type="dxa"/>
          </w:tcPr>
          <w:p>
            <w:pPr>
              <w:pStyle w:val="8"/>
              <w:overflowPunct w:val="0"/>
              <w:adjustRightInd w:val="0"/>
              <w:snapToGrid w:val="0"/>
              <w:spacing w:line="360" w:lineRule="auto"/>
              <w:rPr>
                <w:rFonts w:hAnsi="宋体" w:cs="宋体"/>
                <w:color w:val="auto"/>
                <w:sz w:val="24"/>
                <w:highlight w:val="none"/>
              </w:rPr>
            </w:pPr>
            <w:r>
              <w:rPr>
                <w:rFonts w:hint="eastAsia" w:hAnsi="宋体" w:cs="宋体"/>
                <w:color w:val="auto"/>
                <w:sz w:val="24"/>
                <w:highlight w:val="none"/>
              </w:rPr>
              <w:t>投标文件的正副本数量是否符合</w:t>
            </w:r>
            <w:r>
              <w:rPr>
                <w:rFonts w:hint="eastAsia" w:hAnsi="宋体" w:cs="宋体"/>
                <w:color w:val="auto"/>
                <w:sz w:val="24"/>
                <w:szCs w:val="24"/>
                <w:highlight w:val="none"/>
              </w:rPr>
              <w:t>招标</w:t>
            </w:r>
            <w:r>
              <w:rPr>
                <w:rFonts w:hint="eastAsia" w:hAnsi="宋体" w:cs="宋体"/>
                <w:color w:val="auto"/>
                <w:sz w:val="24"/>
                <w:highlight w:val="none"/>
              </w:rPr>
              <w:t>文件要求；</w:t>
            </w:r>
          </w:p>
        </w:tc>
        <w:tc>
          <w:tcPr>
            <w:tcW w:w="1838" w:type="dxa"/>
          </w:tcPr>
          <w:p>
            <w:pPr>
              <w:overflowPunct w:val="0"/>
              <w:adjustRightInd w:val="0"/>
              <w:snapToGrid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合格/不合格</w:t>
            </w:r>
          </w:p>
        </w:tc>
      </w:tr>
    </w:tbl>
    <w:p>
      <w:pPr>
        <w:overflowPunct w:val="0"/>
        <w:adjustRightInd w:val="0"/>
        <w:snapToGrid w:val="0"/>
        <w:spacing w:line="500" w:lineRule="exact"/>
        <w:ind w:firstLine="480" w:firstLineChars="200"/>
        <w:rPr>
          <w:rFonts w:ascii="宋体" w:hAnsi="宋体" w:cs="宋体"/>
          <w:color w:val="auto"/>
          <w:kern w:val="0"/>
          <w:sz w:val="24"/>
          <w:highlight w:val="none"/>
        </w:rPr>
      </w:pPr>
      <w:r>
        <w:rPr>
          <w:rFonts w:hint="eastAsia" w:ascii="宋体" w:hAnsi="宋体" w:cs="宋体"/>
          <w:color w:val="auto"/>
          <w:sz w:val="24"/>
          <w:highlight w:val="none"/>
        </w:rPr>
        <w:t>对通过审查的，被认为其投标文件完整、合格，投标有效，可进入下阶段的评标。</w:t>
      </w:r>
    </w:p>
    <w:p>
      <w:pPr>
        <w:overflowPunct w:val="0"/>
        <w:adjustRightInd w:val="0"/>
        <w:snapToGrid w:val="0"/>
        <w:spacing w:line="5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 xml:space="preserve"> 3.3 经过对投标人资格审查及投标文件符合性审查，出现下列情况者（但不限于），按无效投标处理：</w:t>
      </w:r>
    </w:p>
    <w:p>
      <w:pPr>
        <w:numPr>
          <w:ilvl w:val="0"/>
          <w:numId w:val="5"/>
        </w:numPr>
        <w:spacing w:line="500" w:lineRule="exact"/>
        <w:rPr>
          <w:rFonts w:ascii="宋体" w:hAnsi="宋体" w:cs="宋体"/>
          <w:b/>
          <w:bCs/>
          <w:color w:val="auto"/>
          <w:sz w:val="24"/>
          <w:highlight w:val="none"/>
        </w:rPr>
      </w:pPr>
      <w:r>
        <w:rPr>
          <w:rFonts w:hint="eastAsia" w:ascii="宋体" w:hAnsi="宋体" w:cs="宋体"/>
          <w:b/>
          <w:bCs/>
          <w:color w:val="auto"/>
          <w:sz w:val="24"/>
          <w:highlight w:val="none"/>
        </w:rPr>
        <w:t xml:space="preserve">投标人的投标报价超过采购预算或者最高限价； </w:t>
      </w:r>
    </w:p>
    <w:p>
      <w:pPr>
        <w:numPr>
          <w:ilvl w:val="0"/>
          <w:numId w:val="5"/>
        </w:numPr>
        <w:spacing w:line="500" w:lineRule="exact"/>
        <w:rPr>
          <w:rFonts w:ascii="宋体" w:hAnsi="宋体" w:cs="宋体"/>
          <w:b/>
          <w:bCs/>
          <w:color w:val="auto"/>
          <w:sz w:val="24"/>
          <w:highlight w:val="none"/>
        </w:rPr>
      </w:pPr>
      <w:r>
        <w:rPr>
          <w:rFonts w:hint="eastAsia" w:ascii="宋体" w:hAnsi="宋体" w:cs="宋体"/>
          <w:b/>
          <w:bCs/>
          <w:color w:val="auto"/>
          <w:sz w:val="24"/>
          <w:highlight w:val="none"/>
        </w:rPr>
        <w:t>投标人未经过正常渠道购买招标文件，或投标人名称与购买招标文件时登记的投标人名称不符的；</w:t>
      </w:r>
    </w:p>
    <w:p>
      <w:pPr>
        <w:numPr>
          <w:ilvl w:val="0"/>
          <w:numId w:val="5"/>
        </w:numPr>
        <w:spacing w:line="500" w:lineRule="exact"/>
        <w:rPr>
          <w:rFonts w:ascii="宋体" w:hAnsi="宋体" w:cs="宋体"/>
          <w:b/>
          <w:bCs/>
          <w:color w:val="auto"/>
          <w:sz w:val="24"/>
          <w:highlight w:val="none"/>
        </w:rPr>
      </w:pPr>
      <w:r>
        <w:rPr>
          <w:rFonts w:hint="eastAsia" w:ascii="宋体" w:hAnsi="宋体" w:cs="宋体"/>
          <w:b/>
          <w:bCs/>
          <w:color w:val="auto"/>
          <w:sz w:val="24"/>
          <w:highlight w:val="none"/>
        </w:rPr>
        <w:t>投标文件的签署、盖章不符合招标文件要求；</w:t>
      </w:r>
    </w:p>
    <w:p>
      <w:pPr>
        <w:numPr>
          <w:ilvl w:val="0"/>
          <w:numId w:val="5"/>
        </w:numPr>
        <w:spacing w:line="500" w:lineRule="exact"/>
        <w:rPr>
          <w:rFonts w:ascii="宋体" w:hAnsi="宋体" w:cs="宋体"/>
          <w:b/>
          <w:bCs/>
          <w:color w:val="auto"/>
          <w:sz w:val="24"/>
          <w:highlight w:val="none"/>
        </w:rPr>
      </w:pPr>
      <w:r>
        <w:rPr>
          <w:rFonts w:hint="eastAsia" w:ascii="宋体" w:hAnsi="宋体" w:cs="宋体"/>
          <w:b/>
          <w:bCs/>
          <w:color w:val="auto"/>
          <w:sz w:val="24"/>
          <w:highlight w:val="none"/>
        </w:rPr>
        <w:t>无投标有效期或有效期达不到招标文件要求的；</w:t>
      </w:r>
    </w:p>
    <w:p>
      <w:pPr>
        <w:numPr>
          <w:ilvl w:val="0"/>
          <w:numId w:val="5"/>
        </w:numPr>
        <w:spacing w:line="500" w:lineRule="exact"/>
        <w:rPr>
          <w:rFonts w:ascii="宋体" w:hAnsi="宋体" w:cs="宋体"/>
          <w:b/>
          <w:bCs/>
          <w:color w:val="auto"/>
          <w:sz w:val="24"/>
          <w:highlight w:val="none"/>
        </w:rPr>
      </w:pPr>
      <w:r>
        <w:rPr>
          <w:rFonts w:hint="eastAsia" w:ascii="宋体" w:hAnsi="宋体" w:cs="宋体"/>
          <w:b/>
          <w:bCs/>
          <w:color w:val="auto"/>
          <w:sz w:val="24"/>
          <w:highlight w:val="none"/>
        </w:rPr>
        <w:t>投标人针对同一项目递交两份或多份内容不同的投标文件，未书面声明哪一份是有效的或出现选择性报价的；</w:t>
      </w:r>
    </w:p>
    <w:p>
      <w:pPr>
        <w:numPr>
          <w:ilvl w:val="0"/>
          <w:numId w:val="5"/>
        </w:numPr>
        <w:spacing w:line="500" w:lineRule="exact"/>
        <w:rPr>
          <w:rFonts w:ascii="宋体" w:hAnsi="宋体" w:cs="宋体"/>
          <w:b/>
          <w:bCs/>
          <w:color w:val="auto"/>
          <w:sz w:val="24"/>
          <w:highlight w:val="none"/>
        </w:rPr>
      </w:pPr>
      <w:r>
        <w:rPr>
          <w:rFonts w:hint="eastAsia" w:ascii="宋体" w:hAnsi="宋体" w:cs="宋体"/>
          <w:b/>
          <w:bCs/>
          <w:color w:val="auto"/>
          <w:sz w:val="24"/>
          <w:highlight w:val="none"/>
        </w:rPr>
        <w:t>出现虚假应标的；</w:t>
      </w:r>
    </w:p>
    <w:p>
      <w:pPr>
        <w:numPr>
          <w:ilvl w:val="0"/>
          <w:numId w:val="5"/>
        </w:numPr>
        <w:spacing w:line="500" w:lineRule="exact"/>
        <w:rPr>
          <w:rFonts w:ascii="宋体" w:hAnsi="宋体" w:cs="宋体"/>
          <w:b/>
          <w:bCs/>
          <w:color w:val="auto"/>
          <w:sz w:val="24"/>
          <w:highlight w:val="none"/>
        </w:rPr>
      </w:pPr>
      <w:r>
        <w:rPr>
          <w:rFonts w:hint="eastAsia" w:ascii="宋体" w:hAnsi="宋体" w:cs="宋体"/>
          <w:b/>
          <w:bCs/>
          <w:color w:val="auto"/>
          <w:sz w:val="24"/>
          <w:highlight w:val="none"/>
        </w:rPr>
        <w:t>投标文件出现漏项或货物数量与要求不符的；</w:t>
      </w:r>
    </w:p>
    <w:p>
      <w:pPr>
        <w:numPr>
          <w:ilvl w:val="0"/>
          <w:numId w:val="5"/>
        </w:numPr>
        <w:spacing w:line="500" w:lineRule="exact"/>
        <w:rPr>
          <w:rFonts w:ascii="宋体" w:hAnsi="宋体" w:cs="宋体"/>
          <w:b/>
          <w:bCs/>
          <w:color w:val="auto"/>
          <w:sz w:val="24"/>
          <w:highlight w:val="none"/>
        </w:rPr>
      </w:pPr>
      <w:r>
        <w:rPr>
          <w:rFonts w:hint="eastAsia" w:ascii="宋体" w:hAnsi="宋体" w:cs="宋体"/>
          <w:b/>
          <w:bCs/>
          <w:color w:val="auto"/>
          <w:sz w:val="24"/>
          <w:highlight w:val="none"/>
        </w:rPr>
        <w:t>投标货物的技术参数、性能指标与招标文件要求出现重大负偏差的；或者提供虚假证明（包括第三方的虚假证明），除按无效文件处理外，还将按照政府采购法的有关规定进行处罚；</w:t>
      </w:r>
    </w:p>
    <w:p>
      <w:pPr>
        <w:numPr>
          <w:ilvl w:val="0"/>
          <w:numId w:val="5"/>
        </w:numPr>
        <w:spacing w:line="500" w:lineRule="exact"/>
        <w:rPr>
          <w:rFonts w:ascii="宋体" w:hAnsi="宋体" w:cs="宋体"/>
          <w:b/>
          <w:bCs/>
          <w:color w:val="auto"/>
          <w:sz w:val="24"/>
          <w:highlight w:val="none"/>
        </w:rPr>
      </w:pPr>
      <w:r>
        <w:rPr>
          <w:rFonts w:hint="eastAsia" w:ascii="宋体" w:hAnsi="宋体" w:cs="宋体"/>
          <w:b/>
          <w:bCs/>
          <w:color w:val="auto"/>
          <w:sz w:val="24"/>
          <w:highlight w:val="none"/>
        </w:rPr>
        <w:t>投标文件在商务响应方面（付款方式、交货期、质保期）附加了采购单位难以接受的条件或条款的；</w:t>
      </w:r>
    </w:p>
    <w:p>
      <w:pPr>
        <w:overflowPunct w:val="0"/>
        <w:adjustRightInd w:val="0"/>
        <w:snapToGrid w:val="0"/>
        <w:spacing w:line="5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3.4 如出现对招标文件作出实质性响应的投标人或者合格投标人不足三家的情况，不得评标。</w:t>
      </w:r>
    </w:p>
    <w:p>
      <w:pPr>
        <w:overflowPunct w:val="0"/>
        <w:adjustRightInd w:val="0"/>
        <w:snapToGrid w:val="0"/>
        <w:spacing w:line="5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3.5根据《政府采购货物和服务招标投标管理办法》相关规定，单一产品采购项目提供相同品牌产品或非单一产品采购项目多家投标单位提供的核心产品品牌相同的且通过资格审查、符合性审查的不同投标单位参加同一合同项下投标的，按一家投标单位计算，评审后得分最高的同品牌投标单位获得中标投标单位推荐资格；评审得分相同的，由采购人或者采购人委托评标委员会按照报价得分最高的方式确定一个投标单位获得中标投标单位推荐资格。</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3.6开标时，投标文件中出现下列情况，修正原则为：</w:t>
      </w:r>
    </w:p>
    <w:p>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A、投标文件中开标一览表（报价表）内容与投标文件中相应内容不一致的，以开标一览表（报价表）为准；</w:t>
      </w:r>
    </w:p>
    <w:p>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B、大写金额和小写金额不一致的，以大写金额为准；</w:t>
      </w:r>
    </w:p>
    <w:p>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C、单价金额小数点或者百分比有明显错位的，以开标一览表的总价为准，并修改单价；</w:t>
      </w:r>
    </w:p>
    <w:p>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D、总价金额与按单价汇总金额不一致的，以单价金额计算结果为准；</w:t>
      </w:r>
    </w:p>
    <w:p>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E、投标文件正本与副本不一致的，以正本为准；</w:t>
      </w:r>
    </w:p>
    <w:p>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F、多处内容交叉不符的，以评标委员会评审结果为准；</w:t>
      </w:r>
    </w:p>
    <w:p>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G、文字与图表不符的，以文字为准。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同时出现两种以上不一致的，按照前款规定的顺序修正。按上述修正错误的原则及方法调整或修正投标文件的报价和内容，投标人同意后，调整后的报价和内容对投标人起约束作用。如果投标人不接受修正后的报价和内容，则其投标无效。</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3.7公开开标后，直到向中标的投标人授予合同为止，凡审查、澄清、评价和比较投标的有关资料及被授标意见等内容，评标委员会成员均不得向投标人及与评标无关的其他人透露。</w:t>
      </w:r>
    </w:p>
    <w:p>
      <w:pPr>
        <w:spacing w:line="360" w:lineRule="auto"/>
        <w:ind w:firstLine="120" w:firstLineChars="50"/>
        <w:rPr>
          <w:rFonts w:ascii="宋体" w:hAnsi="宋体" w:cs="宋体"/>
          <w:b/>
          <w:color w:val="auto"/>
          <w:sz w:val="24"/>
          <w:highlight w:val="none"/>
        </w:rPr>
      </w:pPr>
      <w:r>
        <w:rPr>
          <w:rFonts w:hint="eastAsia" w:ascii="宋体" w:hAnsi="宋体" w:cs="宋体"/>
          <w:b/>
          <w:color w:val="auto"/>
          <w:sz w:val="24"/>
          <w:highlight w:val="none"/>
        </w:rPr>
        <w:t>4、出现下列情况之一者（但不限于），按无效文件处理：</w:t>
      </w:r>
    </w:p>
    <w:p>
      <w:pPr>
        <w:kinsoku w:val="0"/>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A、投标人的投标报价超过采购预算的；</w:t>
      </w:r>
    </w:p>
    <w:p>
      <w:pPr>
        <w:kinsoku w:val="0"/>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B、投标人未经过正常渠道购买招标文件，或投标人名称与购买招标文件时登记的投标人名称不符的；</w:t>
      </w:r>
    </w:p>
    <w:p>
      <w:pPr>
        <w:kinsoku w:val="0"/>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 xml:space="preserve">C、不同投标人单位负责人为同一人或者存在控股、管理关系的； </w:t>
      </w:r>
    </w:p>
    <w:p>
      <w:pPr>
        <w:kinsoku w:val="0"/>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D、投标文件的有效性和符合性不符合要求的；</w:t>
      </w:r>
    </w:p>
    <w:p>
      <w:pPr>
        <w:kinsoku w:val="0"/>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E、实质性内容不满足或未响应的（包括但不限于：交货期、质保期、付款方式、主要技术指标等）；</w:t>
      </w:r>
    </w:p>
    <w:p>
      <w:pPr>
        <w:kinsoku w:val="0"/>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F、投标文件未按招标文件要求的数量和方式胶装、签字、加盖公章的；</w:t>
      </w:r>
    </w:p>
    <w:p>
      <w:pPr>
        <w:kinsoku w:val="0"/>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 xml:space="preserve">G、无投标有效期或有效期达不到招标文件要求的； </w:t>
      </w:r>
    </w:p>
    <w:p>
      <w:pPr>
        <w:kinsoku w:val="0"/>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H、投标人针对同一项目递交两份或多份内容不同的投标文件，未书面声明哪一份是有效的或出现选择性报价的；</w:t>
      </w:r>
    </w:p>
    <w:p>
      <w:pPr>
        <w:kinsoku w:val="0"/>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I、投标人有串通投标、弄虚作假（包括但不限于虚假资质、虚假证明、虚假应答等）、行贿等违法行为的；</w:t>
      </w:r>
    </w:p>
    <w:p>
      <w:pPr>
        <w:kinsoku w:val="0"/>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J、投标文件附加了采购人难以接受的条件或条款的；</w:t>
      </w:r>
    </w:p>
    <w:p>
      <w:pPr>
        <w:kinsoku w:val="0"/>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K、在政府采购或其它重大项目履约过程中有不良记录，未能按期履约的；</w:t>
      </w:r>
    </w:p>
    <w:p>
      <w:pPr>
        <w:kinsoku w:val="0"/>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L、投标报价与市场价格偏离较大、低于成本、形成不正当竞争的；</w:t>
      </w:r>
    </w:p>
    <w:p>
      <w:pPr>
        <w:topLinePunct/>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M、投标报价子目出现漏项或报价数量与要求不符的；</w:t>
      </w:r>
    </w:p>
    <w:p>
      <w:pPr>
        <w:topLinePunct/>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N、投标产品的技术参数、性能指标与招标文件要求出现重大负偏差的；</w:t>
      </w:r>
    </w:p>
    <w:p>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O、投标文件未实质性响应招标文件要求的；</w:t>
      </w:r>
    </w:p>
    <w:p>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P、提供虚假技术性能指标的。</w:t>
      </w:r>
    </w:p>
    <w:p>
      <w:pPr>
        <w:spacing w:line="360" w:lineRule="auto"/>
        <w:ind w:firstLine="120" w:firstLineChars="50"/>
        <w:rPr>
          <w:rFonts w:ascii="宋体" w:hAnsi="宋体" w:cs="宋体"/>
          <w:b/>
          <w:color w:val="auto"/>
          <w:sz w:val="24"/>
          <w:highlight w:val="none"/>
        </w:rPr>
      </w:pPr>
      <w:r>
        <w:rPr>
          <w:rFonts w:hint="eastAsia" w:ascii="宋体" w:hAnsi="宋体" w:cs="宋体"/>
          <w:b/>
          <w:color w:val="auto"/>
          <w:sz w:val="24"/>
          <w:highlight w:val="none"/>
        </w:rPr>
        <w:t>5、有下列情形之一的，视为投标单位串通投标，评标委员会应当认定其投标文件无效：</w:t>
      </w:r>
    </w:p>
    <w:p>
      <w:pPr>
        <w:topLinePunct/>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A、不同投标人的投标文件由同一单位或者个人编制；</w:t>
      </w:r>
    </w:p>
    <w:p>
      <w:pPr>
        <w:topLinePunct/>
        <w:spacing w:line="360" w:lineRule="auto"/>
        <w:rPr>
          <w:rFonts w:ascii="宋体" w:hAnsi="宋体" w:cs="宋体"/>
          <w:color w:val="auto"/>
          <w:sz w:val="24"/>
          <w:highlight w:val="none"/>
        </w:rPr>
      </w:pPr>
      <w:r>
        <w:rPr>
          <w:rFonts w:hint="eastAsia" w:ascii="宋体" w:hAnsi="宋体" w:cs="宋体"/>
          <w:color w:val="auto"/>
          <w:sz w:val="24"/>
          <w:highlight w:val="none"/>
        </w:rPr>
        <w:t>　　 B、不同投标人委托同一单位或者个人办理投标事宜；</w:t>
      </w:r>
    </w:p>
    <w:p>
      <w:pPr>
        <w:topLinePunct/>
        <w:spacing w:line="360" w:lineRule="auto"/>
        <w:rPr>
          <w:rFonts w:ascii="宋体" w:hAnsi="宋体" w:cs="宋体"/>
          <w:color w:val="auto"/>
          <w:sz w:val="24"/>
          <w:highlight w:val="none"/>
        </w:rPr>
      </w:pPr>
      <w:r>
        <w:rPr>
          <w:rFonts w:hint="eastAsia" w:ascii="宋体" w:hAnsi="宋体" w:cs="宋体"/>
          <w:color w:val="auto"/>
          <w:sz w:val="24"/>
          <w:highlight w:val="none"/>
        </w:rPr>
        <w:t>　　 C、不同投标人的投标文件载明的项目管理成员或者联系人员为同一人；</w:t>
      </w:r>
    </w:p>
    <w:p>
      <w:pPr>
        <w:topLinePunct/>
        <w:spacing w:line="360" w:lineRule="auto"/>
        <w:rPr>
          <w:rFonts w:ascii="宋体" w:hAnsi="宋体" w:cs="宋体"/>
          <w:color w:val="auto"/>
          <w:sz w:val="24"/>
          <w:highlight w:val="none"/>
        </w:rPr>
      </w:pPr>
      <w:r>
        <w:rPr>
          <w:rFonts w:hint="eastAsia" w:ascii="宋体" w:hAnsi="宋体" w:cs="宋体"/>
          <w:color w:val="auto"/>
          <w:sz w:val="24"/>
          <w:highlight w:val="none"/>
        </w:rPr>
        <w:t>　　 D、不同投标人的投标文件异常一致或者投标报价呈规律性差异；</w:t>
      </w:r>
    </w:p>
    <w:p>
      <w:pPr>
        <w:topLinePunct/>
        <w:spacing w:line="360" w:lineRule="auto"/>
        <w:rPr>
          <w:rFonts w:ascii="宋体" w:hAnsi="宋体" w:cs="宋体"/>
          <w:color w:val="auto"/>
          <w:sz w:val="24"/>
          <w:highlight w:val="none"/>
        </w:rPr>
      </w:pPr>
      <w:r>
        <w:rPr>
          <w:rFonts w:hint="eastAsia" w:ascii="宋体" w:hAnsi="宋体" w:cs="宋体"/>
          <w:color w:val="auto"/>
          <w:sz w:val="24"/>
          <w:highlight w:val="none"/>
        </w:rPr>
        <w:t>　　 E、不同投标人的投标文件相互混装；</w:t>
      </w:r>
    </w:p>
    <w:p>
      <w:pPr>
        <w:topLinePunct/>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F、不同投标人的投标保证金从同一单位或者个人的账户转出。</w:t>
      </w:r>
    </w:p>
    <w:p>
      <w:pPr>
        <w:spacing w:line="440" w:lineRule="exact"/>
        <w:ind w:firstLine="241" w:firstLineChars="100"/>
        <w:rPr>
          <w:rFonts w:ascii="宋体" w:hAnsi="宋体" w:cs="宋体"/>
          <w:b/>
          <w:color w:val="auto"/>
          <w:sz w:val="24"/>
          <w:highlight w:val="none"/>
        </w:rPr>
      </w:pPr>
      <w:r>
        <w:rPr>
          <w:rFonts w:hint="eastAsia" w:ascii="宋体" w:hAnsi="宋体" w:cs="宋体"/>
          <w:b/>
          <w:color w:val="auto"/>
          <w:sz w:val="24"/>
          <w:highlight w:val="none"/>
        </w:rPr>
        <w:t>6.询标</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评标委员会在对投标文件的有效性、完整性和响应程度进行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如澄清、说明或者更正的内容与投标文件内容有重大相悖或矛盾，将被认定为无效投标文件。</w:t>
      </w:r>
    </w:p>
    <w:p>
      <w:pPr>
        <w:spacing w:line="360" w:lineRule="auto"/>
        <w:ind w:firstLine="120" w:firstLineChars="50"/>
        <w:rPr>
          <w:rFonts w:ascii="宋体" w:hAnsi="宋体" w:cs="宋体"/>
          <w:b/>
          <w:color w:val="auto"/>
          <w:sz w:val="24"/>
          <w:highlight w:val="none"/>
        </w:rPr>
      </w:pPr>
      <w:r>
        <w:rPr>
          <w:rFonts w:hint="eastAsia" w:ascii="宋体" w:hAnsi="宋体" w:cs="宋体"/>
          <w:b/>
          <w:color w:val="auto"/>
          <w:sz w:val="24"/>
          <w:highlight w:val="none"/>
        </w:rPr>
        <w:t>7、评审方法及内容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kern w:val="0"/>
          <w:sz w:val="24"/>
          <w:highlight w:val="none"/>
        </w:rPr>
        <w:t>采用综合评分法：评标结果按评审后得分由高到低顺序排列。得分相同的，按投标报价由低到高顺序排列。得分且投标报价相同的并列。投标文件满足招标文件全部</w:t>
      </w:r>
      <w:r>
        <w:rPr>
          <w:rFonts w:hint="eastAsia" w:ascii="宋体" w:hAnsi="宋体" w:cs="宋体"/>
          <w:color w:val="auto"/>
          <w:spacing w:val="-4"/>
          <w:kern w:val="0"/>
          <w:sz w:val="24"/>
          <w:highlight w:val="none"/>
        </w:rPr>
        <w:t>实质性要求，且按照评审因素的量化指标评审得分最高的投标人为排名第一的中标候选人。</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单一产品采购项目中，提供相同品牌产品且通过资格审查、符合性审查的不同投标人参加同一合同项下投标的，按一家投标人计算，评审后得分最高的同品牌投标人获得中标人推荐资格；评审得分相同的，由评标委员会按照投标报价最低的方式确定一个投标人获得中标人推荐资格，其他同品牌投标人不作为中标候选人。</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非单一产品采购项目中，多家投标人提供的核心产品品牌相同的，且通过资格审查、符合性审查的不同投标人参加同一合同项下投标的，按一家投标人计算。遵照前款规定处理。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评标委员会根据以下内容进行综合比较，独立评审、自主打分，按最后得分由高到低汇总排序，推荐一至三名中标候选人；评标委员会根据评标结果写出评标报告。评标委员会成员对需要共同认定的事项存在争议的，应当按照少数服从多数的原则作出结论。持不同意见的评标委员会成员应当在评标报告上签署不同意见及理由，否则视为同意评标报告。</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 xml:space="preserve">（4）评标委员会成员须对畸高、畸低的重大差异评分进行复核或书面说明理由。 </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（5）评审指标分值构成及评审内容（总计100分）</w:t>
      </w:r>
    </w:p>
    <w:tbl>
      <w:tblPr>
        <w:tblStyle w:val="19"/>
        <w:tblpPr w:leftFromText="180" w:rightFromText="180" w:vertAnchor="text" w:horzAnchor="page" w:tblpX="1545" w:tblpY="484"/>
        <w:tblOverlap w:val="never"/>
        <w:tblW w:w="8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69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41" w:hRule="atLeast"/>
        </w:trPr>
        <w:tc>
          <w:tcPr>
            <w:tcW w:w="198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baseline"/>
              <w:rPr>
                <w:rStyle w:val="29"/>
                <w:rFonts w:ascii="宋体" w:hAnsi="宋体" w:cs="宋体"/>
                <w:b/>
                <w:bCs/>
                <w:color w:val="auto"/>
                <w:sz w:val="22"/>
                <w:szCs w:val="22"/>
                <w:highlight w:val="none"/>
              </w:rPr>
            </w:pPr>
            <w:r>
              <w:rPr>
                <w:rStyle w:val="29"/>
                <w:rFonts w:hint="eastAsia" w:ascii="宋体" w:hAnsi="宋体" w:cs="宋体"/>
                <w:b/>
                <w:bCs/>
                <w:color w:val="auto"/>
                <w:sz w:val="22"/>
                <w:szCs w:val="22"/>
                <w:highlight w:val="none"/>
              </w:rPr>
              <w:t>投标报价</w:t>
            </w:r>
          </w:p>
          <w:p>
            <w:pPr>
              <w:spacing w:line="360" w:lineRule="auto"/>
              <w:jc w:val="center"/>
              <w:textAlignment w:val="baseline"/>
              <w:rPr>
                <w:rStyle w:val="29"/>
                <w:rFonts w:ascii="宋体" w:hAnsi="宋体" w:cs="宋体"/>
                <w:b/>
                <w:bCs/>
                <w:color w:val="auto"/>
                <w:sz w:val="22"/>
                <w:szCs w:val="22"/>
                <w:highlight w:val="none"/>
              </w:rPr>
            </w:pPr>
            <w:r>
              <w:rPr>
                <w:rStyle w:val="29"/>
                <w:rFonts w:hint="eastAsia" w:ascii="宋体" w:hAnsi="宋体" w:cs="宋体"/>
                <w:b/>
                <w:bCs/>
                <w:color w:val="auto"/>
                <w:sz w:val="22"/>
                <w:szCs w:val="22"/>
                <w:highlight w:val="none"/>
              </w:rPr>
              <w:t>（30分）</w:t>
            </w:r>
          </w:p>
        </w:tc>
        <w:tc>
          <w:tcPr>
            <w:tcW w:w="6989" w:type="dxa"/>
            <w:tcBorders>
              <w:top w:val="single" w:color="000000" w:sz="4" w:space="0"/>
              <w:left w:val="single" w:color="000000" w:sz="4" w:space="0"/>
              <w:bottom w:val="single" w:color="000000" w:sz="4" w:space="0"/>
              <w:right w:val="single" w:color="000000" w:sz="4" w:space="0"/>
            </w:tcBorders>
          </w:tcPr>
          <w:p>
            <w:pPr>
              <w:spacing w:line="360" w:lineRule="auto"/>
              <w:textAlignment w:val="baseline"/>
              <w:rPr>
                <w:rStyle w:val="29"/>
                <w:rFonts w:hint="eastAsia" w:ascii="宋体" w:hAnsi="宋体" w:cs="宋体"/>
                <w:color w:val="auto"/>
                <w:sz w:val="24"/>
                <w:highlight w:val="none"/>
              </w:rPr>
            </w:pPr>
            <w:r>
              <w:rPr>
                <w:rStyle w:val="29"/>
                <w:rFonts w:hint="eastAsia" w:ascii="宋体" w:hAnsi="宋体" w:cs="宋体"/>
                <w:color w:val="auto"/>
                <w:sz w:val="24"/>
                <w:highlight w:val="none"/>
              </w:rPr>
              <w:t xml:space="preserve">价格分统一采用低价优先法计算，即满足招标文件要求且投标价格最低的投标报价为投标基准价，其价格分为满分。其他投标人的价格分统一按照下列公式计算： </w:t>
            </w:r>
          </w:p>
          <w:p>
            <w:pPr>
              <w:spacing w:line="360" w:lineRule="auto"/>
              <w:textAlignment w:val="baseline"/>
              <w:rPr>
                <w:rStyle w:val="29"/>
                <w:rFonts w:ascii="宋体" w:hAnsi="宋体" w:cs="宋体"/>
                <w:color w:val="auto"/>
                <w:sz w:val="24"/>
                <w:highlight w:val="none"/>
              </w:rPr>
            </w:pPr>
            <w:r>
              <w:rPr>
                <w:rStyle w:val="29"/>
                <w:rFonts w:hint="eastAsia" w:ascii="宋体" w:hAnsi="宋体" w:cs="宋体"/>
                <w:color w:val="auto"/>
                <w:sz w:val="24"/>
                <w:highlight w:val="none"/>
              </w:rPr>
              <w:t xml:space="preserve">投标报价得分=(投标基准价／投标报价)×价格权值×100%               </w:t>
            </w:r>
          </w:p>
          <w:p>
            <w:pPr>
              <w:spacing w:line="360" w:lineRule="auto"/>
              <w:textAlignment w:val="baseline"/>
              <w:rPr>
                <w:rStyle w:val="29"/>
                <w:rFonts w:ascii="宋体" w:hAnsi="宋体" w:cs="宋体"/>
                <w:color w:val="auto"/>
                <w:sz w:val="24"/>
                <w:highlight w:val="none"/>
              </w:rPr>
            </w:pPr>
            <w:r>
              <w:rPr>
                <w:rStyle w:val="29"/>
                <w:rFonts w:hint="eastAsia" w:ascii="宋体" w:hAnsi="宋体" w:cs="宋体"/>
                <w:color w:val="auto"/>
                <w:sz w:val="24"/>
                <w:highlight w:val="none"/>
              </w:rPr>
              <w:t>计算分数时四舍五入取小数点后两位</w:t>
            </w:r>
          </w:p>
          <w:p>
            <w:pPr>
              <w:spacing w:line="360" w:lineRule="auto"/>
              <w:textAlignment w:val="baseline"/>
              <w:rPr>
                <w:rStyle w:val="29"/>
                <w:rFonts w:ascii="宋体" w:hAnsi="宋体" w:cs="宋体"/>
                <w:color w:val="auto"/>
                <w:sz w:val="24"/>
                <w:highlight w:val="none"/>
              </w:rPr>
            </w:pPr>
            <w:r>
              <w:rPr>
                <w:rStyle w:val="29"/>
                <w:rFonts w:hint="eastAsia" w:ascii="宋体" w:hAnsi="宋体" w:cs="宋体"/>
                <w:color w:val="auto"/>
                <w:sz w:val="24"/>
                <w:highlight w:val="none"/>
              </w:rPr>
              <w:t>注：（1）根据《政府采购促进中小企业发展</w:t>
            </w:r>
            <w:r>
              <w:rPr>
                <w:rStyle w:val="29"/>
                <w:rFonts w:hint="eastAsia" w:ascii="宋体" w:hAnsi="宋体" w:cs="宋体"/>
                <w:color w:val="auto"/>
                <w:sz w:val="24"/>
                <w:highlight w:val="none"/>
                <w:lang w:val="en-US"/>
              </w:rPr>
              <w:t>管理</w:t>
            </w:r>
            <w:r>
              <w:rPr>
                <w:rStyle w:val="29"/>
                <w:rFonts w:hint="eastAsia" w:ascii="宋体" w:hAnsi="宋体" w:cs="宋体"/>
                <w:color w:val="auto"/>
                <w:sz w:val="24"/>
                <w:highlight w:val="none"/>
              </w:rPr>
              <w:t>办法》的相关规定，对小型和微型企业的价格给予</w:t>
            </w:r>
            <w:r>
              <w:rPr>
                <w:rStyle w:val="29"/>
                <w:rFonts w:hint="eastAsia" w:ascii="宋体" w:hAnsi="宋体" w:cs="宋体"/>
                <w:color w:val="auto"/>
                <w:sz w:val="24"/>
                <w:highlight w:val="none"/>
                <w:lang w:val="en-US"/>
              </w:rPr>
              <w:t>10</w:t>
            </w:r>
            <w:r>
              <w:rPr>
                <w:rStyle w:val="29"/>
                <w:rFonts w:hint="eastAsia" w:ascii="宋体" w:hAnsi="宋体" w:cs="宋体"/>
                <w:color w:val="auto"/>
                <w:sz w:val="24"/>
                <w:highlight w:val="none"/>
              </w:rPr>
              <w:t>%的扣除，用扣除后的价格参与评审。</w:t>
            </w:r>
          </w:p>
          <w:p>
            <w:pPr>
              <w:spacing w:line="360" w:lineRule="auto"/>
              <w:textAlignment w:val="baseline"/>
              <w:rPr>
                <w:rStyle w:val="29"/>
                <w:rFonts w:ascii="宋体" w:hAnsi="宋体" w:cs="宋体"/>
                <w:color w:val="auto"/>
                <w:sz w:val="24"/>
                <w:highlight w:val="none"/>
              </w:rPr>
            </w:pPr>
            <w:r>
              <w:rPr>
                <w:rStyle w:val="29"/>
                <w:rFonts w:hint="eastAsia" w:ascii="宋体" w:hAnsi="宋体" w:cs="宋体"/>
                <w:color w:val="auto"/>
                <w:sz w:val="24"/>
                <w:highlight w:val="none"/>
              </w:rPr>
              <w:t>（2）根据《财政部民政部中国残疾人联合会关于促进残疾人就业政府采购政策的通知》（财库〔2017〕141号）的规定，对符合条件的残疾人福利性单位产品的价格给予</w:t>
            </w:r>
            <w:r>
              <w:rPr>
                <w:rStyle w:val="29"/>
                <w:rFonts w:hint="eastAsia" w:ascii="宋体" w:hAnsi="宋体" w:cs="宋体"/>
                <w:color w:val="auto"/>
                <w:sz w:val="24"/>
                <w:highlight w:val="none"/>
                <w:lang w:val="en-US"/>
              </w:rPr>
              <w:t>10</w:t>
            </w:r>
            <w:r>
              <w:rPr>
                <w:rStyle w:val="29"/>
                <w:rFonts w:hint="eastAsia" w:ascii="宋体" w:hAnsi="宋体" w:cs="宋体"/>
                <w:color w:val="auto"/>
                <w:sz w:val="24"/>
                <w:highlight w:val="none"/>
              </w:rPr>
              <w:t>%的扣除，用扣除后的价格参与评审。</w:t>
            </w:r>
          </w:p>
          <w:p>
            <w:pPr>
              <w:spacing w:line="360" w:lineRule="auto"/>
              <w:textAlignment w:val="baseline"/>
              <w:rPr>
                <w:rStyle w:val="29"/>
                <w:rFonts w:ascii="宋体" w:hAnsi="宋体" w:cs="宋体"/>
                <w:color w:val="auto"/>
                <w:sz w:val="24"/>
                <w:highlight w:val="none"/>
              </w:rPr>
            </w:pPr>
            <w:r>
              <w:rPr>
                <w:rStyle w:val="29"/>
                <w:rFonts w:hint="eastAsia" w:ascii="宋体" w:hAnsi="宋体" w:cs="宋体"/>
                <w:color w:val="auto"/>
                <w:sz w:val="24"/>
                <w:highlight w:val="none"/>
              </w:rPr>
              <w:t>小型、微型企业和监狱企业级符合财政部、民政部、中国残疾人联合会关于促进残疾人就业政府采购政策的通知，以上政策同时具备的仅对其进行一次</w:t>
            </w:r>
            <w:r>
              <w:rPr>
                <w:rStyle w:val="29"/>
                <w:rFonts w:hint="eastAsia" w:ascii="宋体" w:hAnsi="宋体" w:cs="宋体"/>
                <w:color w:val="auto"/>
                <w:sz w:val="24"/>
                <w:highlight w:val="none"/>
                <w:lang w:val="en-US"/>
              </w:rPr>
              <w:t>10</w:t>
            </w:r>
            <w:r>
              <w:rPr>
                <w:rStyle w:val="29"/>
                <w:rFonts w:hint="eastAsia" w:ascii="宋体" w:hAnsi="宋体" w:cs="宋体"/>
                <w:color w:val="auto"/>
                <w:sz w:val="24"/>
                <w:highlight w:val="none"/>
              </w:rPr>
              <w:t>%的价格扣除，不重复扣除。</w:t>
            </w:r>
          </w:p>
          <w:p>
            <w:pPr>
              <w:spacing w:line="360" w:lineRule="auto"/>
              <w:textAlignment w:val="baseline"/>
              <w:rPr>
                <w:rStyle w:val="29"/>
                <w:rFonts w:ascii="宋体" w:hAnsi="宋体" w:cs="宋体"/>
                <w:color w:val="auto"/>
                <w:sz w:val="22"/>
                <w:szCs w:val="22"/>
                <w:highlight w:val="none"/>
              </w:rPr>
            </w:pPr>
            <w:r>
              <w:rPr>
                <w:rStyle w:val="29"/>
                <w:rFonts w:hint="eastAsia" w:ascii="宋体" w:hAnsi="宋体" w:cs="宋体"/>
                <w:color w:val="auto"/>
                <w:sz w:val="24"/>
                <w:highlight w:val="none"/>
              </w:rPr>
              <w:t>（3）评标委员会认为投标单位的报价明显低于其他通过符合性审查投标单位的报价，有可能影响产品质量或者不能诚信履约的，应当要求其在评标现场合理的时间内提供书面说明，必要时提交相关证明材料；供应商不能证明其报价合理性的，评标委员会应当将其作为无效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980" w:type="dxa"/>
            <w:tcBorders>
              <w:top w:val="single" w:color="000000" w:sz="4" w:space="0"/>
              <w:left w:val="single" w:color="000000" w:sz="4" w:space="0"/>
              <w:bottom w:val="single" w:color="auto" w:sz="4" w:space="0"/>
              <w:right w:val="single" w:color="000000" w:sz="4" w:space="0"/>
            </w:tcBorders>
            <w:vAlign w:val="center"/>
          </w:tcPr>
          <w:p>
            <w:pPr>
              <w:spacing w:line="360" w:lineRule="auto"/>
              <w:jc w:val="center"/>
              <w:textAlignment w:val="baseline"/>
              <w:rPr>
                <w:rStyle w:val="29"/>
                <w:rFonts w:ascii="宋体" w:hAnsi="宋体" w:cs="宋体"/>
                <w:b/>
                <w:bCs/>
                <w:color w:val="auto"/>
                <w:sz w:val="22"/>
                <w:szCs w:val="22"/>
                <w:highlight w:val="none"/>
              </w:rPr>
            </w:pPr>
            <w:r>
              <w:rPr>
                <w:rStyle w:val="29"/>
                <w:rFonts w:hint="eastAsia" w:ascii="宋体" w:hAnsi="宋体" w:cs="宋体"/>
                <w:b/>
                <w:bCs/>
                <w:color w:val="auto"/>
                <w:sz w:val="22"/>
                <w:szCs w:val="22"/>
                <w:highlight w:val="none"/>
              </w:rPr>
              <w:t>供货方案</w:t>
            </w:r>
          </w:p>
          <w:p>
            <w:pPr>
              <w:spacing w:line="360" w:lineRule="auto"/>
              <w:jc w:val="center"/>
              <w:textAlignment w:val="baseline"/>
              <w:rPr>
                <w:rStyle w:val="29"/>
                <w:rFonts w:ascii="宋体" w:hAnsi="宋体" w:cs="宋体"/>
                <w:b/>
                <w:bCs/>
                <w:color w:val="auto"/>
                <w:sz w:val="22"/>
                <w:szCs w:val="22"/>
                <w:highlight w:val="none"/>
              </w:rPr>
            </w:pPr>
            <w:r>
              <w:rPr>
                <w:rStyle w:val="29"/>
                <w:rFonts w:hint="eastAsia" w:ascii="宋体" w:hAnsi="宋体" w:cs="宋体"/>
                <w:b/>
                <w:bCs/>
                <w:color w:val="auto"/>
                <w:sz w:val="22"/>
                <w:szCs w:val="22"/>
                <w:highlight w:val="none"/>
              </w:rPr>
              <w:t>（15分）</w:t>
            </w:r>
          </w:p>
        </w:tc>
        <w:tc>
          <w:tcPr>
            <w:tcW w:w="6989" w:type="dxa"/>
            <w:tcBorders>
              <w:top w:val="single" w:color="000000" w:sz="4" w:space="0"/>
              <w:left w:val="single" w:color="000000" w:sz="4" w:space="0"/>
              <w:bottom w:val="single" w:color="auto" w:sz="4" w:space="0"/>
              <w:right w:val="single" w:color="000000" w:sz="4" w:space="0"/>
            </w:tcBorders>
            <w:vAlign w:val="center"/>
          </w:tcPr>
          <w:p>
            <w:pPr>
              <w:spacing w:line="360" w:lineRule="auto"/>
              <w:textAlignment w:val="baseline"/>
              <w:rPr>
                <w:rStyle w:val="29"/>
                <w:rFonts w:hint="eastAsia" w:ascii="宋体" w:hAnsi="宋体" w:cs="宋体"/>
                <w:color w:val="auto"/>
                <w:sz w:val="24"/>
                <w:highlight w:val="none"/>
              </w:rPr>
            </w:pPr>
            <w:r>
              <w:rPr>
                <w:rStyle w:val="29"/>
                <w:rFonts w:hint="eastAsia" w:ascii="宋体" w:hAnsi="宋体" w:cs="宋体"/>
                <w:color w:val="auto"/>
                <w:sz w:val="24"/>
                <w:highlight w:val="none"/>
              </w:rPr>
              <w:t>对投标人提供的供货方案进行打分：</w:t>
            </w:r>
          </w:p>
          <w:p>
            <w:pPr>
              <w:spacing w:line="360" w:lineRule="auto"/>
              <w:textAlignment w:val="baseline"/>
              <w:rPr>
                <w:rStyle w:val="29"/>
                <w:rFonts w:hint="eastAsia" w:ascii="宋体" w:hAnsi="宋体" w:cs="宋体"/>
                <w:color w:val="auto"/>
                <w:sz w:val="24"/>
                <w:highlight w:val="none"/>
              </w:rPr>
            </w:pPr>
            <w:r>
              <w:rPr>
                <w:rStyle w:val="29"/>
                <w:rFonts w:hint="eastAsia" w:ascii="宋体" w:hAnsi="宋体" w:cs="宋体"/>
                <w:color w:val="auto"/>
                <w:sz w:val="24"/>
                <w:highlight w:val="none"/>
              </w:rPr>
              <w:t>①供货进度控制措施；（</w:t>
            </w:r>
            <w:r>
              <w:rPr>
                <w:rStyle w:val="29"/>
                <w:rFonts w:hint="eastAsia" w:ascii="宋体" w:hAnsi="宋体" w:cs="宋体"/>
                <w:color w:val="auto"/>
                <w:sz w:val="24"/>
                <w:highlight w:val="none"/>
                <w:lang w:val="en-US"/>
              </w:rPr>
              <w:t>0-3分</w:t>
            </w:r>
            <w:r>
              <w:rPr>
                <w:rStyle w:val="29"/>
                <w:rFonts w:hint="eastAsia" w:ascii="宋体" w:hAnsi="宋体" w:cs="宋体"/>
                <w:color w:val="auto"/>
                <w:sz w:val="24"/>
                <w:highlight w:val="none"/>
              </w:rPr>
              <w:t>）</w:t>
            </w:r>
          </w:p>
          <w:p>
            <w:pPr>
              <w:spacing w:line="360" w:lineRule="auto"/>
              <w:textAlignment w:val="baseline"/>
              <w:rPr>
                <w:rStyle w:val="29"/>
                <w:rFonts w:hint="eastAsia" w:ascii="宋体" w:hAnsi="宋体" w:cs="宋体"/>
                <w:color w:val="auto"/>
                <w:sz w:val="24"/>
                <w:highlight w:val="none"/>
              </w:rPr>
            </w:pPr>
            <w:r>
              <w:rPr>
                <w:rStyle w:val="29"/>
                <w:rFonts w:hint="eastAsia" w:ascii="宋体" w:hAnsi="宋体" w:cs="宋体"/>
                <w:color w:val="auto"/>
                <w:sz w:val="24"/>
                <w:highlight w:val="none"/>
              </w:rPr>
              <w:t>②拟派管理人员配备齐全；（</w:t>
            </w:r>
            <w:r>
              <w:rPr>
                <w:rStyle w:val="29"/>
                <w:rFonts w:hint="eastAsia" w:ascii="宋体" w:hAnsi="宋体" w:cs="宋体"/>
                <w:color w:val="auto"/>
                <w:sz w:val="24"/>
                <w:highlight w:val="none"/>
                <w:lang w:val="en-US"/>
              </w:rPr>
              <w:t>0-3分</w:t>
            </w:r>
            <w:r>
              <w:rPr>
                <w:rStyle w:val="29"/>
                <w:rFonts w:hint="eastAsia" w:ascii="宋体" w:hAnsi="宋体" w:cs="宋体"/>
                <w:color w:val="auto"/>
                <w:sz w:val="24"/>
                <w:highlight w:val="none"/>
              </w:rPr>
              <w:t>）</w:t>
            </w:r>
          </w:p>
          <w:p>
            <w:pPr>
              <w:spacing w:line="360" w:lineRule="auto"/>
              <w:textAlignment w:val="baseline"/>
              <w:rPr>
                <w:rStyle w:val="29"/>
                <w:rFonts w:hint="eastAsia" w:ascii="宋体" w:hAnsi="宋体" w:cs="宋体"/>
                <w:color w:val="auto"/>
                <w:sz w:val="24"/>
                <w:highlight w:val="none"/>
              </w:rPr>
            </w:pPr>
            <w:r>
              <w:rPr>
                <w:rStyle w:val="29"/>
                <w:rFonts w:hint="eastAsia" w:ascii="宋体" w:hAnsi="宋体" w:cs="宋体"/>
                <w:color w:val="auto"/>
                <w:sz w:val="24"/>
                <w:highlight w:val="none"/>
              </w:rPr>
              <w:t>③拟派专业技术人员齐全；（</w:t>
            </w:r>
            <w:r>
              <w:rPr>
                <w:rStyle w:val="29"/>
                <w:rFonts w:hint="eastAsia" w:ascii="宋体" w:hAnsi="宋体" w:cs="宋体"/>
                <w:color w:val="auto"/>
                <w:sz w:val="24"/>
                <w:highlight w:val="none"/>
                <w:lang w:val="en-US"/>
              </w:rPr>
              <w:t>0-3分</w:t>
            </w:r>
            <w:r>
              <w:rPr>
                <w:rStyle w:val="29"/>
                <w:rFonts w:hint="eastAsia" w:ascii="宋体" w:hAnsi="宋体" w:cs="宋体"/>
                <w:color w:val="auto"/>
                <w:sz w:val="24"/>
                <w:highlight w:val="none"/>
              </w:rPr>
              <w:t>）</w:t>
            </w:r>
          </w:p>
          <w:p>
            <w:pPr>
              <w:spacing w:line="360" w:lineRule="auto"/>
              <w:textAlignment w:val="baseline"/>
              <w:rPr>
                <w:rStyle w:val="29"/>
                <w:rFonts w:hint="eastAsia" w:ascii="宋体" w:hAnsi="宋体" w:cs="宋体"/>
                <w:color w:val="auto"/>
                <w:sz w:val="24"/>
                <w:highlight w:val="none"/>
              </w:rPr>
            </w:pPr>
            <w:r>
              <w:rPr>
                <w:rStyle w:val="29"/>
                <w:rFonts w:hint="eastAsia" w:ascii="宋体" w:hAnsi="宋体" w:cs="宋体"/>
                <w:color w:val="auto"/>
                <w:sz w:val="24"/>
                <w:highlight w:val="none"/>
              </w:rPr>
              <w:t>④运输配送保障措施；（</w:t>
            </w:r>
            <w:r>
              <w:rPr>
                <w:rStyle w:val="29"/>
                <w:rFonts w:hint="eastAsia" w:ascii="宋体" w:hAnsi="宋体" w:cs="宋体"/>
                <w:color w:val="auto"/>
                <w:sz w:val="24"/>
                <w:highlight w:val="none"/>
                <w:lang w:val="en-US"/>
              </w:rPr>
              <w:t>0-3分</w:t>
            </w:r>
            <w:r>
              <w:rPr>
                <w:rStyle w:val="29"/>
                <w:rFonts w:hint="eastAsia" w:ascii="宋体" w:hAnsi="宋体" w:cs="宋体"/>
                <w:color w:val="auto"/>
                <w:sz w:val="24"/>
                <w:highlight w:val="none"/>
              </w:rPr>
              <w:t>）</w:t>
            </w:r>
          </w:p>
          <w:p>
            <w:pPr>
              <w:spacing w:line="360" w:lineRule="auto"/>
              <w:textAlignment w:val="baseline"/>
              <w:rPr>
                <w:rStyle w:val="29"/>
                <w:rFonts w:hint="eastAsia" w:ascii="宋体" w:hAnsi="宋体" w:cs="宋体"/>
                <w:color w:val="auto"/>
                <w:sz w:val="24"/>
                <w:highlight w:val="none"/>
              </w:rPr>
            </w:pPr>
            <w:r>
              <w:rPr>
                <w:rStyle w:val="29"/>
                <w:rFonts w:hint="eastAsia" w:ascii="宋体" w:hAnsi="宋体" w:cs="宋体"/>
                <w:color w:val="auto"/>
                <w:sz w:val="24"/>
                <w:highlight w:val="none"/>
              </w:rPr>
              <w:t>⑤应急处置预案供货服务方案；（</w:t>
            </w:r>
            <w:r>
              <w:rPr>
                <w:rStyle w:val="29"/>
                <w:rFonts w:hint="eastAsia" w:ascii="宋体" w:hAnsi="宋体" w:cs="宋体"/>
                <w:color w:val="auto"/>
                <w:sz w:val="24"/>
                <w:highlight w:val="none"/>
                <w:lang w:val="en-US"/>
              </w:rPr>
              <w:t>0-3分</w:t>
            </w:r>
            <w:r>
              <w:rPr>
                <w:rStyle w:val="29"/>
                <w:rFonts w:hint="eastAsia" w:ascii="宋体" w:hAnsi="宋体" w:cs="宋体"/>
                <w:color w:val="auto"/>
                <w:sz w:val="24"/>
                <w:highlight w:val="none"/>
              </w:rPr>
              <w:t>）</w:t>
            </w:r>
          </w:p>
          <w:p>
            <w:pPr>
              <w:spacing w:line="360" w:lineRule="auto"/>
              <w:textAlignment w:val="baseline"/>
              <w:rPr>
                <w:rStyle w:val="29"/>
                <w:rFonts w:ascii="宋体" w:hAnsi="宋体" w:cs="宋体"/>
                <w:color w:val="auto"/>
                <w:sz w:val="24"/>
                <w:highlight w:val="none"/>
              </w:rPr>
            </w:pPr>
            <w:r>
              <w:rPr>
                <w:rStyle w:val="29"/>
                <w:rFonts w:hint="eastAsia" w:ascii="宋体" w:hAnsi="宋体" w:cs="宋体"/>
                <w:color w:val="auto"/>
                <w:sz w:val="24"/>
                <w:highlight w:val="none"/>
              </w:rPr>
              <w:t>以上5项内容要求：描述详细、流程清晰、人员齐全、安全可靠，由 评标委员会酌情打分， 未提供不计分。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1980"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textAlignment w:val="baseline"/>
              <w:rPr>
                <w:rStyle w:val="29"/>
                <w:rFonts w:ascii="宋体" w:hAnsi="宋体" w:cs="宋体"/>
                <w:b/>
                <w:bCs/>
                <w:color w:val="auto"/>
                <w:sz w:val="22"/>
                <w:szCs w:val="22"/>
                <w:highlight w:val="none"/>
              </w:rPr>
            </w:pPr>
            <w:r>
              <w:rPr>
                <w:rStyle w:val="29"/>
                <w:rFonts w:hint="eastAsia" w:ascii="宋体" w:hAnsi="宋体" w:cs="宋体"/>
                <w:b/>
                <w:bCs/>
                <w:color w:val="auto"/>
                <w:sz w:val="22"/>
                <w:szCs w:val="22"/>
                <w:highlight w:val="none"/>
              </w:rPr>
              <w:t>技术参数</w:t>
            </w:r>
          </w:p>
          <w:p>
            <w:pPr>
              <w:spacing w:line="360" w:lineRule="auto"/>
              <w:jc w:val="center"/>
              <w:textAlignment w:val="baseline"/>
              <w:rPr>
                <w:rStyle w:val="29"/>
                <w:rFonts w:ascii="宋体" w:hAnsi="宋体" w:cs="宋体"/>
                <w:b/>
                <w:bCs/>
                <w:color w:val="auto"/>
                <w:sz w:val="22"/>
                <w:szCs w:val="22"/>
                <w:highlight w:val="none"/>
              </w:rPr>
            </w:pPr>
            <w:r>
              <w:rPr>
                <w:rStyle w:val="29"/>
                <w:rFonts w:hint="eastAsia" w:ascii="宋体" w:hAnsi="宋体" w:cs="宋体"/>
                <w:b/>
                <w:bCs/>
                <w:color w:val="auto"/>
                <w:sz w:val="22"/>
                <w:szCs w:val="22"/>
                <w:highlight w:val="none"/>
              </w:rPr>
              <w:t>（10分）</w:t>
            </w:r>
          </w:p>
        </w:tc>
        <w:tc>
          <w:tcPr>
            <w:tcW w:w="6989" w:type="dxa"/>
            <w:tcBorders>
              <w:top w:val="single" w:color="auto" w:sz="4" w:space="0"/>
              <w:left w:val="single" w:color="000000" w:sz="4" w:space="0"/>
              <w:bottom w:val="single" w:color="auto" w:sz="4" w:space="0"/>
              <w:right w:val="single" w:color="000000" w:sz="4" w:space="0"/>
            </w:tcBorders>
            <w:vAlign w:val="center"/>
          </w:tcPr>
          <w:p>
            <w:pPr>
              <w:spacing w:line="360" w:lineRule="auto"/>
              <w:textAlignment w:val="baseline"/>
              <w:rPr>
                <w:rStyle w:val="29"/>
                <w:rFonts w:ascii="宋体" w:hAnsi="宋体" w:cs="宋体"/>
                <w:color w:val="auto"/>
                <w:sz w:val="24"/>
                <w:highlight w:val="none"/>
              </w:rPr>
            </w:pPr>
            <w:r>
              <w:rPr>
                <w:rStyle w:val="29"/>
                <w:rFonts w:hint="eastAsia" w:ascii="宋体" w:hAnsi="宋体" w:cs="宋体"/>
                <w:color w:val="auto"/>
                <w:sz w:val="24"/>
                <w:highlight w:val="none"/>
              </w:rPr>
              <w:t>所投产品技术参数必须完全符合、响应招标文件要求，每优于招标文件要求技术参数1项，加1分，最高得10分；所投产品技术参数不允许有负偏离，若有负偏离按无效响应处理。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0" w:hRule="atLeast"/>
        </w:trPr>
        <w:tc>
          <w:tcPr>
            <w:tcW w:w="1980"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textAlignment w:val="baseline"/>
              <w:rPr>
                <w:rStyle w:val="29"/>
                <w:rFonts w:ascii="宋体" w:hAnsi="宋体" w:cs="宋体"/>
                <w:b/>
                <w:bCs/>
                <w:color w:val="auto"/>
                <w:sz w:val="22"/>
                <w:szCs w:val="22"/>
                <w:highlight w:val="none"/>
              </w:rPr>
            </w:pPr>
            <w:r>
              <w:rPr>
                <w:rStyle w:val="29"/>
                <w:rFonts w:hint="eastAsia" w:ascii="宋体" w:hAnsi="宋体" w:cs="宋体"/>
                <w:b/>
                <w:bCs/>
                <w:color w:val="auto"/>
                <w:sz w:val="22"/>
                <w:szCs w:val="22"/>
                <w:highlight w:val="none"/>
              </w:rPr>
              <w:t>产品来源证明</w:t>
            </w:r>
          </w:p>
          <w:p>
            <w:pPr>
              <w:spacing w:line="360" w:lineRule="auto"/>
              <w:jc w:val="center"/>
              <w:textAlignment w:val="baseline"/>
              <w:rPr>
                <w:rStyle w:val="29"/>
                <w:rFonts w:ascii="宋体" w:hAnsi="宋体" w:cs="宋体"/>
                <w:b/>
                <w:bCs/>
                <w:color w:val="auto"/>
                <w:sz w:val="22"/>
                <w:szCs w:val="22"/>
                <w:highlight w:val="none"/>
              </w:rPr>
            </w:pPr>
            <w:r>
              <w:rPr>
                <w:rStyle w:val="29"/>
                <w:rFonts w:hint="eastAsia" w:ascii="宋体" w:hAnsi="宋体" w:cs="宋体"/>
                <w:b/>
                <w:bCs/>
                <w:color w:val="auto"/>
                <w:sz w:val="22"/>
                <w:szCs w:val="22"/>
                <w:highlight w:val="none"/>
              </w:rPr>
              <w:t>（</w:t>
            </w:r>
            <w:r>
              <w:rPr>
                <w:rStyle w:val="29"/>
                <w:rFonts w:hint="eastAsia" w:ascii="宋体" w:hAnsi="宋体" w:cs="宋体"/>
                <w:b/>
                <w:bCs/>
                <w:color w:val="auto"/>
                <w:sz w:val="22"/>
                <w:szCs w:val="22"/>
                <w:highlight w:val="none"/>
                <w:lang w:val="en-US"/>
              </w:rPr>
              <w:t>6</w:t>
            </w:r>
            <w:r>
              <w:rPr>
                <w:rStyle w:val="29"/>
                <w:rFonts w:hint="eastAsia" w:ascii="宋体" w:hAnsi="宋体" w:cs="宋体"/>
                <w:b/>
                <w:bCs/>
                <w:color w:val="auto"/>
                <w:sz w:val="22"/>
                <w:szCs w:val="22"/>
                <w:highlight w:val="none"/>
              </w:rPr>
              <w:t>分）</w:t>
            </w:r>
          </w:p>
        </w:tc>
        <w:tc>
          <w:tcPr>
            <w:tcW w:w="6989" w:type="dxa"/>
            <w:tcBorders>
              <w:top w:val="single" w:color="auto" w:sz="4" w:space="0"/>
              <w:left w:val="single" w:color="000000" w:sz="4" w:space="0"/>
              <w:bottom w:val="single" w:color="auto" w:sz="4" w:space="0"/>
              <w:right w:val="single" w:color="000000" w:sz="4" w:space="0"/>
            </w:tcBorders>
            <w:vAlign w:val="center"/>
          </w:tcPr>
          <w:p>
            <w:pPr>
              <w:spacing w:line="360" w:lineRule="auto"/>
              <w:textAlignment w:val="baseline"/>
              <w:rPr>
                <w:rStyle w:val="29"/>
                <w:rFonts w:ascii="宋体" w:hAnsi="宋体" w:cs="宋体"/>
                <w:color w:val="auto"/>
                <w:sz w:val="24"/>
                <w:highlight w:val="none"/>
              </w:rPr>
            </w:pPr>
            <w:r>
              <w:rPr>
                <w:rStyle w:val="29"/>
                <w:rFonts w:hint="eastAsia" w:ascii="宋体" w:hAnsi="宋体" w:cs="宋体"/>
                <w:color w:val="auto"/>
                <w:sz w:val="24"/>
                <w:highlight w:val="none"/>
              </w:rPr>
              <w:t>投标产品货源渠道正常，能提供所有产品的合法来源渠道证明文件（包括但不限于产品制造商针对本项目的授权、销售协议、代理协议、等），得</w:t>
            </w:r>
            <w:r>
              <w:rPr>
                <w:rStyle w:val="29"/>
                <w:rFonts w:hint="eastAsia" w:ascii="宋体" w:hAnsi="宋体" w:cs="宋体"/>
                <w:color w:val="auto"/>
                <w:sz w:val="24"/>
                <w:highlight w:val="none"/>
                <w:lang w:val="en-US"/>
              </w:rPr>
              <w:t>6</w:t>
            </w:r>
            <w:r>
              <w:rPr>
                <w:rStyle w:val="29"/>
                <w:rFonts w:hint="eastAsia" w:ascii="宋体" w:hAnsi="宋体" w:cs="宋体"/>
                <w:color w:val="auto"/>
                <w:sz w:val="24"/>
                <w:highlight w:val="none"/>
              </w:rPr>
              <w:t>分，提供不全或不提供的不计分。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980"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textAlignment w:val="baseline"/>
              <w:rPr>
                <w:rStyle w:val="29"/>
                <w:rFonts w:ascii="宋体" w:hAnsi="宋体" w:cs="宋体"/>
                <w:b/>
                <w:bCs/>
                <w:color w:val="auto"/>
                <w:sz w:val="22"/>
                <w:szCs w:val="22"/>
                <w:highlight w:val="none"/>
              </w:rPr>
            </w:pPr>
            <w:r>
              <w:rPr>
                <w:rStyle w:val="29"/>
                <w:rFonts w:hint="eastAsia" w:ascii="宋体" w:hAnsi="宋体" w:cs="宋体"/>
                <w:b/>
                <w:bCs/>
                <w:color w:val="auto"/>
                <w:sz w:val="22"/>
                <w:szCs w:val="22"/>
                <w:highlight w:val="none"/>
              </w:rPr>
              <w:t>产品质量保证</w:t>
            </w:r>
          </w:p>
          <w:p>
            <w:pPr>
              <w:spacing w:line="360" w:lineRule="auto"/>
              <w:jc w:val="center"/>
              <w:textAlignment w:val="baseline"/>
              <w:rPr>
                <w:rFonts w:ascii="宋体" w:hAnsi="宋体" w:cs="宋体"/>
                <w:color w:val="auto"/>
                <w:highlight w:val="none"/>
              </w:rPr>
            </w:pPr>
            <w:r>
              <w:rPr>
                <w:rStyle w:val="29"/>
                <w:rFonts w:hint="eastAsia" w:ascii="宋体" w:hAnsi="宋体" w:cs="宋体"/>
                <w:b/>
                <w:bCs/>
                <w:color w:val="auto"/>
                <w:sz w:val="22"/>
                <w:szCs w:val="22"/>
                <w:highlight w:val="none"/>
              </w:rPr>
              <w:t>（</w:t>
            </w:r>
            <w:r>
              <w:rPr>
                <w:rStyle w:val="29"/>
                <w:rFonts w:hint="eastAsia" w:ascii="宋体" w:hAnsi="宋体" w:cs="宋体"/>
                <w:b/>
                <w:bCs/>
                <w:color w:val="auto"/>
                <w:sz w:val="22"/>
                <w:szCs w:val="22"/>
                <w:highlight w:val="none"/>
                <w:lang w:val="en-US"/>
              </w:rPr>
              <w:t>10</w:t>
            </w:r>
            <w:r>
              <w:rPr>
                <w:rStyle w:val="29"/>
                <w:rFonts w:hint="eastAsia" w:ascii="宋体" w:hAnsi="宋体" w:cs="宋体"/>
                <w:b/>
                <w:bCs/>
                <w:color w:val="auto"/>
                <w:sz w:val="22"/>
                <w:szCs w:val="22"/>
                <w:highlight w:val="none"/>
              </w:rPr>
              <w:t>分）</w:t>
            </w:r>
          </w:p>
        </w:tc>
        <w:tc>
          <w:tcPr>
            <w:tcW w:w="6989" w:type="dxa"/>
            <w:tcBorders>
              <w:top w:val="single" w:color="auto" w:sz="4" w:space="0"/>
              <w:left w:val="single" w:color="000000" w:sz="4" w:space="0"/>
              <w:bottom w:val="single" w:color="auto" w:sz="4" w:space="0"/>
              <w:right w:val="single" w:color="000000" w:sz="4" w:space="0"/>
            </w:tcBorders>
            <w:vAlign w:val="center"/>
          </w:tcPr>
          <w:p>
            <w:pPr>
              <w:spacing w:line="360" w:lineRule="auto"/>
              <w:textAlignment w:val="baseline"/>
              <w:rPr>
                <w:rStyle w:val="29"/>
                <w:rFonts w:hint="eastAsia" w:ascii="宋体" w:hAnsi="宋体" w:cs="宋体"/>
                <w:color w:val="auto"/>
                <w:sz w:val="24"/>
                <w:highlight w:val="none"/>
              </w:rPr>
            </w:pPr>
            <w:r>
              <w:rPr>
                <w:rStyle w:val="29"/>
                <w:rFonts w:hint="eastAsia" w:ascii="宋体" w:hAnsi="宋体" w:cs="宋体"/>
                <w:color w:val="auto"/>
                <w:sz w:val="24"/>
                <w:highlight w:val="none"/>
              </w:rPr>
              <w:t>（1）投标产品制造厂家或代理商有可靠、完善的管理制度；（0-</w:t>
            </w:r>
            <w:r>
              <w:rPr>
                <w:rStyle w:val="29"/>
                <w:rFonts w:hint="eastAsia" w:ascii="宋体" w:hAnsi="宋体" w:cs="宋体"/>
                <w:color w:val="auto"/>
                <w:sz w:val="24"/>
                <w:highlight w:val="none"/>
                <w:lang w:val="en-US"/>
              </w:rPr>
              <w:t>4</w:t>
            </w:r>
            <w:r>
              <w:rPr>
                <w:rStyle w:val="29"/>
                <w:rFonts w:hint="eastAsia" w:ascii="宋体" w:hAnsi="宋体" w:cs="宋体"/>
                <w:color w:val="auto"/>
                <w:sz w:val="24"/>
                <w:highlight w:val="none"/>
              </w:rPr>
              <w:t>）</w:t>
            </w:r>
          </w:p>
          <w:p>
            <w:pPr>
              <w:spacing w:line="360" w:lineRule="auto"/>
              <w:textAlignment w:val="baseline"/>
              <w:rPr>
                <w:rStyle w:val="29"/>
                <w:rFonts w:hint="eastAsia" w:ascii="宋体" w:hAnsi="宋体" w:cs="宋体"/>
                <w:color w:val="auto"/>
                <w:sz w:val="24"/>
                <w:highlight w:val="none"/>
              </w:rPr>
            </w:pPr>
            <w:r>
              <w:rPr>
                <w:rStyle w:val="29"/>
                <w:rFonts w:hint="eastAsia" w:ascii="宋体" w:hAnsi="宋体" w:cs="宋体"/>
                <w:color w:val="auto"/>
                <w:sz w:val="24"/>
                <w:highlight w:val="none"/>
              </w:rPr>
              <w:t>（2）具有质量管理体系、环境管理体系、职业健康与安全管理体系证书，有足够的设计、工艺、加工、检验能力；其中质量管理体系、环境管理体系、职业健康与安全管理体系证书每提供1项，得1分。（0-</w:t>
            </w:r>
            <w:r>
              <w:rPr>
                <w:rStyle w:val="29"/>
                <w:rFonts w:hint="eastAsia" w:ascii="宋体" w:hAnsi="宋体" w:cs="宋体"/>
                <w:color w:val="auto"/>
                <w:sz w:val="24"/>
                <w:highlight w:val="none"/>
                <w:lang w:val="en-US"/>
              </w:rPr>
              <w:t>6</w:t>
            </w:r>
            <w:r>
              <w:rPr>
                <w:rStyle w:val="29"/>
                <w:rFonts w:hint="eastAsia" w:ascii="宋体" w:hAnsi="宋体" w:cs="宋体"/>
                <w:color w:val="auto"/>
                <w:sz w:val="24"/>
                <w:highlight w:val="none"/>
              </w:rPr>
              <w:t>）</w:t>
            </w:r>
          </w:p>
          <w:p>
            <w:pPr>
              <w:spacing w:line="360" w:lineRule="auto"/>
              <w:textAlignment w:val="baseline"/>
              <w:rPr>
                <w:rStyle w:val="29"/>
                <w:rFonts w:ascii="宋体" w:hAnsi="宋体" w:cs="宋体"/>
                <w:color w:val="auto"/>
                <w:sz w:val="24"/>
                <w:highlight w:val="none"/>
              </w:rPr>
            </w:pPr>
            <w:r>
              <w:rPr>
                <w:rStyle w:val="29"/>
                <w:rFonts w:hint="eastAsia" w:ascii="宋体" w:hAnsi="宋体" w:cs="宋体"/>
                <w:color w:val="auto"/>
                <w:sz w:val="24"/>
                <w:highlight w:val="none"/>
              </w:rPr>
              <w:t>由评标委员会根据内容具体、完整、详细、全面的横向比较进行打分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9" w:hRule="atLeast"/>
        </w:trPr>
        <w:tc>
          <w:tcPr>
            <w:tcW w:w="1980" w:type="dxa"/>
            <w:tcBorders>
              <w:top w:val="single" w:color="000000" w:sz="4" w:space="0"/>
              <w:left w:val="single" w:color="000000" w:sz="4" w:space="0"/>
              <w:bottom w:val="single" w:color="auto" w:sz="4" w:space="0"/>
              <w:right w:val="single" w:color="000000" w:sz="4" w:space="0"/>
            </w:tcBorders>
            <w:vAlign w:val="center"/>
          </w:tcPr>
          <w:p>
            <w:pPr>
              <w:spacing w:line="360" w:lineRule="auto"/>
              <w:jc w:val="center"/>
              <w:textAlignment w:val="baseline"/>
              <w:rPr>
                <w:rStyle w:val="29"/>
                <w:rFonts w:ascii="宋体" w:hAnsi="宋体" w:cs="宋体"/>
                <w:b/>
                <w:bCs/>
                <w:color w:val="auto"/>
                <w:sz w:val="22"/>
                <w:szCs w:val="22"/>
                <w:highlight w:val="none"/>
              </w:rPr>
            </w:pPr>
            <w:r>
              <w:rPr>
                <w:rStyle w:val="29"/>
                <w:rFonts w:hint="eastAsia" w:ascii="宋体" w:hAnsi="宋体" w:cs="宋体"/>
                <w:b/>
                <w:bCs/>
                <w:color w:val="auto"/>
                <w:sz w:val="22"/>
                <w:szCs w:val="22"/>
                <w:highlight w:val="none"/>
              </w:rPr>
              <w:t>业绩</w:t>
            </w:r>
          </w:p>
          <w:p>
            <w:pPr>
              <w:spacing w:line="360" w:lineRule="auto"/>
              <w:jc w:val="center"/>
              <w:textAlignment w:val="baseline"/>
              <w:rPr>
                <w:rStyle w:val="29"/>
                <w:rFonts w:ascii="宋体" w:hAnsi="宋体" w:cs="宋体"/>
                <w:b/>
                <w:bCs/>
                <w:color w:val="auto"/>
                <w:sz w:val="22"/>
                <w:szCs w:val="22"/>
                <w:highlight w:val="none"/>
              </w:rPr>
            </w:pPr>
            <w:r>
              <w:rPr>
                <w:rStyle w:val="29"/>
                <w:rFonts w:hint="eastAsia" w:ascii="宋体" w:hAnsi="宋体" w:cs="宋体"/>
                <w:b/>
                <w:bCs/>
                <w:color w:val="auto"/>
                <w:sz w:val="22"/>
                <w:szCs w:val="22"/>
                <w:highlight w:val="none"/>
              </w:rPr>
              <w:t>（10分）</w:t>
            </w:r>
          </w:p>
        </w:tc>
        <w:tc>
          <w:tcPr>
            <w:tcW w:w="6989" w:type="dxa"/>
            <w:tcBorders>
              <w:top w:val="single" w:color="000000" w:sz="4" w:space="0"/>
              <w:left w:val="single" w:color="000000" w:sz="4" w:space="0"/>
              <w:bottom w:val="single" w:color="auto" w:sz="4" w:space="0"/>
              <w:right w:val="single" w:color="000000" w:sz="4" w:space="0"/>
            </w:tcBorders>
            <w:vAlign w:val="center"/>
          </w:tcPr>
          <w:p>
            <w:pPr>
              <w:spacing w:line="360" w:lineRule="auto"/>
              <w:textAlignment w:val="baseline"/>
              <w:rPr>
                <w:rStyle w:val="29"/>
                <w:rFonts w:ascii="宋体" w:hAnsi="宋体" w:cs="宋体"/>
                <w:color w:val="auto"/>
                <w:sz w:val="24"/>
                <w:highlight w:val="none"/>
              </w:rPr>
            </w:pPr>
            <w:r>
              <w:rPr>
                <w:rStyle w:val="29"/>
                <w:rFonts w:hint="eastAsia" w:ascii="宋体" w:hAnsi="宋体" w:cs="宋体"/>
                <w:color w:val="auto"/>
                <w:sz w:val="24"/>
                <w:highlight w:val="none"/>
              </w:rPr>
              <w:t>1.投标单位提供2019年1月至今环卫车辆或设备类似业绩，以合同或中标通知书为准，每提供一份计1分，满分5分。</w:t>
            </w:r>
          </w:p>
          <w:p>
            <w:pPr>
              <w:spacing w:line="360" w:lineRule="auto"/>
              <w:textAlignment w:val="baseline"/>
              <w:rPr>
                <w:rStyle w:val="29"/>
                <w:rFonts w:ascii="宋体" w:hAnsi="宋体" w:cs="宋体"/>
                <w:color w:val="auto"/>
                <w:sz w:val="24"/>
                <w:highlight w:val="none"/>
              </w:rPr>
            </w:pPr>
            <w:r>
              <w:rPr>
                <w:rStyle w:val="29"/>
                <w:rFonts w:hint="eastAsia" w:ascii="宋体" w:hAnsi="宋体" w:cs="宋体"/>
                <w:color w:val="auto"/>
                <w:sz w:val="24"/>
                <w:highlight w:val="none"/>
              </w:rPr>
              <w:t>2.投标人提供在“经验业绩”评审项中核实有效业绩的用户使用评价材料，用户使用评价材料为良好或以上或同等含义的每提供一项得 1 分，最高得5分，未提供的不得分。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1980" w:type="dxa"/>
            <w:tcBorders>
              <w:top w:val="single" w:color="auto" w:sz="4" w:space="0"/>
              <w:left w:val="single" w:color="000000" w:sz="4" w:space="0"/>
              <w:bottom w:val="single" w:color="000000" w:sz="4" w:space="0"/>
              <w:right w:val="single" w:color="000000" w:sz="4" w:space="0"/>
            </w:tcBorders>
            <w:vAlign w:val="center"/>
          </w:tcPr>
          <w:p>
            <w:pPr>
              <w:spacing w:line="360" w:lineRule="auto"/>
              <w:jc w:val="center"/>
              <w:textAlignment w:val="baseline"/>
              <w:rPr>
                <w:rStyle w:val="29"/>
                <w:rFonts w:ascii="宋体" w:hAnsi="宋体" w:cs="宋体"/>
                <w:b/>
                <w:bCs/>
                <w:color w:val="auto"/>
                <w:sz w:val="22"/>
                <w:szCs w:val="22"/>
                <w:highlight w:val="none"/>
              </w:rPr>
            </w:pPr>
            <w:r>
              <w:rPr>
                <w:rStyle w:val="29"/>
                <w:rFonts w:hint="eastAsia" w:ascii="宋体" w:hAnsi="宋体" w:cs="宋体"/>
                <w:b/>
                <w:bCs/>
                <w:color w:val="auto"/>
                <w:sz w:val="22"/>
                <w:szCs w:val="22"/>
                <w:highlight w:val="none"/>
              </w:rPr>
              <w:t>供货期</w:t>
            </w:r>
          </w:p>
          <w:p>
            <w:pPr>
              <w:spacing w:line="360" w:lineRule="auto"/>
              <w:jc w:val="center"/>
              <w:textAlignment w:val="baseline"/>
              <w:rPr>
                <w:rStyle w:val="29"/>
                <w:rFonts w:ascii="宋体" w:hAnsi="宋体" w:cs="宋体"/>
                <w:b/>
                <w:bCs/>
                <w:color w:val="auto"/>
                <w:sz w:val="22"/>
                <w:szCs w:val="22"/>
                <w:highlight w:val="none"/>
              </w:rPr>
            </w:pPr>
            <w:r>
              <w:rPr>
                <w:rStyle w:val="29"/>
                <w:rFonts w:hint="eastAsia" w:ascii="宋体" w:hAnsi="宋体" w:cs="宋体"/>
                <w:b/>
                <w:bCs/>
                <w:color w:val="auto"/>
                <w:sz w:val="22"/>
                <w:szCs w:val="22"/>
                <w:highlight w:val="none"/>
              </w:rPr>
              <w:t>（3分）</w:t>
            </w:r>
          </w:p>
        </w:tc>
        <w:tc>
          <w:tcPr>
            <w:tcW w:w="6989" w:type="dxa"/>
            <w:tcBorders>
              <w:top w:val="single" w:color="auto" w:sz="4" w:space="0"/>
              <w:left w:val="single" w:color="000000" w:sz="4" w:space="0"/>
              <w:bottom w:val="single" w:color="000000" w:sz="4" w:space="0"/>
              <w:right w:val="single" w:color="000000" w:sz="4" w:space="0"/>
            </w:tcBorders>
            <w:vAlign w:val="center"/>
          </w:tcPr>
          <w:p>
            <w:pPr>
              <w:spacing w:line="360" w:lineRule="auto"/>
              <w:textAlignment w:val="baseline"/>
              <w:rPr>
                <w:rStyle w:val="29"/>
                <w:rFonts w:ascii="宋体" w:hAnsi="宋体" w:cs="宋体"/>
                <w:color w:val="auto"/>
                <w:sz w:val="24"/>
                <w:highlight w:val="none"/>
              </w:rPr>
            </w:pPr>
            <w:r>
              <w:rPr>
                <w:rStyle w:val="29"/>
                <w:rFonts w:hint="eastAsia" w:ascii="宋体" w:hAnsi="宋体" w:cs="宋体"/>
                <w:color w:val="auto"/>
                <w:sz w:val="24"/>
                <w:highlight w:val="none"/>
              </w:rPr>
              <w:t>供货期必须满足招标文件要求，每提早1天，加1分，最高3分。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8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baseline"/>
              <w:rPr>
                <w:rStyle w:val="29"/>
                <w:rFonts w:ascii="宋体" w:hAnsi="宋体" w:cs="宋体"/>
                <w:b/>
                <w:bCs/>
                <w:color w:val="auto"/>
                <w:sz w:val="22"/>
                <w:szCs w:val="22"/>
                <w:highlight w:val="none"/>
              </w:rPr>
            </w:pPr>
            <w:r>
              <w:rPr>
                <w:rStyle w:val="29"/>
                <w:rFonts w:hint="eastAsia" w:ascii="宋体" w:hAnsi="宋体" w:cs="宋体"/>
                <w:b/>
                <w:bCs/>
                <w:color w:val="auto"/>
                <w:sz w:val="22"/>
                <w:szCs w:val="22"/>
                <w:highlight w:val="none"/>
              </w:rPr>
              <w:t>质保期</w:t>
            </w:r>
          </w:p>
          <w:p>
            <w:pPr>
              <w:spacing w:line="360" w:lineRule="auto"/>
              <w:jc w:val="center"/>
              <w:textAlignment w:val="baseline"/>
              <w:rPr>
                <w:rStyle w:val="29"/>
                <w:rFonts w:ascii="宋体" w:hAnsi="宋体" w:cs="宋体"/>
                <w:b/>
                <w:bCs/>
                <w:color w:val="auto"/>
                <w:sz w:val="22"/>
                <w:szCs w:val="22"/>
                <w:highlight w:val="none"/>
              </w:rPr>
            </w:pPr>
            <w:r>
              <w:rPr>
                <w:rStyle w:val="29"/>
                <w:rFonts w:hint="eastAsia" w:ascii="宋体" w:hAnsi="宋体" w:cs="宋体"/>
                <w:b/>
                <w:bCs/>
                <w:color w:val="auto"/>
                <w:sz w:val="22"/>
                <w:szCs w:val="22"/>
                <w:highlight w:val="none"/>
              </w:rPr>
              <w:t>（4分）</w:t>
            </w:r>
          </w:p>
        </w:tc>
        <w:tc>
          <w:tcPr>
            <w:tcW w:w="6989" w:type="dxa"/>
            <w:tcBorders>
              <w:top w:val="single" w:color="000000" w:sz="4" w:space="0"/>
              <w:left w:val="single" w:color="000000" w:sz="4" w:space="0"/>
              <w:bottom w:val="single" w:color="000000" w:sz="4" w:space="0"/>
              <w:right w:val="single" w:color="000000" w:sz="4" w:space="0"/>
            </w:tcBorders>
            <w:vAlign w:val="center"/>
          </w:tcPr>
          <w:p>
            <w:pPr>
              <w:spacing w:line="360" w:lineRule="auto"/>
              <w:textAlignment w:val="baseline"/>
              <w:rPr>
                <w:rStyle w:val="29"/>
                <w:rFonts w:ascii="宋体" w:hAnsi="宋体" w:cs="宋体"/>
                <w:color w:val="auto"/>
                <w:sz w:val="24"/>
                <w:highlight w:val="none"/>
              </w:rPr>
            </w:pPr>
            <w:r>
              <w:rPr>
                <w:rStyle w:val="29"/>
                <w:rFonts w:hint="eastAsia" w:ascii="宋体" w:hAnsi="宋体" w:cs="宋体"/>
                <w:color w:val="auto"/>
                <w:sz w:val="24"/>
                <w:highlight w:val="none"/>
              </w:rPr>
              <w:t>质保期在满足招标文件整车质保 3 年的前提下，整车质保期每增加半年（6个月），加 1 分，最高不超 4 分。</w:t>
            </w:r>
          </w:p>
          <w:p>
            <w:pPr>
              <w:spacing w:line="360" w:lineRule="auto"/>
              <w:textAlignment w:val="baseline"/>
              <w:rPr>
                <w:rStyle w:val="29"/>
                <w:rFonts w:ascii="宋体" w:hAnsi="宋体" w:cs="宋体"/>
                <w:color w:val="auto"/>
                <w:sz w:val="24"/>
                <w:highlight w:val="none"/>
              </w:rPr>
            </w:pPr>
            <w:r>
              <w:rPr>
                <w:rStyle w:val="29"/>
                <w:rFonts w:hint="eastAsia" w:ascii="宋体" w:hAnsi="宋体" w:cs="宋体"/>
                <w:color w:val="auto"/>
                <w:sz w:val="24"/>
                <w:highlight w:val="none"/>
              </w:rPr>
              <w:t>注：需提供承诺函。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98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baseline"/>
              <w:rPr>
                <w:rStyle w:val="29"/>
                <w:rFonts w:ascii="宋体" w:hAnsi="宋体" w:cs="宋体"/>
                <w:b/>
                <w:bCs/>
                <w:color w:val="auto"/>
                <w:sz w:val="22"/>
                <w:szCs w:val="22"/>
                <w:highlight w:val="none"/>
              </w:rPr>
            </w:pPr>
            <w:r>
              <w:rPr>
                <w:rStyle w:val="29"/>
                <w:rFonts w:hint="eastAsia" w:ascii="宋体" w:hAnsi="宋体" w:cs="宋体"/>
                <w:b/>
                <w:bCs/>
                <w:color w:val="auto"/>
                <w:sz w:val="22"/>
                <w:szCs w:val="22"/>
                <w:highlight w:val="none"/>
              </w:rPr>
              <w:t>售后服务</w:t>
            </w:r>
          </w:p>
          <w:p>
            <w:pPr>
              <w:spacing w:line="360" w:lineRule="auto"/>
              <w:jc w:val="center"/>
              <w:textAlignment w:val="baseline"/>
              <w:rPr>
                <w:rStyle w:val="29"/>
                <w:rFonts w:ascii="宋体" w:hAnsi="宋体" w:cs="宋体"/>
                <w:b/>
                <w:bCs/>
                <w:color w:val="auto"/>
                <w:sz w:val="22"/>
                <w:szCs w:val="22"/>
                <w:highlight w:val="none"/>
              </w:rPr>
            </w:pPr>
            <w:r>
              <w:rPr>
                <w:rStyle w:val="29"/>
                <w:rFonts w:hint="eastAsia" w:ascii="宋体" w:hAnsi="宋体" w:cs="宋体"/>
                <w:b/>
                <w:bCs/>
                <w:color w:val="auto"/>
                <w:sz w:val="22"/>
                <w:szCs w:val="22"/>
                <w:highlight w:val="none"/>
              </w:rPr>
              <w:t>（</w:t>
            </w:r>
            <w:r>
              <w:rPr>
                <w:rStyle w:val="29"/>
                <w:rFonts w:hint="eastAsia" w:ascii="宋体" w:hAnsi="宋体" w:cs="宋体"/>
                <w:b/>
                <w:bCs/>
                <w:color w:val="auto"/>
                <w:sz w:val="22"/>
                <w:szCs w:val="22"/>
                <w:highlight w:val="none"/>
                <w:lang w:val="en-US"/>
              </w:rPr>
              <w:t>6</w:t>
            </w:r>
            <w:r>
              <w:rPr>
                <w:rStyle w:val="29"/>
                <w:rFonts w:hint="eastAsia" w:ascii="宋体" w:hAnsi="宋体" w:cs="宋体"/>
                <w:b/>
                <w:bCs/>
                <w:color w:val="auto"/>
                <w:sz w:val="22"/>
                <w:szCs w:val="22"/>
                <w:highlight w:val="none"/>
              </w:rPr>
              <w:t>分）</w:t>
            </w:r>
          </w:p>
        </w:tc>
        <w:tc>
          <w:tcPr>
            <w:tcW w:w="6989" w:type="dxa"/>
            <w:tcBorders>
              <w:top w:val="single" w:color="000000" w:sz="4" w:space="0"/>
              <w:left w:val="single" w:color="000000" w:sz="4" w:space="0"/>
              <w:bottom w:val="single" w:color="000000" w:sz="4" w:space="0"/>
              <w:right w:val="single" w:color="000000" w:sz="4" w:space="0"/>
            </w:tcBorders>
            <w:vAlign w:val="center"/>
          </w:tcPr>
          <w:p>
            <w:pPr>
              <w:spacing w:line="360" w:lineRule="auto"/>
              <w:textAlignment w:val="baseline"/>
              <w:rPr>
                <w:rStyle w:val="29"/>
                <w:rFonts w:ascii="宋体" w:hAnsi="宋体" w:cs="宋体"/>
                <w:color w:val="auto"/>
                <w:sz w:val="24"/>
                <w:highlight w:val="none"/>
              </w:rPr>
            </w:pPr>
            <w:r>
              <w:rPr>
                <w:rStyle w:val="29"/>
                <w:rFonts w:hint="eastAsia" w:ascii="宋体" w:hAnsi="宋体" w:cs="宋体"/>
                <w:color w:val="auto"/>
                <w:sz w:val="24"/>
                <w:highlight w:val="none"/>
              </w:rPr>
              <w:t>根据各投标人售后服务方案的合理性和可行性（包括但不限于服务内容、电话/邮件支持、远程协助、现场服务、响应时间、专业技术人员保障以及质保期后的服务方案），能针对用户的实际需要提供延伸服务、便利服务等特色服务，考量投标人所提服务承诺及保障措施的优劣，并对所有合格投标人的服务承诺及保障措施进行综合评审：</w:t>
            </w:r>
          </w:p>
          <w:p>
            <w:pPr>
              <w:spacing w:line="360" w:lineRule="auto"/>
              <w:textAlignment w:val="baseline"/>
              <w:rPr>
                <w:rStyle w:val="29"/>
                <w:rFonts w:hint="eastAsia" w:ascii="宋体" w:hAnsi="宋体" w:cs="宋体"/>
                <w:color w:val="auto"/>
                <w:sz w:val="24"/>
                <w:highlight w:val="none"/>
              </w:rPr>
            </w:pPr>
            <w:r>
              <w:rPr>
                <w:rStyle w:val="29"/>
                <w:rFonts w:hint="eastAsia" w:ascii="宋体" w:hAnsi="宋体" w:cs="宋体"/>
                <w:color w:val="auto"/>
                <w:sz w:val="24"/>
                <w:highlight w:val="none"/>
              </w:rPr>
              <w:t>（1）售后服务响应时间、完善的服务计划与内容（0-2）</w:t>
            </w:r>
          </w:p>
          <w:p>
            <w:pPr>
              <w:spacing w:line="360" w:lineRule="auto"/>
              <w:textAlignment w:val="baseline"/>
              <w:rPr>
                <w:rStyle w:val="29"/>
                <w:rFonts w:hint="eastAsia" w:ascii="宋体" w:hAnsi="宋体" w:cs="宋体"/>
                <w:color w:val="auto"/>
                <w:sz w:val="24"/>
                <w:highlight w:val="none"/>
              </w:rPr>
            </w:pPr>
            <w:r>
              <w:rPr>
                <w:rStyle w:val="29"/>
                <w:rFonts w:hint="eastAsia" w:ascii="宋体" w:hAnsi="宋体" w:cs="宋体"/>
                <w:color w:val="auto"/>
                <w:sz w:val="24"/>
                <w:highlight w:val="none"/>
              </w:rPr>
              <w:t>（2）故障解决方案合理性、可行性、可操作性强（0-2）</w:t>
            </w:r>
          </w:p>
          <w:p>
            <w:pPr>
              <w:spacing w:line="360" w:lineRule="auto"/>
              <w:textAlignment w:val="baseline"/>
              <w:rPr>
                <w:rStyle w:val="29"/>
                <w:rFonts w:ascii="宋体" w:hAnsi="宋体" w:cs="宋体"/>
                <w:color w:val="auto"/>
                <w:sz w:val="24"/>
                <w:highlight w:val="none"/>
              </w:rPr>
            </w:pPr>
            <w:r>
              <w:rPr>
                <w:rStyle w:val="29"/>
                <w:rFonts w:hint="eastAsia" w:ascii="宋体" w:hAnsi="宋体" w:cs="宋体"/>
                <w:color w:val="auto"/>
                <w:sz w:val="24"/>
                <w:highlight w:val="none"/>
              </w:rPr>
              <w:t>（3）质保期后的方案，服务质量（0-2）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98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baseline"/>
              <w:rPr>
                <w:rStyle w:val="29"/>
                <w:rFonts w:ascii="宋体" w:hAnsi="宋体" w:cs="宋体"/>
                <w:b/>
                <w:bCs/>
                <w:color w:val="auto"/>
                <w:sz w:val="22"/>
                <w:szCs w:val="22"/>
                <w:highlight w:val="none"/>
              </w:rPr>
            </w:pPr>
            <w:r>
              <w:rPr>
                <w:rStyle w:val="29"/>
                <w:rFonts w:hint="eastAsia" w:ascii="宋体" w:hAnsi="宋体" w:cs="宋体"/>
                <w:b/>
                <w:bCs/>
                <w:color w:val="auto"/>
                <w:sz w:val="22"/>
                <w:szCs w:val="22"/>
                <w:highlight w:val="none"/>
              </w:rPr>
              <w:t>培训方案</w:t>
            </w:r>
          </w:p>
          <w:p>
            <w:pPr>
              <w:spacing w:line="360" w:lineRule="auto"/>
              <w:jc w:val="center"/>
              <w:textAlignment w:val="baseline"/>
              <w:rPr>
                <w:rStyle w:val="29"/>
                <w:rFonts w:ascii="宋体" w:hAnsi="宋体" w:cs="宋体"/>
                <w:b/>
                <w:bCs/>
                <w:color w:val="auto"/>
                <w:sz w:val="22"/>
                <w:szCs w:val="22"/>
                <w:highlight w:val="none"/>
              </w:rPr>
            </w:pPr>
            <w:r>
              <w:rPr>
                <w:rStyle w:val="29"/>
                <w:rFonts w:hint="eastAsia" w:ascii="宋体" w:hAnsi="宋体" w:cs="宋体"/>
                <w:b/>
                <w:bCs/>
                <w:color w:val="auto"/>
                <w:sz w:val="22"/>
                <w:szCs w:val="22"/>
                <w:highlight w:val="none"/>
              </w:rPr>
              <w:t>（</w:t>
            </w:r>
            <w:r>
              <w:rPr>
                <w:rStyle w:val="29"/>
                <w:rFonts w:hint="eastAsia" w:ascii="宋体" w:hAnsi="宋体" w:cs="宋体"/>
                <w:b/>
                <w:bCs/>
                <w:color w:val="auto"/>
                <w:sz w:val="22"/>
                <w:szCs w:val="22"/>
                <w:highlight w:val="none"/>
                <w:lang w:val="en-US"/>
              </w:rPr>
              <w:t>6</w:t>
            </w:r>
            <w:r>
              <w:rPr>
                <w:rStyle w:val="29"/>
                <w:rFonts w:hint="eastAsia" w:ascii="宋体" w:hAnsi="宋体" w:cs="宋体"/>
                <w:b/>
                <w:bCs/>
                <w:color w:val="auto"/>
                <w:sz w:val="22"/>
                <w:szCs w:val="22"/>
                <w:highlight w:val="none"/>
              </w:rPr>
              <w:t>分）</w:t>
            </w:r>
          </w:p>
        </w:tc>
        <w:tc>
          <w:tcPr>
            <w:tcW w:w="6989" w:type="dxa"/>
            <w:tcBorders>
              <w:top w:val="single" w:color="000000" w:sz="4" w:space="0"/>
              <w:left w:val="single" w:color="000000" w:sz="4" w:space="0"/>
              <w:bottom w:val="single" w:color="000000" w:sz="4" w:space="0"/>
              <w:right w:val="single" w:color="000000" w:sz="4" w:space="0"/>
            </w:tcBorders>
            <w:vAlign w:val="center"/>
          </w:tcPr>
          <w:p>
            <w:pPr>
              <w:spacing w:line="360" w:lineRule="auto"/>
              <w:textAlignment w:val="baseline"/>
              <w:rPr>
                <w:rStyle w:val="29"/>
                <w:rFonts w:ascii="宋体" w:hAnsi="宋体" w:cs="宋体"/>
                <w:color w:val="auto"/>
                <w:sz w:val="24"/>
                <w:highlight w:val="none"/>
              </w:rPr>
            </w:pPr>
            <w:r>
              <w:rPr>
                <w:rStyle w:val="29"/>
                <w:rFonts w:hint="eastAsia" w:ascii="宋体" w:hAnsi="宋体" w:cs="宋体"/>
                <w:color w:val="auto"/>
                <w:sz w:val="24"/>
                <w:highlight w:val="none"/>
              </w:rPr>
              <w:t>根据各投标人提供的培训方案内容进行综合评审：</w:t>
            </w:r>
          </w:p>
          <w:p>
            <w:pPr>
              <w:spacing w:line="360" w:lineRule="auto"/>
              <w:textAlignment w:val="baseline"/>
              <w:rPr>
                <w:rStyle w:val="29"/>
                <w:rFonts w:hint="eastAsia" w:ascii="宋体" w:hAnsi="宋体" w:cs="宋体"/>
                <w:color w:val="auto"/>
                <w:sz w:val="24"/>
                <w:highlight w:val="none"/>
              </w:rPr>
            </w:pPr>
            <w:r>
              <w:rPr>
                <w:rStyle w:val="29"/>
                <w:rFonts w:hint="eastAsia" w:ascii="宋体" w:hAnsi="宋体" w:cs="宋体"/>
                <w:color w:val="auto"/>
                <w:sz w:val="24"/>
                <w:highlight w:val="none"/>
              </w:rPr>
              <w:t>（1）投标人制定了合理、详细的培训课程、培训计划，培训对象、培训特色、培训方式，建立培训反馈机制，以提供有效的培训服务；（0-</w:t>
            </w:r>
            <w:r>
              <w:rPr>
                <w:rStyle w:val="29"/>
                <w:rFonts w:hint="eastAsia" w:ascii="宋体" w:hAnsi="宋体" w:cs="宋体"/>
                <w:color w:val="auto"/>
                <w:sz w:val="24"/>
                <w:highlight w:val="none"/>
                <w:lang w:val="en-US"/>
              </w:rPr>
              <w:t>3</w:t>
            </w:r>
            <w:r>
              <w:rPr>
                <w:rStyle w:val="29"/>
                <w:rFonts w:hint="eastAsia" w:ascii="宋体" w:hAnsi="宋体" w:cs="宋体"/>
                <w:color w:val="auto"/>
                <w:sz w:val="24"/>
                <w:highlight w:val="none"/>
              </w:rPr>
              <w:t>分）</w:t>
            </w:r>
          </w:p>
          <w:p>
            <w:pPr>
              <w:spacing w:line="360" w:lineRule="auto"/>
              <w:textAlignment w:val="baseline"/>
              <w:rPr>
                <w:rStyle w:val="29"/>
                <w:rFonts w:ascii="宋体" w:hAnsi="宋体" w:cs="宋体"/>
                <w:color w:val="auto"/>
                <w:sz w:val="24"/>
                <w:highlight w:val="none"/>
              </w:rPr>
            </w:pPr>
            <w:r>
              <w:rPr>
                <w:rStyle w:val="29"/>
                <w:rFonts w:hint="eastAsia" w:ascii="宋体" w:hAnsi="宋体" w:cs="宋体"/>
                <w:color w:val="auto"/>
                <w:sz w:val="24"/>
                <w:highlight w:val="none"/>
              </w:rPr>
              <w:t>（2）对培训情况以及内容质量进行后期跟踪指导的得（0-</w:t>
            </w:r>
            <w:r>
              <w:rPr>
                <w:rStyle w:val="29"/>
                <w:rFonts w:hint="eastAsia" w:ascii="宋体" w:hAnsi="宋体" w:cs="宋体"/>
                <w:color w:val="auto"/>
                <w:sz w:val="24"/>
                <w:highlight w:val="none"/>
                <w:lang w:val="en-US"/>
              </w:rPr>
              <w:t>3</w:t>
            </w:r>
            <w:r>
              <w:rPr>
                <w:rStyle w:val="29"/>
                <w:rFonts w:hint="eastAsia" w:ascii="宋体" w:hAnsi="宋体" w:cs="宋体"/>
                <w:color w:val="auto"/>
                <w:sz w:val="24"/>
                <w:highlight w:val="none"/>
              </w:rPr>
              <w:t xml:space="preserve">分）； </w:t>
            </w:r>
          </w:p>
          <w:p>
            <w:pPr>
              <w:spacing w:line="360" w:lineRule="auto"/>
              <w:textAlignment w:val="baseline"/>
              <w:rPr>
                <w:rStyle w:val="29"/>
                <w:rFonts w:ascii="宋体" w:hAnsi="宋体" w:cs="宋体"/>
                <w:color w:val="auto"/>
                <w:sz w:val="24"/>
                <w:highlight w:val="none"/>
              </w:rPr>
            </w:pPr>
            <w:r>
              <w:rPr>
                <w:rStyle w:val="29"/>
                <w:rFonts w:hint="eastAsia" w:ascii="宋体" w:hAnsi="宋体" w:cs="宋体"/>
                <w:color w:val="auto"/>
                <w:sz w:val="24"/>
                <w:highlight w:val="none"/>
              </w:rPr>
              <w:t>未提供相应内容的不得分。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8969"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textAlignment w:val="baseline"/>
              <w:rPr>
                <w:rStyle w:val="29"/>
                <w:rFonts w:ascii="宋体" w:hAnsi="宋体" w:cs="宋体"/>
                <w:b/>
                <w:color w:val="auto"/>
                <w:sz w:val="22"/>
                <w:szCs w:val="22"/>
                <w:highlight w:val="none"/>
              </w:rPr>
            </w:pPr>
            <w:r>
              <w:rPr>
                <w:rStyle w:val="29"/>
                <w:rFonts w:hint="eastAsia" w:ascii="宋体" w:hAnsi="宋体" w:cs="宋体"/>
                <w:b/>
                <w:color w:val="auto"/>
                <w:sz w:val="22"/>
                <w:szCs w:val="22"/>
                <w:highlight w:val="none"/>
              </w:rPr>
              <w:t>备注：以上所有证明文件须提供清晰复印件加盖供应商公章装订于正、副本中，原件备查。</w:t>
            </w:r>
          </w:p>
        </w:tc>
      </w:tr>
    </w:tbl>
    <w:p>
      <w:pPr>
        <w:tabs>
          <w:tab w:val="left" w:pos="1080"/>
        </w:tabs>
        <w:spacing w:line="360" w:lineRule="auto"/>
        <w:rPr>
          <w:rFonts w:ascii="宋体" w:hAnsi="宋体" w:cs="宋体"/>
          <w:color w:val="auto"/>
          <w:sz w:val="24"/>
          <w:highlight w:val="none"/>
        </w:rPr>
      </w:pPr>
    </w:p>
    <w:p>
      <w:pPr>
        <w:tabs>
          <w:tab w:val="left" w:pos="1080"/>
        </w:tabs>
        <w:spacing w:line="360" w:lineRule="auto"/>
        <w:rPr>
          <w:rFonts w:ascii="宋体" w:hAnsi="宋体" w:cs="宋体"/>
          <w:color w:val="auto"/>
          <w:sz w:val="24"/>
          <w:highlight w:val="none"/>
        </w:rPr>
      </w:pPr>
      <w:r>
        <w:rPr>
          <w:rFonts w:hint="eastAsia" w:ascii="宋体" w:hAnsi="宋体" w:cs="宋体"/>
          <w:color w:val="auto"/>
          <w:sz w:val="24"/>
          <w:highlight w:val="none"/>
        </w:rPr>
        <w:t>说明：</w:t>
      </w:r>
    </w:p>
    <w:p>
      <w:pPr>
        <w:tabs>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1、缺项不得分；</w:t>
      </w:r>
    </w:p>
    <w:p>
      <w:pPr>
        <w:tabs>
          <w:tab w:val="left" w:pos="1080"/>
        </w:tabs>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评标结果按评审后得分由高到低顺序排列</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得分相同的，按投标报价由低到高顺序排列。得分且投标报价相同的并列。投标文件满足招标文件全部实质性要求，且按照评审因素的量化指标评审得分最高的投标人为排名第一的中标候选人。</w:t>
      </w:r>
    </w:p>
    <w:p>
      <w:pPr>
        <w:pStyle w:val="13"/>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提供相同品牌产品且通过资格审查、符合性审查的不同投标人参加同一合同项下投标的，按一家投标人计算，评审后得分最高的同品牌投标人获得中标人推荐资格；评审得分相同的，投标报价最低的投标人获得中标人推荐资格，其他同品牌投标人不作为中标候选人。</w:t>
      </w:r>
    </w:p>
    <w:p>
      <w:pPr>
        <w:spacing w:line="360" w:lineRule="auto"/>
        <w:ind w:firstLine="120" w:firstLineChars="50"/>
        <w:rPr>
          <w:rFonts w:ascii="宋体" w:hAnsi="宋体" w:cs="宋体"/>
          <w:b/>
          <w:color w:val="auto"/>
          <w:sz w:val="24"/>
          <w:highlight w:val="none"/>
        </w:rPr>
      </w:pPr>
      <w:bookmarkStart w:id="5" w:name="_Toc5150"/>
      <w:bookmarkStart w:id="6" w:name="_Toc4643"/>
      <w:bookmarkStart w:id="7" w:name="_Toc801"/>
      <w:r>
        <w:rPr>
          <w:rFonts w:hint="eastAsia" w:ascii="宋体" w:hAnsi="宋体" w:cs="宋体"/>
          <w:b/>
          <w:color w:val="auto"/>
          <w:sz w:val="24"/>
          <w:highlight w:val="none"/>
        </w:rPr>
        <w:t>8、其他事项说明：（落实的相关政策）</w:t>
      </w:r>
    </w:p>
    <w:p>
      <w:pPr>
        <w:pStyle w:val="15"/>
        <w:spacing w:before="0" w:beforeAutospacing="0" w:after="0" w:afterAutospacing="0" w:line="360" w:lineRule="auto"/>
        <w:ind w:firstLine="480" w:firstLineChars="200"/>
        <w:rPr>
          <w:color w:val="auto"/>
          <w:kern w:val="2"/>
          <w:highlight w:val="none"/>
        </w:rPr>
      </w:pPr>
      <w:r>
        <w:rPr>
          <w:rFonts w:hint="eastAsia"/>
          <w:color w:val="auto"/>
          <w:kern w:val="2"/>
          <w:highlight w:val="none"/>
        </w:rPr>
        <w:t>采购项目需要落实的政府采购政策：依据《中华人民共和国政府采购法》、《中华人民共和国政府采购法实施条例》和《</w:t>
      </w:r>
      <w:r>
        <w:rPr>
          <w:rFonts w:hint="eastAsia"/>
          <w:color w:val="auto"/>
          <w:highlight w:val="none"/>
        </w:rPr>
        <w:t>政府采购公开招标采购方式管理暂行办法</w:t>
      </w:r>
      <w:r>
        <w:rPr>
          <w:rFonts w:hint="eastAsia"/>
          <w:color w:val="auto"/>
          <w:kern w:val="2"/>
          <w:highlight w:val="none"/>
        </w:rPr>
        <w:t xml:space="preserve">》的有关规定，落实政府采购政策。 </w:t>
      </w:r>
    </w:p>
    <w:p>
      <w:pPr>
        <w:pStyle w:val="15"/>
        <w:spacing w:before="0" w:beforeAutospacing="0" w:after="0" w:afterAutospacing="0" w:line="360" w:lineRule="auto"/>
        <w:ind w:firstLine="480" w:firstLineChars="200"/>
        <w:rPr>
          <w:color w:val="auto"/>
          <w:kern w:val="2"/>
          <w:highlight w:val="none"/>
        </w:rPr>
      </w:pPr>
      <w:r>
        <w:rPr>
          <w:rFonts w:hint="eastAsia"/>
          <w:color w:val="auto"/>
          <w:kern w:val="2"/>
          <w:highlight w:val="none"/>
        </w:rPr>
        <w:t xml:space="preserve">（1）《政府采购促进中小企业发展管理办法》的通知财库〔2020〕46号： </w:t>
      </w:r>
    </w:p>
    <w:p>
      <w:pPr>
        <w:pStyle w:val="15"/>
        <w:spacing w:before="0" w:beforeAutospacing="0" w:after="0" w:afterAutospacing="0" w:line="360" w:lineRule="auto"/>
        <w:ind w:firstLine="480" w:firstLineChars="200"/>
        <w:rPr>
          <w:color w:val="auto"/>
          <w:kern w:val="2"/>
          <w:highlight w:val="none"/>
        </w:rPr>
      </w:pPr>
      <w:r>
        <w:rPr>
          <w:rFonts w:hint="eastAsia"/>
          <w:color w:val="auto"/>
          <w:kern w:val="2"/>
          <w:highlight w:val="none"/>
        </w:rPr>
        <w:t>在政府采购活动中，供应商提供的货物、工程或者服务符合下列情形的，享受本办法规定的中小企业扶持政策：</w:t>
      </w:r>
    </w:p>
    <w:p>
      <w:pPr>
        <w:pStyle w:val="15"/>
        <w:spacing w:before="0" w:beforeAutospacing="0" w:after="0" w:afterAutospacing="0" w:line="360" w:lineRule="auto"/>
        <w:ind w:firstLine="480" w:firstLineChars="200"/>
        <w:rPr>
          <w:color w:val="auto"/>
          <w:kern w:val="2"/>
          <w:highlight w:val="none"/>
        </w:rPr>
      </w:pPr>
      <w:r>
        <w:rPr>
          <w:rFonts w:hint="eastAsia"/>
          <w:color w:val="auto"/>
          <w:kern w:val="2"/>
          <w:highlight w:val="none"/>
        </w:rPr>
        <w:t>（一）在货物采购项目中，货物由中小企业制造，即货物由中小企业生产且使用该中小企业商号或者注册商标；</w:t>
      </w:r>
    </w:p>
    <w:p>
      <w:pPr>
        <w:pStyle w:val="15"/>
        <w:spacing w:before="0" w:beforeAutospacing="0" w:after="0" w:afterAutospacing="0" w:line="360" w:lineRule="auto"/>
        <w:ind w:firstLine="480" w:firstLineChars="200"/>
        <w:rPr>
          <w:color w:val="auto"/>
          <w:kern w:val="2"/>
          <w:highlight w:val="none"/>
        </w:rPr>
      </w:pPr>
      <w:r>
        <w:rPr>
          <w:rFonts w:hint="eastAsia"/>
          <w:color w:val="auto"/>
          <w:kern w:val="2"/>
          <w:highlight w:val="none"/>
        </w:rPr>
        <w:t>（二）在工程采购项目中，工程由中小企业承建，即工程施工单位为中小企业；</w:t>
      </w:r>
    </w:p>
    <w:p>
      <w:pPr>
        <w:pStyle w:val="15"/>
        <w:spacing w:before="0" w:beforeAutospacing="0" w:after="0" w:afterAutospacing="0" w:line="360" w:lineRule="auto"/>
        <w:ind w:firstLine="480" w:firstLineChars="200"/>
        <w:rPr>
          <w:color w:val="auto"/>
          <w:kern w:val="2"/>
          <w:highlight w:val="none"/>
        </w:rPr>
      </w:pPr>
      <w:r>
        <w:rPr>
          <w:rFonts w:hint="eastAsia"/>
          <w:color w:val="auto"/>
          <w:kern w:val="2"/>
          <w:highlight w:val="none"/>
        </w:rPr>
        <w:t>（三）在服务采购项目中，服务由中小企业承接，即提供服务的人员为中小企业依照《中华人民共和国劳动民法典》订立劳动合同的从业人员。</w:t>
      </w:r>
    </w:p>
    <w:p>
      <w:pPr>
        <w:pStyle w:val="15"/>
        <w:spacing w:before="0" w:beforeAutospacing="0" w:after="0" w:afterAutospacing="0" w:line="360" w:lineRule="auto"/>
        <w:ind w:firstLine="480" w:firstLineChars="200"/>
        <w:rPr>
          <w:color w:val="auto"/>
          <w:kern w:val="2"/>
          <w:highlight w:val="none"/>
        </w:rPr>
      </w:pPr>
      <w:r>
        <w:rPr>
          <w:rFonts w:hint="eastAsia"/>
          <w:color w:val="auto"/>
          <w:kern w:val="2"/>
          <w:highlight w:val="none"/>
        </w:rPr>
        <w:t>在货物采购项目中，供应商提供的货物既有中小企业制造货物，也有大型企业制造货物的，不享受本办法规定的中小企业扶持政策。</w:t>
      </w:r>
    </w:p>
    <w:p>
      <w:pPr>
        <w:pStyle w:val="15"/>
        <w:spacing w:before="0" w:beforeAutospacing="0" w:after="0" w:afterAutospacing="0" w:line="360" w:lineRule="auto"/>
        <w:ind w:firstLine="480" w:firstLineChars="200"/>
        <w:rPr>
          <w:color w:val="auto"/>
          <w:kern w:val="2"/>
          <w:highlight w:val="none"/>
        </w:rPr>
      </w:pPr>
      <w:r>
        <w:rPr>
          <w:rFonts w:hint="eastAsia"/>
          <w:color w:val="auto"/>
          <w:kern w:val="2"/>
          <w:highlight w:val="none"/>
        </w:rPr>
        <w:t>以联合体形式参加政府采购活动，联合体各方均为中小企业的，联合体视同中小企业。其中，联合体各方均为小微企业的，联合体视同小微企业。</w:t>
      </w:r>
    </w:p>
    <w:p>
      <w:pPr>
        <w:pStyle w:val="15"/>
        <w:spacing w:before="0" w:beforeAutospacing="0" w:after="0" w:afterAutospacing="0" w:line="360" w:lineRule="auto"/>
        <w:ind w:firstLine="480" w:firstLineChars="200"/>
        <w:rPr>
          <w:color w:val="auto"/>
          <w:kern w:val="2"/>
          <w:highlight w:val="none"/>
        </w:rPr>
      </w:pPr>
      <w:r>
        <w:rPr>
          <w:rFonts w:hint="eastAsia"/>
          <w:color w:val="auto"/>
          <w:kern w:val="2"/>
          <w:highlight w:val="none"/>
        </w:rPr>
        <w:t>依据《办法》规定享受扶持政策获得政府采购合同的，小微企业不得将合同分包给大中型企业，中型企业不得将合同分包给大型企业。</w:t>
      </w:r>
    </w:p>
    <w:p>
      <w:pPr>
        <w:pStyle w:val="15"/>
        <w:spacing w:before="0" w:beforeAutospacing="0" w:after="0" w:afterAutospacing="0" w:line="360" w:lineRule="auto"/>
        <w:ind w:firstLine="480" w:firstLineChars="200"/>
        <w:rPr>
          <w:color w:val="auto"/>
          <w:kern w:val="2"/>
          <w:highlight w:val="none"/>
        </w:rPr>
      </w:pPr>
      <w:r>
        <w:rPr>
          <w:rFonts w:hint="eastAsia"/>
          <w:color w:val="auto"/>
          <w:kern w:val="2"/>
          <w:highlight w:val="none"/>
        </w:rPr>
        <w:t>中小企业参加政府采购活动，应当出具《中小企业声明函》（附件1），否则不得享受相关中小企业扶持政策。投标单位提供的《中小企业声明函》必须真实有效，如果被举报经查实出具虚假声明函的，将被取消投标资格，并按有关规定予以处理。</w:t>
      </w:r>
    </w:p>
    <w:p>
      <w:pPr>
        <w:pStyle w:val="15"/>
        <w:spacing w:before="0" w:beforeAutospacing="0" w:after="0" w:afterAutospacing="0" w:line="360" w:lineRule="auto"/>
        <w:ind w:firstLine="480" w:firstLineChars="200"/>
        <w:rPr>
          <w:color w:val="auto"/>
          <w:kern w:val="2"/>
          <w:highlight w:val="none"/>
        </w:rPr>
      </w:pPr>
      <w:r>
        <w:rPr>
          <w:rFonts w:hint="eastAsia"/>
          <w:color w:val="auto"/>
          <w:kern w:val="2"/>
          <w:highlight w:val="none"/>
        </w:rPr>
        <w:t>评标委员会根据《政府采购促进中小企业发展管理办法》的有关规定，给与小微企业报价给予</w:t>
      </w:r>
      <w:r>
        <w:rPr>
          <w:rFonts w:hint="eastAsia"/>
          <w:color w:val="auto"/>
          <w:kern w:val="2"/>
          <w:highlight w:val="none"/>
          <w:lang w:val="en-US" w:eastAsia="zh-CN"/>
        </w:rPr>
        <w:t>10</w:t>
      </w:r>
      <w:r>
        <w:rPr>
          <w:rFonts w:hint="eastAsia"/>
          <w:color w:val="auto"/>
          <w:kern w:val="2"/>
          <w:highlight w:val="none"/>
        </w:rPr>
        <w:t>%的扣除，用扣除后的价格参加评审。适用招标投标法的政府采购工程建设项目，采用综合评估法但未采用低价优先法计算价格分的，评标时应当在采用原报价进行评分的基础上增加其价格得分的3%作为其价格分。</w:t>
      </w:r>
    </w:p>
    <w:p>
      <w:pPr>
        <w:pStyle w:val="15"/>
        <w:spacing w:before="0" w:beforeAutospacing="0" w:after="0" w:afterAutospacing="0" w:line="360" w:lineRule="auto"/>
        <w:ind w:firstLine="480" w:firstLineChars="200"/>
        <w:rPr>
          <w:color w:val="auto"/>
          <w:kern w:val="2"/>
          <w:highlight w:val="none"/>
        </w:rPr>
      </w:pPr>
      <w:r>
        <w:rPr>
          <w:rFonts w:hint="eastAsia"/>
          <w:color w:val="auto"/>
          <w:kern w:val="2"/>
          <w:highlight w:val="none"/>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工程项目为1%）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pPr>
        <w:spacing w:line="360" w:lineRule="auto"/>
        <w:ind w:firstLine="360" w:firstLineChars="150"/>
        <w:rPr>
          <w:rFonts w:ascii="宋体" w:hAnsi="宋体" w:cs="宋体"/>
          <w:color w:val="auto"/>
          <w:spacing w:val="-4"/>
          <w:kern w:val="0"/>
          <w:sz w:val="24"/>
          <w:highlight w:val="none"/>
        </w:rPr>
      </w:pPr>
      <w:r>
        <w:rPr>
          <w:rFonts w:hint="eastAsia" w:ascii="宋体" w:hAnsi="宋体" w:cs="宋体"/>
          <w:color w:val="auto"/>
          <w:kern w:val="0"/>
          <w:sz w:val="24"/>
          <w:highlight w:val="none"/>
        </w:rPr>
        <w:t>（2）</w:t>
      </w:r>
      <w:r>
        <w:rPr>
          <w:rFonts w:hint="eastAsia" w:ascii="宋体" w:hAnsi="宋体" w:cs="宋体"/>
          <w:color w:val="auto"/>
          <w:spacing w:val="-4"/>
          <w:kern w:val="0"/>
          <w:sz w:val="24"/>
          <w:highlight w:val="none"/>
        </w:rPr>
        <w:t xml:space="preserve">财政部司法部关于政府采购支持监狱企业发展有关问题的通知--财库[2014]68号；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监狱、戒毒企业视同小微企业，享受政府采购相关政策；监狱和戒毒企业须提供由省级以上监狱管理局、戒毒管理局(含新疆生产建设兵团)出具的属于监狱企业的证明文件。</w:t>
      </w:r>
    </w:p>
    <w:p>
      <w:pPr>
        <w:spacing w:line="360" w:lineRule="auto"/>
        <w:ind w:firstLine="360" w:firstLineChars="150"/>
        <w:rPr>
          <w:rFonts w:ascii="宋体" w:hAnsi="宋体" w:cs="宋体"/>
          <w:color w:val="auto"/>
          <w:spacing w:val="-4"/>
          <w:sz w:val="24"/>
          <w:highlight w:val="none"/>
        </w:rPr>
      </w:pPr>
      <w:r>
        <w:rPr>
          <w:rFonts w:hint="eastAsia" w:ascii="宋体" w:hAnsi="宋体" w:cs="宋体"/>
          <w:color w:val="auto"/>
          <w:sz w:val="24"/>
          <w:highlight w:val="none"/>
        </w:rPr>
        <w:t>（3）</w:t>
      </w:r>
      <w:r>
        <w:rPr>
          <w:rFonts w:hint="eastAsia" w:ascii="宋体" w:hAnsi="宋体" w:cs="宋体"/>
          <w:color w:val="auto"/>
          <w:spacing w:val="-4"/>
          <w:sz w:val="24"/>
          <w:highlight w:val="none"/>
        </w:rPr>
        <w:t>国务院办公厅关于建立政府强制采购节能产品制度的通知--国办发[2007]51号 ；</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（4）节能产品政府采购实施意见--财库[2004]185号；</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（5）环境标志产品政府采购实施的意见--财库[2006]90号：</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评审过程中，如涉及，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 中的有效期内的产品。）</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 xml:space="preserve">（6）《关于促进残疾人就业政府采购政策的通知》财库[2017]141号：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根据《财政部 民政部 中国残疾人联合会关于促进残疾人就业政府采购政策的通知》（财库〔2017〕，符合条件的残疾人福利性单位在参加政府采购活动时，应当提供本通知规定的《残疾人福利性单位声明函》（见附件），并对声明的真实性负责。中标、中标投标单位为残疾人福利性单位的，采购人或者其委托的采购代理机构应当随中标、中标结果同时公告其《残疾人福利性单位声明函》，接受社会监督。投标单位提供的《残疾人福利性单位声明函》与事实不符的，依照《政府采购法》第七十七条第一款的规定追究法律责任。</w:t>
      </w:r>
    </w:p>
    <w:p>
      <w:pPr>
        <w:pStyle w:val="3"/>
        <w:numPr>
          <w:ilvl w:val="0"/>
          <w:numId w:val="0"/>
        </w:numPr>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（7）《财政部 农业农村部 国家乡村振兴局关于运用政府采购政策支持乡村产业振兴的通知》（财库〔2021〕19号）：</w:t>
      </w:r>
    </w:p>
    <w:p>
      <w:pPr>
        <w:pStyle w:val="3"/>
        <w:numPr>
          <w:ilvl w:val="0"/>
          <w:numId w:val="0"/>
        </w:numPr>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 农业农村部 国家乡村振兴局关于运用政府采购政策支持乡村产业振兴的通知》（财库〔2021〕19 号），自 2021 年起，各级预算单位应当按照不低于 10%的比例预留年度食堂食材采购份额，通过脱贫地区农副产品网络销售平台采购脱贫地区农副产品。</w:t>
      </w:r>
    </w:p>
    <w:p>
      <w:pPr>
        <w:pStyle w:val="3"/>
        <w:numPr>
          <w:ilvl w:val="0"/>
          <w:numId w:val="0"/>
        </w:numPr>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（8）陕西省财政厅关于印发《陕西省中小企业政府采购信用融资办法》（陕财办采〔2018〕23号）：</w:t>
      </w:r>
    </w:p>
    <w:p>
      <w:pPr>
        <w:pStyle w:val="3"/>
        <w:numPr>
          <w:ilvl w:val="0"/>
          <w:numId w:val="0"/>
        </w:numPr>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根据陕西省财政厅关于印发《陕西省中小企业政府采购信用融资办法》（陕财办采〔2018〕23 号）规定“银行为参与政府采购融资的中小企业提供的产品，应以信用贷款为主，贷款利率应当优于一般中小企业的贷款利率水平，并将产品信息（包括贷款发放条件、利率优惠、贷款金额） 等在陕西政府采购网予以展示。”</w:t>
      </w:r>
    </w:p>
    <w:p>
      <w:pPr>
        <w:pStyle w:val="3"/>
        <w:numPr>
          <w:ilvl w:val="0"/>
          <w:numId w:val="0"/>
        </w:numPr>
        <w:jc w:val="both"/>
        <w:rPr>
          <w:rFonts w:ascii="宋体" w:hAnsi="宋体" w:eastAsia="宋体" w:cs="宋体"/>
          <w:color w:val="auto"/>
          <w:highlight w:val="none"/>
        </w:rPr>
      </w:pPr>
      <w:r>
        <w:rPr>
          <w:rFonts w:hint="eastAsia" w:ascii="宋体" w:hAnsi="宋体" w:eastAsia="宋体" w:cs="宋体"/>
          <w:color w:val="auto"/>
          <w:sz w:val="24"/>
          <w:szCs w:val="24"/>
          <w:highlight w:val="none"/>
        </w:rPr>
        <w:t>（9）其他需要落实的政府采购政策。</w:t>
      </w:r>
    </w:p>
    <w:p>
      <w:pPr>
        <w:spacing w:line="560" w:lineRule="exact"/>
        <w:ind w:firstLine="241" w:firstLineChars="100"/>
        <w:rPr>
          <w:rFonts w:ascii="宋体" w:hAnsi="宋体" w:cs="宋体"/>
          <w:b/>
          <w:color w:val="auto"/>
          <w:sz w:val="24"/>
          <w:highlight w:val="none"/>
        </w:rPr>
      </w:pPr>
      <w:r>
        <w:rPr>
          <w:rFonts w:hint="eastAsia" w:ascii="宋体" w:hAnsi="宋体" w:cs="宋体"/>
          <w:b/>
          <w:color w:val="auto"/>
          <w:sz w:val="24"/>
          <w:highlight w:val="none"/>
        </w:rPr>
        <w:t>9、中标</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采购代理机构在评审结束后2个工作日内将评审报告送达采购人，采购人应当自收到评审报告之日起5个工作日内在评审报告推荐的中标或者成交候选人中按顺序确定中标或者成交供应商。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人或者采购代理机构应当自中标、成交供应商确定之日起2个工作日内，发出中标、成交通知书，并在省级以上人民政府财政部门指定的媒体上公告中标、成交结果，招标文件、竞争性谈判文件、询价通知书随中标、成交结果同时公告。</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pPr>
        <w:jc w:val="center"/>
        <w:rPr>
          <w:rFonts w:ascii="宋体" w:hAnsi="宋体" w:cs="宋体"/>
          <w:b/>
          <w:color w:val="auto"/>
          <w:sz w:val="30"/>
          <w:szCs w:val="30"/>
          <w:highlight w:val="none"/>
        </w:rPr>
      </w:pPr>
      <w:r>
        <w:rPr>
          <w:rFonts w:hint="eastAsia" w:ascii="宋体" w:hAnsi="宋体" w:cs="宋体"/>
          <w:b/>
          <w:color w:val="auto"/>
          <w:sz w:val="30"/>
          <w:szCs w:val="30"/>
          <w:highlight w:val="none"/>
        </w:rPr>
        <w:t>七．签订合同</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1、定标后，中标人在收到中标通知书后三十（30）个日历日内，应按招标文件的要求与采购人洽谈合同条款，并签订供货合同，同时送监督机构备案，招标文件及中标人投标文件均作为合同的组成部分；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政府采购合同履行中，采购人需追加与合同标的相同的货物、工程或者服务的，在不改变合同其他条款的前提下，可以与中标人协商签订补充合同，但所有补充合同的采购金额不得超过原合同采购金额的百分之十；</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3、根据需要，采购代理机构可会同采购人负责监督、协调和处理履约过程中出现的问题；</w:t>
      </w:r>
    </w:p>
    <w:p>
      <w:pPr>
        <w:spacing w:line="360" w:lineRule="auto"/>
        <w:ind w:firstLine="480" w:firstLineChars="200"/>
        <w:rPr>
          <w:rFonts w:ascii="宋体" w:hAnsi="宋体" w:cs="宋体"/>
          <w:b/>
          <w:color w:val="auto"/>
          <w:sz w:val="30"/>
          <w:szCs w:val="30"/>
          <w:highlight w:val="none"/>
        </w:rPr>
      </w:pPr>
      <w:r>
        <w:rPr>
          <w:rFonts w:hint="eastAsia" w:ascii="宋体" w:hAnsi="宋体" w:cs="宋体"/>
          <w:color w:val="auto"/>
          <w:sz w:val="24"/>
          <w:highlight w:val="none"/>
        </w:rPr>
        <w:t>4、政府采购管理部门在合同履行期间以及履行期后，可以随时检查项目的执行情况，对采购标准、采购内容进行调查核实，并对发现的问题进行处理。</w:t>
      </w:r>
    </w:p>
    <w:p>
      <w:pPr>
        <w:jc w:val="center"/>
        <w:rPr>
          <w:rFonts w:ascii="宋体" w:hAnsi="宋体" w:cs="宋体"/>
          <w:b/>
          <w:color w:val="auto"/>
          <w:sz w:val="30"/>
          <w:szCs w:val="30"/>
          <w:highlight w:val="none"/>
        </w:rPr>
      </w:pPr>
      <w:r>
        <w:rPr>
          <w:rFonts w:hint="eastAsia" w:ascii="宋体" w:hAnsi="宋体" w:cs="宋体"/>
          <w:b/>
          <w:color w:val="auto"/>
          <w:sz w:val="30"/>
          <w:szCs w:val="30"/>
          <w:highlight w:val="none"/>
        </w:rPr>
        <w:t>八．中标服务费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1、中标服务费按约定由中标单位支付。</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2、中标单位应依据中标金额向采购代理机构交纳中标服务费，交费金额参照国家计委颁布的《招标代理服务收费管理暂行办法》（计价格[2002]1980号）及发改办价格[2003]857号文件的规定标准收取。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3、本项目代理服务费按货物招标计取。</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831"/>
        <w:gridCol w:w="2090"/>
        <w:gridCol w:w="2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2348" w:type="dxa"/>
            <w:vAlign w:val="center"/>
          </w:tcPr>
          <w:p>
            <w:pPr>
              <w:pStyle w:val="15"/>
              <w:spacing w:before="0" w:beforeAutospacing="0" w:after="0" w:afterAutospacing="0" w:line="360" w:lineRule="auto"/>
              <w:jc w:val="center"/>
              <w:rPr>
                <w:color w:val="auto"/>
                <w:highlight w:val="none"/>
              </w:rPr>
            </w:pPr>
            <w:r>
              <w:rPr>
                <w:rFonts w:hint="eastAsia"/>
                <w:b/>
                <w:color w:val="auto"/>
                <w:highlight w:val="none"/>
              </w:rPr>
              <w:t>中标金额（万元）</w:t>
            </w:r>
          </w:p>
        </w:tc>
        <w:tc>
          <w:tcPr>
            <w:tcW w:w="1831" w:type="dxa"/>
            <w:vAlign w:val="center"/>
          </w:tcPr>
          <w:p>
            <w:pPr>
              <w:pStyle w:val="15"/>
              <w:spacing w:before="0" w:beforeAutospacing="0" w:after="0" w:afterAutospacing="0" w:line="360" w:lineRule="auto"/>
              <w:jc w:val="center"/>
              <w:rPr>
                <w:color w:val="auto"/>
                <w:highlight w:val="none"/>
              </w:rPr>
            </w:pPr>
            <w:r>
              <w:rPr>
                <w:rFonts w:hint="eastAsia"/>
                <w:b/>
                <w:color w:val="auto"/>
                <w:highlight w:val="none"/>
              </w:rPr>
              <w:t>货物招标</w:t>
            </w:r>
          </w:p>
        </w:tc>
        <w:tc>
          <w:tcPr>
            <w:tcW w:w="2090" w:type="dxa"/>
            <w:vAlign w:val="center"/>
          </w:tcPr>
          <w:p>
            <w:pPr>
              <w:pStyle w:val="15"/>
              <w:spacing w:before="0" w:beforeAutospacing="0" w:after="0" w:afterAutospacing="0" w:line="360" w:lineRule="auto"/>
              <w:jc w:val="center"/>
              <w:rPr>
                <w:color w:val="auto"/>
                <w:highlight w:val="none"/>
              </w:rPr>
            </w:pPr>
            <w:r>
              <w:rPr>
                <w:rFonts w:hint="eastAsia"/>
                <w:b/>
                <w:color w:val="auto"/>
                <w:highlight w:val="none"/>
              </w:rPr>
              <w:t>服务招标</w:t>
            </w:r>
          </w:p>
        </w:tc>
        <w:tc>
          <w:tcPr>
            <w:tcW w:w="2090" w:type="dxa"/>
            <w:vAlign w:val="center"/>
          </w:tcPr>
          <w:p>
            <w:pPr>
              <w:pStyle w:val="15"/>
              <w:spacing w:before="0" w:beforeAutospacing="0" w:after="0" w:afterAutospacing="0" w:line="360" w:lineRule="auto"/>
              <w:jc w:val="center"/>
              <w:rPr>
                <w:color w:val="auto"/>
                <w:highlight w:val="none"/>
              </w:rPr>
            </w:pPr>
            <w:r>
              <w:rPr>
                <w:rFonts w:hint="eastAsia"/>
                <w:b/>
                <w:color w:val="auto"/>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348" w:type="dxa"/>
            <w:vAlign w:val="center"/>
          </w:tcPr>
          <w:p>
            <w:pPr>
              <w:pStyle w:val="15"/>
              <w:spacing w:before="0" w:beforeAutospacing="0" w:after="0" w:afterAutospacing="0" w:line="480" w:lineRule="exact"/>
              <w:jc w:val="both"/>
              <w:rPr>
                <w:color w:val="auto"/>
                <w:highlight w:val="none"/>
              </w:rPr>
            </w:pPr>
            <w:r>
              <w:rPr>
                <w:rFonts w:hint="eastAsia"/>
                <w:color w:val="auto"/>
                <w:highlight w:val="none"/>
              </w:rPr>
              <w:t>100以下</w:t>
            </w:r>
          </w:p>
        </w:tc>
        <w:tc>
          <w:tcPr>
            <w:tcW w:w="1831" w:type="dxa"/>
            <w:vAlign w:val="center"/>
          </w:tcPr>
          <w:p>
            <w:pPr>
              <w:pStyle w:val="15"/>
              <w:spacing w:before="0" w:beforeAutospacing="0" w:after="0" w:afterAutospacing="0" w:line="480" w:lineRule="exact"/>
              <w:jc w:val="center"/>
              <w:rPr>
                <w:color w:val="auto"/>
                <w:highlight w:val="none"/>
              </w:rPr>
            </w:pPr>
            <w:r>
              <w:rPr>
                <w:rFonts w:hint="eastAsia"/>
                <w:color w:val="auto"/>
                <w:highlight w:val="none"/>
              </w:rPr>
              <w:t>1.5%</w:t>
            </w:r>
          </w:p>
        </w:tc>
        <w:tc>
          <w:tcPr>
            <w:tcW w:w="2090" w:type="dxa"/>
            <w:vAlign w:val="center"/>
          </w:tcPr>
          <w:p>
            <w:pPr>
              <w:pStyle w:val="15"/>
              <w:spacing w:before="0" w:beforeAutospacing="0" w:after="0" w:afterAutospacing="0" w:line="480" w:lineRule="exact"/>
              <w:jc w:val="center"/>
              <w:rPr>
                <w:color w:val="auto"/>
                <w:highlight w:val="none"/>
              </w:rPr>
            </w:pPr>
            <w:r>
              <w:rPr>
                <w:rFonts w:hint="eastAsia"/>
                <w:color w:val="auto"/>
                <w:highlight w:val="none"/>
              </w:rPr>
              <w:t>1.5%</w:t>
            </w:r>
          </w:p>
        </w:tc>
        <w:tc>
          <w:tcPr>
            <w:tcW w:w="2090" w:type="dxa"/>
            <w:vAlign w:val="center"/>
          </w:tcPr>
          <w:p>
            <w:pPr>
              <w:pStyle w:val="15"/>
              <w:spacing w:before="0" w:beforeAutospacing="0" w:after="0" w:afterAutospacing="0" w:line="480" w:lineRule="exact"/>
              <w:jc w:val="center"/>
              <w:rPr>
                <w:color w:val="auto"/>
                <w:highlight w:val="none"/>
              </w:rPr>
            </w:pPr>
            <w:r>
              <w:rPr>
                <w:rFonts w:hint="eastAsia"/>
                <w:color w:val="auto"/>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348" w:type="dxa"/>
            <w:vAlign w:val="center"/>
          </w:tcPr>
          <w:p>
            <w:pPr>
              <w:spacing w:line="480" w:lineRule="exact"/>
              <w:rPr>
                <w:rFonts w:ascii="宋体" w:hAnsi="宋体" w:cs="宋体"/>
                <w:b/>
                <w:color w:val="auto"/>
                <w:sz w:val="24"/>
                <w:highlight w:val="none"/>
              </w:rPr>
            </w:pPr>
            <w:r>
              <w:rPr>
                <w:rFonts w:hint="eastAsia" w:ascii="宋体" w:hAnsi="宋体" w:cs="宋体"/>
                <w:color w:val="auto"/>
                <w:sz w:val="24"/>
                <w:highlight w:val="none"/>
              </w:rPr>
              <w:t>100-500</w:t>
            </w:r>
          </w:p>
        </w:tc>
        <w:tc>
          <w:tcPr>
            <w:tcW w:w="1831" w:type="dxa"/>
            <w:vAlign w:val="center"/>
          </w:tcPr>
          <w:p>
            <w:pPr>
              <w:spacing w:line="480" w:lineRule="exact"/>
              <w:jc w:val="center"/>
              <w:rPr>
                <w:rFonts w:ascii="宋体" w:hAnsi="宋体" w:cs="宋体"/>
                <w:b/>
                <w:color w:val="auto"/>
                <w:sz w:val="24"/>
                <w:highlight w:val="none"/>
              </w:rPr>
            </w:pPr>
            <w:r>
              <w:rPr>
                <w:rFonts w:hint="eastAsia" w:ascii="宋体" w:hAnsi="宋体" w:cs="宋体"/>
                <w:color w:val="auto"/>
                <w:sz w:val="24"/>
                <w:highlight w:val="none"/>
              </w:rPr>
              <w:t>1.1%</w:t>
            </w:r>
          </w:p>
        </w:tc>
        <w:tc>
          <w:tcPr>
            <w:tcW w:w="2090" w:type="dxa"/>
            <w:vAlign w:val="center"/>
          </w:tcPr>
          <w:p>
            <w:pPr>
              <w:spacing w:line="480" w:lineRule="exact"/>
              <w:jc w:val="center"/>
              <w:rPr>
                <w:rFonts w:ascii="宋体" w:hAnsi="宋体" w:cs="宋体"/>
                <w:b/>
                <w:color w:val="auto"/>
                <w:sz w:val="24"/>
                <w:highlight w:val="none"/>
              </w:rPr>
            </w:pPr>
            <w:r>
              <w:rPr>
                <w:rFonts w:hint="eastAsia" w:ascii="宋体" w:hAnsi="宋体" w:cs="宋体"/>
                <w:color w:val="auto"/>
                <w:sz w:val="24"/>
                <w:highlight w:val="none"/>
              </w:rPr>
              <w:t>0.8%</w:t>
            </w:r>
          </w:p>
        </w:tc>
        <w:tc>
          <w:tcPr>
            <w:tcW w:w="2090" w:type="dxa"/>
            <w:vAlign w:val="center"/>
          </w:tcPr>
          <w:p>
            <w:pPr>
              <w:pStyle w:val="15"/>
              <w:spacing w:before="0" w:beforeAutospacing="0" w:after="0" w:afterAutospacing="0" w:line="480" w:lineRule="exact"/>
              <w:jc w:val="center"/>
              <w:rPr>
                <w:color w:val="auto"/>
                <w:highlight w:val="none"/>
              </w:rPr>
            </w:pPr>
            <w:r>
              <w:rPr>
                <w:rFonts w:hint="eastAsia"/>
                <w:color w:val="auto"/>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vAlign w:val="center"/>
          </w:tcPr>
          <w:p>
            <w:pPr>
              <w:spacing w:line="480" w:lineRule="exact"/>
              <w:rPr>
                <w:rFonts w:ascii="宋体" w:hAnsi="宋体" w:cs="宋体"/>
                <w:b/>
                <w:color w:val="auto"/>
                <w:sz w:val="24"/>
                <w:highlight w:val="none"/>
              </w:rPr>
            </w:pPr>
            <w:r>
              <w:rPr>
                <w:rFonts w:hint="eastAsia" w:ascii="宋体" w:hAnsi="宋体" w:cs="宋体"/>
                <w:color w:val="auto"/>
                <w:sz w:val="24"/>
                <w:highlight w:val="none"/>
              </w:rPr>
              <w:t>500-1000</w:t>
            </w:r>
          </w:p>
        </w:tc>
        <w:tc>
          <w:tcPr>
            <w:tcW w:w="1831" w:type="dxa"/>
            <w:vAlign w:val="center"/>
          </w:tcPr>
          <w:p>
            <w:pPr>
              <w:spacing w:line="480" w:lineRule="exact"/>
              <w:jc w:val="center"/>
              <w:rPr>
                <w:rFonts w:ascii="宋体" w:hAnsi="宋体" w:cs="宋体"/>
                <w:b/>
                <w:color w:val="auto"/>
                <w:sz w:val="24"/>
                <w:highlight w:val="none"/>
              </w:rPr>
            </w:pPr>
            <w:r>
              <w:rPr>
                <w:rFonts w:hint="eastAsia" w:ascii="宋体" w:hAnsi="宋体" w:cs="宋体"/>
                <w:color w:val="auto"/>
                <w:sz w:val="24"/>
                <w:highlight w:val="none"/>
              </w:rPr>
              <w:t>0.8%</w:t>
            </w:r>
          </w:p>
        </w:tc>
        <w:tc>
          <w:tcPr>
            <w:tcW w:w="2090" w:type="dxa"/>
            <w:vAlign w:val="center"/>
          </w:tcPr>
          <w:p>
            <w:pPr>
              <w:spacing w:line="480" w:lineRule="exact"/>
              <w:jc w:val="center"/>
              <w:rPr>
                <w:rFonts w:ascii="宋体" w:hAnsi="宋体" w:cs="宋体"/>
                <w:b/>
                <w:color w:val="auto"/>
                <w:sz w:val="24"/>
                <w:highlight w:val="none"/>
              </w:rPr>
            </w:pPr>
            <w:r>
              <w:rPr>
                <w:rFonts w:hint="eastAsia" w:ascii="宋体" w:hAnsi="宋体" w:cs="宋体"/>
                <w:color w:val="auto"/>
                <w:sz w:val="24"/>
                <w:highlight w:val="none"/>
              </w:rPr>
              <w:t>0.45%</w:t>
            </w:r>
          </w:p>
        </w:tc>
        <w:tc>
          <w:tcPr>
            <w:tcW w:w="2090" w:type="dxa"/>
            <w:vAlign w:val="center"/>
          </w:tcPr>
          <w:p>
            <w:pPr>
              <w:spacing w:line="480" w:lineRule="exact"/>
              <w:jc w:val="center"/>
              <w:rPr>
                <w:rFonts w:ascii="宋体" w:hAnsi="宋体" w:cs="宋体"/>
                <w:b/>
                <w:color w:val="auto"/>
                <w:sz w:val="24"/>
                <w:highlight w:val="none"/>
              </w:rPr>
            </w:pPr>
            <w:r>
              <w:rPr>
                <w:rFonts w:hint="eastAsia" w:ascii="宋体" w:hAnsi="宋体" w:cs="宋体"/>
                <w:color w:val="auto"/>
                <w:sz w:val="24"/>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vAlign w:val="center"/>
          </w:tcPr>
          <w:p>
            <w:pPr>
              <w:spacing w:line="480" w:lineRule="exact"/>
              <w:rPr>
                <w:rFonts w:ascii="宋体" w:hAnsi="宋体" w:cs="宋体"/>
                <w:b/>
                <w:color w:val="auto"/>
                <w:sz w:val="24"/>
                <w:highlight w:val="none"/>
              </w:rPr>
            </w:pPr>
            <w:r>
              <w:rPr>
                <w:rFonts w:hint="eastAsia" w:ascii="宋体" w:hAnsi="宋体" w:cs="宋体"/>
                <w:color w:val="auto"/>
                <w:sz w:val="24"/>
                <w:highlight w:val="none"/>
              </w:rPr>
              <w:t>1000-5000</w:t>
            </w:r>
          </w:p>
        </w:tc>
        <w:tc>
          <w:tcPr>
            <w:tcW w:w="1831" w:type="dxa"/>
            <w:vAlign w:val="center"/>
          </w:tcPr>
          <w:p>
            <w:pPr>
              <w:spacing w:line="480" w:lineRule="exact"/>
              <w:jc w:val="center"/>
              <w:rPr>
                <w:rFonts w:ascii="宋体" w:hAnsi="宋体" w:cs="宋体"/>
                <w:b/>
                <w:color w:val="auto"/>
                <w:sz w:val="24"/>
                <w:highlight w:val="none"/>
              </w:rPr>
            </w:pPr>
            <w:r>
              <w:rPr>
                <w:rFonts w:hint="eastAsia" w:ascii="宋体" w:hAnsi="宋体" w:cs="宋体"/>
                <w:color w:val="auto"/>
                <w:sz w:val="24"/>
                <w:highlight w:val="none"/>
              </w:rPr>
              <w:t>0.5%</w:t>
            </w:r>
          </w:p>
        </w:tc>
        <w:tc>
          <w:tcPr>
            <w:tcW w:w="2090" w:type="dxa"/>
            <w:vAlign w:val="center"/>
          </w:tcPr>
          <w:p>
            <w:pPr>
              <w:spacing w:line="480" w:lineRule="exact"/>
              <w:jc w:val="center"/>
              <w:rPr>
                <w:rFonts w:ascii="宋体" w:hAnsi="宋体" w:cs="宋体"/>
                <w:b/>
                <w:color w:val="auto"/>
                <w:sz w:val="24"/>
                <w:highlight w:val="none"/>
              </w:rPr>
            </w:pPr>
            <w:r>
              <w:rPr>
                <w:rFonts w:hint="eastAsia" w:ascii="宋体" w:hAnsi="宋体" w:cs="宋体"/>
                <w:color w:val="auto"/>
                <w:sz w:val="24"/>
                <w:highlight w:val="none"/>
              </w:rPr>
              <w:t>0.25%</w:t>
            </w:r>
          </w:p>
        </w:tc>
        <w:tc>
          <w:tcPr>
            <w:tcW w:w="2090" w:type="dxa"/>
            <w:vAlign w:val="center"/>
          </w:tcPr>
          <w:p>
            <w:pPr>
              <w:pStyle w:val="15"/>
              <w:spacing w:before="0" w:beforeAutospacing="0" w:after="0" w:afterAutospacing="0" w:line="480" w:lineRule="exact"/>
              <w:jc w:val="center"/>
              <w:rPr>
                <w:color w:val="auto"/>
                <w:highlight w:val="none"/>
              </w:rPr>
            </w:pPr>
            <w:r>
              <w:rPr>
                <w:rFonts w:hint="eastAsia"/>
                <w:color w:val="auto"/>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vAlign w:val="center"/>
          </w:tcPr>
          <w:p>
            <w:pPr>
              <w:spacing w:line="480" w:lineRule="exact"/>
              <w:rPr>
                <w:rFonts w:ascii="宋体" w:hAnsi="宋体" w:cs="宋体"/>
                <w:b/>
                <w:color w:val="auto"/>
                <w:sz w:val="24"/>
                <w:highlight w:val="none"/>
              </w:rPr>
            </w:pPr>
            <w:r>
              <w:rPr>
                <w:rFonts w:hint="eastAsia" w:ascii="宋体" w:hAnsi="宋体" w:cs="宋体"/>
                <w:color w:val="auto"/>
                <w:sz w:val="24"/>
                <w:highlight w:val="none"/>
              </w:rPr>
              <w:t>5000-10000</w:t>
            </w:r>
          </w:p>
        </w:tc>
        <w:tc>
          <w:tcPr>
            <w:tcW w:w="1831" w:type="dxa"/>
            <w:vAlign w:val="center"/>
          </w:tcPr>
          <w:p>
            <w:pPr>
              <w:spacing w:line="480" w:lineRule="exact"/>
              <w:jc w:val="center"/>
              <w:rPr>
                <w:rFonts w:ascii="宋体" w:hAnsi="宋体" w:cs="宋体"/>
                <w:b/>
                <w:color w:val="auto"/>
                <w:sz w:val="24"/>
                <w:highlight w:val="none"/>
              </w:rPr>
            </w:pPr>
            <w:r>
              <w:rPr>
                <w:rFonts w:hint="eastAsia" w:ascii="宋体" w:hAnsi="宋体" w:cs="宋体"/>
                <w:color w:val="auto"/>
                <w:sz w:val="24"/>
                <w:highlight w:val="none"/>
              </w:rPr>
              <w:t>0.25%</w:t>
            </w:r>
          </w:p>
        </w:tc>
        <w:tc>
          <w:tcPr>
            <w:tcW w:w="2090" w:type="dxa"/>
            <w:vAlign w:val="center"/>
          </w:tcPr>
          <w:p>
            <w:pPr>
              <w:spacing w:line="480" w:lineRule="exact"/>
              <w:jc w:val="center"/>
              <w:rPr>
                <w:rFonts w:ascii="宋体" w:hAnsi="宋体" w:cs="宋体"/>
                <w:b/>
                <w:color w:val="auto"/>
                <w:sz w:val="24"/>
                <w:highlight w:val="none"/>
              </w:rPr>
            </w:pPr>
            <w:r>
              <w:rPr>
                <w:rFonts w:hint="eastAsia" w:ascii="宋体" w:hAnsi="宋体" w:cs="宋体"/>
                <w:color w:val="auto"/>
                <w:sz w:val="24"/>
                <w:highlight w:val="none"/>
              </w:rPr>
              <w:t>0.1%</w:t>
            </w:r>
          </w:p>
        </w:tc>
        <w:tc>
          <w:tcPr>
            <w:tcW w:w="2090" w:type="dxa"/>
            <w:vAlign w:val="center"/>
          </w:tcPr>
          <w:p>
            <w:pPr>
              <w:spacing w:line="480" w:lineRule="exact"/>
              <w:jc w:val="center"/>
              <w:rPr>
                <w:rFonts w:ascii="宋体" w:hAnsi="宋体" w:cs="宋体"/>
                <w:b/>
                <w:color w:val="auto"/>
                <w:sz w:val="24"/>
                <w:highlight w:val="none"/>
              </w:rPr>
            </w:pPr>
            <w:r>
              <w:rPr>
                <w:rFonts w:hint="eastAsia" w:ascii="宋体" w:hAnsi="宋体" w:cs="宋体"/>
                <w:color w:val="auto"/>
                <w:sz w:val="24"/>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348" w:type="dxa"/>
            <w:vAlign w:val="center"/>
          </w:tcPr>
          <w:p>
            <w:pPr>
              <w:spacing w:line="480" w:lineRule="exact"/>
              <w:rPr>
                <w:rFonts w:ascii="宋体" w:hAnsi="宋体" w:cs="宋体"/>
                <w:b/>
                <w:color w:val="auto"/>
                <w:sz w:val="24"/>
                <w:highlight w:val="none"/>
              </w:rPr>
            </w:pPr>
            <w:r>
              <w:rPr>
                <w:rFonts w:hint="eastAsia" w:ascii="宋体" w:hAnsi="宋体" w:cs="宋体"/>
                <w:color w:val="auto"/>
                <w:sz w:val="24"/>
                <w:highlight w:val="none"/>
              </w:rPr>
              <w:t>10000-100000</w:t>
            </w:r>
          </w:p>
        </w:tc>
        <w:tc>
          <w:tcPr>
            <w:tcW w:w="1831" w:type="dxa"/>
            <w:vAlign w:val="center"/>
          </w:tcPr>
          <w:p>
            <w:pPr>
              <w:spacing w:line="480" w:lineRule="exact"/>
              <w:jc w:val="center"/>
              <w:rPr>
                <w:rFonts w:ascii="宋体" w:hAnsi="宋体" w:cs="宋体"/>
                <w:b/>
                <w:color w:val="auto"/>
                <w:sz w:val="24"/>
                <w:highlight w:val="none"/>
              </w:rPr>
            </w:pPr>
            <w:r>
              <w:rPr>
                <w:rFonts w:hint="eastAsia" w:ascii="宋体" w:hAnsi="宋体" w:cs="宋体"/>
                <w:color w:val="auto"/>
                <w:sz w:val="24"/>
                <w:highlight w:val="none"/>
              </w:rPr>
              <w:t>0.05%</w:t>
            </w:r>
          </w:p>
        </w:tc>
        <w:tc>
          <w:tcPr>
            <w:tcW w:w="2090" w:type="dxa"/>
            <w:vAlign w:val="center"/>
          </w:tcPr>
          <w:p>
            <w:pPr>
              <w:spacing w:line="480" w:lineRule="exact"/>
              <w:jc w:val="center"/>
              <w:rPr>
                <w:rFonts w:ascii="宋体" w:hAnsi="宋体" w:cs="宋体"/>
                <w:b/>
                <w:color w:val="auto"/>
                <w:sz w:val="24"/>
                <w:highlight w:val="none"/>
              </w:rPr>
            </w:pPr>
            <w:r>
              <w:rPr>
                <w:rFonts w:hint="eastAsia" w:ascii="宋体" w:hAnsi="宋体" w:cs="宋体"/>
                <w:color w:val="auto"/>
                <w:sz w:val="24"/>
                <w:highlight w:val="none"/>
              </w:rPr>
              <w:t>0.05%</w:t>
            </w:r>
          </w:p>
        </w:tc>
        <w:tc>
          <w:tcPr>
            <w:tcW w:w="2090" w:type="dxa"/>
            <w:vAlign w:val="center"/>
          </w:tcPr>
          <w:p>
            <w:pPr>
              <w:spacing w:line="480" w:lineRule="exact"/>
              <w:jc w:val="center"/>
              <w:rPr>
                <w:rFonts w:ascii="宋体" w:hAnsi="宋体" w:cs="宋体"/>
                <w:b/>
                <w:color w:val="auto"/>
                <w:sz w:val="24"/>
                <w:highlight w:val="none"/>
              </w:rPr>
            </w:pPr>
            <w:r>
              <w:rPr>
                <w:rFonts w:hint="eastAsia" w:ascii="宋体" w:hAnsi="宋体" w:cs="宋体"/>
                <w:color w:val="auto"/>
                <w:sz w:val="24"/>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vAlign w:val="center"/>
          </w:tcPr>
          <w:p>
            <w:pPr>
              <w:spacing w:line="480" w:lineRule="exact"/>
              <w:rPr>
                <w:rFonts w:ascii="宋体" w:hAnsi="宋体" w:cs="宋体"/>
                <w:b/>
                <w:color w:val="auto"/>
                <w:sz w:val="24"/>
                <w:highlight w:val="none"/>
              </w:rPr>
            </w:pPr>
            <w:r>
              <w:rPr>
                <w:rFonts w:hint="eastAsia" w:ascii="宋体" w:hAnsi="宋体" w:cs="宋体"/>
                <w:color w:val="auto"/>
                <w:sz w:val="24"/>
                <w:highlight w:val="none"/>
              </w:rPr>
              <w:t>100000以上</w:t>
            </w:r>
          </w:p>
        </w:tc>
        <w:tc>
          <w:tcPr>
            <w:tcW w:w="1831" w:type="dxa"/>
            <w:vAlign w:val="center"/>
          </w:tcPr>
          <w:p>
            <w:pPr>
              <w:spacing w:line="480" w:lineRule="exact"/>
              <w:jc w:val="center"/>
              <w:rPr>
                <w:rFonts w:ascii="宋体" w:hAnsi="宋体" w:cs="宋体"/>
                <w:b/>
                <w:color w:val="auto"/>
                <w:sz w:val="24"/>
                <w:highlight w:val="none"/>
              </w:rPr>
            </w:pPr>
            <w:r>
              <w:rPr>
                <w:rFonts w:hint="eastAsia" w:ascii="宋体" w:hAnsi="宋体" w:cs="宋体"/>
                <w:color w:val="auto"/>
                <w:sz w:val="24"/>
                <w:highlight w:val="none"/>
              </w:rPr>
              <w:t>0.01%</w:t>
            </w:r>
          </w:p>
        </w:tc>
        <w:tc>
          <w:tcPr>
            <w:tcW w:w="2090" w:type="dxa"/>
            <w:vAlign w:val="center"/>
          </w:tcPr>
          <w:p>
            <w:pPr>
              <w:spacing w:line="480" w:lineRule="exact"/>
              <w:jc w:val="center"/>
              <w:rPr>
                <w:rFonts w:ascii="宋体" w:hAnsi="宋体" w:cs="宋体"/>
                <w:b/>
                <w:color w:val="auto"/>
                <w:sz w:val="24"/>
                <w:highlight w:val="none"/>
              </w:rPr>
            </w:pPr>
            <w:r>
              <w:rPr>
                <w:rFonts w:hint="eastAsia" w:ascii="宋体" w:hAnsi="宋体" w:cs="宋体"/>
                <w:color w:val="auto"/>
                <w:sz w:val="24"/>
                <w:highlight w:val="none"/>
              </w:rPr>
              <w:t>0.01%</w:t>
            </w:r>
          </w:p>
        </w:tc>
        <w:tc>
          <w:tcPr>
            <w:tcW w:w="2090" w:type="dxa"/>
            <w:vAlign w:val="center"/>
          </w:tcPr>
          <w:p>
            <w:pPr>
              <w:pStyle w:val="15"/>
              <w:spacing w:before="0" w:beforeAutospacing="0" w:after="0" w:afterAutospacing="0" w:line="480" w:lineRule="exact"/>
              <w:jc w:val="center"/>
              <w:rPr>
                <w:color w:val="auto"/>
                <w:highlight w:val="none"/>
              </w:rPr>
            </w:pPr>
            <w:r>
              <w:rPr>
                <w:rFonts w:hint="eastAsia"/>
                <w:color w:val="auto"/>
                <w:highlight w:val="none"/>
              </w:rPr>
              <w:t>0.015%</w:t>
            </w:r>
          </w:p>
        </w:tc>
      </w:tr>
    </w:tbl>
    <w:p>
      <w:pPr>
        <w:spacing w:line="360" w:lineRule="auto"/>
        <w:ind w:firstLine="360" w:firstLineChars="150"/>
        <w:rPr>
          <w:rFonts w:ascii="宋体" w:hAnsi="宋体" w:cs="宋体"/>
          <w:color w:val="auto"/>
          <w:kern w:val="0"/>
          <w:sz w:val="24"/>
          <w:highlight w:val="none"/>
        </w:rPr>
      </w:pPr>
      <w:r>
        <w:rPr>
          <w:rFonts w:hint="eastAsia" w:ascii="宋体" w:hAnsi="宋体" w:cs="宋体"/>
          <w:color w:val="auto"/>
          <w:kern w:val="0"/>
          <w:sz w:val="24"/>
          <w:highlight w:val="none"/>
        </w:rPr>
        <w:t>注：招标代理服务收费按差额定率累进法计算。</w:t>
      </w:r>
    </w:p>
    <w:p>
      <w:pPr>
        <w:spacing w:line="360" w:lineRule="auto"/>
        <w:ind w:firstLine="360" w:firstLineChars="150"/>
        <w:rPr>
          <w:rFonts w:ascii="宋体" w:hAnsi="宋体" w:cs="宋体"/>
          <w:color w:val="auto"/>
          <w:sz w:val="24"/>
          <w:highlight w:val="none"/>
        </w:rPr>
      </w:pPr>
      <w:r>
        <w:rPr>
          <w:rFonts w:hint="eastAsia" w:ascii="宋体" w:hAnsi="宋体" w:cs="宋体"/>
          <w:color w:val="auto"/>
          <w:kern w:val="0"/>
          <w:sz w:val="24"/>
          <w:highlight w:val="none"/>
        </w:rPr>
        <w:t>以货物项目为例：中标金额为1200万元，计算招标代理服务收费额如下：</w:t>
      </w:r>
    </w:p>
    <w:p>
      <w:pPr>
        <w:spacing w:line="360" w:lineRule="auto"/>
        <w:ind w:firstLine="360" w:firstLineChars="150"/>
        <w:rPr>
          <w:rFonts w:ascii="宋体" w:hAnsi="宋体" w:cs="宋体"/>
          <w:color w:val="auto"/>
          <w:kern w:val="0"/>
          <w:sz w:val="24"/>
          <w:highlight w:val="none"/>
        </w:rPr>
      </w:pPr>
      <w:r>
        <w:rPr>
          <w:rFonts w:hint="eastAsia" w:ascii="宋体" w:hAnsi="宋体" w:cs="宋体"/>
          <w:color w:val="auto"/>
          <w:kern w:val="0"/>
          <w:sz w:val="24"/>
          <w:highlight w:val="none"/>
        </w:rPr>
        <w:t>100万元×1.5%=1.5万元</w:t>
      </w:r>
    </w:p>
    <w:p>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（500-100）万元×1.1%=4.4万元 </w:t>
      </w:r>
    </w:p>
    <w:p>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（1000-500）万元×0.8%=4万元 </w:t>
      </w:r>
    </w:p>
    <w:p>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（1200-1000）万元×0.5%=1万元</w:t>
      </w:r>
    </w:p>
    <w:p>
      <w:pPr>
        <w:rPr>
          <w:rFonts w:ascii="宋体" w:hAnsi="宋体" w:cs="宋体"/>
          <w:color w:val="auto"/>
          <w:kern w:val="0"/>
          <w:sz w:val="24"/>
          <w:highlight w:val="none"/>
        </w:rPr>
      </w:pPr>
      <w:r>
        <w:rPr>
          <w:rFonts w:hint="eastAsia" w:ascii="宋体" w:hAnsi="宋体" w:cs="宋体"/>
          <w:color w:val="auto"/>
          <w:kern w:val="0"/>
          <w:sz w:val="24"/>
          <w:highlight w:val="none"/>
        </w:rPr>
        <w:t>合计收费</w:t>
      </w:r>
      <w:r>
        <w:rPr>
          <w:rFonts w:hint="eastAsia" w:ascii="宋体" w:hAnsi="宋体" w:cs="宋体"/>
          <w:color w:val="auto"/>
          <w:spacing w:val="20"/>
          <w:kern w:val="0"/>
          <w:sz w:val="24"/>
          <w:highlight w:val="none"/>
        </w:rPr>
        <w:t>=1.5+4.4+4+1=10.9</w:t>
      </w:r>
      <w:r>
        <w:rPr>
          <w:rFonts w:hint="eastAsia" w:ascii="宋体" w:hAnsi="宋体" w:cs="宋体"/>
          <w:color w:val="auto"/>
          <w:kern w:val="0"/>
          <w:sz w:val="24"/>
          <w:highlight w:val="none"/>
        </w:rPr>
        <w:t>万元</w:t>
      </w:r>
    </w:p>
    <w:p>
      <w:pPr>
        <w:jc w:val="center"/>
        <w:rPr>
          <w:rFonts w:ascii="宋体" w:hAnsi="宋体" w:cs="宋体"/>
          <w:b/>
          <w:color w:val="auto"/>
          <w:sz w:val="30"/>
          <w:szCs w:val="30"/>
          <w:highlight w:val="none"/>
        </w:rPr>
      </w:pPr>
      <w:r>
        <w:rPr>
          <w:rFonts w:hint="eastAsia" w:ascii="宋体" w:hAnsi="宋体" w:cs="宋体"/>
          <w:b/>
          <w:color w:val="auto"/>
          <w:sz w:val="30"/>
          <w:szCs w:val="30"/>
          <w:highlight w:val="none"/>
        </w:rPr>
        <w:t>十．其它事项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中标单位确定后，中标单位无正当理由拖延或拒签合同的，或未能按照规定的时间提供履约担保，采购人有权取消其中标资格，并按评审顺序重新确定中标单位。同时报请监督机构予以通报，禁止其进入政府采购市场，并没收其保证金。给采购人造成损失超过投标保证金额的，还应当对超过部分予以赔偿，并依法承担相应法律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2、其他未尽事宜，按照《中华人民共和国政府采购法》、《中华人民共和国政府采购法实施条例》等法律法规的有关条款执行。</w:t>
      </w:r>
    </w:p>
    <w:p>
      <w:pPr>
        <w:spacing w:line="360" w:lineRule="auto"/>
        <w:jc w:val="center"/>
        <w:rPr>
          <w:rFonts w:ascii="宋体" w:hAnsi="宋体" w:cs="宋体"/>
          <w:b/>
          <w:color w:val="auto"/>
          <w:sz w:val="32"/>
          <w:szCs w:val="32"/>
          <w:highlight w:val="none"/>
        </w:rPr>
        <w:sectPr>
          <w:footerReference r:id="rId8" w:type="default"/>
          <w:pgSz w:w="11906" w:h="16838"/>
          <w:pgMar w:top="1417" w:right="1417" w:bottom="1417" w:left="1417" w:header="851" w:footer="992" w:gutter="0"/>
          <w:cols w:space="720" w:num="1"/>
          <w:docGrid w:type="lines" w:linePitch="312" w:charSpace="0"/>
        </w:sectPr>
      </w:pPr>
      <w:bookmarkStart w:id="8" w:name="_Toc328739378"/>
    </w:p>
    <w:bookmarkEnd w:id="8"/>
    <w:p>
      <w:pPr>
        <w:spacing w:line="360" w:lineRule="auto"/>
        <w:jc w:val="center"/>
        <w:outlineLvl w:val="0"/>
        <w:rPr>
          <w:rFonts w:ascii="宋体" w:hAnsi="宋体" w:cs="宋体"/>
          <w:b/>
          <w:bCs/>
          <w:color w:val="auto"/>
          <w:kern w:val="44"/>
          <w:sz w:val="32"/>
          <w:szCs w:val="32"/>
          <w:highlight w:val="none"/>
        </w:rPr>
      </w:pPr>
      <w:bookmarkStart w:id="9" w:name="_Toc32123"/>
      <w:r>
        <w:rPr>
          <w:rFonts w:hint="eastAsia" w:ascii="宋体" w:hAnsi="宋体" w:cs="宋体"/>
          <w:b/>
          <w:bCs/>
          <w:color w:val="auto"/>
          <w:kern w:val="44"/>
          <w:sz w:val="32"/>
          <w:szCs w:val="32"/>
          <w:highlight w:val="none"/>
        </w:rPr>
        <w:t xml:space="preserve">第三部分 </w:t>
      </w:r>
      <w:bookmarkEnd w:id="5"/>
      <w:bookmarkEnd w:id="6"/>
      <w:bookmarkEnd w:id="7"/>
      <w:r>
        <w:rPr>
          <w:rFonts w:hint="eastAsia" w:ascii="宋体" w:hAnsi="宋体" w:cs="宋体"/>
          <w:b/>
          <w:bCs/>
          <w:color w:val="auto"/>
          <w:kern w:val="44"/>
          <w:sz w:val="32"/>
          <w:szCs w:val="32"/>
          <w:highlight w:val="none"/>
        </w:rPr>
        <w:t>招标内容及参数要求</w:t>
      </w:r>
      <w:bookmarkEnd w:id="9"/>
    </w:p>
    <w:p>
      <w:pPr>
        <w:pStyle w:val="9"/>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一、项目名称：甘泉美水街道办事处垃圾收运车及垃圾桶购买项目</w:t>
      </w:r>
    </w:p>
    <w:p>
      <w:pPr>
        <w:pStyle w:val="9"/>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二、供货期：30天</w:t>
      </w:r>
    </w:p>
    <w:p>
      <w:pPr>
        <w:pStyle w:val="9"/>
        <w:spacing w:line="360" w:lineRule="auto"/>
        <w:rPr>
          <w:rFonts w:hint="eastAsia" w:ascii="宋体" w:hAnsi="宋体" w:cs="宋体"/>
          <w:color w:val="auto"/>
          <w:sz w:val="24"/>
          <w:szCs w:val="32"/>
          <w:highlight w:val="none"/>
        </w:rPr>
      </w:pPr>
      <w:r>
        <w:rPr>
          <w:rFonts w:hint="eastAsia" w:ascii="宋体" w:hAnsi="宋体" w:cs="宋体"/>
          <w:color w:val="auto"/>
          <w:sz w:val="24"/>
          <w:szCs w:val="32"/>
          <w:highlight w:val="none"/>
        </w:rPr>
        <w:t>三、质保期：三年</w:t>
      </w:r>
    </w:p>
    <w:p>
      <w:pPr>
        <w:pStyle w:val="9"/>
        <w:spacing w:line="360" w:lineRule="auto"/>
        <w:rPr>
          <w:rFonts w:hint="eastAsia" w:ascii="宋体" w:hAnsi="宋体" w:eastAsia="宋体" w:cs="宋体"/>
          <w:color w:val="auto"/>
          <w:sz w:val="24"/>
          <w:szCs w:val="32"/>
          <w:highlight w:val="none"/>
          <w:lang w:val="en-US" w:eastAsia="zh-CN"/>
        </w:rPr>
      </w:pPr>
      <w:r>
        <w:rPr>
          <w:rFonts w:hint="eastAsia" w:ascii="宋体" w:hAnsi="宋体" w:cs="宋体"/>
          <w:color w:val="auto"/>
          <w:sz w:val="24"/>
          <w:szCs w:val="32"/>
          <w:highlight w:val="none"/>
        </w:rPr>
        <w:t>四</w:t>
      </w:r>
      <w:r>
        <w:rPr>
          <w:rFonts w:hint="eastAsia" w:ascii="宋体" w:hAnsi="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本项目所属行业为：</w:t>
      </w:r>
      <w:r>
        <w:rPr>
          <w:rFonts w:hint="eastAsia" w:ascii="宋体" w:hAnsi="宋体" w:cs="宋体"/>
          <w:color w:val="auto"/>
          <w:sz w:val="24"/>
          <w:szCs w:val="32"/>
          <w:highlight w:val="none"/>
          <w:lang w:val="en-US" w:eastAsia="zh-CN"/>
        </w:rPr>
        <w:t>汽车制造</w:t>
      </w:r>
      <w:r>
        <w:rPr>
          <w:rFonts w:hint="eastAsia" w:ascii="宋体" w:hAnsi="宋体" w:eastAsia="宋体" w:cs="宋体"/>
          <w:color w:val="auto"/>
          <w:sz w:val="24"/>
          <w:szCs w:val="32"/>
          <w:highlight w:val="none"/>
          <w:lang w:val="en-US" w:eastAsia="zh-CN"/>
        </w:rPr>
        <w:t>业。</w:t>
      </w:r>
    </w:p>
    <w:p>
      <w:pPr>
        <w:pStyle w:val="9"/>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五</w:t>
      </w:r>
      <w:r>
        <w:rPr>
          <w:rFonts w:hint="eastAsia" w:ascii="宋体" w:hAnsi="宋体" w:cs="宋体"/>
          <w:color w:val="auto"/>
          <w:sz w:val="24"/>
          <w:szCs w:val="32"/>
          <w:highlight w:val="none"/>
        </w:rPr>
        <w:t>、采购内容：</w:t>
      </w:r>
    </w:p>
    <w:p>
      <w:pPr>
        <w:pStyle w:val="9"/>
        <w:ind w:firstLine="241" w:firstLineChars="100"/>
        <w:rPr>
          <w:rFonts w:ascii="宋体" w:hAnsi="宋体" w:cs="宋体"/>
          <w:b/>
          <w:bCs/>
          <w:color w:val="auto"/>
          <w:sz w:val="24"/>
          <w:szCs w:val="32"/>
          <w:highlight w:val="none"/>
        </w:rPr>
      </w:pPr>
      <w:r>
        <w:rPr>
          <w:rFonts w:hint="eastAsia" w:ascii="宋体" w:hAnsi="宋体" w:cs="宋体"/>
          <w:b/>
          <w:bCs/>
          <w:color w:val="auto"/>
          <w:sz w:val="24"/>
          <w:szCs w:val="32"/>
          <w:highlight w:val="none"/>
        </w:rPr>
        <w:t>以下参数为采购人结合自身情况参考市场而定，为最低技术要求，须完全满足。</w:t>
      </w:r>
    </w:p>
    <w:tbl>
      <w:tblPr>
        <w:tblStyle w:val="19"/>
        <w:tblW w:w="9053" w:type="dxa"/>
        <w:tblInd w:w="93" w:type="dxa"/>
        <w:tblLayout w:type="fixed"/>
        <w:tblCellMar>
          <w:top w:w="0" w:type="dxa"/>
          <w:left w:w="108" w:type="dxa"/>
          <w:bottom w:w="0" w:type="dxa"/>
          <w:right w:w="108" w:type="dxa"/>
        </w:tblCellMar>
      </w:tblPr>
      <w:tblGrid>
        <w:gridCol w:w="936"/>
        <w:gridCol w:w="1758"/>
        <w:gridCol w:w="5337"/>
        <w:gridCol w:w="1022"/>
      </w:tblGrid>
      <w:tr>
        <w:tblPrEx>
          <w:tblCellMar>
            <w:top w:w="0" w:type="dxa"/>
            <w:left w:w="108" w:type="dxa"/>
            <w:bottom w:w="0" w:type="dxa"/>
            <w:right w:w="108" w:type="dxa"/>
          </w:tblCellMar>
        </w:tblPrEx>
        <w:trPr>
          <w:trHeight w:val="285"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序号</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名称</w:t>
            </w:r>
          </w:p>
        </w:tc>
        <w:tc>
          <w:tcPr>
            <w:tcW w:w="5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规格和参数说明</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数量</w:t>
            </w:r>
          </w:p>
        </w:tc>
      </w:tr>
      <w:tr>
        <w:tblPrEx>
          <w:tblCellMar>
            <w:top w:w="0" w:type="dxa"/>
            <w:left w:w="108" w:type="dxa"/>
            <w:bottom w:w="0" w:type="dxa"/>
            <w:right w:w="108" w:type="dxa"/>
          </w:tblCellMar>
        </w:tblPrEx>
        <w:trPr>
          <w:trHeight w:val="9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压缩车</w:t>
            </w:r>
          </w:p>
        </w:tc>
        <w:tc>
          <w:tcPr>
            <w:tcW w:w="5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6"/>
              </w:numPr>
              <w:jc w:val="left"/>
              <w:textAlignment w:val="center"/>
              <w:rPr>
                <w:rFonts w:ascii="宋体" w:hAnsi="宋体" w:cs="宋体"/>
                <w:color w:val="auto"/>
                <w:highlight w:val="none"/>
              </w:rPr>
            </w:pPr>
            <w:r>
              <w:rPr>
                <w:rFonts w:hint="eastAsia" w:ascii="宋体" w:hAnsi="宋体" w:cs="宋体"/>
                <w:color w:val="auto"/>
                <w:highlight w:val="none"/>
              </w:rPr>
              <w:t>轴距：≧</w:t>
            </w:r>
            <w:r>
              <w:rPr>
                <w:rFonts w:hint="eastAsia" w:ascii="宋体" w:hAnsi="宋体" w:cs="宋体"/>
                <w:color w:val="auto"/>
                <w:highlight w:val="none"/>
                <w:lang w:val="en-US" w:eastAsia="zh-CN"/>
              </w:rPr>
              <w:t>3308</w:t>
            </w:r>
            <w:r>
              <w:rPr>
                <w:rFonts w:hint="eastAsia" w:ascii="宋体" w:hAnsi="宋体" w:cs="宋体"/>
                <w:color w:val="auto"/>
                <w:highlight w:val="none"/>
              </w:rPr>
              <w:t>mm</w:t>
            </w:r>
            <w:r>
              <w:rPr>
                <w:rFonts w:hint="eastAsia" w:ascii="宋体" w:hAnsi="宋体" w:cs="宋体"/>
                <w:color w:val="auto"/>
                <w:highlight w:val="none"/>
                <w:lang w:eastAsia="zh-CN"/>
              </w:rPr>
              <w:t>、</w:t>
            </w:r>
            <w:r>
              <w:rPr>
                <w:rFonts w:hint="eastAsia" w:ascii="宋体" w:hAnsi="宋体" w:cs="宋体"/>
                <w:color w:val="auto"/>
                <w:highlight w:val="none"/>
              </w:rPr>
              <w:t>发动机功率:≧100KW，国六排放标准。</w:t>
            </w:r>
          </w:p>
          <w:p>
            <w:pPr>
              <w:widowControl/>
              <w:numPr>
                <w:ilvl w:val="0"/>
                <w:numId w:val="6"/>
              </w:numPr>
              <w:jc w:val="left"/>
              <w:textAlignment w:val="center"/>
              <w:rPr>
                <w:rFonts w:ascii="宋体" w:hAnsi="宋体" w:cs="宋体"/>
                <w:color w:val="auto"/>
                <w:highlight w:val="none"/>
              </w:rPr>
            </w:pPr>
            <w:r>
              <w:rPr>
                <w:rFonts w:hint="eastAsia" w:ascii="宋体" w:hAnsi="宋体" w:cs="宋体"/>
                <w:color w:val="auto"/>
                <w:highlight w:val="none"/>
              </w:rPr>
              <w:t>外形尺寸：≧6700×2000×2500mm，额定载质量:</w:t>
            </w:r>
            <w:r>
              <w:rPr>
                <w:rFonts w:hint="eastAsia" w:ascii="宋体" w:hAnsi="宋体" w:eastAsia="宋体" w:cs="宋体"/>
                <w:color w:val="auto"/>
                <w:highlight w:val="none"/>
              </w:rPr>
              <w:t>≦</w:t>
            </w:r>
            <w:r>
              <w:rPr>
                <w:rFonts w:hint="eastAsia" w:ascii="宋体" w:hAnsi="宋体" w:cs="宋体"/>
                <w:color w:val="auto"/>
                <w:highlight w:val="none"/>
              </w:rPr>
              <w:t>1700KG，总质量：</w:t>
            </w:r>
            <w:r>
              <w:rPr>
                <w:rFonts w:hint="eastAsia" w:ascii="宋体" w:hAnsi="宋体" w:eastAsia="宋体" w:cs="宋体"/>
                <w:color w:val="auto"/>
                <w:highlight w:val="none"/>
              </w:rPr>
              <w:t>≦</w:t>
            </w:r>
            <w:r>
              <w:rPr>
                <w:rFonts w:hint="eastAsia" w:ascii="宋体" w:hAnsi="宋体" w:cs="宋体"/>
                <w:color w:val="auto"/>
                <w:highlight w:val="none"/>
              </w:rPr>
              <w:t>7500KG，整备质量：</w:t>
            </w:r>
            <w:r>
              <w:rPr>
                <w:rFonts w:hint="eastAsia" w:ascii="宋体" w:hAnsi="宋体" w:eastAsia="宋体" w:cs="宋体"/>
                <w:color w:val="auto"/>
                <w:highlight w:val="none"/>
              </w:rPr>
              <w:t>≦</w:t>
            </w:r>
            <w:r>
              <w:rPr>
                <w:rFonts w:hint="eastAsia" w:ascii="宋体" w:hAnsi="宋体" w:cs="宋体"/>
                <w:color w:val="auto"/>
                <w:highlight w:val="none"/>
              </w:rPr>
              <w:t>5600KG,填充器容积：2m³，填充器装载桶数：3桶（240L垃圾桶），垃圾箱容积：6m³，最大装载桶数：70-80桶（240L垃圾桶），上装配置：优质高强度材料制作箱体。标配垃圾翻转斗或挂桶翻转板。带冷暖空调、淋水器。</w:t>
            </w:r>
          </w:p>
          <w:p>
            <w:pPr>
              <w:pStyle w:val="2"/>
              <w:rPr>
                <w:rFonts w:ascii="宋体" w:hAnsi="宋体" w:cs="宋体"/>
                <w:color w:val="auto"/>
                <w:highlight w:val="none"/>
              </w:rPr>
            </w:pPr>
            <w:r>
              <w:rPr>
                <w:rFonts w:hint="eastAsia" w:ascii="宋体" w:hAnsi="宋体" w:cs="宋体"/>
                <w:color w:val="auto"/>
                <w:kern w:val="0"/>
                <w:sz w:val="21"/>
                <w:szCs w:val="21"/>
                <w:highlight w:val="none"/>
              </w:rPr>
              <w:t>3、中标人负责上牌，包括但不限于交强险、商业险、购置税及所有上牌费用。</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1辆</w:t>
            </w:r>
          </w:p>
        </w:tc>
      </w:tr>
      <w:tr>
        <w:tblPrEx>
          <w:tblCellMar>
            <w:top w:w="0" w:type="dxa"/>
            <w:left w:w="108" w:type="dxa"/>
            <w:bottom w:w="0" w:type="dxa"/>
            <w:right w:w="108" w:type="dxa"/>
          </w:tblCellMar>
        </w:tblPrEx>
        <w:trPr>
          <w:trHeight w:val="1623"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2</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清扫车</w:t>
            </w:r>
          </w:p>
        </w:tc>
        <w:tc>
          <w:tcPr>
            <w:tcW w:w="5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7"/>
              </w:numPr>
              <w:jc w:val="left"/>
              <w:textAlignment w:val="center"/>
              <w:rPr>
                <w:rFonts w:ascii="宋体" w:hAnsi="宋体" w:cs="宋体"/>
                <w:color w:val="auto"/>
                <w:highlight w:val="none"/>
              </w:rPr>
            </w:pPr>
            <w:r>
              <w:rPr>
                <w:rFonts w:hint="eastAsia" w:ascii="宋体" w:hAnsi="宋体" w:cs="宋体"/>
                <w:color w:val="auto"/>
                <w:highlight w:val="none"/>
              </w:rPr>
              <w:t>轴距：</w:t>
            </w:r>
            <w:r>
              <w:rPr>
                <w:rFonts w:hint="eastAsia" w:ascii="宋体" w:hAnsi="宋体" w:eastAsia="宋体" w:cs="宋体"/>
                <w:color w:val="auto"/>
                <w:highlight w:val="none"/>
              </w:rPr>
              <w:t>≦</w:t>
            </w:r>
            <w:r>
              <w:rPr>
                <w:rFonts w:hint="eastAsia" w:ascii="宋体" w:hAnsi="宋体" w:cs="宋体"/>
                <w:color w:val="auto"/>
                <w:highlight w:val="none"/>
              </w:rPr>
              <w:t>2600mm ，发动机功率：≧68KW，国六排放标准</w:t>
            </w:r>
            <w:r>
              <w:rPr>
                <w:rFonts w:hint="eastAsia" w:ascii="宋体" w:hAnsi="宋体" w:cs="宋体"/>
                <w:color w:val="auto"/>
                <w:highlight w:val="none"/>
                <w:lang w:eastAsia="zh-CN"/>
              </w:rPr>
              <w:t>；</w:t>
            </w:r>
            <w:r>
              <w:rPr>
                <w:rFonts w:hint="eastAsia" w:ascii="宋体" w:hAnsi="宋体" w:cs="宋体"/>
                <w:color w:val="auto"/>
                <w:highlight w:val="none"/>
              </w:rPr>
              <w:t>额定载质量：≧900KG，整备质量：≧3000KG，总质量:≧4000KG,尺寸：≧5000X1650X2100MM。</w:t>
            </w:r>
          </w:p>
          <w:p>
            <w:pPr>
              <w:widowControl/>
              <w:numPr>
                <w:ilvl w:val="0"/>
                <w:numId w:val="7"/>
              </w:numPr>
              <w:jc w:val="left"/>
              <w:textAlignment w:val="center"/>
              <w:rPr>
                <w:rFonts w:ascii="宋体" w:hAnsi="宋体" w:cs="宋体"/>
                <w:color w:val="auto"/>
                <w:highlight w:val="none"/>
              </w:rPr>
            </w:pPr>
            <w:r>
              <w:rPr>
                <w:rFonts w:hint="eastAsia" w:ascii="宋体" w:hAnsi="宋体" w:cs="宋体"/>
                <w:color w:val="auto"/>
                <w:highlight w:val="none"/>
              </w:rPr>
              <w:t>采用副发动机专门驱动风机和液压系统，保证行驶过程中能继续工作，保证清扫过程的连续性。副发动机与风机之间的传动设置设有自动离合器，可保证副发动机空载启动和停机时与风机的自动脱离，降低了对副发动机的冲击，提高了副发动机的工作可靠性和使用寿命。</w:t>
            </w:r>
          </w:p>
          <w:p>
            <w:pPr>
              <w:widowControl/>
              <w:numPr>
                <w:ilvl w:val="0"/>
                <w:numId w:val="7"/>
              </w:numPr>
              <w:jc w:val="left"/>
              <w:textAlignment w:val="center"/>
              <w:rPr>
                <w:rFonts w:ascii="宋体" w:hAnsi="宋体" w:cs="宋体"/>
                <w:color w:val="auto"/>
                <w:highlight w:val="none"/>
              </w:rPr>
            </w:pPr>
            <w:r>
              <w:rPr>
                <w:rFonts w:hint="eastAsia" w:ascii="宋体" w:hAnsi="宋体" w:cs="宋体"/>
                <w:color w:val="auto"/>
                <w:highlight w:val="none"/>
              </w:rPr>
              <w:t>中置4个扫盘、后置吸盘、无级变速自动离合器、免维护离心式自动风机、不锈钢垃圾箱、尾部 LED指示灯。</w:t>
            </w:r>
          </w:p>
          <w:p>
            <w:pPr>
              <w:widowControl/>
              <w:numPr>
                <w:ilvl w:val="0"/>
                <w:numId w:val="7"/>
              </w:numPr>
              <w:jc w:val="left"/>
              <w:textAlignment w:val="center"/>
              <w:rPr>
                <w:rFonts w:ascii="宋体" w:hAnsi="宋体" w:cs="宋体"/>
                <w:color w:val="auto"/>
                <w:highlight w:val="none"/>
              </w:rPr>
            </w:pPr>
            <w:r>
              <w:rPr>
                <w:rFonts w:hint="eastAsia" w:ascii="宋体" w:hAnsi="宋体" w:cs="宋体"/>
                <w:color w:val="auto"/>
                <w:highlight w:val="none"/>
              </w:rPr>
              <w:t>采用吸扫混合的方式收集垃圾，湿式除尘、电液控制，液压倾翻卸料的作业方式对路面进行清扫作业。</w:t>
            </w:r>
          </w:p>
          <w:p>
            <w:pPr>
              <w:rPr>
                <w:rFonts w:ascii="宋体" w:hAnsi="宋体" w:cs="宋体"/>
                <w:color w:val="auto"/>
                <w:highlight w:val="none"/>
              </w:rPr>
            </w:pPr>
            <w:r>
              <w:rPr>
                <w:rFonts w:hint="eastAsia" w:ascii="宋体" w:hAnsi="宋体" w:cs="宋体"/>
                <w:color w:val="auto"/>
                <w:kern w:val="0"/>
                <w:szCs w:val="21"/>
                <w:highlight w:val="none"/>
              </w:rPr>
              <w:t>5、中标人负责上牌，包括但不限于交强险、商业险、购置税及所有上牌费用。</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1辆</w:t>
            </w:r>
          </w:p>
        </w:tc>
      </w:tr>
      <w:tr>
        <w:tblPrEx>
          <w:tblCellMar>
            <w:top w:w="0" w:type="dxa"/>
            <w:left w:w="108" w:type="dxa"/>
            <w:bottom w:w="0" w:type="dxa"/>
            <w:right w:w="108" w:type="dxa"/>
          </w:tblCellMar>
        </w:tblPrEx>
        <w:trPr>
          <w:trHeight w:val="45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3</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勾臂车</w:t>
            </w:r>
          </w:p>
        </w:tc>
        <w:tc>
          <w:tcPr>
            <w:tcW w:w="5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8"/>
              </w:numPr>
              <w:jc w:val="left"/>
              <w:textAlignment w:val="center"/>
              <w:rPr>
                <w:rFonts w:ascii="宋体" w:hAnsi="宋体" w:cs="宋体"/>
                <w:color w:val="auto"/>
                <w:highlight w:val="none"/>
              </w:rPr>
            </w:pPr>
            <w:r>
              <w:rPr>
                <w:rFonts w:hint="eastAsia" w:ascii="宋体" w:hAnsi="宋体" w:cs="宋体"/>
                <w:color w:val="auto"/>
                <w:highlight w:val="none"/>
              </w:rPr>
              <w:t>轴距：</w:t>
            </w:r>
            <w:r>
              <w:rPr>
                <w:rFonts w:hint="eastAsia" w:ascii="宋体" w:hAnsi="宋体" w:eastAsia="宋体" w:cs="宋体"/>
                <w:color w:val="auto"/>
                <w:highlight w:val="none"/>
              </w:rPr>
              <w:t>≦</w:t>
            </w:r>
            <w:r>
              <w:rPr>
                <w:rFonts w:hint="eastAsia" w:ascii="宋体" w:hAnsi="宋体" w:cs="宋体"/>
                <w:color w:val="auto"/>
                <w:highlight w:val="none"/>
              </w:rPr>
              <w:t>2600mm</w:t>
            </w:r>
            <w:r>
              <w:rPr>
                <w:rFonts w:hint="eastAsia" w:ascii="宋体" w:hAnsi="宋体" w:cs="宋体"/>
                <w:color w:val="auto"/>
                <w:highlight w:val="none"/>
                <w:lang w:eastAsia="zh-CN"/>
              </w:rPr>
              <w:t>、</w:t>
            </w:r>
            <w:r>
              <w:rPr>
                <w:rFonts w:hint="eastAsia" w:ascii="宋体" w:hAnsi="宋体" w:cs="宋体"/>
                <w:color w:val="auto"/>
                <w:highlight w:val="none"/>
              </w:rPr>
              <w:t>发动机功率：≧68KW，国六排放标准， 总质量：≦4500KG，整备质量：</w:t>
            </w:r>
            <w:r>
              <w:rPr>
                <w:rFonts w:hint="eastAsia" w:ascii="宋体" w:hAnsi="宋体" w:eastAsia="宋体" w:cs="宋体"/>
                <w:color w:val="auto"/>
                <w:highlight w:val="none"/>
              </w:rPr>
              <w:t>≦</w:t>
            </w:r>
            <w:r>
              <w:rPr>
                <w:rFonts w:hint="eastAsia" w:ascii="宋体" w:hAnsi="宋体" w:cs="宋体"/>
                <w:color w:val="auto"/>
                <w:highlight w:val="none"/>
              </w:rPr>
              <w:t>3000KG，额定载质量：</w:t>
            </w:r>
            <w:r>
              <w:rPr>
                <w:rFonts w:hint="eastAsia" w:ascii="宋体" w:hAnsi="宋体" w:eastAsia="宋体" w:cs="宋体"/>
                <w:color w:val="auto"/>
                <w:highlight w:val="none"/>
              </w:rPr>
              <w:t>≦</w:t>
            </w:r>
            <w:r>
              <w:rPr>
                <w:rFonts w:hint="eastAsia" w:ascii="宋体" w:hAnsi="宋体" w:cs="宋体"/>
                <w:color w:val="auto"/>
                <w:highlight w:val="none"/>
              </w:rPr>
              <w:t>2300KG，外形尺寸：≧4600X1600X2000mm。</w:t>
            </w:r>
          </w:p>
          <w:p>
            <w:pPr>
              <w:widowControl/>
              <w:numPr>
                <w:ilvl w:val="0"/>
                <w:numId w:val="8"/>
              </w:numPr>
              <w:jc w:val="left"/>
              <w:textAlignment w:val="center"/>
              <w:rPr>
                <w:rFonts w:ascii="宋体" w:hAnsi="宋体" w:cs="宋体"/>
                <w:color w:val="auto"/>
                <w:highlight w:val="none"/>
              </w:rPr>
            </w:pPr>
            <w:r>
              <w:rPr>
                <w:rFonts w:hint="eastAsia" w:ascii="宋体" w:hAnsi="宋体" w:cs="宋体"/>
                <w:color w:val="auto"/>
                <w:highlight w:val="none"/>
              </w:rPr>
              <w:t>可卸式垃圾车附车架采用槽钢、方管与钢板焊接而成，翻转架与活动拉臂动作设计合理可靠，实现拉箱、锁紧、放箱和自卸操作简单方便。垃圾箱拉到附车架上时，有侧向导向块定位及锁紧钩锁紧定位，整车行驶中箱体无歪斜现象，安全可靠。</w:t>
            </w:r>
          </w:p>
          <w:p>
            <w:pPr>
              <w:widowControl/>
              <w:numPr>
                <w:ilvl w:val="0"/>
                <w:numId w:val="8"/>
              </w:numPr>
              <w:jc w:val="left"/>
              <w:textAlignment w:val="center"/>
              <w:rPr>
                <w:rFonts w:ascii="宋体" w:hAnsi="宋体" w:cs="宋体"/>
                <w:color w:val="auto"/>
                <w:highlight w:val="none"/>
              </w:rPr>
            </w:pPr>
            <w:r>
              <w:rPr>
                <w:rFonts w:hint="eastAsia" w:ascii="宋体" w:hAnsi="宋体" w:cs="宋体"/>
                <w:color w:val="auto"/>
                <w:highlight w:val="none"/>
              </w:rPr>
              <w:t>带冷暖空调、淋水器、手电一体操作模式。</w:t>
            </w:r>
          </w:p>
          <w:p>
            <w:pPr>
              <w:widowControl/>
              <w:jc w:val="left"/>
              <w:textAlignment w:val="center"/>
              <w:rPr>
                <w:rFonts w:ascii="宋体" w:hAnsi="宋体" w:cs="宋体"/>
                <w:color w:val="auto"/>
                <w:sz w:val="24"/>
                <w:highlight w:val="none"/>
              </w:rPr>
            </w:pPr>
            <w:r>
              <w:rPr>
                <w:rFonts w:hint="eastAsia" w:ascii="宋体" w:hAnsi="宋体" w:cs="宋体"/>
                <w:color w:val="auto"/>
                <w:szCs w:val="21"/>
                <w:highlight w:val="none"/>
              </w:rPr>
              <w:t>4、中标人负责上牌，</w:t>
            </w:r>
            <w:r>
              <w:rPr>
                <w:rFonts w:hint="eastAsia" w:ascii="宋体" w:hAnsi="宋体" w:cs="宋体"/>
                <w:color w:val="auto"/>
                <w:kern w:val="0"/>
                <w:szCs w:val="21"/>
                <w:highlight w:val="none"/>
              </w:rPr>
              <w:t>包括但不限于交强险、商业险、购置税及所有上牌费用。</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2辆</w:t>
            </w:r>
          </w:p>
        </w:tc>
      </w:tr>
      <w:tr>
        <w:tblPrEx>
          <w:tblCellMar>
            <w:top w:w="0" w:type="dxa"/>
            <w:left w:w="108" w:type="dxa"/>
            <w:bottom w:w="0" w:type="dxa"/>
            <w:right w:w="108" w:type="dxa"/>
          </w:tblCellMar>
        </w:tblPrEx>
        <w:trPr>
          <w:trHeight w:val="35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4</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3方垃圾箱</w:t>
            </w:r>
          </w:p>
        </w:tc>
        <w:tc>
          <w:tcPr>
            <w:tcW w:w="5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1、外廓尺寸(mm）：垃圾箱</w:t>
            </w:r>
            <w:r>
              <w:rPr>
                <w:rFonts w:hint="eastAsia" w:ascii="宋体" w:hAnsi="宋体" w:cs="宋体"/>
                <w:color w:val="auto"/>
                <w:kern w:val="0"/>
                <w:szCs w:val="21"/>
                <w:highlight w:val="none"/>
                <w:lang w:val="en-US" w:eastAsia="zh-CN"/>
              </w:rPr>
              <w:t>参考尺寸</w:t>
            </w:r>
            <w:r>
              <w:rPr>
                <w:rFonts w:hint="eastAsia" w:ascii="宋体" w:hAnsi="宋体" w:cs="宋体"/>
                <w:color w:val="auto"/>
                <w:kern w:val="0"/>
                <w:szCs w:val="21"/>
                <w:highlight w:val="none"/>
              </w:rPr>
              <w:t>≥2000x1400X1250MM，材质采用不低于碳钢材料制作；                                     箱体厚</w:t>
            </w:r>
            <w:r>
              <w:rPr>
                <w:rFonts w:hint="eastAsia" w:ascii="宋体" w:hAnsi="宋体" w:cs="宋体"/>
                <w:color w:val="auto"/>
                <w:kern w:val="0"/>
                <w:szCs w:val="21"/>
                <w:highlight w:val="none"/>
                <w:lang w:val="en-US" w:eastAsia="zh-CN"/>
              </w:rPr>
              <w:t>度</w:t>
            </w:r>
            <w:r>
              <w:rPr>
                <w:rFonts w:hint="eastAsia" w:ascii="宋体" w:hAnsi="宋体" w:cs="宋体"/>
                <w:color w:val="auto"/>
                <w:kern w:val="0"/>
                <w:szCs w:val="21"/>
                <w:highlight w:val="none"/>
              </w:rPr>
              <w:t>：≥边1.5mm、底2mm，</w:t>
            </w:r>
          </w:p>
          <w:p>
            <w:pPr>
              <w:widowControl/>
              <w:jc w:val="left"/>
              <w:textAlignment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技术要求：垃圾箱后门加装耐油、耐腐蚀、耐老化的密封胶条，以保证垃圾收集与运输过程中无滴漏现象； 箱底带滚轮与支柱，从而减少了底板与地面的接触，有效防止箱体生锈。涂装采用防腐处理，喷涂防锈底漆、中间漆、面漆，可有效隔离空气防止锈蚀。</w:t>
            </w:r>
          </w:p>
          <w:p>
            <w:pPr>
              <w:widowControl/>
              <w:jc w:val="left"/>
              <w:textAlignment w:val="center"/>
              <w:rPr>
                <w:rFonts w:ascii="宋体" w:hAnsi="宋体" w:cs="宋体"/>
                <w:color w:val="auto"/>
                <w:sz w:val="24"/>
                <w:highlight w:val="none"/>
              </w:rPr>
            </w:pPr>
            <w:r>
              <w:rPr>
                <w:rFonts w:hint="eastAsia" w:ascii="宋体" w:hAnsi="宋体" w:cs="宋体"/>
                <w:color w:val="auto"/>
                <w:kern w:val="0"/>
                <w:szCs w:val="21"/>
                <w:highlight w:val="none"/>
              </w:rPr>
              <w:t>2、负责喷字。</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80个</w:t>
            </w:r>
          </w:p>
        </w:tc>
      </w:tr>
      <w:tr>
        <w:tblPrEx>
          <w:tblCellMar>
            <w:top w:w="0" w:type="dxa"/>
            <w:left w:w="108" w:type="dxa"/>
            <w:bottom w:w="0" w:type="dxa"/>
            <w:right w:w="108" w:type="dxa"/>
          </w:tblCellMar>
        </w:tblPrEx>
        <w:trPr>
          <w:trHeight w:val="3966"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5</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240L铁垃圾桶</w:t>
            </w:r>
          </w:p>
        </w:tc>
        <w:tc>
          <w:tcPr>
            <w:tcW w:w="5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1、规格、容积：240L，采用镀锌材料制作，厚度：≥1.2mm，参考尺寸 ≥700×500×1000MM，桶身不含盖高&gt;900MM，确保桶和翻桶架（垃圾车后压缩装置）在衔接作业时紧密结合；</w:t>
            </w:r>
          </w:p>
          <w:p>
            <w:pPr>
              <w:widowControl/>
              <w:jc w:val="left"/>
              <w:textAlignment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2.桶身采用模具冲压成型拉伸防撞筋，有效解决铁桶变形问题 ；                                        3.桶体采用优质镀锌板制作，厚度均匀，桶体连接无焊接,有效解决焊接点易生锈问题；</w:t>
            </w:r>
          </w:p>
          <w:p>
            <w:pPr>
              <w:widowControl/>
              <w:jc w:val="left"/>
              <w:textAlignment w:val="center"/>
              <w:rPr>
                <w:rFonts w:ascii="宋体" w:hAnsi="宋体" w:cs="宋体"/>
                <w:color w:val="auto"/>
                <w:sz w:val="24"/>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负责安装及喷字。</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680个</w:t>
            </w:r>
          </w:p>
        </w:tc>
      </w:tr>
      <w:tr>
        <w:tblPrEx>
          <w:tblCellMar>
            <w:top w:w="0" w:type="dxa"/>
            <w:left w:w="108" w:type="dxa"/>
            <w:bottom w:w="0" w:type="dxa"/>
            <w:right w:w="108" w:type="dxa"/>
          </w:tblCellMar>
        </w:tblPrEx>
        <w:trPr>
          <w:trHeight w:val="9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6</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240L铁垃圾桶</w:t>
            </w:r>
          </w:p>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Cs w:val="21"/>
                <w:highlight w:val="none"/>
              </w:rPr>
              <w:t>带有遮雨棚</w:t>
            </w:r>
            <w:r>
              <w:rPr>
                <w:rFonts w:hint="eastAsia" w:ascii="宋体" w:hAnsi="宋体" w:cs="宋体"/>
                <w:color w:val="auto"/>
                <w:kern w:val="0"/>
                <w:sz w:val="24"/>
                <w:highlight w:val="none"/>
                <w:lang w:eastAsia="zh-CN"/>
              </w:rPr>
              <w:t>）</w:t>
            </w:r>
          </w:p>
        </w:tc>
        <w:tc>
          <w:tcPr>
            <w:tcW w:w="5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240"/>
              <w:jc w:val="left"/>
              <w:textAlignment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  规格、容积：金属材料镀锌钢制作，厚度≥1.2mm，240L，参考尺寸≥ 700×500×1000MM，桶身不含盖高&gt;900MM，确保桶和翻桶架（垃圾车后压缩装置）在衔接作业时紧密结合；</w:t>
            </w:r>
          </w:p>
          <w:p>
            <w:pPr>
              <w:widowControl/>
              <w:spacing w:after="240"/>
              <w:jc w:val="left"/>
              <w:textAlignment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2.桶身采用模具冲压成型拉伸防撞筋，有效解决铁桶变形问题；                                        3.桶体采用优质镀锌板制作，厚度均匀，桶体连接采用勾缝工艺、无焊接，有效解决焊接点易生锈之毛病。</w:t>
            </w:r>
          </w:p>
          <w:p>
            <w:pPr>
              <w:widowControl/>
              <w:spacing w:after="240"/>
              <w:jc w:val="left"/>
              <w:textAlignment w:val="center"/>
              <w:rPr>
                <w:rFonts w:ascii="宋体" w:hAnsi="宋体" w:cs="宋体"/>
                <w:color w:val="auto"/>
                <w:sz w:val="24"/>
                <w:highlight w:val="none"/>
              </w:rPr>
            </w:pPr>
            <w:r>
              <w:rPr>
                <w:rFonts w:hint="eastAsia" w:ascii="宋体" w:hAnsi="宋体" w:cs="宋体"/>
                <w:color w:val="auto"/>
                <w:kern w:val="0"/>
                <w:szCs w:val="21"/>
                <w:highlight w:val="none"/>
              </w:rPr>
              <w:t>4.四种颜色分类每种各30个带有遮雨棚并负责安装及喷字</w:t>
            </w:r>
            <w:r>
              <w:rPr>
                <w:rFonts w:hint="eastAsia" w:ascii="宋体" w:hAnsi="宋体" w:cs="宋体"/>
                <w:color w:val="auto"/>
                <w:kern w:val="0"/>
                <w:sz w:val="24"/>
                <w:highlight w:val="none"/>
              </w:rPr>
              <w:t>。</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120个</w:t>
            </w:r>
          </w:p>
        </w:tc>
      </w:tr>
      <w:tr>
        <w:tblPrEx>
          <w:tblCellMar>
            <w:top w:w="0" w:type="dxa"/>
            <w:left w:w="108" w:type="dxa"/>
            <w:bottom w:w="0" w:type="dxa"/>
            <w:right w:w="108" w:type="dxa"/>
          </w:tblCellMar>
        </w:tblPrEx>
        <w:trPr>
          <w:trHeight w:val="9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备注：</w:t>
            </w:r>
          </w:p>
        </w:tc>
        <w:tc>
          <w:tcPr>
            <w:tcW w:w="81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auto"/>
                <w:kern w:val="0"/>
                <w:sz w:val="24"/>
                <w:highlight w:val="none"/>
              </w:rPr>
            </w:pPr>
            <w:r>
              <w:rPr>
                <w:rFonts w:hint="eastAsia" w:ascii="宋体" w:hAnsi="宋体" w:cs="宋体"/>
                <w:color w:val="auto"/>
                <w:kern w:val="0"/>
                <w:sz w:val="24"/>
                <w:highlight w:val="none"/>
              </w:rPr>
              <w:t>中标供应商若提供的产品非本企业生产制造的，在与采购人签定合同前须</w:t>
            </w:r>
          </w:p>
          <w:p>
            <w:pPr>
              <w:widowControl/>
              <w:textAlignment w:val="center"/>
              <w:rPr>
                <w:rFonts w:ascii="宋体" w:hAnsi="宋体" w:cs="宋体"/>
                <w:color w:val="auto"/>
                <w:kern w:val="0"/>
                <w:sz w:val="24"/>
                <w:highlight w:val="none"/>
              </w:rPr>
            </w:pPr>
            <w:r>
              <w:rPr>
                <w:rFonts w:hint="eastAsia" w:ascii="宋体" w:hAnsi="宋体" w:cs="宋体"/>
                <w:color w:val="auto"/>
                <w:kern w:val="0"/>
                <w:sz w:val="24"/>
                <w:highlight w:val="none"/>
              </w:rPr>
              <w:t>提供所投产品的制造厂家</w:t>
            </w:r>
            <w:r>
              <w:rPr>
                <w:rFonts w:hint="eastAsia" w:ascii="宋体" w:hAnsi="宋体" w:cs="宋体"/>
                <w:color w:val="auto"/>
                <w:kern w:val="0"/>
                <w:sz w:val="24"/>
                <w:highlight w:val="none"/>
                <w:lang w:val="en-US" w:eastAsia="zh-CN"/>
              </w:rPr>
              <w:t>针对本项目的</w:t>
            </w:r>
            <w:r>
              <w:rPr>
                <w:rFonts w:hint="eastAsia" w:ascii="宋体" w:hAnsi="宋体" w:cs="宋体"/>
                <w:color w:val="auto"/>
                <w:kern w:val="0"/>
                <w:sz w:val="24"/>
                <w:highlight w:val="none"/>
              </w:rPr>
              <w:t>授权书原件，否则取消其中标资格。</w:t>
            </w:r>
          </w:p>
        </w:tc>
      </w:tr>
    </w:tbl>
    <w:p>
      <w:pPr>
        <w:spacing w:line="360" w:lineRule="auto"/>
        <w:rPr>
          <w:rFonts w:ascii="宋体" w:hAnsi="宋体" w:cs="宋体"/>
          <w:b/>
          <w:color w:val="auto"/>
          <w:sz w:val="22"/>
          <w:szCs w:val="22"/>
          <w:highlight w:val="none"/>
        </w:rPr>
      </w:pPr>
    </w:p>
    <w:p>
      <w:pPr>
        <w:spacing w:line="360" w:lineRule="auto"/>
        <w:rPr>
          <w:rFonts w:ascii="宋体" w:hAnsi="宋体" w:cs="宋体"/>
          <w:b/>
          <w:color w:val="auto"/>
          <w:sz w:val="22"/>
          <w:szCs w:val="22"/>
          <w:highlight w:val="none"/>
        </w:rPr>
      </w:pPr>
      <w:r>
        <w:rPr>
          <w:rFonts w:hint="eastAsia" w:ascii="宋体" w:hAnsi="宋体" w:cs="宋体"/>
          <w:b/>
          <w:color w:val="auto"/>
          <w:sz w:val="22"/>
          <w:szCs w:val="22"/>
          <w:highlight w:val="none"/>
        </w:rPr>
        <w:t>注：本招标文件的招标内容及参数要求由采购人提供，如有疑问，请咨询采购人。</w:t>
      </w:r>
    </w:p>
    <w:p>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pPr>
        <w:spacing w:line="360" w:lineRule="auto"/>
        <w:ind w:firstLine="2570" w:firstLineChars="800"/>
        <w:outlineLvl w:val="0"/>
        <w:rPr>
          <w:rFonts w:ascii="宋体" w:hAnsi="宋体" w:cs="宋体"/>
          <w:b/>
          <w:color w:val="auto"/>
          <w:sz w:val="32"/>
          <w:szCs w:val="32"/>
          <w:highlight w:val="none"/>
        </w:rPr>
      </w:pPr>
      <w:bookmarkStart w:id="10" w:name="_Toc26982"/>
      <w:r>
        <w:rPr>
          <w:rFonts w:hint="eastAsia" w:ascii="宋体" w:hAnsi="宋体" w:cs="宋体"/>
          <w:b/>
          <w:color w:val="auto"/>
          <w:sz w:val="32"/>
          <w:szCs w:val="32"/>
          <w:highlight w:val="none"/>
        </w:rPr>
        <w:t>第四部分 商务及合同主要条款</w:t>
      </w:r>
      <w:bookmarkEnd w:id="10"/>
    </w:p>
    <w:p>
      <w:pPr>
        <w:spacing w:line="360" w:lineRule="auto"/>
        <w:jc w:val="center"/>
        <w:rPr>
          <w:rFonts w:ascii="宋体" w:hAnsi="宋体" w:cs="宋体"/>
          <w:color w:val="auto"/>
          <w:sz w:val="36"/>
          <w:szCs w:val="44"/>
          <w:highlight w:val="none"/>
        </w:rPr>
      </w:pPr>
      <w:r>
        <w:rPr>
          <w:rFonts w:hint="eastAsia" w:ascii="宋体" w:hAnsi="宋体" w:cs="宋体"/>
          <w:color w:val="auto"/>
          <w:sz w:val="36"/>
          <w:szCs w:val="44"/>
          <w:highlight w:val="none"/>
        </w:rPr>
        <w:t>（仅供参考）</w:t>
      </w:r>
    </w:p>
    <w:p>
      <w:pPr>
        <w:kinsoku w:val="0"/>
        <w:spacing w:line="590" w:lineRule="exact"/>
        <w:ind w:firstLine="600"/>
        <w:rPr>
          <w:rFonts w:ascii="宋体" w:hAnsi="宋体" w:cs="宋体"/>
          <w:bCs/>
          <w:color w:val="auto"/>
          <w:spacing w:val="-6"/>
          <w:sz w:val="24"/>
          <w:highlight w:val="none"/>
        </w:rPr>
      </w:pPr>
      <w:r>
        <w:rPr>
          <w:rFonts w:hint="eastAsia" w:ascii="宋体" w:hAnsi="宋体" w:cs="宋体"/>
          <w:bCs/>
          <w:color w:val="auto"/>
          <w:spacing w:val="-6"/>
          <w:sz w:val="24"/>
          <w:highlight w:val="none"/>
        </w:rPr>
        <w:t>甲方：甘泉县美水街道办事处</w:t>
      </w:r>
    </w:p>
    <w:p>
      <w:pPr>
        <w:kinsoku w:val="0"/>
        <w:spacing w:line="590" w:lineRule="exact"/>
        <w:ind w:firstLine="600"/>
        <w:rPr>
          <w:rFonts w:ascii="宋体" w:hAnsi="宋体" w:cs="宋体"/>
          <w:bCs/>
          <w:color w:val="auto"/>
          <w:spacing w:val="-6"/>
          <w:sz w:val="24"/>
          <w:highlight w:val="none"/>
        </w:rPr>
      </w:pPr>
      <w:r>
        <w:rPr>
          <w:rFonts w:hint="eastAsia" w:ascii="宋体" w:hAnsi="宋体" w:cs="宋体"/>
          <w:bCs/>
          <w:color w:val="auto"/>
          <w:spacing w:val="-6"/>
          <w:sz w:val="24"/>
          <w:highlight w:val="none"/>
        </w:rPr>
        <w:t>乙方：</w:t>
      </w:r>
    </w:p>
    <w:p>
      <w:pPr>
        <w:spacing w:line="360" w:lineRule="auto"/>
        <w:ind w:firstLine="456" w:firstLineChars="200"/>
        <w:rPr>
          <w:rFonts w:ascii="宋体" w:hAnsi="宋体" w:cs="宋体"/>
          <w:color w:val="auto"/>
          <w:sz w:val="24"/>
          <w:highlight w:val="none"/>
        </w:rPr>
      </w:pPr>
      <w:r>
        <w:rPr>
          <w:rFonts w:hint="eastAsia" w:ascii="宋体" w:hAnsi="宋体" w:cs="宋体"/>
          <w:bCs/>
          <w:color w:val="auto"/>
          <w:spacing w:val="-6"/>
          <w:sz w:val="24"/>
          <w:highlight w:val="none"/>
        </w:rPr>
        <w:t>甘泉县美水街道办事处（（以下简称甲方）关于</w:t>
      </w:r>
      <w:r>
        <w:rPr>
          <w:rFonts w:hint="eastAsia" w:ascii="宋体" w:hAnsi="宋体" w:cs="宋体"/>
          <w:color w:val="auto"/>
          <w:sz w:val="24"/>
          <w:highlight w:val="none"/>
        </w:rPr>
        <w:t>甘泉美水街道办事处垃圾收运车及垃圾桶购买项目</w:t>
      </w:r>
      <w:r>
        <w:rPr>
          <w:rFonts w:hint="eastAsia" w:ascii="宋体" w:hAnsi="宋体" w:cs="宋体"/>
          <w:bCs/>
          <w:color w:val="auto"/>
          <w:spacing w:val="-6"/>
          <w:sz w:val="24"/>
          <w:highlight w:val="none"/>
        </w:rPr>
        <w:t>，</w:t>
      </w:r>
      <w:r>
        <w:rPr>
          <w:rFonts w:hint="eastAsia" w:ascii="宋体" w:hAnsi="宋体" w:cs="宋体"/>
          <w:color w:val="auto"/>
          <w:spacing w:val="-6"/>
          <w:sz w:val="24"/>
          <w:highlight w:val="none"/>
        </w:rPr>
        <w:t>按照政府采购程序，采用公开招标的招标方式，选定</w:t>
      </w:r>
      <w:r>
        <w:rPr>
          <w:rFonts w:hint="eastAsia" w:ascii="宋体" w:hAnsi="宋体" w:cs="宋体"/>
          <w:bCs/>
          <w:color w:val="auto"/>
          <w:spacing w:val="-6"/>
          <w:sz w:val="24"/>
          <w:highlight w:val="none"/>
        </w:rPr>
        <w:t>公司（以下简称乙方）为中标供应商。依据国家《中华人民共和国民法典》、《政府采购法》及招标文件和乙方的投标文件，经甲、乙双方协商，达成如下合同条款。</w:t>
      </w:r>
    </w:p>
    <w:p>
      <w:pPr>
        <w:tabs>
          <w:tab w:val="left" w:pos="540"/>
        </w:tabs>
        <w:adjustRightInd w:val="0"/>
        <w:snapToGrid w:val="0"/>
        <w:spacing w:line="560" w:lineRule="exact"/>
        <w:ind w:firstLine="482" w:firstLineChars="200"/>
        <w:jc w:val="left"/>
        <w:outlineLvl w:val="1"/>
        <w:rPr>
          <w:rFonts w:ascii="宋体" w:hAnsi="宋体" w:cs="宋体"/>
          <w:b/>
          <w:color w:val="auto"/>
          <w:kern w:val="0"/>
          <w:sz w:val="24"/>
          <w:highlight w:val="none"/>
        </w:rPr>
      </w:pPr>
      <w:r>
        <w:rPr>
          <w:rFonts w:hint="eastAsia" w:ascii="宋体" w:hAnsi="宋体" w:cs="宋体"/>
          <w:b/>
          <w:color w:val="auto"/>
          <w:kern w:val="0"/>
          <w:sz w:val="24"/>
          <w:highlight w:val="none"/>
        </w:rPr>
        <w:t>一、项目概况</w:t>
      </w:r>
    </w:p>
    <w:p>
      <w:pPr>
        <w:adjustRightInd w:val="0"/>
        <w:snapToGrid w:val="0"/>
        <w:spacing w:line="560" w:lineRule="exact"/>
        <w:ind w:firstLine="480" w:firstLineChars="200"/>
        <w:jc w:val="left"/>
        <w:rPr>
          <w:rFonts w:ascii="宋体" w:hAnsi="宋体" w:cs="宋体"/>
          <w:bCs/>
          <w:color w:val="auto"/>
          <w:spacing w:val="-6"/>
          <w:sz w:val="24"/>
          <w:highlight w:val="none"/>
          <w:u w:val="single"/>
        </w:rPr>
      </w:pPr>
      <w:r>
        <w:rPr>
          <w:rFonts w:hint="eastAsia" w:ascii="宋体" w:hAnsi="宋体" w:cs="宋体"/>
          <w:color w:val="auto"/>
          <w:kern w:val="0"/>
          <w:sz w:val="24"/>
          <w:highlight w:val="none"/>
        </w:rPr>
        <w:t>1.项目名称：</w:t>
      </w:r>
      <w:r>
        <w:rPr>
          <w:rFonts w:hint="eastAsia" w:ascii="宋体" w:hAnsi="宋体" w:cs="宋体"/>
          <w:bCs/>
          <w:color w:val="auto"/>
          <w:spacing w:val="-6"/>
          <w:sz w:val="24"/>
          <w:highlight w:val="none"/>
          <w:u w:val="single"/>
        </w:rPr>
        <w:t>甘泉美水街道办事处垃圾收运车及垃圾桶购买项目</w:t>
      </w:r>
    </w:p>
    <w:p>
      <w:pPr>
        <w:adjustRightInd w:val="0"/>
        <w:snapToGrid w:val="0"/>
        <w:spacing w:line="5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2.项目地点：</w:t>
      </w:r>
      <w:r>
        <w:rPr>
          <w:rFonts w:hint="eastAsia" w:ascii="宋体" w:hAnsi="宋体" w:cs="宋体"/>
          <w:color w:val="auto"/>
          <w:kern w:val="0"/>
          <w:sz w:val="24"/>
          <w:highlight w:val="none"/>
          <w:u w:val="single"/>
        </w:rPr>
        <w:t xml:space="preserve">甘泉县美水街道办事处指定地点   </w:t>
      </w:r>
    </w:p>
    <w:p>
      <w:pPr>
        <w:tabs>
          <w:tab w:val="left" w:pos="540"/>
        </w:tabs>
        <w:adjustRightInd w:val="0"/>
        <w:snapToGrid w:val="0"/>
        <w:spacing w:line="560" w:lineRule="exact"/>
        <w:ind w:firstLine="482" w:firstLineChars="200"/>
        <w:jc w:val="left"/>
        <w:outlineLvl w:val="1"/>
        <w:rPr>
          <w:rFonts w:ascii="宋体" w:hAnsi="宋体" w:cs="宋体"/>
          <w:color w:val="auto"/>
          <w:kern w:val="0"/>
          <w:sz w:val="24"/>
          <w:highlight w:val="none"/>
        </w:rPr>
      </w:pPr>
      <w:bookmarkStart w:id="11" w:name="_Toc457826141"/>
      <w:bookmarkStart w:id="12" w:name="_Toc406150412"/>
      <w:r>
        <w:rPr>
          <w:rFonts w:hint="eastAsia" w:ascii="宋体" w:hAnsi="宋体" w:cs="宋体"/>
          <w:b/>
          <w:color w:val="auto"/>
          <w:kern w:val="0"/>
          <w:sz w:val="24"/>
          <w:highlight w:val="none"/>
        </w:rPr>
        <w:t>二、</w:t>
      </w:r>
      <w:bookmarkEnd w:id="11"/>
      <w:bookmarkEnd w:id="12"/>
      <w:r>
        <w:rPr>
          <w:rFonts w:hint="eastAsia" w:ascii="宋体" w:hAnsi="宋体" w:cs="宋体"/>
          <w:b/>
          <w:color w:val="auto"/>
          <w:kern w:val="0"/>
          <w:sz w:val="24"/>
          <w:highlight w:val="none"/>
        </w:rPr>
        <w:t>交货期：</w:t>
      </w:r>
      <w:r>
        <w:rPr>
          <w:rFonts w:hint="eastAsia" w:ascii="宋体" w:hAnsi="宋体" w:cs="宋体"/>
          <w:color w:val="auto"/>
          <w:kern w:val="0"/>
          <w:sz w:val="24"/>
          <w:highlight w:val="none"/>
        </w:rPr>
        <w:t>30天</w:t>
      </w:r>
    </w:p>
    <w:p>
      <w:pPr>
        <w:tabs>
          <w:tab w:val="left" w:pos="540"/>
        </w:tabs>
        <w:adjustRightInd w:val="0"/>
        <w:snapToGrid w:val="0"/>
        <w:spacing w:line="560" w:lineRule="exact"/>
        <w:ind w:firstLine="482" w:firstLineChars="200"/>
        <w:jc w:val="left"/>
        <w:outlineLvl w:val="1"/>
        <w:rPr>
          <w:rFonts w:ascii="宋体" w:hAnsi="宋体" w:cs="宋体"/>
          <w:b/>
          <w:color w:val="auto"/>
          <w:kern w:val="0"/>
          <w:sz w:val="24"/>
          <w:highlight w:val="none"/>
        </w:rPr>
      </w:pPr>
      <w:bookmarkStart w:id="13" w:name="_Toc457826143"/>
      <w:bookmarkStart w:id="14" w:name="_Toc406150414"/>
      <w:r>
        <w:rPr>
          <w:rFonts w:hint="eastAsia" w:ascii="宋体" w:hAnsi="宋体" w:cs="宋体"/>
          <w:b/>
          <w:color w:val="auto"/>
          <w:kern w:val="0"/>
          <w:sz w:val="24"/>
          <w:highlight w:val="none"/>
        </w:rPr>
        <w:t>三、合同价款</w:t>
      </w:r>
      <w:bookmarkEnd w:id="13"/>
      <w:bookmarkEnd w:id="14"/>
    </w:p>
    <w:p>
      <w:pPr>
        <w:tabs>
          <w:tab w:val="left" w:pos="720"/>
        </w:tabs>
        <w:adjustRightInd w:val="0"/>
        <w:snapToGrid w:val="0"/>
        <w:spacing w:line="360" w:lineRule="auto"/>
        <w:ind w:left="479" w:leftChars="228"/>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1.合同价款金额：人民币（大写）_________ (¥______元)</w:t>
      </w:r>
    </w:p>
    <w:p>
      <w:pPr>
        <w:tabs>
          <w:tab w:val="left" w:pos="720"/>
        </w:tabs>
        <w:adjustRightInd w:val="0"/>
        <w:snapToGrid w:val="0"/>
        <w:spacing w:line="360" w:lineRule="auto"/>
        <w:ind w:left="479" w:leftChars="228"/>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2.合同价不受市场价格变化因素的影响。</w:t>
      </w:r>
    </w:p>
    <w:p>
      <w:pPr>
        <w:tabs>
          <w:tab w:val="left" w:pos="720"/>
        </w:tabs>
        <w:adjustRightInd w:val="0"/>
        <w:snapToGrid w:val="0"/>
        <w:spacing w:line="360" w:lineRule="auto"/>
        <w:ind w:left="479" w:leftChars="228"/>
        <w:jc w:val="left"/>
        <w:rPr>
          <w:rFonts w:ascii="宋体" w:hAnsi="宋体" w:cs="宋体"/>
          <w:color w:val="auto"/>
          <w:kern w:val="0"/>
          <w:sz w:val="24"/>
          <w:highlight w:val="none"/>
          <w:u w:val="single"/>
        </w:rPr>
      </w:pPr>
      <w:r>
        <w:rPr>
          <w:rFonts w:hint="eastAsia" w:ascii="宋体" w:hAnsi="宋体" w:cs="宋体"/>
          <w:color w:val="auto"/>
          <w:kern w:val="0"/>
          <w:sz w:val="24"/>
          <w:highlight w:val="none"/>
        </w:rPr>
        <w:t>3.付款方式：</w:t>
      </w:r>
      <w:r>
        <w:rPr>
          <w:rFonts w:hint="eastAsia" w:ascii="宋体" w:hAnsi="宋体" w:cs="宋体"/>
          <w:color w:val="auto"/>
          <w:kern w:val="0"/>
          <w:sz w:val="24"/>
          <w:highlight w:val="none"/>
          <w:lang w:val="en-US" w:eastAsia="zh-CN"/>
        </w:rPr>
        <w:t>全部货物安装、调试完毕后付款50%，剩余50%验收合格后60日内一次性付清。</w:t>
      </w:r>
    </w:p>
    <w:p>
      <w:pPr>
        <w:widowControl/>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四、质保期</w:t>
      </w:r>
    </w:p>
    <w:p>
      <w:pPr>
        <w:widowControl/>
        <w:ind w:firstLine="480" w:firstLineChars="200"/>
        <w:jc w:val="left"/>
        <w:rPr>
          <w:rFonts w:ascii="宋体" w:hAnsi="宋体" w:cs="宋体"/>
          <w:color w:val="auto"/>
          <w:sz w:val="24"/>
          <w:highlight w:val="none"/>
        </w:rPr>
      </w:pPr>
      <w:bookmarkStart w:id="15" w:name="_Toc167715252"/>
      <w:bookmarkStart w:id="16" w:name="_Toc167714055"/>
      <w:bookmarkStart w:id="17" w:name="_Toc167712857"/>
      <w:r>
        <w:rPr>
          <w:rFonts w:hint="eastAsia" w:ascii="宋体" w:hAnsi="宋体" w:cs="宋体"/>
          <w:color w:val="auto"/>
          <w:sz w:val="24"/>
          <w:highlight w:val="none"/>
        </w:rPr>
        <w:t>1.质保期：三年</w:t>
      </w:r>
    </w:p>
    <w:p>
      <w:pPr>
        <w:widowControl/>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2.中标人承诺的保修期起始时间为终验合格次日</w:t>
      </w:r>
      <w:bookmarkStart w:id="18" w:name="_Toc167715250"/>
      <w:bookmarkStart w:id="19" w:name="_Toc167712855"/>
      <w:bookmarkStart w:id="20" w:name="_Toc167714053"/>
      <w:r>
        <w:rPr>
          <w:rFonts w:hint="eastAsia" w:ascii="宋体" w:hAnsi="宋体" w:cs="宋体"/>
          <w:color w:val="auto"/>
          <w:sz w:val="24"/>
          <w:highlight w:val="none"/>
        </w:rPr>
        <w:t>；</w:t>
      </w:r>
    </w:p>
    <w:bookmarkEnd w:id="15"/>
    <w:bookmarkEnd w:id="16"/>
    <w:bookmarkEnd w:id="17"/>
    <w:bookmarkEnd w:id="18"/>
    <w:bookmarkEnd w:id="19"/>
    <w:bookmarkEnd w:id="20"/>
    <w:p>
      <w:pPr>
        <w:widowControl/>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3.乙方提供货物必须是原品生产的最新产品。</w:t>
      </w:r>
    </w:p>
    <w:p>
      <w:pPr>
        <w:widowControl/>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4.所供货物必须是经过办理正常手续的全新产品。</w:t>
      </w:r>
    </w:p>
    <w:p>
      <w:pPr>
        <w:widowControl/>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5.所供货物是经过国家法定检验、注册、准许市场销售的合法产品。</w:t>
      </w:r>
    </w:p>
    <w:p>
      <w:pPr>
        <w:widowControl/>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6.进口产品必须提供进口产品注册证。</w:t>
      </w:r>
    </w:p>
    <w:p>
      <w:pPr>
        <w:widowControl/>
        <w:ind w:firstLine="480" w:firstLineChars="200"/>
        <w:jc w:val="left"/>
        <w:rPr>
          <w:rFonts w:ascii="宋体" w:hAnsi="宋体" w:cs="宋体"/>
          <w:color w:val="auto"/>
          <w:sz w:val="24"/>
          <w:highlight w:val="none"/>
        </w:rPr>
      </w:pPr>
      <w:r>
        <w:rPr>
          <w:rFonts w:hint="eastAsia" w:ascii="宋体" w:hAnsi="宋体" w:cs="宋体"/>
          <w:color w:val="auto"/>
          <w:sz w:val="24"/>
          <w:highlight w:val="none"/>
        </w:rPr>
        <w:t>7.货物性能稳定、具有较好的使用效果，质量保证措施完善，符合国家相关标准。</w:t>
      </w:r>
    </w:p>
    <w:p>
      <w:pPr>
        <w:widowControl/>
        <w:ind w:firstLine="480" w:firstLineChars="200"/>
        <w:jc w:val="left"/>
        <w:rPr>
          <w:rFonts w:ascii="宋体" w:hAnsi="宋体" w:cs="宋体"/>
          <w:color w:val="auto"/>
          <w:sz w:val="24"/>
          <w:highlight w:val="none"/>
        </w:rPr>
      </w:pPr>
      <w:r>
        <w:rPr>
          <w:rFonts w:hint="eastAsia" w:ascii="宋体" w:hAnsi="宋体" w:cs="宋体"/>
          <w:color w:val="auto"/>
          <w:sz w:val="24"/>
          <w:highlight w:val="none"/>
        </w:rPr>
        <w:t>8.包装要求</w:t>
      </w:r>
    </w:p>
    <w:p>
      <w:pPr>
        <w:widowControl/>
        <w:ind w:firstLine="480" w:firstLineChars="200"/>
        <w:jc w:val="left"/>
        <w:rPr>
          <w:rFonts w:ascii="宋体" w:hAnsi="宋体" w:cs="宋体"/>
          <w:color w:val="auto"/>
          <w:sz w:val="24"/>
          <w:highlight w:val="none"/>
        </w:rPr>
      </w:pPr>
      <w:r>
        <w:rPr>
          <w:rFonts w:hint="eastAsia" w:ascii="宋体" w:hAnsi="宋体" w:cs="宋体"/>
          <w:color w:val="auto"/>
          <w:sz w:val="24"/>
          <w:highlight w:val="none"/>
        </w:rPr>
        <w:t>8.1.除合同另有规定外，乙方提供的全部货物，均应按标准保护措施进行包装，并确保货物安全无损运抵甲方指定地点。</w:t>
      </w:r>
    </w:p>
    <w:p>
      <w:pPr>
        <w:widowControl/>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8.2.每一个包装箱内应附一份详细装箱单和质量合格证。   </w:t>
      </w:r>
    </w:p>
    <w:p>
      <w:pPr>
        <w:widowControl/>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五、运输及方式</w:t>
      </w:r>
    </w:p>
    <w:p>
      <w:pPr>
        <w:widowControl/>
        <w:ind w:firstLine="480" w:firstLineChars="200"/>
        <w:jc w:val="left"/>
        <w:rPr>
          <w:rFonts w:ascii="宋体" w:hAnsi="宋体" w:cs="宋体"/>
          <w:color w:val="auto"/>
          <w:sz w:val="24"/>
          <w:highlight w:val="none"/>
        </w:rPr>
      </w:pPr>
      <w:r>
        <w:rPr>
          <w:rFonts w:hint="eastAsia" w:ascii="宋体" w:hAnsi="宋体" w:cs="宋体"/>
          <w:color w:val="auto"/>
          <w:sz w:val="24"/>
          <w:highlight w:val="none"/>
        </w:rPr>
        <w:t>设备必须为原厂包装运输，运输及安装方式由中标方自行选择（运输、安装费已包含在合同总价内）。</w:t>
      </w:r>
    </w:p>
    <w:p>
      <w:pPr>
        <w:widowControl/>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六、验收</w:t>
      </w:r>
      <w:bookmarkStart w:id="21" w:name="_Toc167714041"/>
      <w:bookmarkStart w:id="22" w:name="_Toc167715238"/>
      <w:bookmarkStart w:id="23" w:name="_Toc167712843"/>
      <w:r>
        <w:rPr>
          <w:rFonts w:hint="eastAsia" w:ascii="宋体" w:hAnsi="宋体" w:cs="宋体"/>
          <w:b/>
          <w:bCs/>
          <w:color w:val="auto"/>
          <w:sz w:val="24"/>
          <w:highlight w:val="none"/>
        </w:rPr>
        <w:t>:</w:t>
      </w:r>
    </w:p>
    <w:bookmarkEnd w:id="21"/>
    <w:bookmarkEnd w:id="22"/>
    <w:bookmarkEnd w:id="23"/>
    <w:p>
      <w:pPr>
        <w:widowControl/>
        <w:ind w:firstLine="480" w:firstLineChars="200"/>
        <w:jc w:val="left"/>
        <w:rPr>
          <w:rFonts w:ascii="宋体" w:hAnsi="宋体" w:cs="宋体"/>
          <w:color w:val="auto"/>
          <w:sz w:val="24"/>
          <w:highlight w:val="none"/>
        </w:rPr>
      </w:pPr>
      <w:bookmarkStart w:id="24" w:name="_Toc167715263"/>
      <w:bookmarkStart w:id="25" w:name="_Toc167712868"/>
      <w:bookmarkStart w:id="26" w:name="_Toc167714066"/>
      <w:r>
        <w:rPr>
          <w:rFonts w:hint="eastAsia" w:ascii="宋体" w:hAnsi="宋体" w:cs="宋体"/>
          <w:color w:val="auto"/>
          <w:sz w:val="24"/>
          <w:highlight w:val="none"/>
        </w:rPr>
        <w:t>1.所有货物(货物)安装、调试完毕，正常使用10个日历日后，由采购人进行验收（最终验收），合格后签发《终验合格单》；</w:t>
      </w:r>
    </w:p>
    <w:p>
      <w:pPr>
        <w:widowControl/>
        <w:ind w:firstLine="480" w:firstLineChars="200"/>
        <w:jc w:val="left"/>
        <w:rPr>
          <w:rFonts w:ascii="宋体" w:hAnsi="宋体" w:cs="宋体"/>
          <w:color w:val="auto"/>
          <w:sz w:val="24"/>
          <w:highlight w:val="none"/>
        </w:rPr>
      </w:pPr>
      <w:r>
        <w:rPr>
          <w:rFonts w:hint="eastAsia" w:ascii="宋体" w:hAnsi="宋体" w:cs="宋体"/>
          <w:color w:val="auto"/>
          <w:sz w:val="24"/>
          <w:highlight w:val="none"/>
        </w:rPr>
        <w:t>2.验收不合格的中标单位，必须在接到通知后7个日历日内确保货物通过验收。如接到通知后7个日历日内验收仍不合格，采购人可提出索赔或取消其供货合同。采购代理机构单位将把中标资格授予评审排序下一名的投标单位；</w:t>
      </w:r>
    </w:p>
    <w:p>
      <w:pPr>
        <w:widowControl/>
        <w:ind w:firstLine="480" w:firstLineChars="200"/>
        <w:jc w:val="left"/>
        <w:rPr>
          <w:rFonts w:ascii="宋体" w:hAnsi="宋体" w:cs="宋体"/>
          <w:color w:val="auto"/>
          <w:sz w:val="24"/>
          <w:highlight w:val="none"/>
        </w:rPr>
      </w:pPr>
      <w:r>
        <w:rPr>
          <w:rFonts w:hint="eastAsia" w:ascii="宋体" w:hAnsi="宋体" w:cs="宋体"/>
          <w:color w:val="auto"/>
          <w:sz w:val="24"/>
          <w:highlight w:val="none"/>
        </w:rPr>
        <w:t>3.验收依据</w:t>
      </w:r>
      <w:bookmarkStart w:id="27" w:name="_Toc167714045"/>
      <w:bookmarkStart w:id="28" w:name="_Toc167712847"/>
      <w:bookmarkStart w:id="29" w:name="_Toc167715242"/>
    </w:p>
    <w:p>
      <w:pPr>
        <w:widowControl/>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（1）合同文本及合同补充文件（条款）</w:t>
      </w:r>
      <w:bookmarkEnd w:id="27"/>
      <w:bookmarkEnd w:id="28"/>
      <w:bookmarkEnd w:id="29"/>
      <w:r>
        <w:rPr>
          <w:rFonts w:hint="eastAsia" w:ascii="宋体" w:hAnsi="宋体" w:cs="宋体"/>
          <w:color w:val="auto"/>
          <w:sz w:val="24"/>
          <w:highlight w:val="none"/>
        </w:rPr>
        <w:t>；</w:t>
      </w:r>
    </w:p>
    <w:p>
      <w:pPr>
        <w:widowControl/>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（2）货物（产品）售后服务承诺函；</w:t>
      </w:r>
    </w:p>
    <w:p>
      <w:pPr>
        <w:widowControl/>
        <w:ind w:firstLine="480" w:firstLineChars="200"/>
        <w:jc w:val="left"/>
        <w:rPr>
          <w:rFonts w:ascii="宋体" w:hAnsi="宋体" w:cs="宋体"/>
          <w:color w:val="auto"/>
          <w:sz w:val="24"/>
          <w:highlight w:val="none"/>
        </w:rPr>
      </w:pPr>
      <w:r>
        <w:rPr>
          <w:rFonts w:hint="eastAsia" w:ascii="宋体" w:hAnsi="宋体" w:cs="宋体"/>
          <w:color w:val="auto"/>
          <w:sz w:val="24"/>
          <w:highlight w:val="none"/>
        </w:rPr>
        <w:t>（3）符合招投标文件的技术规范和标准；</w:t>
      </w:r>
    </w:p>
    <w:p>
      <w:pPr>
        <w:widowControl/>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（4）合同货物清单；</w:t>
      </w:r>
    </w:p>
    <w:p>
      <w:pPr>
        <w:widowControl/>
        <w:ind w:firstLine="480" w:firstLineChars="200"/>
        <w:jc w:val="left"/>
        <w:rPr>
          <w:rFonts w:ascii="宋体" w:hAnsi="宋体" w:cs="宋体"/>
          <w:color w:val="auto"/>
          <w:sz w:val="24"/>
          <w:highlight w:val="none"/>
        </w:rPr>
      </w:pPr>
      <w:r>
        <w:rPr>
          <w:rFonts w:hint="eastAsia" w:ascii="宋体" w:hAnsi="宋体" w:cs="宋体"/>
          <w:color w:val="auto"/>
          <w:sz w:val="24"/>
          <w:highlight w:val="none"/>
        </w:rPr>
        <w:t>（5）中标人资质、辅材检验报告等；</w:t>
      </w:r>
    </w:p>
    <w:p>
      <w:pPr>
        <w:widowControl/>
        <w:ind w:firstLine="480" w:firstLineChars="200"/>
        <w:jc w:val="left"/>
        <w:rPr>
          <w:rFonts w:ascii="宋体" w:hAnsi="宋体" w:cs="宋体"/>
          <w:color w:val="auto"/>
          <w:sz w:val="24"/>
          <w:highlight w:val="none"/>
        </w:rPr>
      </w:pPr>
      <w:bookmarkStart w:id="30" w:name="_Toc167714062"/>
      <w:bookmarkStart w:id="31" w:name="_Toc167712864"/>
      <w:bookmarkStart w:id="32" w:name="_Toc167715259"/>
      <w:bookmarkStart w:id="33" w:name="_Toc167715262"/>
      <w:bookmarkStart w:id="34" w:name="_Toc167714065"/>
      <w:bookmarkStart w:id="35" w:name="_Toc167712867"/>
      <w:r>
        <w:rPr>
          <w:rFonts w:hint="eastAsia" w:ascii="宋体" w:hAnsi="宋体" w:cs="宋体"/>
          <w:color w:val="auto"/>
          <w:sz w:val="24"/>
          <w:highlight w:val="none"/>
        </w:rPr>
        <w:t>（6）货物安装调试完毕后，中标人必须安排技术人员对使用单位的货物管理人员进行维护保养方面的技能培训</w:t>
      </w:r>
      <w:bookmarkEnd w:id="30"/>
      <w:bookmarkEnd w:id="31"/>
      <w:bookmarkEnd w:id="32"/>
      <w:r>
        <w:rPr>
          <w:rFonts w:hint="eastAsia" w:ascii="宋体" w:hAnsi="宋体" w:cs="宋体"/>
          <w:color w:val="auto"/>
          <w:sz w:val="24"/>
          <w:highlight w:val="none"/>
        </w:rPr>
        <w:t>。</w:t>
      </w:r>
    </w:p>
    <w:bookmarkEnd w:id="33"/>
    <w:bookmarkEnd w:id="34"/>
    <w:bookmarkEnd w:id="35"/>
    <w:p>
      <w:pPr>
        <w:widowControl/>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七、合同实施：</w:t>
      </w:r>
      <w:bookmarkEnd w:id="24"/>
      <w:bookmarkEnd w:id="25"/>
      <w:bookmarkEnd w:id="26"/>
      <w:bookmarkStart w:id="36" w:name="_Toc167712869"/>
      <w:bookmarkStart w:id="37" w:name="_Toc167714067"/>
      <w:bookmarkStart w:id="38" w:name="_Toc167715264"/>
    </w:p>
    <w:bookmarkEnd w:id="36"/>
    <w:bookmarkEnd w:id="37"/>
    <w:bookmarkEnd w:id="38"/>
    <w:p>
      <w:pPr>
        <w:widowControl/>
        <w:ind w:firstLine="480" w:firstLineChars="200"/>
        <w:jc w:val="left"/>
        <w:rPr>
          <w:rFonts w:ascii="宋体" w:hAnsi="宋体" w:cs="宋体"/>
          <w:color w:val="auto"/>
          <w:sz w:val="24"/>
          <w:highlight w:val="none"/>
        </w:rPr>
      </w:pPr>
      <w:r>
        <w:rPr>
          <w:rFonts w:hint="eastAsia" w:ascii="宋体" w:hAnsi="宋体" w:cs="宋体"/>
          <w:color w:val="auto"/>
          <w:sz w:val="24"/>
          <w:highlight w:val="none"/>
        </w:rPr>
        <w:t>若因中标单位原因未能在交货期内完成合同规定的义务，由此对招标人造成的延误和一切损失，由中标人承担和赔偿。</w:t>
      </w:r>
    </w:p>
    <w:p>
      <w:pPr>
        <w:widowControl/>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八、违约责任：</w:t>
      </w:r>
    </w:p>
    <w:p>
      <w:pPr>
        <w:widowControl/>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1.按《中华人民共和国民法典》中的相关条款执行；</w:t>
      </w:r>
    </w:p>
    <w:p>
      <w:pPr>
        <w:widowControl/>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2.未按合同要求提供的货物质量不能满足技术要求，招标人有权终止合同，并对供方违约行为进行追究，同时按《政府采购法》的有关规定进行处罚。</w:t>
      </w:r>
    </w:p>
    <w:p>
      <w:pPr>
        <w:widowControl/>
        <w:ind w:firstLine="482" w:firstLineChars="200"/>
        <w:jc w:val="left"/>
        <w:rPr>
          <w:rFonts w:ascii="宋体" w:hAnsi="宋体" w:cs="宋体"/>
          <w:color w:val="auto"/>
          <w:sz w:val="24"/>
          <w:highlight w:val="none"/>
        </w:rPr>
      </w:pPr>
      <w:r>
        <w:rPr>
          <w:rFonts w:hint="eastAsia" w:ascii="宋体" w:hAnsi="宋体" w:cs="宋体"/>
          <w:b/>
          <w:bCs/>
          <w:color w:val="auto"/>
          <w:sz w:val="24"/>
          <w:highlight w:val="none"/>
        </w:rPr>
        <w:t>九、</w:t>
      </w:r>
      <w:r>
        <w:rPr>
          <w:rFonts w:hint="eastAsia" w:ascii="宋体" w:hAnsi="宋体" w:cs="宋体"/>
          <w:color w:val="auto"/>
          <w:sz w:val="24"/>
          <w:highlight w:val="none"/>
        </w:rPr>
        <w:t>合同一经签订，不得擅自变更、中止或者终止合同。对确需变更、调整或者中止、终止合同的，应按规定履行相应的手续。</w:t>
      </w:r>
    </w:p>
    <w:p>
      <w:pPr>
        <w:widowControl/>
        <w:ind w:firstLine="482" w:firstLineChars="200"/>
        <w:jc w:val="left"/>
        <w:rPr>
          <w:rFonts w:ascii="宋体" w:hAnsi="宋体" w:cs="宋体"/>
          <w:color w:val="auto"/>
          <w:sz w:val="24"/>
          <w:highlight w:val="none"/>
        </w:rPr>
      </w:pPr>
      <w:r>
        <w:rPr>
          <w:rFonts w:hint="eastAsia" w:ascii="宋体" w:hAnsi="宋体" w:cs="宋体"/>
          <w:b/>
          <w:bCs/>
          <w:color w:val="auto"/>
          <w:sz w:val="24"/>
          <w:highlight w:val="none"/>
        </w:rPr>
        <w:t>十、</w:t>
      </w:r>
      <w:r>
        <w:rPr>
          <w:rFonts w:hint="eastAsia" w:ascii="宋体" w:hAnsi="宋体" w:cs="宋体"/>
          <w:color w:val="auto"/>
          <w:sz w:val="24"/>
          <w:highlight w:val="none"/>
        </w:rPr>
        <w:t>本合同从签订之日起生效，合同规定的全部事宜和程序结束后终止。本合同一式叁份，甲、乙双方各一份，采购代理机构一份。</w:t>
      </w:r>
    </w:p>
    <w:p>
      <w:pPr>
        <w:pStyle w:val="26"/>
        <w:spacing w:line="360" w:lineRule="auto"/>
        <w:ind w:firstLine="482"/>
        <w:rPr>
          <w:rFonts w:ascii="宋体" w:hAnsi="宋体" w:cs="宋体"/>
          <w:color w:val="auto"/>
          <w:sz w:val="24"/>
          <w:szCs w:val="24"/>
          <w:highlight w:val="none"/>
        </w:rPr>
      </w:pPr>
      <w:r>
        <w:rPr>
          <w:rFonts w:hint="eastAsia" w:ascii="宋体" w:hAnsi="宋体" w:cs="宋体"/>
          <w:b/>
          <w:bCs/>
          <w:color w:val="auto"/>
          <w:sz w:val="24"/>
          <w:szCs w:val="24"/>
          <w:highlight w:val="none"/>
        </w:rPr>
        <w:t>十一、</w:t>
      </w:r>
      <w:r>
        <w:rPr>
          <w:rFonts w:hint="eastAsia" w:ascii="宋体" w:hAnsi="宋体" w:cs="宋体"/>
          <w:color w:val="auto"/>
          <w:sz w:val="24"/>
          <w:szCs w:val="24"/>
          <w:highlight w:val="none"/>
        </w:rPr>
        <w:t>合同期内，未尽事宜，双方可根据服务需要，另立补充协议，补充协议是本合同的重要组成部分，具有同等法律效力。</w:t>
      </w:r>
    </w:p>
    <w:p>
      <w:pPr>
        <w:autoSpaceDE w:val="0"/>
        <w:autoSpaceDN w:val="0"/>
        <w:adjustRightInd w:val="0"/>
        <w:spacing w:line="336" w:lineRule="auto"/>
        <w:ind w:firstLine="645"/>
        <w:rPr>
          <w:rFonts w:ascii="宋体" w:hAnsi="宋体" w:cs="宋体"/>
          <w:bCs/>
          <w:color w:val="auto"/>
          <w:sz w:val="24"/>
          <w:highlight w:val="none"/>
        </w:rPr>
      </w:pPr>
      <w:r>
        <w:rPr>
          <w:rFonts w:hint="eastAsia" w:ascii="宋体" w:hAnsi="宋体" w:cs="宋体"/>
          <w:bCs/>
          <w:color w:val="auto"/>
          <w:sz w:val="24"/>
          <w:highlight w:val="none"/>
        </w:rPr>
        <w:br w:type="page"/>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3"/>
        <w:gridCol w:w="4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500" w:type="pct"/>
            <w:noWrap/>
          </w:tcPr>
          <w:p>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甲  方</w:t>
            </w:r>
          </w:p>
        </w:tc>
        <w:tc>
          <w:tcPr>
            <w:tcW w:w="2500" w:type="pct"/>
            <w:noWrap/>
          </w:tcPr>
          <w:p>
            <w:pPr>
              <w:spacing w:line="420" w:lineRule="exact"/>
              <w:jc w:val="center"/>
              <w:rPr>
                <w:rFonts w:ascii="宋体" w:hAnsi="宋体" w:cs="宋体"/>
                <w:bCs/>
                <w:color w:val="auto"/>
                <w:sz w:val="24"/>
                <w:highlight w:val="none"/>
              </w:rPr>
            </w:pPr>
            <w:r>
              <w:rPr>
                <w:rFonts w:hint="eastAsia" w:ascii="宋体" w:hAnsi="宋体" w:cs="宋体"/>
                <w:bCs/>
                <w:color w:val="auto"/>
                <w:sz w:val="24"/>
                <w:highlight w:val="none"/>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4" w:hRule="atLeast"/>
        </w:trPr>
        <w:tc>
          <w:tcPr>
            <w:tcW w:w="2500" w:type="pct"/>
            <w:noWrap/>
            <w:vAlign w:val="center"/>
          </w:tcPr>
          <w:p>
            <w:pPr>
              <w:spacing w:line="420" w:lineRule="exact"/>
              <w:jc w:val="center"/>
              <w:rPr>
                <w:rFonts w:ascii="宋体" w:hAnsi="宋体" w:cs="宋体"/>
                <w:bCs/>
                <w:color w:val="auto"/>
                <w:sz w:val="24"/>
                <w:highlight w:val="none"/>
              </w:rPr>
            </w:pPr>
          </w:p>
          <w:p>
            <w:pPr>
              <w:spacing w:line="420" w:lineRule="exact"/>
              <w:jc w:val="center"/>
              <w:rPr>
                <w:rFonts w:ascii="宋体" w:hAnsi="宋体" w:cs="宋体"/>
                <w:bCs/>
                <w:color w:val="auto"/>
                <w:sz w:val="24"/>
                <w:highlight w:val="none"/>
              </w:rPr>
            </w:pPr>
          </w:p>
          <w:p>
            <w:pPr>
              <w:spacing w:line="420" w:lineRule="exact"/>
              <w:rPr>
                <w:rFonts w:ascii="宋体" w:hAnsi="宋体" w:cs="宋体"/>
                <w:bCs/>
                <w:color w:val="auto"/>
                <w:sz w:val="24"/>
                <w:highlight w:val="none"/>
              </w:rPr>
            </w:pPr>
          </w:p>
          <w:p>
            <w:pPr>
              <w:pStyle w:val="9"/>
              <w:rPr>
                <w:rFonts w:ascii="宋体" w:hAnsi="宋体" w:cs="宋体"/>
                <w:color w:val="auto"/>
                <w:highlight w:val="none"/>
              </w:rPr>
            </w:pPr>
          </w:p>
          <w:p>
            <w:pPr>
              <w:spacing w:line="420" w:lineRule="exact"/>
              <w:jc w:val="center"/>
              <w:rPr>
                <w:rFonts w:ascii="宋体" w:hAnsi="宋体" w:cs="宋体"/>
                <w:bCs/>
                <w:color w:val="auto"/>
                <w:sz w:val="24"/>
                <w:highlight w:val="none"/>
              </w:rPr>
            </w:pPr>
            <w:r>
              <w:rPr>
                <w:rFonts w:hint="eastAsia" w:ascii="宋体" w:hAnsi="宋体" w:cs="宋体"/>
                <w:bCs/>
                <w:color w:val="auto"/>
                <w:sz w:val="24"/>
                <w:highlight w:val="none"/>
              </w:rPr>
              <w:t>（盖章）</w:t>
            </w:r>
          </w:p>
        </w:tc>
        <w:tc>
          <w:tcPr>
            <w:tcW w:w="2500" w:type="pct"/>
            <w:noWrap/>
            <w:vAlign w:val="center"/>
          </w:tcPr>
          <w:p>
            <w:pPr>
              <w:spacing w:line="420" w:lineRule="exact"/>
              <w:jc w:val="center"/>
              <w:rPr>
                <w:rFonts w:ascii="宋体" w:hAnsi="宋体" w:cs="宋体"/>
                <w:bCs/>
                <w:color w:val="auto"/>
                <w:sz w:val="24"/>
                <w:highlight w:val="none"/>
              </w:rPr>
            </w:pPr>
          </w:p>
          <w:p>
            <w:pPr>
              <w:spacing w:line="420" w:lineRule="exact"/>
              <w:jc w:val="center"/>
              <w:rPr>
                <w:rFonts w:ascii="宋体" w:hAnsi="宋体" w:cs="宋体"/>
                <w:bCs/>
                <w:color w:val="auto"/>
                <w:sz w:val="24"/>
                <w:highlight w:val="none"/>
              </w:rPr>
            </w:pPr>
          </w:p>
          <w:p>
            <w:pPr>
              <w:spacing w:line="420" w:lineRule="exact"/>
              <w:jc w:val="center"/>
              <w:rPr>
                <w:rFonts w:ascii="宋体" w:hAnsi="宋体" w:cs="宋体"/>
                <w:bCs/>
                <w:color w:val="auto"/>
                <w:sz w:val="24"/>
                <w:highlight w:val="none"/>
              </w:rPr>
            </w:pPr>
          </w:p>
          <w:p>
            <w:pPr>
              <w:spacing w:line="420" w:lineRule="exact"/>
              <w:jc w:val="center"/>
              <w:rPr>
                <w:rFonts w:ascii="宋体" w:hAnsi="宋体" w:cs="宋体"/>
                <w:bCs/>
                <w:color w:val="auto"/>
                <w:sz w:val="24"/>
                <w:highlight w:val="none"/>
              </w:rPr>
            </w:pPr>
          </w:p>
          <w:p>
            <w:pPr>
              <w:spacing w:line="420" w:lineRule="exact"/>
              <w:jc w:val="center"/>
              <w:rPr>
                <w:rFonts w:ascii="宋体" w:hAnsi="宋体" w:cs="宋体"/>
                <w:bCs/>
                <w:color w:val="auto"/>
                <w:sz w:val="24"/>
                <w:highlight w:val="none"/>
              </w:rPr>
            </w:pPr>
            <w:r>
              <w:rPr>
                <w:rFonts w:hint="eastAsia" w:ascii="宋体" w:hAnsi="宋体" w:cs="宋体"/>
                <w:bCs/>
                <w:color w:val="auto"/>
                <w:sz w:val="24"/>
                <w:highlight w:val="none"/>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trPr>
        <w:tc>
          <w:tcPr>
            <w:tcW w:w="2500" w:type="pct"/>
            <w:noWrap/>
          </w:tcPr>
          <w:p>
            <w:pPr>
              <w:spacing w:line="420" w:lineRule="exact"/>
              <w:rPr>
                <w:rFonts w:ascii="宋体" w:hAnsi="宋体" w:cs="宋体"/>
                <w:color w:val="auto"/>
                <w:highlight w:val="none"/>
              </w:rPr>
            </w:pPr>
            <w:r>
              <w:rPr>
                <w:rFonts w:hint="eastAsia" w:ascii="宋体" w:hAnsi="宋体" w:cs="宋体"/>
                <w:color w:val="auto"/>
                <w:highlight w:val="none"/>
              </w:rPr>
              <w:t>地址：</w:t>
            </w:r>
          </w:p>
          <w:p>
            <w:pPr>
              <w:pStyle w:val="17"/>
              <w:rPr>
                <w:rFonts w:ascii="宋体" w:hAnsi="宋体" w:eastAsia="宋体" w:cs="宋体"/>
                <w:bCs/>
                <w:color w:val="auto"/>
                <w:highlight w:val="none"/>
              </w:rPr>
            </w:pPr>
          </w:p>
          <w:p>
            <w:pPr>
              <w:pStyle w:val="17"/>
              <w:rPr>
                <w:rFonts w:ascii="宋体" w:hAnsi="宋体" w:eastAsia="宋体" w:cs="宋体"/>
                <w:bCs/>
                <w:color w:val="auto"/>
                <w:highlight w:val="none"/>
              </w:rPr>
            </w:pPr>
          </w:p>
          <w:p>
            <w:pPr>
              <w:pStyle w:val="17"/>
              <w:rPr>
                <w:rFonts w:ascii="宋体" w:hAnsi="宋体" w:eastAsia="宋体" w:cs="宋体"/>
                <w:bCs/>
                <w:color w:val="auto"/>
                <w:highlight w:val="none"/>
              </w:rPr>
            </w:pPr>
          </w:p>
          <w:p>
            <w:pPr>
              <w:pStyle w:val="17"/>
              <w:rPr>
                <w:rFonts w:ascii="宋体" w:hAnsi="宋体" w:eastAsia="宋体" w:cs="宋体"/>
                <w:bCs/>
                <w:color w:val="auto"/>
                <w:highlight w:val="none"/>
              </w:rPr>
            </w:pPr>
          </w:p>
        </w:tc>
        <w:tc>
          <w:tcPr>
            <w:tcW w:w="2500" w:type="pct"/>
            <w:noWrap/>
          </w:tcPr>
          <w:p>
            <w:pPr>
              <w:spacing w:line="420" w:lineRule="exact"/>
              <w:rPr>
                <w:rFonts w:ascii="宋体" w:hAnsi="宋体" w:cs="宋体"/>
                <w:bCs/>
                <w:color w:val="auto"/>
                <w:sz w:val="24"/>
                <w:highlight w:val="none"/>
              </w:rPr>
            </w:pPr>
            <w:r>
              <w:rPr>
                <w:rFonts w:hint="eastAsia" w:ascii="宋体" w:hAnsi="宋体" w:cs="宋体"/>
                <w:bCs/>
                <w:color w:val="auto"/>
                <w:sz w:val="24"/>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500" w:type="pct"/>
            <w:noWrap/>
          </w:tcPr>
          <w:p>
            <w:pPr>
              <w:spacing w:line="420" w:lineRule="exact"/>
              <w:rPr>
                <w:rFonts w:ascii="宋体" w:hAnsi="宋体" w:cs="宋体"/>
                <w:bCs/>
                <w:color w:val="auto"/>
                <w:sz w:val="24"/>
                <w:highlight w:val="none"/>
              </w:rPr>
            </w:pPr>
            <w:r>
              <w:rPr>
                <w:rFonts w:hint="eastAsia" w:ascii="宋体" w:hAnsi="宋体" w:cs="宋体"/>
                <w:bCs/>
                <w:color w:val="auto"/>
                <w:sz w:val="24"/>
                <w:highlight w:val="none"/>
              </w:rPr>
              <w:t>邮编：</w:t>
            </w:r>
          </w:p>
        </w:tc>
        <w:tc>
          <w:tcPr>
            <w:tcW w:w="2500" w:type="pct"/>
            <w:noWrap/>
          </w:tcPr>
          <w:p>
            <w:pPr>
              <w:spacing w:line="420" w:lineRule="exact"/>
              <w:rPr>
                <w:rFonts w:ascii="宋体" w:hAnsi="宋体" w:cs="宋体"/>
                <w:bCs/>
                <w:color w:val="auto"/>
                <w:sz w:val="24"/>
                <w:highlight w:val="none"/>
              </w:rPr>
            </w:pPr>
            <w:r>
              <w:rPr>
                <w:rFonts w:hint="eastAsia" w:ascii="宋体" w:hAnsi="宋体" w:cs="宋体"/>
                <w:bCs/>
                <w:color w:val="auto"/>
                <w:sz w:val="24"/>
                <w:highlight w:val="none"/>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500" w:type="pct"/>
            <w:noWrap/>
          </w:tcPr>
          <w:p>
            <w:pPr>
              <w:spacing w:line="420" w:lineRule="exact"/>
              <w:rPr>
                <w:rFonts w:ascii="宋体" w:hAnsi="宋体" w:cs="宋体"/>
                <w:bCs/>
                <w:color w:val="auto"/>
                <w:sz w:val="24"/>
                <w:highlight w:val="none"/>
              </w:rPr>
            </w:pPr>
            <w:r>
              <w:rPr>
                <w:rFonts w:hint="eastAsia" w:ascii="宋体" w:hAnsi="宋体" w:cs="宋体"/>
                <w:bCs/>
                <w:color w:val="auto"/>
                <w:sz w:val="24"/>
                <w:highlight w:val="none"/>
              </w:rPr>
              <w:t xml:space="preserve">法定代表人： </w:t>
            </w:r>
          </w:p>
        </w:tc>
        <w:tc>
          <w:tcPr>
            <w:tcW w:w="2500" w:type="pct"/>
            <w:noWrap/>
          </w:tcPr>
          <w:p>
            <w:pPr>
              <w:spacing w:line="420" w:lineRule="exact"/>
              <w:rPr>
                <w:rFonts w:ascii="宋体" w:hAnsi="宋体" w:cs="宋体"/>
                <w:bCs/>
                <w:color w:val="auto"/>
                <w:sz w:val="24"/>
                <w:highlight w:val="none"/>
              </w:rPr>
            </w:pPr>
            <w:r>
              <w:rPr>
                <w:rFonts w:hint="eastAsia" w:ascii="宋体" w:hAnsi="宋体" w:cs="宋体"/>
                <w:bCs/>
                <w:color w:val="auto"/>
                <w:sz w:val="24"/>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00" w:type="pct"/>
            <w:noWrap/>
          </w:tcPr>
          <w:p>
            <w:pPr>
              <w:spacing w:line="420" w:lineRule="exact"/>
              <w:rPr>
                <w:rFonts w:ascii="宋体" w:hAnsi="宋体" w:cs="宋体"/>
                <w:bCs/>
                <w:color w:val="auto"/>
                <w:sz w:val="24"/>
                <w:highlight w:val="none"/>
              </w:rPr>
            </w:pPr>
            <w:r>
              <w:rPr>
                <w:rFonts w:hint="eastAsia" w:ascii="宋体" w:hAnsi="宋体" w:cs="宋体"/>
                <w:bCs/>
                <w:color w:val="auto"/>
                <w:sz w:val="24"/>
                <w:highlight w:val="none"/>
              </w:rPr>
              <w:t>被授权代表：</w:t>
            </w:r>
          </w:p>
        </w:tc>
        <w:tc>
          <w:tcPr>
            <w:tcW w:w="2500" w:type="pct"/>
            <w:noWrap/>
          </w:tcPr>
          <w:p>
            <w:pPr>
              <w:spacing w:line="420" w:lineRule="exact"/>
              <w:rPr>
                <w:rFonts w:ascii="宋体" w:hAnsi="宋体" w:cs="宋体"/>
                <w:bCs/>
                <w:color w:val="auto"/>
                <w:sz w:val="24"/>
                <w:highlight w:val="none"/>
              </w:rPr>
            </w:pPr>
            <w:r>
              <w:rPr>
                <w:rFonts w:hint="eastAsia" w:ascii="宋体" w:hAnsi="宋体" w:cs="宋体"/>
                <w:bCs/>
                <w:color w:val="auto"/>
                <w:sz w:val="24"/>
                <w:highlight w:val="none"/>
              </w:rPr>
              <w:t>被授权代表：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500" w:type="pct"/>
            <w:noWrap/>
          </w:tcPr>
          <w:p>
            <w:pPr>
              <w:spacing w:line="420" w:lineRule="exact"/>
              <w:rPr>
                <w:rFonts w:ascii="宋体" w:hAnsi="宋体" w:cs="宋体"/>
                <w:bCs/>
                <w:color w:val="auto"/>
                <w:sz w:val="24"/>
                <w:highlight w:val="none"/>
              </w:rPr>
            </w:pPr>
            <w:r>
              <w:rPr>
                <w:rFonts w:hint="eastAsia" w:ascii="宋体" w:hAnsi="宋体" w:cs="宋体"/>
                <w:bCs/>
                <w:color w:val="auto"/>
                <w:sz w:val="24"/>
                <w:highlight w:val="none"/>
              </w:rPr>
              <w:t>电话：</w:t>
            </w:r>
          </w:p>
        </w:tc>
        <w:tc>
          <w:tcPr>
            <w:tcW w:w="2500" w:type="pct"/>
            <w:noWrap/>
          </w:tcPr>
          <w:p>
            <w:pPr>
              <w:spacing w:line="420" w:lineRule="exact"/>
              <w:rPr>
                <w:rFonts w:ascii="宋体" w:hAnsi="宋体" w:cs="宋体"/>
                <w:bCs/>
                <w:color w:val="auto"/>
                <w:sz w:val="24"/>
                <w:highlight w:val="none"/>
              </w:rPr>
            </w:pPr>
            <w:r>
              <w:rPr>
                <w:rFonts w:hint="eastAsia" w:ascii="宋体" w:hAnsi="宋体" w:cs="宋体"/>
                <w:bCs/>
                <w:color w:val="auto"/>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2500" w:type="pct"/>
            <w:noWrap/>
          </w:tcPr>
          <w:p>
            <w:pPr>
              <w:spacing w:line="420" w:lineRule="exact"/>
              <w:rPr>
                <w:rFonts w:ascii="宋体" w:hAnsi="宋体" w:cs="宋体"/>
                <w:color w:val="auto"/>
                <w:highlight w:val="none"/>
              </w:rPr>
            </w:pPr>
          </w:p>
          <w:p>
            <w:pPr>
              <w:pStyle w:val="17"/>
              <w:rPr>
                <w:rFonts w:ascii="宋体" w:hAnsi="宋体" w:eastAsia="宋体" w:cs="宋体"/>
                <w:bCs/>
                <w:color w:val="auto"/>
                <w:highlight w:val="none"/>
              </w:rPr>
            </w:pPr>
          </w:p>
          <w:p>
            <w:pPr>
              <w:pStyle w:val="17"/>
              <w:rPr>
                <w:rFonts w:ascii="宋体" w:hAnsi="宋体" w:eastAsia="宋体" w:cs="宋体"/>
                <w:bCs/>
                <w:color w:val="auto"/>
                <w:highlight w:val="none"/>
              </w:rPr>
            </w:pPr>
          </w:p>
        </w:tc>
        <w:tc>
          <w:tcPr>
            <w:tcW w:w="2500" w:type="pct"/>
            <w:noWrap/>
          </w:tcPr>
          <w:p>
            <w:pPr>
              <w:spacing w:line="420" w:lineRule="exact"/>
              <w:rPr>
                <w:rFonts w:ascii="宋体" w:hAnsi="宋体" w:cs="宋体"/>
                <w:bCs/>
                <w:color w:val="auto"/>
                <w:sz w:val="24"/>
                <w:highlight w:val="none"/>
              </w:rPr>
            </w:pPr>
            <w:r>
              <w:rPr>
                <w:rFonts w:hint="eastAsia" w:ascii="宋体" w:hAnsi="宋体" w:cs="宋体"/>
                <w:bCs/>
                <w:color w:val="auto"/>
                <w:sz w:val="24"/>
                <w:highlight w:val="none"/>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500" w:type="pct"/>
            <w:noWrap/>
          </w:tcPr>
          <w:p>
            <w:pPr>
              <w:spacing w:line="420" w:lineRule="exact"/>
              <w:rPr>
                <w:rFonts w:ascii="宋体" w:hAnsi="宋体" w:cs="宋体"/>
                <w:bCs/>
                <w:color w:val="auto"/>
                <w:sz w:val="24"/>
                <w:highlight w:val="none"/>
              </w:rPr>
            </w:pPr>
            <w:r>
              <w:rPr>
                <w:rFonts w:hint="eastAsia" w:ascii="宋体" w:hAnsi="宋体" w:cs="宋体"/>
                <w:bCs/>
                <w:color w:val="auto"/>
                <w:sz w:val="24"/>
                <w:highlight w:val="none"/>
              </w:rPr>
              <w:t>日期：     年   月   日</w:t>
            </w:r>
          </w:p>
        </w:tc>
        <w:tc>
          <w:tcPr>
            <w:tcW w:w="2500" w:type="pct"/>
            <w:noWrap/>
          </w:tcPr>
          <w:p>
            <w:pPr>
              <w:spacing w:line="420" w:lineRule="exact"/>
              <w:rPr>
                <w:rFonts w:ascii="宋体" w:hAnsi="宋体" w:cs="宋体"/>
                <w:bCs/>
                <w:color w:val="auto"/>
                <w:sz w:val="24"/>
                <w:highlight w:val="none"/>
              </w:rPr>
            </w:pPr>
            <w:r>
              <w:rPr>
                <w:rFonts w:hint="eastAsia" w:ascii="宋体" w:hAnsi="宋体" w:cs="宋体"/>
                <w:bCs/>
                <w:color w:val="auto"/>
                <w:sz w:val="24"/>
                <w:highlight w:val="none"/>
              </w:rPr>
              <w:t>日期：     年   月   日</w:t>
            </w:r>
          </w:p>
        </w:tc>
      </w:tr>
    </w:tbl>
    <w:p>
      <w:pPr>
        <w:tabs>
          <w:tab w:val="left" w:pos="840"/>
        </w:tabs>
        <w:kinsoku w:val="0"/>
        <w:spacing w:line="360" w:lineRule="auto"/>
        <w:rPr>
          <w:rFonts w:ascii="宋体" w:hAnsi="宋体" w:cs="宋体"/>
          <w:color w:val="auto"/>
          <w:sz w:val="24"/>
          <w:highlight w:val="none"/>
        </w:rPr>
      </w:pPr>
    </w:p>
    <w:p>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pPr>
        <w:spacing w:line="360" w:lineRule="auto"/>
        <w:jc w:val="center"/>
        <w:outlineLvl w:val="0"/>
        <w:rPr>
          <w:rFonts w:ascii="宋体" w:hAnsi="宋体" w:cs="宋体"/>
          <w:color w:val="auto"/>
          <w:sz w:val="24"/>
          <w:highlight w:val="none"/>
        </w:rPr>
      </w:pPr>
      <w:bookmarkStart w:id="39" w:name="_Toc28114"/>
      <w:r>
        <w:rPr>
          <w:rFonts w:hint="eastAsia" w:ascii="宋体" w:hAnsi="宋体" w:cs="宋体"/>
          <w:b/>
          <w:color w:val="auto"/>
          <w:sz w:val="32"/>
          <w:szCs w:val="32"/>
          <w:highlight w:val="none"/>
        </w:rPr>
        <w:t xml:space="preserve">第五部分  </w:t>
      </w:r>
      <w:bookmarkStart w:id="40" w:name="_Toc25678"/>
      <w:bookmarkStart w:id="41" w:name="_Toc28485"/>
      <w:bookmarkStart w:id="42" w:name="_Toc22449"/>
      <w:r>
        <w:rPr>
          <w:rFonts w:hint="eastAsia" w:ascii="宋体" w:hAnsi="宋体" w:cs="宋体"/>
          <w:b/>
          <w:color w:val="auto"/>
          <w:sz w:val="32"/>
          <w:szCs w:val="32"/>
          <w:highlight w:val="none"/>
        </w:rPr>
        <w:t>投标文件格式</w:t>
      </w:r>
      <w:bookmarkEnd w:id="39"/>
      <w:bookmarkEnd w:id="40"/>
      <w:bookmarkEnd w:id="41"/>
      <w:bookmarkEnd w:id="42"/>
    </w:p>
    <w:p>
      <w:pPr>
        <w:spacing w:line="360" w:lineRule="auto"/>
        <w:outlineLvl w:val="0"/>
        <w:rPr>
          <w:rFonts w:ascii="宋体" w:hAnsi="宋体" w:cs="宋体"/>
          <w:color w:val="auto"/>
          <w:sz w:val="24"/>
          <w:highlight w:val="none"/>
        </w:rPr>
      </w:pPr>
      <w:bookmarkStart w:id="43" w:name="_Toc12344"/>
      <w:r>
        <w:rPr>
          <w:rFonts w:hint="eastAsia" w:ascii="宋体" w:hAnsi="宋体" w:cs="宋体"/>
          <w:b/>
          <w:color w:val="auto"/>
          <w:sz w:val="32"/>
          <w:szCs w:val="32"/>
          <w:highlight w:val="none"/>
        </w:rPr>
        <w:t>项目编号：</w:t>
      </w:r>
      <w:bookmarkEnd w:id="43"/>
    </w:p>
    <w:p>
      <w:pPr>
        <w:spacing w:line="360" w:lineRule="atLeast"/>
        <w:rPr>
          <w:rFonts w:ascii="宋体" w:hAnsi="宋体" w:cs="宋体"/>
          <w:b/>
          <w:color w:val="auto"/>
          <w:sz w:val="28"/>
          <w:szCs w:val="28"/>
          <w:highlight w:val="none"/>
        </w:rPr>
      </w:pPr>
      <w:bookmarkStart w:id="44" w:name="_Toc2286"/>
      <w:bookmarkStart w:id="45" w:name="_Toc19227"/>
      <w:bookmarkStart w:id="46" w:name="_Toc7421"/>
      <w:r>
        <w:rPr>
          <w:rFonts w:hint="eastAsia" w:ascii="宋体" w:hAnsi="宋体" w:cs="宋体"/>
          <w:b/>
          <w:color w:val="auto"/>
          <w:sz w:val="28"/>
          <w:szCs w:val="28"/>
          <w:highlight w:val="none"/>
        </w:rPr>
        <w:t>（正本或副本）</w:t>
      </w:r>
      <w:bookmarkEnd w:id="44"/>
      <w:bookmarkEnd w:id="45"/>
      <w:bookmarkEnd w:id="46"/>
    </w:p>
    <w:p>
      <w:pPr>
        <w:pStyle w:val="2"/>
        <w:rPr>
          <w:rFonts w:ascii="宋体" w:hAnsi="宋体" w:cs="宋体"/>
          <w:b/>
          <w:color w:val="auto"/>
          <w:sz w:val="28"/>
          <w:szCs w:val="28"/>
          <w:highlight w:val="none"/>
        </w:rPr>
      </w:pPr>
    </w:p>
    <w:p>
      <w:pPr>
        <w:rPr>
          <w:rFonts w:ascii="宋体" w:hAnsi="宋体" w:cs="宋体"/>
          <w:b/>
          <w:color w:val="auto"/>
          <w:sz w:val="28"/>
          <w:szCs w:val="28"/>
          <w:highlight w:val="none"/>
        </w:rPr>
      </w:pPr>
    </w:p>
    <w:p>
      <w:pPr>
        <w:pStyle w:val="2"/>
        <w:rPr>
          <w:rFonts w:ascii="宋体" w:hAnsi="宋体" w:cs="宋体"/>
          <w:b/>
          <w:color w:val="auto"/>
          <w:sz w:val="28"/>
          <w:szCs w:val="28"/>
          <w:highlight w:val="none"/>
        </w:rPr>
      </w:pPr>
    </w:p>
    <w:p>
      <w:pPr>
        <w:rPr>
          <w:rFonts w:ascii="宋体" w:hAnsi="宋体" w:cs="宋体"/>
          <w:color w:val="auto"/>
          <w:highlight w:val="none"/>
        </w:rPr>
      </w:pPr>
    </w:p>
    <w:p>
      <w:pPr>
        <w:ind w:firstLine="1791" w:firstLineChars="343"/>
        <w:rPr>
          <w:rFonts w:ascii="宋体" w:hAnsi="宋体" w:cs="宋体"/>
          <w:b/>
          <w:color w:val="auto"/>
          <w:sz w:val="52"/>
          <w:szCs w:val="52"/>
          <w:highlight w:val="none"/>
        </w:rPr>
      </w:pPr>
      <w:r>
        <w:rPr>
          <w:rFonts w:hint="eastAsia" w:ascii="宋体" w:hAnsi="宋体" w:cs="宋体"/>
          <w:b/>
          <w:color w:val="auto"/>
          <w:sz w:val="52"/>
          <w:szCs w:val="52"/>
          <w:highlight w:val="none"/>
        </w:rPr>
        <w:t>（项目名称）</w:t>
      </w:r>
    </w:p>
    <w:p>
      <w:pPr>
        <w:rPr>
          <w:rFonts w:ascii="宋体" w:hAnsi="宋体" w:cs="宋体"/>
          <w:color w:val="auto"/>
          <w:sz w:val="52"/>
          <w:szCs w:val="52"/>
          <w:highlight w:val="none"/>
        </w:rPr>
      </w:pPr>
    </w:p>
    <w:p>
      <w:pPr>
        <w:jc w:val="center"/>
        <w:rPr>
          <w:rFonts w:ascii="宋体" w:hAnsi="宋体" w:cs="宋体"/>
          <w:color w:val="auto"/>
          <w:sz w:val="52"/>
          <w:szCs w:val="52"/>
          <w:highlight w:val="none"/>
        </w:rPr>
      </w:pPr>
      <w:r>
        <w:rPr>
          <w:rFonts w:hint="eastAsia" w:ascii="宋体" w:hAnsi="宋体" w:cs="宋体"/>
          <w:color w:val="auto"/>
          <w:sz w:val="52"/>
          <w:szCs w:val="52"/>
          <w:highlight w:val="none"/>
        </w:rPr>
        <w:t>投标文件</w:t>
      </w:r>
    </w:p>
    <w:p>
      <w:pPr>
        <w:jc w:val="center"/>
        <w:rPr>
          <w:rFonts w:ascii="宋体" w:hAnsi="宋体" w:cs="宋体"/>
          <w:color w:val="auto"/>
          <w:sz w:val="52"/>
          <w:szCs w:val="52"/>
          <w:highlight w:val="none"/>
        </w:rPr>
      </w:pPr>
    </w:p>
    <w:p>
      <w:pPr>
        <w:jc w:val="center"/>
        <w:rPr>
          <w:rFonts w:ascii="宋体" w:hAnsi="宋体" w:cs="宋体"/>
          <w:color w:val="auto"/>
          <w:sz w:val="52"/>
          <w:szCs w:val="52"/>
          <w:highlight w:val="none"/>
        </w:rPr>
      </w:pPr>
    </w:p>
    <w:p>
      <w:pPr>
        <w:jc w:val="center"/>
        <w:rPr>
          <w:rFonts w:ascii="宋体" w:hAnsi="宋体" w:cs="宋体"/>
          <w:color w:val="auto"/>
          <w:sz w:val="52"/>
          <w:szCs w:val="52"/>
          <w:highlight w:val="none"/>
        </w:rPr>
      </w:pPr>
    </w:p>
    <w:p>
      <w:pPr>
        <w:jc w:val="center"/>
        <w:rPr>
          <w:rFonts w:ascii="宋体" w:hAnsi="宋体" w:cs="宋体"/>
          <w:color w:val="auto"/>
          <w:sz w:val="52"/>
          <w:szCs w:val="52"/>
          <w:highlight w:val="none"/>
        </w:rPr>
      </w:pPr>
    </w:p>
    <w:p>
      <w:pPr>
        <w:spacing w:line="360" w:lineRule="atLeast"/>
        <w:ind w:firstLine="1280" w:firstLineChars="400"/>
        <w:jc w:val="center"/>
        <w:rPr>
          <w:rFonts w:ascii="宋体" w:hAnsi="宋体" w:cs="宋体"/>
          <w:color w:val="auto"/>
          <w:sz w:val="32"/>
          <w:szCs w:val="32"/>
          <w:highlight w:val="none"/>
        </w:rPr>
      </w:pPr>
      <w:bookmarkStart w:id="47" w:name="_Toc5896"/>
      <w:bookmarkStart w:id="48" w:name="_Toc13420"/>
      <w:bookmarkStart w:id="49" w:name="_Toc1464"/>
    </w:p>
    <w:bookmarkEnd w:id="47"/>
    <w:bookmarkEnd w:id="48"/>
    <w:bookmarkEnd w:id="49"/>
    <w:p>
      <w:pPr>
        <w:spacing w:line="540" w:lineRule="exact"/>
        <w:ind w:firstLine="167" w:firstLineChars="49"/>
        <w:rPr>
          <w:rFonts w:ascii="宋体" w:hAnsi="宋体" w:cs="宋体"/>
          <w:b/>
          <w:bCs/>
          <w:color w:val="auto"/>
          <w:spacing w:val="20"/>
          <w:sz w:val="30"/>
          <w:szCs w:val="30"/>
          <w:highlight w:val="none"/>
        </w:rPr>
      </w:pPr>
      <w:r>
        <w:rPr>
          <w:rFonts w:hint="eastAsia" w:ascii="宋体" w:hAnsi="宋体" w:cs="宋体"/>
          <w:b/>
          <w:bCs/>
          <w:color w:val="auto"/>
          <w:spacing w:val="20"/>
          <w:sz w:val="30"/>
          <w:szCs w:val="30"/>
          <w:highlight w:val="none"/>
        </w:rPr>
        <w:t>供   应  商：（盖单位公章）</w:t>
      </w:r>
    </w:p>
    <w:p>
      <w:pPr>
        <w:spacing w:line="540" w:lineRule="exact"/>
        <w:ind w:firstLine="167" w:firstLineChars="49"/>
        <w:jc w:val="left"/>
        <w:rPr>
          <w:rFonts w:ascii="宋体" w:hAnsi="宋体" w:cs="宋体"/>
          <w:b/>
          <w:bCs/>
          <w:color w:val="auto"/>
          <w:spacing w:val="20"/>
          <w:sz w:val="30"/>
          <w:szCs w:val="30"/>
          <w:highlight w:val="none"/>
        </w:rPr>
      </w:pPr>
      <w:r>
        <w:rPr>
          <w:rFonts w:hint="eastAsia" w:ascii="宋体" w:hAnsi="宋体" w:cs="宋体"/>
          <w:b/>
          <w:bCs/>
          <w:color w:val="auto"/>
          <w:spacing w:val="20"/>
          <w:sz w:val="30"/>
          <w:szCs w:val="30"/>
          <w:highlight w:val="none"/>
        </w:rPr>
        <w:t>法定代表人/委托代理人：（签字及盖章）</w:t>
      </w:r>
    </w:p>
    <w:p>
      <w:pPr>
        <w:spacing w:line="540" w:lineRule="exact"/>
        <w:ind w:firstLine="167" w:firstLineChars="49"/>
        <w:rPr>
          <w:rFonts w:ascii="宋体" w:hAnsi="宋体" w:cs="宋体"/>
          <w:b/>
          <w:bCs/>
          <w:color w:val="auto"/>
          <w:spacing w:val="20"/>
          <w:sz w:val="30"/>
          <w:szCs w:val="30"/>
          <w:highlight w:val="none"/>
        </w:rPr>
      </w:pPr>
      <w:r>
        <w:rPr>
          <w:rFonts w:hint="eastAsia" w:ascii="宋体" w:hAnsi="宋体" w:cs="宋体"/>
          <w:b/>
          <w:bCs/>
          <w:color w:val="auto"/>
          <w:spacing w:val="20"/>
          <w:sz w:val="30"/>
          <w:szCs w:val="30"/>
          <w:highlight w:val="none"/>
        </w:rPr>
        <w:t>日       期：年月日</w:t>
      </w:r>
    </w:p>
    <w:p>
      <w:pPr>
        <w:spacing w:line="360" w:lineRule="atLeast"/>
        <w:jc w:val="center"/>
        <w:rPr>
          <w:rFonts w:ascii="宋体" w:hAnsi="宋体" w:cs="宋体"/>
          <w:b/>
          <w:color w:val="auto"/>
          <w:sz w:val="44"/>
          <w:szCs w:val="44"/>
          <w:highlight w:val="none"/>
        </w:rPr>
      </w:pPr>
    </w:p>
    <w:p>
      <w:pPr>
        <w:spacing w:line="360" w:lineRule="atLeast"/>
        <w:ind w:firstLine="3698" w:firstLineChars="1151"/>
        <w:rPr>
          <w:rFonts w:ascii="宋体" w:hAnsi="宋体" w:cs="宋体"/>
          <w:b/>
          <w:bCs/>
          <w:color w:val="auto"/>
          <w:sz w:val="32"/>
          <w:szCs w:val="32"/>
          <w:highlight w:val="none"/>
        </w:rPr>
      </w:pPr>
      <w:bookmarkStart w:id="50" w:name="_Toc18154"/>
    </w:p>
    <w:p>
      <w:pPr>
        <w:spacing w:line="360" w:lineRule="atLeast"/>
        <w:ind w:firstLine="3698" w:firstLineChars="1151"/>
        <w:outlineLvl w:val="0"/>
        <w:rPr>
          <w:rFonts w:ascii="宋体" w:hAnsi="宋体" w:cs="宋体"/>
          <w:b/>
          <w:bCs/>
          <w:color w:val="auto"/>
          <w:sz w:val="32"/>
          <w:szCs w:val="32"/>
          <w:highlight w:val="none"/>
        </w:rPr>
      </w:pPr>
      <w:bookmarkStart w:id="51" w:name="_Toc16757"/>
      <w:r>
        <w:rPr>
          <w:rFonts w:hint="eastAsia" w:ascii="宋体" w:hAnsi="宋体" w:cs="宋体"/>
          <w:b/>
          <w:bCs/>
          <w:color w:val="auto"/>
          <w:sz w:val="32"/>
          <w:szCs w:val="32"/>
          <w:highlight w:val="none"/>
        </w:rPr>
        <w:t>目     录</w:t>
      </w:r>
      <w:bookmarkEnd w:id="50"/>
      <w:bookmarkEnd w:id="51"/>
    </w:p>
    <w:p>
      <w:pPr>
        <w:spacing w:line="400" w:lineRule="exact"/>
        <w:ind w:firstLine="1958" w:firstLineChars="650"/>
        <w:outlineLvl w:val="0"/>
        <w:rPr>
          <w:rFonts w:ascii="宋体" w:hAnsi="宋体" w:cs="宋体"/>
          <w:b/>
          <w:color w:val="auto"/>
          <w:sz w:val="30"/>
          <w:szCs w:val="30"/>
          <w:highlight w:val="none"/>
        </w:rPr>
      </w:pPr>
      <w:bookmarkStart w:id="52" w:name="_Toc28195"/>
    </w:p>
    <w:p>
      <w:pPr>
        <w:spacing w:line="400" w:lineRule="exact"/>
        <w:ind w:firstLine="1958" w:firstLineChars="650"/>
        <w:outlineLvl w:val="0"/>
        <w:rPr>
          <w:rFonts w:ascii="宋体" w:hAnsi="宋体" w:cs="宋体"/>
          <w:b/>
          <w:color w:val="auto"/>
          <w:sz w:val="30"/>
          <w:szCs w:val="30"/>
          <w:highlight w:val="none"/>
        </w:rPr>
      </w:pPr>
    </w:p>
    <w:p>
      <w:pPr>
        <w:spacing w:line="400" w:lineRule="exact"/>
        <w:ind w:firstLine="1958" w:firstLineChars="650"/>
        <w:outlineLvl w:val="0"/>
        <w:rPr>
          <w:rFonts w:ascii="宋体" w:hAnsi="宋体" w:cs="宋体"/>
          <w:b/>
          <w:color w:val="auto"/>
          <w:sz w:val="30"/>
          <w:szCs w:val="30"/>
          <w:highlight w:val="none"/>
        </w:rPr>
      </w:pPr>
    </w:p>
    <w:p>
      <w:pPr>
        <w:spacing w:line="400" w:lineRule="exact"/>
        <w:ind w:firstLine="1958" w:firstLineChars="650"/>
        <w:outlineLvl w:val="0"/>
        <w:rPr>
          <w:rFonts w:ascii="宋体" w:hAnsi="宋体" w:cs="宋体"/>
          <w:b/>
          <w:color w:val="auto"/>
          <w:sz w:val="30"/>
          <w:szCs w:val="30"/>
          <w:highlight w:val="none"/>
        </w:rPr>
      </w:pPr>
      <w:r>
        <w:rPr>
          <w:rFonts w:hint="eastAsia" w:ascii="宋体" w:hAnsi="宋体" w:cs="宋体"/>
          <w:b/>
          <w:color w:val="auto"/>
          <w:sz w:val="30"/>
          <w:szCs w:val="30"/>
          <w:highlight w:val="none"/>
        </w:rPr>
        <w:t>第一部分   投标函</w:t>
      </w:r>
      <w:bookmarkEnd w:id="52"/>
    </w:p>
    <w:p>
      <w:pPr>
        <w:pStyle w:val="8"/>
        <w:spacing w:line="400" w:lineRule="exact"/>
        <w:rPr>
          <w:rFonts w:hAnsi="宋体" w:cs="宋体"/>
          <w:b/>
          <w:bCs/>
          <w:color w:val="auto"/>
          <w:sz w:val="30"/>
          <w:szCs w:val="30"/>
          <w:highlight w:val="none"/>
        </w:rPr>
      </w:pPr>
      <w:bookmarkStart w:id="53" w:name="_Toc26027"/>
    </w:p>
    <w:p>
      <w:pPr>
        <w:spacing w:line="400" w:lineRule="exact"/>
        <w:ind w:firstLine="1958" w:firstLineChars="650"/>
        <w:outlineLvl w:val="0"/>
        <w:rPr>
          <w:rFonts w:ascii="宋体" w:hAnsi="宋体" w:cs="宋体"/>
          <w:b/>
          <w:color w:val="auto"/>
          <w:sz w:val="30"/>
          <w:szCs w:val="30"/>
          <w:highlight w:val="none"/>
        </w:rPr>
      </w:pPr>
      <w:bookmarkStart w:id="54" w:name="_Toc18907"/>
      <w:r>
        <w:rPr>
          <w:rFonts w:hint="eastAsia" w:ascii="宋体" w:hAnsi="宋体" w:cs="宋体"/>
          <w:b/>
          <w:color w:val="auto"/>
          <w:sz w:val="30"/>
          <w:szCs w:val="30"/>
          <w:highlight w:val="none"/>
        </w:rPr>
        <w:t xml:space="preserve">第二部分   </w:t>
      </w:r>
      <w:r>
        <w:rPr>
          <w:rFonts w:hint="eastAsia" w:ascii="宋体" w:hAnsi="宋体" w:cs="宋体"/>
          <w:b/>
          <w:color w:val="auto"/>
          <w:sz w:val="32"/>
          <w:szCs w:val="32"/>
          <w:highlight w:val="none"/>
        </w:rPr>
        <w:t>开标一览表（报价表）</w:t>
      </w:r>
      <w:bookmarkEnd w:id="54"/>
    </w:p>
    <w:p>
      <w:pPr>
        <w:pStyle w:val="8"/>
        <w:spacing w:line="400" w:lineRule="exact"/>
        <w:rPr>
          <w:rFonts w:hAnsi="宋体" w:cs="宋体"/>
          <w:b/>
          <w:color w:val="auto"/>
          <w:sz w:val="30"/>
          <w:szCs w:val="30"/>
          <w:highlight w:val="none"/>
        </w:rPr>
      </w:pPr>
    </w:p>
    <w:p>
      <w:pPr>
        <w:pStyle w:val="8"/>
        <w:spacing w:line="400" w:lineRule="exact"/>
        <w:ind w:left="4045" w:leftChars="994" w:hanging="1958" w:hangingChars="650"/>
        <w:outlineLvl w:val="0"/>
        <w:rPr>
          <w:rFonts w:hAnsi="宋体" w:cs="宋体"/>
          <w:b/>
          <w:bCs/>
          <w:color w:val="auto"/>
          <w:sz w:val="30"/>
          <w:szCs w:val="30"/>
          <w:highlight w:val="none"/>
        </w:rPr>
      </w:pPr>
      <w:bookmarkStart w:id="55" w:name="_Toc18583"/>
      <w:r>
        <w:rPr>
          <w:rFonts w:hint="eastAsia" w:hAnsi="宋体" w:cs="宋体"/>
          <w:b/>
          <w:bCs/>
          <w:color w:val="auto"/>
          <w:sz w:val="30"/>
          <w:szCs w:val="30"/>
          <w:highlight w:val="none"/>
        </w:rPr>
        <w:t>第三部分   法定代表人证明书与法定代表人授权书</w:t>
      </w:r>
      <w:bookmarkEnd w:id="55"/>
    </w:p>
    <w:p>
      <w:pPr>
        <w:pStyle w:val="8"/>
        <w:spacing w:line="400" w:lineRule="exact"/>
        <w:ind w:firstLine="1958" w:firstLineChars="650"/>
        <w:rPr>
          <w:rFonts w:hAnsi="宋体" w:cs="宋体"/>
          <w:b/>
          <w:bCs/>
          <w:color w:val="auto"/>
          <w:sz w:val="30"/>
          <w:szCs w:val="30"/>
          <w:highlight w:val="none"/>
        </w:rPr>
      </w:pPr>
    </w:p>
    <w:p>
      <w:pPr>
        <w:pStyle w:val="8"/>
        <w:spacing w:line="400" w:lineRule="exact"/>
        <w:ind w:firstLine="1958" w:firstLineChars="650"/>
        <w:outlineLvl w:val="0"/>
        <w:rPr>
          <w:rFonts w:hAnsi="宋体" w:cs="宋体"/>
          <w:b/>
          <w:bCs/>
          <w:color w:val="auto"/>
          <w:sz w:val="30"/>
          <w:szCs w:val="30"/>
          <w:highlight w:val="none"/>
        </w:rPr>
      </w:pPr>
      <w:bookmarkStart w:id="56" w:name="_Toc12584"/>
      <w:r>
        <w:rPr>
          <w:rFonts w:hint="eastAsia" w:hAnsi="宋体" w:cs="宋体"/>
          <w:b/>
          <w:bCs/>
          <w:color w:val="auto"/>
          <w:sz w:val="30"/>
          <w:szCs w:val="30"/>
          <w:highlight w:val="none"/>
        </w:rPr>
        <w:t>第四部分   供应商资格证明文件</w:t>
      </w:r>
      <w:bookmarkEnd w:id="56"/>
    </w:p>
    <w:p>
      <w:pPr>
        <w:pStyle w:val="8"/>
        <w:spacing w:line="400" w:lineRule="exact"/>
        <w:rPr>
          <w:rFonts w:hAnsi="宋体" w:cs="宋体"/>
          <w:b/>
          <w:color w:val="auto"/>
          <w:sz w:val="30"/>
          <w:szCs w:val="30"/>
          <w:highlight w:val="none"/>
        </w:rPr>
      </w:pPr>
    </w:p>
    <w:p>
      <w:pPr>
        <w:pStyle w:val="8"/>
        <w:spacing w:line="400" w:lineRule="exact"/>
        <w:ind w:firstLine="1958" w:firstLineChars="650"/>
        <w:outlineLvl w:val="0"/>
        <w:rPr>
          <w:rFonts w:hAnsi="宋体" w:cs="宋体"/>
          <w:b/>
          <w:bCs/>
          <w:color w:val="auto"/>
          <w:sz w:val="30"/>
          <w:szCs w:val="30"/>
          <w:highlight w:val="none"/>
        </w:rPr>
      </w:pPr>
      <w:bookmarkStart w:id="57" w:name="_Toc14807"/>
      <w:r>
        <w:rPr>
          <w:rFonts w:hint="eastAsia" w:hAnsi="宋体" w:cs="宋体"/>
          <w:b/>
          <w:bCs/>
          <w:color w:val="auto"/>
          <w:sz w:val="30"/>
          <w:szCs w:val="30"/>
          <w:highlight w:val="none"/>
        </w:rPr>
        <w:t xml:space="preserve">第五部分   </w:t>
      </w:r>
      <w:r>
        <w:rPr>
          <w:rFonts w:hint="eastAsia" w:hAnsi="宋体" w:cs="宋体"/>
          <w:b/>
          <w:color w:val="auto"/>
          <w:sz w:val="32"/>
          <w:szCs w:val="32"/>
          <w:highlight w:val="none"/>
        </w:rPr>
        <w:t>技术方案说明</w:t>
      </w:r>
      <w:bookmarkEnd w:id="57"/>
    </w:p>
    <w:p>
      <w:pPr>
        <w:pStyle w:val="8"/>
        <w:spacing w:line="400" w:lineRule="exact"/>
        <w:ind w:firstLine="1958" w:firstLineChars="650"/>
        <w:rPr>
          <w:rFonts w:hAnsi="宋体" w:cs="宋体"/>
          <w:b/>
          <w:bCs/>
          <w:color w:val="auto"/>
          <w:sz w:val="30"/>
          <w:szCs w:val="30"/>
          <w:highlight w:val="none"/>
        </w:rPr>
      </w:pPr>
    </w:p>
    <w:p>
      <w:pPr>
        <w:pStyle w:val="8"/>
        <w:spacing w:line="400" w:lineRule="exact"/>
        <w:ind w:firstLine="1958" w:firstLineChars="650"/>
        <w:outlineLvl w:val="0"/>
        <w:rPr>
          <w:rFonts w:hAnsi="宋体" w:cs="宋体"/>
          <w:b/>
          <w:bCs/>
          <w:color w:val="auto"/>
          <w:sz w:val="30"/>
          <w:szCs w:val="30"/>
          <w:highlight w:val="none"/>
        </w:rPr>
      </w:pPr>
      <w:bookmarkStart w:id="58" w:name="_Toc18067"/>
      <w:r>
        <w:rPr>
          <w:rFonts w:hint="eastAsia" w:hAnsi="宋体" w:cs="宋体"/>
          <w:b/>
          <w:bCs/>
          <w:color w:val="auto"/>
          <w:sz w:val="30"/>
          <w:szCs w:val="30"/>
          <w:highlight w:val="none"/>
        </w:rPr>
        <w:t>第六部分   承诺书</w:t>
      </w:r>
      <w:bookmarkEnd w:id="58"/>
    </w:p>
    <w:p>
      <w:pPr>
        <w:pStyle w:val="8"/>
        <w:spacing w:line="400" w:lineRule="exact"/>
        <w:ind w:firstLine="1958" w:firstLineChars="650"/>
        <w:rPr>
          <w:rFonts w:hAnsi="宋体" w:cs="宋体"/>
          <w:b/>
          <w:bCs/>
          <w:color w:val="auto"/>
          <w:sz w:val="30"/>
          <w:szCs w:val="30"/>
          <w:highlight w:val="none"/>
        </w:rPr>
      </w:pPr>
    </w:p>
    <w:p>
      <w:pPr>
        <w:pStyle w:val="8"/>
        <w:spacing w:line="400" w:lineRule="exact"/>
        <w:ind w:firstLine="1958" w:firstLineChars="650"/>
        <w:outlineLvl w:val="0"/>
        <w:rPr>
          <w:rFonts w:hAnsi="宋体" w:cs="宋体"/>
          <w:b/>
          <w:bCs/>
          <w:color w:val="auto"/>
          <w:sz w:val="30"/>
          <w:szCs w:val="30"/>
          <w:highlight w:val="none"/>
        </w:rPr>
      </w:pPr>
      <w:bookmarkStart w:id="59" w:name="_Toc8759"/>
      <w:r>
        <w:rPr>
          <w:rFonts w:hint="eastAsia" w:hAnsi="宋体" w:cs="宋体"/>
          <w:b/>
          <w:bCs/>
          <w:color w:val="auto"/>
          <w:sz w:val="30"/>
          <w:szCs w:val="30"/>
          <w:highlight w:val="none"/>
        </w:rPr>
        <w:t>第七部分   附件</w:t>
      </w:r>
      <w:bookmarkEnd w:id="59"/>
    </w:p>
    <w:p>
      <w:pPr>
        <w:spacing w:line="400" w:lineRule="exact"/>
        <w:ind w:right="456" w:firstLine="1958" w:firstLineChars="650"/>
        <w:rPr>
          <w:rFonts w:ascii="宋体" w:hAnsi="宋体" w:cs="宋体"/>
          <w:b/>
          <w:bCs/>
          <w:color w:val="auto"/>
          <w:sz w:val="30"/>
          <w:szCs w:val="30"/>
          <w:highlight w:val="none"/>
        </w:rPr>
      </w:pPr>
    </w:p>
    <w:p>
      <w:pPr>
        <w:spacing w:line="400" w:lineRule="exact"/>
        <w:ind w:right="456" w:firstLine="3635" w:firstLineChars="1207"/>
        <w:rPr>
          <w:rFonts w:ascii="宋体" w:hAnsi="宋体" w:cs="宋体"/>
          <w:b/>
          <w:bCs/>
          <w:color w:val="auto"/>
          <w:sz w:val="30"/>
          <w:szCs w:val="30"/>
          <w:highlight w:val="none"/>
        </w:rPr>
      </w:pPr>
      <w:r>
        <w:rPr>
          <w:rFonts w:hint="eastAsia" w:ascii="宋体" w:hAnsi="宋体" w:cs="宋体"/>
          <w:b/>
          <w:bCs/>
          <w:color w:val="auto"/>
          <w:sz w:val="30"/>
          <w:szCs w:val="30"/>
          <w:highlight w:val="none"/>
        </w:rPr>
        <w:t>中小企业声明函</w:t>
      </w:r>
    </w:p>
    <w:p>
      <w:pPr>
        <w:spacing w:line="400" w:lineRule="exact"/>
        <w:ind w:right="456" w:firstLine="3635" w:firstLineChars="1207"/>
        <w:rPr>
          <w:rFonts w:ascii="宋体" w:hAnsi="宋体" w:cs="宋体"/>
          <w:b/>
          <w:bCs/>
          <w:color w:val="auto"/>
          <w:sz w:val="30"/>
          <w:szCs w:val="30"/>
          <w:highlight w:val="none"/>
        </w:rPr>
      </w:pPr>
    </w:p>
    <w:p>
      <w:pPr>
        <w:spacing w:line="400" w:lineRule="exact"/>
        <w:ind w:right="456" w:firstLine="3635" w:firstLineChars="1207"/>
        <w:rPr>
          <w:rFonts w:ascii="宋体" w:hAnsi="宋体" w:cs="宋体"/>
          <w:b/>
          <w:bCs/>
          <w:color w:val="auto"/>
          <w:sz w:val="30"/>
          <w:szCs w:val="30"/>
          <w:highlight w:val="none"/>
        </w:rPr>
      </w:pPr>
      <w:r>
        <w:rPr>
          <w:rFonts w:hint="eastAsia" w:ascii="宋体" w:hAnsi="宋体" w:cs="宋体"/>
          <w:b/>
          <w:bCs/>
          <w:color w:val="auto"/>
          <w:sz w:val="30"/>
          <w:szCs w:val="30"/>
          <w:highlight w:val="none"/>
        </w:rPr>
        <w:t>残疾人福利性单位声明函</w:t>
      </w:r>
    </w:p>
    <w:p>
      <w:pPr>
        <w:spacing w:line="400" w:lineRule="exact"/>
        <w:ind w:right="456" w:firstLine="3635" w:firstLineChars="1207"/>
        <w:rPr>
          <w:rFonts w:ascii="宋体" w:hAnsi="宋体" w:cs="宋体"/>
          <w:b/>
          <w:bCs/>
          <w:color w:val="auto"/>
          <w:sz w:val="30"/>
          <w:szCs w:val="30"/>
          <w:highlight w:val="none"/>
        </w:rPr>
      </w:pPr>
    </w:p>
    <w:p>
      <w:pPr>
        <w:spacing w:line="400" w:lineRule="exact"/>
        <w:ind w:right="456" w:firstLine="3635" w:firstLineChars="1207"/>
        <w:rPr>
          <w:rFonts w:ascii="宋体" w:hAnsi="宋体" w:cs="宋体"/>
          <w:b/>
          <w:bCs/>
          <w:color w:val="auto"/>
          <w:sz w:val="30"/>
          <w:szCs w:val="30"/>
          <w:highlight w:val="none"/>
        </w:rPr>
      </w:pPr>
      <w:r>
        <w:rPr>
          <w:rFonts w:hint="eastAsia" w:ascii="宋体" w:hAnsi="宋体" w:cs="宋体"/>
          <w:b/>
          <w:bCs/>
          <w:color w:val="auto"/>
          <w:sz w:val="30"/>
          <w:szCs w:val="30"/>
          <w:highlight w:val="none"/>
        </w:rPr>
        <w:t>监狱企业声明函</w:t>
      </w:r>
    </w:p>
    <w:p>
      <w:pPr>
        <w:spacing w:line="400" w:lineRule="exact"/>
        <w:ind w:right="456" w:firstLine="1958" w:firstLineChars="650"/>
        <w:rPr>
          <w:rFonts w:ascii="宋体" w:hAnsi="宋体" w:cs="宋体"/>
          <w:b/>
          <w:bCs/>
          <w:color w:val="auto"/>
          <w:sz w:val="30"/>
          <w:szCs w:val="30"/>
          <w:highlight w:val="none"/>
        </w:rPr>
      </w:pPr>
    </w:p>
    <w:p>
      <w:pPr>
        <w:spacing w:line="400" w:lineRule="exact"/>
        <w:ind w:right="456" w:firstLine="1958" w:firstLineChars="650"/>
        <w:outlineLvl w:val="0"/>
        <w:rPr>
          <w:rFonts w:ascii="宋体" w:hAnsi="宋体" w:cs="宋体"/>
          <w:b/>
          <w:bCs/>
          <w:color w:val="auto"/>
          <w:sz w:val="30"/>
          <w:szCs w:val="30"/>
          <w:highlight w:val="none"/>
        </w:rPr>
      </w:pPr>
      <w:bookmarkStart w:id="60" w:name="_Toc26416"/>
      <w:r>
        <w:rPr>
          <w:rFonts w:hint="eastAsia" w:ascii="宋体" w:hAnsi="宋体" w:cs="宋体"/>
          <w:b/>
          <w:bCs/>
          <w:color w:val="auto"/>
          <w:sz w:val="30"/>
          <w:szCs w:val="30"/>
          <w:highlight w:val="none"/>
        </w:rPr>
        <w:t>第八部分   封袋正面标识式样</w:t>
      </w:r>
      <w:bookmarkEnd w:id="60"/>
    </w:p>
    <w:p>
      <w:pPr>
        <w:pStyle w:val="8"/>
        <w:spacing w:line="500" w:lineRule="exact"/>
        <w:ind w:firstLine="2244" w:firstLineChars="745"/>
        <w:rPr>
          <w:rFonts w:hAnsi="宋体" w:cs="宋体"/>
          <w:b/>
          <w:bCs/>
          <w:color w:val="auto"/>
          <w:sz w:val="30"/>
          <w:szCs w:val="30"/>
          <w:highlight w:val="none"/>
        </w:rPr>
      </w:pPr>
    </w:p>
    <w:bookmarkEnd w:id="53"/>
    <w:p>
      <w:pPr>
        <w:spacing w:line="360" w:lineRule="atLeast"/>
        <w:rPr>
          <w:rFonts w:ascii="宋体" w:hAnsi="宋体" w:cs="宋体"/>
          <w:b/>
          <w:color w:val="auto"/>
          <w:sz w:val="32"/>
          <w:highlight w:val="none"/>
        </w:rPr>
      </w:pPr>
    </w:p>
    <w:p>
      <w:pPr>
        <w:spacing w:line="360" w:lineRule="atLeast"/>
        <w:rPr>
          <w:rFonts w:ascii="宋体" w:hAnsi="宋体" w:cs="宋体"/>
          <w:b/>
          <w:color w:val="auto"/>
          <w:sz w:val="32"/>
          <w:highlight w:val="none"/>
        </w:rPr>
      </w:pPr>
    </w:p>
    <w:p>
      <w:pPr>
        <w:spacing w:line="360" w:lineRule="atLeast"/>
        <w:jc w:val="center"/>
        <w:rPr>
          <w:rFonts w:ascii="宋体" w:hAnsi="宋体" w:cs="宋体"/>
          <w:b/>
          <w:color w:val="auto"/>
          <w:sz w:val="32"/>
          <w:szCs w:val="32"/>
          <w:highlight w:val="none"/>
        </w:rPr>
        <w:sectPr>
          <w:footerReference r:id="rId9" w:type="default"/>
          <w:pgSz w:w="11906" w:h="16838"/>
          <w:pgMar w:top="1402" w:right="1134" w:bottom="1021" w:left="1321" w:header="851" w:footer="992" w:gutter="0"/>
          <w:cols w:space="720" w:num="1"/>
          <w:docGrid w:type="lines" w:linePitch="312" w:charSpace="0"/>
        </w:sectPr>
      </w:pPr>
      <w:bookmarkStart w:id="61" w:name="_Toc7915"/>
      <w:bookmarkStart w:id="62" w:name="_Toc27689"/>
      <w:bookmarkStart w:id="63" w:name="_Toc1548"/>
    </w:p>
    <w:p>
      <w:pPr>
        <w:spacing w:line="360" w:lineRule="atLeast"/>
        <w:jc w:val="center"/>
        <w:outlineLvl w:val="0"/>
        <w:rPr>
          <w:rFonts w:ascii="宋体" w:hAnsi="宋体" w:cs="宋体"/>
          <w:b/>
          <w:color w:val="auto"/>
          <w:sz w:val="32"/>
          <w:szCs w:val="32"/>
          <w:highlight w:val="none"/>
        </w:rPr>
      </w:pPr>
      <w:bookmarkStart w:id="64" w:name="_Toc14404"/>
      <w:r>
        <w:rPr>
          <w:rFonts w:hint="eastAsia" w:ascii="宋体" w:hAnsi="宋体" w:cs="宋体"/>
          <w:b/>
          <w:color w:val="auto"/>
          <w:sz w:val="32"/>
          <w:szCs w:val="32"/>
          <w:highlight w:val="none"/>
        </w:rPr>
        <w:t>第一部分   投标函</w:t>
      </w:r>
      <w:bookmarkEnd w:id="61"/>
      <w:bookmarkEnd w:id="62"/>
      <w:bookmarkEnd w:id="63"/>
      <w:bookmarkEnd w:id="64"/>
    </w:p>
    <w:p>
      <w:pPr>
        <w:kinsoku w:val="0"/>
        <w:spacing w:line="440" w:lineRule="exact"/>
        <w:rPr>
          <w:rFonts w:ascii="宋体" w:hAnsi="宋体" w:cs="宋体"/>
          <w:color w:val="auto"/>
          <w:sz w:val="24"/>
          <w:highlight w:val="none"/>
        </w:rPr>
      </w:pPr>
      <w:r>
        <w:rPr>
          <w:rFonts w:hint="eastAsia" w:ascii="宋体" w:hAnsi="宋体" w:cs="宋体"/>
          <w:color w:val="auto"/>
          <w:spacing w:val="-6"/>
          <w:sz w:val="24"/>
          <w:highlight w:val="none"/>
        </w:rPr>
        <w:t>陕西中振项目咨询有限公司</w:t>
      </w:r>
      <w:r>
        <w:rPr>
          <w:rFonts w:hint="eastAsia" w:ascii="宋体" w:hAnsi="宋体" w:cs="宋体"/>
          <w:color w:val="auto"/>
          <w:sz w:val="24"/>
          <w:highlight w:val="none"/>
        </w:rPr>
        <w:t>：</w:t>
      </w:r>
    </w:p>
    <w:p>
      <w:pPr>
        <w:kinsoku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我公司收到贵单</w:t>
      </w:r>
      <w:r>
        <w:rPr>
          <w:rFonts w:hint="eastAsia" w:ascii="宋体" w:hAnsi="宋体" w:cs="宋体"/>
          <w:color w:val="auto"/>
          <w:spacing w:val="-6"/>
          <w:sz w:val="24"/>
          <w:highlight w:val="none"/>
        </w:rPr>
        <w:t>位</w:t>
      </w:r>
      <w:r>
        <w:rPr>
          <w:rFonts w:hint="eastAsia" w:ascii="宋体" w:hAnsi="宋体" w:cs="宋体"/>
          <w:color w:val="auto"/>
          <w:sz w:val="24"/>
          <w:highlight w:val="none"/>
        </w:rPr>
        <w:t>号招标文件，经详细研究，决定参加本次投标活动为此，我方郑重声明以下几点，并愿负法律责任。</w:t>
      </w:r>
    </w:p>
    <w:p>
      <w:pPr>
        <w:kinsoku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1.按照招标文件中的一切要求，提供完全满足采购需求的货物和全面技术、售后服务保障；</w:t>
      </w:r>
    </w:p>
    <w:p>
      <w:pPr>
        <w:kinsoku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2.如若中标，将根据招标文件的要求、投标文件及承诺条件，全面签约并履行合同规定的责任和义务；</w:t>
      </w:r>
    </w:p>
    <w:p>
      <w:pPr>
        <w:spacing w:line="500" w:lineRule="exact"/>
        <w:ind w:left="719" w:leftChars="228" w:hanging="240" w:hangingChars="100"/>
        <w:rPr>
          <w:rFonts w:ascii="宋体" w:hAnsi="宋体" w:cs="宋体"/>
          <w:color w:val="auto"/>
          <w:sz w:val="24"/>
          <w:highlight w:val="none"/>
        </w:rPr>
      </w:pPr>
      <w:r>
        <w:rPr>
          <w:rFonts w:hint="eastAsia" w:ascii="宋体" w:hAnsi="宋体" w:cs="宋体"/>
          <w:color w:val="auto"/>
          <w:sz w:val="24"/>
          <w:highlight w:val="none"/>
        </w:rPr>
        <w:t>3.我方提交的投标文件共份，其中正本份，副本份，及电子版投标文件（U盘）</w:t>
      </w:r>
    </w:p>
    <w:p>
      <w:pPr>
        <w:spacing w:line="500" w:lineRule="exact"/>
        <w:ind w:left="718" w:leftChars="342"/>
        <w:rPr>
          <w:rFonts w:ascii="宋体" w:hAnsi="宋体" w:cs="宋体"/>
          <w:color w:val="auto"/>
          <w:sz w:val="24"/>
          <w:highlight w:val="none"/>
        </w:rPr>
      </w:pPr>
      <w:r>
        <w:rPr>
          <w:rFonts w:hint="eastAsia" w:ascii="宋体" w:hAnsi="宋体" w:cs="宋体"/>
          <w:color w:val="auto"/>
          <w:sz w:val="24"/>
          <w:highlight w:val="none"/>
        </w:rPr>
        <w:t>份；</w:t>
      </w:r>
    </w:p>
    <w:p>
      <w:pPr>
        <w:kinsoku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4.我方按招标文件要求交纳投标保证金为（人民币）：</w:t>
      </w:r>
      <w:r>
        <w:rPr>
          <w:rFonts w:hint="eastAsia" w:ascii="宋体" w:hAnsi="宋体" w:cs="宋体"/>
          <w:color w:val="auto"/>
          <w:sz w:val="24"/>
          <w:highlight w:val="none"/>
          <w:u w:val="single"/>
        </w:rPr>
        <w:t>0</w:t>
      </w:r>
      <w:r>
        <w:rPr>
          <w:rFonts w:hint="eastAsia" w:ascii="宋体" w:hAnsi="宋体" w:cs="宋体"/>
          <w:color w:val="auto"/>
          <w:sz w:val="24"/>
          <w:highlight w:val="none"/>
        </w:rPr>
        <w:t>元；</w:t>
      </w:r>
    </w:p>
    <w:p>
      <w:pPr>
        <w:kinsoku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5.我方已详细阅读和核实全部招标文件内容，完全理解并同意放弃提出含糊不清和误解问题的权力；</w:t>
      </w:r>
    </w:p>
    <w:p>
      <w:pPr>
        <w:kinsoku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6.同意提供贵方要求的与本次招标有关的任何证明资料；</w:t>
      </w:r>
    </w:p>
    <w:p>
      <w:pPr>
        <w:kinsoku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7.我方的投标文件在开标大会之日计算有效为天；</w:t>
      </w:r>
    </w:p>
    <w:p>
      <w:pPr>
        <w:kinsoku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8.所有关于本次投标的函电，请按下列地址、方式联系：</w:t>
      </w:r>
    </w:p>
    <w:p>
      <w:pPr>
        <w:kinsoku w:val="0"/>
        <w:spacing w:line="440" w:lineRule="exact"/>
        <w:ind w:firstLine="840"/>
        <w:rPr>
          <w:rFonts w:ascii="宋体" w:hAnsi="宋体" w:cs="宋体"/>
          <w:color w:val="auto"/>
          <w:sz w:val="24"/>
          <w:highlight w:val="none"/>
        </w:rPr>
      </w:pPr>
      <w:r>
        <w:rPr>
          <w:rFonts w:hint="eastAsia" w:ascii="宋体" w:hAnsi="宋体" w:cs="宋体"/>
          <w:color w:val="auto"/>
          <w:sz w:val="24"/>
          <w:highlight w:val="none"/>
        </w:rPr>
        <w:t>地    址：</w:t>
      </w:r>
    </w:p>
    <w:p>
      <w:pPr>
        <w:kinsoku w:val="0"/>
        <w:spacing w:line="440" w:lineRule="exact"/>
        <w:ind w:firstLine="840"/>
        <w:rPr>
          <w:rFonts w:ascii="宋体" w:hAnsi="宋体" w:cs="宋体"/>
          <w:color w:val="auto"/>
          <w:sz w:val="24"/>
          <w:highlight w:val="none"/>
          <w:u w:val="single"/>
        </w:rPr>
      </w:pPr>
      <w:r>
        <w:rPr>
          <w:rFonts w:hint="eastAsia" w:ascii="宋体" w:hAnsi="宋体" w:cs="宋体"/>
          <w:color w:val="auto"/>
          <w:sz w:val="24"/>
          <w:highlight w:val="none"/>
        </w:rPr>
        <w:t>电    话：</w:t>
      </w:r>
    </w:p>
    <w:p>
      <w:pPr>
        <w:kinsoku w:val="0"/>
        <w:spacing w:line="440" w:lineRule="exact"/>
        <w:ind w:firstLine="840"/>
        <w:rPr>
          <w:rFonts w:ascii="宋体" w:hAnsi="宋体" w:cs="宋体"/>
          <w:color w:val="auto"/>
          <w:sz w:val="24"/>
          <w:highlight w:val="none"/>
          <w:u w:val="single"/>
        </w:rPr>
      </w:pPr>
      <w:r>
        <w:rPr>
          <w:rFonts w:hint="eastAsia" w:ascii="宋体" w:hAnsi="宋体" w:cs="宋体"/>
          <w:color w:val="auto"/>
          <w:sz w:val="24"/>
          <w:highlight w:val="none"/>
        </w:rPr>
        <w:t>传    真：</w:t>
      </w:r>
    </w:p>
    <w:p>
      <w:pPr>
        <w:kinsoku w:val="0"/>
        <w:spacing w:line="440" w:lineRule="exact"/>
        <w:ind w:firstLine="840"/>
        <w:rPr>
          <w:rFonts w:ascii="宋体" w:hAnsi="宋体" w:cs="宋体"/>
          <w:color w:val="auto"/>
          <w:sz w:val="24"/>
          <w:highlight w:val="none"/>
          <w:u w:val="single"/>
        </w:rPr>
      </w:pPr>
      <w:r>
        <w:rPr>
          <w:rFonts w:hint="eastAsia" w:ascii="宋体" w:hAnsi="宋体" w:cs="宋体"/>
          <w:color w:val="auto"/>
          <w:sz w:val="24"/>
          <w:highlight w:val="none"/>
        </w:rPr>
        <w:t>邮    编：</w:t>
      </w:r>
    </w:p>
    <w:p>
      <w:pPr>
        <w:kinsoku w:val="0"/>
        <w:spacing w:line="440" w:lineRule="exact"/>
        <w:ind w:firstLine="570"/>
        <w:rPr>
          <w:rFonts w:ascii="宋体" w:hAnsi="宋体" w:cs="宋体"/>
          <w:color w:val="auto"/>
          <w:sz w:val="24"/>
          <w:highlight w:val="none"/>
        </w:rPr>
      </w:pPr>
    </w:p>
    <w:p>
      <w:pPr>
        <w:kinsoku w:val="0"/>
        <w:spacing w:line="440" w:lineRule="exact"/>
        <w:ind w:firstLine="808" w:firstLineChars="337"/>
        <w:rPr>
          <w:rFonts w:ascii="宋体" w:hAnsi="宋体" w:cs="宋体"/>
          <w:color w:val="auto"/>
          <w:sz w:val="24"/>
          <w:highlight w:val="none"/>
        </w:rPr>
      </w:pPr>
      <w:r>
        <w:rPr>
          <w:rFonts w:hint="eastAsia" w:ascii="宋体" w:hAnsi="宋体" w:cs="宋体"/>
          <w:color w:val="auto"/>
          <w:sz w:val="24"/>
          <w:highlight w:val="none"/>
        </w:rPr>
        <w:t>投标人：（公章）</w:t>
      </w:r>
    </w:p>
    <w:p>
      <w:pPr>
        <w:kinsoku w:val="0"/>
        <w:spacing w:line="440" w:lineRule="exact"/>
        <w:ind w:firstLine="570"/>
        <w:rPr>
          <w:rFonts w:ascii="宋体" w:hAnsi="宋体" w:cs="宋体"/>
          <w:color w:val="auto"/>
          <w:sz w:val="24"/>
          <w:highlight w:val="none"/>
        </w:rPr>
      </w:pPr>
    </w:p>
    <w:p>
      <w:pPr>
        <w:kinsoku w:val="0"/>
        <w:spacing w:line="440" w:lineRule="exact"/>
        <w:ind w:firstLine="808" w:firstLineChars="337"/>
        <w:rPr>
          <w:rFonts w:ascii="宋体" w:hAnsi="宋体" w:cs="宋体"/>
          <w:color w:val="auto"/>
          <w:sz w:val="24"/>
          <w:highlight w:val="none"/>
          <w:u w:val="single"/>
        </w:rPr>
      </w:pPr>
      <w:r>
        <w:rPr>
          <w:rFonts w:hint="eastAsia" w:ascii="宋体" w:hAnsi="宋体" w:cs="宋体"/>
          <w:color w:val="auto"/>
          <w:sz w:val="24"/>
          <w:highlight w:val="none"/>
        </w:rPr>
        <w:t>法定代表人/被授权人（签字或盖章）：</w:t>
      </w:r>
    </w:p>
    <w:p>
      <w:pPr>
        <w:kinsoku w:val="0"/>
        <w:spacing w:line="440" w:lineRule="exact"/>
        <w:rPr>
          <w:rFonts w:ascii="宋体" w:hAnsi="宋体" w:cs="宋体"/>
          <w:color w:val="auto"/>
          <w:sz w:val="24"/>
          <w:highlight w:val="none"/>
          <w:u w:val="single"/>
        </w:rPr>
      </w:pPr>
    </w:p>
    <w:p>
      <w:pPr>
        <w:kinsoku w:val="0"/>
        <w:spacing w:line="440" w:lineRule="exact"/>
        <w:ind w:firstLine="570"/>
        <w:rPr>
          <w:rFonts w:ascii="宋体" w:hAnsi="宋体" w:cs="宋体"/>
          <w:color w:val="auto"/>
          <w:sz w:val="24"/>
          <w:highlight w:val="none"/>
        </w:rPr>
      </w:pPr>
      <w:r>
        <w:rPr>
          <w:rFonts w:hint="eastAsia" w:ascii="宋体" w:hAnsi="宋体" w:cs="宋体"/>
          <w:color w:val="auto"/>
          <w:sz w:val="24"/>
          <w:highlight w:val="none"/>
        </w:rPr>
        <w:t>年月日</w:t>
      </w:r>
    </w:p>
    <w:p>
      <w:pPr>
        <w:spacing w:line="360" w:lineRule="atLeast"/>
        <w:rPr>
          <w:rFonts w:ascii="宋体" w:hAnsi="宋体" w:cs="宋体"/>
          <w:color w:val="auto"/>
          <w:sz w:val="24"/>
          <w:highlight w:val="none"/>
        </w:rPr>
        <w:sectPr>
          <w:pgSz w:w="11906" w:h="16838"/>
          <w:pgMar w:top="1559" w:right="1134" w:bottom="1020" w:left="1321" w:header="851" w:footer="992" w:gutter="0"/>
          <w:cols w:space="720" w:num="1"/>
          <w:docGrid w:type="lines" w:linePitch="315" w:charSpace="0"/>
        </w:sectPr>
      </w:pPr>
    </w:p>
    <w:p>
      <w:pPr>
        <w:spacing w:line="360" w:lineRule="atLeast"/>
        <w:jc w:val="center"/>
        <w:outlineLvl w:val="0"/>
        <w:rPr>
          <w:rFonts w:ascii="宋体" w:hAnsi="宋体" w:cs="宋体"/>
          <w:b/>
          <w:color w:val="auto"/>
          <w:sz w:val="32"/>
          <w:szCs w:val="32"/>
          <w:highlight w:val="none"/>
        </w:rPr>
      </w:pPr>
      <w:bookmarkStart w:id="65" w:name="_Toc11776"/>
      <w:r>
        <w:rPr>
          <w:rFonts w:hint="eastAsia" w:ascii="宋体" w:hAnsi="宋体" w:cs="宋体"/>
          <w:b/>
          <w:color w:val="auto"/>
          <w:sz w:val="32"/>
          <w:szCs w:val="32"/>
          <w:highlight w:val="none"/>
        </w:rPr>
        <w:t>第二部分 开标一览表（报价表）</w:t>
      </w:r>
      <w:bookmarkEnd w:id="65"/>
    </w:p>
    <w:p>
      <w:pPr>
        <w:kinsoku w:val="0"/>
        <w:spacing w:line="500" w:lineRule="exact"/>
        <w:rPr>
          <w:rFonts w:ascii="宋体" w:hAnsi="宋体" w:cs="宋体"/>
          <w:color w:val="auto"/>
          <w:highlight w:val="none"/>
        </w:rPr>
      </w:pPr>
    </w:p>
    <w:p>
      <w:pPr>
        <w:kinsoku w:val="0"/>
        <w:spacing w:line="500" w:lineRule="exact"/>
        <w:rPr>
          <w:rFonts w:ascii="宋体" w:hAnsi="宋体" w:cs="宋体"/>
          <w:color w:val="auto"/>
          <w:sz w:val="24"/>
          <w:highlight w:val="none"/>
        </w:rPr>
      </w:pPr>
    </w:p>
    <w:p>
      <w:pPr>
        <w:kinsoku w:val="0"/>
        <w:spacing w:line="500" w:lineRule="exact"/>
        <w:rPr>
          <w:rFonts w:ascii="宋体" w:hAnsi="宋体" w:cs="宋体"/>
          <w:color w:val="auto"/>
          <w:sz w:val="24"/>
          <w:highlight w:val="none"/>
        </w:rPr>
      </w:pPr>
      <w:r>
        <w:rPr>
          <w:rFonts w:hint="eastAsia" w:ascii="宋体" w:hAnsi="宋体" w:cs="宋体"/>
          <w:color w:val="auto"/>
          <w:sz w:val="24"/>
          <w:highlight w:val="none"/>
        </w:rPr>
        <w:t xml:space="preserve">                                                                单位：元</w:t>
      </w:r>
    </w:p>
    <w:p>
      <w:pPr>
        <w:kinsoku w:val="0"/>
        <w:spacing w:line="500" w:lineRule="exact"/>
        <w:rPr>
          <w:rFonts w:ascii="宋体" w:hAnsi="宋体" w:cs="宋体"/>
          <w:color w:val="auto"/>
          <w:sz w:val="24"/>
          <w:highlight w:val="none"/>
        </w:rPr>
      </w:pPr>
      <w:r>
        <w:rPr>
          <w:rFonts w:hint="eastAsia" w:ascii="宋体" w:hAnsi="宋体" w:cs="宋体"/>
          <w:color w:val="auto"/>
          <w:sz w:val="24"/>
          <w:highlight w:val="none"/>
        </w:rPr>
        <w:t xml:space="preserve">项目名称：                                                     </w:t>
      </w:r>
    </w:p>
    <w:p>
      <w:pPr>
        <w:kinsoku w:val="0"/>
        <w:spacing w:line="500" w:lineRule="exact"/>
        <w:rPr>
          <w:rFonts w:ascii="宋体" w:hAnsi="宋体" w:cs="宋体"/>
          <w:color w:val="auto"/>
          <w:sz w:val="24"/>
          <w:highlight w:val="none"/>
        </w:rPr>
      </w:pPr>
      <w:r>
        <w:rPr>
          <w:rFonts w:hint="eastAsia" w:ascii="宋体" w:hAnsi="宋体" w:cs="宋体"/>
          <w:color w:val="auto"/>
          <w:sz w:val="24"/>
          <w:highlight w:val="none"/>
        </w:rPr>
        <w:t>项目编号：</w:t>
      </w:r>
    </w:p>
    <w:p>
      <w:pPr>
        <w:kinsoku w:val="0"/>
        <w:spacing w:line="500" w:lineRule="exact"/>
        <w:rPr>
          <w:rFonts w:ascii="宋体" w:hAnsi="宋体" w:cs="宋体"/>
          <w:color w:val="auto"/>
          <w:sz w:val="24"/>
          <w:highlight w:val="none"/>
        </w:rPr>
      </w:pPr>
      <w:r>
        <w:rPr>
          <w:rFonts w:hint="eastAsia" w:ascii="宋体" w:hAnsi="宋体" w:cs="宋体"/>
          <w:color w:val="auto"/>
          <w:sz w:val="24"/>
          <w:highlight w:val="none"/>
        </w:rPr>
        <w:t>投标人：                                                         单位：元</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1763"/>
        <w:gridCol w:w="1591"/>
        <w:gridCol w:w="1029"/>
        <w:gridCol w:w="1029"/>
        <w:gridCol w:w="1157"/>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1671" w:type="dxa"/>
            <w:tcBorders>
              <w:tl2br w:val="single" w:color="auto" w:sz="4" w:space="0"/>
            </w:tcBorders>
            <w:noWrap/>
          </w:tcPr>
          <w:p>
            <w:pPr>
              <w:kinsoku w:val="0"/>
              <w:spacing w:line="46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报价内容</w:t>
            </w:r>
          </w:p>
          <w:p>
            <w:pPr>
              <w:kinsoku w:val="0"/>
              <w:spacing w:line="460" w:lineRule="exact"/>
              <w:rPr>
                <w:rFonts w:ascii="宋体" w:hAnsi="宋体" w:cs="宋体"/>
                <w:color w:val="auto"/>
                <w:sz w:val="24"/>
                <w:highlight w:val="none"/>
              </w:rPr>
            </w:pPr>
          </w:p>
          <w:p>
            <w:pPr>
              <w:kinsoku w:val="0"/>
              <w:spacing w:line="460" w:lineRule="exact"/>
              <w:rPr>
                <w:rFonts w:ascii="宋体" w:hAnsi="宋体" w:cs="宋体"/>
                <w:color w:val="auto"/>
                <w:sz w:val="24"/>
                <w:highlight w:val="none"/>
              </w:rPr>
            </w:pPr>
            <w:r>
              <w:rPr>
                <w:rFonts w:hint="eastAsia" w:ascii="宋体" w:hAnsi="宋体" w:cs="宋体"/>
                <w:color w:val="auto"/>
                <w:sz w:val="24"/>
                <w:highlight w:val="none"/>
              </w:rPr>
              <w:t>磋商内容</w:t>
            </w:r>
          </w:p>
        </w:tc>
        <w:tc>
          <w:tcPr>
            <w:tcW w:w="1763" w:type="dxa"/>
            <w:noWrap/>
            <w:vAlign w:val="center"/>
          </w:tcPr>
          <w:p>
            <w:pPr>
              <w:kinsoku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产品报价</w:t>
            </w:r>
          </w:p>
        </w:tc>
        <w:tc>
          <w:tcPr>
            <w:tcW w:w="1591" w:type="dxa"/>
            <w:noWrap/>
            <w:vAlign w:val="center"/>
          </w:tcPr>
          <w:p>
            <w:pPr>
              <w:kinsoku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运杂费</w:t>
            </w:r>
          </w:p>
        </w:tc>
        <w:tc>
          <w:tcPr>
            <w:tcW w:w="1029" w:type="dxa"/>
            <w:noWrap/>
            <w:vAlign w:val="center"/>
          </w:tcPr>
          <w:p>
            <w:pPr>
              <w:kinsoku w:val="0"/>
              <w:spacing w:line="460" w:lineRule="exact"/>
              <w:ind w:firstLine="120" w:firstLineChars="50"/>
              <w:rPr>
                <w:rFonts w:ascii="宋体" w:hAnsi="宋体" w:cs="宋体"/>
                <w:color w:val="auto"/>
                <w:sz w:val="24"/>
                <w:highlight w:val="none"/>
              </w:rPr>
            </w:pPr>
            <w:r>
              <w:rPr>
                <w:rFonts w:hint="eastAsia" w:ascii="宋体" w:hAnsi="宋体" w:cs="宋体"/>
                <w:color w:val="auto"/>
                <w:sz w:val="24"/>
                <w:highlight w:val="none"/>
              </w:rPr>
              <w:t>其它</w:t>
            </w:r>
          </w:p>
          <w:p>
            <w:pPr>
              <w:kinsoku w:val="0"/>
              <w:spacing w:line="460" w:lineRule="exact"/>
              <w:ind w:firstLine="120" w:firstLineChars="50"/>
              <w:rPr>
                <w:rFonts w:ascii="宋体" w:hAnsi="宋体" w:cs="宋体"/>
                <w:color w:val="auto"/>
                <w:sz w:val="24"/>
                <w:highlight w:val="none"/>
              </w:rPr>
            </w:pPr>
            <w:r>
              <w:rPr>
                <w:rFonts w:hint="eastAsia" w:ascii="宋体" w:hAnsi="宋体" w:cs="宋体"/>
                <w:color w:val="auto"/>
                <w:sz w:val="24"/>
                <w:highlight w:val="none"/>
              </w:rPr>
              <w:t>费用</w:t>
            </w:r>
          </w:p>
        </w:tc>
        <w:tc>
          <w:tcPr>
            <w:tcW w:w="1029" w:type="dxa"/>
            <w:noWrap/>
            <w:vAlign w:val="center"/>
          </w:tcPr>
          <w:p>
            <w:pPr>
              <w:kinsoku w:val="0"/>
              <w:spacing w:line="460" w:lineRule="exact"/>
              <w:ind w:firstLine="120" w:firstLineChars="50"/>
              <w:rPr>
                <w:rFonts w:ascii="宋体" w:hAnsi="宋体" w:cs="宋体"/>
                <w:color w:val="auto"/>
                <w:sz w:val="24"/>
                <w:highlight w:val="none"/>
              </w:rPr>
            </w:pPr>
            <w:r>
              <w:rPr>
                <w:rFonts w:hint="eastAsia" w:ascii="宋体" w:hAnsi="宋体" w:cs="宋体"/>
                <w:color w:val="auto"/>
                <w:sz w:val="24"/>
                <w:highlight w:val="none"/>
              </w:rPr>
              <w:t>总计</w:t>
            </w:r>
          </w:p>
        </w:tc>
        <w:tc>
          <w:tcPr>
            <w:tcW w:w="1157" w:type="dxa"/>
            <w:noWrap/>
            <w:vAlign w:val="center"/>
          </w:tcPr>
          <w:p>
            <w:pPr>
              <w:kinsoku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 xml:space="preserve">交货期   </w:t>
            </w:r>
          </w:p>
        </w:tc>
        <w:tc>
          <w:tcPr>
            <w:tcW w:w="1046" w:type="dxa"/>
            <w:noWrap/>
            <w:vAlign w:val="center"/>
          </w:tcPr>
          <w:p>
            <w:pPr>
              <w:kinsoku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1671" w:type="dxa"/>
            <w:noWrap/>
            <w:vAlign w:val="center"/>
          </w:tcPr>
          <w:p>
            <w:pPr>
              <w:kinsoku w:val="0"/>
              <w:spacing w:line="500" w:lineRule="exact"/>
              <w:jc w:val="center"/>
              <w:rPr>
                <w:rFonts w:ascii="宋体" w:hAnsi="宋体" w:cs="宋体"/>
                <w:color w:val="auto"/>
                <w:sz w:val="24"/>
                <w:highlight w:val="none"/>
              </w:rPr>
            </w:pPr>
          </w:p>
        </w:tc>
        <w:tc>
          <w:tcPr>
            <w:tcW w:w="1763" w:type="dxa"/>
            <w:noWrap/>
            <w:vAlign w:val="center"/>
          </w:tcPr>
          <w:p>
            <w:pPr>
              <w:kinsoku w:val="0"/>
              <w:spacing w:line="500" w:lineRule="exact"/>
              <w:jc w:val="center"/>
              <w:rPr>
                <w:rFonts w:ascii="宋体" w:hAnsi="宋体" w:cs="宋体"/>
                <w:color w:val="auto"/>
                <w:sz w:val="24"/>
                <w:highlight w:val="none"/>
              </w:rPr>
            </w:pPr>
          </w:p>
        </w:tc>
        <w:tc>
          <w:tcPr>
            <w:tcW w:w="1591" w:type="dxa"/>
            <w:noWrap/>
            <w:vAlign w:val="center"/>
          </w:tcPr>
          <w:p>
            <w:pPr>
              <w:kinsoku w:val="0"/>
              <w:spacing w:line="500" w:lineRule="exact"/>
              <w:jc w:val="center"/>
              <w:rPr>
                <w:rFonts w:ascii="宋体" w:hAnsi="宋体" w:cs="宋体"/>
                <w:color w:val="auto"/>
                <w:sz w:val="24"/>
                <w:highlight w:val="none"/>
              </w:rPr>
            </w:pPr>
          </w:p>
        </w:tc>
        <w:tc>
          <w:tcPr>
            <w:tcW w:w="1029" w:type="dxa"/>
            <w:noWrap/>
            <w:vAlign w:val="center"/>
          </w:tcPr>
          <w:p>
            <w:pPr>
              <w:kinsoku w:val="0"/>
              <w:spacing w:line="500" w:lineRule="exact"/>
              <w:jc w:val="center"/>
              <w:rPr>
                <w:rFonts w:ascii="宋体" w:hAnsi="宋体" w:cs="宋体"/>
                <w:color w:val="auto"/>
                <w:sz w:val="24"/>
                <w:highlight w:val="none"/>
              </w:rPr>
            </w:pPr>
          </w:p>
        </w:tc>
        <w:tc>
          <w:tcPr>
            <w:tcW w:w="1029" w:type="dxa"/>
            <w:noWrap/>
            <w:vAlign w:val="center"/>
          </w:tcPr>
          <w:p>
            <w:pPr>
              <w:kinsoku w:val="0"/>
              <w:spacing w:line="500" w:lineRule="exact"/>
              <w:jc w:val="center"/>
              <w:rPr>
                <w:rFonts w:ascii="宋体" w:hAnsi="宋体" w:cs="宋体"/>
                <w:color w:val="auto"/>
                <w:sz w:val="24"/>
                <w:highlight w:val="none"/>
              </w:rPr>
            </w:pPr>
          </w:p>
        </w:tc>
        <w:tc>
          <w:tcPr>
            <w:tcW w:w="1157" w:type="dxa"/>
            <w:noWrap/>
            <w:vAlign w:val="center"/>
          </w:tcPr>
          <w:p>
            <w:pPr>
              <w:kinsoku w:val="0"/>
              <w:spacing w:line="500" w:lineRule="exact"/>
              <w:jc w:val="center"/>
              <w:rPr>
                <w:rFonts w:ascii="宋体" w:hAnsi="宋体" w:cs="宋体"/>
                <w:color w:val="auto"/>
                <w:sz w:val="24"/>
                <w:highlight w:val="none"/>
              </w:rPr>
            </w:pPr>
          </w:p>
        </w:tc>
        <w:tc>
          <w:tcPr>
            <w:tcW w:w="1046" w:type="dxa"/>
            <w:noWrap/>
            <w:vAlign w:val="center"/>
          </w:tcPr>
          <w:p>
            <w:pPr>
              <w:kinsoku w:val="0"/>
              <w:spacing w:line="50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286" w:type="dxa"/>
            <w:gridSpan w:val="7"/>
            <w:noWrap/>
            <w:vAlign w:val="center"/>
          </w:tcPr>
          <w:p>
            <w:pPr>
              <w:kinsoku w:val="0"/>
              <w:spacing w:line="500" w:lineRule="exact"/>
              <w:rPr>
                <w:rFonts w:ascii="宋体" w:hAnsi="宋体" w:cs="宋体"/>
                <w:color w:val="auto"/>
                <w:sz w:val="24"/>
                <w:highlight w:val="none"/>
              </w:rPr>
            </w:pPr>
            <w:r>
              <w:rPr>
                <w:rFonts w:hint="eastAsia" w:ascii="宋体" w:hAnsi="宋体" w:cs="宋体"/>
                <w:color w:val="auto"/>
                <w:sz w:val="24"/>
                <w:highlight w:val="none"/>
              </w:rPr>
              <w:t>总报价：人民币（大写）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9286" w:type="dxa"/>
            <w:gridSpan w:val="7"/>
            <w:noWrap/>
            <w:vAlign w:val="center"/>
          </w:tcPr>
          <w:p>
            <w:pPr>
              <w:kinsoku w:val="0"/>
              <w:spacing w:line="500" w:lineRule="exact"/>
              <w:rPr>
                <w:rFonts w:ascii="宋体" w:hAnsi="宋体" w:cs="宋体"/>
                <w:color w:val="auto"/>
                <w:sz w:val="24"/>
                <w:highlight w:val="none"/>
              </w:rPr>
            </w:pPr>
            <w:r>
              <w:rPr>
                <w:rFonts w:hint="eastAsia" w:ascii="宋体" w:hAnsi="宋体" w:cs="宋体"/>
                <w:color w:val="auto"/>
                <w:sz w:val="24"/>
                <w:highlight w:val="none"/>
              </w:rPr>
              <w:t>备注：表内报价内容以元为单位。</w:t>
            </w:r>
          </w:p>
        </w:tc>
      </w:tr>
    </w:tbl>
    <w:p>
      <w:pPr>
        <w:kinsoku w:val="0"/>
        <w:spacing w:line="500" w:lineRule="exact"/>
        <w:rPr>
          <w:rFonts w:ascii="宋体" w:hAnsi="宋体" w:cs="宋体"/>
          <w:color w:val="auto"/>
          <w:sz w:val="24"/>
          <w:highlight w:val="none"/>
        </w:rPr>
      </w:pPr>
    </w:p>
    <w:p>
      <w:pPr>
        <w:kinsoku w:val="0"/>
        <w:spacing w:line="500" w:lineRule="exact"/>
        <w:rPr>
          <w:rFonts w:ascii="宋体" w:hAnsi="宋体" w:cs="宋体"/>
          <w:color w:val="auto"/>
          <w:sz w:val="24"/>
          <w:highlight w:val="none"/>
        </w:rPr>
      </w:pPr>
    </w:p>
    <w:p>
      <w:pPr>
        <w:kinsoku w:val="0"/>
        <w:spacing w:line="500" w:lineRule="exact"/>
        <w:rPr>
          <w:rFonts w:ascii="宋体" w:hAnsi="宋体" w:cs="宋体"/>
          <w:color w:val="auto"/>
          <w:sz w:val="24"/>
          <w:highlight w:val="none"/>
        </w:rPr>
      </w:pPr>
      <w:r>
        <w:rPr>
          <w:rFonts w:hint="eastAsia" w:ascii="宋体" w:hAnsi="宋体" w:cs="宋体"/>
          <w:color w:val="auto"/>
          <w:sz w:val="24"/>
          <w:highlight w:val="none"/>
        </w:rPr>
        <w:t xml:space="preserve">投标人（公章）：                         </w:t>
      </w:r>
    </w:p>
    <w:p>
      <w:pPr>
        <w:kinsoku w:val="0"/>
        <w:spacing w:line="500" w:lineRule="exact"/>
        <w:rPr>
          <w:rFonts w:ascii="宋体" w:hAnsi="宋体" w:cs="宋体"/>
          <w:color w:val="auto"/>
          <w:sz w:val="24"/>
          <w:highlight w:val="none"/>
        </w:rPr>
      </w:pPr>
      <w:r>
        <w:rPr>
          <w:rFonts w:hint="eastAsia" w:ascii="宋体" w:hAnsi="宋体" w:cs="宋体"/>
          <w:color w:val="auto"/>
          <w:sz w:val="24"/>
          <w:highlight w:val="none"/>
        </w:rPr>
        <w:t>法定代表人/被授权人（签字或盖章）：</w:t>
      </w:r>
    </w:p>
    <w:p>
      <w:pPr>
        <w:pStyle w:val="9"/>
        <w:rPr>
          <w:rFonts w:ascii="宋体" w:hAnsi="宋体" w:cs="宋体"/>
          <w:color w:val="auto"/>
          <w:highlight w:val="none"/>
        </w:rPr>
      </w:pPr>
    </w:p>
    <w:p>
      <w:pPr>
        <w:pStyle w:val="8"/>
        <w:jc w:val="left"/>
        <w:rPr>
          <w:rFonts w:hAnsi="宋体" w:cs="宋体"/>
          <w:b/>
          <w:color w:val="auto"/>
          <w:sz w:val="32"/>
          <w:highlight w:val="none"/>
        </w:rPr>
      </w:pPr>
      <w:r>
        <w:rPr>
          <w:rFonts w:hint="eastAsia" w:hAnsi="宋体" w:cs="宋体"/>
          <w:color w:val="auto"/>
          <w:sz w:val="24"/>
          <w:highlight w:val="none"/>
        </w:rPr>
        <w:br w:type="page"/>
      </w:r>
      <w:r>
        <w:rPr>
          <w:rFonts w:hint="eastAsia" w:hAnsi="宋体" w:cs="宋体"/>
          <w:color w:val="auto"/>
          <w:sz w:val="24"/>
          <w:highlight w:val="none"/>
        </w:rPr>
        <w:t xml:space="preserve">附表1                         </w:t>
      </w:r>
      <w:r>
        <w:rPr>
          <w:rFonts w:hint="eastAsia" w:hAnsi="宋体" w:cs="宋体"/>
          <w:b/>
          <w:color w:val="auto"/>
          <w:sz w:val="32"/>
          <w:highlight w:val="none"/>
        </w:rPr>
        <w:t>分项报价表</w:t>
      </w:r>
    </w:p>
    <w:p>
      <w:pPr>
        <w:kinsoku w:val="0"/>
        <w:spacing w:line="500" w:lineRule="exact"/>
        <w:rPr>
          <w:rFonts w:ascii="宋体" w:hAnsi="宋体" w:cs="宋体"/>
          <w:color w:val="auto"/>
          <w:sz w:val="24"/>
          <w:highlight w:val="none"/>
        </w:rPr>
      </w:pPr>
      <w:r>
        <w:rPr>
          <w:rFonts w:hint="eastAsia" w:ascii="宋体" w:hAnsi="宋体" w:cs="宋体"/>
          <w:color w:val="auto"/>
          <w:sz w:val="24"/>
          <w:highlight w:val="none"/>
        </w:rPr>
        <w:t>项目名称：</w:t>
      </w:r>
    </w:p>
    <w:p>
      <w:pPr>
        <w:kinsoku w:val="0"/>
        <w:spacing w:line="500" w:lineRule="exact"/>
        <w:rPr>
          <w:rFonts w:ascii="宋体" w:hAnsi="宋体" w:cs="宋体"/>
          <w:color w:val="auto"/>
          <w:sz w:val="24"/>
          <w:highlight w:val="none"/>
        </w:rPr>
      </w:pPr>
      <w:r>
        <w:rPr>
          <w:rFonts w:hint="eastAsia" w:ascii="宋体" w:hAnsi="宋体" w:cs="宋体"/>
          <w:color w:val="auto"/>
          <w:sz w:val="24"/>
          <w:highlight w:val="none"/>
        </w:rPr>
        <w:t>投标人:                         共   页，第   页</w:t>
      </w:r>
    </w:p>
    <w:tbl>
      <w:tblPr>
        <w:tblStyle w:val="19"/>
        <w:tblpPr w:vertAnchor="text" w:horzAnchor="margin" w:tblpY="26"/>
        <w:tblW w:w="9146" w:type="dxa"/>
        <w:tblInd w:w="0" w:type="dxa"/>
        <w:tblLayout w:type="fixed"/>
        <w:tblCellMar>
          <w:top w:w="0" w:type="dxa"/>
          <w:left w:w="0" w:type="dxa"/>
          <w:bottom w:w="0" w:type="dxa"/>
          <w:right w:w="0" w:type="dxa"/>
        </w:tblCellMar>
      </w:tblPr>
      <w:tblGrid>
        <w:gridCol w:w="701"/>
        <w:gridCol w:w="1254"/>
        <w:gridCol w:w="747"/>
        <w:gridCol w:w="943"/>
        <w:gridCol w:w="731"/>
        <w:gridCol w:w="1315"/>
        <w:gridCol w:w="1315"/>
        <w:gridCol w:w="2140"/>
      </w:tblGrid>
      <w:tr>
        <w:tblPrEx>
          <w:tblCellMar>
            <w:top w:w="0" w:type="dxa"/>
            <w:left w:w="0" w:type="dxa"/>
            <w:bottom w:w="0" w:type="dxa"/>
            <w:right w:w="0" w:type="dxa"/>
          </w:tblCellMar>
        </w:tblPrEx>
        <w:trPr>
          <w:trHeight w:val="340" w:hRule="atLeast"/>
        </w:trPr>
        <w:tc>
          <w:tcPr>
            <w:tcW w:w="701" w:type="dxa"/>
            <w:tcBorders>
              <w:top w:val="double" w:color="000000" w:sz="4" w:space="0"/>
              <w:left w:val="doub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254" w:type="dxa"/>
            <w:tcBorders>
              <w:top w:val="double" w:color="000000" w:sz="4"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产品名称</w:t>
            </w:r>
          </w:p>
        </w:tc>
        <w:tc>
          <w:tcPr>
            <w:tcW w:w="747" w:type="dxa"/>
            <w:tcBorders>
              <w:top w:val="double" w:color="000000" w:sz="4" w:space="0"/>
              <w:left w:val="single" w:color="000000" w:sz="6" w:space="0"/>
              <w:bottom w:val="single" w:color="000000" w:sz="6" w:space="0"/>
              <w:right w:val="single" w:color="auto" w:sz="4" w:space="0"/>
            </w:tcBorders>
            <w:tcMar>
              <w:top w:w="28" w:type="dxa"/>
              <w:left w:w="28" w:type="dxa"/>
              <w:bottom w:w="28" w:type="dxa"/>
              <w:right w:w="28" w:type="dxa"/>
            </w:tcMar>
            <w:vAlign w:val="center"/>
          </w:tcPr>
          <w:p>
            <w:pPr>
              <w:jc w:val="center"/>
              <w:rPr>
                <w:rFonts w:ascii="宋体" w:hAnsi="宋体" w:cs="宋体"/>
                <w:b/>
                <w:color w:val="auto"/>
                <w:szCs w:val="21"/>
                <w:highlight w:val="none"/>
              </w:rPr>
            </w:pPr>
          </w:p>
          <w:p>
            <w:pPr>
              <w:jc w:val="center"/>
              <w:rPr>
                <w:rFonts w:ascii="宋体" w:hAnsi="宋体" w:cs="宋体"/>
                <w:b/>
                <w:color w:val="auto"/>
                <w:szCs w:val="21"/>
                <w:highlight w:val="none"/>
              </w:rPr>
            </w:pPr>
            <w:r>
              <w:rPr>
                <w:rFonts w:hint="eastAsia" w:ascii="宋体" w:hAnsi="宋体" w:cs="宋体"/>
                <w:b/>
                <w:color w:val="auto"/>
                <w:szCs w:val="21"/>
                <w:highlight w:val="none"/>
              </w:rPr>
              <w:t>品牌</w:t>
            </w:r>
          </w:p>
          <w:p>
            <w:pPr>
              <w:jc w:val="center"/>
              <w:rPr>
                <w:rFonts w:ascii="宋体" w:hAnsi="宋体" w:cs="宋体"/>
                <w:b/>
                <w:color w:val="auto"/>
                <w:szCs w:val="21"/>
                <w:highlight w:val="none"/>
              </w:rPr>
            </w:pPr>
          </w:p>
        </w:tc>
        <w:tc>
          <w:tcPr>
            <w:tcW w:w="943" w:type="dxa"/>
            <w:tcBorders>
              <w:top w:val="double" w:color="000000" w:sz="4" w:space="0"/>
              <w:left w:val="single" w:color="auto" w:sz="4" w:space="0"/>
              <w:bottom w:val="single" w:color="000000" w:sz="6" w:space="0"/>
              <w:right w:val="single" w:color="auto" w:sz="4" w:space="0"/>
            </w:tcBorders>
            <w:tcMar>
              <w:top w:w="28" w:type="dxa"/>
              <w:left w:w="28" w:type="dxa"/>
              <w:bottom w:w="28" w:type="dxa"/>
              <w:right w:w="28" w:type="dxa"/>
            </w:tcMar>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规格</w:t>
            </w:r>
          </w:p>
          <w:p>
            <w:pPr>
              <w:jc w:val="center"/>
              <w:rPr>
                <w:rFonts w:ascii="宋体" w:hAnsi="宋体" w:cs="宋体"/>
                <w:b/>
                <w:color w:val="auto"/>
                <w:szCs w:val="21"/>
                <w:highlight w:val="none"/>
              </w:rPr>
            </w:pPr>
            <w:r>
              <w:rPr>
                <w:rFonts w:hint="eastAsia" w:ascii="宋体" w:hAnsi="宋体" w:cs="宋体"/>
                <w:b/>
                <w:color w:val="auto"/>
                <w:szCs w:val="21"/>
                <w:highlight w:val="none"/>
              </w:rPr>
              <w:t>型号</w:t>
            </w:r>
          </w:p>
        </w:tc>
        <w:tc>
          <w:tcPr>
            <w:tcW w:w="731" w:type="dxa"/>
            <w:tcBorders>
              <w:top w:val="double" w:color="000000" w:sz="4" w:space="0"/>
              <w:left w:val="single" w:color="auto" w:sz="4" w:space="0"/>
              <w:bottom w:val="single" w:color="000000" w:sz="6" w:space="0"/>
              <w:right w:val="single" w:color="000000" w:sz="6" w:space="0"/>
            </w:tcBorders>
            <w:tcMar>
              <w:top w:w="28" w:type="dxa"/>
              <w:left w:w="28" w:type="dxa"/>
              <w:bottom w:w="28" w:type="dxa"/>
              <w:right w:w="28" w:type="dxa"/>
            </w:tcMar>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数量/单位</w:t>
            </w:r>
          </w:p>
        </w:tc>
        <w:tc>
          <w:tcPr>
            <w:tcW w:w="1315" w:type="dxa"/>
            <w:tcBorders>
              <w:top w:val="double" w:color="000000" w:sz="4" w:space="0"/>
              <w:left w:val="single" w:color="000000" w:sz="6" w:space="0"/>
              <w:bottom w:val="single" w:color="000000" w:sz="6" w:space="0"/>
              <w:right w:val="single" w:color="000000" w:sz="4" w:space="0"/>
            </w:tcBorders>
            <w:tcMar>
              <w:top w:w="28" w:type="dxa"/>
              <w:left w:w="28" w:type="dxa"/>
              <w:bottom w:w="28" w:type="dxa"/>
              <w:right w:w="28" w:type="dxa"/>
            </w:tcMar>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单价</w:t>
            </w:r>
          </w:p>
          <w:p>
            <w:pPr>
              <w:jc w:val="center"/>
              <w:rPr>
                <w:rFonts w:ascii="宋体" w:hAnsi="宋体" w:cs="宋体"/>
                <w:b/>
                <w:color w:val="auto"/>
                <w:szCs w:val="21"/>
                <w:highlight w:val="none"/>
              </w:rPr>
            </w:pPr>
            <w:r>
              <w:rPr>
                <w:rFonts w:hint="eastAsia" w:ascii="宋体" w:hAnsi="宋体" w:cs="宋体"/>
                <w:b/>
                <w:color w:val="auto"/>
                <w:szCs w:val="21"/>
                <w:highlight w:val="none"/>
              </w:rPr>
              <w:t>(人民币元)</w:t>
            </w:r>
          </w:p>
        </w:tc>
        <w:tc>
          <w:tcPr>
            <w:tcW w:w="1315" w:type="dxa"/>
            <w:tcBorders>
              <w:top w:val="double" w:color="000000" w:sz="4" w:space="0"/>
              <w:left w:val="sing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合计</w:t>
            </w:r>
          </w:p>
          <w:p>
            <w:pPr>
              <w:jc w:val="center"/>
              <w:rPr>
                <w:rFonts w:ascii="宋体" w:hAnsi="宋体" w:cs="宋体"/>
                <w:b/>
                <w:color w:val="auto"/>
                <w:szCs w:val="21"/>
                <w:highlight w:val="none"/>
              </w:rPr>
            </w:pPr>
            <w:r>
              <w:rPr>
                <w:rFonts w:hint="eastAsia" w:ascii="宋体" w:hAnsi="宋体" w:cs="宋体"/>
                <w:b/>
                <w:color w:val="auto"/>
                <w:szCs w:val="21"/>
                <w:highlight w:val="none"/>
              </w:rPr>
              <w:t>（人民币元）</w:t>
            </w:r>
          </w:p>
        </w:tc>
        <w:tc>
          <w:tcPr>
            <w:tcW w:w="2140" w:type="dxa"/>
            <w:tcBorders>
              <w:top w:val="double" w:color="000000" w:sz="4" w:space="0"/>
              <w:left w:val="single" w:color="000000" w:sz="6" w:space="0"/>
              <w:bottom w:val="single" w:color="000000" w:sz="6" w:space="0"/>
              <w:right w:val="double" w:color="000000" w:sz="4" w:space="0"/>
            </w:tcBorders>
            <w:tcMar>
              <w:top w:w="28" w:type="dxa"/>
              <w:left w:w="28" w:type="dxa"/>
              <w:bottom w:w="28" w:type="dxa"/>
              <w:right w:w="28" w:type="dxa"/>
            </w:tcMar>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备注</w:t>
            </w:r>
          </w:p>
        </w:tc>
      </w:tr>
      <w:tr>
        <w:tblPrEx>
          <w:tblCellMar>
            <w:top w:w="0" w:type="dxa"/>
            <w:left w:w="0" w:type="dxa"/>
            <w:bottom w:w="0" w:type="dxa"/>
            <w:right w:w="0" w:type="dxa"/>
          </w:tblCellMar>
        </w:tblPrEx>
        <w:trPr>
          <w:trHeight w:val="340" w:hRule="atLeast"/>
        </w:trPr>
        <w:tc>
          <w:tcPr>
            <w:tcW w:w="701" w:type="dxa"/>
            <w:tcBorders>
              <w:top w:val="single" w:color="000000" w:sz="6" w:space="0"/>
              <w:left w:val="doub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254" w:type="dxa"/>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jc w:val="center"/>
              <w:rPr>
                <w:rFonts w:ascii="宋体" w:hAnsi="宋体" w:cs="宋体"/>
                <w:color w:val="auto"/>
                <w:szCs w:val="21"/>
                <w:highlight w:val="none"/>
              </w:rPr>
            </w:pPr>
          </w:p>
        </w:tc>
        <w:tc>
          <w:tcPr>
            <w:tcW w:w="747" w:type="dxa"/>
            <w:tcBorders>
              <w:top w:val="single" w:color="000000" w:sz="6" w:space="0"/>
              <w:left w:val="single" w:color="000000" w:sz="6" w:space="0"/>
              <w:bottom w:val="single" w:color="000000" w:sz="6" w:space="0"/>
              <w:right w:val="single" w:color="auto" w:sz="4" w:space="0"/>
            </w:tcBorders>
            <w:tcMar>
              <w:top w:w="28" w:type="dxa"/>
              <w:left w:w="28" w:type="dxa"/>
              <w:bottom w:w="28" w:type="dxa"/>
              <w:right w:w="28" w:type="dxa"/>
            </w:tcMar>
            <w:vAlign w:val="center"/>
          </w:tcPr>
          <w:p>
            <w:pPr>
              <w:jc w:val="center"/>
              <w:rPr>
                <w:rFonts w:ascii="宋体" w:hAnsi="宋体" w:cs="宋体"/>
                <w:color w:val="auto"/>
                <w:szCs w:val="21"/>
                <w:highlight w:val="none"/>
              </w:rPr>
            </w:pPr>
          </w:p>
        </w:tc>
        <w:tc>
          <w:tcPr>
            <w:tcW w:w="943" w:type="dxa"/>
            <w:tcBorders>
              <w:top w:val="single" w:color="000000" w:sz="6" w:space="0"/>
              <w:left w:val="single" w:color="auto" w:sz="4" w:space="0"/>
              <w:bottom w:val="single" w:color="000000" w:sz="6" w:space="0"/>
              <w:right w:val="single" w:color="auto" w:sz="4" w:space="0"/>
            </w:tcBorders>
            <w:tcMar>
              <w:top w:w="28" w:type="dxa"/>
              <w:left w:w="28" w:type="dxa"/>
              <w:bottom w:w="28" w:type="dxa"/>
              <w:right w:w="28" w:type="dxa"/>
            </w:tcMar>
            <w:vAlign w:val="center"/>
          </w:tcPr>
          <w:p>
            <w:pPr>
              <w:jc w:val="center"/>
              <w:rPr>
                <w:rFonts w:ascii="宋体" w:hAnsi="宋体" w:cs="宋体"/>
                <w:color w:val="auto"/>
                <w:szCs w:val="21"/>
                <w:highlight w:val="none"/>
              </w:rPr>
            </w:pPr>
          </w:p>
        </w:tc>
        <w:tc>
          <w:tcPr>
            <w:tcW w:w="731" w:type="dxa"/>
            <w:tcBorders>
              <w:top w:val="single" w:color="000000" w:sz="6" w:space="0"/>
              <w:left w:val="single" w:color="auto" w:sz="4" w:space="0"/>
              <w:bottom w:val="single" w:color="000000" w:sz="6" w:space="0"/>
              <w:right w:val="single" w:color="000000" w:sz="6" w:space="0"/>
            </w:tcBorders>
            <w:tcMar>
              <w:top w:w="28" w:type="dxa"/>
              <w:left w:w="28" w:type="dxa"/>
              <w:bottom w:w="28" w:type="dxa"/>
              <w:right w:w="28" w:type="dxa"/>
            </w:tcMar>
            <w:vAlign w:val="center"/>
          </w:tcPr>
          <w:p>
            <w:pPr>
              <w:jc w:val="center"/>
              <w:rPr>
                <w:rFonts w:ascii="宋体" w:hAnsi="宋体" w:cs="宋体"/>
                <w:color w:val="auto"/>
                <w:szCs w:val="21"/>
                <w:highlight w:val="none"/>
              </w:rPr>
            </w:pPr>
          </w:p>
        </w:tc>
        <w:tc>
          <w:tcPr>
            <w:tcW w:w="1315" w:type="dxa"/>
            <w:tcBorders>
              <w:top w:val="single" w:color="000000" w:sz="6" w:space="0"/>
              <w:left w:val="single" w:color="000000" w:sz="6" w:space="0"/>
              <w:bottom w:val="single" w:color="000000" w:sz="6" w:space="0"/>
              <w:right w:val="single" w:color="000000" w:sz="4" w:space="0"/>
            </w:tcBorders>
            <w:tcMar>
              <w:top w:w="28" w:type="dxa"/>
              <w:left w:w="28" w:type="dxa"/>
              <w:bottom w:w="28" w:type="dxa"/>
              <w:right w:w="28" w:type="dxa"/>
            </w:tcMar>
            <w:vAlign w:val="center"/>
          </w:tcPr>
          <w:p>
            <w:pPr>
              <w:jc w:val="center"/>
              <w:rPr>
                <w:rFonts w:ascii="宋体" w:hAnsi="宋体" w:cs="宋体"/>
                <w:color w:val="auto"/>
                <w:szCs w:val="21"/>
                <w:highlight w:val="none"/>
              </w:rPr>
            </w:pPr>
          </w:p>
        </w:tc>
        <w:tc>
          <w:tcPr>
            <w:tcW w:w="1315" w:type="dxa"/>
            <w:tcBorders>
              <w:top w:val="single" w:color="000000" w:sz="6" w:space="0"/>
              <w:left w:val="sing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ascii="宋体" w:hAnsi="宋体" w:cs="宋体"/>
                <w:color w:val="auto"/>
                <w:szCs w:val="21"/>
                <w:highlight w:val="none"/>
              </w:rPr>
            </w:pPr>
          </w:p>
        </w:tc>
        <w:tc>
          <w:tcPr>
            <w:tcW w:w="2140" w:type="dxa"/>
            <w:tcBorders>
              <w:top w:val="single" w:color="000000" w:sz="6" w:space="0"/>
              <w:left w:val="single" w:color="000000" w:sz="6" w:space="0"/>
              <w:bottom w:val="single" w:color="000000" w:sz="6" w:space="0"/>
              <w:right w:val="double" w:color="000000" w:sz="4" w:space="0"/>
            </w:tcBorders>
            <w:tcMar>
              <w:top w:w="28" w:type="dxa"/>
              <w:left w:w="28" w:type="dxa"/>
              <w:bottom w:w="28" w:type="dxa"/>
              <w:right w:w="28"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340" w:hRule="atLeast"/>
        </w:trPr>
        <w:tc>
          <w:tcPr>
            <w:tcW w:w="701" w:type="dxa"/>
            <w:tcBorders>
              <w:top w:val="single" w:color="000000" w:sz="6" w:space="0"/>
              <w:left w:val="doub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254" w:type="dxa"/>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tabs>
                <w:tab w:val="center" w:pos="1694"/>
              </w:tabs>
              <w:jc w:val="center"/>
              <w:rPr>
                <w:rFonts w:ascii="宋体" w:hAnsi="宋体" w:cs="宋体"/>
                <w:color w:val="auto"/>
                <w:szCs w:val="21"/>
                <w:highlight w:val="none"/>
              </w:rPr>
            </w:pPr>
          </w:p>
        </w:tc>
        <w:tc>
          <w:tcPr>
            <w:tcW w:w="747" w:type="dxa"/>
            <w:tcBorders>
              <w:top w:val="single" w:color="000000" w:sz="6" w:space="0"/>
              <w:left w:val="single" w:color="000000" w:sz="6" w:space="0"/>
              <w:bottom w:val="single" w:color="000000" w:sz="6" w:space="0"/>
              <w:right w:val="single" w:color="auto" w:sz="4" w:space="0"/>
            </w:tcBorders>
            <w:tcMar>
              <w:top w:w="28" w:type="dxa"/>
              <w:left w:w="28" w:type="dxa"/>
              <w:bottom w:w="28" w:type="dxa"/>
              <w:right w:w="28" w:type="dxa"/>
            </w:tcMar>
            <w:vAlign w:val="center"/>
          </w:tcPr>
          <w:p>
            <w:pPr>
              <w:jc w:val="center"/>
              <w:rPr>
                <w:rFonts w:ascii="宋体" w:hAnsi="宋体" w:cs="宋体"/>
                <w:color w:val="auto"/>
                <w:szCs w:val="21"/>
                <w:highlight w:val="none"/>
              </w:rPr>
            </w:pPr>
          </w:p>
        </w:tc>
        <w:tc>
          <w:tcPr>
            <w:tcW w:w="943" w:type="dxa"/>
            <w:tcBorders>
              <w:top w:val="single" w:color="000000" w:sz="6" w:space="0"/>
              <w:left w:val="single" w:color="auto" w:sz="4" w:space="0"/>
              <w:bottom w:val="single" w:color="000000" w:sz="6" w:space="0"/>
              <w:right w:val="single" w:color="auto" w:sz="4" w:space="0"/>
            </w:tcBorders>
            <w:tcMar>
              <w:top w:w="28" w:type="dxa"/>
              <w:left w:w="28" w:type="dxa"/>
              <w:bottom w:w="28" w:type="dxa"/>
              <w:right w:w="28" w:type="dxa"/>
            </w:tcMar>
            <w:vAlign w:val="center"/>
          </w:tcPr>
          <w:p>
            <w:pPr>
              <w:jc w:val="center"/>
              <w:rPr>
                <w:rFonts w:ascii="宋体" w:hAnsi="宋体" w:cs="宋体"/>
                <w:color w:val="auto"/>
                <w:szCs w:val="21"/>
                <w:highlight w:val="none"/>
              </w:rPr>
            </w:pPr>
          </w:p>
        </w:tc>
        <w:tc>
          <w:tcPr>
            <w:tcW w:w="731" w:type="dxa"/>
            <w:tcBorders>
              <w:top w:val="single" w:color="000000" w:sz="6" w:space="0"/>
              <w:left w:val="single" w:color="auto" w:sz="4" w:space="0"/>
              <w:bottom w:val="single" w:color="000000" w:sz="6" w:space="0"/>
              <w:right w:val="single" w:color="000000" w:sz="6" w:space="0"/>
            </w:tcBorders>
            <w:tcMar>
              <w:top w:w="28" w:type="dxa"/>
              <w:left w:w="28" w:type="dxa"/>
              <w:bottom w:w="28" w:type="dxa"/>
              <w:right w:w="28" w:type="dxa"/>
            </w:tcMar>
            <w:vAlign w:val="center"/>
          </w:tcPr>
          <w:p>
            <w:pPr>
              <w:jc w:val="center"/>
              <w:rPr>
                <w:rFonts w:ascii="宋体" w:hAnsi="宋体" w:cs="宋体"/>
                <w:color w:val="auto"/>
                <w:szCs w:val="21"/>
                <w:highlight w:val="none"/>
              </w:rPr>
            </w:pPr>
          </w:p>
        </w:tc>
        <w:tc>
          <w:tcPr>
            <w:tcW w:w="1315" w:type="dxa"/>
            <w:tcBorders>
              <w:top w:val="single" w:color="000000" w:sz="6" w:space="0"/>
              <w:left w:val="single" w:color="000000" w:sz="6" w:space="0"/>
              <w:bottom w:val="single" w:color="000000" w:sz="6" w:space="0"/>
              <w:right w:val="single" w:color="000000" w:sz="4" w:space="0"/>
            </w:tcBorders>
            <w:tcMar>
              <w:top w:w="28" w:type="dxa"/>
              <w:left w:w="28" w:type="dxa"/>
              <w:bottom w:w="28" w:type="dxa"/>
              <w:right w:w="28" w:type="dxa"/>
            </w:tcMar>
            <w:vAlign w:val="center"/>
          </w:tcPr>
          <w:p>
            <w:pPr>
              <w:jc w:val="center"/>
              <w:rPr>
                <w:rFonts w:ascii="宋体" w:hAnsi="宋体" w:cs="宋体"/>
                <w:color w:val="auto"/>
                <w:szCs w:val="21"/>
                <w:highlight w:val="none"/>
              </w:rPr>
            </w:pPr>
          </w:p>
        </w:tc>
        <w:tc>
          <w:tcPr>
            <w:tcW w:w="1315" w:type="dxa"/>
            <w:tcBorders>
              <w:top w:val="single" w:color="000000" w:sz="6" w:space="0"/>
              <w:left w:val="sing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ascii="宋体" w:hAnsi="宋体" w:cs="宋体"/>
                <w:color w:val="auto"/>
                <w:szCs w:val="21"/>
                <w:highlight w:val="none"/>
              </w:rPr>
            </w:pPr>
          </w:p>
        </w:tc>
        <w:tc>
          <w:tcPr>
            <w:tcW w:w="2140" w:type="dxa"/>
            <w:tcBorders>
              <w:top w:val="single" w:color="000000" w:sz="6" w:space="0"/>
              <w:left w:val="single" w:color="000000" w:sz="6" w:space="0"/>
              <w:bottom w:val="single" w:color="000000" w:sz="6" w:space="0"/>
              <w:right w:val="double" w:color="000000" w:sz="4" w:space="0"/>
            </w:tcBorders>
            <w:tcMar>
              <w:top w:w="28" w:type="dxa"/>
              <w:left w:w="28" w:type="dxa"/>
              <w:bottom w:w="28" w:type="dxa"/>
              <w:right w:w="28"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340" w:hRule="atLeast"/>
        </w:trPr>
        <w:tc>
          <w:tcPr>
            <w:tcW w:w="701" w:type="dxa"/>
            <w:tcBorders>
              <w:top w:val="single" w:color="000000" w:sz="6" w:space="0"/>
              <w:left w:val="doub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1254" w:type="dxa"/>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jc w:val="center"/>
              <w:rPr>
                <w:rFonts w:ascii="宋体" w:hAnsi="宋体" w:cs="宋体"/>
                <w:color w:val="auto"/>
                <w:szCs w:val="21"/>
                <w:highlight w:val="none"/>
              </w:rPr>
            </w:pPr>
          </w:p>
        </w:tc>
        <w:tc>
          <w:tcPr>
            <w:tcW w:w="747" w:type="dxa"/>
            <w:tcBorders>
              <w:top w:val="single" w:color="000000" w:sz="6" w:space="0"/>
              <w:left w:val="single" w:color="000000" w:sz="6" w:space="0"/>
              <w:bottom w:val="single" w:color="000000" w:sz="6" w:space="0"/>
              <w:right w:val="single" w:color="auto" w:sz="4" w:space="0"/>
            </w:tcBorders>
            <w:tcMar>
              <w:top w:w="28" w:type="dxa"/>
              <w:left w:w="28" w:type="dxa"/>
              <w:bottom w:w="28" w:type="dxa"/>
              <w:right w:w="28" w:type="dxa"/>
            </w:tcMar>
            <w:vAlign w:val="center"/>
          </w:tcPr>
          <w:p>
            <w:pPr>
              <w:jc w:val="center"/>
              <w:rPr>
                <w:rFonts w:ascii="宋体" w:hAnsi="宋体" w:cs="宋体"/>
                <w:color w:val="auto"/>
                <w:szCs w:val="21"/>
                <w:highlight w:val="none"/>
              </w:rPr>
            </w:pPr>
          </w:p>
        </w:tc>
        <w:tc>
          <w:tcPr>
            <w:tcW w:w="943" w:type="dxa"/>
            <w:tcBorders>
              <w:top w:val="single" w:color="000000" w:sz="6" w:space="0"/>
              <w:left w:val="single" w:color="auto" w:sz="4" w:space="0"/>
              <w:bottom w:val="single" w:color="000000" w:sz="6" w:space="0"/>
              <w:right w:val="single" w:color="auto" w:sz="4" w:space="0"/>
            </w:tcBorders>
            <w:tcMar>
              <w:top w:w="28" w:type="dxa"/>
              <w:left w:w="28" w:type="dxa"/>
              <w:bottom w:w="28" w:type="dxa"/>
              <w:right w:w="28" w:type="dxa"/>
            </w:tcMar>
            <w:vAlign w:val="center"/>
          </w:tcPr>
          <w:p>
            <w:pPr>
              <w:jc w:val="center"/>
              <w:rPr>
                <w:rFonts w:ascii="宋体" w:hAnsi="宋体" w:cs="宋体"/>
                <w:color w:val="auto"/>
                <w:szCs w:val="21"/>
                <w:highlight w:val="none"/>
              </w:rPr>
            </w:pPr>
          </w:p>
        </w:tc>
        <w:tc>
          <w:tcPr>
            <w:tcW w:w="731" w:type="dxa"/>
            <w:tcBorders>
              <w:top w:val="single" w:color="000000" w:sz="6" w:space="0"/>
              <w:left w:val="single" w:color="auto" w:sz="4" w:space="0"/>
              <w:bottom w:val="single" w:color="000000" w:sz="6" w:space="0"/>
              <w:right w:val="single" w:color="000000" w:sz="6" w:space="0"/>
            </w:tcBorders>
            <w:tcMar>
              <w:top w:w="28" w:type="dxa"/>
              <w:left w:w="28" w:type="dxa"/>
              <w:bottom w:w="28" w:type="dxa"/>
              <w:right w:w="28" w:type="dxa"/>
            </w:tcMar>
            <w:vAlign w:val="center"/>
          </w:tcPr>
          <w:p>
            <w:pPr>
              <w:jc w:val="center"/>
              <w:rPr>
                <w:rFonts w:ascii="宋体" w:hAnsi="宋体" w:cs="宋体"/>
                <w:color w:val="auto"/>
                <w:szCs w:val="21"/>
                <w:highlight w:val="none"/>
              </w:rPr>
            </w:pPr>
          </w:p>
        </w:tc>
        <w:tc>
          <w:tcPr>
            <w:tcW w:w="1315" w:type="dxa"/>
            <w:tcBorders>
              <w:top w:val="single" w:color="000000" w:sz="6" w:space="0"/>
              <w:left w:val="single" w:color="000000" w:sz="6" w:space="0"/>
              <w:bottom w:val="single" w:color="000000" w:sz="6" w:space="0"/>
              <w:right w:val="single" w:color="000000" w:sz="4" w:space="0"/>
            </w:tcBorders>
            <w:tcMar>
              <w:top w:w="28" w:type="dxa"/>
              <w:left w:w="28" w:type="dxa"/>
              <w:bottom w:w="28" w:type="dxa"/>
              <w:right w:w="28" w:type="dxa"/>
            </w:tcMar>
            <w:vAlign w:val="center"/>
          </w:tcPr>
          <w:p>
            <w:pPr>
              <w:jc w:val="center"/>
              <w:rPr>
                <w:rFonts w:ascii="宋体" w:hAnsi="宋体" w:cs="宋体"/>
                <w:color w:val="auto"/>
                <w:szCs w:val="21"/>
                <w:highlight w:val="none"/>
              </w:rPr>
            </w:pPr>
          </w:p>
        </w:tc>
        <w:tc>
          <w:tcPr>
            <w:tcW w:w="1315" w:type="dxa"/>
            <w:tcBorders>
              <w:top w:val="single" w:color="000000" w:sz="6" w:space="0"/>
              <w:left w:val="sing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ascii="宋体" w:hAnsi="宋体" w:cs="宋体"/>
                <w:color w:val="auto"/>
                <w:szCs w:val="21"/>
                <w:highlight w:val="none"/>
              </w:rPr>
            </w:pPr>
          </w:p>
        </w:tc>
        <w:tc>
          <w:tcPr>
            <w:tcW w:w="2140" w:type="dxa"/>
            <w:tcBorders>
              <w:top w:val="single" w:color="000000" w:sz="6" w:space="0"/>
              <w:left w:val="single" w:color="000000" w:sz="6" w:space="0"/>
              <w:bottom w:val="single" w:color="000000" w:sz="6" w:space="0"/>
              <w:right w:val="double" w:color="000000" w:sz="4" w:space="0"/>
            </w:tcBorders>
            <w:tcMar>
              <w:top w:w="28" w:type="dxa"/>
              <w:left w:w="28" w:type="dxa"/>
              <w:bottom w:w="28" w:type="dxa"/>
              <w:right w:w="28"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340" w:hRule="atLeast"/>
        </w:trPr>
        <w:tc>
          <w:tcPr>
            <w:tcW w:w="701" w:type="dxa"/>
            <w:tcBorders>
              <w:top w:val="single" w:color="000000" w:sz="6" w:space="0"/>
              <w:left w:val="doub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1254" w:type="dxa"/>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jc w:val="center"/>
              <w:rPr>
                <w:rFonts w:ascii="宋体" w:hAnsi="宋体" w:cs="宋体"/>
                <w:color w:val="auto"/>
                <w:szCs w:val="21"/>
                <w:highlight w:val="none"/>
              </w:rPr>
            </w:pPr>
          </w:p>
        </w:tc>
        <w:tc>
          <w:tcPr>
            <w:tcW w:w="747" w:type="dxa"/>
            <w:tcBorders>
              <w:top w:val="single" w:color="000000" w:sz="6" w:space="0"/>
              <w:left w:val="single" w:color="000000" w:sz="6" w:space="0"/>
              <w:bottom w:val="single" w:color="000000" w:sz="6" w:space="0"/>
              <w:right w:val="single" w:color="auto" w:sz="4" w:space="0"/>
            </w:tcBorders>
            <w:tcMar>
              <w:top w:w="28" w:type="dxa"/>
              <w:left w:w="28" w:type="dxa"/>
              <w:bottom w:w="28" w:type="dxa"/>
              <w:right w:w="28" w:type="dxa"/>
            </w:tcMar>
            <w:vAlign w:val="center"/>
          </w:tcPr>
          <w:p>
            <w:pPr>
              <w:jc w:val="center"/>
              <w:rPr>
                <w:rFonts w:ascii="宋体" w:hAnsi="宋体" w:cs="宋体"/>
                <w:color w:val="auto"/>
                <w:szCs w:val="21"/>
                <w:highlight w:val="none"/>
              </w:rPr>
            </w:pPr>
          </w:p>
        </w:tc>
        <w:tc>
          <w:tcPr>
            <w:tcW w:w="943" w:type="dxa"/>
            <w:tcBorders>
              <w:top w:val="single" w:color="000000" w:sz="6" w:space="0"/>
              <w:left w:val="single" w:color="auto" w:sz="4" w:space="0"/>
              <w:bottom w:val="single" w:color="000000" w:sz="6" w:space="0"/>
              <w:right w:val="single" w:color="auto" w:sz="4" w:space="0"/>
            </w:tcBorders>
            <w:tcMar>
              <w:top w:w="28" w:type="dxa"/>
              <w:left w:w="28" w:type="dxa"/>
              <w:bottom w:w="28" w:type="dxa"/>
              <w:right w:w="28" w:type="dxa"/>
            </w:tcMar>
            <w:vAlign w:val="center"/>
          </w:tcPr>
          <w:p>
            <w:pPr>
              <w:jc w:val="center"/>
              <w:rPr>
                <w:rFonts w:ascii="宋体" w:hAnsi="宋体" w:cs="宋体"/>
                <w:color w:val="auto"/>
                <w:szCs w:val="21"/>
                <w:highlight w:val="none"/>
              </w:rPr>
            </w:pPr>
          </w:p>
        </w:tc>
        <w:tc>
          <w:tcPr>
            <w:tcW w:w="731" w:type="dxa"/>
            <w:tcBorders>
              <w:top w:val="single" w:color="000000" w:sz="6" w:space="0"/>
              <w:left w:val="single" w:color="auto" w:sz="4" w:space="0"/>
              <w:bottom w:val="single" w:color="000000" w:sz="6" w:space="0"/>
              <w:right w:val="single" w:color="000000" w:sz="6" w:space="0"/>
            </w:tcBorders>
            <w:tcMar>
              <w:top w:w="28" w:type="dxa"/>
              <w:left w:w="28" w:type="dxa"/>
              <w:bottom w:w="28" w:type="dxa"/>
              <w:right w:w="28" w:type="dxa"/>
            </w:tcMar>
            <w:vAlign w:val="center"/>
          </w:tcPr>
          <w:p>
            <w:pPr>
              <w:jc w:val="center"/>
              <w:rPr>
                <w:rFonts w:ascii="宋体" w:hAnsi="宋体" w:cs="宋体"/>
                <w:color w:val="auto"/>
                <w:szCs w:val="21"/>
                <w:highlight w:val="none"/>
              </w:rPr>
            </w:pPr>
          </w:p>
        </w:tc>
        <w:tc>
          <w:tcPr>
            <w:tcW w:w="1315" w:type="dxa"/>
            <w:tcBorders>
              <w:top w:val="single" w:color="000000" w:sz="6" w:space="0"/>
              <w:left w:val="single" w:color="000000" w:sz="6" w:space="0"/>
              <w:bottom w:val="single" w:color="000000" w:sz="6" w:space="0"/>
              <w:right w:val="single" w:color="000000" w:sz="4" w:space="0"/>
            </w:tcBorders>
            <w:tcMar>
              <w:top w:w="28" w:type="dxa"/>
              <w:left w:w="28" w:type="dxa"/>
              <w:bottom w:w="28" w:type="dxa"/>
              <w:right w:w="28" w:type="dxa"/>
            </w:tcMar>
            <w:vAlign w:val="center"/>
          </w:tcPr>
          <w:p>
            <w:pPr>
              <w:jc w:val="center"/>
              <w:rPr>
                <w:rFonts w:ascii="宋体" w:hAnsi="宋体" w:cs="宋体"/>
                <w:color w:val="auto"/>
                <w:szCs w:val="21"/>
                <w:highlight w:val="none"/>
              </w:rPr>
            </w:pPr>
          </w:p>
        </w:tc>
        <w:tc>
          <w:tcPr>
            <w:tcW w:w="1315" w:type="dxa"/>
            <w:tcBorders>
              <w:top w:val="single" w:color="000000" w:sz="6" w:space="0"/>
              <w:left w:val="sing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ascii="宋体" w:hAnsi="宋体" w:cs="宋体"/>
                <w:color w:val="auto"/>
                <w:szCs w:val="21"/>
                <w:highlight w:val="none"/>
              </w:rPr>
            </w:pPr>
          </w:p>
        </w:tc>
        <w:tc>
          <w:tcPr>
            <w:tcW w:w="2140" w:type="dxa"/>
            <w:tcBorders>
              <w:top w:val="single" w:color="000000" w:sz="6" w:space="0"/>
              <w:left w:val="single" w:color="000000" w:sz="6" w:space="0"/>
              <w:bottom w:val="single" w:color="000000" w:sz="6" w:space="0"/>
              <w:right w:val="double" w:color="000000" w:sz="4" w:space="0"/>
            </w:tcBorders>
            <w:tcMar>
              <w:top w:w="28" w:type="dxa"/>
              <w:left w:w="28" w:type="dxa"/>
              <w:bottom w:w="28" w:type="dxa"/>
              <w:right w:w="28"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340" w:hRule="atLeast"/>
        </w:trPr>
        <w:tc>
          <w:tcPr>
            <w:tcW w:w="701" w:type="dxa"/>
            <w:tcBorders>
              <w:top w:val="single" w:color="000000" w:sz="6" w:space="0"/>
              <w:left w:val="doub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合计</w:t>
            </w:r>
          </w:p>
        </w:tc>
        <w:tc>
          <w:tcPr>
            <w:tcW w:w="8445" w:type="dxa"/>
            <w:gridSpan w:val="7"/>
            <w:tcBorders>
              <w:top w:val="single" w:color="000000" w:sz="6" w:space="0"/>
              <w:left w:val="single" w:color="000000" w:sz="6" w:space="0"/>
              <w:bottom w:val="single" w:color="000000" w:sz="6" w:space="0"/>
              <w:right w:val="double" w:color="000000" w:sz="4" w:space="0"/>
            </w:tcBorders>
            <w:tcMar>
              <w:top w:w="28" w:type="dxa"/>
              <w:left w:w="28" w:type="dxa"/>
              <w:bottom w:w="28" w:type="dxa"/>
              <w:right w:w="28"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大写:                                    小写：</w:t>
            </w:r>
          </w:p>
        </w:tc>
      </w:tr>
    </w:tbl>
    <w:p>
      <w:pPr>
        <w:kinsoku w:val="0"/>
        <w:spacing w:line="500" w:lineRule="exact"/>
        <w:rPr>
          <w:rFonts w:ascii="宋体" w:hAnsi="宋体" w:cs="宋体"/>
          <w:color w:val="auto"/>
          <w:sz w:val="24"/>
          <w:highlight w:val="none"/>
        </w:rPr>
      </w:pPr>
    </w:p>
    <w:p>
      <w:pPr>
        <w:kinsoku w:val="0"/>
        <w:adjustRightInd w:val="0"/>
        <w:snapToGrid w:val="0"/>
        <w:spacing w:line="500" w:lineRule="exact"/>
        <w:rPr>
          <w:rFonts w:ascii="宋体" w:hAnsi="宋体" w:cs="宋体"/>
          <w:color w:val="auto"/>
          <w:sz w:val="24"/>
          <w:highlight w:val="none"/>
        </w:rPr>
      </w:pPr>
      <w:r>
        <w:rPr>
          <w:rFonts w:hint="eastAsia" w:ascii="宋体" w:hAnsi="宋体" w:cs="宋体"/>
          <w:color w:val="auto"/>
          <w:sz w:val="24"/>
          <w:highlight w:val="none"/>
        </w:rPr>
        <w:t>注:</w:t>
      </w:r>
    </w:p>
    <w:p>
      <w:pPr>
        <w:kinsoku w:val="0"/>
        <w:adjustRightInd w:val="0"/>
        <w:snapToGrid w:val="0"/>
        <w:spacing w:line="500" w:lineRule="exact"/>
        <w:rPr>
          <w:rFonts w:ascii="宋体" w:hAnsi="宋体" w:cs="宋体"/>
          <w:color w:val="auto"/>
          <w:sz w:val="24"/>
          <w:highlight w:val="none"/>
        </w:rPr>
      </w:pPr>
      <w:r>
        <w:rPr>
          <w:rFonts w:hint="eastAsia" w:ascii="宋体" w:hAnsi="宋体" w:cs="宋体"/>
          <w:color w:val="auto"/>
          <w:sz w:val="24"/>
          <w:highlight w:val="none"/>
        </w:rPr>
        <w:t>1.本表中的“总价”与“开标一览表”中的“投标总报价”一致,各子项分别报价：</w:t>
      </w:r>
    </w:p>
    <w:p>
      <w:pPr>
        <w:pStyle w:val="9"/>
        <w:adjustRightInd w:val="0"/>
        <w:snapToGrid w:val="0"/>
        <w:spacing w:line="240" w:lineRule="auto"/>
        <w:ind w:left="0" w:leftChars="0"/>
        <w:rPr>
          <w:rFonts w:ascii="宋体" w:hAnsi="宋体" w:cs="宋体"/>
          <w:color w:val="auto"/>
          <w:sz w:val="24"/>
          <w:highlight w:val="none"/>
        </w:rPr>
      </w:pPr>
      <w:r>
        <w:rPr>
          <w:rFonts w:hint="eastAsia" w:ascii="宋体" w:hAnsi="宋体" w:cs="宋体"/>
          <w:color w:val="auto"/>
          <w:sz w:val="24"/>
          <w:highlight w:val="none"/>
        </w:rPr>
        <w:t>2.报价精确到小数点后两位；</w:t>
      </w:r>
    </w:p>
    <w:p>
      <w:pPr>
        <w:pStyle w:val="9"/>
        <w:adjustRightInd w:val="0"/>
        <w:snapToGrid w:val="0"/>
        <w:ind w:left="0" w:leftChars="0"/>
        <w:rPr>
          <w:rFonts w:ascii="宋体" w:hAnsi="宋体" w:cs="宋体"/>
          <w:color w:val="auto"/>
          <w:sz w:val="24"/>
          <w:highlight w:val="none"/>
        </w:rPr>
      </w:pPr>
      <w:r>
        <w:rPr>
          <w:rFonts w:hint="eastAsia" w:ascii="宋体" w:hAnsi="宋体" w:cs="宋体"/>
          <w:color w:val="auto"/>
          <w:sz w:val="24"/>
          <w:highlight w:val="none"/>
        </w:rPr>
        <w:t>3.根据实际情况对具体项目进行说明。</w:t>
      </w:r>
    </w:p>
    <w:p>
      <w:pPr>
        <w:rPr>
          <w:rFonts w:ascii="宋体" w:hAnsi="宋体" w:cs="宋体"/>
          <w:color w:val="auto"/>
          <w:sz w:val="24"/>
          <w:highlight w:val="none"/>
        </w:rPr>
      </w:pPr>
    </w:p>
    <w:p>
      <w:pPr>
        <w:rPr>
          <w:rFonts w:ascii="宋体" w:hAnsi="宋体" w:cs="宋体"/>
          <w:color w:val="auto"/>
          <w:sz w:val="24"/>
          <w:highlight w:val="none"/>
        </w:rPr>
      </w:pPr>
      <w:r>
        <w:rPr>
          <w:rFonts w:hint="eastAsia" w:ascii="宋体" w:hAnsi="宋体" w:cs="宋体"/>
          <w:color w:val="auto"/>
          <w:sz w:val="24"/>
          <w:highlight w:val="none"/>
        </w:rPr>
        <w:t>投标人（公章）：</w:t>
      </w:r>
    </w:p>
    <w:p>
      <w:pPr>
        <w:rPr>
          <w:rFonts w:ascii="宋体" w:hAnsi="宋体" w:cs="宋体"/>
          <w:color w:val="auto"/>
          <w:sz w:val="24"/>
          <w:highlight w:val="none"/>
          <w:u w:val="single"/>
        </w:rPr>
      </w:pPr>
      <w:r>
        <w:rPr>
          <w:rFonts w:hint="eastAsia" w:ascii="宋体" w:hAnsi="宋体" w:cs="宋体"/>
          <w:color w:val="auto"/>
          <w:sz w:val="24"/>
          <w:highlight w:val="none"/>
        </w:rPr>
        <w:t xml:space="preserve">法定代表人/被授权人（签字或盖章）： </w:t>
      </w:r>
    </w:p>
    <w:p>
      <w:pPr>
        <w:rPr>
          <w:rFonts w:ascii="宋体" w:hAnsi="宋体" w:cs="宋体"/>
          <w:color w:val="auto"/>
          <w:sz w:val="24"/>
          <w:highlight w:val="none"/>
        </w:rPr>
      </w:pPr>
    </w:p>
    <w:p>
      <w:pPr>
        <w:pStyle w:val="8"/>
        <w:rPr>
          <w:rFonts w:hAnsi="宋体" w:cs="宋体"/>
          <w:color w:val="auto"/>
          <w:sz w:val="24"/>
          <w:szCs w:val="24"/>
          <w:highlight w:val="none"/>
        </w:rPr>
      </w:pPr>
      <w:r>
        <w:rPr>
          <w:rFonts w:hint="eastAsia" w:hAnsi="宋体" w:cs="宋体"/>
          <w:bCs/>
          <w:color w:val="auto"/>
          <w:highlight w:val="none"/>
        </w:rPr>
        <w:br w:type="page"/>
      </w:r>
      <w:bookmarkStart w:id="66" w:name="_Toc10094"/>
      <w:bookmarkStart w:id="67" w:name="_Toc27403"/>
      <w:bookmarkStart w:id="68" w:name="_Toc22573"/>
      <w:r>
        <w:rPr>
          <w:rFonts w:hint="eastAsia" w:hAnsi="宋体" w:cs="宋体"/>
          <w:color w:val="auto"/>
          <w:sz w:val="24"/>
          <w:szCs w:val="24"/>
          <w:highlight w:val="none"/>
        </w:rPr>
        <w:t>附表2</w:t>
      </w:r>
    </w:p>
    <w:p>
      <w:pPr>
        <w:pStyle w:val="8"/>
        <w:jc w:val="center"/>
        <w:rPr>
          <w:rFonts w:hAnsi="宋体" w:cs="宋体"/>
          <w:b/>
          <w:color w:val="auto"/>
          <w:sz w:val="32"/>
          <w:highlight w:val="none"/>
        </w:rPr>
      </w:pPr>
      <w:r>
        <w:rPr>
          <w:rFonts w:hint="eastAsia" w:hAnsi="宋体" w:cs="宋体"/>
          <w:b/>
          <w:color w:val="auto"/>
          <w:sz w:val="32"/>
          <w:highlight w:val="none"/>
        </w:rPr>
        <w:t>技术指标偏离表</w:t>
      </w:r>
    </w:p>
    <w:p>
      <w:pPr>
        <w:kinsoku w:val="0"/>
        <w:spacing w:line="500" w:lineRule="exact"/>
        <w:rPr>
          <w:rFonts w:ascii="宋体" w:hAnsi="宋体" w:cs="宋体"/>
          <w:color w:val="auto"/>
          <w:sz w:val="24"/>
          <w:highlight w:val="none"/>
        </w:rPr>
      </w:pPr>
      <w:r>
        <w:rPr>
          <w:rFonts w:hint="eastAsia" w:ascii="宋体" w:hAnsi="宋体" w:cs="宋体"/>
          <w:color w:val="auto"/>
          <w:sz w:val="24"/>
          <w:highlight w:val="none"/>
        </w:rPr>
        <w:t xml:space="preserve">项目名称：                                           </w:t>
      </w:r>
    </w:p>
    <w:p>
      <w:pPr>
        <w:kinsoku w:val="0"/>
        <w:spacing w:line="500" w:lineRule="exact"/>
        <w:rPr>
          <w:rFonts w:ascii="宋体" w:hAnsi="宋体" w:cs="宋体"/>
          <w:color w:val="auto"/>
          <w:sz w:val="24"/>
          <w:highlight w:val="none"/>
        </w:rPr>
      </w:pPr>
      <w:r>
        <w:rPr>
          <w:rFonts w:hint="eastAsia" w:ascii="宋体" w:hAnsi="宋体" w:cs="宋体"/>
          <w:color w:val="auto"/>
          <w:sz w:val="24"/>
          <w:highlight w:val="none"/>
        </w:rPr>
        <w:t xml:space="preserve">投标人:           </w:t>
      </w:r>
    </w:p>
    <w:p>
      <w:pPr>
        <w:kinsoku w:val="0"/>
        <w:spacing w:line="500" w:lineRule="exact"/>
        <w:rPr>
          <w:rFonts w:ascii="宋体" w:hAnsi="宋体" w:cs="宋体"/>
          <w:color w:val="auto"/>
          <w:sz w:val="24"/>
          <w:highlight w:val="none"/>
        </w:rPr>
      </w:pPr>
    </w:p>
    <w:tbl>
      <w:tblPr>
        <w:tblStyle w:val="19"/>
        <w:tblpPr w:leftFromText="180" w:rightFromText="180" w:vertAnchor="text" w:horzAnchor="page" w:tblpXSpec="center" w:tblpY="204"/>
        <w:tblOverlap w:val="never"/>
        <w:tblW w:w="919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86"/>
        <w:gridCol w:w="1897"/>
        <w:gridCol w:w="2659"/>
        <w:gridCol w:w="1689"/>
        <w:gridCol w:w="131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986" w:type="dxa"/>
            <w:tcMar>
              <w:top w:w="57" w:type="dxa"/>
              <w:left w:w="28" w:type="dxa"/>
              <w:bottom w:w="57" w:type="dxa"/>
              <w:right w:w="28" w:type="dxa"/>
            </w:tcMar>
            <w:vAlign w:val="center"/>
          </w:tcPr>
          <w:p>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名称</w:t>
            </w:r>
          </w:p>
        </w:tc>
        <w:tc>
          <w:tcPr>
            <w:tcW w:w="1897" w:type="dxa"/>
            <w:tcMar>
              <w:top w:w="57" w:type="dxa"/>
              <w:left w:w="28" w:type="dxa"/>
              <w:bottom w:w="57" w:type="dxa"/>
              <w:right w:w="28" w:type="dxa"/>
            </w:tcMar>
            <w:vAlign w:val="center"/>
          </w:tcPr>
          <w:p>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招标文件</w:t>
            </w:r>
          </w:p>
          <w:p>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技术需求</w:t>
            </w:r>
          </w:p>
        </w:tc>
        <w:tc>
          <w:tcPr>
            <w:tcW w:w="2659" w:type="dxa"/>
            <w:tcMar>
              <w:top w:w="57" w:type="dxa"/>
              <w:left w:w="28" w:type="dxa"/>
              <w:bottom w:w="57" w:type="dxa"/>
              <w:right w:w="28" w:type="dxa"/>
            </w:tcMar>
            <w:vAlign w:val="center"/>
          </w:tcPr>
          <w:p>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投标文件响应技术指标</w:t>
            </w:r>
          </w:p>
        </w:tc>
        <w:tc>
          <w:tcPr>
            <w:tcW w:w="1689" w:type="dxa"/>
            <w:tcMar>
              <w:top w:w="57" w:type="dxa"/>
              <w:left w:w="28" w:type="dxa"/>
              <w:bottom w:w="57" w:type="dxa"/>
              <w:right w:w="28" w:type="dxa"/>
            </w:tcMar>
            <w:vAlign w:val="center"/>
          </w:tcPr>
          <w:p>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偏离情况</w:t>
            </w:r>
          </w:p>
        </w:tc>
        <w:tc>
          <w:tcPr>
            <w:tcW w:w="1319" w:type="dxa"/>
            <w:tcMar>
              <w:top w:w="57" w:type="dxa"/>
              <w:left w:w="28" w:type="dxa"/>
              <w:bottom w:w="57" w:type="dxa"/>
              <w:right w:w="28" w:type="dxa"/>
            </w:tcMar>
            <w:vAlign w:val="center"/>
          </w:tcPr>
          <w:p>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48"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宋体" w:hAnsi="宋体" w:cs="宋体"/>
                <w:color w:val="auto"/>
                <w:sz w:val="28"/>
                <w:szCs w:val="28"/>
                <w:highlight w:val="none"/>
              </w:rPr>
            </w:pPr>
          </w:p>
        </w:tc>
        <w:tc>
          <w:tcPr>
            <w:tcW w:w="986"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宋体" w:hAnsi="宋体" w:cs="宋体"/>
                <w:color w:val="auto"/>
                <w:sz w:val="28"/>
                <w:szCs w:val="28"/>
                <w:highlight w:val="none"/>
              </w:rPr>
            </w:pPr>
          </w:p>
        </w:tc>
        <w:tc>
          <w:tcPr>
            <w:tcW w:w="189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宋体" w:hAnsi="宋体" w:cs="宋体"/>
                <w:color w:val="auto"/>
                <w:sz w:val="28"/>
                <w:szCs w:val="28"/>
                <w:highlight w:val="none"/>
              </w:rPr>
            </w:pPr>
          </w:p>
        </w:tc>
        <w:tc>
          <w:tcPr>
            <w:tcW w:w="265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宋体" w:hAnsi="宋体" w:cs="宋体"/>
                <w:color w:val="auto"/>
                <w:sz w:val="28"/>
                <w:szCs w:val="28"/>
                <w:highlight w:val="none"/>
              </w:rPr>
            </w:pPr>
          </w:p>
        </w:tc>
        <w:tc>
          <w:tcPr>
            <w:tcW w:w="1689" w:type="dxa"/>
            <w:tcBorders>
              <w:bottom w:val="single" w:color="auto" w:sz="4" w:space="0"/>
            </w:tcBorders>
            <w:tcMar>
              <w:top w:w="57" w:type="dxa"/>
              <w:left w:w="28" w:type="dxa"/>
              <w:bottom w:w="57" w:type="dxa"/>
              <w:right w:w="28" w:type="dxa"/>
            </w:tcMar>
            <w:vAlign w:val="center"/>
          </w:tcPr>
          <w:p>
            <w:pPr>
              <w:spacing w:line="480" w:lineRule="exact"/>
              <w:rPr>
                <w:rFonts w:ascii="宋体" w:hAnsi="宋体" w:cs="宋体"/>
                <w:color w:val="auto"/>
                <w:sz w:val="28"/>
                <w:szCs w:val="28"/>
                <w:highlight w:val="none"/>
              </w:rPr>
            </w:pPr>
          </w:p>
        </w:tc>
        <w:tc>
          <w:tcPr>
            <w:tcW w:w="131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宋体" w:hAnsi="宋体" w:cs="宋体"/>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ascii="宋体" w:hAnsi="宋体" w:cs="宋体"/>
                <w:color w:val="auto"/>
                <w:sz w:val="28"/>
                <w:szCs w:val="28"/>
                <w:highlight w:val="none"/>
              </w:rPr>
            </w:pPr>
          </w:p>
        </w:tc>
        <w:tc>
          <w:tcPr>
            <w:tcW w:w="986" w:type="dxa"/>
            <w:tcMar>
              <w:top w:w="57" w:type="dxa"/>
              <w:left w:w="28" w:type="dxa"/>
              <w:bottom w:w="57" w:type="dxa"/>
              <w:right w:w="28" w:type="dxa"/>
            </w:tcMar>
            <w:vAlign w:val="center"/>
          </w:tcPr>
          <w:p>
            <w:pPr>
              <w:spacing w:line="480" w:lineRule="exact"/>
              <w:ind w:left="210" w:leftChars="100"/>
              <w:rPr>
                <w:rFonts w:ascii="宋体" w:hAnsi="宋体" w:cs="宋体"/>
                <w:color w:val="auto"/>
                <w:sz w:val="28"/>
                <w:szCs w:val="28"/>
                <w:highlight w:val="none"/>
              </w:rPr>
            </w:pPr>
          </w:p>
        </w:tc>
        <w:tc>
          <w:tcPr>
            <w:tcW w:w="1897" w:type="dxa"/>
            <w:tcMar>
              <w:top w:w="57" w:type="dxa"/>
              <w:left w:w="28" w:type="dxa"/>
              <w:bottom w:w="57" w:type="dxa"/>
              <w:right w:w="28" w:type="dxa"/>
            </w:tcMar>
            <w:vAlign w:val="center"/>
          </w:tcPr>
          <w:p>
            <w:pPr>
              <w:spacing w:line="480" w:lineRule="exact"/>
              <w:ind w:left="210" w:leftChars="100"/>
              <w:rPr>
                <w:rFonts w:ascii="宋体" w:hAnsi="宋体" w:cs="宋体"/>
                <w:color w:val="auto"/>
                <w:sz w:val="28"/>
                <w:szCs w:val="28"/>
                <w:highlight w:val="none"/>
              </w:rPr>
            </w:pPr>
          </w:p>
        </w:tc>
        <w:tc>
          <w:tcPr>
            <w:tcW w:w="2659" w:type="dxa"/>
            <w:tcMar>
              <w:top w:w="57" w:type="dxa"/>
              <w:left w:w="28" w:type="dxa"/>
              <w:bottom w:w="57" w:type="dxa"/>
              <w:right w:w="28" w:type="dxa"/>
            </w:tcMar>
            <w:vAlign w:val="center"/>
          </w:tcPr>
          <w:p>
            <w:pPr>
              <w:spacing w:line="480" w:lineRule="exact"/>
              <w:ind w:left="210" w:leftChars="100"/>
              <w:rPr>
                <w:rFonts w:ascii="宋体" w:hAnsi="宋体" w:cs="宋体"/>
                <w:color w:val="auto"/>
                <w:sz w:val="28"/>
                <w:szCs w:val="28"/>
                <w:highlight w:val="none"/>
              </w:rPr>
            </w:pPr>
          </w:p>
        </w:tc>
        <w:tc>
          <w:tcPr>
            <w:tcW w:w="1689" w:type="dxa"/>
            <w:tcMar>
              <w:top w:w="57" w:type="dxa"/>
              <w:left w:w="28" w:type="dxa"/>
              <w:bottom w:w="57" w:type="dxa"/>
              <w:right w:w="28" w:type="dxa"/>
            </w:tcMar>
            <w:vAlign w:val="center"/>
          </w:tcPr>
          <w:p>
            <w:pPr>
              <w:spacing w:line="480" w:lineRule="exact"/>
              <w:rPr>
                <w:rFonts w:ascii="宋体" w:hAnsi="宋体" w:cs="宋体"/>
                <w:color w:val="auto"/>
                <w:sz w:val="28"/>
                <w:szCs w:val="28"/>
                <w:highlight w:val="none"/>
              </w:rPr>
            </w:pPr>
          </w:p>
        </w:tc>
        <w:tc>
          <w:tcPr>
            <w:tcW w:w="1319" w:type="dxa"/>
            <w:tcMar>
              <w:top w:w="57" w:type="dxa"/>
              <w:left w:w="28" w:type="dxa"/>
              <w:bottom w:w="57" w:type="dxa"/>
              <w:right w:w="28" w:type="dxa"/>
            </w:tcMar>
            <w:vAlign w:val="center"/>
          </w:tcPr>
          <w:p>
            <w:pPr>
              <w:spacing w:line="480" w:lineRule="exact"/>
              <w:ind w:left="210" w:leftChars="100"/>
              <w:rPr>
                <w:rFonts w:ascii="宋体" w:hAnsi="宋体" w:cs="宋体"/>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ascii="宋体" w:hAnsi="宋体" w:cs="宋体"/>
                <w:color w:val="auto"/>
                <w:sz w:val="28"/>
                <w:szCs w:val="28"/>
                <w:highlight w:val="none"/>
              </w:rPr>
            </w:pPr>
          </w:p>
        </w:tc>
        <w:tc>
          <w:tcPr>
            <w:tcW w:w="986" w:type="dxa"/>
            <w:tcMar>
              <w:top w:w="57" w:type="dxa"/>
              <w:left w:w="28" w:type="dxa"/>
              <w:bottom w:w="57" w:type="dxa"/>
              <w:right w:w="28" w:type="dxa"/>
            </w:tcMar>
            <w:vAlign w:val="center"/>
          </w:tcPr>
          <w:p>
            <w:pPr>
              <w:spacing w:line="480" w:lineRule="exact"/>
              <w:ind w:left="210" w:leftChars="100"/>
              <w:rPr>
                <w:rFonts w:ascii="宋体" w:hAnsi="宋体" w:cs="宋体"/>
                <w:color w:val="auto"/>
                <w:sz w:val="28"/>
                <w:szCs w:val="28"/>
                <w:highlight w:val="none"/>
              </w:rPr>
            </w:pPr>
          </w:p>
        </w:tc>
        <w:tc>
          <w:tcPr>
            <w:tcW w:w="1897" w:type="dxa"/>
            <w:tcMar>
              <w:top w:w="57" w:type="dxa"/>
              <w:left w:w="28" w:type="dxa"/>
              <w:bottom w:w="57" w:type="dxa"/>
              <w:right w:w="28" w:type="dxa"/>
            </w:tcMar>
            <w:vAlign w:val="center"/>
          </w:tcPr>
          <w:p>
            <w:pPr>
              <w:spacing w:line="480" w:lineRule="exact"/>
              <w:ind w:left="210" w:leftChars="100"/>
              <w:rPr>
                <w:rFonts w:ascii="宋体" w:hAnsi="宋体" w:cs="宋体"/>
                <w:color w:val="auto"/>
                <w:sz w:val="28"/>
                <w:szCs w:val="28"/>
                <w:highlight w:val="none"/>
              </w:rPr>
            </w:pPr>
          </w:p>
        </w:tc>
        <w:tc>
          <w:tcPr>
            <w:tcW w:w="2659" w:type="dxa"/>
            <w:tcMar>
              <w:top w:w="57" w:type="dxa"/>
              <w:left w:w="28" w:type="dxa"/>
              <w:bottom w:w="57" w:type="dxa"/>
              <w:right w:w="28" w:type="dxa"/>
            </w:tcMar>
            <w:vAlign w:val="center"/>
          </w:tcPr>
          <w:p>
            <w:pPr>
              <w:spacing w:line="480" w:lineRule="exact"/>
              <w:ind w:left="210" w:leftChars="100"/>
              <w:rPr>
                <w:rFonts w:ascii="宋体" w:hAnsi="宋体" w:cs="宋体"/>
                <w:color w:val="auto"/>
                <w:sz w:val="28"/>
                <w:szCs w:val="28"/>
                <w:highlight w:val="none"/>
              </w:rPr>
            </w:pPr>
          </w:p>
        </w:tc>
        <w:tc>
          <w:tcPr>
            <w:tcW w:w="1689" w:type="dxa"/>
            <w:tcMar>
              <w:top w:w="57" w:type="dxa"/>
              <w:left w:w="28" w:type="dxa"/>
              <w:bottom w:w="57" w:type="dxa"/>
              <w:right w:w="28" w:type="dxa"/>
            </w:tcMar>
            <w:vAlign w:val="center"/>
          </w:tcPr>
          <w:p>
            <w:pPr>
              <w:spacing w:line="480" w:lineRule="exact"/>
              <w:rPr>
                <w:rFonts w:ascii="宋体" w:hAnsi="宋体" w:cs="宋体"/>
                <w:color w:val="auto"/>
                <w:sz w:val="28"/>
                <w:szCs w:val="28"/>
                <w:highlight w:val="none"/>
              </w:rPr>
            </w:pPr>
          </w:p>
        </w:tc>
        <w:tc>
          <w:tcPr>
            <w:tcW w:w="1319" w:type="dxa"/>
            <w:tcMar>
              <w:top w:w="57" w:type="dxa"/>
              <w:left w:w="28" w:type="dxa"/>
              <w:bottom w:w="57" w:type="dxa"/>
              <w:right w:w="28" w:type="dxa"/>
            </w:tcMar>
            <w:vAlign w:val="center"/>
          </w:tcPr>
          <w:p>
            <w:pPr>
              <w:spacing w:line="480" w:lineRule="exact"/>
              <w:ind w:left="210" w:leftChars="100"/>
              <w:rPr>
                <w:rFonts w:ascii="宋体" w:hAnsi="宋体" w:cs="宋体"/>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ascii="宋体" w:hAnsi="宋体" w:cs="宋体"/>
                <w:color w:val="auto"/>
                <w:sz w:val="28"/>
                <w:szCs w:val="28"/>
                <w:highlight w:val="none"/>
              </w:rPr>
            </w:pPr>
          </w:p>
        </w:tc>
        <w:tc>
          <w:tcPr>
            <w:tcW w:w="986" w:type="dxa"/>
            <w:tcMar>
              <w:top w:w="57" w:type="dxa"/>
              <w:left w:w="28" w:type="dxa"/>
              <w:bottom w:w="57" w:type="dxa"/>
              <w:right w:w="28" w:type="dxa"/>
            </w:tcMar>
            <w:vAlign w:val="center"/>
          </w:tcPr>
          <w:p>
            <w:pPr>
              <w:spacing w:line="480" w:lineRule="exact"/>
              <w:ind w:left="210" w:leftChars="100"/>
              <w:rPr>
                <w:rFonts w:ascii="宋体" w:hAnsi="宋体" w:cs="宋体"/>
                <w:color w:val="auto"/>
                <w:sz w:val="28"/>
                <w:szCs w:val="28"/>
                <w:highlight w:val="none"/>
              </w:rPr>
            </w:pPr>
          </w:p>
        </w:tc>
        <w:tc>
          <w:tcPr>
            <w:tcW w:w="1897" w:type="dxa"/>
            <w:tcMar>
              <w:top w:w="57" w:type="dxa"/>
              <w:left w:w="28" w:type="dxa"/>
              <w:bottom w:w="57" w:type="dxa"/>
              <w:right w:w="28" w:type="dxa"/>
            </w:tcMar>
            <w:vAlign w:val="center"/>
          </w:tcPr>
          <w:p>
            <w:pPr>
              <w:spacing w:line="480" w:lineRule="exact"/>
              <w:ind w:left="210" w:leftChars="100"/>
              <w:rPr>
                <w:rFonts w:ascii="宋体" w:hAnsi="宋体" w:cs="宋体"/>
                <w:color w:val="auto"/>
                <w:sz w:val="28"/>
                <w:szCs w:val="28"/>
                <w:highlight w:val="none"/>
              </w:rPr>
            </w:pPr>
          </w:p>
        </w:tc>
        <w:tc>
          <w:tcPr>
            <w:tcW w:w="2659" w:type="dxa"/>
            <w:tcMar>
              <w:top w:w="57" w:type="dxa"/>
              <w:left w:w="28" w:type="dxa"/>
              <w:bottom w:w="57" w:type="dxa"/>
              <w:right w:w="28" w:type="dxa"/>
            </w:tcMar>
            <w:vAlign w:val="center"/>
          </w:tcPr>
          <w:p>
            <w:pPr>
              <w:spacing w:line="480" w:lineRule="exact"/>
              <w:ind w:left="210" w:leftChars="100"/>
              <w:rPr>
                <w:rFonts w:ascii="宋体" w:hAnsi="宋体" w:cs="宋体"/>
                <w:color w:val="auto"/>
                <w:sz w:val="28"/>
                <w:szCs w:val="28"/>
                <w:highlight w:val="none"/>
              </w:rPr>
            </w:pPr>
          </w:p>
        </w:tc>
        <w:tc>
          <w:tcPr>
            <w:tcW w:w="1689" w:type="dxa"/>
            <w:tcMar>
              <w:top w:w="57" w:type="dxa"/>
              <w:left w:w="28" w:type="dxa"/>
              <w:bottom w:w="57" w:type="dxa"/>
              <w:right w:w="28" w:type="dxa"/>
            </w:tcMar>
            <w:vAlign w:val="center"/>
          </w:tcPr>
          <w:p>
            <w:pPr>
              <w:spacing w:line="480" w:lineRule="exact"/>
              <w:rPr>
                <w:rFonts w:ascii="宋体" w:hAnsi="宋体" w:cs="宋体"/>
                <w:color w:val="auto"/>
                <w:sz w:val="28"/>
                <w:szCs w:val="28"/>
                <w:highlight w:val="none"/>
              </w:rPr>
            </w:pPr>
          </w:p>
        </w:tc>
        <w:tc>
          <w:tcPr>
            <w:tcW w:w="1319" w:type="dxa"/>
            <w:tcMar>
              <w:top w:w="57" w:type="dxa"/>
              <w:left w:w="28" w:type="dxa"/>
              <w:bottom w:w="57" w:type="dxa"/>
              <w:right w:w="28" w:type="dxa"/>
            </w:tcMar>
            <w:vAlign w:val="center"/>
          </w:tcPr>
          <w:p>
            <w:pPr>
              <w:spacing w:line="480" w:lineRule="exact"/>
              <w:ind w:left="210" w:leftChars="100"/>
              <w:rPr>
                <w:rFonts w:ascii="宋体" w:hAnsi="宋体" w:cs="宋体"/>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ascii="宋体" w:hAnsi="宋体" w:cs="宋体"/>
                <w:color w:val="auto"/>
                <w:sz w:val="28"/>
                <w:szCs w:val="28"/>
                <w:highlight w:val="none"/>
              </w:rPr>
            </w:pPr>
          </w:p>
        </w:tc>
        <w:tc>
          <w:tcPr>
            <w:tcW w:w="986" w:type="dxa"/>
            <w:tcMar>
              <w:top w:w="57" w:type="dxa"/>
              <w:left w:w="28" w:type="dxa"/>
              <w:bottom w:w="57" w:type="dxa"/>
              <w:right w:w="28" w:type="dxa"/>
            </w:tcMar>
            <w:vAlign w:val="center"/>
          </w:tcPr>
          <w:p>
            <w:pPr>
              <w:spacing w:line="480" w:lineRule="exact"/>
              <w:ind w:left="210" w:leftChars="100"/>
              <w:rPr>
                <w:rFonts w:ascii="宋体" w:hAnsi="宋体" w:cs="宋体"/>
                <w:color w:val="auto"/>
                <w:sz w:val="28"/>
                <w:szCs w:val="28"/>
                <w:highlight w:val="none"/>
              </w:rPr>
            </w:pPr>
          </w:p>
        </w:tc>
        <w:tc>
          <w:tcPr>
            <w:tcW w:w="1897" w:type="dxa"/>
            <w:tcMar>
              <w:top w:w="57" w:type="dxa"/>
              <w:left w:w="28" w:type="dxa"/>
              <w:bottom w:w="57" w:type="dxa"/>
              <w:right w:w="28" w:type="dxa"/>
            </w:tcMar>
            <w:vAlign w:val="center"/>
          </w:tcPr>
          <w:p>
            <w:pPr>
              <w:spacing w:line="480" w:lineRule="exact"/>
              <w:ind w:left="210" w:leftChars="100"/>
              <w:rPr>
                <w:rFonts w:ascii="宋体" w:hAnsi="宋体" w:cs="宋体"/>
                <w:color w:val="auto"/>
                <w:sz w:val="28"/>
                <w:szCs w:val="28"/>
                <w:highlight w:val="none"/>
              </w:rPr>
            </w:pPr>
          </w:p>
        </w:tc>
        <w:tc>
          <w:tcPr>
            <w:tcW w:w="2659" w:type="dxa"/>
            <w:tcMar>
              <w:top w:w="57" w:type="dxa"/>
              <w:left w:w="28" w:type="dxa"/>
              <w:bottom w:w="57" w:type="dxa"/>
              <w:right w:w="28" w:type="dxa"/>
            </w:tcMar>
            <w:vAlign w:val="center"/>
          </w:tcPr>
          <w:p>
            <w:pPr>
              <w:spacing w:line="480" w:lineRule="exact"/>
              <w:ind w:left="210" w:leftChars="100"/>
              <w:rPr>
                <w:rFonts w:ascii="宋体" w:hAnsi="宋体" w:cs="宋体"/>
                <w:color w:val="auto"/>
                <w:sz w:val="28"/>
                <w:szCs w:val="28"/>
                <w:highlight w:val="none"/>
              </w:rPr>
            </w:pPr>
          </w:p>
        </w:tc>
        <w:tc>
          <w:tcPr>
            <w:tcW w:w="1689" w:type="dxa"/>
            <w:tcMar>
              <w:top w:w="57" w:type="dxa"/>
              <w:left w:w="28" w:type="dxa"/>
              <w:bottom w:w="57" w:type="dxa"/>
              <w:right w:w="28" w:type="dxa"/>
            </w:tcMar>
            <w:vAlign w:val="center"/>
          </w:tcPr>
          <w:p>
            <w:pPr>
              <w:spacing w:line="480" w:lineRule="exact"/>
              <w:rPr>
                <w:rFonts w:ascii="宋体" w:hAnsi="宋体" w:cs="宋体"/>
                <w:color w:val="auto"/>
                <w:sz w:val="28"/>
                <w:szCs w:val="28"/>
                <w:highlight w:val="none"/>
              </w:rPr>
            </w:pPr>
          </w:p>
        </w:tc>
        <w:tc>
          <w:tcPr>
            <w:tcW w:w="1319" w:type="dxa"/>
            <w:tcMar>
              <w:top w:w="57" w:type="dxa"/>
              <w:left w:w="28" w:type="dxa"/>
              <w:bottom w:w="57" w:type="dxa"/>
              <w:right w:w="28" w:type="dxa"/>
            </w:tcMar>
            <w:vAlign w:val="center"/>
          </w:tcPr>
          <w:p>
            <w:pPr>
              <w:spacing w:line="480" w:lineRule="exact"/>
              <w:ind w:left="210" w:leftChars="100"/>
              <w:rPr>
                <w:rFonts w:ascii="宋体" w:hAnsi="宋体" w:cs="宋体"/>
                <w:color w:val="auto"/>
                <w:sz w:val="28"/>
                <w:szCs w:val="28"/>
                <w:highlight w:val="none"/>
              </w:rPr>
            </w:pPr>
          </w:p>
        </w:tc>
      </w:tr>
    </w:tbl>
    <w:p>
      <w:pPr>
        <w:autoSpaceDE w:val="0"/>
        <w:autoSpaceDN w:val="0"/>
        <w:adjustRightInd w:val="0"/>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注：</w:t>
      </w:r>
      <w:r>
        <w:rPr>
          <w:rFonts w:hint="eastAsia" w:ascii="宋体" w:hAnsi="宋体" w:cs="宋体"/>
          <w:color w:val="auto"/>
          <w:sz w:val="24"/>
          <w:highlight w:val="none"/>
        </w:rPr>
        <w:t>1、请按项目的实际技术参数，逐条对应招标文件的“招标内容及技术要求”，认真填写本表。偏离情况填写：优于、等于，偏离说明对偏离情况做出详细说明。</w:t>
      </w:r>
    </w:p>
    <w:p>
      <w:pPr>
        <w:autoSpaceDE w:val="0"/>
        <w:autoSpaceDN w:val="0"/>
        <w:adjustRightInd w:val="0"/>
        <w:spacing w:line="36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2、投标人应按实际情况填写，不得完全照抄、复制招标文件技术参数要求。</w:t>
      </w: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r>
        <w:rPr>
          <w:rFonts w:hint="eastAsia" w:ascii="宋体" w:hAnsi="宋体" w:cs="宋体"/>
          <w:color w:val="auto"/>
          <w:sz w:val="24"/>
          <w:highlight w:val="none"/>
        </w:rPr>
        <w:t>投标人（公章）：</w:t>
      </w:r>
    </w:p>
    <w:p>
      <w:pPr>
        <w:rPr>
          <w:rFonts w:ascii="宋体" w:hAnsi="宋体" w:cs="宋体"/>
          <w:color w:val="auto"/>
          <w:sz w:val="24"/>
          <w:highlight w:val="none"/>
        </w:rPr>
      </w:pPr>
    </w:p>
    <w:p>
      <w:pPr>
        <w:rPr>
          <w:rFonts w:ascii="宋体" w:hAnsi="宋体" w:cs="宋体"/>
          <w:color w:val="auto"/>
          <w:sz w:val="24"/>
          <w:highlight w:val="none"/>
          <w:u w:val="single"/>
        </w:rPr>
      </w:pPr>
      <w:r>
        <w:rPr>
          <w:rFonts w:hint="eastAsia" w:ascii="宋体" w:hAnsi="宋体" w:cs="宋体"/>
          <w:color w:val="auto"/>
          <w:sz w:val="24"/>
          <w:highlight w:val="none"/>
        </w:rPr>
        <w:t xml:space="preserve">法定代表人/被授权人（签字或盖章）： </w:t>
      </w:r>
    </w:p>
    <w:p>
      <w:pPr>
        <w:rPr>
          <w:rFonts w:ascii="宋体" w:hAnsi="宋体" w:cs="宋体"/>
          <w:bCs/>
          <w:color w:val="auto"/>
          <w:highlight w:val="none"/>
        </w:rPr>
      </w:pPr>
    </w:p>
    <w:p>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pPr>
        <w:adjustRightInd w:val="0"/>
        <w:snapToGrid w:val="0"/>
        <w:spacing w:line="360" w:lineRule="auto"/>
        <w:rPr>
          <w:rFonts w:ascii="宋体" w:hAnsi="宋体" w:cs="宋体"/>
          <w:color w:val="auto"/>
          <w:highlight w:val="none"/>
          <w:u w:val="single"/>
        </w:rPr>
      </w:pPr>
      <w:r>
        <w:rPr>
          <w:rFonts w:hint="eastAsia" w:ascii="宋体" w:hAnsi="宋体" w:cs="宋体"/>
          <w:color w:val="auto"/>
          <w:sz w:val="24"/>
          <w:highlight w:val="none"/>
        </w:rPr>
        <w:t>附表3</w:t>
      </w:r>
    </w:p>
    <w:p>
      <w:pPr>
        <w:adjustRightInd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商务及合同主要条款响应说明</w:t>
      </w:r>
    </w:p>
    <w:p>
      <w:pPr>
        <w:kinsoku w:val="0"/>
        <w:spacing w:line="500" w:lineRule="exact"/>
        <w:ind w:left="-359" w:leftChars="-171" w:firstLine="358"/>
        <w:rPr>
          <w:rFonts w:ascii="宋体" w:hAnsi="宋体" w:cs="宋体"/>
          <w:b/>
          <w:color w:val="auto"/>
          <w:sz w:val="24"/>
          <w:highlight w:val="none"/>
        </w:rPr>
      </w:pPr>
      <w:r>
        <w:rPr>
          <w:rFonts w:hint="eastAsia" w:ascii="宋体" w:hAnsi="宋体" w:cs="宋体"/>
          <w:color w:val="auto"/>
          <w:sz w:val="24"/>
          <w:highlight w:val="none"/>
        </w:rPr>
        <w:t xml:space="preserve">项目名称：                                              </w:t>
      </w:r>
    </w:p>
    <w:p>
      <w:pPr>
        <w:kinsoku w:val="0"/>
        <w:spacing w:line="540" w:lineRule="exact"/>
        <w:ind w:left="-359" w:leftChars="-171" w:firstLine="357"/>
        <w:rPr>
          <w:rFonts w:ascii="宋体" w:hAnsi="宋体" w:cs="宋体"/>
          <w:b/>
          <w:color w:val="auto"/>
          <w:sz w:val="24"/>
          <w:highlight w:val="none"/>
        </w:rPr>
      </w:pPr>
      <w:r>
        <w:rPr>
          <w:rFonts w:hint="eastAsia" w:ascii="宋体" w:hAnsi="宋体" w:cs="宋体"/>
          <w:color w:val="auto"/>
          <w:sz w:val="24"/>
          <w:highlight w:val="none"/>
        </w:rPr>
        <w:t>投标人：</w:t>
      </w:r>
    </w:p>
    <w:tbl>
      <w:tblPr>
        <w:tblStyle w:val="19"/>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451"/>
        <w:gridCol w:w="3015"/>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firstLine="120" w:firstLineChars="50"/>
              <w:rPr>
                <w:rFonts w:ascii="宋体" w:hAnsi="宋体" w:cs="宋体"/>
                <w:color w:val="auto"/>
                <w:sz w:val="24"/>
                <w:highlight w:val="none"/>
              </w:rPr>
            </w:pPr>
            <w:r>
              <w:rPr>
                <w:rFonts w:hint="eastAsia" w:ascii="宋体" w:hAnsi="宋体" w:cs="宋体"/>
                <w:color w:val="auto"/>
                <w:sz w:val="24"/>
                <w:highlight w:val="none"/>
              </w:rPr>
              <w:t>序号</w:t>
            </w:r>
          </w:p>
        </w:tc>
        <w:tc>
          <w:tcPr>
            <w:tcW w:w="3451" w:type="dxa"/>
            <w:vAlign w:val="center"/>
          </w:tcPr>
          <w:p>
            <w:pPr>
              <w:spacing w:line="560" w:lineRule="exact"/>
              <w:ind w:right="-168" w:rightChars="-80"/>
              <w:jc w:val="center"/>
              <w:rPr>
                <w:rFonts w:ascii="宋体" w:hAnsi="宋体" w:cs="宋体"/>
                <w:color w:val="auto"/>
                <w:sz w:val="24"/>
                <w:highlight w:val="none"/>
              </w:rPr>
            </w:pPr>
            <w:r>
              <w:rPr>
                <w:rFonts w:hint="eastAsia" w:ascii="宋体" w:hAnsi="宋体" w:cs="宋体"/>
                <w:color w:val="auto"/>
                <w:sz w:val="24"/>
                <w:highlight w:val="none"/>
              </w:rPr>
              <w:t>招标文件商务要求</w:t>
            </w:r>
          </w:p>
        </w:tc>
        <w:tc>
          <w:tcPr>
            <w:tcW w:w="3015" w:type="dxa"/>
            <w:vAlign w:val="center"/>
          </w:tcPr>
          <w:p>
            <w:pPr>
              <w:spacing w:line="560" w:lineRule="exact"/>
              <w:ind w:right="-168" w:rightChars="-80" w:firstLine="360" w:firstLineChars="150"/>
              <w:rPr>
                <w:rFonts w:ascii="宋体" w:hAnsi="宋体" w:cs="宋体"/>
                <w:color w:val="auto"/>
                <w:sz w:val="24"/>
                <w:highlight w:val="none"/>
              </w:rPr>
            </w:pPr>
            <w:r>
              <w:rPr>
                <w:rFonts w:hint="eastAsia" w:ascii="宋体" w:hAnsi="宋体" w:cs="宋体"/>
                <w:color w:val="auto"/>
                <w:sz w:val="24"/>
                <w:highlight w:val="none"/>
              </w:rPr>
              <w:t>投标文件商务响应</w:t>
            </w:r>
          </w:p>
        </w:tc>
        <w:tc>
          <w:tcPr>
            <w:tcW w:w="1881" w:type="dxa"/>
            <w:vAlign w:val="center"/>
          </w:tcPr>
          <w:p>
            <w:pPr>
              <w:spacing w:line="560" w:lineRule="exact"/>
              <w:ind w:right="-168" w:rightChars="-80" w:firstLine="360" w:firstLineChars="150"/>
              <w:rPr>
                <w:rFonts w:ascii="宋体" w:hAnsi="宋体" w:cs="宋体"/>
                <w:color w:val="auto"/>
                <w:sz w:val="24"/>
                <w:highlight w:val="none"/>
              </w:rPr>
            </w:pPr>
            <w:r>
              <w:rPr>
                <w:rFonts w:hint="eastAsia" w:ascii="宋体" w:hAnsi="宋体" w:cs="宋体"/>
                <w:color w:val="auto"/>
                <w:sz w:val="24"/>
                <w:highlight w:val="none"/>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ascii="宋体" w:hAnsi="宋体" w:cs="宋体"/>
                <w:color w:val="auto"/>
                <w:sz w:val="24"/>
                <w:highlight w:val="none"/>
              </w:rPr>
            </w:pPr>
          </w:p>
        </w:tc>
        <w:tc>
          <w:tcPr>
            <w:tcW w:w="3451" w:type="dxa"/>
            <w:vAlign w:val="center"/>
          </w:tcPr>
          <w:p>
            <w:pPr>
              <w:spacing w:line="560" w:lineRule="exact"/>
              <w:ind w:right="-168" w:rightChars="-80"/>
              <w:jc w:val="center"/>
              <w:rPr>
                <w:rFonts w:ascii="宋体" w:hAnsi="宋体" w:cs="宋体"/>
                <w:color w:val="auto"/>
                <w:sz w:val="24"/>
                <w:highlight w:val="none"/>
              </w:rPr>
            </w:pPr>
          </w:p>
        </w:tc>
        <w:tc>
          <w:tcPr>
            <w:tcW w:w="3015" w:type="dxa"/>
            <w:vAlign w:val="center"/>
          </w:tcPr>
          <w:p>
            <w:pPr>
              <w:spacing w:line="560" w:lineRule="exact"/>
              <w:ind w:right="-168" w:rightChars="-80"/>
              <w:jc w:val="center"/>
              <w:rPr>
                <w:rFonts w:ascii="宋体" w:hAnsi="宋体" w:cs="宋体"/>
                <w:color w:val="auto"/>
                <w:sz w:val="24"/>
                <w:highlight w:val="none"/>
              </w:rPr>
            </w:pPr>
          </w:p>
        </w:tc>
        <w:tc>
          <w:tcPr>
            <w:tcW w:w="1881" w:type="dxa"/>
            <w:vAlign w:val="center"/>
          </w:tcPr>
          <w:p>
            <w:pPr>
              <w:spacing w:line="560" w:lineRule="exact"/>
              <w:ind w:right="-168" w:rightChars="-8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ascii="宋体" w:hAnsi="宋体" w:cs="宋体"/>
                <w:color w:val="auto"/>
                <w:sz w:val="24"/>
                <w:highlight w:val="none"/>
              </w:rPr>
            </w:pPr>
          </w:p>
        </w:tc>
        <w:tc>
          <w:tcPr>
            <w:tcW w:w="3451" w:type="dxa"/>
            <w:vAlign w:val="center"/>
          </w:tcPr>
          <w:p>
            <w:pPr>
              <w:spacing w:line="560" w:lineRule="exact"/>
              <w:ind w:right="-168" w:rightChars="-80"/>
              <w:jc w:val="center"/>
              <w:rPr>
                <w:rFonts w:ascii="宋体" w:hAnsi="宋体" w:cs="宋体"/>
                <w:color w:val="auto"/>
                <w:sz w:val="24"/>
                <w:highlight w:val="none"/>
              </w:rPr>
            </w:pPr>
          </w:p>
        </w:tc>
        <w:tc>
          <w:tcPr>
            <w:tcW w:w="3015" w:type="dxa"/>
            <w:vAlign w:val="center"/>
          </w:tcPr>
          <w:p>
            <w:pPr>
              <w:spacing w:line="560" w:lineRule="exact"/>
              <w:ind w:right="-168" w:rightChars="-80"/>
              <w:jc w:val="center"/>
              <w:rPr>
                <w:rFonts w:ascii="宋体" w:hAnsi="宋体" w:cs="宋体"/>
                <w:color w:val="auto"/>
                <w:sz w:val="24"/>
                <w:highlight w:val="none"/>
              </w:rPr>
            </w:pPr>
          </w:p>
        </w:tc>
        <w:tc>
          <w:tcPr>
            <w:tcW w:w="1881" w:type="dxa"/>
            <w:vAlign w:val="center"/>
          </w:tcPr>
          <w:p>
            <w:pPr>
              <w:spacing w:line="560" w:lineRule="exact"/>
              <w:ind w:right="-168" w:rightChars="-8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ascii="宋体" w:hAnsi="宋体" w:cs="宋体"/>
                <w:color w:val="auto"/>
                <w:sz w:val="24"/>
                <w:highlight w:val="none"/>
              </w:rPr>
            </w:pPr>
          </w:p>
        </w:tc>
        <w:tc>
          <w:tcPr>
            <w:tcW w:w="3451" w:type="dxa"/>
            <w:vAlign w:val="center"/>
          </w:tcPr>
          <w:p>
            <w:pPr>
              <w:spacing w:line="560" w:lineRule="exact"/>
              <w:ind w:right="-168" w:rightChars="-80"/>
              <w:jc w:val="center"/>
              <w:rPr>
                <w:rFonts w:ascii="宋体" w:hAnsi="宋体" w:cs="宋体"/>
                <w:color w:val="auto"/>
                <w:sz w:val="24"/>
                <w:highlight w:val="none"/>
              </w:rPr>
            </w:pPr>
          </w:p>
        </w:tc>
        <w:tc>
          <w:tcPr>
            <w:tcW w:w="3015" w:type="dxa"/>
            <w:vAlign w:val="center"/>
          </w:tcPr>
          <w:p>
            <w:pPr>
              <w:spacing w:line="560" w:lineRule="exact"/>
              <w:ind w:right="-168" w:rightChars="-80"/>
              <w:jc w:val="center"/>
              <w:rPr>
                <w:rFonts w:ascii="宋体" w:hAnsi="宋体" w:cs="宋体"/>
                <w:color w:val="auto"/>
                <w:sz w:val="24"/>
                <w:highlight w:val="none"/>
              </w:rPr>
            </w:pPr>
          </w:p>
        </w:tc>
        <w:tc>
          <w:tcPr>
            <w:tcW w:w="1881" w:type="dxa"/>
            <w:vAlign w:val="center"/>
          </w:tcPr>
          <w:p>
            <w:pPr>
              <w:spacing w:line="560" w:lineRule="exact"/>
              <w:ind w:right="-168" w:rightChars="-8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ascii="宋体" w:hAnsi="宋体" w:cs="宋体"/>
                <w:color w:val="auto"/>
                <w:sz w:val="24"/>
                <w:highlight w:val="none"/>
              </w:rPr>
            </w:pPr>
          </w:p>
        </w:tc>
        <w:tc>
          <w:tcPr>
            <w:tcW w:w="3451" w:type="dxa"/>
            <w:vAlign w:val="center"/>
          </w:tcPr>
          <w:p>
            <w:pPr>
              <w:spacing w:line="560" w:lineRule="exact"/>
              <w:ind w:right="-168" w:rightChars="-80"/>
              <w:jc w:val="center"/>
              <w:rPr>
                <w:rFonts w:ascii="宋体" w:hAnsi="宋体" w:cs="宋体"/>
                <w:color w:val="auto"/>
                <w:sz w:val="24"/>
                <w:highlight w:val="none"/>
              </w:rPr>
            </w:pPr>
          </w:p>
        </w:tc>
        <w:tc>
          <w:tcPr>
            <w:tcW w:w="3015" w:type="dxa"/>
            <w:vAlign w:val="center"/>
          </w:tcPr>
          <w:p>
            <w:pPr>
              <w:spacing w:line="560" w:lineRule="exact"/>
              <w:ind w:right="-168" w:rightChars="-80"/>
              <w:jc w:val="center"/>
              <w:rPr>
                <w:rFonts w:ascii="宋体" w:hAnsi="宋体" w:cs="宋体"/>
                <w:color w:val="auto"/>
                <w:sz w:val="24"/>
                <w:highlight w:val="none"/>
              </w:rPr>
            </w:pPr>
          </w:p>
        </w:tc>
        <w:tc>
          <w:tcPr>
            <w:tcW w:w="1881" w:type="dxa"/>
            <w:vAlign w:val="center"/>
          </w:tcPr>
          <w:p>
            <w:pPr>
              <w:spacing w:line="560" w:lineRule="exact"/>
              <w:ind w:right="-168" w:rightChars="-8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ascii="宋体" w:hAnsi="宋体" w:cs="宋体"/>
                <w:color w:val="auto"/>
                <w:sz w:val="24"/>
                <w:highlight w:val="none"/>
              </w:rPr>
            </w:pPr>
          </w:p>
        </w:tc>
        <w:tc>
          <w:tcPr>
            <w:tcW w:w="3451" w:type="dxa"/>
            <w:vAlign w:val="center"/>
          </w:tcPr>
          <w:p>
            <w:pPr>
              <w:spacing w:line="560" w:lineRule="exact"/>
              <w:ind w:right="-168" w:rightChars="-80"/>
              <w:jc w:val="center"/>
              <w:rPr>
                <w:rFonts w:ascii="宋体" w:hAnsi="宋体" w:cs="宋体"/>
                <w:color w:val="auto"/>
                <w:sz w:val="24"/>
                <w:highlight w:val="none"/>
              </w:rPr>
            </w:pPr>
          </w:p>
        </w:tc>
        <w:tc>
          <w:tcPr>
            <w:tcW w:w="3015" w:type="dxa"/>
            <w:vAlign w:val="center"/>
          </w:tcPr>
          <w:p>
            <w:pPr>
              <w:spacing w:line="560" w:lineRule="exact"/>
              <w:ind w:right="-168" w:rightChars="-80"/>
              <w:jc w:val="center"/>
              <w:rPr>
                <w:rFonts w:ascii="宋体" w:hAnsi="宋体" w:cs="宋体"/>
                <w:color w:val="auto"/>
                <w:sz w:val="24"/>
                <w:highlight w:val="none"/>
              </w:rPr>
            </w:pPr>
          </w:p>
        </w:tc>
        <w:tc>
          <w:tcPr>
            <w:tcW w:w="1881" w:type="dxa"/>
            <w:vAlign w:val="center"/>
          </w:tcPr>
          <w:p>
            <w:pPr>
              <w:spacing w:line="560" w:lineRule="exact"/>
              <w:ind w:right="-168" w:rightChars="-8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ascii="宋体" w:hAnsi="宋体" w:cs="宋体"/>
                <w:color w:val="auto"/>
                <w:sz w:val="24"/>
                <w:highlight w:val="none"/>
              </w:rPr>
            </w:pPr>
          </w:p>
        </w:tc>
        <w:tc>
          <w:tcPr>
            <w:tcW w:w="3451" w:type="dxa"/>
            <w:vAlign w:val="center"/>
          </w:tcPr>
          <w:p>
            <w:pPr>
              <w:spacing w:line="560" w:lineRule="exact"/>
              <w:ind w:right="-168" w:rightChars="-80"/>
              <w:jc w:val="center"/>
              <w:rPr>
                <w:rFonts w:ascii="宋体" w:hAnsi="宋体" w:cs="宋体"/>
                <w:color w:val="auto"/>
                <w:sz w:val="24"/>
                <w:highlight w:val="none"/>
              </w:rPr>
            </w:pPr>
          </w:p>
        </w:tc>
        <w:tc>
          <w:tcPr>
            <w:tcW w:w="3015" w:type="dxa"/>
            <w:vAlign w:val="center"/>
          </w:tcPr>
          <w:p>
            <w:pPr>
              <w:spacing w:line="560" w:lineRule="exact"/>
              <w:ind w:right="-168" w:rightChars="-80"/>
              <w:jc w:val="center"/>
              <w:rPr>
                <w:rFonts w:ascii="宋体" w:hAnsi="宋体" w:cs="宋体"/>
                <w:color w:val="auto"/>
                <w:sz w:val="24"/>
                <w:highlight w:val="none"/>
              </w:rPr>
            </w:pPr>
          </w:p>
        </w:tc>
        <w:tc>
          <w:tcPr>
            <w:tcW w:w="1881" w:type="dxa"/>
            <w:vAlign w:val="center"/>
          </w:tcPr>
          <w:p>
            <w:pPr>
              <w:spacing w:line="560" w:lineRule="exact"/>
              <w:ind w:right="-168" w:rightChars="-8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ascii="宋体" w:hAnsi="宋体" w:cs="宋体"/>
                <w:color w:val="auto"/>
                <w:sz w:val="24"/>
                <w:highlight w:val="none"/>
              </w:rPr>
            </w:pPr>
          </w:p>
        </w:tc>
        <w:tc>
          <w:tcPr>
            <w:tcW w:w="3451" w:type="dxa"/>
            <w:vAlign w:val="center"/>
          </w:tcPr>
          <w:p>
            <w:pPr>
              <w:spacing w:line="560" w:lineRule="exact"/>
              <w:ind w:right="-168" w:rightChars="-80"/>
              <w:jc w:val="center"/>
              <w:rPr>
                <w:rFonts w:ascii="宋体" w:hAnsi="宋体" w:cs="宋体"/>
                <w:color w:val="auto"/>
                <w:sz w:val="24"/>
                <w:highlight w:val="none"/>
              </w:rPr>
            </w:pPr>
          </w:p>
        </w:tc>
        <w:tc>
          <w:tcPr>
            <w:tcW w:w="3015" w:type="dxa"/>
            <w:vAlign w:val="center"/>
          </w:tcPr>
          <w:p>
            <w:pPr>
              <w:spacing w:line="560" w:lineRule="exact"/>
              <w:ind w:right="-168" w:rightChars="-80"/>
              <w:jc w:val="center"/>
              <w:rPr>
                <w:rFonts w:ascii="宋体" w:hAnsi="宋体" w:cs="宋体"/>
                <w:color w:val="auto"/>
                <w:sz w:val="24"/>
                <w:highlight w:val="none"/>
              </w:rPr>
            </w:pPr>
          </w:p>
        </w:tc>
        <w:tc>
          <w:tcPr>
            <w:tcW w:w="1881" w:type="dxa"/>
            <w:vAlign w:val="center"/>
          </w:tcPr>
          <w:p>
            <w:pPr>
              <w:spacing w:line="560" w:lineRule="exact"/>
              <w:ind w:right="-168" w:rightChars="-8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ascii="宋体" w:hAnsi="宋体" w:cs="宋体"/>
                <w:color w:val="auto"/>
                <w:sz w:val="24"/>
                <w:highlight w:val="none"/>
              </w:rPr>
            </w:pPr>
          </w:p>
        </w:tc>
        <w:tc>
          <w:tcPr>
            <w:tcW w:w="3451" w:type="dxa"/>
            <w:vAlign w:val="center"/>
          </w:tcPr>
          <w:p>
            <w:pPr>
              <w:spacing w:line="560" w:lineRule="exact"/>
              <w:ind w:right="-168" w:rightChars="-80"/>
              <w:jc w:val="center"/>
              <w:rPr>
                <w:rFonts w:ascii="宋体" w:hAnsi="宋体" w:cs="宋体"/>
                <w:color w:val="auto"/>
                <w:sz w:val="24"/>
                <w:highlight w:val="none"/>
              </w:rPr>
            </w:pPr>
          </w:p>
        </w:tc>
        <w:tc>
          <w:tcPr>
            <w:tcW w:w="3015" w:type="dxa"/>
            <w:vAlign w:val="center"/>
          </w:tcPr>
          <w:p>
            <w:pPr>
              <w:spacing w:line="560" w:lineRule="exact"/>
              <w:ind w:right="-168" w:rightChars="-80"/>
              <w:jc w:val="center"/>
              <w:rPr>
                <w:rFonts w:ascii="宋体" w:hAnsi="宋体" w:cs="宋体"/>
                <w:color w:val="auto"/>
                <w:sz w:val="24"/>
                <w:highlight w:val="none"/>
              </w:rPr>
            </w:pPr>
          </w:p>
        </w:tc>
        <w:tc>
          <w:tcPr>
            <w:tcW w:w="1881" w:type="dxa"/>
            <w:vAlign w:val="center"/>
          </w:tcPr>
          <w:p>
            <w:pPr>
              <w:spacing w:line="560" w:lineRule="exact"/>
              <w:ind w:right="-168" w:rightChars="-8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ascii="宋体" w:hAnsi="宋体" w:cs="宋体"/>
                <w:color w:val="auto"/>
                <w:sz w:val="24"/>
                <w:highlight w:val="none"/>
              </w:rPr>
            </w:pPr>
          </w:p>
        </w:tc>
        <w:tc>
          <w:tcPr>
            <w:tcW w:w="3451" w:type="dxa"/>
            <w:vAlign w:val="center"/>
          </w:tcPr>
          <w:p>
            <w:pPr>
              <w:spacing w:line="560" w:lineRule="exact"/>
              <w:ind w:right="-168" w:rightChars="-80"/>
              <w:jc w:val="center"/>
              <w:rPr>
                <w:rFonts w:ascii="宋体" w:hAnsi="宋体" w:cs="宋体"/>
                <w:color w:val="auto"/>
                <w:sz w:val="24"/>
                <w:highlight w:val="none"/>
              </w:rPr>
            </w:pPr>
          </w:p>
        </w:tc>
        <w:tc>
          <w:tcPr>
            <w:tcW w:w="3015" w:type="dxa"/>
            <w:vAlign w:val="center"/>
          </w:tcPr>
          <w:p>
            <w:pPr>
              <w:spacing w:line="560" w:lineRule="exact"/>
              <w:ind w:right="-168" w:rightChars="-80"/>
              <w:jc w:val="center"/>
              <w:rPr>
                <w:rFonts w:ascii="宋体" w:hAnsi="宋体" w:cs="宋体"/>
                <w:color w:val="auto"/>
                <w:sz w:val="24"/>
                <w:highlight w:val="none"/>
              </w:rPr>
            </w:pPr>
          </w:p>
        </w:tc>
        <w:tc>
          <w:tcPr>
            <w:tcW w:w="1881" w:type="dxa"/>
            <w:vAlign w:val="center"/>
          </w:tcPr>
          <w:p>
            <w:pPr>
              <w:spacing w:line="560" w:lineRule="exact"/>
              <w:ind w:right="-168" w:rightChars="-8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ascii="宋体" w:hAnsi="宋体" w:cs="宋体"/>
                <w:color w:val="auto"/>
                <w:sz w:val="24"/>
                <w:highlight w:val="none"/>
              </w:rPr>
            </w:pPr>
          </w:p>
        </w:tc>
        <w:tc>
          <w:tcPr>
            <w:tcW w:w="3451" w:type="dxa"/>
            <w:vAlign w:val="center"/>
          </w:tcPr>
          <w:p>
            <w:pPr>
              <w:spacing w:line="560" w:lineRule="exact"/>
              <w:ind w:right="-168" w:rightChars="-80"/>
              <w:jc w:val="center"/>
              <w:rPr>
                <w:rFonts w:ascii="宋体" w:hAnsi="宋体" w:cs="宋体"/>
                <w:color w:val="auto"/>
                <w:sz w:val="24"/>
                <w:highlight w:val="none"/>
              </w:rPr>
            </w:pPr>
          </w:p>
        </w:tc>
        <w:tc>
          <w:tcPr>
            <w:tcW w:w="3015" w:type="dxa"/>
            <w:vAlign w:val="center"/>
          </w:tcPr>
          <w:p>
            <w:pPr>
              <w:spacing w:line="560" w:lineRule="exact"/>
              <w:ind w:right="-168" w:rightChars="-80"/>
              <w:jc w:val="center"/>
              <w:rPr>
                <w:rFonts w:ascii="宋体" w:hAnsi="宋体" w:cs="宋体"/>
                <w:color w:val="auto"/>
                <w:sz w:val="24"/>
                <w:highlight w:val="none"/>
              </w:rPr>
            </w:pPr>
          </w:p>
        </w:tc>
        <w:tc>
          <w:tcPr>
            <w:tcW w:w="1881" w:type="dxa"/>
            <w:vAlign w:val="center"/>
          </w:tcPr>
          <w:p>
            <w:pPr>
              <w:spacing w:line="560" w:lineRule="exact"/>
              <w:ind w:right="-168" w:rightChars="-8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ascii="宋体" w:hAnsi="宋体" w:cs="宋体"/>
                <w:color w:val="auto"/>
                <w:sz w:val="24"/>
                <w:highlight w:val="none"/>
              </w:rPr>
            </w:pPr>
          </w:p>
        </w:tc>
        <w:tc>
          <w:tcPr>
            <w:tcW w:w="3451" w:type="dxa"/>
            <w:vAlign w:val="center"/>
          </w:tcPr>
          <w:p>
            <w:pPr>
              <w:spacing w:line="560" w:lineRule="exact"/>
              <w:ind w:right="-168" w:rightChars="-80"/>
              <w:jc w:val="center"/>
              <w:rPr>
                <w:rFonts w:ascii="宋体" w:hAnsi="宋体" w:cs="宋体"/>
                <w:color w:val="auto"/>
                <w:sz w:val="24"/>
                <w:highlight w:val="none"/>
              </w:rPr>
            </w:pPr>
          </w:p>
        </w:tc>
        <w:tc>
          <w:tcPr>
            <w:tcW w:w="3015" w:type="dxa"/>
            <w:vAlign w:val="center"/>
          </w:tcPr>
          <w:p>
            <w:pPr>
              <w:spacing w:line="560" w:lineRule="exact"/>
              <w:ind w:right="-168" w:rightChars="-80"/>
              <w:jc w:val="center"/>
              <w:rPr>
                <w:rFonts w:ascii="宋体" w:hAnsi="宋体" w:cs="宋体"/>
                <w:color w:val="auto"/>
                <w:sz w:val="24"/>
                <w:highlight w:val="none"/>
              </w:rPr>
            </w:pPr>
          </w:p>
        </w:tc>
        <w:tc>
          <w:tcPr>
            <w:tcW w:w="1881" w:type="dxa"/>
            <w:vAlign w:val="center"/>
          </w:tcPr>
          <w:p>
            <w:pPr>
              <w:spacing w:line="560" w:lineRule="exact"/>
              <w:ind w:right="-168" w:rightChars="-8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ascii="宋体" w:hAnsi="宋体" w:cs="宋体"/>
                <w:color w:val="auto"/>
                <w:sz w:val="24"/>
                <w:highlight w:val="none"/>
              </w:rPr>
            </w:pPr>
          </w:p>
        </w:tc>
        <w:tc>
          <w:tcPr>
            <w:tcW w:w="3451" w:type="dxa"/>
            <w:vAlign w:val="center"/>
          </w:tcPr>
          <w:p>
            <w:pPr>
              <w:spacing w:line="560" w:lineRule="exact"/>
              <w:ind w:right="-168" w:rightChars="-80"/>
              <w:jc w:val="center"/>
              <w:rPr>
                <w:rFonts w:ascii="宋体" w:hAnsi="宋体" w:cs="宋体"/>
                <w:color w:val="auto"/>
                <w:sz w:val="24"/>
                <w:highlight w:val="none"/>
              </w:rPr>
            </w:pPr>
          </w:p>
        </w:tc>
        <w:tc>
          <w:tcPr>
            <w:tcW w:w="3015" w:type="dxa"/>
            <w:vAlign w:val="center"/>
          </w:tcPr>
          <w:p>
            <w:pPr>
              <w:spacing w:line="560" w:lineRule="exact"/>
              <w:ind w:right="-168" w:rightChars="-80"/>
              <w:jc w:val="center"/>
              <w:rPr>
                <w:rFonts w:ascii="宋体" w:hAnsi="宋体" w:cs="宋体"/>
                <w:color w:val="auto"/>
                <w:sz w:val="24"/>
                <w:highlight w:val="none"/>
              </w:rPr>
            </w:pPr>
          </w:p>
        </w:tc>
        <w:tc>
          <w:tcPr>
            <w:tcW w:w="1881" w:type="dxa"/>
            <w:vAlign w:val="center"/>
          </w:tcPr>
          <w:p>
            <w:pPr>
              <w:spacing w:line="560" w:lineRule="exact"/>
              <w:ind w:right="-168" w:rightChars="-8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ascii="宋体" w:hAnsi="宋体" w:cs="宋体"/>
                <w:color w:val="auto"/>
                <w:sz w:val="24"/>
                <w:highlight w:val="none"/>
              </w:rPr>
            </w:pPr>
          </w:p>
        </w:tc>
        <w:tc>
          <w:tcPr>
            <w:tcW w:w="3451" w:type="dxa"/>
            <w:vAlign w:val="center"/>
          </w:tcPr>
          <w:p>
            <w:pPr>
              <w:spacing w:line="560" w:lineRule="exact"/>
              <w:ind w:right="-168" w:rightChars="-80"/>
              <w:jc w:val="center"/>
              <w:rPr>
                <w:rFonts w:ascii="宋体" w:hAnsi="宋体" w:cs="宋体"/>
                <w:color w:val="auto"/>
                <w:sz w:val="24"/>
                <w:highlight w:val="none"/>
              </w:rPr>
            </w:pPr>
          </w:p>
        </w:tc>
        <w:tc>
          <w:tcPr>
            <w:tcW w:w="3015" w:type="dxa"/>
            <w:vAlign w:val="center"/>
          </w:tcPr>
          <w:p>
            <w:pPr>
              <w:spacing w:line="560" w:lineRule="exact"/>
              <w:ind w:right="-168" w:rightChars="-80"/>
              <w:jc w:val="center"/>
              <w:rPr>
                <w:rFonts w:ascii="宋体" w:hAnsi="宋体" w:cs="宋体"/>
                <w:color w:val="auto"/>
                <w:sz w:val="24"/>
                <w:highlight w:val="none"/>
              </w:rPr>
            </w:pPr>
          </w:p>
        </w:tc>
        <w:tc>
          <w:tcPr>
            <w:tcW w:w="1881" w:type="dxa"/>
            <w:vAlign w:val="center"/>
          </w:tcPr>
          <w:p>
            <w:pPr>
              <w:spacing w:line="560" w:lineRule="exact"/>
              <w:ind w:right="-168" w:rightChars="-8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ascii="宋体" w:hAnsi="宋体" w:cs="宋体"/>
                <w:color w:val="auto"/>
                <w:sz w:val="24"/>
                <w:highlight w:val="none"/>
              </w:rPr>
            </w:pPr>
          </w:p>
        </w:tc>
        <w:tc>
          <w:tcPr>
            <w:tcW w:w="3451" w:type="dxa"/>
            <w:vAlign w:val="center"/>
          </w:tcPr>
          <w:p>
            <w:pPr>
              <w:spacing w:line="560" w:lineRule="exact"/>
              <w:ind w:right="-168" w:rightChars="-80"/>
              <w:jc w:val="center"/>
              <w:rPr>
                <w:rFonts w:ascii="宋体" w:hAnsi="宋体" w:cs="宋体"/>
                <w:color w:val="auto"/>
                <w:sz w:val="24"/>
                <w:highlight w:val="none"/>
              </w:rPr>
            </w:pPr>
          </w:p>
        </w:tc>
        <w:tc>
          <w:tcPr>
            <w:tcW w:w="3015" w:type="dxa"/>
            <w:vAlign w:val="center"/>
          </w:tcPr>
          <w:p>
            <w:pPr>
              <w:spacing w:line="560" w:lineRule="exact"/>
              <w:ind w:right="-168" w:rightChars="-80"/>
              <w:jc w:val="center"/>
              <w:rPr>
                <w:rFonts w:ascii="宋体" w:hAnsi="宋体" w:cs="宋体"/>
                <w:color w:val="auto"/>
                <w:sz w:val="24"/>
                <w:highlight w:val="none"/>
              </w:rPr>
            </w:pPr>
          </w:p>
        </w:tc>
        <w:tc>
          <w:tcPr>
            <w:tcW w:w="1881" w:type="dxa"/>
            <w:vAlign w:val="center"/>
          </w:tcPr>
          <w:p>
            <w:pPr>
              <w:spacing w:line="560" w:lineRule="exact"/>
              <w:ind w:right="-168" w:rightChars="-8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ascii="宋体" w:hAnsi="宋体" w:cs="宋体"/>
                <w:color w:val="auto"/>
                <w:sz w:val="24"/>
                <w:highlight w:val="none"/>
              </w:rPr>
            </w:pPr>
          </w:p>
        </w:tc>
        <w:tc>
          <w:tcPr>
            <w:tcW w:w="3451" w:type="dxa"/>
            <w:vAlign w:val="center"/>
          </w:tcPr>
          <w:p>
            <w:pPr>
              <w:spacing w:line="560" w:lineRule="exact"/>
              <w:ind w:right="-168" w:rightChars="-80"/>
              <w:jc w:val="center"/>
              <w:rPr>
                <w:rFonts w:ascii="宋体" w:hAnsi="宋体" w:cs="宋体"/>
                <w:color w:val="auto"/>
                <w:sz w:val="24"/>
                <w:highlight w:val="none"/>
              </w:rPr>
            </w:pPr>
          </w:p>
        </w:tc>
        <w:tc>
          <w:tcPr>
            <w:tcW w:w="3015" w:type="dxa"/>
            <w:vAlign w:val="center"/>
          </w:tcPr>
          <w:p>
            <w:pPr>
              <w:spacing w:line="560" w:lineRule="exact"/>
              <w:ind w:right="-168" w:rightChars="-80"/>
              <w:jc w:val="center"/>
              <w:rPr>
                <w:rFonts w:ascii="宋体" w:hAnsi="宋体" w:cs="宋体"/>
                <w:color w:val="auto"/>
                <w:sz w:val="24"/>
                <w:highlight w:val="none"/>
              </w:rPr>
            </w:pPr>
          </w:p>
        </w:tc>
        <w:tc>
          <w:tcPr>
            <w:tcW w:w="1881" w:type="dxa"/>
            <w:vAlign w:val="center"/>
          </w:tcPr>
          <w:p>
            <w:pPr>
              <w:spacing w:line="560" w:lineRule="exact"/>
              <w:ind w:right="-168" w:rightChars="-80"/>
              <w:jc w:val="center"/>
              <w:rPr>
                <w:rFonts w:ascii="宋体" w:hAnsi="宋体" w:cs="宋体"/>
                <w:color w:val="auto"/>
                <w:sz w:val="24"/>
                <w:highlight w:val="none"/>
              </w:rPr>
            </w:pPr>
          </w:p>
        </w:tc>
      </w:tr>
    </w:tbl>
    <w:p>
      <w:pPr>
        <w:autoSpaceDE w:val="0"/>
        <w:autoSpaceDN w:val="0"/>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说明：</w:t>
      </w:r>
    </w:p>
    <w:p>
      <w:pPr>
        <w:autoSpaceDE w:val="0"/>
        <w:autoSpaceDN w:val="0"/>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1、投标文件根据第四部分商务及合同主要条款须逐条响应并如实填写。</w:t>
      </w:r>
    </w:p>
    <w:p>
      <w:pPr>
        <w:autoSpaceDE w:val="0"/>
        <w:autoSpaceDN w:val="0"/>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2、响应说明填写：优于、相同。</w:t>
      </w:r>
    </w:p>
    <w:p>
      <w:pPr>
        <w:pStyle w:val="8"/>
        <w:rPr>
          <w:rFonts w:hAnsi="宋体" w:cs="宋体"/>
          <w:color w:val="auto"/>
          <w:sz w:val="24"/>
          <w:szCs w:val="24"/>
          <w:highlight w:val="none"/>
        </w:rPr>
      </w:pPr>
    </w:p>
    <w:p>
      <w:pPr>
        <w:pStyle w:val="8"/>
        <w:rPr>
          <w:rFonts w:hAnsi="宋体" w:cs="宋体"/>
          <w:color w:val="auto"/>
          <w:sz w:val="24"/>
          <w:szCs w:val="24"/>
          <w:highlight w:val="none"/>
        </w:rPr>
      </w:pPr>
      <w:r>
        <w:rPr>
          <w:rFonts w:hint="eastAsia" w:hAnsi="宋体" w:cs="宋体"/>
          <w:color w:val="auto"/>
          <w:sz w:val="24"/>
          <w:szCs w:val="24"/>
          <w:highlight w:val="none"/>
        </w:rPr>
        <w:t>投标人（公章）：</w:t>
      </w:r>
    </w:p>
    <w:p>
      <w:pPr>
        <w:pStyle w:val="8"/>
        <w:rPr>
          <w:rFonts w:hAnsi="宋体" w:cs="宋体"/>
          <w:color w:val="auto"/>
          <w:sz w:val="24"/>
          <w:szCs w:val="24"/>
          <w:highlight w:val="none"/>
          <w:u w:val="single"/>
        </w:rPr>
      </w:pPr>
      <w:r>
        <w:rPr>
          <w:rFonts w:hint="eastAsia" w:hAnsi="宋体" w:cs="宋体"/>
          <w:color w:val="auto"/>
          <w:sz w:val="24"/>
          <w:szCs w:val="24"/>
          <w:highlight w:val="none"/>
        </w:rPr>
        <w:t>法定代表人/被授权人</w:t>
      </w:r>
      <w:r>
        <w:rPr>
          <w:rFonts w:hint="eastAsia" w:hAnsi="宋体" w:cs="宋体"/>
          <w:color w:val="auto"/>
          <w:sz w:val="24"/>
          <w:highlight w:val="none"/>
        </w:rPr>
        <w:t>（签字或盖章）</w:t>
      </w:r>
      <w:r>
        <w:rPr>
          <w:rFonts w:hint="eastAsia" w:hAnsi="宋体" w:cs="宋体"/>
          <w:color w:val="auto"/>
          <w:sz w:val="24"/>
          <w:szCs w:val="24"/>
          <w:highlight w:val="none"/>
        </w:rPr>
        <w:t>：</w:t>
      </w:r>
    </w:p>
    <w:p>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pPr>
        <w:spacing w:line="360" w:lineRule="atLeast"/>
        <w:jc w:val="center"/>
        <w:outlineLvl w:val="0"/>
        <w:rPr>
          <w:rFonts w:ascii="宋体" w:hAnsi="宋体" w:cs="宋体"/>
          <w:color w:val="auto"/>
          <w:highlight w:val="none"/>
        </w:rPr>
      </w:pPr>
      <w:bookmarkStart w:id="69" w:name="_Toc30485"/>
      <w:r>
        <w:rPr>
          <w:rFonts w:hint="eastAsia" w:ascii="宋体" w:hAnsi="宋体" w:cs="宋体"/>
          <w:b/>
          <w:color w:val="auto"/>
          <w:sz w:val="32"/>
          <w:szCs w:val="32"/>
          <w:highlight w:val="none"/>
        </w:rPr>
        <w:t>第三部分   法定代表人证明书与法定代表人授权书</w:t>
      </w:r>
      <w:bookmarkEnd w:id="66"/>
      <w:bookmarkEnd w:id="67"/>
      <w:bookmarkEnd w:id="68"/>
      <w:bookmarkEnd w:id="69"/>
    </w:p>
    <w:p>
      <w:pPr>
        <w:tabs>
          <w:tab w:val="left" w:pos="210"/>
        </w:tabs>
        <w:spacing w:line="320" w:lineRule="exact"/>
        <w:jc w:val="center"/>
        <w:rPr>
          <w:rFonts w:ascii="宋体" w:hAnsi="宋体" w:cs="宋体"/>
          <w:b/>
          <w:color w:val="auto"/>
          <w:kern w:val="0"/>
          <w:sz w:val="32"/>
          <w:szCs w:val="32"/>
          <w:highlight w:val="none"/>
        </w:rPr>
      </w:pPr>
    </w:p>
    <w:p>
      <w:pPr>
        <w:tabs>
          <w:tab w:val="left" w:pos="210"/>
        </w:tabs>
        <w:spacing w:line="320" w:lineRule="exact"/>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法定代表人证明书</w:t>
      </w:r>
    </w:p>
    <w:p>
      <w:pPr>
        <w:tabs>
          <w:tab w:val="left" w:pos="210"/>
        </w:tabs>
        <w:spacing w:line="320" w:lineRule="exact"/>
        <w:jc w:val="center"/>
        <w:rPr>
          <w:rFonts w:ascii="宋体" w:hAnsi="宋体" w:cs="宋体"/>
          <w:b/>
          <w:color w:val="auto"/>
          <w:kern w:val="0"/>
          <w:sz w:val="32"/>
          <w:szCs w:val="32"/>
          <w:highlight w:val="none"/>
        </w:rPr>
      </w:pPr>
    </w:p>
    <w:p>
      <w:pPr>
        <w:spacing w:line="560" w:lineRule="exact"/>
        <w:ind w:firstLine="307" w:firstLineChars="128"/>
        <w:rPr>
          <w:rFonts w:ascii="宋体" w:hAnsi="宋体" w:cs="宋体"/>
          <w:color w:val="auto"/>
          <w:sz w:val="24"/>
          <w:highlight w:val="none"/>
          <w:u w:val="thick"/>
        </w:rPr>
      </w:pPr>
      <w:r>
        <w:rPr>
          <w:rFonts w:hint="eastAsia" w:ascii="宋体" w:hAnsi="宋体" w:cs="宋体"/>
          <w:color w:val="auto"/>
          <w:sz w:val="24"/>
          <w:highlight w:val="none"/>
        </w:rPr>
        <w:t>单位名称：</w:t>
      </w:r>
    </w:p>
    <w:p>
      <w:pPr>
        <w:spacing w:line="560" w:lineRule="exact"/>
        <w:ind w:firstLine="307" w:firstLineChars="128"/>
        <w:rPr>
          <w:rFonts w:ascii="宋体" w:hAnsi="宋体" w:cs="宋体"/>
          <w:color w:val="auto"/>
          <w:sz w:val="24"/>
          <w:highlight w:val="none"/>
        </w:rPr>
      </w:pPr>
      <w:r>
        <w:rPr>
          <w:rFonts w:hint="eastAsia" w:ascii="宋体" w:hAnsi="宋体" w:cs="宋体"/>
          <w:color w:val="auto"/>
          <w:sz w:val="24"/>
          <w:highlight w:val="none"/>
        </w:rPr>
        <w:t>单位性质：</w:t>
      </w:r>
    </w:p>
    <w:p>
      <w:pPr>
        <w:spacing w:line="560" w:lineRule="exact"/>
        <w:ind w:firstLine="307" w:firstLineChars="128"/>
        <w:rPr>
          <w:rFonts w:ascii="宋体" w:hAnsi="宋体" w:cs="宋体"/>
          <w:color w:val="auto"/>
          <w:sz w:val="24"/>
          <w:highlight w:val="none"/>
          <w:u w:val="thick"/>
        </w:rPr>
      </w:pPr>
      <w:r>
        <w:rPr>
          <w:rFonts w:hint="eastAsia" w:ascii="宋体" w:hAnsi="宋体" w:cs="宋体"/>
          <w:color w:val="auto"/>
          <w:sz w:val="24"/>
          <w:highlight w:val="none"/>
        </w:rPr>
        <w:t>地    址：</w:t>
      </w:r>
    </w:p>
    <w:p>
      <w:pPr>
        <w:spacing w:line="560" w:lineRule="exact"/>
        <w:ind w:firstLine="307" w:firstLineChars="128"/>
        <w:rPr>
          <w:rFonts w:ascii="宋体" w:hAnsi="宋体" w:cs="宋体"/>
          <w:color w:val="auto"/>
          <w:sz w:val="24"/>
          <w:highlight w:val="none"/>
        </w:rPr>
      </w:pPr>
      <w:r>
        <w:rPr>
          <w:rFonts w:hint="eastAsia" w:ascii="宋体" w:hAnsi="宋体" w:cs="宋体"/>
          <w:color w:val="auto"/>
          <w:sz w:val="24"/>
          <w:highlight w:val="none"/>
        </w:rPr>
        <w:t>成立时间：年月日</w:t>
      </w:r>
    </w:p>
    <w:p>
      <w:pPr>
        <w:spacing w:line="560" w:lineRule="exact"/>
        <w:ind w:firstLine="307" w:firstLineChars="128"/>
        <w:rPr>
          <w:rFonts w:ascii="宋体" w:hAnsi="宋体" w:cs="宋体"/>
          <w:color w:val="auto"/>
          <w:sz w:val="24"/>
          <w:highlight w:val="none"/>
        </w:rPr>
      </w:pPr>
      <w:r>
        <w:rPr>
          <w:rFonts w:hint="eastAsia" w:ascii="宋体" w:hAnsi="宋体" w:cs="宋体"/>
          <w:color w:val="auto"/>
          <w:sz w:val="24"/>
          <w:highlight w:val="none"/>
        </w:rPr>
        <w:t>经营期限：</w:t>
      </w:r>
    </w:p>
    <w:p>
      <w:pPr>
        <w:spacing w:line="560" w:lineRule="exact"/>
        <w:ind w:firstLine="307" w:firstLineChars="128"/>
        <w:rPr>
          <w:rFonts w:ascii="宋体" w:hAnsi="宋体" w:cs="宋体"/>
          <w:color w:val="auto"/>
          <w:sz w:val="24"/>
          <w:highlight w:val="none"/>
          <w:u w:val="thick"/>
        </w:rPr>
      </w:pPr>
      <w:r>
        <w:rPr>
          <w:rFonts w:hint="eastAsia" w:ascii="宋体" w:hAnsi="宋体" w:cs="宋体"/>
          <w:color w:val="auto"/>
          <w:sz w:val="24"/>
          <w:highlight w:val="none"/>
        </w:rPr>
        <w:t>姓    名：性别：年龄：职务：</w:t>
      </w:r>
    </w:p>
    <w:p>
      <w:pPr>
        <w:spacing w:line="560" w:lineRule="exact"/>
        <w:rPr>
          <w:rFonts w:ascii="宋体" w:hAnsi="宋体" w:cs="宋体"/>
          <w:color w:val="auto"/>
          <w:sz w:val="24"/>
          <w:highlight w:val="none"/>
          <w:u w:val="thick"/>
        </w:rPr>
      </w:pPr>
      <w:r>
        <w:rPr>
          <w:rFonts w:hint="eastAsia" w:ascii="宋体" w:hAnsi="宋体" w:cs="宋体"/>
          <w:color w:val="auto"/>
          <w:sz w:val="24"/>
          <w:highlight w:val="none"/>
        </w:rPr>
        <w:t>系的法定代表人。</w:t>
      </w:r>
    </w:p>
    <w:p>
      <w:pPr>
        <w:spacing w:line="560" w:lineRule="exact"/>
        <w:ind w:firstLine="307" w:firstLineChars="128"/>
        <w:rPr>
          <w:rFonts w:ascii="宋体" w:hAnsi="宋体" w:cs="宋体"/>
          <w:color w:val="auto"/>
          <w:sz w:val="24"/>
          <w:highlight w:val="none"/>
        </w:rPr>
      </w:pPr>
    </w:p>
    <w:p>
      <w:pPr>
        <w:spacing w:line="560" w:lineRule="exact"/>
        <w:ind w:firstLine="307" w:firstLineChars="128"/>
        <w:rPr>
          <w:rFonts w:ascii="宋体" w:hAnsi="宋体" w:cs="宋体"/>
          <w:color w:val="auto"/>
          <w:sz w:val="24"/>
          <w:highlight w:val="none"/>
        </w:rPr>
      </w:pPr>
      <w:r>
        <w:rPr>
          <w:rFonts w:hint="eastAsia" w:ascii="宋体" w:hAnsi="宋体" w:cs="宋体"/>
          <w:color w:val="auto"/>
          <w:sz w:val="24"/>
          <w:highlight w:val="none"/>
        </w:rPr>
        <w:t>特此证明。</w:t>
      </w:r>
    </w:p>
    <w:p>
      <w:pPr>
        <w:spacing w:line="560" w:lineRule="exact"/>
        <w:rPr>
          <w:rFonts w:ascii="宋体" w:hAnsi="宋体" w:cs="宋体"/>
          <w:color w:val="auto"/>
          <w:sz w:val="24"/>
          <w:highlight w:val="none"/>
        </w:rPr>
      </w:pPr>
      <w:r>
        <w:rPr>
          <w:rFonts w:hint="eastAsia" w:ascii="宋体" w:hAnsi="宋体" w:cs="宋体"/>
          <w:color w:val="auto"/>
          <w:sz w:val="24"/>
          <w:highlight w:val="none"/>
        </w:rPr>
        <w:t>（后附法定代表人身份证正反面）</w:t>
      </w:r>
    </w:p>
    <w:p>
      <w:pPr>
        <w:pStyle w:val="17"/>
        <w:rPr>
          <w:rFonts w:ascii="宋体" w:hAnsi="宋体" w:eastAsia="宋体" w:cs="宋体"/>
          <w:color w:val="auto"/>
          <w:highlight w:val="none"/>
        </w:rPr>
      </w:pPr>
    </w:p>
    <w:p>
      <w:pPr>
        <w:spacing w:line="560" w:lineRule="exact"/>
        <w:rPr>
          <w:rFonts w:ascii="宋体" w:hAnsi="宋体" w:cs="宋体"/>
          <w:color w:val="auto"/>
          <w:sz w:val="24"/>
          <w:highlight w:val="none"/>
        </w:rPr>
      </w:pPr>
    </w:p>
    <w:p>
      <w:pPr>
        <w:autoSpaceDE w:val="0"/>
        <w:autoSpaceDN w:val="0"/>
        <w:adjustRightInd w:val="0"/>
        <w:jc w:val="center"/>
        <w:rPr>
          <w:rFonts w:ascii="宋体" w:hAnsi="宋体" w:cs="宋体"/>
          <w:color w:val="auto"/>
          <w:sz w:val="24"/>
          <w:highlight w:val="none"/>
        </w:rPr>
      </w:pPr>
    </w:p>
    <w:p>
      <w:pPr>
        <w:autoSpaceDE w:val="0"/>
        <w:autoSpaceDN w:val="0"/>
        <w:adjustRightInd w:val="0"/>
        <w:ind w:left="2520" w:firstLine="420"/>
        <w:rPr>
          <w:rFonts w:ascii="宋体" w:hAnsi="宋体" w:cs="宋体"/>
          <w:color w:val="auto"/>
          <w:sz w:val="24"/>
          <w:highlight w:val="none"/>
          <w:u w:val="single"/>
          <w:lang w:val="zh-CN"/>
        </w:rPr>
      </w:pPr>
      <w:r>
        <w:rPr>
          <w:rFonts w:hint="eastAsia" w:ascii="宋体" w:hAnsi="宋体" w:cs="宋体"/>
          <w:color w:val="auto"/>
          <w:sz w:val="24"/>
          <w:highlight w:val="none"/>
        </w:rPr>
        <w:t>投标人</w:t>
      </w:r>
      <w:r>
        <w:rPr>
          <w:rFonts w:hint="eastAsia" w:ascii="宋体" w:hAnsi="宋体" w:cs="宋体"/>
          <w:color w:val="auto"/>
          <w:sz w:val="24"/>
          <w:highlight w:val="none"/>
          <w:lang w:val="zh-CN"/>
        </w:rPr>
        <w:t>：（盖单位公章）</w:t>
      </w:r>
    </w:p>
    <w:p>
      <w:pPr>
        <w:autoSpaceDE w:val="0"/>
        <w:autoSpaceDN w:val="0"/>
        <w:adjustRightInd w:val="0"/>
        <w:ind w:left="2520" w:firstLine="420"/>
        <w:rPr>
          <w:rFonts w:ascii="宋体" w:hAnsi="宋体" w:cs="宋体"/>
          <w:color w:val="auto"/>
          <w:sz w:val="24"/>
          <w:highlight w:val="none"/>
          <w:lang w:val="zh-CN"/>
        </w:rPr>
      </w:pPr>
    </w:p>
    <w:p>
      <w:pPr>
        <w:autoSpaceDE w:val="0"/>
        <w:autoSpaceDN w:val="0"/>
        <w:adjustRightInd w:val="0"/>
        <w:ind w:left="2520" w:firstLine="420"/>
        <w:rPr>
          <w:rFonts w:ascii="宋体" w:hAnsi="宋体" w:cs="宋体"/>
          <w:color w:val="auto"/>
          <w:sz w:val="24"/>
          <w:highlight w:val="none"/>
          <w:u w:val="single"/>
          <w:lang w:val="zh-CN"/>
        </w:rPr>
      </w:pPr>
      <w:r>
        <w:rPr>
          <w:rFonts w:hint="eastAsia" w:ascii="宋体" w:hAnsi="宋体" w:cs="宋体"/>
          <w:color w:val="auto"/>
          <w:sz w:val="24"/>
          <w:highlight w:val="none"/>
          <w:lang w:val="zh-CN"/>
        </w:rPr>
        <w:t>法定代表人：（签字</w:t>
      </w:r>
      <w:r>
        <w:rPr>
          <w:rFonts w:hint="eastAsia" w:ascii="宋体" w:hAnsi="宋体" w:cs="宋体"/>
          <w:color w:val="auto"/>
          <w:sz w:val="24"/>
          <w:highlight w:val="none"/>
        </w:rPr>
        <w:t>及</w:t>
      </w:r>
      <w:r>
        <w:rPr>
          <w:rFonts w:hint="eastAsia" w:ascii="宋体" w:hAnsi="宋体" w:cs="宋体"/>
          <w:color w:val="auto"/>
          <w:sz w:val="24"/>
          <w:highlight w:val="none"/>
          <w:lang w:val="zh-CN"/>
        </w:rPr>
        <w:t>盖章）</w:t>
      </w:r>
    </w:p>
    <w:p>
      <w:pPr>
        <w:autoSpaceDE w:val="0"/>
        <w:autoSpaceDN w:val="0"/>
        <w:adjustRightInd w:val="0"/>
        <w:ind w:left="2520" w:firstLine="420"/>
        <w:jc w:val="right"/>
        <w:rPr>
          <w:rFonts w:ascii="宋体" w:hAnsi="宋体" w:cs="宋体"/>
          <w:color w:val="auto"/>
          <w:sz w:val="24"/>
          <w:highlight w:val="none"/>
        </w:rPr>
      </w:pPr>
    </w:p>
    <w:p>
      <w:pPr>
        <w:ind w:left="2520" w:firstLine="420"/>
        <w:rPr>
          <w:rFonts w:ascii="宋体" w:hAnsi="宋体" w:cs="宋体"/>
          <w:color w:val="auto"/>
          <w:sz w:val="28"/>
          <w:szCs w:val="28"/>
          <w:highlight w:val="none"/>
        </w:rPr>
      </w:pPr>
      <w:r>
        <w:rPr>
          <w:rFonts w:hint="eastAsia" w:ascii="宋体" w:hAnsi="宋体" w:cs="宋体"/>
          <w:color w:val="auto"/>
          <w:sz w:val="24"/>
          <w:highlight w:val="none"/>
          <w:lang w:val="zh-CN"/>
        </w:rPr>
        <w:t>日       期：年月日</w:t>
      </w:r>
    </w:p>
    <w:p>
      <w:pPr>
        <w:tabs>
          <w:tab w:val="left" w:pos="210"/>
        </w:tabs>
        <w:spacing w:line="320" w:lineRule="exact"/>
        <w:jc w:val="center"/>
        <w:rPr>
          <w:rFonts w:ascii="宋体" w:hAnsi="宋体" w:cs="宋体"/>
          <w:b/>
          <w:color w:val="auto"/>
          <w:kern w:val="0"/>
          <w:sz w:val="32"/>
          <w:szCs w:val="32"/>
          <w:highlight w:val="none"/>
        </w:rPr>
      </w:pPr>
    </w:p>
    <w:p>
      <w:pPr>
        <w:tabs>
          <w:tab w:val="left" w:pos="210"/>
        </w:tabs>
        <w:spacing w:line="320" w:lineRule="exact"/>
        <w:jc w:val="center"/>
        <w:rPr>
          <w:rFonts w:ascii="宋体" w:hAnsi="宋体" w:cs="宋体"/>
          <w:b/>
          <w:color w:val="auto"/>
          <w:kern w:val="0"/>
          <w:sz w:val="32"/>
          <w:szCs w:val="32"/>
          <w:highlight w:val="none"/>
        </w:rPr>
      </w:pPr>
    </w:p>
    <w:p>
      <w:pPr>
        <w:tabs>
          <w:tab w:val="left" w:pos="210"/>
        </w:tabs>
        <w:spacing w:line="320" w:lineRule="exact"/>
        <w:jc w:val="center"/>
        <w:rPr>
          <w:rFonts w:ascii="宋体" w:hAnsi="宋体" w:cs="宋体"/>
          <w:b/>
          <w:color w:val="auto"/>
          <w:kern w:val="0"/>
          <w:sz w:val="32"/>
          <w:szCs w:val="32"/>
          <w:highlight w:val="none"/>
        </w:rPr>
      </w:pPr>
    </w:p>
    <w:p>
      <w:pPr>
        <w:tabs>
          <w:tab w:val="left" w:pos="210"/>
        </w:tabs>
        <w:spacing w:line="320" w:lineRule="exact"/>
        <w:jc w:val="center"/>
        <w:rPr>
          <w:rFonts w:ascii="宋体" w:hAnsi="宋体" w:cs="宋体"/>
          <w:b/>
          <w:color w:val="auto"/>
          <w:kern w:val="0"/>
          <w:sz w:val="32"/>
          <w:szCs w:val="32"/>
          <w:highlight w:val="none"/>
        </w:rPr>
      </w:pPr>
    </w:p>
    <w:p>
      <w:pPr>
        <w:tabs>
          <w:tab w:val="left" w:pos="210"/>
        </w:tabs>
        <w:spacing w:line="320" w:lineRule="exact"/>
        <w:jc w:val="center"/>
        <w:rPr>
          <w:rFonts w:ascii="宋体" w:hAnsi="宋体" w:cs="宋体"/>
          <w:b/>
          <w:color w:val="auto"/>
          <w:kern w:val="0"/>
          <w:sz w:val="32"/>
          <w:szCs w:val="32"/>
          <w:highlight w:val="none"/>
        </w:rPr>
      </w:pPr>
    </w:p>
    <w:p>
      <w:pPr>
        <w:tabs>
          <w:tab w:val="left" w:pos="210"/>
        </w:tabs>
        <w:spacing w:line="320" w:lineRule="exact"/>
        <w:jc w:val="center"/>
        <w:rPr>
          <w:rFonts w:ascii="宋体" w:hAnsi="宋体" w:cs="宋体"/>
          <w:b/>
          <w:color w:val="auto"/>
          <w:kern w:val="0"/>
          <w:sz w:val="32"/>
          <w:szCs w:val="32"/>
          <w:highlight w:val="none"/>
        </w:rPr>
      </w:pPr>
    </w:p>
    <w:p>
      <w:pPr>
        <w:tabs>
          <w:tab w:val="left" w:pos="210"/>
        </w:tabs>
        <w:spacing w:line="320" w:lineRule="exact"/>
        <w:jc w:val="center"/>
        <w:rPr>
          <w:rFonts w:ascii="宋体" w:hAnsi="宋体" w:cs="宋体"/>
          <w:b/>
          <w:color w:val="auto"/>
          <w:kern w:val="0"/>
          <w:sz w:val="32"/>
          <w:szCs w:val="32"/>
          <w:highlight w:val="none"/>
        </w:rPr>
      </w:pPr>
    </w:p>
    <w:p>
      <w:pPr>
        <w:tabs>
          <w:tab w:val="left" w:pos="210"/>
        </w:tabs>
        <w:spacing w:line="320" w:lineRule="exact"/>
        <w:jc w:val="center"/>
        <w:rPr>
          <w:rFonts w:ascii="宋体" w:hAnsi="宋体" w:cs="宋体"/>
          <w:b/>
          <w:color w:val="auto"/>
          <w:kern w:val="0"/>
          <w:sz w:val="32"/>
          <w:szCs w:val="32"/>
          <w:highlight w:val="none"/>
        </w:rPr>
      </w:pPr>
    </w:p>
    <w:p>
      <w:pPr>
        <w:tabs>
          <w:tab w:val="left" w:pos="210"/>
        </w:tabs>
        <w:spacing w:line="320" w:lineRule="exact"/>
        <w:jc w:val="center"/>
        <w:rPr>
          <w:rFonts w:ascii="宋体" w:hAnsi="宋体" w:cs="宋体"/>
          <w:b/>
          <w:color w:val="auto"/>
          <w:kern w:val="0"/>
          <w:sz w:val="32"/>
          <w:szCs w:val="32"/>
          <w:highlight w:val="none"/>
        </w:rPr>
      </w:pPr>
    </w:p>
    <w:p>
      <w:pPr>
        <w:tabs>
          <w:tab w:val="left" w:pos="210"/>
        </w:tabs>
        <w:spacing w:line="320" w:lineRule="exact"/>
        <w:jc w:val="center"/>
        <w:rPr>
          <w:rFonts w:ascii="宋体" w:hAnsi="宋体" w:cs="宋体"/>
          <w:b/>
          <w:color w:val="auto"/>
          <w:kern w:val="0"/>
          <w:sz w:val="32"/>
          <w:szCs w:val="32"/>
          <w:highlight w:val="none"/>
        </w:rPr>
      </w:pPr>
    </w:p>
    <w:p>
      <w:pPr>
        <w:tabs>
          <w:tab w:val="left" w:pos="210"/>
        </w:tabs>
        <w:spacing w:line="320" w:lineRule="exact"/>
        <w:jc w:val="center"/>
        <w:rPr>
          <w:rFonts w:ascii="宋体" w:hAnsi="宋体" w:cs="宋体"/>
          <w:b/>
          <w:color w:val="auto"/>
          <w:kern w:val="0"/>
          <w:sz w:val="32"/>
          <w:szCs w:val="32"/>
          <w:highlight w:val="none"/>
        </w:rPr>
      </w:pPr>
    </w:p>
    <w:p>
      <w:pPr>
        <w:tabs>
          <w:tab w:val="left" w:pos="210"/>
        </w:tabs>
        <w:spacing w:line="320" w:lineRule="exact"/>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法定代表人授权书</w:t>
      </w:r>
    </w:p>
    <w:p>
      <w:pPr>
        <w:tabs>
          <w:tab w:val="left" w:pos="210"/>
        </w:tabs>
        <w:spacing w:line="320" w:lineRule="exact"/>
        <w:jc w:val="center"/>
        <w:rPr>
          <w:rFonts w:ascii="宋体" w:hAnsi="宋体" w:cs="宋体"/>
          <w:b/>
          <w:color w:val="auto"/>
          <w:kern w:val="0"/>
          <w:sz w:val="32"/>
          <w:szCs w:val="32"/>
          <w:highlight w:val="none"/>
        </w:rPr>
      </w:pPr>
    </w:p>
    <w:p>
      <w:pPr>
        <w:pStyle w:val="8"/>
        <w:spacing w:line="500" w:lineRule="exact"/>
        <w:rPr>
          <w:rFonts w:hAnsi="宋体" w:cs="宋体"/>
          <w:color w:val="auto"/>
          <w:sz w:val="24"/>
          <w:szCs w:val="24"/>
          <w:highlight w:val="none"/>
        </w:rPr>
      </w:pPr>
      <w:r>
        <w:rPr>
          <w:rFonts w:hint="eastAsia" w:hAnsi="宋体" w:cs="宋体"/>
          <w:color w:val="auto"/>
          <w:sz w:val="24"/>
          <w:szCs w:val="24"/>
          <w:highlight w:val="none"/>
        </w:rPr>
        <w:t>陕西中振项目咨询有限公司：</w:t>
      </w:r>
    </w:p>
    <w:p>
      <w:pPr>
        <w:pStyle w:val="8"/>
        <w:spacing w:line="50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本授权书声明：注册于（</w:t>
      </w:r>
      <w:r>
        <w:rPr>
          <w:rFonts w:hint="eastAsia" w:hAnsi="宋体" w:cs="宋体"/>
          <w:color w:val="auto"/>
          <w:sz w:val="24"/>
          <w:szCs w:val="24"/>
          <w:highlight w:val="none"/>
          <w:u w:val="single"/>
        </w:rPr>
        <w:t xml:space="preserve"> 工商行政管理局名称）之（委托单位全称） </w:t>
      </w:r>
      <w:r>
        <w:rPr>
          <w:rFonts w:hint="eastAsia" w:hAnsi="宋体" w:cs="宋体"/>
          <w:color w:val="auto"/>
          <w:sz w:val="24"/>
          <w:szCs w:val="24"/>
          <w:highlight w:val="none"/>
        </w:rPr>
        <w:t>的法定代表人</w:t>
      </w:r>
      <w:r>
        <w:rPr>
          <w:rFonts w:hint="eastAsia" w:hAnsi="宋体" w:cs="宋体"/>
          <w:color w:val="auto"/>
          <w:sz w:val="24"/>
          <w:szCs w:val="24"/>
          <w:highlight w:val="none"/>
          <w:u w:val="single"/>
        </w:rPr>
        <w:t>（姓名、性别）</w:t>
      </w:r>
      <w:r>
        <w:rPr>
          <w:rFonts w:hint="eastAsia" w:hAnsi="宋体" w:cs="宋体"/>
          <w:color w:val="auto"/>
          <w:sz w:val="24"/>
          <w:szCs w:val="24"/>
          <w:highlight w:val="none"/>
        </w:rPr>
        <w:t>授权</w:t>
      </w:r>
      <w:r>
        <w:rPr>
          <w:rFonts w:hint="eastAsia" w:hAnsi="宋体" w:cs="宋体"/>
          <w:color w:val="auto"/>
          <w:sz w:val="24"/>
          <w:szCs w:val="24"/>
          <w:highlight w:val="none"/>
          <w:u w:val="single"/>
        </w:rPr>
        <w:t>（被授权人姓名、性别、职务）</w:t>
      </w:r>
      <w:r>
        <w:rPr>
          <w:rFonts w:hint="eastAsia" w:hAnsi="宋体" w:cs="宋体"/>
          <w:color w:val="auto"/>
          <w:sz w:val="24"/>
          <w:szCs w:val="24"/>
          <w:highlight w:val="none"/>
        </w:rPr>
        <w:t>为本公司合法代理人，就贵方组织的有关</w:t>
      </w:r>
      <w:r>
        <w:rPr>
          <w:rFonts w:hint="eastAsia" w:hAnsi="宋体" w:cs="宋体"/>
          <w:color w:val="auto"/>
          <w:sz w:val="24"/>
          <w:szCs w:val="24"/>
          <w:highlight w:val="none"/>
          <w:u w:val="single"/>
        </w:rPr>
        <w:t>（招标项目名称）</w:t>
      </w:r>
      <w:r>
        <w:rPr>
          <w:rFonts w:hint="eastAsia" w:hAnsi="宋体" w:cs="宋体"/>
          <w:color w:val="auto"/>
          <w:sz w:val="24"/>
          <w:szCs w:val="24"/>
          <w:highlight w:val="none"/>
        </w:rPr>
        <w:t>（文件编号：）的投标、洽谈、执行等具体事务，签署全部有关文件、文书、协议、合同，本公司对被授权人在本项目中的签名承担全部法律责任。本授权书自开标大会之日起计算有效期为个日历日。</w:t>
      </w:r>
    </w:p>
    <w:p>
      <w:pPr>
        <w:pStyle w:val="8"/>
        <w:spacing w:line="50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 xml:space="preserve">委托单位：（公章）    </w:t>
      </w:r>
    </w:p>
    <w:p>
      <w:pPr>
        <w:pStyle w:val="8"/>
        <w:spacing w:line="500" w:lineRule="exact"/>
        <w:ind w:firstLine="480" w:firstLineChars="200"/>
        <w:rPr>
          <w:rFonts w:hAnsi="宋体" w:cs="宋体"/>
          <w:color w:val="auto"/>
          <w:sz w:val="24"/>
          <w:szCs w:val="24"/>
          <w:highlight w:val="none"/>
        </w:rPr>
      </w:pPr>
      <w:r>
        <w:rPr>
          <w:rFonts w:hint="eastAsia" w:hAnsi="宋体" w:cs="宋体"/>
          <w:color w:val="auto"/>
          <w:sz w:val="24"/>
          <w:highlight w:val="none"/>
        </w:rPr>
        <w:t>法定代表人：</w:t>
      </w:r>
      <w:r>
        <w:rPr>
          <w:rFonts w:hint="eastAsia" w:hAnsi="宋体" w:cs="宋体"/>
          <w:color w:val="auto"/>
          <w:sz w:val="24"/>
          <w:szCs w:val="24"/>
          <w:highlight w:val="none"/>
        </w:rPr>
        <w:t>（签字及盖章）</w:t>
      </w:r>
    </w:p>
    <w:p>
      <w:pPr>
        <w:pStyle w:val="8"/>
        <w:spacing w:line="50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签发日期：年月日</w:t>
      </w:r>
    </w:p>
    <w:p>
      <w:pPr>
        <w:ind w:right="480" w:firstLine="480" w:firstLineChars="200"/>
        <w:rPr>
          <w:rFonts w:ascii="宋体" w:hAnsi="宋体" w:cs="宋体"/>
          <w:color w:val="auto"/>
          <w:sz w:val="24"/>
          <w:highlight w:val="none"/>
        </w:rPr>
      </w:pPr>
      <w:r>
        <w:rPr>
          <w:rFonts w:hint="eastAsia" w:ascii="宋体" w:hAnsi="宋体" w:cs="宋体"/>
          <w:color w:val="auto"/>
          <w:sz w:val="24"/>
          <w:highlight w:val="none"/>
        </w:rPr>
        <w:t>本授权有效期年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日至 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ind w:right="480"/>
        <w:rPr>
          <w:rFonts w:ascii="宋体" w:hAnsi="宋体" w:cs="宋体"/>
          <w:color w:val="auto"/>
          <w:sz w:val="24"/>
          <w:highlight w:val="none"/>
        </w:rPr>
      </w:pPr>
    </w:p>
    <w:p>
      <w:pPr>
        <w:pStyle w:val="8"/>
        <w:spacing w:line="50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附：被授权人姓名：性别：职务：</w:t>
      </w:r>
    </w:p>
    <w:p>
      <w:pPr>
        <w:pStyle w:val="8"/>
        <w:spacing w:line="500" w:lineRule="exact"/>
        <w:ind w:firstLine="960" w:firstLineChars="400"/>
        <w:rPr>
          <w:rFonts w:hAnsi="宋体" w:cs="宋体"/>
          <w:color w:val="auto"/>
          <w:sz w:val="24"/>
          <w:szCs w:val="24"/>
          <w:highlight w:val="none"/>
          <w:u w:val="single"/>
        </w:rPr>
      </w:pPr>
      <w:r>
        <w:rPr>
          <w:rFonts w:hint="eastAsia" w:hAnsi="宋体" w:cs="宋体"/>
          <w:color w:val="auto"/>
          <w:sz w:val="24"/>
          <w:szCs w:val="24"/>
          <w:highlight w:val="none"/>
        </w:rPr>
        <w:t xml:space="preserve">联系地址：  </w:t>
      </w:r>
    </w:p>
    <w:p>
      <w:pPr>
        <w:pStyle w:val="8"/>
        <w:spacing w:line="500" w:lineRule="exact"/>
        <w:ind w:firstLine="960" w:firstLineChars="400"/>
        <w:rPr>
          <w:rFonts w:hAnsi="宋体" w:cs="宋体"/>
          <w:color w:val="auto"/>
          <w:sz w:val="24"/>
          <w:szCs w:val="24"/>
          <w:highlight w:val="none"/>
          <w:u w:val="single"/>
        </w:rPr>
      </w:pPr>
      <w:r>
        <w:rPr>
          <w:rFonts w:hint="eastAsia" w:hAnsi="宋体" w:cs="宋体"/>
          <w:color w:val="auto"/>
          <w:sz w:val="24"/>
          <w:szCs w:val="24"/>
          <w:highlight w:val="none"/>
        </w:rPr>
        <w:t>联系电话：传真：</w:t>
      </w:r>
    </w:p>
    <w:p>
      <w:pPr>
        <w:pStyle w:val="8"/>
        <w:spacing w:line="500" w:lineRule="exact"/>
        <w:jc w:val="center"/>
        <w:rPr>
          <w:rFonts w:hAnsi="宋体" w:cs="宋体"/>
          <w:color w:val="auto"/>
          <w:sz w:val="24"/>
          <w:szCs w:val="24"/>
          <w:highlight w:val="none"/>
        </w:rPr>
      </w:pPr>
      <w:r>
        <w:rPr>
          <w:rFonts w:hint="eastAsia" w:hAnsi="宋体" w:cs="宋体"/>
          <w:color w:val="auto"/>
          <w:sz w:val="24"/>
          <w:highlight w:val="none"/>
        </w:rPr>
        <w:t>法定代表人/</w:t>
      </w:r>
      <w:r>
        <w:rPr>
          <w:rFonts w:hint="eastAsia" w:hAnsi="宋体" w:cs="宋体"/>
          <w:color w:val="auto"/>
          <w:sz w:val="24"/>
          <w:szCs w:val="24"/>
          <w:highlight w:val="none"/>
        </w:rPr>
        <w:t>被授权人身份证复印件</w:t>
      </w:r>
    </w:p>
    <w:p>
      <w:pPr>
        <w:pStyle w:val="8"/>
        <w:spacing w:line="500" w:lineRule="exact"/>
        <w:jc w:val="center"/>
        <w:rPr>
          <w:rFonts w:hAnsi="宋体" w:cs="宋体"/>
          <w:color w:val="auto"/>
          <w:sz w:val="24"/>
          <w:szCs w:val="24"/>
          <w:highlight w:val="none"/>
        </w:rPr>
      </w:pPr>
      <w:r>
        <w:rPr>
          <w:rFonts w:hint="eastAsia" w:hAnsi="宋体" w:cs="宋体"/>
          <w:color w:val="auto"/>
          <w:sz w:val="24"/>
          <w:szCs w:val="24"/>
          <w:highlight w:val="none"/>
        </w:rPr>
        <w:t>（身份证禁止缩放）</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3"/>
        <w:gridCol w:w="4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3" w:hRule="atLeast"/>
          <w:jc w:val="center"/>
        </w:trPr>
        <w:tc>
          <w:tcPr>
            <w:tcW w:w="4213"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8"/>
              <w:spacing w:line="500" w:lineRule="exact"/>
              <w:jc w:val="center"/>
              <w:rPr>
                <w:rFonts w:hAnsi="宋体" w:cs="宋体"/>
                <w:color w:val="auto"/>
                <w:sz w:val="24"/>
                <w:szCs w:val="24"/>
                <w:highlight w:val="none"/>
                <w:shd w:val="pct10" w:color="auto" w:fill="FFFFFF"/>
              </w:rPr>
            </w:pPr>
            <w:r>
              <w:rPr>
                <w:rFonts w:hint="eastAsia" w:hAnsi="宋体" w:cs="宋体"/>
                <w:color w:val="auto"/>
                <w:sz w:val="24"/>
                <w:szCs w:val="24"/>
                <w:highlight w:val="none"/>
                <w:shd w:val="pct10" w:color="auto" w:fill="FFFFFF"/>
              </w:rPr>
              <w:t>法定代表人/身份证复印件</w:t>
            </w:r>
          </w:p>
        </w:tc>
        <w:tc>
          <w:tcPr>
            <w:tcW w:w="4213"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8"/>
              <w:spacing w:line="500" w:lineRule="exact"/>
              <w:jc w:val="center"/>
              <w:rPr>
                <w:rFonts w:hAnsi="宋体" w:cs="宋体"/>
                <w:color w:val="auto"/>
                <w:sz w:val="24"/>
                <w:szCs w:val="24"/>
                <w:highlight w:val="none"/>
                <w:shd w:val="pct10" w:color="auto" w:fill="FFFFFF"/>
              </w:rPr>
            </w:pPr>
            <w:r>
              <w:rPr>
                <w:rFonts w:hint="eastAsia" w:hAnsi="宋体" w:cs="宋体"/>
                <w:color w:val="auto"/>
                <w:sz w:val="24"/>
                <w:szCs w:val="24"/>
                <w:highlight w:val="none"/>
                <w:shd w:val="pct10" w:color="auto" w:fill="FFFFFF"/>
              </w:rPr>
              <w:t>被授权人身份证复印件</w:t>
            </w:r>
          </w:p>
        </w:tc>
      </w:tr>
    </w:tbl>
    <w:p>
      <w:pPr>
        <w:pStyle w:val="8"/>
        <w:spacing w:line="500" w:lineRule="exact"/>
        <w:rPr>
          <w:rFonts w:hAnsi="宋体" w:cs="宋体"/>
          <w:color w:val="auto"/>
          <w:sz w:val="24"/>
          <w:szCs w:val="24"/>
          <w:highlight w:val="none"/>
        </w:rPr>
      </w:pPr>
      <w:r>
        <w:rPr>
          <w:rFonts w:hint="eastAsia" w:hAnsi="宋体" w:cs="宋体"/>
          <w:color w:val="auto"/>
          <w:sz w:val="24"/>
          <w:szCs w:val="24"/>
          <w:highlight w:val="none"/>
        </w:rPr>
        <w:t>说明：</w:t>
      </w:r>
    </w:p>
    <w:p>
      <w:pPr>
        <w:spacing w:line="360" w:lineRule="atLeast"/>
        <w:ind w:firstLine="480" w:firstLineChars="200"/>
        <w:rPr>
          <w:rFonts w:ascii="宋体" w:hAnsi="宋体" w:cs="宋体"/>
          <w:b/>
          <w:color w:val="auto"/>
          <w:sz w:val="32"/>
          <w:szCs w:val="32"/>
          <w:highlight w:val="none"/>
        </w:rPr>
      </w:pPr>
      <w:r>
        <w:rPr>
          <w:rFonts w:hint="eastAsia" w:ascii="宋体" w:hAnsi="宋体" w:cs="宋体"/>
          <w:color w:val="auto"/>
          <w:sz w:val="24"/>
          <w:highlight w:val="none"/>
        </w:rPr>
        <w:t>1．授权书内容填写要明确，文字要工整清楚，涂改无效。</w:t>
      </w:r>
      <w:bookmarkStart w:id="70" w:name="_Toc31458"/>
      <w:bookmarkStart w:id="71" w:name="_Toc18348"/>
      <w:bookmarkStart w:id="72" w:name="_Toc30282"/>
    </w:p>
    <w:p>
      <w:pPr>
        <w:spacing w:line="360" w:lineRule="atLeast"/>
        <w:jc w:val="center"/>
        <w:outlineLvl w:val="0"/>
        <w:rPr>
          <w:rFonts w:ascii="宋体" w:hAnsi="宋体" w:cs="宋体"/>
          <w:b/>
          <w:color w:val="auto"/>
          <w:sz w:val="32"/>
          <w:szCs w:val="32"/>
          <w:highlight w:val="none"/>
        </w:rPr>
      </w:pPr>
      <w:bookmarkStart w:id="73" w:name="_Toc11625"/>
    </w:p>
    <w:p>
      <w:pPr>
        <w:spacing w:line="360" w:lineRule="atLeast"/>
        <w:jc w:val="center"/>
        <w:outlineLvl w:val="0"/>
        <w:rPr>
          <w:rFonts w:ascii="宋体" w:hAnsi="宋体" w:cs="宋体"/>
          <w:b/>
          <w:color w:val="auto"/>
          <w:sz w:val="32"/>
          <w:szCs w:val="32"/>
          <w:highlight w:val="none"/>
        </w:rPr>
      </w:pPr>
      <w:r>
        <w:rPr>
          <w:rFonts w:hint="eastAsia" w:ascii="宋体" w:hAnsi="宋体" w:cs="宋体"/>
          <w:b/>
          <w:color w:val="auto"/>
          <w:sz w:val="32"/>
          <w:szCs w:val="32"/>
          <w:highlight w:val="none"/>
        </w:rPr>
        <w:t>第四部分  供应商资格证明文件</w:t>
      </w:r>
      <w:bookmarkEnd w:id="70"/>
      <w:bookmarkEnd w:id="71"/>
      <w:bookmarkEnd w:id="72"/>
      <w:bookmarkEnd w:id="73"/>
    </w:p>
    <w:p>
      <w:pPr>
        <w:spacing w:line="420" w:lineRule="exact"/>
        <w:ind w:firstLine="480" w:firstLineChars="200"/>
        <w:rPr>
          <w:rFonts w:ascii="宋体" w:hAnsi="宋体" w:cs="宋体"/>
          <w:color w:val="auto"/>
          <w:sz w:val="24"/>
          <w:highlight w:val="none"/>
        </w:rPr>
      </w:pPr>
      <w:bookmarkStart w:id="74" w:name="_Toc29368"/>
      <w:bookmarkStart w:id="75" w:name="_Toc26107"/>
      <w:bookmarkStart w:id="76" w:name="_Toc28487"/>
      <w:r>
        <w:rPr>
          <w:rFonts w:hint="eastAsia" w:ascii="宋体" w:hAnsi="宋体" w:cs="宋体"/>
          <w:color w:val="auto"/>
          <w:sz w:val="24"/>
          <w:highlight w:val="none"/>
        </w:rPr>
        <w:t xml:space="preserve">（1）具有独立承担民事责任能力的法人或其他组织，提供合法有效的统一社会信用代码的营业执照（附年度报告书）或事业单位法人证书等国家规定的相关证明，自然人参与的提供其身份证明； </w:t>
      </w:r>
    </w:p>
    <w:p>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（2）法定代表人授权书（附法定代表人身份证复印件）及被授权人身份证（法定代表人直接参加只须提供法定代表人身份证）； </w:t>
      </w:r>
    </w:p>
    <w:p>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（3）供应商提供2021年度的财务审计报告(成立时间至提交投标文件截止时间不足一年的可提供成立后任意时段的资产负债表)或其基本存款账户开户银行出具的资信证明及基本存款账户开户信息；</w:t>
      </w:r>
    </w:p>
    <w:p>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（4）税收缴纳证明：提供已缴纳的本年度连续三个月缴税凭证，依法免税的供应商应提供相关文件证明；</w:t>
      </w:r>
    </w:p>
    <w:p>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（5）社会保障资金缴纳证明：提供已缴纳的本年度连续三个月的社会保障资金缴存证明或社保机构开具的社会保险参保缴费情况证明；依法不需要缴纳社会保障资金的应提供相关文件证明；</w:t>
      </w:r>
    </w:p>
    <w:p>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6）供应商不得为“信用中国”失信惩戒对象和行政处罚对象；不得为“中国政府采购网”政府采购严重违法失信行为记录名单中被财政部门禁止参加政府采购活动的供应商（提供网站截图并加盖供应商公章）； </w:t>
      </w:r>
    </w:p>
    <w:p>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（7）参加政府采购活动近三年内，在经营活动中没有重大违法记录声明函；</w:t>
      </w:r>
    </w:p>
    <w:p>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（8）本项目不接受联合体投标。</w:t>
      </w:r>
    </w:p>
    <w:p>
      <w:pPr>
        <w:spacing w:line="400" w:lineRule="exact"/>
        <w:ind w:firstLine="480" w:firstLineChars="200"/>
        <w:rPr>
          <w:rFonts w:ascii="宋体" w:hAnsi="宋体" w:cs="宋体"/>
          <w:bCs/>
          <w:color w:val="auto"/>
          <w:kern w:val="0"/>
          <w:sz w:val="24"/>
          <w:highlight w:val="none"/>
        </w:rPr>
      </w:pPr>
    </w:p>
    <w:p>
      <w:pPr>
        <w:autoSpaceDE w:val="0"/>
        <w:autoSpaceDN w:val="0"/>
        <w:adjustRightInd w:val="0"/>
        <w:spacing w:line="560" w:lineRule="exact"/>
        <w:ind w:firstLine="643" w:firstLineChars="200"/>
        <w:jc w:val="center"/>
        <w:rPr>
          <w:rFonts w:ascii="宋体" w:hAnsi="宋体" w:cs="宋体"/>
          <w:b/>
          <w:color w:val="auto"/>
          <w:sz w:val="32"/>
          <w:szCs w:val="32"/>
          <w:highlight w:val="none"/>
        </w:rPr>
      </w:pPr>
    </w:p>
    <w:p>
      <w:pPr>
        <w:autoSpaceDE w:val="0"/>
        <w:autoSpaceDN w:val="0"/>
        <w:adjustRightInd w:val="0"/>
        <w:spacing w:line="560" w:lineRule="exact"/>
        <w:ind w:firstLine="643" w:firstLineChars="200"/>
        <w:jc w:val="center"/>
        <w:rPr>
          <w:rFonts w:ascii="宋体" w:hAnsi="宋体" w:cs="宋体"/>
          <w:b/>
          <w:color w:val="auto"/>
          <w:sz w:val="32"/>
          <w:szCs w:val="32"/>
          <w:highlight w:val="none"/>
        </w:rPr>
      </w:pPr>
    </w:p>
    <w:p>
      <w:pPr>
        <w:autoSpaceDE w:val="0"/>
        <w:autoSpaceDN w:val="0"/>
        <w:adjustRightInd w:val="0"/>
        <w:spacing w:line="560" w:lineRule="exact"/>
        <w:ind w:firstLine="643" w:firstLineChars="200"/>
        <w:jc w:val="center"/>
        <w:rPr>
          <w:rFonts w:ascii="宋体" w:hAnsi="宋体" w:cs="宋体"/>
          <w:b/>
          <w:color w:val="auto"/>
          <w:sz w:val="32"/>
          <w:szCs w:val="32"/>
          <w:highlight w:val="none"/>
        </w:rPr>
        <w:sectPr>
          <w:pgSz w:w="11906" w:h="16838"/>
          <w:pgMar w:top="1440" w:right="986" w:bottom="1440" w:left="1620" w:header="851" w:footer="992" w:gutter="0"/>
          <w:cols w:space="720" w:num="1"/>
          <w:docGrid w:type="lines" w:linePitch="312" w:charSpace="0"/>
        </w:sectPr>
      </w:pPr>
    </w:p>
    <w:bookmarkEnd w:id="74"/>
    <w:bookmarkEnd w:id="75"/>
    <w:bookmarkEnd w:id="76"/>
    <w:p>
      <w:pPr>
        <w:spacing w:line="480" w:lineRule="auto"/>
        <w:jc w:val="center"/>
        <w:outlineLvl w:val="0"/>
        <w:rPr>
          <w:rFonts w:ascii="宋体" w:hAnsi="宋体" w:cs="宋体"/>
          <w:b/>
          <w:color w:val="auto"/>
          <w:sz w:val="32"/>
          <w:szCs w:val="32"/>
          <w:highlight w:val="none"/>
        </w:rPr>
      </w:pPr>
      <w:bookmarkStart w:id="77" w:name="_Toc25699"/>
      <w:bookmarkStart w:id="78" w:name="_Toc24462"/>
      <w:bookmarkStart w:id="79" w:name="_Toc29970"/>
      <w:bookmarkStart w:id="80" w:name="_Toc1129"/>
      <w:r>
        <w:rPr>
          <w:rFonts w:hint="eastAsia" w:ascii="宋体" w:hAnsi="宋体" w:cs="宋体"/>
          <w:b/>
          <w:color w:val="auto"/>
          <w:sz w:val="32"/>
          <w:szCs w:val="32"/>
          <w:highlight w:val="none"/>
        </w:rPr>
        <w:t>第五部分  技术方案</w:t>
      </w:r>
      <w:bookmarkEnd w:id="77"/>
    </w:p>
    <w:p>
      <w:pPr>
        <w:kinsoku w:val="0"/>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1、供应商企业简介与组织机构；</w:t>
      </w:r>
    </w:p>
    <w:p>
      <w:pPr>
        <w:kinsoku w:val="0"/>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2、供应商完成的供货方案（根据评分标准，自行编制内容）；</w:t>
      </w:r>
    </w:p>
    <w:p>
      <w:pPr>
        <w:kinsoku w:val="0"/>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3、供应商完成供货的质量保障措施及售后服务承诺；</w:t>
      </w:r>
    </w:p>
    <w:p>
      <w:pPr>
        <w:kinsoku w:val="0"/>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4、产品技术证明材料；</w:t>
      </w:r>
    </w:p>
    <w:p>
      <w:pPr>
        <w:kinsoku w:val="0"/>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5、项目团队配备及职业能力；</w:t>
      </w:r>
    </w:p>
    <w:p>
      <w:pPr>
        <w:pStyle w:val="2"/>
        <w:spacing w:line="480" w:lineRule="auto"/>
        <w:ind w:firstLine="480" w:firstLineChars="200"/>
        <w:rPr>
          <w:rFonts w:ascii="宋体" w:hAnsi="宋体" w:cs="宋体"/>
          <w:color w:val="auto"/>
          <w:highlight w:val="none"/>
        </w:rPr>
      </w:pPr>
      <w:r>
        <w:rPr>
          <w:rFonts w:hint="eastAsia" w:ascii="宋体" w:hAnsi="宋体" w:cs="宋体"/>
          <w:color w:val="auto"/>
          <w:highlight w:val="none"/>
        </w:rPr>
        <w:t>6、业绩；</w:t>
      </w:r>
    </w:p>
    <w:p>
      <w:pPr>
        <w:kinsoku w:val="0"/>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7、供应商认为有必要说明的问题。</w:t>
      </w:r>
    </w:p>
    <w:p>
      <w:pPr>
        <w:kinsoku w:val="0"/>
        <w:spacing w:line="500" w:lineRule="exact"/>
        <w:rPr>
          <w:rFonts w:ascii="宋体" w:hAnsi="宋体" w:cs="宋体"/>
          <w:color w:val="auto"/>
          <w:sz w:val="24"/>
          <w:highlight w:val="none"/>
        </w:rPr>
      </w:pPr>
      <w:r>
        <w:rPr>
          <w:rFonts w:hint="eastAsia" w:ascii="宋体" w:hAnsi="宋体" w:cs="宋体"/>
          <w:b/>
          <w:color w:val="auto"/>
          <w:sz w:val="24"/>
          <w:highlight w:val="none"/>
        </w:rPr>
        <w:t>（各投标人根据采购内容及评标办法，可自主编写方案说明，包含但不限于以上内容）</w:t>
      </w:r>
    </w:p>
    <w:p>
      <w:pPr>
        <w:spacing w:line="440" w:lineRule="exact"/>
        <w:ind w:firstLine="480" w:firstLineChars="200"/>
        <w:rPr>
          <w:rFonts w:ascii="宋体" w:hAnsi="宋体" w:cs="宋体"/>
          <w:color w:val="auto"/>
          <w:sz w:val="24"/>
          <w:szCs w:val="28"/>
          <w:highlight w:val="none"/>
        </w:rPr>
      </w:pPr>
      <w:r>
        <w:rPr>
          <w:rFonts w:hint="eastAsia" w:ascii="宋体" w:hAnsi="宋体" w:cs="宋体"/>
          <w:color w:val="auto"/>
          <w:sz w:val="24"/>
          <w:highlight w:val="none"/>
        </w:rPr>
        <w:br w:type="page"/>
      </w:r>
    </w:p>
    <w:p>
      <w:pPr>
        <w:spacing w:line="360" w:lineRule="atLeast"/>
        <w:jc w:val="center"/>
        <w:outlineLvl w:val="0"/>
        <w:rPr>
          <w:rFonts w:ascii="宋体" w:hAnsi="宋体" w:cs="宋体"/>
          <w:b/>
          <w:color w:val="auto"/>
          <w:sz w:val="32"/>
          <w:szCs w:val="32"/>
          <w:highlight w:val="none"/>
        </w:rPr>
      </w:pPr>
      <w:bookmarkStart w:id="81" w:name="_Toc17798"/>
      <w:r>
        <w:rPr>
          <w:rFonts w:hint="eastAsia" w:ascii="宋体" w:hAnsi="宋体" w:cs="宋体"/>
          <w:b/>
          <w:color w:val="auto"/>
          <w:sz w:val="32"/>
          <w:szCs w:val="32"/>
          <w:highlight w:val="none"/>
        </w:rPr>
        <w:t xml:space="preserve">第六部分  </w:t>
      </w:r>
      <w:bookmarkEnd w:id="78"/>
      <w:bookmarkEnd w:id="79"/>
      <w:bookmarkEnd w:id="80"/>
      <w:r>
        <w:rPr>
          <w:rFonts w:hint="eastAsia" w:ascii="宋体" w:hAnsi="宋体" w:cs="宋体"/>
          <w:b/>
          <w:color w:val="auto"/>
          <w:sz w:val="32"/>
          <w:szCs w:val="32"/>
          <w:highlight w:val="none"/>
        </w:rPr>
        <w:t>承诺书</w:t>
      </w:r>
      <w:bookmarkEnd w:id="81"/>
    </w:p>
    <w:p>
      <w:pPr>
        <w:pStyle w:val="8"/>
        <w:jc w:val="center"/>
        <w:rPr>
          <w:rFonts w:hAnsi="宋体" w:cs="宋体"/>
          <w:b/>
          <w:color w:val="auto"/>
          <w:sz w:val="32"/>
          <w:highlight w:val="none"/>
        </w:rPr>
      </w:pPr>
      <w:r>
        <w:rPr>
          <w:rFonts w:hint="eastAsia" w:hAnsi="宋体" w:cs="宋体"/>
          <w:b/>
          <w:color w:val="auto"/>
          <w:sz w:val="32"/>
          <w:highlight w:val="none"/>
        </w:rPr>
        <w:t>陕西省政府采购供应商拒绝政府采购领域商业贿赂承诺书</w:t>
      </w:r>
      <w:r>
        <w:rPr>
          <w:rFonts w:hint="eastAsia" w:hAnsi="宋体" w:cs="宋体"/>
          <w:b/>
          <w:color w:val="auto"/>
          <w:sz w:val="32"/>
          <w:szCs w:val="32"/>
          <w:highlight w:val="none"/>
        </w:rPr>
        <w:t>Ⅰ</w:t>
      </w:r>
    </w:p>
    <w:p>
      <w:pPr>
        <w:rPr>
          <w:rFonts w:ascii="宋体" w:hAnsi="宋体" w:cs="宋体"/>
          <w:color w:val="auto"/>
          <w:highlight w:val="none"/>
        </w:rPr>
      </w:pPr>
    </w:p>
    <w:p>
      <w:pPr>
        <w:spacing w:line="360" w:lineRule="auto"/>
        <w:ind w:firstLine="360" w:firstLineChars="150"/>
        <w:rPr>
          <w:rFonts w:ascii="宋体" w:hAnsi="宋体" w:cs="宋体"/>
          <w:color w:val="auto"/>
          <w:sz w:val="24"/>
          <w:szCs w:val="28"/>
          <w:highlight w:val="none"/>
        </w:rPr>
      </w:pPr>
      <w:r>
        <w:rPr>
          <w:rFonts w:hint="eastAsia" w:ascii="宋体" w:hAnsi="宋体" w:cs="宋体"/>
          <w:color w:val="auto"/>
          <w:sz w:val="24"/>
          <w:szCs w:val="28"/>
          <w:highlight w:val="none"/>
        </w:rPr>
        <w:t xml:space="preserve"> 为响应党中央、国务院关于治理政府采购领域商业贿赂行为的号召，我公司在此庄严承诺：</w:t>
      </w: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1、在参与政府采购活动中遵纪守法、诚信经营、公平竞标。</w:t>
      </w: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2、不向政府采购人、采购代理机构和政府采购评审专家进行任何形式的商业贿赂以谋取交易机会。</w:t>
      </w: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3、不向政府采购代理机构和采购人提供虚假资质文件或采用虚假应标方式参与政府采购市场竞争并谋取中标、成交。</w:t>
      </w: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4、不采取“围标、陪标”等商业欺诈手段获得政府采购订单。</w:t>
      </w: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5、不采取不正当手段诋毁、排挤其他供应商。</w:t>
      </w: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6、不在提供</w:t>
      </w:r>
      <w:r>
        <w:rPr>
          <w:rFonts w:hint="eastAsia" w:ascii="宋体" w:hAnsi="宋体" w:cs="宋体"/>
          <w:color w:val="auto"/>
          <w:sz w:val="24"/>
          <w:highlight w:val="none"/>
        </w:rPr>
        <w:t>划编制及实施方案</w:t>
      </w:r>
      <w:r>
        <w:rPr>
          <w:rFonts w:hint="eastAsia" w:ascii="宋体" w:hAnsi="宋体" w:cs="宋体"/>
          <w:color w:val="auto"/>
          <w:sz w:val="24"/>
          <w:szCs w:val="28"/>
          <w:highlight w:val="none"/>
        </w:rPr>
        <w:t>服务时损害采购人的合法权益。</w:t>
      </w: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7、不与采购人、采购代理机构政府采购评审专家或其它供应商恶意串通，进行质疑和投诉，维护政府采购市场秩序。</w:t>
      </w: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8、尊重和接受政府采购监督管理部门的监督和政府采购代理机构招标采购要求，承担因违约行为给采购人造成的损失。</w:t>
      </w: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9、不发生其他有悖于政府采购公开、公平、公正和诚信原则的行为。</w:t>
      </w:r>
    </w:p>
    <w:p>
      <w:pPr>
        <w:spacing w:line="360" w:lineRule="auto"/>
        <w:ind w:firstLine="480" w:firstLineChars="200"/>
        <w:rPr>
          <w:rFonts w:ascii="宋体" w:hAnsi="宋体" w:cs="宋体"/>
          <w:color w:val="auto"/>
          <w:sz w:val="24"/>
          <w:szCs w:val="28"/>
          <w:highlight w:val="none"/>
        </w:rPr>
      </w:pPr>
    </w:p>
    <w:p>
      <w:pPr>
        <w:spacing w:line="48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承诺单位：（盖章）</w:t>
      </w:r>
    </w:p>
    <w:p>
      <w:pPr>
        <w:spacing w:line="48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全权代表：（签字）</w:t>
      </w:r>
    </w:p>
    <w:p>
      <w:pPr>
        <w:spacing w:line="48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地址：</w:t>
      </w:r>
    </w:p>
    <w:p>
      <w:pPr>
        <w:spacing w:line="480" w:lineRule="auto"/>
        <w:ind w:firstLine="480" w:firstLineChars="200"/>
        <w:rPr>
          <w:rFonts w:ascii="宋体" w:hAnsi="宋体" w:cs="宋体"/>
          <w:color w:val="auto"/>
          <w:sz w:val="24"/>
          <w:szCs w:val="28"/>
          <w:highlight w:val="none"/>
          <w:u w:val="single"/>
        </w:rPr>
      </w:pPr>
      <w:r>
        <w:rPr>
          <w:rFonts w:hint="eastAsia" w:ascii="宋体" w:hAnsi="宋体" w:cs="宋体"/>
          <w:color w:val="auto"/>
          <w:sz w:val="24"/>
          <w:szCs w:val="28"/>
          <w:highlight w:val="none"/>
        </w:rPr>
        <w:t>邮编：</w:t>
      </w:r>
    </w:p>
    <w:p>
      <w:pPr>
        <w:spacing w:line="480" w:lineRule="auto"/>
        <w:ind w:firstLine="480" w:firstLineChars="200"/>
        <w:rPr>
          <w:rFonts w:ascii="宋体" w:hAnsi="宋体" w:cs="宋体"/>
          <w:color w:val="auto"/>
          <w:sz w:val="24"/>
          <w:szCs w:val="28"/>
          <w:highlight w:val="none"/>
          <w:u w:val="single"/>
        </w:rPr>
      </w:pPr>
      <w:r>
        <w:rPr>
          <w:rFonts w:hint="eastAsia" w:ascii="宋体" w:hAnsi="宋体" w:cs="宋体"/>
          <w:color w:val="auto"/>
          <w:sz w:val="24"/>
          <w:szCs w:val="28"/>
          <w:highlight w:val="none"/>
        </w:rPr>
        <w:t>电话：</w:t>
      </w:r>
    </w:p>
    <w:p>
      <w:pPr>
        <w:spacing w:line="360" w:lineRule="auto"/>
        <w:ind w:firstLine="360" w:firstLineChars="150"/>
        <w:rPr>
          <w:rFonts w:ascii="宋体" w:hAnsi="宋体" w:cs="宋体"/>
          <w:color w:val="auto"/>
          <w:sz w:val="24"/>
          <w:szCs w:val="28"/>
          <w:highlight w:val="none"/>
        </w:rPr>
      </w:pPr>
    </w:p>
    <w:p>
      <w:pPr>
        <w:wordWrap w:val="0"/>
        <w:spacing w:line="360" w:lineRule="auto"/>
        <w:ind w:right="480" w:firstLine="360" w:firstLineChars="150"/>
        <w:jc w:val="center"/>
        <w:rPr>
          <w:rFonts w:ascii="宋体" w:hAnsi="宋体" w:cs="宋体"/>
          <w:color w:val="auto"/>
          <w:sz w:val="24"/>
          <w:szCs w:val="28"/>
          <w:highlight w:val="none"/>
        </w:rPr>
      </w:pPr>
      <w:r>
        <w:rPr>
          <w:rFonts w:hint="eastAsia" w:ascii="宋体" w:hAnsi="宋体" w:cs="宋体"/>
          <w:color w:val="auto"/>
          <w:sz w:val="24"/>
          <w:szCs w:val="28"/>
          <w:highlight w:val="none"/>
        </w:rPr>
        <w:t xml:space="preserve">                                                 年  月  日</w:t>
      </w:r>
    </w:p>
    <w:p>
      <w:pPr>
        <w:pStyle w:val="11"/>
        <w:rPr>
          <w:rFonts w:ascii="宋体" w:hAnsi="宋体" w:cs="宋体"/>
          <w:color w:val="auto"/>
          <w:highlight w:val="none"/>
        </w:rPr>
      </w:pPr>
    </w:p>
    <w:p>
      <w:pPr>
        <w:spacing w:line="360" w:lineRule="atLeast"/>
        <w:ind w:firstLine="4189" w:firstLineChars="1304"/>
        <w:outlineLvl w:val="0"/>
        <w:rPr>
          <w:rFonts w:ascii="宋体" w:hAnsi="宋体" w:cs="宋体"/>
          <w:b/>
          <w:color w:val="auto"/>
          <w:sz w:val="32"/>
          <w:szCs w:val="32"/>
          <w:highlight w:val="none"/>
        </w:rPr>
      </w:pPr>
      <w:bookmarkStart w:id="82" w:name="_Toc5141"/>
      <w:r>
        <w:rPr>
          <w:rFonts w:hint="eastAsia" w:ascii="宋体" w:hAnsi="宋体" w:cs="宋体"/>
          <w:b/>
          <w:color w:val="auto"/>
          <w:sz w:val="32"/>
          <w:szCs w:val="32"/>
          <w:highlight w:val="none"/>
        </w:rPr>
        <w:t>承诺书Ⅱ</w:t>
      </w:r>
      <w:bookmarkEnd w:id="82"/>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宋体" w:hAnsi="宋体" w:cs="宋体"/>
                <w:color w:val="auto"/>
                <w:sz w:val="24"/>
                <w:highlight w:val="none"/>
              </w:rPr>
            </w:pPr>
            <w:r>
              <w:rPr>
                <w:rFonts w:hint="eastAsia" w:ascii="宋体" w:hAnsi="宋体" w:cs="宋体"/>
                <w:color w:val="auto"/>
                <w:sz w:val="24"/>
                <w:highlight w:val="none"/>
              </w:rPr>
              <w:t>致：陕西中振项目咨询有限公司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作为参加贵单位组织的招标采购项目的供应商，本公司承诺：在参加本项目招标之前不存在被依法禁止经营行为、财产被接管或冻结的情况，如有隐瞒实情，愿承担一切责任及后果。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宋体" w:hAnsi="宋体" w:cs="宋体"/>
                <w:color w:val="auto"/>
                <w:sz w:val="24"/>
                <w:highlight w:val="none"/>
              </w:rPr>
            </w:pPr>
            <w:r>
              <w:rPr>
                <w:rFonts w:hint="eastAsia" w:ascii="宋体" w:hAnsi="宋体" w:cs="宋体"/>
                <w:color w:val="auto"/>
                <w:sz w:val="24"/>
                <w:highlight w:val="none"/>
              </w:rPr>
              <w:t>供应商</w:t>
            </w:r>
          </w:p>
        </w:tc>
        <w:tc>
          <w:tcPr>
            <w:tcW w:w="3420" w:type="dxa"/>
            <w:vAlign w:val="center"/>
          </w:tcPr>
          <w:p>
            <w:pPr>
              <w:spacing w:line="360" w:lineRule="atLeast"/>
              <w:jc w:val="center"/>
              <w:rPr>
                <w:rFonts w:ascii="宋体" w:hAnsi="宋体" w:cs="宋体"/>
                <w:color w:val="auto"/>
                <w:sz w:val="24"/>
                <w:highlight w:val="none"/>
              </w:rPr>
            </w:pPr>
            <w:r>
              <w:rPr>
                <w:rFonts w:hint="eastAsia" w:ascii="宋体" w:hAnsi="宋体" w:cs="宋体"/>
                <w:color w:val="auto"/>
                <w:sz w:val="24"/>
                <w:highlight w:val="none"/>
              </w:rPr>
              <w:t>法定代表人</w:t>
            </w:r>
          </w:p>
        </w:tc>
        <w:tc>
          <w:tcPr>
            <w:tcW w:w="2340" w:type="dxa"/>
            <w:vAlign w:val="center"/>
          </w:tcPr>
          <w:p>
            <w:pPr>
              <w:spacing w:line="360" w:lineRule="atLeast"/>
              <w:jc w:val="center"/>
              <w:rPr>
                <w:rFonts w:ascii="宋体" w:hAnsi="宋体" w:cs="宋体"/>
                <w:color w:val="auto"/>
                <w:sz w:val="24"/>
                <w:highlight w:val="none"/>
              </w:rPr>
            </w:pPr>
            <w:r>
              <w:rPr>
                <w:rFonts w:hint="eastAsia" w:ascii="宋体" w:hAnsi="宋体" w:cs="宋体"/>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宋体" w:hAnsi="宋体" w:cs="宋体"/>
                <w:color w:val="auto"/>
                <w:sz w:val="24"/>
                <w:highlight w:val="none"/>
              </w:rPr>
            </w:pPr>
            <w:r>
              <w:rPr>
                <w:rFonts w:hint="eastAsia" w:ascii="宋体" w:hAnsi="宋体" w:cs="宋体"/>
                <w:color w:val="auto"/>
                <w:sz w:val="24"/>
                <w:highlight w:val="none"/>
              </w:rPr>
              <w:t>（公章）</w:t>
            </w:r>
          </w:p>
        </w:tc>
        <w:tc>
          <w:tcPr>
            <w:tcW w:w="3420" w:type="dxa"/>
            <w:vAlign w:val="center"/>
          </w:tcPr>
          <w:p>
            <w:pPr>
              <w:spacing w:line="360" w:lineRule="atLeast"/>
              <w:jc w:val="center"/>
              <w:rPr>
                <w:rFonts w:ascii="宋体" w:hAnsi="宋体" w:cs="宋体"/>
                <w:color w:val="auto"/>
                <w:sz w:val="24"/>
                <w:highlight w:val="none"/>
              </w:rPr>
            </w:pPr>
            <w:r>
              <w:rPr>
                <w:rFonts w:hint="eastAsia" w:ascii="宋体" w:hAnsi="宋体" w:cs="宋体"/>
                <w:color w:val="auto"/>
                <w:sz w:val="24"/>
                <w:highlight w:val="none"/>
              </w:rPr>
              <w:t>（签字及盖章）</w:t>
            </w:r>
          </w:p>
        </w:tc>
        <w:tc>
          <w:tcPr>
            <w:tcW w:w="2340" w:type="dxa"/>
            <w:vAlign w:val="center"/>
          </w:tcPr>
          <w:p>
            <w:pPr>
              <w:spacing w:line="360" w:lineRule="atLeast"/>
              <w:ind w:firstLine="240" w:firstLineChars="100"/>
              <w:jc w:val="center"/>
              <w:rPr>
                <w:rFonts w:ascii="宋体" w:hAnsi="宋体" w:cs="宋体"/>
                <w:color w:val="auto"/>
                <w:sz w:val="24"/>
                <w:highlight w:val="none"/>
              </w:rPr>
            </w:pPr>
            <w:r>
              <w:rPr>
                <w:rFonts w:hint="eastAsia" w:ascii="宋体" w:hAnsi="宋体" w:cs="宋体"/>
                <w:color w:val="auto"/>
                <w:sz w:val="24"/>
                <w:highlight w:val="none"/>
              </w:rPr>
              <w:t>年  月  日</w:t>
            </w:r>
          </w:p>
        </w:tc>
      </w:tr>
    </w:tbl>
    <w:p>
      <w:pPr>
        <w:spacing w:line="360" w:lineRule="atLeast"/>
        <w:rPr>
          <w:rFonts w:ascii="宋体" w:hAnsi="宋体" w:cs="宋体"/>
          <w:b/>
          <w:color w:val="auto"/>
          <w:sz w:val="42"/>
          <w:szCs w:val="42"/>
          <w:highlight w:val="none"/>
        </w:rPr>
      </w:pPr>
    </w:p>
    <w:p>
      <w:pPr>
        <w:spacing w:line="360" w:lineRule="atLeast"/>
        <w:jc w:val="center"/>
        <w:rPr>
          <w:rFonts w:ascii="宋体" w:hAnsi="宋体" w:cs="宋体"/>
          <w:b/>
          <w:color w:val="auto"/>
          <w:sz w:val="32"/>
          <w:szCs w:val="32"/>
          <w:highlight w:val="none"/>
        </w:rPr>
      </w:pPr>
      <w:r>
        <w:rPr>
          <w:rFonts w:hint="eastAsia" w:ascii="宋体" w:hAnsi="宋体" w:cs="宋体"/>
          <w:b/>
          <w:color w:val="auto"/>
          <w:sz w:val="32"/>
          <w:szCs w:val="32"/>
          <w:highlight w:val="none"/>
        </w:rPr>
        <w:t>承诺书Ⅲ</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宋体" w:hAnsi="宋体" w:cs="宋体"/>
                <w:color w:val="auto"/>
                <w:sz w:val="24"/>
                <w:highlight w:val="none"/>
              </w:rPr>
            </w:pPr>
            <w:r>
              <w:rPr>
                <w:rFonts w:hint="eastAsia" w:ascii="宋体" w:hAnsi="宋体" w:cs="宋体"/>
                <w:color w:val="auto"/>
                <w:sz w:val="24"/>
                <w:highlight w:val="none"/>
              </w:rPr>
              <w:t>致：陕西中振项目咨询有限公司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作为参加贵单位组织的招标采购项目的供应商，本公司郑重申告并承诺：近三年受到有关行政主管部门的行政处理、不良行为记录为次（没有填零），如有隐瞒实情，愿承担一切责任及后果。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宋体" w:hAnsi="宋体" w:cs="宋体"/>
                <w:color w:val="auto"/>
                <w:sz w:val="24"/>
                <w:highlight w:val="none"/>
              </w:rPr>
            </w:pPr>
            <w:r>
              <w:rPr>
                <w:rFonts w:hint="eastAsia" w:ascii="宋体" w:hAnsi="宋体" w:cs="宋体"/>
                <w:color w:val="auto"/>
                <w:sz w:val="24"/>
                <w:highlight w:val="none"/>
              </w:rPr>
              <w:t>供应商</w:t>
            </w:r>
          </w:p>
        </w:tc>
        <w:tc>
          <w:tcPr>
            <w:tcW w:w="3420" w:type="dxa"/>
            <w:vAlign w:val="center"/>
          </w:tcPr>
          <w:p>
            <w:pPr>
              <w:spacing w:line="360" w:lineRule="atLeast"/>
              <w:jc w:val="center"/>
              <w:rPr>
                <w:rFonts w:ascii="宋体" w:hAnsi="宋体" w:cs="宋体"/>
                <w:color w:val="auto"/>
                <w:sz w:val="24"/>
                <w:highlight w:val="none"/>
              </w:rPr>
            </w:pPr>
            <w:r>
              <w:rPr>
                <w:rFonts w:hint="eastAsia" w:ascii="宋体" w:hAnsi="宋体" w:cs="宋体"/>
                <w:color w:val="auto"/>
                <w:sz w:val="24"/>
                <w:highlight w:val="none"/>
              </w:rPr>
              <w:t>法定代表人</w:t>
            </w:r>
          </w:p>
        </w:tc>
        <w:tc>
          <w:tcPr>
            <w:tcW w:w="2340" w:type="dxa"/>
            <w:vAlign w:val="center"/>
          </w:tcPr>
          <w:p>
            <w:pPr>
              <w:spacing w:line="360" w:lineRule="atLeast"/>
              <w:jc w:val="center"/>
              <w:rPr>
                <w:rFonts w:ascii="宋体" w:hAnsi="宋体" w:cs="宋体"/>
                <w:color w:val="auto"/>
                <w:sz w:val="24"/>
                <w:highlight w:val="none"/>
              </w:rPr>
            </w:pPr>
            <w:r>
              <w:rPr>
                <w:rFonts w:hint="eastAsia" w:ascii="宋体" w:hAnsi="宋体" w:cs="宋体"/>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宋体" w:hAnsi="宋体" w:cs="宋体"/>
                <w:color w:val="auto"/>
                <w:sz w:val="24"/>
                <w:highlight w:val="none"/>
              </w:rPr>
            </w:pPr>
            <w:r>
              <w:rPr>
                <w:rFonts w:hint="eastAsia" w:ascii="宋体" w:hAnsi="宋体" w:cs="宋体"/>
                <w:color w:val="auto"/>
                <w:sz w:val="24"/>
                <w:highlight w:val="none"/>
              </w:rPr>
              <w:t>（公章）</w:t>
            </w:r>
          </w:p>
        </w:tc>
        <w:tc>
          <w:tcPr>
            <w:tcW w:w="3420" w:type="dxa"/>
            <w:vAlign w:val="center"/>
          </w:tcPr>
          <w:p>
            <w:pPr>
              <w:spacing w:line="360" w:lineRule="atLeast"/>
              <w:jc w:val="center"/>
              <w:rPr>
                <w:rFonts w:ascii="宋体" w:hAnsi="宋体" w:cs="宋体"/>
                <w:color w:val="auto"/>
                <w:sz w:val="24"/>
                <w:highlight w:val="none"/>
              </w:rPr>
            </w:pPr>
            <w:r>
              <w:rPr>
                <w:rFonts w:hint="eastAsia" w:ascii="宋体" w:hAnsi="宋体" w:cs="宋体"/>
                <w:color w:val="auto"/>
                <w:sz w:val="24"/>
                <w:highlight w:val="none"/>
              </w:rPr>
              <w:t>（签字及盖章）</w:t>
            </w:r>
          </w:p>
        </w:tc>
        <w:tc>
          <w:tcPr>
            <w:tcW w:w="2340" w:type="dxa"/>
            <w:vAlign w:val="center"/>
          </w:tcPr>
          <w:p>
            <w:pPr>
              <w:spacing w:line="360" w:lineRule="atLeast"/>
              <w:ind w:firstLine="240" w:firstLineChars="100"/>
              <w:jc w:val="center"/>
              <w:rPr>
                <w:rFonts w:ascii="宋体" w:hAnsi="宋体" w:cs="宋体"/>
                <w:color w:val="auto"/>
                <w:sz w:val="24"/>
                <w:highlight w:val="none"/>
              </w:rPr>
            </w:pPr>
            <w:r>
              <w:rPr>
                <w:rFonts w:hint="eastAsia" w:ascii="宋体" w:hAnsi="宋体" w:cs="宋体"/>
                <w:color w:val="auto"/>
                <w:sz w:val="24"/>
                <w:highlight w:val="none"/>
              </w:rPr>
              <w:t>年  月  日</w:t>
            </w:r>
          </w:p>
        </w:tc>
      </w:tr>
    </w:tbl>
    <w:p>
      <w:pPr>
        <w:spacing w:line="360" w:lineRule="atLeast"/>
        <w:jc w:val="center"/>
        <w:rPr>
          <w:rFonts w:ascii="宋体" w:hAnsi="宋体" w:cs="宋体"/>
          <w:b/>
          <w:color w:val="auto"/>
          <w:sz w:val="32"/>
          <w:szCs w:val="32"/>
          <w:highlight w:val="none"/>
        </w:rPr>
      </w:pPr>
    </w:p>
    <w:p>
      <w:pPr>
        <w:spacing w:line="360" w:lineRule="atLeast"/>
        <w:jc w:val="center"/>
        <w:rPr>
          <w:rFonts w:ascii="宋体" w:hAnsi="宋体" w:cs="宋体"/>
          <w:b/>
          <w:color w:val="auto"/>
          <w:sz w:val="32"/>
          <w:szCs w:val="32"/>
          <w:highlight w:val="none"/>
        </w:rPr>
      </w:pPr>
    </w:p>
    <w:p>
      <w:pPr>
        <w:spacing w:line="360" w:lineRule="atLeast"/>
        <w:jc w:val="center"/>
        <w:rPr>
          <w:rFonts w:ascii="宋体" w:hAnsi="宋体" w:cs="宋体"/>
          <w:b/>
          <w:color w:val="auto"/>
          <w:sz w:val="32"/>
          <w:szCs w:val="32"/>
          <w:highlight w:val="none"/>
        </w:rPr>
      </w:pPr>
    </w:p>
    <w:p>
      <w:pPr>
        <w:spacing w:line="360" w:lineRule="atLeast"/>
        <w:jc w:val="center"/>
        <w:rPr>
          <w:rFonts w:ascii="宋体" w:hAnsi="宋体" w:cs="宋体"/>
          <w:b/>
          <w:color w:val="auto"/>
          <w:sz w:val="32"/>
          <w:szCs w:val="32"/>
          <w:highlight w:val="none"/>
        </w:rPr>
      </w:pPr>
      <w:r>
        <w:rPr>
          <w:rFonts w:hint="eastAsia" w:ascii="宋体" w:hAnsi="宋体" w:cs="宋体"/>
          <w:b/>
          <w:color w:val="auto"/>
          <w:sz w:val="32"/>
          <w:szCs w:val="32"/>
          <w:highlight w:val="none"/>
        </w:rPr>
        <w:t>承诺书Ⅳ</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宋体" w:hAnsi="宋体" w:cs="宋体"/>
                <w:color w:val="auto"/>
                <w:sz w:val="24"/>
                <w:highlight w:val="none"/>
              </w:rPr>
            </w:pPr>
            <w:r>
              <w:rPr>
                <w:rFonts w:hint="eastAsia" w:ascii="宋体" w:hAnsi="宋体" w:cs="宋体"/>
                <w:color w:val="auto"/>
                <w:sz w:val="24"/>
                <w:highlight w:val="none"/>
              </w:rPr>
              <w:t>致：陕西中振项目咨询有限公司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作为参加贵单位组织的招标采购项目的供应商，本公司郑重申告：近三年不良行为记录为次（没有填零），如有隐瞒实情，愿承担一切责任及后果。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宋体" w:hAnsi="宋体" w:cs="宋体"/>
                <w:color w:val="auto"/>
                <w:sz w:val="24"/>
                <w:highlight w:val="none"/>
              </w:rPr>
            </w:pPr>
            <w:r>
              <w:rPr>
                <w:rFonts w:hint="eastAsia" w:ascii="宋体" w:hAnsi="宋体" w:cs="宋体"/>
                <w:color w:val="auto"/>
                <w:sz w:val="24"/>
                <w:highlight w:val="none"/>
              </w:rPr>
              <w:t>供应商</w:t>
            </w:r>
          </w:p>
        </w:tc>
        <w:tc>
          <w:tcPr>
            <w:tcW w:w="3420" w:type="dxa"/>
            <w:vAlign w:val="center"/>
          </w:tcPr>
          <w:p>
            <w:pPr>
              <w:spacing w:line="360" w:lineRule="atLeast"/>
              <w:jc w:val="center"/>
              <w:rPr>
                <w:rFonts w:ascii="宋体" w:hAnsi="宋体" w:cs="宋体"/>
                <w:color w:val="auto"/>
                <w:sz w:val="24"/>
                <w:highlight w:val="none"/>
              </w:rPr>
            </w:pPr>
            <w:r>
              <w:rPr>
                <w:rFonts w:hint="eastAsia" w:ascii="宋体" w:hAnsi="宋体" w:cs="宋体"/>
                <w:color w:val="auto"/>
                <w:sz w:val="24"/>
                <w:highlight w:val="none"/>
              </w:rPr>
              <w:t>法定代表人</w:t>
            </w:r>
          </w:p>
        </w:tc>
        <w:tc>
          <w:tcPr>
            <w:tcW w:w="2340" w:type="dxa"/>
            <w:vAlign w:val="center"/>
          </w:tcPr>
          <w:p>
            <w:pPr>
              <w:spacing w:line="360" w:lineRule="atLeast"/>
              <w:jc w:val="center"/>
              <w:rPr>
                <w:rFonts w:ascii="宋体" w:hAnsi="宋体" w:cs="宋体"/>
                <w:color w:val="auto"/>
                <w:sz w:val="24"/>
                <w:highlight w:val="none"/>
              </w:rPr>
            </w:pPr>
            <w:r>
              <w:rPr>
                <w:rFonts w:hint="eastAsia" w:ascii="宋体" w:hAnsi="宋体" w:cs="宋体"/>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宋体" w:hAnsi="宋体" w:cs="宋体"/>
                <w:color w:val="auto"/>
                <w:sz w:val="24"/>
                <w:highlight w:val="none"/>
              </w:rPr>
            </w:pPr>
            <w:r>
              <w:rPr>
                <w:rFonts w:hint="eastAsia" w:ascii="宋体" w:hAnsi="宋体" w:cs="宋体"/>
                <w:color w:val="auto"/>
                <w:sz w:val="24"/>
                <w:highlight w:val="none"/>
              </w:rPr>
              <w:t>（公章）</w:t>
            </w:r>
          </w:p>
        </w:tc>
        <w:tc>
          <w:tcPr>
            <w:tcW w:w="3420" w:type="dxa"/>
            <w:vAlign w:val="center"/>
          </w:tcPr>
          <w:p>
            <w:pPr>
              <w:spacing w:line="360" w:lineRule="atLeast"/>
              <w:jc w:val="center"/>
              <w:rPr>
                <w:rFonts w:ascii="宋体" w:hAnsi="宋体" w:cs="宋体"/>
                <w:color w:val="auto"/>
                <w:sz w:val="24"/>
                <w:highlight w:val="none"/>
              </w:rPr>
            </w:pPr>
            <w:r>
              <w:rPr>
                <w:rFonts w:hint="eastAsia" w:ascii="宋体" w:hAnsi="宋体" w:cs="宋体"/>
                <w:color w:val="auto"/>
                <w:sz w:val="24"/>
                <w:highlight w:val="none"/>
              </w:rPr>
              <w:t>（签字及盖章）</w:t>
            </w:r>
          </w:p>
        </w:tc>
        <w:tc>
          <w:tcPr>
            <w:tcW w:w="2340" w:type="dxa"/>
            <w:vAlign w:val="center"/>
          </w:tcPr>
          <w:p>
            <w:pPr>
              <w:spacing w:line="360" w:lineRule="atLeast"/>
              <w:ind w:firstLine="240" w:firstLineChars="100"/>
              <w:jc w:val="center"/>
              <w:rPr>
                <w:rFonts w:ascii="宋体" w:hAnsi="宋体" w:cs="宋体"/>
                <w:color w:val="auto"/>
                <w:sz w:val="24"/>
                <w:highlight w:val="none"/>
              </w:rPr>
            </w:pPr>
            <w:r>
              <w:rPr>
                <w:rFonts w:hint="eastAsia" w:ascii="宋体" w:hAnsi="宋体" w:cs="宋体"/>
                <w:color w:val="auto"/>
                <w:sz w:val="24"/>
                <w:highlight w:val="none"/>
              </w:rPr>
              <w:t>年  月  日</w:t>
            </w:r>
          </w:p>
        </w:tc>
      </w:tr>
    </w:tbl>
    <w:p>
      <w:pPr>
        <w:spacing w:line="360" w:lineRule="auto"/>
        <w:ind w:right="480"/>
        <w:rPr>
          <w:rFonts w:ascii="宋体" w:hAnsi="宋体" w:cs="宋体"/>
          <w:color w:val="auto"/>
          <w:sz w:val="24"/>
          <w:szCs w:val="28"/>
          <w:highlight w:val="none"/>
        </w:rPr>
      </w:pPr>
    </w:p>
    <w:p>
      <w:pPr>
        <w:spacing w:line="360" w:lineRule="atLeast"/>
        <w:jc w:val="center"/>
        <w:rPr>
          <w:rFonts w:ascii="宋体" w:hAnsi="宋体" w:cs="宋体"/>
          <w:b/>
          <w:color w:val="auto"/>
          <w:sz w:val="32"/>
          <w:szCs w:val="32"/>
          <w:highlight w:val="none"/>
        </w:rPr>
      </w:pPr>
      <w:r>
        <w:rPr>
          <w:rFonts w:hint="eastAsia" w:ascii="宋体" w:hAnsi="宋体" w:cs="宋体"/>
          <w:b/>
          <w:color w:val="auto"/>
          <w:sz w:val="32"/>
          <w:szCs w:val="32"/>
          <w:highlight w:val="none"/>
        </w:rPr>
        <w:t>承诺书</w:t>
      </w:r>
      <w:r>
        <w:rPr>
          <w:rFonts w:hint="eastAsia" w:ascii="宋体" w:hAnsi="宋体" w:cs="宋体"/>
          <w:b/>
          <w:color w:val="auto"/>
          <w:sz w:val="36"/>
          <w:szCs w:val="36"/>
          <w:highlight w:val="none"/>
        </w:rPr>
        <w:fldChar w:fldCharType="begin"/>
      </w:r>
      <w:r>
        <w:rPr>
          <w:rFonts w:hint="eastAsia" w:ascii="宋体" w:hAnsi="宋体" w:cs="宋体"/>
          <w:b/>
          <w:color w:val="auto"/>
          <w:sz w:val="36"/>
          <w:szCs w:val="36"/>
          <w:highlight w:val="none"/>
        </w:rPr>
        <w:instrText xml:space="preserve"> = 5 \* ROMAN </w:instrText>
      </w:r>
      <w:r>
        <w:rPr>
          <w:rFonts w:hint="eastAsia" w:ascii="宋体" w:hAnsi="宋体" w:cs="宋体"/>
          <w:b/>
          <w:color w:val="auto"/>
          <w:sz w:val="36"/>
          <w:szCs w:val="36"/>
          <w:highlight w:val="none"/>
        </w:rPr>
        <w:fldChar w:fldCharType="separate"/>
      </w:r>
      <w:r>
        <w:rPr>
          <w:rFonts w:hint="eastAsia" w:ascii="宋体" w:hAnsi="宋体" w:cs="宋体"/>
          <w:b/>
          <w:color w:val="auto"/>
          <w:sz w:val="36"/>
          <w:szCs w:val="36"/>
          <w:highlight w:val="none"/>
        </w:rPr>
        <w:t>V</w:t>
      </w:r>
      <w:r>
        <w:rPr>
          <w:rFonts w:hint="eastAsia" w:ascii="宋体" w:hAnsi="宋体" w:cs="宋体"/>
          <w:b/>
          <w:color w:val="auto"/>
          <w:sz w:val="36"/>
          <w:szCs w:val="36"/>
          <w:highlight w:val="none"/>
        </w:rPr>
        <w:fldChar w:fldCharType="end"/>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宋体" w:hAnsi="宋体" w:cs="宋体"/>
                <w:color w:val="auto"/>
                <w:sz w:val="24"/>
                <w:highlight w:val="none"/>
              </w:rPr>
            </w:pPr>
            <w:r>
              <w:rPr>
                <w:rFonts w:hint="eastAsia" w:ascii="宋体" w:hAnsi="宋体" w:cs="宋体"/>
                <w:color w:val="auto"/>
                <w:sz w:val="24"/>
                <w:highlight w:val="none"/>
              </w:rPr>
              <w:t>致：陕西中振项目咨询有限公司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作为参加贵单位组织的招标采购项目的供应商，本公司承诺：参加本次投标提交的所有资格证明文件是真实的、有效的，如有隐瞒实情，愿承担一切责任及后果。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宋体" w:hAnsi="宋体" w:cs="宋体"/>
                <w:color w:val="auto"/>
                <w:sz w:val="24"/>
                <w:highlight w:val="none"/>
              </w:rPr>
            </w:pPr>
            <w:r>
              <w:rPr>
                <w:rFonts w:hint="eastAsia" w:ascii="宋体" w:hAnsi="宋体" w:cs="宋体"/>
                <w:color w:val="auto"/>
                <w:sz w:val="24"/>
                <w:highlight w:val="none"/>
              </w:rPr>
              <w:t>供应商</w:t>
            </w:r>
          </w:p>
        </w:tc>
        <w:tc>
          <w:tcPr>
            <w:tcW w:w="3420" w:type="dxa"/>
            <w:vAlign w:val="center"/>
          </w:tcPr>
          <w:p>
            <w:pPr>
              <w:spacing w:line="360" w:lineRule="atLeast"/>
              <w:jc w:val="center"/>
              <w:rPr>
                <w:rFonts w:ascii="宋体" w:hAnsi="宋体" w:cs="宋体"/>
                <w:color w:val="auto"/>
                <w:sz w:val="24"/>
                <w:highlight w:val="none"/>
              </w:rPr>
            </w:pPr>
            <w:r>
              <w:rPr>
                <w:rFonts w:hint="eastAsia" w:ascii="宋体" w:hAnsi="宋体" w:cs="宋体"/>
                <w:color w:val="auto"/>
                <w:sz w:val="24"/>
                <w:highlight w:val="none"/>
              </w:rPr>
              <w:t>法定代表人</w:t>
            </w:r>
          </w:p>
        </w:tc>
        <w:tc>
          <w:tcPr>
            <w:tcW w:w="2340" w:type="dxa"/>
            <w:vAlign w:val="center"/>
          </w:tcPr>
          <w:p>
            <w:pPr>
              <w:spacing w:line="360" w:lineRule="atLeast"/>
              <w:jc w:val="center"/>
              <w:rPr>
                <w:rFonts w:ascii="宋体" w:hAnsi="宋体" w:cs="宋体"/>
                <w:color w:val="auto"/>
                <w:sz w:val="24"/>
                <w:highlight w:val="none"/>
              </w:rPr>
            </w:pPr>
            <w:r>
              <w:rPr>
                <w:rFonts w:hint="eastAsia" w:ascii="宋体" w:hAnsi="宋体" w:cs="宋体"/>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宋体" w:hAnsi="宋体" w:cs="宋体"/>
                <w:color w:val="auto"/>
                <w:sz w:val="24"/>
                <w:highlight w:val="none"/>
              </w:rPr>
            </w:pPr>
            <w:r>
              <w:rPr>
                <w:rFonts w:hint="eastAsia" w:ascii="宋体" w:hAnsi="宋体" w:cs="宋体"/>
                <w:color w:val="auto"/>
                <w:sz w:val="24"/>
                <w:highlight w:val="none"/>
              </w:rPr>
              <w:t>（公章）</w:t>
            </w:r>
          </w:p>
        </w:tc>
        <w:tc>
          <w:tcPr>
            <w:tcW w:w="3420" w:type="dxa"/>
            <w:vAlign w:val="center"/>
          </w:tcPr>
          <w:p>
            <w:pPr>
              <w:spacing w:line="360" w:lineRule="atLeast"/>
              <w:jc w:val="center"/>
              <w:rPr>
                <w:rFonts w:ascii="宋体" w:hAnsi="宋体" w:cs="宋体"/>
                <w:color w:val="auto"/>
                <w:sz w:val="24"/>
                <w:highlight w:val="none"/>
              </w:rPr>
            </w:pPr>
            <w:r>
              <w:rPr>
                <w:rFonts w:hint="eastAsia" w:ascii="宋体" w:hAnsi="宋体" w:cs="宋体"/>
                <w:color w:val="auto"/>
                <w:sz w:val="24"/>
                <w:highlight w:val="none"/>
              </w:rPr>
              <w:t>（签字及盖章）</w:t>
            </w:r>
          </w:p>
        </w:tc>
        <w:tc>
          <w:tcPr>
            <w:tcW w:w="2340" w:type="dxa"/>
            <w:vAlign w:val="center"/>
          </w:tcPr>
          <w:p>
            <w:pPr>
              <w:spacing w:line="360" w:lineRule="atLeast"/>
              <w:ind w:firstLine="240" w:firstLineChars="100"/>
              <w:jc w:val="center"/>
              <w:rPr>
                <w:rFonts w:ascii="宋体" w:hAnsi="宋体" w:cs="宋体"/>
                <w:color w:val="auto"/>
                <w:sz w:val="24"/>
                <w:highlight w:val="none"/>
              </w:rPr>
            </w:pPr>
            <w:r>
              <w:rPr>
                <w:rFonts w:hint="eastAsia" w:ascii="宋体" w:hAnsi="宋体" w:cs="宋体"/>
                <w:color w:val="auto"/>
                <w:sz w:val="24"/>
                <w:highlight w:val="none"/>
              </w:rPr>
              <w:t>年  月  日</w:t>
            </w:r>
          </w:p>
        </w:tc>
      </w:tr>
    </w:tbl>
    <w:p>
      <w:pPr>
        <w:wordWrap w:val="0"/>
        <w:spacing w:line="360" w:lineRule="auto"/>
        <w:ind w:right="456" w:firstLine="2570" w:firstLineChars="800"/>
        <w:rPr>
          <w:rFonts w:ascii="宋体" w:hAnsi="宋体" w:cs="宋体"/>
          <w:b/>
          <w:bCs/>
          <w:color w:val="auto"/>
          <w:sz w:val="32"/>
          <w:highlight w:val="none"/>
        </w:rPr>
      </w:pPr>
    </w:p>
    <w:p>
      <w:pPr>
        <w:wordWrap w:val="0"/>
        <w:spacing w:line="360" w:lineRule="auto"/>
        <w:ind w:right="456" w:firstLine="2570" w:firstLineChars="800"/>
        <w:rPr>
          <w:rFonts w:ascii="宋体" w:hAnsi="宋体" w:cs="宋体"/>
          <w:b/>
          <w:bCs/>
          <w:color w:val="auto"/>
          <w:sz w:val="32"/>
          <w:highlight w:val="none"/>
        </w:rPr>
      </w:pPr>
    </w:p>
    <w:p>
      <w:pPr>
        <w:wordWrap w:val="0"/>
        <w:spacing w:line="360" w:lineRule="auto"/>
        <w:ind w:right="456" w:firstLine="2570" w:firstLineChars="800"/>
        <w:rPr>
          <w:rFonts w:ascii="宋体" w:hAnsi="宋体" w:cs="宋体"/>
          <w:b/>
          <w:bCs/>
          <w:color w:val="auto"/>
          <w:sz w:val="32"/>
          <w:highlight w:val="none"/>
        </w:rPr>
      </w:pPr>
    </w:p>
    <w:p>
      <w:pPr>
        <w:wordWrap w:val="0"/>
        <w:spacing w:line="360" w:lineRule="auto"/>
        <w:ind w:right="456"/>
        <w:rPr>
          <w:rFonts w:ascii="宋体" w:hAnsi="宋体" w:cs="宋体"/>
          <w:b/>
          <w:bCs/>
          <w:color w:val="auto"/>
          <w:sz w:val="32"/>
          <w:highlight w:val="none"/>
        </w:rPr>
        <w:sectPr>
          <w:headerReference r:id="rId10" w:type="default"/>
          <w:pgSz w:w="11906" w:h="16838"/>
          <w:pgMar w:top="1418" w:right="1134" w:bottom="1418" w:left="1321" w:header="851" w:footer="992" w:gutter="0"/>
          <w:cols w:space="720" w:num="1"/>
          <w:docGrid w:type="lines" w:linePitch="312" w:charSpace="0"/>
        </w:sectPr>
      </w:pPr>
      <w:bookmarkStart w:id="83" w:name="_Toc8711"/>
      <w:bookmarkStart w:id="84" w:name="_Toc30616"/>
      <w:bookmarkStart w:id="85" w:name="_Toc28735"/>
    </w:p>
    <w:p>
      <w:pPr>
        <w:numPr>
          <w:ilvl w:val="0"/>
          <w:numId w:val="9"/>
        </w:numPr>
        <w:ind w:firstLine="643" w:firstLineChars="200"/>
        <w:jc w:val="center"/>
        <w:outlineLvl w:val="0"/>
        <w:rPr>
          <w:rFonts w:ascii="宋体" w:hAnsi="宋体" w:cs="宋体"/>
          <w:b/>
          <w:bCs/>
          <w:color w:val="auto"/>
          <w:sz w:val="32"/>
          <w:szCs w:val="32"/>
          <w:highlight w:val="none"/>
        </w:rPr>
      </w:pPr>
      <w:bookmarkStart w:id="86" w:name="_Toc25411"/>
      <w:bookmarkStart w:id="87" w:name="_Toc11970"/>
      <w:bookmarkStart w:id="88" w:name="_Toc1526"/>
      <w:r>
        <w:rPr>
          <w:rFonts w:hint="eastAsia" w:ascii="宋体" w:hAnsi="宋体" w:cs="宋体"/>
          <w:b/>
          <w:bCs/>
          <w:color w:val="auto"/>
          <w:sz w:val="32"/>
          <w:szCs w:val="32"/>
          <w:highlight w:val="none"/>
        </w:rPr>
        <w:t>附件</w:t>
      </w:r>
      <w:bookmarkEnd w:id="86"/>
      <w:bookmarkEnd w:id="87"/>
      <w:bookmarkEnd w:id="88"/>
    </w:p>
    <w:p>
      <w:pPr>
        <w:spacing w:line="360" w:lineRule="auto"/>
        <w:ind w:firstLine="557" w:firstLineChars="198"/>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 xml:space="preserve">一、中小企业声明函（货物） </w:t>
      </w:r>
    </w:p>
    <w:p>
      <w:pPr>
        <w:spacing w:line="360" w:lineRule="auto"/>
        <w:ind w:firstLine="475" w:firstLineChars="198"/>
        <w:rPr>
          <w:rFonts w:ascii="宋体" w:hAnsi="宋体" w:cs="宋体"/>
          <w:bCs/>
          <w:color w:val="auto"/>
          <w:sz w:val="24"/>
          <w:highlight w:val="none"/>
        </w:rPr>
      </w:pPr>
      <w:r>
        <w:rPr>
          <w:rFonts w:hint="eastAsia" w:ascii="宋体" w:hAnsi="宋体" w:cs="宋体"/>
          <w:bCs/>
          <w:color w:val="auto"/>
          <w:sz w:val="24"/>
          <w:highlight w:val="none"/>
        </w:rPr>
        <w:t>本公司（联合体）郑重声明，根据《政府采购促进中小企业发展管理办法》（财库﹝2020﹞46 号）的规定，本公司 （联合体）参加</w:t>
      </w:r>
      <w:r>
        <w:rPr>
          <w:rFonts w:hint="eastAsia" w:ascii="宋体" w:hAnsi="宋体" w:cs="宋体"/>
          <w:bCs/>
          <w:color w:val="auto"/>
          <w:sz w:val="24"/>
          <w:highlight w:val="none"/>
          <w:u w:val="single"/>
        </w:rPr>
        <w:t>（单位名称）</w:t>
      </w:r>
      <w:r>
        <w:rPr>
          <w:rFonts w:hint="eastAsia" w:ascii="宋体" w:hAnsi="宋体" w:cs="宋体"/>
          <w:bCs/>
          <w:color w:val="auto"/>
          <w:sz w:val="24"/>
          <w:highlight w:val="none"/>
        </w:rPr>
        <w:t>的</w:t>
      </w:r>
      <w:r>
        <w:rPr>
          <w:rFonts w:hint="eastAsia" w:ascii="宋体" w:hAnsi="宋体" w:cs="宋体"/>
          <w:bCs/>
          <w:color w:val="auto"/>
          <w:sz w:val="24"/>
          <w:highlight w:val="none"/>
          <w:u w:val="single"/>
        </w:rPr>
        <w:t>（项目名称）</w:t>
      </w:r>
      <w:r>
        <w:rPr>
          <w:rFonts w:hint="eastAsia" w:ascii="宋体" w:hAnsi="宋体" w:cs="宋体"/>
          <w:bCs/>
          <w:color w:val="auto"/>
          <w:sz w:val="24"/>
          <w:highlight w:val="none"/>
        </w:rPr>
        <w:t>采购活动，服务的单位全部由符合政策要求的中小企业承接。相关企业（含联合体中的中小企业、签订分包意向协议的中小企业）的具体情况如下：</w:t>
      </w:r>
    </w:p>
    <w:p>
      <w:pPr>
        <w:numPr>
          <w:ilvl w:val="0"/>
          <w:numId w:val="10"/>
        </w:numPr>
        <w:spacing w:line="360" w:lineRule="auto"/>
        <w:ind w:firstLine="475" w:firstLineChars="198"/>
        <w:rPr>
          <w:rFonts w:ascii="宋体" w:hAnsi="宋体" w:cs="宋体"/>
          <w:bCs/>
          <w:color w:val="auto"/>
          <w:sz w:val="24"/>
          <w:highlight w:val="none"/>
        </w:rPr>
      </w:pPr>
      <w:r>
        <w:rPr>
          <w:rFonts w:hint="eastAsia" w:ascii="宋体" w:hAnsi="宋体" w:cs="宋体"/>
          <w:bCs/>
          <w:color w:val="auto"/>
          <w:sz w:val="24"/>
          <w:highlight w:val="none"/>
          <w:u w:val="single"/>
        </w:rPr>
        <w:t xml:space="preserve">（标的名称） </w:t>
      </w:r>
      <w:r>
        <w:rPr>
          <w:rFonts w:hint="eastAsia" w:ascii="宋体" w:hAnsi="宋体" w:cs="宋体"/>
          <w:bCs/>
          <w:color w:val="auto"/>
          <w:sz w:val="24"/>
          <w:highlight w:val="none"/>
        </w:rPr>
        <w:t>，属于</w:t>
      </w:r>
      <w:r>
        <w:rPr>
          <w:rFonts w:hint="eastAsia" w:ascii="宋体" w:hAnsi="宋体" w:cs="宋体"/>
          <w:bCs/>
          <w:color w:val="auto"/>
          <w:sz w:val="24"/>
          <w:highlight w:val="none"/>
          <w:u w:val="single"/>
        </w:rPr>
        <w:t>（采购文件中明确的所属行业）</w:t>
      </w:r>
      <w:r>
        <w:rPr>
          <w:rFonts w:hint="eastAsia" w:ascii="宋体" w:hAnsi="宋体" w:cs="宋体"/>
          <w:bCs/>
          <w:color w:val="auto"/>
          <w:sz w:val="24"/>
          <w:highlight w:val="none"/>
        </w:rPr>
        <w:t>； 承建（承接）企业为</w:t>
      </w:r>
      <w:r>
        <w:rPr>
          <w:rFonts w:hint="eastAsia" w:ascii="宋体" w:hAnsi="宋体" w:cs="宋体"/>
          <w:bCs/>
          <w:color w:val="auto"/>
          <w:sz w:val="24"/>
          <w:highlight w:val="none"/>
          <w:u w:val="single"/>
        </w:rPr>
        <w:t>（企业名称）</w:t>
      </w:r>
      <w:r>
        <w:rPr>
          <w:rFonts w:hint="eastAsia" w:ascii="宋体" w:hAnsi="宋体" w:cs="宋体"/>
          <w:bCs/>
          <w:color w:val="auto"/>
          <w:sz w:val="24"/>
          <w:highlight w:val="none"/>
        </w:rPr>
        <w:t>，从业人员人，营业收入为万元，资产总额为</w:t>
      </w:r>
    </w:p>
    <w:p>
      <w:pPr>
        <w:spacing w:line="360" w:lineRule="auto"/>
        <w:rPr>
          <w:rFonts w:ascii="宋体" w:hAnsi="宋体" w:cs="宋体"/>
          <w:bCs/>
          <w:color w:val="auto"/>
          <w:sz w:val="24"/>
          <w:highlight w:val="none"/>
        </w:rPr>
      </w:pPr>
      <w:r>
        <w:rPr>
          <w:rFonts w:hint="eastAsia" w:ascii="宋体" w:hAnsi="宋体" w:cs="宋体"/>
          <w:bCs/>
          <w:color w:val="auto"/>
          <w:sz w:val="24"/>
          <w:highlight w:val="none"/>
        </w:rPr>
        <w:t>万元¹，属于【（  ）</w:t>
      </w:r>
      <w:r>
        <w:rPr>
          <w:rFonts w:hint="eastAsia" w:ascii="宋体" w:hAnsi="宋体" w:cs="宋体"/>
          <w:bCs/>
          <w:color w:val="auto"/>
          <w:sz w:val="24"/>
          <w:highlight w:val="none"/>
          <w:u w:val="single"/>
        </w:rPr>
        <w:t>中型企业</w:t>
      </w:r>
      <w:r>
        <w:rPr>
          <w:rFonts w:hint="eastAsia" w:ascii="宋体" w:hAnsi="宋体" w:cs="宋体"/>
          <w:bCs/>
          <w:color w:val="auto"/>
          <w:sz w:val="24"/>
          <w:highlight w:val="none"/>
        </w:rPr>
        <w:t>、（  ）</w:t>
      </w:r>
      <w:r>
        <w:rPr>
          <w:rFonts w:hint="eastAsia" w:ascii="宋体" w:hAnsi="宋体" w:cs="宋体"/>
          <w:bCs/>
          <w:color w:val="auto"/>
          <w:sz w:val="24"/>
          <w:highlight w:val="none"/>
          <w:u w:val="single"/>
        </w:rPr>
        <w:t>小型企业</w:t>
      </w:r>
      <w:r>
        <w:rPr>
          <w:rFonts w:hint="eastAsia" w:ascii="宋体" w:hAnsi="宋体" w:cs="宋体"/>
          <w:bCs/>
          <w:color w:val="auto"/>
          <w:sz w:val="24"/>
          <w:highlight w:val="none"/>
        </w:rPr>
        <w:t>、（  ）</w:t>
      </w:r>
      <w:r>
        <w:rPr>
          <w:rFonts w:hint="eastAsia" w:ascii="宋体" w:hAnsi="宋体" w:cs="宋体"/>
          <w:bCs/>
          <w:color w:val="auto"/>
          <w:sz w:val="24"/>
          <w:highlight w:val="none"/>
          <w:u w:val="single"/>
        </w:rPr>
        <w:t>微型企业</w:t>
      </w:r>
      <w:r>
        <w:rPr>
          <w:rFonts w:hint="eastAsia" w:ascii="宋体" w:hAnsi="宋体" w:cs="宋体"/>
          <w:bCs/>
          <w:color w:val="auto"/>
          <w:sz w:val="24"/>
          <w:highlight w:val="none"/>
        </w:rPr>
        <w:t xml:space="preserve">】； </w:t>
      </w:r>
    </w:p>
    <w:p>
      <w:pPr>
        <w:numPr>
          <w:ilvl w:val="0"/>
          <w:numId w:val="10"/>
        </w:numPr>
        <w:spacing w:line="360" w:lineRule="auto"/>
        <w:ind w:firstLine="475" w:firstLineChars="198"/>
        <w:rPr>
          <w:rFonts w:ascii="宋体" w:hAnsi="宋体" w:cs="宋体"/>
          <w:bCs/>
          <w:color w:val="auto"/>
          <w:sz w:val="24"/>
          <w:highlight w:val="none"/>
        </w:rPr>
      </w:pPr>
      <w:r>
        <w:rPr>
          <w:rFonts w:hint="eastAsia" w:ascii="宋体" w:hAnsi="宋体" w:cs="宋体"/>
          <w:bCs/>
          <w:color w:val="auto"/>
          <w:sz w:val="24"/>
          <w:highlight w:val="none"/>
          <w:u w:val="single"/>
        </w:rPr>
        <w:t xml:space="preserve">（标的名称） </w:t>
      </w:r>
      <w:r>
        <w:rPr>
          <w:rFonts w:hint="eastAsia" w:ascii="宋体" w:hAnsi="宋体" w:cs="宋体"/>
          <w:bCs/>
          <w:color w:val="auto"/>
          <w:sz w:val="24"/>
          <w:highlight w:val="none"/>
        </w:rPr>
        <w:t>，属于</w:t>
      </w:r>
      <w:r>
        <w:rPr>
          <w:rFonts w:hint="eastAsia" w:ascii="宋体" w:hAnsi="宋体" w:cs="宋体"/>
          <w:bCs/>
          <w:color w:val="auto"/>
          <w:sz w:val="24"/>
          <w:highlight w:val="none"/>
          <w:u w:val="single"/>
        </w:rPr>
        <w:t>（采购文件中明确的所属行业）</w:t>
      </w:r>
      <w:r>
        <w:rPr>
          <w:rFonts w:hint="eastAsia" w:ascii="宋体" w:hAnsi="宋体" w:cs="宋体"/>
          <w:bCs/>
          <w:color w:val="auto"/>
          <w:sz w:val="24"/>
          <w:highlight w:val="none"/>
        </w:rPr>
        <w:t>； 承建（承接）企业为</w:t>
      </w:r>
      <w:r>
        <w:rPr>
          <w:rFonts w:hint="eastAsia" w:ascii="宋体" w:hAnsi="宋体" w:cs="宋体"/>
          <w:bCs/>
          <w:color w:val="auto"/>
          <w:sz w:val="24"/>
          <w:highlight w:val="none"/>
          <w:u w:val="single"/>
        </w:rPr>
        <w:t>（企业名称）</w:t>
      </w:r>
      <w:r>
        <w:rPr>
          <w:rFonts w:hint="eastAsia" w:ascii="宋体" w:hAnsi="宋体" w:cs="宋体"/>
          <w:bCs/>
          <w:color w:val="auto"/>
          <w:sz w:val="24"/>
          <w:highlight w:val="none"/>
        </w:rPr>
        <w:t>，从业人员人，营业收入为万元，资产总额为</w:t>
      </w:r>
    </w:p>
    <w:p>
      <w:pPr>
        <w:spacing w:line="360" w:lineRule="auto"/>
        <w:rPr>
          <w:rFonts w:ascii="宋体" w:hAnsi="宋体" w:cs="宋体"/>
          <w:bCs/>
          <w:color w:val="auto"/>
          <w:sz w:val="24"/>
          <w:highlight w:val="none"/>
        </w:rPr>
      </w:pPr>
      <w:r>
        <w:rPr>
          <w:rFonts w:hint="eastAsia" w:ascii="宋体" w:hAnsi="宋体" w:cs="宋体"/>
          <w:bCs/>
          <w:color w:val="auto"/>
          <w:sz w:val="24"/>
          <w:highlight w:val="none"/>
        </w:rPr>
        <w:t>万元，属于【（  ）</w:t>
      </w:r>
      <w:r>
        <w:rPr>
          <w:rFonts w:hint="eastAsia" w:ascii="宋体" w:hAnsi="宋体" w:cs="宋体"/>
          <w:bCs/>
          <w:color w:val="auto"/>
          <w:sz w:val="24"/>
          <w:highlight w:val="none"/>
          <w:u w:val="single"/>
        </w:rPr>
        <w:t>中型企业</w:t>
      </w:r>
      <w:r>
        <w:rPr>
          <w:rFonts w:hint="eastAsia" w:ascii="宋体" w:hAnsi="宋体" w:cs="宋体"/>
          <w:bCs/>
          <w:color w:val="auto"/>
          <w:sz w:val="24"/>
          <w:highlight w:val="none"/>
        </w:rPr>
        <w:t>、（  ）</w:t>
      </w:r>
      <w:r>
        <w:rPr>
          <w:rFonts w:hint="eastAsia" w:ascii="宋体" w:hAnsi="宋体" w:cs="宋体"/>
          <w:bCs/>
          <w:color w:val="auto"/>
          <w:sz w:val="24"/>
          <w:highlight w:val="none"/>
          <w:u w:val="single"/>
        </w:rPr>
        <w:t>小型企业</w:t>
      </w:r>
      <w:r>
        <w:rPr>
          <w:rFonts w:hint="eastAsia" w:ascii="宋体" w:hAnsi="宋体" w:cs="宋体"/>
          <w:bCs/>
          <w:color w:val="auto"/>
          <w:sz w:val="24"/>
          <w:highlight w:val="none"/>
        </w:rPr>
        <w:t>、（  ）</w:t>
      </w:r>
      <w:r>
        <w:rPr>
          <w:rFonts w:hint="eastAsia" w:ascii="宋体" w:hAnsi="宋体" w:cs="宋体"/>
          <w:bCs/>
          <w:color w:val="auto"/>
          <w:sz w:val="24"/>
          <w:highlight w:val="none"/>
          <w:u w:val="single"/>
        </w:rPr>
        <w:t>微型企业</w:t>
      </w:r>
      <w:r>
        <w:rPr>
          <w:rFonts w:hint="eastAsia" w:ascii="宋体" w:hAnsi="宋体" w:cs="宋体"/>
          <w:bCs/>
          <w:color w:val="auto"/>
          <w:sz w:val="24"/>
          <w:highlight w:val="none"/>
        </w:rPr>
        <w:t>】；</w:t>
      </w:r>
    </w:p>
    <w:p>
      <w:pPr>
        <w:spacing w:line="360" w:lineRule="auto"/>
        <w:ind w:firstLine="475" w:firstLineChars="198"/>
        <w:rPr>
          <w:rFonts w:ascii="宋体" w:hAnsi="宋体" w:cs="宋体"/>
          <w:bCs/>
          <w:color w:val="auto"/>
          <w:sz w:val="24"/>
          <w:highlight w:val="none"/>
        </w:rPr>
      </w:pPr>
      <w:r>
        <w:rPr>
          <w:rFonts w:hint="eastAsia" w:ascii="宋体" w:hAnsi="宋体" w:cs="宋体"/>
          <w:bCs/>
          <w:color w:val="auto"/>
          <w:sz w:val="24"/>
          <w:highlight w:val="none"/>
        </w:rPr>
        <w:t>……</w:t>
      </w:r>
    </w:p>
    <w:p>
      <w:pPr>
        <w:spacing w:line="360" w:lineRule="auto"/>
        <w:ind w:firstLine="475" w:firstLineChars="198"/>
        <w:rPr>
          <w:rFonts w:ascii="宋体" w:hAnsi="宋体" w:cs="宋体"/>
          <w:bCs/>
          <w:color w:val="auto"/>
          <w:sz w:val="24"/>
          <w:highlight w:val="none"/>
        </w:rPr>
      </w:pPr>
      <w:r>
        <w:rPr>
          <w:rFonts w:hint="eastAsia" w:ascii="宋体" w:hAnsi="宋体" w:cs="宋体"/>
          <w:bCs/>
          <w:color w:val="auto"/>
          <w:sz w:val="24"/>
          <w:highlight w:val="none"/>
        </w:rPr>
        <w:t>以上企业，不属于大企业的分支机构，不存在控股股东为大企业的情形，也不存在与大企业的负责人为同一人的情形。</w:t>
      </w:r>
    </w:p>
    <w:p>
      <w:pPr>
        <w:spacing w:line="360" w:lineRule="auto"/>
        <w:ind w:firstLine="475" w:firstLineChars="198"/>
        <w:rPr>
          <w:rFonts w:ascii="宋体" w:hAnsi="宋体" w:cs="宋体"/>
          <w:bCs/>
          <w:color w:val="auto"/>
          <w:sz w:val="24"/>
          <w:highlight w:val="none"/>
        </w:rPr>
      </w:pPr>
      <w:r>
        <w:rPr>
          <w:rFonts w:hint="eastAsia" w:ascii="宋体" w:hAnsi="宋体" w:cs="宋体"/>
          <w:bCs/>
          <w:color w:val="auto"/>
          <w:sz w:val="24"/>
          <w:highlight w:val="none"/>
        </w:rPr>
        <w:t>本企业对上述声明内容的真实性负责。如有虚假，将依法承担相应责任。</w:t>
      </w:r>
    </w:p>
    <w:p>
      <w:pPr>
        <w:spacing w:line="480" w:lineRule="exact"/>
        <w:ind w:firstLine="480" w:firstLineChars="200"/>
        <w:jc w:val="right"/>
        <w:rPr>
          <w:rFonts w:ascii="宋体" w:hAnsi="宋体" w:cs="宋体"/>
          <w:bCs/>
          <w:color w:val="auto"/>
          <w:sz w:val="24"/>
          <w:highlight w:val="none"/>
        </w:rPr>
      </w:pPr>
    </w:p>
    <w:p>
      <w:pPr>
        <w:spacing w:line="480" w:lineRule="exact"/>
        <w:ind w:firstLine="480" w:firstLineChars="200"/>
        <w:jc w:val="center"/>
        <w:rPr>
          <w:rFonts w:ascii="宋体" w:hAnsi="宋体" w:cs="宋体"/>
          <w:bCs/>
          <w:color w:val="auto"/>
          <w:sz w:val="24"/>
          <w:highlight w:val="none"/>
        </w:rPr>
      </w:pPr>
      <w:r>
        <w:rPr>
          <w:rFonts w:hint="eastAsia" w:ascii="宋体" w:hAnsi="宋体" w:cs="宋体"/>
          <w:bCs/>
          <w:color w:val="auto"/>
          <w:sz w:val="24"/>
          <w:highlight w:val="none"/>
        </w:rPr>
        <w:t>企业名称（盖章）：</w:t>
      </w:r>
    </w:p>
    <w:p>
      <w:pPr>
        <w:spacing w:line="480" w:lineRule="exact"/>
        <w:ind w:firstLine="480" w:firstLineChars="200"/>
        <w:jc w:val="center"/>
        <w:rPr>
          <w:rFonts w:ascii="宋体" w:hAnsi="宋体" w:cs="宋体"/>
          <w:bCs/>
          <w:color w:val="auto"/>
          <w:sz w:val="24"/>
          <w:highlight w:val="none"/>
        </w:rPr>
      </w:pPr>
      <w:r>
        <w:rPr>
          <w:rFonts w:hint="eastAsia" w:ascii="宋体" w:hAnsi="宋体" w:cs="宋体"/>
          <w:bCs/>
          <w:color w:val="auto"/>
          <w:sz w:val="24"/>
          <w:highlight w:val="none"/>
        </w:rPr>
        <w:t xml:space="preserve">            日期：</w:t>
      </w:r>
    </w:p>
    <w:p>
      <w:pPr>
        <w:spacing w:line="480" w:lineRule="exact"/>
        <w:ind w:firstLine="480" w:firstLineChars="200"/>
        <w:jc w:val="left"/>
        <w:rPr>
          <w:rFonts w:ascii="宋体" w:hAnsi="宋体" w:cs="宋体"/>
          <w:bCs/>
          <w:color w:val="auto"/>
          <w:sz w:val="24"/>
          <w:highlight w:val="none"/>
        </w:rPr>
      </w:pPr>
    </w:p>
    <w:p>
      <w:pPr>
        <w:spacing w:line="48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注：¹从业人员、营业收入、资产总额填报上一年度数据，无上一年度数据的新成立企业可不填报。</w:t>
      </w:r>
    </w:p>
    <w:p>
      <w:pPr>
        <w:jc w:val="left"/>
        <w:rPr>
          <w:rFonts w:ascii="宋体" w:hAnsi="宋体" w:cs="宋体"/>
          <w:b/>
          <w:bCs/>
          <w:color w:val="auto"/>
          <w:sz w:val="32"/>
          <w:szCs w:val="32"/>
          <w:highlight w:val="none"/>
        </w:rPr>
      </w:pPr>
    </w:p>
    <w:p>
      <w:pPr>
        <w:spacing w:line="440" w:lineRule="exact"/>
        <w:ind w:firstLine="482"/>
        <w:rPr>
          <w:rFonts w:ascii="宋体" w:hAnsi="宋体" w:cs="宋体"/>
          <w:b/>
          <w:color w:val="auto"/>
          <w:sz w:val="24"/>
          <w:highlight w:val="none"/>
        </w:rPr>
      </w:pPr>
      <w:r>
        <w:rPr>
          <w:rFonts w:hint="eastAsia" w:ascii="宋体" w:hAnsi="宋体" w:cs="宋体"/>
          <w:b/>
          <w:color w:val="auto"/>
          <w:sz w:val="24"/>
          <w:highlight w:val="none"/>
        </w:rPr>
        <w:t>备注：</w:t>
      </w:r>
    </w:p>
    <w:p>
      <w:pPr>
        <w:spacing w:line="440" w:lineRule="exact"/>
        <w:ind w:firstLine="482"/>
        <w:rPr>
          <w:rFonts w:ascii="宋体" w:hAnsi="宋体" w:cs="宋体"/>
          <w:b/>
          <w:color w:val="auto"/>
          <w:sz w:val="24"/>
          <w:highlight w:val="none"/>
        </w:rPr>
      </w:pPr>
      <w:r>
        <w:rPr>
          <w:rFonts w:hint="eastAsia" w:ascii="宋体" w:hAnsi="宋体" w:cs="宋体"/>
          <w:b/>
          <w:color w:val="auto"/>
          <w:sz w:val="24"/>
          <w:highlight w:val="none"/>
        </w:rPr>
        <w:t>1.非小、微企业无需在响应文件中提供。如为小、微企业应在响应文件的封面右上角明确注明相关信息以便方便认可。</w:t>
      </w:r>
    </w:p>
    <w:p>
      <w:pPr>
        <w:spacing w:line="440" w:lineRule="exact"/>
        <w:ind w:firstLine="482"/>
        <w:rPr>
          <w:rFonts w:ascii="宋体" w:hAnsi="宋体" w:cs="宋体"/>
          <w:b/>
          <w:color w:val="auto"/>
          <w:sz w:val="24"/>
          <w:szCs w:val="22"/>
          <w:highlight w:val="none"/>
        </w:rPr>
      </w:pPr>
      <w:r>
        <w:rPr>
          <w:rFonts w:hint="eastAsia" w:ascii="宋体" w:hAnsi="宋体" w:cs="宋体"/>
          <w:b/>
          <w:color w:val="auto"/>
          <w:sz w:val="24"/>
          <w:szCs w:val="22"/>
          <w:highlight w:val="none"/>
        </w:rPr>
        <w:t>2.供应商提供《中小企业声明函》的需保证其真实性，如经查实存在虚假证明的情况，由供应商承担相应责任。</w:t>
      </w:r>
    </w:p>
    <w:p>
      <w:pPr>
        <w:jc w:val="left"/>
        <w:rPr>
          <w:rFonts w:ascii="宋体" w:hAnsi="宋体" w:cs="宋体"/>
          <w:b/>
          <w:bCs/>
          <w:color w:val="auto"/>
          <w:sz w:val="28"/>
          <w:szCs w:val="28"/>
          <w:highlight w:val="none"/>
        </w:rPr>
        <w:sectPr>
          <w:headerReference r:id="rId11" w:type="default"/>
          <w:footerReference r:id="rId12" w:type="default"/>
          <w:footerReference r:id="rId13" w:type="even"/>
          <w:pgSz w:w="11906" w:h="16838"/>
          <w:pgMar w:top="1440" w:right="1800" w:bottom="1440" w:left="1800" w:header="851" w:footer="992" w:gutter="0"/>
          <w:cols w:space="720" w:num="1"/>
          <w:titlePg/>
          <w:docGrid w:type="lines" w:linePitch="312" w:charSpace="0"/>
        </w:sectPr>
      </w:pPr>
    </w:p>
    <w:p>
      <w:pPr>
        <w:tabs>
          <w:tab w:val="left" w:pos="1755"/>
        </w:tabs>
        <w:spacing w:line="360" w:lineRule="auto"/>
        <w:jc w:val="center"/>
        <w:outlineLvl w:val="2"/>
        <w:rPr>
          <w:rFonts w:ascii="宋体" w:hAnsi="宋体" w:cs="宋体"/>
          <w:b/>
          <w:bCs/>
          <w:color w:val="auto"/>
          <w:sz w:val="28"/>
          <w:szCs w:val="28"/>
          <w:highlight w:val="none"/>
        </w:rPr>
      </w:pPr>
      <w:bookmarkStart w:id="89" w:name="_Toc26990"/>
      <w:bookmarkStart w:id="90" w:name="_Toc32499"/>
      <w:r>
        <w:rPr>
          <w:rFonts w:hint="eastAsia" w:ascii="宋体" w:hAnsi="宋体" w:cs="宋体"/>
          <w:b/>
          <w:bCs/>
          <w:color w:val="auto"/>
          <w:sz w:val="28"/>
          <w:szCs w:val="28"/>
          <w:highlight w:val="none"/>
        </w:rPr>
        <w:t>二、</w:t>
      </w:r>
      <w:bookmarkEnd w:id="89"/>
      <w:bookmarkEnd w:id="90"/>
      <w:r>
        <w:rPr>
          <w:rFonts w:hint="eastAsia" w:ascii="宋体" w:hAnsi="宋体" w:cs="宋体"/>
          <w:b/>
          <w:color w:val="auto"/>
          <w:kern w:val="0"/>
          <w:sz w:val="28"/>
          <w:szCs w:val="28"/>
          <w:highlight w:val="none"/>
          <w:lang w:val="zh-CN"/>
        </w:rPr>
        <w:t>残疾人福利性单位声明函（非</w:t>
      </w:r>
      <w:r>
        <w:rPr>
          <w:rFonts w:hint="eastAsia" w:ascii="宋体" w:hAnsi="宋体" w:cs="宋体"/>
          <w:b/>
          <w:bCs/>
          <w:color w:val="auto"/>
          <w:sz w:val="28"/>
          <w:szCs w:val="28"/>
          <w:highlight w:val="none"/>
        </w:rPr>
        <w:t>残疾人福利企业</w:t>
      </w:r>
      <w:r>
        <w:rPr>
          <w:rFonts w:hint="eastAsia" w:ascii="宋体" w:hAnsi="宋体" w:cs="宋体"/>
          <w:b/>
          <w:color w:val="auto"/>
          <w:kern w:val="0"/>
          <w:sz w:val="28"/>
          <w:szCs w:val="28"/>
          <w:highlight w:val="none"/>
          <w:lang w:val="zh-CN"/>
        </w:rPr>
        <w:t>不</w:t>
      </w:r>
      <w:r>
        <w:rPr>
          <w:rFonts w:hint="eastAsia" w:ascii="宋体" w:hAnsi="宋体" w:cs="宋体"/>
          <w:b/>
          <w:bCs/>
          <w:color w:val="auto"/>
          <w:kern w:val="0"/>
          <w:sz w:val="28"/>
          <w:szCs w:val="28"/>
          <w:highlight w:val="none"/>
        </w:rPr>
        <w:t>填写</w:t>
      </w:r>
      <w:r>
        <w:rPr>
          <w:rFonts w:hint="eastAsia" w:ascii="宋体" w:hAnsi="宋体" w:cs="宋体"/>
          <w:b/>
          <w:color w:val="auto"/>
          <w:kern w:val="0"/>
          <w:sz w:val="28"/>
          <w:szCs w:val="28"/>
          <w:highlight w:val="none"/>
          <w:lang w:val="zh-CN"/>
        </w:rPr>
        <w:t>）</w:t>
      </w:r>
    </w:p>
    <w:p>
      <w:pPr>
        <w:spacing w:line="360" w:lineRule="auto"/>
        <w:rPr>
          <w:rFonts w:ascii="宋体" w:hAnsi="宋体" w:cs="宋体"/>
          <w:b/>
          <w:color w:val="auto"/>
          <w:spacing w:val="6"/>
          <w:sz w:val="32"/>
          <w:szCs w:val="32"/>
          <w:highlight w:val="none"/>
          <w:shd w:val="pct10" w:color="auto" w:fill="FFFFFF"/>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的项目采购活动提供本单位制造的服务（由本单位承担工程/提供服务），或者提供其他残疾人福利性单位制造的服务（不包括使用非残疾人福利性单位注册商标的服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tabs>
          <w:tab w:val="left" w:pos="4860"/>
          <w:tab w:val="left" w:pos="8040"/>
          <w:tab w:val="left" w:pos="8160"/>
        </w:tabs>
        <w:spacing w:line="360" w:lineRule="auto"/>
        <w:ind w:right="862" w:firstLine="480" w:firstLineChars="200"/>
        <w:jc w:val="center"/>
        <w:rPr>
          <w:rFonts w:ascii="宋体" w:hAnsi="宋体" w:cs="宋体"/>
          <w:color w:val="auto"/>
          <w:sz w:val="24"/>
          <w:highlight w:val="none"/>
          <w:u w:val="single"/>
        </w:rPr>
      </w:pPr>
      <w:r>
        <w:rPr>
          <w:rFonts w:hint="eastAsia" w:ascii="宋体" w:hAnsi="宋体" w:cs="宋体"/>
          <w:color w:val="auto"/>
          <w:sz w:val="24"/>
          <w:highlight w:val="none"/>
        </w:rPr>
        <w:t xml:space="preserve">               单位名称（盖章）：</w:t>
      </w:r>
    </w:p>
    <w:p>
      <w:pPr>
        <w:tabs>
          <w:tab w:val="left" w:pos="4860"/>
        </w:tabs>
        <w:spacing w:line="360" w:lineRule="auto"/>
        <w:ind w:right="1560" w:firstLine="480" w:firstLineChars="200"/>
        <w:jc w:val="center"/>
        <w:rPr>
          <w:rFonts w:ascii="宋体" w:hAnsi="宋体" w:cs="宋体"/>
          <w:color w:val="auto"/>
          <w:sz w:val="24"/>
          <w:highlight w:val="none"/>
        </w:rPr>
      </w:pPr>
    </w:p>
    <w:p>
      <w:pPr>
        <w:tabs>
          <w:tab w:val="left" w:pos="4860"/>
        </w:tabs>
        <w:spacing w:line="360" w:lineRule="auto"/>
        <w:ind w:right="67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期：年月日</w:t>
      </w:r>
    </w:p>
    <w:p>
      <w:pPr>
        <w:tabs>
          <w:tab w:val="left" w:pos="4860"/>
        </w:tabs>
        <w:spacing w:line="360" w:lineRule="auto"/>
        <w:ind w:right="1560" w:firstLine="480" w:firstLineChars="200"/>
        <w:jc w:val="center"/>
        <w:rPr>
          <w:rFonts w:ascii="宋体" w:hAnsi="宋体" w:cs="宋体"/>
          <w:color w:val="auto"/>
          <w:sz w:val="24"/>
          <w:highlight w:val="none"/>
        </w:rPr>
      </w:pPr>
    </w:p>
    <w:p>
      <w:pPr>
        <w:spacing w:line="360" w:lineRule="auto"/>
        <w:ind w:firstLine="506" w:firstLineChars="200"/>
        <w:rPr>
          <w:rFonts w:ascii="宋体" w:hAnsi="宋体" w:cs="宋体"/>
          <w:b/>
          <w:color w:val="auto"/>
          <w:spacing w:val="6"/>
          <w:sz w:val="24"/>
          <w:highlight w:val="none"/>
          <w:shd w:val="pct10" w:color="auto" w:fill="FFFFFF"/>
        </w:rPr>
      </w:pPr>
    </w:p>
    <w:p>
      <w:pPr>
        <w:spacing w:line="360" w:lineRule="auto"/>
        <w:ind w:firstLine="506" w:firstLineChars="200"/>
        <w:rPr>
          <w:rFonts w:ascii="宋体" w:hAnsi="宋体" w:cs="宋体"/>
          <w:b/>
          <w:color w:val="auto"/>
          <w:spacing w:val="6"/>
          <w:sz w:val="24"/>
          <w:highlight w:val="none"/>
          <w:shd w:val="pct10" w:color="auto" w:fill="FFFFFF"/>
        </w:rPr>
      </w:pPr>
    </w:p>
    <w:p>
      <w:pPr>
        <w:kinsoku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备注：投标单位提供的《残疾人福利性单位声明函》必须真实有效，如果被举报经查实出具虚假声明函的，将被取消投标资格，并按有关规定予以处理。</w:t>
      </w:r>
    </w:p>
    <w:p>
      <w:pPr>
        <w:tabs>
          <w:tab w:val="left" w:pos="1620"/>
          <w:tab w:val="left" w:pos="1800"/>
        </w:tabs>
        <w:spacing w:line="440" w:lineRule="exact"/>
        <w:ind w:right="540" w:rightChars="257"/>
        <w:rPr>
          <w:rFonts w:ascii="宋体" w:hAnsi="宋体" w:cs="宋体"/>
          <w:color w:val="auto"/>
          <w:highlight w:val="none"/>
        </w:rPr>
      </w:pPr>
    </w:p>
    <w:p>
      <w:pPr>
        <w:tabs>
          <w:tab w:val="left" w:pos="1620"/>
          <w:tab w:val="left" w:pos="1800"/>
        </w:tabs>
        <w:spacing w:line="440" w:lineRule="exact"/>
        <w:ind w:right="540" w:rightChars="257"/>
        <w:rPr>
          <w:rFonts w:ascii="宋体" w:hAnsi="宋体" w:cs="宋体"/>
          <w:color w:val="auto"/>
          <w:highlight w:val="none"/>
        </w:rPr>
      </w:pPr>
    </w:p>
    <w:p>
      <w:pPr>
        <w:spacing w:line="520" w:lineRule="exact"/>
        <w:ind w:right="620"/>
        <w:jc w:val="right"/>
        <w:rPr>
          <w:rFonts w:ascii="宋体" w:hAnsi="宋体" w:cs="宋体"/>
          <w:color w:val="auto"/>
          <w:highlight w:val="none"/>
        </w:rPr>
      </w:pPr>
    </w:p>
    <w:p>
      <w:pPr>
        <w:pStyle w:val="2"/>
        <w:rPr>
          <w:rFonts w:ascii="宋体" w:hAnsi="宋体" w:cs="宋体"/>
          <w:color w:val="auto"/>
          <w:highlight w:val="none"/>
        </w:rPr>
      </w:pPr>
    </w:p>
    <w:p>
      <w:pPr>
        <w:pStyle w:val="2"/>
        <w:rPr>
          <w:rFonts w:ascii="宋体" w:hAnsi="宋体" w:cs="宋体"/>
          <w:color w:val="auto"/>
          <w:highlight w:val="none"/>
        </w:rPr>
      </w:pPr>
    </w:p>
    <w:p>
      <w:pPr>
        <w:pStyle w:val="2"/>
        <w:rPr>
          <w:rFonts w:ascii="宋体" w:hAnsi="宋体" w:cs="宋体"/>
          <w:color w:val="auto"/>
          <w:highlight w:val="none"/>
        </w:rPr>
      </w:pPr>
    </w:p>
    <w:p>
      <w:pPr>
        <w:rPr>
          <w:rFonts w:ascii="宋体" w:hAnsi="宋体" w:cs="宋体"/>
          <w:color w:val="auto"/>
          <w:highlight w:val="none"/>
        </w:rPr>
      </w:pPr>
    </w:p>
    <w:p>
      <w:pPr>
        <w:pStyle w:val="9"/>
        <w:rPr>
          <w:rFonts w:ascii="宋体" w:hAnsi="宋体" w:cs="宋体"/>
          <w:color w:val="auto"/>
          <w:highlight w:val="none"/>
        </w:rPr>
      </w:pPr>
    </w:p>
    <w:p>
      <w:pPr>
        <w:pStyle w:val="9"/>
        <w:rPr>
          <w:rFonts w:ascii="宋体" w:hAnsi="宋体" w:cs="宋体"/>
          <w:color w:val="auto"/>
          <w:highlight w:val="none"/>
        </w:rPr>
      </w:pPr>
    </w:p>
    <w:p>
      <w:pPr>
        <w:pStyle w:val="2"/>
        <w:rPr>
          <w:rFonts w:ascii="宋体" w:hAnsi="宋体" w:cs="宋体"/>
          <w:color w:val="auto"/>
          <w:highlight w:val="none"/>
        </w:rPr>
      </w:pPr>
    </w:p>
    <w:p>
      <w:pPr>
        <w:tabs>
          <w:tab w:val="left" w:pos="1755"/>
        </w:tabs>
        <w:spacing w:line="360" w:lineRule="auto"/>
        <w:jc w:val="center"/>
        <w:outlineLvl w:val="2"/>
        <w:rPr>
          <w:rFonts w:ascii="宋体" w:hAnsi="宋体" w:cs="宋体"/>
          <w:b/>
          <w:color w:val="auto"/>
          <w:kern w:val="0"/>
          <w:sz w:val="28"/>
          <w:szCs w:val="28"/>
          <w:highlight w:val="none"/>
          <w:lang w:val="zh-CN"/>
        </w:rPr>
      </w:pPr>
      <w:r>
        <w:rPr>
          <w:rFonts w:hint="eastAsia" w:ascii="宋体" w:hAnsi="宋体" w:cs="宋体"/>
          <w:b/>
          <w:color w:val="auto"/>
          <w:kern w:val="0"/>
          <w:sz w:val="28"/>
          <w:szCs w:val="28"/>
          <w:highlight w:val="none"/>
        </w:rPr>
        <w:t>三、</w:t>
      </w:r>
      <w:r>
        <w:rPr>
          <w:rFonts w:hint="eastAsia" w:ascii="宋体" w:hAnsi="宋体" w:cs="宋体"/>
          <w:b/>
          <w:color w:val="auto"/>
          <w:kern w:val="0"/>
          <w:sz w:val="28"/>
          <w:szCs w:val="28"/>
          <w:highlight w:val="none"/>
          <w:lang w:val="zh-CN"/>
        </w:rPr>
        <w:t>监狱企业声明函</w:t>
      </w:r>
    </w:p>
    <w:p>
      <w:pPr>
        <w:tabs>
          <w:tab w:val="left" w:pos="1755"/>
        </w:tabs>
        <w:spacing w:line="360" w:lineRule="auto"/>
        <w:jc w:val="center"/>
        <w:outlineLvl w:val="2"/>
        <w:rPr>
          <w:rFonts w:ascii="宋体" w:hAnsi="宋体" w:cs="宋体"/>
          <w:b/>
          <w:bCs/>
          <w:color w:val="auto"/>
          <w:sz w:val="28"/>
          <w:szCs w:val="28"/>
          <w:highlight w:val="none"/>
        </w:rPr>
      </w:pPr>
      <w:r>
        <w:rPr>
          <w:rFonts w:hint="eastAsia" w:ascii="宋体" w:hAnsi="宋体" w:cs="宋体"/>
          <w:b/>
          <w:color w:val="auto"/>
          <w:kern w:val="0"/>
          <w:sz w:val="28"/>
          <w:szCs w:val="28"/>
          <w:highlight w:val="none"/>
          <w:lang w:val="zh-CN"/>
        </w:rPr>
        <w:t>（非监狱企业不</w:t>
      </w:r>
      <w:r>
        <w:rPr>
          <w:rFonts w:hint="eastAsia" w:ascii="宋体" w:hAnsi="宋体" w:cs="宋体"/>
          <w:b/>
          <w:bCs/>
          <w:color w:val="auto"/>
          <w:kern w:val="0"/>
          <w:sz w:val="28"/>
          <w:szCs w:val="28"/>
          <w:highlight w:val="none"/>
        </w:rPr>
        <w:t>填写，但必须提交空表</w:t>
      </w:r>
      <w:r>
        <w:rPr>
          <w:rFonts w:hint="eastAsia" w:ascii="宋体" w:hAnsi="宋体" w:cs="宋体"/>
          <w:b/>
          <w:color w:val="auto"/>
          <w:kern w:val="0"/>
          <w:sz w:val="28"/>
          <w:szCs w:val="28"/>
          <w:highlight w:val="none"/>
          <w:lang w:val="zh-CN"/>
        </w:rPr>
        <w:t>）</w:t>
      </w:r>
    </w:p>
    <w:p>
      <w:pPr>
        <w:spacing w:line="360" w:lineRule="atLeast"/>
        <w:rPr>
          <w:rFonts w:ascii="宋体" w:hAnsi="宋体" w:cs="宋体"/>
          <w:color w:val="auto"/>
          <w:sz w:val="32"/>
          <w:szCs w:val="32"/>
          <w:highlight w:val="none"/>
        </w:rPr>
      </w:pPr>
    </w:p>
    <w:p>
      <w:pPr>
        <w:spacing w:line="360" w:lineRule="auto"/>
        <w:ind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符合《关于政府采购支持监狱企业发展有关问题的通知》（财库〔2014〕68号）条件的监狱企业参加政府采购活动时，应当提供由省级以上监狱管理局、戒毒管理局（含新疆生产建设兵团）出具的属于监狱企业的证明文件。</w:t>
      </w:r>
    </w:p>
    <w:p>
      <w:pPr>
        <w:spacing w:line="360" w:lineRule="atLeast"/>
        <w:rPr>
          <w:rFonts w:ascii="宋体" w:hAnsi="宋体" w:cs="宋体"/>
          <w:color w:val="auto"/>
          <w:sz w:val="32"/>
          <w:szCs w:val="32"/>
          <w:highlight w:val="none"/>
        </w:rPr>
      </w:pPr>
    </w:p>
    <w:p>
      <w:pPr>
        <w:pStyle w:val="18"/>
        <w:rPr>
          <w:rFonts w:cs="宋体"/>
          <w:color w:val="auto"/>
          <w:highlight w:val="none"/>
        </w:rPr>
      </w:pPr>
    </w:p>
    <w:p>
      <w:pPr>
        <w:tabs>
          <w:tab w:val="left" w:pos="4860"/>
          <w:tab w:val="left" w:pos="8040"/>
          <w:tab w:val="left" w:pos="8160"/>
        </w:tabs>
        <w:spacing w:line="360" w:lineRule="auto"/>
        <w:ind w:right="862" w:firstLine="480" w:firstLineChars="200"/>
        <w:jc w:val="center"/>
        <w:rPr>
          <w:rFonts w:ascii="宋体" w:hAnsi="宋体" w:cs="宋体"/>
          <w:color w:val="auto"/>
          <w:sz w:val="24"/>
          <w:highlight w:val="none"/>
          <w:u w:val="single"/>
        </w:rPr>
      </w:pPr>
      <w:r>
        <w:rPr>
          <w:rFonts w:hint="eastAsia" w:ascii="宋体" w:hAnsi="宋体" w:cs="宋体"/>
          <w:color w:val="auto"/>
          <w:sz w:val="24"/>
          <w:highlight w:val="none"/>
        </w:rPr>
        <w:t xml:space="preserve">        单位名称（盖章）：</w:t>
      </w:r>
    </w:p>
    <w:p>
      <w:pPr>
        <w:tabs>
          <w:tab w:val="left" w:pos="4860"/>
        </w:tabs>
        <w:spacing w:line="360" w:lineRule="auto"/>
        <w:ind w:right="1560" w:firstLine="480" w:firstLineChars="200"/>
        <w:jc w:val="center"/>
        <w:rPr>
          <w:rFonts w:ascii="宋体" w:hAnsi="宋体" w:cs="宋体"/>
          <w:color w:val="auto"/>
          <w:sz w:val="24"/>
          <w:highlight w:val="none"/>
        </w:rPr>
      </w:pPr>
    </w:p>
    <w:p>
      <w:pPr>
        <w:tabs>
          <w:tab w:val="left" w:pos="4860"/>
        </w:tabs>
        <w:spacing w:line="360" w:lineRule="auto"/>
        <w:ind w:right="67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期：年月日</w:t>
      </w:r>
    </w:p>
    <w:bookmarkEnd w:id="83"/>
    <w:bookmarkEnd w:id="84"/>
    <w:bookmarkEnd w:id="85"/>
    <w:p>
      <w:pPr>
        <w:rPr>
          <w:rFonts w:ascii="宋体" w:hAnsi="宋体" w:cs="宋体"/>
          <w:color w:val="auto"/>
          <w:highlight w:val="none"/>
        </w:rPr>
      </w:pPr>
    </w:p>
    <w:sectPr>
      <w:pgSz w:w="11906" w:h="16838"/>
      <w:pgMar w:top="1418" w:right="1134" w:bottom="1418" w:left="132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725"/>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Style w:val="22"/>
      </w:rPr>
    </w:pPr>
    <w:r>
      <w:fldChar w:fldCharType="begin"/>
    </w:r>
    <w:r>
      <w:rPr>
        <w:rStyle w:val="22"/>
      </w:rPr>
      <w:instrText xml:space="preserve">PAGE  </w:instrText>
    </w:r>
    <w:r>
      <w:fldChar w:fldCharType="separate"/>
    </w:r>
    <w:r>
      <w:rPr>
        <w:rStyle w:val="22"/>
      </w:rPr>
      <w:t>- 18 -</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宋体" w:hAnsi="宋体"/>
      </w:rP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path/>
          <v:fill on="f" focussize="0,0"/>
          <v:stroke on="f" weight="0.5pt" joinstyle="miter"/>
          <v:imagedata o:title=""/>
          <o:lock v:ext="edit"/>
          <v:textbox inset="0mm,0mm,0mm,0mm" style="mso-fit-shape-to-text:t;">
            <w:txbxContent>
              <w:p>
                <w:pPr>
                  <w:pStyle w:val="11"/>
                </w:pPr>
                <w:r>
                  <w:rPr>
                    <w:rFonts w:hint="eastAsia"/>
                  </w:rPr>
                  <w:t xml:space="preserve">第 </w:t>
                </w:r>
                <w:r>
                  <w:fldChar w:fldCharType="begin"/>
                </w:r>
                <w:r>
                  <w:instrText xml:space="preserve"> PAGE  \* MERGEFORMAT </w:instrText>
                </w:r>
                <w:r>
                  <w:fldChar w:fldCharType="separate"/>
                </w:r>
                <w:r>
                  <w:t>20</w:t>
                </w:r>
                <w:r>
                  <w:fldChar w:fldCharType="end"/>
                </w:r>
                <w:r>
                  <w:rPr>
                    <w:rFonts w:hint="eastAsia"/>
                  </w:rP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780" w:firstLineChars="2100"/>
    </w:pPr>
    <w: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path/>
          <v:fill on="f" focussize="0,0"/>
          <v:stroke on="f" weight="0.5pt" joinstyle="miter"/>
          <v:imagedata o:title=""/>
          <o:lock v:ext="edit"/>
          <v:textbox inset="0mm,0mm,0mm,0mm" style="mso-fit-shape-to-text:t;">
            <w:txbxContent>
              <w:p>
                <w:pPr>
                  <w:pStyle w:val="11"/>
                </w:pPr>
                <w:r>
                  <w:rPr>
                    <w:rFonts w:hint="eastAsia"/>
                  </w:rPr>
                  <w:t xml:space="preserve">第 </w:t>
                </w:r>
                <w:r>
                  <w:fldChar w:fldCharType="begin"/>
                </w:r>
                <w:r>
                  <w:instrText xml:space="preserve"> PAGE  \* MERGEFORMAT </w:instrText>
                </w:r>
                <w:r>
                  <w:fldChar w:fldCharType="separate"/>
                </w:r>
                <w:r>
                  <w:t>26</w:t>
                </w:r>
                <w:r>
                  <w:fldChar w:fldCharType="end"/>
                </w:r>
                <w:r>
                  <w:rPr>
                    <w:rFonts w:hint="eastAsia"/>
                  </w:rP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361" w:wrap="around" w:vAnchor="text" w:hAnchor="page" w:x="5761" w:y="-5"/>
      <w:rPr>
        <w:rStyle w:val="22"/>
      </w:rPr>
    </w:pPr>
  </w:p>
  <w:p>
    <w:pPr>
      <w:pStyle w:val="11"/>
    </w:pPr>
    <w:r>
      <w:pict>
        <v:shape id="_x0000_s1027" o:spid="_x0000_s1027" o:spt="202" type="#_x0000_t202" style="position:absolute;left:0pt;margin-top:0pt;height:12pt;width:9.05pt;mso-position-horizontal:center;mso-position-horizontal-relative:margin;mso-wrap-style:none;z-index:251661312;mso-width-relative:page;mso-height-relative:page;" filled="f" stroked="f" coordsize="21600,21600" o:gfxdata="UEsDBAoAAAAAAIdO4kAAAAAAAAAAAAAAAAAEAAAAZHJzL1BLAwQUAAAACACHTuJAUYWtTdAAAAAD&#10;AQAADwAAAGRycy9kb3ducmV2LnhtbE2PwWrDMBBE74X8g9hAb43kUFLjWM4hkEtvTUOhN8XaWCbS&#10;ykiKY/99lV7ay8Iww8zbejc5y0YMsfckoVgJYEit1z11Ek6fh5cSWEyKtLKeUMKMEXbN4qlWlfZ3&#10;+sDxmDqWSyhWSoJJaag4j61Bp+LKD0jZu/jgVMoydFwHdc/lzvK1EBvuVE95wagB9wbb6/HmJLxN&#10;Xx6HiHv8voxtMP1c2vdZyudlIbbAEk7pLwwP/IwOTWY6+xvpyKyE/Ej6vQ+vLICdJaxfBfCm5v/Z&#10;mx9QSwMEFAAAAAgAh07iQB/jQdjHAQAAiwMAAA4AAABkcnMvZTJvRG9jLnhtbK1TzY7TMBC+I/EO&#10;lu/UadmtIGq6AlWLkBAgLTyA69iNJf/J4zbpC8AbcOLCnefqc+zYSbuwXPbAxRnPjL+Z75vJ6maw&#10;hhxkBO1dQ+ezihLphG+12zX065fbF68ogcRdy413sqFHCfRm/fzZqg+1XPjOm1ZGgiAO6j40tEsp&#10;1IyB6KTlMPNBOgwqHy1PeI071kbeI7o1bFFVS9b72IbohQRA72YM0gkxPgXQK6WF3Hixt9KlETVK&#10;wxNSgk4HoOvSrVJSpE9KgUzENBSZpnJiEbS3+WTrFa93kYdOi6kF/pQWHnGyXDsseoHa8MTJPup/&#10;oKwW0YNXaSa8ZSORogiymFePtLnreJCFC0oN4SI6/D9Y8fHwORLdNnRJieMWB3768f308/fp1zey&#10;zPL0AWrMuguYl4a3fsClOfsBnZn1oKLNX+RDMI7iHi/iyiERkR/Nr16/vKZEYGh+vbiqivjs4XGI&#10;kN5Jb0k2GhpxdkVSfvgACRvB1HNKruX8rTamzM+4vxyYmD0sdz52mK00bIeJzta3R2TT49gb6nDL&#10;KTHvHaqaN+RsxLOxnYxcA8KbfcLCpZ+MOkJNxXBGpc1pn/IS/HkvWQ//0Po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YWtTdAAAAADAQAADwAAAAAAAAABACAAAAAiAAAAZHJzL2Rvd25yZXYueG1s&#10;UEsBAhQAFAAAAAgAh07iQB/jQdjHAQAAiwMAAA4AAAAAAAAAAQAgAAAAHwEAAGRycy9lMm9Eb2Mu&#10;eG1sUEsFBgAAAAAGAAYAWQEAAFgFAAAAAA==&#10;">
          <v:path/>
          <v:fill on="f" focussize="0,0"/>
          <v:stroke on="f" joinstyle="miter"/>
          <v:imagedata o:title=""/>
          <o:lock v:ext="edit"/>
          <v:textbox inset="0mm,0mm,0mm,0mm" style="mso-fit-shape-to-text:t;">
            <w:txbxContent>
              <w:p>
                <w:pPr>
                  <w:pStyle w:val="11"/>
                  <w:jc w:val="center"/>
                  <w:rPr>
                    <w:rStyle w:val="22"/>
                  </w:rPr>
                </w:pPr>
                <w:r>
                  <w:rPr>
                    <w:rStyle w:val="22"/>
                  </w:rPr>
                  <w:t xml:space="preserve">第 </w:t>
                </w:r>
                <w:r>
                  <w:fldChar w:fldCharType="begin"/>
                </w:r>
                <w:r>
                  <w:rPr>
                    <w:rStyle w:val="22"/>
                  </w:rPr>
                  <w:instrText xml:space="preserve"> PAGE  \* MERGEFORMAT </w:instrText>
                </w:r>
                <w:r>
                  <w:fldChar w:fldCharType="separate"/>
                </w:r>
                <w:r>
                  <w:rPr>
                    <w:rStyle w:val="22"/>
                  </w:rPr>
                  <w:t>49</w:t>
                </w:r>
                <w:r>
                  <w:fldChar w:fldCharType="end"/>
                </w:r>
                <w:r>
                  <w:rPr>
                    <w:rStyle w:val="22"/>
                  </w:rP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end"/>
    </w:r>
  </w:p>
  <w:p>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right"/>
    </w:pPr>
  </w:p>
  <w:p>
    <w:pPr>
      <w:pStyle w:val="12"/>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123E29"/>
    <w:multiLevelType w:val="singleLevel"/>
    <w:tmpl w:val="BD123E29"/>
    <w:lvl w:ilvl="0" w:tentative="0">
      <w:start w:val="2"/>
      <w:numFmt w:val="chineseCounting"/>
      <w:suff w:val="nothing"/>
      <w:lvlText w:val="%1、"/>
      <w:lvlJc w:val="left"/>
      <w:rPr>
        <w:rFonts w:hint="eastAsia"/>
      </w:rPr>
    </w:lvl>
  </w:abstractNum>
  <w:abstractNum w:abstractNumId="1">
    <w:nsid w:val="C521FED8"/>
    <w:multiLevelType w:val="singleLevel"/>
    <w:tmpl w:val="C521FED8"/>
    <w:lvl w:ilvl="0" w:tentative="0">
      <w:start w:val="1"/>
      <w:numFmt w:val="decimal"/>
      <w:suff w:val="nothing"/>
      <w:lvlText w:val="%1、"/>
      <w:lvlJc w:val="left"/>
    </w:lvl>
  </w:abstractNum>
  <w:abstractNum w:abstractNumId="2">
    <w:nsid w:val="D6709C67"/>
    <w:multiLevelType w:val="singleLevel"/>
    <w:tmpl w:val="D6709C67"/>
    <w:lvl w:ilvl="0" w:tentative="0">
      <w:start w:val="7"/>
      <w:numFmt w:val="chineseCounting"/>
      <w:suff w:val="space"/>
      <w:lvlText w:val="第%1部分"/>
      <w:lvlJc w:val="left"/>
      <w:rPr>
        <w:rFonts w:hint="eastAsia"/>
      </w:rPr>
    </w:lvl>
  </w:abstractNum>
  <w:abstractNum w:abstractNumId="3">
    <w:nsid w:val="0000000E"/>
    <w:multiLevelType w:val="multilevel"/>
    <w:tmpl w:val="0000000E"/>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660"/>
        </w:tabs>
        <w:ind w:left="660" w:hanging="420"/>
      </w:pPr>
      <w:rPr>
        <w:rFonts w:hint="default" w:ascii="Wingdings" w:hAnsi="Wingdings"/>
      </w:rPr>
    </w:lvl>
    <w:lvl w:ilvl="2" w:tentative="0">
      <w:start w:val="1"/>
      <w:numFmt w:val="bullet"/>
      <w:lvlText w:val=""/>
      <w:lvlJc w:val="left"/>
      <w:pPr>
        <w:tabs>
          <w:tab w:val="left" w:pos="1080"/>
        </w:tabs>
        <w:ind w:left="1080" w:hanging="420"/>
      </w:pPr>
      <w:rPr>
        <w:rFonts w:hint="default" w:ascii="Wingdings" w:hAnsi="Wingdings"/>
      </w:rPr>
    </w:lvl>
    <w:lvl w:ilvl="3" w:tentative="0">
      <w:start w:val="1"/>
      <w:numFmt w:val="bullet"/>
      <w:lvlText w:val=""/>
      <w:lvlJc w:val="left"/>
      <w:pPr>
        <w:tabs>
          <w:tab w:val="left" w:pos="1500"/>
        </w:tabs>
        <w:ind w:left="1500" w:hanging="420"/>
      </w:pPr>
      <w:rPr>
        <w:rFonts w:hint="default" w:ascii="Wingdings" w:hAnsi="Wingdings"/>
      </w:rPr>
    </w:lvl>
    <w:lvl w:ilvl="4" w:tentative="0">
      <w:start w:val="1"/>
      <w:numFmt w:val="bullet"/>
      <w:lvlText w:val=""/>
      <w:lvlJc w:val="left"/>
      <w:pPr>
        <w:tabs>
          <w:tab w:val="left" w:pos="1920"/>
        </w:tabs>
        <w:ind w:left="1920" w:hanging="420"/>
      </w:pPr>
      <w:rPr>
        <w:rFonts w:hint="default" w:ascii="Wingdings" w:hAnsi="Wingdings"/>
      </w:rPr>
    </w:lvl>
    <w:lvl w:ilvl="5" w:tentative="0">
      <w:start w:val="1"/>
      <w:numFmt w:val="bullet"/>
      <w:lvlText w:val=""/>
      <w:lvlJc w:val="left"/>
      <w:pPr>
        <w:tabs>
          <w:tab w:val="left" w:pos="2340"/>
        </w:tabs>
        <w:ind w:left="2340" w:hanging="420"/>
      </w:pPr>
      <w:rPr>
        <w:rFonts w:hint="default" w:ascii="Wingdings" w:hAnsi="Wingdings"/>
      </w:rPr>
    </w:lvl>
    <w:lvl w:ilvl="6" w:tentative="0">
      <w:start w:val="1"/>
      <w:numFmt w:val="bullet"/>
      <w:lvlText w:val=""/>
      <w:lvlJc w:val="left"/>
      <w:pPr>
        <w:tabs>
          <w:tab w:val="left" w:pos="2760"/>
        </w:tabs>
        <w:ind w:left="2760" w:hanging="420"/>
      </w:pPr>
      <w:rPr>
        <w:rFonts w:hint="default" w:ascii="Wingdings" w:hAnsi="Wingdings"/>
      </w:rPr>
    </w:lvl>
    <w:lvl w:ilvl="7" w:tentative="0">
      <w:start w:val="1"/>
      <w:numFmt w:val="bullet"/>
      <w:lvlText w:val=""/>
      <w:lvlJc w:val="left"/>
      <w:pPr>
        <w:tabs>
          <w:tab w:val="left" w:pos="3180"/>
        </w:tabs>
        <w:ind w:left="3180" w:hanging="420"/>
      </w:pPr>
      <w:rPr>
        <w:rFonts w:hint="default" w:ascii="Wingdings" w:hAnsi="Wingdings"/>
      </w:rPr>
    </w:lvl>
    <w:lvl w:ilvl="8" w:tentative="0">
      <w:start w:val="1"/>
      <w:numFmt w:val="bullet"/>
      <w:lvlText w:val=""/>
      <w:lvlJc w:val="left"/>
      <w:pPr>
        <w:tabs>
          <w:tab w:val="left" w:pos="3600"/>
        </w:tabs>
        <w:ind w:left="3600" w:hanging="420"/>
      </w:pPr>
      <w:rPr>
        <w:rFonts w:hint="default" w:ascii="Wingdings" w:hAnsi="Wingdings"/>
      </w:rPr>
    </w:lvl>
  </w:abstractNum>
  <w:abstractNum w:abstractNumId="4">
    <w:nsid w:val="36141341"/>
    <w:multiLevelType w:val="singleLevel"/>
    <w:tmpl w:val="36141341"/>
    <w:lvl w:ilvl="0" w:tentative="0">
      <w:start w:val="1"/>
      <w:numFmt w:val="decimal"/>
      <w:suff w:val="nothing"/>
      <w:lvlText w:val="%1、"/>
      <w:lvlJc w:val="left"/>
    </w:lvl>
  </w:abstractNum>
  <w:abstractNum w:abstractNumId="5">
    <w:nsid w:val="46641B21"/>
    <w:multiLevelType w:val="singleLevel"/>
    <w:tmpl w:val="46641B21"/>
    <w:lvl w:ilvl="0" w:tentative="0">
      <w:start w:val="11"/>
      <w:numFmt w:val="chineseCounting"/>
      <w:suff w:val="nothing"/>
      <w:lvlText w:val="%1、"/>
      <w:lvlJc w:val="left"/>
      <w:rPr>
        <w:rFonts w:hint="eastAsia"/>
      </w:rPr>
    </w:lvl>
  </w:abstractNum>
  <w:abstractNum w:abstractNumId="6">
    <w:nsid w:val="5169E4A9"/>
    <w:multiLevelType w:val="singleLevel"/>
    <w:tmpl w:val="5169E4A9"/>
    <w:lvl w:ilvl="0" w:tentative="0">
      <w:start w:val="1"/>
      <w:numFmt w:val="decimal"/>
      <w:suff w:val="space"/>
      <w:lvlText w:val="%1、"/>
      <w:lvlJc w:val="left"/>
    </w:lvl>
  </w:abstractNum>
  <w:abstractNum w:abstractNumId="7">
    <w:nsid w:val="58E5CD31"/>
    <w:multiLevelType w:val="singleLevel"/>
    <w:tmpl w:val="58E5CD31"/>
    <w:lvl w:ilvl="0" w:tentative="0">
      <w:start w:val="1"/>
      <w:numFmt w:val="decimal"/>
      <w:suff w:val="nothing"/>
      <w:lvlText w:val="（%1）"/>
      <w:lvlJc w:val="left"/>
      <w:pPr>
        <w:ind w:left="0" w:firstLine="420"/>
      </w:pPr>
      <w:rPr>
        <w:rFonts w:hint="default"/>
      </w:rPr>
    </w:lvl>
  </w:abstractNum>
  <w:abstractNum w:abstractNumId="8">
    <w:nsid w:val="5DCD998A"/>
    <w:multiLevelType w:val="multilevel"/>
    <w:tmpl w:val="5DCD998A"/>
    <w:lvl w:ilvl="0" w:tentative="0">
      <w:start w:val="1"/>
      <w:numFmt w:val="chineseCounting"/>
      <w:pStyle w:val="3"/>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995"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9">
    <w:nsid w:val="6EC771C0"/>
    <w:multiLevelType w:val="singleLevel"/>
    <w:tmpl w:val="6EC771C0"/>
    <w:lvl w:ilvl="0" w:tentative="0">
      <w:start w:val="1"/>
      <w:numFmt w:val="decimal"/>
      <w:suff w:val="space"/>
      <w:lvlText w:val="%1."/>
      <w:lvlJc w:val="left"/>
    </w:lvl>
  </w:abstractNum>
  <w:num w:numId="1">
    <w:abstractNumId w:val="8"/>
  </w:num>
  <w:num w:numId="2">
    <w:abstractNumId w:val="0"/>
  </w:num>
  <w:num w:numId="3">
    <w:abstractNumId w:val="5"/>
  </w:num>
  <w:num w:numId="4">
    <w:abstractNumId w:val="3"/>
  </w:num>
  <w:num w:numId="5">
    <w:abstractNumId w:val="7"/>
  </w:num>
  <w:num w:numId="6">
    <w:abstractNumId w:val="4"/>
  </w:num>
  <w:num w:numId="7">
    <w:abstractNumId w:val="1"/>
  </w:num>
  <w:num w:numId="8">
    <w:abstractNumId w:val="6"/>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RjNmI1MzIzMGJjNmYzYzk2ZGQ5Mjc4NTZkMzIwYzgifQ=="/>
  </w:docVars>
  <w:rsids>
    <w:rsidRoot w:val="2551716D"/>
    <w:rsid w:val="001A258A"/>
    <w:rsid w:val="005345EB"/>
    <w:rsid w:val="007018C8"/>
    <w:rsid w:val="0092133D"/>
    <w:rsid w:val="00BD5564"/>
    <w:rsid w:val="00D45002"/>
    <w:rsid w:val="00E544C6"/>
    <w:rsid w:val="00F1206B"/>
    <w:rsid w:val="0122795F"/>
    <w:rsid w:val="028265FE"/>
    <w:rsid w:val="03717925"/>
    <w:rsid w:val="06B5572C"/>
    <w:rsid w:val="074319E1"/>
    <w:rsid w:val="08B2149C"/>
    <w:rsid w:val="0C887A0F"/>
    <w:rsid w:val="0E7A7590"/>
    <w:rsid w:val="10994879"/>
    <w:rsid w:val="122B785D"/>
    <w:rsid w:val="13A510CF"/>
    <w:rsid w:val="14BF5480"/>
    <w:rsid w:val="1E721267"/>
    <w:rsid w:val="215A1C03"/>
    <w:rsid w:val="240028AF"/>
    <w:rsid w:val="2551716D"/>
    <w:rsid w:val="264702A8"/>
    <w:rsid w:val="2A652EC9"/>
    <w:rsid w:val="2D392723"/>
    <w:rsid w:val="2D9A4C99"/>
    <w:rsid w:val="30205293"/>
    <w:rsid w:val="31075C8E"/>
    <w:rsid w:val="33CB6901"/>
    <w:rsid w:val="3B6D4B43"/>
    <w:rsid w:val="3D387D38"/>
    <w:rsid w:val="41190EE5"/>
    <w:rsid w:val="41D16F49"/>
    <w:rsid w:val="436418F3"/>
    <w:rsid w:val="446A65A9"/>
    <w:rsid w:val="45A33E32"/>
    <w:rsid w:val="526945FA"/>
    <w:rsid w:val="53DC42F6"/>
    <w:rsid w:val="584848F0"/>
    <w:rsid w:val="5D030CFD"/>
    <w:rsid w:val="5ECA0AE1"/>
    <w:rsid w:val="5EE376D1"/>
    <w:rsid w:val="5F235E6B"/>
    <w:rsid w:val="5F3622DC"/>
    <w:rsid w:val="62C83D28"/>
    <w:rsid w:val="63165909"/>
    <w:rsid w:val="66FC7D5C"/>
    <w:rsid w:val="68452787"/>
    <w:rsid w:val="6C03528A"/>
    <w:rsid w:val="6F50257C"/>
    <w:rsid w:val="71524997"/>
    <w:rsid w:val="72A22B6E"/>
    <w:rsid w:val="73504BFF"/>
    <w:rsid w:val="784E3158"/>
    <w:rsid w:val="792C4DA7"/>
    <w:rsid w:val="79C40E1A"/>
    <w:rsid w:val="7B7471DD"/>
    <w:rsid w:val="7F531EA5"/>
    <w:rsid w:val="7FA147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tabs>
        <w:tab w:val="left" w:pos="324"/>
      </w:tabs>
      <w:ind w:left="324" w:hanging="324"/>
      <w:jc w:val="center"/>
      <w:outlineLvl w:val="0"/>
    </w:pPr>
    <w:rPr>
      <w:rFonts w:ascii="黑体" w:eastAsia="黑体"/>
      <w:sz w:val="30"/>
      <w:szCs w:val="20"/>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color w:val="993300"/>
      <w:sz w:val="24"/>
    </w:rPr>
  </w:style>
  <w:style w:type="paragraph" w:styleId="5">
    <w:name w:val="Normal Indent"/>
    <w:basedOn w:val="1"/>
    <w:qFormat/>
    <w:uiPriority w:val="0"/>
    <w:pPr>
      <w:ind w:firstLine="420" w:firstLineChars="200"/>
    </w:pPr>
  </w:style>
  <w:style w:type="paragraph" w:styleId="6">
    <w:name w:val="annotation text"/>
    <w:basedOn w:val="1"/>
    <w:link w:val="31"/>
    <w:qFormat/>
    <w:uiPriority w:val="0"/>
    <w:pPr>
      <w:jc w:val="left"/>
    </w:pPr>
  </w:style>
  <w:style w:type="paragraph" w:styleId="7">
    <w:name w:val="Body Text Indent"/>
    <w:basedOn w:val="1"/>
    <w:qFormat/>
    <w:uiPriority w:val="0"/>
    <w:pPr>
      <w:ind w:firstLine="480"/>
    </w:pPr>
    <w:rPr>
      <w:rFonts w:ascii="宋体" w:hAnsi="宋体"/>
    </w:rPr>
  </w:style>
  <w:style w:type="paragraph" w:styleId="8">
    <w:name w:val="Plain Text"/>
    <w:basedOn w:val="1"/>
    <w:qFormat/>
    <w:uiPriority w:val="0"/>
    <w:rPr>
      <w:rFonts w:ascii="宋体" w:hAnsi="Courier New" w:cs="Courier New"/>
      <w:szCs w:val="21"/>
    </w:rPr>
  </w:style>
  <w:style w:type="paragraph" w:styleId="9">
    <w:name w:val="Body Text Indent 2"/>
    <w:basedOn w:val="1"/>
    <w:next w:val="1"/>
    <w:qFormat/>
    <w:uiPriority w:val="0"/>
    <w:pPr>
      <w:spacing w:after="120" w:line="480" w:lineRule="auto"/>
      <w:ind w:left="420" w:leftChars="200"/>
    </w:pPr>
  </w:style>
  <w:style w:type="paragraph" w:styleId="10">
    <w:name w:val="Balloon Text"/>
    <w:basedOn w:val="1"/>
    <w:link w:val="30"/>
    <w:qFormat/>
    <w:uiPriority w:val="0"/>
    <w:pPr>
      <w:spacing w:line="240" w:lineRule="auto"/>
    </w:pPr>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3">
    <w:name w:val="toc 1"/>
    <w:basedOn w:val="1"/>
    <w:next w:val="1"/>
    <w:qFormat/>
    <w:uiPriority w:val="0"/>
    <w:pPr>
      <w:spacing w:line="240" w:lineRule="auto"/>
    </w:pPr>
  </w:style>
  <w:style w:type="paragraph" w:styleId="14">
    <w:name w:val="Body Text 2"/>
    <w:basedOn w:val="1"/>
    <w:qFormat/>
    <w:uiPriority w:val="0"/>
    <w:rPr>
      <w:rFonts w:ascii="楷体_GB2312" w:hAnsi="Copperplate Gothic Bold" w:eastAsia="楷体_GB2312"/>
      <w:sz w:val="28"/>
    </w:rPr>
  </w:style>
  <w:style w:type="paragraph" w:styleId="15">
    <w:name w:val="Normal (Web)"/>
    <w:basedOn w:val="1"/>
    <w:qFormat/>
    <w:uiPriority w:val="0"/>
    <w:pPr>
      <w:widowControl/>
      <w:spacing w:before="100" w:beforeAutospacing="1" w:after="100" w:afterAutospacing="1" w:line="240" w:lineRule="auto"/>
      <w:jc w:val="left"/>
    </w:pPr>
    <w:rPr>
      <w:rFonts w:ascii="宋体" w:hAnsi="宋体" w:cs="宋体"/>
      <w:kern w:val="0"/>
      <w:sz w:val="24"/>
    </w:rPr>
  </w:style>
  <w:style w:type="paragraph" w:styleId="16">
    <w:name w:val="annotation subject"/>
    <w:basedOn w:val="6"/>
    <w:next w:val="6"/>
    <w:link w:val="32"/>
    <w:qFormat/>
    <w:uiPriority w:val="0"/>
    <w:rPr>
      <w:b/>
      <w:bCs/>
    </w:rPr>
  </w:style>
  <w:style w:type="paragraph" w:styleId="17">
    <w:name w:val="Body Text First Indent"/>
    <w:basedOn w:val="2"/>
    <w:qFormat/>
    <w:uiPriority w:val="0"/>
    <w:pPr>
      <w:adjustRightInd w:val="0"/>
      <w:spacing w:line="360" w:lineRule="auto"/>
      <w:ind w:firstLine="420"/>
      <w:textAlignment w:val="baseline"/>
    </w:pPr>
    <w:rPr>
      <w:rFonts w:eastAsia="楷体_GB2312"/>
      <w:kern w:val="0"/>
      <w:szCs w:val="20"/>
    </w:rPr>
  </w:style>
  <w:style w:type="paragraph" w:styleId="18">
    <w:name w:val="Body Text First Indent 2"/>
    <w:basedOn w:val="7"/>
    <w:qFormat/>
    <w:uiPriority w:val="0"/>
    <w:pPr>
      <w:ind w:firstLine="42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annotation reference"/>
    <w:basedOn w:val="21"/>
    <w:qFormat/>
    <w:uiPriority w:val="0"/>
    <w:rPr>
      <w:sz w:val="21"/>
      <w:szCs w:val="21"/>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列出段落2"/>
    <w:basedOn w:val="1"/>
    <w:qFormat/>
    <w:uiPriority w:val="0"/>
    <w:pPr>
      <w:spacing w:line="240" w:lineRule="auto"/>
      <w:ind w:firstLine="420" w:firstLineChars="200"/>
    </w:pPr>
    <w:rPr>
      <w:kern w:val="0"/>
      <w:sz w:val="24"/>
      <w:szCs w:val="20"/>
    </w:rPr>
  </w:style>
  <w:style w:type="paragraph" w:customStyle="1" w:styleId="26">
    <w:name w:val="09正文_wh"/>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paragraph" w:styleId="27">
    <w:name w:val="List Paragraph"/>
    <w:basedOn w:val="1"/>
    <w:qFormat/>
    <w:uiPriority w:val="99"/>
    <w:pPr>
      <w:ind w:firstLine="420" w:firstLineChars="200"/>
    </w:pPr>
  </w:style>
  <w:style w:type="paragraph" w:customStyle="1" w:styleId="28">
    <w:name w:val="※正文"/>
    <w:basedOn w:val="1"/>
    <w:next w:val="1"/>
    <w:qFormat/>
    <w:uiPriority w:val="0"/>
    <w:pPr>
      <w:widowControl/>
      <w:wordWrap w:val="0"/>
      <w:spacing w:line="400" w:lineRule="exact"/>
    </w:pPr>
    <w:rPr>
      <w:rFonts w:ascii="Calibri Light" w:hAnsi="Calibri Light" w:eastAsia="华文仿宋"/>
      <w:sz w:val="28"/>
      <w:szCs w:val="28"/>
    </w:rPr>
  </w:style>
  <w:style w:type="character" w:customStyle="1" w:styleId="29">
    <w:name w:val="NormalCharacter"/>
    <w:qFormat/>
    <w:uiPriority w:val="0"/>
    <w:rPr>
      <w:kern w:val="2"/>
      <w:sz w:val="21"/>
      <w:szCs w:val="24"/>
      <w:lang w:val="en-US" w:eastAsia="zh-CN" w:bidi="ar-SA"/>
    </w:rPr>
  </w:style>
  <w:style w:type="character" w:customStyle="1" w:styleId="30">
    <w:name w:val="批注框文本 Char"/>
    <w:basedOn w:val="21"/>
    <w:link w:val="10"/>
    <w:qFormat/>
    <w:uiPriority w:val="0"/>
    <w:rPr>
      <w:kern w:val="2"/>
      <w:sz w:val="18"/>
      <w:szCs w:val="18"/>
    </w:rPr>
  </w:style>
  <w:style w:type="character" w:customStyle="1" w:styleId="31">
    <w:name w:val="批注文字 Char"/>
    <w:basedOn w:val="21"/>
    <w:link w:val="6"/>
    <w:qFormat/>
    <w:uiPriority w:val="0"/>
    <w:rPr>
      <w:kern w:val="2"/>
      <w:sz w:val="21"/>
      <w:szCs w:val="24"/>
    </w:rPr>
  </w:style>
  <w:style w:type="character" w:customStyle="1" w:styleId="32">
    <w:name w:val="批注主题 Char"/>
    <w:basedOn w:val="31"/>
    <w:link w:val="16"/>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22239</Words>
  <Characters>23104</Characters>
  <Lines>181</Lines>
  <Paragraphs>51</Paragraphs>
  <TotalTime>1</TotalTime>
  <ScaleCrop>false</ScaleCrop>
  <LinksUpToDate>false</LinksUpToDate>
  <CharactersWithSpaces>24182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2022-05-06T08:29:00Z</dcterms:created>
  <dc:creator>烟花散静、</dc:creator>
  <cp:lastModifiedBy>乔 乔</cp:lastModifiedBy>
  <dcterms:modified xsi:type="dcterms:W3CDTF">2022-08-12T03:15:54Z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E96100AACF7E4F1692E49730207B8E10</vt:lpwstr>
  </property>
</Properties>
</file>