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shd w:val="clear" w:fill="FFFFFF"/>
          <w:lang w:val="en-US" w:eastAsia="zh-CN" w:bidi="ar"/>
        </w:rPr>
        <w:t>富县自然资源局富县集体土地所有权确权登记成果更新汇交采购项目招标公告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shd w:val="clear" w:fill="FFFFFF"/>
        </w:rPr>
        <w:t>富县集体土地所有权确权登记成果更新汇交采购项目</w:t>
      </w:r>
      <w:r>
        <w:rPr>
          <w:rFonts w:hint="eastAsia" w:ascii="微软雅黑" w:hAnsi="微软雅黑" w:eastAsia="微软雅黑" w:cs="微软雅黑"/>
          <w:sz w:val="21"/>
          <w:szCs w:val="21"/>
          <w:bdr w:val="none" w:color="auto" w:sz="0" w:space="0"/>
          <w:shd w:val="clear" w:fill="FFFFFF"/>
        </w:rPr>
        <w:t>招标项目的潜在投标人应在</w:t>
      </w:r>
      <w:r>
        <w:rPr>
          <w:rFonts w:hint="eastAsia" w:ascii="微软雅黑" w:hAnsi="微软雅黑" w:eastAsia="微软雅黑" w:cs="微软雅黑"/>
          <w:color w:val="0A82E5"/>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shd w:val="clear" w:fill="FFFFFF"/>
        </w:rPr>
        <w:t>获取招标文件，并于</w:t>
      </w:r>
      <w:r>
        <w:rPr>
          <w:rFonts w:hint="eastAsia" w:ascii="微软雅黑" w:hAnsi="微软雅黑" w:eastAsia="微软雅黑" w:cs="微软雅黑"/>
          <w:color w:val="0A82E5"/>
          <w:sz w:val="21"/>
          <w:szCs w:val="21"/>
          <w:bdr w:val="none" w:color="auto" w:sz="0" w:space="0"/>
          <w:shd w:val="clear" w:fill="FFFFFF"/>
        </w:rPr>
        <w:t> 2023年02月08日 15时30分 </w:t>
      </w:r>
      <w:r>
        <w:rPr>
          <w:rFonts w:hint="eastAsia" w:ascii="微软雅黑" w:hAnsi="微软雅黑" w:eastAsia="微软雅黑" w:cs="微软雅黑"/>
          <w:sz w:val="21"/>
          <w:szCs w:val="21"/>
          <w:bdr w:val="none" w:color="auto" w:sz="0" w:space="0"/>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项目编号：JYZC2023-002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项目名称：富县集体土地所有权确权登记成果更新汇交采购项目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预算金额：2,733,400.00元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合同包1(富县集体土地所有权确权登记成果更新汇交采购项目):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合同包预算金额：2,733,400.00元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合同包最高限价：2,733,400.00元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1"/>
        <w:gridCol w:w="1250"/>
        <w:gridCol w:w="908"/>
        <w:gridCol w:w="1121"/>
        <w:gridCol w:w="1580"/>
        <w:gridCol w:w="1503"/>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2733400.00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2,733,400.00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2,733,400.00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shd w:val="clear" w:fill="FFFFFF"/>
        </w:rPr>
        <w:t>合同履行期限：10个月</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合同包1(富县集体土地所有权确权登记成果更新汇交采购项目)落实政府采购政策需满足的资格要求如下: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2.4《节能产品政府采购实施意见》（财库[2004]185号）；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2.7《环境标志产品政府采购实施的意见》（财库[2006]90号）；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合同包1(富县集体土地所有权确权登记成果更新汇交采购项目)特定资格要求如下: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3.2法定代表人授权书（附法定代表人身份证复印件）及被授权人身份证（法定代表人直接参加谈判只须提供法定代表人身份证）；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3.3税收缴纳证明：提供2022年至今任意3个月依法缴纳税收证明，依法免税的单位应提供相关证明材料。（复印件加盖投标人公章）；</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3.4财务状况报告：提供2020年度或2021年的财务审计报告(成立时间至提交投标文件截止时间不足一年的成立后任意时段的资产负债表或提供开标日期前3个月内其基本开户银行出具的资信证明）；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3.5社会保障资金缴纳证明：提供已缴存的2022年至今任一月份的社会保障资金缴存单据或社保机构开具的社会保险参保缴费情况证明，单据或证明上应有社保机构或代收机构的公章，依法不需要缴纳社会保障资金的服务商应提供相关文件证明；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3.6供应商须具有行政主管部门颁发的测绘乙级（含乙级）及以上资质；</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3.7参加政府采购活动前 3 年内在经营活动中没有重大违法记录的书面声明；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3.8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供应商公章；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2023年01月16日 至 2023年01月20日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2023年02月08日 15时30分00秒 </w:t>
      </w:r>
      <w:r>
        <w:rPr>
          <w:rFonts w:hint="eastAsia" w:ascii="微软雅黑" w:hAnsi="微软雅黑" w:eastAsia="微软雅黑" w:cs="微软雅黑"/>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提交投标文件地点：</w:t>
      </w:r>
      <w:r>
        <w:rPr>
          <w:rFonts w:hint="eastAsia" w:ascii="微软雅黑" w:hAnsi="微软雅黑" w:eastAsia="微软雅黑" w:cs="微软雅黑"/>
          <w:color w:val="0A82E5"/>
          <w:sz w:val="21"/>
          <w:szCs w:val="21"/>
          <w:bdr w:val="none" w:color="auto" w:sz="0" w:space="0"/>
          <w:shd w:val="clear" w:fill="FFFFFF"/>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开标地点：</w:t>
      </w:r>
      <w:r>
        <w:rPr>
          <w:rFonts w:hint="eastAsia" w:ascii="微软雅黑" w:hAnsi="微软雅黑" w:eastAsia="微软雅黑" w:cs="微软雅黑"/>
          <w:color w:val="0A82E5"/>
          <w:sz w:val="21"/>
          <w:szCs w:val="21"/>
          <w:bdr w:val="none" w:color="auto" w:sz="0" w:space="0"/>
          <w:shd w:val="clear" w:fill="FFFFFF"/>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5</w:t>
      </w:r>
      <w:r>
        <w:rPr>
          <w:rFonts w:hint="eastAsia" w:ascii="微软雅黑" w:hAnsi="微软雅黑" w:eastAsia="微软雅黑" w:cs="微软雅黑"/>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3.递交纸质版投标文件的同时需在网上上传投标文件，本项目采取网上投标形式。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color w:val="0A82E5"/>
          <w:sz w:val="21"/>
          <w:szCs w:val="21"/>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富县自然资源局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陕西省延安市富县北郊场200号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15891618212</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shd w:val="clear" w:fill="FFFFFF"/>
        </w:rPr>
        <w:t>陕西集云项目管理有限公司</w:t>
      </w:r>
    </w:p>
    <w:p>
      <w:pPr>
        <w:pStyle w:val="11"/>
      </w:pPr>
      <w:r>
        <w:rPr>
          <w:rFonts w:ascii="宋体" w:hAnsi="宋体" w:eastAsia="宋体" w:cs="宋体"/>
          <w:kern w:val="0"/>
          <w:sz w:val="24"/>
          <w:szCs w:val="24"/>
          <w:u w:val="single"/>
          <w:bdr w:val="none" w:color="auto" w:sz="0" w:space="0"/>
          <w:shd w:val="clear" w:fill="FFFFFF"/>
          <w:lang w:val="en-US" w:eastAsia="zh-CN" w:bidi="ar"/>
        </w:rPr>
        <w:t> 公告附件</w:t>
      </w:r>
      <w:r>
        <w:t>窗体底端</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03F62718"/>
    <w:rsid w:val="4C20442F"/>
    <w:rsid w:val="6CE6449B"/>
    <w:rsid w:val="74F33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
    <w:basedOn w:val="1"/>
    <w:next w:val="1"/>
    <w:uiPriority w:val="0"/>
    <w:pPr>
      <w:pBdr>
        <w:bottom w:val="single" w:color="auto" w:sz="6" w:space="1"/>
      </w:pBdr>
      <w:jc w:val="center"/>
    </w:pPr>
    <w:rPr>
      <w:rFonts w:ascii="Arial" w:eastAsia="宋体"/>
      <w:vanish/>
      <w:sz w:val="16"/>
    </w:rPr>
  </w:style>
  <w:style w:type="paragraph" w:styleId="11">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2023-01-13T07:37:49Z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166C870C9E0243DEB7A3E4350AA09DE1</vt:lpwstr>
  </property>
</Properties>
</file>