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color w:val="auto"/>
          <w:sz w:val="48"/>
          <w:szCs w:val="48"/>
          <w:lang w:val="zh-CN"/>
        </w:rPr>
      </w:pPr>
      <w:r>
        <w:rPr>
          <w:rFonts w:hint="eastAsia" w:asciiTheme="minorEastAsia" w:hAnsiTheme="minorEastAsia" w:eastAsiaTheme="minorEastAsia" w:cstheme="minorEastAsia"/>
          <w:color w:val="auto"/>
          <w:sz w:val="48"/>
          <w:szCs w:val="48"/>
          <w:lang w:val="zh-CN"/>
        </w:rPr>
        <w:tab/>
      </w:r>
      <w:r>
        <w:rPr>
          <w:rFonts w:hint="eastAsia" w:asciiTheme="minorEastAsia" w:hAnsiTheme="minorEastAsia" w:eastAsiaTheme="minorEastAsia" w:cstheme="minorEastAsia"/>
          <w:color w:val="auto"/>
          <w:sz w:val="48"/>
          <w:szCs w:val="48"/>
          <w:lang w:val="zh-CN"/>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初中理化生实验室操作考试标准化考场建设项目</w:t>
      </w:r>
    </w:p>
    <w:p>
      <w:pPr>
        <w:jc w:val="center"/>
        <w:rPr>
          <w:rFonts w:hint="eastAsia" w:ascii="宋体" w:hAnsi="宋体" w:cs="宋体"/>
          <w:b/>
          <w:kern w:val="0"/>
          <w:sz w:val="92"/>
          <w:szCs w:val="84"/>
          <w:highlight w:val="none"/>
        </w:rPr>
      </w:pPr>
    </w:p>
    <w:p>
      <w:pPr>
        <w:jc w:val="center"/>
        <w:rPr>
          <w:rFonts w:hint="eastAsia" w:ascii="宋体" w:hAnsi="宋体" w:cs="宋体"/>
          <w:b/>
          <w:kern w:val="0"/>
          <w:sz w:val="92"/>
          <w:szCs w:val="84"/>
          <w:highlight w:val="none"/>
        </w:rPr>
      </w:pPr>
      <w:r>
        <w:rPr>
          <w:rFonts w:hint="eastAsia" w:ascii="宋体" w:hAnsi="宋体" w:cs="宋体"/>
          <w:b/>
          <w:kern w:val="0"/>
          <w:sz w:val="92"/>
          <w:szCs w:val="84"/>
          <w:highlight w:val="none"/>
          <w:lang w:val="en-US" w:eastAsia="zh-CN"/>
        </w:rPr>
        <w:t xml:space="preserve">招 标 </w:t>
      </w:r>
      <w:r>
        <w:rPr>
          <w:rFonts w:hint="eastAsia" w:ascii="宋体" w:hAnsi="宋体" w:cs="宋体"/>
          <w:b/>
          <w:kern w:val="0"/>
          <w:sz w:val="92"/>
          <w:szCs w:val="84"/>
          <w:highlight w:val="none"/>
        </w:rPr>
        <w:t>文</w:t>
      </w:r>
      <w:r>
        <w:rPr>
          <w:rFonts w:hint="eastAsia" w:ascii="宋体" w:hAnsi="宋体" w:cs="宋体"/>
          <w:b/>
          <w:kern w:val="0"/>
          <w:sz w:val="92"/>
          <w:szCs w:val="84"/>
          <w:highlight w:val="none"/>
          <w:lang w:val="en-US" w:eastAsia="zh-CN"/>
        </w:rPr>
        <w:t xml:space="preserve"> </w:t>
      </w:r>
      <w:r>
        <w:rPr>
          <w:rFonts w:hint="eastAsia" w:ascii="宋体" w:hAnsi="宋体" w:cs="宋体"/>
          <w:b/>
          <w:kern w:val="0"/>
          <w:sz w:val="92"/>
          <w:szCs w:val="84"/>
          <w:highlight w:val="none"/>
        </w:rPr>
        <w:t>件</w:t>
      </w:r>
    </w:p>
    <w:p>
      <w:pPr>
        <w:jc w:val="center"/>
        <w:rPr>
          <w:rFonts w:hint="eastAsia" w:ascii="宋体" w:hAnsi="宋体" w:cs="宋体"/>
          <w:kern w:val="0"/>
          <w:szCs w:val="28"/>
          <w:highlight w:val="none"/>
        </w:rPr>
      </w:pPr>
    </w:p>
    <w:p>
      <w:pPr>
        <w:widowControl/>
        <w:spacing w:line="480" w:lineRule="exact"/>
        <w:ind w:firstLine="2811" w:firstLineChars="1000"/>
        <w:rPr>
          <w:rFonts w:hint="eastAsia" w:ascii="宋体" w:hAnsi="宋体" w:cs="宋体"/>
          <w:b/>
          <w:bCs/>
          <w:kern w:val="0"/>
          <w:sz w:val="28"/>
          <w:szCs w:val="28"/>
          <w:highlight w:val="none"/>
        </w:rPr>
      </w:pPr>
      <w:r>
        <w:rPr>
          <w:rFonts w:hint="eastAsia" w:ascii="宋体" w:hAnsi="宋体" w:cs="宋体"/>
          <w:b/>
          <w:bCs/>
          <w:kern w:val="0"/>
          <w:sz w:val="28"/>
          <w:szCs w:val="28"/>
          <w:highlight w:val="none"/>
        </w:rPr>
        <w:t>项目编号：HDCGDL-ZC2023-047</w:t>
      </w:r>
    </w:p>
    <w:p>
      <w:pPr>
        <w:widowControl/>
        <w:spacing w:line="480" w:lineRule="exact"/>
        <w:ind w:firstLine="2811" w:firstLineChars="1000"/>
        <w:rPr>
          <w:rFonts w:hint="eastAsia" w:ascii="宋体" w:hAnsi="宋体" w:eastAsia="宋体" w:cs="宋体"/>
          <w:b/>
          <w:bCs/>
          <w:sz w:val="28"/>
          <w:szCs w:val="28"/>
          <w:highlight w:val="yellow"/>
          <w:lang w:val="en-US" w:eastAsia="zh-CN"/>
        </w:rPr>
      </w:pPr>
    </w:p>
    <w:p>
      <w:pPr>
        <w:spacing w:line="460" w:lineRule="exact"/>
        <w:jc w:val="center"/>
        <w:rPr>
          <w:rFonts w:hint="eastAsia" w:ascii="宋体" w:hAnsi="宋体"/>
          <w:b/>
          <w:bCs/>
          <w:color w:val="000000"/>
          <w:sz w:val="28"/>
          <w:szCs w:val="28"/>
          <w:highlight w:val="yellow"/>
        </w:rPr>
      </w:pPr>
    </w:p>
    <w:p>
      <w:pPr>
        <w:spacing w:line="360" w:lineRule="auto"/>
        <w:jc w:val="center"/>
        <w:rPr>
          <w:rFonts w:hint="eastAsia" w:ascii="宋体" w:hAnsi="宋体"/>
          <w:color w:val="000000"/>
          <w:sz w:val="24"/>
          <w:szCs w:val="24"/>
          <w:highlight w:val="none"/>
        </w:rPr>
      </w:pPr>
    </w:p>
    <w:p>
      <w:pPr>
        <w:spacing w:line="460" w:lineRule="exact"/>
        <w:jc w:val="center"/>
        <w:rPr>
          <w:rFonts w:hint="eastAsia" w:ascii="宋体" w:hAnsi="宋体"/>
          <w:color w:val="000000"/>
          <w:sz w:val="24"/>
          <w:szCs w:val="24"/>
          <w:highlight w:val="none"/>
        </w:rPr>
      </w:pPr>
    </w:p>
    <w:p>
      <w:pPr>
        <w:jc w:val="center"/>
        <w:rPr>
          <w:rFonts w:hint="eastAsia" w:ascii="宋体" w:hAnsi="宋体" w:cs="宋体"/>
          <w:kern w:val="0"/>
          <w:sz w:val="44"/>
          <w:highlight w:val="none"/>
        </w:rPr>
      </w:pPr>
    </w:p>
    <w:p>
      <w:pPr>
        <w:jc w:val="center"/>
        <w:rPr>
          <w:rFonts w:hint="eastAsia" w:ascii="宋体" w:hAnsi="宋体" w:cs="宋体"/>
          <w:kern w:val="0"/>
          <w:sz w:val="44"/>
          <w:highlight w:val="none"/>
        </w:rPr>
      </w:pPr>
    </w:p>
    <w:p>
      <w:pPr>
        <w:rPr>
          <w:rFonts w:hint="eastAsia"/>
        </w:rPr>
      </w:pPr>
    </w:p>
    <w:p>
      <w:pPr>
        <w:pStyle w:val="10"/>
        <w:rPr>
          <w:rFonts w:hint="eastAsia"/>
        </w:rPr>
      </w:pPr>
    </w:p>
    <w:p>
      <w:pPr>
        <w:jc w:val="center"/>
        <w:rPr>
          <w:rFonts w:hint="eastAsia" w:ascii="宋体" w:hAnsi="宋体" w:cs="宋体"/>
          <w:kern w:val="0"/>
          <w:sz w:val="44"/>
          <w:highlight w:val="none"/>
        </w:rPr>
      </w:pPr>
    </w:p>
    <w:p>
      <w:pPr>
        <w:jc w:val="center"/>
        <w:rPr>
          <w:rFonts w:hint="eastAsia" w:ascii="宋体" w:hAnsi="宋体" w:cs="宋体"/>
          <w:kern w:val="0"/>
          <w:sz w:val="32"/>
          <w:szCs w:val="32"/>
          <w:highlight w:val="none"/>
        </w:rPr>
      </w:pPr>
    </w:p>
    <w:p>
      <w:pPr>
        <w:spacing w:line="480" w:lineRule="exact"/>
        <w:rPr>
          <w:rFonts w:hint="eastAsia" w:ascii="宋体" w:hAnsi="宋体" w:cs="宋体"/>
          <w:b/>
          <w:bCs/>
          <w:kern w:val="0"/>
          <w:sz w:val="32"/>
          <w:szCs w:val="32"/>
          <w:highlight w:val="none"/>
        </w:rPr>
      </w:pPr>
      <w:r>
        <w:rPr>
          <w:rFonts w:hint="eastAsia" w:ascii="宋体" w:hAnsi="宋体" w:cs="宋体"/>
          <w:b/>
          <w:bCs/>
          <w:kern w:val="0"/>
          <w:sz w:val="32"/>
          <w:szCs w:val="32"/>
          <w:highlight w:val="none"/>
        </w:rPr>
        <w:t xml:space="preserve">  </w:t>
      </w:r>
      <w:r>
        <w:rPr>
          <w:rFonts w:hint="eastAsia" w:ascii="宋体" w:hAnsi="宋体" w:cs="宋体"/>
          <w:b/>
          <w:bCs/>
          <w:kern w:val="0"/>
          <w:sz w:val="32"/>
          <w:szCs w:val="32"/>
          <w:highlight w:val="none"/>
          <w:lang w:val="en-US" w:eastAsia="zh-CN"/>
        </w:rPr>
        <w:t xml:space="preserve">  </w:t>
      </w:r>
      <w:r>
        <w:rPr>
          <w:rFonts w:hint="eastAsia" w:ascii="宋体" w:hAnsi="宋体" w:cs="宋体"/>
          <w:b/>
          <w:bCs/>
          <w:kern w:val="0"/>
          <w:sz w:val="32"/>
          <w:szCs w:val="32"/>
          <w:highlight w:val="none"/>
        </w:rPr>
        <w:t>采   购   人：宜川县初级中学</w:t>
      </w:r>
    </w:p>
    <w:p>
      <w:pPr>
        <w:spacing w:line="480" w:lineRule="exact"/>
        <w:rPr>
          <w:rFonts w:hint="eastAsia" w:ascii="宋体" w:hAnsi="宋体" w:cs="宋体"/>
          <w:b/>
          <w:bCs/>
          <w:kern w:val="0"/>
          <w:sz w:val="32"/>
          <w:szCs w:val="32"/>
          <w:highlight w:val="none"/>
        </w:rPr>
      </w:pPr>
    </w:p>
    <w:p>
      <w:pPr>
        <w:spacing w:line="500" w:lineRule="exact"/>
        <w:rPr>
          <w:rFonts w:hint="eastAsia" w:ascii="宋体" w:hAnsi="宋体" w:cs="宋体"/>
          <w:b/>
          <w:bCs/>
          <w:kern w:val="0"/>
          <w:sz w:val="32"/>
          <w:szCs w:val="32"/>
          <w:highlight w:val="none"/>
        </w:rPr>
      </w:pPr>
    </w:p>
    <w:p>
      <w:pPr>
        <w:rPr>
          <w:rFonts w:hint="eastAsia" w:ascii="宋体" w:hAnsi="宋体" w:cs="宋体"/>
          <w:b/>
          <w:bCs/>
          <w:kern w:val="0"/>
          <w:sz w:val="32"/>
          <w:szCs w:val="32"/>
          <w:highlight w:val="none"/>
        </w:rPr>
      </w:pPr>
      <w:r>
        <w:rPr>
          <w:rFonts w:hint="eastAsia" w:ascii="宋体" w:hAnsi="宋体" w:cs="宋体"/>
          <w:b/>
          <w:bCs/>
          <w:kern w:val="0"/>
          <w:sz w:val="32"/>
          <w:szCs w:val="32"/>
          <w:highlight w:val="none"/>
        </w:rPr>
        <w:t xml:space="preserve">  </w:t>
      </w:r>
      <w:r>
        <w:rPr>
          <w:rFonts w:hint="eastAsia" w:ascii="宋体" w:hAnsi="宋体" w:cs="宋体"/>
          <w:b/>
          <w:bCs/>
          <w:kern w:val="0"/>
          <w:sz w:val="32"/>
          <w:szCs w:val="32"/>
          <w:highlight w:val="none"/>
          <w:lang w:val="en-US" w:eastAsia="zh-CN"/>
        </w:rPr>
        <w:t xml:space="preserve">  </w:t>
      </w:r>
      <w:r>
        <w:rPr>
          <w:rFonts w:hint="eastAsia" w:ascii="宋体" w:hAnsi="宋体" w:cs="宋体"/>
          <w:b/>
          <w:bCs/>
          <w:kern w:val="0"/>
          <w:sz w:val="32"/>
          <w:szCs w:val="32"/>
          <w:highlight w:val="none"/>
        </w:rPr>
        <w:t>采购代理机构：华鼎工程咨询集团有限公司</w:t>
      </w:r>
    </w:p>
    <w:p>
      <w:pPr>
        <w:rPr>
          <w:rFonts w:hint="eastAsia" w:ascii="宋体" w:hAnsi="宋体" w:eastAsia="宋体" w:cs="宋体"/>
          <w:b/>
          <w:bCs/>
          <w:kern w:val="0"/>
          <w:sz w:val="32"/>
          <w:szCs w:val="32"/>
          <w:highlight w:val="none"/>
          <w:lang w:eastAsia="zh-CN"/>
        </w:rPr>
      </w:pPr>
    </w:p>
    <w:p>
      <w:pPr>
        <w:jc w:val="center"/>
        <w:rPr>
          <w:rFonts w:hint="eastAsia" w:ascii="宋体" w:hAnsi="宋体" w:cs="宋体"/>
          <w:b/>
          <w:bCs/>
          <w:kern w:val="0"/>
          <w:sz w:val="32"/>
          <w:szCs w:val="32"/>
          <w:highlight w:val="none"/>
        </w:rPr>
      </w:pPr>
    </w:p>
    <w:p>
      <w:pPr>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二〇二</w:t>
      </w:r>
      <w:r>
        <w:rPr>
          <w:rFonts w:hint="eastAsia" w:ascii="宋体" w:hAnsi="宋体" w:cs="宋体"/>
          <w:b/>
          <w:bCs/>
          <w:kern w:val="0"/>
          <w:sz w:val="32"/>
          <w:szCs w:val="32"/>
          <w:highlight w:val="none"/>
          <w:lang w:val="en-US" w:eastAsia="zh-CN"/>
        </w:rPr>
        <w:t>三</w:t>
      </w:r>
      <w:r>
        <w:rPr>
          <w:rFonts w:hint="eastAsia" w:ascii="宋体" w:hAnsi="宋体" w:cs="宋体"/>
          <w:b/>
          <w:bCs/>
          <w:kern w:val="0"/>
          <w:sz w:val="32"/>
          <w:szCs w:val="32"/>
          <w:highlight w:val="none"/>
        </w:rPr>
        <w:t>年</w:t>
      </w:r>
      <w:r>
        <w:rPr>
          <w:rFonts w:hint="eastAsia" w:ascii="宋体" w:hAnsi="宋体" w:cs="宋体"/>
          <w:b/>
          <w:bCs/>
          <w:kern w:val="0"/>
          <w:sz w:val="32"/>
          <w:szCs w:val="32"/>
          <w:highlight w:val="none"/>
          <w:lang w:val="en-US" w:eastAsia="zh-CN"/>
        </w:rPr>
        <w:t>八</w:t>
      </w:r>
      <w:r>
        <w:rPr>
          <w:rFonts w:hint="eastAsia" w:ascii="宋体" w:hAnsi="宋体" w:cs="宋体"/>
          <w:b/>
          <w:bCs/>
          <w:kern w:val="0"/>
          <w:sz w:val="32"/>
          <w:szCs w:val="32"/>
          <w:highlight w:val="none"/>
        </w:rPr>
        <w:t>月</w:t>
      </w:r>
    </w:p>
    <w:p>
      <w:pPr>
        <w:spacing w:line="600" w:lineRule="auto"/>
        <w:jc w:val="center"/>
        <w:rPr>
          <w:rFonts w:hint="eastAsia" w:ascii="宋体" w:hAnsi="宋体"/>
          <w:b/>
          <w:sz w:val="44"/>
          <w:szCs w:val="44"/>
          <w:highlight w:val="none"/>
        </w:rPr>
        <w:sectPr>
          <w:headerReference r:id="rId3" w:type="default"/>
          <w:footerReference r:id="rId4" w:type="default"/>
          <w:footerReference r:id="rId5" w:type="even"/>
          <w:pgSz w:w="11906" w:h="16838"/>
          <w:pgMar w:top="1440" w:right="1588" w:bottom="1440" w:left="1588" w:header="851" w:footer="992" w:gutter="0"/>
          <w:pgBorders>
            <w:top w:val="none" w:sz="0" w:space="0"/>
            <w:left w:val="none" w:sz="0" w:space="0"/>
            <w:bottom w:val="none" w:sz="0" w:space="0"/>
            <w:right w:val="none" w:sz="0" w:space="0"/>
          </w:pgBorders>
          <w:cols w:space="720" w:num="1"/>
          <w:titlePg/>
          <w:docGrid w:linePitch="312" w:charSpace="0"/>
        </w:sectPr>
      </w:pPr>
    </w:p>
    <w:p>
      <w:pPr>
        <w:pStyle w:val="32"/>
        <w:pageBreakBefore w:val="0"/>
        <w:tabs>
          <w:tab w:val="left" w:pos="3688"/>
          <w:tab w:val="center" w:pos="4932"/>
        </w:tabs>
        <w:bidi w:val="0"/>
        <w:spacing w:line="460" w:lineRule="exact"/>
        <w:jc w:val="center"/>
        <w:outlineLvl w:val="9"/>
        <w:rPr>
          <w:rFonts w:asciiTheme="minorEastAsia" w:hAnsiTheme="minorEastAsia" w:eastAsiaTheme="minorEastAsia" w:cstheme="minorEastAsia"/>
          <w:color w:val="auto"/>
          <w:sz w:val="48"/>
          <w:szCs w:val="48"/>
          <w:lang w:val="zh-CN"/>
        </w:rPr>
      </w:pPr>
      <w:r>
        <w:rPr>
          <w:rFonts w:hint="eastAsia" w:asciiTheme="minorEastAsia" w:hAnsiTheme="minorEastAsia" w:eastAsiaTheme="minorEastAsia" w:cstheme="minorEastAsia"/>
          <w:color w:val="auto"/>
          <w:sz w:val="48"/>
          <w:szCs w:val="48"/>
          <w:lang w:val="zh-CN"/>
        </w:rPr>
        <w:t>目录</w:t>
      </w:r>
    </w:p>
    <w:p>
      <w:pPr>
        <w:pageBreakBefore w:val="0"/>
        <w:bidi w:val="0"/>
        <w:outlineLvl w:val="9"/>
        <w:rPr>
          <w:rFonts w:asciiTheme="minorEastAsia" w:hAnsiTheme="minorEastAsia" w:eastAsiaTheme="minorEastAsia" w:cstheme="minorEastAsia"/>
        </w:rPr>
      </w:pPr>
    </w:p>
    <w:p>
      <w:pPr>
        <w:pStyle w:val="18"/>
        <w:tabs>
          <w:tab w:val="right" w:leader="dot" w:pos="9746"/>
        </w:tabs>
        <w:spacing w:line="600" w:lineRule="auto"/>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_Toc3865 </w:instrText>
      </w:r>
      <w:r>
        <w:rPr>
          <w:rFonts w:hint="eastAsia" w:asciiTheme="minorEastAsia" w:hAnsiTheme="minorEastAsia" w:eastAsiaTheme="minorEastAsia" w:cstheme="minorEastAsia"/>
        </w:rPr>
        <w:fldChar w:fldCharType="separate"/>
      </w:r>
      <w:r>
        <w:rPr>
          <w:rFonts w:hint="eastAsia" w:ascii="宋体" w:hAnsi="宋体" w:eastAsia="宋体" w:cs="宋体"/>
          <w:bCs/>
          <w:kern w:val="0"/>
          <w:szCs w:val="28"/>
          <w:shd w:val="clear" w:fill="FFFFFF"/>
          <w:lang w:val="en-US" w:eastAsia="zh-CN" w:bidi="ar"/>
        </w:rPr>
        <w:t>第一部分  招标公告</w:t>
      </w:r>
      <w:r>
        <w:tab/>
      </w:r>
      <w:r>
        <w:fldChar w:fldCharType="begin"/>
      </w:r>
      <w:r>
        <w:instrText xml:space="preserve"> PAGEREF _Toc3865 \h </w:instrText>
      </w:r>
      <w:r>
        <w:fldChar w:fldCharType="separate"/>
      </w:r>
      <w:r>
        <w:t>1</w:t>
      </w:r>
      <w:r>
        <w:fldChar w:fldCharType="end"/>
      </w:r>
      <w:r>
        <w:rPr>
          <w:rFonts w:hint="eastAsia" w:asciiTheme="minorEastAsia" w:hAnsiTheme="minorEastAsia" w:eastAsiaTheme="minorEastAsia" w:cstheme="minorEastAsia"/>
        </w:rPr>
        <w:fldChar w:fldCharType="end"/>
      </w:r>
    </w:p>
    <w:p>
      <w:pPr>
        <w:pStyle w:val="18"/>
        <w:tabs>
          <w:tab w:val="right" w:leader="dot" w:pos="9746"/>
        </w:tabs>
        <w:spacing w:line="600" w:lineRule="auto"/>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_Toc9213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第二部分  供应商须知</w:t>
      </w:r>
      <w:r>
        <w:tab/>
      </w:r>
      <w:r>
        <w:rPr>
          <w:rFonts w:hint="eastAsia"/>
          <w:lang w:val="en-US" w:eastAsia="zh-CN"/>
        </w:rPr>
        <w:t>5</w:t>
      </w:r>
      <w:r>
        <w:rPr>
          <w:rFonts w:hint="eastAsia" w:asciiTheme="minorEastAsia" w:hAnsiTheme="minorEastAsia" w:eastAsiaTheme="minorEastAsia" w:cstheme="minorEastAsia"/>
        </w:rPr>
        <w:fldChar w:fldCharType="end"/>
      </w:r>
    </w:p>
    <w:p>
      <w:pPr>
        <w:pStyle w:val="18"/>
        <w:tabs>
          <w:tab w:val="right" w:leader="dot" w:pos="9746"/>
        </w:tabs>
        <w:spacing w:line="600" w:lineRule="auto"/>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_Toc4190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lang w:val="en-US" w:eastAsia="zh-CN"/>
        </w:rPr>
        <w:t>第三部分 采购内容及要求</w:t>
      </w:r>
      <w:r>
        <w:tab/>
      </w:r>
      <w:r>
        <w:fldChar w:fldCharType="begin"/>
      </w:r>
      <w:r>
        <w:instrText xml:space="preserve"> PAGEREF _Toc4190 \h </w:instrText>
      </w:r>
      <w:r>
        <w:fldChar w:fldCharType="separate"/>
      </w:r>
      <w:r>
        <w:t>22</w:t>
      </w:r>
      <w:r>
        <w:fldChar w:fldCharType="end"/>
      </w:r>
      <w:r>
        <w:rPr>
          <w:rFonts w:hint="eastAsia" w:asciiTheme="minorEastAsia" w:hAnsiTheme="minorEastAsia" w:eastAsiaTheme="minorEastAsia" w:cstheme="minorEastAsia"/>
        </w:rPr>
        <w:fldChar w:fldCharType="end"/>
      </w:r>
    </w:p>
    <w:p>
      <w:pPr>
        <w:pStyle w:val="18"/>
        <w:tabs>
          <w:tab w:val="right" w:leader="dot" w:pos="9746"/>
        </w:tabs>
        <w:spacing w:line="600" w:lineRule="auto"/>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_Toc28609 </w:instrText>
      </w:r>
      <w:r>
        <w:rPr>
          <w:rFonts w:hint="eastAsia" w:asciiTheme="minorEastAsia" w:hAnsiTheme="minorEastAsia" w:eastAsiaTheme="minorEastAsia" w:cstheme="minorEastAsia"/>
        </w:rPr>
        <w:fldChar w:fldCharType="separate"/>
      </w:r>
      <w:r>
        <w:rPr>
          <w:rFonts w:hint="eastAsia" w:eastAsia="宋体" w:cs="黑体" w:asciiTheme="minorEastAsia" w:hAnsiTheme="minorEastAsia"/>
          <w:szCs w:val="32"/>
        </w:rPr>
        <w:t>第四部分</w:t>
      </w:r>
      <w:r>
        <w:rPr>
          <w:rFonts w:hint="eastAsia" w:asciiTheme="minorEastAsia" w:hAnsiTheme="minorEastAsia" w:eastAsiaTheme="minorEastAsia" w:cstheme="minorEastAsia"/>
        </w:rPr>
        <w:t xml:space="preserve">  </w:t>
      </w:r>
      <w:r>
        <w:rPr>
          <w:rFonts w:hint="eastAsia" w:cs="黑体" w:asciiTheme="minorEastAsia" w:hAnsiTheme="minorEastAsia"/>
          <w:szCs w:val="32"/>
        </w:rPr>
        <w:t>合同主要条款</w:t>
      </w:r>
      <w:r>
        <w:rPr>
          <w:rFonts w:hint="eastAsia" w:cs="黑体" w:asciiTheme="minorEastAsia" w:hAnsiTheme="minorEastAsia"/>
          <w:szCs w:val="32"/>
          <w:lang w:eastAsia="zh-CN"/>
        </w:rPr>
        <w:t>（</w:t>
      </w:r>
      <w:r>
        <w:rPr>
          <w:rFonts w:hint="eastAsia" w:cs="黑体" w:asciiTheme="minorEastAsia" w:hAnsiTheme="minorEastAsia"/>
          <w:szCs w:val="32"/>
          <w:lang w:val="en-US" w:eastAsia="zh-CN"/>
        </w:rPr>
        <w:t>仅供参考</w:t>
      </w:r>
      <w:r>
        <w:rPr>
          <w:rFonts w:hint="eastAsia" w:cs="黑体" w:asciiTheme="minorEastAsia" w:hAnsiTheme="minorEastAsia"/>
          <w:szCs w:val="32"/>
          <w:lang w:eastAsia="zh-CN"/>
        </w:rPr>
        <w:t>）</w:t>
      </w:r>
      <w:r>
        <w:tab/>
      </w:r>
      <w:r>
        <w:fldChar w:fldCharType="begin"/>
      </w:r>
      <w:r>
        <w:instrText xml:space="preserve"> PAGEREF _Toc28609 \h </w:instrText>
      </w:r>
      <w:r>
        <w:fldChar w:fldCharType="separate"/>
      </w:r>
      <w:r>
        <w:t>22</w:t>
      </w:r>
      <w:r>
        <w:fldChar w:fldCharType="end"/>
      </w:r>
      <w:r>
        <w:rPr>
          <w:rFonts w:hint="eastAsia" w:asciiTheme="minorEastAsia" w:hAnsiTheme="minorEastAsia" w:eastAsiaTheme="minorEastAsia" w:cstheme="minorEastAsia"/>
        </w:rPr>
        <w:fldChar w:fldCharType="end"/>
      </w:r>
    </w:p>
    <w:p>
      <w:pPr>
        <w:pStyle w:val="18"/>
        <w:tabs>
          <w:tab w:val="right" w:leader="dot" w:pos="9746"/>
        </w:tabs>
        <w:spacing w:line="600" w:lineRule="auto"/>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_Toc13042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32"/>
        </w:rPr>
        <w:t>第</w:t>
      </w:r>
      <w:r>
        <w:rPr>
          <w:rFonts w:hint="eastAsia" w:asciiTheme="minorEastAsia" w:hAnsiTheme="minorEastAsia" w:eastAsiaTheme="minorEastAsia" w:cstheme="minorEastAsia"/>
          <w:bCs/>
          <w:szCs w:val="32"/>
          <w:lang w:val="en-US" w:eastAsia="zh-CN"/>
        </w:rPr>
        <w:t>五</w:t>
      </w:r>
      <w:r>
        <w:rPr>
          <w:rFonts w:hint="eastAsia" w:asciiTheme="minorEastAsia" w:hAnsiTheme="minorEastAsia" w:eastAsiaTheme="minorEastAsia" w:cstheme="minorEastAsia"/>
          <w:bCs/>
          <w:szCs w:val="32"/>
        </w:rPr>
        <w:t>部分  投标文件格式</w:t>
      </w:r>
      <w:r>
        <w:tab/>
      </w:r>
      <w:r>
        <w:fldChar w:fldCharType="begin"/>
      </w:r>
      <w:r>
        <w:instrText xml:space="preserve"> PAGEREF _Toc13042 \h </w:instrText>
      </w:r>
      <w:r>
        <w:fldChar w:fldCharType="separate"/>
      </w:r>
      <w:r>
        <w:t>26</w:t>
      </w:r>
      <w:r>
        <w:fldChar w:fldCharType="end"/>
      </w:r>
      <w:r>
        <w:rPr>
          <w:rFonts w:hint="eastAsia" w:asciiTheme="minorEastAsia" w:hAnsiTheme="minorEastAsia" w:eastAsiaTheme="minorEastAsia" w:cstheme="minorEastAsia"/>
        </w:rPr>
        <w:fldChar w:fldCharType="end"/>
      </w:r>
    </w:p>
    <w:p>
      <w:pPr>
        <w:pageBreakBefore w:val="0"/>
        <w:bidi w:val="0"/>
        <w:spacing w:line="460" w:lineRule="exact"/>
        <w:outlineLvl w:val="9"/>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end"/>
      </w:r>
    </w:p>
    <w:p>
      <w:pPr>
        <w:pageBreakBefore w:val="0"/>
        <w:tabs>
          <w:tab w:val="left" w:pos="7111"/>
        </w:tabs>
        <w:bidi w:val="0"/>
        <w:spacing w:line="460" w:lineRule="exact"/>
        <w:ind w:left="-141" w:leftChars="-67" w:right="-197" w:rightChars="-94"/>
        <w:outlineLvl w:val="9"/>
        <w:rPr>
          <w:rFonts w:asciiTheme="minorEastAsia" w:hAnsiTheme="minorEastAsia" w:eastAsiaTheme="minorEastAsia" w:cstheme="minorEastAsia"/>
        </w:rPr>
        <w:sectPr>
          <w:headerReference r:id="rId7" w:type="first"/>
          <w:footerReference r:id="rId9" w:type="first"/>
          <w:headerReference r:id="rId6" w:type="default"/>
          <w:footerReference r:id="rId8" w:type="default"/>
          <w:pgSz w:w="11906" w:h="16838"/>
          <w:pgMar w:top="1440" w:right="1080" w:bottom="1440" w:left="1080" w:header="851" w:footer="850" w:gutter="0"/>
          <w:pgBorders>
            <w:top w:val="none" w:sz="0" w:space="0"/>
            <w:left w:val="none" w:sz="0" w:space="0"/>
            <w:bottom w:val="none" w:sz="0" w:space="0"/>
            <w:right w:val="none" w:sz="0" w:space="0"/>
          </w:pgBorders>
          <w:pgNumType w:start="1"/>
          <w:cols w:space="425" w:num="1"/>
          <w:titlePg/>
          <w:docGrid w:type="lines" w:linePitch="312" w:charSpace="0"/>
        </w:sectPr>
      </w:pPr>
      <w:r>
        <w:rPr>
          <w:rFonts w:hint="eastAsia" w:asciiTheme="minorEastAsia" w:hAnsiTheme="minorEastAsia" w:eastAsiaTheme="minorEastAsia" w:cstheme="minorEastAsia"/>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exact"/>
        <w:ind w:left="0" w:right="0"/>
        <w:jc w:val="center"/>
        <w:textAlignment w:val="auto"/>
        <w:outlineLvl w:val="0"/>
        <w:rPr>
          <w:rFonts w:hint="eastAsia" w:ascii="宋体" w:hAnsi="宋体" w:eastAsia="宋体" w:cs="宋体"/>
          <w:b/>
          <w:bCs/>
          <w:color w:val="auto"/>
          <w:kern w:val="0"/>
          <w:sz w:val="28"/>
          <w:szCs w:val="28"/>
          <w:shd w:val="clear" w:fill="FFFFFF"/>
          <w:lang w:val="en-US" w:eastAsia="zh-CN" w:bidi="ar"/>
        </w:rPr>
      </w:pPr>
      <w:bookmarkStart w:id="0" w:name="_Toc3865"/>
      <w:r>
        <w:rPr>
          <w:rFonts w:hint="eastAsia" w:ascii="宋体" w:hAnsi="宋体" w:eastAsia="宋体" w:cs="宋体"/>
          <w:b/>
          <w:bCs/>
          <w:color w:val="auto"/>
          <w:kern w:val="0"/>
          <w:sz w:val="28"/>
          <w:szCs w:val="28"/>
          <w:shd w:val="clear" w:fill="FFFFFF"/>
          <w:lang w:val="en-US" w:eastAsia="zh-CN" w:bidi="ar"/>
        </w:rPr>
        <w:t>第一部分  招标公告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32"/>
          <w:szCs w:val="32"/>
          <w:shd w:val="clear" w:fill="FFFFFF"/>
          <w:lang w:val="en-US" w:eastAsia="zh-CN" w:bidi="ar"/>
        </w:rPr>
      </w:pPr>
      <w:bookmarkStart w:id="1" w:name="_Toc9213"/>
      <w:r>
        <w:rPr>
          <w:rFonts w:hint="eastAsia" w:ascii="宋体" w:hAnsi="宋体" w:eastAsia="宋体" w:cs="宋体"/>
          <w:b/>
          <w:bCs/>
          <w:i w:val="0"/>
          <w:iCs w:val="0"/>
          <w:caps w:val="0"/>
          <w:color w:val="auto"/>
          <w:spacing w:val="0"/>
          <w:kern w:val="0"/>
          <w:sz w:val="32"/>
          <w:szCs w:val="32"/>
          <w:shd w:val="clear" w:fill="FFFFFF"/>
          <w:lang w:val="en-US" w:eastAsia="zh-CN" w:bidi="ar"/>
        </w:rPr>
        <w:t>初中理化生实验室操作考试标准化考场建设项目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初中理化生实验室操作考试标准化考场建设项目招标项目的潜在投标人应在《全国公共资源交易平台（陕西省·延安市）》电子招投标系统使用CA锁下载获取招标文件，并于</w:t>
      </w:r>
      <w:r>
        <w:rPr>
          <w:rFonts w:hint="eastAsia" w:ascii="宋体" w:hAnsi="宋体" w:eastAsia="宋体" w:cs="宋体"/>
          <w:i w:val="0"/>
          <w:iCs w:val="0"/>
          <w:caps w:val="0"/>
          <w:color w:val="333333"/>
          <w:spacing w:val="0"/>
          <w:sz w:val="21"/>
          <w:szCs w:val="21"/>
          <w:shd w:val="clear" w:fill="FFFFFF"/>
          <w:lang w:val="en-US" w:eastAsia="zh-CN"/>
        </w:rPr>
        <w:t>2023</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08</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28</w:t>
      </w:r>
      <w:r>
        <w:rPr>
          <w:rFonts w:hint="eastAsia" w:ascii="宋体" w:hAnsi="宋体" w:eastAsia="宋体" w:cs="宋体"/>
          <w:i w:val="0"/>
          <w:iCs w:val="0"/>
          <w:caps w:val="0"/>
          <w:color w:val="333333"/>
          <w:spacing w:val="0"/>
          <w:sz w:val="21"/>
          <w:szCs w:val="21"/>
          <w:shd w:val="clear" w:fill="FFFFFF"/>
        </w:rPr>
        <w:t>日</w:t>
      </w:r>
      <w:r>
        <w:rPr>
          <w:rFonts w:hint="eastAsia" w:ascii="宋体" w:hAnsi="宋体" w:eastAsia="宋体" w:cs="宋体"/>
          <w:i w:val="0"/>
          <w:iCs w:val="0"/>
          <w:caps w:val="0"/>
          <w:color w:val="333333"/>
          <w:spacing w:val="0"/>
          <w:sz w:val="21"/>
          <w:szCs w:val="21"/>
          <w:shd w:val="clear" w:fill="FFFFFF"/>
          <w:lang w:val="en-US" w:eastAsia="zh-CN"/>
        </w:rPr>
        <w:t>15</w:t>
      </w:r>
      <w:r>
        <w:rPr>
          <w:rFonts w:hint="eastAsia" w:ascii="宋体" w:hAnsi="宋体" w:eastAsia="宋体" w:cs="宋体"/>
          <w:i w:val="0"/>
          <w:iCs w:val="0"/>
          <w:caps w:val="0"/>
          <w:color w:val="333333"/>
          <w:spacing w:val="0"/>
          <w:sz w:val="21"/>
          <w:szCs w:val="21"/>
          <w:shd w:val="clear" w:fill="FFFFFF"/>
        </w:rPr>
        <w:t>时</w:t>
      </w:r>
      <w:r>
        <w:rPr>
          <w:rFonts w:hint="eastAsia" w:ascii="宋体" w:hAnsi="宋体" w:eastAsia="宋体" w:cs="宋体"/>
          <w:i w:val="0"/>
          <w:iCs w:val="0"/>
          <w:caps w:val="0"/>
          <w:color w:val="333333"/>
          <w:spacing w:val="0"/>
          <w:sz w:val="21"/>
          <w:szCs w:val="21"/>
          <w:shd w:val="clear" w:fill="FFFFFF"/>
          <w:lang w:val="en-US" w:eastAsia="zh-CN"/>
        </w:rPr>
        <w:t>00</w:t>
      </w:r>
      <w:r>
        <w:rPr>
          <w:rFonts w:hint="eastAsia" w:ascii="宋体" w:hAnsi="宋体" w:eastAsia="宋体" w:cs="宋体"/>
          <w:i w:val="0"/>
          <w:iCs w:val="0"/>
          <w:caps w:val="0"/>
          <w:color w:val="333333"/>
          <w:spacing w:val="0"/>
          <w:sz w:val="21"/>
          <w:szCs w:val="21"/>
          <w:shd w:val="clear" w:fill="FFFFFF"/>
        </w:rPr>
        <w:t>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项目编号：HDCGDL-ZC2023-047</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项目名称：初中理化生实验室操作考试标准化考场建设项目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预算金额：3,848,700.00元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合同包1(初中理化生实验室操作考试标准化考场建设项目):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合同包预算金额：3,848,700.00元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合同包最高限价：3,848,700.00元</w:t>
      </w:r>
    </w:p>
    <w:tbl>
      <w:tblPr>
        <w:tblStyle w:val="24"/>
        <w:tblW w:w="87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9"/>
        <w:gridCol w:w="993"/>
        <w:gridCol w:w="1316"/>
        <w:gridCol w:w="975"/>
        <w:gridCol w:w="1590"/>
        <w:gridCol w:w="156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其他计量仪器</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3848700.00</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3,848,700.00</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3,848,700.00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合同履行期限：自合同签订之日起45日历天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合同包1(初中理化生实验室操作考试标准化考场建设项目)落实政府采购政策需满足的资格要求如下: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合同包1(初中理化生实验室操作考试标准化考场建设项目)特定资格要求如下: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供应商须具有有效的营业执照；（2）提供2022年经会计师事务所审计的财务审计报告或近三个月内银行出具的资信证明；（3）提供2023年1月1日至今已缴纳的至少三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严重失信主体名单的供应商，不得为中国政府采购网政府采购严重违法失信行为记录名单中被财政部门禁止参加政府采购活动的供应商（提供查询截图）；（8）本项目专门面向中小企业采购，供应商为中型、小型、微型企业的需提供《中小企业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时间：时间：202</w:t>
      </w: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08</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07</w:t>
      </w:r>
      <w:r>
        <w:rPr>
          <w:rFonts w:hint="eastAsia" w:ascii="宋体" w:hAnsi="宋体" w:eastAsia="宋体" w:cs="宋体"/>
          <w:i w:val="0"/>
          <w:iCs w:val="0"/>
          <w:caps w:val="0"/>
          <w:color w:val="333333"/>
          <w:spacing w:val="0"/>
          <w:sz w:val="21"/>
          <w:szCs w:val="21"/>
          <w:shd w:val="clear" w:fill="FFFFFF"/>
        </w:rPr>
        <w:t>日至202</w:t>
      </w: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08</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11</w:t>
      </w:r>
      <w:r>
        <w:rPr>
          <w:rFonts w:hint="eastAsia" w:ascii="宋体" w:hAnsi="宋体" w:eastAsia="宋体" w:cs="宋体"/>
          <w:i w:val="0"/>
          <w:iCs w:val="0"/>
          <w:caps w:val="0"/>
          <w:color w:val="333333"/>
          <w:spacing w:val="0"/>
          <w:sz w:val="21"/>
          <w:szCs w:val="21"/>
          <w:shd w:val="clear" w:fill="FFFFFF"/>
        </w:rPr>
        <w:t>日，每天上午08:00:00至12:00:00，下午12:00:00至18:00:00（北京时间）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途径：《全国公共资源交易平台（陕西省·延安市）》电子招投标系统使用CA锁下载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w:t>
      </w:r>
      <w:r>
        <w:rPr>
          <w:rFonts w:hint="eastAsia" w:cs="宋体"/>
          <w:i w:val="0"/>
          <w:iCs w:val="0"/>
          <w:caps w:val="0"/>
          <w:color w:val="auto"/>
          <w:spacing w:val="0"/>
          <w:sz w:val="21"/>
          <w:szCs w:val="21"/>
          <w:shd w:val="clear" w:fill="FFFFFF"/>
          <w:lang w:val="en-US" w:eastAsia="zh-CN"/>
        </w:rPr>
        <w:t>在线</w:t>
      </w:r>
      <w:r>
        <w:rPr>
          <w:rFonts w:hint="eastAsia" w:ascii="宋体" w:hAnsi="宋体" w:eastAsia="宋体" w:cs="宋体"/>
          <w:i w:val="0"/>
          <w:iCs w:val="0"/>
          <w:caps w:val="0"/>
          <w:color w:val="auto"/>
          <w:spacing w:val="0"/>
          <w:sz w:val="21"/>
          <w:szCs w:val="21"/>
          <w:shd w:val="clear" w:fill="FFFFFF"/>
        </w:rPr>
        <w:t>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时间：202</w:t>
      </w: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rPr>
        <w:t>年</w:t>
      </w:r>
      <w:r>
        <w:rPr>
          <w:rFonts w:hint="eastAsia" w:ascii="宋体" w:hAnsi="宋体" w:eastAsia="宋体" w:cs="宋体"/>
          <w:i w:val="0"/>
          <w:iCs w:val="0"/>
          <w:caps w:val="0"/>
          <w:color w:val="333333"/>
          <w:spacing w:val="0"/>
          <w:sz w:val="21"/>
          <w:szCs w:val="21"/>
          <w:shd w:val="clear" w:fill="FFFFFF"/>
          <w:lang w:val="en-US" w:eastAsia="zh-CN"/>
        </w:rPr>
        <w:t>08</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28</w:t>
      </w:r>
      <w:r>
        <w:rPr>
          <w:rFonts w:hint="eastAsia" w:ascii="宋体" w:hAnsi="宋体" w:eastAsia="宋体" w:cs="宋体"/>
          <w:i w:val="0"/>
          <w:iCs w:val="0"/>
          <w:caps w:val="0"/>
          <w:color w:val="333333"/>
          <w:spacing w:val="0"/>
          <w:sz w:val="21"/>
          <w:szCs w:val="21"/>
          <w:shd w:val="clear" w:fill="FFFFFF"/>
        </w:rPr>
        <w:t>日</w:t>
      </w:r>
      <w:r>
        <w:rPr>
          <w:rFonts w:hint="eastAsia" w:ascii="宋体" w:hAnsi="宋体" w:eastAsia="宋体" w:cs="宋体"/>
          <w:i w:val="0"/>
          <w:iCs w:val="0"/>
          <w:caps w:val="0"/>
          <w:color w:val="333333"/>
          <w:spacing w:val="0"/>
          <w:sz w:val="21"/>
          <w:szCs w:val="21"/>
          <w:shd w:val="clear" w:fill="FFFFFF"/>
          <w:lang w:val="en-US" w:eastAsia="zh-CN"/>
        </w:rPr>
        <w:t>15</w:t>
      </w:r>
      <w:r>
        <w:rPr>
          <w:rFonts w:hint="eastAsia" w:ascii="宋体" w:hAnsi="宋体" w:eastAsia="宋体" w:cs="宋体"/>
          <w:i w:val="0"/>
          <w:iCs w:val="0"/>
          <w:caps w:val="0"/>
          <w:color w:val="333333"/>
          <w:spacing w:val="0"/>
          <w:sz w:val="21"/>
          <w:szCs w:val="21"/>
          <w:shd w:val="clear" w:fill="FFFFFF"/>
        </w:rPr>
        <w:t>时</w:t>
      </w:r>
      <w:r>
        <w:rPr>
          <w:rFonts w:hint="eastAsia" w:ascii="宋体" w:hAnsi="宋体" w:eastAsia="宋体" w:cs="宋体"/>
          <w:i w:val="0"/>
          <w:iCs w:val="0"/>
          <w:caps w:val="0"/>
          <w:color w:val="333333"/>
          <w:spacing w:val="0"/>
          <w:sz w:val="21"/>
          <w:szCs w:val="21"/>
          <w:shd w:val="clear" w:fill="FFFFFF"/>
          <w:lang w:val="en-US" w:eastAsia="zh-CN"/>
        </w:rPr>
        <w:t>00</w:t>
      </w:r>
      <w:r>
        <w:rPr>
          <w:rFonts w:hint="eastAsia" w:ascii="宋体" w:hAnsi="宋体" w:eastAsia="宋体" w:cs="宋体"/>
          <w:i w:val="0"/>
          <w:iCs w:val="0"/>
          <w:caps w:val="0"/>
          <w:color w:val="333333"/>
          <w:spacing w:val="0"/>
          <w:sz w:val="21"/>
          <w:szCs w:val="21"/>
          <w:shd w:val="clear" w:fill="FFFFFF"/>
        </w:rPr>
        <w:t>分</w:t>
      </w:r>
      <w:r>
        <w:rPr>
          <w:rFonts w:hint="eastAsia" w:ascii="宋体" w:hAnsi="宋体" w:eastAsia="宋体" w:cs="宋体"/>
          <w:i w:val="0"/>
          <w:iCs w:val="0"/>
          <w:caps w:val="0"/>
          <w:color w:val="333333"/>
          <w:spacing w:val="0"/>
          <w:sz w:val="21"/>
          <w:szCs w:val="21"/>
          <w:shd w:val="clear" w:fill="FFFFFF"/>
          <w:lang w:val="en-US" w:eastAsia="zh-CN"/>
        </w:rPr>
        <w:t>00</w:t>
      </w:r>
      <w:r>
        <w:rPr>
          <w:rFonts w:hint="eastAsia" w:ascii="宋体" w:hAnsi="宋体" w:eastAsia="宋体" w:cs="宋体"/>
          <w:i w:val="0"/>
          <w:iCs w:val="0"/>
          <w:caps w:val="0"/>
          <w:color w:val="333333"/>
          <w:spacing w:val="0"/>
          <w:sz w:val="21"/>
          <w:szCs w:val="21"/>
          <w:shd w:val="clear" w:fill="FFFFFF"/>
        </w:rPr>
        <w:t>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提交投标文件地点：延安市公共资源交易中心交易</w:t>
      </w:r>
      <w:r>
        <w:rPr>
          <w:rFonts w:hint="eastAsia" w:ascii="宋体" w:hAnsi="宋体" w:eastAsia="宋体" w:cs="宋体"/>
          <w:i w:val="0"/>
          <w:iCs w:val="0"/>
          <w:caps w:val="0"/>
          <w:color w:val="333333"/>
          <w:spacing w:val="0"/>
          <w:sz w:val="21"/>
          <w:szCs w:val="21"/>
          <w:shd w:val="clear" w:fill="FFFFFF"/>
          <w:lang w:val="en-US" w:eastAsia="zh-CN"/>
        </w:rPr>
        <w:t>五</w:t>
      </w:r>
      <w:r>
        <w:rPr>
          <w:rFonts w:hint="eastAsia" w:ascii="宋体" w:hAnsi="宋体" w:eastAsia="宋体" w:cs="宋体"/>
          <w:i w:val="0"/>
          <w:iCs w:val="0"/>
          <w:caps w:val="0"/>
          <w:color w:val="333333"/>
          <w:spacing w:val="0"/>
          <w:sz w:val="21"/>
          <w:szCs w:val="21"/>
          <w:shd w:val="clear" w:fill="FFFFFF"/>
        </w:rPr>
        <w:t>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开标地点：延安市公共资源交易中心交易</w:t>
      </w:r>
      <w:r>
        <w:rPr>
          <w:rFonts w:hint="eastAsia" w:ascii="宋体" w:hAnsi="宋体" w:eastAsia="宋体" w:cs="宋体"/>
          <w:i w:val="0"/>
          <w:iCs w:val="0"/>
          <w:caps w:val="0"/>
          <w:color w:val="333333"/>
          <w:spacing w:val="0"/>
          <w:sz w:val="21"/>
          <w:szCs w:val="21"/>
          <w:shd w:val="clear" w:fill="FFFFFF"/>
          <w:lang w:val="en-US" w:eastAsia="zh-CN"/>
        </w:rPr>
        <w:t>五</w:t>
      </w:r>
      <w:r>
        <w:rPr>
          <w:rFonts w:hint="eastAsia" w:ascii="宋体" w:hAnsi="宋体" w:eastAsia="宋体" w:cs="宋体"/>
          <w:i w:val="0"/>
          <w:iCs w:val="0"/>
          <w:caps w:val="0"/>
          <w:color w:val="333333"/>
          <w:spacing w:val="0"/>
          <w:sz w:val="21"/>
          <w:szCs w:val="21"/>
          <w:shd w:val="clear" w:fill="FFFFFF"/>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w:t>
      </w:r>
      <w:r>
        <w:rPr>
          <w:rFonts w:hint="eastAsia" w:ascii="宋体" w:hAnsi="宋体" w:eastAsia="宋体" w:cs="宋体"/>
          <w:i w:val="0"/>
          <w:iCs w:val="0"/>
          <w:caps w:val="0"/>
          <w:color w:val="auto"/>
          <w:spacing w:val="0"/>
          <w:sz w:val="21"/>
          <w:szCs w:val="21"/>
          <w:shd w:val="clear" w:fill="FFFFFF"/>
        </w:rPr>
        <w:t>起5</w:t>
      </w:r>
      <w:r>
        <w:rPr>
          <w:rFonts w:hint="eastAsia" w:ascii="宋体" w:hAnsi="宋体" w:eastAsia="宋体" w:cs="宋体"/>
          <w:i w:val="0"/>
          <w:iCs w:val="0"/>
          <w:caps w:val="0"/>
          <w:color w:val="333333"/>
          <w:spacing w:val="0"/>
          <w:sz w:val="21"/>
          <w:szCs w:val="21"/>
          <w:shd w:val="clear" w:fill="FFFFFF"/>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1、凡有意参与的供应商请于2023年</w:t>
      </w:r>
      <w:r>
        <w:rPr>
          <w:rFonts w:hint="eastAsia" w:ascii="宋体" w:hAnsi="宋体" w:eastAsia="宋体" w:cs="宋体"/>
          <w:i w:val="0"/>
          <w:iCs w:val="0"/>
          <w:caps w:val="0"/>
          <w:color w:val="000000"/>
          <w:spacing w:val="0"/>
          <w:sz w:val="21"/>
          <w:szCs w:val="21"/>
          <w:shd w:val="clear" w:fill="FFFFFF"/>
          <w:lang w:val="en-US" w:eastAsia="zh-CN"/>
        </w:rPr>
        <w:t>08</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07</w:t>
      </w:r>
      <w:r>
        <w:rPr>
          <w:rFonts w:hint="eastAsia" w:ascii="宋体" w:hAnsi="宋体" w:eastAsia="宋体" w:cs="宋体"/>
          <w:i w:val="0"/>
          <w:iCs w:val="0"/>
          <w:caps w:val="0"/>
          <w:color w:val="000000"/>
          <w:spacing w:val="0"/>
          <w:sz w:val="21"/>
          <w:szCs w:val="21"/>
          <w:shd w:val="clear" w:fill="FFFFFF"/>
        </w:rPr>
        <w:t>日至2023年</w:t>
      </w:r>
      <w:r>
        <w:rPr>
          <w:rFonts w:hint="eastAsia" w:ascii="宋体" w:hAnsi="宋体" w:eastAsia="宋体" w:cs="宋体"/>
          <w:i w:val="0"/>
          <w:iCs w:val="0"/>
          <w:caps w:val="0"/>
          <w:color w:val="000000"/>
          <w:spacing w:val="0"/>
          <w:sz w:val="21"/>
          <w:szCs w:val="21"/>
          <w:shd w:val="clear" w:fill="FFFFFF"/>
          <w:lang w:val="en-US" w:eastAsia="zh-CN"/>
        </w:rPr>
        <w:t>08</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11</w:t>
      </w:r>
      <w:r>
        <w:rPr>
          <w:rFonts w:hint="eastAsia" w:ascii="宋体" w:hAnsi="宋体" w:eastAsia="宋体" w:cs="宋体"/>
          <w:i w:val="0"/>
          <w:iCs w:val="0"/>
          <w:caps w:val="0"/>
          <w:color w:val="000000"/>
          <w:spacing w:val="0"/>
          <w:sz w:val="21"/>
          <w:szCs w:val="21"/>
          <w:shd w:val="clear" w:fill="FFFFFF"/>
        </w:rPr>
        <w:t>日使用CA锁在全国公共资源交易平台（陕西省·延安市）选择电子交易平台中的陕西政府采购交易系统进行登录，登录后选择“交易乙方”身份进入供应商界面进行报名网上报名,报名成功后在《全国公共资源交易平台（陕西省·延安市）》免费下载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2、逾期送达或者未送达指定地点的投标文件，采购人不予受理。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3、本次招标公告在《陕西省政府采购网》、《全国公共资源交易平台（陕西省.延安市）》媒介上发布。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4、请供应商按照陕西省财政厅关于政府采购供应商注册登记有关事项的通知中的要求，通过陕西省政府采购网注册登记加入陕西省政府采购供应商库。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名称：宜川县初级中学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地址：宜川县北大街4号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联系方式：13892117763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名称：华鼎工程咨询集团有限公司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地址：延安市枣园路圣都花园C区10楼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联系方式：0911-8269168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项目联系人：刘海霞</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电话：18091133200</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center"/>
        <w:textAlignment w:val="auto"/>
        <w:outlineLvl w:val="0"/>
        <w:rPr>
          <w:rFonts w:hint="eastAsia" w:asciiTheme="minorEastAsia" w:hAnsiTheme="minorEastAsia" w:eastAsiaTheme="minorEastAsia" w:cstheme="minorEastAsia"/>
          <w:b/>
          <w:bCs/>
          <w:sz w:val="28"/>
          <w:szCs w:val="32"/>
        </w:rPr>
        <w:sectPr>
          <w:headerReference r:id="rId11" w:type="first"/>
          <w:footerReference r:id="rId13" w:type="first"/>
          <w:headerReference r:id="rId10" w:type="default"/>
          <w:footerReference r:id="rId12" w:type="default"/>
          <w:pgSz w:w="11906" w:h="16838"/>
          <w:pgMar w:top="1440" w:right="1080" w:bottom="1440" w:left="1080" w:header="851" w:footer="850"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第二部分  供应商须知</w:t>
      </w:r>
      <w:bookmarkEnd w:id="1"/>
    </w:p>
    <w:p>
      <w:pPr>
        <w:pageBreakBefore w:val="0"/>
        <w:bidi w:val="0"/>
        <w:spacing w:line="460" w:lineRule="exact"/>
        <w:jc w:val="left"/>
        <w:outlineLvl w:val="9"/>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供应商须知前附表</w:t>
      </w:r>
    </w:p>
    <w:tbl>
      <w:tblPr>
        <w:tblStyle w:val="24"/>
        <w:tblW w:w="977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977"/>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条款名称</w:t>
            </w:r>
          </w:p>
        </w:tc>
        <w:tc>
          <w:tcPr>
            <w:tcW w:w="6907" w:type="dxa"/>
          </w:tcPr>
          <w:p>
            <w:pPr>
              <w:pageBreakBefore w:val="0"/>
              <w:bidi w:val="0"/>
              <w:spacing w:line="460" w:lineRule="exact"/>
              <w:jc w:val="center"/>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907" w:type="dxa"/>
          </w:tcPr>
          <w:p>
            <w:pPr>
              <w:pageBreakBefore w:val="0"/>
              <w:bidi w:val="0"/>
              <w:spacing w:line="360" w:lineRule="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宜川县初级中学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地址：宜川县北大街4号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联系人：潘超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right="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i w:val="0"/>
                <w:iCs w:val="0"/>
                <w:caps w:val="0"/>
                <w:color w:val="auto"/>
                <w:spacing w:val="0"/>
                <w:sz w:val="24"/>
                <w:szCs w:val="24"/>
                <w:shd w:val="clear" w:fill="FFFFFF"/>
              </w:rPr>
              <w:t>13892117763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6907" w:type="dxa"/>
          </w:tcPr>
          <w:p>
            <w:pPr>
              <w:pageBreakBefore w:val="0"/>
              <w:bidi w:val="0"/>
              <w:spacing w:line="460" w:lineRule="exac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华鼎工程咨询集团有限公司</w:t>
            </w:r>
          </w:p>
          <w:p>
            <w:pPr>
              <w:pageBreakBefore w:val="0"/>
              <w:bidi w:val="0"/>
              <w:spacing w:line="460" w:lineRule="exac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延安市枣园路圣都花园C区10楼</w:t>
            </w:r>
          </w:p>
          <w:p>
            <w:pPr>
              <w:pageBreakBefore w:val="0"/>
              <w:bidi w:val="0"/>
              <w:spacing w:line="460" w:lineRule="exac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宋体" w:hAnsi="宋体" w:cs="宋体"/>
                <w:color w:val="auto"/>
                <w:sz w:val="24"/>
                <w:szCs w:val="24"/>
                <w:lang w:val="en-US" w:eastAsia="zh-CN"/>
              </w:rPr>
              <w:t>刘海霞</w:t>
            </w:r>
          </w:p>
          <w:p>
            <w:pPr>
              <w:pageBreakBefore w:val="0"/>
              <w:bidi w:val="0"/>
              <w:spacing w:line="460" w:lineRule="exact"/>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宋体" w:hAnsi="宋体" w:cs="宋体"/>
                <w:color w:val="auto"/>
                <w:sz w:val="24"/>
                <w:szCs w:val="24"/>
                <w:lang w:val="en-US" w:eastAsia="zh-CN"/>
              </w:rPr>
              <w:t>18091133200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907" w:type="dxa"/>
          </w:tcPr>
          <w:p>
            <w:pPr>
              <w:pageBreakBefore w:val="0"/>
              <w:bidi w:val="0"/>
              <w:spacing w:line="460" w:lineRule="exact"/>
              <w:outlineLvl w:val="9"/>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z w:val="24"/>
                <w:szCs w:val="24"/>
                <w:lang w:eastAsia="zh-CN"/>
              </w:rPr>
              <w:t>初中理化生实验室操作考试标准化考场建设项目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6907" w:type="dxa"/>
          </w:tcPr>
          <w:p>
            <w:pPr>
              <w:pageBreakBefore w:val="0"/>
              <w:bidi w:val="0"/>
              <w:spacing w:line="460" w:lineRule="exact"/>
              <w:outlineLvl w:val="9"/>
              <w:rPr>
                <w:rFonts w:hint="default" w:eastAsia="宋体" w:asciiTheme="minorEastAsia" w:hAnsiTheme="minorEastAsia" w:cstheme="minorEastAsia"/>
                <w:sz w:val="24"/>
                <w:szCs w:val="24"/>
                <w:highlight w:val="yellow"/>
                <w:lang w:val="en-US" w:eastAsia="zh-CN"/>
              </w:rPr>
            </w:pPr>
            <w:r>
              <w:rPr>
                <w:rFonts w:hint="default" w:asciiTheme="minorEastAsia" w:hAnsiTheme="minorEastAsia" w:eastAsiaTheme="minorEastAsia" w:cstheme="minorEastAsia"/>
                <w:sz w:val="24"/>
                <w:szCs w:val="24"/>
                <w:lang w:val="en-US" w:eastAsia="zh-CN"/>
              </w:rPr>
              <w:t>HDCGDL-ZC2023-047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项目性质</w:t>
            </w:r>
          </w:p>
        </w:tc>
        <w:tc>
          <w:tcPr>
            <w:tcW w:w="6907" w:type="dxa"/>
          </w:tcPr>
          <w:p>
            <w:pPr>
              <w:pageBreakBefore w:val="0"/>
              <w:bidi w:val="0"/>
              <w:spacing w:line="460" w:lineRule="exact"/>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采购项目预算</w:t>
            </w:r>
          </w:p>
        </w:tc>
        <w:tc>
          <w:tcPr>
            <w:tcW w:w="6907" w:type="dxa"/>
          </w:tcPr>
          <w:p>
            <w:pPr>
              <w:pageBreakBefore w:val="0"/>
              <w:bidi w:val="0"/>
              <w:spacing w:line="460" w:lineRule="exact"/>
              <w:outlineLvl w:val="9"/>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本项目采购预算价：</w:t>
            </w:r>
            <w:r>
              <w:rPr>
                <w:rFonts w:hint="eastAsia" w:ascii="宋体" w:hAnsi="宋体" w:eastAsia="宋体" w:cs="宋体"/>
                <w:i w:val="0"/>
                <w:iCs w:val="0"/>
                <w:caps w:val="0"/>
                <w:color w:val="auto"/>
                <w:spacing w:val="0"/>
                <w:sz w:val="24"/>
                <w:szCs w:val="24"/>
                <w:shd w:val="clear" w:fill="FFFFFF"/>
              </w:rPr>
              <w:t>3848700.00</w:t>
            </w:r>
            <w:r>
              <w:rPr>
                <w:rFonts w:hint="eastAsia" w:asciiTheme="minorEastAsia" w:hAnsiTheme="minorEastAsia" w:eastAsiaTheme="minorEastAsia" w:cstheme="minorEastAsia"/>
                <w:bCs/>
                <w:sz w:val="24"/>
                <w:szCs w:val="24"/>
              </w:rPr>
              <w:t>元。</w:t>
            </w:r>
          </w:p>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供应商报价超出采购项目预算，按无效投标处理。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项目用途</w:t>
            </w:r>
          </w:p>
        </w:tc>
        <w:tc>
          <w:tcPr>
            <w:tcW w:w="6907" w:type="dxa"/>
          </w:tcPr>
          <w:p>
            <w:pPr>
              <w:pageBreakBefore w:val="0"/>
              <w:bidi w:val="0"/>
              <w:spacing w:line="460" w:lineRule="exact"/>
              <w:outlineLvl w:val="9"/>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初中理化生实验室操作考试标准化考场建设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采购内容</w:t>
            </w:r>
          </w:p>
        </w:tc>
        <w:tc>
          <w:tcPr>
            <w:tcW w:w="6907" w:type="dxa"/>
            <w:vAlign w:val="center"/>
          </w:tcPr>
          <w:p>
            <w:pPr>
              <w:pageBreakBefore w:val="0"/>
              <w:bidi w:val="0"/>
              <w:spacing w:line="460" w:lineRule="exact"/>
              <w:jc w:val="left"/>
              <w:outlineLvl w:val="9"/>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Cs/>
                <w:sz w:val="24"/>
                <w:szCs w:val="24"/>
                <w:lang w:val="en-US" w:eastAsia="zh-CN"/>
              </w:rPr>
              <w:t>初中物理、化学和生物试验操作考试标准化考场、理化生备考室、侯考室、化学危险品室、考务管理平台、考点管理平台。（具体详见采购清单）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交货</w:t>
            </w:r>
            <w:r>
              <w:rPr>
                <w:rFonts w:hint="eastAsia" w:asciiTheme="minorEastAsia" w:hAnsiTheme="minorEastAsia" w:eastAsiaTheme="minorEastAsia" w:cstheme="minorEastAsia"/>
                <w:sz w:val="24"/>
                <w:szCs w:val="24"/>
              </w:rPr>
              <w:t>期</w:t>
            </w:r>
          </w:p>
        </w:tc>
        <w:tc>
          <w:tcPr>
            <w:tcW w:w="6907" w:type="dxa"/>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kern w:val="2"/>
                <w:sz w:val="24"/>
                <w:szCs w:val="24"/>
                <w:lang w:val="en-US" w:eastAsia="zh-CN" w:bidi="ar-SA"/>
              </w:rPr>
              <w:t>自合同签订之日起45日历天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招标文件发售</w:t>
            </w:r>
          </w:p>
        </w:tc>
        <w:tc>
          <w:tcPr>
            <w:tcW w:w="6907" w:type="dxa"/>
          </w:tcPr>
          <w:p>
            <w:pPr>
              <w:pStyle w:val="33"/>
              <w:pageBreakBefore w:val="0"/>
              <w:bidi w:val="0"/>
              <w:spacing w:line="460" w:lineRule="exact"/>
              <w:outlineLvl w:val="9"/>
              <w:rPr>
                <w:rFonts w:hint="eastAsia" w:eastAsia="宋体" w:asciiTheme="minorEastAsia" w:hAnsi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2023年08月07日至2023年08月11日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6907" w:type="dxa"/>
            <w:vAlign w:val="center"/>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现场勘查、标前答疑会</w:t>
            </w:r>
          </w:p>
        </w:tc>
        <w:tc>
          <w:tcPr>
            <w:tcW w:w="6907" w:type="dxa"/>
            <w:vAlign w:val="center"/>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供应商对招标文件提出质疑的时间</w:t>
            </w:r>
          </w:p>
        </w:tc>
        <w:tc>
          <w:tcPr>
            <w:tcW w:w="6907" w:type="dxa"/>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供应商若对招标文件有质疑的，在投标截止时间10日前，以书面形式向采购代理机构提出，在此之后提出的质疑无效。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构成招标文件的其他文件</w:t>
            </w:r>
          </w:p>
        </w:tc>
        <w:tc>
          <w:tcPr>
            <w:tcW w:w="6907" w:type="dxa"/>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977" w:type="dxa"/>
            <w:vAlign w:val="center"/>
          </w:tcPr>
          <w:p>
            <w:pPr>
              <w:pStyle w:val="33"/>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投标文件截止时间及开标时间和地点</w:t>
            </w:r>
          </w:p>
        </w:tc>
        <w:tc>
          <w:tcPr>
            <w:tcW w:w="6907" w:type="dxa"/>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递交</w:t>
            </w:r>
            <w:r>
              <w:rPr>
                <w:rFonts w:hint="eastAsia" w:asciiTheme="minorEastAsia" w:hAnsiTheme="minorEastAsia" w:eastAsiaTheme="minorEastAsia" w:cstheme="minorEastAsia"/>
                <w:sz w:val="24"/>
                <w:szCs w:val="24"/>
              </w:rPr>
              <w:t>投标文件截止时间：</w:t>
            </w:r>
            <w:r>
              <w:rPr>
                <w:rFonts w:hint="eastAsia" w:asciiTheme="minorEastAsia" w:hAnsiTheme="minorEastAsia" w:eastAsiaTheme="minorEastAsia" w:cstheme="minorEastAsia"/>
                <w:kern w:val="2"/>
                <w:sz w:val="24"/>
                <w:szCs w:val="24"/>
                <w:lang w:val="en-US" w:eastAsia="zh-CN" w:bidi="ar-SA"/>
              </w:rPr>
              <w:t>2023年08月28日15时00分</w:t>
            </w:r>
            <w:r>
              <w:rPr>
                <w:rFonts w:hint="eastAsia" w:asciiTheme="minorEastAsia" w:hAnsiTheme="minorEastAsia" w:eastAsiaTheme="minorEastAsia" w:cstheme="minorEastAsia"/>
                <w:sz w:val="24"/>
                <w:szCs w:val="24"/>
              </w:rPr>
              <w:t>。</w:t>
            </w:r>
          </w:p>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2、投标文件开启时间：</w:t>
            </w:r>
            <w:r>
              <w:rPr>
                <w:rFonts w:hint="eastAsia" w:asciiTheme="minorEastAsia" w:hAnsiTheme="minorEastAsia" w:eastAsiaTheme="minorEastAsia" w:cstheme="minorEastAsia"/>
                <w:kern w:val="2"/>
                <w:sz w:val="24"/>
                <w:szCs w:val="24"/>
                <w:lang w:val="en-US" w:eastAsia="zh-CN" w:bidi="ar-SA"/>
              </w:rPr>
              <w:t>2023年08月28日15时00分</w:t>
            </w:r>
            <w:r>
              <w:rPr>
                <w:rFonts w:hint="eastAsia" w:asciiTheme="minorEastAsia" w:hAnsiTheme="minorEastAsia" w:eastAsiaTheme="minorEastAsia" w:cstheme="minorEastAsia"/>
                <w:sz w:val="24"/>
                <w:szCs w:val="24"/>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50" w:lineRule="exact"/>
              <w:ind w:right="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w:t>
            </w:r>
            <w:r>
              <w:rPr>
                <w:rFonts w:hint="eastAsia" w:asciiTheme="minorEastAsia" w:hAnsiTheme="minorEastAsia" w:eastAsiaTheme="minorEastAsia" w:cstheme="minorEastAsia"/>
                <w:sz w:val="24"/>
                <w:szCs w:val="24"/>
                <w:lang w:val="en-US" w:eastAsia="zh-CN"/>
              </w:rPr>
              <w:t>文件递交</w:t>
            </w:r>
            <w:r>
              <w:rPr>
                <w:rFonts w:hint="eastAsia" w:asciiTheme="minorEastAsia" w:hAnsiTheme="minorEastAsia" w:eastAsiaTheme="minorEastAsia" w:cstheme="minorEastAsia"/>
                <w:sz w:val="24"/>
                <w:szCs w:val="24"/>
              </w:rPr>
              <w:t>地点：</w:t>
            </w:r>
            <w:r>
              <w:rPr>
                <w:rFonts w:hint="eastAsia" w:ascii="宋体" w:hAnsi="宋体" w:eastAsia="宋体" w:cs="宋体"/>
                <w:i w:val="0"/>
                <w:iCs w:val="0"/>
                <w:caps w:val="0"/>
                <w:color w:val="auto"/>
                <w:spacing w:val="0"/>
                <w:kern w:val="0"/>
                <w:sz w:val="24"/>
                <w:szCs w:val="24"/>
                <w:shd w:val="clear" w:fill="FFFFFF"/>
                <w:lang w:val="en-US" w:eastAsia="zh-CN" w:bidi="ar"/>
              </w:rPr>
              <w:t>纸质版递交至延安市公共资源交易中心交易</w:t>
            </w:r>
            <w:r>
              <w:rPr>
                <w:rFonts w:hint="eastAsia" w:cs="宋体"/>
                <w:i w:val="0"/>
                <w:iCs w:val="0"/>
                <w:caps w:val="0"/>
                <w:color w:val="auto"/>
                <w:spacing w:val="0"/>
                <w:kern w:val="0"/>
                <w:sz w:val="24"/>
                <w:szCs w:val="24"/>
                <w:shd w:val="clear" w:fill="FFFFFF"/>
                <w:lang w:val="en-US" w:eastAsia="zh-CN" w:bidi="ar"/>
              </w:rPr>
              <w:t>五</w:t>
            </w:r>
            <w:r>
              <w:rPr>
                <w:rFonts w:hint="eastAsia" w:ascii="宋体" w:hAnsi="宋体" w:eastAsia="宋体" w:cs="宋体"/>
                <w:i w:val="0"/>
                <w:iCs w:val="0"/>
                <w:caps w:val="0"/>
                <w:color w:val="auto"/>
                <w:spacing w:val="0"/>
                <w:kern w:val="0"/>
                <w:sz w:val="24"/>
                <w:szCs w:val="24"/>
                <w:shd w:val="clear" w:fill="FFFFFF"/>
                <w:lang w:val="en-US" w:eastAsia="zh-CN" w:bidi="ar"/>
              </w:rPr>
              <w:t>厅，电子版上传至《全国公共资源交易平台（陕西省·延安市）》电子招投标系统</w:t>
            </w:r>
            <w:r>
              <w:rPr>
                <w:rFonts w:hint="eastAsia" w:ascii="宋体" w:hAnsi="宋体" w:eastAsia="宋体" w:cs="宋体"/>
                <w:color w:val="auto"/>
                <w:sz w:val="24"/>
                <w:szCs w:val="24"/>
              </w:rPr>
              <w:t xml:space="preserve"> </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6907" w:type="dxa"/>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自开标之日起90个日历天。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977" w:type="dxa"/>
            <w:vAlign w:val="center"/>
          </w:tcPr>
          <w:p>
            <w:pPr>
              <w:pageBreakBefore w:val="0"/>
              <w:bidi w:val="0"/>
              <w:spacing w:line="400" w:lineRule="exact"/>
              <w:jc w:val="center"/>
              <w:outlineLvl w:val="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p>
        </w:tc>
        <w:tc>
          <w:tcPr>
            <w:tcW w:w="6907" w:type="dxa"/>
            <w:vAlign w:val="center"/>
          </w:tcPr>
          <w:p>
            <w:pPr>
              <w:pageBreakBefore w:val="0"/>
              <w:bidi w:val="0"/>
              <w:spacing w:line="460" w:lineRule="exac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提交投标保证金采用银行保函、银行汇票、转账等形式。</w:t>
            </w:r>
          </w:p>
          <w:p>
            <w:pPr>
              <w:pageBreakBefore w:val="0"/>
              <w:bidi w:val="0"/>
              <w:spacing w:line="460" w:lineRule="exac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投标保证金的金额为：￥10000.00元（壹万元整）</w:t>
            </w:r>
          </w:p>
          <w:p>
            <w:pPr>
              <w:pageBreakBefore w:val="0"/>
              <w:bidi w:val="0"/>
              <w:spacing w:line="460" w:lineRule="exac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保证金提交账户名称：华鼎工程咨询集团有限公司</w:t>
            </w:r>
          </w:p>
          <w:p>
            <w:pPr>
              <w:pageBreakBefore w:val="0"/>
              <w:bidi w:val="0"/>
              <w:spacing w:line="460" w:lineRule="exac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开户银行：工行延安分行兰家坪支行</w:t>
            </w:r>
          </w:p>
          <w:p>
            <w:pPr>
              <w:pageBreakBefore w:val="0"/>
              <w:bidi w:val="0"/>
              <w:spacing w:line="460" w:lineRule="exac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    号：2609011719280016380 </w:t>
            </w:r>
          </w:p>
          <w:p>
            <w:pPr>
              <w:pageBreakBefore w:val="0"/>
              <w:bidi w:val="0"/>
              <w:spacing w:line="460" w:lineRule="exact"/>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z w:val="24"/>
                <w:szCs w:val="24"/>
              </w:rPr>
              <w:t>重要提示：缴纳凭证注明：（项目名称） 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备选投标方案</w:t>
            </w:r>
          </w:p>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和报价</w:t>
            </w:r>
          </w:p>
        </w:tc>
        <w:tc>
          <w:tcPr>
            <w:tcW w:w="6907" w:type="dxa"/>
            <w:vAlign w:val="center"/>
          </w:tcPr>
          <w:p>
            <w:pPr>
              <w:pageBreakBefore w:val="0"/>
              <w:tabs>
                <w:tab w:val="left" w:pos="7013"/>
              </w:tabs>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盖章签字</w:t>
            </w:r>
          </w:p>
        </w:tc>
        <w:tc>
          <w:tcPr>
            <w:tcW w:w="6907" w:type="dxa"/>
            <w:vAlign w:val="center"/>
          </w:tcPr>
          <w:p>
            <w:pPr>
              <w:pageBreakBefore w:val="0"/>
              <w:tabs>
                <w:tab w:val="left" w:pos="7013"/>
              </w:tabs>
              <w:bidi w:val="0"/>
              <w:spacing w:line="460" w:lineRule="exac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招标文件要求指定位置“签字或盖章”的，投标人只要一项内容即可。</w:t>
            </w:r>
          </w:p>
          <w:p>
            <w:pPr>
              <w:pageBreakBefore w:val="0"/>
              <w:tabs>
                <w:tab w:val="left" w:pos="7013"/>
              </w:tabs>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招标文件要求指定位置“签字和盖章”的，投标人必须既签字又盖章。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pacing w:val="-30"/>
                <w:sz w:val="24"/>
                <w:szCs w:val="24"/>
              </w:rPr>
            </w:pPr>
            <w:r>
              <w:rPr>
                <w:rFonts w:hint="eastAsia" w:asciiTheme="minorEastAsia" w:hAnsiTheme="minorEastAsia" w:eastAsiaTheme="minorEastAsia" w:cstheme="minorEastAsia"/>
                <w:spacing w:val="-30"/>
                <w:sz w:val="24"/>
                <w:szCs w:val="24"/>
              </w:rPr>
              <w:t>投标文件数量、</w:t>
            </w:r>
          </w:p>
          <w:p>
            <w:pPr>
              <w:pageBreakBefore w:val="0"/>
              <w:bidi w:val="0"/>
              <w:spacing w:line="460" w:lineRule="exact"/>
              <w:jc w:val="center"/>
              <w:outlineLvl w:val="9"/>
              <w:rPr>
                <w:rFonts w:asciiTheme="minorEastAsia" w:hAnsiTheme="minorEastAsia" w:eastAsiaTheme="minorEastAsia" w:cstheme="minorEastAsia"/>
                <w:spacing w:val="-30"/>
                <w:sz w:val="24"/>
                <w:szCs w:val="24"/>
              </w:rPr>
            </w:pPr>
            <w:r>
              <w:rPr>
                <w:rFonts w:hint="eastAsia" w:asciiTheme="minorEastAsia" w:hAnsiTheme="minorEastAsia" w:eastAsiaTheme="minorEastAsia" w:cstheme="minorEastAsia"/>
                <w:spacing w:val="-30"/>
                <w:sz w:val="24"/>
                <w:szCs w:val="24"/>
              </w:rPr>
              <w:t>装订</w:t>
            </w:r>
          </w:p>
        </w:tc>
        <w:tc>
          <w:tcPr>
            <w:tcW w:w="6907" w:type="dxa"/>
            <w:vAlign w:val="center"/>
          </w:tcPr>
          <w:p>
            <w:pPr>
              <w:pageBreakBefore w:val="0"/>
              <w:bidi w:val="0"/>
              <w:spacing w:line="460" w:lineRule="exact"/>
              <w:outlineLvl w:val="9"/>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投标文件一律采用胶装方式装订。投标文件正本一份，副本二份，电子文件（U盘）</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份，投标报价一览表一份。投标文件的正本和副本均须A4纸打印，并编制目录和页码。正、副本分别各自装订成册，单独密封，电子文件和投标报价一览表密封在同一标袋内。</w:t>
            </w:r>
            <w:r>
              <w:rPr>
                <w:rFonts w:hint="eastAsia" w:asciiTheme="minorEastAsia" w:hAnsiTheme="minorEastAsia" w:eastAsiaTheme="minorEastAsia" w:cstheme="minorEastAsia"/>
                <w:b/>
                <w:sz w:val="24"/>
                <w:szCs w:val="24"/>
              </w:rPr>
              <w:t>对未按招标文件要求方式装订和递交的投标文件，将作为无效投标文件。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977" w:type="dxa"/>
            <w:vAlign w:val="center"/>
          </w:tcPr>
          <w:p>
            <w:pPr>
              <w:pageBreakBefore w:val="0"/>
              <w:bidi w:val="0"/>
              <w:spacing w:line="240" w:lineRule="auto"/>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评标办法及</w:t>
            </w:r>
          </w:p>
          <w:p>
            <w:pPr>
              <w:pageBreakBefore w:val="0"/>
              <w:bidi w:val="0"/>
              <w:spacing w:line="240" w:lineRule="auto"/>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w:t>
            </w:r>
          </w:p>
        </w:tc>
        <w:tc>
          <w:tcPr>
            <w:tcW w:w="6907" w:type="dxa"/>
            <w:vAlign w:val="center"/>
          </w:tcPr>
          <w:p>
            <w:pPr>
              <w:pStyle w:val="33"/>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服务费</w:t>
            </w:r>
          </w:p>
        </w:tc>
        <w:tc>
          <w:tcPr>
            <w:tcW w:w="6907" w:type="dxa"/>
            <w:vAlign w:val="center"/>
          </w:tcPr>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招标代理服务费： </w:t>
            </w:r>
          </w:p>
          <w:p>
            <w:pPr>
              <w:pageBreakBefore w:val="0"/>
              <w:bidi w:val="0"/>
              <w:spacing w:line="460" w:lineRule="exact"/>
              <w:outlineLvl w:val="9"/>
              <w:rPr>
                <w:rFonts w:asciiTheme="minorEastAsia" w:hAnsiTheme="minorEastAsia" w:eastAsiaTheme="minorEastAsia" w:cstheme="minorEastAsia"/>
                <w:sz w:val="24"/>
                <w:szCs w:val="24"/>
              </w:rPr>
            </w:pPr>
            <w:bookmarkStart w:id="2" w:name="OLE_LINK10"/>
            <w:bookmarkStart w:id="3" w:name="OLE_LINK9"/>
            <w:r>
              <w:rPr>
                <w:rFonts w:hint="eastAsia" w:asciiTheme="minorEastAsia" w:hAnsiTheme="minorEastAsia" w:eastAsiaTheme="minorEastAsia" w:cstheme="minorEastAsia"/>
                <w:sz w:val="24"/>
                <w:szCs w:val="24"/>
              </w:rPr>
              <w:t>参照国家计委颁发的《招标代理服务收费管理暂行办法》（计价格[2002]1980号）和国家发展改革委员会办公厅颁发的《关于招标代理服务收费有关问题的通知》（发改办价格[2003]857号）的有关规定执行。</w:t>
            </w:r>
            <w:bookmarkEnd w:id="2"/>
            <w:bookmarkEnd w:id="3"/>
            <w:r>
              <w:rPr>
                <w:rFonts w:hint="eastAsia" w:asciiTheme="minorEastAsia" w:hAnsiTheme="minorEastAsia" w:eastAsiaTheme="minorEastAsia" w:cstheme="minorEastAsia"/>
                <w:sz w:val="24"/>
                <w:szCs w:val="24"/>
              </w:rPr>
              <w:t>由中标人承担招标代理服务费，中标人在领取中标通知书</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rPr>
              <w:t>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94" w:type="dxa"/>
            <w:vAlign w:val="center"/>
          </w:tcPr>
          <w:p>
            <w:pPr>
              <w:pageBreakBefore w:val="0"/>
              <w:bidi w:val="0"/>
              <w:spacing w:line="460" w:lineRule="exact"/>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1977" w:type="dxa"/>
            <w:vAlign w:val="center"/>
          </w:tcPr>
          <w:p>
            <w:pPr>
              <w:pageBreakBefore w:val="0"/>
              <w:bidi w:val="0"/>
              <w:spacing w:after="120" w:line="400" w:lineRule="exact"/>
              <w:jc w:val="center"/>
              <w:outlineLvl w:val="9"/>
              <w:rPr>
                <w:rFonts w:hint="eastAsia" w:ascii="宋体" w:hAnsi="宋体" w:eastAsia="宋体" w:cs="仿宋_GB2312"/>
                <w:kern w:val="0"/>
                <w:sz w:val="24"/>
                <w:szCs w:val="22"/>
                <w:lang w:val="en-US" w:eastAsia="zh-CN" w:bidi="ar-SA"/>
              </w:rPr>
            </w:pPr>
            <w:r>
              <w:rPr>
                <w:rFonts w:hint="eastAsia" w:cs="仿宋_GB2312"/>
                <w:sz w:val="24"/>
                <w:highlight w:val="white"/>
              </w:rPr>
              <w:t>电子投标注意事项</w:t>
            </w:r>
          </w:p>
        </w:tc>
        <w:tc>
          <w:tcPr>
            <w:tcW w:w="6907" w:type="dxa"/>
            <w:vAlign w:val="center"/>
          </w:tcPr>
          <w:p>
            <w:pPr>
              <w:pageBreakBefore w:val="0"/>
              <w:bidi w:val="0"/>
              <w:spacing w:line="360" w:lineRule="auto"/>
              <w:outlineLvl w:val="9"/>
              <w:rPr>
                <w:rFonts w:hint="default" w:ascii="宋体" w:hAnsi="宋体" w:eastAsia="宋体" w:cs="仿宋_GB2312"/>
                <w:kern w:val="0"/>
                <w:sz w:val="24"/>
                <w:szCs w:val="22"/>
                <w:lang w:val="en-US" w:eastAsia="zh-CN" w:bidi="ar-SA"/>
              </w:rPr>
            </w:pPr>
            <w:r>
              <w:rPr>
                <w:rFonts w:hint="eastAsia" w:ascii="宋体" w:hAnsi="宋体" w:cs="Bodoni MT"/>
                <w:sz w:val="24"/>
                <w:highlight w:val="white"/>
                <w:lang w:val="en-US" w:eastAsia="zh-CN"/>
              </w:rPr>
              <w:t>供应商</w:t>
            </w:r>
            <w:r>
              <w:rPr>
                <w:rFonts w:hint="eastAsia" w:ascii="宋体" w:hAnsi="宋体" w:cs="Bodoni MT"/>
                <w:sz w:val="24"/>
                <w:highlight w:val="white"/>
              </w:rPr>
              <w:t>应及时下载招标文件等相关文件，在投标截止前必须上传投标文件；</w:t>
            </w:r>
            <w:r>
              <w:rPr>
                <w:rFonts w:hint="eastAsia" w:ascii="宋体" w:hAnsi="宋体" w:cs="Bodoni MT"/>
                <w:sz w:val="24"/>
                <w:highlight w:val="white"/>
                <w:lang w:val="en-US" w:eastAsia="zh-CN"/>
              </w:rPr>
              <w:t>供应商</w:t>
            </w:r>
            <w:r>
              <w:rPr>
                <w:rFonts w:hint="eastAsia" w:ascii="宋体" w:hAnsi="宋体" w:cs="Bodoni MT"/>
                <w:sz w:val="24"/>
                <w:highlight w:val="white"/>
              </w:rPr>
              <w:t>应在系统发出解密指令后规定时间内对投标文件完成解密</w:t>
            </w:r>
            <w:r>
              <w:rPr>
                <w:rFonts w:hint="eastAsia" w:ascii="宋体" w:hAnsi="宋体" w:cs="Bodoni MT"/>
                <w:sz w:val="24"/>
                <w:highlight w:val="white"/>
                <w:lang w:eastAsia="zh-CN"/>
              </w:rPr>
              <w:t>。</w:t>
            </w:r>
            <w:r>
              <w:rPr>
                <w:rFonts w:hint="eastAsia" w:ascii="宋体" w:hAnsi="宋体" w:cs="Bodoni MT"/>
                <w:sz w:val="24"/>
                <w:highlight w:val="white"/>
                <w:lang w:val="en-US" w:eastAsia="zh-CN"/>
              </w:rPr>
              <w:t>供应商未按规定下载、上传或对投标文件进行解密造成废标的，后果由供应商自行承担。</w:t>
            </w:r>
          </w:p>
        </w:tc>
      </w:tr>
    </w:tbl>
    <w:p>
      <w:pPr>
        <w:pageBreakBefore w:val="0"/>
        <w:bidi w:val="0"/>
        <w:spacing w:line="460" w:lineRule="exact"/>
        <w:outlineLvl w:val="9"/>
        <w:rPr>
          <w:rFonts w:asciiTheme="minorEastAsia" w:hAnsiTheme="minorEastAsia" w:eastAsiaTheme="minorEastAsia" w:cstheme="minorEastAsia"/>
          <w:b/>
          <w:sz w:val="28"/>
          <w:szCs w:val="28"/>
        </w:rPr>
      </w:pPr>
    </w:p>
    <w:p>
      <w:pPr>
        <w:pageBreakBefore w:val="0"/>
        <w:bidi w:val="0"/>
        <w:spacing w:line="460" w:lineRule="exact"/>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一、名词解释</w:t>
      </w:r>
    </w:p>
    <w:p>
      <w:pPr>
        <w:pageBreakBefore w:val="0"/>
        <w:bidi w:val="0"/>
        <w:spacing w:line="460" w:lineRule="exact"/>
        <w:ind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rPr>
        <w:t>1、采购人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宜川县初级中学</w:t>
      </w:r>
    </w:p>
    <w:p>
      <w:pPr>
        <w:pageBreakBefore w:val="0"/>
        <w:bidi w:val="0"/>
        <w:spacing w:line="460" w:lineRule="exact"/>
        <w:ind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、采购代理</w:t>
      </w:r>
      <w:r>
        <w:rPr>
          <w:rFonts w:hint="eastAsia" w:asciiTheme="minorEastAsia" w:hAnsiTheme="minorEastAsia" w:eastAsiaTheme="minorEastAsia" w:cstheme="minorEastAsia"/>
          <w:sz w:val="24"/>
          <w:szCs w:val="24"/>
        </w:rPr>
        <w:t>机构：</w:t>
      </w:r>
      <w:r>
        <w:rPr>
          <w:rFonts w:hint="eastAsia" w:asciiTheme="minorEastAsia" w:hAnsiTheme="minorEastAsia" w:eastAsiaTheme="minorEastAsia" w:cstheme="minorEastAsia"/>
          <w:sz w:val="24"/>
          <w:szCs w:val="24"/>
          <w:lang w:eastAsia="zh-CN"/>
        </w:rPr>
        <w:t>华鼎工程咨询集团有限公司</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3、采购预算价：</w:t>
      </w:r>
      <w:r>
        <w:rPr>
          <w:rFonts w:hint="eastAsia" w:ascii="宋体" w:hAnsi="宋体" w:eastAsia="宋体" w:cs="宋体"/>
          <w:i w:val="0"/>
          <w:iCs w:val="0"/>
          <w:caps w:val="0"/>
          <w:color w:val="auto"/>
          <w:spacing w:val="0"/>
          <w:sz w:val="24"/>
          <w:szCs w:val="24"/>
          <w:shd w:val="clear" w:fill="FFFFFF"/>
        </w:rPr>
        <w:t>3848700.00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b/>
          <w:sz w:val="24"/>
          <w:szCs w:val="24"/>
        </w:rPr>
        <w:t>供应商报价超出采购预算价，按无效投标处理。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4、标  书：招标文件与投标文件的统称</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zh-CN"/>
        </w:rPr>
        <w:t>、供应商：</w:t>
      </w:r>
      <w:r>
        <w:rPr>
          <w:rFonts w:hint="eastAsia" w:asciiTheme="minorEastAsia" w:hAnsiTheme="minorEastAsia" w:eastAsiaTheme="minorEastAsia" w:cstheme="minorEastAsia"/>
          <w:sz w:val="24"/>
          <w:szCs w:val="24"/>
        </w:rPr>
        <w:t>符合本次招标文件所规定的资格条件，自愿参加本次招标活动的投标单位。</w:t>
      </w:r>
    </w:p>
    <w:p>
      <w:pPr>
        <w:pageBreakBefore w:val="0"/>
        <w:tabs>
          <w:tab w:val="left" w:pos="3067"/>
        </w:tabs>
        <w:bidi w:val="0"/>
        <w:spacing w:line="460" w:lineRule="exact"/>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二、招标文件</w:t>
      </w:r>
      <w:r>
        <w:rPr>
          <w:rFonts w:hint="eastAsia" w:asciiTheme="minorEastAsia" w:hAnsiTheme="minorEastAsia" w:eastAsiaTheme="minorEastAsia" w:cstheme="minorEastAsia"/>
          <w:b/>
          <w:sz w:val="24"/>
          <w:szCs w:val="24"/>
        </w:rPr>
        <w:tab/>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1、招标文件的组成： </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招标文件是根据本项目的特点和需求编制，包括以下内容：</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1-1、招标公告</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1-2、供应商须知</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1-3、采购内容及要求</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1-4、合同主要条款</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1-5、投标文件格式</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应认真审阅招标文件所有的事项、格式、条款和规范要求等，在投标文件中对招标文件的各方面都做出实质性的响应，按照招标文件的要求提交全部资料。若供应商的投标文件未按招标文件要求提交全部资料，或没有对招标文件做出实质性响应，应作废标处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3、招标文件的澄清或修改：</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提交投标文件截止时间前，采购人、采购代理机构可以以书面形式对招标文件进行必要的澄清或修改，其内容均为招标文件的组成部分，并对采购人及供应商起约束作用。澄清或修改的内容可能影响投标文件编制的，都将于提交投标文件截止时间15日前以书面形式发送给所有参加投标的供应商；不足15日的，采购人、采购代理机构顺延递交投标文件的截止时间。</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供应商若对招标文件有任何疑问要求澄清，或认为有必要与采购人进行技术交流的，供应商在投标截止时间10日前，以书面形式向采购代理机构提出，采购代理机构以书面形式予以答复。在此之后提出的无效。</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3-4、根据招标工作进展实际情况，采购人可酌情延长递交投标文件的截止时间，若延长将另行以书面形式通知各供应商或在原信息发布媒体上发布变更公告。</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4、供应商必须从采购代理机构购买招标文件，供应商自行转让或复制招标文件视为无效。招标文件售后不退，仅作为本次招标使用。</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5、招标文件的解释权归采购代理机构，如发现招标文件内容与现行法律法规不相符的情况，以现行法律法规为准。</w:t>
      </w:r>
    </w:p>
    <w:p>
      <w:pPr>
        <w:pageBreakBefore w:val="0"/>
        <w:bidi w:val="0"/>
        <w:spacing w:line="460" w:lineRule="exact"/>
        <w:ind w:firstLine="482" w:firstLineChars="200"/>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三、投标文件</w:t>
      </w:r>
    </w:p>
    <w:p>
      <w:pPr>
        <w:pageBreakBefore w:val="0"/>
        <w:bidi w:val="0"/>
        <w:spacing w:line="460" w:lineRule="exact"/>
        <w:ind w:firstLine="482" w:firstLineChars="200"/>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1、供应商资格要求：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lang w:val="en-US" w:eastAsia="zh-CN"/>
        </w:rPr>
        <w:t>1.1</w:t>
      </w:r>
      <w:r>
        <w:rPr>
          <w:rFonts w:hint="eastAsia" w:ascii="宋体" w:hAnsi="宋体" w:eastAsia="宋体" w:cs="宋体"/>
          <w:color w:val="auto"/>
          <w:sz w:val="24"/>
          <w:szCs w:val="24"/>
          <w:shd w:val="clear" w:fill="FFFFFF"/>
        </w:rPr>
        <w:t>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lang w:val="en-US" w:eastAsia="zh-CN"/>
        </w:rPr>
        <w:t>1.2</w:t>
      </w:r>
      <w:r>
        <w:rPr>
          <w:rFonts w:hint="eastAsia" w:ascii="宋体" w:hAnsi="宋体" w:eastAsia="宋体" w:cs="宋体"/>
          <w:color w:val="auto"/>
          <w:sz w:val="24"/>
          <w:szCs w:val="24"/>
          <w:shd w:val="clear" w:fill="FFFFFF"/>
        </w:rPr>
        <w:t>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初中理化生实验室操作考试标准化考场建设项目</w:t>
      </w:r>
      <w:r>
        <w:rPr>
          <w:rFonts w:hint="eastAsia" w:ascii="宋体" w:hAnsi="宋体" w:eastAsia="宋体" w:cs="宋体"/>
          <w:i w:val="0"/>
          <w:iCs w:val="0"/>
          <w:caps w:val="0"/>
          <w:color w:val="auto"/>
          <w:spacing w:val="0"/>
          <w:sz w:val="24"/>
          <w:szCs w:val="24"/>
          <w:shd w:val="clear" w:fill="FFFFFF"/>
        </w:rPr>
        <w:t>)特定资格要求如下:</w:t>
      </w:r>
    </w:p>
    <w:p>
      <w:pPr>
        <w:pStyle w:val="2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供应商须具有有效的营业执照；（2）提供202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年经会计师事务所审计的财务审计报告或近三个月内银行出具的资信证明；（3）提供202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年1月1日至今已缴纳的至少</w:t>
      </w:r>
      <w:r>
        <w:rPr>
          <w:rFonts w:hint="eastAsia" w:cs="宋体"/>
          <w:i w:val="0"/>
          <w:iCs w:val="0"/>
          <w:caps w:val="0"/>
          <w:color w:val="auto"/>
          <w:spacing w:val="0"/>
          <w:sz w:val="24"/>
          <w:szCs w:val="24"/>
          <w:shd w:val="clear" w:fill="FFFFFF"/>
          <w:lang w:val="en-US" w:eastAsia="zh-CN"/>
        </w:rPr>
        <w:t>三</w:t>
      </w:r>
      <w:r>
        <w:rPr>
          <w:rFonts w:hint="eastAsia" w:ascii="宋体" w:hAnsi="宋体" w:eastAsia="宋体" w:cs="宋体"/>
          <w:i w:val="0"/>
          <w:iCs w:val="0"/>
          <w:caps w:val="0"/>
          <w:color w:val="auto"/>
          <w:spacing w:val="0"/>
          <w:sz w:val="24"/>
          <w:szCs w:val="24"/>
          <w:shd w:val="clear" w:fill="FFFFFF"/>
        </w:rPr>
        <w:t>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严重失信主体名单的供应商，不得为中国政府采购网政府采购严重违法失信行为记录名单中被财政部门禁止参加政府采购活动的供应商（提供查询截图）</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本项目专门面向中小企业采购，供应商为中型、小型、微型企业的需提供《中小企业声明函》</w:t>
      </w:r>
      <w:r>
        <w:rPr>
          <w:rFonts w:hint="eastAsia" w:cs="宋体"/>
          <w:i w:val="0"/>
          <w:iCs w:val="0"/>
          <w:caps w:val="0"/>
          <w:color w:val="auto"/>
          <w:spacing w:val="0"/>
          <w:sz w:val="24"/>
          <w:szCs w:val="24"/>
          <w:shd w:val="clear" w:fill="FFFFFF"/>
          <w:lang w:eastAsia="zh-CN"/>
        </w:rPr>
        <w:t>。</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2、投标文件的组成：</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2-1、各供应商应根据招标文件要求编制投标文件。</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2-2、投标文件包括：投标文件应由投标函、投标报价一览表、资格证明文件、技术文件等投标文件部分组成。</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3、各供应商须对以下内容做出承诺：</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（1）必须根据招标文件要求进行设备的供货等；</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pPr>
        <w:pageBreakBefore w:val="0"/>
        <w:bidi w:val="0"/>
        <w:spacing w:line="460" w:lineRule="exact"/>
        <w:ind w:firstLine="470" w:firstLineChars="196"/>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（3）接受采购人委托的相关单位对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的质量、施工的进度及方案、实施方案、价款支付与结算审核等的监督和管理；</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应保证在本项目中使用的产品、材料和服务的任何一部分，不会产生因第三方提出的侵犯其专利权、商标权、著作权或其它知识产权而引起的法律和经济纠纷，由此引起的纠纷，由供应商承担所有相关责任；</w:t>
      </w:r>
    </w:p>
    <w:p>
      <w:pPr>
        <w:pageBreakBefore w:val="0"/>
        <w:bidi w:val="0"/>
        <w:spacing w:line="460" w:lineRule="exact"/>
        <w:ind w:firstLine="470" w:firstLineChars="196"/>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人享有在本项目实施过程中产生的知识成果及知识产权。供应商如欲在项目实施过程中采用自有知识成果，需在投标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4、供应商不得以他人名义投标和串通投标。</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投标文件填写说明</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5-1、投标文件格式：供应商提交的投标文件应当使用招标文件规定的全部格式（表格可以按同样格式扩展）编写，装订成册。</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pacing w:val="-4"/>
          <w:sz w:val="24"/>
          <w:szCs w:val="24"/>
        </w:rPr>
        <w:t>投标报价一览表为在开标会议上唱标的内容，要求按格式填写。若供应商填写有误，采购代理机构将默认为招标文件要求格式。</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6、投标文件的计量单位</w:t>
      </w:r>
    </w:p>
    <w:p>
      <w:pPr>
        <w:pageBreakBefore w:val="0"/>
        <w:bidi w:val="0"/>
        <w:spacing w:line="460" w:lineRule="exact"/>
        <w:ind w:left="-158" w:leftChars="-75" w:firstLine="624" w:firstLineChars="260"/>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投标文件中所使用的计量单位，除有特殊要求外，均采用国家法定计量单位。</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7、投标报价</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7-1、投标货币：人民币      单位:元。</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7-2、供应商要按所报产品分项报价表内容填写货物品名、单价及总价、制造厂家等内容，并由法人代表或授权代表签署。</w:t>
      </w:r>
    </w:p>
    <w:p>
      <w:pPr>
        <w:pageBreakBefore w:val="0"/>
        <w:bidi w:val="0"/>
        <w:spacing w:line="460" w:lineRule="exact"/>
        <w:ind w:firstLine="472" w:firstLineChars="196"/>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7-3、投标报价是完成本项目的全部费用，后期不再增加任何费用，</w:t>
      </w:r>
      <w:r>
        <w:rPr>
          <w:rFonts w:hint="eastAsia" w:asciiTheme="minorEastAsia" w:hAnsiTheme="minorEastAsia" w:eastAsiaTheme="minorEastAsia" w:cstheme="minorEastAsia"/>
          <w:b/>
          <w:sz w:val="24"/>
          <w:szCs w:val="24"/>
          <w:lang w:val="zh-CN"/>
        </w:rPr>
        <w:t>投标供应商报价包括运杂费（含仓储费、运输费、搬运费、保险费）、</w:t>
      </w:r>
      <w:r>
        <w:rPr>
          <w:rFonts w:hint="eastAsia" w:asciiTheme="minorEastAsia" w:hAnsiTheme="minorEastAsia" w:eastAsiaTheme="minorEastAsia" w:cstheme="minorEastAsia"/>
          <w:b/>
          <w:sz w:val="24"/>
          <w:szCs w:val="24"/>
        </w:rPr>
        <w:t>售后服务费、税金等</w:t>
      </w:r>
      <w:r>
        <w:rPr>
          <w:rFonts w:hint="eastAsia" w:asciiTheme="minorEastAsia" w:hAnsiTheme="minorEastAsia" w:eastAsiaTheme="minorEastAsia" w:cstheme="minorEastAsia"/>
          <w:b/>
          <w:sz w:val="24"/>
          <w:szCs w:val="24"/>
          <w:lang w:val="zh-CN"/>
        </w:rPr>
        <w:t>。</w:t>
      </w:r>
      <w:r>
        <w:rPr>
          <w:rFonts w:hint="eastAsia" w:asciiTheme="minorEastAsia" w:hAnsiTheme="minorEastAsia" w:eastAsiaTheme="minorEastAsia" w:cstheme="minorEastAsia"/>
          <w:b/>
          <w:sz w:val="24"/>
          <w:szCs w:val="24"/>
        </w:rPr>
        <w:t>采购单位不再单独支付其他任何费用。</w:t>
      </w:r>
    </w:p>
    <w:p>
      <w:pPr>
        <w:pStyle w:val="8"/>
        <w:pageBreakBefore w:val="0"/>
        <w:bidi w:val="0"/>
        <w:ind w:firstLine="480"/>
        <w:outlineLvl w:val="9"/>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zh-CN"/>
        </w:rPr>
        <w:t xml:space="preserve"> 投标报价表中标明的价格，在合同执行过程中，不得以任何理由变更。</w:t>
      </w:r>
    </w:p>
    <w:p>
      <w:pPr>
        <w:pageBreakBefore w:val="0"/>
        <w:bidi w:val="0"/>
        <w:spacing w:line="460" w:lineRule="exact"/>
        <w:ind w:firstLine="472" w:firstLineChars="196"/>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注：本项目采购预算：3848700.00元，投标报价超过项目采购预算的按无效投标处理。</w:t>
      </w:r>
    </w:p>
    <w:p>
      <w:pPr>
        <w:pageBreakBefore w:val="0"/>
        <w:bidi w:val="0"/>
        <w:spacing w:line="460" w:lineRule="exact"/>
        <w:ind w:firstLine="470" w:firstLineChars="196"/>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7-5、供应商须对《采购内容及技术要求》中任何货物需求、服务要求及装饰施工要求进行完整报价，采购代理机构拒绝只对部分服务进行报价的投标。供应商应在投标文件中的投标报价表上标明对本次招标拟提供货物、材料的单价和总价。任何有选择的报价将不予接受，每项服务只允许有一个报价。</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、供应商所报的投标价在合同执行过程中是固定不变的，不得以任何理由予以变更。任何包含价格调整要求的投标，将被认为是非响应性投标而予以拒绝。</w:t>
      </w:r>
    </w:p>
    <w:p>
      <w:pPr>
        <w:pageBreakBefore w:val="0"/>
        <w:widowControl/>
        <w:bidi w:val="0"/>
        <w:spacing w:line="460" w:lineRule="exact"/>
        <w:ind w:firstLine="472" w:firstLineChars="197"/>
        <w:jc w:val="lef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、采购代理机构不接受供应商对任何未办理正常进口手续的货物的投标报价。</w:t>
      </w:r>
    </w:p>
    <w:p>
      <w:pPr>
        <w:pageBreakBefore w:val="0"/>
        <w:bidi w:val="0"/>
        <w:spacing w:line="460" w:lineRule="exact"/>
        <w:ind w:firstLine="480"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最低报价不是中标的唯一依据。</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供应商不得以低于成本的报价参加投标。当评标委员会认为某个供应商的投标价或者某些分项报价明显不合理或者低于成本，有可能影响设备质量和不能诚信履约的，可要求该供应商在规定的期限内提供书面文件予以解释说明，并提交相关证明材料；否则，评标委员会认定该供应商以低于成本报价竞标，其投标应作废标处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8、投标期间一切费用自理。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9、投标文件的制作</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9-1、投标文件的签署及规定</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（1）投标文件的各项资料均应遵守本条规定。</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（2）供应商应填写全称，同时加盖供应商公章。</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）除供应商对错误处需修改外，全套投标文件应无涂改或行间插字或增删。如有修改，修改处应加盖供应商公章及法人代表或委托人签字或盖章确认。</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）因字迹潦草或表达不清所引起的后果由供应商自行负责。</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10、技术部分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供应商按照招标文件要求，针对本项目的技术指标和要求作出实质性响应，不得出现重大负偏离。包含以下内容：</w:t>
      </w:r>
    </w:p>
    <w:p>
      <w:pPr>
        <w:pageBreakBefore w:val="0"/>
        <w:numPr>
          <w:ilvl w:val="0"/>
          <w:numId w:val="2"/>
        </w:numPr>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所投产品名称、型号；</w:t>
      </w:r>
    </w:p>
    <w:p>
      <w:pPr>
        <w:pageBreakBefore w:val="0"/>
        <w:numPr>
          <w:ilvl w:val="0"/>
          <w:numId w:val="2"/>
        </w:numPr>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详细的技术指标、配置和参数；</w:t>
      </w:r>
    </w:p>
    <w:p>
      <w:pPr>
        <w:pageBreakBefore w:val="0"/>
        <w:numPr>
          <w:ilvl w:val="0"/>
          <w:numId w:val="2"/>
        </w:numPr>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技术响应偏离表；</w:t>
      </w:r>
    </w:p>
    <w:p>
      <w:pPr>
        <w:pageBreakBefore w:val="0"/>
        <w:numPr>
          <w:ilvl w:val="0"/>
          <w:numId w:val="2"/>
        </w:numPr>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供应商认为需要提供的文件和资料。</w:t>
      </w:r>
    </w:p>
    <w:p>
      <w:pPr>
        <w:pageBreakBefore w:val="0"/>
        <w:bidi w:val="0"/>
        <w:spacing w:line="460" w:lineRule="exact"/>
        <w:ind w:firstLine="472" w:firstLineChars="196"/>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注：技术响应证明资料可以是文字、图纸、彩页、样品等，所有证明资料表述必须一致，否则，按未实质性响应招标文件，按无效文件处理。</w:t>
      </w:r>
    </w:p>
    <w:p>
      <w:pPr>
        <w:pageBreakBefore w:val="0"/>
        <w:bidi w:val="0"/>
        <w:spacing w:line="460" w:lineRule="exact"/>
        <w:ind w:left="56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11、商务部分</w:t>
      </w:r>
    </w:p>
    <w:p>
      <w:pPr>
        <w:pageBreakBefore w:val="0"/>
        <w:numPr>
          <w:ilvl w:val="0"/>
          <w:numId w:val="0"/>
        </w:numPr>
        <w:bidi w:val="0"/>
        <w:spacing w:line="460" w:lineRule="exact"/>
        <w:ind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供应商按照招标文件要求，针对本项目的商务要求作出实质性响应，不得出现重大负偏离</w:t>
      </w:r>
      <w:r>
        <w:rPr>
          <w:rFonts w:hint="eastAsia" w:asciiTheme="minorEastAsia" w:hAnsiTheme="minorEastAsia" w:eastAsiaTheme="minorEastAsia" w:cstheme="minorEastAsia"/>
          <w:sz w:val="24"/>
          <w:szCs w:val="24"/>
          <w:lang w:eastAsia="zh-CN"/>
        </w:rPr>
        <w:t>。</w:t>
      </w:r>
    </w:p>
    <w:p>
      <w:pPr>
        <w:pageBreakBefore w:val="0"/>
        <w:bidi w:val="0"/>
        <w:spacing w:line="460" w:lineRule="exact"/>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、投标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1、投标文件的装订和递交</w:t>
      </w:r>
      <w:r>
        <w:rPr>
          <w:rFonts w:hint="eastAsia" w:asciiTheme="minorEastAsia" w:hAnsiTheme="minorEastAsia" w:eastAsiaTheme="minorEastAsia" w:cstheme="minorEastAsia"/>
          <w:sz w:val="24"/>
          <w:szCs w:val="24"/>
        </w:rPr>
        <w:tab/>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1-1、投标文件的装订：</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（1）投标时，供应商应自行将投标文件密封完好。标袋上应写明项目名称、编号、供应商名称及“正本”、“副本”字样，并在密封条接缝处加盖单位公章（鲜章）和法定代表人或被授权人印章(或签字）；</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（2）投标文件一律采用书籍（胶装）方式装订。投标文件正本一份，副本二份，电子文件（U盘）</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份，投标报价一览表一份。投标文件的正本和副本均须A4纸打印，并编制目录和页码。正、副本分别各自装订成册，单独密封，电子文件和投标报价一览表密封在同一标袋内。各标袋上注明“开标时启封”字样。如果正本与副本不符，以正本为准。</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b/>
          <w:sz w:val="24"/>
          <w:szCs w:val="24"/>
          <w:u w:val="single"/>
        </w:rPr>
        <w:t>对未按招标文件要求方式装订和递交的投标文件，将作为无效投标文件。</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1-2、投标文件的递交：</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（1）供应商应按规定的时间、地点，于投标截止时间前递交</w:t>
      </w:r>
      <w:r>
        <w:rPr>
          <w:rFonts w:hint="eastAsia" w:asciiTheme="minorEastAsia" w:hAnsiTheme="minorEastAsia" w:eastAsiaTheme="minorEastAsia" w:cstheme="minorEastAsia"/>
          <w:sz w:val="24"/>
          <w:szCs w:val="24"/>
          <w:lang w:val="en-US" w:eastAsia="zh-CN"/>
        </w:rPr>
        <w:t>并上传</w:t>
      </w:r>
      <w:r>
        <w:rPr>
          <w:rFonts w:hint="eastAsia" w:asciiTheme="minorEastAsia" w:hAnsiTheme="minorEastAsia" w:eastAsiaTheme="minorEastAsia" w:cstheme="minorEastAsia"/>
          <w:sz w:val="24"/>
          <w:szCs w:val="24"/>
        </w:rPr>
        <w:t>投标文件；</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（2）采购代理机构推迟递交</w:t>
      </w:r>
      <w:r>
        <w:rPr>
          <w:rFonts w:hint="eastAsia" w:asciiTheme="minorEastAsia" w:hAnsiTheme="minorEastAsia" w:eastAsiaTheme="minorEastAsia" w:cstheme="minorEastAsia"/>
          <w:bCs/>
          <w:sz w:val="24"/>
          <w:szCs w:val="24"/>
        </w:rPr>
        <w:t>投标</w:t>
      </w:r>
      <w:r>
        <w:rPr>
          <w:rFonts w:hint="eastAsia" w:asciiTheme="minorEastAsia" w:hAnsiTheme="minorEastAsia" w:eastAsiaTheme="minorEastAsia" w:cstheme="minorEastAsia"/>
          <w:sz w:val="24"/>
          <w:szCs w:val="24"/>
        </w:rPr>
        <w:t>文件截止时间时，应在投标文件截止时间3日前</w:t>
      </w:r>
      <w:r>
        <w:rPr>
          <w:rFonts w:hint="eastAsia" w:asciiTheme="minorEastAsia" w:hAnsiTheme="minorEastAsia" w:eastAsiaTheme="minorEastAsia" w:cstheme="minorEastAsia"/>
          <w:sz w:val="24"/>
          <w:szCs w:val="24"/>
          <w:lang w:val="en-US" w:eastAsia="zh-CN"/>
        </w:rPr>
        <w:t>通过相应网站变更开标时间</w:t>
      </w:r>
      <w:r>
        <w:rPr>
          <w:rFonts w:hint="eastAsia" w:asciiTheme="minorEastAsia" w:hAnsiTheme="minorEastAsia" w:eastAsiaTheme="minorEastAsia" w:cstheme="minorEastAsia"/>
          <w:sz w:val="24"/>
          <w:szCs w:val="24"/>
        </w:rPr>
        <w:t>。采购代理机构和供应商的权利和义务将受到新的截止期的约束。</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（3）供应商在规定的投标截止时间后递交投标文件，将被拒收。</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1-3、投标文件的补充、修改与撤回：</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（1）供应商在递交投标文件以后，在规定的投标截止时间之前,可以</w:t>
      </w:r>
      <w:r>
        <w:rPr>
          <w:rFonts w:hint="eastAsia" w:asciiTheme="minorEastAsia" w:hAnsiTheme="minorEastAsia" w:eastAsiaTheme="minorEastAsia" w:cstheme="minorEastAsia"/>
          <w:sz w:val="24"/>
          <w:szCs w:val="24"/>
          <w:lang w:val="en-US" w:eastAsia="zh-CN"/>
        </w:rPr>
        <w:t>通过全国公共资源交易平台（陕西省·延安市）</w:t>
      </w:r>
      <w:r>
        <w:rPr>
          <w:rFonts w:hint="eastAsia" w:asciiTheme="minorEastAsia" w:hAnsiTheme="minorEastAsia" w:eastAsiaTheme="minorEastAsia" w:cstheme="minorEastAsia"/>
          <w:sz w:val="24"/>
          <w:szCs w:val="24"/>
        </w:rPr>
        <w:t>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（2）供应商提出修改和撤标要求的，须在投标截止时间前密封送到采购代理机构，并在封面上加注“修改”或“撤回”字样。采购代理机构摄像留存后，将投标文件（包含纸质及电子版）退还供应商。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（3）撤回投标文件应</w:t>
      </w:r>
      <w:r>
        <w:rPr>
          <w:rFonts w:hint="eastAsia" w:asciiTheme="minorEastAsia" w:hAnsiTheme="minorEastAsia" w:eastAsiaTheme="minorEastAsia" w:cstheme="minorEastAsia"/>
          <w:sz w:val="24"/>
          <w:szCs w:val="24"/>
          <w:lang w:val="en-US" w:eastAsia="zh-CN"/>
        </w:rPr>
        <w:t>通过全国公共资源交易平台（陕西省·延安市），并以</w:t>
      </w:r>
      <w:r>
        <w:rPr>
          <w:rFonts w:hint="eastAsia" w:asciiTheme="minorEastAsia" w:hAnsiTheme="minorEastAsia" w:eastAsiaTheme="minorEastAsia" w:cstheme="minorEastAsia"/>
          <w:sz w:val="24"/>
          <w:szCs w:val="24"/>
        </w:rPr>
        <w:t>书面形式由有权人（法人代表或授权代表）通知采购代理机构。如采取传真形式撤回投标，随后必须补充有法人代表或授权代表签署的要求撤回投标的正式文件。以在招标开始前</w:t>
      </w:r>
      <w:r>
        <w:rPr>
          <w:rFonts w:hint="eastAsia" w:asciiTheme="minorEastAsia" w:hAnsiTheme="minorEastAsia" w:eastAsiaTheme="minorEastAsia" w:cstheme="minorEastAsia"/>
          <w:sz w:val="24"/>
          <w:szCs w:val="24"/>
          <w:lang w:val="en-US" w:eastAsia="zh-CN"/>
        </w:rPr>
        <w:t>上传及</w:t>
      </w:r>
      <w:r>
        <w:rPr>
          <w:rFonts w:hint="eastAsia" w:asciiTheme="minorEastAsia" w:hAnsiTheme="minorEastAsia" w:eastAsiaTheme="minorEastAsia" w:cstheme="minorEastAsia"/>
          <w:sz w:val="24"/>
          <w:szCs w:val="24"/>
        </w:rPr>
        <w:t>送达为准。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（4）投标截止时间之后，供应商不得补充、修改投标文件；</w:t>
      </w:r>
    </w:p>
    <w:p>
      <w:pPr>
        <w:pageBreakBefore w:val="0"/>
        <w:tabs>
          <w:tab w:val="left" w:pos="2700"/>
        </w:tabs>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（5）在投标截止时间至投标有效期满之前，供应商不得撤回其投标文件，否则其投标保证金将不予退还，提供投标担保的供应商将由专业担保机构先行偿付采购人损失。</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1-4、投标文件的审查标准：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（1）投标文件图表与文字不符时，以文字为准；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（2）投标文件正本与副本不符时，以正本为准；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（3）投标文件大写与小写不符时，以大写为准；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（4）单价乘以数量不等于总价时，以单价乘以数量为准；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（5）投标文件有关内容与“一览表”不一致的，以“一览表”为准。</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注：按上述修正方法调整的内容对供应商具有约束力，如果供应商不接受修正后的内容，其投标将被拒绝。</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1-5、投标文件的有效性：</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（1）开标时，投标文件出现下列情形之一的，应当作为无效投标文件，不得进入评标：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a、供应商未经过正常渠道</w:t>
      </w:r>
      <w:r>
        <w:rPr>
          <w:rFonts w:hint="eastAsia" w:asciiTheme="minorEastAsia" w:hAnsiTheme="minorEastAsia" w:eastAsiaTheme="minorEastAsia" w:cstheme="minorEastAsia"/>
          <w:sz w:val="24"/>
          <w:szCs w:val="24"/>
          <w:lang w:val="en-US" w:eastAsia="zh-CN"/>
        </w:rPr>
        <w:t>下载</w:t>
      </w:r>
      <w:r>
        <w:rPr>
          <w:rFonts w:hint="eastAsia" w:asciiTheme="minorEastAsia" w:hAnsiTheme="minorEastAsia" w:eastAsiaTheme="minorEastAsia" w:cstheme="minorEastAsia"/>
          <w:sz w:val="24"/>
          <w:szCs w:val="24"/>
        </w:rPr>
        <w:t>招标文件的；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b、投标文件、投标函未加盖供应商公章，或未经法定代表人或其授权代表签字或盖章的；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c、供应商未按招标文件的要求提供投标担保或所提供的投标担保有瑕疵的；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d、投标文件的关键内容字迹模糊、无法辨认的；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e、供应商名称与</w:t>
      </w:r>
      <w:r>
        <w:rPr>
          <w:rFonts w:hint="eastAsia" w:asciiTheme="minorEastAsia" w:hAnsiTheme="minorEastAsia" w:eastAsiaTheme="minorEastAsia" w:cstheme="minorEastAsia"/>
          <w:sz w:val="24"/>
          <w:szCs w:val="24"/>
          <w:lang w:val="en-US" w:eastAsia="zh-CN"/>
        </w:rPr>
        <w:t>营业执照</w:t>
      </w:r>
      <w:r>
        <w:rPr>
          <w:rFonts w:hint="eastAsia" w:asciiTheme="minorEastAsia" w:hAnsiTheme="minorEastAsia" w:eastAsiaTheme="minorEastAsia" w:cstheme="minorEastAsia"/>
          <w:sz w:val="24"/>
          <w:szCs w:val="24"/>
        </w:rPr>
        <w:t>不一致的；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f、明显不符合技术规格、技术标准的要求的； </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g、投标文件载明的货物包装方式、检验标准和方法等不符合招标文件要求的； </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h、投标文件附有采购人不能接受的条件的；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i、不符合招标文件规定的其他实质性要求的。</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4"/>
          <w:sz w:val="24"/>
          <w:szCs w:val="24"/>
        </w:rPr>
        <w:t>投标文件的有效期：自开标之日起算90个日历</w:t>
      </w:r>
      <w:r>
        <w:rPr>
          <w:rFonts w:hint="eastAsia" w:asciiTheme="minorEastAsia" w:hAnsiTheme="minorEastAsia" w:eastAsiaTheme="minorEastAsia" w:cstheme="minorEastAsia"/>
          <w:spacing w:val="-4"/>
          <w:sz w:val="24"/>
          <w:szCs w:val="24"/>
          <w:lang w:val="en-US" w:eastAsia="zh-CN"/>
        </w:rPr>
        <w:t>天</w:t>
      </w:r>
      <w:r>
        <w:rPr>
          <w:rFonts w:hint="eastAsia" w:asciiTheme="minorEastAsia" w:hAnsiTheme="minorEastAsia" w:eastAsiaTheme="minorEastAsia" w:cstheme="minorEastAsia"/>
          <w:spacing w:val="-4"/>
          <w:sz w:val="24"/>
          <w:szCs w:val="24"/>
        </w:rPr>
        <w:t>。</w:t>
      </w:r>
    </w:p>
    <w:p>
      <w:pPr>
        <w:pageBreakBefore w:val="0"/>
        <w:bidi w:val="0"/>
        <w:spacing w:line="460" w:lineRule="exact"/>
        <w:ind w:firstLine="482"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、开标、评标和定标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1、开标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1-1、采购代理机构按招标文件规定的时间和地点组织公开开标会议，并通知采购人和所有供应商参加。</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1-2、所有参会人员应签名报到，以证明其出席。法定代表人或授权代表未出席并签字报到的视为无效投标。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1-3、合格供应商按规定提交合格的投标文件后到投标截止时间前如中途要求撤回时，则该投标文件不予开封，摄像留存后，将投标文件退还供应商（包含纸质及电子版）。</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1-4、不合格供应商按规定提交的投标文件，未开封的投标文件摄像留存后，将投标文件退还供应商（包含纸质及电子版）；已开封的投标文件不予退还（包含纸质及电子版）。</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1-5、开标程序：</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（1）开标会议由采购代理机构主持。主持人宣读开标会议开始，并宣读会场纪律。</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（2）根据签到情况宣布参加会议的供应商名单。</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（3）采购单位及供应商代表当众共同检查所有投标文件的密封情况，签字确认并宣读检查结果。</w:t>
      </w:r>
      <w:r>
        <w:rPr>
          <w:rFonts w:hint="eastAsia" w:asciiTheme="minorEastAsia" w:hAnsiTheme="minorEastAsia" w:eastAsiaTheme="minorEastAsia" w:cstheme="minorEastAsia"/>
          <w:b/>
          <w:sz w:val="24"/>
          <w:szCs w:val="24"/>
        </w:rPr>
        <w:t>未通过审查的按无效投标处理</w:t>
      </w:r>
      <w:r>
        <w:rPr>
          <w:rFonts w:hint="eastAsia" w:asciiTheme="minorEastAsia" w:hAnsiTheme="minorEastAsia" w:eastAsiaTheme="minorEastAsia" w:cstheme="minorEastAsia"/>
          <w:sz w:val="24"/>
          <w:szCs w:val="24"/>
        </w:rPr>
        <w:t>。</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（4）经确认无误后，由</w:t>
      </w:r>
      <w:r>
        <w:rPr>
          <w:rFonts w:hint="eastAsia" w:asciiTheme="minorEastAsia" w:hAnsiTheme="minorEastAsia" w:eastAsiaTheme="minorEastAsia" w:cstheme="minorEastAsia"/>
          <w:sz w:val="24"/>
          <w:szCs w:val="24"/>
          <w:lang w:val="en-US" w:eastAsia="zh-CN"/>
        </w:rPr>
        <w:t>供应商进行解密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宣读供应商名称、投标价格和投标文件的其它主要内容并做记录。供应商确认无误后，由采购单位及供应商代表签字确认唱标内容。如供应商对宣读的“投标报价一览表”上的内容有异议，应在获得主持人同意后当场提出，如属于宣读错误，经核实后，当场予以更正。</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（5）宣布开标会议结束，所有供应商离场。</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（6）采购代理机构对开标过程进行摄像、文字记录，并存档备查。</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bCs/>
          <w:sz w:val="24"/>
          <w:szCs w:val="24"/>
        </w:rPr>
        <w:t>评标委员会</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（1）采购代理机构根据《中华人民共和国政府采购法》、《中华人民共和国政府采购法实施条例》和“财政部第18号部长令”的规定，依法组建评标委员会。</w:t>
      </w:r>
      <w:r>
        <w:rPr>
          <w:rFonts w:hint="eastAsia" w:asciiTheme="minorEastAsia" w:hAnsiTheme="minorEastAsia" w:eastAsiaTheme="minorEastAsia" w:cstheme="minorEastAsia"/>
          <w:b/>
          <w:bCs/>
          <w:sz w:val="24"/>
          <w:szCs w:val="24"/>
        </w:rPr>
        <w:t>评标委员会由采购人代表和评标专家共5人以上单数组成，评标委员会专家人数应占总人数的2/3以上</w:t>
      </w:r>
      <w:r>
        <w:rPr>
          <w:rFonts w:hint="eastAsia" w:asciiTheme="minorEastAsia" w:hAnsiTheme="minorEastAsia" w:eastAsiaTheme="minorEastAsia" w:cstheme="minorEastAsia"/>
          <w:sz w:val="24"/>
          <w:szCs w:val="24"/>
        </w:rPr>
        <w:t>。评标委员会负责对具备实质性响应的投标文件进行评估和比较。</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（2）评标委员会成员应当遵守并履行下列职责义务：</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a、遵纪守法，客观、公正、认真负责地履行职责，根据招标文件规定的评标程序、评标方法和评标标准审查投标文件是否符合招标文件的要求，并做出评价；</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b、认定供应商必备资质；</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c、评标委员会可要求供应商就投标文件中含义不明确的内容进行书面说明并提供相关材料。</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d、依据招标文件的要求和评审标准进行评审，推荐中标候选单位名单，对评标意见承担个人责任；</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e、对评标过程及各供应商的商业机密予以保密；</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f、拟定评标结果；</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g、告知采购人、采购代理机构在评标过程中发现的供应商的违法违规行为；</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h、配合采购人、采购代理机构答复各供应商提出的质疑；</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i、配合各部门的投诉处理和监督检查工作。</w:t>
      </w:r>
    </w:p>
    <w:p>
      <w:pPr>
        <w:pageBreakBefore w:val="0"/>
        <w:bidi w:val="0"/>
        <w:spacing w:line="460" w:lineRule="exact"/>
        <w:ind w:firstLine="482" w:firstLineChars="200"/>
        <w:outlineLvl w:val="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2-2、评标原则</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坚持公平、公正、科学、择优，合理低价，禁止不正当竞争。</w:t>
      </w:r>
    </w:p>
    <w:p>
      <w:pPr>
        <w:pageBreakBefore w:val="0"/>
        <w:bidi w:val="0"/>
        <w:spacing w:line="460" w:lineRule="exact"/>
        <w:ind w:firstLine="482"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2-3、评标办法</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本次招标采用综合评分法（详见本节评分标准）。</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2-4、</w:t>
      </w:r>
      <w:r>
        <w:rPr>
          <w:rFonts w:hint="eastAsia" w:asciiTheme="minorEastAsia" w:hAnsiTheme="minorEastAsia" w:eastAsiaTheme="minorEastAsia" w:cstheme="minorEastAsia"/>
          <w:b/>
          <w:sz w:val="24"/>
          <w:szCs w:val="24"/>
        </w:rPr>
        <w:t>评标工作程序</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（1）投标文件资格性评审：采购人对供应商必备资质原件进行审查，签字确认检查结果。不符合招标文件要求的按无效投标处理，不得进入后续评标工作。</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（2）投标文件符合性审查：对投标文件的有效性，完整性和对招标文件的响应程度进行审查。投标文件满足招标文件的实质性要求，无显著的差异或保留。</w:t>
      </w:r>
    </w:p>
    <w:p>
      <w:pPr>
        <w:pageBreakBefore w:val="0"/>
        <w:bidi w:val="0"/>
        <w:spacing w:line="46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rPr>
        <w:t>审查和符合性评审合格的，评标委员会才进行综合评审并排序。凡未通过资格性和符合性评审的投标文件即作为废标处理，不得进入后续评审工作，内容如下：</w:t>
      </w:r>
    </w:p>
    <w:p>
      <w:pPr>
        <w:pageBreakBefore w:val="0"/>
        <w:bidi w:val="0"/>
        <w:spacing w:line="460" w:lineRule="exact"/>
        <w:ind w:firstLine="482" w:firstLineChars="200"/>
        <w:outlineLvl w:val="9"/>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资格评审和符合性评审</w:t>
      </w:r>
    </w:p>
    <w:tbl>
      <w:tblPr>
        <w:tblStyle w:val="2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2"/>
        <w:gridCol w:w="8"/>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364" w:type="dxa"/>
            <w:gridSpan w:val="3"/>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条款号</w:t>
            </w:r>
          </w:p>
        </w:tc>
        <w:tc>
          <w:tcPr>
            <w:tcW w:w="8155" w:type="dxa"/>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2.1.1</w:t>
            </w:r>
          </w:p>
        </w:tc>
        <w:tc>
          <w:tcPr>
            <w:tcW w:w="600" w:type="dxa"/>
            <w:gridSpan w:val="2"/>
            <w:vMerge w:val="restart"/>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资格评审</w:t>
            </w:r>
          </w:p>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标准</w:t>
            </w: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供应商须具有有效的营业执照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提供2022年经会计师事务所审计的财务审计报告或近三个月内银行出具的资信证明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提供2023年1月1日至今已缴纳的至少三个月的纳税证明，依法免税的供应商应提供相关文件证明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提供2023年1月1日至今已缴纳的至少三个月社会保障资金缴存单据或社保机构开具的社会保险参保缴费情况证明，依法不需要缴纳社保的供应商应提供相关文件证明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法定代表人授权书及被授权人身份证（法定代表人直接投标只需提供本人身份证）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szCs w:val="24"/>
                <w:highlight w:val="none"/>
              </w:rPr>
            </w:pPr>
            <w:r>
              <w:rPr>
                <w:rFonts w:hint="eastAsia" w:ascii="宋体" w:hAnsi="宋体" w:eastAsia="宋体" w:cs="宋体"/>
                <w:i w:val="0"/>
                <w:iCs w:val="0"/>
                <w:caps w:val="0"/>
                <w:color w:val="333333"/>
                <w:spacing w:val="0"/>
                <w:sz w:val="21"/>
                <w:szCs w:val="21"/>
                <w:highlight w:val="none"/>
                <w:shd w:val="clear" w:fill="FFFFFF"/>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333333"/>
                <w:spacing w:val="0"/>
                <w:sz w:val="21"/>
                <w:szCs w:val="21"/>
                <w:highlight w:val="none"/>
                <w:shd w:val="clear" w:fill="FFFFFF"/>
              </w:rPr>
              <w:t>供应商不得为“中国执行信息公开网”列入失信被执行人名单的供应商，不得为“信用中国”网列入严重失信主体名单的供应商，不得为中国政府采购网政府采购严重违法失信行为记录名单中被财政部门禁止参加政府采购活动的供应商（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szCs w:val="24"/>
                <w:highlight w:val="none"/>
              </w:rPr>
            </w:pPr>
          </w:p>
        </w:tc>
        <w:tc>
          <w:tcPr>
            <w:tcW w:w="8155" w:type="dxa"/>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333333"/>
                <w:spacing w:val="0"/>
                <w:sz w:val="21"/>
                <w:szCs w:val="21"/>
                <w:highlight w:val="none"/>
                <w:shd w:val="clear" w:fill="FFFFFF"/>
              </w:rPr>
            </w:pPr>
            <w:r>
              <w:rPr>
                <w:rFonts w:hint="eastAsia" w:ascii="宋体" w:hAnsi="宋体" w:eastAsia="宋体" w:cs="宋体"/>
                <w:i w:val="0"/>
                <w:iCs w:val="0"/>
                <w:caps w:val="0"/>
                <w:color w:val="333333"/>
                <w:spacing w:val="0"/>
                <w:sz w:val="21"/>
                <w:szCs w:val="21"/>
                <w:highlight w:val="none"/>
                <w:shd w:val="clear" w:fill="FFFFFF"/>
              </w:rPr>
              <w:t>本项目专门面向中小企业采购，供应商为中型、小型、微型企业的需提供《中小企业声明函》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pageBreakBefore w:val="0"/>
              <w:tabs>
                <w:tab w:val="left" w:pos="0"/>
              </w:tabs>
              <w:bidi w:val="0"/>
              <w:adjustRightInd w:val="0"/>
              <w:snapToGrid w:val="0"/>
              <w:spacing w:line="360" w:lineRule="auto"/>
              <w:jc w:val="center"/>
              <w:outlineLvl w:val="9"/>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2.1.2</w:t>
            </w:r>
          </w:p>
        </w:tc>
        <w:tc>
          <w:tcPr>
            <w:tcW w:w="592" w:type="dxa"/>
            <w:vMerge w:val="restart"/>
            <w:vAlign w:val="center"/>
          </w:tcPr>
          <w:p>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符合性评</w:t>
            </w:r>
          </w:p>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审标准</w:t>
            </w:r>
          </w:p>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default"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投标文件的签字、盖章符合招标文件的规定。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投标文件格式符合招标文件中“投标文件格式”的要求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default"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投标保证金满足招标文件中的规定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spacing w:line="360" w:lineRule="auto"/>
              <w:jc w:val="center"/>
              <w:outlineLvl w:val="9"/>
              <w:rPr>
                <w:rFonts w:asciiTheme="minorEastAsia" w:hAnsiTheme="minorEastAsia" w:eastAsiaTheme="minorEastAsia" w:cstheme="minorEastAsia"/>
                <w:b/>
                <w:bCs/>
                <w:szCs w:val="24"/>
                <w:highlight w:val="none"/>
              </w:rPr>
            </w:pPr>
          </w:p>
        </w:tc>
        <w:tc>
          <w:tcPr>
            <w:tcW w:w="592"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交货期满足招标文件中的规定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592"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333333"/>
                <w:spacing w:val="0"/>
                <w:sz w:val="21"/>
                <w:szCs w:val="21"/>
                <w:highlight w:val="none"/>
                <w:shd w:val="clear" w:fill="FFFFFF"/>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质保期满足招标文件中的规定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592"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333333"/>
                <w:spacing w:val="0"/>
                <w:sz w:val="21"/>
                <w:szCs w:val="21"/>
                <w:highlight w:val="none"/>
                <w:shd w:val="clear" w:fill="FFFFFF"/>
              </w:rPr>
            </w:pPr>
            <w:r>
              <w:rPr>
                <w:rFonts w:hint="eastAsia" w:ascii="宋体" w:hAnsi="宋体" w:eastAsia="宋体" w:cs="宋体"/>
                <w:i w:val="0"/>
                <w:iCs w:val="0"/>
                <w:caps w:val="0"/>
                <w:color w:val="333333"/>
                <w:spacing w:val="0"/>
                <w:sz w:val="21"/>
                <w:szCs w:val="21"/>
                <w:highlight w:val="none"/>
                <w:shd w:val="clear" w:fill="FFFFFF"/>
                <w:lang w:val="en-US" w:eastAsia="zh-CN"/>
              </w:rPr>
              <w:t>投标有效期满足招标文件中的规定</w:t>
            </w:r>
          </w:p>
        </w:tc>
      </w:tr>
    </w:tbl>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（4）在投标文件的评审和比较、中标单位的确定过程中，供应商向评标委员会施加压力的任何行为，都将会导致其投标被拒绝。</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投标文件的有效性、完整性和响应程度或其他内容有疑问的，评标委员会可要求供应商对投标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质询工作应当由全体评标委员会成员参加。对于实质性不符合招标文件的，评标委员会有权予以拒绝。质询工作应做书面记录，采购人代表、评标委员会成员及供应商应在记录上签字确认。</w:t>
      </w:r>
    </w:p>
    <w:p>
      <w:pPr>
        <w:pageBreakBefore w:val="0"/>
        <w:bidi w:val="0"/>
        <w:spacing w:line="600" w:lineRule="exact"/>
        <w:ind w:firstLine="482" w:firstLineChars="200"/>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2-5、依据《中华人民共和国政府采购法》和《中华人民共和国政府采购实施条例》的有关规定，落实政府采购“优先购买节能环保产品、扶持小微企业、监狱企业、福利企业”等相关政策。</w:t>
      </w:r>
    </w:p>
    <w:p>
      <w:pPr>
        <w:pageBreakBefore w:val="0"/>
        <w:bidi w:val="0"/>
        <w:spacing w:line="600" w:lineRule="exact"/>
        <w:ind w:firstLine="482" w:firstLineChars="200"/>
        <w:outlineLvl w:val="9"/>
        <w:rPr>
          <w:rFonts w:hAnsi="宋体"/>
          <w:b/>
        </w:rPr>
      </w:pPr>
      <w:r>
        <w:rPr>
          <w:rFonts w:hint="eastAsia" w:ascii="宋体" w:hAnsi="宋体"/>
          <w:b/>
          <w:kern w:val="0"/>
          <w:sz w:val="24"/>
          <w:lang w:val="en-US" w:eastAsia="zh-CN"/>
        </w:rPr>
        <w:t>1）</w:t>
      </w:r>
      <w:r>
        <w:rPr>
          <w:rFonts w:hint="eastAsia" w:ascii="宋体" w:hAnsi="宋体"/>
          <w:b/>
          <w:kern w:val="0"/>
          <w:sz w:val="24"/>
        </w:rPr>
        <w:t>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ageBreakBefore w:val="0"/>
        <w:bidi w:val="0"/>
        <w:spacing w:line="600" w:lineRule="exact"/>
        <w:ind w:firstLine="482" w:firstLineChars="200"/>
        <w:outlineLvl w:val="9"/>
        <w:rPr>
          <w:rFonts w:hAnsi="宋体"/>
          <w:b/>
        </w:rPr>
      </w:pPr>
      <w:r>
        <w:rPr>
          <w:rFonts w:hint="eastAsia" w:ascii="宋体" w:hAnsi="宋体"/>
          <w:b/>
          <w:kern w:val="0"/>
          <w:sz w:val="24"/>
          <w:lang w:val="en-US" w:eastAsia="zh-CN"/>
        </w:rPr>
        <w:t>2）</w:t>
      </w:r>
      <w:r>
        <w:rPr>
          <w:rFonts w:hint="eastAsia" w:ascii="宋体" w:hAnsi="宋体"/>
          <w:b/>
          <w:kern w:val="0"/>
          <w:sz w:val="24"/>
          <w:lang w:bidi="ar"/>
        </w:rPr>
        <w:t>政策性</w:t>
      </w:r>
      <w:r>
        <w:rPr>
          <w:rFonts w:hint="default" w:ascii="宋体" w:hAnsi="宋体"/>
          <w:b/>
          <w:kern w:val="0"/>
          <w:sz w:val="24"/>
          <w:lang w:val="en-US" w:bidi="ar"/>
        </w:rPr>
        <w:t>优惠条</w:t>
      </w:r>
      <w:r>
        <w:rPr>
          <w:rFonts w:hint="eastAsia" w:ascii="宋体" w:hAnsi="宋体"/>
          <w:b/>
          <w:kern w:val="0"/>
          <w:sz w:val="24"/>
          <w:lang w:bidi="ar"/>
        </w:rPr>
        <w:t>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rPr>
      </w:pPr>
      <w:r>
        <w:rPr>
          <w:rFonts w:hint="eastAsia" w:ascii="宋体" w:hAnsi="宋体"/>
          <w:kern w:val="0"/>
          <w:sz w:val="24"/>
          <w:lang w:bidi="ar"/>
        </w:rPr>
        <w:t>供应商符合小型、微型企业或监狱企业、残疾人福利性单位条件的，其报价价格评审时将按相应比例进行扣除。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kern w:val="0"/>
          <w:sz w:val="24"/>
          <w:lang w:bidi="ar"/>
        </w:rPr>
        <w:t>1.1</w:t>
      </w:r>
      <w:r>
        <w:rPr>
          <w:rFonts w:hint="eastAsia" w:ascii="宋体" w:hAnsi="宋体"/>
          <w:kern w:val="0"/>
          <w:sz w:val="24"/>
          <w:lang w:val="en-US" w:eastAsia="zh-CN" w:bidi="ar"/>
        </w:rPr>
        <w:t>根据</w:t>
      </w:r>
      <w:r>
        <w:rPr>
          <w:rFonts w:hint="eastAsia" w:ascii="宋体" w:hAnsi="宋体"/>
          <w:kern w:val="0"/>
          <w:sz w:val="24"/>
          <w:lang w:bidi="ar"/>
        </w:rPr>
        <w:t>&lt;关于印发《政府采购促进中小企业发展管理办法》的通知&gt;（财库〔2020〕46号）的规定，</w:t>
      </w:r>
      <w:r>
        <w:rPr>
          <w:rFonts w:hint="eastAsia" w:ascii="宋体" w:hAnsi="宋体" w:eastAsia="宋体" w:cs="宋体"/>
          <w:sz w:val="24"/>
          <w:szCs w:val="24"/>
        </w:rPr>
        <w:t>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spacing w:line="600" w:lineRule="exact"/>
        <w:ind w:firstLine="480" w:firstLineChars="200"/>
      </w:pPr>
      <w:r>
        <w:rPr>
          <w:rFonts w:hint="eastAsia" w:ascii="宋体" w:hAnsi="宋体"/>
          <w:kern w:val="0"/>
          <w:sz w:val="24"/>
          <w:lang w:bidi="ar"/>
        </w:rPr>
        <w:t>中小企业划分标准详见《关于印发中小企业划型标准规定的通知》</w:t>
      </w:r>
      <w:r>
        <w:rPr>
          <w:rFonts w:hint="eastAsia" w:ascii="宋体" w:hAnsi="宋体"/>
          <w:kern w:val="0"/>
          <w:sz w:val="24"/>
          <w:lang w:eastAsia="zh-CN" w:bidi="ar"/>
        </w:rPr>
        <w:t>（</w:t>
      </w:r>
      <w:r>
        <w:rPr>
          <w:rFonts w:hint="eastAsia" w:ascii="宋体" w:hAnsi="宋体"/>
          <w:kern w:val="0"/>
          <w:sz w:val="24"/>
          <w:lang w:bidi="ar"/>
        </w:rPr>
        <w:t>工信部联企业〔2011〕300号）</w:t>
      </w:r>
      <w:r>
        <w:rPr>
          <w:rFonts w:hint="eastAsia" w:ascii="宋体" w:hAnsi="宋体"/>
          <w:kern w:val="0"/>
          <w:sz w:val="24"/>
          <w:lang w:eastAsia="zh-CN" w:bidi="ar"/>
        </w:rPr>
        <w:t>，</w:t>
      </w:r>
      <w:r>
        <w:rPr>
          <w:rFonts w:hint="eastAsia" w:ascii="宋体" w:hAnsi="宋体"/>
          <w:kern w:val="0"/>
          <w:sz w:val="24"/>
          <w:lang w:val="en-US" w:eastAsia="zh-CN" w:bidi="ar"/>
        </w:rPr>
        <w:t>但</w:t>
      </w:r>
      <w:r>
        <w:rPr>
          <w:rFonts w:hint="eastAsia" w:ascii="宋体" w:hAnsi="宋体" w:eastAsia="宋体" w:cs="宋体"/>
          <w:sz w:val="24"/>
          <w:szCs w:val="24"/>
        </w:rPr>
        <w:t>与大企业的负责人为同一人，或者与大企业存在直接控股、管理关系的除外</w:t>
      </w:r>
      <w:r>
        <w:rPr>
          <w:rFonts w:hint="eastAsia" w:ascii="宋体" w:hAnsi="宋体"/>
          <w:kern w:val="0"/>
          <w:sz w:val="24"/>
          <w:lang w:bidi="ar"/>
        </w:rPr>
        <w:t>。</w:t>
      </w:r>
      <w:r>
        <w:rPr>
          <w:rFonts w:hint="eastAsia" w:ascii="宋体" w:hAnsi="宋体" w:eastAsia="宋体" w:cs="宋体"/>
          <w:sz w:val="24"/>
          <w:szCs w:val="24"/>
        </w:rPr>
        <w:t>符合中小企业划分标准的个体工商户，在政府采购活动中视同中小企业。</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1.2</w:t>
      </w:r>
      <w:r>
        <w:rPr>
          <w:rFonts w:hint="eastAsia" w:ascii="宋体" w:hAnsi="宋体" w:cs="宋体"/>
          <w:sz w:val="24"/>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rPr>
          <w:rFonts w:hAnsi="宋体" w:cs="宋体"/>
        </w:rPr>
      </w:pPr>
      <w:r>
        <w:rPr>
          <w:rFonts w:hint="eastAsia" w:ascii="宋体" w:hAnsi="宋体" w:cs="宋体"/>
          <w:kern w:val="0"/>
          <w:sz w:val="24"/>
          <w:lang w:bidi="ar"/>
        </w:rPr>
        <w:t>监狱企业参加政府采购活动时，应当提供由省级以上监狱管理局、戒毒管理局(含新疆生产建设兵团)出具的属于监狱企业的证明文件。</w:t>
      </w:r>
      <w:r>
        <w:rPr>
          <w:rFonts w:hint="eastAsia" w:ascii="宋体" w:hAnsi="宋体"/>
          <w:kern w:val="0"/>
          <w:sz w:val="24"/>
          <w:szCs w:val="20"/>
          <w:lang w:bidi="ar"/>
        </w:rPr>
        <w:t>监狱企业参加政府采购活动时，视同小型、微型企业。</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1.3残疾人福利性单位应当同时满足以下条件：</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（1）安置的残疾人占本单位在职职工人数的比例不低于25%（含25%），并且安置的残疾人人数不少于10人（含10人）；</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（2）依法与安置的每位残疾人签订了一年以上（含一年）的劳动合同或服务协议；</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（3）为安置的每位残疾人按月足额缴纳了基本养老保险、基本医疗保险、失业保险、工伤保险和生育保险等社会保险费；</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（4）通过银行等金融机构向安置的每位残疾人，按月支付了不低于单位所在区县适用的经省级人民政府批准的月最低工资标准的工资；</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（5）提供本单位制造的货物、承担的工程或者服务（以下简称产品），或者提供其他残疾人福利性单位制造的货物（不包括使用非残疾人福利性单位注册商标的货物）。</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560" w:lineRule="exact"/>
        <w:ind w:firstLine="480" w:firstLineChars="200"/>
        <w:rPr>
          <w:rFonts w:hAnsi="宋体" w:cs="宋体"/>
        </w:rPr>
      </w:pPr>
      <w:r>
        <w:rPr>
          <w:rFonts w:hint="eastAsia" w:ascii="宋体" w:hAnsi="宋体" w:cs="宋体"/>
          <w:kern w:val="0"/>
          <w:sz w:val="24"/>
          <w:lang w:bidi="ar"/>
        </w:rPr>
        <w:t>符合条件的残疾人福利性单位在参加政府采购活动时，应当提供本通知规定的《残疾人福利性单位声明函》，并对声明的真实性负责。残疾人福利性单位</w:t>
      </w:r>
      <w:r>
        <w:rPr>
          <w:rFonts w:hint="eastAsia" w:ascii="宋体" w:hAnsi="宋体"/>
          <w:kern w:val="0"/>
          <w:sz w:val="24"/>
          <w:szCs w:val="20"/>
          <w:lang w:bidi="ar"/>
        </w:rPr>
        <w:t>参加政府采购活动时，视同小型、微型企业；</w:t>
      </w:r>
      <w:r>
        <w:rPr>
          <w:rFonts w:hint="eastAsia" w:ascii="宋体" w:hAnsi="宋体" w:cs="宋体"/>
          <w:kern w:val="0"/>
          <w:sz w:val="24"/>
          <w:lang w:bidi="ar"/>
        </w:rPr>
        <w:t>残疾人福利性单位属于小型、微型企业的，不重复享受政策。</w:t>
      </w:r>
    </w:p>
    <w:p>
      <w:pPr>
        <w:spacing w:line="440" w:lineRule="exact"/>
        <w:ind w:firstLine="480" w:firstLineChars="200"/>
        <w:rPr>
          <w:rFonts w:hint="eastAsia" w:ascii="宋体" w:hAnsi="宋体" w:cs="宋体"/>
          <w:sz w:val="24"/>
        </w:rPr>
      </w:pPr>
      <w:r>
        <w:rPr>
          <w:rFonts w:hint="eastAsia" w:ascii="宋体" w:hAnsi="宋体" w:cs="宋体"/>
          <w:sz w:val="24"/>
        </w:rPr>
        <w:t>供应商提供的</w:t>
      </w:r>
      <w:r>
        <w:rPr>
          <w:rFonts w:hint="eastAsia" w:ascii="宋体" w:hAnsi="宋体" w:cs="宋体"/>
          <w:kern w:val="0"/>
          <w:sz w:val="24"/>
          <w:lang w:bidi="ar"/>
        </w:rPr>
        <w:t>中小企业声明函、</w:t>
      </w:r>
      <w:r>
        <w:rPr>
          <w:rFonts w:hint="eastAsia" w:ascii="宋体" w:hAnsi="宋体" w:cs="宋体"/>
          <w:sz w:val="24"/>
        </w:rPr>
        <w:t>残疾人福利性单位声明函或监狱证明，与事实不符的，依照《政府采购法》第七十七条的相关规定追究法律责任。</w:t>
      </w:r>
    </w:p>
    <w:p>
      <w:pPr>
        <w:spacing w:line="600" w:lineRule="exact"/>
        <w:ind w:firstLine="482" w:firstLineChars="200"/>
        <w:rPr>
          <w:rFonts w:hAnsi="宋体"/>
          <w:b/>
        </w:rPr>
      </w:pPr>
      <w:r>
        <w:rPr>
          <w:rFonts w:hint="eastAsia" w:ascii="宋体" w:hAnsi="宋体"/>
          <w:b/>
          <w:kern w:val="0"/>
          <w:sz w:val="24"/>
          <w:lang w:val="en-US" w:eastAsia="zh-CN" w:bidi="ar"/>
        </w:rPr>
        <w:t>3</w:t>
      </w:r>
      <w:r>
        <w:rPr>
          <w:rFonts w:hint="eastAsia" w:ascii="宋体" w:hAnsi="宋体"/>
          <w:b/>
          <w:kern w:val="0"/>
          <w:sz w:val="24"/>
          <w:lang w:eastAsia="zh-CN" w:bidi="ar"/>
        </w:rPr>
        <w:t>）</w:t>
      </w:r>
      <w:r>
        <w:rPr>
          <w:rFonts w:hint="eastAsia" w:ascii="宋体" w:hAnsi="宋体"/>
          <w:b/>
          <w:kern w:val="0"/>
          <w:sz w:val="24"/>
          <w:lang w:bidi="ar"/>
        </w:rPr>
        <w:t>政策性扣除比例：</w:t>
      </w:r>
    </w:p>
    <w:p>
      <w:pPr>
        <w:spacing w:line="560" w:lineRule="exact"/>
        <w:ind w:firstLine="480" w:firstLineChars="200"/>
        <w:rPr>
          <w:rFonts w:hint="eastAsia" w:ascii="宋体" w:hAnsi="宋体" w:cs="宋体"/>
          <w:kern w:val="0"/>
          <w:sz w:val="24"/>
          <w:lang w:bidi="ar"/>
        </w:rPr>
      </w:pPr>
      <w:r>
        <w:rPr>
          <w:rFonts w:hint="eastAsia" w:ascii="宋体" w:hAnsi="宋体" w:cs="宋体"/>
          <w:kern w:val="0"/>
          <w:sz w:val="24"/>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cs="宋体"/>
          <w:kern w:val="0"/>
          <w:sz w:val="24"/>
          <w:lang w:val="en-US" w:eastAsia="zh-CN" w:bidi="ar"/>
        </w:rPr>
        <w:t>10</w:t>
      </w:r>
      <w:r>
        <w:rPr>
          <w:rFonts w:hint="eastAsia" w:ascii="宋体" w:hAnsi="宋体" w:cs="宋体"/>
          <w:kern w:val="0"/>
          <w:sz w:val="24"/>
          <w:highlight w:val="none"/>
          <w:lang w:bidi="ar"/>
        </w:rPr>
        <w:t>%</w:t>
      </w:r>
      <w:r>
        <w:rPr>
          <w:rFonts w:hint="eastAsia" w:ascii="宋体" w:hAnsi="宋体" w:cs="宋体"/>
          <w:kern w:val="0"/>
          <w:sz w:val="24"/>
          <w:lang w:bidi="ar"/>
        </w:rPr>
        <w:t>”进行价格扣除，以扣除后的价格参与评审；符合两种及以上情形的，不累加计算扣除价格。</w:t>
      </w:r>
    </w:p>
    <w:p>
      <w:pPr>
        <w:pStyle w:val="2"/>
        <w:numPr>
          <w:ilvl w:val="0"/>
          <w:numId w:val="0"/>
        </w:numPr>
        <w:spacing w:line="560" w:lineRule="exact"/>
        <w:ind w:firstLine="482" w:firstLineChars="200"/>
        <w:rPr>
          <w:rFonts w:hint="eastAsia" w:ascii="宋体" w:hAnsi="宋体" w:cs="宋体"/>
          <w:b/>
          <w:bCs/>
          <w:kern w:val="0"/>
          <w:sz w:val="24"/>
          <w:lang w:bidi="ar"/>
        </w:rPr>
      </w:pPr>
      <w:r>
        <w:rPr>
          <w:rFonts w:hint="default" w:ascii="宋体" w:hAnsi="宋体" w:cs="宋体"/>
          <w:b/>
          <w:bCs/>
          <w:kern w:val="0"/>
          <w:sz w:val="24"/>
          <w:lang w:val="en-US" w:bidi="ar"/>
        </w:rPr>
        <w:t>注:专门面向中小企业采购项目，不再执行上述优惠政策。</w:t>
      </w:r>
    </w:p>
    <w:p>
      <w:pPr>
        <w:spacing w:line="560" w:lineRule="exact"/>
        <w:ind w:firstLine="482" w:firstLineChars="200"/>
        <w:rPr>
          <w:rFonts w:hint="eastAsia" w:ascii="宋体" w:hAnsi="宋体" w:cs="宋体"/>
          <w:b/>
          <w:bCs/>
          <w:kern w:val="0"/>
          <w:sz w:val="24"/>
          <w:lang w:bidi="ar"/>
        </w:rPr>
      </w:pPr>
    </w:p>
    <w:p>
      <w:pPr>
        <w:spacing w:line="560" w:lineRule="exact"/>
        <w:ind w:firstLine="480" w:firstLineChars="200"/>
        <w:rPr>
          <w:rFonts w:hint="eastAsia" w:ascii="宋体" w:hAnsi="宋体" w:cs="宋体"/>
          <w:kern w:val="0"/>
          <w:sz w:val="24"/>
          <w:lang w:bidi="ar"/>
        </w:rPr>
        <w:sectPr>
          <w:pgSz w:w="11906" w:h="16838"/>
          <w:pgMar w:top="1440" w:right="1080" w:bottom="1440" w:left="1080" w:header="851" w:footer="850"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460" w:lineRule="exact"/>
        <w:ind w:firstLine="551" w:firstLineChars="196"/>
        <w:outlineLvl w:val="9"/>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2-6、评分标准</w:t>
      </w:r>
    </w:p>
    <w:tbl>
      <w:tblPr>
        <w:tblStyle w:val="24"/>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26"/>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31" w:type="dxa"/>
            <w:vAlign w:val="center"/>
          </w:tcPr>
          <w:p>
            <w:pPr>
              <w:pageBreakBefore w:val="0"/>
              <w:bidi w:val="0"/>
              <w:jc w:val="center"/>
              <w:outlineLvl w:val="9"/>
              <w:rPr>
                <w:rFonts w:ascii="宋体" w:cs="宋体"/>
                <w:szCs w:val="21"/>
              </w:rPr>
            </w:pPr>
            <w:r>
              <w:rPr>
                <w:rFonts w:hint="eastAsia" w:ascii="宋体" w:hAnsi="宋体" w:cs="宋体"/>
                <w:szCs w:val="21"/>
              </w:rPr>
              <w:t>分值</w:t>
            </w:r>
          </w:p>
          <w:p>
            <w:pPr>
              <w:pageBreakBefore w:val="0"/>
              <w:bidi w:val="0"/>
              <w:jc w:val="center"/>
              <w:outlineLvl w:val="9"/>
              <w:rPr>
                <w:rFonts w:ascii="宋体" w:cs="宋体"/>
                <w:szCs w:val="21"/>
              </w:rPr>
            </w:pPr>
            <w:r>
              <w:rPr>
                <w:rFonts w:hint="eastAsia" w:ascii="宋体" w:hAnsi="宋体" w:cs="宋体"/>
                <w:szCs w:val="21"/>
              </w:rPr>
              <w:t>构成</w:t>
            </w:r>
          </w:p>
        </w:tc>
        <w:tc>
          <w:tcPr>
            <w:tcW w:w="826" w:type="dxa"/>
            <w:tcBorders>
              <w:left w:val="nil"/>
            </w:tcBorders>
            <w:vAlign w:val="center"/>
          </w:tcPr>
          <w:p>
            <w:pPr>
              <w:pageBreakBefore w:val="0"/>
              <w:bidi w:val="0"/>
              <w:outlineLvl w:val="9"/>
              <w:rPr>
                <w:rFonts w:ascii="宋体" w:cs="宋体"/>
                <w:szCs w:val="21"/>
              </w:rPr>
            </w:pPr>
            <w:r>
              <w:rPr>
                <w:rFonts w:hint="eastAsia" w:ascii="宋体" w:hAnsi="宋体" w:cs="宋体"/>
                <w:szCs w:val="21"/>
              </w:rPr>
              <w:t>分值</w:t>
            </w:r>
          </w:p>
          <w:p>
            <w:pPr>
              <w:pageBreakBefore w:val="0"/>
              <w:bidi w:val="0"/>
              <w:outlineLvl w:val="9"/>
              <w:rPr>
                <w:rFonts w:ascii="宋体" w:cs="宋体"/>
                <w:szCs w:val="21"/>
              </w:rPr>
            </w:pPr>
            <w:r>
              <w:rPr>
                <w:rFonts w:ascii="宋体" w:hAnsi="宋体" w:cs="宋体"/>
                <w:szCs w:val="21"/>
              </w:rPr>
              <w:t>100</w:t>
            </w:r>
            <w:r>
              <w:rPr>
                <w:rFonts w:hint="eastAsia" w:ascii="宋体" w:hAnsi="宋体" w:cs="宋体"/>
                <w:szCs w:val="21"/>
              </w:rPr>
              <w:t>分</w:t>
            </w:r>
          </w:p>
        </w:tc>
        <w:tc>
          <w:tcPr>
            <w:tcW w:w="6984" w:type="dxa"/>
            <w:tcBorders>
              <w:left w:val="nil"/>
            </w:tcBorders>
            <w:vAlign w:val="center"/>
          </w:tcPr>
          <w:p>
            <w:pPr>
              <w:pageBreakBefore w:val="0"/>
              <w:bidi w:val="0"/>
              <w:jc w:val="center"/>
              <w:outlineLvl w:val="9"/>
              <w:rPr>
                <w:rFonts w:asci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31" w:type="dxa"/>
            <w:vAlign w:val="center"/>
          </w:tcPr>
          <w:p>
            <w:pPr>
              <w:pageBreakBefore w:val="0"/>
              <w:bidi w:val="0"/>
              <w:jc w:val="center"/>
              <w:outlineLvl w:val="9"/>
              <w:rPr>
                <w:rFonts w:ascii="宋体" w:cs="宋体"/>
                <w:szCs w:val="21"/>
              </w:rPr>
            </w:pPr>
            <w:r>
              <w:rPr>
                <w:rFonts w:hint="eastAsia" w:ascii="宋体" w:hAnsi="宋体" w:cs="宋体"/>
                <w:szCs w:val="21"/>
              </w:rPr>
              <w:t>报价</w:t>
            </w:r>
          </w:p>
        </w:tc>
        <w:tc>
          <w:tcPr>
            <w:tcW w:w="826" w:type="dxa"/>
            <w:tcBorders>
              <w:left w:val="nil"/>
            </w:tcBorders>
            <w:vAlign w:val="center"/>
          </w:tcPr>
          <w:p>
            <w:pPr>
              <w:pageBreakBefore w:val="0"/>
              <w:bidi w:val="0"/>
              <w:outlineLvl w:val="9"/>
              <w:rPr>
                <w:rFonts w:ascii="宋体" w:cs="宋体"/>
                <w:szCs w:val="21"/>
              </w:rPr>
            </w:pPr>
            <w:r>
              <w:rPr>
                <w:rFonts w:ascii="宋体" w:hAnsi="宋体" w:cs="宋体"/>
                <w:szCs w:val="21"/>
              </w:rPr>
              <w:t>30</w:t>
            </w:r>
            <w:r>
              <w:rPr>
                <w:rFonts w:hint="eastAsia" w:ascii="宋体" w:hAnsi="宋体" w:cs="宋体"/>
                <w:szCs w:val="21"/>
              </w:rPr>
              <w:t>分</w:t>
            </w:r>
          </w:p>
        </w:tc>
        <w:tc>
          <w:tcPr>
            <w:tcW w:w="6984" w:type="dxa"/>
            <w:tcBorders>
              <w:left w:val="nil"/>
            </w:tcBorders>
            <w:vAlign w:val="center"/>
          </w:tcPr>
          <w:p>
            <w:pPr>
              <w:pageBreakBefore w:val="0"/>
              <w:bidi w:val="0"/>
              <w:outlineLvl w:val="9"/>
              <w:rPr>
                <w:rFonts w:ascii="宋体" w:cs="宋体"/>
                <w:szCs w:val="21"/>
              </w:rPr>
            </w:pPr>
            <w:r>
              <w:rPr>
                <w:rFonts w:hint="eastAsia" w:ascii="宋体" w:hAnsi="宋体" w:cs="宋体"/>
                <w:szCs w:val="21"/>
              </w:rPr>
              <w:t>满足招标文件要求且投标价格最低的投标价为评标基准价，其价格分为满分。</w:t>
            </w:r>
          </w:p>
          <w:p>
            <w:pPr>
              <w:pageBreakBefore w:val="0"/>
              <w:bidi w:val="0"/>
              <w:outlineLvl w:val="9"/>
              <w:rPr>
                <w:rFonts w:ascii="宋体" w:cs="宋体"/>
                <w:szCs w:val="21"/>
              </w:rPr>
            </w:pPr>
            <w:r>
              <w:rPr>
                <w:rFonts w:hint="eastAsia" w:ascii="宋体" w:hAnsi="宋体" w:cs="宋体"/>
                <w:szCs w:val="21"/>
              </w:rPr>
              <w:t>投标报价得分</w:t>
            </w:r>
            <w:r>
              <w:rPr>
                <w:rFonts w:ascii="宋体" w:hAnsi="宋体" w:cs="宋体"/>
                <w:szCs w:val="21"/>
              </w:rPr>
              <w:t>=</w:t>
            </w:r>
            <w:r>
              <w:rPr>
                <w:rFonts w:hint="eastAsia" w:ascii="宋体" w:hAnsi="宋体" w:cs="宋体"/>
                <w:szCs w:val="21"/>
              </w:rPr>
              <w:t>（评审基准价／投标报价）×价格权值×</w:t>
            </w:r>
            <w:r>
              <w:rPr>
                <w:rFonts w:ascii="宋体" w:hAnsi="宋体" w:cs="宋体"/>
                <w:szCs w:val="21"/>
              </w:rPr>
              <w:t>100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431" w:type="dxa"/>
            <w:vAlign w:val="top"/>
          </w:tcPr>
          <w:p>
            <w:pPr>
              <w:keepNext w:val="0"/>
              <w:keepLines w:val="0"/>
              <w:widowControl/>
              <w:suppressLineNumbers w:val="0"/>
              <w:jc w:val="center"/>
              <w:textAlignment w:val="top"/>
              <w:rPr>
                <w:rFonts w:ascii="宋体" w:cs="宋体"/>
                <w:szCs w:val="21"/>
              </w:rPr>
            </w:pPr>
            <w:r>
              <w:rPr>
                <w:rFonts w:hint="eastAsia" w:ascii="宋体" w:hAnsi="宋体" w:eastAsia="宋体" w:cs="宋体"/>
                <w:i w:val="0"/>
                <w:iCs w:val="0"/>
                <w:color w:val="000000"/>
                <w:kern w:val="0"/>
                <w:sz w:val="21"/>
                <w:szCs w:val="21"/>
                <w:u w:val="none"/>
                <w:lang w:val="en-US" w:eastAsia="zh-CN" w:bidi="ar"/>
              </w:rPr>
              <w:t>供货、运输及安装、调试方案</w:t>
            </w:r>
          </w:p>
        </w:tc>
        <w:tc>
          <w:tcPr>
            <w:tcW w:w="826" w:type="dxa"/>
            <w:tcBorders>
              <w:left w:val="nil"/>
            </w:tcBorders>
            <w:vAlign w:val="center"/>
          </w:tcPr>
          <w:p>
            <w:pPr>
              <w:keepNext w:val="0"/>
              <w:keepLines w:val="0"/>
              <w:widowControl/>
              <w:suppressLineNumbers w:val="0"/>
              <w:jc w:val="both"/>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10分</w:t>
            </w:r>
          </w:p>
        </w:tc>
        <w:tc>
          <w:tcPr>
            <w:tcW w:w="6984" w:type="dxa"/>
            <w:tcBorders>
              <w:left w:val="nil"/>
            </w:tcBorders>
            <w:vAlign w:val="center"/>
          </w:tcPr>
          <w:p>
            <w:pPr>
              <w:keepNext w:val="0"/>
              <w:keepLines w:val="0"/>
              <w:widowControl/>
              <w:suppressLineNumbers w:val="0"/>
              <w:jc w:val="left"/>
              <w:textAlignment w:val="center"/>
              <w:rPr>
                <w:rFonts w:hint="eastAsia" w:ascii="宋体" w:eastAsia="宋体" w:cs="宋体"/>
                <w:szCs w:val="21"/>
                <w:lang w:eastAsia="zh-CN"/>
              </w:rPr>
            </w:pPr>
            <w:r>
              <w:rPr>
                <w:rFonts w:hint="eastAsia" w:ascii="宋体" w:hAnsi="宋体" w:eastAsia="宋体" w:cs="宋体"/>
                <w:i w:val="0"/>
                <w:iCs w:val="0"/>
                <w:color w:val="000000"/>
                <w:kern w:val="0"/>
                <w:sz w:val="21"/>
                <w:szCs w:val="21"/>
                <w:u w:val="none"/>
                <w:lang w:val="en-US" w:eastAsia="zh-CN" w:bidi="ar"/>
              </w:rPr>
              <w:t>根据供应商对本项目的供货、运输、安装、调试方案，保证顺利供货，由专术人员提供设备安装服务，并将设备调试到最佳使用状态进行综合评分，方案制定合理、完善、可实施性强得5-10分（含5分），方案基本考虑全面可实施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pPr>
              <w:keepNext w:val="0"/>
              <w:keepLines w:val="0"/>
              <w:widowControl/>
              <w:suppressLineNumbers w:val="0"/>
              <w:jc w:val="center"/>
              <w:textAlignment w:val="center"/>
              <w:rPr>
                <w:rFonts w:hint="eastAsia" w:ascii="宋体" w:eastAsia="宋体" w:cs="宋体"/>
                <w:szCs w:val="21"/>
                <w:lang w:eastAsia="zh-CN"/>
              </w:rPr>
            </w:pPr>
            <w:r>
              <w:rPr>
                <w:rFonts w:hint="eastAsia" w:ascii="宋体" w:hAnsi="宋体" w:eastAsia="宋体" w:cs="宋体"/>
                <w:i w:val="0"/>
                <w:iCs w:val="0"/>
                <w:color w:val="000000"/>
                <w:kern w:val="0"/>
                <w:sz w:val="21"/>
                <w:szCs w:val="21"/>
                <w:u w:val="none"/>
                <w:lang w:val="en-US" w:eastAsia="zh-CN" w:bidi="ar"/>
              </w:rPr>
              <w:t>质量保证措施</w:t>
            </w:r>
          </w:p>
        </w:tc>
        <w:tc>
          <w:tcPr>
            <w:tcW w:w="826" w:type="dxa"/>
            <w:tcBorders>
              <w:left w:val="nil"/>
            </w:tcBorders>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10分</w:t>
            </w:r>
          </w:p>
        </w:tc>
        <w:tc>
          <w:tcPr>
            <w:tcW w:w="6984" w:type="dxa"/>
            <w:tcBorders>
              <w:left w:val="nil"/>
            </w:tcBorders>
            <w:vAlign w:val="center"/>
          </w:tcPr>
          <w:p>
            <w:pPr>
              <w:keepNext w:val="0"/>
              <w:keepLines w:val="0"/>
              <w:widowControl/>
              <w:suppressLineNumbers w:val="0"/>
              <w:jc w:val="both"/>
              <w:textAlignment w:val="center"/>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所投产品技术工艺先进，性能稳定 ，具有较好的使用效果，质量保证措施完善，符合国际、国内相关标准或行业标准，能够提供质量保证承诺。</w:t>
            </w:r>
            <w:r>
              <w:rPr>
                <w:rStyle w:val="51"/>
                <w:lang w:val="en-US" w:eastAsia="zh-CN" w:bidi="ar"/>
              </w:rPr>
              <w:t>质量保证措施</w:t>
            </w:r>
            <w:r>
              <w:rPr>
                <w:rFonts w:hint="eastAsia" w:ascii="宋体" w:hAnsi="宋体" w:eastAsia="宋体" w:cs="宋体"/>
                <w:i w:val="0"/>
                <w:iCs w:val="0"/>
                <w:color w:val="000000"/>
                <w:kern w:val="0"/>
                <w:sz w:val="21"/>
                <w:szCs w:val="21"/>
                <w:u w:val="none"/>
                <w:lang w:val="en-US" w:eastAsia="zh-CN" w:bidi="ar"/>
              </w:rPr>
              <w:t>全面、合理得5-10分</w:t>
            </w:r>
            <w:r>
              <w:rPr>
                <w:rStyle w:val="51"/>
                <w:lang w:val="en-US" w:eastAsia="zh-CN" w:bidi="ar"/>
              </w:rPr>
              <w:t>（含5分）</w:t>
            </w:r>
            <w:r>
              <w:rPr>
                <w:rFonts w:hint="eastAsia" w:ascii="宋体" w:hAnsi="宋体" w:eastAsia="宋体" w:cs="宋体"/>
                <w:i w:val="0"/>
                <w:iCs w:val="0"/>
                <w:color w:val="000000"/>
                <w:kern w:val="0"/>
                <w:sz w:val="21"/>
                <w:szCs w:val="21"/>
                <w:u w:val="none"/>
                <w:lang w:val="en-US" w:eastAsia="zh-CN" w:bidi="ar"/>
              </w:rPr>
              <w:t>，一般得0-5分。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431"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售后服务方案</w:t>
            </w:r>
          </w:p>
        </w:tc>
        <w:tc>
          <w:tcPr>
            <w:tcW w:w="826" w:type="dxa"/>
            <w:tcBorders>
              <w:left w:val="nil"/>
            </w:tcBorders>
            <w:vAlign w:val="center"/>
          </w:tcPr>
          <w:p>
            <w:pPr>
              <w:keepNext w:val="0"/>
              <w:keepLines w:val="0"/>
              <w:widowControl/>
              <w:suppressLineNumbers w:val="0"/>
              <w:jc w:val="both"/>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10分</w:t>
            </w:r>
          </w:p>
        </w:tc>
        <w:tc>
          <w:tcPr>
            <w:tcW w:w="6984" w:type="dxa"/>
            <w:tcBorders>
              <w:left w:val="nil"/>
            </w:tcBorders>
            <w:vAlign w:val="center"/>
          </w:tcPr>
          <w:p>
            <w:pPr>
              <w:keepNext w:val="0"/>
              <w:keepLines w:val="0"/>
              <w:widowControl/>
              <w:suppressLineNumbers w:val="0"/>
              <w:jc w:val="left"/>
              <w:textAlignment w:val="center"/>
              <w:rPr>
                <w:rFonts w:hint="eastAsia" w:ascii="宋体" w:hAnsi="宋体" w:eastAsia="宋体" w:cs="宋体"/>
                <w:szCs w:val="21"/>
                <w:lang w:eastAsia="zh-CN"/>
              </w:rPr>
            </w:pPr>
            <w:r>
              <w:rPr>
                <w:rFonts w:hint="eastAsia" w:ascii="宋体" w:hAnsi="宋体" w:eastAsia="宋体" w:cs="宋体"/>
                <w:i w:val="0"/>
                <w:iCs w:val="0"/>
                <w:color w:val="000000"/>
                <w:kern w:val="0"/>
                <w:sz w:val="21"/>
                <w:szCs w:val="21"/>
                <w:u w:val="none"/>
                <w:lang w:val="en-US" w:eastAsia="zh-CN" w:bidi="ar"/>
              </w:rPr>
              <w:t>售后服务机构的设定、提供售后服务的能力及具体的售后服务方案（拟投入售后服务人员配置情况、验收方案、日常维护、应急预案、故障响应时间及应对措施，质量保证范围等，能有效保障本地化技术服务及售后服务的协调性、及时性）。售后服务方案内容具体、完整、全面，具有可行性的得5-10分（含5分）；售后服务方案内容欠缺、描述简单、可行性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431" w:type="dxa"/>
            <w:vAlign w:val="center"/>
          </w:tcPr>
          <w:p>
            <w:pPr>
              <w:keepNext w:val="0"/>
              <w:keepLines w:val="0"/>
              <w:widowControl/>
              <w:suppressLineNumbers w:val="0"/>
              <w:jc w:val="center"/>
              <w:textAlignment w:val="center"/>
              <w:rPr>
                <w:rFonts w:hint="default"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培训方案</w:t>
            </w:r>
          </w:p>
        </w:tc>
        <w:tc>
          <w:tcPr>
            <w:tcW w:w="826" w:type="dxa"/>
            <w:tcBorders>
              <w:left w:val="nil"/>
            </w:tcBorders>
            <w:vAlign w:val="center"/>
          </w:tcPr>
          <w:p>
            <w:pPr>
              <w:keepNext w:val="0"/>
              <w:keepLines w:val="0"/>
              <w:widowControl/>
              <w:suppressLineNumbers w:val="0"/>
              <w:jc w:val="both"/>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5分</w:t>
            </w:r>
          </w:p>
        </w:tc>
        <w:tc>
          <w:tcPr>
            <w:tcW w:w="6984" w:type="dxa"/>
            <w:tcBorders>
              <w:left w:val="nil"/>
            </w:tcBorders>
            <w:vAlign w:val="center"/>
          </w:tcPr>
          <w:p>
            <w:pPr>
              <w:keepNext w:val="0"/>
              <w:keepLines w:val="0"/>
              <w:widowControl/>
              <w:suppressLineNumbers w:val="0"/>
              <w:jc w:val="both"/>
              <w:textAlignment w:val="center"/>
              <w:rPr>
                <w:rFonts w:hint="eastAsia" w:hAnsi="宋体" w:cs="宋体"/>
                <w:kern w:val="2"/>
                <w:sz w:val="21"/>
                <w:szCs w:val="21"/>
              </w:rPr>
            </w:pPr>
            <w:r>
              <w:rPr>
                <w:rStyle w:val="51"/>
                <w:lang w:val="en-US" w:eastAsia="zh-CN" w:bidi="ar"/>
              </w:rPr>
              <w:t>供应商提供的培训方案全面、完整、可行、有针对性。培训内容有层次，培训方式适当，能够保障使用单位能熟练操作维护和正常使用，根据培训方案的优劣情况</w:t>
            </w:r>
            <w:r>
              <w:rPr>
                <w:rStyle w:val="51"/>
                <w:rFonts w:hint="eastAsia"/>
                <w:lang w:val="en-US" w:eastAsia="zh-CN" w:bidi="ar"/>
              </w:rPr>
              <w:t>得</w:t>
            </w:r>
            <w:r>
              <w:rPr>
                <w:rFonts w:ascii="Calibri" w:hAnsi="Calibri" w:eastAsia="宋体" w:cs="Calibri"/>
                <w:i w:val="0"/>
                <w:iCs w:val="0"/>
                <w:color w:val="000000"/>
                <w:kern w:val="0"/>
                <w:sz w:val="21"/>
                <w:szCs w:val="21"/>
                <w:u w:val="none"/>
                <w:lang w:val="en-US" w:eastAsia="zh-CN" w:bidi="ar"/>
              </w:rPr>
              <w:t>0-5</w:t>
            </w:r>
            <w:r>
              <w:rPr>
                <w:rStyle w:val="5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31"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项目团队</w:t>
            </w:r>
          </w:p>
        </w:tc>
        <w:tc>
          <w:tcPr>
            <w:tcW w:w="826" w:type="dxa"/>
            <w:tcBorders>
              <w:left w:val="nil"/>
            </w:tcBorders>
            <w:vAlign w:val="center"/>
          </w:tcPr>
          <w:p>
            <w:pPr>
              <w:keepNext w:val="0"/>
              <w:keepLines w:val="0"/>
              <w:widowControl/>
              <w:suppressLineNumbers w:val="0"/>
              <w:jc w:val="both"/>
              <w:textAlignment w:val="center"/>
              <w:rPr>
                <w:rFonts w:ascii="宋体" w:cs="宋体"/>
                <w:szCs w:val="21"/>
              </w:rPr>
            </w:pPr>
            <w:r>
              <w:rPr>
                <w:rFonts w:hint="eastAsia" w:ascii="宋体" w:hAnsi="宋体" w:eastAsia="宋体" w:cs="宋体"/>
                <w:i w:val="0"/>
                <w:iCs w:val="0"/>
                <w:color w:val="000000"/>
                <w:kern w:val="0"/>
                <w:sz w:val="21"/>
                <w:szCs w:val="21"/>
                <w:u w:val="none"/>
                <w:lang w:val="en-US" w:eastAsia="zh-CN" w:bidi="ar"/>
              </w:rPr>
              <w:t>10分</w:t>
            </w:r>
          </w:p>
        </w:tc>
        <w:tc>
          <w:tcPr>
            <w:tcW w:w="6984" w:type="dxa"/>
            <w:tcBorders>
              <w:left w:val="nil"/>
            </w:tcBorders>
            <w:vAlign w:val="center"/>
          </w:tcPr>
          <w:p>
            <w:pPr>
              <w:keepNext w:val="0"/>
              <w:keepLines w:val="0"/>
              <w:widowControl/>
              <w:suppressLineNumbers w:val="0"/>
              <w:jc w:val="both"/>
              <w:textAlignment w:val="center"/>
              <w:rPr>
                <w:rFonts w:hint="eastAsia" w:ascii="宋体" w:hAnsi="宋体" w:eastAsia="宋体" w:cs="宋体"/>
                <w:szCs w:val="21"/>
                <w:lang w:eastAsia="zh-CN"/>
              </w:rPr>
            </w:pPr>
            <w:r>
              <w:rPr>
                <w:rFonts w:hint="eastAsia" w:ascii="宋体" w:hAnsi="宋体" w:eastAsia="宋体" w:cs="宋体"/>
                <w:i w:val="0"/>
                <w:iCs w:val="0"/>
                <w:color w:val="000000"/>
                <w:kern w:val="0"/>
                <w:sz w:val="21"/>
                <w:szCs w:val="21"/>
                <w:u w:val="none"/>
                <w:lang w:val="en-US" w:eastAsia="zh-CN" w:bidi="ar"/>
              </w:rPr>
              <w:t xml:space="preserve">组织机构设置合理，项目管理人员及技术人员配备数量充足、人员职责明确、分工清晰合理、相关项目实施经验丰富，得5-10分（含5分）；组织机构设置一般，项目管理人员及技术人员配备数量不够充足、职责不够明确、分工不够清晰合理，不具备相关项目实施经验，得0-5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31" w:type="dxa"/>
            <w:vAlign w:val="center"/>
          </w:tcPr>
          <w:p>
            <w:pPr>
              <w:keepNext w:val="0"/>
              <w:keepLines w:val="0"/>
              <w:widowControl/>
              <w:suppressLineNumbers w:val="0"/>
              <w:jc w:val="center"/>
              <w:textAlignment w:val="center"/>
              <w:rPr>
                <w:rFonts w:ascii="宋体" w:cs="宋体"/>
                <w:b/>
                <w:bCs/>
                <w:szCs w:val="21"/>
              </w:rPr>
            </w:pPr>
            <w:r>
              <w:rPr>
                <w:rFonts w:hint="eastAsia" w:ascii="宋体" w:hAnsi="宋体" w:eastAsia="宋体" w:cs="宋体"/>
                <w:i w:val="0"/>
                <w:iCs w:val="0"/>
                <w:color w:val="000000"/>
                <w:kern w:val="0"/>
                <w:sz w:val="21"/>
                <w:szCs w:val="21"/>
                <w:u w:val="none"/>
                <w:lang w:val="en-US" w:eastAsia="zh-CN" w:bidi="ar"/>
              </w:rPr>
              <w:t>企业实力</w:t>
            </w:r>
          </w:p>
        </w:tc>
        <w:tc>
          <w:tcPr>
            <w:tcW w:w="826" w:type="dxa"/>
            <w:tcBorders>
              <w:left w:val="nil"/>
            </w:tcBorders>
            <w:vAlign w:val="center"/>
          </w:tcPr>
          <w:p>
            <w:pPr>
              <w:keepNext w:val="0"/>
              <w:keepLines w:val="0"/>
              <w:widowControl/>
              <w:suppressLineNumbers w:val="0"/>
              <w:jc w:val="both"/>
              <w:textAlignment w:val="center"/>
              <w:rPr>
                <w:rFonts w:ascii="宋体" w:cs="宋体"/>
                <w:b/>
                <w:bCs/>
                <w:szCs w:val="21"/>
              </w:rPr>
            </w:pPr>
            <w:r>
              <w:rPr>
                <w:rFonts w:hint="eastAsia" w:ascii="宋体" w:hAnsi="宋体" w:eastAsia="宋体" w:cs="宋体"/>
                <w:i w:val="0"/>
                <w:iCs w:val="0"/>
                <w:color w:val="000000"/>
                <w:kern w:val="0"/>
                <w:sz w:val="21"/>
                <w:szCs w:val="21"/>
                <w:u w:val="none"/>
                <w:lang w:val="en-US" w:eastAsia="zh-CN" w:bidi="ar"/>
              </w:rPr>
              <w:t>10分</w:t>
            </w:r>
          </w:p>
        </w:tc>
        <w:tc>
          <w:tcPr>
            <w:tcW w:w="6984" w:type="dxa"/>
            <w:tcBorders>
              <w:left w:val="nil"/>
            </w:tcBorders>
            <w:vAlign w:val="center"/>
          </w:tcPr>
          <w:p>
            <w:pPr>
              <w:keepNext w:val="0"/>
              <w:keepLines w:val="0"/>
              <w:widowControl/>
              <w:suppressLineNumbers w:val="0"/>
              <w:jc w:val="both"/>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投标人具有环境管理体系认证证书，质量管理体系认证，信息系统安全集成服务资质证书、国家信息安全测评信息安全服务资质证书、信息系统建设和服务能力等级证书，每具有一个得2分，最高得10分。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31"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企业业绩</w:t>
            </w:r>
          </w:p>
        </w:tc>
        <w:tc>
          <w:tcPr>
            <w:tcW w:w="826" w:type="dxa"/>
            <w:tcBorders>
              <w:left w:val="nil"/>
            </w:tcBorders>
            <w:vAlign w:val="center"/>
          </w:tcPr>
          <w:p>
            <w:pPr>
              <w:keepNext w:val="0"/>
              <w:keepLines w:val="0"/>
              <w:widowControl/>
              <w:suppressLineNumbers w:val="0"/>
              <w:jc w:val="both"/>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9分</w:t>
            </w:r>
          </w:p>
        </w:tc>
        <w:tc>
          <w:tcPr>
            <w:tcW w:w="6984" w:type="dxa"/>
            <w:tcBorders>
              <w:left w:val="nil"/>
            </w:tcBorders>
            <w:vAlign w:val="center"/>
          </w:tcPr>
          <w:p>
            <w:pPr>
              <w:keepNext w:val="0"/>
              <w:keepLines w:val="0"/>
              <w:widowControl/>
              <w:suppressLineNumbers w:val="0"/>
              <w:jc w:val="both"/>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 xml:space="preserve">每提供1个2020年1月1日至今类似项目业绩（提供中标/成交通知书或合同协议书）得4.5分，共9分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31"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商务响应</w:t>
            </w:r>
          </w:p>
        </w:tc>
        <w:tc>
          <w:tcPr>
            <w:tcW w:w="826" w:type="dxa"/>
            <w:tcBorders>
              <w:left w:val="nil"/>
            </w:tcBorders>
            <w:vAlign w:val="center"/>
          </w:tcPr>
          <w:p>
            <w:pPr>
              <w:keepNext w:val="0"/>
              <w:keepLines w:val="0"/>
              <w:widowControl/>
              <w:suppressLineNumbers w:val="0"/>
              <w:jc w:val="both"/>
              <w:textAlignment w:val="center"/>
              <w:rPr>
                <w:rFonts w:hint="eastAsia" w:ascii="宋体" w:hAnsi="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6分</w:t>
            </w:r>
          </w:p>
        </w:tc>
        <w:tc>
          <w:tcPr>
            <w:tcW w:w="6984" w:type="dxa"/>
            <w:tcBorders>
              <w:left w:val="nil"/>
            </w:tcBorders>
            <w:vAlign w:val="center"/>
          </w:tcPr>
          <w:p>
            <w:pPr>
              <w:keepNext w:val="0"/>
              <w:keepLines w:val="0"/>
              <w:widowControl/>
              <w:suppressLineNumbers w:val="0"/>
              <w:jc w:val="both"/>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投标文件对交货期、质保期、质量标准等商务要求进行响应说明，每有一项优于招标文件得</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分，最高得</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分。</w:t>
            </w:r>
          </w:p>
        </w:tc>
      </w:tr>
    </w:tbl>
    <w:p>
      <w:pPr>
        <w:pageBreakBefore w:val="0"/>
        <w:bidi w:val="0"/>
        <w:spacing w:line="460" w:lineRule="exact"/>
        <w:outlineLvl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满分：100分，综合评分法。各分项分值分配如下：</w:t>
      </w:r>
    </w:p>
    <w:p>
      <w:pPr>
        <w:pageBreakBefore w:val="0"/>
        <w:bidi w:val="0"/>
        <w:spacing w:line="460" w:lineRule="exac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注：1）评委打分超过得分界限或未按本方法赋分时，该评委的打分按废票处理。</w:t>
      </w:r>
    </w:p>
    <w:p>
      <w:pPr>
        <w:pageBreakBefore w:val="0"/>
        <w:numPr>
          <w:ilvl w:val="0"/>
          <w:numId w:val="3"/>
        </w:numPr>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各种计算数字均保留两位小数，第三位“四舍五入”。 </w:t>
      </w:r>
    </w:p>
    <w:p>
      <w:pPr>
        <w:pageBreakBefore w:val="0"/>
        <w:bidi w:val="0"/>
        <w:spacing w:line="460" w:lineRule="exact"/>
        <w:ind w:firstLine="482"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3）特殊情况处理</w:t>
      </w:r>
      <w:r>
        <w:rPr>
          <w:rFonts w:hint="eastAsia" w:asciiTheme="minorEastAsia" w:hAnsiTheme="minorEastAsia" w:eastAsiaTheme="minorEastAsia" w:cstheme="minorEastAsia"/>
          <w:sz w:val="24"/>
          <w:szCs w:val="24"/>
        </w:rPr>
        <w:t>：</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若出现综合得分并列时，投标报价得分高者为第一中标候选人，若投标报价的得分相同，技术得分高者为第一中标候选人，若上述两项得分相同，则由全体评标委员会成员无记名投票，得票高者为第一中标候选人。</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b、当供应商某评分项出现未报、漏报或零报价时，该分项得零分，并不参与投标报价分的计算。</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c、评标过程中，若出现本评标方法以外的特殊情况时，将暂停评标，待评委商榷后再进行复会。</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r>
        <w:rPr>
          <w:rFonts w:hint="eastAsia" w:asciiTheme="minorEastAsia" w:hAnsiTheme="minorEastAsia" w:eastAsiaTheme="minorEastAsia" w:cstheme="minorEastAsia"/>
          <w:b/>
          <w:bCs/>
          <w:sz w:val="24"/>
          <w:szCs w:val="24"/>
        </w:rPr>
        <w:t>定标</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3-1、定标程序</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（1）评标委员会依据评标办法，经过初审、澄清、比较与评价等程序后，在最大限度满足招标文件实质性要求前提下进行综合评审，以评标总得分最高到低的顺序推荐3名以上中标候选人，并编写评标报告。</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在收到评标报告5个工作日内，从评审报告推荐的中标候选人中，以评标总分最高的供应商作为中标人，向采购代理机构出具《定标复函》；采购人逾期未确定中标单位且不提出异议的，视为确定评标报告推荐的评标得分最高的供应商为中标人。</w:t>
      </w:r>
    </w:p>
    <w:p>
      <w:pPr>
        <w:pageBreakBefore w:val="0"/>
        <w:bidi w:val="0"/>
        <w:adjustRightInd w:val="0"/>
        <w:snapToGrid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代理机构接到采购人的《定标复函》后，将中标结果在陕西省政府采购网上进行公告。公告发布1个工作日，其他供应商若有异议，按《政府采购法》第52条执行。若无异议，采购代理机构向中标单位发出中标通知书。</w:t>
      </w:r>
    </w:p>
    <w:p>
      <w:pPr>
        <w:pageBreakBefore w:val="0"/>
        <w:bidi w:val="0"/>
        <w:spacing w:line="460" w:lineRule="exact"/>
        <w:ind w:firstLine="600" w:firstLineChars="25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3-2、中标人确定后，采购人和采购代理机构对未中标原因不作任何解释，投标文件不予退还（含纸质及电子版文件）。</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七、中标通知</w:t>
      </w:r>
    </w:p>
    <w:p>
      <w:pPr>
        <w:pageBreakBefore w:val="0"/>
        <w:bidi w:val="0"/>
        <w:adjustRightInd w:val="0"/>
        <w:snapToGrid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1、招标结果公示期满后且无异议的，采购代理机构向中标单位发出中标通知书。</w:t>
      </w:r>
    </w:p>
    <w:p>
      <w:pPr>
        <w:pageBreakBefore w:val="0"/>
        <w:tabs>
          <w:tab w:val="left" w:pos="2700"/>
        </w:tabs>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2、中标人应在接到采购代理机构通知之日起七日内领取中标通知书。未在规定时间内领取中标通知书的，投标保证金不予退还。提供投标担保的供应商将由专业担保机构先行偿付采购人损失。</w:t>
      </w:r>
    </w:p>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八、合同</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1、中标人在收到中标通知书后</w:t>
      </w:r>
      <w:r>
        <w:rPr>
          <w:rFonts w:hint="eastAsia" w:asciiTheme="minorEastAsia" w:hAnsiTheme="minorEastAsia" w:eastAsiaTheme="minorEastAsia" w:cstheme="minorEastAsia"/>
          <w:sz w:val="24"/>
          <w:szCs w:val="24"/>
          <w:lang w:val="en-US" w:eastAsia="zh-CN"/>
        </w:rPr>
        <w:t>十五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个日历日内，应按招标文件的要求与采购人签订合同。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3、中标通知书将是合同的重要组成部分。招标文件、中标人的投标文件及评议过程中有关的澄清文件均作为合同附件。</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5、采购人需追加与合同标的相同的货物或服务的，在不改变合同其他条款的前提下，可以与中标人协商签订补充合同，但所有补充合同的采购金额不得超过原合同采购金额的百分之十。</w:t>
      </w:r>
    </w:p>
    <w:p>
      <w:pPr>
        <w:pageBreakBefore w:val="0"/>
        <w:bidi w:val="0"/>
        <w:spacing w:line="460" w:lineRule="exact"/>
        <w:ind w:firstLine="482"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九、招标服务费</w:t>
      </w:r>
    </w:p>
    <w:p>
      <w:pPr>
        <w:pageBreakBefore w:val="0"/>
        <w:autoSpaceDE w:val="0"/>
        <w:autoSpaceDN w:val="0"/>
        <w:bidi w:val="0"/>
        <w:adjustRightInd w:val="0"/>
        <w:snapToGrid w:val="0"/>
        <w:spacing w:line="360" w:lineRule="auto"/>
        <w:ind w:firstLine="360" w:firstLineChars="150"/>
        <w:outlineLvl w:val="9"/>
        <w:rPr>
          <w:rFonts w:asciiTheme="minorEastAsia" w:hAnsiTheme="minorEastAsia" w:eastAsiaTheme="minorEastAsia" w:cstheme="minorEastAsia"/>
          <w:sz w:val="24"/>
          <w:szCs w:val="24"/>
        </w:rPr>
      </w:pPr>
      <w:bookmarkStart w:id="4" w:name="_Toc194663910"/>
      <w:bookmarkStart w:id="5" w:name="_Toc193126874"/>
      <w:bookmarkStart w:id="6" w:name="_Toc193187089"/>
      <w:bookmarkStart w:id="7" w:name="_Toc188808820"/>
      <w:r>
        <w:rPr>
          <w:rFonts w:hint="eastAsia" w:asciiTheme="minorEastAsia" w:hAnsiTheme="minorEastAsia" w:eastAsiaTheme="minorEastAsia" w:cstheme="minorEastAsia"/>
          <w:bCs/>
          <w:sz w:val="24"/>
          <w:szCs w:val="24"/>
          <w:lang w:val="zh-CN"/>
        </w:rPr>
        <w:t>中标服务费参照《国家计委关于印发&lt;招标代理服务收费管理暂行办法&gt;的通知》（计价格[2002]1980号）和国家发展改革委员会办公厅颁发的《关于招标代理服务收费有关问题的通知》（发改办价格[2003]857号）（发改价格〔2011〕534号）规定标准收取。中标服务费由中标单位向采购代理机构支付。</w:t>
      </w:r>
    </w:p>
    <w:bookmarkEnd w:id="4"/>
    <w:bookmarkEnd w:id="5"/>
    <w:bookmarkEnd w:id="6"/>
    <w:bookmarkEnd w:id="7"/>
    <w:p>
      <w:pPr>
        <w:pageBreakBefore w:val="0"/>
        <w:bidi w:val="0"/>
        <w:spacing w:line="460" w:lineRule="exact"/>
        <w:ind w:firstLine="482" w:firstLineChars="200"/>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十、质疑</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供应商认为招标文件、招标过程和中标结果使自己的权益受到损害的，可以按《政府采购法》第52条执行。</w:t>
      </w:r>
    </w:p>
    <w:p>
      <w:pPr>
        <w:pStyle w:val="8"/>
        <w:pageBreakBefore w:val="0"/>
        <w:bidi w:val="0"/>
        <w:ind w:firstLine="0" w:firstLineChars="0"/>
        <w:outlineLvl w:val="9"/>
        <w:rPr>
          <w:rFonts w:asciiTheme="minorEastAsia" w:hAnsiTheme="minorEastAsia" w:eastAsiaTheme="minorEastAsia" w:cstheme="minorEastAsia"/>
          <w:sz w:val="28"/>
          <w:szCs w:val="28"/>
        </w:rPr>
        <w:sectPr>
          <w:pgSz w:w="11900" w:h="16838"/>
          <w:pgMar w:top="1440" w:right="1046" w:bottom="430" w:left="1440" w:header="0" w:footer="0" w:gutter="0"/>
          <w:pgBorders>
            <w:top w:val="none" w:sz="0" w:space="0"/>
            <w:left w:val="none" w:sz="0" w:space="0"/>
            <w:bottom w:val="none" w:sz="0" w:space="0"/>
            <w:right w:val="none" w:sz="0" w:space="0"/>
          </w:pgBorders>
          <w:cols w:equalWidth="0" w:num="1">
            <w:col w:w="9420"/>
          </w:cols>
        </w:sectPr>
      </w:pP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jc w:val="center"/>
        <w:textAlignment w:val="auto"/>
        <w:outlineLvl w:val="0"/>
        <w:rPr>
          <w:rFonts w:hint="eastAsia" w:asciiTheme="minorEastAsia" w:hAnsiTheme="minorEastAsia" w:eastAsiaTheme="minorEastAsia" w:cstheme="minorEastAsia"/>
          <w:b/>
          <w:bCs/>
          <w:sz w:val="28"/>
          <w:szCs w:val="32"/>
          <w:lang w:val="en-US" w:eastAsia="zh-CN"/>
        </w:rPr>
      </w:pPr>
      <w:bookmarkStart w:id="8" w:name="_Toc4190"/>
      <w:bookmarkStart w:id="13" w:name="_GoBack"/>
      <w:bookmarkEnd w:id="13"/>
      <w:r>
        <w:rPr>
          <w:rFonts w:hint="eastAsia" w:asciiTheme="minorEastAsia" w:hAnsiTheme="minorEastAsia" w:eastAsiaTheme="minorEastAsia" w:cstheme="minorEastAsia"/>
          <w:b/>
          <w:bCs/>
          <w:sz w:val="28"/>
          <w:szCs w:val="32"/>
          <w:lang w:val="en-US" w:eastAsia="zh-CN"/>
        </w:rPr>
        <w:t>采购内容及要求</w:t>
      </w:r>
      <w:bookmarkEnd w:id="8"/>
    </w:p>
    <w:p>
      <w:pPr>
        <w:numPr>
          <w:ilvl w:val="0"/>
          <w:numId w:val="5"/>
        </w:numPr>
        <w:spacing w:line="360" w:lineRule="auto"/>
        <w:rPr>
          <w:rFonts w:hint="eastAsia" w:ascii="宋体" w:hAnsi="宋体"/>
          <w:b/>
          <w:bCs/>
          <w:color w:val="000000"/>
          <w:sz w:val="24"/>
          <w:szCs w:val="24"/>
          <w:lang w:val="en-US" w:eastAsia="zh-CN"/>
        </w:rPr>
      </w:pPr>
      <w:bookmarkStart w:id="9" w:name="_Toc28609"/>
      <w:r>
        <w:rPr>
          <w:rFonts w:hint="eastAsia" w:ascii="宋体" w:hAnsi="宋体"/>
          <w:b/>
          <w:bCs/>
          <w:color w:val="000000"/>
          <w:sz w:val="24"/>
          <w:szCs w:val="24"/>
          <w:lang w:val="en-US" w:eastAsia="zh-CN"/>
        </w:rPr>
        <w:t>采购清单</w:t>
      </w:r>
    </w:p>
    <w:p>
      <w:pPr>
        <w:pStyle w:val="2"/>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初中理化生实验室操作考试标准化考场建设项目采购内容汇总表</w:t>
      </w:r>
    </w:p>
    <w:tbl>
      <w:tblPr>
        <w:tblStyle w:val="24"/>
        <w:tblW w:w="50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944"/>
        <w:gridCol w:w="2326"/>
        <w:gridCol w:w="1193"/>
        <w:gridCol w:w="1102"/>
        <w:gridCol w:w="3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9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考务系统</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县（校）级考务平台</w:t>
            </w:r>
          </w:p>
        </w:tc>
        <w:tc>
          <w:tcPr>
            <w:tcW w:w="612" w:type="pct"/>
            <w:tcBorders>
              <w:top w:val="single" w:color="000000" w:sz="4" w:space="0"/>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1、服务器设备的基本功能和性能符合GB/T9813.3—2017,CPU、内存、硬盘、网络接口等可靠性应符合GB/T21028—2007的有关要求；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2、系统的安全性应按照GB/T22239—2019的要求进行检验，系统的可靠性符合GB/T29832.2—2013、GB/T29832.3—2013中的要求。系统安全基于HTTP协议传输的数据使用SS/TLS协议加密传输和身份认证。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室内外监控</w:t>
            </w:r>
          </w:p>
        </w:tc>
        <w:tc>
          <w:tcPr>
            <w:tcW w:w="612" w:type="pct"/>
            <w:tcBorders>
              <w:top w:val="single" w:color="000000" w:sz="4" w:space="0"/>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汇聚点</w:t>
            </w:r>
          </w:p>
        </w:tc>
        <w:tc>
          <w:tcPr>
            <w:tcW w:w="612" w:type="pct"/>
            <w:tcBorders>
              <w:top w:val="single" w:color="000000" w:sz="4" w:space="0"/>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阅卷点</w:t>
            </w:r>
          </w:p>
        </w:tc>
        <w:tc>
          <w:tcPr>
            <w:tcW w:w="612" w:type="pct"/>
            <w:tcBorders>
              <w:top w:val="single" w:color="000000" w:sz="4" w:space="0"/>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考点学校机房</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化学实验室考试系统</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物理实验室考试系统</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生物实验室考试系统</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实验考场</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化学实验室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1、理化生实验室均为56个学生座位；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2、建设标准符合JY/T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0385—2006《中小学理科实验室装备标准》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生物实验室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物理实验室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备考室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候考室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化学危险品室</w:t>
            </w:r>
          </w:p>
        </w:tc>
        <w:tc>
          <w:tcPr>
            <w:tcW w:w="612"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19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4"/>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
        <w:gridCol w:w="27"/>
        <w:gridCol w:w="295"/>
        <w:gridCol w:w="253"/>
        <w:gridCol w:w="158"/>
        <w:gridCol w:w="112"/>
        <w:gridCol w:w="370"/>
        <w:gridCol w:w="579"/>
        <w:gridCol w:w="4713"/>
        <w:gridCol w:w="224"/>
        <w:gridCol w:w="488"/>
        <w:gridCol w:w="874"/>
        <w:gridCol w:w="15"/>
        <w:gridCol w:w="871"/>
        <w:gridCol w:w="6"/>
        <w:gridCol w:w="527"/>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4605" w:type="pct"/>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初中理化生考务平台建设清单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4605" w:type="pct"/>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一、县（校）级考务平台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57"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447"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53"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366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县（校）级实验操作及测评平台软件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1.系统架构：系统采用WEB形式的B/S结构，所有应用服务应运行在centos7.4及以上版本。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2.登录管理：支持修改头像、手机及密码等。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3.用户管理：支持Excel模板批量导入用户。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4.基础数据管理：支持实验室、学生、班级管理，可进行新增、删除、修改、查询、启用及禁用等操作。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考试管理：支持预览考试详情，包含考试模式、报考年级及时长等信息。支持快速创建考试，选择考试模板，自动生成基础配置信息，选择科目试题，试题需支持对试题基础信息、评分标准及题型进行再次编辑修改，即可完成考试创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6.题型管理：包括选择题、填空题、表格题、标注题等。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7.系统需支持市、区级组织集中大规模的统一考试和多校联考，由区、校级协同；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8.支持分级分工统筹管理。平台负责考试的发起、组织评分、成绩发布各环节考试主流程管理。支持下发数据包给考点，由考点完成监考实施，回收各区的阅卷成绩。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9.系统的安全性应按照GB/T22239—2019的要求进行检验，系统的可靠性符合GB/T29832.2—2013、GB/T29832.3—2013中的要求。系统安全基于HTTP协议传输的数据使用SS/TLS协议加密传输和身份认证。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264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考务平台云主机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规格：19英寸工业标准2U机架式服务器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处理器：不少于1颗Intel Xeon Gold 5218 2.3GHz 16核处理器；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内存：不少于1*32GB RDIMM ECC  DDR4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硬盘：≥2块4TB  SATA硬盘；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RAID卡：730-8i（1G缓存），支持RAID0/1/10/5/50;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网卡：4个千兆RJ45端口，1个独享的管理端口；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电源：550W 80+铂金电源，1+1冗余电源；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服务：原厂3年7x24x4免费人工上门服务。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258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考务管理服务器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规格：19英寸工业标准2U机架式服务器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处理器：≥2颗Intel Xeon Gold 5218 2.3GHz 16核处理器；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内存：≥2*32GB RDIMM ECC  DDR4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硬盘：≥3块4TB  SATA硬盘；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RAID卡：730-8i（1G缓存），支持RAID0/1/10/5/50;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网卡：4个千兆RJ45端口，1个独享的管理端口；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电源：550W 80+铂金电源，1+1冗余电源；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服务器设备的基本功能和性能符合GB/T9813.3—2017，服务器设备的CPU、内存、硬盘、网络接口等可靠性应符合GB/T21028—2007的有关要求；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服务：原厂3年7x24x4免费人工上门服务。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264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阅卷管理服务器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规格：19英寸工业标准2U机架式服务器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处理器：≥2颗Intel Xeon Gold 5218 2.3GHz 16核处理器；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内存：≥2*32GB RDIMM ECC  DDR4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硬盘：≥3块4TB  SATA硬盘；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RAID卡：730-8i（1G缓存），支持RAID0/1/10/5/50;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网卡：4个千兆RJ45端口，1个独享的管理端口；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电源：550W 80+铂金电源，1+1冗余电源；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服务器设备的基本功能和性能符合GB/T9813.3—2017，服务器设备的CPU、内存、硬盘、网络接口等可靠性应符合GB/T21028—2007的有关要求；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服务：原厂3年7x24x4免费人工上门服务。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358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理化生实验评卷平台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支持导入结构化试题答卷，设置评卷参数；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支持多评制，配置仲裁规则，超出多评误差阈值自动产生仲裁卷；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支持第三方评分数据的导入并参与仲裁；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支持智能赋分系统辅助人工评分；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支持查询并打印考生信息及得分，支持 Excel 等规定格式的文件；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支持关联展示作答视频功能；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7.支持阅卷系统多角色任务分配和管理，按需灵活生成阅卷分组，支持各角色任意人数分组，支持设置质检组角色，识别阅卷问题，确保阅卷质量；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8.支持按阅卷点、阅卷室分组，灵活配置每组可阅试题，随机分配试卷；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9.支持可视化的阅卷进度管理，通过排行榜反馈各阅卷老师的阅卷速率。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10.支持阅卷视频倍速播放，支持关键帧辅助阅卷，支持评分点视频跳转回放，支持视角切换，支持拍照辅助阅卷，支持扣分法评分。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11.支持试评，正评模式。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12.存储信息可靠性符合GB/T26822—2011要求。</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4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1.交换容量≥45Tbps。 包转发率≥10060Mpps。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2.主控引擎与业务板卡完全物理分离, 采用全分布式转发处理架构，独立主控引擎插槽≥2个，独立业务插槽数≥3个；主控引擎故障情况下，不能影响整机转发能力。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符合业界主流机柜的尺寸规范要求，设备高度≤4U，设备深度≤600mm。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4.主控引擎集成硬件监控功能，支持集中监控板卡、风扇、电源、环境等状态参数，不允许单独配置硬件监控板卡。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5.支持IEEE 802.1d(STP)、 802.1w(RSTP)、 802.1s(MSTP)，支持端口聚合，支持一对一镜像、多对一镜像、一对多镜像，支持流镜像，支持SPAN、RSPAN远程镜像。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6.支持静态路由、RIP、RIPng、OSPF、OSPFv3、BGP、BGP4+、ISIS、ISISv6，支持路由协议多实例，支持GR for OSPF/IS-IS/BGP，支持策略路由。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7.支持IGMPv1/v2/v3、IGMP Snooping 、PIM DM、PIM SM、PIM SSM；支持组播流量控制、支持组播查询器。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8.支持IPv6过渡技术，IPv4/IPv6双栈、6over4隧道、4 over6隧道；支持IPv6 DHCP SERVER、IPv6 DHCP Relay、DHCP Snooping。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9.支持专门针对CPU保护机制的功能，可将送CPU的报文，如ARP报文的速率进行限制，使CPU的使用率降低到10%以内，保障了CPU安全。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10.本次配置双引擎双电源，板卡要求千兆电口≥24个，千兆光口≥8个，万兆光口≥8个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11.为保证IPv6的可部署性和应用性，所投交换机需具备IPv6 Ready Phase2认证证书，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12.提供工信部设备进网许可证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101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UPS主机额定容量不低于10KVA;输入电压范围：120~276VAC；输入频率工作范围：45-65Hz  输入功率因数：≥0.99   旁路输入：220/230/240VAC单相三线  旁路同步跟踪范围：±10%   输出电压：220/230/240VAC ±1% ；输出频率：与输入同步：当市电频率超出最大±10%（可设置±1%，±2%，±4%，±5%） 时，输出频率50/60（±0.1）；电池模式50/60（±0.1） 输出波形：正弦波THDV ≤2%（100%线性负载）；切换时间：0ms ；整机效率：≥92% ；过载能力：≤125%，10min，≤150%,1min,＞150%立即转旁路 输出功率因数：0.8（0.9可选） 电池电压：±96，±108,±120可选   工作温度：0-40℃ 储存温度：-25-55℃；  告警功能：过载，市电异常，UPS故障，电池欠压等；保护功能：短路，过载，过温，电池欠压，过欠压，风扇故障等；主机具有RS232\485\标准通信接口；实施监控系统的工作状态；采集和存储运行参数；可远程对设备进行控制；蓄电池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采用高性能、高可靠性的全密封阀控式免维护铅酸蓄电池，单体蓄电池容量不小于100AH，额定电压12V。电池数量16块；</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机柜（42U）2000mm×800mm×1000mm</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工程师现场安装及软件环境调试（含集中培训一次、SFP+光模块（850nm,300m,SX,LC)6个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光纤12根等配套调测）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4605" w:type="pct"/>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二、室内外视频监控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175" w:type="pct"/>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57"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447"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53"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248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网络摄像头</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1)最高分辨率可达2560×1440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2)智能侦测：越界侦测，区域入侵侦测；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3)支持ROI感兴趣区域增强编码，支持Smart265/264编码，可根 据场景情况自适应调整码率分配，有效节省存储成本；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4)支持背光补偿，强光抑制，3D数字降噪，120 dB宽动态适应不同监控环境；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5)采用高效阵列红外灯，使用寿命长，红外照射距离最远可达30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6)支持1路报警输入，1路报警输出（报警输出最大支持DC12V，30mA），1路音频输入，1路音频输出；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7)考场、准备室、危险化学品室内配备广角高清摄像机，广角镜头≥2.8</w:t>
            </w:r>
            <w:r>
              <w:rPr>
                <w:rStyle w:val="47"/>
                <w:lang w:val="en-US" w:eastAsia="zh-CN" w:bidi="ar"/>
              </w:rPr>
              <w:t>㎜</w:t>
            </w:r>
            <w:r>
              <w:rPr>
                <w:rFonts w:hint="eastAsia" w:ascii="宋体" w:hAnsi="宋体" w:eastAsia="宋体" w:cs="宋体"/>
                <w:i w:val="0"/>
                <w:iCs w:val="0"/>
                <w:color w:val="000000"/>
                <w:kern w:val="0"/>
                <w:sz w:val="20"/>
                <w:szCs w:val="20"/>
                <w:u w:val="none"/>
                <w:lang w:val="en-US" w:eastAsia="zh-CN" w:bidi="ar"/>
              </w:rPr>
              <w:t>，实现考场内全覆盖，内置麦克风，高清拾音；符合IP66防尘防水设计，可靠性高，安装高度符合标准化考场建设要求。</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1008"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NVR网络视频录像机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1)网络录像机/NVR,支持巡考摄像机信号源接入，巡考摄像机视频存储，支持嵌入式Linux系统，工业级嵌入式微控制器；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2)支持WEB、本地GUI界面操作；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3)支持接入ONVIF、GB28181协议的摄像机；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4)支持IPv4、IPv6、HTTP、UPnP、NTP、SADP、SNMP、PPPOE、DNS、FTP、ONVIF（支持2.4版本）网络协议；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5)支持最大64路网络视频接入，网络性能接入320Mbps，储存320Mbps，转发320Mbps（根据选用路数，接入/储存/转发性能有所不同，具体请见后文参数）；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6)支持12MP/8MP/6MP/5MP/4MP/3MP/1080P/1.3MP/720P/D1 IPC分辨率接入；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7)支持2×12M/4×8MP/6×5MP/8×4MP/11×3MP/16×1080P/32×720P解码，最大支持16路视频回放（若选用8路设备，此处最大支持8路视频回放）；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8)支持VGA1/HDMI1同源输出、VGA2/HDMI2同源输出、VGA1/HDMI1和VGA2/HDMI2两组之间支持异源输出。其中HDMI1最大支持4K显示输出，VGA1/VGA2/HDMI2最大支持1080P显示输出；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9)支持8个内置SATA接口，单盘容量支持10T，可配置成单盘，支持RAID0、RAID1、RAID5、RAID6、RAID10等各种数据保护模式；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10)支持1个外置ESATA接口，用于录像和备份；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11)支持IPC复合音频1路输入，支持语音对讲2路输出，支持PC通过NVR与网络摄像机进行语音对讲；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12)支持16路报警输入、6路报警输出，支持开关量输入输出模式；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13)支持4个USB接口（2个前置USB2.0接口、2个后置USB3.0接口）；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14)支持2个千兆以太网口，支持2个不同段IP地址的IPC设备接入，支持将双网口设置同一个IP地址，实现数据链路冗余；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监控专用硬盘</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容量：8T监控硬盘</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285"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千兆汇聚交换机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1.交换容量≥670Gbps，转发性能≥150Mpps。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2.固化10/100/1000M以太网端口≥24个，10G/1G SFP+光接口≥4个，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3.支持并实配2块可拔插模块化电源，单电源功率≥70W，实现1+1冗余，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4.产品端口浪涌抗扰度≥10KV，即具备10KV的防雷能力；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5.支持RIP/RIPng、OSPFv2/OSPFv3等三层路由协议；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6.支持SAVI功能，可防止地址解析欺骗；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7.支持CPU保护功能，限制非法报文对CPU的攻击，保护交换机在各种环境下稳定工作；。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专门基础网络保护机制，支持限制用户向网络中发送数据包的速率，对有攻击行为的用户进行隔离，保证设备和整网的安全稳定运行；支持远程访问控制、支持VLAN划分和组播功能，具备安全管理功能，背板带宽满足学校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9.支持快速以太网链路检测协议，可快速检测链路的通断和光纤链路的单向性，并支持端口下的环路检测功能；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10.支持虚拟化功能，即可将多台物理设备虚拟化为一台逻辑设备统一管理，并且链路故障的收敛时间≤50ms；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11.支持SNMP、CLI(Telnet/Console)、RMON、SSH、Syslog、NTP/SNTP、FTP、TFTP、Web。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12.提供工信部三层交换机进网许可证，（标明是三层交换机入网证）。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13要求所投产品具备节能环保设计，提供中国质量中心颁发的节能证书，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3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1.交换容量≥190Gbps，包转发率≥15Mpps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2.支持固化千兆电口≥8个，固化千兆光口≥2个，桌面型设备。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3.支持防雷等级≥6KV"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4.支持生成树 STP / RSTP ; 提高容错能力，保证网络的稳定运行和链路的负载均衡，合理使用网络通道，提供冗余链路利用率。支持远程访问控制、支持VLAN划分和组播功能，具备安全管理功能，背板带宽满足学校使用需求。5.支持防环路检测，自动解决环路问题，支持CPU安全保护策略(硬件C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6.支持端口镜像，一对一镜像，多对一镜像，支持交换机0配置上线,支持自组网，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8.支持DHCP Snooping；很好的避免了上网终端从非法DHCP服务器分配的IP地址，引起的网络异常或安全隐患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10.提供电信设备进网许可证证书复印件，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11.提供国家强制认证CCC认证书复印件，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 ≥55英寸超高清 ，超薄网络电视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工程师现场安装及软件环境调试（含电源线、网线、线槽及配套的采集、储存、传输、切换等调测）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4605" w:type="pct"/>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三、汇聚点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185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视频云存储服务器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1.2U机架式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2.处理器：单颗主频不低于2.3GHz，核数16核32线程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3.内存：不低于DDR4 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4.硬盘：不低于8*4T，SATA企业级 + 256 G M.2（系统盘）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5.万兆网卡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6.磁盘阵列↵</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134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视频云存储服务软件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1、支持分布式云存储，支持分片解析上传，支持断点续传，支持冗余备份的安全机制，支持加密存储。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2、支持按计划的异步传输。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3、为人工视频评卷提供流媒体服务。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47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1.交换容量≥880Gbps，包转发率≥420Mpps，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2.固化1000M SFP光接口≥24个，复用的10/100/1000M电口≥8个，1G/10G SFP+光口≥8个。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3.设备可提供1个业务扩展槽，支持100G端口扩展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4.为保证设备在受到外界机械碰撞时能够正常运行，要求所投交换机IK防护测试级别至少达到IK05，提供国家认可的检测机构出具的IK防护等级测试报告。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5.支持基于IPv4/IPv6五元组、基于源/目的MAC、基于VLAN、基于802.1P优先级的ACL。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7.支持硬件层级双boot，采用两个FLASH芯片存储boot软件（系统引导程序），实现硬件级boot冗余备份，避免因FLASH芯片故障导致交换机无法启动。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9.支持虚拟化功能，可将多台物理设备虚拟化为一台逻辑设备统一管理，并且链路故障的收敛时间达到毫秒级。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10.配置≥2块交流电源模块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11.提供工信部三层交换机进网许可证，并且入网许可证须提供工信部官网查询结果截图及链接（标明是三层交换机入网证）。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12.要求所投设备遵守国家标准的设计规则，并提供中国质量认证中心出具的《中国国家强制性产品认证证书》。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27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UPS主机额定容量不低于10KVA;输入电压范围：120~276VAC；输入频率工作范围：45-65Hz  输入功率因数：≥0.99   旁路输入：220/230/240VAC单相三线  旁路同步跟踪范围：±10%   输出电压：220/230/240VAC ±1% ；输出频率：与输入同步：当市电频率超出最大±10%（可设置±1%，±2%，±4%，±5%） 时，输出频率50/60（±0.1）；电池模式50/60（±0.1） 输出波形：正弦波THDV ≤2%（100%线性负载）；切换时间：0ms ；整机效率：≥92% ；过载能力：≤125%，10min，≤150%,1min,＞150%立即转旁路 输出功率因数：0.8（0.9可选） 电池电压：±96，±108,±120可选   工作温度：0-40℃ 储存温度：-25-55℃；  告警功能：过载，市电异常，UPS故障，电池欠压等；保护功能：短路，过载，过温，电池欠压，过欠压，风扇故障等；主机具有RS232\485\标准通信接口；实施监控系统的工作状态；采集和存储运行参数；可远程对设备进行控制；蓄电池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采用高性能、高可靠性的全密封阀控式免维护铅酸蓄电池，单体蓄电池容量不小于100AH，额定电压12V。电池数量16块；</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机柜（42U）2000mm×800mm×1000mm</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工程师现场安装及软件环境调试（含集中培训一次、万兆光模块（SFP+光模块，850nm,300m,SX,LC)6个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光纤12根，电、网等辅件及配套调测）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4605" w:type="pct"/>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四、阅卷点配置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4" w:type="pct"/>
          <w:trHeight w:val="600" w:hRule="atLeast"/>
        </w:trPr>
        <w:tc>
          <w:tcPr>
            <w:tcW w:w="175" w:type="pct"/>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57"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447"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53"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516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汇聚交换机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1.交换容量≥1.36Tbps，包转发率≥424Mpps。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2.固化10/100/1000M自适应电口≥24个，1G/10G SFP+光口≥8个；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3.设备可提供业务扩展槽≥1个，支持100G端口扩展，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4.为保证设备在受到外界机械碰撞时能够正常运行，要求所投交换机IK防护测试级别至少达到IK05，提供国家认可的检测机构出具的IK防护等级测试报告。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5.整机采用绿色环保设计，满负荷情况下功耗≤85W(带扩展卡)，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6.支持IGMP v1/v2/v3，PIM-SM等组播协议，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7.支持基于IPv4/IPv6五元组、基于源/目的MAC、基于VLAN、基于802.1P优先级的ACL，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10.支持基于流的采样功能：对所选数据流包头中的源IP地址、目的IP地址、协议号、源端口号、包长等信息进行采样，并发送至网管主机；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11.支持虚拟化功能：可将多台物理设备虚拟化为一台逻辑设备统一管理，并且链路故障的收敛时间达到毫秒级。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12.要求配置≥2块电源模块，≥2块万兆单模光模块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13.提供工信部三层交换机进网许可证，（标明是三层交换机入网证）。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要求所投产品具备节能环保设计，提供中国质量中心颁发的节能证书。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6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机柜（22U）2000mm×800mm×1000mm</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402"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企业级接入交换机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1.交换容量≥430Gbps包转发率≥87Mpps，支持远程访问控制、支持VLAN划分和组播功能，具备安全管理功能，背板带宽满足学校使用需求。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2.固化10/100/1000M以太网端口≥48，固化1G SFP光接口≥4个；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3.为保证设备在受到外界机械碰撞时能够正常运行，要求所投交换机IK防护测试级别至少达到IK05，提供国家认可的检测机构出具的IK防护等级测试报告并加盖产品厂商公章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5.支持IPV4/IPV6静态路由，RIP、RIPng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7.支持快速链路检测协议，可快速检测链路的通断和光纤链路的单向性，并支持端口下的环路检测功能，防止端口下因私接Hub等设备形成的环路而导致网络故障的现象。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8.设备自带云管理功能，即插即用，可随时查看网络健康度，告警及时推送，有日记事件供回溯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9.提供工信部设备进网许可证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10.要求所投设备遵守国家标准的设计规则，并提供中国质量认证中心出具的《中国国家强制性产品认证证书》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4" w:type="pct"/>
          <w:trHeight w:val="700" w:hRule="atLeast"/>
        </w:trPr>
        <w:tc>
          <w:tcPr>
            <w:tcW w:w="1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工程师现场安装及软件环境调试（含集中培训一次、SFP+光模块6个、光纤12根等配套调测）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10" w:type="pct"/>
          <w:wAfter w:w="1544" w:type="pct"/>
          <w:trHeight w:val="620" w:hRule="atLeast"/>
        </w:trPr>
        <w:tc>
          <w:tcPr>
            <w:tcW w:w="3445" w:type="pct"/>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初中理化生实验考试考点机房及考试系统建设清单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121" w:type="pct"/>
          <w:trHeight w:val="620" w:hRule="atLeast"/>
        </w:trPr>
        <w:tc>
          <w:tcPr>
            <w:tcW w:w="4867" w:type="pct"/>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一、考点学校机房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121" w:type="pct"/>
          <w:trHeight w:val="6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23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pct"/>
          <w:wAfter w:w="121" w:type="pct"/>
          <w:trHeight w:val="32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实验室智能化管理服务器</w:t>
            </w:r>
          </w:p>
        </w:tc>
        <w:tc>
          <w:tcPr>
            <w:tcW w:w="32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规格：19英寸工业标准2U机架式服务器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处理器：≥2颗Intel Xeon Gold 5218 2.3GHz 16核处理器；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内存：≥2*32GB RDIMM ECC  DDR4 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硬盘：≥3块4TB  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RAID卡：730-8i（1G缓存），支持RAID0/1/10/5/50;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网卡：4个千兆RJ45端口，1个独享的管理端口；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服务器设备的基本功能和性能符合GB/T9813.3—2017，服务器设备的CPU、内存、硬盘、网络接口等可靠性应符合GB/T21028—2007的有关要求；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电源：550W 80+铂金电源，1+1冗余电源；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服务：原厂3年7x24x4免费人工上门服务。</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4065"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理化生实验考点管理平台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实验考试管理平台可在多种操作系统上运行。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一、服务中心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实验教考设备管理服务：支持座位号配置、硬件参数设置、IP设置、NTP校时等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视频录制服务：支持实验操作视频录制功能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考务容灾服务：支持离线考试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云存储客户端服务：支持视频云存储功能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运维服务：支持服务器运维状态监控功能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二、考务管理中心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1.系统架构：系统采用WEB形式的B/S结构，所有应用服务应运行在centos7.4及以上版本。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2.登录管理：支持修改头像、手机及密码等。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3.用户管理：支持Excel模板批量导入用户。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4.基础数据管理：支持实验室、学生、班级管理，可进行新增、删除、修改、查询、启用及禁用等操作。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考试管理：支持预览考试详情，包含考试模式、报考年级及时长等信息。支持快速创建考试，选择考试模板，自动生成基础配置信息，选择科目试题，试题需支持对试题基础信息、评分标准及题型进行再次编辑修改，即可完成考试创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6.题型管理：包括选择题、填空题、表格题、标注题等。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三、考点管理中心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1.考生照片管理：支持单个/批量导入。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2.数据包导入：支持导入由市级/区级下发的考试数据包，可在系统查看考试信息，如考试批次、报到时间、考试时间及考生数量等。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3.确认单打印：支持考前核对考试相关信息一致性，支持编排信息确认表、试卷信息确认表打印功能，无需另外安装打印驱动。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4.考务帐号管理：支持自动生成对应批次抽签老师、监考老师账号excel表。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5.标记名单管理：支持显示标记名单，包含本场考试缺考名单、异常名单及违纪名单。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6.补考处理：支持勾选补考名单与异常名单，输入补考时间进行提交补考，即可发起备用批/补考处理。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四、抽签管理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1.一键抽签：支持系统抽签。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2.结果图形显示：支持图像化显示抽签结果。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3.快速打印：支持打印抽签确认表及座位条，支持调整表格形式。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4.数据联动：抽签结果自动传输至考场监考管理系统，指定时间开考。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五、视频存储管理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1.流媒体服务：支持实时录制72路以上摄像头视频，回传视频压缩机制需采用H264、H265标准，只保存考生考试视频有效时间，视频多路时长精度需在1秒以内，视频需支持提前结束以及延后结束。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六、阅卷中心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1.视频画面：同时显示双路视频画面，支持切换视频摄像头机位，双击放大单路画面。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2.视频倍速播放：支持阅卷视频倍速播放，速度范围可调（0.5 — 8）。</w:t>
            </w:r>
            <w:r>
              <w:rPr>
                <w:rFonts w:hint="eastAsia" w:ascii="宋体" w:hAnsi="宋体" w:eastAsia="宋体" w:cs="宋体"/>
                <w:i w:val="0"/>
                <w:iCs w:val="0"/>
                <w:color w:val="000000"/>
                <w:kern w:val="0"/>
                <w:sz w:val="22"/>
                <w:szCs w:val="22"/>
                <w:u w:val="none"/>
                <w:lang w:val="en-US" w:eastAsia="zh-CN" w:bidi="ar"/>
              </w:rPr>
              <w:br w:type="textWrapping"/>
            </w:r>
            <w:r>
              <w:rPr>
                <w:rStyle w:val="48"/>
                <w:lang w:val="en-US" w:eastAsia="zh-CN" w:bidi="ar"/>
              </w:rPr>
              <w:t>3.AI赋分：支持AI智能赋分结果导入阅卷系统，支持截取得分点关键帧，支持关键帧得分点前后3~5秒自动连续播放功能，支持操作错误提醒功能。（上智能阅卷才用此参数）</w:t>
            </w:r>
            <w:r>
              <w:rPr>
                <w:rStyle w:val="48"/>
                <w:lang w:val="en-US" w:eastAsia="zh-CN" w:bidi="ar"/>
              </w:rPr>
              <w:br w:type="textWrapping"/>
            </w:r>
            <w:r>
              <w:rPr>
                <w:rStyle w:val="48"/>
                <w:lang w:val="en-US" w:eastAsia="zh-CN" w:bidi="ar"/>
              </w:rPr>
              <w:t>4.问题卷标记：支持在批阅过程中标记问题卷，问题卷自动同步至中心组重新处理。</w:t>
            </w:r>
            <w:r>
              <w:rPr>
                <w:rStyle w:val="48"/>
                <w:lang w:val="en-US" w:eastAsia="zh-CN" w:bidi="ar"/>
              </w:rPr>
              <w:br w:type="textWrapping"/>
            </w:r>
            <w:r>
              <w:rPr>
                <w:rStyle w:val="48"/>
                <w:lang w:val="en-US" w:eastAsia="zh-CN" w:bidi="ar"/>
              </w:rPr>
              <w:t>5.查看截图阅卷：支持显示评分标准及考生答题卡，可点击查看学生答案和截图。</w:t>
            </w:r>
            <w:r>
              <w:rPr>
                <w:rStyle w:val="48"/>
                <w:lang w:val="en-US" w:eastAsia="zh-CN" w:bidi="ar"/>
              </w:rPr>
              <w:br w:type="textWrapping"/>
            </w:r>
            <w:r>
              <w:rPr>
                <w:rStyle w:val="48"/>
                <w:lang w:val="en-US" w:eastAsia="zh-CN" w:bidi="ar"/>
              </w:rPr>
              <w:t>6.扣分制评阅：系统设计满分键，根据视频播放进行扣分法评分。</w:t>
            </w:r>
            <w:r>
              <w:rPr>
                <w:rStyle w:val="48"/>
                <w:lang w:val="en-US" w:eastAsia="zh-CN" w:bidi="ar"/>
              </w:rPr>
              <w:br w:type="textWrapping"/>
            </w:r>
            <w:r>
              <w:rPr>
                <w:rStyle w:val="48"/>
                <w:lang w:val="en-US" w:eastAsia="zh-CN" w:bidi="ar"/>
              </w:rPr>
              <w:t>7.质检抽样：支持随机抽检考生视频，显示各评分点一评、二评及仲裁详情，如对考生视频评分情况存在异议，可直接提交质疑卷，自动同步至中心组重新处理。</w:t>
            </w:r>
            <w:r>
              <w:rPr>
                <w:rStyle w:val="48"/>
                <w:lang w:val="en-US" w:eastAsia="zh-CN" w:bidi="ar"/>
              </w:rPr>
              <w:br w:type="textWrapping"/>
            </w:r>
            <w:r>
              <w:rPr>
                <w:rStyle w:val="48"/>
                <w:lang w:val="en-US" w:eastAsia="zh-CN" w:bidi="ar"/>
              </w:rPr>
              <w:t>8.试评功能：系统支持按小组独立展开试评，正评。</w:t>
            </w:r>
            <w:r>
              <w:rPr>
                <w:rStyle w:val="48"/>
                <w:lang w:val="en-US" w:eastAsia="zh-CN" w:bidi="ar"/>
              </w:rPr>
              <w:br w:type="textWrapping"/>
            </w:r>
            <w:r>
              <w:rPr>
                <w:rStyle w:val="48"/>
                <w:lang w:val="en-US" w:eastAsia="zh-CN" w:bidi="ar"/>
              </w:rPr>
              <w:t>9.可视乎进度查询：进度含试题阅卷进度、试题仲裁总进度、试题中心审查进度。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8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AI算法服务器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1.处理器：十代i9 10920X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2.图像卡：四路GPU RTX3090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3.内存：≥128G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4.硬盘：≥512G SSD+2T机械硬盘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5.电源：≥2400W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6.网卡：1000Mbps以太网卡</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2234"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理化生实验操作考试智能评分平台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1.支持根据考试评价标准，自动评价学生实验视频，产生评价结果，并反馈至考试系统；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2.需满足基于学校现有考试实验仪器，不添加影响正常操作的标识，不对实验或考试产生提示作用；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3.需满足通过AI算法能力，自动识别标准实验器材及实验操作动作；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4.采用行业标准接口，具有很好的兼容性及开放性；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5.满足在日常实验教学与评测过程中使用；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53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日志审计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1.要求系统能够稳定运行，系统应用程序能够提供持续稳定的服务；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2.支持集中和分布式部署、集群部署、热扩容；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3.采用B/S架构操作方式，无需安装客户端软件；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4.采用旁路接入模式，设备部署不影响原有网络结构；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5.全流程实时分析：8000EPS以上 流量接入速率：600Mbps；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6.资产管理：可以添加、修改、删除资产对资产的基本属性进行维护资产可以增加自定义属性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7.系统需支持Syslog、Syslog-ng 、SNMP Trap、文件、WMI、FTP、数据库、NetFlow、页面导入、镜像流量、SMB、插件扩展、kafka、sflow、二进制等方式采集日志；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8.系统从不同设备或系统中所获得的各类日志、事件中抽取相关片段准确和完整地映射至安全事件的标准字段，日志清洗后的标准化字段粒度至少达到165个字段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既可以完全收集采集对象上的日志信息，也支持在安全事件收集引擎上设置过滤条件，可过滤出无关安全事件，满足根据实际业务需求减少采集对象发送到核心服务器的安全事件数，从而减少对网络带宽和数据库存储空间地占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需具有归并技术，安全事件收集代理会在一段时间内比较收到的安全事件，如果安全事件相同，则只需发送一条安全事件，该安全事件应包括安全事件详情及该安全事件发生的次数，这样可以减少安全事件通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11.要求配置≥3年服务授权，≥10个监控节点授权</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42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网络安全堡垒机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1.1U机架式； 配置千兆电口≥6个；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2.独立管理接口1个；2个USB接口；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3.配置≥1T企业级硬盘； 内存≥8G；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4.图形并发≥80，字符并发≥700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5.自带设备管理数50个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6.业务数据采取轻型目录存储，支持多节点数据实时同步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7.支持双网卡冗余（双网卡虚拟单Ip）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8.主帐号支持从AD域内抽取，方便快速建立主账号。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9.支持对unix资源、网络资源、windows资源、数据库资源、中间件资源进行密码变更；密码变更可以根据密码策略的要求进行变更，变更的密码符合密码策略中关于密码强度的要求。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10.支持SSH、TELNET、FTP、SFTP、VNC、XWINDOW、WINDOWS文件共享等协议。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11.对字符命令方式的访问可以审计到所有交互内容，可以还原操作过程的命令输入和结果输出，并且可以高亮显示高危命令。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12.提供《计算机软件著作权登记证书》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6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下一代防火墙</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1.要求固化千兆电口数量≥8个；固化千兆光口数量≥2个；固化万兆光口数量≥4个；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2.支持可插拔1TB企业级硬盘，支持实配扩展热插拔冗余电源；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3.三层网络吞吐≥3Gbps ，最大可支持扩展三层网络吞吐≥10Gbps ；IPS吞吐量≥2.3Gbps，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4.最大并发连接≥100万；最大新建连接≥10万；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5.支持自动扫描用户网内资产，自动识别资产端口和协议启用情况，结合用户资产信息生成推荐的安全防护策略；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6.支持基于流量学习的方式对网内资产的互访关系进行梳理，可视化展示目标资产的端口的访问关系，包括：访问源IP、命中策略、阻断次数、最近一次阻断时间等信息；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7.要求支持显示策略来源、首次创建时间、源安全区域、源地址、目的安全区域、目的地址、服务、应用、首次匹配时间、命中次数统计；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8.支持HTTP、FTP、POP3、SMTP协议病毒过滤，支持2层以上的文件压缩；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9.IPS规则数量≥7400条，可针对具体的规则条目设置启用和禁用；要求系统自带IPS入侵检测预定义模板，用户可设置新的签名过滤器，来自定义新的IPS入侵检测防御模板；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10.支持防火墙故障排查后可一键跳转到对应的功能配置界面进行问题处置；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系统日志、安全日志（攻击防护日志）、操作日志（登录、策略变更等）等不同分类日志的留存，可查询和导出日志；支持根据源地址、目的地址、源端口、目的端口、日志类型、严重性、动作等条件进行日志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13.配置≥3年三合一授权特征库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13.提供中国信息安全测评中心颁发的有效的《中国信息安全测评信息技术产品安全测评证书（EAL3＋级别）》复印件；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88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专用精密空调</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5匹机房专用精密空调恒温恒湿空调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操控方式：键控/遥控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能效等级：一级能效，立柜式，来电自启，支持低温启动，制冷功率</w:t>
            </w:r>
            <w:r>
              <w:rPr>
                <w:rStyle w:val="49"/>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4098W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w:t>
            </w:r>
            <w:r>
              <w:rPr>
                <w:rStyle w:val="49"/>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12500W，循环风量≥3800m3/h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适用面积</w:t>
            </w:r>
            <w:r>
              <w:rPr>
                <w:rStyle w:val="49"/>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48㎡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扫风方式：上下/左右扫风，质保≥两年，提供相关检测报告及证书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20" w:hRule="atLeast"/>
        </w:trPr>
        <w:tc>
          <w:tcPr>
            <w:tcW w:w="4989" w:type="pct"/>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二、化学实验室考试系统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695"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教室监考端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CPU: i7-10700 2.9G 8C及以上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内存：≥32GB(16+16) DDR4 2933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硬盘：≥1T机械硬盘+128固态硬盘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网卡：千兆网卡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显示器：IPS显示器，屏幕大于21寸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578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理化生实验操作考试监考管理软件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【现场监考管理】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1、监考管理：按场次时间自动排序，可查询完成场次监考记录。（提供带CNAS或CMA标识的检测报告）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2、全程监控：实时显示所有实验桌的视频画面，展示所有实验桌的实时视频画面，并支持2路实时视频流切换、双击展示高清全屏。（提供带CNAS或CMA标识的检测报告）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3、电子试卷自动分发与收卷：支持自动分发试卷，提前交卷提示，支持自动收卷倒计时。（提供带CNAS或CMA标识的检测报告）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【考场纪律管理】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1、考生验证：支持人脸识别身份验证，支持人脸验证失败提示，监考老师可以线下核对手动验证通过，支持验证操作超时重发验证。（提供带CNAS或CMA标识的检测报告）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2、过程异常管理：支持缺考、异常处理，上报管理系统安排补考。支持记录考场考试异常，支持打印签字上报。（提供带CNAS或CMA标识的检测报告）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【设备自检管理】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1、支持设备自检，实时感知考场设备状态，及时上报设备或网络连接故障。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2、至少支持32座位考试间。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3、检测对象：学生端、电子目镜、摄像头。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【设备配置管理】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1、初始化配置：学生端桌号通过座位模板极速配置，摄像头与桌号绑定，批量同步摄像头与系统时间。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2、系统的安全性应按照GB/T22239—2019的要求进行检验，系统的可靠性符合GB/T29832.2—2013、GB/T29832.3—2013中的要求，系统安全基于HTTP协议传输的数据使用SS/TLS协议加密传输和身份认证。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32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理化生实验学生教考采集服务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1、可折叠一体式支架，集成考试终端和视频采集设备。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2、内置成套电源和网络模块，1个RJ45，1个220V电源口。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【考试终端】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1.显示、触控一体化；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2.处理器：不低于6核ARM架构CPU 1.8GHz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3.存储：不低于4G RAM+32G存储；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4.不低于15.5寸IPS显示屏，分辨率1920*1080；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5.扩充性：提供多个USB接口，100M/1000M自适应以太网口，可扩充安装功能配件；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6.视频解码支持1080P 全高清 MPEG、H.264 、H.265等；</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4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1.每套终端具备≥2个高清广角镜头，视频分辨率≥400万，帧率≥25帧/s；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2.记录实验操作过程并形成视频文件,传输至视频服务器。视频文件格式可以用浏览器直接播放。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3.多路码流：支持高清录制和标清预览多码流，码率可定制，支持500-16000Kbps。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4.支持MJPEG、H.265、H.264视频文件压缩编码。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5.支持RTSP、OnVif等标准协议；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6.提供RJ45 100M以太网接口。</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36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理化生实验操作考试学生端软件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【考试模式-数据采集】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1、支持人脸识别，准确快速验证考生身份；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2、结构化实验报告：让学生通过触摸屏便捷准确记录指定格式实验数据；支持填空、表格、标注、电路图等多样化报告格式；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3、支持实验现象拍照报告、显微镜抓图功能；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【教学模式-课堂互动】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1、智能分组，刷脸签到。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2、异步浏览：浏览课件资源，课前预习，与老师教学思路同步。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3、支持举手提问、抢答，及时与老师互动。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4、实操测评：课堂模拟实操练习，通过视频录制与回放，实现本组自评、分组互评，加深认知实验操作要点，同时减轻老师教学负担。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5、堂测堂评：随堂练习客观题，温习巩固当堂学习的实验理论知识和实践认知。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58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处理器：不低于主频2GHz，8核CPU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屏幕：不低于10.1英寸IPS触摸屏，1920*1200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内存：不低于4GB+64GB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电池：不低于5100mAh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20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理化生实验操作现场评分软件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1.支持为每位考生拍照记录，上传实验记录单及两次确认；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2.老师考核时只需对错误点进行相应扣分即可；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3.分数确认提交后，系统出分数及对应的等级。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6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处理器：不低于主频2.5GHz以上,8核CPU+8核GPU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屏幕：不低于10.4英寸IPS触摸屏，16:10，2K高分辨率（2000*1200）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内存：不低于6GB+64GB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电池：不低于7250mAh，支持视频播放10小时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3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无线投屏接收器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支持扫码连接，4K高清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支持Android、iOS、windows等多种系统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画面流畅无时延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9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实验室教学扩展无线信号终端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吸顶式全千兆无线接入点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支持硬件拨码，多种覆盖场景一键切换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支持频谱导航技术，优先连接速率更快的5G频段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2.4G和5G双频覆盖，无线接入用户更多，干扰更少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支持802.11ac标准，提供1200M高速无线传输速率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全千兆端口，提供千兆有线传输速率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3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企业级无线路由器*金属壳体*共有5个千兆电口（双WAN口设计）*支持500M（非对称）外网带宽*最大带机量100台终端*最大支持无线接入 速率1317Mbps*支持802.11ac Wave2*支持易网络APP组网特性*可以与EAP自组网漫游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460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企业级二层网管接入交换机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1.交换容量≥430Gbps包转发率≥87Mpps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2.固化10/100/1000M以太网端口≥48，固化1G SFP光接口≥4个；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3.为保证设备在受到外界机械碰撞时能够正常运行，要求所投交换机IK防护测试级别至少达到IK05，提供国家认可的检测机构出具的IK防护等级测试报告并加盖产品厂商公章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5.支持IPV4/IPV6静态路由，RIP、RIPng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7.支持快速链路检测协议，可快速检测链路的通断和光纤链路的单向性，并支持端口下的环路检测功能，防止端口下因私接Hub等设备形成的环路而导致网络故障的现象。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8.设备自带云管理功能，即插即用，可随时查看网络健康度，告警及时推送，有日记事件供回溯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9.提供工信部设备进网许可证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10.要求所投设备遵守国家标准的设计规则，并提供中国质量认证中心出具的《中国国家强制性产品认证证书》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10" w:type="pct"/>
          <w:wAfter w:w="1295" w:type="pct"/>
          <w:trHeight w:val="620" w:hRule="atLeast"/>
        </w:trPr>
        <w:tc>
          <w:tcPr>
            <w:tcW w:w="3693"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三、物理实验室考试系统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20" w:hRule="atLeast"/>
        </w:trPr>
        <w:tc>
          <w:tcPr>
            <w:tcW w:w="294" w:type="pct"/>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7" w:type="pct"/>
            <w:gridSpan w:val="3"/>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071" w:type="pct"/>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47"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7" w:type="pct"/>
            <w:gridSpan w:val="5"/>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6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教室监考端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CPU: i7-10700 2.9G 8C及以上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内存：≥32GB(16+16) DDR4 2933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硬盘：≥1T机械硬盘+128固态硬盘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网卡：千兆网卡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显示器：IPS显示器，屏幕大于21寸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025"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理化生实验操作考试监考管理软件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【现场监考管理】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1、监考管理：按场次时间自动排序，可查询完成场次监考记录。（提供带CNAS或CMA标识的检测报告）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2、全程监控：实时显示所有实验桌的视频画面，展示所有实验桌的实时视频画面，并支持2路实时视频流切换、双击展示高清全屏。（提供带CNAS或CMA标识的检测报告）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3、电子试卷自动分发与收卷：支持自动分发试卷，提前交卷提示，支持自动收卷倒计时。（提供带CNAS或CMA标识的检测报告）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【考场纪律管理】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1、考生验证：支持人脸识别身份验证，支持人脸验证失败提示，监考老师可以线下核对手动验证通过，支持验证操作超时重发验证。（提供带CNAS或CMA标识的检测报告）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2、过程异常管理：支持缺考、异常处理，上报管理系统安排补考。支持记录考场考试异常，支持打印签字上报。（提供带CNAS或CMA标识的检测报告）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【设备自检管理】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1、支持设备自检，实时感知考场设备状态，及时上报设备或网络连接故障。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2、至少支持32座位考试间。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3、检测对象：学生端、电子目镜、摄像头。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【设备配置管理】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1、初始化配置：学生端桌号通过座位模板极速配置，摄像头与桌号绑定，批量同步摄像头与系统时间。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2、系统的安全性应按照GB/T22239—2019的要求进行检验，系统的可靠性符合GB/T29832.2—2013、GB/T29832.3—2013中的要求，系统安全基于HTTP协议传输的数据使用SS/TLS协议加密传输和身份认证。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30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理化生实验学生教考采集服务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1、可折叠一体式支架，集成考试终端和视频采集设备。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2、内置成套电源和网络模块，1个RJ45，1个220V电源口。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【考试终端】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1.显示、触控一体化；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2.处理器：不低于6核ARM架构CPU 1.8GHz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3.存储：不低于4G RAM+32G存储；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4.不低于15.5寸IPS显示屏，分辨率1920*1080；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5.扩充性：提供多个USB接口，100M/1000M自适应以太网口，可扩充安装功能配件；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6.视频解码支持1080P 全高清 MPEG、H.264 、H.265等；</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2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1.每套终端具备≥2个高清广角镜头，视频分辨率≥400万，帧率≥25帧/s；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2.记录实验操作过程并形成视频文件,传输至视频服务器。视频文件格式可以用浏览器直接播放。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3.多路码流：支持高清录制和标清预览多码流，码率可定制，支持500-16000Kbps。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4.支持MJPEG、H.265、H.264视频文件压缩编码。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5.支持RTSP、OnVif等标准协议；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6.提供RJ45 100M以太网接口。</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41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理化生实验操作考试学生端软件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【考试模式-数据采集】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1、支持人脸识别，准确快速验证考生身份；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2、结构化实验报告：让学生通过触摸屏便捷准确记录指定格式实验数据；支持填空、表格、标注、电路图等多样化报告格式；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3、支持实验现象拍照报告、显微镜抓图功能；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【教学模式-课堂互动】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1、智能分组，刷脸签到。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2、异步浏览：浏览课件资源，课前预习，与老师教学思路同步。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3、支持举手提问、抢答，及时与老师互动。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4、实操测评：课堂模拟实操练习，通过视频录制与回放，实现本组自评、分组互评，加深认知实验操作要点，同时减轻老师教学负担。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5、堂测堂评：随堂练习客观题，温习巩固当堂学习的实验理论知识和实践认知。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7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处理器：不低于主频2GHz，8核CPU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屏幕：不低于10.1英寸IPS触摸屏，1920*1200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内存：不低于4GB+64GB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电池：不低于5100mAh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3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理化生实验操作现场评分软件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1.支持为每位考生拍照记录，上传实验记录单及两次确认；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2.老师考核时只需对错误点进行相应扣分即可；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3.分数确认提交后，系统出分数及对应的等级。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08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处理器：不低于主频2.5GHz以上,8核CPU+8核GPU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屏幕：不低于10.4英寸IPS触摸屏，16:10，2K高分辨率（2000*1200）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内存：不低于6GB+64GB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电池：不低于7250mAh，支持视频播放10小时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3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无线投屏接收器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支持扫码连接，4K高清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支持Android、iOS、windows等多种系统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画面流畅无时延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47"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9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实验室教学扩展无线信号终端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吸顶式全千兆无线接入点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支持硬件拨码，多种覆盖场景一键切换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支持频谱导航技术，优先连接速率更快的5G频段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2.4G和5G双频覆盖，无线接入用户更多，干扰更少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支持802.11ac标准，提供1200M高速无线传输速率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全千兆端口，提供千兆有线传输速率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18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企业级无线路由器*金属壳体*共有5个千兆电口（双WAN口设计）*支持500M（非对称）外网带宽*最大带机量100台终端*最大支持无线接入 速率1317Mbps*支持802.11ac Wave2*支持易网络APP组网特性*可以与EAP自组网漫游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40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二层网管接入交换机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1.交换容量≥430Gbps包转发率≥87Mpps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2.固化10/100/1000M以太网端口≥48，固化1G SFP光接口≥4个；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3.为保证设备在受到外界机械碰撞时能够正常运行，要求所投交换机IK防护测试级别至少达到IK05，提供国家认可的检测机构出具的IK防护等级测试报告并加盖产品厂商公章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5.支持IPV4/IPV6静态路由，RIP、RIPng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7.支持快速链路检测协议，可快速检测链路的通断和光纤链路的单向性，并支持端口下的环路检测功能，防止端口下因私接Hub等设备形成的环路而导致网络故障的现象。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8.设备自带云管理功能，即插即用，可随时查看网络健康度，告警及时推送，有日记事件供回溯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9.提供工信部设备进网许可证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10.要求所投设备遵守国家标准的设计规则，并提供中国质量认证中心出具的《中国国家强制性产品认证证书》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10" w:type="pct"/>
          <w:wAfter w:w="1295" w:type="pct"/>
          <w:trHeight w:val="620" w:hRule="atLeast"/>
        </w:trPr>
        <w:tc>
          <w:tcPr>
            <w:tcW w:w="3693" w:type="pct"/>
            <w:gridSpan w:val="10"/>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四、生物实验室考试系统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9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教室监考端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CPU: i7-10700 2.9G 8C及以上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内存：≥32GB(16+16) DDR4 2933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硬盘：≥1T机械硬盘+128固态硬盘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网卡：千兆网卡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显示器：IPS显示器，屏幕大于21寸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49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理化生实验操作考试监考管理软件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8"/>
                <w:lang w:val="en-US" w:eastAsia="zh-CN" w:bidi="ar"/>
              </w:rPr>
              <w:t>【现场监考管理】</w:t>
            </w:r>
            <w:r>
              <w:rPr>
                <w:rStyle w:val="48"/>
                <w:lang w:val="en-US" w:eastAsia="zh-CN" w:bidi="ar"/>
              </w:rPr>
              <w:br w:type="textWrapping"/>
            </w:r>
            <w:r>
              <w:rPr>
                <w:rStyle w:val="48"/>
                <w:lang w:val="en-US" w:eastAsia="zh-CN" w:bidi="ar"/>
              </w:rPr>
              <w:t>1、监考管理：按场次时间自动排序，可查询完成场次监考记录。（提供带CNAS或CMA标识的检测报告）</w:t>
            </w:r>
            <w:r>
              <w:rPr>
                <w:rStyle w:val="48"/>
                <w:lang w:val="en-US" w:eastAsia="zh-CN" w:bidi="ar"/>
              </w:rPr>
              <w:br w:type="textWrapping"/>
            </w:r>
            <w:r>
              <w:rPr>
                <w:rStyle w:val="48"/>
                <w:lang w:val="en-US" w:eastAsia="zh-CN" w:bidi="ar"/>
              </w:rPr>
              <w:t>2、全程监控：实时显示所有实验桌的视频画面，展示所有实验桌的实时视频画面，并支持</w:t>
            </w:r>
            <w:r>
              <w:rPr>
                <w:rStyle w:val="50"/>
                <w:lang w:val="en-US" w:eastAsia="zh-CN" w:bidi="ar"/>
              </w:rPr>
              <w:t>2路</w:t>
            </w:r>
            <w:r>
              <w:rPr>
                <w:rStyle w:val="48"/>
                <w:lang w:val="en-US" w:eastAsia="zh-CN" w:bidi="ar"/>
              </w:rPr>
              <w:t>实时视频流切换、双击展示高清全屏。（提供带CNAS或CMA标识的检测报告）</w:t>
            </w:r>
            <w:r>
              <w:rPr>
                <w:rStyle w:val="48"/>
                <w:lang w:val="en-US" w:eastAsia="zh-CN" w:bidi="ar"/>
              </w:rPr>
              <w:br w:type="textWrapping"/>
            </w:r>
            <w:r>
              <w:rPr>
                <w:rStyle w:val="48"/>
                <w:lang w:val="en-US" w:eastAsia="zh-CN" w:bidi="ar"/>
              </w:rPr>
              <w:t>3、电子试卷自动分发与收卷：支持自动分发试卷，提前交卷提示，支持自动收卷倒计时。（提供带CNAS或CMA标识的检测报告）</w:t>
            </w:r>
            <w:r>
              <w:rPr>
                <w:rStyle w:val="48"/>
                <w:lang w:val="en-US" w:eastAsia="zh-CN" w:bidi="ar"/>
              </w:rPr>
              <w:br w:type="textWrapping"/>
            </w:r>
            <w:r>
              <w:rPr>
                <w:rStyle w:val="48"/>
                <w:lang w:val="en-US" w:eastAsia="zh-CN" w:bidi="ar"/>
              </w:rPr>
              <w:t>【考场纪律管理】</w:t>
            </w:r>
            <w:r>
              <w:rPr>
                <w:rStyle w:val="48"/>
                <w:lang w:val="en-US" w:eastAsia="zh-CN" w:bidi="ar"/>
              </w:rPr>
              <w:br w:type="textWrapping"/>
            </w:r>
            <w:r>
              <w:rPr>
                <w:rStyle w:val="48"/>
                <w:lang w:val="en-US" w:eastAsia="zh-CN" w:bidi="ar"/>
              </w:rPr>
              <w:t>1、考生验证：支持人脸识别身份验证，支持人脸验证失败提示，监考老师可以线下核对手动验证通过，支持验证操作超时重发验证。（提供带CNAS或CMA标识的检测报告）</w:t>
            </w:r>
            <w:r>
              <w:rPr>
                <w:rStyle w:val="48"/>
                <w:lang w:val="en-US" w:eastAsia="zh-CN" w:bidi="ar"/>
              </w:rPr>
              <w:br w:type="textWrapping"/>
            </w:r>
            <w:r>
              <w:rPr>
                <w:rStyle w:val="48"/>
                <w:lang w:val="en-US" w:eastAsia="zh-CN" w:bidi="ar"/>
              </w:rPr>
              <w:t>2、过程异常管理：支持缺考、异常处理，上报管理系统安排补考。支持记录考场考试异常，支持打印签字上报。（提供带CNAS或CMA标识的检测报告）</w:t>
            </w:r>
            <w:r>
              <w:rPr>
                <w:rStyle w:val="48"/>
                <w:lang w:val="en-US" w:eastAsia="zh-CN" w:bidi="ar"/>
              </w:rPr>
              <w:br w:type="textWrapping"/>
            </w:r>
            <w:r>
              <w:rPr>
                <w:rStyle w:val="48"/>
                <w:lang w:val="en-US" w:eastAsia="zh-CN" w:bidi="ar"/>
              </w:rPr>
              <w:t>【设备自检管理】</w:t>
            </w:r>
            <w:r>
              <w:rPr>
                <w:rStyle w:val="48"/>
                <w:lang w:val="en-US" w:eastAsia="zh-CN" w:bidi="ar"/>
              </w:rPr>
              <w:br w:type="textWrapping"/>
            </w:r>
            <w:r>
              <w:rPr>
                <w:rStyle w:val="48"/>
                <w:lang w:val="en-US" w:eastAsia="zh-CN" w:bidi="ar"/>
              </w:rPr>
              <w:t>1、支持设备自检，实时感知考场设备状态，及时上报设备或网络连接故障。</w:t>
            </w:r>
            <w:r>
              <w:rPr>
                <w:rStyle w:val="48"/>
                <w:lang w:val="en-US" w:eastAsia="zh-CN" w:bidi="ar"/>
              </w:rPr>
              <w:br w:type="textWrapping"/>
            </w:r>
            <w:r>
              <w:rPr>
                <w:rStyle w:val="48"/>
                <w:lang w:val="en-US" w:eastAsia="zh-CN" w:bidi="ar"/>
              </w:rPr>
              <w:t>2、至少支持</w:t>
            </w:r>
            <w:r>
              <w:rPr>
                <w:rStyle w:val="50"/>
                <w:lang w:val="en-US" w:eastAsia="zh-CN" w:bidi="ar"/>
              </w:rPr>
              <w:t>32座位</w:t>
            </w:r>
            <w:r>
              <w:rPr>
                <w:rStyle w:val="48"/>
                <w:lang w:val="en-US" w:eastAsia="zh-CN" w:bidi="ar"/>
              </w:rPr>
              <w:t>考试间。</w:t>
            </w:r>
            <w:r>
              <w:rPr>
                <w:rStyle w:val="48"/>
                <w:lang w:val="en-US" w:eastAsia="zh-CN" w:bidi="ar"/>
              </w:rPr>
              <w:br w:type="textWrapping"/>
            </w:r>
            <w:r>
              <w:rPr>
                <w:rStyle w:val="48"/>
                <w:lang w:val="en-US" w:eastAsia="zh-CN" w:bidi="ar"/>
              </w:rPr>
              <w:t>3、检测对象：学生端、电子目镜、摄像头。</w:t>
            </w:r>
            <w:r>
              <w:rPr>
                <w:rStyle w:val="48"/>
                <w:lang w:val="en-US" w:eastAsia="zh-CN" w:bidi="ar"/>
              </w:rPr>
              <w:br w:type="textWrapping"/>
            </w:r>
            <w:r>
              <w:rPr>
                <w:rStyle w:val="48"/>
                <w:lang w:val="en-US" w:eastAsia="zh-CN" w:bidi="ar"/>
              </w:rPr>
              <w:t>【设备配置管理】</w:t>
            </w:r>
            <w:r>
              <w:rPr>
                <w:rStyle w:val="48"/>
                <w:lang w:val="en-US" w:eastAsia="zh-CN" w:bidi="ar"/>
              </w:rPr>
              <w:br w:type="textWrapping"/>
            </w:r>
            <w:r>
              <w:rPr>
                <w:rStyle w:val="48"/>
                <w:lang w:val="en-US" w:eastAsia="zh-CN" w:bidi="ar"/>
              </w:rPr>
              <w:t>1、初始化配置：学生端桌号通过座位模板极速配置，摄像头与桌号绑定，批量同步摄像头与系统时间。</w:t>
            </w:r>
            <w:r>
              <w:rPr>
                <w:rStyle w:val="48"/>
                <w:lang w:val="en-US" w:eastAsia="zh-CN" w:bidi="ar"/>
              </w:rPr>
              <w:br w:type="textWrapping"/>
            </w:r>
            <w:r>
              <w:rPr>
                <w:rStyle w:val="48"/>
                <w:lang w:val="en-US" w:eastAsia="zh-CN" w:bidi="ar"/>
              </w:rPr>
              <w:t>2、系统的安全性应按照GB/T22239—2019的要求进行检验，系统的可靠性符合GB/T29832.2—2013、GB/T29832.3—2013中的要求，系统安全基于HTTP协议传输的数据使用SS/TLS协议加密传输和身份认证。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31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理化生实验学生教考采集服务</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1、可折叠一体式支架，集成考试终端和视频采集设备。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2、内置成套电源和网络模块，1个RJ45，1个220V电源口。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【考试终端】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1.显示、触控一体化；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2.处理器：不低于6核ARM架构CPU 1.8GHz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3.存储：不低于4G RAM+32G存储；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4.不低于15.5寸IPS显示屏，分辨率1920*1080；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5.扩充性：提供多个USB接口，100M/1000M自适应以太网口，可扩充安装功能配件；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6.视频解码支持1080P 全高清 MPEG、H.264 、H.265等；</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65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1.每套终端具备≥2个高清广角镜头，视频分辨率≥400万，帧率≥25帧/s；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2.记录实验操作过程并形成视频文件,传输至视频服务器。视频文件格式可以用浏览器直接播放。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3.多路码流：支持高清录制和标清预览多码流，码率可定制，支持500-16000Kbps。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4.支持MJPEG、H.265、H.264视频文件压缩编码。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5.支持RTSP、OnVif等标准协议；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6.提供RJ45 100M以太网接口。</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37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理化生实验操作考试学生端软件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【考试模式-数据采集】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1、支持人脸识别，准确快速验证考生身份；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2、结构化实验报告：让学生通过触摸屏便捷准确记录指定格式实验数据；支持填空、表格、标注、电路图等多样化报告格式；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3、支持实验现象拍照报告、显微镜抓图功能；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【教学模式-课堂互动】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1、智能分组，刷脸签到。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2、异步浏览：浏览课件资源，课前预习，与老师教学思路同步。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3、支持举手提问、抢答，及时与老师互动。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4、实操测评：课堂模拟实操练习，通过视频录制与回放，实现本组自评、分组互评，加深认知实验操作要点，同时减轻老师教学负担。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5、堂测堂评：随堂练习客观题，温习巩固当堂学习的实验理论知识和实践认知。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8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生物实验高清电子目镜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显微镜使用高清电子目镜200万像素数码摄像头测量处理软件，用于生物显微镜观察实验。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5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处理器：不低于主频2GHz，8核CPU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屏幕：不低于10.1英寸IPS触摸屏，1920*1200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内存：不低于4GB+64GB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电池：不低于5100mAh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30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理化生实验操作现场评分软件</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1.支持为每位考生拍照记录，上传实验记录单及两次确认；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2.老师考核时只需对错误点进行相应扣分即可；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3.分数确认提交后，系统出分数及对应的等级。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70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教学智慧终端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处理器：不低于主频2.5GHz以上,8核CPU+8核GPU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屏幕：不低于10.4英寸IPS触摸屏，16:10，2K高分辨率（2000*1200）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内存：不低于6GB+64GB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电池：不低于7250mAh，支持视频播放10小时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WIFI：2.4GHz&amp;5GHz双频段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32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无线投屏接收器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支持扫码连接，4K高清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支持Android、iOS、windows等多种系统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画面流畅无时延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194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实验室教学扩展无线信号终端</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吸顶式全千兆无线接入点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支持硬件拨码，多种覆盖场景一键切换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支持频谱导航技术，优先连接速率更快的5G频段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2.4G和5G双频覆盖，无线接入用户更多，干扰更少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支持802.11ac标准，提供1200M高速无线传输速率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全千兆端口，提供千兆有线传输速率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11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企业级无线路由器*金属壳体*共有5个千兆电口（双WAN口设计）*支持500M（非对称）外网带宽*最大带机量100台终端*最大支持无线接入 速率1317Mbps*支持802.11ac Wave2*支持易网络APP组网特性*可以与EAP自组网漫游</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456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企业级二层网管接入交换机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1.交换容量≥430Gbps包转发率≥87Mpps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2.固化10/100/1000M以太网端口≥48，固化1G SFP光接口≥4个；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3.为保证设备在受到外界机械碰撞时能够正常运行，要求所投交换机IK防护测试级别至少达到IK05，提供国家认可的检测机构出具的IK防护等级测试报告并加盖产品厂商公章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5.支持IPV4/IPV6静态路由，RIP、RIPng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7.支持快速链路检测协议，可快速检测链路的通断和光纤链路的单向性，并支持端口下的环路检测功能，防止端口下因私接Hub等设备形成的环路而导致网络故障的现象。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8.设备自带云管理功能，即插即用，可随时查看网络健康度，告警及时推送，有日记事件供回溯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9.提供工信部设备进网许可证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10.要求所投设备遵守国家标准的设计规则，并提供中国质量认证中心出具的《中国国家强制性产品认证证书》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925"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（OPS插拔式电脑）</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显示模块及整机性能：1、智能黑板采用平面结构设计，提供左右两段式和三段式两种安装方式，融合了黑板、液晶屏、音箱及拔插式电脑等设备。2、智能黑板通屏支持普通粉笔、无尘粉笔、水性笔、油性笔书写；3、液晶屏显示尺寸≧86英寸，采用A规屏；分辨率：  ≧3840*2160；可视角度：≧178°,屏体亮度≥350cd/㎡, 色彩覆盖率≥NTSC 85%；屏幕表面采用≥3mm厚防眩光钢化玻璃,透光率≥92%,表面硬度≥7H；4、液晶屏显示部分采用屏幕全贴合技术。5、屏体正面前置中文标识按键，包含音量加减、触控开关、安卓主页、电脑系统还原等；6、一键还原系统：可一键对电脑系统进行还原操作。7、屏体正面前置中文标识输入接口，提供≥3路USB3.0接口（可同时在Windows及Android系统下被读取）和≥1路HDMI高清接口（非转接方式）。8、为保证信号不遮挡，屏体正面前置2.4G和5G双频wifi和蓝牙信号发射器。9、采用电容触摸定位技术，在双系统下均支持≥20点触控，≥10人书写，触摸分辨率:≥32768*32768；10、背光采用去蓝光技术，蓝光过滤≥90%。11、为教师操作便捷，所投产品可通过多指长按屏幕部分达到息屏、唤醒手势擦除功能。12、屏体正面内置2*15W扬声器和笔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二教学应用软件: 1、提供互动教学应用软件统一入口：可整合互动应用软件，集中管理，方便老师在各软件之间的切换和使用；2、支持免登录直接使用本地教学工具，支持账号、U盘和扫码登录；老师的每个个人账号提供不少于50G云端存储空间，无需用户通过完成特定任务才能获取，方便老师存储资料；3、软件菜单功能按钮/图标配备明确中文标识，交互平板/电子白板/白板一体机双侧软件快捷键具备一个自定义功能按键，可自定义常用软件功能如：荧光笔、时钟、微课工具等；4、易用的文本编辑功能。5、软件提供不少于14种精美页面背景；6、软件提供不少于8种与学科相关的页面背景等；7、软件具备页面参考辅助线、智能辅助线，移动单个素材时，可以智能提示水平、垂直对齐位置，方便课件排版；8、提供音、视频编辑功能；9、备授课模式下均支持插入本地、或云平台教学资源，可直接进行图片替换；10、课堂互动工具：能够创建知识连线、互动分类、选词填空等；11.思维导图：提供多种思维导图模板，支持学科工具应用及仿真实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840" w:hRule="atLeast"/>
        </w:trPr>
        <w:tc>
          <w:tcPr>
            <w:tcW w:w="4989" w:type="pct"/>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初中物理、化学、生物备考室清单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00" w:hRule="atLeast"/>
        </w:trPr>
        <w:tc>
          <w:tcPr>
            <w:tcW w:w="498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化学备考室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88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300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276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720" w:hRule="atLeast"/>
        </w:trPr>
        <w:tc>
          <w:tcPr>
            <w:tcW w:w="498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生物备考室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86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64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2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2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54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660" w:hRule="atLeast"/>
        </w:trPr>
        <w:tc>
          <w:tcPr>
            <w:tcW w:w="498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物理备考室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pct"/>
          <w:trHeight w:val="369"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76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8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陈列柜</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2050*500*2400；侧板两长边镶嵌20mm*16mm铝合金，正面玻璃移门，上部为80mm*50mm宽铝合金上槽，并有专用槽与顶板连接，内置专用吊轮和8mm钢化玻璃，下部采用40mm*37mm铝合金双槽下槽，槽内设置防撞毛条，并有专用槽与中固板连接，层板立杆为15mm*20mm铝合金型材材质，层板采用8mm厚玻璃，高低可调。下柜为全钢柜体，采用1.0mm优质高强度镀锌钢板，采用CO2保护焊焊接，打磨处理，表面经耐酸碱粉末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钢化玻璃技术要求满足：GB15763.2-2005建筑用安全玻璃第2部分：钢化玻璃；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耐热冲击性能，钢化玻璃应耐200℃温差不破坏。取4块试样进行试验，取4块试样全部符合规定时为合格。2块以上不符合时为不合格。当有1块不符合时，重新追加1块试样，符合规定则为合格；当有2块不符合时，则重新追加4块试样，全部符合规定时则为合格。检测结果为符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提供由生产厂家送检满足以上技术要求具有CMA、CAL、ilac-MRA、CNAS认证的由省级或省级以上检测机构出具的钢化玻璃检测报告复印件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pct"/>
          <w:trHeight w:val="2580" w:hRule="atLeast"/>
        </w:trPr>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1.全钢结构：规格：4000*400*800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2.台面：采用12.7mm厚实验室专用理化板,周边加厚至25.4mm,倒圆角处理.,防强酸强碱，耐磨耐高温；不含任何有毒物质，无辐射，受热不产生有毒气体和物质；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2、柜体、柜门、抽屉采用采用1.0mm高强度镀锌钢板。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柜体经折弯成型焊接一体成型，操作台力学性能满足：水平静载荷试验：技术要求：力600N，10次；垂直静载荷试验：主桌面：力2000N，10次；持续垂直静载荷：载荷1.25kg/dm²，24h；独立操作台水平冲击稳定性：质量50kg，跌落高度40mm；独立操作台垂直加载稳定性：750N；活动操作台跌落：跌落高度：150mm，10次；垂直冲击试验：跌落高度：300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4、抽屉导轨采用：防腐三节静音导轨。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5、合页采用不锈钢防腐合页。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5"/>
          <w:wBefore w:w="24" w:type="pct"/>
          <w:wAfter w:w="847" w:type="pct"/>
          <w:trHeight w:val="460" w:hRule="atLeast"/>
        </w:trPr>
        <w:tc>
          <w:tcPr>
            <w:tcW w:w="4127"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初中物理、化学、生物候考抽签室</w:t>
            </w:r>
            <w:r>
              <w:rPr>
                <w:rFonts w:hint="eastAsia" w:ascii="宋体" w:hAnsi="宋体" w:cs="宋体"/>
                <w:b/>
                <w:bCs/>
                <w:i w:val="0"/>
                <w:iCs w:val="0"/>
                <w:color w:val="000000"/>
                <w:kern w:val="0"/>
                <w:sz w:val="28"/>
                <w:szCs w:val="28"/>
                <w:u w:val="none"/>
                <w:lang w:val="en-US" w:eastAsia="zh-CN" w:bidi="ar"/>
              </w:rPr>
              <w:t>采购</w:t>
            </w:r>
            <w:r>
              <w:rPr>
                <w:rFonts w:hint="eastAsia" w:ascii="宋体" w:hAnsi="宋体" w:eastAsia="宋体" w:cs="宋体"/>
                <w:b/>
                <w:bCs/>
                <w:i w:val="0"/>
                <w:iCs w:val="0"/>
                <w:color w:val="000000"/>
                <w:kern w:val="0"/>
                <w:sz w:val="28"/>
                <w:szCs w:val="28"/>
                <w:u w:val="none"/>
                <w:lang w:val="en-US" w:eastAsia="zh-CN" w:bidi="ar"/>
              </w:rPr>
              <w:t>清单（共3间）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24" w:type="pct"/>
          <w:trHeight w:val="840" w:hRule="atLeast"/>
        </w:trPr>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24" w:type="pct"/>
          <w:trHeight w:val="1500" w:hRule="atLeast"/>
        </w:trPr>
        <w:tc>
          <w:tcPr>
            <w:tcW w:w="418"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智慧显示屏</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55英寸网络液晶平板教育电视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4K超高清蓝牙语音遥控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2GB+8GB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4.含智慧屏四轮移动推车落地支架，推车主材为spcc优质冷轧钢，支架升降高度范围1590㎜—1980㎜，底座尺寸：1060㎜×465㎜，承重≥110KG                </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24" w:type="pct"/>
          <w:trHeight w:val="2960" w:hRule="atLeast"/>
        </w:trPr>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抽签打印机</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1.打印时间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黑白(A4，就绪模式)：8秒；黑白(A4，睡眠模式)：18秒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2.打印负荷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至少满足10,000页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黑白(最佳模式)：满足1,200x1,200dpi；黑白(正常模式)：满足600x600dpi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4.打印机语言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GDI(基于主机语言)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5.打印速度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黑白(正常模式，A4)：满足20页/分钟</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24" w:type="pct"/>
          <w:trHeight w:val="1280" w:hRule="atLeast"/>
        </w:trPr>
        <w:tc>
          <w:tcPr>
            <w:tcW w:w="4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抽签电脑</w:t>
            </w:r>
          </w:p>
        </w:tc>
        <w:tc>
          <w:tcPr>
            <w:tcW w:w="30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 i5-13500H 16线程 内存：≥16GB(16+16) 5200MHZ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硬盘：≥1T SSD  网卡：千兆网卡 WIFI6E并向下兼容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IPS，宽屏16：10，2880*1800，14英寸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电池容量75wh，4芯 锂离子电池，理论续航时间&gt;12小时。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0" w:h="16838"/>
          <w:pgMar w:top="1440" w:right="1046" w:bottom="430" w:left="1440" w:header="0" w:footer="0" w:gutter="0"/>
          <w:pgBorders>
            <w:top w:val="none" w:sz="0" w:space="0"/>
            <w:left w:val="none" w:sz="0" w:space="0"/>
            <w:bottom w:val="none" w:sz="0" w:space="0"/>
            <w:right w:val="none" w:sz="0" w:space="0"/>
          </w:pgBorders>
          <w:cols w:equalWidth="0" w:num="1">
            <w:col w:w="9420"/>
          </w:cols>
        </w:sectPr>
      </w:pPr>
    </w:p>
    <w:tbl>
      <w:tblPr>
        <w:tblStyle w:val="24"/>
        <w:tblW w:w="5146"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9"/>
        <w:gridCol w:w="124"/>
        <w:gridCol w:w="25"/>
        <w:gridCol w:w="470"/>
        <w:gridCol w:w="143"/>
        <w:gridCol w:w="118"/>
        <w:gridCol w:w="106"/>
        <w:gridCol w:w="170"/>
        <w:gridCol w:w="4616"/>
        <w:gridCol w:w="906"/>
        <w:gridCol w:w="15"/>
        <w:gridCol w:w="519"/>
        <w:gridCol w:w="126"/>
        <w:gridCol w:w="221"/>
        <w:gridCol w:w="1079"/>
        <w:gridCol w:w="570"/>
        <w:gridCol w:w="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600" w:hRule="atLeast"/>
        </w:trPr>
        <w:tc>
          <w:tcPr>
            <w:tcW w:w="4611" w:type="pct"/>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初中化学危险品室设备</w:t>
            </w:r>
            <w:r>
              <w:rPr>
                <w:rFonts w:hint="eastAsia" w:ascii="宋体" w:hAnsi="宋体" w:cs="宋体"/>
                <w:b/>
                <w:bCs/>
                <w:i w:val="0"/>
                <w:iCs w:val="0"/>
                <w:color w:val="000000"/>
                <w:kern w:val="0"/>
                <w:sz w:val="32"/>
                <w:szCs w:val="32"/>
                <w:u w:val="none"/>
                <w:lang w:val="en-US" w:eastAsia="zh-CN" w:bidi="ar"/>
              </w:rPr>
              <w:t>采购</w:t>
            </w:r>
            <w:r>
              <w:rPr>
                <w:rFonts w:hint="eastAsia" w:ascii="宋体" w:hAnsi="宋体" w:eastAsia="宋体" w:cs="宋体"/>
                <w:b/>
                <w:bCs/>
                <w:i w:val="0"/>
                <w:iCs w:val="0"/>
                <w:color w:val="000000"/>
                <w:kern w:val="0"/>
                <w:sz w:val="32"/>
                <w:szCs w:val="32"/>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58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650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易燃品毒害品储存柜</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1.尺寸：≥900mm（L）×510mm（W）1840mm（H）；门类型：双开门。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2.易燃品毒害品储存柜外壳体全部采用≥1.2mm的冷轧钢板，柜体底座采用≥2.0mm的冷轧钢板,内外表面经酸洗磷化环氧树脂粉末喷涂，烘热固化处理。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易燃品毒害品储存柜体内胆均采用≥4mmPP聚丙烯板；柜体右侧下部设置≥120×110mm进风口，内部有一体化PP聚丙烯可调风阀，可根据需求调整进风量大小；柜体的底板中部有≥Φ10mm漏液孔，上覆不锈钢漏液网；柜体底部设H≥160mm黄沙防倒挡板，可用作黄沙填埋腔，用于埋放金属钠、黄磷、白磷等固体易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4.柜底装有四个静音防静电滚轮，便于易燃品毒害品储存柜移动；设4个调节螺母，既可用于储存柜定位，也可作调整脚使用。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内配3个一次成型聚丙烯阶梯层板，层板四周边缘厚度平均值不小于4.2mm;每层阶梯板外延边有积液槽，积液槽高度平均值不小于3mm，背面网格加强筋设计，加强承重性；每个层板靠背板处设有PP螺丝限位，留出约5mm气体流动空间，便于顶部风机抽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柜顶部中间开有≥φ160mm蜂窝口，柜内出风口处采用PP聚丙烯一体式网状结构，有效避免异物进入柜内，配备耐腐蚀一次成型PP法兰圈，方便耐用。柜顶风口内置轴流风机，无火花静电，当风机开机前要把进风口转至打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7.密封件：柜体门与柜体之间应安装防火膨胀密封件，密封件应符合GB 16807-2009的要求；当温度为150℃~180℃时密封条局部膨胀，温度达到200℃时密封条全部膨胀，膨胀比例为1:5，以保证储存药品的安全性。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8.陶瓷纤维棉：柜体应填充具有保温隔热作用的陶瓷纤维棉，密度≥130㎏/m³。                                                                                                                 9.铰链：铰链应为钢琴式铰链，确保门能开180度。                                                                                                                                                                    10.锁具：双人双锁管理，配备电子密码锁和二代防盗机械锁，密码锁具有开锁记录查询及隐码功能。锁舌选用坚韧且有弹性的高分子合成塑料制成，耐磨且抗腐蚀性能极强。                                                                                                                                       11.环保性能：国标规定，室内甲醛含量不得超过0.08mg/m3;苯含量不得超过0.09mg/m3。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12.配备接地装置实现完全接地。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13.装箱时柜内外的说明标识：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《易燃品毒害品储存柜使用说明书》，《合格证》，《安全储存说明书》，柜门上贴有反光警示标签。</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兼具隔爆，隔火和耐腐蚀的功能，黄色代表易燃品，红色是危险品，蓝色是毒害品，他可以存放一些硫酸盐酸这样性质的，有危险性，有腐蚀性的化学品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575"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安全柜</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1.尺寸：≥600mm（L）×460mm（W）×1650mm（H）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3.柜门：单门/手动通风口，左右两侧各一个。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4.安全柜整体为双层防火钢板构造，钢板之间间隔约≥40mm缓冲绝缘层，防火性能更为卓越。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5.柜身底部≥50mm高的防漏液槽，防止漏液的外溢。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6.独有的镀锌层板，四周经折弯加强，可上下调节，承重性能优异。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7.柜体内外都喷涂有持久的，无铅的环氧树脂粉末，烘热固化处理。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8.标有三种语言的高可见度标签。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9.装设有防闭火装置的双透气孔，设有静电接地传导端口。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10.可调节脚若干，确保柜体稳固。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全钢材质，只能隔爆，不耐腐蚀，黄色代表易燃品，红色是危险品，蓝色是毒害品，他存放的东西我们建议是只具有易燃易爆的性质而没有腐蚀性的化学品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528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通风药品柜（ABS)</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整体规格：≥1000mm（L）×500mm（W）×2000mm（H）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材质：整体采用新型环保ABS塑料，注塑成型。耐腐蚀、耐酸碱、防水、耐热，耐候性能强、表面硬度、高弹性、韧性、电绝缘性等各性能满足硬性指标。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柜体上下两层流线型设计，采用榫卯链接结构，支撑受力点合理布局，采用五金配件连接，不用胶水粘接，便于安装。外表面和内表面以可触及的隐蔽处，均无锐利的棱角、毛刺以及五金配件露出的尖锐边角, 所有接触人体的边棱均为倒圆角。整体由底板、侧板、背板、柜门、层板构成。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底板规格：≥995mm×475mm×60mm，壁厚度约为≥3.0mm,底板采用镂空原理设计，分上下两层，36个受力点均匀分布，6个调节脚垫位置合理布局，最大抗压能力达200公斤。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侧板规格：≥895mm×415mm×45mm，整体采用ABS塑料一体注塑成型。与层板、底板形成倒模结构，增加3倍抗压系数。外侧方形凹凸格设计，内侧4档层板高度调节功能，满足柜体内部空间调节。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背板规格：≥990mm×910mm×20mm，整板采用ABS塑料一体化注塑成型，两侧内置14条加强筋，外侧方形凹凸格设计满足背板硬度要求。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柜门规格：≥930mm×465mm，外框采用ABS塑料一体化注塑成型。外框表面镶嵌厚度为≥3.5mm的钢化玻璃，带ABS塑料拉手，阻尼锁舌，内嵌式塑料插销。柜门与侧板连接结构采用上下轴嵌入式加固。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层板规格：≥905mm×400mm,注塑厚度约为≥3.0mm，采用ABS塑料注塑一次成型，防水，耐腐蚀。上层柜设置2个层板，下层柜设置1个层板，层板与侧板连接处均设有高度调节棱，确保层板稳定，高度可调。内侧采用3横4纵加强筋设计，内置2条长≥89.5mm×15mm，壁厚约1.0mm的方管，以达到承重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药品柜阶梯规格：≥长870mm×宽125mm×深85mm，壁厚≥2.5mm （2组共5层）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整体采用新型环保ABS塑料，一体化注塑成型，耐腐蚀、耐酸碱、防水、耐热，耐候性能强。阶梯每层设计14个透气孔 便于危险药品的排放，每层设有8个加强筋，可承重不同重量的物品摆放，不变型。每次层前端设计有止水波，防止液体流出。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柜体顶部设有通风孔</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48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1.地面以上连接线外部配有防火耐高温套管。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2.电源布管布线施工，埋地管为PVC穿线管，采用铜芯线。</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64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120w轴流风机、电机，含设备调试等</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8" w:type="pct"/>
          <w:trHeight w:val="960" w:hRule="atLeast"/>
        </w:trPr>
        <w:tc>
          <w:tcPr>
            <w:tcW w:w="25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通风管道</w:t>
            </w:r>
          </w:p>
        </w:tc>
        <w:tc>
          <w:tcPr>
            <w:tcW w:w="259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1.主通风管规格：φ160mm/200mm，PVC成品管道；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2.支管道规格：φ110mm，PVC成品管道；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3.管道配件：管道三通、弯头、变径、直接。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（实际管径视现场情况可适当调整）</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043" w:type="pct"/>
          <w:trHeight w:val="660" w:hRule="atLeast"/>
        </w:trPr>
        <w:tc>
          <w:tcPr>
            <w:tcW w:w="3956"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初中生物吊装实验室标准化建设</w:t>
            </w:r>
            <w:r>
              <w:rPr>
                <w:rFonts w:hint="eastAsia" w:ascii="宋体" w:hAnsi="宋体" w:cs="宋体"/>
                <w:b/>
                <w:bCs/>
                <w:i w:val="0"/>
                <w:iCs w:val="0"/>
                <w:color w:val="000000"/>
                <w:kern w:val="0"/>
                <w:sz w:val="28"/>
                <w:szCs w:val="28"/>
                <w:u w:val="none"/>
                <w:lang w:val="en-US" w:eastAsia="zh-CN" w:bidi="ar"/>
              </w:rPr>
              <w:t>采购</w:t>
            </w:r>
            <w:r>
              <w:rPr>
                <w:rFonts w:hint="eastAsia" w:ascii="宋体" w:hAnsi="宋体" w:eastAsia="宋体" w:cs="宋体"/>
                <w:b/>
                <w:bCs/>
                <w:i w:val="0"/>
                <w:iCs w:val="0"/>
                <w:color w:val="000000"/>
                <w:kern w:val="0"/>
                <w:sz w:val="28"/>
                <w:szCs w:val="28"/>
                <w:u w:val="none"/>
                <w:lang w:val="en-US" w:eastAsia="zh-CN" w:bidi="ar"/>
              </w:rPr>
              <w:t>清单（56座）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87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名称</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技术参数</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870" w:hRule="atLeast"/>
        </w:trPr>
        <w:tc>
          <w:tcPr>
            <w:tcW w:w="489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教师演示控制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50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教师演示讲台</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1.全钢结构：2400*600*850㎜；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2.台面：采用12.7mm厚双面膜耐腐蚀实芯理化板制作，四角倒R15圆角。耐酸、耐碱、耐高温，坚固耐用，防潮、无细孔、不膨胀、不龟裂、不变形、不导电、便于维护及具有良好的承重性能；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3.柜体：采用1.0mm优质高强度镀锌钢板，采用CO2保护焊焊接，打磨处理，表面经耐酸碱EPOXY粉末烤漆处理；整体结构设计合理，预留电脑主机、键盘托、实物展台、教师电源位置；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4.拉手：采用C型不锈钢拉手，造型独特美观；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5.防撞胶垫：装于抽屉及门板内侧，减缓碰撞，保护柜体；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6.门板及抽面：采用双层钢板，必须两层组装是设计，保证两层双面都喷涂处理，中间采用隔音材料，保证关门减少噪音；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7.耐腐蚀连接件：采用ABS专用连接组装件；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8.不锈钢防腐合页：采用优质不锈钢模具一体成型，强度必须达到一个正常成年座在门上方合页不脱落；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9.防腐三节静音导轨：三节重型滚珠滑轨，承重性强，滑动性能良好，无噪音；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10.固定桌脚：采用柜体内置可调ABS调整脚，保证调整脚前后都可以调节高低。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教师演示讲台技术要求满足：GB24820-2009实验室家具通用技术条件：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1、操作台力学性能：水平静载荷试验：技术要求：力600N，10次；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垂直静载荷试验：主桌面：力2000N，10次；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持续垂直静载荷：载荷1.25kg/dm²，24h；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独立操作台水平冲击稳定性：质量50kg，跌落高度40mm；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独立操作台垂直加载稳定性：750N；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活动操作台跌落：跌落高度：150mm，10次；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垂直冲击试验：跌落高度：300mm，10次。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提供由生产厂家送检满足以上技术要求具有CMA、CAL、ilac-MRA、CNAS认证的省级或省级以上检测机构出具的教师演示讲台检测报告复印件。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23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实验室专用水槽</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规格：550*450*310；采用实验室专用高密度PP一体化成型水槽，易清洁，耐腐蚀，且利于台面残水自然回流，美观实用；具耐酸碱、耐有机溶剂、耐紫外线等特点。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实验室专用水槽技术性能满足：QB/T2658-2017卫生设备用台盆：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1、外观：产品使用表面应光滑顺畅，不应有划伤、裂纹、气泡、爆边等明显缺陷；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2、抗负载：试验后不应有裂纹、破裂、或永久性变形，但直接受力点的变形不视为不合格；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3、耐化学腐蚀和耐污染性能：试验后，测试面不应出现不可消除的不良，如污点、损坏等。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提供由生产厂家送检满足以上技术要求具有CMA、CAL、ilac-MRA、CNAS认证的由省级或省级以上检测机构出具的实验室专用水槽检测报告复印件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36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三联高低位龙头</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三联高低位龙头技术要求满足：GB18145-2014陶瓷片密封水嘴：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1、螺纹：螺纹表面应光洁，不得有凹痕、断牙等明显缺陷；产品外接非密封管螺纹应符合GB/T7307的要求，其中外螺纹应不低于GB/T7307的B级精度；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提供由生产厂家送检满足以上技术要求具有CMA、CAL、ilac-MRA、CNAS认证的由省级或省级以上检测机构出具的三联高低位龙头检测报告复印件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1" w:type="pct"/>
          <w:trHeight w:val="52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学生实验操作及学习区</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7"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生物学生实验桌</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1.根据实验室面积、结构定制，符合吊装系统集成设计要求，整体尺寸不得小于1200*600*780。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2.台面：采用优质实芯理化板，可抵抗多种酸，碱，强氧化剂等腐蚀试剂。台面四周采用数控修边处理，光滑无毛刺，所有接缝处做处理，边缘双层加厚处理，双向弧形倒角；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桌体：内部整体结构框架采用优质铝型材组装连接，增强桌体承重性及整体稳定性。桌体内外两侧及背板部分采用ABS环保材料注塑成型，增强桌体机械强度及整体美观性，满足耐化学腐蚀、耐热，表面具备高硬度、高弹性、高韧性、电绝缘性、耐候性等各性能硬性指标。型材表面经高压静电喷涂环氧树脂防护层，耐酸碱、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参照GB/T3325-2017相关标准，一体化考试桌质量检测结果符合以下要求：（需有CNAS、CMA、ilac-MRA机构认可的权威实验室出具的检测报告，报告中需呈现相应功能,提供复印件并加盖厂家公章）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金属外观件要求：管材应无裂缝、叠缝，外露管口端面应封闭；焊接处应无脱焊、虚焊、焊穿、错位，无夹渣、气孔、焊瘤、焊丝头、咬边、飞溅，焊疤表面波纹应均匀；喷涂层应无漏喷、锈蚀和脱色、掉色现象，应光滑均匀，色泽一致，应无流挂、疙瘩、皱皮、飞漆等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②塑料件外观要求：应无裂纹，无明显变形，无明显缩孔、气泡、杂质、伤痕，外表用塑料件表面应光洁，无划痕，无污渍，无明显色差；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重金属含量：可溶性铅≤90mg/kg，可溶性镉≤75mg/kg，可溶性铬≤60mg/kg，可溶性汞≤60mg/kg；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4.挡板升降系统：升降挡板采用5mm PC一体加工成型，升降高度≥350mm，可预防桌面东西滑落和考试过程中受到外界干扰。升降结构采用铝合金型材制作并配有垂直导向，保持牢固与稳定，电机采用静音型产品，不产生噪音；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显示器升降系统：升降显示器采用21.5吋高清显示屏，内嵌于桌体内部，集成俯视角度采集系统模块一体化升降。电机采用静音型产品，不产生噪音，升降结构采用高精度轮齿条升降，传动精确、运行平稳、不会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6急停模块：当发生故障或出现异常时，学生可按急停按钮以阻断一体化考试桌供电，且不影响其他学生正常实验操作；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7.电源模块：配备220V五孔插座2个，并配备防护罩以避免液体泼洒造成电源短路等故障；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8.网络模块：配备千兆RJ-45网络接口*1；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9.交直流模块：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直流稳压输出：0-24VDC，额定电流2A；最小调节单元0.1V。交流电压输出：0-24VAC，额定电流2A；最小调节1V。交直流电源具有过载保护、短路保护、智能检测功能，显示保护提示。采用自动复位功能免除反复过载冲击负载，保护功能更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②电源配置2.4吋触控屏，实时显示电压和电流等信息；</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实验凳</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规格：315*450-500mm；1、凳脚材质：4个凳脚采用17×34×1.7mm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钢管技术要求满足：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1、维氏硬度，HV1，检测结果＞300。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提供由生产厂家送检满足以上技术要求由省级或省级以上检测机构出具的钢管检测报告复印件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实验凳技术要求满足：GB/T3325-2017金属家具通用技术条件：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1、椅凳类稳定性：凳子任意方向倾翻；检测结果：无倾翻；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2、椅凳类强度和耐久性：座面和椅背载荷试验：单人位：座面加载力：1300N，椅背加载力：450N，加载次数：10次，加载时间：≥10S；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椅腿前向静载试验：加载力：500N，加载次数：10次，加载时间:≥10S，座面平衡载荷：1000N；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座面冲击试验：冲击高度：180mm；冲击次数：10次；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椅背冲击试验：冲击高度：210mm；冲击角度：38°；冲击次数：10次；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椅凳类强度和耐久性：跌落试验：跌落高度：200mm；跌落次数：10次；腿或基座大于200mm非叠放椅。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提供由生产厂家送检满足以上技术要求具有CMA、CAL、ilac-MRA、CNAS认证的由省级或省级以上检测机构出具的实验凳检测报告复印件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33" w:type="pct"/>
          <w:trHeight w:val="520" w:hRule="atLeast"/>
        </w:trPr>
        <w:tc>
          <w:tcPr>
            <w:tcW w:w="4066" w:type="pct"/>
            <w:gridSpan w:val="1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智能系统控制柜</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500*200*1250mm；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（1）电源控制系统：可以对220V进行控制，可以单独进行控制，进行单选、全选、反选，分组进行控制；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（2）照明控制系统可以对照明进行控制，可以单独进行控制，进行单选、全选、反选，分组进行控制；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智能灯光照明系统技术要求满足：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提供由生产厂家送检满足以上技术要求由省级或省级以上检测机构出具的智能灯光照明装置检测报告复印件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(4)、智能摇臂控制系统：可以对摇臂进行控制，可以单独进行控制，进行单选、全选、反选，分组进行控制。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4、运行稳定性：经升降200次试验后，运行应无异常现象发生。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提供由生产厂家送检满足以上技术要求由省级或省级以上检测机构出具的智能摇臂升降系统检测报告复印件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智能系统控制柜技术要求满足：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提供由生产厂家送检满足以上技术要求由省级或省级以上检测机构出具的智能系统控制柜检测报告复印件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顶装智能控制平台</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集中控制系统。可执行各分项分页控制；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（1）供水控制：集中控制整室给排水；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（2）照明控制：分组控制整室照明；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（3）电源控制：控制学生AC220V电源；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（4）摇臂控制：可以实现单个控制，可以集中控制，可以任意组合控制。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顶装智能控制平台技术要求满足：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1、标志：调节装置、输出插孔应有清晰明了、耐用的提示文字和符号，直流电压输出应能显示电压；内部布线接线端子应有文字或符号明示；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3、漏电保护：输入端应有漏电保护断路装置；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4、接地措施：接地电阻≤0.1Ω；绝缘电阻≥7MΩ；变压器、插座应可靠接地；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5、发热，K：变压器在1.06倍额定电压（233.2V）工作至温度状态，其绕组温升≤90K；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性：试验后，提环连接部位不应脱落、变形，桶口部位不应产生永久性变形；各组插座、开关工作有效，无影响正常工作和安全的异常现象；指示灯正常，无闪烁、损坏现象；电压指示正常，无闪烁和损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7、电压电流设置性能指示性：电压按设定值输入确认后，显示和输出应一致；电压设定值与实际输出值得误差应≤10%。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提供由生产厂家送检满足以上技术要求由省级或省级以上检测机构出具的顶装智能控制平台检测报告复印件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学生端分组控制系统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可以对学生端模块的电源控制系统、照明控制系统、给排水控制系统、智能摇臂控制系统经行独立分组控制，实现全选、反选、单选功能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学生端分组控制系统技术要求满足：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提供由生产厂家送检满足以上技术要求由省级或省级以上检测机构出具的学生端分组控制系统检测报告复印件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A、APP登入有网络注册功能，注册后登入系统操作，使用者忘记密码方便找回，同时方便升级系统，带来新的体验。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B、能使用APP能控制总电源关闭；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C、APP能显示当前温度、相对湿度及当前时间；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D、使用APP能控制学生低压电源的交流电压，且电压值为实测值。如APP给学生交流3V，学生电源电压实测电压为3V；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E、使用APP同时控制水电风光源开启与关闭，同时可以扩展功能（监控布防、空调控制等等）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远程控制系统技术要求满足：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提供由生产厂家送检满足以上技术要求由省级或省级以上检测机构出具的远程控制系统检测报告复印件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温湿度监视系统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内置精密温湿度传感装置，实时监控房间内的温度和湿度，保障室内舒适的环境舒适性，在触摸屏中实时显示当前环境的温度和湿度。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温湿度监视系统技术要求满足：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提供由生产厂家送检满足以上技术要求由省级或省级以上检测机构出具的温湿度监视系统检测报告复印件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吊装式综合供给系统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智能摇臂升降系统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采用为直流24V减速低压电机，连接杆采用DN60*1.8mm专用铝合金模具一体成型，内部水电分离，功能模块采用模具一体成型，功能模块可安装高低压电源（低压电源为交直流，可以显示交直流电压）、急停开关，可选配网络及上下水模块，同时可以扩展煤气等模块。系统自带障碍物保护功能，当摇臂在运动的过程中遇到障碍物时会自动复位；摇臂在运动的过程中供应模块的电源处于断电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4、运行稳定性：经升降200次试验后，运行应无异常现象发生。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提供由生产厂家送检满足以上技术要求由省级或省级以上检测机构出具的智能摇臂升降系统检测报告复印件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模块主架舱体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采用标准模块化组成，1200*720*195mm为一组；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及材质：主框架采用航空飞碟式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模块主架舱体技术要求满足：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提供由生产厂家送检满足以上技术要求由省级或省级以上检测机构出具的模块主架舱体检测报告复印件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集成功能模块舱体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采用ABS材质，模具一体成型。模块内部采用双层设计，水电隔离设计，相互不干扰，保证设备安全可靠性。模块内预留高压、低压、网络、上下水接口位置。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集成功能模块舱体技术要求满足：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1、外观：技术要求，表面光洁，形状规正，不应有毛刺，快口等现象；组件结合接缝平服，间隙应基本一致，无明显高低差和缝隙不一的现象；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提供由生产厂家送检满足以上技术要求由省级或省级以上检测机构出具的集成功能模块舱体检测报告复印件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电源供应模块</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220V接收智能化控制系统控制，内含新国标插座。可以分组或独立控制电源供给。</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0-24V；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2、学生电源采用耐磨、耐腐蚀、耐高温的PC亮光薄膜面板，学生电源的控制采用按钮式按键，可以随意设置电压，贴片元件生产技术，微电脑控制，采用1.38寸液晶显示电源学生交直流电压；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3、学生交流电源通过上下键0～24V电压，最小调节单元可达1V,额定电流2A；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4、学生直流电源也是通过上下键选取，调节范围为1.5～24V，分辨率可达0.1V,额定电流2A。</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采用485网络模块接口，不含网络布线；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电源供应模块技术要求满足：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提供由生产厂家送检满足以上技术要求由省级或省级以上检测机构出具的电源供应模块检测报告复印件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学生端防堵反冲洗装置</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采用4分PVC水管，具有耐酸碱、防爆的特性，水管之间接头采用金属连接件，安装自来水大流量反冲前置过滤器，避免自来水水质不干净；排水采用内置钢丝PVC水管，防止水泵工作时水管负压变形，水管之间接头采用金属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学生端防堵反冲洗装置技术要求满足：JC/T932-2013卫生洁具排水配件：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工与装配：塑料件表面不得有明显的波纹、黏结痕、明显的擦划伤，修饰损伤等缺陷；塑料存水弯色泽应均匀，不得有分解变色线；螺纹表面应光洁，不得有凹痕，断牙等明显缺陷；装配好的排水配件应连接牢固、无松动；动作应灵活、无卡阻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2、外观：产品外表面的尖棱，飞边，毛刺应清除干净；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3、密封性能，排水配件操作机构密封性能，打开排水装置，封堵末端排水口，在排水装置进水口处施加150mm水柱的静水压，并保持5min，排水配件反复启闭3次后，操作机构应无渗漏。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提供由生产厂家送检满足以上技术要求具有CMA、CAL、ilac-MRA、CNAS认证的由省级或省级以上检测机构出具的学生端防堵反冲洗装置检测报告复印件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学生端给排水接口</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PVC材质，给排水接头采用美国进口,具有耐酸碱，拔插轻松，不生锈；即插即用，带自动锁紧插功能，即使在供水排水工作时，随时拔掉接口不会有任何滴漏现象。</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自动给排水系统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采用自主研发，当给水开关打开时，排水自动启动，水槽水低位时，排水自动关闭，设定时间内自动检测排水管水位，当排水管有水时，排水自动抽完，如果排水管未检测到水，水泵自动关闭。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自动给排水系统技术要求满足：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1、不锈钢制品感官要求：调节装置、输出插孔应有清晰明了、耐用的提示文字和符号；直流电压输出应能显示电压；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3、锅盖与锅身配合：连线后应无应力；黄绿双色线必须是接地端子，部分固定牢固，无松动现象；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提供由生产厂家送检满足以上技术要求由省级或省级以上检测机构出具的自动给排水系统检测报告复印件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多功能防溅水槽柜</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1、水槽柜整体尺寸为600*450*820mm（H） 2、底围尺寸590x440x61.5mm，中间部分尺寸601x450x817mm；材质1.00mm镀锌钢板，表面环氧喷涂；上面水槽为PP改性材质，尺寸为水槽尺寸450x601x477mm，水槽内空上部尺寸为405*480mm，底部尺寸为346*426mm3、水槽最高深度为370，最低深度305mm，保障洗涤时水不外飞溅；水槽内部带滴水架，滴水架带10个滴水棒，滴水棒可以收纳；水槽柜上面带检修口，同时可以收纳水管（吊装使用时）；检修门带锁。底围可以安装调节脚或者1寸定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技术要求满足:GB/T 3325-2017 金属家具通用技术条件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1、金属喷漆（塑）涂层理化、 耐腐蚀  100h内，观察在溶液中样板上划道两侧3mm以外，应无鼓泡产生； 100h后，检查划道两侧3mm外，应无锈迹、剥落、起皱、变色和失光等现象。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2、塑料件理化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耐老化性能500h 级  外观颜色变色评级不小于3级。提供由生产厂家送检满足以上技术要求具有CMA、ilac-MRA、CNAS认证的由省级或省级以上检测机构出具的多功能防溅水槽柜检测报告复印件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升降折叠水龙头</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材质为加厚H63铜管，主管管径26mm。2、涂层：环氧树脂涂层，经24小时酸性盐雾试验后，耐腐蚀、耐热、防紫外线辐射，达到国际及国内相关标准的技术要求。3，折叠双联龙头在使用过程中可以自由升降水嘴，以满足不同身高的高度仪器清洗要求使用。其中一个出水嘴加装了可调节水花装置，保证实验过程中对水花的不同要求，调节方便，美观耐用。4，实验室龙头采用壁式安装，壁厚大于2.5mm，固定底座直径55mm，底座锁母与台面中间添加齿形止退垫，使连接后不易松动稳定性强，与台面安装牢固。双联龙头可以分开折叠90度收纳，保证实验室的整洁美观。5，开关旋钮：通过环保Rohs认证，材质PP，符合人体工学设计，启闭方式为平面式，开关标识清晰醒目，装配好的开关旋钮应平稳轻便无卡阻，与阀杆连接后不易松动稳定性强。6，水龙头开关寿命：采用高精度陶瓷阀芯，可90°旋转，启闭寿命经过50万次寿命试验后，阀芯上游及阀芯下游在水压1.6MPa，保压时间60s，无永久性变形，通道过水无渗漏，密封性能符合 GB18145-2014 国家标准，静态最大耐压10巴。7、水咀三通与上控水阀，用200T四拉液压机、模具一体热冲成形，密度高，强度大，牢固耐用。</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主架舱体防尘检修板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规格：1200*500*1mm；采用1.0mm优质高强度镀锌钢板，采用那个CO2保护焊焊接，打磨处理，表面经耐酸碱EPOXY粉末烤漆处理（烤漆膜厚度平均值≥70μm）；造型独特美观，检修方便。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智能灯光照明装置</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接收智能化控制系统控制，功能面板采用1170*85mm，配置LED日光灯1根，每根15W，灯罩采用ABS一次成型，设计安装磨砂透明均光板，不仅能使光线扩散均匀更能起到安全防护作用。</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模块化设计，每组模块间采用活接式连接，方便安装、检修。采用2.5mm²电线进行系统布线。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智能控制系统线路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模块化设计，每组模块间采用活接式连接，方便安装、检修。采用1.mm²屏蔽电线进行系统布线。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给水主管选用φ20-32mmPP-R给水管，模块化设计，每组模块间采用活接式连接，方便安装、检修。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排水管选用加厚φ50-75mmPVC-U国标管（具有防酸、防碱、耐腐蚀功能），模块化设计，每组模块间采用活接式连接，方便安装、检修。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舱体末端封板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支架功能封板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能隐藏水电通风管道及电线，采用PVC材质，方便检修。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安装支架</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采用碳钢丝杠及专业连接件、直角座、龙骨架连接件、吊装挂件、安装连接板等。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安装支架技术要求满足：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1、抗拉强度Rm，MPa，/；检测结果≥150。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提供由生产厂家送检满足以上技术要求由省级或省级以上检测机构出具的安装支架检测报告复印件</w:t>
            </w:r>
          </w:p>
        </w:tc>
        <w:tc>
          <w:tcPr>
            <w:tcW w:w="54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388"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820" w:type="pct"/>
            <w:gridSpan w:val="14"/>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安装材料</w:t>
            </w:r>
          </w:p>
        </w:tc>
        <w:tc>
          <w:tcPr>
            <w:tcW w:w="544" w:type="pct"/>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88" w:type="pct"/>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安装辅件</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主要辅件有：矩形钢、三角构件、直角座、龙骨架连接件、吊装挂件、安装连接板等各类辅件。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电、网络布线耗材</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外径：0.50mm  绝缘外径：0.9mm电缆外径：5.2mm；牵引时最小弯曲半径：42mm可承受张力：78N；燃烧等级：IEC332.1色谱：白兰/兰、白橙/橙、白绿/绿、白棕/棕超5类4对UTP电缆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阻燃等级：满足YD/T 1019中对阻燃的要求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结构特性：（1）导体直径≥0.5mm；（2）外护套材料 PVC；（3）导体线规 24AWG；（4）外护套直径约5.2mm；（5） 绝缘材料 PE ；（6）外护套厚度 ≥0.55mm ；（7） 绝缘直径 0.88±0.02mm ；（8）结构  U/UTP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机械特性：（1）弯曲半径 ≥42mm；（2）施工温度 0～50℃ ； （3）使用温度 -20～60℃；（4）每箱重量 约10.2Kg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电气特性：（1） 绝缘电阻 ≥5000MΩ•Km；（2）单根导体直流电阻 ≤9.5Ω/100m；（3）导体间介电强度 d.c 1KV 1min  a.c 0.7KV 1min （4） 线对直流电阻不平衡 ≤%2.5</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材质采用优质铝材，厚度为≥0.8mm铝扣板，轻钢龙骨结构。主骨50，三角副骨</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功率：32W，光通量为2150；显色指数80；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灯框为领轧钢板，铝扣板嵌入式。</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一体式LED黑板灯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LED护眼黑板灯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光通量：2800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电压：AC 220V</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室内PVC塑胶地板，加厚2.0以上耐磨，防滑</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初中物理吊装实验室标准化建设</w:t>
            </w:r>
            <w:r>
              <w:rPr>
                <w:rFonts w:hint="eastAsia" w:ascii="宋体" w:hAnsi="宋体" w:cs="宋体"/>
                <w:b/>
                <w:bCs/>
                <w:i w:val="0"/>
                <w:iCs w:val="0"/>
                <w:color w:val="000000"/>
                <w:kern w:val="0"/>
                <w:sz w:val="32"/>
                <w:szCs w:val="32"/>
                <w:u w:val="none"/>
                <w:lang w:val="en-US" w:eastAsia="zh-CN" w:bidi="ar"/>
              </w:rPr>
              <w:t>采购</w:t>
            </w:r>
            <w:r>
              <w:rPr>
                <w:rFonts w:hint="eastAsia" w:ascii="宋体" w:hAnsi="宋体" w:eastAsia="宋体" w:cs="宋体"/>
                <w:b/>
                <w:bCs/>
                <w:i w:val="0"/>
                <w:iCs w:val="0"/>
                <w:color w:val="000000"/>
                <w:kern w:val="0"/>
                <w:sz w:val="32"/>
                <w:szCs w:val="32"/>
                <w:u w:val="none"/>
                <w:lang w:val="en-US" w:eastAsia="zh-CN" w:bidi="ar"/>
              </w:rPr>
              <w:t>清单（56座）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31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30" w:type="pct"/>
            <w:gridSpan w:val="4"/>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2" w:type="pct"/>
            <w:gridSpan w:val="4"/>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313" w:type="pct"/>
            <w:gridSpan w:val="7"/>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教师演示控制</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330" w:type="pct"/>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07" w:type="pct"/>
            <w:gridSpan w:val="5"/>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教师演示讲台</w:t>
            </w:r>
          </w:p>
        </w:tc>
        <w:tc>
          <w:tcPr>
            <w:tcW w:w="3228" w:type="pct"/>
            <w:gridSpan w:val="6"/>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1.全钢结构：2400*600*850㎜；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2.台面：采用12.7mm厚双面膜耐腐蚀实芯理化板制作，四角倒R15圆角。耐酸、耐碱、耐高温，坚固耐用，防潮、无细孔、不膨胀、不龟裂、不变形、不导电、便于维护及具有良好的承重性能；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3.柜体：采用1.0mm优质高强度镀锌钢板，采用CO2保护焊焊接，打磨处理，表面经耐酸碱EPOXY粉末烤漆处理；整体结构设计合理，预留电脑主机、键盘托、实物展台、教师电源位置；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4.拉手：采用C型不锈钢拉手，造型独特美观；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5.防撞胶垫：装于抽屉及门板内侧，减缓碰撞，保护柜体；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6.门板及抽面：采用双层钢板，必须两层组装是设计，保证两层双面都喷涂处理，中间采用隔音材料，保证关门减少噪音；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7.耐腐蚀连接件：采用ABS专用连接组装件；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8.不锈钢防腐合页：采用优质不锈钢模具一体成型，强度必须达到一个正常成年座在门上方合页不脱落；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9.防腐三节静音导轨：三节重型滚珠滑轨，承重性强，滑动性能良好，无噪音；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10.固定桌脚：采用柜体内置可调ABS调整脚，保证调整脚前后都可以调节高低。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教师演示讲台技术要求满足：GB24820-2009实验室家具通用技术条件：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1、操作台力学性能：水平静载荷试验：技术要求：力600N，10次；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垂直静载荷试验：主桌面：力2000N，10次；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持续垂直静载荷：载荷1.25kg/dm²，24h；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独立操作台水平冲击稳定性：质量50kg，跌落高度40mm；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独立操作台垂直加载稳定性：750N；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活动操作台跌落：跌落高度：150mm，10次；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垂直冲击试验：跌落高度：300mm，10次。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提供由生产厂家送检满足以上技术要求具有CMA、CAL、ilac-MRA、CNAS认证的省级或省级以上检测机构出具的教师演示讲台检测报告复印件。</w:t>
            </w:r>
          </w:p>
        </w:tc>
        <w:tc>
          <w:tcPr>
            <w:tcW w:w="5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8"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0" w:type="pct"/>
            <w:gridSpan w:val="4"/>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07" w:type="pct"/>
            <w:gridSpan w:val="5"/>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学生实验操作及学习区</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物理学生实验桌</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1.根据实验室面积、结构定制，符合吊装系统集成设计要求，整体尺寸不得小于1200*600*780。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2.台面：采用优质实芯理化板，可抵抗多种酸，碱，强氧化剂等腐蚀试剂。台面四周采用数控修边处理，光滑无毛刺，所有接缝处做处理，边缘双层加厚处理，双向弧形倒角；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桌体：内部整体结构框架采用优质铝型材组装连接，增强桌体承重性及整体稳定性。桌体内外两侧及背板部分采用ABS环保材料注塑成型，增强桌体机械强度及整体美观性，满足耐化学腐蚀、耐热，表面具备高硬度、高弹性、高韧性、电绝缘性、耐候性等各性能硬性指标。型材表面经高压静电喷涂环氧树脂防护层，耐酸碱、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参照GB/T3325-2017相关标准，一体化考试桌质量检测结果符合以下要求：（需有CNAS、CMA、ilac-MRA机构认可的权威实验室出具的检测报告，报告中需呈现相应功能,提供复印件并加盖厂家公章）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金属外观件要求：管材应无裂缝、叠缝，外露管口端面应封闭；焊接处应无脱焊、虚焊、焊穿、错位，无夹渣、气孔、焊瘤、焊丝头、咬边、飞溅，焊疤表面波纹应均匀；喷涂层应无漏喷、锈蚀和脱色、掉色现象，应光滑均匀，色泽一致，应无流挂、疙瘩、皱皮、飞漆等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②塑料件外观要求：应无裂纹，无明显变形，无明显缩孔、气泡、杂质、伤痕，外表用塑料件表面应光洁，无划痕，无污渍，无明显色差；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重金属含量：可溶性铅≤90mg/kg，可溶性镉≤75mg/kg，可溶性铬≤60mg/kg，可溶性汞≤60mg/kg；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4.挡板升降系统：升降挡板采用5mm PC一体加工成型，升降高度≥350mm，可预防桌面东西滑落和考试过程中受到外界干扰。升降结构采用铝合金型材制作并配有垂直导向，保持牢固与稳定，电机采用静音型产品，不产生噪音；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显示器升降系统：升降显示器采用21.5吋高清显示屏，内嵌于桌体内部，集成俯视角度采集系统模块一体化升降。电机采用静音型产品，不产生噪音，升降结构采用高精度轮齿条升降，传动精确、运行平稳、不会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6急停模块：当发生故障或出现异常时，学生可按急停按钮以阻断一体化考试桌供电，且不影响其他学生正常实验操作；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7.电源模块：配备220V五孔插座2个，并配备防护罩以避免液体泼洒造成电源短路等故障；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8.网络模块：配备千兆RJ-45网络接口*1；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9.交直流模块：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直流稳压输出：0-24VDC，额定电流2A；最小调节单元0.1V。交流电压输出：0-24VAC，额定电流2A；最小调节1V。交直流电源具有过载保护、短路保护、智能检测功能，显示保护提示。采用自动复位功能免除反复过载冲击负载，保护功能更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②电源配置2.4吋触控屏，实时显示电压和电流等信息；</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3"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实验凳</w:t>
            </w:r>
          </w:p>
        </w:tc>
        <w:tc>
          <w:tcPr>
            <w:tcW w:w="3367"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钢管技术要求满足：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1、维氏硬度，HV1，检测结果＞300。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提供由生产厂家送检满足以上技术要求由省级或省级以上检测机构出具的钢管检测报告复印件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实验凳技术要求满足：GB/T3325-2017金属家具通用技术条件：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1、椅凳类稳定性：凳子任意方向倾翻；检测结果：无倾翻；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2、椅凳类强度和耐久性：座面和椅背载荷试验：单人位：座面加载力：1300N，椅背加载力：450N，加载次数：10次，加载时间：≥10S；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椅腿前向静载试验：加载力：500N，加载次数：10次，加载时间:≥10S，座面平衡载荷：1000N；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座面冲击试验：冲击高度：180mm；冲击次数：10次；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椅背冲击试验：冲击高度：210mm；冲击角度：38°；冲击次数：10次；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椅凳类强度和耐久性：跌落试验：跌落高度：200mm；跌落次数：10次；腿或基座大于200mm非叠放椅。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提供由生产厂家送检满足以上技术要求具有CMA、CAL、ilac-MRA、CNAS认证的由省级或省级以上检测机构出具的实验凳检测报告复印件</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3" w:type="pct"/>
            <w:gridSpan w:val="6"/>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367" w:type="pct"/>
            <w:gridSpan w:val="8"/>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智能系统控制柜</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（1）电源控制系统：可以对220V进行控制，可以单独进行控制，进行单选、全选、反选，分组进行控制；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（2）照明控制系统可以对照明进行控制，可以单独进行控制，进行单选、全选、反选，分组进行控制；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智能灯光照明系统技术要求满足：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提供由生产厂家送检满足以上技术要求由省级或省级以上检测机构出具的智能灯光照明装置检测报告复印件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(3)、智能摇臂控制系统：可以对摇臂进行控制，可以单独进行控制，进行单选、全选、反选，分组进行控制。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4、运行稳定性：经升降200次试验后，运行应无异常现象发生。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提供由生产厂家送检满足以上技术要求由省级或省级以上检测机构出具的智能摇臂升降系统检测报告复印件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智能系统控制柜技术要求满足：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提供由生产厂家送检满足以上技术要求由省级或省级以上检测机构出具的智能系统控制柜检测报告复印件</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顶装智能控制平台</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集中控制系统。可执行各分项分页控制；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（1）照明控制：分组控制整室照明；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（2）电源控制：控制学生AC220V电源；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（3）摇臂控制：可以实现单个控制，可以集中控制，可以任意组合控制。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顶装智能控制平台技术要求满足：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1、标志：调节装置、输出插孔应有清晰明了、耐用的提示文字和符号，直流电压输出应能显示电压；内部布线接线端子应有文字或符号明示；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3、漏电保护：输入端应有漏电保护断路装置；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4、接地措施：接地电阻≤0.1Ω；绝缘电阻≥7MΩ；变压器、插座应可靠接地；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5、发热，K：变压器在1.06倍额定电压（233.2V）工作至温度状态，其绕组温升≤90K；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性：试验后，提环连接部位不应脱落、变形，桶口部位不应产生永久性变形；各组插座、开关工作有效，无影响正常工作和安全的异常现象；指示灯正常，无闪烁、损坏现象；电压指示正常，无闪烁和损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7、电压电流设置性能指示性：电压按设定值输入确认后，显示和输出应一致；电压设定值与实际输出值得误差应≤10%。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提供由生产厂家送检满足以上技术要求由省级或省级以上检测机构出具的顶装智能控制平台检测报告复印件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学生端分组控制系统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可以对学生端模块的电源控制系统、照明控制系统、给排水控制系统、智能摇臂控制系统经行独立分组控制，实现全选、反选、单选功能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学生端分组控制系统技术要求满足：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提供由生产厂家送检满足以上技术要求由省级或省级以上检测机构出具的学生端分组控制系统检测报告复印件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A、APP登入有网络注册功能，注册后登入系统操作，使用者忘记密码方便找回，同时方便升级系统，带来新的体验。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B、能使用APP能控制总电源关闭；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C、APP能显示当前温度、相对湿度及当前时间；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D、使用APP能控制学生低压电源的交流电压，且电压值为实测值。如APP给学生交流3V，学生电源电压实测电压为3V；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E、使用APP同时控制电光源开启与关闭，同时可以扩展功能（监控布防、空调控制等等）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远程控制系统技术要求满足：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提供由生产厂家送检满足以上技术要求由省级或省级以上检测机构出具的远程控制系统检测报告复印件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温湿度监视系统</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内置精密温湿度传感装置，实时监控房间内的温度和湿度，保障室内舒适的环境舒适性，在触摸屏中实时显示当前环境的温度和湿度。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温湿度监视系统技术要求满足：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提供由生产厂家送检满足以上技术要求由省级或省级以上检测机构出具的温湿度监视系统检测报告复印件</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吊装式综合供给系统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摇臂控制系统</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采用为直流24V减速低压电机，连接杆采用DN60*1.8mm专用铝合金模具一体成型，内部水电分离，功能模块采用模具一体成型，功能模块可安装高低压电源（低压电源为交直流，可以显示交直流电压）、急停开关，可选配网络及上下水模块，同时可以扩展煤气等模块。系统自带障碍物保护功能，当摇臂在运动的过程中遇到障碍物时会自动复位；摇臂在运动的过程中供应模块的电源处于断电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4、运行稳定性：经升降200次试验后，运行应无异常现象发生。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提供由生产厂家送检满足以上技术要求由省级或省级以上检测机构出具的智能摇臂升降系统检测报告复印件</w:t>
            </w:r>
          </w:p>
        </w:tc>
        <w:tc>
          <w:tcPr>
            <w:tcW w:w="5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模块主架舱体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采用标准模块化组成，1200*720*195mm为一组；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及材质：主框架采用航空飞碟式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模块主架舱体技术要求满足：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提供由生产厂家送检满足以上技术要求由省级或省级以上检测机构出具的模块主架舱体检测报告复印件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集成功能模块舱体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采用ABS材质，模具一体成型。模块内部采用双层设计，水电隔离设计，相互不干扰，保证设备安全可靠性。模块内预留高压、低压、网络、上下水接口位置。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集成功能模块舱体技术要求满足：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1、外观：技术要求，表面光洁，形状规正，不应有毛刺，快口等现象；组件结合接缝平服，间隙应基本一致，无明显高低差和缝隙不一的现象；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提供由生产厂家送检满足以上技术要求由省级或省级以上检测机构出具的集成功能模块舱体检测报告复印件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电源供应模块</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接收智能化控制系统控制，内含新国标插座。可以分组或独立控制电源供给。</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2、学生电源采用耐磨、耐腐蚀、耐高温的PC亮光薄膜面板，学生电源的控制采用按钮式按键，可以随意设置电压，贴片元件生产技术，微电脑控制，采用1.38寸液晶显示电源学生交直流电压；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3、学生交流电源通过上下键0～24V电压，最小调节单元可达1V,额定电流2A；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4、学生直流电源也是通过上下键选取，调节范围为1.5～24V，分辨率可达0.1V,额定电流2A。</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采用485网络模块接口，不含网络布线；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电源供应模块技术要求满足：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提供由生产厂家送检满足以上技术要求由省级或省级以上检测机构出具的电源供应模块检测报告复印件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主架舱体防尘检修板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采用1.0mm优质高强度镀锌钢板，采用那个CO2保护焊焊接，打磨处理，表面经耐酸碱EPOXY粉末烤漆处理（烤漆膜厚度平均值≥70μm）；造型独特美观，检修方便。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智能灯光照明装置</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接收智能化控制系统控制，功能面板采用1170*85mm，配置LED日光灯1根，每根15W，灯罩采用ABS一次成型，设计安装磨砂透明均光板，不仅能使光线扩散均匀更能起到安全防护作用。</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模块化设计，每组模块间采用活接式连接，方便安装、检修。采用2.5mm²电线进行系统布线。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智能控制系统线路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模块化设计，每组模块间采用活接式连接，方便安装、检修。采用1.mm²屏蔽电线进行系统布线。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舱体末端封板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支架功能封板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能隐藏水电通风管道及电线，采用PVC材质，方便检修。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安装支架</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采用碳钢丝杠及专业连接件、直角座、龙骨架连接件、吊装挂件、安装连接板等。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安装支架技术要求满足：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1、抗拉强度Rm，MPa，/；检测结果≥150。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提供由生产厂家送检满足以上技术要求由省级或省级以上检测机构出具的安装支架检测报告复印件</w:t>
            </w:r>
          </w:p>
        </w:tc>
        <w:tc>
          <w:tcPr>
            <w:tcW w:w="54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388"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6"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92" w:type="pct"/>
            <w:gridSpan w:val="8"/>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228" w:type="pct"/>
            <w:gridSpan w:val="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安装材料</w:t>
            </w:r>
          </w:p>
        </w:tc>
        <w:tc>
          <w:tcPr>
            <w:tcW w:w="544" w:type="pct"/>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88" w:type="pct"/>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4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2" w:type="pct"/>
            <w:gridSpan w:val="8"/>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PPR材质水管，上水管和进水管为Ф25；UPVC材质排水管为Ф75</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2" w:type="pct"/>
            <w:gridSpan w:val="8"/>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开关阀门，外丝连接件、PVC胶水等。</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安装辅件</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主要辅件有：矩形钢、三角构件、直角座、龙骨架连接件、吊装挂件、安装连接板等各类辅件。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电、网络布线耗材</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外径：0.50mm  绝缘外径：0.9mm电缆外径：5.2mm；牵引时最小弯曲半径：42mm可承受张力：78N；燃烧等级：IEC332.1色谱：白兰/兰、白橙/橙、白绿/绿、白棕/棕超5类4对UTP电缆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阻燃等级：满足YD/T 1019中对阻燃的要求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结构特性：（1）导体直径≥0.5mm；（2）外护套材料 PVC；（3）导体线规 24AWG；（4）外护套直径约5.2mm；（5） 绝缘材料 PE ；（6）外护套厚度 ≥0.55mm ；（7） 绝缘直径 0.88±0.02mm ；（8）结构  U/UTP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机械特性：（1）弯曲半径 ≥42mm；（2）施工温度 0～50℃ ； （3）使用温度 -20～60℃；（4）每箱重量 约10.2Kg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电气特性：（1） 绝缘电阻 ≥5000MΩ•Km；（2）单根导体直流电阻 ≤9.5Ω/100m；（3）导体间介电强度 d.c 1KV 1min  a.c 0.7KV 1min （4） 线对直流电阻不平衡 ≤%2.5</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材质采用优质铝材，厚度为≥0.8mm铝扣板，轻钢龙骨结构。主骨50，三角副骨</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功率：32W，光通量为2150；显色指数80；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灯框为领轧钢板，铝扣板嵌入式。</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一体式LED黑板灯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LED护眼黑板灯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光通量：2800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电压：AC 220V</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室内PVC塑胶地板，加厚2.0以上耐磨，防滑</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33" w:type="pct"/>
          <w:trHeight w:val="660" w:hRule="atLeast"/>
        </w:trPr>
        <w:tc>
          <w:tcPr>
            <w:tcW w:w="4066"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初中化学吊装实验室标准化建设</w:t>
            </w:r>
            <w:r>
              <w:rPr>
                <w:rFonts w:hint="eastAsia" w:ascii="宋体" w:hAnsi="宋体" w:cs="宋体"/>
                <w:b/>
                <w:bCs/>
                <w:i w:val="0"/>
                <w:iCs w:val="0"/>
                <w:color w:val="000000"/>
                <w:kern w:val="0"/>
                <w:sz w:val="32"/>
                <w:szCs w:val="32"/>
                <w:u w:val="none"/>
                <w:lang w:val="en-US" w:eastAsia="zh-CN" w:bidi="ar"/>
              </w:rPr>
              <w:t>采购</w:t>
            </w:r>
            <w:r>
              <w:rPr>
                <w:rFonts w:hint="eastAsia" w:ascii="宋体" w:hAnsi="宋体" w:eastAsia="宋体" w:cs="宋体"/>
                <w:b/>
                <w:bCs/>
                <w:i w:val="0"/>
                <w:iCs w:val="0"/>
                <w:color w:val="000000"/>
                <w:kern w:val="0"/>
                <w:sz w:val="32"/>
                <w:szCs w:val="32"/>
                <w:u w:val="none"/>
                <w:lang w:val="en-US" w:eastAsia="zh-CN" w:bidi="ar"/>
              </w:rPr>
              <w:t>清单（56座）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8"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1"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426" w:type="pct"/>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8" w:type="pct"/>
            <w:gridSpan w:val="3"/>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1"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991"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教师演示控制</w:t>
            </w:r>
          </w:p>
        </w:tc>
        <w:tc>
          <w:tcPr>
            <w:tcW w:w="435"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33"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1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0"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教师演示讲台</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1.全钢结构：2400*600*850㎜；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2.台面：采用12.7mm厚双面膜耐腐蚀实芯理化板制作，四角倒R15圆角。耐酸、耐碱、耐高温，坚固耐用，防潮、无细孔、不膨胀、不龟裂、不变形、不导电、便于维护及具有良好的承重性能；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3.柜体：采用1.0mm优质高强度镀锌钢板，采用CO2保护焊焊接，打磨处理，表面经耐酸碱EPOXY粉末烤漆处理；整体结构设计合理，预留电脑主机、键盘托、实物展台、教师电源位置；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4.拉手：采用C型不锈钢拉手，造型独特美观；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5.防撞胶垫：装于抽屉及门板内侧，减缓碰撞，保护柜体；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6.门板及抽面：采用双层钢板，必须两层组装是设计，保证两层双面都喷涂处理，中间采用隔音材料，保证关门减少噪音；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7.耐腐蚀连接件：采用ABS专用连接组装件；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8.不锈钢防腐合页：采用优质不锈钢模具一体成型，强度必须达到一个正常成年座在门上方合页不脱落；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9.防腐三节静音导轨：三节重型滚珠滑轨，承重性强，滑动性能良好，无噪音；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10.固定桌脚：采用柜体内置可调ABS调整脚，保证调整脚前后都可以调节高低。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教师演示讲台技术要求满足：GB24820-2009实验室家具通用技术条件：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1、操作台力学性能：水平静载荷试验：技术要求：力600N，10次；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垂直静载荷试验：主桌面：力2000N，10次；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持续垂直静载荷：载荷1.25kg/dm²，24h；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独立操作台水平冲击稳定性：质量50kg，跌落高度40mm；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独立操作台垂直加载稳定性：750N；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活动操作台跌落：跌落高度：150mm，10次；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垂直冲击试验：跌落高度：300mm，10次。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提供由生产厂家送检满足以上技术要求具有CMA、CAL、ilac-MRA、CNAS认证的省级或省级以上检测机构出具的教师演示讲台检测报告复印件。</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实验室专用水槽</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规格：550*450*310；采用实验室专用高密度PP一体化成型水槽，易清洁，耐腐蚀，且利于台面残水自然回流，美观实用；具耐酸碱、耐有机溶剂、耐紫外线等特点。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实验室专用水槽技术性能满足：QB/T2658-2017卫生设备用台盆：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1、外观：产品使用表面应光滑顺畅，不应有划伤、裂纹、气泡、爆边等明显缺陷；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2、抗负载：试验后不应有裂纹、破裂、或永久性变形，但直接受力点的变形不视为不合格；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3、耐化学腐蚀和耐污染性能：试验后，测试面不应出现不可消除的不良，如污点、损坏等。</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三联高低位龙头</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三联高低位龙头技术要求满足：GB18145-2014陶瓷片密封水嘴：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1、螺纹：螺纹表面应光洁，不得有凹痕、断牙等明显缺陷；产品外接非密封管螺纹应符合GB/T7307的要求，其中外螺纹应不低于GB/T7307的B级精度；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实验室专用洗眼器</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洗眼喷头：采用不助燃PC材质模铸一体成形制作，具有过滤泡棉及防尘功能，上面防尘盖平常可防尘，使用时可随时被水冲开，并降低突然打开时短暂的高水压，避免冲伤眼睛。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实验室专用洗眼器技术要求满足：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1、管螺纹精度：应符合GB/T7306.1或GB/T7306.2或GB/T7307的规定；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2、螺纹表面：不得有凹痕、断牙等明显缺陷，表面粗糙度Ra值不大于6.3µm；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3、抗压强度：1.2MPa静水压状态下关闭无渗漏，皮管无鼓胀现象；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4、外观：主体无掉漆现象，手柄无明显注塑缺陷；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5、启动开关灵活：压下开关松开后，开关能立即复位，无滞后现象，通水后无渗漏现象；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6、水柱喷射高度，cm：0.3MPa动水压状态下，喷洒头方向向上，压下控制开关，水柱喷射高度≥46cm；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7、水流量，L/s：0.3MPa动水压下打开开关，流量≥0.15L/s。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提供由生产厂家送检满足以上技术要求由省级或省级以上检测机构出具的实验室专用洗眼器检测报告复印件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落地式紧急冲淋</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1、紧急冲淋洗眼装置的关节采用插拔式的连接方式，既缩短整个产品的安装工时，又能彻底解决管件连接处的漏水问题，轻松满足360度任意定位安装的人性化需要，外观整洁大方，检修及部件更换更加便捷。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2、主体、底座、冲淋阀、洗眼阀、冲淋头、洗眼盆、拉手、推手和脚踏等部件均采用卫生级304不锈钢无缝钢管，镍含量超过8%，耐腐蚀性能出众。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3、采用冷轧工艺生产，不易变形，同时管壁光滑无油脂，经久耐用。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4、洗眼喷头内置减压装置，防止对眼睛二次伤害；配置水压调节系统来适应不同场所的水压。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5、冲淋球阀和洗眼球阀均采用双片式阀门结构，密封性和抗压性能更好，使用寿命更长。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6、阀门管道采用由任（即活接头）的管道连接设计，使维修保养费用极低，避免了由于阀门或部件损坏后无法更换而导致整个洗眼器报废的情况。</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学生实验操作及学习区</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化学学生实验桌</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1.根据实验室面积、结构定制，符合吊装系统集成设计要求，整体尺寸不得小于1200*600*780。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2.台面：采用优质实芯理化板，可抵抗多种酸，碱，强氧化剂等腐蚀试剂。台面四周采用数控修边处理，光滑无毛刺，所有接缝处做处理，边缘双层加厚处理，双向弧形倒角；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桌体：内部整体结构框架采用优质铝型材组装连接，增强桌体承重性及整体稳定性。桌体内外两侧及背板部分采用ABS环保材料注塑成型，增强桌体机械强度及整体美观性，满足耐化学腐蚀、耐热，表面具备高硬度、高弹性、高韧性、电绝缘性、耐候性等各性能硬性指标。型材表面经高压静电喷涂环氧树脂防护层，耐酸碱、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参照GB/T3325-2017相关标准，一体化考试桌质量检测结果符合以下要求：（需有CNAS、CMA、ilac-MRA机构认可的权威实验室出具的检测报告，报告中需呈现相应功能,提供复印件并加盖厂家公章）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金属外观件要求：管材应无裂缝、叠缝，外露管口端面应封闭；焊接处应无脱焊、虚焊、焊穿、错位，无夹渣、气孔、焊瘤、焊丝头、咬边、飞溅，焊疤表面波纹应均匀；喷涂层应无漏喷、锈蚀和脱色、掉色现象，应光滑均匀，色泽一致，应无流挂、疙瘩、皱皮、飞漆等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②塑料件外观要求：应无裂纹，无明显变形，无明显缩孔、气泡、杂质、伤痕，外表用塑料件表面应光洁，无划痕，无污渍，无明显色差；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重金属含量：可溶性铅≤90mg/kg，可溶性镉≤75mg/kg，可溶性铬≤60mg/kg，可溶性汞≤60mg/kg；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4.挡板升降系统：升降挡板采用5mm PC一体加工成型，升降高度≥350mm，可预防桌面东西滑落和考试过程中受到外界干扰。升降结构采用铝合金型材制作并配有垂直导向，保持牢固与稳定，电机采用静音型产品，不产生噪音；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显示器升降系统：升降显示器采用21.5吋高清显示屏，内嵌于桌体内部，集成俯视角度采集系统模块一体化升降。电机采用静音型产品，不产生噪音，升降结构采用高精度轮齿条升降，传动精确、运行平稳、不会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6急停模块：当发生故障或出现异常时，学生可按急停按钮以阻断一体化考试桌供电，且不影响其他学生正常实验操作；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7.电源模块：配备220V五孔插座2个，并配备防护罩以避免液体泼洒造成电源短路等故障；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8.网络模块：配备千兆RJ-45网络接口*1；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9.交直流模块：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直流稳压输出：0-24VDC，额定电流2A；最小调节单元0.1V。交流电压输出：0-24VAC，额定电流2A；最小调节1V。交直流电源具有过载保护、短路保护、智能检测功能，显示保护提示。采用自动复位功能免除反复过载冲击负载，保护功能更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②电源配置2.4吋触控屏，实时显示电压和电流等信息；</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实验凳</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凳面与凳脚留有一定的空间便于凳子挂在挂凳扣上。方便教室的打扫。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钢管技术要求满足：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1、维氏硬度，HV1，检测结果＞300。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提供由生产厂家送检满足以上技术要求由省级或省级以上检测机构出具的钢管检测报告复印件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实验凳技术要求满足：GB/T3325-2017金属家具通用技术条件：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1、椅凳类稳定性：凳子任意方向倾翻；检测结果：无倾翻；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2、椅凳类强度和耐久性：座面和椅背载荷试验：单人位：座面加载力：1300N，椅背加载力：450N，加载次数：10次，加载时间：≥10S；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椅腿前向静载试验：加载力：500N，加载次数：10次，加载时间:≥10S，座面平衡载荷：1000N；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座面冲击试验：冲击高度：180mm；冲击次数：10次；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椅背冲击试验：冲击高度：210mm；冲击角度：38°；冲击次数：10次；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椅凳类强度和耐久性：跌落试验：跌落高度：200mm；跌落次数：10次；腿或基座大于200mm非叠放椅</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智能系统控制柜</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（1）电源控制系统：可以对220V进行控制，可以单独进行控制，进行单选、全选、反选，分组进行控制；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（2）照明控制系统可以对照明进行控制，可以单独进行控制，进行单选、全选、反选，分组进行控制；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智能灯光照明系统技术要求满足：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提供由生产厂家送检满足以上技术要求由省级或省级以上检测机构出具的智能灯光照明装置检测报告复印件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(4)、智能摇臂控制系统：可以对摇臂进行控制，可以单独进行控制，进行单选、全选、反选，分组进行控制；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智能系统控制柜技术要求满足：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顶装智能控制平台</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集中控制系统。可执行各分项分页控制；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（1）通风控制：触摸数字无极变频控制，具有频率数字显示功能，可精确控制通风风量；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（2）供水控制：集中控制整室给排水；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（3）照明控制：分组控制整室照明；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（4）电源控制：控制学生AC220V电源；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（5）摇臂控制：可以实现单个控制，可以集中控制，可以任意组合控制。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顶装智能控制平台技术要求满足：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1、标志：调节装置、输出插孔应有清晰明了、耐用的提示文字和符号，直流电压输出应能显示电压；内部布线接线端子应有文字或符号明示；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3、漏电保护：输入端应有漏电保护断路装置；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4、接地措施：接地电阻≤0.1Ω；绝缘电阻≥7MΩ；变压器、插座应可靠接地；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5、发热，K：变压器在1.06倍额定电压（233.2V）工作至温度状态，其绕组温升≤90K；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性：试验后，提环连接部位不应脱落、变形，桶口部位不应产生永久性变形；各组插座、开关工作有效，无影响正常工作和安全的异常现象；指示灯正常，无闪烁、损坏现象；电压指示正常，无闪烁和损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7、电压电流设置性能指示性：电压按设定值输入确认后，显示和输出应一致；电压设定值与实际输出值得误差应≤10%。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提供由生产厂家送检满足以上技术要求由省级或省级以上检测机构出具的顶装智能控制平台检测报告复印件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学生端分组控制系统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可以对学生端模块的电源控制系统、照明控制系统、给排水控制系统、智能摇臂控制系统经行独立分组控制，实现全选、反选、单选功能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学生端分组控制系统技术要求满足：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3、内部导线连接：连接后应无应力；黄绿双色线必须是接地端子，部件固定牢固，无松动现象；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提供由生产厂家送检满足以上技术要求由省级或省级以上检测机构出具的学生端分组控制系统检测报告复印件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远程控制系统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A、APP登入有网络注册功能，注册后登入系统操作，使用者忘记密码方便找回，同时方便升级系统，带来新的体验。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B、能使用APP能控制总电源关闭；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C、APP能显示当前温度、相对湿度及当前时间；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D、使用APP能控制学生低压电源的交流电压，且电压值为实测值。如APP给学生交流3V，学生电源电压实测电压为3V；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E、使用APP同时控制水电风光源开启与关闭，同时可以扩展功能（监控布防、空调控制等等）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远程控制系统技术要求满足：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提供由生产厂家送检满足以上技术要求由省级或省级以上检测机构出具的远程控制系统检测报告复印件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温湿度监视系统</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内置精密温湿度传感装置，实时监控房间内的温度和湿度，保障室内舒适的环境舒适性，在触摸屏中实时显示当前环境的温度和湿度。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温湿度监视系统技术要求满足：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提供由生产厂家送检满足以上技术要求由省级或省级以上检测机构出具的温湿度监视系统检测报告复印件</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通风系统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铝合金万向罩</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1.关节：高密度PP材质表面磨砂，优化了视觉美感和手握触感可360°旋转调节方向。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2.关节密封圈：不易老化之高密度橡胶。在关节之间随着旋钮压力加大而产生阻尼效果。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3.关节连接杆：304不锈钢双头锁杆。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4.关节盖：高密度PP材质表面磨砂，一面嵌入铜质滚花螺母，四周采用自锁式倒扣拆装方便。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5.关节松紧选钮：高密度PP材质，内置微形平面推力不锈钢轴承，与关节连接杆锁合。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6.铝合金万向罩口：直径253mm，高密度铝合金制成。防止做实验时着火出现危险。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7.伸缩导管：4节直径60mm的6系专业抗氧化抗腐蚀的镁硅铝合金，表面做特氟龙表面处理，耐酸、耐碱、耐划痕。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8.旋转关节：6系专业抗氧化抗腐蚀的镁硅铝合金，在下部设计增加旋转功能，内部设计PVC离合结构。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9.扭簧：使用90度的4mm专用弹簧钢抗氧化处理，防止吸风罩整体滑下。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10.安装后可根据使用需要达到三维360度任意转停，集气罩吸气角度360度任意转停。整体美观大方，吻合高水准专业实验室。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铝合金万向罩技术要求满足：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1、外观要求，表面光洁，无毛刺，飞边等缺陷；铆接应饱满，光滑，无开裂等缺陷；塑料件成型完整，无明显色斑，缩痕、开裂等影响使用的不良现象；外形圆正，无缺角后机械损伤；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2、风门要求，d㎡，开闭灵活，无卡阻现象；风门开启后，通风有效面积应≥0.3d㎡；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3、外观：调节灵活，锁固可靠；调节脚≥180°；锁定后，漏风间隙≤0.2mm；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4、风罩要求：连接牢固，螺纹无滑牙，烂牙等现象；经0.5J冲击试验后，不应开裂；承载强度：经686N拉力试验后，各关节，风罩连接应无影响使用的缺陷。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提供由生产厂家送检满足以上技术要求由省级或省级以上检测机构出具的铝合金万向罩检测报告复印件</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万向吸风罩底座</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固定底座：6系专业抗氧化抗腐蚀的镁硅铝合金，根据不同的组合方式可选择丝口和挂口结构，拆装方便</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吊装式通风系统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规格：标准模块化组成，1200*300mm为一组。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通风主管道、支管道均采用防腐蚀PP塑料板焊接而成，主管道：300*400mm矩型风道；通风支管道：φ110圆型风道，接口采用专用胶固定后专用焊条焊接连接。</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室外行程通风系统</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采用防腐蚀PP材质，整体焊接成型，具有整体结构性能好、严密性高等优点。同时具有耐酸碱性能。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规格：500*250。管卡采用碳钢制作，表面经镀铬处理，具有耐腐蚀、防火、防潮等功能。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室外行程通风系统技术要求满足：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外观要求：表面光洁，无毛刺、飞边等缺陷；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铆接应饱满、平滑，无开裂等缺陷；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塑料件成型完整，无明显色斑、缩痕、开裂等影响使用的不良现象；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外形圆正，无缺角后机械损伤。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提供由生产厂家送检满足以上技术要求由省级或省级以上检测机构出具的室外行程通风系统检测报告复印件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防腐风机</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结构：防腐风机。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功率：5.5KW。风量：7100-13500m3/h。风压：926-735Pa。噪音：≤55dB(A)。室内换气次数：≥20次/h。终端流速：≥11.3米/秒整个通风系统均为中压系统（500Pa＜P≤1500Pa＝，低压系统（P≤500Pa），主管内风速约8-14米/秒（m/s），支管内风速约6-8米/秒（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（2）每台通风设备都可以独立操作，相互之间不受影响。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（3）气流组织合理，排气顺畅，无气味溢出、气体排放符合国家规定排放标准。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（4）通风系统主管内壁光滑，以降低噪声向室内传播，同时管井外壁应同室内装修保持一致，美观耐用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防腐风机技术要求满足：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1、电源线：输入的导线截面面积应≥0.75mm²；导线与风机的连接应能经受49N，1min拉力试验，试验后不影响正常使用；长度L:≥1000mm；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2、运行性能：AC198V时，三次启动均应能正常工作；运行平稳，无异常杂音；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3、防护要求：外壳的材料应由防腐材料制成，检测结果：外壳的材料应由防腐材料制成；固定件应经表面防腐处理；外壳经0.5J冲击试验三次后，应无破裂等异常现象；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4、耐电压要求：应能承受1000V，1min的电压试验，不应击穿或闪络；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5、绕组温升，K:绕组温升应：≤90K。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提供由生产厂家送检满足以上技术要求由省级或省级以上检测机构出具的防腐风机检测报告复印件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风机控制线</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2.5mm²*3+1.5mm²*2</w:t>
            </w:r>
          </w:p>
        </w:tc>
        <w:tc>
          <w:tcPr>
            <w:tcW w:w="5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92" w:type="pct"/>
            <w:gridSpan w:val="8"/>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28"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吊装式综合供给系统</w:t>
            </w:r>
          </w:p>
        </w:tc>
        <w:tc>
          <w:tcPr>
            <w:tcW w:w="544" w:type="pct"/>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gridSpan w:val="2"/>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智能摇臂升降系统</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采用为直流24V减速低压电机，连接杆采用DN60*1.8mm专用铝合金模具一体成型，内部水电分离，功能模块采用模具一体成型，功能模块可安装高低压电源（低压电源为交直流，可以显示交直流电压）、急停开关，可选配网络及上下水模块，同时可以扩展煤气等模块。系统自带障碍物保护功能，当摇臂在运动的过程中遇到障碍物时会自动复位；摇臂在运动的过程中供应模块的电源处于断电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智能摇臂升降系统技术要求满足：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2、主体金属材料硬度，HV：技术要求≥180HV；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3、防护涂层的要求，μm：涂层表面光滑，颜色、色泽应基本一致，无气泡，不脱落，任意五点的平均厚度应≥100μm，经2H铅笔硬度试验后，涂层应无明显痕迹；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4、运行稳定性：经升降200次试验后，运行应无异常现象发生。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提供由生产厂家送检满足以上技术要求由省级或省级以上检测机构出具的智能摇臂升降系统检测报告复印件</w:t>
            </w:r>
          </w:p>
        </w:tc>
        <w:tc>
          <w:tcPr>
            <w:tcW w:w="5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模块主架舱体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采用标准模块化组成，1200*720*195mm为一组；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及材质：主框架采用航空飞碟式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模块主架舱体技术要求满足：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提供由生产厂家送检满足以上技术要求由省级或省级以上检测机构出具的模块主架舱体检测报告复印件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集成功能模块舱体</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采用ABS材质，模具一体成型。模块内部采用双层设计，水电隔离设计，相互不干扰，保证设备安全可靠性。模块内预留高压、低压、网络、上下水接口位置。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集成功能模块舱体技术要求满足：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1、外观：技术要求，表面光洁，形状规正，不应有毛刺，快口等现象；组件结合接缝平服，间隙应基本一致，无明显高低差和缝隙不一的现象；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2、涂层要求，μm。主体的内外面均应做涂层处理；涂层色泽均匀一致，无气泡，流挂，露底等缺陷；外表面任意五点的平均厚度应≥80μm；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3、切边口：光滑，无裂边、锐边、皱折等现象；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4、焊接：焊接牢固，焊点圆正，无虚焊、尖角、穿孔等现象。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提供由生产厂家送检满足以上技术要求由省级或省级以上检测机构出具的集成功能模块舱体检测报告复印件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2"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电源供应模块</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接收智能化控制系统控制，内含新国标插座。可以分组或独立控制电源供给。</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2、学生电源采用耐磨、耐腐蚀、耐高温的PC亮光薄膜面板，学生电源的控制采用按钮式按键，可以随意设置电压，贴片元件生产技术，微电脑控制，采用1.38寸液晶显示电源学生交直流电压；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3、学生交流电源通过上下键0～24V电压，最小调节单元可达1V,额定电流2A；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4、学生直流电源也是通过上下键选取，调节范围为1.5～24V，分辨率可达0.1V,额定电流2A。</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2"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采用485网络模块接口，不含网络布线。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电源供应模块技术要求满足：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1、标志：调节装置、输出插孔应有清晰明了、耐用的提示文字和符号；直流电压输出应能显示电压；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3、内部导线连接：连线后应无应力；黄绿双色线必须是接地端子；部件固定牢固，无松动现象；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提供由生产厂家送检满足以上技术要求由省级或省级以上检测机构出具的电源供应模块检测报告复印件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学生端防堵反冲洗装置</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采用4分PVC水管，具有耐酸碱、防爆的特性，水管之间接头采用金属连接件，安装自来水大流量反冲前置过滤器，避免自来水水质不干净；排水采用内置钢丝PVC水管，防止水泵工作时水管负压变形，水管之间接头采用金属连接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学生端防堵反冲洗装置技术要求满足：JC/T932-2013卫生洁具排水配件：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工与装配：塑料件表面不得有明显的波纹、黏结痕、明显的擦划伤，修饰损伤等缺陷；塑料存水弯色泽应均匀，不得有分解变色线；螺纹表面应光洁，不得有凹痕，断牙等明显缺陷；装配好的排水配件应连接牢固、无松动；动作应灵活、无卡阻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2、外观：产品外表面的尖棱，飞边，毛刺应清除干净；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3、密封性能，排水配件操作机构密封性能，打开排水装置，封堵末端排水口，在排水装置进水口处施加150mm水柱的静水压，并保持5min，排水配件反复启闭3次后，操作机构应无渗漏。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提供由生产厂家送检满足以上技术要求具有CMA、CAL、ilac-MRA、CNAS认证的由省级或省级以上检测机构出具的学生端防堵反冲洗装置检测报告复印件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学生端给排水接口</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PVC材质，给排水接头采用美国进口,具有耐酸碱，拔插轻松，不生锈；即插即用，带自动锁紧插功能，即使在供水排水工作时，随时拔掉接口不会有任何滴漏现象。</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自动给排水</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当给水开关打开时，排水自动启动，水槽水低位时，排水自动关闭，设定时间内自动检测排水管水位，当排水管有水时，排水自动抽完，如果排水管未检测到水，水泵自动关闭。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自动给排水系统技术要求满足：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1、不锈钢制品感官要求：调节装置、输出插孔应有清晰明了、耐用的提示文字和符号；直流电压输出应能显示电压；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2、电压调节范围，V.:AC/DC:0～30V；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3、锅盖与锅身配合：连线后应无应力；黄绿双色线必须是接地端子，部分固定牢固，无松动现象；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4、电压指示精度，V:显示值与输出值之间的误差应在±2V以内。</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多功能防溅水槽柜</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1、水槽柜整体尺寸为600*450*820mm（H） 2、底围尺寸590x440x61.5mm，中间部分尺寸601x450x817mm；材质1.00mm镀锌钢板，表面环氧喷涂；上面水槽为PP改性材质，尺寸为水槽尺寸450x601x477mm，水槽内空上部尺寸为405*480mm，底部尺寸为346*426mm3、水槽最高深度为370，最低深度305mm，保障洗涤时水不外飞溅；水槽内部带滴水架，滴水架带10个滴水棒，滴水棒可以收纳；水槽柜上面带检修口，同时可以收纳水管（吊装使用时）；检修门带锁。底围可以安装调节脚或者1寸定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技术要求满足:GB/T 3325-2017 金属家具通用技术条件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1、金属喷漆（塑）涂层理化，耐腐蚀  100h内，观察在溶液中样板上划道两侧3mm以外，应无鼓泡产生，100h后，检查划道两侧3mm外，应无锈迹、剥落、起皱、变色和失光等现象。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2、塑料件理化 耐老化性能500h 级  外观颜色变色评级不小于3级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提供由生产厂家送检满足以上技术要求具有CMA、ilac-MRA、CNAS认证的由省级或省级以上检测机构出具的多功能防溅水槽柜检测报告复印件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升降折叠水龙头</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材质为加厚H63铜管，主管管径26mm。2、涂层：环氧树脂涂层，经24小时酸性盐雾试验后，耐腐蚀、耐热、防紫外线辐射，达到国际及国内相关标准的技术要求。3，折叠双联龙头在使用过程中可以自由升降水嘴，以满足不同身高的高度仪器清洗要求使用。其中一个出水嘴加装了可调节水花装置，保证实验过程中对水花的不同要求，调节方便，美观耐用。4，实验室龙头采用壁式安装，壁厚大于2.5mm，固定底座直径55mm，底座锁母与台面中间添加齿形止退垫，使连接后不易松动稳定性强，与台面安装牢固。双联龙头可以分开折叠90度收纳，保证实验室的整洁美观。5，开关旋钮：通过环保Rohs认证，材质PP，符合人体工学设计，启闭方式为平面式，开关标识清晰醒目，装配好的开关旋钮应平稳轻便无卡阻，与阀杆连接后不易松动稳定性强。6，水龙头开关寿命：采用高精度陶瓷阀芯，可90°旋转，启闭寿命经过50万次寿命试验后，阀芯上游及阀芯下游在水压1.6MPa，保压时间60s，无永久性变形，通道过水无渗漏，密封性能符合 GB18145-2014 国家标准，静态最大耐压10巴。7、水咀三通与上控水阀，用200T四拉液压机、模具一体热冲成形，密度高，强度大，牢固耐用。</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主架舱体防尘检修板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采用1.0mm优质高强度镀锌钢板，采用那个CO2保护焊焊接，打磨处理，表面经耐酸碱EPOXY粉末烤漆处理（烤漆膜厚度平均值≥70μm）；造型独特美观，检修方便。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智能灯光照明装置</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接收智能化控制系统控制，功能面板采用1170*85mm，配置LED日光灯1根，每根15W，灯罩采用ABS一次成型，设计安装磨砂透明均光板，不仅能使光线扩散均匀更能起到安全防护作用。</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电源供应线路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模块化设计，每组模块间采用活接式连接，方便安装、检修。采用2.5mm²电线进行系统布线。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智能控制系统线路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模块化设计，每组模块间采用活接式连接，方便安装、检修。采用1.mm²屏蔽电线进行系统布线。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给水主管选用φ20-32mmPP-R给水管，模块化设计，每组模块间采用活接式连接，方便安装、检修。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排水管选用加厚φ50-75mmPVC-U国标管（具有防酸、防碱、耐腐蚀功能），模块化设计，每组模块间采用活接式连接，方便安装、检修。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舱体末端封板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采用ABS材质，模具一体成型。</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支架功能封板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能隐藏水电通风管道及电线，采用PVC材质，方便检修。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安装支架</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采用碳钢丝杠及专业连接件、直角座、龙骨架连接件、吊装挂件、安装连接板等。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安装支架技术要求满足：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1、抗拉强度Rm，MPa，/；检测结果≥150。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2、提供由生产厂家送检满足以上技术要求由省级或省级以上检测机构出具的安装支架检测报告复印件</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92" w:type="pct"/>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安装辅材</w:t>
            </w:r>
          </w:p>
        </w:tc>
        <w:tc>
          <w:tcPr>
            <w:tcW w:w="322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采用双槽钢横梁吊装方式，减少楼板承重，防止左右晃动，可进行上下、左右的平衡调节，实验功能板离地2m左右，主要辅件有：槽钢等各类辅件。</w:t>
            </w:r>
          </w:p>
        </w:tc>
        <w:tc>
          <w:tcPr>
            <w:tcW w:w="54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388"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92" w:type="pct"/>
            <w:gridSpan w:val="8"/>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228" w:type="pct"/>
            <w:gridSpan w:val="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安装材料</w:t>
            </w:r>
          </w:p>
        </w:tc>
        <w:tc>
          <w:tcPr>
            <w:tcW w:w="544" w:type="pct"/>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88" w:type="pct"/>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2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2"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电、网络布线耗材</w:t>
            </w:r>
          </w:p>
        </w:tc>
        <w:tc>
          <w:tcPr>
            <w:tcW w:w="3228"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外径：0.50mm  绝缘外径：0.9mm电缆外径：5.2mm；牵引时最小弯曲半径：42mm可承受张力：78N；燃烧等级：IEC332.1色谱：白兰/兰、白橙/橙、白绿/绿、白棕/棕超5类4对UTP电缆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阻燃等级：满足YD/T 1019中对阻燃的要求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结构特性：（1）导体直径≥0.5mm；（2）外护套材料 PVC；（3）导体线规 24AWG；（4）外护套直径约5.2mm；（5） 绝缘材料 PE ；（6）外护套厚度 ≥0.55mm ；（7） 绝缘直径 0.88±0.02mm ；（8）结构  U/UTP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机械特性：（1）弯曲半径 ≥42mm；（2）施工温度 0～50℃ ； （3）使用温度 -20～60℃；（4）每箱重量 约10.2Kg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电气特性：（1） 绝缘电阻 ≥5000MΩ•Km；（2）单根导体直流电阻 ≤9.5Ω/100m；（3）导体间介电强度 d.c 1KV 1min  a.c 0.7KV 1min （4） 线对直流电阻不平衡 ≤%2.5</w:t>
            </w:r>
          </w:p>
        </w:tc>
        <w:tc>
          <w:tcPr>
            <w:tcW w:w="5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材质采用优质铝材，厚度为≥0.8mm铝扣板，轻钢龙骨结构。主骨50，三角副骨。</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功率：32W，光通量为2150；显色指数80；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灯框为领轧钢板，铝扣板嵌入式。</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一体式LED黑板灯</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LED护眼黑板灯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光通量：2800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电压：AC 220V</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塑胶地板</w:t>
            </w:r>
          </w:p>
        </w:tc>
        <w:tc>
          <w:tcPr>
            <w:tcW w:w="32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室内PVC塑胶地板，加厚2.0以上耐磨，防滑</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bl>
    <w:p>
      <w:pPr>
        <w:numPr>
          <w:ilvl w:val="0"/>
          <w:numId w:val="0"/>
        </w:numPr>
        <w:spacing w:line="360" w:lineRule="auto"/>
        <w:rPr>
          <w:rFonts w:ascii="宋体" w:hAnsi="宋体"/>
          <w:sz w:val="24"/>
          <w:szCs w:val="24"/>
        </w:rPr>
      </w:pPr>
      <w:r>
        <w:rPr>
          <w:rFonts w:hint="eastAsia" w:ascii="宋体" w:hAnsi="宋体"/>
          <w:b/>
          <w:bCs/>
          <w:color w:val="000000"/>
          <w:sz w:val="24"/>
          <w:szCs w:val="24"/>
          <w:lang w:val="en-US" w:eastAsia="zh-CN"/>
        </w:rPr>
        <w:t>二</w:t>
      </w:r>
      <w:r>
        <w:rPr>
          <w:rFonts w:hint="eastAsia" w:ascii="宋体" w:hAnsi="宋体"/>
          <w:b/>
          <w:bCs/>
          <w:color w:val="000000"/>
          <w:sz w:val="24"/>
          <w:szCs w:val="24"/>
        </w:rPr>
        <w:t>、</w:t>
      </w:r>
      <w:r>
        <w:rPr>
          <w:rFonts w:hint="eastAsia" w:ascii="宋体" w:hAnsi="宋体"/>
          <w:b/>
          <w:bCs/>
          <w:color w:val="000000"/>
          <w:sz w:val="24"/>
          <w:szCs w:val="24"/>
          <w:lang w:val="en-US" w:eastAsia="zh-CN"/>
        </w:rPr>
        <w:t>采购</w:t>
      </w:r>
      <w:r>
        <w:rPr>
          <w:rFonts w:hint="eastAsia" w:ascii="宋体" w:hAnsi="宋体"/>
          <w:b/>
          <w:bCs/>
          <w:color w:val="000000"/>
          <w:sz w:val="24"/>
          <w:szCs w:val="24"/>
        </w:rPr>
        <w:t>要求</w:t>
      </w:r>
    </w:p>
    <w:p>
      <w:pPr>
        <w:spacing w:line="360" w:lineRule="auto"/>
        <w:rPr>
          <w:rFonts w:ascii="宋体" w:hAnsi="宋体"/>
          <w:sz w:val="24"/>
          <w:szCs w:val="24"/>
        </w:rPr>
      </w:pPr>
      <w:r>
        <w:rPr>
          <w:rFonts w:hint="eastAsia" w:ascii="宋体" w:hAnsi="宋体"/>
          <w:color w:val="000000"/>
          <w:sz w:val="24"/>
          <w:szCs w:val="24"/>
        </w:rPr>
        <w:t>1、交货期：自合同签订之日起</w:t>
      </w:r>
      <w:r>
        <w:rPr>
          <w:rFonts w:hint="eastAsia" w:ascii="宋体" w:hAnsi="宋体"/>
          <w:color w:val="000000"/>
          <w:sz w:val="24"/>
          <w:szCs w:val="24"/>
          <w:lang w:val="en-US" w:eastAsia="zh-CN"/>
        </w:rPr>
        <w:t>45</w:t>
      </w:r>
      <w:r>
        <w:rPr>
          <w:rFonts w:hint="eastAsia" w:ascii="宋体" w:hAnsi="宋体"/>
          <w:color w:val="000000"/>
          <w:sz w:val="24"/>
          <w:szCs w:val="24"/>
        </w:rPr>
        <w:t>日历天。</w:t>
      </w:r>
    </w:p>
    <w:p>
      <w:pPr>
        <w:spacing w:line="360" w:lineRule="auto"/>
        <w:rPr>
          <w:rFonts w:ascii="宋体" w:hAnsi="宋体"/>
          <w:sz w:val="24"/>
          <w:szCs w:val="24"/>
        </w:rPr>
      </w:pPr>
      <w:r>
        <w:rPr>
          <w:rFonts w:hint="eastAsia" w:ascii="宋体" w:hAnsi="宋体"/>
          <w:color w:val="000000"/>
          <w:sz w:val="24"/>
          <w:szCs w:val="24"/>
        </w:rPr>
        <w:t>2、交货地点</w:t>
      </w:r>
      <w:r>
        <w:rPr>
          <w:rFonts w:hint="eastAsia" w:ascii="宋体" w:hAnsi="宋体"/>
          <w:sz w:val="24"/>
          <w:szCs w:val="24"/>
        </w:rPr>
        <w:t>：采购人指定地点</w:t>
      </w:r>
    </w:p>
    <w:p>
      <w:pPr>
        <w:spacing w:line="360" w:lineRule="auto"/>
        <w:rPr>
          <w:rFonts w:hint="eastAsia" w:ascii="宋体" w:hAnsi="宋体"/>
          <w:sz w:val="24"/>
          <w:szCs w:val="24"/>
          <w:highlight w:val="none"/>
          <w:lang w:val="en-US" w:eastAsia="zh-CN"/>
        </w:rPr>
      </w:pPr>
      <w:r>
        <w:rPr>
          <w:rFonts w:hint="eastAsia" w:ascii="宋体" w:hAnsi="宋体"/>
          <w:color w:val="000000"/>
          <w:sz w:val="24"/>
          <w:szCs w:val="24"/>
          <w:lang w:val="en-US" w:eastAsia="zh-CN"/>
        </w:rPr>
        <w:t>3</w:t>
      </w:r>
      <w:r>
        <w:rPr>
          <w:rFonts w:hint="eastAsia" w:ascii="宋体" w:hAnsi="宋体"/>
          <w:color w:val="000000"/>
          <w:sz w:val="24"/>
          <w:szCs w:val="24"/>
        </w:rPr>
        <w:t>、质量标准</w:t>
      </w:r>
      <w:r>
        <w:rPr>
          <w:rFonts w:hint="eastAsia" w:ascii="宋体" w:hAnsi="宋体"/>
          <w:sz w:val="24"/>
          <w:szCs w:val="24"/>
        </w:rPr>
        <w:t>：</w:t>
      </w:r>
      <w:r>
        <w:rPr>
          <w:rFonts w:hint="eastAsia" w:ascii="宋体" w:hAnsi="宋体"/>
          <w:sz w:val="24"/>
          <w:szCs w:val="24"/>
          <w:highlight w:val="none"/>
          <w:lang w:val="en-US" w:eastAsia="zh-CN"/>
        </w:rPr>
        <w:t>合格，且符合采购人要求。</w:t>
      </w:r>
    </w:p>
    <w:p>
      <w:pPr>
        <w:spacing w:line="360" w:lineRule="auto"/>
        <w:rPr>
          <w:rFonts w:ascii="宋体" w:hAnsi="宋体"/>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质保</w:t>
      </w:r>
      <w:r>
        <w:rPr>
          <w:rFonts w:hint="eastAsia" w:ascii="宋体" w:hAnsi="宋体"/>
          <w:color w:val="000000"/>
          <w:sz w:val="24"/>
          <w:szCs w:val="24"/>
          <w:highlight w:val="none"/>
        </w:rPr>
        <w:t>期</w:t>
      </w:r>
      <w:r>
        <w:rPr>
          <w:rFonts w:hint="eastAsia" w:ascii="宋体" w:hAnsi="宋体"/>
          <w:sz w:val="24"/>
          <w:szCs w:val="24"/>
          <w:highlight w:val="none"/>
        </w:rPr>
        <w:t>：</w:t>
      </w:r>
      <w:r>
        <w:rPr>
          <w:rFonts w:hint="eastAsia" w:ascii="宋体" w:hAnsi="宋体"/>
          <w:sz w:val="24"/>
          <w:szCs w:val="24"/>
          <w:highlight w:val="none"/>
          <w:lang w:val="en-US" w:eastAsia="zh-CN"/>
        </w:rPr>
        <w:t>2年</w:t>
      </w:r>
      <w:r>
        <w:rPr>
          <w:rFonts w:hint="eastAsia" w:ascii="宋体" w:hAnsi="宋体"/>
          <w:sz w:val="24"/>
          <w:szCs w:val="24"/>
          <w:highlight w:val="none"/>
        </w:rPr>
        <w:t>。</w:t>
      </w:r>
    </w:p>
    <w:p>
      <w:pPr>
        <w:spacing w:line="200" w:lineRule="exact"/>
        <w:rPr>
          <w:sz w:val="20"/>
          <w:szCs w:val="20"/>
        </w:rPr>
      </w:pPr>
    </w:p>
    <w:p>
      <w:pPr>
        <w:spacing w:line="460" w:lineRule="exact"/>
        <w:rPr>
          <w:rFonts w:cs="黑体" w:asciiTheme="minorEastAsia" w:hAnsiTheme="minorEastAsia"/>
          <w:sz w:val="32"/>
          <w:szCs w:val="32"/>
        </w:rPr>
        <w:sectPr>
          <w:pgSz w:w="11900" w:h="16838"/>
          <w:pgMar w:top="1440" w:right="1046" w:bottom="430" w:left="1440" w:header="0" w:footer="0" w:gutter="0"/>
          <w:pgBorders>
            <w:top w:val="none" w:sz="0" w:space="0"/>
            <w:left w:val="none" w:sz="0" w:space="0"/>
            <w:bottom w:val="none" w:sz="0" w:space="0"/>
            <w:right w:val="none" w:sz="0" w:space="0"/>
          </w:pgBorders>
          <w:cols w:equalWidth="0" w:num="1">
            <w:col w:w="9420"/>
          </w:cols>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eastAsia="宋体" w:cs="黑体" w:asciiTheme="minorEastAsia" w:hAnsiTheme="minorEastAsia"/>
          <w:b/>
          <w:sz w:val="32"/>
          <w:szCs w:val="32"/>
          <w:lang w:eastAsia="zh-CN"/>
        </w:rPr>
      </w:pPr>
      <w:r>
        <w:rPr>
          <w:rFonts w:hint="eastAsia" w:eastAsia="宋体" w:cs="黑体" w:asciiTheme="minorEastAsia" w:hAnsiTheme="minorEastAsia"/>
          <w:b/>
          <w:sz w:val="32"/>
          <w:szCs w:val="32"/>
        </w:rPr>
        <w:t>第四部分</w:t>
      </w:r>
      <w:r>
        <w:rPr>
          <w:rFonts w:hint="eastAsia" w:asciiTheme="minorEastAsia" w:hAnsiTheme="minorEastAsia" w:eastAsiaTheme="minorEastAsia" w:cstheme="minorEastAsia"/>
        </w:rPr>
        <w:t xml:space="preserve">  </w:t>
      </w:r>
      <w:r>
        <w:rPr>
          <w:rFonts w:hint="eastAsia" w:ascii="宋体" w:hAnsi="宋体"/>
          <w:b/>
          <w:sz w:val="32"/>
          <w:szCs w:val="32"/>
        </w:rPr>
        <w:t>采购合同</w:t>
      </w:r>
      <w:r>
        <w:rPr>
          <w:rFonts w:hint="eastAsia" w:cs="黑体" w:asciiTheme="minorEastAsia" w:hAnsiTheme="minorEastAsia"/>
          <w:b/>
          <w:sz w:val="32"/>
          <w:szCs w:val="32"/>
          <w:lang w:eastAsia="zh-CN"/>
        </w:rPr>
        <w:t>（</w:t>
      </w:r>
      <w:r>
        <w:rPr>
          <w:rFonts w:hint="eastAsia" w:cs="黑体" w:asciiTheme="minorEastAsia" w:hAnsiTheme="minorEastAsia"/>
          <w:b/>
          <w:sz w:val="32"/>
          <w:szCs w:val="32"/>
          <w:lang w:val="en-US" w:eastAsia="zh-CN"/>
        </w:rPr>
        <w:t>仅供参考</w:t>
      </w:r>
      <w:r>
        <w:rPr>
          <w:rFonts w:hint="eastAsia" w:cs="黑体" w:asciiTheme="minorEastAsia" w:hAnsiTheme="minorEastAsia"/>
          <w:b/>
          <w:sz w:val="32"/>
          <w:szCs w:val="32"/>
          <w:lang w:eastAsia="zh-CN"/>
        </w:rPr>
        <w:t>）</w:t>
      </w:r>
      <w:bookmarkEnd w:id="9"/>
    </w:p>
    <w:p>
      <w:pPr>
        <w:spacing w:line="360" w:lineRule="auto"/>
        <w:outlineLvl w:val="0"/>
        <w:rPr>
          <w:rFonts w:hint="eastAsia" w:ascii="宋体" w:hAnsi="宋体"/>
          <w:b/>
          <w:sz w:val="32"/>
          <w:szCs w:val="32"/>
        </w:rPr>
      </w:pPr>
    </w:p>
    <w:p>
      <w:pPr>
        <w:widowControl/>
        <w:adjustRightInd w:val="0"/>
        <w:snapToGrid w:val="0"/>
        <w:spacing w:line="320" w:lineRule="exact"/>
        <w:ind w:firstLine="480" w:firstLineChars="200"/>
        <w:jc w:val="left"/>
        <w:rPr>
          <w:rFonts w:hint="eastAsia" w:ascii="宋体" w:hAnsi="宋体" w:cs="仿宋"/>
          <w:spacing w:val="-6"/>
          <w:sz w:val="24"/>
          <w:u w:val="single"/>
        </w:rPr>
      </w:pPr>
      <w:r>
        <w:rPr>
          <w:rFonts w:hint="eastAsia" w:ascii="宋体" w:hAnsi="宋体" w:cs="仿宋"/>
          <w:sz w:val="24"/>
        </w:rPr>
        <w:t>甲方：</w:t>
      </w:r>
      <w:r>
        <w:rPr>
          <w:rFonts w:hint="eastAsia" w:ascii="宋体" w:hAnsi="宋体" w:cs="仿宋"/>
          <w:spacing w:val="-6"/>
          <w:sz w:val="24"/>
          <w:u w:val="single"/>
        </w:rPr>
        <w:t xml:space="preserve">                             </w:t>
      </w:r>
    </w:p>
    <w:p>
      <w:pPr>
        <w:widowControl/>
        <w:adjustRightInd w:val="0"/>
        <w:snapToGrid w:val="0"/>
        <w:spacing w:line="320" w:lineRule="exact"/>
        <w:ind w:firstLine="480" w:firstLineChars="200"/>
        <w:jc w:val="left"/>
        <w:rPr>
          <w:rFonts w:hint="eastAsia" w:ascii="宋体" w:hAnsi="宋体" w:cs="仿宋"/>
          <w:sz w:val="24"/>
        </w:rPr>
      </w:pPr>
    </w:p>
    <w:p>
      <w:pPr>
        <w:widowControl/>
        <w:adjustRightInd w:val="0"/>
        <w:snapToGrid w:val="0"/>
        <w:spacing w:line="320" w:lineRule="exact"/>
        <w:ind w:firstLine="480" w:firstLineChars="200"/>
        <w:jc w:val="left"/>
        <w:rPr>
          <w:rFonts w:hint="eastAsia" w:ascii="宋体" w:hAnsi="宋体" w:cs="仿宋"/>
          <w:sz w:val="24"/>
          <w:u w:val="single"/>
        </w:rPr>
      </w:pPr>
      <w:r>
        <w:rPr>
          <w:rFonts w:hint="eastAsia" w:ascii="宋体" w:hAnsi="宋体" w:cs="仿宋"/>
          <w:sz w:val="24"/>
        </w:rPr>
        <w:t>乙方：</w:t>
      </w:r>
      <w:r>
        <w:rPr>
          <w:rFonts w:hint="eastAsia" w:ascii="宋体" w:hAnsi="宋体" w:cs="仿宋"/>
          <w:sz w:val="24"/>
          <w:u w:val="single"/>
        </w:rPr>
        <w:t xml:space="preserve">                          </w:t>
      </w:r>
    </w:p>
    <w:p>
      <w:pPr>
        <w:numPr>
          <w:ilvl w:val="0"/>
          <w:numId w:val="6"/>
        </w:numPr>
        <w:spacing w:line="460" w:lineRule="exact"/>
        <w:ind w:firstLine="480" w:firstLineChars="200"/>
        <w:rPr>
          <w:rFonts w:hint="eastAsia" w:ascii="宋体" w:hAnsi="宋体" w:cs="仿宋"/>
          <w:sz w:val="24"/>
        </w:rPr>
      </w:pPr>
      <w:r>
        <w:rPr>
          <w:rFonts w:hint="eastAsia" w:ascii="宋体" w:hAnsi="宋体" w:cs="仿宋"/>
          <w:sz w:val="24"/>
        </w:rPr>
        <w:t xml:space="preserve"> 根据《中华人民国共和国政府采购法》、《</w:t>
      </w:r>
      <w:r>
        <w:rPr>
          <w:rFonts w:hint="eastAsia" w:ascii="宋体" w:hAnsi="宋体" w:cs="仿宋"/>
          <w:sz w:val="24"/>
          <w:lang w:val="en-US" w:eastAsia="zh-CN"/>
        </w:rPr>
        <w:t>中华人民共和国民法典</w:t>
      </w:r>
      <w:r>
        <w:rPr>
          <w:rFonts w:hint="eastAsia" w:ascii="宋体" w:hAnsi="宋体" w:cs="仿宋"/>
          <w:sz w:val="24"/>
        </w:rPr>
        <w:t>》的相关规定，经甲乙双方协商，就</w:t>
      </w:r>
      <w:r>
        <w:rPr>
          <w:rFonts w:hint="eastAsia" w:ascii="宋体" w:hAnsi="宋体" w:cs="仿宋"/>
          <w:sz w:val="24"/>
          <w:u w:val="single"/>
        </w:rPr>
        <w:t xml:space="preserve">                           </w:t>
      </w:r>
      <w:r>
        <w:rPr>
          <w:rFonts w:hint="eastAsia" w:ascii="宋体" w:hAnsi="宋体" w:cs="仿宋"/>
          <w:spacing w:val="-6"/>
          <w:sz w:val="24"/>
        </w:rPr>
        <w:t>（项目名称）</w:t>
      </w:r>
      <w:r>
        <w:rPr>
          <w:rFonts w:hint="eastAsia" w:ascii="宋体" w:hAnsi="宋体" w:cs="仿宋"/>
          <w:sz w:val="24"/>
        </w:rPr>
        <w:t>达成协议如下：</w:t>
      </w:r>
    </w:p>
    <w:p>
      <w:pPr>
        <w:spacing w:line="500" w:lineRule="exact"/>
        <w:rPr>
          <w:rFonts w:hint="eastAsia" w:ascii="宋体" w:hAnsi="宋体" w:cs="仿宋"/>
          <w:b/>
          <w:sz w:val="24"/>
        </w:rPr>
      </w:pPr>
      <w:r>
        <w:rPr>
          <w:rFonts w:hint="eastAsia" w:ascii="宋体" w:hAnsi="宋体" w:cs="仿宋"/>
          <w:b/>
          <w:sz w:val="24"/>
        </w:rPr>
        <w:t xml:space="preserve">   1、合同概况：</w:t>
      </w:r>
    </w:p>
    <w:p>
      <w:pPr>
        <w:spacing w:line="500" w:lineRule="exact"/>
        <w:rPr>
          <w:rFonts w:hint="eastAsia" w:ascii="宋体" w:hAnsi="宋体" w:cs="仿宋"/>
          <w:sz w:val="24"/>
        </w:rPr>
      </w:pPr>
      <w:r>
        <w:rPr>
          <w:rFonts w:hint="eastAsia" w:ascii="宋体" w:hAnsi="宋体" w:cs="仿宋"/>
          <w:sz w:val="24"/>
        </w:rPr>
        <w:t xml:space="preserve">   1.1合同项目名称：</w:t>
      </w:r>
      <w:r>
        <w:rPr>
          <w:rFonts w:hint="eastAsia" w:ascii="宋体" w:hAnsi="宋体" w:cs="仿宋"/>
          <w:sz w:val="24"/>
          <w:u w:val="single"/>
        </w:rPr>
        <w:t xml:space="preserve">                 </w:t>
      </w:r>
      <w:r>
        <w:rPr>
          <w:rFonts w:hint="eastAsia" w:ascii="宋体" w:hAnsi="宋体" w:cs="仿宋"/>
          <w:sz w:val="24"/>
        </w:rPr>
        <w:t>。</w:t>
      </w:r>
    </w:p>
    <w:p>
      <w:pPr>
        <w:spacing w:line="500" w:lineRule="exact"/>
        <w:ind w:left="240" w:hanging="240" w:hangingChars="100"/>
        <w:rPr>
          <w:rFonts w:hint="eastAsia" w:ascii="宋体" w:hAnsi="宋体" w:cs="仿宋"/>
          <w:sz w:val="24"/>
          <w:u w:val="single"/>
        </w:rPr>
      </w:pPr>
      <w:r>
        <w:rPr>
          <w:rFonts w:hint="eastAsia" w:ascii="宋体" w:hAnsi="宋体" w:cs="仿宋"/>
          <w:sz w:val="24"/>
        </w:rPr>
        <w:t xml:space="preserve">   1.2合同总价款：</w:t>
      </w:r>
      <w:r>
        <w:rPr>
          <w:rFonts w:hint="eastAsia" w:ascii="宋体" w:hAnsi="宋体" w:cs="仿宋"/>
          <w:sz w:val="24"/>
          <w:u w:val="single"/>
        </w:rPr>
        <w:t xml:space="preserve">               </w:t>
      </w:r>
      <w:r>
        <w:rPr>
          <w:rFonts w:hint="eastAsia" w:ascii="宋体" w:hAnsi="宋体" w:cs="仿宋"/>
          <w:sz w:val="24"/>
        </w:rPr>
        <w:t>。</w:t>
      </w:r>
    </w:p>
    <w:p>
      <w:pPr>
        <w:spacing w:line="500" w:lineRule="exact"/>
        <w:rPr>
          <w:rFonts w:hint="eastAsia" w:ascii="宋体" w:hAnsi="宋体" w:cs="仿宋"/>
          <w:b/>
          <w:bCs/>
          <w:sz w:val="24"/>
        </w:rPr>
      </w:pPr>
      <w:r>
        <w:rPr>
          <w:rFonts w:hint="eastAsia" w:ascii="宋体" w:hAnsi="宋体" w:cs="仿宋"/>
          <w:b/>
          <w:bCs/>
          <w:sz w:val="24"/>
        </w:rPr>
        <w:t xml:space="preserve">    2、供货内容及交货地点：</w:t>
      </w:r>
    </w:p>
    <w:p>
      <w:pPr>
        <w:spacing w:line="500" w:lineRule="exact"/>
        <w:rPr>
          <w:rFonts w:ascii="宋体" w:hAnsi="宋体" w:cs="仿宋"/>
          <w:sz w:val="24"/>
        </w:rPr>
      </w:pPr>
      <w:r>
        <w:rPr>
          <w:rFonts w:hint="eastAsia" w:ascii="宋体" w:hAnsi="宋体" w:cs="仿宋"/>
          <w:sz w:val="24"/>
        </w:rPr>
        <w:t xml:space="preserve">    2.1供货内容：</w:t>
      </w:r>
      <w:r>
        <w:rPr>
          <w:rFonts w:hint="eastAsia" w:ascii="宋体" w:hAnsi="宋体" w:cs="仿宋"/>
          <w:spacing w:val="-6"/>
          <w:sz w:val="24"/>
          <w:u w:val="single"/>
        </w:rPr>
        <w:t xml:space="preserve">              </w:t>
      </w:r>
    </w:p>
    <w:p>
      <w:pPr>
        <w:spacing w:line="500" w:lineRule="exact"/>
        <w:rPr>
          <w:rFonts w:hint="default" w:ascii="宋体" w:hAnsi="宋体" w:eastAsia="宋体" w:cs="仿宋"/>
          <w:color w:val="FF0000"/>
          <w:sz w:val="24"/>
          <w:lang w:val="en-US" w:eastAsia="zh-CN"/>
        </w:rPr>
      </w:pPr>
      <w:r>
        <w:rPr>
          <w:rFonts w:hint="eastAsia" w:ascii="宋体" w:hAnsi="宋体" w:cs="仿宋"/>
          <w:sz w:val="24"/>
        </w:rPr>
        <w:t xml:space="preserve">    2.2供货地点：</w:t>
      </w:r>
      <w:r>
        <w:rPr>
          <w:rFonts w:hint="eastAsia" w:ascii="宋体" w:hAnsi="宋体" w:cs="仿宋"/>
          <w:sz w:val="24"/>
          <w:u w:val="single"/>
        </w:rPr>
        <w:t xml:space="preserve"> </w:t>
      </w:r>
      <w:r>
        <w:rPr>
          <w:rFonts w:hint="eastAsia" w:ascii="宋体" w:hAnsi="宋体" w:cs="仿宋"/>
          <w:sz w:val="24"/>
          <w:u w:val="single"/>
          <w:lang w:val="en-US" w:eastAsia="zh-CN"/>
        </w:rPr>
        <w:t xml:space="preserve">            </w:t>
      </w:r>
    </w:p>
    <w:p>
      <w:pPr>
        <w:spacing w:line="500" w:lineRule="exact"/>
        <w:rPr>
          <w:rFonts w:hint="default" w:ascii="宋体" w:hAnsi="宋体" w:eastAsia="宋体" w:cs="仿宋"/>
          <w:b/>
          <w:sz w:val="24"/>
          <w:lang w:val="en-US" w:eastAsia="zh-CN"/>
        </w:rPr>
      </w:pPr>
      <w:r>
        <w:rPr>
          <w:rFonts w:hint="eastAsia" w:ascii="宋体" w:hAnsi="宋体" w:cs="仿宋"/>
          <w:b/>
          <w:sz w:val="24"/>
        </w:rPr>
        <w:t xml:space="preserve">    3、</w:t>
      </w:r>
      <w:r>
        <w:rPr>
          <w:rFonts w:hint="eastAsia" w:ascii="宋体" w:hAnsi="宋体" w:cs="仿宋"/>
          <w:b/>
          <w:sz w:val="24"/>
          <w:lang w:val="en-US" w:eastAsia="zh-CN"/>
        </w:rPr>
        <w:t>交货</w:t>
      </w:r>
      <w:r>
        <w:rPr>
          <w:rFonts w:hint="eastAsia" w:ascii="宋体" w:hAnsi="宋体" w:cs="仿宋"/>
          <w:b/>
          <w:sz w:val="24"/>
        </w:rPr>
        <w:t>期</w:t>
      </w:r>
      <w:r>
        <w:rPr>
          <w:rFonts w:hint="eastAsia" w:ascii="宋体" w:hAnsi="宋体" w:cs="仿宋"/>
          <w:b/>
          <w:sz w:val="24"/>
          <w:lang w:eastAsia="zh-CN"/>
        </w:rPr>
        <w:t>、</w:t>
      </w:r>
      <w:r>
        <w:rPr>
          <w:rFonts w:hint="eastAsia" w:ascii="宋体" w:hAnsi="宋体" w:cs="仿宋"/>
          <w:b/>
          <w:sz w:val="24"/>
          <w:lang w:val="en-US" w:eastAsia="zh-CN"/>
        </w:rPr>
        <w:t>质保期、质量标准</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交货</w:t>
      </w:r>
      <w:r>
        <w:rPr>
          <w:rFonts w:hint="eastAsia" w:ascii="宋体" w:hAnsi="宋体" w:cs="仿宋"/>
          <w:sz w:val="24"/>
        </w:rPr>
        <w:t>期：</w:t>
      </w:r>
      <w:r>
        <w:rPr>
          <w:rFonts w:hint="eastAsia" w:ascii="宋体" w:hAnsi="宋体" w:cs="仿宋"/>
          <w:sz w:val="24"/>
          <w:u w:val="single"/>
        </w:rPr>
        <w:t xml:space="preserve">      </w:t>
      </w:r>
      <w:r>
        <w:rPr>
          <w:rFonts w:hint="eastAsia" w:ascii="宋体" w:hAnsi="宋体" w:cs="仿宋"/>
          <w:sz w:val="24"/>
          <w:u w:val="single"/>
          <w:lang w:val="en-US" w:eastAsia="zh-CN"/>
        </w:rPr>
        <w:t xml:space="preserve">  </w:t>
      </w:r>
      <w:r>
        <w:rPr>
          <w:rFonts w:hint="eastAsia" w:ascii="宋体" w:hAnsi="宋体" w:cs="仿宋"/>
          <w:sz w:val="24"/>
        </w:rPr>
        <w:t>。</w:t>
      </w:r>
    </w:p>
    <w:p>
      <w:pPr>
        <w:spacing w:line="360" w:lineRule="auto"/>
        <w:ind w:firstLine="480" w:firstLineChars="200"/>
        <w:rPr>
          <w:rFonts w:hint="eastAsia" w:ascii="宋体" w:hAnsi="宋体" w:cs="仿宋"/>
          <w:sz w:val="24"/>
          <w:highlight w:val="none"/>
        </w:rPr>
      </w:pPr>
      <w:r>
        <w:rPr>
          <w:rFonts w:hint="eastAsia" w:ascii="宋体" w:hAnsi="宋体" w:cs="仿宋"/>
          <w:bCs/>
          <w:sz w:val="24"/>
          <w:highlight w:val="none"/>
        </w:rPr>
        <w:t>质保期：</w:t>
      </w:r>
      <w:r>
        <w:rPr>
          <w:rFonts w:hint="eastAsia" w:ascii="宋体" w:hAnsi="宋体" w:cs="仿宋"/>
          <w:sz w:val="24"/>
          <w:highlight w:val="none"/>
          <w:u w:val="single"/>
        </w:rPr>
        <w:t xml:space="preserve">      </w:t>
      </w:r>
      <w:r>
        <w:rPr>
          <w:rFonts w:hint="eastAsia" w:ascii="宋体" w:hAnsi="宋体" w:cs="仿宋"/>
          <w:sz w:val="24"/>
          <w:highlight w:val="none"/>
        </w:rPr>
        <w:t>。</w:t>
      </w:r>
    </w:p>
    <w:p>
      <w:pPr>
        <w:pStyle w:val="2"/>
        <w:ind w:left="0" w:leftChars="0" w:firstLine="480" w:firstLineChars="200"/>
        <w:rPr>
          <w:rFonts w:hint="eastAsia" w:eastAsia="宋体"/>
          <w:lang w:eastAsia="zh-CN"/>
        </w:rPr>
      </w:pPr>
      <w:r>
        <w:rPr>
          <w:rFonts w:hint="eastAsia" w:ascii="宋体" w:hAnsi="宋体" w:cs="仿宋"/>
          <w:bCs/>
          <w:sz w:val="24"/>
          <w:highlight w:val="none"/>
          <w:lang w:val="en-US" w:eastAsia="zh-CN"/>
        </w:rPr>
        <w:t>质量标准</w:t>
      </w:r>
      <w:r>
        <w:rPr>
          <w:rFonts w:hint="eastAsia" w:ascii="宋体" w:hAnsi="宋体" w:cs="仿宋"/>
          <w:bCs/>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p>
    <w:p>
      <w:pPr>
        <w:spacing w:line="500" w:lineRule="exact"/>
        <w:rPr>
          <w:rFonts w:hint="eastAsia" w:ascii="宋体" w:hAnsi="宋体" w:cs="仿宋"/>
          <w:b/>
          <w:sz w:val="24"/>
        </w:rPr>
      </w:pPr>
      <w:r>
        <w:rPr>
          <w:rFonts w:hint="eastAsia" w:ascii="宋体" w:hAnsi="宋体" w:cs="仿宋"/>
          <w:b/>
          <w:sz w:val="24"/>
        </w:rPr>
        <w:t xml:space="preserve">    4、甲方的责任和义务</w:t>
      </w:r>
    </w:p>
    <w:p>
      <w:pPr>
        <w:spacing w:line="500" w:lineRule="exact"/>
        <w:ind w:firstLine="480" w:firstLineChars="200"/>
        <w:rPr>
          <w:rFonts w:hint="eastAsia" w:ascii="宋体" w:hAnsi="宋体" w:cs="仿宋"/>
          <w:sz w:val="24"/>
        </w:rPr>
      </w:pPr>
      <w:r>
        <w:rPr>
          <w:rFonts w:hint="eastAsia" w:ascii="宋体" w:hAnsi="宋体" w:cs="仿宋"/>
          <w:sz w:val="24"/>
        </w:rPr>
        <w:t>4.1 甲方在采购内容到达指定地点后，甲方应在安装完后组织有关人员进行验收，并签署验收单。</w:t>
      </w:r>
    </w:p>
    <w:p>
      <w:pPr>
        <w:spacing w:line="500" w:lineRule="exact"/>
        <w:ind w:firstLine="480" w:firstLineChars="200"/>
        <w:rPr>
          <w:rFonts w:hint="eastAsia" w:ascii="宋体" w:hAnsi="宋体" w:cs="仿宋"/>
          <w:sz w:val="24"/>
        </w:rPr>
      </w:pPr>
      <w:r>
        <w:rPr>
          <w:rFonts w:hint="eastAsia" w:ascii="宋体" w:hAnsi="宋体" w:cs="仿宋"/>
          <w:sz w:val="24"/>
        </w:rPr>
        <w:t>4.2 甲方按合同规定向乙方支付应付合同价款。</w:t>
      </w:r>
    </w:p>
    <w:p>
      <w:pPr>
        <w:spacing w:line="500" w:lineRule="exact"/>
        <w:rPr>
          <w:rFonts w:hint="eastAsia" w:ascii="宋体" w:hAnsi="宋体" w:cs="仿宋"/>
          <w:b/>
          <w:sz w:val="24"/>
        </w:rPr>
      </w:pPr>
      <w:r>
        <w:rPr>
          <w:rFonts w:hint="eastAsia" w:ascii="宋体" w:hAnsi="宋体" w:cs="仿宋"/>
          <w:sz w:val="24"/>
        </w:rPr>
        <w:t xml:space="preserve">    </w:t>
      </w:r>
      <w:r>
        <w:rPr>
          <w:rFonts w:hint="eastAsia" w:ascii="宋体" w:hAnsi="宋体" w:cs="仿宋"/>
          <w:b/>
          <w:sz w:val="24"/>
        </w:rPr>
        <w:t>5、乙方的责任和义务</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5.1 乙方提供货物必须符合国家相关产品质量标准要求，且应达到乙方</w:t>
      </w:r>
      <w:r>
        <w:rPr>
          <w:rFonts w:hint="eastAsia" w:ascii="宋体" w:hAnsi="宋体" w:eastAsia="宋体" w:cs="仿宋"/>
          <w:sz w:val="24"/>
          <w:lang w:eastAsia="zh-CN"/>
        </w:rPr>
        <w:t>投标</w:t>
      </w:r>
      <w:r>
        <w:rPr>
          <w:rFonts w:hint="eastAsia" w:ascii="宋体" w:hAnsi="宋体" w:eastAsia="宋体" w:cs="仿宋"/>
          <w:sz w:val="24"/>
        </w:rPr>
        <w:t>文件中的标准。</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5.2乙方负责在货物验收时</w:t>
      </w:r>
      <w:r>
        <w:rPr>
          <w:rFonts w:hint="eastAsia" w:ascii="宋体" w:hAnsi="宋体" w:eastAsia="宋体" w:cs="仿宋"/>
          <w:sz w:val="24"/>
          <w:lang w:eastAsia="zh-CN"/>
        </w:rPr>
        <w:t>保证</w:t>
      </w:r>
      <w:r>
        <w:rPr>
          <w:rFonts w:hint="eastAsia" w:ascii="宋体" w:hAnsi="宋体" w:cs="仿宋"/>
          <w:sz w:val="24"/>
          <w:lang w:val="en-US" w:eastAsia="zh-CN"/>
        </w:rPr>
        <w:t>质量符合甲方要求</w:t>
      </w:r>
      <w:r>
        <w:rPr>
          <w:rFonts w:hint="eastAsia" w:ascii="宋体" w:hAnsi="宋体" w:eastAsia="宋体" w:cs="仿宋"/>
          <w:sz w:val="24"/>
        </w:rPr>
        <w:t>；</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5.3供货期间产生的所有费用由乙方负责；</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5.4 经甲方验收合格后，乙方向甲方移交相关的产品承诺书；</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w:t>
      </w:r>
      <w:r>
        <w:rPr>
          <w:rFonts w:hint="eastAsia" w:ascii="宋体" w:hAnsi="宋体" w:eastAsia="宋体" w:cs="仿宋"/>
          <w:sz w:val="24"/>
          <w:lang w:val="en-US" w:eastAsia="zh-CN"/>
        </w:rPr>
        <w:t>5</w:t>
      </w:r>
      <w:r>
        <w:rPr>
          <w:rFonts w:hint="eastAsia" w:ascii="宋体" w:hAnsi="宋体" w:eastAsia="宋体" w:cs="仿宋"/>
          <w:sz w:val="24"/>
        </w:rPr>
        <w:t>乙方有权按合同规定向甲方收取应收合同价款；</w:t>
      </w:r>
    </w:p>
    <w:p>
      <w:pPr>
        <w:spacing w:line="500" w:lineRule="exact"/>
        <w:ind w:firstLine="480" w:firstLineChars="200"/>
        <w:rPr>
          <w:rFonts w:hint="eastAsia" w:ascii="宋体" w:hAnsi="宋体" w:eastAsia="宋体" w:cs="仿宋"/>
          <w:sz w:val="24"/>
        </w:rPr>
      </w:pPr>
      <w:r>
        <w:rPr>
          <w:rFonts w:hint="eastAsia" w:ascii="宋体" w:hAnsi="宋体" w:eastAsia="宋体" w:cs="仿宋"/>
          <w:sz w:val="24"/>
        </w:rPr>
        <w:t>5.</w:t>
      </w:r>
      <w:r>
        <w:rPr>
          <w:rFonts w:hint="eastAsia" w:ascii="宋体" w:hAnsi="宋体" w:eastAsia="宋体" w:cs="仿宋"/>
          <w:sz w:val="24"/>
          <w:lang w:val="en-US" w:eastAsia="zh-CN"/>
        </w:rPr>
        <w:t>6</w:t>
      </w:r>
      <w:r>
        <w:rPr>
          <w:rFonts w:hint="eastAsia" w:ascii="宋体" w:hAnsi="宋体" w:eastAsia="宋体" w:cs="仿宋"/>
          <w:sz w:val="24"/>
        </w:rPr>
        <w:t>该项目所提供的货物，乙方必须保证在质保期内提供免费更换服务。</w:t>
      </w:r>
    </w:p>
    <w:p>
      <w:pPr>
        <w:spacing w:line="500" w:lineRule="exact"/>
        <w:rPr>
          <w:rFonts w:hint="eastAsia" w:ascii="宋体" w:hAnsi="宋体" w:cs="仿宋"/>
          <w:b/>
          <w:sz w:val="24"/>
        </w:rPr>
      </w:pPr>
      <w:r>
        <w:rPr>
          <w:rFonts w:hint="eastAsia" w:ascii="宋体" w:hAnsi="宋体" w:cs="仿宋"/>
          <w:b/>
          <w:sz w:val="24"/>
        </w:rPr>
        <w:t xml:space="preserve">    6、付款方式</w:t>
      </w:r>
    </w:p>
    <w:p>
      <w:pPr>
        <w:spacing w:line="360" w:lineRule="auto"/>
        <w:ind w:firstLine="480" w:firstLineChars="200"/>
        <w:jc w:val="left"/>
        <w:rPr>
          <w:rFonts w:hint="eastAsia" w:ascii="宋体" w:hAnsi="宋体"/>
          <w:sz w:val="24"/>
          <w:szCs w:val="24"/>
          <w:highlight w:val="none"/>
        </w:rPr>
      </w:pPr>
      <w:r>
        <w:rPr>
          <w:rFonts w:ascii="宋体" w:hAnsi="宋体"/>
          <w:sz w:val="24"/>
          <w:szCs w:val="24"/>
          <w:highlight w:val="none"/>
        </w:rPr>
        <w:t>本项目预付款</w:t>
      </w:r>
      <w:r>
        <w:rPr>
          <w:rFonts w:hint="eastAsia" w:ascii="宋体" w:hAnsi="宋体"/>
          <w:sz w:val="24"/>
          <w:szCs w:val="24"/>
          <w:highlight w:val="none"/>
          <w:lang w:val="en-US" w:eastAsia="zh-CN"/>
        </w:rPr>
        <w:t>为合同总价款的40%</w:t>
      </w:r>
      <w:r>
        <w:rPr>
          <w:rFonts w:ascii="宋体" w:hAnsi="宋体"/>
          <w:sz w:val="24"/>
          <w:szCs w:val="24"/>
          <w:highlight w:val="none"/>
        </w:rPr>
        <w:t>，</w:t>
      </w:r>
      <w:r>
        <w:rPr>
          <w:rFonts w:hint="eastAsia" w:ascii="宋体" w:hAnsi="宋体"/>
          <w:sz w:val="24"/>
          <w:szCs w:val="24"/>
          <w:highlight w:val="none"/>
          <w:lang w:val="en-US" w:eastAsia="zh-CN"/>
        </w:rPr>
        <w:t>剩余款项待项目</w:t>
      </w:r>
      <w:r>
        <w:rPr>
          <w:rFonts w:hint="eastAsia" w:ascii="宋体" w:hAnsi="宋体"/>
          <w:sz w:val="24"/>
          <w:szCs w:val="24"/>
          <w:highlight w:val="none"/>
        </w:rPr>
        <w:t>验收</w:t>
      </w:r>
      <w:r>
        <w:rPr>
          <w:rFonts w:hint="eastAsia" w:ascii="宋体" w:hAnsi="宋体"/>
          <w:sz w:val="24"/>
          <w:szCs w:val="24"/>
          <w:highlight w:val="none"/>
          <w:lang w:val="en-US" w:eastAsia="zh-CN"/>
        </w:rPr>
        <w:t>合格后一次性全额支付</w:t>
      </w:r>
      <w:r>
        <w:rPr>
          <w:rFonts w:ascii="宋体" w:hAnsi="宋体"/>
          <w:sz w:val="24"/>
          <w:szCs w:val="24"/>
          <w:highlight w:val="none"/>
        </w:rPr>
        <w:t>。</w:t>
      </w:r>
    </w:p>
    <w:p>
      <w:pPr>
        <w:spacing w:line="500" w:lineRule="exact"/>
        <w:ind w:firstLine="482" w:firstLineChars="200"/>
        <w:rPr>
          <w:rFonts w:hint="eastAsia" w:ascii="宋体" w:hAnsi="宋体" w:cs="仿宋"/>
          <w:b/>
          <w:sz w:val="24"/>
        </w:rPr>
      </w:pPr>
      <w:r>
        <w:rPr>
          <w:rFonts w:hint="eastAsia" w:ascii="宋体" w:hAnsi="宋体" w:cs="仿宋"/>
          <w:b/>
          <w:sz w:val="24"/>
        </w:rPr>
        <w:t>7、合同变更</w:t>
      </w:r>
      <w:r>
        <w:rPr>
          <w:rFonts w:hint="eastAsia" w:ascii="宋体" w:hAnsi="宋体" w:cs="仿宋"/>
          <w:sz w:val="24"/>
        </w:rPr>
        <w:t xml:space="preserve">                    </w:t>
      </w:r>
    </w:p>
    <w:p>
      <w:pPr>
        <w:spacing w:line="500" w:lineRule="exact"/>
        <w:ind w:firstLine="480" w:firstLineChars="200"/>
        <w:rPr>
          <w:rFonts w:hint="eastAsia" w:ascii="宋体" w:hAnsi="宋体" w:cs="仿宋"/>
          <w:sz w:val="24"/>
        </w:rPr>
      </w:pPr>
      <w:r>
        <w:rPr>
          <w:rFonts w:hint="eastAsia" w:ascii="宋体" w:hAnsi="宋体" w:cs="仿宋"/>
          <w:sz w:val="24"/>
        </w:rPr>
        <w:t>本合同在双方协商同意的情况下可以变更，具体事宜双方协商确定后签订书面变更、补充协议，本合同和变更、补充协议应当和招标文件的实质性内容保持一致。</w:t>
      </w:r>
    </w:p>
    <w:p>
      <w:pPr>
        <w:tabs>
          <w:tab w:val="center" w:pos="4707"/>
        </w:tabs>
        <w:spacing w:line="500" w:lineRule="exact"/>
        <w:rPr>
          <w:rFonts w:hint="eastAsia" w:ascii="宋体" w:hAnsi="宋体" w:eastAsia="宋体" w:cs="仿宋"/>
          <w:b/>
          <w:sz w:val="24"/>
          <w:lang w:eastAsia="zh-CN"/>
        </w:rPr>
      </w:pPr>
      <w:r>
        <w:rPr>
          <w:rFonts w:hint="eastAsia" w:ascii="宋体" w:hAnsi="宋体" w:cs="仿宋"/>
          <w:b/>
          <w:sz w:val="24"/>
        </w:rPr>
        <w:t xml:space="preserve">    8、违约责任</w:t>
      </w:r>
      <w:r>
        <w:rPr>
          <w:rFonts w:hint="eastAsia" w:ascii="宋体" w:hAnsi="宋体" w:cs="仿宋"/>
          <w:b/>
          <w:sz w:val="24"/>
          <w:lang w:eastAsia="zh-CN"/>
        </w:rPr>
        <w:tab/>
      </w:r>
    </w:p>
    <w:p>
      <w:pPr>
        <w:spacing w:line="500" w:lineRule="exact"/>
        <w:ind w:firstLine="570"/>
        <w:rPr>
          <w:rFonts w:hint="eastAsia" w:ascii="宋体" w:hAnsi="宋体" w:cs="仿宋"/>
          <w:sz w:val="24"/>
        </w:rPr>
      </w:pPr>
      <w:r>
        <w:rPr>
          <w:rFonts w:hint="eastAsia" w:ascii="宋体" w:hAnsi="宋体" w:cs="仿宋"/>
          <w:sz w:val="24"/>
        </w:rPr>
        <w:t>8.1乙方未按期交付货物的，每迟延一日减少合同总价款1‰，迟延违约金总额不超过合同总价的10%；迟延超过三十日的，甲方有权解除合同。</w:t>
      </w:r>
    </w:p>
    <w:p>
      <w:pPr>
        <w:spacing w:line="500" w:lineRule="exact"/>
        <w:ind w:firstLine="570"/>
        <w:rPr>
          <w:rFonts w:hint="eastAsia" w:ascii="宋体" w:hAnsi="宋体" w:cs="仿宋"/>
          <w:sz w:val="24"/>
        </w:rPr>
      </w:pPr>
      <w:r>
        <w:rPr>
          <w:rFonts w:hint="eastAsia" w:ascii="宋体" w:hAnsi="宋体" w:cs="仿宋"/>
          <w:sz w:val="24"/>
        </w:rPr>
        <w:t>8.2乙方所交货物的品种</w:t>
      </w:r>
      <w:r>
        <w:rPr>
          <w:rFonts w:hint="eastAsia" w:ascii="宋体" w:hAnsi="宋体" w:cs="仿宋"/>
          <w:sz w:val="24"/>
          <w:lang w:eastAsia="zh-CN"/>
        </w:rPr>
        <w:t>、</w:t>
      </w:r>
      <w:r>
        <w:rPr>
          <w:rFonts w:hint="eastAsia" w:ascii="宋体" w:hAnsi="宋体" w:cs="仿宋"/>
          <w:sz w:val="24"/>
        </w:rPr>
        <w:t>质量不符合合同规定标准的，甲方有权拒收。</w:t>
      </w:r>
    </w:p>
    <w:p>
      <w:pPr>
        <w:spacing w:line="500" w:lineRule="exact"/>
        <w:ind w:firstLine="570"/>
        <w:rPr>
          <w:rFonts w:hint="eastAsia" w:ascii="宋体" w:hAnsi="宋体" w:cs="仿宋"/>
          <w:sz w:val="24"/>
        </w:rPr>
      </w:pPr>
      <w:r>
        <w:rPr>
          <w:rFonts w:hint="eastAsia" w:ascii="宋体" w:hAnsi="宋体" w:cs="仿宋"/>
          <w:sz w:val="24"/>
        </w:rPr>
        <w:t>8.3 质保期内乙方货物出现任何质量问题，乙方不及时解决的，甲方有权拒付质保金。</w:t>
      </w:r>
    </w:p>
    <w:p>
      <w:pPr>
        <w:spacing w:line="500" w:lineRule="exact"/>
        <w:ind w:firstLine="570"/>
        <w:rPr>
          <w:rFonts w:hint="eastAsia" w:ascii="宋体" w:hAnsi="宋体" w:cs="仿宋"/>
          <w:sz w:val="24"/>
        </w:rPr>
      </w:pPr>
      <w:r>
        <w:rPr>
          <w:rFonts w:hint="eastAsia" w:ascii="宋体" w:hAnsi="宋体" w:cs="仿宋"/>
          <w:sz w:val="24"/>
        </w:rPr>
        <w:t>8.4 甲方未按合同约定付余款，逾期按未付部分应按日向乙方支付0.5</w:t>
      </w:r>
      <w:r>
        <w:rPr>
          <w:rFonts w:ascii="宋体" w:hAnsi="宋体" w:cs="Arial"/>
          <w:sz w:val="24"/>
        </w:rPr>
        <w:t>‰</w:t>
      </w:r>
      <w:r>
        <w:rPr>
          <w:rFonts w:hint="eastAsia" w:ascii="宋体" w:hAnsi="宋体" w:cs="仿宋"/>
          <w:sz w:val="24"/>
        </w:rPr>
        <w:t>的违约金。</w:t>
      </w:r>
    </w:p>
    <w:p>
      <w:pPr>
        <w:spacing w:line="500" w:lineRule="exact"/>
        <w:rPr>
          <w:rFonts w:hint="eastAsia" w:ascii="宋体" w:hAnsi="宋体" w:cs="仿宋"/>
          <w:b/>
          <w:sz w:val="24"/>
        </w:rPr>
      </w:pPr>
      <w:r>
        <w:rPr>
          <w:rFonts w:hint="eastAsia" w:ascii="宋体" w:hAnsi="宋体" w:cs="仿宋"/>
          <w:b/>
          <w:sz w:val="24"/>
        </w:rPr>
        <w:t xml:space="preserve">    9、质量保证</w:t>
      </w:r>
    </w:p>
    <w:p>
      <w:pPr>
        <w:spacing w:line="500" w:lineRule="exact"/>
        <w:ind w:firstLine="480" w:firstLineChars="200"/>
        <w:rPr>
          <w:rFonts w:hint="eastAsia" w:ascii="宋体" w:hAnsi="宋体" w:cs="仿宋"/>
          <w:sz w:val="24"/>
        </w:rPr>
      </w:pPr>
      <w:r>
        <w:rPr>
          <w:rFonts w:hint="eastAsia" w:ascii="宋体" w:hAnsi="宋体" w:cs="仿宋"/>
          <w:sz w:val="24"/>
        </w:rPr>
        <w:t>9.1乙方保证按合同规定的品种、数量、参数提供货物；</w:t>
      </w:r>
    </w:p>
    <w:p>
      <w:pPr>
        <w:spacing w:line="500" w:lineRule="exact"/>
        <w:rPr>
          <w:rFonts w:hint="eastAsia" w:ascii="宋体" w:hAnsi="宋体" w:cs="仿宋"/>
          <w:sz w:val="24"/>
        </w:rPr>
      </w:pPr>
      <w:r>
        <w:rPr>
          <w:rFonts w:hint="eastAsia" w:ascii="宋体" w:hAnsi="宋体" w:cs="仿宋"/>
          <w:sz w:val="24"/>
        </w:rPr>
        <w:t xml:space="preserve">    9.2本合同规定货物质量标准以及售后服务均按原厂标准执行。质保期内，乙方承担免费更换义务，但因甲方人为因素损坏除外 ；质保期内经确定，因质量问题给甲方造成的损失，由乙方承担。 质保期后，乙方提供售后服务，费用由甲方支付。</w:t>
      </w:r>
    </w:p>
    <w:p>
      <w:pPr>
        <w:spacing w:line="500" w:lineRule="exact"/>
        <w:rPr>
          <w:rFonts w:hint="eastAsia" w:ascii="宋体" w:hAnsi="宋体" w:cs="仿宋"/>
          <w:b/>
          <w:sz w:val="24"/>
        </w:rPr>
      </w:pPr>
      <w:r>
        <w:rPr>
          <w:rFonts w:hint="eastAsia" w:ascii="宋体" w:hAnsi="宋体" w:cs="仿宋"/>
          <w:b/>
          <w:sz w:val="24"/>
        </w:rPr>
        <w:t xml:space="preserve">    10、不可抗力、意外变故</w:t>
      </w:r>
    </w:p>
    <w:p>
      <w:pPr>
        <w:spacing w:line="500" w:lineRule="exact"/>
        <w:ind w:firstLine="480" w:firstLineChars="200"/>
        <w:rPr>
          <w:rFonts w:hint="eastAsia" w:ascii="宋体" w:hAnsi="宋体" w:cs="仿宋"/>
          <w:sz w:val="24"/>
        </w:rPr>
      </w:pPr>
      <w:r>
        <w:rPr>
          <w:rFonts w:hint="eastAsia" w:ascii="宋体" w:hAnsi="宋体" w:cs="仿宋"/>
          <w:sz w:val="24"/>
        </w:rPr>
        <w:t>如果合同双方因不可抗力意外而被阻不能履行其职责，合同期的时间按照不可抗力变故的时间而顺延，或根据实际情况双方友好协商解决。</w:t>
      </w:r>
    </w:p>
    <w:p>
      <w:pPr>
        <w:spacing w:line="500" w:lineRule="exact"/>
        <w:rPr>
          <w:rFonts w:hint="eastAsia" w:ascii="宋体" w:hAnsi="宋体" w:cs="仿宋"/>
          <w:b/>
          <w:bCs/>
          <w:sz w:val="24"/>
        </w:rPr>
      </w:pPr>
      <w:r>
        <w:rPr>
          <w:rFonts w:hint="eastAsia" w:ascii="宋体" w:hAnsi="宋体" w:cs="仿宋"/>
          <w:b/>
          <w:bCs/>
          <w:sz w:val="24"/>
        </w:rPr>
        <w:t xml:space="preserve">    11、解决合同纠纷方式</w:t>
      </w:r>
    </w:p>
    <w:p>
      <w:pPr>
        <w:spacing w:line="500" w:lineRule="exact"/>
        <w:rPr>
          <w:rFonts w:hint="eastAsia" w:ascii="宋体" w:hAnsi="宋体" w:cs="仿宋"/>
          <w:sz w:val="24"/>
        </w:rPr>
      </w:pPr>
      <w:r>
        <w:rPr>
          <w:rFonts w:hint="eastAsia" w:ascii="宋体" w:hAnsi="宋体" w:cs="仿宋"/>
          <w:sz w:val="24"/>
        </w:rPr>
        <w:t xml:space="preserve">    如甲乙双方在合同履行过程中发生争议，应协商解决，协商不成，可向延安仲裁委员会申请仲裁。</w:t>
      </w:r>
    </w:p>
    <w:p>
      <w:pPr>
        <w:spacing w:line="500" w:lineRule="exact"/>
        <w:rPr>
          <w:rFonts w:hint="eastAsia" w:ascii="宋体" w:hAnsi="宋体" w:cs="仿宋"/>
          <w:sz w:val="24"/>
        </w:rPr>
      </w:pPr>
      <w:r>
        <w:rPr>
          <w:rFonts w:hint="eastAsia" w:ascii="宋体" w:hAnsi="宋体" w:cs="仿宋"/>
          <w:b/>
          <w:bCs/>
          <w:sz w:val="24"/>
        </w:rPr>
        <w:t xml:space="preserve">    12、</w:t>
      </w:r>
      <w:r>
        <w:rPr>
          <w:rFonts w:hint="eastAsia" w:ascii="宋体" w:hAnsi="宋体" w:cs="仿宋"/>
          <w:sz w:val="24"/>
        </w:rPr>
        <w:t>未尽事宜，双方协商，达成补充协议，补充协议与本合同具有同等法律效力。</w:t>
      </w:r>
    </w:p>
    <w:p>
      <w:pPr>
        <w:spacing w:line="500" w:lineRule="exact"/>
        <w:ind w:firstLine="480"/>
        <w:rPr>
          <w:rFonts w:hint="eastAsia" w:ascii="宋体" w:hAnsi="宋体" w:cs="仿宋"/>
          <w:sz w:val="24"/>
        </w:rPr>
      </w:pPr>
      <w:r>
        <w:rPr>
          <w:rFonts w:hint="eastAsia" w:ascii="宋体" w:hAnsi="宋体" w:cs="仿宋"/>
          <w:b/>
          <w:bCs/>
          <w:sz w:val="24"/>
        </w:rPr>
        <w:t>13</w:t>
      </w:r>
      <w:r>
        <w:rPr>
          <w:rFonts w:hint="eastAsia" w:ascii="宋体" w:hAnsi="宋体" w:cs="仿宋"/>
          <w:sz w:val="24"/>
        </w:rPr>
        <w:t>、本合同一式</w:t>
      </w:r>
      <w:r>
        <w:rPr>
          <w:rFonts w:hint="eastAsia" w:ascii="宋体" w:hAnsi="宋体" w:cs="仿宋"/>
          <w:sz w:val="24"/>
          <w:u w:val="single"/>
        </w:rPr>
        <w:t xml:space="preserve">    </w:t>
      </w:r>
      <w:r>
        <w:rPr>
          <w:rFonts w:hint="eastAsia" w:ascii="宋体" w:hAnsi="宋体" w:cs="仿宋"/>
          <w:sz w:val="24"/>
        </w:rPr>
        <w:t>份，甲方</w:t>
      </w:r>
      <w:r>
        <w:rPr>
          <w:rFonts w:hint="eastAsia" w:ascii="宋体" w:hAnsi="宋体" w:cs="仿宋"/>
          <w:sz w:val="24"/>
          <w:u w:val="single"/>
        </w:rPr>
        <w:t xml:space="preserve">    </w:t>
      </w:r>
      <w:r>
        <w:rPr>
          <w:rFonts w:hint="eastAsia" w:ascii="宋体" w:hAnsi="宋体" w:cs="仿宋"/>
          <w:sz w:val="24"/>
        </w:rPr>
        <w:t>份，乙方</w:t>
      </w:r>
      <w:r>
        <w:rPr>
          <w:rFonts w:hint="eastAsia" w:ascii="宋体" w:hAnsi="宋体" w:cs="仿宋"/>
          <w:sz w:val="24"/>
          <w:u w:val="single"/>
        </w:rPr>
        <w:t xml:space="preserve">    </w:t>
      </w:r>
      <w:r>
        <w:rPr>
          <w:rFonts w:hint="eastAsia" w:ascii="宋体" w:hAnsi="宋体" w:cs="仿宋"/>
          <w:sz w:val="24"/>
        </w:rPr>
        <w:t>份。</w:t>
      </w:r>
    </w:p>
    <w:p>
      <w:pPr>
        <w:spacing w:line="360" w:lineRule="auto"/>
        <w:ind w:left="4665" w:leftChars="50" w:hanging="4560" w:hangingChars="1900"/>
        <w:rPr>
          <w:rFonts w:hint="eastAsia" w:ascii="宋体" w:hAnsi="宋体" w:cs="仿宋"/>
          <w:sz w:val="24"/>
        </w:rPr>
      </w:pPr>
    </w:p>
    <w:p>
      <w:pPr>
        <w:spacing w:line="500" w:lineRule="exact"/>
        <w:ind w:firstLine="480" w:firstLineChars="200"/>
        <w:rPr>
          <w:rFonts w:hint="eastAsia" w:ascii="宋体" w:hAnsi="宋体"/>
          <w:sz w:val="24"/>
          <w:szCs w:val="22"/>
        </w:rPr>
      </w:pPr>
      <w:r>
        <w:rPr>
          <w:rFonts w:hint="eastAsia" w:ascii="宋体" w:hAnsi="宋体"/>
          <w:sz w:val="24"/>
          <w:szCs w:val="22"/>
        </w:rPr>
        <w:t xml:space="preserve">甲方：                           乙方：  </w:t>
      </w:r>
    </w:p>
    <w:p>
      <w:pPr>
        <w:spacing w:line="500" w:lineRule="exact"/>
        <w:ind w:firstLine="480" w:firstLineChars="200"/>
        <w:rPr>
          <w:rFonts w:hint="eastAsia" w:ascii="宋体" w:hAnsi="宋体"/>
          <w:sz w:val="24"/>
          <w:szCs w:val="22"/>
        </w:rPr>
      </w:pPr>
      <w:r>
        <w:rPr>
          <w:rFonts w:hint="eastAsia" w:ascii="宋体" w:hAnsi="宋体"/>
          <w:sz w:val="24"/>
          <w:szCs w:val="22"/>
        </w:rPr>
        <w:t xml:space="preserve">法定代表人：                     法定代表人： </w:t>
      </w:r>
    </w:p>
    <w:p>
      <w:pPr>
        <w:spacing w:line="500" w:lineRule="exact"/>
        <w:ind w:firstLine="480" w:firstLineChars="200"/>
        <w:rPr>
          <w:rFonts w:hint="eastAsia" w:ascii="宋体" w:hAnsi="宋体"/>
          <w:sz w:val="24"/>
          <w:szCs w:val="22"/>
        </w:rPr>
      </w:pPr>
      <w:r>
        <w:rPr>
          <w:rFonts w:hint="eastAsia" w:ascii="宋体" w:hAnsi="宋体"/>
          <w:sz w:val="24"/>
          <w:szCs w:val="22"/>
        </w:rPr>
        <w:t xml:space="preserve">或授权代表：                     或授权代表： </w:t>
      </w:r>
    </w:p>
    <w:p>
      <w:pPr>
        <w:spacing w:line="500" w:lineRule="exact"/>
        <w:ind w:firstLine="480" w:firstLineChars="200"/>
        <w:rPr>
          <w:rFonts w:hint="eastAsia" w:ascii="宋体" w:hAnsi="宋体"/>
          <w:sz w:val="24"/>
          <w:szCs w:val="22"/>
        </w:rPr>
      </w:pPr>
      <w:r>
        <w:rPr>
          <w:rFonts w:hint="eastAsia" w:ascii="宋体" w:hAnsi="宋体"/>
          <w:sz w:val="24"/>
          <w:szCs w:val="22"/>
        </w:rPr>
        <w:t xml:space="preserve">地址：                           地址：  </w:t>
      </w:r>
    </w:p>
    <w:p>
      <w:pPr>
        <w:spacing w:line="500" w:lineRule="exact"/>
        <w:ind w:firstLine="480" w:firstLineChars="200"/>
        <w:rPr>
          <w:rFonts w:hint="eastAsia" w:ascii="宋体" w:hAnsi="宋体"/>
          <w:sz w:val="24"/>
          <w:szCs w:val="22"/>
        </w:rPr>
      </w:pPr>
      <w:r>
        <w:rPr>
          <w:rFonts w:hint="eastAsia" w:ascii="宋体" w:hAnsi="宋体"/>
          <w:sz w:val="24"/>
          <w:szCs w:val="22"/>
        </w:rPr>
        <w:t xml:space="preserve">电话：                           电话： </w:t>
      </w:r>
    </w:p>
    <w:p>
      <w:pPr>
        <w:spacing w:line="500" w:lineRule="exact"/>
        <w:ind w:firstLine="480" w:firstLineChars="200"/>
        <w:rPr>
          <w:rFonts w:hint="eastAsia" w:ascii="宋体" w:hAnsi="宋体"/>
          <w:sz w:val="24"/>
          <w:szCs w:val="22"/>
        </w:rPr>
      </w:pPr>
      <w:r>
        <w:rPr>
          <w:rFonts w:hint="eastAsia" w:ascii="宋体" w:hAnsi="宋体"/>
          <w:sz w:val="24"/>
          <w:szCs w:val="22"/>
        </w:rPr>
        <w:t xml:space="preserve">传真：                           传真：  </w:t>
      </w:r>
    </w:p>
    <w:p>
      <w:pPr>
        <w:spacing w:line="720" w:lineRule="auto"/>
        <w:ind w:firstLine="480" w:firstLineChars="200"/>
        <w:rPr>
          <w:rFonts w:hint="eastAsia" w:ascii="宋体" w:hAnsi="宋体" w:cs="仿宋"/>
          <w:sz w:val="24"/>
        </w:rPr>
      </w:pPr>
      <w:r>
        <w:rPr>
          <w:rFonts w:hint="eastAsia" w:ascii="宋体" w:hAnsi="宋体" w:cs="仿宋"/>
          <w:sz w:val="24"/>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pStyle w:val="30"/>
        <w:rPr>
          <w:rFonts w:hint="eastAsia" w:ascii="宋体" w:hAnsi="宋体" w:cs="仿宋"/>
          <w:sz w:val="24"/>
        </w:rPr>
      </w:pPr>
    </w:p>
    <w:p>
      <w:pPr>
        <w:pStyle w:val="5"/>
        <w:rPr>
          <w:rFonts w:hint="eastAsia" w:ascii="宋体" w:hAnsi="宋体" w:cs="仿宋"/>
          <w:sz w:val="24"/>
        </w:rPr>
      </w:pPr>
    </w:p>
    <w:p>
      <w:pPr>
        <w:pageBreakBefore w:val="0"/>
        <w:bidi w:val="0"/>
        <w:spacing w:line="274" w:lineRule="exact"/>
        <w:ind w:left="60"/>
        <w:outlineLvl w:val="9"/>
        <w:rPr>
          <w:rFonts w:ascii="仿宋" w:hAnsi="仿宋" w:eastAsia="仿宋" w:cs="仿宋"/>
          <w:b/>
          <w:bCs/>
          <w:sz w:val="24"/>
          <w:szCs w:val="24"/>
        </w:rPr>
      </w:pPr>
    </w:p>
    <w:p>
      <w:pPr>
        <w:pageBreakBefore w:val="0"/>
        <w:bidi w:val="0"/>
        <w:spacing w:line="274" w:lineRule="exact"/>
        <w:ind w:left="60"/>
        <w:outlineLvl w:val="9"/>
        <w:rPr>
          <w:rFonts w:hint="eastAsia" w:ascii="宋体" w:hAnsi="宋体" w:eastAsia="宋体" w:cs="宋体"/>
          <w:sz w:val="20"/>
          <w:szCs w:val="20"/>
        </w:rPr>
      </w:pPr>
      <w:r>
        <w:rPr>
          <w:rFonts w:hint="eastAsia" w:ascii="宋体" w:hAnsi="宋体" w:eastAsia="宋体" w:cs="宋体"/>
          <w:b/>
          <w:bCs/>
          <w:sz w:val="24"/>
          <w:szCs w:val="24"/>
        </w:rPr>
        <w:t>备注：本合同条款仅供参考，具体事宜</w:t>
      </w:r>
      <w:r>
        <w:rPr>
          <w:rFonts w:hint="eastAsia" w:ascii="宋体" w:hAnsi="宋体" w:eastAsia="宋体" w:cs="宋体"/>
          <w:b/>
          <w:bCs/>
          <w:sz w:val="24"/>
          <w:szCs w:val="24"/>
          <w:lang w:val="en-US" w:eastAsia="zh-CN"/>
        </w:rPr>
        <w:t>中标</w:t>
      </w:r>
      <w:r>
        <w:rPr>
          <w:rFonts w:hint="eastAsia" w:ascii="宋体" w:hAnsi="宋体" w:eastAsia="宋体" w:cs="宋体"/>
          <w:b/>
          <w:bCs/>
          <w:sz w:val="24"/>
          <w:szCs w:val="24"/>
        </w:rPr>
        <w:t>后双方友好协商确定。</w:t>
      </w:r>
    </w:p>
    <w:p>
      <w:pPr>
        <w:pageBreakBefore w:val="0"/>
        <w:bidi w:val="0"/>
        <w:outlineLvl w:val="9"/>
        <w:rPr>
          <w:rFonts w:hint="eastAsia" w:ascii="宋体" w:hAnsi="宋体" w:eastAsia="宋体" w:cs="宋体"/>
        </w:rPr>
        <w:sectPr>
          <w:pgSz w:w="11900" w:h="16838"/>
          <w:pgMar w:top="1440" w:right="1046" w:bottom="1134" w:left="1440" w:header="0" w:footer="0" w:gutter="0"/>
          <w:pgBorders>
            <w:top w:val="none" w:sz="0" w:space="0"/>
            <w:left w:val="none" w:sz="0" w:space="0"/>
            <w:bottom w:val="none" w:sz="0" w:space="0"/>
            <w:right w:val="none" w:sz="0" w:space="0"/>
          </w:pgBorders>
          <w:cols w:equalWidth="0" w:num="1">
            <w:col w:w="9420"/>
          </w:cols>
          <w:rtlGutter w:val="0"/>
          <w:docGrid w:linePitch="0" w:charSpace="0"/>
        </w:sectPr>
      </w:pPr>
    </w:p>
    <w:p>
      <w:pPr>
        <w:pageBreakBefore w:val="0"/>
        <w:bidi w:val="0"/>
        <w:spacing w:line="274" w:lineRule="exact"/>
        <w:ind w:left="60"/>
        <w:outlineLvl w:val="9"/>
        <w:rPr>
          <w:rFonts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Theme="minorEastAsia" w:hAnsiTheme="minorEastAsia" w:eastAsiaTheme="minorEastAsia" w:cstheme="minorEastAsia"/>
          <w:b/>
          <w:bCs/>
          <w:sz w:val="28"/>
          <w:szCs w:val="32"/>
        </w:rPr>
      </w:pPr>
      <w:bookmarkStart w:id="10" w:name="_Toc13042"/>
      <w:r>
        <w:rPr>
          <w:rFonts w:hint="eastAsia" w:asciiTheme="minorEastAsia" w:hAnsiTheme="minorEastAsia" w:eastAsiaTheme="minorEastAsia" w:cstheme="minorEastAsia"/>
          <w:b/>
          <w:bCs/>
          <w:sz w:val="28"/>
          <w:szCs w:val="32"/>
        </w:rPr>
        <w:t>第</w:t>
      </w:r>
      <w:r>
        <w:rPr>
          <w:rFonts w:hint="eastAsia" w:asciiTheme="minorEastAsia" w:hAnsiTheme="minorEastAsia" w:eastAsiaTheme="minorEastAsia" w:cstheme="minorEastAsia"/>
          <w:b/>
          <w:bCs/>
          <w:sz w:val="28"/>
          <w:szCs w:val="32"/>
          <w:lang w:val="en-US" w:eastAsia="zh-CN"/>
        </w:rPr>
        <w:t>五</w:t>
      </w:r>
      <w:r>
        <w:rPr>
          <w:rFonts w:hint="eastAsia" w:asciiTheme="minorEastAsia" w:hAnsiTheme="minorEastAsia" w:eastAsiaTheme="minorEastAsia" w:cstheme="minorEastAsia"/>
          <w:b/>
          <w:bCs/>
          <w:sz w:val="28"/>
          <w:szCs w:val="32"/>
        </w:rPr>
        <w:t>部分  投标文件格式</w:t>
      </w:r>
      <w:bookmarkEnd w:id="10"/>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1、提供的投标文件格式，起到样式作用，编制投标文件前，请详细阅读招标文件，理解文件中的每一项要求。</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2、投标文件的编制应按照样本格式提供的内容，做出逐一明确的答复；供应商认为有必要，还可以做其它补充说明。</w:t>
      </w:r>
    </w:p>
    <w:p>
      <w:pPr>
        <w:pageBreakBefore w:val="0"/>
        <w:bidi w:val="0"/>
        <w:spacing w:line="460" w:lineRule="exact"/>
        <w:ind w:firstLine="480" w:firstLineChars="20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3、全部编制完成，并加盖印章后，按规定分别装订成册。</w:t>
      </w:r>
    </w:p>
    <w:p>
      <w:pPr>
        <w:pageBreakBefore w:val="0"/>
        <w:widowControl/>
        <w:bidi w:val="0"/>
        <w:spacing w:line="460" w:lineRule="exact"/>
        <w:jc w:val="left"/>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b/>
          <w:bCs/>
          <w:sz w:val="28"/>
          <w:szCs w:val="28"/>
        </w:rPr>
        <w:t>项目编号:HDCGDL-ZC2023-047</w:t>
      </w:r>
    </w:p>
    <w:p>
      <w:pPr>
        <w:pageBreakBefore w:val="0"/>
        <w:bidi w:val="0"/>
        <w:spacing w:line="360" w:lineRule="atLeast"/>
        <w:outlineLvl w:val="9"/>
        <w:rPr>
          <w:rFonts w:hint="default" w:ascii="宋体" w:hAnsi="宋体" w:eastAsia="宋体" w:cs="宋体"/>
          <w:b/>
          <w:bCs/>
          <w:sz w:val="28"/>
          <w:szCs w:val="28"/>
          <w:lang w:val="en-US" w:eastAsia="zh-CN"/>
        </w:rPr>
      </w:pPr>
    </w:p>
    <w:p>
      <w:pPr>
        <w:pageBreakBefore w:val="0"/>
        <w:bidi w:val="0"/>
        <w:spacing w:line="360" w:lineRule="atLeast"/>
        <w:ind w:firstLine="6746" w:firstLineChars="2400"/>
        <w:outlineLvl w:val="9"/>
        <w:rPr>
          <w:rFonts w:cs="仿宋" w:asciiTheme="minorEastAsia" w:hAnsiTheme="minorEastAsia"/>
          <w:szCs w:val="21"/>
        </w:rPr>
      </w:pPr>
      <w:r>
        <w:rPr>
          <w:rFonts w:hint="eastAsia" w:cs="仿宋" w:asciiTheme="minorEastAsia" w:hAnsiTheme="minorEastAsia"/>
          <w:b/>
          <w:sz w:val="28"/>
          <w:szCs w:val="28"/>
        </w:rPr>
        <w:t>（正本或副本）</w:t>
      </w:r>
    </w:p>
    <w:p>
      <w:pPr>
        <w:pageBreakBefore w:val="0"/>
        <w:bidi w:val="0"/>
        <w:jc w:val="center"/>
        <w:outlineLvl w:val="9"/>
        <w:rPr>
          <w:rFonts w:cs="仿宋" w:asciiTheme="minorEastAsia" w:hAnsiTheme="minorEastAsia"/>
          <w:sz w:val="52"/>
          <w:szCs w:val="52"/>
        </w:rPr>
      </w:pPr>
    </w:p>
    <w:p>
      <w:pPr>
        <w:pStyle w:val="22"/>
        <w:pageBreakBefore w:val="0"/>
        <w:bidi w:val="0"/>
        <w:ind w:firstLine="0"/>
        <w:jc w:val="center"/>
        <w:outlineLvl w:val="9"/>
        <w:rPr>
          <w:rFonts w:cs="仿宋" w:asciiTheme="minorEastAsia" w:hAnsiTheme="minorEastAsia"/>
          <w:sz w:val="52"/>
          <w:szCs w:val="52"/>
        </w:rPr>
      </w:pPr>
      <w:r>
        <w:rPr>
          <w:rFonts w:hint="eastAsia" w:ascii="宋体" w:hAnsi="宋体" w:eastAsia="宋体" w:cs="宋体"/>
          <w:b/>
          <w:bCs/>
          <w:color w:val="auto"/>
          <w:sz w:val="36"/>
          <w:szCs w:val="36"/>
          <w:lang w:eastAsia="zh-CN"/>
        </w:rPr>
        <w:t>初中理化生实验室操作考试标准化考场建设项目</w:t>
      </w:r>
    </w:p>
    <w:p>
      <w:pPr>
        <w:pageBreakBefore w:val="0"/>
        <w:bidi w:val="0"/>
        <w:spacing w:line="880" w:lineRule="exact"/>
        <w:jc w:val="center"/>
        <w:outlineLvl w:val="9"/>
        <w:rPr>
          <w:rFonts w:hint="eastAsia" w:ascii="宋体" w:hAnsi="宋体" w:cs="宋体"/>
          <w:b/>
          <w:spacing w:val="4"/>
          <w:sz w:val="72"/>
          <w:szCs w:val="72"/>
        </w:rPr>
      </w:pPr>
    </w:p>
    <w:p>
      <w:pPr>
        <w:pageBreakBefore w:val="0"/>
        <w:bidi w:val="0"/>
        <w:spacing w:line="880" w:lineRule="exact"/>
        <w:jc w:val="center"/>
        <w:outlineLvl w:val="9"/>
        <w:rPr>
          <w:rFonts w:ascii="宋体" w:hAnsi="宋体" w:cs="宋体"/>
          <w:b/>
          <w:spacing w:val="4"/>
          <w:sz w:val="72"/>
          <w:szCs w:val="72"/>
        </w:rPr>
      </w:pPr>
      <w:r>
        <w:rPr>
          <w:rFonts w:hint="eastAsia" w:ascii="宋体" w:hAnsi="宋体" w:cs="宋体"/>
          <w:b/>
          <w:spacing w:val="4"/>
          <w:sz w:val="72"/>
          <w:szCs w:val="72"/>
        </w:rPr>
        <w:t>投 标 文 件</w:t>
      </w:r>
    </w:p>
    <w:p>
      <w:pPr>
        <w:pageBreakBefore w:val="0"/>
        <w:bidi w:val="0"/>
        <w:spacing w:line="240" w:lineRule="auto"/>
        <w:ind w:firstLine="2811" w:firstLineChars="1000"/>
        <w:outlineLvl w:val="9"/>
        <w:rPr>
          <w:rFonts w:ascii="宋体" w:hAnsi="宋体" w:eastAsia="宋体" w:cs="宋体"/>
          <w:b/>
          <w:bCs/>
          <w:sz w:val="28"/>
          <w:szCs w:val="28"/>
        </w:rPr>
      </w:pPr>
    </w:p>
    <w:p>
      <w:pPr>
        <w:pageBreakBefore w:val="0"/>
        <w:bidi w:val="0"/>
        <w:spacing w:line="540" w:lineRule="exact"/>
        <w:outlineLvl w:val="9"/>
        <w:rPr>
          <w:rFonts w:ascii="宋体" w:hAnsi="宋体" w:cs="宋体"/>
          <w:b/>
          <w:bCs/>
          <w:spacing w:val="20"/>
          <w:sz w:val="32"/>
          <w:szCs w:val="32"/>
        </w:rPr>
      </w:pPr>
    </w:p>
    <w:p>
      <w:pPr>
        <w:pStyle w:val="22"/>
        <w:pageBreakBefore w:val="0"/>
        <w:bidi w:val="0"/>
        <w:outlineLvl w:val="9"/>
      </w:pPr>
    </w:p>
    <w:p>
      <w:pPr>
        <w:pStyle w:val="22"/>
        <w:pageBreakBefore w:val="0"/>
        <w:bidi w:val="0"/>
        <w:outlineLvl w:val="9"/>
      </w:pPr>
    </w:p>
    <w:p>
      <w:pPr>
        <w:pStyle w:val="23"/>
        <w:pageBreakBefore w:val="0"/>
        <w:bidi w:val="0"/>
        <w:outlineLvl w:val="9"/>
      </w:pPr>
    </w:p>
    <w:p>
      <w:pPr>
        <w:pageBreakBefore w:val="0"/>
        <w:bidi w:val="0"/>
        <w:outlineLvl w:val="9"/>
      </w:pPr>
    </w:p>
    <w:p>
      <w:pPr>
        <w:pStyle w:val="10"/>
        <w:pageBreakBefore w:val="0"/>
        <w:bidi w:val="0"/>
        <w:outlineLvl w:val="9"/>
      </w:pPr>
    </w:p>
    <w:p>
      <w:pPr>
        <w:pStyle w:val="22"/>
        <w:pageBreakBefore w:val="0"/>
        <w:bidi w:val="0"/>
        <w:ind w:firstLine="0"/>
        <w:outlineLvl w:val="9"/>
      </w:pPr>
    </w:p>
    <w:p>
      <w:pPr>
        <w:pageBreakBefore w:val="0"/>
        <w:bidi w:val="0"/>
        <w:spacing w:line="540" w:lineRule="exact"/>
        <w:ind w:firstLine="167" w:firstLineChars="49"/>
        <w:outlineLvl w:val="9"/>
        <w:rPr>
          <w:rFonts w:ascii="宋体" w:hAnsi="宋体" w:cs="宋体"/>
          <w:b/>
          <w:bCs/>
          <w:spacing w:val="20"/>
          <w:sz w:val="30"/>
          <w:szCs w:val="30"/>
        </w:rPr>
      </w:pPr>
      <w:r>
        <w:rPr>
          <w:rFonts w:hint="eastAsia" w:ascii="宋体" w:hAnsi="宋体" w:cs="宋体"/>
          <w:b/>
          <w:bCs/>
          <w:spacing w:val="20"/>
          <w:sz w:val="30"/>
          <w:szCs w:val="30"/>
        </w:rPr>
        <w:t>投   标  人：</w:t>
      </w:r>
      <w:r>
        <w:rPr>
          <w:rFonts w:hint="eastAsia" w:ascii="宋体" w:hAnsi="宋体" w:cs="宋体"/>
          <w:b/>
          <w:bCs/>
          <w:spacing w:val="20"/>
          <w:sz w:val="30"/>
          <w:szCs w:val="30"/>
          <w:u w:val="single"/>
        </w:rPr>
        <w:t xml:space="preserve">                     </w:t>
      </w:r>
      <w:r>
        <w:rPr>
          <w:rFonts w:hint="eastAsia" w:ascii="宋体" w:hAnsi="宋体" w:cs="宋体"/>
          <w:b/>
          <w:bCs/>
          <w:spacing w:val="20"/>
          <w:sz w:val="30"/>
          <w:szCs w:val="30"/>
        </w:rPr>
        <w:t>（盖单位公章）</w:t>
      </w:r>
    </w:p>
    <w:p>
      <w:pPr>
        <w:pageBreakBefore w:val="0"/>
        <w:bidi w:val="0"/>
        <w:spacing w:line="540" w:lineRule="exact"/>
        <w:ind w:firstLine="167" w:firstLineChars="49"/>
        <w:outlineLvl w:val="9"/>
        <w:rPr>
          <w:rFonts w:ascii="宋体" w:hAnsi="宋体" w:cs="宋体"/>
          <w:b/>
          <w:bCs/>
          <w:spacing w:val="20"/>
          <w:sz w:val="30"/>
          <w:szCs w:val="30"/>
        </w:rPr>
      </w:pPr>
      <w:r>
        <w:rPr>
          <w:rFonts w:hint="eastAsia" w:ascii="宋体" w:hAnsi="宋体" w:cs="宋体"/>
          <w:b/>
          <w:bCs/>
          <w:spacing w:val="20"/>
          <w:sz w:val="30"/>
          <w:szCs w:val="30"/>
        </w:rPr>
        <w:t>法定代表人或</w:t>
      </w:r>
    </w:p>
    <w:p>
      <w:pPr>
        <w:pageBreakBefore w:val="0"/>
        <w:bidi w:val="0"/>
        <w:spacing w:line="540" w:lineRule="exact"/>
        <w:ind w:firstLine="167" w:firstLineChars="49"/>
        <w:outlineLvl w:val="9"/>
        <w:rPr>
          <w:rFonts w:ascii="宋体" w:hAnsi="宋体" w:cs="宋体"/>
          <w:b/>
          <w:bCs/>
          <w:spacing w:val="20"/>
          <w:sz w:val="30"/>
          <w:szCs w:val="30"/>
        </w:rPr>
      </w:pPr>
      <w:r>
        <w:rPr>
          <w:rFonts w:hint="eastAsia" w:ascii="宋体" w:hAnsi="宋体" w:cs="宋体"/>
          <w:b/>
          <w:bCs/>
          <w:spacing w:val="20"/>
          <w:sz w:val="30"/>
          <w:szCs w:val="30"/>
        </w:rPr>
        <w:t>其委托代理人：</w:t>
      </w:r>
      <w:r>
        <w:rPr>
          <w:rFonts w:hint="eastAsia" w:ascii="宋体" w:hAnsi="宋体" w:cs="宋体"/>
          <w:b/>
          <w:bCs/>
          <w:spacing w:val="20"/>
          <w:sz w:val="30"/>
          <w:szCs w:val="30"/>
          <w:u w:val="single"/>
        </w:rPr>
        <w:t xml:space="preserve">                    </w:t>
      </w:r>
      <w:r>
        <w:rPr>
          <w:rFonts w:hint="eastAsia" w:ascii="宋体" w:hAnsi="宋体" w:cs="宋体"/>
          <w:b/>
          <w:bCs/>
          <w:spacing w:val="20"/>
          <w:sz w:val="30"/>
          <w:szCs w:val="30"/>
        </w:rPr>
        <w:t xml:space="preserve"> （签字或盖章）</w:t>
      </w:r>
    </w:p>
    <w:p>
      <w:pPr>
        <w:pageBreakBefore w:val="0"/>
        <w:bidi w:val="0"/>
        <w:spacing w:line="540" w:lineRule="exact"/>
        <w:ind w:firstLine="167" w:firstLineChars="49"/>
        <w:outlineLvl w:val="9"/>
        <w:rPr>
          <w:rFonts w:cs="仿宋" w:asciiTheme="minorEastAsia" w:hAnsiTheme="minorEastAsia"/>
          <w:b/>
          <w:sz w:val="44"/>
          <w:szCs w:val="44"/>
        </w:rPr>
      </w:pPr>
      <w:r>
        <w:rPr>
          <w:rFonts w:hint="eastAsia" w:ascii="宋体" w:hAnsi="宋体" w:cs="宋体"/>
          <w:b/>
          <w:bCs/>
          <w:spacing w:val="20"/>
          <w:sz w:val="30"/>
          <w:szCs w:val="30"/>
        </w:rPr>
        <w:t>日       期：</w:t>
      </w:r>
      <w:r>
        <w:rPr>
          <w:rFonts w:hint="eastAsia" w:ascii="宋体" w:hAnsi="宋体" w:cs="宋体"/>
          <w:b/>
          <w:bCs/>
          <w:spacing w:val="20"/>
          <w:sz w:val="30"/>
          <w:szCs w:val="30"/>
          <w:u w:val="single"/>
        </w:rPr>
        <w:t xml:space="preserve">      </w:t>
      </w:r>
      <w:r>
        <w:rPr>
          <w:rFonts w:hint="eastAsia" w:ascii="宋体" w:hAnsi="宋体" w:cs="宋体"/>
          <w:b/>
          <w:bCs/>
          <w:spacing w:val="20"/>
          <w:sz w:val="30"/>
          <w:szCs w:val="30"/>
        </w:rPr>
        <w:t>年</w:t>
      </w:r>
      <w:r>
        <w:rPr>
          <w:rFonts w:hint="eastAsia" w:ascii="宋体" w:hAnsi="宋体" w:cs="宋体"/>
          <w:b/>
          <w:bCs/>
          <w:spacing w:val="20"/>
          <w:sz w:val="30"/>
          <w:szCs w:val="30"/>
          <w:u w:val="single"/>
        </w:rPr>
        <w:t xml:space="preserve">     </w:t>
      </w:r>
      <w:r>
        <w:rPr>
          <w:rFonts w:hint="eastAsia" w:ascii="宋体" w:hAnsi="宋体" w:cs="宋体"/>
          <w:b/>
          <w:bCs/>
          <w:spacing w:val="20"/>
          <w:sz w:val="30"/>
          <w:szCs w:val="30"/>
        </w:rPr>
        <w:t>月</w:t>
      </w:r>
      <w:r>
        <w:rPr>
          <w:rFonts w:hint="eastAsia" w:ascii="宋体" w:hAnsi="宋体" w:cs="宋体"/>
          <w:b/>
          <w:bCs/>
          <w:spacing w:val="20"/>
          <w:sz w:val="30"/>
          <w:szCs w:val="30"/>
          <w:u w:val="single"/>
        </w:rPr>
        <w:t xml:space="preserve">     </w:t>
      </w:r>
      <w:r>
        <w:rPr>
          <w:rFonts w:hint="eastAsia" w:ascii="宋体" w:hAnsi="宋体" w:cs="宋体"/>
          <w:b/>
          <w:bCs/>
          <w:spacing w:val="20"/>
          <w:sz w:val="30"/>
          <w:szCs w:val="30"/>
        </w:rPr>
        <w:t>日</w:t>
      </w:r>
    </w:p>
    <w:p>
      <w:pPr>
        <w:pageBreakBefore w:val="0"/>
        <w:bidi w:val="0"/>
        <w:outlineLvl w:val="9"/>
        <w:rPr>
          <w:rFonts w:cs="仿宋" w:asciiTheme="minorEastAsia" w:hAnsiTheme="minorEastAsia"/>
          <w:b/>
          <w:sz w:val="44"/>
          <w:szCs w:val="44"/>
        </w:rPr>
      </w:pPr>
      <w:r>
        <w:rPr>
          <w:rFonts w:hint="eastAsia" w:cs="仿宋" w:asciiTheme="minorEastAsia" w:hAnsiTheme="minorEastAsia"/>
          <w:b/>
          <w:sz w:val="44"/>
          <w:szCs w:val="44"/>
        </w:rPr>
        <w:br w:type="page"/>
      </w: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44"/>
          <w:szCs w:val="44"/>
        </w:rPr>
        <w:t>目     录</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000000"/>
          <w:sz w:val="30"/>
          <w:szCs w:val="30"/>
        </w:rPr>
      </w:pPr>
      <w:r>
        <w:rPr>
          <w:rFonts w:hint="eastAsia" w:cs="仿宋" w:asciiTheme="minorEastAsia" w:hAnsiTheme="minorEastAsia" w:eastAsiaTheme="minorEastAsia"/>
          <w:b/>
          <w:bCs/>
          <w:color w:val="000000"/>
          <w:sz w:val="30"/>
          <w:szCs w:val="30"/>
          <w:lang w:val="en-US" w:eastAsia="zh-CN"/>
        </w:rPr>
        <w:t>一、</w:t>
      </w:r>
      <w:r>
        <w:rPr>
          <w:rFonts w:hint="eastAsia" w:cs="仿宋" w:asciiTheme="minorEastAsia" w:hAnsiTheme="minorEastAsia" w:eastAsiaTheme="minorEastAsia"/>
          <w:b/>
          <w:bCs/>
          <w:color w:val="000000"/>
          <w:sz w:val="30"/>
          <w:szCs w:val="30"/>
        </w:rPr>
        <w:t>投标函</w:t>
      </w:r>
    </w:p>
    <w:p>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sz w:val="30"/>
          <w:szCs w:val="30"/>
        </w:rPr>
      </w:pPr>
      <w:r>
        <w:rPr>
          <w:rFonts w:hint="eastAsia" w:cs="仿宋" w:asciiTheme="minorEastAsia" w:hAnsiTheme="minorEastAsia"/>
          <w:b/>
          <w:sz w:val="30"/>
          <w:szCs w:val="30"/>
          <w:lang w:val="en-US" w:eastAsia="zh-CN"/>
        </w:rPr>
        <w:t>二、</w:t>
      </w:r>
      <w:r>
        <w:rPr>
          <w:rFonts w:hint="eastAsia" w:cs="仿宋" w:asciiTheme="minorEastAsia" w:hAnsiTheme="minorEastAsia"/>
          <w:b/>
          <w:sz w:val="30"/>
          <w:szCs w:val="30"/>
        </w:rPr>
        <w:t>开标一览表（</w:t>
      </w:r>
      <w:r>
        <w:rPr>
          <w:rFonts w:hint="eastAsia" w:cs="仿宋" w:asciiTheme="minorEastAsia" w:hAnsiTheme="minorEastAsia"/>
          <w:b/>
          <w:sz w:val="30"/>
          <w:szCs w:val="30"/>
          <w:lang w:val="en-US" w:eastAsia="zh-CN"/>
        </w:rPr>
        <w:t>报价表</w:t>
      </w:r>
      <w:r>
        <w:rPr>
          <w:rFonts w:hint="eastAsia" w:cs="仿宋" w:asciiTheme="minorEastAsia" w:hAnsiTheme="minorEastAsia"/>
          <w:b/>
          <w:sz w:val="30"/>
          <w:szCs w:val="30"/>
        </w:rPr>
        <w:t>）</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lang w:val="en-US" w:eastAsia="zh-CN"/>
        </w:rPr>
        <w:t>三、</w:t>
      </w:r>
      <w:r>
        <w:rPr>
          <w:rFonts w:hint="eastAsia" w:cs="仿宋" w:asciiTheme="minorEastAsia" w:hAnsiTheme="minorEastAsia" w:eastAsiaTheme="minorEastAsia"/>
          <w:b/>
          <w:sz w:val="30"/>
          <w:szCs w:val="30"/>
        </w:rPr>
        <w:t>分项报价表</w:t>
      </w:r>
    </w:p>
    <w:p>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jc w:val="both"/>
        <w:textAlignment w:val="auto"/>
        <w:outlineLvl w:val="9"/>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lang w:val="en-US" w:eastAsia="zh-CN"/>
        </w:rPr>
        <w:t>四、投标保证金交纳凭证</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cs="仿宋" w:asciiTheme="minorEastAsia" w:hAnsiTheme="minorEastAsia" w:eastAsiaTheme="minorEastAsia"/>
          <w:b/>
          <w:sz w:val="30"/>
          <w:szCs w:val="30"/>
        </w:rPr>
      </w:pPr>
      <w:r>
        <w:rPr>
          <w:rFonts w:hint="eastAsia" w:cs="仿宋" w:asciiTheme="minorEastAsia" w:hAnsiTheme="minorEastAsia" w:eastAsiaTheme="minorEastAsia"/>
          <w:b/>
          <w:sz w:val="30"/>
          <w:szCs w:val="30"/>
          <w:lang w:val="en-US" w:eastAsia="zh-CN"/>
        </w:rPr>
        <w:t>五、</w:t>
      </w:r>
      <w:r>
        <w:rPr>
          <w:rFonts w:hint="eastAsia" w:cs="仿宋" w:asciiTheme="minorEastAsia" w:hAnsiTheme="minorEastAsia" w:eastAsiaTheme="minorEastAsia"/>
          <w:b/>
          <w:sz w:val="30"/>
          <w:szCs w:val="30"/>
        </w:rPr>
        <w:t>技术规格响应偏离表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601" w:firstLineChars="187"/>
        <w:jc w:val="both"/>
        <w:textAlignment w:val="auto"/>
        <w:outlineLvl w:val="9"/>
        <w:rPr>
          <w:rFonts w:hint="eastAsia" w:cs="仿宋" w:asciiTheme="minorEastAsia" w:hAnsiTheme="minorEastAsia"/>
          <w:b/>
          <w:sz w:val="32"/>
          <w:szCs w:val="21"/>
        </w:rPr>
      </w:pPr>
      <w:r>
        <w:rPr>
          <w:rFonts w:hint="eastAsia" w:cs="仿宋" w:asciiTheme="minorEastAsia" w:hAnsiTheme="minorEastAsia"/>
          <w:b/>
          <w:sz w:val="32"/>
          <w:szCs w:val="21"/>
          <w:lang w:val="en-US" w:eastAsia="zh-CN"/>
        </w:rPr>
        <w:t>六、</w:t>
      </w:r>
      <w:r>
        <w:rPr>
          <w:rFonts w:hint="eastAsia" w:cs="仿宋" w:asciiTheme="minorEastAsia" w:hAnsiTheme="minorEastAsia"/>
          <w:b/>
          <w:sz w:val="32"/>
          <w:szCs w:val="21"/>
        </w:rPr>
        <w:t>商务及合同主要条款响应说明</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000000"/>
          <w:sz w:val="30"/>
          <w:szCs w:val="30"/>
        </w:rPr>
      </w:pPr>
      <w:r>
        <w:rPr>
          <w:rFonts w:hint="eastAsia" w:cs="仿宋" w:asciiTheme="minorEastAsia" w:hAnsiTheme="minorEastAsia" w:eastAsiaTheme="minorEastAsia"/>
          <w:b/>
          <w:color w:val="000000"/>
          <w:kern w:val="0"/>
          <w:sz w:val="30"/>
          <w:szCs w:val="30"/>
          <w:lang w:val="en-US" w:eastAsia="zh-CN"/>
        </w:rPr>
        <w:t>七、</w:t>
      </w:r>
      <w:r>
        <w:rPr>
          <w:rFonts w:hint="eastAsia" w:cs="仿宋" w:asciiTheme="minorEastAsia" w:hAnsiTheme="minorEastAsia" w:eastAsiaTheme="minorEastAsia"/>
          <w:b/>
          <w:color w:val="000000"/>
          <w:kern w:val="0"/>
          <w:sz w:val="30"/>
          <w:szCs w:val="30"/>
        </w:rPr>
        <w:t>法定代表人证明书与授权书</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default" w:cs="仿宋" w:asciiTheme="minorEastAsia" w:hAnsiTheme="minorEastAsia" w:eastAsiaTheme="minorEastAsia"/>
          <w:b/>
          <w:bCs/>
          <w:color w:val="000000"/>
          <w:sz w:val="30"/>
          <w:szCs w:val="30"/>
          <w:lang w:val="en-US" w:eastAsia="zh-CN"/>
        </w:rPr>
      </w:pPr>
      <w:r>
        <w:rPr>
          <w:rFonts w:hint="eastAsia" w:cs="仿宋" w:asciiTheme="minorEastAsia" w:hAnsiTheme="minorEastAsia" w:eastAsiaTheme="minorEastAsia"/>
          <w:b/>
          <w:bCs/>
          <w:color w:val="000000"/>
          <w:sz w:val="30"/>
          <w:szCs w:val="30"/>
          <w:lang w:val="en-US" w:eastAsia="zh-CN"/>
        </w:rPr>
        <w:t>八、</w:t>
      </w:r>
      <w:r>
        <w:rPr>
          <w:rFonts w:hint="eastAsia" w:cs="仿宋" w:asciiTheme="minorEastAsia" w:hAnsiTheme="minorEastAsia" w:eastAsiaTheme="minorEastAsia"/>
          <w:b/>
          <w:bCs/>
          <w:color w:val="000000"/>
          <w:sz w:val="30"/>
          <w:szCs w:val="30"/>
        </w:rPr>
        <w:t>投标人</w:t>
      </w:r>
      <w:r>
        <w:rPr>
          <w:rFonts w:hint="eastAsia" w:cs="仿宋" w:asciiTheme="minorEastAsia" w:hAnsiTheme="minorEastAsia" w:eastAsiaTheme="minorEastAsia"/>
          <w:b/>
          <w:bCs/>
          <w:color w:val="000000"/>
          <w:sz w:val="30"/>
          <w:szCs w:val="30"/>
          <w:lang w:val="en-US" w:eastAsia="zh-CN"/>
        </w:rPr>
        <w:t>资格证明资料</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000000"/>
          <w:sz w:val="30"/>
          <w:szCs w:val="30"/>
        </w:rPr>
      </w:pPr>
      <w:r>
        <w:rPr>
          <w:rFonts w:hint="eastAsia" w:cs="仿宋" w:asciiTheme="minorEastAsia" w:hAnsiTheme="minorEastAsia" w:eastAsiaTheme="minorEastAsia"/>
          <w:b/>
          <w:sz w:val="30"/>
          <w:szCs w:val="30"/>
          <w:lang w:val="en-US" w:eastAsia="zh-CN"/>
        </w:rPr>
        <w:t>九、</w:t>
      </w:r>
      <w:r>
        <w:rPr>
          <w:rFonts w:hint="eastAsia" w:cs="仿宋" w:asciiTheme="minorEastAsia" w:hAnsiTheme="minorEastAsia" w:eastAsiaTheme="minorEastAsia"/>
          <w:b/>
          <w:sz w:val="30"/>
          <w:szCs w:val="30"/>
        </w:rPr>
        <w:t>技术方案</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000000"/>
          <w:sz w:val="30"/>
          <w:szCs w:val="30"/>
        </w:rPr>
      </w:pPr>
      <w:r>
        <w:rPr>
          <w:rFonts w:hint="eastAsia" w:cs="仿宋" w:asciiTheme="minorEastAsia" w:hAnsiTheme="minorEastAsia" w:eastAsiaTheme="minorEastAsia"/>
          <w:b/>
          <w:bCs/>
          <w:color w:val="000000"/>
          <w:sz w:val="30"/>
          <w:szCs w:val="30"/>
          <w:lang w:val="en-US" w:eastAsia="zh-CN"/>
        </w:rPr>
        <w:t>十、</w:t>
      </w:r>
      <w:r>
        <w:rPr>
          <w:rFonts w:hint="eastAsia" w:cs="仿宋" w:asciiTheme="minorEastAsia" w:hAnsiTheme="minorEastAsia" w:eastAsiaTheme="minorEastAsia"/>
          <w:b/>
          <w:bCs/>
          <w:color w:val="000000"/>
          <w:sz w:val="30"/>
          <w:szCs w:val="30"/>
        </w:rPr>
        <w:t>商务方案</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000000"/>
          <w:sz w:val="30"/>
          <w:szCs w:val="30"/>
        </w:rPr>
      </w:pPr>
      <w:r>
        <w:rPr>
          <w:rFonts w:hint="eastAsia" w:cs="仿宋" w:asciiTheme="minorEastAsia" w:hAnsiTheme="minorEastAsia" w:eastAsiaTheme="minorEastAsia"/>
          <w:b/>
          <w:bCs/>
          <w:color w:val="000000"/>
          <w:sz w:val="30"/>
          <w:szCs w:val="30"/>
          <w:lang w:val="en-US" w:eastAsia="zh-CN"/>
        </w:rPr>
        <w:t>十一、</w:t>
      </w:r>
      <w:r>
        <w:rPr>
          <w:rFonts w:hint="eastAsia" w:cs="仿宋" w:asciiTheme="minorEastAsia" w:hAnsiTheme="minorEastAsia" w:eastAsiaTheme="minorEastAsia"/>
          <w:b/>
          <w:bCs/>
          <w:color w:val="000000"/>
          <w:sz w:val="30"/>
          <w:szCs w:val="30"/>
        </w:rPr>
        <w:t>投标人承诺书</w:t>
      </w:r>
    </w:p>
    <w:p>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Theme="minorEastAsia"/>
          <w:b/>
          <w:bCs/>
          <w:sz w:val="30"/>
          <w:szCs w:val="30"/>
          <w:lang w:val="en-US" w:eastAsia="zh-CN"/>
        </w:rPr>
      </w:pPr>
      <w:r>
        <w:rPr>
          <w:rFonts w:hint="eastAsia" w:cs="仿宋" w:asciiTheme="minorEastAsia" w:hAnsiTheme="minorEastAsia" w:eastAsiaTheme="minorEastAsia"/>
          <w:b/>
          <w:bCs/>
          <w:color w:val="000000"/>
          <w:sz w:val="30"/>
          <w:szCs w:val="30"/>
          <w:lang w:val="en-US" w:eastAsia="zh-CN"/>
        </w:rPr>
        <w:t>十二、其他资料</w:t>
      </w:r>
    </w:p>
    <w:p>
      <w:pPr>
        <w:pageBreakBefore w:val="0"/>
        <w:bidi w:val="0"/>
        <w:outlineLvl w:val="9"/>
        <w:rPr>
          <w:rFonts w:cs="仿宋" w:asciiTheme="minorEastAsia" w:hAnsiTheme="minorEastAsia"/>
          <w:b/>
          <w:sz w:val="32"/>
          <w:szCs w:val="32"/>
        </w:rPr>
      </w:pPr>
    </w:p>
    <w:p>
      <w:pPr>
        <w:pageBreakBefore w:val="0"/>
        <w:bidi w:val="0"/>
        <w:spacing w:line="440" w:lineRule="exact"/>
        <w:jc w:val="center"/>
        <w:outlineLvl w:val="9"/>
        <w:rPr>
          <w:rFonts w:hint="eastAsia" w:cs="仿宋" w:asciiTheme="minorEastAsia" w:hAnsiTheme="minorEastAsia"/>
          <w:b/>
          <w:sz w:val="32"/>
          <w:szCs w:val="32"/>
        </w:rPr>
        <w:sectPr>
          <w:pgSz w:w="11906" w:h="16838"/>
          <w:pgMar w:top="1559" w:right="1134" w:bottom="1020" w:left="1321" w:header="851" w:footer="992" w:gutter="0"/>
          <w:pgBorders>
            <w:top w:val="none" w:sz="0" w:space="0"/>
            <w:left w:val="none" w:sz="0" w:space="0"/>
            <w:bottom w:val="none" w:sz="0" w:space="0"/>
            <w:right w:val="none" w:sz="0" w:space="0"/>
          </w:pgBorders>
          <w:cols w:space="0" w:num="1"/>
          <w:docGrid w:type="lines" w:linePitch="315" w:charSpace="0"/>
        </w:sectPr>
      </w:pPr>
    </w:p>
    <w:p>
      <w:pPr>
        <w:pageBreakBefore w:val="0"/>
        <w:bidi w:val="0"/>
        <w:spacing w:line="440" w:lineRule="exact"/>
        <w:jc w:val="center"/>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一、</w:t>
      </w:r>
      <w:r>
        <w:rPr>
          <w:rFonts w:hint="eastAsia" w:cs="仿宋" w:asciiTheme="minorEastAsia" w:hAnsiTheme="minorEastAsia"/>
          <w:b/>
          <w:sz w:val="32"/>
          <w:szCs w:val="32"/>
        </w:rPr>
        <w:t>投标函</w:t>
      </w:r>
    </w:p>
    <w:p>
      <w:pPr>
        <w:pageBreakBefore w:val="0"/>
        <w:bidi w:val="0"/>
        <w:spacing w:line="440" w:lineRule="exact"/>
        <w:jc w:val="center"/>
        <w:outlineLvl w:val="9"/>
        <w:rPr>
          <w:rFonts w:cs="仿宋" w:asciiTheme="minorEastAsia" w:hAnsiTheme="minorEastAsia"/>
          <w:b/>
          <w:sz w:val="2"/>
          <w:szCs w:val="32"/>
        </w:rPr>
      </w:pPr>
    </w:p>
    <w:p>
      <w:pPr>
        <w:pageBreakBefore w:val="0"/>
        <w:kinsoku w:val="0"/>
        <w:bidi w:val="0"/>
        <w:spacing w:line="440" w:lineRule="exact"/>
        <w:outlineLvl w:val="9"/>
        <w:rPr>
          <w:rFonts w:cs="仿宋" w:asciiTheme="minorEastAsia" w:hAnsiTheme="minorEastAsia"/>
          <w:sz w:val="24"/>
        </w:rPr>
      </w:pPr>
      <w:r>
        <w:rPr>
          <w:rFonts w:hint="eastAsia" w:cs="仿宋" w:asciiTheme="minorEastAsia" w:hAnsiTheme="minorEastAsia"/>
          <w:spacing w:val="-6"/>
          <w:sz w:val="24"/>
          <w:lang w:val="en-US" w:eastAsia="zh-CN"/>
        </w:rPr>
        <w:t>华鼎工程咨询集团有限公司</w:t>
      </w:r>
      <w:r>
        <w:rPr>
          <w:rFonts w:hint="eastAsia" w:cs="仿宋" w:asciiTheme="minorEastAsia" w:hAnsiTheme="minorEastAsia"/>
          <w:sz w:val="24"/>
        </w:rPr>
        <w:t>：</w:t>
      </w:r>
    </w:p>
    <w:p>
      <w:pPr>
        <w:pageBreakBefore w:val="0"/>
        <w:kinsoku w:val="0"/>
        <w:bidi w:val="0"/>
        <w:spacing w:line="440" w:lineRule="exact"/>
        <w:ind w:firstLine="480" w:firstLineChars="200"/>
        <w:outlineLvl w:val="9"/>
        <w:rPr>
          <w:rFonts w:hint="eastAsia" w:cs="仿宋" w:asciiTheme="minorEastAsia" w:hAnsiTheme="minorEastAsia"/>
          <w:sz w:val="24"/>
        </w:rPr>
      </w:pP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rPr>
        <w:t>我公司收到贵单</w:t>
      </w:r>
      <w:r>
        <w:rPr>
          <w:rFonts w:hint="eastAsia" w:cs="仿宋" w:asciiTheme="minorEastAsia" w:hAnsiTheme="minorEastAsia"/>
          <w:spacing w:val="-6"/>
          <w:sz w:val="24"/>
        </w:rPr>
        <w:t>位</w:t>
      </w:r>
      <w:r>
        <w:rPr>
          <w:rFonts w:hint="eastAsia" w:cs="仿宋" w:asciiTheme="minorEastAsia" w:hAnsiTheme="minorEastAsia"/>
          <w:spacing w:val="-6"/>
          <w:sz w:val="24"/>
          <w:u w:val="single"/>
        </w:rPr>
        <w:t xml:space="preserve">         </w:t>
      </w:r>
      <w:r>
        <w:rPr>
          <w:rFonts w:hint="eastAsia" w:cs="仿宋" w:asciiTheme="minorEastAsia" w:hAnsiTheme="minorEastAsia"/>
          <w:sz w:val="24"/>
          <w:lang w:eastAsia="zh-CN"/>
        </w:rPr>
        <w:t>（</w:t>
      </w:r>
      <w:r>
        <w:rPr>
          <w:rFonts w:hint="eastAsia" w:cs="仿宋" w:asciiTheme="minorEastAsia" w:hAnsiTheme="minorEastAsia"/>
          <w:sz w:val="24"/>
          <w:lang w:val="en-US" w:eastAsia="zh-CN"/>
        </w:rPr>
        <w:t>项目名称</w:t>
      </w:r>
      <w:r>
        <w:rPr>
          <w:rFonts w:hint="eastAsia" w:cs="仿宋" w:asciiTheme="minorEastAsia" w:hAnsiTheme="minorEastAsia"/>
          <w:sz w:val="24"/>
          <w:lang w:eastAsia="zh-CN"/>
        </w:rPr>
        <w:t>）</w:t>
      </w:r>
      <w:r>
        <w:rPr>
          <w:rFonts w:hint="eastAsia" w:cs="仿宋" w:asciiTheme="minorEastAsia" w:hAnsiTheme="minorEastAsia"/>
          <w:sz w:val="24"/>
          <w:lang w:val="en-US" w:eastAsia="zh-CN"/>
        </w:rPr>
        <w:t>的</w:t>
      </w:r>
      <w:r>
        <w:rPr>
          <w:rFonts w:hint="eastAsia" w:cs="仿宋" w:asciiTheme="minorEastAsia" w:hAnsiTheme="minorEastAsia"/>
          <w:sz w:val="24"/>
        </w:rPr>
        <w:t>招标文件，经详细研究，决定参加本次投标活动为此，我方郑重声明以下几点，并愿负法律责任。</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rPr>
        <w:t>1.按照招标文件中的一切要求，提供完全满足采购需求的</w:t>
      </w:r>
      <w:r>
        <w:rPr>
          <w:rFonts w:hint="eastAsia" w:cs="仿宋" w:asciiTheme="minorEastAsia" w:hAnsiTheme="minorEastAsia"/>
          <w:sz w:val="24"/>
          <w:lang w:val="en-US" w:eastAsia="zh-CN"/>
        </w:rPr>
        <w:t>货物</w:t>
      </w:r>
      <w:r>
        <w:rPr>
          <w:rFonts w:hint="eastAsia" w:cs="仿宋" w:asciiTheme="minorEastAsia" w:hAnsiTheme="minorEastAsia"/>
          <w:sz w:val="24"/>
        </w:rPr>
        <w:t>和全面技术、售后服务保障；</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rPr>
        <w:t>2.如若中标，将根据招标文件的要求、投标文件及承诺条件，全面签约并履行合同规定的责任和义务；</w:t>
      </w:r>
    </w:p>
    <w:p>
      <w:pPr>
        <w:pageBreakBefore w:val="0"/>
        <w:bidi w:val="0"/>
        <w:spacing w:line="500" w:lineRule="exact"/>
        <w:ind w:firstLine="480" w:firstLineChars="200"/>
        <w:outlineLvl w:val="9"/>
        <w:rPr>
          <w:rFonts w:hint="eastAsia" w:cs="仿宋" w:asciiTheme="minorEastAsia" w:hAnsiTheme="minorEastAsia"/>
          <w:color w:val="000000"/>
          <w:sz w:val="24"/>
          <w:u w:val="single"/>
        </w:rPr>
      </w:pPr>
      <w:r>
        <w:rPr>
          <w:rFonts w:hint="eastAsia" w:cs="仿宋" w:asciiTheme="minorEastAsia" w:hAnsiTheme="minorEastAsia"/>
          <w:sz w:val="24"/>
        </w:rPr>
        <w:t>3.我方提交的投标文件</w:t>
      </w:r>
      <w:r>
        <w:rPr>
          <w:rFonts w:hint="eastAsia" w:cs="仿宋" w:asciiTheme="minorEastAsia" w:hAnsiTheme="minorEastAsia"/>
          <w:color w:val="000000"/>
          <w:sz w:val="24"/>
        </w:rPr>
        <w:t>共</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份，其中正本</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份，副本</w:t>
      </w:r>
      <w:r>
        <w:rPr>
          <w:rFonts w:hint="eastAsia" w:cs="仿宋" w:asciiTheme="minorEastAsia" w:hAnsiTheme="minorEastAsia"/>
          <w:color w:val="000000"/>
          <w:sz w:val="24"/>
          <w:u w:val="single"/>
        </w:rPr>
        <w:t xml:space="preserve">  </w:t>
      </w:r>
      <w:r>
        <w:rPr>
          <w:rFonts w:hint="eastAsia" w:cs="仿宋" w:asciiTheme="minorEastAsia" w:hAnsiTheme="minorEastAsia"/>
          <w:color w:val="000000"/>
          <w:sz w:val="24"/>
        </w:rPr>
        <w:t>份，</w:t>
      </w:r>
      <w:r>
        <w:rPr>
          <w:rFonts w:hint="eastAsia" w:ascii="宋体" w:hAnsi="宋体"/>
          <w:sz w:val="24"/>
        </w:rPr>
        <w:t>及</w:t>
      </w:r>
      <w:r>
        <w:rPr>
          <w:rFonts w:ascii="宋体" w:hAnsi="宋体" w:cs="Arial"/>
          <w:sz w:val="24"/>
        </w:rPr>
        <w:t>电子版</w:t>
      </w:r>
      <w:r>
        <w:rPr>
          <w:rFonts w:hint="eastAsia" w:ascii="宋体" w:hAnsi="宋体" w:cs="Arial"/>
          <w:sz w:val="24"/>
        </w:rPr>
        <w:t>投</w:t>
      </w:r>
      <w:r>
        <w:rPr>
          <w:rFonts w:ascii="宋体" w:hAnsi="宋体" w:cs="Arial"/>
          <w:sz w:val="24"/>
        </w:rPr>
        <w:t>标文件（U盘）</w:t>
      </w:r>
      <w:r>
        <w:rPr>
          <w:rFonts w:hint="eastAsia" w:cs="仿宋" w:asciiTheme="minorEastAsia" w:hAnsiTheme="minorEastAsia"/>
          <w:color w:val="000000"/>
          <w:sz w:val="24"/>
          <w:u w:val="single"/>
        </w:rPr>
        <w:t xml:space="preserve">  </w:t>
      </w:r>
    </w:p>
    <w:p>
      <w:pPr>
        <w:pageBreakBefore w:val="0"/>
        <w:bidi w:val="0"/>
        <w:spacing w:line="500" w:lineRule="exact"/>
        <w:outlineLvl w:val="9"/>
        <w:rPr>
          <w:rFonts w:ascii="宋体" w:hAnsi="宋体"/>
          <w:sz w:val="24"/>
        </w:rPr>
      </w:pPr>
      <w:r>
        <w:rPr>
          <w:rFonts w:hint="eastAsia" w:cs="仿宋" w:asciiTheme="minorEastAsia" w:hAnsiTheme="minorEastAsia"/>
          <w:color w:val="000000"/>
          <w:sz w:val="24"/>
          <w:u w:val="single"/>
          <w:lang w:val="en-US" w:eastAsia="zh-CN"/>
        </w:rPr>
        <w:t>叁</w:t>
      </w:r>
      <w:r>
        <w:rPr>
          <w:rFonts w:ascii="宋体" w:hAnsi="宋体" w:cs="Arial"/>
          <w:sz w:val="24"/>
        </w:rPr>
        <w:t>份</w:t>
      </w:r>
      <w:r>
        <w:rPr>
          <w:rFonts w:hint="eastAsia" w:ascii="宋体" w:hAnsi="宋体" w:cs="Arial"/>
          <w:sz w:val="24"/>
        </w:rPr>
        <w:t>；</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lang w:val="en-US" w:eastAsia="zh-CN"/>
        </w:rPr>
        <w:t>4</w:t>
      </w:r>
      <w:r>
        <w:rPr>
          <w:rFonts w:hint="eastAsia" w:cs="仿宋" w:asciiTheme="minorEastAsia" w:hAnsiTheme="minorEastAsia"/>
          <w:sz w:val="24"/>
        </w:rPr>
        <w:t>.我方已详细阅读和核实全部招标文件内容，完全理解并同意放弃提出含糊不清和误解问题的权力；</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lang w:val="en-US" w:eastAsia="zh-CN"/>
        </w:rPr>
        <w:t>5</w:t>
      </w:r>
      <w:r>
        <w:rPr>
          <w:rFonts w:hint="eastAsia" w:cs="仿宋" w:asciiTheme="minorEastAsia" w:hAnsiTheme="minorEastAsia"/>
          <w:sz w:val="24"/>
        </w:rPr>
        <w:t>.同意提供贵方要求的与本次招标有关的任何证明资料；</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lang w:val="en-US" w:eastAsia="zh-CN"/>
        </w:rPr>
        <w:t>6</w:t>
      </w:r>
      <w:r>
        <w:rPr>
          <w:rFonts w:hint="eastAsia" w:cs="仿宋" w:asciiTheme="minorEastAsia" w:hAnsiTheme="minorEastAsia"/>
          <w:sz w:val="24"/>
        </w:rPr>
        <w:t>.我方的投标文件在开标大会之日计算有效</w:t>
      </w:r>
      <w:r>
        <w:rPr>
          <w:rFonts w:hint="eastAsia" w:cs="仿宋" w:asciiTheme="minorEastAsia" w:hAnsiTheme="minorEastAsia"/>
          <w:sz w:val="24"/>
          <w:lang w:val="en-US" w:eastAsia="zh-CN"/>
        </w:rPr>
        <w:t>期</w:t>
      </w:r>
      <w:r>
        <w:rPr>
          <w:rFonts w:hint="eastAsia" w:cs="仿宋" w:asciiTheme="minorEastAsia" w:hAnsiTheme="minorEastAsia"/>
          <w:sz w:val="24"/>
        </w:rPr>
        <w:t>为</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lang w:val="en-US" w:eastAsia="zh-CN"/>
        </w:rPr>
        <w:t>日历</w:t>
      </w:r>
      <w:r>
        <w:rPr>
          <w:rFonts w:hint="eastAsia" w:cs="仿宋" w:asciiTheme="minorEastAsia" w:hAnsiTheme="minorEastAsia"/>
          <w:sz w:val="24"/>
        </w:rPr>
        <w:t>天；</w:t>
      </w:r>
    </w:p>
    <w:p>
      <w:pPr>
        <w:pageBreakBefore w:val="0"/>
        <w:kinsoku w:val="0"/>
        <w:bidi w:val="0"/>
        <w:spacing w:line="440" w:lineRule="exact"/>
        <w:ind w:firstLine="480" w:firstLineChars="200"/>
        <w:outlineLvl w:val="9"/>
        <w:rPr>
          <w:rFonts w:cs="仿宋" w:asciiTheme="minorEastAsia" w:hAnsiTheme="minorEastAsia"/>
          <w:sz w:val="24"/>
        </w:rPr>
      </w:pPr>
      <w:r>
        <w:rPr>
          <w:rFonts w:hint="eastAsia" w:cs="仿宋" w:asciiTheme="minorEastAsia" w:hAnsiTheme="minorEastAsia"/>
          <w:sz w:val="24"/>
          <w:lang w:val="en-US" w:eastAsia="zh-CN"/>
        </w:rPr>
        <w:t>7</w:t>
      </w:r>
      <w:r>
        <w:rPr>
          <w:rFonts w:hint="eastAsia" w:cs="仿宋" w:asciiTheme="minorEastAsia" w:hAnsiTheme="minorEastAsia"/>
          <w:sz w:val="24"/>
        </w:rPr>
        <w:t>.所有关于本次投标的函电，请按下列地址、方式联系：</w:t>
      </w:r>
    </w:p>
    <w:p>
      <w:pPr>
        <w:pageBreakBefore w:val="0"/>
        <w:kinsoku w:val="0"/>
        <w:bidi w:val="0"/>
        <w:spacing w:line="440" w:lineRule="exact"/>
        <w:ind w:firstLine="840"/>
        <w:outlineLvl w:val="9"/>
        <w:rPr>
          <w:rFonts w:cs="仿宋" w:asciiTheme="minorEastAsia" w:hAnsiTheme="minorEastAsia"/>
          <w:sz w:val="24"/>
        </w:rPr>
      </w:pPr>
    </w:p>
    <w:p>
      <w:pPr>
        <w:pageBreakBefore w:val="0"/>
        <w:kinsoku w:val="0"/>
        <w:bidi w:val="0"/>
        <w:spacing w:line="440" w:lineRule="exact"/>
        <w:ind w:firstLine="840"/>
        <w:outlineLvl w:val="9"/>
        <w:rPr>
          <w:rFonts w:cs="仿宋" w:asciiTheme="minorEastAsia" w:hAnsiTheme="minorEastAsia"/>
          <w:sz w:val="24"/>
        </w:rPr>
      </w:pPr>
      <w:r>
        <w:rPr>
          <w:rFonts w:hint="eastAsia" w:cs="仿宋" w:asciiTheme="minorEastAsia" w:hAnsiTheme="minorEastAsia"/>
          <w:sz w:val="24"/>
        </w:rPr>
        <w:t>地    址：</w:t>
      </w:r>
      <w:r>
        <w:rPr>
          <w:rFonts w:hint="eastAsia" w:cs="仿宋" w:asciiTheme="minorEastAsia" w:hAnsiTheme="minorEastAsia"/>
          <w:sz w:val="24"/>
          <w:u w:val="single"/>
        </w:rPr>
        <w:t xml:space="preserve">                        </w:t>
      </w:r>
    </w:p>
    <w:p>
      <w:pPr>
        <w:pageBreakBefore w:val="0"/>
        <w:kinsoku w:val="0"/>
        <w:bidi w:val="0"/>
        <w:spacing w:line="440" w:lineRule="exact"/>
        <w:ind w:firstLine="840"/>
        <w:outlineLvl w:val="9"/>
        <w:rPr>
          <w:rFonts w:cs="仿宋" w:asciiTheme="minorEastAsia" w:hAnsiTheme="minorEastAsia"/>
          <w:sz w:val="24"/>
          <w:u w:val="single"/>
        </w:rPr>
      </w:pPr>
      <w:r>
        <w:rPr>
          <w:rFonts w:hint="eastAsia" w:cs="仿宋" w:asciiTheme="minorEastAsia" w:hAnsiTheme="minorEastAsia"/>
          <w:sz w:val="24"/>
        </w:rPr>
        <w:t>电    话：</w:t>
      </w:r>
      <w:r>
        <w:rPr>
          <w:rFonts w:hint="eastAsia" w:cs="仿宋" w:asciiTheme="minorEastAsia" w:hAnsiTheme="minorEastAsia"/>
          <w:sz w:val="24"/>
          <w:u w:val="single"/>
        </w:rPr>
        <w:t xml:space="preserve">                        </w:t>
      </w:r>
    </w:p>
    <w:p>
      <w:pPr>
        <w:pageBreakBefore w:val="0"/>
        <w:kinsoku w:val="0"/>
        <w:bidi w:val="0"/>
        <w:spacing w:line="440" w:lineRule="exact"/>
        <w:ind w:firstLine="840"/>
        <w:outlineLvl w:val="9"/>
        <w:rPr>
          <w:rFonts w:cs="仿宋" w:asciiTheme="minorEastAsia" w:hAnsiTheme="minorEastAsia"/>
          <w:sz w:val="24"/>
          <w:u w:val="single"/>
        </w:rPr>
      </w:pPr>
      <w:r>
        <w:rPr>
          <w:rFonts w:hint="eastAsia" w:cs="仿宋" w:asciiTheme="minorEastAsia" w:hAnsiTheme="minorEastAsia"/>
          <w:sz w:val="24"/>
        </w:rPr>
        <w:t>传    真：</w:t>
      </w:r>
      <w:r>
        <w:rPr>
          <w:rFonts w:hint="eastAsia" w:cs="仿宋" w:asciiTheme="minorEastAsia" w:hAnsiTheme="minorEastAsia"/>
          <w:sz w:val="24"/>
          <w:u w:val="single"/>
        </w:rPr>
        <w:t xml:space="preserve">                        </w:t>
      </w:r>
    </w:p>
    <w:p>
      <w:pPr>
        <w:pageBreakBefore w:val="0"/>
        <w:kinsoku w:val="0"/>
        <w:bidi w:val="0"/>
        <w:spacing w:line="440" w:lineRule="exact"/>
        <w:ind w:firstLine="840"/>
        <w:outlineLvl w:val="9"/>
        <w:rPr>
          <w:rFonts w:cs="仿宋" w:asciiTheme="minorEastAsia" w:hAnsiTheme="minorEastAsia"/>
          <w:sz w:val="24"/>
          <w:u w:val="single"/>
        </w:rPr>
      </w:pPr>
      <w:r>
        <w:rPr>
          <w:rFonts w:hint="eastAsia" w:cs="仿宋" w:asciiTheme="minorEastAsia" w:hAnsiTheme="minorEastAsia"/>
          <w:sz w:val="24"/>
        </w:rPr>
        <w:t>邮    编：</w:t>
      </w:r>
      <w:r>
        <w:rPr>
          <w:rFonts w:hint="eastAsia" w:cs="仿宋" w:asciiTheme="minorEastAsia" w:hAnsiTheme="minorEastAsia"/>
          <w:sz w:val="24"/>
          <w:u w:val="single"/>
        </w:rPr>
        <w:t xml:space="preserve">                        </w:t>
      </w:r>
    </w:p>
    <w:p>
      <w:pPr>
        <w:pageBreakBefore w:val="0"/>
        <w:kinsoku w:val="0"/>
        <w:bidi w:val="0"/>
        <w:spacing w:line="440" w:lineRule="exact"/>
        <w:ind w:firstLine="570"/>
        <w:outlineLvl w:val="9"/>
        <w:rPr>
          <w:rFonts w:cs="仿宋" w:asciiTheme="minorEastAsia" w:hAnsiTheme="minorEastAsia"/>
          <w:sz w:val="24"/>
        </w:rPr>
      </w:pPr>
    </w:p>
    <w:p>
      <w:pPr>
        <w:pageBreakBefore w:val="0"/>
        <w:kinsoku w:val="0"/>
        <w:bidi w:val="0"/>
        <w:spacing w:line="440" w:lineRule="exact"/>
        <w:ind w:firstLine="808" w:firstLineChars="337"/>
        <w:outlineLvl w:val="9"/>
        <w:rPr>
          <w:rFonts w:cs="仿宋" w:asciiTheme="minorEastAsia" w:hAnsiTheme="minorEastAsia"/>
          <w:sz w:val="24"/>
        </w:rPr>
      </w:pPr>
      <w:r>
        <w:rPr>
          <w:rFonts w:hint="eastAsia" w:cs="仿宋" w:asciiTheme="minorEastAsia" w:hAnsiTheme="minorEastAsia"/>
          <w:sz w:val="24"/>
        </w:rPr>
        <w:t>投标人：</w:t>
      </w:r>
      <w:r>
        <w:rPr>
          <w:rFonts w:hint="eastAsia" w:cs="仿宋" w:asciiTheme="minorEastAsia" w:hAnsiTheme="minorEastAsia"/>
          <w:sz w:val="24"/>
          <w:u w:val="single"/>
        </w:rPr>
        <w:t xml:space="preserve">                </w:t>
      </w:r>
      <w:r>
        <w:rPr>
          <w:rFonts w:hint="eastAsia" w:cs="仿宋" w:asciiTheme="minorEastAsia" w:hAnsiTheme="minorEastAsia"/>
          <w:sz w:val="24"/>
        </w:rPr>
        <w:t>（公章）</w:t>
      </w:r>
    </w:p>
    <w:p>
      <w:pPr>
        <w:pageBreakBefore w:val="0"/>
        <w:kinsoku w:val="0"/>
        <w:bidi w:val="0"/>
        <w:spacing w:line="440" w:lineRule="exact"/>
        <w:ind w:firstLine="570"/>
        <w:outlineLvl w:val="9"/>
        <w:rPr>
          <w:rFonts w:cs="仿宋" w:asciiTheme="minorEastAsia" w:hAnsiTheme="minorEastAsia"/>
          <w:sz w:val="24"/>
        </w:rPr>
      </w:pPr>
    </w:p>
    <w:p>
      <w:pPr>
        <w:pageBreakBefore w:val="0"/>
        <w:kinsoku w:val="0"/>
        <w:bidi w:val="0"/>
        <w:spacing w:line="440" w:lineRule="exact"/>
        <w:ind w:firstLine="808" w:firstLineChars="337"/>
        <w:outlineLvl w:val="9"/>
        <w:rPr>
          <w:rFonts w:cs="仿宋" w:asciiTheme="minorEastAsia" w:hAnsiTheme="minorEastAsia"/>
          <w:sz w:val="24"/>
          <w:u w:val="single"/>
        </w:rPr>
      </w:pPr>
      <w:r>
        <w:rPr>
          <w:rFonts w:hint="eastAsia" w:cs="仿宋" w:asciiTheme="minorEastAsia" w:hAnsiTheme="minorEastAsia"/>
          <w:sz w:val="24"/>
        </w:rPr>
        <w:t>法定代表人/被授权人（签字或盖章）：</w:t>
      </w:r>
      <w:r>
        <w:rPr>
          <w:rFonts w:hint="eastAsia" w:cs="仿宋" w:asciiTheme="minorEastAsia" w:hAnsiTheme="minorEastAsia"/>
          <w:sz w:val="24"/>
          <w:u w:val="single"/>
        </w:rPr>
        <w:t xml:space="preserve">                </w:t>
      </w:r>
    </w:p>
    <w:p>
      <w:pPr>
        <w:pageBreakBefore w:val="0"/>
        <w:kinsoku w:val="0"/>
        <w:bidi w:val="0"/>
        <w:spacing w:line="440" w:lineRule="exact"/>
        <w:outlineLvl w:val="9"/>
        <w:rPr>
          <w:rFonts w:cs="仿宋" w:asciiTheme="minorEastAsia" w:hAnsiTheme="minorEastAsia"/>
          <w:sz w:val="24"/>
          <w:u w:val="single"/>
        </w:rPr>
      </w:pPr>
    </w:p>
    <w:p>
      <w:pPr>
        <w:pageBreakBefore w:val="0"/>
        <w:kinsoku w:val="0"/>
        <w:bidi w:val="0"/>
        <w:spacing w:line="440" w:lineRule="exact"/>
        <w:ind w:firstLine="570"/>
        <w:outlineLvl w:val="9"/>
        <w:rPr>
          <w:rFonts w:cs="仿宋" w:asciiTheme="minorEastAsia" w:hAnsiTheme="minorEastAsia"/>
          <w:sz w:val="24"/>
        </w:rPr>
      </w:pPr>
      <w:r>
        <w:rPr>
          <w:rFonts w:hint="eastAsia" w:cs="仿宋" w:asciiTheme="minorEastAsia" w:hAnsiTheme="minorEastAsia"/>
          <w:sz w:val="24"/>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年</w:t>
      </w:r>
      <w:r>
        <w:rPr>
          <w:rFonts w:hint="eastAsia" w:cs="仿宋" w:asciiTheme="minorEastAsia" w:hAnsiTheme="minorEastAsia"/>
          <w:sz w:val="24"/>
          <w:u w:val="single"/>
        </w:rPr>
        <w:t xml:space="preserve">   </w:t>
      </w:r>
      <w:r>
        <w:rPr>
          <w:rFonts w:hint="eastAsia" w:cs="仿宋" w:asciiTheme="minorEastAsia" w:hAnsiTheme="minorEastAsia"/>
          <w:sz w:val="24"/>
        </w:rPr>
        <w:t>月</w:t>
      </w:r>
      <w:r>
        <w:rPr>
          <w:rFonts w:hint="eastAsia" w:cs="仿宋" w:asciiTheme="minorEastAsia" w:hAnsiTheme="minorEastAsia"/>
          <w:sz w:val="24"/>
          <w:u w:val="single"/>
        </w:rPr>
        <w:t xml:space="preserve">   </w:t>
      </w:r>
      <w:r>
        <w:rPr>
          <w:rFonts w:hint="eastAsia" w:cs="仿宋" w:asciiTheme="minorEastAsia" w:hAnsiTheme="minorEastAsia"/>
          <w:sz w:val="24"/>
        </w:rPr>
        <w:t>日</w:t>
      </w:r>
    </w:p>
    <w:p>
      <w:pPr>
        <w:pageBreakBefore w:val="0"/>
        <w:bidi w:val="0"/>
        <w:spacing w:line="360" w:lineRule="atLeast"/>
        <w:outlineLvl w:val="9"/>
        <w:rPr>
          <w:rFonts w:cs="仿宋" w:asciiTheme="minorEastAsia" w:hAnsiTheme="minorEastAsia"/>
          <w:sz w:val="24"/>
        </w:rPr>
        <w:sectPr>
          <w:pgSz w:w="11906" w:h="16838"/>
          <w:pgMar w:top="1559" w:right="1134" w:bottom="1020" w:left="1321" w:header="851" w:footer="992" w:gutter="0"/>
          <w:pgBorders>
            <w:top w:val="none" w:sz="0" w:space="0"/>
            <w:left w:val="none" w:sz="0" w:space="0"/>
            <w:bottom w:val="none" w:sz="0" w:space="0"/>
            <w:right w:val="none" w:sz="0" w:space="0"/>
          </w:pgBorders>
          <w:cols w:space="0" w:num="1"/>
          <w:docGrid w:type="lines" w:linePitch="315" w:charSpace="0"/>
        </w:sectPr>
      </w:pP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二、</w:t>
      </w:r>
      <w:r>
        <w:rPr>
          <w:rFonts w:hint="eastAsia" w:cs="仿宋" w:asciiTheme="minorEastAsia" w:hAnsiTheme="minorEastAsia"/>
          <w:b/>
          <w:sz w:val="32"/>
          <w:szCs w:val="32"/>
        </w:rPr>
        <w:t>开标一览表（报价表）</w:t>
      </w:r>
    </w:p>
    <w:p>
      <w:pPr>
        <w:pageBreakBefore w:val="0"/>
        <w:kinsoku w:val="0"/>
        <w:bidi w:val="0"/>
        <w:spacing w:line="500" w:lineRule="exact"/>
        <w:outlineLvl w:val="9"/>
        <w:rPr>
          <w:rFonts w:cs="仿宋" w:asciiTheme="minorEastAsia" w:hAnsiTheme="minorEastAsia"/>
        </w:rPr>
      </w:pPr>
    </w:p>
    <w:p>
      <w:pPr>
        <w:pageBreakBefore w:val="0"/>
        <w:kinsoku w:val="0"/>
        <w:bidi w:val="0"/>
        <w:spacing w:line="500" w:lineRule="exact"/>
        <w:ind w:firstLine="120" w:firstLineChars="50"/>
        <w:outlineLvl w:val="9"/>
        <w:rPr>
          <w:rFonts w:ascii="宋体" w:hAnsi="宋体"/>
          <w:sz w:val="24"/>
        </w:rPr>
      </w:pPr>
      <w:r>
        <w:rPr>
          <w:rFonts w:hint="eastAsia" w:ascii="宋体" w:hAnsi="宋体"/>
          <w:sz w:val="24"/>
        </w:rPr>
        <w:t>项目名称：</w:t>
      </w:r>
      <w:r>
        <w:rPr>
          <w:rFonts w:hint="eastAsia" w:cs="仿宋" w:asciiTheme="minorEastAsia" w:hAnsiTheme="minorEastAsia"/>
          <w:sz w:val="24"/>
          <w:u w:val="single"/>
        </w:rPr>
        <w:t xml:space="preserve">                                      </w:t>
      </w:r>
      <w:r>
        <w:rPr>
          <w:rFonts w:hint="eastAsia" w:ascii="宋体" w:hAnsi="宋体"/>
          <w:sz w:val="24"/>
        </w:rPr>
        <w:t xml:space="preserve">                                                    </w:t>
      </w:r>
      <w:r>
        <w:rPr>
          <w:rFonts w:hint="eastAsia" w:ascii="宋体" w:hAnsi="宋体"/>
          <w:color w:val="FF0000"/>
          <w:sz w:val="24"/>
        </w:rPr>
        <w:t xml:space="preserve"> </w:t>
      </w:r>
    </w:p>
    <w:p>
      <w:pPr>
        <w:pageBreakBefore w:val="0"/>
        <w:kinsoku w:val="0"/>
        <w:bidi w:val="0"/>
        <w:spacing w:line="500" w:lineRule="exact"/>
        <w:ind w:firstLine="120" w:firstLineChars="50"/>
        <w:outlineLvl w:val="9"/>
        <w:rPr>
          <w:rFonts w:ascii="宋体" w:hAnsi="宋体"/>
          <w:sz w:val="24"/>
        </w:rPr>
      </w:pPr>
      <w:r>
        <w:rPr>
          <w:rFonts w:hint="eastAsia" w:ascii="宋体" w:hAnsi="宋体"/>
          <w:sz w:val="24"/>
        </w:rPr>
        <w:t>项目编号：</w:t>
      </w:r>
      <w:r>
        <w:rPr>
          <w:rFonts w:hint="eastAsia" w:cs="仿宋" w:asciiTheme="minorEastAsia" w:hAnsiTheme="minorEastAsia"/>
          <w:sz w:val="24"/>
          <w:u w:val="single"/>
        </w:rPr>
        <w:t xml:space="preserve">                                      </w:t>
      </w:r>
    </w:p>
    <w:p>
      <w:pPr>
        <w:pageBreakBefore w:val="0"/>
        <w:kinsoku w:val="0"/>
        <w:bidi w:val="0"/>
        <w:spacing w:line="500" w:lineRule="exact"/>
        <w:ind w:firstLine="120" w:firstLineChars="50"/>
        <w:jc w:val="right"/>
        <w:outlineLvl w:val="9"/>
        <w:rPr>
          <w:rFonts w:ascii="宋体" w:hAnsi="宋体"/>
          <w:sz w:val="24"/>
        </w:rPr>
      </w:pPr>
      <w:r>
        <w:rPr>
          <w:rFonts w:hint="eastAsia" w:ascii="宋体" w:hAnsi="宋体"/>
          <w:sz w:val="24"/>
        </w:rPr>
        <w:t xml:space="preserve">                单位：元</w:t>
      </w:r>
    </w:p>
    <w:tbl>
      <w:tblPr>
        <w:tblStyle w:val="2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505"/>
        <w:gridCol w:w="1975"/>
        <w:gridCol w:w="154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643" w:type="dxa"/>
            <w:tcBorders>
              <w:tl2br w:val="single" w:color="auto" w:sz="4" w:space="0"/>
            </w:tcBorders>
          </w:tcPr>
          <w:p>
            <w:pPr>
              <w:pageBreakBefore w:val="0"/>
              <w:kinsoku w:val="0"/>
              <w:bidi w:val="0"/>
              <w:spacing w:line="500" w:lineRule="exact"/>
              <w:ind w:firstLine="1200" w:firstLineChars="500"/>
              <w:outlineLvl w:val="9"/>
              <w:rPr>
                <w:rFonts w:ascii="宋体" w:hAnsi="宋体"/>
                <w:sz w:val="24"/>
              </w:rPr>
            </w:pPr>
            <w:r>
              <w:rPr>
                <w:rFonts w:hint="eastAsia" w:ascii="宋体" w:hAnsi="宋体"/>
                <w:sz w:val="24"/>
              </w:rPr>
              <w:t>报价内容</w:t>
            </w:r>
          </w:p>
          <w:p>
            <w:pPr>
              <w:pageBreakBefore w:val="0"/>
              <w:kinsoku w:val="0"/>
              <w:bidi w:val="0"/>
              <w:spacing w:line="500" w:lineRule="exact"/>
              <w:outlineLvl w:val="9"/>
              <w:rPr>
                <w:rFonts w:ascii="宋体" w:hAnsi="宋体"/>
                <w:sz w:val="24"/>
              </w:rPr>
            </w:pPr>
          </w:p>
          <w:p>
            <w:pPr>
              <w:pageBreakBefore w:val="0"/>
              <w:kinsoku w:val="0"/>
              <w:bidi w:val="0"/>
              <w:spacing w:line="500" w:lineRule="exact"/>
              <w:outlineLvl w:val="9"/>
              <w:rPr>
                <w:rFonts w:hint="default" w:ascii="宋体" w:hAnsi="宋体" w:eastAsia="宋体"/>
                <w:sz w:val="24"/>
                <w:lang w:val="en-US" w:eastAsia="zh-CN"/>
              </w:rPr>
            </w:pPr>
            <w:r>
              <w:rPr>
                <w:rFonts w:hint="eastAsia" w:ascii="宋体" w:hAnsi="宋体"/>
                <w:sz w:val="24"/>
                <w:lang w:val="en-US" w:eastAsia="zh-CN"/>
              </w:rPr>
              <w:t>供应商名称</w:t>
            </w:r>
          </w:p>
        </w:tc>
        <w:tc>
          <w:tcPr>
            <w:tcW w:w="2505" w:type="dxa"/>
            <w:vAlign w:val="center"/>
          </w:tcPr>
          <w:p>
            <w:pPr>
              <w:pageBreakBefore w:val="0"/>
              <w:kinsoku w:val="0"/>
              <w:bidi w:val="0"/>
              <w:spacing w:line="500" w:lineRule="exact"/>
              <w:jc w:val="center"/>
              <w:outlineLvl w:val="9"/>
              <w:rPr>
                <w:rFonts w:ascii="宋体" w:hAnsi="宋体"/>
                <w:sz w:val="24"/>
              </w:rPr>
            </w:pPr>
            <w:r>
              <w:rPr>
                <w:rFonts w:hint="eastAsia" w:ascii="宋体" w:hAnsi="宋体"/>
                <w:sz w:val="24"/>
                <w:lang w:val="en-US" w:eastAsia="zh-CN"/>
              </w:rPr>
              <w:t>投标总</w:t>
            </w:r>
            <w:r>
              <w:rPr>
                <w:rFonts w:hint="eastAsia" w:ascii="宋体" w:hAnsi="宋体"/>
                <w:sz w:val="24"/>
              </w:rPr>
              <w:t>报价</w:t>
            </w:r>
          </w:p>
        </w:tc>
        <w:tc>
          <w:tcPr>
            <w:tcW w:w="1975" w:type="dxa"/>
            <w:vAlign w:val="center"/>
          </w:tcPr>
          <w:p>
            <w:pPr>
              <w:pageBreakBefore w:val="0"/>
              <w:kinsoku w:val="0"/>
              <w:bidi w:val="0"/>
              <w:spacing w:line="500" w:lineRule="exact"/>
              <w:jc w:val="center"/>
              <w:outlineLvl w:val="9"/>
              <w:rPr>
                <w:rFonts w:ascii="宋体" w:hAnsi="宋体"/>
                <w:sz w:val="24"/>
              </w:rPr>
            </w:pPr>
            <w:r>
              <w:rPr>
                <w:rFonts w:hint="eastAsia" w:ascii="宋体" w:hAnsi="宋体"/>
                <w:sz w:val="24"/>
                <w:lang w:val="en-US" w:eastAsia="zh-CN"/>
              </w:rPr>
              <w:t>交货</w:t>
            </w:r>
            <w:r>
              <w:rPr>
                <w:rFonts w:hint="eastAsia" w:ascii="宋体" w:hAnsi="宋体"/>
                <w:sz w:val="24"/>
              </w:rPr>
              <w:t>期</w:t>
            </w:r>
          </w:p>
        </w:tc>
        <w:tc>
          <w:tcPr>
            <w:tcW w:w="1548" w:type="dxa"/>
            <w:vAlign w:val="center"/>
          </w:tcPr>
          <w:p>
            <w:pPr>
              <w:pageBreakBefore w:val="0"/>
              <w:kinsoku w:val="0"/>
              <w:bidi w:val="0"/>
              <w:spacing w:line="500" w:lineRule="exact"/>
              <w:jc w:val="center"/>
              <w:outlineLvl w:val="9"/>
              <w:rPr>
                <w:rFonts w:ascii="宋体" w:hAnsi="宋体"/>
              </w:rPr>
            </w:pPr>
            <w:r>
              <w:rPr>
                <w:rFonts w:hint="eastAsia" w:ascii="宋体" w:hAnsi="宋体"/>
                <w:sz w:val="24"/>
                <w:highlight w:val="none"/>
              </w:rPr>
              <w:t>质保期</w:t>
            </w:r>
          </w:p>
        </w:tc>
        <w:tc>
          <w:tcPr>
            <w:tcW w:w="1292" w:type="dxa"/>
            <w:vAlign w:val="center"/>
          </w:tcPr>
          <w:p>
            <w:pPr>
              <w:pageBreakBefore w:val="0"/>
              <w:kinsoku w:val="0"/>
              <w:bidi w:val="0"/>
              <w:spacing w:line="500" w:lineRule="exact"/>
              <w:jc w:val="center"/>
              <w:outlineLvl w:val="9"/>
              <w:rPr>
                <w:rFonts w:hint="default" w:ascii="宋体" w:hAnsi="宋体" w:eastAsia="宋体"/>
                <w:sz w:val="24"/>
                <w:lang w:val="en-US" w:eastAsia="zh-CN"/>
              </w:rPr>
            </w:pPr>
            <w:r>
              <w:rPr>
                <w:rFonts w:hint="eastAsia" w:ascii="宋体" w:hAnsi="宋体"/>
                <w:sz w:val="24"/>
                <w:lang w:val="en-US" w:eastAsia="zh-CN"/>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643" w:type="dxa"/>
            <w:vAlign w:val="center"/>
          </w:tcPr>
          <w:p>
            <w:pPr>
              <w:pageBreakBefore w:val="0"/>
              <w:kinsoku w:val="0"/>
              <w:bidi w:val="0"/>
              <w:spacing w:line="500" w:lineRule="exact"/>
              <w:jc w:val="center"/>
              <w:outlineLvl w:val="9"/>
              <w:rPr>
                <w:rFonts w:ascii="宋体" w:hAnsi="宋体"/>
                <w:sz w:val="24"/>
              </w:rPr>
            </w:pPr>
          </w:p>
        </w:tc>
        <w:tc>
          <w:tcPr>
            <w:tcW w:w="2505" w:type="dxa"/>
            <w:vAlign w:val="center"/>
          </w:tcPr>
          <w:p>
            <w:pPr>
              <w:pageBreakBefore w:val="0"/>
              <w:kinsoku w:val="0"/>
              <w:bidi w:val="0"/>
              <w:spacing w:line="500" w:lineRule="exact"/>
              <w:jc w:val="center"/>
              <w:outlineLvl w:val="9"/>
              <w:rPr>
                <w:rFonts w:ascii="宋体" w:hAnsi="宋体"/>
                <w:sz w:val="24"/>
              </w:rPr>
            </w:pPr>
          </w:p>
        </w:tc>
        <w:tc>
          <w:tcPr>
            <w:tcW w:w="1975" w:type="dxa"/>
            <w:vAlign w:val="center"/>
          </w:tcPr>
          <w:p>
            <w:pPr>
              <w:pageBreakBefore w:val="0"/>
              <w:kinsoku w:val="0"/>
              <w:bidi w:val="0"/>
              <w:spacing w:line="500" w:lineRule="exact"/>
              <w:jc w:val="center"/>
              <w:outlineLvl w:val="9"/>
              <w:rPr>
                <w:rFonts w:ascii="宋体" w:hAnsi="宋体"/>
                <w:sz w:val="24"/>
              </w:rPr>
            </w:pPr>
            <w:r>
              <w:rPr>
                <w:rFonts w:hint="eastAsia" w:ascii="宋体" w:hAnsi="宋体"/>
                <w:color w:val="000000"/>
                <w:sz w:val="24"/>
                <w:szCs w:val="24"/>
              </w:rPr>
              <w:t>自合同签订之日起</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日历天</w:t>
            </w:r>
          </w:p>
        </w:tc>
        <w:tc>
          <w:tcPr>
            <w:tcW w:w="1548" w:type="dxa"/>
            <w:vAlign w:val="center"/>
          </w:tcPr>
          <w:p>
            <w:pPr>
              <w:pageBreakBefore w:val="0"/>
              <w:kinsoku w:val="0"/>
              <w:bidi w:val="0"/>
              <w:spacing w:line="500" w:lineRule="exact"/>
              <w:jc w:val="center"/>
              <w:outlineLvl w:val="9"/>
              <w:rPr>
                <w:rFonts w:hint="eastAsia" w:ascii="宋体" w:hAnsi="宋体" w:eastAsia="宋体"/>
                <w:sz w:val="24"/>
                <w:lang w:val="en-US" w:eastAsia="zh-CN"/>
              </w:rPr>
            </w:pPr>
          </w:p>
        </w:tc>
        <w:tc>
          <w:tcPr>
            <w:tcW w:w="1292" w:type="dxa"/>
            <w:vAlign w:val="center"/>
          </w:tcPr>
          <w:p>
            <w:pPr>
              <w:pageBreakBefore w:val="0"/>
              <w:kinsoku w:val="0"/>
              <w:bidi w:val="0"/>
              <w:spacing w:line="500" w:lineRule="exact"/>
              <w:jc w:val="center"/>
              <w:outlineLvl w:val="9"/>
              <w:rPr>
                <w:rFonts w:ascii="宋体" w:hAnsi="宋体"/>
                <w:sz w:val="24"/>
              </w:rPr>
            </w:pPr>
          </w:p>
        </w:tc>
      </w:tr>
    </w:tbl>
    <w:p>
      <w:pPr>
        <w:pageBreakBefore w:val="0"/>
        <w:kinsoku w:val="0"/>
        <w:bidi w:val="0"/>
        <w:spacing w:line="500" w:lineRule="exact"/>
        <w:outlineLvl w:val="9"/>
        <w:rPr>
          <w:rFonts w:ascii="宋体" w:hAnsi="宋体"/>
          <w:sz w:val="24"/>
        </w:rPr>
      </w:pPr>
    </w:p>
    <w:p>
      <w:pPr>
        <w:pageBreakBefore w:val="0"/>
        <w:kinsoku w:val="0"/>
        <w:bidi w:val="0"/>
        <w:spacing w:line="500" w:lineRule="exact"/>
        <w:outlineLvl w:val="9"/>
        <w:rPr>
          <w:rFonts w:ascii="宋体" w:hAnsi="宋体"/>
          <w:sz w:val="24"/>
        </w:rPr>
      </w:pPr>
    </w:p>
    <w:p>
      <w:pPr>
        <w:pageBreakBefore w:val="0"/>
        <w:kinsoku w:val="0"/>
        <w:bidi w:val="0"/>
        <w:spacing w:line="500" w:lineRule="exact"/>
        <w:ind w:firstLine="3120" w:firstLineChars="1300"/>
        <w:outlineLvl w:val="9"/>
        <w:rPr>
          <w:rFonts w:hint="eastAsia" w:cs="仿宋" w:asciiTheme="minorEastAsia" w:hAnsiTheme="minorEastAsia"/>
          <w:sz w:val="24"/>
        </w:rPr>
      </w:pPr>
      <w:r>
        <w:rPr>
          <w:rFonts w:hint="eastAsia" w:cs="仿宋" w:asciiTheme="minorEastAsia" w:hAnsiTheme="minorEastAsia"/>
          <w:sz w:val="24"/>
        </w:rPr>
        <w:t>投标人</w:t>
      </w:r>
      <w:r>
        <w:rPr>
          <w:rFonts w:hint="eastAsia" w:ascii="宋体" w:hAnsi="宋体"/>
          <w:sz w:val="24"/>
        </w:rPr>
        <w:t>（公章）：</w:t>
      </w: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p>
      <w:pPr>
        <w:pageBreakBefore w:val="0"/>
        <w:kinsoku w:val="0"/>
        <w:bidi w:val="0"/>
        <w:spacing w:line="500" w:lineRule="exact"/>
        <w:ind w:firstLine="3120" w:firstLineChars="1300"/>
        <w:outlineLvl w:val="9"/>
        <w:rPr>
          <w:rFonts w:cs="仿宋" w:asciiTheme="minorEastAsia" w:hAnsiTheme="minorEastAsia"/>
        </w:rPr>
      </w:pP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u w:val="none"/>
          <w:lang w:val="en-US" w:eastAsia="zh-CN"/>
        </w:rPr>
        <w:t>年</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u w:val="none"/>
          <w:lang w:val="en-US" w:eastAsia="zh-CN"/>
        </w:rPr>
        <w:t>月</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u w:val="none"/>
          <w:lang w:val="en-US" w:eastAsia="zh-CN"/>
        </w:rPr>
        <w:t>日</w:t>
      </w:r>
      <w:r>
        <w:rPr>
          <w:rFonts w:hAnsi="宋体" w:cs="Times New Roman"/>
          <w:sz w:val="24"/>
        </w:rPr>
        <w:br w:type="page"/>
      </w:r>
    </w:p>
    <w:p>
      <w:pPr>
        <w:pStyle w:val="13"/>
        <w:pageBreakBefore w:val="0"/>
        <w:bidi w:val="0"/>
        <w:jc w:val="center"/>
        <w:outlineLvl w:val="9"/>
        <w:rPr>
          <w:rFonts w:cs="仿宋" w:asciiTheme="minorEastAsia" w:hAnsiTheme="minorEastAsia" w:eastAsiaTheme="minorEastAsia"/>
          <w:b/>
          <w:sz w:val="32"/>
        </w:rPr>
      </w:pPr>
      <w:r>
        <w:rPr>
          <w:rFonts w:hint="eastAsia" w:cs="仿宋" w:asciiTheme="minorEastAsia" w:hAnsiTheme="minorEastAsia" w:eastAsiaTheme="minorEastAsia"/>
          <w:b/>
          <w:sz w:val="32"/>
          <w:lang w:val="en-US" w:eastAsia="zh-CN"/>
        </w:rPr>
        <w:t>三、</w:t>
      </w:r>
      <w:r>
        <w:rPr>
          <w:rFonts w:hint="eastAsia" w:cs="仿宋" w:asciiTheme="minorEastAsia" w:hAnsiTheme="minorEastAsia" w:eastAsiaTheme="minorEastAsia"/>
          <w:b/>
          <w:sz w:val="32"/>
        </w:rPr>
        <w:t>分项报价表</w:t>
      </w:r>
    </w:p>
    <w:p>
      <w:pPr>
        <w:pageBreakBefore w:val="0"/>
        <w:kinsoku w:val="0"/>
        <w:bidi w:val="0"/>
        <w:spacing w:line="500" w:lineRule="exact"/>
        <w:outlineLvl w:val="9"/>
        <w:rPr>
          <w:rFonts w:ascii="宋体" w:hAnsi="宋体"/>
          <w:sz w:val="24"/>
        </w:rPr>
      </w:pPr>
      <w:r>
        <w:rPr>
          <w:rFonts w:hint="eastAsia" w:ascii="宋体" w:hAnsi="宋体"/>
          <w:sz w:val="24"/>
        </w:rPr>
        <w:t>项目名称：</w:t>
      </w:r>
      <w:r>
        <w:rPr>
          <w:rFonts w:hint="eastAsia" w:cs="仿宋" w:asciiTheme="minorEastAsia" w:hAnsiTheme="minorEastAsia"/>
          <w:sz w:val="24"/>
          <w:u w:val="single"/>
        </w:rPr>
        <w:t xml:space="preserve">                                      </w:t>
      </w:r>
      <w:r>
        <w:rPr>
          <w:rFonts w:hint="eastAsia" w:ascii="宋体" w:hAnsi="宋体"/>
          <w:sz w:val="24"/>
        </w:rPr>
        <w:t xml:space="preserve">                                                    </w:t>
      </w:r>
      <w:r>
        <w:rPr>
          <w:rFonts w:hint="eastAsia" w:ascii="宋体" w:hAnsi="宋体"/>
          <w:color w:val="FF0000"/>
          <w:sz w:val="24"/>
        </w:rPr>
        <w:t xml:space="preserve"> </w:t>
      </w:r>
    </w:p>
    <w:p>
      <w:pPr>
        <w:pageBreakBefore w:val="0"/>
        <w:kinsoku w:val="0"/>
        <w:bidi w:val="0"/>
        <w:spacing w:line="500" w:lineRule="exact"/>
        <w:outlineLvl w:val="9"/>
        <w:rPr>
          <w:rFonts w:ascii="宋体" w:hAnsi="宋体"/>
          <w:sz w:val="24"/>
        </w:rPr>
      </w:pPr>
      <w:r>
        <w:rPr>
          <w:rFonts w:hint="eastAsia" w:ascii="宋体" w:hAnsi="宋体"/>
          <w:sz w:val="24"/>
        </w:rPr>
        <w:t>项目编号：</w:t>
      </w:r>
      <w:r>
        <w:rPr>
          <w:rFonts w:hint="eastAsia" w:cs="仿宋" w:asciiTheme="minorEastAsia" w:hAnsiTheme="minorEastAsia"/>
          <w:sz w:val="24"/>
          <w:u w:val="single"/>
        </w:rPr>
        <w:t xml:space="preserve">                                      </w:t>
      </w:r>
    </w:p>
    <w:p>
      <w:pPr>
        <w:pageBreakBefore w:val="0"/>
        <w:kinsoku w:val="0"/>
        <w:bidi w:val="0"/>
        <w:spacing w:line="500" w:lineRule="exact"/>
        <w:outlineLvl w:val="9"/>
        <w:rPr>
          <w:rFonts w:ascii="宋体" w:hAnsi="宋体"/>
          <w:sz w:val="24"/>
        </w:rPr>
      </w:pPr>
      <w:r>
        <w:rPr>
          <w:rFonts w:hint="eastAsia" w:cs="仿宋" w:asciiTheme="minorEastAsia" w:hAnsiTheme="minorEastAsia"/>
          <w:sz w:val="24"/>
        </w:rPr>
        <w:t xml:space="preserve">投标人: </w:t>
      </w: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p>
      <w:pPr>
        <w:pageBreakBefore w:val="0"/>
        <w:kinsoku w:val="0"/>
        <w:bidi w:val="0"/>
        <w:spacing w:line="500" w:lineRule="exact"/>
        <w:outlineLvl w:val="9"/>
        <w:rPr>
          <w:rFonts w:cs="仿宋" w:asciiTheme="minorEastAsia" w:hAnsiTheme="minorEastAsia"/>
          <w:color w:val="FF0000"/>
          <w:sz w:val="24"/>
        </w:rPr>
      </w:pPr>
    </w:p>
    <w:tbl>
      <w:tblPr>
        <w:tblStyle w:val="24"/>
        <w:tblpPr w:vertAnchor="text" w:horzAnchor="margin" w:tblpX="1" w:tblpY="26"/>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4"/>
        <w:gridCol w:w="1290"/>
        <w:gridCol w:w="1406"/>
        <w:gridCol w:w="1394"/>
        <w:gridCol w:w="1691"/>
        <w:gridCol w:w="716"/>
        <w:gridCol w:w="1110"/>
        <w:gridCol w:w="83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widowControl/>
              <w:bidi w:val="0"/>
              <w:jc w:val="center"/>
              <w:outlineLvl w:val="9"/>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序号</w:t>
            </w:r>
          </w:p>
        </w:tc>
        <w:tc>
          <w:tcPr>
            <w:tcW w:w="634" w:type="pct"/>
            <w:tcMar>
              <w:top w:w="28" w:type="dxa"/>
              <w:left w:w="28" w:type="dxa"/>
              <w:bottom w:w="28" w:type="dxa"/>
              <w:right w:w="28" w:type="dxa"/>
            </w:tcMar>
            <w:vAlign w:val="center"/>
          </w:tcPr>
          <w:p>
            <w:pPr>
              <w:keepNext w:val="0"/>
              <w:keepLines w:val="0"/>
              <w:widowControl/>
              <w:suppressLineNumbers w:val="0"/>
              <w:jc w:val="center"/>
              <w:textAlignment w:val="center"/>
              <w:rPr>
                <w:rFonts w:ascii="宋体" w:hAnsi="宋体" w:eastAsia="宋体" w:cs="宋体"/>
                <w:b/>
                <w:bCs/>
                <w:kern w:val="0"/>
                <w:sz w:val="22"/>
                <w:szCs w:val="22"/>
                <w:lang w:val="en-US" w:eastAsia="zh-CN" w:bidi="ar-SA"/>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名称</w:t>
            </w:r>
          </w:p>
        </w:tc>
        <w:tc>
          <w:tcPr>
            <w:tcW w:w="691" w:type="pct"/>
            <w:tcMar>
              <w:top w:w="28" w:type="dxa"/>
              <w:left w:w="28" w:type="dxa"/>
              <w:bottom w:w="28" w:type="dxa"/>
              <w:right w:w="28" w:type="dxa"/>
            </w:tcMar>
            <w:vAlign w:val="center"/>
          </w:tcPr>
          <w:p>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cs="宋体"/>
                <w:b w:val="0"/>
                <w:bCs w:val="0"/>
                <w:color w:val="000000"/>
                <w:kern w:val="0"/>
                <w:sz w:val="22"/>
                <w:szCs w:val="22"/>
                <w:lang w:val="en-US" w:eastAsia="zh-CN" w:bidi="ar-SA"/>
              </w:rPr>
              <w:t>技术参数</w:t>
            </w:r>
          </w:p>
        </w:tc>
        <w:tc>
          <w:tcPr>
            <w:tcW w:w="685" w:type="pct"/>
            <w:vAlign w:val="center"/>
          </w:tcPr>
          <w:p>
            <w:pPr>
              <w:keepNext w:val="0"/>
              <w:keepLines w:val="0"/>
              <w:widowControl/>
              <w:suppressLineNumbers w:val="0"/>
              <w:jc w:val="center"/>
              <w:textAlignment w:val="center"/>
              <w:rPr>
                <w:rFonts w:ascii="宋体" w:hAnsi="宋体" w:eastAsia="宋体" w:cs="宋体"/>
                <w:b/>
                <w:bCs/>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831" w:type="pct"/>
            <w:tcMar>
              <w:top w:w="28" w:type="dxa"/>
              <w:left w:w="28" w:type="dxa"/>
              <w:bottom w:w="28" w:type="dxa"/>
              <w:right w:w="28" w:type="dxa"/>
            </w:tcMar>
            <w:vAlign w:val="center"/>
          </w:tcPr>
          <w:p>
            <w:pPr>
              <w:keepNext w:val="0"/>
              <w:keepLines w:val="0"/>
              <w:widowControl/>
              <w:suppressLineNumbers w:val="0"/>
              <w:jc w:val="center"/>
              <w:textAlignment w:val="center"/>
              <w:rPr>
                <w:rFonts w:ascii="宋体" w:hAnsi="宋体" w:eastAsia="宋体" w:cs="宋体"/>
                <w:b/>
                <w:bCs/>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352" w:type="pct"/>
            <w:tcMar>
              <w:top w:w="28" w:type="dxa"/>
              <w:left w:w="28" w:type="dxa"/>
              <w:bottom w:w="28" w:type="dxa"/>
              <w:right w:w="28" w:type="dxa"/>
            </w:tcMar>
            <w:vAlign w:val="center"/>
          </w:tcPr>
          <w:p>
            <w:pPr>
              <w:pageBreakBefore w:val="0"/>
              <w:widowControl/>
              <w:bidi w:val="0"/>
              <w:jc w:val="center"/>
              <w:outlineLvl w:val="9"/>
              <w:rPr>
                <w:rFonts w:hint="eastAsia"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单价（元）</w:t>
            </w: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b w:val="0"/>
                <w:bCs w:val="0"/>
                <w:color w:val="000000"/>
                <w:szCs w:val="21"/>
              </w:rPr>
            </w:pPr>
            <w:r>
              <w:rPr>
                <w:rFonts w:hint="eastAsia" w:asciiTheme="majorEastAsia" w:hAnsiTheme="majorEastAsia" w:eastAsiaTheme="majorEastAsia" w:cstheme="minorEastAsia"/>
                <w:b w:val="0"/>
                <w:bCs w:val="0"/>
                <w:color w:val="000000"/>
                <w:szCs w:val="21"/>
              </w:rPr>
              <w:t>合计</w:t>
            </w:r>
          </w:p>
          <w:p>
            <w:pPr>
              <w:pageBreakBefore w:val="0"/>
              <w:bidi w:val="0"/>
              <w:jc w:val="center"/>
              <w:outlineLvl w:val="9"/>
              <w:rPr>
                <w:rFonts w:asciiTheme="majorEastAsia" w:hAnsiTheme="majorEastAsia" w:eastAsiaTheme="majorEastAsia" w:cstheme="minorEastAsia"/>
                <w:b w:val="0"/>
                <w:bCs w:val="0"/>
                <w:color w:val="000000"/>
                <w:szCs w:val="21"/>
              </w:rPr>
            </w:pPr>
            <w:r>
              <w:rPr>
                <w:rFonts w:hint="eastAsia" w:asciiTheme="majorEastAsia" w:hAnsiTheme="majorEastAsia" w:eastAsiaTheme="majorEastAsia" w:cstheme="minorEastAsia"/>
                <w:b w:val="0"/>
                <w:bCs w:val="0"/>
                <w:color w:val="000000"/>
                <w:szCs w:val="21"/>
              </w:rPr>
              <w:t>（元）</w:t>
            </w: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hint="eastAsia" w:asciiTheme="majorEastAsia" w:hAnsiTheme="majorEastAsia" w:eastAsiaTheme="majorEastAsia" w:cstheme="minorEastAsia"/>
                <w:b w:val="0"/>
                <w:bCs w:val="0"/>
                <w:color w:val="000000"/>
                <w:szCs w:val="21"/>
                <w:lang w:val="en-US" w:eastAsia="zh-CN"/>
              </w:rPr>
            </w:pPr>
            <w:r>
              <w:rPr>
                <w:rFonts w:hint="eastAsia" w:asciiTheme="majorEastAsia" w:hAnsiTheme="majorEastAsia" w:eastAsiaTheme="majorEastAsia" w:cstheme="minorEastAsia"/>
                <w:b w:val="0"/>
                <w:bCs w:val="0"/>
                <w:color w:val="000000"/>
                <w:szCs w:val="21"/>
                <w:lang w:val="en-US" w:eastAsia="zh-CN"/>
              </w:rPr>
              <w:t>品牌（如有）</w:t>
            </w: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hint="eastAsia" w:asciiTheme="majorEastAsia" w:hAnsiTheme="majorEastAsia" w:eastAsiaTheme="majorEastAsia" w:cstheme="minorEastAsia"/>
                <w:b w:val="0"/>
                <w:bCs w:val="0"/>
                <w:color w:val="000000"/>
                <w:szCs w:val="21"/>
              </w:rPr>
            </w:pPr>
            <w:r>
              <w:rPr>
                <w:rFonts w:hint="eastAsia" w:asciiTheme="majorEastAsia" w:hAnsiTheme="majorEastAsia" w:eastAsiaTheme="majorEastAsia" w:cstheme="minorEastAsia"/>
                <w:b w:val="0"/>
                <w:bCs w:val="0"/>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1</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2</w:t>
            </w:r>
          </w:p>
        </w:tc>
        <w:tc>
          <w:tcPr>
            <w:tcW w:w="634" w:type="pct"/>
            <w:tcMar>
              <w:top w:w="28" w:type="dxa"/>
              <w:left w:w="28" w:type="dxa"/>
              <w:bottom w:w="28" w:type="dxa"/>
              <w:right w:w="28" w:type="dxa"/>
            </w:tcMar>
            <w:vAlign w:val="center"/>
          </w:tcPr>
          <w:p>
            <w:pPr>
              <w:pageBreakBefore w:val="0"/>
              <w:tabs>
                <w:tab w:val="center" w:pos="1694"/>
              </w:tabs>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3</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4</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5</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6</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r>
              <w:rPr>
                <w:rFonts w:hint="eastAsia" w:ascii="宋体" w:hAnsi="宋体" w:eastAsia="宋体" w:cs="宋体"/>
                <w:color w:val="000000"/>
                <w:szCs w:val="21"/>
              </w:rPr>
              <w:t>…</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352"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c>
          <w:tcPr>
            <w:tcW w:w="460"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1" w:type="pct"/>
            <w:gridSpan w:val="5"/>
            <w:tcMar>
              <w:top w:w="28" w:type="dxa"/>
              <w:left w:w="28" w:type="dxa"/>
              <w:bottom w:w="28" w:type="dxa"/>
              <w:right w:w="28" w:type="dxa"/>
            </w:tcMar>
            <w:vAlign w:val="center"/>
          </w:tcPr>
          <w:p>
            <w:pPr>
              <w:pageBreakBefore w:val="0"/>
              <w:bidi w:val="0"/>
              <w:jc w:val="left"/>
              <w:outlineLvl w:val="9"/>
              <w:rPr>
                <w:rFonts w:asciiTheme="majorEastAsia" w:hAnsiTheme="majorEastAsia" w:eastAsiaTheme="majorEastAsia" w:cstheme="minorEastAsia"/>
                <w:color w:val="000000"/>
                <w:szCs w:val="21"/>
              </w:rPr>
            </w:pPr>
            <w:r>
              <w:rPr>
                <w:rFonts w:hint="eastAsia" w:ascii="宋体" w:hAnsi="宋体" w:eastAsia="宋体" w:cs="宋体"/>
                <w:szCs w:val="21"/>
              </w:rPr>
              <w:t>总计：（大写）</w:t>
            </w:r>
          </w:p>
        </w:tc>
        <w:tc>
          <w:tcPr>
            <w:tcW w:w="352" w:type="pct"/>
            <w:tcMar>
              <w:top w:w="28" w:type="dxa"/>
              <w:left w:w="28" w:type="dxa"/>
              <w:bottom w:w="28" w:type="dxa"/>
              <w:right w:w="28" w:type="dxa"/>
            </w:tcMar>
            <w:vAlign w:val="center"/>
          </w:tcPr>
          <w:p>
            <w:pPr>
              <w:pageBreakBefore w:val="0"/>
              <w:bidi w:val="0"/>
              <w:jc w:val="left"/>
              <w:outlineLvl w:val="9"/>
              <w:rPr>
                <w:rFonts w:hint="eastAsia" w:ascii="宋体" w:hAnsi="宋体" w:eastAsia="宋体" w:cs="宋体"/>
                <w:szCs w:val="21"/>
              </w:rPr>
            </w:pPr>
          </w:p>
        </w:tc>
        <w:tc>
          <w:tcPr>
            <w:tcW w:w="1415" w:type="pct"/>
            <w:gridSpan w:val="3"/>
            <w:tcMar>
              <w:top w:w="28" w:type="dxa"/>
              <w:left w:w="28" w:type="dxa"/>
              <w:bottom w:w="28" w:type="dxa"/>
              <w:right w:w="28" w:type="dxa"/>
            </w:tcMar>
            <w:vAlign w:val="center"/>
          </w:tcPr>
          <w:p>
            <w:pPr>
              <w:pageBreakBefore w:val="0"/>
              <w:bidi w:val="0"/>
              <w:jc w:val="left"/>
              <w:outlineLvl w:val="9"/>
              <w:rPr>
                <w:rFonts w:hint="eastAsia" w:asciiTheme="majorEastAsia" w:hAnsiTheme="majorEastAsia" w:eastAsiaTheme="majorEastAsia" w:cstheme="minorEastAsia"/>
                <w:color w:val="000000"/>
                <w:szCs w:val="21"/>
              </w:rPr>
            </w:pPr>
            <w:r>
              <w:rPr>
                <w:rFonts w:hint="eastAsia" w:asciiTheme="majorEastAsia" w:hAnsiTheme="majorEastAsia" w:eastAsiaTheme="majorEastAsia" w:cstheme="minorEastAsia"/>
                <w:color w:val="000000"/>
                <w:szCs w:val="21"/>
              </w:rPr>
              <w:t>（小写）¥：</w:t>
            </w:r>
          </w:p>
        </w:tc>
      </w:tr>
    </w:tbl>
    <w:p>
      <w:pPr>
        <w:pStyle w:val="13"/>
        <w:pageBreakBefore w:val="0"/>
        <w:bidi w:val="0"/>
        <w:outlineLvl w:val="9"/>
        <w:rPr>
          <w:rFonts w:cs="仿宋" w:asciiTheme="minorEastAsia" w:hAnsiTheme="minorEastAsia" w:eastAsiaTheme="minorEastAsia"/>
          <w:sz w:val="24"/>
          <w:szCs w:val="24"/>
        </w:rPr>
      </w:pPr>
    </w:p>
    <w:p>
      <w:pPr>
        <w:pageBreakBefore w:val="0"/>
        <w:kinsoku w:val="0"/>
        <w:bidi w:val="0"/>
        <w:spacing w:line="500" w:lineRule="exact"/>
        <w:outlineLvl w:val="9"/>
        <w:rPr>
          <w:rFonts w:ascii="宋体" w:hAnsi="宋体"/>
          <w:sz w:val="24"/>
        </w:rPr>
      </w:pPr>
      <w:r>
        <w:rPr>
          <w:rFonts w:hint="eastAsia" w:ascii="宋体" w:hAnsi="宋体"/>
          <w:sz w:val="24"/>
        </w:rPr>
        <w:t>注：</w:t>
      </w:r>
      <w:r>
        <w:rPr>
          <w:rFonts w:hint="eastAsia" w:ascii="宋体" w:hAnsi="宋体"/>
          <w:sz w:val="24"/>
          <w:lang w:val="en-US" w:eastAsia="zh-CN"/>
        </w:rPr>
        <w:t>此表仅供参考，</w:t>
      </w:r>
      <w:r>
        <w:rPr>
          <w:rFonts w:hint="eastAsia" w:ascii="宋体" w:hAnsi="宋体"/>
          <w:sz w:val="24"/>
        </w:rPr>
        <w:t>表中的“总价”</w:t>
      </w:r>
      <w:r>
        <w:rPr>
          <w:rFonts w:hint="eastAsia" w:ascii="宋体" w:hAnsi="宋体"/>
          <w:sz w:val="24"/>
          <w:lang w:val="en-US" w:eastAsia="zh-CN"/>
        </w:rPr>
        <w:t>应</w:t>
      </w:r>
      <w:r>
        <w:rPr>
          <w:rFonts w:hint="eastAsia" w:ascii="宋体" w:hAnsi="宋体"/>
          <w:sz w:val="24"/>
        </w:rPr>
        <w:t>与“开标一览表”中的“投标总报价”一致,各子项分别报价</w:t>
      </w:r>
      <w:r>
        <w:rPr>
          <w:rFonts w:hint="eastAsia" w:ascii="宋体" w:hAnsi="宋体"/>
          <w:sz w:val="24"/>
          <w:lang w:eastAsia="zh-CN"/>
        </w:rPr>
        <w:t>，</w:t>
      </w:r>
      <w:r>
        <w:rPr>
          <w:rFonts w:hint="eastAsia" w:ascii="宋体" w:hAnsi="宋体"/>
          <w:sz w:val="24"/>
          <w:lang w:val="en-US" w:eastAsia="zh-CN"/>
        </w:rPr>
        <w:t>且需根据本项目采购清单各小节内容进行小计</w:t>
      </w:r>
      <w:r>
        <w:rPr>
          <w:rFonts w:hint="eastAsia" w:ascii="宋体" w:hAnsi="宋体"/>
          <w:sz w:val="24"/>
        </w:rPr>
        <w:t>。</w:t>
      </w:r>
    </w:p>
    <w:p>
      <w:pPr>
        <w:pageBreakBefore w:val="0"/>
        <w:bidi w:val="0"/>
        <w:outlineLvl w:val="9"/>
        <w:rPr>
          <w:rFonts w:cs="仿宋" w:asciiTheme="minorEastAsia" w:hAnsiTheme="minorEastAsia"/>
          <w:sz w:val="24"/>
        </w:rPr>
      </w:pPr>
    </w:p>
    <w:p>
      <w:pPr>
        <w:pageBreakBefore w:val="0"/>
        <w:bidi w:val="0"/>
        <w:outlineLvl w:val="9"/>
        <w:rPr>
          <w:rFonts w:cs="仿宋" w:asciiTheme="minorEastAsia" w:hAnsiTheme="minorEastAsia"/>
          <w:sz w:val="24"/>
          <w:u w:val="single"/>
        </w:rPr>
      </w:pPr>
      <w:r>
        <w:rPr>
          <w:rFonts w:hint="eastAsia" w:cs="仿宋" w:asciiTheme="minorEastAsia" w:hAnsiTheme="minorEastAsia"/>
          <w:sz w:val="24"/>
        </w:rPr>
        <w:t>投标人（公章）：</w:t>
      </w:r>
      <w:r>
        <w:rPr>
          <w:rFonts w:hint="eastAsia" w:cs="仿宋" w:asciiTheme="minorEastAsia" w:hAnsiTheme="minorEastAsia"/>
          <w:sz w:val="24"/>
          <w:u w:val="single"/>
        </w:rPr>
        <w:t xml:space="preserve">               </w:t>
      </w:r>
      <w:r>
        <w:rPr>
          <w:rFonts w:hint="eastAsia" w:cs="仿宋" w:asciiTheme="minorEastAsia" w:hAnsiTheme="minorEastAsia"/>
          <w:sz w:val="24"/>
        </w:rPr>
        <w:t xml:space="preserve">      法定代表人/被授权人（签字或盖章）： </w:t>
      </w:r>
      <w:r>
        <w:rPr>
          <w:rFonts w:hint="eastAsia" w:cs="仿宋" w:asciiTheme="minorEastAsia" w:hAnsiTheme="minorEastAsia"/>
          <w:sz w:val="24"/>
          <w:u w:val="single"/>
        </w:rPr>
        <w:t xml:space="preserve">         </w:t>
      </w:r>
    </w:p>
    <w:p>
      <w:pPr>
        <w:pageBreakBefore w:val="0"/>
        <w:bidi w:val="0"/>
        <w:outlineLvl w:val="9"/>
        <w:rPr>
          <w:rFonts w:cs="仿宋" w:asciiTheme="minorEastAsia" w:hAnsiTheme="minorEastAsia"/>
          <w:sz w:val="24"/>
        </w:rPr>
      </w:pPr>
    </w:p>
    <w:p>
      <w:pPr>
        <w:pageBreakBefore w:val="0"/>
        <w:bidi w:val="0"/>
        <w:outlineLvl w:val="9"/>
        <w:rPr>
          <w:rFonts w:cs="仿宋" w:asciiTheme="minorEastAsia" w:hAnsiTheme="minorEastAsia"/>
          <w:b/>
          <w:sz w:val="44"/>
        </w:rPr>
      </w:pPr>
    </w:p>
    <w:p>
      <w:pPr>
        <w:pStyle w:val="13"/>
        <w:pageBreakBefore w:val="0"/>
        <w:bidi w:val="0"/>
        <w:outlineLvl w:val="9"/>
        <w:rPr>
          <w:rFonts w:cs="仿宋" w:asciiTheme="minorEastAsia" w:hAnsiTheme="minorEastAsia" w:eastAsiaTheme="minorEastAsia"/>
          <w:b/>
          <w:sz w:val="24"/>
          <w:szCs w:val="24"/>
        </w:rPr>
      </w:pPr>
      <w:r>
        <w:rPr>
          <w:rFonts w:hint="eastAsia" w:cs="仿宋" w:asciiTheme="minorEastAsia" w:hAnsiTheme="minorEastAsia" w:eastAsiaTheme="minorEastAsia"/>
          <w:b/>
          <w:bCs/>
        </w:rPr>
        <w:br w:type="page"/>
      </w:r>
    </w:p>
    <w:p>
      <w:pPr>
        <w:pageBreakBefore w:val="0"/>
        <w:bidi w:val="0"/>
        <w:spacing w:line="360" w:lineRule="atLeast"/>
        <w:jc w:val="center"/>
        <w:outlineLvl w:val="9"/>
        <w:rPr>
          <w:rFonts w:hint="default" w:eastAsia="宋体" w:cs="仿宋" w:asciiTheme="minorEastAsia" w:hAnsiTheme="minorEastAsia"/>
          <w:b/>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仿宋" w:asciiTheme="minorEastAsia" w:hAnsiTheme="minorEastAsia"/>
          <w:b/>
          <w:sz w:val="32"/>
          <w:szCs w:val="21"/>
          <w:lang w:val="en-US" w:eastAsia="zh-CN"/>
        </w:rPr>
        <w:t>四、投标保证金交纳凭证</w:t>
      </w:r>
    </w:p>
    <w:p>
      <w:pPr>
        <w:pStyle w:val="13"/>
        <w:pageBreakBefore w:val="0"/>
        <w:bidi w:val="0"/>
        <w:jc w:val="center"/>
        <w:outlineLvl w:val="9"/>
        <w:rPr>
          <w:rFonts w:cs="仿宋" w:asciiTheme="minorEastAsia" w:hAnsiTheme="minorEastAsia" w:eastAsiaTheme="minorEastAsia"/>
          <w:b/>
          <w:sz w:val="32"/>
        </w:rPr>
      </w:pPr>
      <w:r>
        <w:rPr>
          <w:rFonts w:hint="eastAsia" w:cs="仿宋" w:asciiTheme="minorEastAsia" w:hAnsiTheme="minorEastAsia" w:eastAsiaTheme="minorEastAsia"/>
          <w:b/>
          <w:sz w:val="32"/>
          <w:lang w:val="en-US" w:eastAsia="zh-CN"/>
        </w:rPr>
        <w:t>五、</w:t>
      </w:r>
      <w:r>
        <w:rPr>
          <w:rFonts w:hint="eastAsia" w:cs="仿宋" w:asciiTheme="minorEastAsia" w:hAnsiTheme="minorEastAsia" w:eastAsiaTheme="minorEastAsia"/>
          <w:b/>
          <w:sz w:val="32"/>
        </w:rPr>
        <w:t>技术规格响应偏离表</w:t>
      </w:r>
    </w:p>
    <w:p>
      <w:pPr>
        <w:pageBreakBefore w:val="0"/>
        <w:kinsoku w:val="0"/>
        <w:bidi w:val="0"/>
        <w:spacing w:line="500" w:lineRule="exact"/>
        <w:outlineLvl w:val="9"/>
        <w:rPr>
          <w:rFonts w:ascii="宋体" w:hAnsi="宋体"/>
          <w:sz w:val="24"/>
        </w:rPr>
      </w:pPr>
      <w:r>
        <w:rPr>
          <w:rFonts w:hint="eastAsia" w:ascii="宋体" w:hAnsi="宋体"/>
          <w:sz w:val="24"/>
        </w:rPr>
        <w:t>项目名称：</w:t>
      </w:r>
      <w:r>
        <w:rPr>
          <w:rFonts w:hint="eastAsia" w:cs="仿宋" w:asciiTheme="minorEastAsia" w:hAnsiTheme="minorEastAsia"/>
          <w:sz w:val="24"/>
          <w:u w:val="single"/>
        </w:rPr>
        <w:t xml:space="preserve">                                      </w:t>
      </w:r>
      <w:r>
        <w:rPr>
          <w:rFonts w:hint="eastAsia" w:ascii="宋体" w:hAnsi="宋体"/>
          <w:sz w:val="24"/>
        </w:rPr>
        <w:t xml:space="preserve">                                                    </w:t>
      </w:r>
      <w:r>
        <w:rPr>
          <w:rFonts w:hint="eastAsia" w:ascii="宋体" w:hAnsi="宋体"/>
          <w:color w:val="FF0000"/>
          <w:sz w:val="24"/>
        </w:rPr>
        <w:t xml:space="preserve"> </w:t>
      </w:r>
    </w:p>
    <w:p>
      <w:pPr>
        <w:pageBreakBefore w:val="0"/>
        <w:kinsoku w:val="0"/>
        <w:bidi w:val="0"/>
        <w:spacing w:line="500" w:lineRule="exact"/>
        <w:outlineLvl w:val="9"/>
        <w:rPr>
          <w:rFonts w:ascii="宋体" w:hAnsi="宋体"/>
          <w:sz w:val="24"/>
        </w:rPr>
      </w:pPr>
      <w:r>
        <w:rPr>
          <w:rFonts w:hint="eastAsia" w:ascii="宋体" w:hAnsi="宋体"/>
          <w:sz w:val="24"/>
        </w:rPr>
        <w:t>项目编号：</w:t>
      </w:r>
      <w:r>
        <w:rPr>
          <w:rFonts w:hint="eastAsia" w:cs="仿宋" w:asciiTheme="minorEastAsia" w:hAnsiTheme="minorEastAsia"/>
          <w:sz w:val="24"/>
          <w:u w:val="single"/>
        </w:rPr>
        <w:t xml:space="preserve">                                      </w:t>
      </w:r>
    </w:p>
    <w:p>
      <w:pPr>
        <w:pageBreakBefore w:val="0"/>
        <w:kinsoku w:val="0"/>
        <w:bidi w:val="0"/>
        <w:spacing w:line="500" w:lineRule="exact"/>
        <w:outlineLvl w:val="9"/>
        <w:rPr>
          <w:rFonts w:cs="仿宋" w:asciiTheme="minorEastAsia" w:hAnsiTheme="minorEastAsia"/>
          <w:sz w:val="24"/>
        </w:rPr>
      </w:pPr>
      <w:r>
        <w:rPr>
          <w:rFonts w:hint="eastAsia" w:cs="仿宋" w:asciiTheme="minorEastAsia" w:hAnsiTheme="minorEastAsia"/>
          <w:sz w:val="24"/>
        </w:rPr>
        <w:t xml:space="preserve">投标人: </w:t>
      </w: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bl>
      <w:tblPr>
        <w:tblStyle w:val="24"/>
        <w:tblpPr w:leftFromText="180" w:rightFromText="180" w:vertAnchor="text" w:horzAnchor="page" w:tblpXSpec="center" w:tblpY="204"/>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序号</w:t>
            </w:r>
          </w:p>
        </w:tc>
        <w:tc>
          <w:tcPr>
            <w:tcW w:w="986"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名称</w:t>
            </w:r>
          </w:p>
        </w:tc>
        <w:tc>
          <w:tcPr>
            <w:tcW w:w="1897" w:type="dxa"/>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招标文件</w:t>
            </w:r>
          </w:p>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技术需求</w:t>
            </w:r>
          </w:p>
        </w:tc>
        <w:tc>
          <w:tcPr>
            <w:tcW w:w="265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投标文件响应技术指标</w:t>
            </w:r>
          </w:p>
        </w:tc>
        <w:tc>
          <w:tcPr>
            <w:tcW w:w="168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偏离情况</w:t>
            </w:r>
          </w:p>
        </w:tc>
        <w:tc>
          <w:tcPr>
            <w:tcW w:w="131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szCs w:val="21"/>
              </w:rPr>
            </w:pPr>
            <w:r>
              <w:rPr>
                <w:rFonts w:hint="eastAsia" w:cs="宋体" w:asciiTheme="minorEastAsia" w:hAnsiTheme="minorEastAsia"/>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sz w:val="28"/>
                <w:szCs w:val="28"/>
              </w:rPr>
            </w:pPr>
          </w:p>
        </w:tc>
      </w:tr>
    </w:tbl>
    <w:p>
      <w:pPr>
        <w:pageBreakBefore w:val="0"/>
        <w:autoSpaceDE w:val="0"/>
        <w:autoSpaceDN w:val="0"/>
        <w:bidi w:val="0"/>
        <w:adjustRightInd w:val="0"/>
        <w:spacing w:line="360" w:lineRule="auto"/>
        <w:ind w:firstLine="420" w:firstLineChars="200"/>
        <w:outlineLvl w:val="9"/>
        <w:rPr>
          <w:rFonts w:hint="default" w:ascii="宋体" w:hAnsi="宋体" w:eastAsia="宋体" w:cs="Courier New"/>
          <w:sz w:val="24"/>
          <w:lang w:val="en-US" w:eastAsia="zh-CN"/>
        </w:rPr>
      </w:pPr>
      <w:r>
        <w:rPr>
          <w:rFonts w:hint="eastAsia" w:cs="宋体" w:asciiTheme="minorEastAsia" w:hAnsiTheme="minorEastAsia"/>
          <w:szCs w:val="21"/>
        </w:rPr>
        <w:t>注：</w:t>
      </w:r>
      <w:r>
        <w:rPr>
          <w:rFonts w:hint="eastAsia" w:ascii="宋体" w:hAnsi="宋体" w:cs="Courier New"/>
          <w:sz w:val="24"/>
        </w:rPr>
        <w:t>请按项目的实际技术参数，逐条对应招标文件的“招标内容及技术要求”，认真填写本表。偏离情况填写：优于、等于，偏离说明对偏离情况做出详细说明</w:t>
      </w:r>
      <w:r>
        <w:rPr>
          <w:rFonts w:hint="eastAsia" w:ascii="宋体" w:hAnsi="宋体" w:cs="Courier New"/>
          <w:sz w:val="24"/>
          <w:lang w:eastAsia="zh-CN"/>
        </w:rPr>
        <w:t>，</w:t>
      </w:r>
      <w:r>
        <w:rPr>
          <w:rFonts w:hint="eastAsia" w:ascii="宋体" w:hAnsi="宋体" w:cs="Courier New"/>
          <w:sz w:val="24"/>
          <w:lang w:val="en-US" w:eastAsia="zh-CN"/>
        </w:rPr>
        <w:t>如果不填写，则默认为无偏离。</w:t>
      </w:r>
    </w:p>
    <w:p>
      <w:pPr>
        <w:pageBreakBefore w:val="0"/>
        <w:bidi w:val="0"/>
        <w:spacing w:line="480" w:lineRule="exact"/>
        <w:outlineLvl w:val="9"/>
        <w:rPr>
          <w:rFonts w:cs="宋体" w:asciiTheme="minorEastAsia" w:hAnsiTheme="minorEastAsia"/>
          <w:szCs w:val="21"/>
        </w:rPr>
      </w:pPr>
    </w:p>
    <w:p>
      <w:pPr>
        <w:pageBreakBefore w:val="0"/>
        <w:bidi w:val="0"/>
        <w:spacing w:line="480" w:lineRule="exact"/>
        <w:outlineLvl w:val="9"/>
        <w:rPr>
          <w:rFonts w:cs="宋体" w:asciiTheme="minorEastAsia" w:hAnsiTheme="minorEastAsia"/>
          <w:szCs w:val="21"/>
        </w:rPr>
      </w:pPr>
    </w:p>
    <w:p>
      <w:pPr>
        <w:pStyle w:val="13"/>
        <w:pageBreakBefore w:val="0"/>
        <w:bidi w:val="0"/>
        <w:ind w:firstLine="480"/>
        <w:outlineLvl w:val="9"/>
        <w:rPr>
          <w:rFonts w:hAnsi="宋体"/>
          <w:sz w:val="24"/>
          <w:szCs w:val="24"/>
        </w:rPr>
      </w:pPr>
      <w:r>
        <w:rPr>
          <w:rFonts w:hint="eastAsia" w:hAnsi="宋体"/>
          <w:sz w:val="24"/>
          <w:szCs w:val="24"/>
        </w:rPr>
        <w:t>投标人（公章）：</w:t>
      </w:r>
      <w:r>
        <w:rPr>
          <w:rFonts w:hint="eastAsia" w:hAnsi="宋体"/>
          <w:sz w:val="24"/>
          <w:szCs w:val="24"/>
          <w:u w:val="single"/>
        </w:rPr>
        <w:t xml:space="preserve">                      </w:t>
      </w:r>
      <w:r>
        <w:rPr>
          <w:rFonts w:hint="eastAsia" w:hAnsi="宋体"/>
          <w:sz w:val="24"/>
          <w:szCs w:val="24"/>
        </w:rPr>
        <w:t xml:space="preserve">           </w:t>
      </w:r>
    </w:p>
    <w:p>
      <w:pPr>
        <w:pStyle w:val="13"/>
        <w:pageBreakBefore w:val="0"/>
        <w:bidi w:val="0"/>
        <w:ind w:firstLine="480"/>
        <w:outlineLvl w:val="9"/>
        <w:rPr>
          <w:rFonts w:hAnsi="宋体"/>
          <w:sz w:val="24"/>
          <w:szCs w:val="24"/>
        </w:rPr>
      </w:pPr>
    </w:p>
    <w:p>
      <w:pPr>
        <w:pStyle w:val="13"/>
        <w:pageBreakBefore w:val="0"/>
        <w:bidi w:val="0"/>
        <w:ind w:firstLine="480"/>
        <w:outlineLvl w:val="9"/>
        <w:rPr>
          <w:rFonts w:hAnsi="宋体"/>
          <w:sz w:val="24"/>
          <w:szCs w:val="24"/>
          <w:u w:val="single"/>
        </w:rPr>
      </w:pPr>
      <w:r>
        <w:rPr>
          <w:rFonts w:hint="eastAsia" w:hAnsi="宋体"/>
          <w:sz w:val="24"/>
          <w:szCs w:val="24"/>
        </w:rPr>
        <w:t>法定代表人/被授权人（</w:t>
      </w:r>
      <w:r>
        <w:rPr>
          <w:rFonts w:hint="eastAsia" w:cs="仿宋" w:asciiTheme="minorEastAsia" w:hAnsiTheme="minorEastAsia"/>
          <w:sz w:val="24"/>
        </w:rPr>
        <w:t>签字或盖章</w:t>
      </w:r>
      <w:r>
        <w:rPr>
          <w:rFonts w:hint="eastAsia" w:hAnsi="宋体"/>
          <w:sz w:val="24"/>
          <w:szCs w:val="24"/>
        </w:rPr>
        <w:t>）：</w:t>
      </w:r>
      <w:r>
        <w:rPr>
          <w:rFonts w:hint="eastAsia" w:cs="仿宋" w:asciiTheme="minorEastAsia" w:hAnsiTheme="minorEastAsia"/>
          <w:sz w:val="24"/>
          <w:u w:val="single"/>
        </w:rPr>
        <w:t xml:space="preserve">         </w:t>
      </w:r>
      <w:r>
        <w:rPr>
          <w:rFonts w:hint="eastAsia" w:hAnsi="宋体"/>
          <w:sz w:val="24"/>
          <w:szCs w:val="24"/>
        </w:rPr>
        <w:t xml:space="preserve">                                                        </w:t>
      </w:r>
    </w:p>
    <w:p>
      <w:pPr>
        <w:pStyle w:val="22"/>
        <w:pageBreakBefore w:val="0"/>
        <w:bidi w:val="0"/>
        <w:outlineLvl w:val="9"/>
      </w:pPr>
    </w:p>
    <w:p>
      <w:pPr>
        <w:pageBreakBefore w:val="0"/>
        <w:bidi w:val="0"/>
        <w:spacing w:line="360" w:lineRule="atLeast"/>
        <w:jc w:val="center"/>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p>
    <w:p>
      <w:pPr>
        <w:pStyle w:val="2"/>
        <w:pageBreakBefore w:val="0"/>
        <w:bidi w:val="0"/>
        <w:outlineLvl w:val="9"/>
      </w:pPr>
    </w:p>
    <w:p>
      <w:pPr>
        <w:pageBreakBefore w:val="0"/>
        <w:bidi w:val="0"/>
        <w:adjustRightInd w:val="0"/>
        <w:snapToGrid w:val="0"/>
        <w:spacing w:line="360" w:lineRule="auto"/>
        <w:outlineLvl w:val="9"/>
        <w:rPr>
          <w:rFonts w:ascii="宋体" w:hAnsi="宋体"/>
          <w:sz w:val="24"/>
        </w:rPr>
      </w:pPr>
    </w:p>
    <w:p>
      <w:pPr>
        <w:pageBreakBefore w:val="0"/>
        <w:bidi w:val="0"/>
        <w:adjustRightInd w:val="0"/>
        <w:snapToGrid w:val="0"/>
        <w:spacing w:line="360" w:lineRule="auto"/>
        <w:jc w:val="center"/>
        <w:outlineLvl w:val="9"/>
        <w:rPr>
          <w:rFonts w:cs="仿宋" w:asciiTheme="minorEastAsia" w:hAnsiTheme="minorEastAsia"/>
          <w:b/>
          <w:sz w:val="32"/>
          <w:szCs w:val="21"/>
        </w:rPr>
      </w:pPr>
      <w:r>
        <w:rPr>
          <w:rFonts w:hint="eastAsia" w:cs="仿宋" w:asciiTheme="minorEastAsia" w:hAnsiTheme="minorEastAsia"/>
          <w:b/>
          <w:sz w:val="32"/>
          <w:szCs w:val="21"/>
          <w:lang w:val="en-US" w:eastAsia="zh-CN"/>
        </w:rPr>
        <w:t>六、</w:t>
      </w:r>
      <w:r>
        <w:rPr>
          <w:rFonts w:hint="eastAsia" w:cs="仿宋" w:asciiTheme="minorEastAsia" w:hAnsiTheme="minorEastAsia"/>
          <w:b/>
          <w:sz w:val="32"/>
          <w:szCs w:val="21"/>
        </w:rPr>
        <w:t>商务及合同主要条款响应说明</w:t>
      </w:r>
    </w:p>
    <w:p>
      <w:pPr>
        <w:pageBreakBefore w:val="0"/>
        <w:kinsoku w:val="0"/>
        <w:bidi w:val="0"/>
        <w:spacing w:line="500" w:lineRule="exact"/>
        <w:outlineLvl w:val="9"/>
        <w:rPr>
          <w:rFonts w:ascii="宋体" w:hAnsi="宋体"/>
          <w:sz w:val="24"/>
        </w:rPr>
      </w:pPr>
      <w:r>
        <w:rPr>
          <w:rFonts w:hint="eastAsia" w:ascii="宋体" w:hAnsi="宋体"/>
          <w:sz w:val="24"/>
        </w:rPr>
        <w:t>项目名称：</w:t>
      </w:r>
      <w:r>
        <w:rPr>
          <w:rFonts w:hint="eastAsia" w:cs="仿宋" w:asciiTheme="minorEastAsia" w:hAnsiTheme="minorEastAsia"/>
          <w:sz w:val="24"/>
          <w:u w:val="single"/>
        </w:rPr>
        <w:t xml:space="preserve">                                      </w:t>
      </w:r>
      <w:r>
        <w:rPr>
          <w:rFonts w:hint="eastAsia" w:ascii="宋体" w:hAnsi="宋体"/>
          <w:sz w:val="24"/>
        </w:rPr>
        <w:t xml:space="preserve">                                                    </w:t>
      </w:r>
      <w:r>
        <w:rPr>
          <w:rFonts w:hint="eastAsia" w:ascii="宋体" w:hAnsi="宋体"/>
          <w:color w:val="FF0000"/>
          <w:sz w:val="24"/>
        </w:rPr>
        <w:t xml:space="preserve"> </w:t>
      </w:r>
    </w:p>
    <w:p>
      <w:pPr>
        <w:pageBreakBefore w:val="0"/>
        <w:kinsoku w:val="0"/>
        <w:bidi w:val="0"/>
        <w:spacing w:line="500" w:lineRule="exact"/>
        <w:outlineLvl w:val="9"/>
        <w:rPr>
          <w:rFonts w:ascii="宋体" w:hAnsi="宋体"/>
          <w:sz w:val="24"/>
        </w:rPr>
      </w:pPr>
      <w:r>
        <w:rPr>
          <w:rFonts w:hint="eastAsia" w:ascii="宋体" w:hAnsi="宋体"/>
          <w:sz w:val="24"/>
        </w:rPr>
        <w:t>项目编号：</w:t>
      </w:r>
      <w:r>
        <w:rPr>
          <w:rFonts w:hint="eastAsia" w:cs="仿宋" w:asciiTheme="minorEastAsia" w:hAnsiTheme="minorEastAsia"/>
          <w:sz w:val="24"/>
          <w:u w:val="single"/>
        </w:rPr>
        <w:t xml:space="preserve">                                      </w:t>
      </w:r>
    </w:p>
    <w:p>
      <w:pPr>
        <w:pageBreakBefore w:val="0"/>
        <w:kinsoku w:val="0"/>
        <w:bidi w:val="0"/>
        <w:spacing w:line="540" w:lineRule="exact"/>
        <w:outlineLvl w:val="9"/>
        <w:rPr>
          <w:rFonts w:ascii="宋体" w:hAnsi="宋体"/>
          <w:b/>
          <w:sz w:val="24"/>
        </w:rPr>
      </w:pPr>
      <w:r>
        <w:rPr>
          <w:rFonts w:hint="eastAsia" w:cs="仿宋" w:asciiTheme="minorEastAsia" w:hAnsiTheme="minorEastAsia"/>
          <w:sz w:val="24"/>
        </w:rPr>
        <w:t xml:space="preserve">投标人: </w:t>
      </w:r>
      <w:r>
        <w:rPr>
          <w:rFonts w:hint="eastAsia" w:cs="仿宋" w:asciiTheme="minorEastAsia" w:hAnsiTheme="minorEastAsia"/>
          <w:sz w:val="24"/>
          <w:u w:val="single"/>
        </w:rPr>
        <w:t xml:space="preserve">                                         </w:t>
      </w:r>
      <w:r>
        <w:rPr>
          <w:rFonts w:hint="eastAsia" w:ascii="宋体" w:hAnsi="宋体"/>
          <w:sz w:val="32"/>
          <w:szCs w:val="32"/>
        </w:rPr>
        <w:t xml:space="preserve">  </w:t>
      </w:r>
      <w:r>
        <w:rPr>
          <w:rFonts w:ascii="宋体" w:hAnsi="宋体"/>
          <w:sz w:val="32"/>
          <w:szCs w:val="32"/>
        </w:rPr>
        <w:t xml:space="preserve">                       </w:t>
      </w:r>
    </w:p>
    <w:tbl>
      <w:tblPr>
        <w:tblStyle w:val="24"/>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firstLine="120" w:firstLineChars="50"/>
              <w:outlineLvl w:val="9"/>
              <w:rPr>
                <w:rFonts w:ascii="宋体" w:hAnsi="宋体"/>
                <w:sz w:val="24"/>
              </w:rPr>
            </w:pPr>
            <w:r>
              <w:rPr>
                <w:rFonts w:hint="eastAsia" w:ascii="宋体" w:hAnsi="宋体"/>
                <w:sz w:val="24"/>
              </w:rPr>
              <w:t>序号</w:t>
            </w:r>
          </w:p>
        </w:tc>
        <w:tc>
          <w:tcPr>
            <w:tcW w:w="3451" w:type="dxa"/>
            <w:vAlign w:val="center"/>
          </w:tcPr>
          <w:p>
            <w:pPr>
              <w:pageBreakBefore w:val="0"/>
              <w:bidi w:val="0"/>
              <w:spacing w:line="560" w:lineRule="exact"/>
              <w:ind w:right="-168" w:rightChars="-80"/>
              <w:jc w:val="center"/>
              <w:outlineLvl w:val="9"/>
              <w:rPr>
                <w:rFonts w:ascii="宋体" w:hAnsi="宋体"/>
                <w:sz w:val="24"/>
              </w:rPr>
            </w:pPr>
            <w:r>
              <w:rPr>
                <w:rFonts w:hint="eastAsia" w:ascii="宋体" w:hAnsi="宋体"/>
                <w:sz w:val="24"/>
              </w:rPr>
              <w:t>招标文件要求</w:t>
            </w:r>
          </w:p>
        </w:tc>
        <w:tc>
          <w:tcPr>
            <w:tcW w:w="3015" w:type="dxa"/>
            <w:vAlign w:val="center"/>
          </w:tcPr>
          <w:p>
            <w:pPr>
              <w:pageBreakBefore w:val="0"/>
              <w:bidi w:val="0"/>
              <w:spacing w:line="560" w:lineRule="exact"/>
              <w:ind w:right="-168" w:rightChars="-80" w:firstLine="360" w:firstLineChars="150"/>
              <w:outlineLvl w:val="9"/>
              <w:rPr>
                <w:rFonts w:ascii="宋体" w:hAnsi="宋体"/>
                <w:sz w:val="24"/>
              </w:rPr>
            </w:pPr>
            <w:r>
              <w:rPr>
                <w:rFonts w:hint="eastAsia" w:ascii="宋体" w:hAnsi="宋体"/>
                <w:sz w:val="24"/>
              </w:rPr>
              <w:t>投标文件实际数据</w:t>
            </w:r>
          </w:p>
        </w:tc>
        <w:tc>
          <w:tcPr>
            <w:tcW w:w="1881" w:type="dxa"/>
            <w:vAlign w:val="center"/>
          </w:tcPr>
          <w:p>
            <w:pPr>
              <w:pageBreakBefore w:val="0"/>
              <w:bidi w:val="0"/>
              <w:spacing w:line="560" w:lineRule="exact"/>
              <w:ind w:right="-168" w:rightChars="-80" w:firstLine="360" w:firstLineChars="150"/>
              <w:outlineLvl w:val="9"/>
              <w:rPr>
                <w:rFonts w:ascii="宋体" w:hAnsi="宋体"/>
                <w:sz w:val="24"/>
              </w:rPr>
            </w:pPr>
            <w:r>
              <w:rPr>
                <w:rFonts w:hint="eastAsia" w:ascii="宋体" w:hAnsi="宋体"/>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sz w:val="24"/>
              </w:rPr>
            </w:pPr>
          </w:p>
        </w:tc>
        <w:tc>
          <w:tcPr>
            <w:tcW w:w="3451" w:type="dxa"/>
            <w:vAlign w:val="center"/>
          </w:tcPr>
          <w:p>
            <w:pPr>
              <w:pageBreakBefore w:val="0"/>
              <w:bidi w:val="0"/>
              <w:spacing w:line="560" w:lineRule="exact"/>
              <w:ind w:right="-168" w:rightChars="-80"/>
              <w:jc w:val="center"/>
              <w:outlineLvl w:val="9"/>
              <w:rPr>
                <w:rFonts w:ascii="宋体" w:hAnsi="宋体"/>
                <w:sz w:val="24"/>
              </w:rPr>
            </w:pPr>
          </w:p>
        </w:tc>
        <w:tc>
          <w:tcPr>
            <w:tcW w:w="3015" w:type="dxa"/>
            <w:vAlign w:val="center"/>
          </w:tcPr>
          <w:p>
            <w:pPr>
              <w:pageBreakBefore w:val="0"/>
              <w:bidi w:val="0"/>
              <w:spacing w:line="560" w:lineRule="exact"/>
              <w:ind w:right="-168" w:rightChars="-80"/>
              <w:jc w:val="center"/>
              <w:outlineLvl w:val="9"/>
              <w:rPr>
                <w:rFonts w:ascii="宋体" w:hAnsi="宋体"/>
                <w:sz w:val="24"/>
              </w:rPr>
            </w:pPr>
          </w:p>
        </w:tc>
        <w:tc>
          <w:tcPr>
            <w:tcW w:w="1881" w:type="dxa"/>
            <w:vAlign w:val="center"/>
          </w:tcPr>
          <w:p>
            <w:pPr>
              <w:pageBreakBefore w:val="0"/>
              <w:bidi w:val="0"/>
              <w:spacing w:line="560" w:lineRule="exact"/>
              <w:ind w:right="-168" w:rightChars="-80"/>
              <w:jc w:val="center"/>
              <w:outlineLvl w:val="9"/>
              <w:rPr>
                <w:rFonts w:ascii="宋体" w:hAnsi="宋体"/>
                <w:sz w:val="24"/>
              </w:rPr>
            </w:pPr>
          </w:p>
        </w:tc>
      </w:tr>
    </w:tbl>
    <w:p>
      <w:pPr>
        <w:pageBreakBefore w:val="0"/>
        <w:autoSpaceDE w:val="0"/>
        <w:autoSpaceDN w:val="0"/>
        <w:bidi w:val="0"/>
        <w:adjustRightInd w:val="0"/>
        <w:spacing w:line="360" w:lineRule="auto"/>
        <w:outlineLvl w:val="9"/>
        <w:rPr>
          <w:rFonts w:ascii="宋体" w:hAnsi="宋体" w:cs="Courier New"/>
          <w:sz w:val="24"/>
        </w:rPr>
      </w:pPr>
      <w:r>
        <w:rPr>
          <w:rFonts w:hint="eastAsia" w:ascii="宋体" w:hAnsi="宋体" w:cs="Courier New"/>
          <w:sz w:val="24"/>
        </w:rPr>
        <w:t>说明：</w:t>
      </w:r>
    </w:p>
    <w:p>
      <w:pPr>
        <w:pageBreakBefore w:val="0"/>
        <w:autoSpaceDE w:val="0"/>
        <w:autoSpaceDN w:val="0"/>
        <w:bidi w:val="0"/>
        <w:adjustRightInd w:val="0"/>
        <w:spacing w:line="360" w:lineRule="auto"/>
        <w:ind w:firstLine="480" w:firstLineChars="200"/>
        <w:outlineLvl w:val="9"/>
        <w:rPr>
          <w:rFonts w:ascii="宋体" w:hAnsi="宋体" w:cs="Courier New"/>
          <w:sz w:val="24"/>
        </w:rPr>
      </w:pPr>
      <w:r>
        <w:rPr>
          <w:rFonts w:hint="eastAsia" w:ascii="宋体" w:hAnsi="宋体" w:cs="Courier New"/>
          <w:sz w:val="24"/>
        </w:rPr>
        <w:t>1、投标文件根据第四部分商务及合同主要条款须如实填写（</w:t>
      </w:r>
      <w:r>
        <w:rPr>
          <w:rFonts w:hint="eastAsia" w:ascii="宋体" w:hAnsi="宋体"/>
          <w:sz w:val="24"/>
        </w:rPr>
        <w:t>实际数据</w:t>
      </w:r>
      <w:r>
        <w:rPr>
          <w:rFonts w:hint="eastAsia" w:ascii="宋体" w:hAnsi="宋体" w:cs="Courier New"/>
          <w:sz w:val="24"/>
        </w:rPr>
        <w:t>不得复制招标文件商务条款）。</w:t>
      </w:r>
    </w:p>
    <w:p>
      <w:pPr>
        <w:pageBreakBefore w:val="0"/>
        <w:autoSpaceDE w:val="0"/>
        <w:autoSpaceDN w:val="0"/>
        <w:bidi w:val="0"/>
        <w:adjustRightInd w:val="0"/>
        <w:spacing w:line="360" w:lineRule="auto"/>
        <w:ind w:firstLine="480" w:firstLineChars="200"/>
        <w:outlineLvl w:val="9"/>
        <w:rPr>
          <w:rFonts w:ascii="宋体" w:hAnsi="宋体" w:cs="Courier New"/>
          <w:sz w:val="24"/>
        </w:rPr>
      </w:pPr>
      <w:r>
        <w:rPr>
          <w:rFonts w:hint="eastAsia" w:ascii="宋体" w:hAnsi="宋体" w:cs="Courier New"/>
          <w:sz w:val="24"/>
        </w:rPr>
        <w:t>2、响应说明填写：优于、等于</w:t>
      </w:r>
      <w:r>
        <w:rPr>
          <w:rFonts w:hint="eastAsia" w:ascii="宋体" w:hAnsi="宋体" w:cs="Courier New"/>
          <w:sz w:val="24"/>
          <w:lang w:eastAsia="zh-CN"/>
        </w:rPr>
        <w:t>，</w:t>
      </w:r>
      <w:r>
        <w:rPr>
          <w:rFonts w:hint="eastAsia" w:ascii="宋体" w:hAnsi="宋体" w:cs="Courier New"/>
          <w:sz w:val="24"/>
          <w:lang w:val="en-US" w:eastAsia="zh-CN"/>
        </w:rPr>
        <w:t>如果不填写，则默认为无偏离</w:t>
      </w:r>
      <w:r>
        <w:rPr>
          <w:rFonts w:hint="eastAsia" w:ascii="宋体" w:hAnsi="宋体" w:cs="Courier New"/>
          <w:sz w:val="24"/>
        </w:rPr>
        <w:t>。</w:t>
      </w:r>
    </w:p>
    <w:p>
      <w:pPr>
        <w:pStyle w:val="13"/>
        <w:pageBreakBefore w:val="0"/>
        <w:bidi w:val="0"/>
        <w:ind w:firstLine="480"/>
        <w:outlineLvl w:val="9"/>
        <w:rPr>
          <w:rFonts w:hint="eastAsia" w:hAnsi="宋体"/>
          <w:sz w:val="24"/>
          <w:szCs w:val="24"/>
        </w:rPr>
      </w:pPr>
    </w:p>
    <w:p>
      <w:pPr>
        <w:pStyle w:val="13"/>
        <w:pageBreakBefore w:val="0"/>
        <w:bidi w:val="0"/>
        <w:ind w:firstLine="480"/>
        <w:outlineLvl w:val="9"/>
        <w:rPr>
          <w:rFonts w:hAnsi="宋体"/>
          <w:sz w:val="24"/>
          <w:szCs w:val="24"/>
        </w:rPr>
      </w:pPr>
      <w:r>
        <w:rPr>
          <w:rFonts w:hint="eastAsia" w:hAnsi="宋体"/>
          <w:sz w:val="24"/>
          <w:szCs w:val="24"/>
        </w:rPr>
        <w:t>投标人（公章）：</w:t>
      </w:r>
      <w:r>
        <w:rPr>
          <w:rFonts w:hint="eastAsia" w:hAnsi="宋体"/>
          <w:sz w:val="24"/>
          <w:szCs w:val="24"/>
          <w:u w:val="single"/>
        </w:rPr>
        <w:t xml:space="preserve">                      </w:t>
      </w:r>
      <w:r>
        <w:rPr>
          <w:rFonts w:hint="eastAsia" w:hAnsi="宋体"/>
          <w:sz w:val="24"/>
          <w:szCs w:val="24"/>
        </w:rPr>
        <w:t xml:space="preserve">           </w:t>
      </w:r>
    </w:p>
    <w:p>
      <w:pPr>
        <w:pStyle w:val="13"/>
        <w:pageBreakBefore w:val="0"/>
        <w:bidi w:val="0"/>
        <w:ind w:firstLine="480"/>
        <w:outlineLvl w:val="9"/>
        <w:rPr>
          <w:rFonts w:hAnsi="宋体"/>
          <w:sz w:val="24"/>
          <w:szCs w:val="24"/>
        </w:rPr>
      </w:pPr>
    </w:p>
    <w:p>
      <w:pPr>
        <w:pStyle w:val="13"/>
        <w:pageBreakBefore w:val="0"/>
        <w:bidi w:val="0"/>
        <w:ind w:firstLine="480"/>
        <w:outlineLvl w:val="9"/>
        <w:rPr>
          <w:rFonts w:hAnsi="宋体"/>
          <w:sz w:val="24"/>
          <w:szCs w:val="24"/>
          <w:u w:val="single"/>
        </w:rPr>
      </w:pPr>
      <w:r>
        <w:rPr>
          <w:rFonts w:hint="eastAsia" w:hAnsi="宋体"/>
          <w:sz w:val="24"/>
          <w:szCs w:val="24"/>
        </w:rPr>
        <w:t>法定代表人/被授权人（</w:t>
      </w:r>
      <w:r>
        <w:rPr>
          <w:rFonts w:hint="eastAsia" w:cs="仿宋" w:asciiTheme="minorEastAsia" w:hAnsiTheme="minorEastAsia"/>
          <w:sz w:val="24"/>
        </w:rPr>
        <w:t>签字或盖章</w:t>
      </w:r>
      <w:r>
        <w:rPr>
          <w:rFonts w:hint="eastAsia" w:hAnsi="宋体"/>
          <w:sz w:val="24"/>
          <w:szCs w:val="24"/>
        </w:rPr>
        <w:t>）：</w:t>
      </w:r>
      <w:r>
        <w:rPr>
          <w:rFonts w:hint="eastAsia" w:cs="仿宋" w:asciiTheme="minorEastAsia" w:hAnsiTheme="minorEastAsia"/>
          <w:sz w:val="24"/>
          <w:u w:val="single"/>
        </w:rPr>
        <w:t xml:space="preserve">         </w:t>
      </w:r>
      <w:r>
        <w:rPr>
          <w:rFonts w:hint="eastAsia" w:hAnsi="宋体"/>
          <w:sz w:val="24"/>
          <w:szCs w:val="24"/>
        </w:rPr>
        <w:t xml:space="preserve">                                                        </w:t>
      </w:r>
    </w:p>
    <w:p>
      <w:pPr>
        <w:pStyle w:val="22"/>
        <w:pageBreakBefore w:val="0"/>
        <w:bidi w:val="0"/>
        <w:outlineLvl w:val="9"/>
      </w:pPr>
    </w:p>
    <w:p>
      <w:pPr>
        <w:pageBreakBefore w:val="0"/>
        <w:bidi w:val="0"/>
        <w:spacing w:line="360" w:lineRule="atLeast"/>
        <w:jc w:val="center"/>
        <w:outlineLvl w:val="9"/>
        <w:rPr>
          <w:rFonts w:hint="eastAsia" w:cs="仿宋" w:asciiTheme="minorEastAsia" w:hAnsiTheme="minorEastAsia"/>
          <w:b/>
          <w:sz w:val="32"/>
          <w:szCs w:val="32"/>
        </w:rPr>
        <w:sectPr>
          <w:headerReference r:id="rId15" w:type="first"/>
          <w:footerReference r:id="rId17" w:type="first"/>
          <w:headerReference r:id="rId14" w:type="default"/>
          <w:footerReference r:id="rId16"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七、</w:t>
      </w:r>
      <w:r>
        <w:rPr>
          <w:rFonts w:hint="eastAsia" w:cs="仿宋" w:asciiTheme="minorEastAsia" w:hAnsiTheme="minorEastAsia"/>
          <w:b/>
          <w:sz w:val="32"/>
          <w:szCs w:val="32"/>
        </w:rPr>
        <w:t>法定代表人</w:t>
      </w:r>
      <w:r>
        <w:rPr>
          <w:rFonts w:hint="eastAsia" w:cs="仿宋" w:asciiTheme="minorEastAsia" w:hAnsiTheme="minorEastAsia"/>
          <w:b/>
          <w:sz w:val="32"/>
          <w:szCs w:val="32"/>
          <w:lang w:val="en-US" w:eastAsia="zh-CN"/>
        </w:rPr>
        <w:t>身份</w:t>
      </w:r>
      <w:r>
        <w:rPr>
          <w:rFonts w:hint="eastAsia" w:cs="仿宋" w:asciiTheme="minorEastAsia" w:hAnsiTheme="minorEastAsia"/>
          <w:b/>
          <w:sz w:val="32"/>
          <w:szCs w:val="32"/>
        </w:rPr>
        <w:t>证明与授权</w:t>
      </w:r>
      <w:r>
        <w:rPr>
          <w:rFonts w:hint="eastAsia" w:cs="仿宋" w:asciiTheme="minorEastAsia" w:hAnsiTheme="minorEastAsia"/>
          <w:b/>
          <w:sz w:val="32"/>
          <w:szCs w:val="32"/>
          <w:lang w:val="en-US" w:eastAsia="zh-CN"/>
        </w:rPr>
        <w:t>委托</w:t>
      </w:r>
      <w:r>
        <w:rPr>
          <w:rFonts w:hint="eastAsia" w:cs="仿宋" w:asciiTheme="minorEastAsia" w:hAnsiTheme="minorEastAsia"/>
          <w:b/>
          <w:sz w:val="32"/>
          <w:szCs w:val="32"/>
        </w:rPr>
        <w:t>书</w:t>
      </w:r>
    </w:p>
    <w:p>
      <w:pPr>
        <w:pageBreakBefore w:val="0"/>
        <w:tabs>
          <w:tab w:val="left" w:pos="210"/>
        </w:tabs>
        <w:bidi w:val="0"/>
        <w:spacing w:line="320" w:lineRule="exact"/>
        <w:jc w:val="center"/>
        <w:outlineLvl w:val="9"/>
        <w:rPr>
          <w:rFonts w:cs="仿宋" w:asciiTheme="minorEastAsia" w:hAnsiTheme="minorEastAsia"/>
          <w:b/>
          <w:color w:val="000000"/>
          <w:kern w:val="0"/>
          <w:sz w:val="32"/>
          <w:szCs w:val="32"/>
        </w:rPr>
      </w:pPr>
    </w:p>
    <w:p>
      <w:pPr>
        <w:pageBreakBefore w:val="0"/>
        <w:tabs>
          <w:tab w:val="left" w:pos="210"/>
        </w:tabs>
        <w:bidi w:val="0"/>
        <w:spacing w:line="320" w:lineRule="exact"/>
        <w:jc w:val="center"/>
        <w:outlineLvl w:val="9"/>
        <w:rPr>
          <w:rFonts w:cs="仿宋" w:asciiTheme="minorEastAsia" w:hAnsiTheme="minorEastAsia"/>
          <w:b/>
          <w:color w:val="000000"/>
          <w:kern w:val="0"/>
          <w:sz w:val="32"/>
          <w:szCs w:val="32"/>
        </w:rPr>
      </w:pPr>
      <w:r>
        <w:rPr>
          <w:rFonts w:hint="eastAsia" w:cs="仿宋" w:asciiTheme="minorEastAsia" w:hAnsiTheme="minorEastAsia"/>
          <w:b/>
          <w:color w:val="000000"/>
          <w:kern w:val="0"/>
          <w:sz w:val="32"/>
          <w:szCs w:val="32"/>
        </w:rPr>
        <w:t>法定代表人</w:t>
      </w:r>
      <w:r>
        <w:rPr>
          <w:rFonts w:hint="eastAsia" w:cs="仿宋" w:asciiTheme="minorEastAsia" w:hAnsiTheme="minorEastAsia"/>
          <w:b/>
          <w:color w:val="000000"/>
          <w:kern w:val="0"/>
          <w:sz w:val="32"/>
          <w:szCs w:val="32"/>
          <w:lang w:val="en-US" w:eastAsia="zh-CN"/>
        </w:rPr>
        <w:t>身份</w:t>
      </w:r>
      <w:r>
        <w:rPr>
          <w:rFonts w:hint="eastAsia" w:cs="仿宋" w:asciiTheme="minorEastAsia" w:hAnsiTheme="minorEastAsia"/>
          <w:b/>
          <w:color w:val="000000"/>
          <w:kern w:val="0"/>
          <w:sz w:val="32"/>
          <w:szCs w:val="32"/>
        </w:rPr>
        <w:t>证明</w:t>
      </w:r>
    </w:p>
    <w:p>
      <w:pPr>
        <w:pageBreakBefore w:val="0"/>
        <w:bidi w:val="0"/>
        <w:spacing w:line="560" w:lineRule="exact"/>
        <w:ind w:firstLine="307" w:firstLineChars="128"/>
        <w:outlineLvl w:val="9"/>
        <w:rPr>
          <w:rFonts w:asciiTheme="minorEastAsia" w:hAnsiTheme="minorEastAsia" w:cstheme="minorEastAsia"/>
          <w:color w:val="000000"/>
          <w:sz w:val="24"/>
          <w:u w:val="thick"/>
        </w:rPr>
      </w:pPr>
      <w:r>
        <w:rPr>
          <w:rFonts w:hint="eastAsia" w:asciiTheme="minorEastAsia" w:hAnsiTheme="minorEastAsia" w:cstheme="minorEastAsia"/>
          <w:sz w:val="24"/>
        </w:rPr>
        <w:t>单位名称：</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FFFFFF"/>
          <w:sz w:val="24"/>
          <w:u w:val="single"/>
        </w:rPr>
        <w:t>.</w:t>
      </w:r>
    </w:p>
    <w:p>
      <w:pPr>
        <w:pageBreakBefore w:val="0"/>
        <w:bidi w:val="0"/>
        <w:spacing w:line="560" w:lineRule="exact"/>
        <w:ind w:firstLine="307" w:firstLineChars="128"/>
        <w:outlineLvl w:val="9"/>
        <w:rPr>
          <w:rFonts w:asciiTheme="minorEastAsia" w:hAnsiTheme="minorEastAsia" w:cstheme="minorEastAsia"/>
          <w:color w:val="000000"/>
          <w:sz w:val="24"/>
        </w:rPr>
      </w:pPr>
      <w:r>
        <w:rPr>
          <w:rFonts w:hint="eastAsia" w:asciiTheme="minorEastAsia" w:hAnsiTheme="minorEastAsia" w:cstheme="minorEastAsia"/>
          <w:sz w:val="24"/>
        </w:rPr>
        <w:t>单位性质：</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FFFFFF"/>
          <w:sz w:val="24"/>
          <w:u w:val="thick"/>
        </w:rPr>
        <w:t>.</w:t>
      </w:r>
    </w:p>
    <w:p>
      <w:pPr>
        <w:pageBreakBefore w:val="0"/>
        <w:bidi w:val="0"/>
        <w:spacing w:line="560" w:lineRule="exact"/>
        <w:ind w:firstLine="307" w:firstLineChars="128"/>
        <w:outlineLvl w:val="9"/>
        <w:rPr>
          <w:rFonts w:asciiTheme="minorEastAsia" w:hAnsiTheme="minorEastAsia" w:cstheme="minorEastAsia"/>
          <w:color w:val="000000"/>
          <w:sz w:val="24"/>
          <w:u w:val="thick"/>
        </w:rPr>
      </w:pPr>
      <w:r>
        <w:rPr>
          <w:rFonts w:hint="eastAsia" w:asciiTheme="minorEastAsia" w:hAnsiTheme="minorEastAsia" w:cstheme="minorEastAsia"/>
          <w:sz w:val="24"/>
        </w:rPr>
        <w:t>地    址：</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FFFFFF"/>
          <w:sz w:val="24"/>
          <w:u w:val="thick"/>
        </w:rPr>
        <w:t>.</w:t>
      </w:r>
    </w:p>
    <w:p>
      <w:pPr>
        <w:pageBreakBefore w:val="0"/>
        <w:bidi w:val="0"/>
        <w:spacing w:line="560" w:lineRule="exact"/>
        <w:ind w:firstLine="307" w:firstLineChars="128"/>
        <w:outlineLvl w:val="9"/>
        <w:rPr>
          <w:rFonts w:asciiTheme="minorEastAsia" w:hAnsiTheme="minorEastAsia" w:cstheme="minorEastAsia"/>
          <w:color w:val="000000"/>
          <w:sz w:val="24"/>
        </w:rPr>
      </w:pPr>
      <w:r>
        <w:rPr>
          <w:rFonts w:hint="eastAsia" w:asciiTheme="minorEastAsia" w:hAnsiTheme="minorEastAsia" w:cstheme="minorEastAsia"/>
          <w:sz w:val="24"/>
        </w:rPr>
        <w:t>成立时间：</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日</w:t>
      </w:r>
    </w:p>
    <w:p>
      <w:pPr>
        <w:pageBreakBefore w:val="0"/>
        <w:bidi w:val="0"/>
        <w:spacing w:line="560" w:lineRule="exact"/>
        <w:ind w:firstLine="307" w:firstLineChars="128"/>
        <w:outlineLvl w:val="9"/>
        <w:rPr>
          <w:rFonts w:asciiTheme="minorEastAsia" w:hAnsiTheme="minorEastAsia" w:cstheme="minorEastAsia"/>
          <w:color w:val="000000"/>
          <w:sz w:val="24"/>
        </w:rPr>
      </w:pPr>
      <w:r>
        <w:rPr>
          <w:rFonts w:hint="eastAsia" w:asciiTheme="minorEastAsia" w:hAnsiTheme="minorEastAsia" w:cstheme="minorEastAsia"/>
          <w:sz w:val="24"/>
        </w:rPr>
        <w:t>经营期限：</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FFFFFF"/>
          <w:sz w:val="24"/>
          <w:u w:val="single"/>
        </w:rPr>
        <w:t>.</w:t>
      </w:r>
    </w:p>
    <w:p>
      <w:pPr>
        <w:pageBreakBefore w:val="0"/>
        <w:bidi w:val="0"/>
        <w:spacing w:line="560" w:lineRule="exact"/>
        <w:ind w:firstLine="307" w:firstLineChars="128"/>
        <w:outlineLvl w:val="9"/>
        <w:rPr>
          <w:rFonts w:asciiTheme="minorEastAsia" w:hAnsiTheme="minorEastAsia" w:cstheme="minorEastAsia"/>
          <w:color w:val="000000"/>
          <w:sz w:val="24"/>
          <w:u w:val="thick"/>
        </w:rPr>
      </w:pPr>
      <w:r>
        <w:rPr>
          <w:rFonts w:hint="eastAsia" w:asciiTheme="minorEastAsia" w:hAnsiTheme="minorEastAsia" w:cstheme="minorEastAsia"/>
          <w:sz w:val="24"/>
        </w:rPr>
        <w:t>姓    名</w:t>
      </w:r>
      <w:r>
        <w:rPr>
          <w:rFonts w:hint="eastAsia" w:asciiTheme="minorEastAsia" w:hAnsiTheme="minorEastAsia" w:cstheme="minorEastAsia"/>
          <w:color w:val="000000"/>
          <w:sz w:val="24"/>
        </w:rPr>
        <w:t>：</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性别：</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年龄：</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职务：</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FFFFFF"/>
          <w:sz w:val="24"/>
          <w:u w:val="single"/>
        </w:rPr>
        <w:t>.</w:t>
      </w:r>
    </w:p>
    <w:p>
      <w:pPr>
        <w:pageBreakBefore w:val="0"/>
        <w:bidi w:val="0"/>
        <w:spacing w:line="560" w:lineRule="exact"/>
        <w:outlineLvl w:val="9"/>
        <w:rPr>
          <w:rFonts w:asciiTheme="minorEastAsia" w:hAnsiTheme="minorEastAsia" w:cstheme="minorEastAsia"/>
          <w:color w:val="000000"/>
          <w:sz w:val="24"/>
        </w:rPr>
      </w:pPr>
      <w:r>
        <w:rPr>
          <w:rFonts w:hint="eastAsia" w:asciiTheme="minorEastAsia" w:hAnsiTheme="minorEastAsia" w:cstheme="minorEastAsia"/>
          <w:sz w:val="24"/>
        </w:rPr>
        <w:t>系</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rPr>
        <w:t>的法定代表人。</w:t>
      </w:r>
    </w:p>
    <w:p>
      <w:pPr>
        <w:pageBreakBefore w:val="0"/>
        <w:bidi w:val="0"/>
        <w:spacing w:line="560" w:lineRule="exact"/>
        <w:ind w:firstLine="307" w:firstLineChars="128"/>
        <w:outlineLvl w:val="9"/>
        <w:rPr>
          <w:rFonts w:asciiTheme="minorEastAsia" w:hAnsiTheme="minorEastAsia" w:cstheme="minorEastAsia"/>
          <w:sz w:val="24"/>
        </w:rPr>
      </w:pPr>
      <w:r>
        <w:rPr>
          <w:rFonts w:hint="eastAsia" w:asciiTheme="minorEastAsia" w:hAnsiTheme="minorEastAsia" w:cstheme="minorEastAsia"/>
          <w:sz w:val="24"/>
        </w:rPr>
        <w:t>特此证明。</w:t>
      </w:r>
    </w:p>
    <w:p>
      <w:pPr>
        <w:pageBreakBefore w:val="0"/>
        <w:bidi w:val="0"/>
        <w:spacing w:line="560" w:lineRule="exact"/>
        <w:outlineLvl w:val="9"/>
        <w:rPr>
          <w:rFonts w:asciiTheme="minorEastAsia" w:hAnsiTheme="minorEastAsia" w:cstheme="minorEastAsia"/>
          <w:color w:val="000000"/>
          <w:sz w:val="24"/>
        </w:rPr>
      </w:pPr>
      <w:r>
        <w:rPr>
          <w:rFonts w:hint="eastAsia" w:asciiTheme="minorEastAsia" w:hAnsiTheme="minorEastAsia" w:cstheme="minorEastAsia"/>
          <w:color w:val="000000"/>
          <w:sz w:val="24"/>
        </w:rPr>
        <w:t>（后附法定代表人身份证正反面）</w:t>
      </w:r>
    </w:p>
    <w:p>
      <w:pPr>
        <w:pStyle w:val="22"/>
        <w:pageBreakBefore w:val="0"/>
        <w:bidi w:val="0"/>
        <w:outlineLvl w:val="9"/>
        <w:rPr>
          <w:rFonts w:asciiTheme="minorEastAsia" w:hAnsiTheme="minorEastAsia" w:eastAsiaTheme="minorEastAsia" w:cstheme="minorEastAsia"/>
        </w:rPr>
      </w:pPr>
    </w:p>
    <w:tbl>
      <w:tblPr>
        <w:tblStyle w:val="2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法定代表人身份证复印件</w:t>
            </w:r>
          </w:p>
        </w:tc>
        <w:tc>
          <w:tcPr>
            <w:tcW w:w="4130"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法定代表人身份证复印件</w:t>
            </w:r>
          </w:p>
        </w:tc>
      </w:tr>
    </w:tbl>
    <w:p>
      <w:pPr>
        <w:pageBreakBefore w:val="0"/>
        <w:autoSpaceDE w:val="0"/>
        <w:autoSpaceDN w:val="0"/>
        <w:bidi w:val="0"/>
        <w:adjustRightInd w:val="0"/>
        <w:jc w:val="center"/>
        <w:outlineLvl w:val="9"/>
        <w:rPr>
          <w:rFonts w:asciiTheme="minorEastAsia" w:hAnsiTheme="minorEastAsia" w:cstheme="minorEastAsia"/>
          <w:sz w:val="24"/>
        </w:rPr>
      </w:pPr>
    </w:p>
    <w:p>
      <w:pPr>
        <w:pageBreakBefore w:val="0"/>
        <w:autoSpaceDE w:val="0"/>
        <w:autoSpaceDN w:val="0"/>
        <w:bidi w:val="0"/>
        <w:adjustRightInd w:val="0"/>
        <w:jc w:val="center"/>
        <w:outlineLvl w:val="9"/>
        <w:rPr>
          <w:rFonts w:asciiTheme="minorEastAsia" w:hAnsiTheme="minorEastAsia" w:cstheme="minorEastAsia"/>
          <w:sz w:val="24"/>
          <w:u w:val="single"/>
          <w:lang w:val="zh-CN"/>
        </w:rPr>
      </w:pPr>
      <w:r>
        <w:rPr>
          <w:rFonts w:hint="eastAsia" w:asciiTheme="minorEastAsia" w:hAnsiTheme="minorEastAsia" w:cstheme="minorEastAsia"/>
          <w:sz w:val="24"/>
        </w:rPr>
        <w:t xml:space="preserve">                   投    标    人</w:t>
      </w:r>
      <w:r>
        <w:rPr>
          <w:rFonts w:hint="eastAsia" w:asciiTheme="minorEastAsia" w:hAnsiTheme="minorEastAsia" w:cstheme="minorEastAsia"/>
          <w:sz w:val="24"/>
          <w:lang w:val="zh-CN"/>
        </w:rPr>
        <w:t>：</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lang w:val="zh-CN"/>
        </w:rPr>
        <w:t>（盖单位公章）</w:t>
      </w:r>
    </w:p>
    <w:p>
      <w:pPr>
        <w:pageBreakBefore w:val="0"/>
        <w:autoSpaceDE w:val="0"/>
        <w:autoSpaceDN w:val="0"/>
        <w:bidi w:val="0"/>
        <w:adjustRightInd w:val="0"/>
        <w:outlineLvl w:val="9"/>
        <w:rPr>
          <w:rFonts w:asciiTheme="minorEastAsia" w:hAnsiTheme="minorEastAsia" w:cstheme="minorEastAsia"/>
          <w:sz w:val="24"/>
          <w:lang w:val="zh-CN"/>
        </w:rPr>
      </w:pPr>
    </w:p>
    <w:p>
      <w:pPr>
        <w:pageBreakBefore w:val="0"/>
        <w:autoSpaceDE w:val="0"/>
        <w:autoSpaceDN w:val="0"/>
        <w:bidi w:val="0"/>
        <w:adjustRightInd w:val="0"/>
        <w:ind w:firstLine="2400" w:firstLineChars="1000"/>
        <w:outlineLvl w:val="9"/>
        <w:rPr>
          <w:rFonts w:asciiTheme="minorEastAsia" w:hAnsiTheme="minorEastAsia" w:cstheme="minorEastAsia"/>
          <w:sz w:val="24"/>
          <w:u w:val="single"/>
          <w:lang w:val="zh-CN"/>
        </w:rPr>
      </w:pPr>
      <w:r>
        <w:rPr>
          <w:rFonts w:hint="eastAsia" w:asciiTheme="minorEastAsia" w:hAnsiTheme="minorEastAsia" w:cstheme="minorEastAsia"/>
          <w:sz w:val="24"/>
          <w:lang w:val="zh-CN"/>
        </w:rPr>
        <w:t>法定代表人或其委托代理人：</w:t>
      </w: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sz w:val="24"/>
          <w:lang w:val="zh-CN"/>
        </w:rPr>
        <w:t>（</w:t>
      </w:r>
      <w:r>
        <w:rPr>
          <w:rFonts w:hint="eastAsia" w:asciiTheme="minorEastAsia" w:hAnsiTheme="minorEastAsia" w:cstheme="minorEastAsia"/>
          <w:sz w:val="24"/>
          <w:lang w:val="en-US" w:eastAsia="zh-CN"/>
        </w:rPr>
        <w:t>签字或盖章</w:t>
      </w:r>
      <w:r>
        <w:rPr>
          <w:rFonts w:hint="eastAsia" w:asciiTheme="minorEastAsia" w:hAnsiTheme="minorEastAsia" w:cstheme="minorEastAsia"/>
          <w:sz w:val="24"/>
          <w:lang w:val="zh-CN"/>
        </w:rPr>
        <w:t>）</w:t>
      </w:r>
    </w:p>
    <w:p>
      <w:pPr>
        <w:pageBreakBefore w:val="0"/>
        <w:autoSpaceDE w:val="0"/>
        <w:autoSpaceDN w:val="0"/>
        <w:bidi w:val="0"/>
        <w:adjustRightInd w:val="0"/>
        <w:jc w:val="right"/>
        <w:outlineLvl w:val="9"/>
        <w:rPr>
          <w:rFonts w:asciiTheme="minorEastAsia" w:hAnsiTheme="minorEastAsia" w:cstheme="minorEastAsia"/>
          <w:sz w:val="24"/>
        </w:rPr>
      </w:pPr>
    </w:p>
    <w:p>
      <w:pPr>
        <w:pageBreakBefore w:val="0"/>
        <w:bidi w:val="0"/>
        <w:jc w:val="center"/>
        <w:outlineLvl w:val="9"/>
        <w:rPr>
          <w:rFonts w:asciiTheme="minorEastAsia" w:hAnsiTheme="minorEastAsia" w:cstheme="minorEastAsia"/>
          <w:sz w:val="28"/>
          <w:szCs w:val="28"/>
        </w:rPr>
      </w:pPr>
      <w:r>
        <w:rPr>
          <w:rFonts w:hint="eastAsia" w:asciiTheme="minorEastAsia" w:hAnsiTheme="minorEastAsia" w:cstheme="minorEastAsia"/>
          <w:sz w:val="24"/>
        </w:rPr>
        <w:t xml:space="preserve">          </w:t>
      </w:r>
      <w:r>
        <w:rPr>
          <w:rFonts w:hint="eastAsia" w:asciiTheme="minorEastAsia" w:hAnsiTheme="minorEastAsia" w:cstheme="minorEastAsia"/>
          <w:sz w:val="24"/>
          <w:lang w:val="zh-CN"/>
        </w:rPr>
        <w:t xml:space="preserve">日      </w:t>
      </w:r>
      <w:r>
        <w:rPr>
          <w:rFonts w:hint="eastAsia" w:asciiTheme="minorEastAsia" w:hAnsiTheme="minorEastAsia" w:cstheme="minorEastAsia"/>
          <w:sz w:val="24"/>
        </w:rPr>
        <w:t xml:space="preserve"> </w:t>
      </w:r>
      <w:r>
        <w:rPr>
          <w:rFonts w:hint="eastAsia" w:asciiTheme="minorEastAsia" w:hAnsiTheme="minorEastAsia" w:cstheme="minorEastAsia"/>
          <w:sz w:val="24"/>
          <w:lang w:val="zh-CN"/>
        </w:rPr>
        <w:t xml:space="preserve"> 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pageBreakBefore w:val="0"/>
        <w:tabs>
          <w:tab w:val="left" w:pos="210"/>
        </w:tabs>
        <w:bidi w:val="0"/>
        <w:spacing w:line="320" w:lineRule="exact"/>
        <w:jc w:val="center"/>
        <w:outlineLvl w:val="9"/>
        <w:rPr>
          <w:rFonts w:cs="仿宋" w:asciiTheme="minorEastAsia" w:hAnsiTheme="minorEastAsia"/>
          <w:b/>
          <w:kern w:val="0"/>
          <w:sz w:val="32"/>
          <w:szCs w:val="32"/>
        </w:rPr>
      </w:pPr>
    </w:p>
    <w:p>
      <w:pPr>
        <w:pageBreakBefore w:val="0"/>
        <w:tabs>
          <w:tab w:val="left" w:pos="210"/>
        </w:tabs>
        <w:bidi w:val="0"/>
        <w:spacing w:line="320" w:lineRule="exact"/>
        <w:jc w:val="center"/>
        <w:outlineLvl w:val="9"/>
        <w:rPr>
          <w:rFonts w:cs="仿宋" w:asciiTheme="minorEastAsia" w:hAnsiTheme="minorEastAsia"/>
          <w:b/>
          <w:color w:val="000000"/>
          <w:kern w:val="0"/>
          <w:sz w:val="32"/>
          <w:szCs w:val="32"/>
        </w:rPr>
      </w:pPr>
    </w:p>
    <w:p>
      <w:pPr>
        <w:pageBreakBefore w:val="0"/>
        <w:tabs>
          <w:tab w:val="left" w:pos="210"/>
        </w:tabs>
        <w:bidi w:val="0"/>
        <w:spacing w:line="320" w:lineRule="exact"/>
        <w:jc w:val="center"/>
        <w:outlineLvl w:val="9"/>
        <w:rPr>
          <w:rFonts w:cs="仿宋" w:asciiTheme="minorEastAsia" w:hAnsiTheme="minorEastAsia"/>
          <w:b/>
          <w:kern w:val="0"/>
          <w:sz w:val="32"/>
          <w:szCs w:val="32"/>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tabs>
          <w:tab w:val="left" w:pos="210"/>
        </w:tabs>
        <w:bidi w:val="0"/>
        <w:spacing w:line="320" w:lineRule="exact"/>
        <w:jc w:val="center"/>
        <w:outlineLvl w:val="9"/>
        <w:rPr>
          <w:rFonts w:cs="仿宋" w:asciiTheme="minorEastAsia" w:hAnsiTheme="minorEastAsia"/>
          <w:b/>
          <w:kern w:val="0"/>
          <w:sz w:val="32"/>
          <w:szCs w:val="32"/>
        </w:rPr>
      </w:pPr>
    </w:p>
    <w:p>
      <w:pPr>
        <w:pageBreakBefore w:val="0"/>
        <w:tabs>
          <w:tab w:val="left" w:pos="210"/>
        </w:tabs>
        <w:bidi w:val="0"/>
        <w:spacing w:line="240" w:lineRule="auto"/>
        <w:jc w:val="center"/>
        <w:outlineLvl w:val="9"/>
        <w:rPr>
          <w:rFonts w:cs="仿宋" w:asciiTheme="minorEastAsia" w:hAnsiTheme="minorEastAsia"/>
          <w:spacing w:val="-6"/>
          <w:sz w:val="24"/>
        </w:rPr>
      </w:pPr>
      <w:r>
        <w:rPr>
          <w:rFonts w:hint="eastAsia" w:cs="仿宋" w:asciiTheme="minorEastAsia" w:hAnsiTheme="minorEastAsia"/>
          <w:b/>
          <w:kern w:val="0"/>
          <w:sz w:val="32"/>
          <w:szCs w:val="32"/>
        </w:rPr>
        <w:t>法定代表人授权委托书</w:t>
      </w:r>
    </w:p>
    <w:p>
      <w:pPr>
        <w:pStyle w:val="13"/>
        <w:pageBreakBefore w:val="0"/>
        <w:bidi w:val="0"/>
        <w:spacing w:line="500" w:lineRule="exact"/>
        <w:outlineLvl w:val="9"/>
        <w:rPr>
          <w:rFonts w:hAnsi="宋体"/>
          <w:b/>
          <w:bCs/>
          <w:sz w:val="24"/>
          <w:szCs w:val="24"/>
        </w:rPr>
      </w:pPr>
      <w:r>
        <w:rPr>
          <w:rFonts w:hint="eastAsia" w:hAnsi="宋体"/>
          <w:sz w:val="24"/>
          <w:szCs w:val="24"/>
          <w:lang w:val="en-US" w:eastAsia="zh-CN"/>
        </w:rPr>
        <w:t>华鼎工程咨询集团有限公司</w:t>
      </w:r>
      <w:r>
        <w:rPr>
          <w:rFonts w:hint="eastAsia" w:hAnsi="宋体"/>
          <w:sz w:val="24"/>
          <w:szCs w:val="24"/>
        </w:rPr>
        <w:t>：</w:t>
      </w:r>
    </w:p>
    <w:p>
      <w:pPr>
        <w:pStyle w:val="13"/>
        <w:pageBreakBefore w:val="0"/>
        <w:bidi w:val="0"/>
        <w:spacing w:line="500" w:lineRule="exact"/>
        <w:ind w:left="-120" w:leftChars="-57" w:firstLine="600" w:firstLineChars="250"/>
        <w:outlineLvl w:val="9"/>
        <w:rPr>
          <w:rFonts w:hint="eastAsia"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w:t>
      </w:r>
      <w:r>
        <w:rPr>
          <w:rFonts w:hint="eastAsia" w:hAnsi="宋体"/>
          <w:sz w:val="24"/>
          <w:szCs w:val="24"/>
        </w:rPr>
        <w:t>授权</w:t>
      </w:r>
      <w:r>
        <w:rPr>
          <w:rFonts w:hint="eastAsia" w:hAnsi="宋体"/>
          <w:sz w:val="24"/>
        </w:rPr>
        <w:t>本公司的</w:t>
      </w:r>
      <w:r>
        <w:rPr>
          <w:rFonts w:hint="eastAsia" w:hAnsi="宋体"/>
          <w:sz w:val="24"/>
          <w:szCs w:val="24"/>
          <w:u w:val="single"/>
        </w:rPr>
        <w:t>（被授权人姓名、性别、职务）</w:t>
      </w:r>
      <w:r>
        <w:rPr>
          <w:rFonts w:hint="eastAsia" w:hAnsi="宋体"/>
          <w:sz w:val="24"/>
          <w:szCs w:val="24"/>
        </w:rPr>
        <w:t>为合法代理人，就贵方组织的有关</w:t>
      </w:r>
      <w:r>
        <w:rPr>
          <w:rFonts w:hint="eastAsia" w:hAnsi="宋体"/>
          <w:sz w:val="24"/>
          <w:szCs w:val="24"/>
          <w:u w:val="single"/>
        </w:rPr>
        <w:t>（招标项目名称）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）的投标、洽谈、执行等具体事务，签署全部有关投标文件、文书、协议、合同，本公司对被授权人在本项目中的签名承担全部法律责任。</w:t>
      </w:r>
    </w:p>
    <w:p>
      <w:pPr>
        <w:pStyle w:val="13"/>
        <w:pageBreakBefore w:val="0"/>
        <w:bidi w:val="0"/>
        <w:spacing w:line="500" w:lineRule="exact"/>
        <w:ind w:left="-120" w:leftChars="-57" w:firstLine="600" w:firstLineChars="250"/>
        <w:outlineLvl w:val="9"/>
        <w:rPr>
          <w:rFonts w:hAnsi="宋体"/>
          <w:sz w:val="24"/>
          <w:szCs w:val="24"/>
        </w:rPr>
      </w:pPr>
      <w:r>
        <w:rPr>
          <w:rFonts w:hint="eastAsia" w:hAnsi="宋体"/>
          <w:sz w:val="24"/>
          <w:szCs w:val="24"/>
        </w:rPr>
        <w:t>本授权书自签发日期起计算有效期为</w:t>
      </w:r>
      <w:r>
        <w:rPr>
          <w:rFonts w:hint="eastAsia" w:hAnsi="宋体"/>
          <w:sz w:val="24"/>
          <w:szCs w:val="24"/>
          <w:u w:val="single"/>
        </w:rPr>
        <w:t xml:space="preserve">       </w:t>
      </w:r>
      <w:r>
        <w:rPr>
          <w:rFonts w:hint="eastAsia" w:hAnsi="宋体"/>
          <w:sz w:val="24"/>
          <w:szCs w:val="24"/>
          <w:u w:val="none"/>
          <w:lang w:val="en-US" w:eastAsia="zh-CN"/>
        </w:rPr>
        <w:t>日历</w:t>
      </w:r>
      <w:r>
        <w:rPr>
          <w:rFonts w:hint="eastAsia" w:hAnsi="宋体"/>
          <w:sz w:val="24"/>
          <w:szCs w:val="24"/>
          <w:u w:val="none"/>
        </w:rPr>
        <w:t xml:space="preserve">天 </w:t>
      </w:r>
      <w:r>
        <w:rPr>
          <w:rFonts w:hint="eastAsia" w:hAnsi="宋体"/>
          <w:sz w:val="24"/>
          <w:szCs w:val="24"/>
        </w:rPr>
        <w:t>。</w:t>
      </w:r>
    </w:p>
    <w:p>
      <w:pPr>
        <w:pStyle w:val="13"/>
        <w:pageBreakBefore w:val="0"/>
        <w:bidi w:val="0"/>
        <w:spacing w:line="500" w:lineRule="exact"/>
        <w:ind w:firstLine="480" w:firstLineChars="200"/>
        <w:outlineLvl w:val="9"/>
        <w:rPr>
          <w:rFonts w:hAnsi="宋体"/>
          <w:sz w:val="24"/>
          <w:szCs w:val="24"/>
        </w:rPr>
      </w:pPr>
      <w:r>
        <w:rPr>
          <w:rFonts w:hint="eastAsia" w:hAnsi="宋体"/>
          <w:sz w:val="24"/>
          <w:szCs w:val="24"/>
        </w:rPr>
        <w:t>委托单位（公章）：</w:t>
      </w:r>
      <w:r>
        <w:rPr>
          <w:rFonts w:hint="eastAsia" w:hAnsi="宋体"/>
          <w:sz w:val="24"/>
          <w:szCs w:val="24"/>
          <w:u w:val="single"/>
        </w:rPr>
        <w:t xml:space="preserve">                 </w:t>
      </w:r>
      <w:r>
        <w:rPr>
          <w:rFonts w:hint="eastAsia" w:hAnsi="宋体"/>
          <w:sz w:val="24"/>
          <w:szCs w:val="24"/>
        </w:rPr>
        <w:t xml:space="preserve">     法定代表人（签字或盖章）：</w:t>
      </w:r>
    </w:p>
    <w:p>
      <w:pPr>
        <w:pStyle w:val="13"/>
        <w:pageBreakBefore w:val="0"/>
        <w:bidi w:val="0"/>
        <w:spacing w:line="500" w:lineRule="exact"/>
        <w:ind w:firstLine="480" w:firstLineChars="200"/>
        <w:outlineLvl w:val="9"/>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13"/>
        <w:pageBreakBefore w:val="0"/>
        <w:bidi w:val="0"/>
        <w:spacing w:line="500" w:lineRule="exact"/>
        <w:ind w:firstLine="480" w:firstLineChars="200"/>
        <w:outlineLvl w:val="9"/>
        <w:rPr>
          <w:rFonts w:hAnsi="宋体"/>
          <w:sz w:val="24"/>
          <w:szCs w:val="24"/>
        </w:rPr>
      </w:pPr>
      <w:r>
        <w:rPr>
          <w:rFonts w:hint="eastAsia" w:hAnsi="宋体"/>
          <w:sz w:val="24"/>
          <w:szCs w:val="24"/>
        </w:rPr>
        <w:t>附：被授权人（签字）：</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pStyle w:val="13"/>
        <w:pageBreakBefore w:val="0"/>
        <w:bidi w:val="0"/>
        <w:spacing w:line="500" w:lineRule="exact"/>
        <w:ind w:firstLine="960" w:firstLineChars="400"/>
        <w:outlineLvl w:val="9"/>
        <w:rPr>
          <w:rFonts w:hAnsi="宋体"/>
          <w:sz w:val="24"/>
          <w:szCs w:val="24"/>
          <w:u w:val="single"/>
        </w:rPr>
      </w:pPr>
      <w:r>
        <w:rPr>
          <w:rFonts w:hint="eastAsia" w:hAnsi="宋体"/>
          <w:sz w:val="24"/>
          <w:szCs w:val="24"/>
        </w:rPr>
        <w:t>联系地址：</w:t>
      </w:r>
      <w:r>
        <w:rPr>
          <w:rFonts w:hint="eastAsia" w:hAnsi="宋体"/>
          <w:sz w:val="24"/>
          <w:szCs w:val="24"/>
          <w:u w:val="single"/>
        </w:rPr>
        <w:t xml:space="preserve">                                                       </w:t>
      </w:r>
    </w:p>
    <w:p>
      <w:pPr>
        <w:pStyle w:val="13"/>
        <w:pageBreakBefore w:val="0"/>
        <w:bidi w:val="0"/>
        <w:spacing w:line="500" w:lineRule="exact"/>
        <w:ind w:firstLine="960" w:firstLineChars="400"/>
        <w:outlineLvl w:val="9"/>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pPr>
        <w:pStyle w:val="13"/>
        <w:pageBreakBefore w:val="0"/>
        <w:bidi w:val="0"/>
        <w:spacing w:line="500" w:lineRule="exact"/>
        <w:ind w:firstLine="2760" w:firstLineChars="1150"/>
        <w:outlineLvl w:val="9"/>
        <w:rPr>
          <w:rFonts w:hAnsi="宋体"/>
          <w:sz w:val="24"/>
          <w:szCs w:val="24"/>
        </w:rPr>
      </w:pPr>
      <w:r>
        <w:rPr>
          <w:rFonts w:hint="eastAsia" w:hAnsi="宋体"/>
          <w:sz w:val="24"/>
          <w:szCs w:val="24"/>
        </w:rPr>
        <w:t>法定代表人/被授权人身份证复印件</w:t>
      </w:r>
    </w:p>
    <w:tbl>
      <w:tblPr>
        <w:tblStyle w:val="2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法定代表人身份证复印件</w:t>
            </w:r>
          </w:p>
        </w:tc>
        <w:tc>
          <w:tcPr>
            <w:tcW w:w="4833"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207" w:hRule="atLeast"/>
          <w:jc w:val="center"/>
        </w:trPr>
        <w:tc>
          <w:tcPr>
            <w:tcW w:w="4834"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法定代表人身份证复印件</w:t>
            </w:r>
          </w:p>
        </w:tc>
        <w:tc>
          <w:tcPr>
            <w:tcW w:w="4833" w:type="dxa"/>
            <w:shd w:val="clear" w:color="auto" w:fill="E0E0E0"/>
            <w:vAlign w:val="center"/>
          </w:tcPr>
          <w:p>
            <w:pPr>
              <w:pStyle w:val="13"/>
              <w:pageBreakBefore w:val="0"/>
              <w:bidi w:val="0"/>
              <w:snapToGrid w:val="0"/>
              <w:spacing w:line="500" w:lineRule="exact"/>
              <w:jc w:val="center"/>
              <w:outlineLvl w:val="9"/>
              <w:rPr>
                <w:rFonts w:hAnsi="宋体"/>
                <w:sz w:val="24"/>
                <w:szCs w:val="24"/>
                <w:shd w:val="pct10" w:color="auto" w:fill="FFFFFF"/>
              </w:rPr>
            </w:pPr>
            <w:r>
              <w:rPr>
                <w:rFonts w:hint="eastAsia" w:hAnsi="宋体"/>
                <w:sz w:val="24"/>
                <w:szCs w:val="24"/>
                <w:shd w:val="pct10" w:color="auto" w:fill="FFFFFF"/>
              </w:rPr>
              <w:t>被授权人身份证复印件</w:t>
            </w:r>
          </w:p>
        </w:tc>
      </w:tr>
    </w:tbl>
    <w:p>
      <w:pPr>
        <w:pStyle w:val="13"/>
        <w:pageBreakBefore w:val="0"/>
        <w:bidi w:val="0"/>
        <w:spacing w:line="500" w:lineRule="exact"/>
        <w:ind w:firstLine="240" w:firstLineChars="100"/>
        <w:outlineLvl w:val="9"/>
        <w:rPr>
          <w:rFonts w:hAnsi="宋体"/>
          <w:sz w:val="24"/>
          <w:szCs w:val="24"/>
        </w:rPr>
      </w:pPr>
      <w:r>
        <w:rPr>
          <w:rFonts w:hint="eastAsia" w:hAnsi="宋体"/>
          <w:sz w:val="24"/>
          <w:szCs w:val="24"/>
        </w:rPr>
        <w:t>说明：</w:t>
      </w:r>
    </w:p>
    <w:p>
      <w:pPr>
        <w:pStyle w:val="13"/>
        <w:pageBreakBefore w:val="0"/>
        <w:bidi w:val="0"/>
        <w:spacing w:line="460" w:lineRule="exact"/>
        <w:ind w:firstLine="720" w:firstLineChars="300"/>
        <w:outlineLvl w:val="9"/>
        <w:rPr>
          <w:rFonts w:hAnsi="宋体"/>
          <w:sz w:val="24"/>
          <w:szCs w:val="24"/>
        </w:rPr>
      </w:pPr>
      <w:r>
        <w:rPr>
          <w:rFonts w:hint="eastAsia" w:hAnsi="宋体"/>
          <w:sz w:val="24"/>
          <w:szCs w:val="24"/>
        </w:rPr>
        <w:t>1．本授权书有效期自开标大会之日计算不得少于九十</w:t>
      </w:r>
      <w:r>
        <w:rPr>
          <w:rFonts w:hint="eastAsia" w:hAnsi="宋体"/>
          <w:sz w:val="24"/>
          <w:szCs w:val="24"/>
          <w:lang w:val="en-US" w:eastAsia="zh-CN"/>
        </w:rPr>
        <w:t>日历</w:t>
      </w:r>
      <w:r>
        <w:rPr>
          <w:rFonts w:hint="eastAsia" w:hAnsi="宋体"/>
          <w:sz w:val="24"/>
          <w:szCs w:val="24"/>
        </w:rPr>
        <w:t>天。</w:t>
      </w:r>
    </w:p>
    <w:p>
      <w:pPr>
        <w:pStyle w:val="13"/>
        <w:pageBreakBefore w:val="0"/>
        <w:bidi w:val="0"/>
        <w:spacing w:line="460" w:lineRule="exact"/>
        <w:ind w:firstLine="720" w:firstLineChars="300"/>
        <w:outlineLvl w:val="9"/>
        <w:rPr>
          <w:rFonts w:cs="仿宋" w:asciiTheme="minorEastAsia" w:hAnsiTheme="minorEastAsia"/>
          <w:b/>
          <w:sz w:val="32"/>
          <w:szCs w:val="32"/>
        </w:rPr>
      </w:pPr>
      <w:r>
        <w:rPr>
          <w:rFonts w:hint="eastAsia" w:hAnsi="宋体"/>
          <w:sz w:val="24"/>
          <w:szCs w:val="24"/>
        </w:rPr>
        <w:t>2．授权书内容填写要明确，文字要工整清楚，涂改无效。</w:t>
      </w:r>
    </w:p>
    <w:p>
      <w:pPr>
        <w:pageBreakBefore w:val="0"/>
        <w:bidi w:val="0"/>
        <w:ind w:firstLine="640"/>
        <w:jc w:val="center"/>
        <w:outlineLvl w:val="9"/>
        <w:rPr>
          <w:rFonts w:cs="仿宋" w:asciiTheme="minorEastAsia" w:hAnsiTheme="minorEastAsia"/>
          <w:b/>
          <w:sz w:val="32"/>
          <w:szCs w:val="32"/>
        </w:rPr>
      </w:pPr>
    </w:p>
    <w:p>
      <w:pPr>
        <w:pageBreakBefore w:val="0"/>
        <w:bidi w:val="0"/>
        <w:ind w:firstLine="640"/>
        <w:jc w:val="center"/>
        <w:outlineLvl w:val="9"/>
        <w:rPr>
          <w:rFonts w:hint="default" w:eastAsia="宋体" w:cs="仿宋" w:asciiTheme="minorEastAsia" w:hAnsiTheme="minorEastAsia"/>
          <w:b/>
          <w:sz w:val="32"/>
          <w:szCs w:val="32"/>
          <w:lang w:val="en-US" w:eastAsia="zh-CN"/>
        </w:rPr>
      </w:pPr>
      <w:r>
        <w:rPr>
          <w:rFonts w:hint="eastAsia" w:cs="仿宋" w:asciiTheme="minorEastAsia" w:hAnsiTheme="minorEastAsia"/>
          <w:b/>
          <w:sz w:val="32"/>
          <w:szCs w:val="32"/>
          <w:lang w:val="en-US" w:eastAsia="zh-CN"/>
        </w:rPr>
        <w:t>八、</w:t>
      </w:r>
      <w:r>
        <w:rPr>
          <w:rFonts w:hint="eastAsia" w:cs="仿宋" w:asciiTheme="minorEastAsia" w:hAnsiTheme="minorEastAsia"/>
          <w:b/>
          <w:sz w:val="32"/>
          <w:szCs w:val="32"/>
        </w:rPr>
        <w:t>投标人</w:t>
      </w:r>
      <w:r>
        <w:rPr>
          <w:rFonts w:hint="eastAsia" w:cs="仿宋" w:asciiTheme="minorEastAsia" w:hAnsiTheme="minorEastAsia"/>
          <w:b/>
          <w:sz w:val="32"/>
          <w:szCs w:val="32"/>
          <w:lang w:val="en-US" w:eastAsia="zh-CN"/>
        </w:rPr>
        <w:t>资格证明资料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供应商须具有有效的营业执照；（2）提供2022年经会计师事务所审计的财务审计报告或近三个月内银行出具的资信证明；（3）提供2023年1月1日至今已缴纳的至少三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严重失信主体名单的供应商，不得为中国政府采购网政府采购严重违法失信行为记录名单中被财政部门禁止参加政府采购活动的供应商（提供查询截图）；（8）本项目专门面向中小企业采购，供应商为中型、小型、微型企业的需提供《中小企业声明函》。</w:t>
      </w:r>
    </w:p>
    <w:p>
      <w:pPr>
        <w:pageBreakBefore w:val="0"/>
        <w:bidi w:val="0"/>
        <w:spacing w:line="360" w:lineRule="atLeast"/>
        <w:jc w:val="center"/>
        <w:outlineLvl w:val="9"/>
        <w:rPr>
          <w:rFonts w:hint="eastAsia" w:cs="仿宋" w:asciiTheme="minorEastAsia" w:hAnsiTheme="minorEastAsia"/>
          <w:b/>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九、</w:t>
      </w:r>
      <w:r>
        <w:rPr>
          <w:rFonts w:hint="eastAsia" w:cs="仿宋" w:asciiTheme="minorEastAsia" w:hAnsiTheme="minorEastAsia"/>
          <w:b/>
          <w:sz w:val="32"/>
          <w:szCs w:val="32"/>
        </w:rPr>
        <w:t>技术方案</w:t>
      </w:r>
    </w:p>
    <w:p>
      <w:pPr>
        <w:pageBreakBefore w:val="0"/>
        <w:bidi w:val="0"/>
        <w:outlineLvl w:val="9"/>
        <w:rPr>
          <w:rFonts w:cs="仿宋" w:asciiTheme="minorEastAsia" w:hAnsiTheme="minorEastAsia"/>
          <w:sz w:val="10"/>
        </w:rPr>
      </w:pPr>
    </w:p>
    <w:p>
      <w:pPr>
        <w:pStyle w:val="44"/>
        <w:pageBreakBefore w:val="0"/>
        <w:bidi w:val="0"/>
        <w:outlineLvl w:val="9"/>
        <w:rPr>
          <w:rFonts w:hint="eastAsia" w:eastAsia="宋体" w:cs="宋体"/>
          <w:color w:val="222222"/>
        </w:rPr>
      </w:pPr>
      <w:r>
        <w:rPr>
          <w:rFonts w:hint="eastAsia" w:eastAsia="宋体" w:cs="宋体"/>
          <w:color w:val="222222"/>
        </w:rPr>
        <w:t>格式自定，参照招标文件《评标方法和程序》各条款的要求，结合《招标内容及要求》编制投标方案，内容应包括所投标货物的详细说明、质量保证和售后服务</w:t>
      </w:r>
      <w:r>
        <w:rPr>
          <w:rFonts w:hint="eastAsia" w:cs="宋体"/>
          <w:color w:val="222222"/>
          <w:lang w:val="en-US" w:eastAsia="zh-CN"/>
        </w:rPr>
        <w:t>方案</w:t>
      </w:r>
      <w:r>
        <w:rPr>
          <w:rFonts w:hint="eastAsia" w:eastAsia="宋体" w:cs="宋体"/>
          <w:color w:val="222222"/>
        </w:rPr>
        <w:t>等。包括但不限于以下内容：</w:t>
      </w:r>
    </w:p>
    <w:p>
      <w:pPr>
        <w:pStyle w:val="44"/>
        <w:pageBreakBefore w:val="0"/>
        <w:bidi w:val="0"/>
        <w:outlineLvl w:val="9"/>
        <w:rPr>
          <w:rFonts w:hint="eastAsia" w:eastAsia="宋体" w:cs="宋体"/>
          <w:color w:val="222222"/>
        </w:rPr>
      </w:pPr>
    </w:p>
    <w:p>
      <w:pPr>
        <w:pStyle w:val="44"/>
        <w:pageBreakBefore w:val="0"/>
        <w:numPr>
          <w:ilvl w:val="0"/>
          <w:numId w:val="7"/>
        </w:numPr>
        <w:bidi w:val="0"/>
        <w:outlineLvl w:val="9"/>
        <w:rPr>
          <w:rFonts w:hint="eastAsia" w:ascii="宋体" w:hAnsi="宋体" w:cs="宋体"/>
          <w:szCs w:val="21"/>
          <w:lang w:eastAsia="zh-CN"/>
        </w:rPr>
      </w:pPr>
      <w:r>
        <w:rPr>
          <w:rFonts w:hint="eastAsia" w:ascii="宋体" w:hAnsi="宋体" w:cs="宋体"/>
          <w:szCs w:val="21"/>
          <w:lang w:val="en-US" w:eastAsia="zh-CN"/>
        </w:rPr>
        <w:t>供货、</w:t>
      </w:r>
      <w:r>
        <w:rPr>
          <w:rFonts w:hint="eastAsia" w:ascii="宋体" w:hAnsi="宋体" w:cs="宋体"/>
          <w:szCs w:val="21"/>
          <w:lang w:eastAsia="zh-CN"/>
        </w:rPr>
        <w:t>运输</w:t>
      </w:r>
      <w:r>
        <w:rPr>
          <w:rFonts w:hint="eastAsia" w:ascii="宋体" w:hAnsi="宋体" w:cs="宋体"/>
          <w:szCs w:val="21"/>
          <w:lang w:val="en-US" w:eastAsia="zh-CN"/>
        </w:rPr>
        <w:t>及安装、调试</w:t>
      </w:r>
      <w:r>
        <w:rPr>
          <w:rFonts w:hint="eastAsia" w:ascii="宋体" w:hAnsi="宋体" w:cs="宋体"/>
          <w:szCs w:val="21"/>
          <w:lang w:eastAsia="zh-CN"/>
        </w:rPr>
        <w:t>方案</w:t>
      </w:r>
    </w:p>
    <w:p>
      <w:pPr>
        <w:pStyle w:val="44"/>
        <w:pageBreakBefore w:val="0"/>
        <w:numPr>
          <w:ilvl w:val="0"/>
          <w:numId w:val="7"/>
        </w:numPr>
        <w:bidi w:val="0"/>
        <w:outlineLvl w:val="9"/>
        <w:rPr>
          <w:rFonts w:hint="eastAsia" w:ascii="宋体" w:hAnsi="宋体" w:cs="宋体"/>
          <w:szCs w:val="21"/>
          <w:lang w:eastAsia="zh-CN"/>
        </w:rPr>
      </w:pPr>
      <w:r>
        <w:rPr>
          <w:rFonts w:hint="eastAsia" w:ascii="宋体" w:hAnsi="宋体" w:cs="宋体"/>
          <w:szCs w:val="21"/>
          <w:lang w:eastAsia="zh-CN"/>
        </w:rPr>
        <w:t>质量保证</w:t>
      </w:r>
      <w:r>
        <w:rPr>
          <w:rFonts w:hint="eastAsia" w:ascii="宋体" w:hAnsi="宋体" w:cs="宋体"/>
          <w:szCs w:val="21"/>
          <w:lang w:val="en-US" w:eastAsia="zh-CN"/>
        </w:rPr>
        <w:t>措施</w:t>
      </w:r>
    </w:p>
    <w:p>
      <w:pPr>
        <w:pStyle w:val="44"/>
        <w:pageBreakBefore w:val="0"/>
        <w:numPr>
          <w:ilvl w:val="0"/>
          <w:numId w:val="7"/>
        </w:numPr>
        <w:bidi w:val="0"/>
        <w:outlineLvl w:val="9"/>
        <w:rPr>
          <w:rFonts w:hint="eastAsia" w:ascii="宋体" w:hAnsi="宋体" w:cs="宋体"/>
          <w:szCs w:val="21"/>
          <w:lang w:val="en-US" w:eastAsia="zh-CN"/>
        </w:rPr>
      </w:pPr>
      <w:r>
        <w:rPr>
          <w:rFonts w:hint="eastAsia" w:ascii="宋体" w:hAnsi="宋体" w:cs="宋体"/>
          <w:szCs w:val="21"/>
          <w:lang w:val="en-US" w:eastAsia="zh-CN"/>
        </w:rPr>
        <w:t>售后服务方案</w:t>
      </w:r>
    </w:p>
    <w:p>
      <w:pPr>
        <w:pStyle w:val="44"/>
        <w:pageBreakBefore w:val="0"/>
        <w:numPr>
          <w:ilvl w:val="0"/>
          <w:numId w:val="7"/>
        </w:numPr>
        <w:bidi w:val="0"/>
        <w:outlineLvl w:val="9"/>
        <w:rPr>
          <w:rFonts w:hint="eastAsia" w:ascii="宋体" w:hAnsi="宋体" w:cs="宋体"/>
          <w:szCs w:val="21"/>
          <w:lang w:val="en-US" w:eastAsia="zh-CN"/>
        </w:rPr>
      </w:pPr>
      <w:r>
        <w:rPr>
          <w:rFonts w:hint="eastAsia" w:ascii="宋体" w:hAnsi="宋体" w:cs="宋体"/>
          <w:szCs w:val="21"/>
          <w:lang w:val="en-US" w:eastAsia="zh-CN"/>
        </w:rPr>
        <w:t>培训方案</w:t>
      </w:r>
    </w:p>
    <w:p>
      <w:pPr>
        <w:pStyle w:val="44"/>
        <w:pageBreakBefore w:val="0"/>
        <w:numPr>
          <w:ilvl w:val="0"/>
          <w:numId w:val="7"/>
        </w:numPr>
        <w:bidi w:val="0"/>
        <w:outlineLvl w:val="9"/>
        <w:rPr>
          <w:rFonts w:hint="eastAsia" w:ascii="宋体" w:hAnsi="宋体" w:cs="宋体"/>
          <w:szCs w:val="21"/>
          <w:lang w:val="en-US" w:eastAsia="zh-CN"/>
        </w:rPr>
      </w:pPr>
      <w:r>
        <w:rPr>
          <w:rFonts w:hint="eastAsia" w:ascii="宋体" w:hAnsi="宋体" w:cs="宋体"/>
          <w:szCs w:val="21"/>
          <w:lang w:val="en-US" w:eastAsia="zh-CN"/>
        </w:rPr>
        <w:t>项目团队</w:t>
      </w:r>
    </w:p>
    <w:p>
      <w:pPr>
        <w:pageBreakBefore w:val="0"/>
        <w:overflowPunct w:val="0"/>
        <w:topLinePunct/>
        <w:bidi w:val="0"/>
        <w:snapToGrid w:val="0"/>
        <w:spacing w:line="600" w:lineRule="auto"/>
        <w:ind w:left="840" w:leftChars="400" w:firstLine="2409" w:firstLineChars="750"/>
        <w:outlineLvl w:val="9"/>
        <w:rPr>
          <w:rFonts w:hint="eastAsia" w:cs="仿宋" w:asciiTheme="minorEastAsia" w:hAnsiTheme="minorEastAsia"/>
          <w:b/>
          <w:sz w:val="32"/>
          <w:szCs w:val="32"/>
          <w:lang w:val="en-US" w:eastAsia="zh-CN"/>
        </w:rPr>
      </w:pPr>
    </w:p>
    <w:p>
      <w:pPr>
        <w:pStyle w:val="2"/>
        <w:rPr>
          <w:rFonts w:hint="eastAsia" w:cs="仿宋" w:asciiTheme="minorEastAsia" w:hAnsiTheme="minorEastAsia"/>
          <w:b/>
          <w:sz w:val="32"/>
          <w:szCs w:val="32"/>
          <w:lang w:val="en-US" w:eastAsia="zh-CN"/>
        </w:rPr>
      </w:pPr>
    </w:p>
    <w:p>
      <w:pPr>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overflowPunct w:val="0"/>
        <w:topLinePunct/>
        <w:bidi w:val="0"/>
        <w:snapToGrid w:val="0"/>
        <w:spacing w:line="600" w:lineRule="auto"/>
        <w:ind w:left="840" w:leftChars="400" w:firstLine="2409" w:firstLineChars="750"/>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十、</w:t>
      </w:r>
      <w:r>
        <w:rPr>
          <w:rFonts w:hint="eastAsia" w:cs="仿宋" w:asciiTheme="minorEastAsia" w:hAnsiTheme="minorEastAsia"/>
          <w:b/>
          <w:sz w:val="32"/>
          <w:szCs w:val="32"/>
        </w:rPr>
        <w:t>商务方案</w:t>
      </w:r>
    </w:p>
    <w:p>
      <w:pPr>
        <w:pageBreakBefore w:val="0"/>
        <w:bidi w:val="0"/>
        <w:spacing w:line="480" w:lineRule="auto"/>
        <w:ind w:firstLine="480" w:firstLineChars="200"/>
        <w:outlineLvl w:val="9"/>
        <w:rPr>
          <w:rFonts w:ascii="宋体" w:hAnsi="宋体" w:eastAsia="宋体" w:cs="宋体"/>
          <w:color w:val="222222"/>
          <w:sz w:val="24"/>
        </w:rPr>
      </w:pPr>
      <w:r>
        <w:rPr>
          <w:rFonts w:hint="eastAsia" w:ascii="宋体" w:hAnsi="宋体" w:eastAsia="宋体" w:cs="宋体"/>
          <w:color w:val="222222"/>
          <w:sz w:val="24"/>
        </w:rPr>
        <w:t>1）企业</w:t>
      </w:r>
      <w:r>
        <w:rPr>
          <w:rFonts w:hint="eastAsia" w:ascii="宋体" w:hAnsi="宋体" w:cs="宋体"/>
          <w:color w:val="222222"/>
          <w:sz w:val="24"/>
          <w:lang w:val="en-US" w:eastAsia="zh-CN"/>
        </w:rPr>
        <w:t>实力</w:t>
      </w:r>
      <w:r>
        <w:rPr>
          <w:rFonts w:hint="eastAsia" w:ascii="宋体" w:hAnsi="宋体" w:eastAsia="宋体" w:cs="宋体"/>
          <w:color w:val="222222"/>
          <w:sz w:val="24"/>
        </w:rPr>
        <w:t>；</w:t>
      </w:r>
    </w:p>
    <w:p>
      <w:pPr>
        <w:pageBreakBefore w:val="0"/>
        <w:bidi w:val="0"/>
        <w:spacing w:line="480" w:lineRule="auto"/>
        <w:ind w:firstLine="480" w:firstLineChars="200"/>
        <w:outlineLvl w:val="9"/>
        <w:rPr>
          <w:rFonts w:ascii="宋体" w:hAnsi="宋体" w:eastAsia="宋体" w:cs="宋体"/>
          <w:color w:val="222222"/>
          <w:sz w:val="24"/>
        </w:rPr>
      </w:pPr>
      <w:r>
        <w:rPr>
          <w:rFonts w:hint="eastAsia" w:ascii="宋体" w:hAnsi="宋体" w:eastAsia="宋体" w:cs="宋体"/>
          <w:color w:val="222222"/>
          <w:sz w:val="24"/>
        </w:rPr>
        <w:t>2）业绩；</w:t>
      </w:r>
    </w:p>
    <w:p>
      <w:pPr>
        <w:pageBreakBefore w:val="0"/>
        <w:bidi w:val="0"/>
        <w:spacing w:line="480" w:lineRule="auto"/>
        <w:ind w:firstLine="480" w:firstLineChars="200"/>
        <w:outlineLvl w:val="9"/>
        <w:rPr>
          <w:rFonts w:ascii="宋体" w:hAnsi="宋体" w:eastAsia="宋体" w:cs="宋体"/>
          <w:color w:val="222222"/>
          <w:sz w:val="24"/>
        </w:rPr>
      </w:pPr>
      <w:r>
        <w:rPr>
          <w:rFonts w:hint="eastAsia" w:ascii="宋体" w:hAnsi="宋体" w:cs="宋体"/>
          <w:color w:val="222222"/>
          <w:sz w:val="24"/>
          <w:lang w:val="en-US" w:eastAsia="zh-CN"/>
        </w:rPr>
        <w:t>3</w:t>
      </w:r>
      <w:r>
        <w:rPr>
          <w:rFonts w:hint="eastAsia" w:ascii="宋体" w:hAnsi="宋体" w:eastAsia="宋体" w:cs="宋体"/>
          <w:color w:val="222222"/>
          <w:sz w:val="24"/>
        </w:rPr>
        <w:t>）有必要说明的商务事宜。</w:t>
      </w:r>
    </w:p>
    <w:p>
      <w:pPr>
        <w:pStyle w:val="2"/>
        <w:pageBreakBefore w:val="0"/>
        <w:bidi w:val="0"/>
        <w:outlineLvl w:val="9"/>
        <w:rPr>
          <w:rFonts w:asciiTheme="minorEastAsia" w:hAnsiTheme="minorEastAsia"/>
        </w:rPr>
      </w:pPr>
    </w:p>
    <w:p>
      <w:pPr>
        <w:pageBreakBefore w:val="0"/>
        <w:bidi w:val="0"/>
        <w:spacing w:line="440" w:lineRule="exact"/>
        <w:ind w:firstLine="480" w:firstLineChars="200"/>
        <w:outlineLvl w:val="9"/>
        <w:rPr>
          <w:rFonts w:cs="仿宋" w:asciiTheme="minorEastAsia" w:hAnsiTheme="minorEastAsia"/>
          <w:sz w:val="24"/>
          <w:szCs w:val="28"/>
        </w:rPr>
      </w:pPr>
      <w:r>
        <w:rPr>
          <w:rFonts w:ascii="宋体" w:hAnsi="宋体"/>
          <w:sz w:val="24"/>
        </w:rPr>
        <w:br w:type="page"/>
      </w: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lang w:val="en-US" w:eastAsia="zh-CN"/>
        </w:rPr>
        <w:t>十一、</w:t>
      </w:r>
      <w:r>
        <w:rPr>
          <w:rFonts w:hint="eastAsia" w:cs="仿宋" w:asciiTheme="minorEastAsia" w:hAnsiTheme="minorEastAsia"/>
          <w:b/>
          <w:sz w:val="32"/>
          <w:szCs w:val="32"/>
        </w:rPr>
        <w:t xml:space="preserve">  承诺书</w:t>
      </w:r>
    </w:p>
    <w:p>
      <w:pPr>
        <w:pageBreakBefore w:val="0"/>
        <w:bidi w:val="0"/>
        <w:spacing w:line="360" w:lineRule="atLeast"/>
        <w:jc w:val="center"/>
        <w:outlineLvl w:val="9"/>
        <w:rPr>
          <w:rFonts w:cs="仿宋" w:asciiTheme="minorEastAsia" w:hAnsiTheme="minorEastAsia"/>
          <w:b/>
          <w:sz w:val="24"/>
          <w:szCs w:val="32"/>
        </w:rPr>
      </w:pPr>
    </w:p>
    <w:p>
      <w:pPr>
        <w:pStyle w:val="13"/>
        <w:pageBreakBefore w:val="0"/>
        <w:bidi w:val="0"/>
        <w:jc w:val="center"/>
        <w:outlineLvl w:val="9"/>
        <w:rPr>
          <w:rFonts w:cs="仿宋" w:asciiTheme="minorEastAsia" w:hAnsiTheme="minorEastAsia" w:eastAsiaTheme="minorEastAsia"/>
          <w:b/>
          <w:sz w:val="32"/>
        </w:rPr>
      </w:pPr>
      <w:r>
        <w:rPr>
          <w:rFonts w:hint="eastAsia" w:cs="仿宋" w:asciiTheme="minorEastAsia" w:hAnsiTheme="minorEastAsia" w:eastAsiaTheme="minorEastAsia"/>
          <w:b/>
          <w:sz w:val="32"/>
        </w:rPr>
        <w:t>陕西省政府采购供应商拒绝政府采购领域商业贿赂承诺书</w:t>
      </w:r>
      <w:r>
        <w:rPr>
          <w:rFonts w:hint="eastAsia" w:cs="仿宋" w:asciiTheme="minorEastAsia" w:hAnsiTheme="minorEastAsia" w:eastAsiaTheme="minorEastAsia"/>
          <w:b/>
          <w:sz w:val="32"/>
          <w:szCs w:val="32"/>
        </w:rPr>
        <w:t>Ⅰ</w:t>
      </w:r>
    </w:p>
    <w:p>
      <w:pPr>
        <w:pageBreakBefore w:val="0"/>
        <w:bidi w:val="0"/>
        <w:outlineLvl w:val="9"/>
        <w:rPr>
          <w:rFonts w:cs="仿宋" w:asciiTheme="minorEastAsia" w:hAnsiTheme="minorEastAsia"/>
        </w:rPr>
      </w:pPr>
    </w:p>
    <w:p>
      <w:pPr>
        <w:pageBreakBefore w:val="0"/>
        <w:bidi w:val="0"/>
        <w:spacing w:line="440" w:lineRule="exact"/>
        <w:ind w:firstLine="360" w:firstLineChars="150"/>
        <w:outlineLvl w:val="9"/>
        <w:rPr>
          <w:rFonts w:cs="仿宋" w:asciiTheme="minorEastAsia" w:hAnsiTheme="minorEastAsia"/>
          <w:sz w:val="24"/>
          <w:szCs w:val="28"/>
        </w:rPr>
      </w:pPr>
      <w:r>
        <w:rPr>
          <w:rFonts w:hint="eastAsia" w:cs="仿宋" w:asciiTheme="minorEastAsia" w:hAnsiTheme="minorEastAsia"/>
          <w:sz w:val="24"/>
          <w:szCs w:val="28"/>
        </w:rPr>
        <w:t xml:space="preserve"> 为响应党中央、</w:t>
      </w:r>
      <w:r>
        <w:rPr>
          <w:rFonts w:hint="eastAsia" w:ascii="宋体" w:hAnsi="宋体" w:eastAsia="宋体" w:cs="宋体"/>
          <w:color w:val="222222"/>
          <w:sz w:val="24"/>
        </w:rPr>
        <w:t>国务院</w:t>
      </w:r>
      <w:r>
        <w:rPr>
          <w:rFonts w:hint="eastAsia" w:cs="仿宋" w:asciiTheme="minorEastAsia" w:hAnsiTheme="minorEastAsia"/>
          <w:sz w:val="24"/>
          <w:szCs w:val="28"/>
        </w:rPr>
        <w:t>关于治理政府采购领域商业贿赂行为的号召，我公司在此庄严承诺：</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1.在参与政府采购活动中遵纪守法、诚信经营、公平竞标；</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2.不向政府采购人、采购代理机构和政府采购评审专家进行任何形式的商业贿赂以谋取交易机会；</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3.不向政府采购代理机构和采购人提供虚假资质文件或采用虚假应标方式参与政府采购市场竞争并谋取中标；</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4.不采取“围标、陪标”等商业欺诈手段获得政府采购订单；</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5.不采取不正当手段诋毁、排挤其他供应商；</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6.不在提供产品时“偷梁换柱、以次充好”损害采购人的合法权益；</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7.不与采购人、采购代理机构政府采购评审专家或其它供应商恶意串通，进行质疑和投诉，维护政府采购市场秩序；</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8.尊重和接受政府采购监督管理部门的监督和政府采购代理机构招标采购要求，承担因违约行为给采购人造成的损失；</w:t>
      </w: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9.不发生其他有悖于政府采购公开、公平、公正和诚信原则的行为。</w:t>
      </w:r>
    </w:p>
    <w:p>
      <w:pPr>
        <w:pageBreakBefore w:val="0"/>
        <w:bidi w:val="0"/>
        <w:spacing w:line="440" w:lineRule="exact"/>
        <w:ind w:firstLine="480" w:firstLineChars="200"/>
        <w:outlineLvl w:val="9"/>
        <w:rPr>
          <w:rFonts w:cs="仿宋" w:asciiTheme="minorEastAsia" w:hAnsiTheme="minorEastAsia"/>
          <w:sz w:val="24"/>
          <w:szCs w:val="28"/>
        </w:rPr>
      </w:pP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承诺单位：</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（盖章）</w:t>
      </w:r>
    </w:p>
    <w:p>
      <w:pPr>
        <w:pageBreakBefore w:val="0"/>
        <w:bidi w:val="0"/>
        <w:spacing w:line="440" w:lineRule="exact"/>
        <w:ind w:firstLine="360" w:firstLineChars="150"/>
        <w:outlineLvl w:val="9"/>
        <w:rPr>
          <w:rFonts w:cs="仿宋" w:asciiTheme="minorEastAsia" w:hAnsiTheme="minorEastAsia"/>
          <w:sz w:val="24"/>
          <w:szCs w:val="28"/>
        </w:rPr>
      </w:pP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lang w:val="en-US" w:eastAsia="zh-CN"/>
        </w:rPr>
        <w:t>法定代表人或其委托代理人</w:t>
      </w:r>
      <w:r>
        <w:rPr>
          <w:rFonts w:hint="eastAsia" w:cs="仿宋" w:asciiTheme="minorEastAsia" w:hAnsiTheme="minorEastAsia"/>
          <w:sz w:val="24"/>
          <w:szCs w:val="28"/>
        </w:rPr>
        <w:t>：</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（签字</w:t>
      </w:r>
      <w:r>
        <w:rPr>
          <w:rFonts w:hint="eastAsia" w:cs="仿宋" w:asciiTheme="minorEastAsia" w:hAnsiTheme="minorEastAsia"/>
          <w:sz w:val="24"/>
          <w:szCs w:val="28"/>
          <w:lang w:val="en-US" w:eastAsia="zh-CN"/>
        </w:rPr>
        <w:t>或盖章</w:t>
      </w:r>
      <w:r>
        <w:rPr>
          <w:rFonts w:hint="eastAsia" w:cs="仿宋" w:asciiTheme="minorEastAsia" w:hAnsiTheme="minorEastAsia"/>
          <w:sz w:val="24"/>
          <w:szCs w:val="28"/>
        </w:rPr>
        <w:t>）</w:t>
      </w:r>
    </w:p>
    <w:p>
      <w:pPr>
        <w:pageBreakBefore w:val="0"/>
        <w:bidi w:val="0"/>
        <w:spacing w:line="440" w:lineRule="exact"/>
        <w:ind w:firstLine="360" w:firstLineChars="150"/>
        <w:outlineLvl w:val="9"/>
        <w:rPr>
          <w:rFonts w:cs="仿宋" w:asciiTheme="minorEastAsia" w:hAnsiTheme="minorEastAsia"/>
          <w:sz w:val="24"/>
          <w:szCs w:val="28"/>
        </w:rPr>
      </w:pP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 xml:space="preserve">地址： </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邮编：</w:t>
      </w:r>
      <w:r>
        <w:rPr>
          <w:rFonts w:hint="eastAsia" w:cs="仿宋" w:asciiTheme="minorEastAsia" w:hAnsiTheme="minorEastAsia"/>
          <w:sz w:val="24"/>
          <w:szCs w:val="28"/>
          <w:u w:val="single"/>
        </w:rPr>
        <w:t xml:space="preserve">               </w:t>
      </w:r>
    </w:p>
    <w:p>
      <w:pPr>
        <w:pageBreakBefore w:val="0"/>
        <w:bidi w:val="0"/>
        <w:spacing w:line="440" w:lineRule="exact"/>
        <w:ind w:firstLine="480" w:firstLineChars="200"/>
        <w:outlineLvl w:val="9"/>
        <w:rPr>
          <w:rFonts w:cs="仿宋" w:asciiTheme="minorEastAsia" w:hAnsiTheme="minorEastAsia"/>
          <w:sz w:val="24"/>
          <w:szCs w:val="28"/>
        </w:rPr>
      </w:pPr>
    </w:p>
    <w:p>
      <w:pPr>
        <w:pageBreakBefore w:val="0"/>
        <w:bidi w:val="0"/>
        <w:spacing w:line="440" w:lineRule="exact"/>
        <w:ind w:firstLine="480" w:firstLineChars="200"/>
        <w:outlineLvl w:val="9"/>
        <w:rPr>
          <w:rFonts w:cs="仿宋" w:asciiTheme="minorEastAsia" w:hAnsiTheme="minorEastAsia"/>
          <w:sz w:val="24"/>
          <w:szCs w:val="28"/>
        </w:rPr>
      </w:pPr>
      <w:r>
        <w:rPr>
          <w:rFonts w:hint="eastAsia" w:cs="仿宋" w:asciiTheme="minorEastAsia" w:hAnsiTheme="minorEastAsia"/>
          <w:sz w:val="24"/>
          <w:szCs w:val="28"/>
        </w:rPr>
        <w:t>电话：</w:t>
      </w:r>
      <w:r>
        <w:rPr>
          <w:rFonts w:hint="eastAsia" w:cs="仿宋" w:asciiTheme="minorEastAsia" w:hAnsiTheme="minorEastAsia"/>
          <w:sz w:val="24"/>
          <w:szCs w:val="28"/>
          <w:u w:val="single"/>
        </w:rPr>
        <w:t xml:space="preserve">                   </w:t>
      </w:r>
    </w:p>
    <w:p>
      <w:pPr>
        <w:pageBreakBefore w:val="0"/>
        <w:bidi w:val="0"/>
        <w:spacing w:line="440" w:lineRule="exact"/>
        <w:ind w:firstLine="480" w:firstLineChars="200"/>
        <w:outlineLvl w:val="9"/>
        <w:rPr>
          <w:rFonts w:cs="仿宋" w:asciiTheme="minorEastAsia" w:hAnsiTheme="minorEastAsia"/>
          <w:sz w:val="24"/>
          <w:szCs w:val="28"/>
        </w:rPr>
      </w:pPr>
    </w:p>
    <w:p>
      <w:pPr>
        <w:pageBreakBefore w:val="0"/>
        <w:bidi w:val="0"/>
        <w:spacing w:line="440" w:lineRule="exact"/>
        <w:ind w:firstLine="360" w:firstLineChars="150"/>
        <w:outlineLvl w:val="9"/>
        <w:rPr>
          <w:rFonts w:cs="仿宋" w:asciiTheme="minorEastAsia" w:hAnsiTheme="minorEastAsia"/>
          <w:sz w:val="24"/>
          <w:szCs w:val="28"/>
        </w:rPr>
      </w:pPr>
    </w:p>
    <w:p>
      <w:pPr>
        <w:pageBreakBefore w:val="0"/>
        <w:bidi w:val="0"/>
        <w:spacing w:line="440" w:lineRule="exact"/>
        <w:ind w:right="480" w:firstLine="360" w:firstLineChars="150"/>
        <w:jc w:val="center"/>
        <w:outlineLvl w:val="9"/>
        <w:rPr>
          <w:rFonts w:cs="仿宋" w:asciiTheme="minorEastAsia" w:hAnsiTheme="minorEastAsia"/>
          <w:sz w:val="24"/>
          <w:szCs w:val="28"/>
        </w:rPr>
      </w:pPr>
      <w:r>
        <w:rPr>
          <w:rFonts w:hint="eastAsia" w:cs="仿宋" w:asciiTheme="minorEastAsia" w:hAnsiTheme="minorEastAsia"/>
          <w:sz w:val="24"/>
          <w:szCs w:val="28"/>
        </w:rPr>
        <w:t xml:space="preserve">                                            </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 xml:space="preserve"> 年</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月</w:t>
      </w:r>
      <w:r>
        <w:rPr>
          <w:rFonts w:hint="eastAsia" w:cs="仿宋" w:asciiTheme="minorEastAsia" w:hAnsiTheme="minorEastAsia"/>
          <w:sz w:val="24"/>
          <w:szCs w:val="28"/>
          <w:u w:val="single"/>
        </w:rPr>
        <w:t xml:space="preserve">    </w:t>
      </w:r>
      <w:r>
        <w:rPr>
          <w:rFonts w:hint="eastAsia" w:cs="仿宋" w:asciiTheme="minorEastAsia" w:hAnsiTheme="minorEastAsia"/>
          <w:sz w:val="24"/>
          <w:szCs w:val="28"/>
        </w:rPr>
        <w:t>日</w:t>
      </w:r>
    </w:p>
    <w:p>
      <w:pPr>
        <w:pageBreakBefore w:val="0"/>
        <w:bidi w:val="0"/>
        <w:spacing w:line="360" w:lineRule="atLeast"/>
        <w:ind w:firstLine="4189" w:firstLineChars="1304"/>
        <w:outlineLvl w:val="9"/>
        <w:rPr>
          <w:rFonts w:cs="仿宋" w:asciiTheme="minorEastAsia" w:hAnsiTheme="minorEastAsia"/>
          <w:b/>
          <w:sz w:val="32"/>
          <w:szCs w:val="32"/>
        </w:rPr>
      </w:pPr>
    </w:p>
    <w:p>
      <w:pPr>
        <w:pageBreakBefore w:val="0"/>
        <w:bidi w:val="0"/>
        <w:spacing w:line="360" w:lineRule="atLeast"/>
        <w:ind w:firstLine="4189" w:firstLineChars="1304"/>
        <w:outlineLvl w:val="9"/>
        <w:rPr>
          <w:rFonts w:cs="仿宋" w:asciiTheme="minorEastAsia" w:hAnsiTheme="minorEastAsia"/>
          <w:b/>
          <w:sz w:val="32"/>
          <w:szCs w:val="32"/>
        </w:rPr>
      </w:pPr>
      <w:r>
        <w:rPr>
          <w:rFonts w:hint="eastAsia" w:cs="仿宋" w:asciiTheme="minorEastAsia" w:hAnsiTheme="minorEastAsia"/>
          <w:b/>
          <w:sz w:val="32"/>
          <w:szCs w:val="32"/>
        </w:rPr>
        <w:t>承诺书Ⅱ</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pageBreakBefore w:val="0"/>
              <w:bidi w:val="0"/>
              <w:spacing w:line="360" w:lineRule="atLeast"/>
              <w:outlineLvl w:val="9"/>
              <w:rPr>
                <w:rFonts w:hint="eastAsia" w:eastAsia="宋体" w:cs="仿宋" w:asciiTheme="minorEastAsia" w:hAnsiTheme="minorEastAsia"/>
                <w:sz w:val="24"/>
                <w:lang w:eastAsia="zh-CN"/>
              </w:rPr>
            </w:pPr>
            <w:r>
              <w:rPr>
                <w:rFonts w:hint="eastAsia" w:cs="仿宋" w:asciiTheme="minorEastAsia" w:hAnsiTheme="minorEastAsia"/>
                <w:sz w:val="24"/>
              </w:rPr>
              <w:t>致：</w:t>
            </w:r>
            <w:r>
              <w:rPr>
                <w:rFonts w:hint="eastAsia" w:cs="仿宋" w:asciiTheme="minorEastAsia" w:hAnsiTheme="minorEastAsia"/>
                <w:spacing w:val="-6"/>
                <w:sz w:val="24"/>
                <w:lang w:eastAsia="zh-CN"/>
              </w:rPr>
              <w:t>华鼎工程咨询集团有限公司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pageBreakBefore w:val="0"/>
              <w:bidi w:val="0"/>
              <w:spacing w:line="360" w:lineRule="atLeast"/>
              <w:ind w:firstLine="480" w:firstLineChars="200"/>
              <w:outlineLvl w:val="9"/>
              <w:rPr>
                <w:rFonts w:cs="仿宋" w:asciiTheme="minorEastAsia" w:hAnsiTheme="minorEastAsia"/>
                <w:sz w:val="24"/>
              </w:rPr>
            </w:pPr>
            <w:r>
              <w:rPr>
                <w:rFonts w:hint="eastAsia" w:cs="仿宋" w:asciiTheme="minorEastAsia" w:hAnsiTheme="minorEastAsia"/>
                <w:sz w:val="24"/>
              </w:rPr>
              <w:t>作为参加贵单位组织的招标采购项目的投标人，本公司承诺：在参加本项目招标之前不存在被依法禁止经营行为、财产被接管或冻结的情况，如有隐瞒实情，愿承担一切责任及后果。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pageBreakBefore w:val="0"/>
              <w:bidi w:val="0"/>
              <w:spacing w:line="360" w:lineRule="atLeast"/>
              <w:ind w:firstLine="240" w:firstLineChars="100"/>
              <w:jc w:val="center"/>
              <w:outlineLvl w:val="9"/>
              <w:rPr>
                <w:rFonts w:cs="仿宋" w:asciiTheme="minorEastAsia" w:hAnsiTheme="minorEastAsia"/>
                <w:sz w:val="24"/>
              </w:rPr>
            </w:pPr>
            <w:r>
              <w:rPr>
                <w:rFonts w:hint="eastAsia" w:cs="仿宋" w:asciiTheme="minorEastAsia" w:hAnsiTheme="minorEastAsia"/>
                <w:sz w:val="24"/>
              </w:rPr>
              <w:t>年  月  日</w:t>
            </w:r>
          </w:p>
        </w:tc>
      </w:tr>
    </w:tbl>
    <w:p>
      <w:pPr>
        <w:pageBreakBefore w:val="0"/>
        <w:bidi w:val="0"/>
        <w:spacing w:line="360" w:lineRule="atLeast"/>
        <w:outlineLvl w:val="9"/>
        <w:rPr>
          <w:rFonts w:cs="仿宋" w:asciiTheme="minorEastAsia" w:hAnsiTheme="minorEastAsia"/>
          <w:b/>
          <w:sz w:val="42"/>
          <w:szCs w:val="42"/>
        </w:rPr>
      </w:pP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rPr>
        <w:t>承诺书Ⅲ</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pageBreakBefore w:val="0"/>
              <w:bidi w:val="0"/>
              <w:spacing w:line="360" w:lineRule="atLeast"/>
              <w:outlineLvl w:val="9"/>
              <w:rPr>
                <w:rFonts w:hint="eastAsia" w:eastAsia="宋体" w:cs="仿宋" w:asciiTheme="minorEastAsia" w:hAnsiTheme="minorEastAsia"/>
                <w:sz w:val="24"/>
                <w:lang w:eastAsia="zh-CN"/>
              </w:rPr>
            </w:pPr>
            <w:r>
              <w:rPr>
                <w:rFonts w:hint="eastAsia" w:cs="仿宋" w:asciiTheme="minorEastAsia" w:hAnsiTheme="minorEastAsia"/>
                <w:sz w:val="24"/>
              </w:rPr>
              <w:t>致：</w:t>
            </w:r>
            <w:r>
              <w:rPr>
                <w:rFonts w:hint="eastAsia" w:cs="仿宋" w:asciiTheme="minorEastAsia" w:hAnsiTheme="minorEastAsia"/>
                <w:spacing w:val="-6"/>
                <w:sz w:val="24"/>
                <w:lang w:eastAsia="zh-CN"/>
              </w:rPr>
              <w:t>华鼎工程咨询集团有限公司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pageBreakBefore w:val="0"/>
              <w:bidi w:val="0"/>
              <w:spacing w:line="360" w:lineRule="atLeast"/>
              <w:ind w:firstLine="480" w:firstLineChars="200"/>
              <w:outlineLvl w:val="9"/>
              <w:rPr>
                <w:rFonts w:cs="仿宋" w:asciiTheme="minorEastAsia" w:hAnsiTheme="minorEastAsia"/>
                <w:sz w:val="24"/>
              </w:rPr>
            </w:pPr>
            <w:r>
              <w:rPr>
                <w:rFonts w:hint="eastAsia" w:cs="仿宋" w:asciiTheme="minorEastAsia" w:hAnsiTheme="minorEastAsia"/>
                <w:sz w:val="24"/>
              </w:rPr>
              <w:t>作为参加贵单位组织的招标采购项目的投标人，本公司郑重申告并承诺：近三年受到有关行政主管部门的行政处理、不良行为记录为</w:t>
            </w:r>
            <w:r>
              <w:rPr>
                <w:rFonts w:hint="eastAsia" w:cs="仿宋" w:asciiTheme="minorEastAsia" w:hAnsiTheme="minorEastAsia"/>
                <w:sz w:val="24"/>
                <w:u w:val="single"/>
              </w:rPr>
              <w:t xml:space="preserve">   </w:t>
            </w:r>
            <w:r>
              <w:rPr>
                <w:rFonts w:hint="eastAsia" w:cs="仿宋" w:asciiTheme="minorEastAsia" w:hAnsiTheme="minorEastAsia"/>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pageBreakBefore w:val="0"/>
              <w:bidi w:val="0"/>
              <w:spacing w:line="360" w:lineRule="atLeast"/>
              <w:ind w:firstLine="240" w:firstLineChars="100"/>
              <w:jc w:val="center"/>
              <w:outlineLvl w:val="9"/>
              <w:rPr>
                <w:rFonts w:cs="仿宋" w:asciiTheme="minorEastAsia" w:hAnsiTheme="minorEastAsia"/>
                <w:sz w:val="24"/>
              </w:rPr>
            </w:pPr>
            <w:r>
              <w:rPr>
                <w:rFonts w:hint="eastAsia" w:cs="仿宋" w:asciiTheme="minorEastAsia" w:hAnsiTheme="minorEastAsia"/>
                <w:sz w:val="24"/>
              </w:rPr>
              <w:t>年  月  日</w:t>
            </w:r>
          </w:p>
        </w:tc>
      </w:tr>
    </w:tbl>
    <w:p>
      <w:pPr>
        <w:pageBreakBefore w:val="0"/>
        <w:bidi w:val="0"/>
        <w:spacing w:line="360" w:lineRule="atLeast"/>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p>
    <w:p>
      <w:pPr>
        <w:pageBreakBefore w:val="0"/>
        <w:bidi w:val="0"/>
        <w:spacing w:line="360" w:lineRule="atLeast"/>
        <w:jc w:val="center"/>
        <w:outlineLvl w:val="9"/>
        <w:rPr>
          <w:rFonts w:cs="仿宋" w:asciiTheme="minorEastAsia" w:hAnsiTheme="minorEastAsia"/>
          <w:b/>
          <w:sz w:val="32"/>
          <w:szCs w:val="32"/>
        </w:rPr>
      </w:pPr>
      <w:r>
        <w:rPr>
          <w:rFonts w:hint="eastAsia" w:cs="仿宋" w:asciiTheme="minorEastAsia" w:hAnsiTheme="minorEastAsia"/>
          <w:b/>
          <w:sz w:val="32"/>
          <w:szCs w:val="32"/>
        </w:rPr>
        <w:t>承诺书Ⅳ</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pageBreakBefore w:val="0"/>
              <w:bidi w:val="0"/>
              <w:spacing w:line="360" w:lineRule="atLeast"/>
              <w:outlineLvl w:val="9"/>
              <w:rPr>
                <w:rFonts w:hint="eastAsia" w:eastAsia="宋体" w:cs="仿宋" w:asciiTheme="minorEastAsia" w:hAnsiTheme="minorEastAsia"/>
                <w:sz w:val="24"/>
                <w:lang w:eastAsia="zh-CN"/>
              </w:rPr>
            </w:pPr>
            <w:r>
              <w:rPr>
                <w:rFonts w:hint="eastAsia" w:cs="仿宋" w:asciiTheme="minorEastAsia" w:hAnsiTheme="minorEastAsia"/>
                <w:sz w:val="24"/>
              </w:rPr>
              <w:t>致：</w:t>
            </w:r>
            <w:r>
              <w:rPr>
                <w:rFonts w:hint="eastAsia" w:cs="仿宋" w:asciiTheme="minorEastAsia" w:hAnsiTheme="minorEastAsia"/>
                <w:spacing w:val="-6"/>
                <w:sz w:val="24"/>
                <w:lang w:eastAsia="zh-CN"/>
              </w:rPr>
              <w:t>华鼎工程咨询集团有限公司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pageBreakBefore w:val="0"/>
              <w:bidi w:val="0"/>
              <w:spacing w:line="360" w:lineRule="atLeast"/>
              <w:ind w:firstLine="480" w:firstLineChars="200"/>
              <w:outlineLvl w:val="9"/>
              <w:rPr>
                <w:rFonts w:cs="仿宋" w:asciiTheme="minorEastAsia" w:hAnsiTheme="minorEastAsia"/>
                <w:sz w:val="24"/>
              </w:rPr>
            </w:pPr>
            <w:r>
              <w:rPr>
                <w:rFonts w:hint="eastAsia" w:cs="仿宋" w:asciiTheme="minorEastAsia" w:hAnsiTheme="minorEastAsia"/>
                <w:sz w:val="24"/>
              </w:rPr>
              <w:t>作为参加贵单位组织的招标采购项目的投标人，本公司承诺：参加本次投标提交的所有资质证明文件及业绩证明是真实的、有效的，如有隐瞒实情，愿承担一切责任及后果。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投标人</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法定代表人</w:t>
            </w:r>
          </w:p>
        </w:tc>
        <w:tc>
          <w:tcPr>
            <w:tcW w:w="23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（企业公章）</w:t>
            </w:r>
          </w:p>
        </w:tc>
        <w:tc>
          <w:tcPr>
            <w:tcW w:w="3420" w:type="dxa"/>
            <w:vAlign w:val="center"/>
          </w:tcPr>
          <w:p>
            <w:pPr>
              <w:pageBreakBefore w:val="0"/>
              <w:bidi w:val="0"/>
              <w:spacing w:line="360" w:lineRule="atLeast"/>
              <w:jc w:val="center"/>
              <w:outlineLvl w:val="9"/>
              <w:rPr>
                <w:rFonts w:cs="仿宋" w:asciiTheme="minorEastAsia" w:hAnsiTheme="minorEastAsia"/>
                <w:sz w:val="24"/>
              </w:rPr>
            </w:pPr>
            <w:r>
              <w:rPr>
                <w:rFonts w:hint="eastAsia" w:cs="仿宋" w:asciiTheme="minorEastAsia" w:hAnsiTheme="minorEastAsia"/>
                <w:sz w:val="24"/>
              </w:rPr>
              <w:t>（签字或盖章）</w:t>
            </w:r>
          </w:p>
        </w:tc>
        <w:tc>
          <w:tcPr>
            <w:tcW w:w="2340" w:type="dxa"/>
            <w:vAlign w:val="center"/>
          </w:tcPr>
          <w:p>
            <w:pPr>
              <w:pageBreakBefore w:val="0"/>
              <w:bidi w:val="0"/>
              <w:spacing w:line="360" w:lineRule="atLeast"/>
              <w:ind w:firstLine="240" w:firstLineChars="100"/>
              <w:jc w:val="center"/>
              <w:outlineLvl w:val="9"/>
              <w:rPr>
                <w:rFonts w:cs="仿宋" w:asciiTheme="minorEastAsia" w:hAnsiTheme="minorEastAsia"/>
                <w:sz w:val="24"/>
              </w:rPr>
            </w:pPr>
            <w:r>
              <w:rPr>
                <w:rFonts w:hint="eastAsia" w:cs="仿宋" w:asciiTheme="minorEastAsia" w:hAnsiTheme="minorEastAsia"/>
                <w:sz w:val="24"/>
              </w:rPr>
              <w:t>年  月  日</w:t>
            </w:r>
          </w:p>
        </w:tc>
      </w:tr>
    </w:tbl>
    <w:p>
      <w:pPr>
        <w:pageBreakBefore w:val="0"/>
        <w:wordWrap w:val="0"/>
        <w:bidi w:val="0"/>
        <w:spacing w:line="360" w:lineRule="auto"/>
        <w:ind w:right="456" w:firstLine="2570" w:firstLineChars="800"/>
        <w:outlineLvl w:val="9"/>
        <w:rPr>
          <w:rFonts w:cs="仿宋" w:asciiTheme="minorEastAsia" w:hAnsiTheme="minorEastAsia"/>
          <w:b/>
          <w:bCs/>
          <w:color w:val="000000"/>
          <w:sz w:val="32"/>
        </w:rPr>
      </w:pPr>
    </w:p>
    <w:p>
      <w:pPr>
        <w:pageBreakBefore w:val="0"/>
        <w:bidi w:val="0"/>
        <w:spacing w:line="500" w:lineRule="exact"/>
        <w:outlineLvl w:val="9"/>
        <w:rPr>
          <w:rFonts w:ascii="宋体" w:hAnsi="宋体"/>
          <w:b/>
          <w:bCs/>
          <w:sz w:val="32"/>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numPr>
          <w:ilvl w:val="0"/>
          <w:numId w:val="8"/>
        </w:numPr>
        <w:bidi w:val="0"/>
        <w:spacing w:line="440" w:lineRule="exact"/>
        <w:jc w:val="center"/>
        <w:outlineLvl w:val="9"/>
        <w:rPr>
          <w:rFonts w:hint="eastAsia" w:ascii="宋体" w:hAnsi="宋体" w:cs="仿宋"/>
          <w:b/>
          <w:bCs/>
          <w:sz w:val="32"/>
          <w:szCs w:val="32"/>
          <w:lang w:val="en-US" w:eastAsia="zh-CN"/>
        </w:rPr>
      </w:pPr>
      <w:r>
        <w:rPr>
          <w:rFonts w:hint="eastAsia" w:ascii="宋体" w:hAnsi="宋体" w:cs="仿宋"/>
          <w:b/>
          <w:bCs/>
          <w:sz w:val="32"/>
          <w:szCs w:val="32"/>
          <w:lang w:val="en-US" w:eastAsia="zh-CN"/>
        </w:rPr>
        <w:t>其他资料</w:t>
      </w:r>
    </w:p>
    <w:p>
      <w:pPr>
        <w:pageBreakBefore w:val="0"/>
        <w:numPr>
          <w:ilvl w:val="0"/>
          <w:numId w:val="0"/>
        </w:numPr>
        <w:bidi w:val="0"/>
        <w:spacing w:line="440" w:lineRule="exact"/>
        <w:jc w:val="center"/>
        <w:outlineLvl w:val="9"/>
        <w:rPr>
          <w:rFonts w:hint="eastAsia" w:ascii="宋体" w:hAnsi="宋体" w:cs="仿宋"/>
          <w:b/>
          <w:bCs/>
          <w:kern w:val="0"/>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numPr>
          <w:ilvl w:val="0"/>
          <w:numId w:val="0"/>
        </w:numPr>
        <w:bidi w:val="0"/>
        <w:spacing w:line="440" w:lineRule="exact"/>
        <w:jc w:val="center"/>
        <w:outlineLvl w:val="9"/>
        <w:rPr>
          <w:rFonts w:hint="eastAsia" w:ascii="宋体" w:hAnsi="宋体" w:eastAsia="宋体" w:cs="宋体"/>
          <w:b/>
          <w:color w:val="auto"/>
          <w:sz w:val="30"/>
          <w:szCs w:val="30"/>
          <w:highlight w:val="none"/>
        </w:rPr>
      </w:pPr>
      <w:r>
        <w:rPr>
          <w:rFonts w:hint="eastAsia" w:ascii="宋体" w:hAnsi="宋体" w:cs="仿宋"/>
          <w:b/>
          <w:bCs/>
          <w:kern w:val="0"/>
          <w:sz w:val="28"/>
          <w:szCs w:val="28"/>
          <w:lang w:val="en-US" w:eastAsia="zh-CN"/>
        </w:rPr>
        <w:t>1</w:t>
      </w:r>
      <w:r>
        <w:rPr>
          <w:rFonts w:hint="eastAsia" w:ascii="宋体" w:hAnsi="宋体" w:eastAsia="宋体" w:cs="仿宋"/>
          <w:b/>
          <w:bCs/>
          <w:kern w:val="0"/>
          <w:sz w:val="28"/>
          <w:szCs w:val="28"/>
          <w:lang w:val="en-US" w:eastAsia="zh-CN"/>
        </w:rPr>
        <w:t>、</w:t>
      </w:r>
      <w:r>
        <w:rPr>
          <w:rFonts w:hint="eastAsia" w:ascii="宋体" w:hAnsi="宋体" w:eastAsia="宋体" w:cs="宋体"/>
          <w:b/>
          <w:color w:val="auto"/>
          <w:sz w:val="30"/>
          <w:szCs w:val="30"/>
          <w:highlight w:val="none"/>
        </w:rPr>
        <w:t>中小企业声明函</w:t>
      </w:r>
    </w:p>
    <w:p>
      <w:pPr>
        <w:spacing w:line="588" w:lineRule="exact"/>
        <w:jc w:val="center"/>
        <w:rPr>
          <w:rFonts w:hint="eastAsia" w:ascii="宋体" w:hAnsi="宋体" w:eastAsia="宋体" w:cs="宋体"/>
          <w:b/>
          <w:spacing w:val="6"/>
          <w:sz w:val="24"/>
          <w:szCs w:val="24"/>
          <w:highlight w:val="none"/>
        </w:rPr>
      </w:pPr>
      <w:bookmarkStart w:id="11" w:name="_Toc26990"/>
      <w:bookmarkStart w:id="12" w:name="_Toc32499"/>
      <w:r>
        <w:rPr>
          <w:rFonts w:hint="eastAsia" w:ascii="宋体" w:hAnsi="宋体" w:eastAsia="宋体" w:cs="宋体"/>
          <w:b/>
          <w:spacing w:val="6"/>
          <w:sz w:val="24"/>
          <w:szCs w:val="24"/>
          <w:highlight w:val="none"/>
        </w:rPr>
        <w:t>中小企业声明函（货物）（如符合，请提供）</w:t>
      </w:r>
    </w:p>
    <w:p>
      <w:pPr>
        <w:spacing w:before="100" w:beforeAutospacing="1" w:after="156" w:afterLines="50" w:line="36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郑重声明，根据《政府采购促进中小企业发展管理办法》（财库﹝2020﹞46 号）的规定，本公司</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（项目名称）采购活动，提供的货物全部由符合政策要求的中小企业制造。相关企业的具体情况如下： </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1、（标的名称） ，属于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 xml:space="preserve"> 行业；制造商为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 ，属于（中型企业、小型企业、微型企业）；</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2、（标的名称） ，属于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 xml:space="preserve"> 行业；制造商为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万元，资产总额为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万元，属于（中型企业、小型 企业、微型企业）；</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 ……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宋体" w:hAnsi="宋体" w:eastAsia="宋体" w:cs="宋体"/>
          <w:sz w:val="24"/>
          <w:szCs w:val="24"/>
          <w:highlight w:val="none"/>
        </w:rPr>
        <w:t xml:space="preserve"> </w:t>
      </w:r>
    </w:p>
    <w:p>
      <w:pPr>
        <w:tabs>
          <w:tab w:val="left" w:pos="486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0"/>
        <w:rPr>
          <w:rFonts w:hint="eastAsia" w:ascii="宋体" w:hAnsi="宋体" w:eastAsia="宋体" w:cs="宋体"/>
          <w:highlight w:val="none"/>
        </w:rPr>
      </w:pPr>
    </w:p>
    <w:p>
      <w:pPr>
        <w:tabs>
          <w:tab w:val="left" w:pos="4860"/>
        </w:tabs>
        <w:spacing w:line="588" w:lineRule="exact"/>
        <w:ind w:right="1560" w:firstLine="504" w:firstLineChars="200"/>
        <w:jc w:val="center"/>
        <w:rPr>
          <w:rFonts w:hint="eastAsia" w:ascii="宋体" w:hAnsi="宋体" w:eastAsia="宋体" w:cs="宋体"/>
          <w:spacing w:val="6"/>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highlight w:val="none"/>
        </w:rPr>
        <w:t xml:space="preserve"> 单位名称（盖章）：</w:t>
      </w:r>
    </w:p>
    <w:p>
      <w:pPr>
        <w:tabs>
          <w:tab w:val="left" w:pos="4860"/>
        </w:tabs>
        <w:spacing w:line="588" w:lineRule="exact"/>
        <w:ind w:right="1560" w:firstLine="444" w:firstLineChars="200"/>
        <w:jc w:val="center"/>
        <w:rPr>
          <w:rFonts w:hint="eastAsia" w:ascii="宋体" w:hAnsi="宋体" w:eastAsia="宋体" w:cs="宋体"/>
          <w:spacing w:val="6"/>
          <w:highlight w:val="none"/>
        </w:rPr>
      </w:pPr>
      <w:r>
        <w:rPr>
          <w:rFonts w:hint="eastAsia" w:ascii="宋体" w:hAnsi="宋体" w:eastAsia="宋体" w:cs="宋体"/>
          <w:spacing w:val="6"/>
          <w:highlight w:val="none"/>
        </w:rPr>
        <w:t xml:space="preserve">        日    期：</w:t>
      </w:r>
    </w:p>
    <w:p>
      <w:pPr>
        <w:spacing w:line="360" w:lineRule="auto"/>
        <w:rPr>
          <w:rFonts w:hint="eastAsia" w:ascii="宋体" w:hAnsi="宋体" w:eastAsia="宋体" w:cs="宋体"/>
          <w:spacing w:val="6"/>
          <w:sz w:val="24"/>
          <w:szCs w:val="24"/>
          <w:highlight w:val="none"/>
        </w:rPr>
      </w:pPr>
    </w:p>
    <w:p>
      <w:pPr>
        <w:pageBreakBefore w:val="0"/>
        <w:tabs>
          <w:tab w:val="left" w:pos="1755"/>
        </w:tabs>
        <w:bidi w:val="0"/>
        <w:spacing w:line="360" w:lineRule="auto"/>
        <w:jc w:val="center"/>
        <w:outlineLvl w:val="9"/>
        <w:rPr>
          <w:rFonts w:ascii="宋体" w:hAnsi="宋体" w:cs="仿宋"/>
          <w:b/>
          <w:bCs/>
          <w:sz w:val="28"/>
          <w:szCs w:val="28"/>
        </w:rPr>
      </w:pPr>
      <w:r>
        <w:rPr>
          <w:rFonts w:hint="eastAsia" w:ascii="宋体" w:hAnsi="宋体" w:eastAsia="宋体" w:cs="宋体"/>
          <w:b/>
          <w:bCs/>
          <w:spacing w:val="6"/>
          <w:sz w:val="30"/>
          <w:szCs w:val="30"/>
          <w:highlight w:val="none"/>
        </w:rPr>
        <w:br w:type="page"/>
      </w:r>
      <w:r>
        <w:rPr>
          <w:rFonts w:hint="eastAsia" w:ascii="宋体" w:hAnsi="宋体" w:cs="仿宋"/>
          <w:b/>
          <w:bCs/>
          <w:sz w:val="28"/>
          <w:szCs w:val="28"/>
          <w:lang w:val="en-US" w:eastAsia="zh-CN"/>
        </w:rPr>
        <w:t>2</w:t>
      </w:r>
      <w:r>
        <w:rPr>
          <w:rFonts w:hint="eastAsia" w:ascii="宋体" w:hAnsi="宋体" w:cs="仿宋"/>
          <w:b/>
          <w:bCs/>
          <w:sz w:val="28"/>
          <w:szCs w:val="28"/>
        </w:rPr>
        <w:t>、</w:t>
      </w:r>
      <w:bookmarkEnd w:id="11"/>
      <w:bookmarkEnd w:id="12"/>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pageBreakBefore w:val="0"/>
        <w:bidi w:val="0"/>
        <w:spacing w:line="360" w:lineRule="auto"/>
        <w:outlineLvl w:val="9"/>
        <w:rPr>
          <w:rFonts w:ascii="宋体" w:hAnsi="宋体"/>
          <w:b/>
          <w:spacing w:val="6"/>
          <w:sz w:val="32"/>
          <w:szCs w:val="32"/>
          <w:shd w:val="pct10" w:color="auto" w:fill="FFFFFF"/>
        </w:rPr>
      </w:pPr>
    </w:p>
    <w:p>
      <w:pPr>
        <w:pageBreakBefore w:val="0"/>
        <w:bidi w:val="0"/>
        <w:spacing w:line="360" w:lineRule="auto"/>
        <w:ind w:firstLine="480" w:firstLineChars="200"/>
        <w:outlineLvl w:val="9"/>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项目采购活动提供本单位制造的货物（由本单位承担工程/提供服务），或者提供其他残疾人福利性单位制造的货物（不包括使用非残疾人福利性单位注册商标的货物）。</w:t>
      </w:r>
    </w:p>
    <w:p>
      <w:pPr>
        <w:pageBreakBefore w:val="0"/>
        <w:bidi w:val="0"/>
        <w:spacing w:line="360" w:lineRule="auto"/>
        <w:ind w:firstLine="480" w:firstLineChars="200"/>
        <w:outlineLvl w:val="9"/>
        <w:rPr>
          <w:rFonts w:ascii="宋体" w:hAnsi="宋体"/>
          <w:sz w:val="24"/>
        </w:rPr>
      </w:pPr>
      <w:r>
        <w:rPr>
          <w:rFonts w:hint="eastAsia" w:ascii="宋体" w:hAnsi="宋体"/>
          <w:sz w:val="24"/>
        </w:rPr>
        <w:t>本单位对上述声明的真实性负责。如有虚假，将依法承担相应责任。</w:t>
      </w:r>
    </w:p>
    <w:p>
      <w:pPr>
        <w:pageBreakBefore w:val="0"/>
        <w:bidi w:val="0"/>
        <w:spacing w:line="360" w:lineRule="auto"/>
        <w:ind w:firstLine="480" w:firstLineChars="200"/>
        <w:outlineLvl w:val="9"/>
        <w:rPr>
          <w:rFonts w:ascii="宋体" w:hAnsi="宋体"/>
          <w:sz w:val="24"/>
        </w:rPr>
      </w:pPr>
    </w:p>
    <w:p>
      <w:pPr>
        <w:pageBreakBefore w:val="0"/>
        <w:bidi w:val="0"/>
        <w:spacing w:line="360" w:lineRule="auto"/>
        <w:ind w:firstLine="480" w:firstLineChars="200"/>
        <w:outlineLvl w:val="9"/>
        <w:rPr>
          <w:rFonts w:ascii="宋体" w:hAnsi="宋体"/>
          <w:sz w:val="24"/>
        </w:rPr>
      </w:pPr>
    </w:p>
    <w:p>
      <w:pPr>
        <w:pageBreakBefore w:val="0"/>
        <w:tabs>
          <w:tab w:val="left" w:pos="4860"/>
          <w:tab w:val="left" w:pos="8040"/>
          <w:tab w:val="left" w:pos="8160"/>
        </w:tabs>
        <w:bidi w:val="0"/>
        <w:spacing w:line="360" w:lineRule="auto"/>
        <w:ind w:right="862" w:firstLine="480" w:firstLineChars="200"/>
        <w:jc w:val="center"/>
        <w:outlineLvl w:val="9"/>
        <w:rPr>
          <w:rFonts w:ascii="宋体" w:hAnsi="宋体"/>
          <w:sz w:val="24"/>
          <w:u w:val="single"/>
        </w:rPr>
      </w:pPr>
      <w:r>
        <w:rPr>
          <w:rFonts w:hint="eastAsia" w:ascii="宋体" w:hAnsi="宋体"/>
          <w:sz w:val="24"/>
        </w:rPr>
        <w:t xml:space="preserve">          单位名称（盖章）：</w:t>
      </w:r>
      <w:r>
        <w:rPr>
          <w:rFonts w:hint="eastAsia" w:ascii="宋体" w:hAnsi="宋体"/>
          <w:sz w:val="24"/>
          <w:u w:val="single"/>
        </w:rPr>
        <w:t xml:space="preserve">                   </w:t>
      </w:r>
    </w:p>
    <w:p>
      <w:pPr>
        <w:pageBreakBefore w:val="0"/>
        <w:tabs>
          <w:tab w:val="left" w:pos="4860"/>
        </w:tabs>
        <w:bidi w:val="0"/>
        <w:spacing w:line="360" w:lineRule="auto"/>
        <w:ind w:right="1560" w:firstLine="480" w:firstLineChars="200"/>
        <w:jc w:val="center"/>
        <w:outlineLvl w:val="9"/>
        <w:rPr>
          <w:rFonts w:ascii="宋体" w:hAnsi="宋体"/>
          <w:sz w:val="24"/>
        </w:rPr>
      </w:pPr>
      <w:r>
        <w:rPr>
          <w:rFonts w:hint="eastAsia" w:ascii="宋体" w:hAnsi="宋体"/>
          <w:sz w:val="24"/>
        </w:rPr>
        <w:t xml:space="preserve">       </w:t>
      </w:r>
    </w:p>
    <w:p>
      <w:pPr>
        <w:pageBreakBefore w:val="0"/>
        <w:tabs>
          <w:tab w:val="left" w:pos="4860"/>
        </w:tabs>
        <w:bidi w:val="0"/>
        <w:spacing w:line="360" w:lineRule="auto"/>
        <w:ind w:right="1560" w:firstLine="480" w:firstLineChars="200"/>
        <w:jc w:val="center"/>
        <w:outlineLvl w:val="9"/>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ageBreakBefore w:val="0"/>
        <w:bidi w:val="0"/>
        <w:spacing w:line="360" w:lineRule="auto"/>
        <w:ind w:firstLine="506" w:firstLineChars="200"/>
        <w:outlineLvl w:val="9"/>
        <w:rPr>
          <w:rFonts w:ascii="宋体" w:hAnsi="宋体"/>
          <w:b/>
          <w:spacing w:val="6"/>
          <w:sz w:val="24"/>
          <w:shd w:val="pct10" w:color="auto" w:fill="FFFFFF"/>
        </w:rPr>
      </w:pPr>
    </w:p>
    <w:p>
      <w:pPr>
        <w:pageBreakBefore w:val="0"/>
        <w:bidi w:val="0"/>
        <w:spacing w:line="360" w:lineRule="auto"/>
        <w:ind w:firstLine="506" w:firstLineChars="200"/>
        <w:outlineLvl w:val="9"/>
        <w:rPr>
          <w:rFonts w:ascii="宋体" w:hAnsi="宋体"/>
          <w:b/>
          <w:spacing w:val="6"/>
          <w:sz w:val="24"/>
          <w:shd w:val="pct10" w:color="auto" w:fill="FFFFFF"/>
        </w:rPr>
      </w:pPr>
    </w:p>
    <w:p>
      <w:pPr>
        <w:pageBreakBefore w:val="0"/>
        <w:kinsoku w:val="0"/>
        <w:bidi w:val="0"/>
        <w:spacing w:line="360" w:lineRule="auto"/>
        <w:ind w:firstLine="480" w:firstLineChars="200"/>
        <w:outlineLvl w:val="9"/>
        <w:rPr>
          <w:rFonts w:asciiTheme="minorEastAsia" w:hAnsiTheme="minorEastAsia" w:eastAsiaTheme="minorEastAsia" w:cstheme="minorEastAsia"/>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pStyle w:val="10"/>
        <w:widowControl/>
        <w:jc w:val="center"/>
        <w:rPr>
          <w:rFonts w:hAnsi="宋体" w:cs="宋体"/>
          <w:b/>
          <w:spacing w:val="6"/>
          <w:sz w:val="32"/>
          <w:szCs w:val="32"/>
        </w:rPr>
      </w:pPr>
      <w:r>
        <w:rPr>
          <w:rFonts w:hint="eastAsia" w:ascii="宋体" w:hAnsi="宋体" w:cs="宋体"/>
          <w:b/>
          <w:kern w:val="0"/>
          <w:sz w:val="28"/>
          <w:szCs w:val="28"/>
          <w:lang w:val="en-US" w:eastAsia="zh-CN"/>
        </w:rPr>
        <w:t>3</w:t>
      </w:r>
      <w:r>
        <w:rPr>
          <w:rFonts w:hint="eastAsia" w:ascii="宋体" w:hAnsi="宋体" w:eastAsia="宋体" w:cs="宋体"/>
          <w:b/>
          <w:kern w:val="0"/>
          <w:sz w:val="28"/>
          <w:szCs w:val="28"/>
          <w:lang w:val="en-US" w:eastAsia="zh-CN"/>
        </w:rPr>
        <w:t>、</w:t>
      </w:r>
      <w:r>
        <w:rPr>
          <w:rFonts w:hAnsi="宋体" w:cs="宋体"/>
          <w:b/>
          <w:spacing w:val="6"/>
          <w:sz w:val="32"/>
          <w:szCs w:val="32"/>
        </w:rPr>
        <w:t>监狱企业证明</w:t>
      </w:r>
    </w:p>
    <w:p>
      <w:pPr>
        <w:pStyle w:val="10"/>
        <w:widowControl/>
        <w:rPr>
          <w:rFonts w:hAnsi="宋体" w:cs="宋体"/>
          <w:b/>
          <w:spacing w:val="6"/>
          <w:sz w:val="32"/>
          <w:szCs w:val="32"/>
        </w:rPr>
      </w:pPr>
    </w:p>
    <w:p>
      <w:pPr>
        <w:pStyle w:val="10"/>
        <w:widowControl/>
        <w:rPr>
          <w:szCs w:val="24"/>
        </w:rPr>
      </w:pPr>
      <w:r>
        <w:rPr>
          <w:rFonts w:hAnsi="宋体" w:cs="宋体"/>
          <w:spacing w:val="6"/>
          <w:szCs w:val="24"/>
        </w:rPr>
        <w:t>注：由省级及以上监狱管理局、戒毒管理局出具。格式自拟。</w:t>
      </w:r>
    </w:p>
    <w:p>
      <w:pPr>
        <w:pStyle w:val="10"/>
        <w:widowControl/>
        <w:rPr>
          <w:szCs w:val="24"/>
        </w:rPr>
      </w:pPr>
    </w:p>
    <w:p>
      <w:pPr>
        <w:pStyle w:val="10"/>
        <w:widowControl/>
      </w:pPr>
    </w:p>
    <w:p>
      <w:pPr>
        <w:pStyle w:val="10"/>
        <w:widowControl/>
      </w:pPr>
    </w:p>
    <w:p/>
    <w:p>
      <w:pPr>
        <w:pageBreakBefore w:val="0"/>
        <w:bidi w:val="0"/>
        <w:spacing w:line="200" w:lineRule="exact"/>
        <w:outlineLvl w:val="9"/>
        <w:rPr>
          <w:sz w:val="20"/>
          <w:szCs w:val="20"/>
        </w:rPr>
      </w:pPr>
    </w:p>
    <w:p>
      <w:pPr>
        <w:pageBreakBefore w:val="0"/>
        <w:bidi w:val="0"/>
        <w:spacing w:line="200" w:lineRule="exact"/>
        <w:outlineLvl w:val="9"/>
        <w:rPr>
          <w:sz w:val="20"/>
          <w:szCs w:val="20"/>
        </w:rPr>
      </w:pPr>
    </w:p>
    <w:p>
      <w:pPr>
        <w:pageBreakBefore w:val="0"/>
        <w:tabs>
          <w:tab w:val="left" w:pos="520"/>
        </w:tabs>
        <w:bidi w:val="0"/>
        <w:spacing w:line="274" w:lineRule="exact"/>
        <w:ind w:left="60"/>
        <w:outlineLvl w:val="9"/>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10"/>
        <w:jc w:val="center"/>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4、</w:t>
      </w:r>
      <w:r>
        <w:rPr>
          <w:rFonts w:hint="eastAsia" w:ascii="宋体" w:hAnsi="宋体" w:cs="宋体"/>
          <w:b/>
          <w:kern w:val="0"/>
          <w:sz w:val="28"/>
          <w:szCs w:val="28"/>
          <w:lang w:val="en-US" w:eastAsia="zh-CN" w:bidi="ar-SA"/>
        </w:rPr>
        <w:t>供应商认为需要的其他资料</w:t>
      </w:r>
    </w:p>
    <w:p>
      <w:pPr>
        <w:pageBreakBefore w:val="0"/>
        <w:tabs>
          <w:tab w:val="left" w:pos="520"/>
        </w:tabs>
        <w:bidi w:val="0"/>
        <w:spacing w:line="274" w:lineRule="exact"/>
        <w:ind w:left="60"/>
        <w:outlineLvl w:val="9"/>
      </w:pPr>
    </w:p>
    <w:sectPr>
      <w:headerReference r:id="rId19" w:type="first"/>
      <w:footerReference r:id="rId21" w:type="first"/>
      <w:headerReference r:id="rId18" w:type="default"/>
      <w:footerReference r:id="rId20"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宋?">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348" w:wrap="around" w:vAnchor="text" w:hAnchor="page" w:x="10049" w:yAlign="center"/>
      <w:ind w:firstLine="90" w:firstLineChars="50"/>
      <w:rPr>
        <w:rStyle w:val="28"/>
        <w:rFonts w:hint="eastAsia" w:ascii="宋体" w:hAnsi="宋体"/>
        <w:lang w:eastAsia="zh-CN"/>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10</w:t>
    </w:r>
    <w:r>
      <w:rPr>
        <w:rFonts w:ascii="宋体" w:hAnsi="宋体"/>
      </w:rPr>
      <w:fldChar w:fldCharType="end"/>
    </w:r>
  </w:p>
  <w:p>
    <w:pPr>
      <w:pStyle w:val="16"/>
      <w:wordWrap w:val="0"/>
      <w:ind w:right="360"/>
      <w:jc w:val="right"/>
      <w:rPr>
        <w:rFonts w:hint="eastAsia"/>
        <w:lang w:eastAsia="zh-CN"/>
      </w:rPr>
    </w:pPr>
    <w:r>
      <w:rPr>
        <w:rFonts w:hint="eastAsia"/>
        <w:lang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4BS3n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separate"/>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IHNhd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2vAmy2AEAALMDAAAOAAAAAAAAAAEAIAAA&#10;AB4BAABkcnMvZTJvRG9jLnhtbFBLBQYAAAAABgAGAFkBAABo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XJ2Fc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SuOKD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JcX73aAQAAswMAAA4AAAAAAAAAAQAg&#10;AAAAHgEAAGRycy9lMm9Eb2MueG1sUEsFBgAAAAAGAAYAWQEAAGo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0438"/>
      </w:tabs>
      <w:kinsoku w:val="0"/>
      <w:overflowPunct w:val="0"/>
      <w:autoSpaceDE w:val="0"/>
      <w:autoSpaceDN w:val="0"/>
      <w:adjustRightInd w:val="0"/>
      <w:snapToGrid w:val="0"/>
      <w:spacing w:before="240" w:beforeLines="100" w:after="240" w:afterLines="100" w:line="460" w:lineRule="exact"/>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pacing w:line="460" w:lineRule="exact"/>
      <w:jc w:val="left"/>
      <w:rPr>
        <w:highlight w:val="lightGray"/>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FE093"/>
    <w:multiLevelType w:val="singleLevel"/>
    <w:tmpl w:val="FE0FE093"/>
    <w:lvl w:ilvl="0" w:tentative="0">
      <w:start w:val="1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53208E"/>
    <w:multiLevelType w:val="singleLevel"/>
    <w:tmpl w:val="0053208E"/>
    <w:lvl w:ilvl="0" w:tentative="0">
      <w:start w:val="2"/>
      <w:numFmt w:val="decimal"/>
      <w:suff w:val="nothing"/>
      <w:lvlText w:val="%1）"/>
      <w:lvlJc w:val="left"/>
    </w:lvl>
  </w:abstractNum>
  <w:abstractNum w:abstractNumId="3">
    <w:nsid w:val="0C34AE71"/>
    <w:multiLevelType w:val="singleLevel"/>
    <w:tmpl w:val="0C34AE71"/>
    <w:lvl w:ilvl="0" w:tentative="0">
      <w:start w:val="1"/>
      <w:numFmt w:val="chineseCounting"/>
      <w:suff w:val="nothing"/>
      <w:lvlText w:val="%1、"/>
      <w:lvlJc w:val="left"/>
      <w:rPr>
        <w:rFonts w:hint="eastAsia"/>
      </w:rPr>
    </w:lvl>
  </w:abstractNum>
  <w:abstractNum w:abstractNumId="4">
    <w:nsid w:val="25BA7971"/>
    <w:multiLevelType w:val="singleLevel"/>
    <w:tmpl w:val="25BA7971"/>
    <w:lvl w:ilvl="0" w:tentative="0">
      <w:start w:val="3"/>
      <w:numFmt w:val="chineseCounting"/>
      <w:suff w:val="space"/>
      <w:lvlText w:val="第%1部分"/>
      <w:lvlJc w:val="left"/>
      <w:rPr>
        <w:rFonts w:hint="eastAsia"/>
      </w:rPr>
    </w:lvl>
  </w:abstractNum>
  <w:abstractNum w:abstractNumId="5">
    <w:nsid w:val="3D081B1E"/>
    <w:multiLevelType w:val="singleLevel"/>
    <w:tmpl w:val="3D081B1E"/>
    <w:lvl w:ilvl="0" w:tentative="0">
      <w:start w:val="1"/>
      <w:numFmt w:val="decimal"/>
      <w:suff w:val="nothing"/>
      <w:lvlText w:val="%1、"/>
      <w:lvlJc w:val="left"/>
    </w:lvl>
  </w:abstractNum>
  <w:abstractNum w:abstractNumId="6">
    <w:nsid w:val="4E1556EE"/>
    <w:multiLevelType w:val="singleLevel"/>
    <w:tmpl w:val="4E1556EE"/>
    <w:lvl w:ilvl="0" w:tentative="0">
      <w:start w:val="1"/>
      <w:numFmt w:val="decimal"/>
      <w:suff w:val="nothing"/>
      <w:lvlText w:val="（%1）"/>
      <w:lvlJc w:val="left"/>
    </w:lvl>
  </w:abstractNum>
  <w:abstractNum w:abstractNumId="7">
    <w:nsid w:val="59A6651B"/>
    <w:multiLevelType w:val="singleLevel"/>
    <w:tmpl w:val="59A6651B"/>
    <w:lvl w:ilvl="0" w:tentative="0">
      <w:start w:val="1"/>
      <w:numFmt w:val="chineseCounting"/>
      <w:suff w:val="nothing"/>
      <w:lvlText w:val="%1、"/>
      <w:lvlJc w:val="left"/>
    </w:lvl>
  </w:abstractNum>
  <w:num w:numId="1">
    <w:abstractNumId w:val="6"/>
  </w:num>
  <w:num w:numId="2">
    <w:abstractNumId w:val="1"/>
  </w:num>
  <w:num w:numId="3">
    <w:abstractNumId w:val="2"/>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mMwMDJiZDAxNDIzYjZhOGMxNDI1Yzk3ZWZiYTMifQ=="/>
  </w:docVars>
  <w:rsids>
    <w:rsidRoot w:val="159D1B49"/>
    <w:rsid w:val="000E2DB7"/>
    <w:rsid w:val="00184B07"/>
    <w:rsid w:val="003B501F"/>
    <w:rsid w:val="00647456"/>
    <w:rsid w:val="006E53EB"/>
    <w:rsid w:val="00743B73"/>
    <w:rsid w:val="00964140"/>
    <w:rsid w:val="00B06633"/>
    <w:rsid w:val="00B7342B"/>
    <w:rsid w:val="00C2263B"/>
    <w:rsid w:val="00C7016B"/>
    <w:rsid w:val="00D27337"/>
    <w:rsid w:val="00E62D8D"/>
    <w:rsid w:val="02BB72C4"/>
    <w:rsid w:val="048C3C3C"/>
    <w:rsid w:val="067349C1"/>
    <w:rsid w:val="07172730"/>
    <w:rsid w:val="075259FC"/>
    <w:rsid w:val="083A2FAD"/>
    <w:rsid w:val="09A127BA"/>
    <w:rsid w:val="0A0A496A"/>
    <w:rsid w:val="0A2E7419"/>
    <w:rsid w:val="0AE85176"/>
    <w:rsid w:val="0B0E707C"/>
    <w:rsid w:val="0C2F32F7"/>
    <w:rsid w:val="0C6F24CE"/>
    <w:rsid w:val="0C747D08"/>
    <w:rsid w:val="0DB02216"/>
    <w:rsid w:val="0E4365EF"/>
    <w:rsid w:val="0E601E8E"/>
    <w:rsid w:val="0FF603DB"/>
    <w:rsid w:val="104856E5"/>
    <w:rsid w:val="105F301A"/>
    <w:rsid w:val="10694477"/>
    <w:rsid w:val="121F5211"/>
    <w:rsid w:val="12721769"/>
    <w:rsid w:val="12A83E03"/>
    <w:rsid w:val="12AA3D0B"/>
    <w:rsid w:val="131C20FE"/>
    <w:rsid w:val="13E23111"/>
    <w:rsid w:val="159D1B49"/>
    <w:rsid w:val="15A92CBF"/>
    <w:rsid w:val="15E6711C"/>
    <w:rsid w:val="1615189D"/>
    <w:rsid w:val="16A70313"/>
    <w:rsid w:val="16EE795F"/>
    <w:rsid w:val="177122FD"/>
    <w:rsid w:val="17D824D8"/>
    <w:rsid w:val="17F83137"/>
    <w:rsid w:val="190D329D"/>
    <w:rsid w:val="19DD5940"/>
    <w:rsid w:val="1A9D7FC6"/>
    <w:rsid w:val="1AD34A0E"/>
    <w:rsid w:val="1B446693"/>
    <w:rsid w:val="1BBB5543"/>
    <w:rsid w:val="1C3D1686"/>
    <w:rsid w:val="1CD679D5"/>
    <w:rsid w:val="1CDC640B"/>
    <w:rsid w:val="1CEE1080"/>
    <w:rsid w:val="1D577B5E"/>
    <w:rsid w:val="1D6C577D"/>
    <w:rsid w:val="1DED2AB9"/>
    <w:rsid w:val="1F0C571A"/>
    <w:rsid w:val="1F78690B"/>
    <w:rsid w:val="20313C05"/>
    <w:rsid w:val="209F4BA5"/>
    <w:rsid w:val="20CE7B78"/>
    <w:rsid w:val="21635AC5"/>
    <w:rsid w:val="2181130E"/>
    <w:rsid w:val="22152567"/>
    <w:rsid w:val="22FD334F"/>
    <w:rsid w:val="231D5BEF"/>
    <w:rsid w:val="233701DC"/>
    <w:rsid w:val="235E7FED"/>
    <w:rsid w:val="23A24F50"/>
    <w:rsid w:val="24BE74B6"/>
    <w:rsid w:val="24F062C8"/>
    <w:rsid w:val="251247D8"/>
    <w:rsid w:val="252728D9"/>
    <w:rsid w:val="25B51813"/>
    <w:rsid w:val="261A6C39"/>
    <w:rsid w:val="263E440B"/>
    <w:rsid w:val="27EC5BFD"/>
    <w:rsid w:val="28397580"/>
    <w:rsid w:val="28B20005"/>
    <w:rsid w:val="292D216D"/>
    <w:rsid w:val="29C117AF"/>
    <w:rsid w:val="2A0B436D"/>
    <w:rsid w:val="2A13783A"/>
    <w:rsid w:val="2A6936BF"/>
    <w:rsid w:val="2A88034A"/>
    <w:rsid w:val="2A8D0269"/>
    <w:rsid w:val="2A9D0E6D"/>
    <w:rsid w:val="2AB47FA8"/>
    <w:rsid w:val="2AE81A43"/>
    <w:rsid w:val="2B3335A4"/>
    <w:rsid w:val="2C613C1D"/>
    <w:rsid w:val="2C8A2DBD"/>
    <w:rsid w:val="2E7C28D5"/>
    <w:rsid w:val="308905D5"/>
    <w:rsid w:val="30AD7C75"/>
    <w:rsid w:val="310452EE"/>
    <w:rsid w:val="320F75A3"/>
    <w:rsid w:val="321E1C91"/>
    <w:rsid w:val="335E2B99"/>
    <w:rsid w:val="3471147A"/>
    <w:rsid w:val="350318F6"/>
    <w:rsid w:val="35C5113D"/>
    <w:rsid w:val="35C87C7D"/>
    <w:rsid w:val="367779DB"/>
    <w:rsid w:val="36BC2E5F"/>
    <w:rsid w:val="37073A30"/>
    <w:rsid w:val="37821CDD"/>
    <w:rsid w:val="38111141"/>
    <w:rsid w:val="39B40F1A"/>
    <w:rsid w:val="3A231E3E"/>
    <w:rsid w:val="3A4C20E6"/>
    <w:rsid w:val="3AF07D53"/>
    <w:rsid w:val="3BA26D92"/>
    <w:rsid w:val="3BE92C13"/>
    <w:rsid w:val="3BFC64A2"/>
    <w:rsid w:val="3C6A41F3"/>
    <w:rsid w:val="3D116F41"/>
    <w:rsid w:val="3E563C23"/>
    <w:rsid w:val="3E7323B2"/>
    <w:rsid w:val="3EC87E82"/>
    <w:rsid w:val="3F5F0DF3"/>
    <w:rsid w:val="406D12A6"/>
    <w:rsid w:val="40D61E5B"/>
    <w:rsid w:val="4117383C"/>
    <w:rsid w:val="4226071D"/>
    <w:rsid w:val="436B215F"/>
    <w:rsid w:val="4433274D"/>
    <w:rsid w:val="44B05540"/>
    <w:rsid w:val="44D2432D"/>
    <w:rsid w:val="45EA0A45"/>
    <w:rsid w:val="47EA0F5F"/>
    <w:rsid w:val="48007DC3"/>
    <w:rsid w:val="48476C35"/>
    <w:rsid w:val="488658D7"/>
    <w:rsid w:val="48951D84"/>
    <w:rsid w:val="49A26997"/>
    <w:rsid w:val="4A391290"/>
    <w:rsid w:val="4A3E237C"/>
    <w:rsid w:val="4A4A44F3"/>
    <w:rsid w:val="4A7C74DF"/>
    <w:rsid w:val="4AA439E5"/>
    <w:rsid w:val="4B231FE2"/>
    <w:rsid w:val="4BDB290C"/>
    <w:rsid w:val="4C883D82"/>
    <w:rsid w:val="4D534390"/>
    <w:rsid w:val="4DC511B0"/>
    <w:rsid w:val="4E866B7B"/>
    <w:rsid w:val="4E8862BB"/>
    <w:rsid w:val="4EBB71D7"/>
    <w:rsid w:val="4EC86A38"/>
    <w:rsid w:val="4EEB0A1E"/>
    <w:rsid w:val="4F517FB5"/>
    <w:rsid w:val="50375244"/>
    <w:rsid w:val="5097572C"/>
    <w:rsid w:val="513D338D"/>
    <w:rsid w:val="515911B2"/>
    <w:rsid w:val="51827AA0"/>
    <w:rsid w:val="5349478E"/>
    <w:rsid w:val="53622163"/>
    <w:rsid w:val="53A84EA1"/>
    <w:rsid w:val="53E576A0"/>
    <w:rsid w:val="542A7306"/>
    <w:rsid w:val="54F17F9E"/>
    <w:rsid w:val="556C25BE"/>
    <w:rsid w:val="5625333F"/>
    <w:rsid w:val="56BD4320"/>
    <w:rsid w:val="5721520A"/>
    <w:rsid w:val="57424697"/>
    <w:rsid w:val="579E562B"/>
    <w:rsid w:val="584634F1"/>
    <w:rsid w:val="587A3D1D"/>
    <w:rsid w:val="59356FA0"/>
    <w:rsid w:val="59D95071"/>
    <w:rsid w:val="5B1A62BF"/>
    <w:rsid w:val="5BAA047C"/>
    <w:rsid w:val="5C6962F2"/>
    <w:rsid w:val="5CA442C0"/>
    <w:rsid w:val="5D1624F6"/>
    <w:rsid w:val="5D3A4C25"/>
    <w:rsid w:val="5E1D21B1"/>
    <w:rsid w:val="5E7220EE"/>
    <w:rsid w:val="5F182F9A"/>
    <w:rsid w:val="5F32387D"/>
    <w:rsid w:val="5F9235E9"/>
    <w:rsid w:val="60191AD5"/>
    <w:rsid w:val="60D72195"/>
    <w:rsid w:val="60EE2060"/>
    <w:rsid w:val="61665F49"/>
    <w:rsid w:val="61811507"/>
    <w:rsid w:val="624435A2"/>
    <w:rsid w:val="62FF66F4"/>
    <w:rsid w:val="63503692"/>
    <w:rsid w:val="63F17328"/>
    <w:rsid w:val="65046C98"/>
    <w:rsid w:val="65466F75"/>
    <w:rsid w:val="65FC1102"/>
    <w:rsid w:val="661257D6"/>
    <w:rsid w:val="66255300"/>
    <w:rsid w:val="66541B60"/>
    <w:rsid w:val="66CF6BCA"/>
    <w:rsid w:val="66D85CCE"/>
    <w:rsid w:val="688C12C1"/>
    <w:rsid w:val="68964036"/>
    <w:rsid w:val="68ED228A"/>
    <w:rsid w:val="691D47F4"/>
    <w:rsid w:val="69932F63"/>
    <w:rsid w:val="69B111DF"/>
    <w:rsid w:val="6BB56BB0"/>
    <w:rsid w:val="6C667EDD"/>
    <w:rsid w:val="6CA85626"/>
    <w:rsid w:val="6CB77F1C"/>
    <w:rsid w:val="6CE71B82"/>
    <w:rsid w:val="6DA36034"/>
    <w:rsid w:val="6E6C5BA9"/>
    <w:rsid w:val="6E8A7F82"/>
    <w:rsid w:val="6EB72172"/>
    <w:rsid w:val="6EDC3D95"/>
    <w:rsid w:val="6F532AF4"/>
    <w:rsid w:val="70B60D1C"/>
    <w:rsid w:val="717D0A9D"/>
    <w:rsid w:val="7198714F"/>
    <w:rsid w:val="71DD6E25"/>
    <w:rsid w:val="71FB2F69"/>
    <w:rsid w:val="727809F2"/>
    <w:rsid w:val="73BE3DC8"/>
    <w:rsid w:val="73CD1EF7"/>
    <w:rsid w:val="73FB6AF8"/>
    <w:rsid w:val="7400051E"/>
    <w:rsid w:val="742E643A"/>
    <w:rsid w:val="755F0853"/>
    <w:rsid w:val="76237B25"/>
    <w:rsid w:val="76522B87"/>
    <w:rsid w:val="76C67B1E"/>
    <w:rsid w:val="76D44D84"/>
    <w:rsid w:val="77DE4BA4"/>
    <w:rsid w:val="77F16440"/>
    <w:rsid w:val="78444CA7"/>
    <w:rsid w:val="7A10700A"/>
    <w:rsid w:val="7AB17FAC"/>
    <w:rsid w:val="7AF002AC"/>
    <w:rsid w:val="7B633FF7"/>
    <w:rsid w:val="7BED5CFD"/>
    <w:rsid w:val="7C0B1FBD"/>
    <w:rsid w:val="7CCB239A"/>
    <w:rsid w:val="7D1D5117"/>
    <w:rsid w:val="7F73248E"/>
    <w:rsid w:val="7FA43923"/>
    <w:rsid w:val="7FF07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left="1260"/>
    </w:pPr>
    <w:rPr>
      <w:szCs w:val="24"/>
    </w:rPr>
  </w:style>
  <w:style w:type="paragraph" w:styleId="8">
    <w:name w:val="Normal Indent"/>
    <w:basedOn w:val="1"/>
    <w:unhideWhenUsed/>
    <w:qFormat/>
    <w:uiPriority w:val="1"/>
    <w:pPr>
      <w:spacing w:line="300" w:lineRule="auto"/>
      <w:ind w:firstLine="420" w:firstLineChars="200"/>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before="100" w:beforeAutospacing="1" w:after="120"/>
      <w:ind w:left="200" w:leftChars="200"/>
    </w:pPr>
  </w:style>
  <w:style w:type="paragraph" w:styleId="12">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13">
    <w:name w:val="Plain Text"/>
    <w:basedOn w:val="1"/>
    <w:qFormat/>
    <w:uiPriority w:val="99"/>
    <w:rPr>
      <w:rFonts w:ascii="宋体" w:hAnsi="Courier New" w:cs="Courier New"/>
      <w:szCs w:val="21"/>
    </w:rPr>
  </w:style>
  <w:style w:type="paragraph" w:styleId="14">
    <w:name w:val="Date"/>
    <w:basedOn w:val="1"/>
    <w:next w:val="1"/>
    <w:qFormat/>
    <w:uiPriority w:val="0"/>
    <w:rPr>
      <w:rFonts w:ascii="Copperplate Gothic Bold" w:hAnsi="Copperplate Gothic Bold"/>
      <w:sz w:val="32"/>
    </w:rPr>
  </w:style>
  <w:style w:type="paragraph" w:styleId="15">
    <w:name w:val="Balloon Text"/>
    <w:basedOn w:val="1"/>
    <w:link w:val="3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18">
    <w:name w:val="toc 1"/>
    <w:basedOn w:val="1"/>
    <w:next w:val="1"/>
    <w:qFormat/>
    <w:uiPriority w:val="39"/>
    <w:pPr>
      <w:widowControl/>
      <w:spacing w:after="100" w:line="276" w:lineRule="auto"/>
      <w:jc w:val="left"/>
    </w:pPr>
    <w:rPr>
      <w:kern w:val="0"/>
      <w:sz w:val="22"/>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22">
    <w:name w:val="Body Text First Indent"/>
    <w:basedOn w:val="10"/>
    <w:next w:val="23"/>
    <w:qFormat/>
    <w:uiPriority w:val="0"/>
    <w:pPr>
      <w:ind w:firstLine="420" w:firstLineChars="100"/>
    </w:pPr>
    <w:rPr>
      <w:rFonts w:eastAsia="仿宋_GB2312"/>
      <w:sz w:val="28"/>
    </w:rPr>
  </w:style>
  <w:style w:type="paragraph" w:styleId="23">
    <w:name w:val="Body Text First Indent 2"/>
    <w:basedOn w:val="11"/>
    <w:next w:val="1"/>
    <w:semiHidden/>
    <w:qFormat/>
    <w:uiPriority w:val="0"/>
    <w:pPr>
      <w:ind w:firstLine="420" w:firstLineChars="200"/>
    </w:pPr>
    <w:rPr>
      <w:rFonts w:eastAsia="宋?"/>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Char"/>
    <w:basedOn w:val="1"/>
    <w:next w:val="5"/>
    <w:qFormat/>
    <w:uiPriority w:val="0"/>
    <w:pPr>
      <w:widowControl/>
      <w:spacing w:after="160" w:afterLines="0" w:line="240" w:lineRule="exact"/>
      <w:jc w:val="left"/>
    </w:pPr>
    <w:rPr>
      <w:szCs w:val="20"/>
    </w:rPr>
  </w:style>
  <w:style w:type="paragraph" w:customStyle="1" w:styleId="31">
    <w:name w:val="默认段落字体 Para Char Char Char Char Char Char Char Char Char1 Char Char Char Char"/>
    <w:basedOn w:val="1"/>
    <w:qFormat/>
    <w:uiPriority w:val="0"/>
    <w:pPr>
      <w:adjustRightInd w:val="0"/>
      <w:spacing w:line="312" w:lineRule="atLeast"/>
    </w:pPr>
    <w:rPr>
      <w:szCs w:val="24"/>
    </w:rPr>
  </w:style>
  <w:style w:type="paragraph" w:customStyle="1" w:styleId="3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
    <w:name w:val="p15"/>
    <w:basedOn w:val="1"/>
    <w:qFormat/>
    <w:uiPriority w:val="99"/>
    <w:pPr>
      <w:widowControl/>
    </w:pPr>
    <w:rPr>
      <w:rFonts w:ascii="Times New Roman" w:hAnsi="Times New Roman" w:cs="Times New Roman"/>
      <w:kern w:val="0"/>
      <w:szCs w:val="21"/>
    </w:rPr>
  </w:style>
  <w:style w:type="paragraph" w:styleId="34">
    <w:name w:val="List Paragraph"/>
    <w:basedOn w:val="1"/>
    <w:qFormat/>
    <w:uiPriority w:val="34"/>
    <w:pPr>
      <w:ind w:firstLine="420" w:firstLineChars="200"/>
    </w:pPr>
  </w:style>
  <w:style w:type="character" w:customStyle="1" w:styleId="35">
    <w:name w:val="批注框文本 Char"/>
    <w:basedOn w:val="26"/>
    <w:link w:val="15"/>
    <w:qFormat/>
    <w:uiPriority w:val="0"/>
    <w:rPr>
      <w:rFonts w:cs="宋体"/>
      <w:kern w:val="2"/>
      <w:sz w:val="18"/>
      <w:szCs w:val="18"/>
    </w:rPr>
  </w:style>
  <w:style w:type="character" w:customStyle="1" w:styleId="36">
    <w:name w:val="font11"/>
    <w:basedOn w:val="26"/>
    <w:qFormat/>
    <w:uiPriority w:val="0"/>
    <w:rPr>
      <w:rFonts w:hint="eastAsia" w:ascii="宋体" w:hAnsi="宋体" w:eastAsia="宋体" w:cs="宋体"/>
      <w:color w:val="000000"/>
      <w:sz w:val="28"/>
      <w:szCs w:val="28"/>
      <w:u w:val="none"/>
    </w:rPr>
  </w:style>
  <w:style w:type="character" w:customStyle="1" w:styleId="37">
    <w:name w:val="font01"/>
    <w:basedOn w:val="26"/>
    <w:qFormat/>
    <w:uiPriority w:val="0"/>
    <w:rPr>
      <w:rFonts w:ascii="宋体" w:hAnsi="宋体" w:eastAsia="宋体" w:cs="宋体"/>
      <w:color w:val="000000"/>
      <w:sz w:val="28"/>
      <w:szCs w:val="28"/>
      <w:u w:val="none"/>
    </w:rPr>
  </w:style>
  <w:style w:type="paragraph" w:customStyle="1" w:styleId="38">
    <w:name w:val="Table Paragraph"/>
    <w:basedOn w:val="1"/>
    <w:qFormat/>
    <w:uiPriority w:val="1"/>
    <w:rPr>
      <w:rFonts w:ascii="宋体" w:hAnsi="宋体"/>
      <w:lang w:val="zh-CN" w:bidi="zh-CN"/>
    </w:rPr>
  </w:style>
  <w:style w:type="paragraph" w:customStyle="1" w:styleId="39">
    <w:name w:val="title15"/>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Plain Text1"/>
    <w:basedOn w:val="1"/>
    <w:qFormat/>
    <w:uiPriority w:val="99"/>
    <w:rPr>
      <w:rFonts w:ascii="宋体" w:hAnsi="Courier New"/>
    </w:rPr>
  </w:style>
  <w:style w:type="paragraph" w:customStyle="1" w:styleId="42">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3">
    <w:name w:val="正文缩进1"/>
    <w:basedOn w:val="1"/>
    <w:qFormat/>
    <w:uiPriority w:val="0"/>
    <w:pPr>
      <w:ind w:firstLine="420" w:firstLineChars="200"/>
    </w:pPr>
  </w:style>
  <w:style w:type="paragraph" w:customStyle="1" w:styleId="44">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4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font41"/>
    <w:basedOn w:val="26"/>
    <w:qFormat/>
    <w:uiPriority w:val="0"/>
    <w:rPr>
      <w:rFonts w:hint="default" w:ascii="Times New Roman" w:hAnsi="Times New Roman" w:cs="Times New Roman"/>
      <w:color w:val="000000"/>
      <w:sz w:val="21"/>
      <w:szCs w:val="21"/>
      <w:u w:val="none"/>
    </w:rPr>
  </w:style>
  <w:style w:type="character" w:customStyle="1" w:styleId="47">
    <w:name w:val="font91"/>
    <w:basedOn w:val="26"/>
    <w:qFormat/>
    <w:uiPriority w:val="0"/>
    <w:rPr>
      <w:rFonts w:ascii="宋体" w:hAnsi="宋体" w:eastAsia="宋体" w:cs="宋体"/>
      <w:color w:val="000000"/>
      <w:sz w:val="20"/>
      <w:szCs w:val="20"/>
      <w:u w:val="none"/>
    </w:rPr>
  </w:style>
  <w:style w:type="character" w:customStyle="1" w:styleId="48">
    <w:name w:val="font71"/>
    <w:basedOn w:val="26"/>
    <w:qFormat/>
    <w:uiPriority w:val="0"/>
    <w:rPr>
      <w:rFonts w:hint="eastAsia" w:ascii="宋体" w:hAnsi="宋体" w:eastAsia="宋体" w:cs="宋体"/>
      <w:color w:val="000000"/>
      <w:sz w:val="22"/>
      <w:szCs w:val="22"/>
      <w:u w:val="none"/>
    </w:rPr>
  </w:style>
  <w:style w:type="character" w:customStyle="1" w:styleId="49">
    <w:name w:val="font81"/>
    <w:basedOn w:val="26"/>
    <w:uiPriority w:val="0"/>
    <w:rPr>
      <w:rFonts w:ascii="Arial" w:hAnsi="Arial" w:cs="Arial"/>
      <w:color w:val="000000"/>
      <w:sz w:val="22"/>
      <w:szCs w:val="22"/>
      <w:u w:val="none"/>
    </w:rPr>
  </w:style>
  <w:style w:type="character" w:customStyle="1" w:styleId="50">
    <w:name w:val="font31"/>
    <w:basedOn w:val="26"/>
    <w:uiPriority w:val="0"/>
    <w:rPr>
      <w:rFonts w:hint="eastAsia" w:ascii="宋体" w:hAnsi="宋体" w:eastAsia="宋体" w:cs="宋体"/>
      <w:color w:val="000000"/>
      <w:sz w:val="22"/>
      <w:szCs w:val="22"/>
      <w:u w:val="none"/>
    </w:rPr>
  </w:style>
  <w:style w:type="character" w:customStyle="1" w:styleId="51">
    <w:name w:val="font21"/>
    <w:basedOn w:val="2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72662</Words>
  <Characters>81755</Characters>
  <Lines>224</Lines>
  <Paragraphs>63</Paragraphs>
  <TotalTime>28</TotalTime>
  <ScaleCrop>false</ScaleCrop>
  <LinksUpToDate>false</LinksUpToDate>
  <CharactersWithSpaces>85635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2020-07-10T02:16:00Z</dcterms:created>
  <dc:creator>Administrator</dc:creator>
  <cp:lastModifiedBy>时光</cp:lastModifiedBy>
  <cp:lastPrinted>2022-10-31T04:30:00Z</cp:lastPrinted>
  <dcterms:modified xsi:type="dcterms:W3CDTF">2023-08-28T10:16:33Z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147EA41971DC4B14943FF879F783D63F_13</vt:lpwstr>
  </property>
</Properties>
</file>