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spacing w:line="360" w:lineRule="auto"/>
        <w:jc w:val="both"/>
        <w:rPr>
          <w:rFonts w:hint="default" w:ascii="宋体" w:hAnsi="宋体" w:eastAsia="宋体" w:cs="宋体"/>
          <w:b/>
          <w:sz w:val="32"/>
          <w:szCs w:val="32"/>
          <w:lang w:val="en-US" w:eastAsia="zh-CN"/>
        </w:rPr>
      </w:pPr>
      <w:r>
        <w:rPr>
          <w:rFonts w:hint="default" w:ascii="宋体" w:hAnsi="宋体" w:eastAsia="宋体" w:cs="宋体"/>
          <w:b/>
          <w:sz w:val="32"/>
          <w:szCs w:val="32"/>
          <w:lang w:val="en-US" w:eastAsia="zh-CN"/>
        </w:rPr>
        <w:t>项目编号: ZHGJ-2022-1</w:t>
      </w:r>
      <w:r>
        <w:rPr>
          <w:rFonts w:hint="eastAsia" w:ascii="宋体" w:hAnsi="宋体" w:eastAsia="宋体" w:cs="宋体"/>
          <w:b/>
          <w:sz w:val="32"/>
          <w:szCs w:val="32"/>
          <w:lang w:val="en-US" w:eastAsia="zh-CN"/>
        </w:rPr>
        <w:t>21</w:t>
      </w:r>
    </w:p>
    <w:p>
      <w:pPr>
        <w:pStyle w:val="17"/>
        <w:adjustRightInd w:val="0"/>
        <w:snapToGrid w:val="0"/>
        <w:spacing w:line="360" w:lineRule="auto"/>
        <w:jc w:val="both"/>
        <w:rPr>
          <w:rFonts w:hint="eastAsia" w:ascii="宋体" w:hAnsi="宋体" w:eastAsia="宋体" w:cs="宋体"/>
          <w:b/>
          <w:bCs/>
          <w:sz w:val="28"/>
          <w:szCs w:val="28"/>
        </w:rPr>
      </w:pPr>
    </w:p>
    <w:p>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56"/>
          <w:szCs w:val="56"/>
        </w:rPr>
      </w:pPr>
    </w:p>
    <w:p>
      <w:pPr>
        <w:pStyle w:val="17"/>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sz w:val="52"/>
          <w:szCs w:val="52"/>
        </w:rPr>
      </w:pPr>
      <w:r>
        <w:rPr>
          <w:rFonts w:hint="eastAsia" w:hAnsi="宋体" w:cs="宋体"/>
          <w:b/>
          <w:bCs/>
          <w:color w:val="auto"/>
          <w:sz w:val="54"/>
          <w:szCs w:val="54"/>
          <w:highlight w:val="none"/>
          <w:lang w:val="en-US" w:eastAsia="zh-CN"/>
        </w:rPr>
        <w:t>黄陵县水库移民开发局隆坊镇刘家河行政村生产路及排水渠修建项目</w:t>
      </w:r>
    </w:p>
    <w:p>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52"/>
          <w:szCs w:val="52"/>
        </w:rPr>
      </w:pPr>
    </w:p>
    <w:p>
      <w:pPr>
        <w:pStyle w:val="17"/>
        <w:adjustRightInd w:val="0"/>
        <w:snapToGrid w:val="0"/>
        <w:spacing w:line="360" w:lineRule="auto"/>
        <w:jc w:val="center"/>
        <w:rPr>
          <w:rFonts w:hint="eastAsia" w:ascii="宋体" w:hAnsi="宋体" w:eastAsia="宋体" w:cs="宋体"/>
          <w:sz w:val="52"/>
          <w:szCs w:val="52"/>
        </w:rPr>
      </w:pPr>
    </w:p>
    <w:p>
      <w:pPr>
        <w:pStyle w:val="17"/>
        <w:adjustRightInd w:val="0"/>
        <w:snapToGrid w:val="0"/>
        <w:spacing w:line="360" w:lineRule="auto"/>
        <w:jc w:val="center"/>
        <w:rPr>
          <w:rFonts w:hint="eastAsia" w:ascii="宋体" w:hAnsi="宋体" w:eastAsia="宋体" w:cs="宋体"/>
          <w:sz w:val="52"/>
          <w:szCs w:val="52"/>
        </w:rPr>
      </w:pPr>
    </w:p>
    <w:p>
      <w:pPr>
        <w:pStyle w:val="17"/>
        <w:adjustRightInd w:val="0"/>
        <w:snapToGrid w:val="0"/>
        <w:spacing w:line="360" w:lineRule="auto"/>
        <w:jc w:val="center"/>
        <w:rPr>
          <w:rFonts w:hint="eastAsia" w:ascii="宋体" w:hAnsi="宋体" w:eastAsia="宋体" w:cs="宋体"/>
          <w:b/>
          <w:sz w:val="70"/>
          <w:szCs w:val="70"/>
        </w:rPr>
      </w:pPr>
      <w:r>
        <w:rPr>
          <w:rFonts w:hint="eastAsia" w:ascii="宋体" w:hAnsi="宋体" w:eastAsia="宋体" w:cs="宋体"/>
          <w:b/>
          <w:sz w:val="70"/>
          <w:szCs w:val="70"/>
        </w:rPr>
        <w:t>竞争性磋商文件</w:t>
      </w:r>
    </w:p>
    <w:p>
      <w:pPr>
        <w:pStyle w:val="22"/>
        <w:spacing w:line="360" w:lineRule="auto"/>
        <w:jc w:val="center"/>
        <w:rPr>
          <w:rFonts w:hint="eastAsia" w:ascii="宋体" w:hAnsi="宋体" w:eastAsia="宋体" w:cs="宋体"/>
          <w:b/>
          <w:bCs/>
          <w:sz w:val="52"/>
          <w:szCs w:val="52"/>
        </w:rPr>
      </w:pPr>
    </w:p>
    <w:p>
      <w:pPr>
        <w:pStyle w:val="22"/>
        <w:spacing w:line="360" w:lineRule="auto"/>
        <w:jc w:val="center"/>
        <w:rPr>
          <w:rFonts w:hint="eastAsia" w:ascii="宋体" w:hAnsi="宋体" w:eastAsia="宋体" w:cs="宋体"/>
          <w:b/>
          <w:bCs/>
          <w:sz w:val="52"/>
          <w:szCs w:val="52"/>
        </w:rPr>
      </w:pPr>
    </w:p>
    <w:p>
      <w:pPr>
        <w:tabs>
          <w:tab w:val="left" w:pos="5670"/>
        </w:tabs>
        <w:autoSpaceDE w:val="0"/>
        <w:autoSpaceDN w:val="0"/>
        <w:adjustRightInd w:val="0"/>
        <w:snapToGrid w:val="0"/>
        <w:spacing w:line="360" w:lineRule="auto"/>
        <w:jc w:val="center"/>
        <w:rPr>
          <w:rFonts w:hint="eastAsia" w:ascii="宋体" w:hAnsi="宋体" w:eastAsia="宋体" w:cs="宋体"/>
          <w:bCs/>
          <w:sz w:val="30"/>
          <w:szCs w:val="30"/>
        </w:rPr>
      </w:pPr>
    </w:p>
    <w:p>
      <w:pPr>
        <w:pStyle w:val="13"/>
        <w:rPr>
          <w:rFonts w:hint="eastAsia" w:ascii="宋体" w:hAnsi="宋体" w:eastAsia="宋体" w:cs="宋体"/>
          <w:sz w:val="36"/>
          <w:szCs w:val="36"/>
        </w:rPr>
      </w:pPr>
    </w:p>
    <w:p>
      <w:pPr>
        <w:rPr>
          <w:rFonts w:hint="eastAsia"/>
        </w:rPr>
      </w:pPr>
    </w:p>
    <w:p>
      <w:pPr>
        <w:tabs>
          <w:tab w:val="left" w:pos="5670"/>
        </w:tabs>
        <w:autoSpaceDE w:val="0"/>
        <w:autoSpaceDN w:val="0"/>
        <w:adjustRightInd w:val="0"/>
        <w:snapToGrid w:val="0"/>
        <w:spacing w:line="360" w:lineRule="auto"/>
        <w:jc w:val="center"/>
        <w:rPr>
          <w:rFonts w:hint="eastAsia" w:ascii="宋体" w:hAnsi="宋体" w:eastAsia="宋体" w:cs="宋体"/>
          <w:b/>
          <w:bCs w:val="0"/>
          <w:sz w:val="32"/>
          <w:szCs w:val="32"/>
        </w:rPr>
      </w:pPr>
    </w:p>
    <w:p>
      <w:pPr>
        <w:ind w:firstLine="321" w:firstLineChars="10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rPr>
        <w:t xml:space="preserve"> </w:t>
      </w:r>
      <w:r>
        <w:rPr>
          <w:rFonts w:hint="eastAsia" w:ascii="宋体" w:hAnsi="宋体" w:eastAsia="宋体" w:cs="宋体"/>
          <w:b/>
          <w:bCs w:val="0"/>
          <w:sz w:val="32"/>
          <w:szCs w:val="32"/>
          <w:highlight w:val="none"/>
          <w:lang w:val="en-US" w:eastAsia="zh-CN"/>
        </w:rPr>
        <w:t>采购代理机构：</w:t>
      </w:r>
      <w:r>
        <w:rPr>
          <w:rFonts w:hint="eastAsia" w:ascii="宋体" w:hAnsi="宋体" w:eastAsia="宋体" w:cs="宋体"/>
          <w:b/>
          <w:bCs w:val="0"/>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val="0"/>
          <w:color w:val="FF0000"/>
          <w:sz w:val="32"/>
          <w:szCs w:val="32"/>
          <w:highlight w:val="none"/>
        </w:rPr>
      </w:pPr>
    </w:p>
    <w:p>
      <w:pPr>
        <w:tabs>
          <w:tab w:val="left" w:pos="525"/>
        </w:tabs>
        <w:ind w:left="-2" w:leftChars="-1" w:firstLine="1"/>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二</w:t>
      </w:r>
      <w:r>
        <w:rPr>
          <w:rFonts w:hint="eastAsia" w:ascii="宋体" w:hAnsi="宋体" w:eastAsia="宋体" w:cs="宋体"/>
          <w:b/>
          <w:bCs w:val="0"/>
          <w:color w:val="auto"/>
          <w:sz w:val="32"/>
          <w:szCs w:val="32"/>
          <w:highlight w:val="none"/>
          <w:lang w:eastAsia="zh-CN"/>
        </w:rPr>
        <w:t>〇二二</w:t>
      </w:r>
      <w:r>
        <w:rPr>
          <w:rFonts w:hint="eastAsia" w:ascii="宋体" w:hAnsi="宋体" w:eastAsia="宋体" w:cs="宋体"/>
          <w:b/>
          <w:bCs w:val="0"/>
          <w:color w:val="auto"/>
          <w:sz w:val="32"/>
          <w:szCs w:val="32"/>
          <w:highlight w:val="none"/>
        </w:rPr>
        <w:t>年</w:t>
      </w:r>
      <w:r>
        <w:rPr>
          <w:rFonts w:hint="eastAsia" w:ascii="宋体" w:hAnsi="宋体" w:eastAsia="宋体" w:cs="宋体"/>
          <w:b/>
          <w:bCs w:val="0"/>
          <w:color w:val="auto"/>
          <w:sz w:val="32"/>
          <w:szCs w:val="32"/>
          <w:highlight w:val="none"/>
          <w:lang w:val="en-US" w:eastAsia="zh-CN"/>
        </w:rPr>
        <w:t>五</w:t>
      </w:r>
      <w:r>
        <w:rPr>
          <w:rFonts w:hint="eastAsia" w:ascii="宋体" w:hAnsi="宋体" w:eastAsia="宋体" w:cs="宋体"/>
          <w:b/>
          <w:bCs w:val="0"/>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after="165" w:afterLines="50" w:line="460" w:lineRule="exact"/>
        <w:jc w:val="center"/>
        <w:textAlignment w:val="auto"/>
        <w:outlineLvl w:val="9"/>
        <w:rPr>
          <w:rFonts w:hint="eastAsia" w:ascii="宋体" w:hAnsi="宋体" w:eastAsia="宋体" w:cs="宋体"/>
          <w:b/>
          <w:bCs/>
          <w:sz w:val="36"/>
          <w:szCs w:val="36"/>
          <w:highlight w:val="none"/>
        </w:rPr>
        <w:sectPr>
          <w:headerReference r:id="rId3" w:type="default"/>
          <w:pgSz w:w="11907" w:h="16840"/>
          <w:pgMar w:top="1440" w:right="1247" w:bottom="1440" w:left="1474" w:header="850" w:footer="907" w:gutter="0"/>
          <w:pgNumType w:fmt="decimal"/>
          <w:cols w:space="720" w:num="1"/>
          <w:titlePg/>
          <w:rtlGutter w:val="0"/>
          <w:docGrid w:linePitch="285" w:charSpace="0"/>
        </w:sect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宋体" w:hAnsi="宋体" w:eastAsia="宋体" w:cs="宋体"/>
          <w:b/>
          <w:bCs/>
          <w:color w:val="auto"/>
          <w:sz w:val="36"/>
          <w:szCs w:val="36"/>
          <w:highlight w:val="none"/>
        </w:rPr>
      </w:pPr>
      <w:bookmarkStart w:id="0" w:name="_Toc389582033"/>
      <w:bookmarkStart w:id="1" w:name="_Toc20652"/>
      <w:bookmarkStart w:id="2" w:name="_Toc19886"/>
      <w:bookmarkStart w:id="3" w:name="_Toc5293"/>
      <w:bookmarkStart w:id="4" w:name="_Toc438073527"/>
      <w:bookmarkStart w:id="5" w:name="_Toc16218"/>
      <w:bookmarkStart w:id="6" w:name="_Toc21518"/>
      <w:bookmarkStart w:id="7" w:name="_Toc20858"/>
      <w:r>
        <w:rPr>
          <w:rFonts w:hint="eastAsia" w:ascii="宋体" w:hAnsi="宋体" w:eastAsia="宋体" w:cs="宋体"/>
          <w:b/>
          <w:bCs/>
          <w:color w:val="auto"/>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有关</w:t>
      </w:r>
      <w:r>
        <w:rPr>
          <w:rFonts w:hint="eastAsia"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、请</w:t>
      </w:r>
      <w:r>
        <w:rPr>
          <w:rFonts w:hint="eastAsia" w:ascii="宋体" w:hAnsi="宋体" w:eastAsia="宋体" w:cs="宋体"/>
          <w:b w:val="0"/>
          <w:bCs w:val="0"/>
          <w:color w:val="auto"/>
          <w:sz w:val="24"/>
          <w:szCs w:val="24"/>
          <w:highlight w:val="none"/>
        </w:rPr>
        <w:t>仔细阅读</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文件并正确理解</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文件中各项具体要求。如对</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文件有疑问，请在</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文件载明的</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文件的格式要求编制</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文件须胶装成册</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文件是否已按照</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文件的要求签字、签章和加盖单位公章，实质性条款是否满足</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文件要求，</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文件中所附资格证明等资料是否齐全、有效且是否满足</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4、请于规定时</w:t>
      </w:r>
      <w:r>
        <w:rPr>
          <w:rFonts w:hint="eastAsia" w:hAnsi="宋体" w:eastAsia="宋体" w:cs="宋体"/>
          <w:b w:val="0"/>
          <w:bCs w:val="0"/>
          <w:color w:val="auto"/>
          <w:sz w:val="24"/>
          <w:szCs w:val="24"/>
          <w:highlight w:val="none"/>
          <w:lang w:eastAsia="zh-CN"/>
        </w:rPr>
        <w:t>间</w:t>
      </w:r>
      <w:r>
        <w:rPr>
          <w:rFonts w:hint="eastAsia" w:ascii="宋体" w:hAnsi="宋体" w:eastAsia="宋体" w:cs="宋体"/>
          <w:b w:val="0"/>
          <w:bCs w:val="0"/>
          <w:color w:val="auto"/>
          <w:sz w:val="24"/>
          <w:szCs w:val="24"/>
          <w:highlight w:val="none"/>
        </w:rPr>
        <w:t>内按</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文件要求递交保证金（保证金必须足额、必须在</w:t>
      </w:r>
      <w:r>
        <w:rPr>
          <w:rFonts w:hint="eastAsia" w:hAnsi="宋体" w:eastAsia="宋体" w:cs="宋体"/>
          <w:b w:val="0"/>
          <w:bCs w:val="0"/>
          <w:color w:val="auto"/>
          <w:sz w:val="24"/>
          <w:szCs w:val="24"/>
          <w:highlight w:val="none"/>
          <w:lang w:eastAsia="zh-CN"/>
        </w:rPr>
        <w:t>磋商响应文件递交截止时间</w:t>
      </w:r>
      <w:r>
        <w:rPr>
          <w:rFonts w:hint="eastAsia" w:ascii="宋体" w:hAnsi="宋体" w:eastAsia="宋体" w:cs="宋体"/>
          <w:b w:val="0"/>
          <w:bCs w:val="0"/>
          <w:color w:val="auto"/>
          <w:sz w:val="24"/>
          <w:szCs w:val="24"/>
          <w:highlight w:val="none"/>
        </w:rPr>
        <w:t>前从基本账户转出且到账，保证金</w:t>
      </w:r>
      <w:r>
        <w:rPr>
          <w:rFonts w:hint="eastAsia" w:ascii="宋体" w:hAnsi="宋体" w:eastAsia="宋体" w:cs="宋体"/>
          <w:b w:val="0"/>
          <w:bCs w:val="0"/>
          <w:color w:val="auto"/>
          <w:sz w:val="24"/>
          <w:szCs w:val="24"/>
          <w:highlight w:val="none"/>
          <w:lang w:eastAsia="zh-CN"/>
        </w:rPr>
        <w:t>缴</w:t>
      </w:r>
      <w:r>
        <w:rPr>
          <w:rFonts w:hint="eastAsia" w:ascii="宋体" w:hAnsi="宋体" w:eastAsia="宋体" w:cs="宋体"/>
          <w:b w:val="0"/>
          <w:bCs w:val="0"/>
          <w:color w:val="auto"/>
          <w:sz w:val="24"/>
          <w:szCs w:val="24"/>
          <w:highlight w:val="none"/>
        </w:rPr>
        <w:t>纳凭证须附在</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文件中）。</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5、请您按照</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文件要求密封</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文件，并正确标记</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文件若不满足以上条件将有被否决的风险</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二、有关</w:t>
      </w:r>
      <w:r>
        <w:rPr>
          <w:rFonts w:hint="eastAsia"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、请务必考虑天气情况、交通情况以及您对</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hAnsi="宋体" w:eastAsia="宋体" w:cs="宋体"/>
          <w:b w:val="0"/>
          <w:bCs w:val="0"/>
          <w:color w:val="auto"/>
          <w:sz w:val="24"/>
          <w:szCs w:val="24"/>
          <w:highlight w:val="none"/>
          <w:lang w:val="en-US" w:eastAsia="zh-CN"/>
        </w:rPr>
        <w:t>磋商公告规定的时间及地点</w:t>
      </w:r>
      <w:r>
        <w:rPr>
          <w:rFonts w:hint="eastAsia" w:ascii="宋体" w:hAnsi="宋体" w:eastAsia="宋体" w:cs="宋体"/>
          <w:b w:val="0"/>
          <w:bCs w:val="0"/>
          <w:color w:val="auto"/>
          <w:sz w:val="24"/>
          <w:szCs w:val="24"/>
          <w:highlight w:val="none"/>
        </w:rPr>
        <w:t>递交</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、请到达文件递交地点后及时到</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文件接收处签字登记</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若因为</w:t>
      </w: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些特殊原因不能参加本次</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四、关于</w:t>
      </w:r>
      <w:r>
        <w:rPr>
          <w:rFonts w:hint="eastAsia" w:hAnsi="宋体" w:eastAsia="宋体" w:cs="宋体"/>
          <w:b/>
          <w:bCs/>
          <w:color w:val="auto"/>
          <w:sz w:val="24"/>
          <w:szCs w:val="24"/>
          <w:highlight w:val="none"/>
          <w:lang w:eastAsia="zh-CN"/>
        </w:rPr>
        <w:t>供应商注册登记提醒：</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pPr>
        <w:jc w:val="center"/>
        <w:rPr>
          <w:rFonts w:hint="eastAsia" w:ascii="幼圆" w:eastAsia="幼圆"/>
          <w:b/>
          <w:bCs/>
          <w:color w:val="auto"/>
          <w:sz w:val="44"/>
          <w:szCs w:val="44"/>
          <w:highlight w:val="none"/>
        </w:rPr>
        <w:sectPr>
          <w:headerReference r:id="rId4" w:type="default"/>
          <w:pgSz w:w="11906" w:h="16838"/>
          <w:pgMar w:top="1417" w:right="1418" w:bottom="1417" w:left="1417" w:header="851" w:footer="850" w:gutter="0"/>
          <w:pgNumType w:fmt="decimal"/>
          <w:cols w:space="720" w:num="1"/>
          <w:titlePg/>
          <w:rtlGutter w:val="0"/>
          <w:docGrid w:type="lines" w:linePitch="312" w:charSpace="0"/>
        </w:sect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_Toc22406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评审方法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合同主要条款及格式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工程量清单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第六章</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图纸</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第七章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第八章</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pPr>
        <w:pStyle w:val="28"/>
        <w:tabs>
          <w:tab w:val="right" w:leader="dot" w:pos="8788"/>
        </w:tabs>
        <w:rPr>
          <w:color w:val="auto"/>
          <w:highlight w:val="none"/>
        </w:rPr>
      </w:pPr>
    </w:p>
    <w:p>
      <w:pPr>
        <w:pStyle w:val="24"/>
        <w:keepNext w:val="0"/>
        <w:keepLines w:val="0"/>
        <w:pageBreakBefore w:val="0"/>
        <w:widowControl w:val="0"/>
        <w:tabs>
          <w:tab w:val="right" w:leader="dot" w:pos="8787"/>
        </w:tabs>
        <w:kinsoku/>
        <w:wordWrap/>
        <w:overflowPunct/>
        <w:topLinePunct w:val="0"/>
        <w:autoSpaceDE/>
        <w:autoSpaceDN/>
        <w:bidi w:val="0"/>
        <w:adjustRightInd/>
        <w:snapToGrid/>
        <w:spacing w:before="0" w:after="0" w:line="60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bookmarkEnd w:id="0"/>
    <w:bookmarkEnd w:id="1"/>
    <w:bookmarkEnd w:id="2"/>
    <w:bookmarkEnd w:id="3"/>
    <w:bookmarkEnd w:id="4"/>
    <w:bookmarkEnd w:id="5"/>
    <w:bookmarkEnd w:id="6"/>
    <w:bookmarkEnd w:id="7"/>
    <w:p>
      <w:pPr>
        <w:pStyle w:val="3"/>
        <w:keepNext w:val="0"/>
        <w:keepLines/>
        <w:pageBreakBefore/>
        <w:spacing w:before="156" w:beforeLines="50" w:after="156" w:afterLines="50" w:line="360" w:lineRule="auto"/>
        <w:jc w:val="center"/>
        <w:outlineLvl w:val="0"/>
        <w:rPr>
          <w:rFonts w:hint="eastAsia" w:ascii="宋体" w:hAnsi="宋体" w:eastAsia="宋体" w:cs="宋体"/>
          <w:b/>
          <w:bCs/>
          <w:color w:val="auto"/>
          <w:sz w:val="32"/>
          <w:szCs w:val="32"/>
          <w:highlight w:val="none"/>
        </w:rPr>
        <w:sectPr>
          <w:headerReference r:id="rId5" w:type="default"/>
          <w:footerReference r:id="rId6" w:type="default"/>
          <w:pgSz w:w="11906" w:h="16838"/>
          <w:pgMar w:top="1417" w:right="1417" w:bottom="1417" w:left="1701" w:header="851" w:footer="992" w:gutter="0"/>
          <w:pgNumType w:fmt="decimal" w:start="1"/>
          <w:cols w:space="0" w:num="1"/>
          <w:docGrid w:type="lines" w:linePitch="312" w:charSpace="0"/>
        </w:sectPr>
      </w:pPr>
      <w:bookmarkStart w:id="8" w:name="_Toc452384741"/>
      <w:bookmarkStart w:id="9" w:name="_Toc2360"/>
    </w:p>
    <w:bookmarkEnd w:id="8"/>
    <w:bookmarkEnd w:id="9"/>
    <w:p>
      <w:pPr>
        <w:pStyle w:val="3"/>
        <w:keepNext w:val="0"/>
        <w:keepLines/>
        <w:pageBreakBefore/>
        <w:widowControl w:val="0"/>
        <w:numPr>
          <w:ilvl w:val="0"/>
          <w:numId w:val="1"/>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rPr>
      </w:pPr>
      <w:bookmarkStart w:id="10" w:name="_Toc22406"/>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竞争性磋商公告</w:t>
      </w:r>
      <w:bookmarkEnd w:id="10"/>
    </w:p>
    <w:p>
      <w:pPr>
        <w:numPr>
          <w:ilvl w:val="0"/>
          <w:numId w:val="0"/>
        </w:numPr>
        <w:rPr>
          <w:rFonts w:hint="eastAsia"/>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lang w:val="en-US" w:eastAsia="zh-CN"/>
        </w:rPr>
        <w:t>黄陵县水库移民开发局</w:t>
      </w:r>
      <w:r>
        <w:rPr>
          <w:rFonts w:hint="eastAsia" w:ascii="宋体" w:hAnsi="宋体" w:eastAsia="宋体" w:cs="宋体"/>
          <w:b w:val="0"/>
          <w:bCs w:val="0"/>
          <w:i w:val="0"/>
          <w:iCs w:val="0"/>
          <w:caps w:val="0"/>
          <w:color w:val="333333"/>
          <w:spacing w:val="0"/>
          <w:sz w:val="24"/>
          <w:szCs w:val="24"/>
          <w:shd w:val="clear" w:fill="FFFFFF"/>
          <w:vertAlign w:val="baseline"/>
          <w:lang w:eastAsia="zh-CN"/>
        </w:rPr>
        <w:t>隆坊镇刘家河行政村生产路及排水渠修建项目</w:t>
      </w:r>
      <w:r>
        <w:rPr>
          <w:rFonts w:hint="eastAsia" w:ascii="宋体" w:hAnsi="宋体" w:eastAsia="宋体" w:cs="宋体"/>
          <w:b w:val="0"/>
          <w:bCs w:val="0"/>
          <w:i w:val="0"/>
          <w:iCs w:val="0"/>
          <w:caps w:val="0"/>
          <w:color w:val="333333"/>
          <w:spacing w:val="0"/>
          <w:sz w:val="24"/>
          <w:szCs w:val="24"/>
          <w:shd w:val="clear" w:fill="FFFFFF"/>
          <w:vertAlign w:val="baseline"/>
        </w:rPr>
        <w:t>的潜在供应商应在黄陵县轩辕大道原石油公司办公楼二楼获取采购文件，并于 2022年05月23日 09时30分 （北京时间）前提交响应文件。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一、项目基本情况</w:t>
      </w:r>
      <w:bookmarkStart w:id="286" w:name="_GoBack"/>
      <w:bookmarkEnd w:id="286"/>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项目编号：ZHGJ-2022-121</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项目名称：</w:t>
      </w:r>
      <w:r>
        <w:rPr>
          <w:rFonts w:hint="eastAsia" w:ascii="宋体" w:hAnsi="宋体" w:eastAsia="宋体" w:cs="宋体"/>
          <w:b w:val="0"/>
          <w:bCs w:val="0"/>
          <w:i w:val="0"/>
          <w:iCs w:val="0"/>
          <w:caps w:val="0"/>
          <w:color w:val="333333"/>
          <w:spacing w:val="0"/>
          <w:sz w:val="24"/>
          <w:szCs w:val="24"/>
          <w:shd w:val="clear" w:fill="FFFFFF"/>
          <w:vertAlign w:val="baseline"/>
          <w:lang w:val="en-US" w:eastAsia="zh-CN"/>
        </w:rPr>
        <w:t>黄陵县水库移民开发局</w:t>
      </w:r>
      <w:r>
        <w:rPr>
          <w:rFonts w:hint="eastAsia" w:cs="宋体"/>
          <w:b w:val="0"/>
          <w:bCs w:val="0"/>
          <w:i w:val="0"/>
          <w:iCs w:val="0"/>
          <w:caps w:val="0"/>
          <w:color w:val="333333"/>
          <w:spacing w:val="0"/>
          <w:sz w:val="24"/>
          <w:szCs w:val="24"/>
          <w:shd w:val="clear" w:fill="FFFFFF"/>
          <w:vertAlign w:val="baseline"/>
          <w:lang w:eastAsia="zh-CN"/>
        </w:rPr>
        <w:t>隆坊镇刘家河行政村生产路及排水渠修建项目</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采购方式：竞争性磋商</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预算金额：786,400.00元</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采购需求：</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合同包1(</w:t>
      </w:r>
      <w:r>
        <w:rPr>
          <w:rFonts w:hint="eastAsia" w:cs="宋体"/>
          <w:b w:val="0"/>
          <w:bCs w:val="0"/>
          <w:i w:val="0"/>
          <w:iCs w:val="0"/>
          <w:caps w:val="0"/>
          <w:color w:val="333333"/>
          <w:spacing w:val="0"/>
          <w:sz w:val="24"/>
          <w:szCs w:val="24"/>
          <w:shd w:val="clear" w:fill="FFFFFF"/>
          <w:vertAlign w:val="baseline"/>
          <w:lang w:eastAsia="zh-CN"/>
        </w:rPr>
        <w:t>隆坊镇刘家河行政村生产路及排水渠修建项目</w:t>
      </w:r>
      <w:r>
        <w:rPr>
          <w:rFonts w:hint="eastAsia" w:ascii="宋体" w:hAnsi="宋体" w:eastAsia="宋体" w:cs="宋体"/>
          <w:b w:val="0"/>
          <w:bCs w:val="0"/>
          <w:i w:val="0"/>
          <w:iCs w:val="0"/>
          <w:caps w:val="0"/>
          <w:color w:val="333333"/>
          <w:spacing w:val="0"/>
          <w:sz w:val="24"/>
          <w:szCs w:val="24"/>
          <w:shd w:val="clear" w:fill="FFFFFF"/>
          <w:vertAlign w:val="baseline"/>
        </w:rPr>
        <w:t>):</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合同包预算金额：786,400.00元</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合同包最高限价：786,400.00元</w:t>
      </w:r>
    </w:p>
    <w:tbl>
      <w:tblPr>
        <w:tblStyle w:val="34"/>
        <w:tblW w:w="9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7"/>
        <w:gridCol w:w="1362"/>
        <w:gridCol w:w="1328"/>
        <w:gridCol w:w="1094"/>
        <w:gridCol w:w="1378"/>
        <w:gridCol w:w="1440"/>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0" w:hRule="atLeast"/>
          <w:tblHeader/>
        </w:trPr>
        <w:tc>
          <w:tcPr>
            <w:tcW w:w="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品目号</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品目名称</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采购标的</w:t>
            </w:r>
          </w:p>
        </w:tc>
        <w:tc>
          <w:tcPr>
            <w:tcW w:w="10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数量</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（单位）</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品目预算(元)</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0" w:hRule="atLeast"/>
        </w:trPr>
        <w:tc>
          <w:tcPr>
            <w:tcW w:w="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1-1</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公路工程施工</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786400.00</w:t>
            </w:r>
          </w:p>
        </w:tc>
        <w:tc>
          <w:tcPr>
            <w:tcW w:w="10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1(项)</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vertAlign w:val="baseline"/>
                <w:lang w:val="en-US" w:eastAsia="zh-CN" w:bidi="ar"/>
              </w:rPr>
              <w:t>786,400.00</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vertAlign w:val="baseline"/>
                <w:lang w:val="en-US" w:eastAsia="zh-CN" w:bidi="ar"/>
              </w:rPr>
              <w:t>786,400.00</w:t>
            </w:r>
          </w:p>
        </w:tc>
      </w:tr>
    </w:tbl>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本合同包不接受联合体投标</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合同履行期限：2022-05-25 00:00:00 至 2022-06-10 00:00:00（具体服务起止日期可随合同签订时间相应顺延）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二、申请人的资格要求：</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1.满足《中华人民共和国政府采购法》第二十二条规定;</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2.落实政府采购政策需满足的资格要求：</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合同包1(</w:t>
      </w:r>
      <w:r>
        <w:rPr>
          <w:rFonts w:hint="eastAsia" w:cs="宋体"/>
          <w:b w:val="0"/>
          <w:bCs w:val="0"/>
          <w:i w:val="0"/>
          <w:iCs w:val="0"/>
          <w:caps w:val="0"/>
          <w:color w:val="333333"/>
          <w:spacing w:val="0"/>
          <w:sz w:val="24"/>
          <w:szCs w:val="24"/>
          <w:shd w:val="clear" w:fill="FFFFFF"/>
          <w:vertAlign w:val="baseline"/>
          <w:lang w:eastAsia="zh-CN"/>
        </w:rPr>
        <w:t>隆坊镇刘家河行政村生产路及排水渠修建项目</w:t>
      </w:r>
      <w:r>
        <w:rPr>
          <w:rFonts w:hint="eastAsia" w:ascii="宋体" w:hAnsi="宋体" w:eastAsia="宋体" w:cs="宋体"/>
          <w:b w:val="0"/>
          <w:bCs w:val="0"/>
          <w:i w:val="0"/>
          <w:iCs w:val="0"/>
          <w:caps w:val="0"/>
          <w:color w:val="333333"/>
          <w:spacing w:val="0"/>
          <w:sz w:val="24"/>
          <w:szCs w:val="24"/>
          <w:shd w:val="clear" w:fill="FFFFFF"/>
          <w:vertAlign w:val="baseline"/>
        </w:rPr>
        <w:t>)落实政府采购政策需满足的资格要求如下:</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本项目为非专门面向中小企业采购的采购项目。1）《三部门联合发布关于促进残疾人就业政府采购政策的通知》（财库〔2017〕141号）；2）《财政部司法部关于政府采购支持监狱企业发展有关问题的通知》（财库〔2014〕68号）；3）《政府采购促进中小企业发展管理办法》（财库〔2020〕46号）；4）《国务院办公厅关于建立政府强制采购节能产品制度的通知》（国办发〔2007〕51号）；5）《财政部国家发展改革委关于印发〈节能产品政府采购实施意见〉的通知》（财库〔2004〕185号）；6）《环境标志产品政府采购实施的意见》（财库〔2006〕90号）；7）《财政部国务院扶贫办关于运用政府采购政策支持脱贫攻坚的通知》（财库〔2019〕27号）；8）其他需要落实的政府采购政策。</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3.本项目的特定资格要求：</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合同包1(</w:t>
      </w:r>
      <w:r>
        <w:rPr>
          <w:rFonts w:hint="eastAsia" w:cs="宋体"/>
          <w:b w:val="0"/>
          <w:bCs w:val="0"/>
          <w:i w:val="0"/>
          <w:iCs w:val="0"/>
          <w:caps w:val="0"/>
          <w:color w:val="333333"/>
          <w:spacing w:val="0"/>
          <w:sz w:val="24"/>
          <w:szCs w:val="24"/>
          <w:shd w:val="clear" w:fill="FFFFFF"/>
          <w:vertAlign w:val="baseline"/>
          <w:lang w:eastAsia="zh-CN"/>
        </w:rPr>
        <w:t>隆坊镇刘家河行政村生产路及排水渠修建项目</w:t>
      </w:r>
      <w:r>
        <w:rPr>
          <w:rFonts w:hint="eastAsia" w:ascii="宋体" w:hAnsi="宋体" w:eastAsia="宋体" w:cs="宋体"/>
          <w:b w:val="0"/>
          <w:bCs w:val="0"/>
          <w:i w:val="0"/>
          <w:iCs w:val="0"/>
          <w:caps w:val="0"/>
          <w:color w:val="333333"/>
          <w:spacing w:val="0"/>
          <w:sz w:val="24"/>
          <w:szCs w:val="24"/>
          <w:shd w:val="clear" w:fill="FFFFFF"/>
          <w:vertAlign w:val="baseline"/>
        </w:rPr>
        <w:t>)特定资格要求如下:</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磋商，须提供法定代表人身份证明及身份证原件）；3）提供2020年以来任意一年度经审计的财务审计报告（成立时间至提交磋商响应文件截止时间不足一年的可提供成立后任意时段的资产负债表）或其基本存款账户开户银行出具的近三个月内的资信证明及基本存款账户信息（或开户许可证）；4）供应商须具备合法有效的建设行政主管部门颁发的公路工程施工总承包三级及以上资质或市政公用工程施工总承包三级及以上资质，具有有效的安全生产许可证；5）拟派项目经理须具有公路工程专业二级及以上注册建造师资格或市政公用工程工程二级以上（含二级）注册建造师资格及其本人有效的安全生产考核合格证，且无在建项目（提供承诺书）；6）社会保障资金缴纳证明：提供2022年至少一个月已缴纳的社会保障资金的证明（社会保障资金缴存单据或社保机构开具的社会保险参保缴费情况证明等）；依法不需要缴纳社会保障资金的投标人应提供相关文件证明；7）提供磋商截止日前一年内已缴纳的至少三个月的纳税证明或完税证明，依法免税的单位应提供相关证明材料；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单位负责人为同一人或者存在直接控股、管理关系的不同供应商，不得参加同一合同项下的政府采购活动；11）磋商保证金缴纳凭证或担保机构出具的保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三、获取采购文件</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时间：2022年05月12日至2022年05月18日，每天上午08:30:00至12:00:00，下午14:30:00至17:30:00（北京时间,法定节假日除外）</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地点：黄陵县轩辕大道原石油公司办公楼二楼</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方式：现场获取</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售价：500元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四、响应文件提交</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截止时间：2022年05月23日 09时30分00秒（北京时间）</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地点：黄陵县轩辕大道原石油公司办公楼二楼会议室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五、开启</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时间：2022年05月23日 09时30分00秒（北京时间）</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地点：黄陵县轩辕大道原石油公司办公楼二楼会议室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六、公告期限</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自本公告发布之日起</w:t>
      </w:r>
      <w:r>
        <w:rPr>
          <w:rFonts w:hint="eastAsia" w:ascii="宋体" w:hAnsi="宋体" w:eastAsia="宋体" w:cs="宋体"/>
          <w:b w:val="0"/>
          <w:bCs w:val="0"/>
          <w:i w:val="0"/>
          <w:iCs w:val="0"/>
          <w:caps w:val="0"/>
          <w:color w:val="333333"/>
          <w:spacing w:val="0"/>
          <w:sz w:val="24"/>
          <w:szCs w:val="24"/>
          <w:shd w:val="clear" w:fill="FFFFFF"/>
          <w:vertAlign w:val="baseline"/>
          <w:lang w:val="en-US" w:eastAsia="zh-CN"/>
        </w:rPr>
        <w:t>5</w:t>
      </w:r>
      <w:r>
        <w:rPr>
          <w:rFonts w:hint="eastAsia" w:ascii="宋体" w:hAnsi="宋体" w:eastAsia="宋体" w:cs="宋体"/>
          <w:b w:val="0"/>
          <w:bCs w:val="0"/>
          <w:i w:val="0"/>
          <w:iCs w:val="0"/>
          <w:caps w:val="0"/>
          <w:color w:val="333333"/>
          <w:spacing w:val="0"/>
          <w:sz w:val="24"/>
          <w:szCs w:val="24"/>
          <w:shd w:val="clear" w:fill="FFFFFF"/>
          <w:vertAlign w:val="baseline"/>
        </w:rPr>
        <w:t>个工作日。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七、其他补充事宜</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注：购买磋商文件请携带单位介绍信原件,经办人身份证原件及加盖供应商公章的复印件。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Style w:val="37"/>
          <w:rFonts w:hint="eastAsia" w:ascii="宋体" w:hAnsi="宋体" w:eastAsia="宋体" w:cs="宋体"/>
          <w:b w:val="0"/>
          <w:bCs w:val="0"/>
          <w:i w:val="0"/>
          <w:iCs w:val="0"/>
          <w:caps w:val="0"/>
          <w:color w:val="333333"/>
          <w:spacing w:val="0"/>
          <w:sz w:val="24"/>
          <w:szCs w:val="24"/>
          <w:shd w:val="clear" w:fill="FFFFFF"/>
          <w:vertAlign w:val="baseline"/>
        </w:rPr>
        <w:t>八、凡对本次采购提出询问，请按以下方式联系。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名称：黄陵县水库移民开发局</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地址：黄陵县商业街</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联系方式：13992159231</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名称：陕西中桓国际项目管理有限公司</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地址：陕西省西安市未央区凤城七路长和国际A座25层</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联系方式：13571134398</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项目联系人：蔡文妮</w:t>
      </w:r>
    </w:p>
    <w:p>
      <w:pPr>
        <w:pStyle w:val="3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电话：13571134398</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jc w:val="center"/>
        <w:textAlignment w:val="auto"/>
        <w:outlineLvl w:val="9"/>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3"/>
        <w:keepNext w:val="0"/>
        <w:pageBreakBefore/>
        <w:spacing w:line="350" w:lineRule="auto"/>
        <w:jc w:val="center"/>
        <w:rPr>
          <w:rFonts w:hint="eastAsia" w:ascii="宋体" w:hAnsi="宋体" w:eastAsia="宋体" w:cs="宋体"/>
          <w:color w:val="auto"/>
          <w:highlight w:val="none"/>
        </w:rPr>
      </w:pPr>
      <w:bookmarkStart w:id="11" w:name="_Toc421778363"/>
      <w:bookmarkStart w:id="12" w:name="_Toc18593"/>
      <w:bookmarkStart w:id="13" w:name="_Toc25235"/>
      <w:r>
        <w:rPr>
          <w:rFonts w:hint="eastAsia" w:ascii="宋体" w:hAnsi="宋体" w:eastAsia="宋体" w:cs="宋体"/>
          <w:color w:val="auto"/>
          <w:highlight w:val="none"/>
        </w:rPr>
        <w:t>第二章</w:t>
      </w:r>
      <w:bookmarkEnd w:id="11"/>
      <w:bookmarkEnd w:id="12"/>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w:t>
      </w:r>
      <w:bookmarkEnd w:id="13"/>
    </w:p>
    <w:p>
      <w:pPr>
        <w:spacing w:line="360" w:lineRule="auto"/>
        <w:jc w:val="center"/>
        <w:outlineLvl w:val="1"/>
        <w:rPr>
          <w:rFonts w:hint="eastAsia" w:ascii="宋体" w:hAnsi="宋体" w:eastAsia="宋体" w:cs="宋体"/>
          <w:b/>
          <w:bCs/>
          <w:color w:val="auto"/>
          <w:sz w:val="28"/>
          <w:szCs w:val="28"/>
          <w:highlight w:val="none"/>
        </w:rPr>
      </w:pPr>
      <w:bookmarkStart w:id="14" w:name="_Toc421778364"/>
      <w:bookmarkStart w:id="15" w:name="_Toc19675"/>
      <w:bookmarkStart w:id="16" w:name="_Toc23373"/>
      <w:bookmarkStart w:id="17" w:name="_Toc9103"/>
      <w:bookmarkStart w:id="18" w:name="_Toc420591642"/>
      <w:r>
        <w:rPr>
          <w:rFonts w:hint="eastAsia" w:ascii="宋体" w:hAnsi="宋体" w:eastAsia="宋体" w:cs="宋体"/>
          <w:b/>
          <w:bCs/>
          <w:color w:val="auto"/>
          <w:sz w:val="28"/>
          <w:szCs w:val="28"/>
          <w:highlight w:val="none"/>
        </w:rPr>
        <w:t>供应商须知前附表</w:t>
      </w:r>
      <w:bookmarkEnd w:id="14"/>
      <w:bookmarkEnd w:id="15"/>
      <w:bookmarkEnd w:id="16"/>
      <w:bookmarkEnd w:id="17"/>
      <w:bookmarkEnd w:id="18"/>
    </w:p>
    <w:tbl>
      <w:tblPr>
        <w:tblStyle w:val="3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500"/>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25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561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4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cs="宋体"/>
                <w:b w:val="0"/>
                <w:bCs w:val="0"/>
                <w:color w:val="auto"/>
                <w:sz w:val="24"/>
                <w:szCs w:val="24"/>
                <w:highlight w:val="none"/>
                <w:lang w:val="en-US" w:eastAsia="zh-CN"/>
              </w:rPr>
              <w:t>1.1.1</w:t>
            </w:r>
          </w:p>
        </w:tc>
        <w:tc>
          <w:tcPr>
            <w:tcW w:w="25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cs="宋体"/>
                <w:b w:val="0"/>
                <w:bCs w:val="0"/>
                <w:color w:val="auto"/>
                <w:sz w:val="24"/>
                <w:szCs w:val="24"/>
                <w:highlight w:val="none"/>
                <w:lang w:val="en-US" w:eastAsia="zh-CN"/>
              </w:rPr>
              <w:t>是否专门面向中小企业或微型企业采购</w:t>
            </w:r>
          </w:p>
        </w:tc>
        <w:tc>
          <w:tcPr>
            <w:tcW w:w="5612"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cs="宋体"/>
                <w:b w:val="0"/>
                <w:bCs w:val="0"/>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shd w:val="clear" w:color="auto" w:fill="FFFFFF"/>
                <w:lang w:val="en-US" w:eastAsia="zh-CN"/>
              </w:rPr>
              <w:t>黄陵县水库移民开发局</w:t>
            </w:r>
          </w:p>
          <w:p>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shd w:val="clear" w:color="auto" w:fill="FFFFFF"/>
              </w:rPr>
              <w:t>黄陵县城商业街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shd w:val="clear" w:color="auto" w:fill="FFFFFF"/>
                <w:lang w:val="en-US" w:eastAsia="zh-CN"/>
              </w:rPr>
              <w:t>刘云鹏</w:t>
            </w:r>
          </w:p>
          <w:p>
            <w:p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shd w:val="clear" w:color="auto" w:fill="FFFFFF"/>
                <w:lang w:val="en-US" w:eastAsia="zh-CN"/>
              </w:rPr>
              <w:t>13992159231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612"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陕西中桓国际项目管理有限公司</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陕西省西安市未央区凤城七路长和国际A座25层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蔡文妮</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val="en-US" w:eastAsia="zh-CN"/>
              </w:rPr>
              <w:t>13571134398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5612" w:type="dxa"/>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隆坊镇刘家河行政村、郑家河组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上级资金和自筹资金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范围</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b w:val="0"/>
                <w:bCs w:val="0"/>
                <w:i w:val="0"/>
                <w:caps w:val="0"/>
                <w:color w:val="auto"/>
                <w:spacing w:val="0"/>
                <w:sz w:val="24"/>
                <w:szCs w:val="24"/>
                <w:highlight w:val="none"/>
                <w:shd w:val="clear" w:fill="FFFFFF"/>
                <w:lang w:val="en-US" w:eastAsia="zh-CN"/>
              </w:rPr>
              <w:t>黄陵县水库移民开发局隆坊镇刘家河行政村生产路及排水渠修建项目</w:t>
            </w:r>
            <w:r>
              <w:rPr>
                <w:rFonts w:hint="eastAsia" w:ascii="宋体" w:hAnsi="宋体" w:eastAsia="宋体" w:cs="宋体"/>
                <w:b w:val="0"/>
                <w:bCs w:val="0"/>
                <w:i w:val="0"/>
                <w:caps w:val="0"/>
                <w:color w:val="auto"/>
                <w:spacing w:val="0"/>
                <w:sz w:val="24"/>
                <w:szCs w:val="24"/>
                <w:highlight w:val="none"/>
                <w:shd w:val="clear" w:fill="FFFFFF"/>
                <w:lang w:val="en-US" w:eastAsia="zh-CN"/>
              </w:rPr>
              <w:t>施工设计图及工程量清单范围内包含的</w:t>
            </w:r>
            <w:r>
              <w:rPr>
                <w:rFonts w:hint="eastAsia" w:ascii="宋体" w:hAnsi="宋体" w:cs="宋体"/>
                <w:b w:val="0"/>
                <w:bCs w:val="0"/>
                <w:i w:val="0"/>
                <w:caps w:val="0"/>
                <w:color w:val="auto"/>
                <w:spacing w:val="0"/>
                <w:sz w:val="24"/>
                <w:szCs w:val="24"/>
                <w:highlight w:val="none"/>
                <w:shd w:val="clear" w:fill="FFFFFF"/>
                <w:lang w:val="en-US" w:eastAsia="zh-CN"/>
              </w:rPr>
              <w:t>全部</w:t>
            </w:r>
            <w:r>
              <w:rPr>
                <w:rFonts w:hint="eastAsia" w:ascii="宋体" w:hAnsi="宋体" w:eastAsia="宋体" w:cs="宋体"/>
                <w:b w:val="0"/>
                <w:bCs w:val="0"/>
                <w:i w:val="0"/>
                <w:caps w:val="0"/>
                <w:color w:val="auto"/>
                <w:spacing w:val="0"/>
                <w:sz w:val="24"/>
                <w:szCs w:val="24"/>
                <w:highlight w:val="none"/>
                <w:shd w:val="clear" w:fill="FFFFFF"/>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500"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计划工期</w:t>
            </w:r>
          </w:p>
        </w:tc>
        <w:tc>
          <w:tcPr>
            <w:tcW w:w="5612" w:type="dxa"/>
            <w:vAlign w:val="center"/>
          </w:tcPr>
          <w:p>
            <w:pPr>
              <w:pStyle w:val="1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5612" w:type="dxa"/>
            <w:vAlign w:val="center"/>
          </w:tcPr>
          <w:p>
            <w:pPr>
              <w:spacing w:line="360" w:lineRule="auto"/>
              <w:rPr>
                <w:rFonts w:hint="eastAsia" w:ascii="宋体" w:hAnsi="宋体" w:eastAsia="宋体" w:cs="宋体"/>
                <w:color w:val="auto"/>
                <w:sz w:val="24"/>
                <w:szCs w:val="24"/>
                <w:highlight w:val="none"/>
              </w:rPr>
            </w:pPr>
            <w:bookmarkStart w:id="19" w:name="OLE_LINK34"/>
            <w:bookmarkStart w:id="20" w:name="OLE_LINK18"/>
            <w:r>
              <w:rPr>
                <w:rFonts w:hint="eastAsia" w:ascii="宋体" w:hAnsi="宋体" w:eastAsia="宋体" w:cs="宋体"/>
                <w:color w:val="auto"/>
                <w:kern w:val="0"/>
                <w:sz w:val="24"/>
                <w:szCs w:val="24"/>
                <w:highlight w:val="none"/>
              </w:rPr>
              <w:t>符合国家现行有关施工质量验收规范“合格”要求。</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资质证明文件</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（1）基本资格条件：符合《中华人民共和国政府采购法》第二十二条的规定，并提供以下资料；</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供应商须具有独立承担民事责任能力，法人或其他组织的应提供营业执照等证明文件，自然人的应提供有效的自然人身份证明；</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提供2020年以来任意一年度经审计的财务审计报告（成立时间至提交磋商响应文件截止时间不足一年的可提供成立后任意时段的资产负债表）或其基本存款账户开户银行出具的近三个月内的资信证明及基本存款账户信息（或开户许可证）；</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提供具有履行合同所必需的设备和专业技术能力的承诺；（格式自拟）</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提供磋商截止日前一年内已缴纳的至少三个月的纳税证明或完税证明，依法免税的单位应提供相关证明材料；</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保障资金缴纳证明：提供2022年至少一个月已缴纳的社会保障资金的证明（社会保障资金缴存单据或社保机构开具的社会保险参保缴费情况证明等）；依法不需要缴纳社会保障资金的投标人应提供相关文件证明；</w:t>
            </w:r>
          </w:p>
          <w:p>
            <w:pPr>
              <w:keepNext w:val="0"/>
              <w:keepLines w:val="0"/>
              <w:pageBreakBefore w:val="0"/>
              <w:kinsoku/>
              <w:wordWrap/>
              <w:overflowPunct/>
              <w:topLinePunct w:val="0"/>
              <w:autoSpaceDE/>
              <w:autoSpaceDN/>
              <w:bidi w:val="0"/>
              <w:adjustRightInd/>
              <w:snapToGrid/>
              <w:spacing w:line="440" w:lineRule="exact"/>
              <w:ind w:left="42" w:leftChars="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参加政府采购活动前3年内，在经营活动中没有重大违法记录的书面声明</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（格式自拟）</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（2）特定资格条件：</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1）法定代表人授权书（附法定代表人、被授权人身份证复印件）及被授权人身份证（法定代表人直接参加磋商，须提供法定代表人身份证明及身份证原件）；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供应商须具备合法有效的建设行政主管部门颁发的公路工程施工总承包三级及以上资质或市政公用工程施工总承包三级及以上资质，具有有效的安全生产许可证；</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）拟派项目经理须具有公路工程专业二级及以上注册建造师资格或市政公用工程工程二级以上（含二级）注册建造师资格及其本人有效的安全生产考核合格证，且无在建项目（提供承诺书）；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4）供应商不得为“信用中国”（www.creditchina.gov.cn)中列入失信被执行人和重大税收违法案件当事人名单的供应商，不得为中国政府采购网（www.ccgp.gov.cn）政府采购严重违法失信行为名单；</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）磋商保证金缴纳凭证或担保机构出具的保函。</w:t>
            </w:r>
          </w:p>
          <w:p>
            <w:p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w:t>
            </w:r>
            <w:r>
              <w:rPr>
                <w:rFonts w:hint="eastAsia" w:ascii="宋体" w:hAnsi="宋体" w:cs="宋体"/>
                <w:b/>
                <w:color w:val="auto"/>
                <w:sz w:val="24"/>
                <w:szCs w:val="24"/>
                <w:highlight w:val="none"/>
                <w:lang w:val="en-US" w:eastAsia="zh-CN"/>
              </w:rPr>
              <w:t>或扫描件</w:t>
            </w:r>
            <w:r>
              <w:rPr>
                <w:rFonts w:hint="eastAsia" w:ascii="宋体" w:hAnsi="宋体" w:eastAsia="宋体" w:cs="宋体"/>
                <w:b/>
                <w:color w:val="auto"/>
                <w:sz w:val="24"/>
                <w:szCs w:val="24"/>
                <w:highlight w:val="none"/>
              </w:rPr>
              <w:t>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612" w:type="dxa"/>
            <w:vAlign w:val="center"/>
          </w:tcPr>
          <w:p>
            <w:pPr>
              <w:pStyle w:val="13"/>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00FE"/>
            </w:r>
            <w:r>
              <w:rPr>
                <w:rFonts w:hint="eastAsia" w:ascii="宋体" w:hAnsi="宋体" w:cs="宋体"/>
                <w:color w:val="auto"/>
                <w:kern w:val="0"/>
                <w:sz w:val="24"/>
                <w:szCs w:val="24"/>
                <w:highlight w:val="none"/>
              </w:rPr>
              <w:t>自行踏勘</w:t>
            </w:r>
          </w:p>
          <w:p>
            <w:pPr>
              <w:pStyle w:val="13"/>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sym w:font="Wingdings" w:char="00A8"/>
            </w:r>
            <w:r>
              <w:rPr>
                <w:rFonts w:hint="eastAsia" w:ascii="宋体" w:hAnsi="宋体" w:cs="宋体"/>
                <w:color w:val="auto"/>
                <w:kern w:val="0"/>
                <w:sz w:val="24"/>
                <w:szCs w:val="24"/>
                <w:highlight w:val="none"/>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答疑会</w:t>
            </w:r>
          </w:p>
        </w:tc>
        <w:tc>
          <w:tcPr>
            <w:tcW w:w="5612"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的其他材料</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澄清、修改、答疑文件、工程量清单等相关材料。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的疑问</w:t>
            </w:r>
          </w:p>
        </w:tc>
        <w:tc>
          <w:tcPr>
            <w:tcW w:w="5612" w:type="dxa"/>
            <w:vAlign w:val="center"/>
          </w:tcPr>
          <w:p>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澄清</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的截止时间</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的其他材料</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的要求认为有利于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工程计价方式</w:t>
            </w:r>
          </w:p>
        </w:tc>
        <w:tc>
          <w:tcPr>
            <w:tcW w:w="5612"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工程量清单综合单价法，按陕水规计发〔2019〕66号文颁发的《陕西省水利工程预算编制规定》计价</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500"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磋商有效期</w:t>
            </w:r>
          </w:p>
        </w:tc>
        <w:tc>
          <w:tcPr>
            <w:tcW w:w="5612"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90日历天（从</w:t>
            </w:r>
            <w:r>
              <w:rPr>
                <w:rFonts w:hint="eastAsia" w:ascii="宋体" w:hAnsi="宋体" w:eastAsia="宋体" w:cs="宋体"/>
                <w:color w:val="auto"/>
                <w:sz w:val="24"/>
                <w:szCs w:val="24"/>
                <w:highlight w:val="none"/>
                <w:lang w:eastAsia="zh-CN"/>
              </w:rPr>
              <w:t>磋商</w:t>
            </w:r>
            <w:r>
              <w:rPr>
                <w:rFonts w:hint="eastAsia" w:ascii="宋体" w:hAnsi="宋体" w:cs="宋体"/>
                <w:color w:val="auto"/>
                <w:sz w:val="24"/>
                <w:szCs w:val="24"/>
                <w:highlight w:val="none"/>
                <w:lang w:eastAsia="zh-CN"/>
              </w:rPr>
              <w:t>响应文件递交</w:t>
            </w:r>
            <w:r>
              <w:rPr>
                <w:rFonts w:hint="eastAsia" w:ascii="宋体" w:hAnsi="宋体" w:eastAsia="宋体" w:cs="宋体"/>
                <w:color w:val="auto"/>
                <w:sz w:val="24"/>
                <w:szCs w:val="24"/>
                <w:highlight w:val="none"/>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500"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磋商保证金</w:t>
            </w:r>
          </w:p>
        </w:tc>
        <w:tc>
          <w:tcPr>
            <w:tcW w:w="5612" w:type="dxa"/>
            <w:vAlign w:val="center"/>
          </w:tcPr>
          <w:p>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需交纳的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保证金为:</w:t>
            </w:r>
          </w:p>
          <w:p>
            <w:pPr>
              <w:spacing w:line="360" w:lineRule="auto"/>
              <w:ind w:left="0" w:leftChars="0" w:firstLine="0" w:firstLineChars="0"/>
              <w:rPr>
                <w:rFonts w:hint="eastAsia" w:ascii="宋体" w:hAnsi="宋体" w:cs="宋体"/>
                <w:b/>
                <w:bCs/>
                <w:color w:val="auto"/>
                <w:sz w:val="24"/>
                <w:szCs w:val="24"/>
                <w:highlight w:val="none"/>
              </w:rPr>
            </w:pPr>
            <w:r>
              <w:rPr>
                <w:rFonts w:hint="eastAsia" w:ascii="宋体" w:hAnsi="宋体" w:eastAsia="宋体" w:cs="宋体"/>
                <w:color w:val="auto"/>
                <w:sz w:val="24"/>
                <w:szCs w:val="24"/>
                <w:highlight w:val="none"/>
              </w:rPr>
              <w:t>人民币</w:t>
            </w:r>
            <w:bookmarkStart w:id="21" w:name="OLE_LINK45"/>
            <w:r>
              <w:rPr>
                <w:rFonts w:hint="eastAsia" w:ascii="宋体" w:hAnsi="宋体" w:cs="宋体"/>
                <w:b/>
                <w:bCs/>
                <w:color w:val="auto"/>
                <w:sz w:val="24"/>
                <w:szCs w:val="24"/>
                <w:highlight w:val="none"/>
              </w:rPr>
              <w:t>人民币</w:t>
            </w:r>
            <w:r>
              <w:rPr>
                <w:rFonts w:hint="eastAsia" w:ascii="宋体" w:hAnsi="宋体" w:cs="宋体"/>
                <w:b/>
                <w:bCs/>
                <w:color w:val="auto"/>
                <w:sz w:val="24"/>
                <w:szCs w:val="24"/>
                <w:highlight w:val="none"/>
                <w:lang w:val="en-US" w:eastAsia="zh-CN"/>
              </w:rPr>
              <w:t>伍仟</w:t>
            </w:r>
            <w:r>
              <w:rPr>
                <w:rFonts w:hint="eastAsia" w:ascii="宋体" w:hAnsi="宋体" w:cs="宋体"/>
                <w:b/>
                <w:bCs/>
                <w:color w:val="auto"/>
                <w:sz w:val="24"/>
                <w:szCs w:val="24"/>
                <w:highlight w:val="none"/>
              </w:rPr>
              <w:t>元整（￥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000.00元）</w:t>
            </w:r>
          </w:p>
          <w:bookmarkEnd w:id="21"/>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的有效期与</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一致。担保机构出具的保函的有效期为</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延长一个月。</w:t>
            </w:r>
          </w:p>
          <w:p>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的交纳形式：转账、电汇、担保机构保函。</w:t>
            </w:r>
          </w:p>
          <w:p>
            <w:pPr>
              <w:spacing w:line="500" w:lineRule="exact"/>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以银行转账、电汇形式交纳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保证金的</w:t>
            </w:r>
            <w:r>
              <w:rPr>
                <w:rFonts w:hint="eastAsia" w:ascii="宋体" w:hAnsi="宋体" w:eastAsia="宋体" w:cs="宋体"/>
                <w:color w:val="auto"/>
                <w:sz w:val="24"/>
                <w:szCs w:val="24"/>
                <w:highlight w:val="none"/>
                <w:lang w:eastAsia="zh-CN"/>
              </w:rPr>
              <w:t>，须从基本账户转出，并且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w:t>
            </w:r>
            <w:r>
              <w:rPr>
                <w:rFonts w:hint="eastAsia" w:ascii="宋体" w:hAnsi="宋体" w:eastAsia="宋体" w:cs="宋体"/>
                <w:b w:val="0"/>
                <w:bCs w:val="0"/>
                <w:color w:val="auto"/>
                <w:sz w:val="24"/>
                <w:szCs w:val="24"/>
                <w:highlight w:val="none"/>
              </w:rPr>
              <w:t>前</w:t>
            </w:r>
            <w:r>
              <w:rPr>
                <w:rFonts w:hint="eastAsia" w:ascii="宋体" w:hAnsi="宋体" w:eastAsia="宋体" w:cs="宋体"/>
                <w:b w:val="0"/>
                <w:bCs w:val="0"/>
                <w:color w:val="auto"/>
                <w:sz w:val="24"/>
                <w:szCs w:val="24"/>
                <w:highlight w:val="none"/>
                <w:lang w:eastAsia="zh-CN"/>
              </w:rPr>
              <w:t>到达</w:t>
            </w:r>
            <w:r>
              <w:rPr>
                <w:rFonts w:hint="eastAsia" w:ascii="宋体" w:hAnsi="宋体" w:eastAsia="宋体" w:cs="宋体"/>
                <w:color w:val="auto"/>
                <w:sz w:val="24"/>
                <w:szCs w:val="24"/>
                <w:highlight w:val="none"/>
                <w:lang w:eastAsia="zh-CN"/>
              </w:rPr>
              <w:t>采购代理机构指定账</w:t>
            </w:r>
            <w:r>
              <w:rPr>
                <w:rFonts w:hint="eastAsia" w:ascii="宋体" w:hAnsi="宋体" w:eastAsia="宋体" w:cs="宋体"/>
                <w:color w:val="auto"/>
                <w:sz w:val="24"/>
                <w:szCs w:val="24"/>
                <w:highlight w:val="none"/>
              </w:rPr>
              <w:t>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转账时请注明</w:t>
            </w:r>
            <w:r>
              <w:rPr>
                <w:rFonts w:hint="eastAsia" w:ascii="宋体" w:hAnsi="宋体" w:eastAsia="宋体" w:cs="宋体"/>
                <w:b/>
                <w:bCs/>
                <w:color w:val="auto"/>
                <w:sz w:val="24"/>
                <w:szCs w:val="24"/>
                <w:highlight w:val="none"/>
                <w:lang w:eastAsia="zh-CN"/>
              </w:rPr>
              <w:t>项目编号：</w:t>
            </w:r>
            <w:r>
              <w:rPr>
                <w:rFonts w:hint="eastAsia" w:ascii="宋体" w:hAnsi="宋体" w:cs="宋体"/>
                <w:b/>
                <w:bCs/>
                <w:color w:val="auto"/>
                <w:sz w:val="24"/>
                <w:szCs w:val="24"/>
                <w:highlight w:val="none"/>
                <w:lang w:eastAsia="zh-CN"/>
              </w:rPr>
              <w:t>ZHGJ-2022-121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保证金到达采购代理机构指定账户后，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须与</w:t>
            </w:r>
            <w:r>
              <w:rPr>
                <w:rFonts w:hint="eastAsia" w:ascii="宋体" w:hAnsi="宋体" w:cs="宋体"/>
                <w:color w:val="auto"/>
                <w:kern w:val="0"/>
                <w:sz w:val="24"/>
                <w:szCs w:val="24"/>
                <w:highlight w:val="none"/>
                <w:lang w:eastAsia="zh-CN"/>
              </w:rPr>
              <w:t>陕西中桓国际项目管理有限公司</w:t>
            </w:r>
            <w:r>
              <w:rPr>
                <w:rFonts w:hint="eastAsia" w:ascii="宋体" w:hAnsi="宋体" w:cs="宋体"/>
                <w:color w:val="auto"/>
                <w:kern w:val="0"/>
                <w:sz w:val="24"/>
                <w:szCs w:val="24"/>
                <w:highlight w:val="none"/>
                <w:lang w:val="en-US" w:eastAsia="zh-CN"/>
              </w:rPr>
              <w:t>项目负责人</w:t>
            </w:r>
            <w:r>
              <w:rPr>
                <w:rFonts w:hint="eastAsia" w:ascii="宋体" w:hAnsi="宋体" w:eastAsia="宋体" w:cs="宋体"/>
                <w:color w:val="auto"/>
                <w:kern w:val="0"/>
                <w:sz w:val="24"/>
                <w:szCs w:val="24"/>
                <w:highlight w:val="none"/>
              </w:rPr>
              <w:t>联系确认到账后，将</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lang w:val="en-US" w:eastAsia="zh-CN"/>
              </w:rPr>
              <w:t>保证金缴纳凭证复印件</w:t>
            </w:r>
            <w:r>
              <w:rPr>
                <w:rFonts w:hint="eastAsia" w:ascii="宋体" w:hAnsi="宋体" w:cs="宋体"/>
                <w:color w:val="auto"/>
                <w:kern w:val="0"/>
                <w:sz w:val="24"/>
                <w:szCs w:val="24"/>
                <w:highlight w:val="none"/>
                <w:lang w:val="en-US" w:eastAsia="zh-CN"/>
              </w:rPr>
              <w:t>或扫描件</w:t>
            </w:r>
            <w:r>
              <w:rPr>
                <w:rFonts w:hint="eastAsia" w:ascii="宋体" w:hAnsi="宋体" w:eastAsia="宋体" w:cs="宋体"/>
                <w:color w:val="auto"/>
                <w:kern w:val="0"/>
                <w:sz w:val="24"/>
                <w:szCs w:val="24"/>
                <w:highlight w:val="none"/>
              </w:rPr>
              <w:t>粘贴于</w:t>
            </w:r>
            <w:r>
              <w:rPr>
                <w:rFonts w:hint="eastAsia" w:ascii="宋体" w:hAnsi="宋体" w:eastAsia="宋体" w:cs="宋体"/>
                <w:color w:val="auto"/>
                <w:kern w:val="0"/>
                <w:sz w:val="24"/>
                <w:szCs w:val="24"/>
                <w:highlight w:val="none"/>
                <w:lang w:eastAsia="zh-CN"/>
              </w:rPr>
              <w:t>磋商响应</w:t>
            </w:r>
            <w:r>
              <w:rPr>
                <w:rFonts w:hint="eastAsia" w:ascii="宋体" w:hAnsi="宋体" w:eastAsia="宋体" w:cs="宋体"/>
                <w:color w:val="auto"/>
                <w:kern w:val="0"/>
                <w:sz w:val="24"/>
                <w:szCs w:val="24"/>
                <w:highlight w:val="none"/>
              </w:rPr>
              <w:t>文件规定处。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以保函形式缴纳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保证金的，须在</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文件递交截止时间前将担保机构保函</w:t>
            </w:r>
            <w:r>
              <w:rPr>
                <w:rFonts w:hint="eastAsia" w:ascii="宋体" w:hAnsi="宋体" w:eastAsia="宋体" w:cs="宋体"/>
                <w:b/>
                <w:bCs/>
                <w:color w:val="auto"/>
                <w:sz w:val="24"/>
                <w:szCs w:val="24"/>
                <w:highlight w:val="none"/>
                <w:lang w:eastAsia="zh-CN"/>
              </w:rPr>
              <w:t>正本原件</w:t>
            </w:r>
            <w:r>
              <w:rPr>
                <w:rFonts w:hint="eastAsia" w:ascii="宋体" w:hAnsi="宋体" w:eastAsia="宋体" w:cs="宋体"/>
                <w:color w:val="auto"/>
                <w:sz w:val="24"/>
                <w:szCs w:val="24"/>
                <w:highlight w:val="none"/>
              </w:rPr>
              <w:t>提交至采购代理机构备案</w:t>
            </w:r>
            <w:r>
              <w:rPr>
                <w:rFonts w:hint="eastAsia" w:ascii="宋体" w:hAnsi="宋体" w:eastAsia="宋体" w:cs="宋体"/>
                <w:color w:val="auto"/>
                <w:sz w:val="24"/>
                <w:szCs w:val="24"/>
                <w:highlight w:val="none"/>
                <w:lang w:eastAsia="zh-CN"/>
              </w:rPr>
              <w:t>，并将保函正本复印件</w:t>
            </w:r>
            <w:r>
              <w:rPr>
                <w:rFonts w:hint="eastAsia" w:ascii="宋体" w:hAnsi="宋体" w:cs="宋体"/>
                <w:color w:val="auto"/>
                <w:sz w:val="24"/>
                <w:szCs w:val="24"/>
                <w:highlight w:val="none"/>
                <w:lang w:val="en-US" w:eastAsia="zh-CN"/>
              </w:rPr>
              <w:t>或扫描件</w:t>
            </w:r>
            <w:r>
              <w:rPr>
                <w:rFonts w:hint="eastAsia" w:ascii="宋体" w:hAnsi="宋体" w:eastAsia="宋体" w:cs="宋体"/>
                <w:color w:val="auto"/>
                <w:sz w:val="24"/>
                <w:szCs w:val="24"/>
                <w:highlight w:val="none"/>
                <w:lang w:eastAsia="zh-CN"/>
              </w:rPr>
              <w:t>附在磋商响应文件规定处。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方案</w:t>
            </w:r>
          </w:p>
        </w:tc>
        <w:tc>
          <w:tcPr>
            <w:tcW w:w="5612"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允许</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签字或盖章要求</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封面、</w:t>
            </w:r>
            <w:r>
              <w:rPr>
                <w:rFonts w:hint="eastAsia" w:ascii="宋体" w:hAnsi="宋体" w:eastAsia="宋体" w:cs="宋体"/>
                <w:color w:val="auto"/>
                <w:sz w:val="24"/>
                <w:szCs w:val="24"/>
                <w:highlight w:val="none"/>
                <w:lang w:eastAsia="zh-CN"/>
              </w:rPr>
              <w:t>磋商响应函</w:t>
            </w:r>
            <w:r>
              <w:rPr>
                <w:rFonts w:hint="eastAsia" w:ascii="宋体" w:hAnsi="宋体" w:eastAsia="宋体" w:cs="宋体"/>
                <w:color w:val="auto"/>
                <w:sz w:val="24"/>
                <w:szCs w:val="24"/>
                <w:highlight w:val="none"/>
              </w:rPr>
              <w:t>及其它有要求处必须加盖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公章并经法定代表人或其委托代理人签字或盖章。</w:t>
            </w:r>
            <w:bookmarkStart w:id="22" w:name="_Toc343511347"/>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应无涂改或行间插字和增删。如确需修改，修改处必须由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公章并经法定代表人或其委托代理人签字或盖章。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份数</w:t>
            </w:r>
          </w:p>
        </w:tc>
        <w:tc>
          <w:tcPr>
            <w:tcW w:w="5612"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正本的份数：壹份；</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副本的份数：</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壹</w:t>
            </w:r>
            <w:r>
              <w:rPr>
                <w:rFonts w:hint="eastAsia" w:ascii="宋体" w:hAnsi="宋体" w:eastAsia="宋体" w:cs="宋体"/>
                <w:color w:val="auto"/>
                <w:sz w:val="24"/>
                <w:szCs w:val="24"/>
                <w:highlight w:val="none"/>
                <w:lang w:eastAsia="zh-CN"/>
              </w:rPr>
              <w:t>份；</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电子版（U盘）：</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份（需在盘面上标注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全称）</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电子版包括：</w:t>
            </w:r>
          </w:p>
          <w:p>
            <w:pPr>
              <w:numPr>
                <w:ilvl w:val="0"/>
                <w:numId w:val="2"/>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word版磋商响应文件；</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陕西易投水利造价软件</w:t>
            </w:r>
            <w:r>
              <w:rPr>
                <w:rFonts w:hint="eastAsia" w:ascii="宋体" w:hAnsi="宋体" w:cs="宋体"/>
                <w:b/>
                <w:bCs/>
                <w:color w:val="auto"/>
                <w:sz w:val="24"/>
                <w:szCs w:val="24"/>
                <w:highlight w:val="none"/>
              </w:rPr>
              <w:t>导出的报价表、已报价的电子标书。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4.1.2</w:t>
            </w:r>
          </w:p>
        </w:tc>
        <w:tc>
          <w:tcPr>
            <w:tcW w:w="2500"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密封要求</w:t>
            </w:r>
          </w:p>
        </w:tc>
        <w:tc>
          <w:tcPr>
            <w:tcW w:w="5612" w:type="dxa"/>
            <w:vAlign w:val="center"/>
          </w:tcPr>
          <w:p>
            <w:pPr>
              <w:numPr>
                <w:ilvl w:val="0"/>
                <w:numId w:val="0"/>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应将</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文件正本、所有的副本、电子版本、</w:t>
            </w:r>
            <w:r>
              <w:rPr>
                <w:rFonts w:hint="eastAsia" w:ascii="宋体" w:hAnsi="宋体" w:eastAsia="宋体" w:cs="宋体"/>
                <w:color w:val="auto"/>
                <w:sz w:val="24"/>
                <w:szCs w:val="24"/>
                <w:highlight w:val="none"/>
                <w:lang w:eastAsia="zh-CN"/>
              </w:rPr>
              <w:t>磋商报价表</w:t>
            </w:r>
            <w:r>
              <w:rPr>
                <w:rFonts w:hint="eastAsia" w:ascii="宋体" w:hAnsi="宋体" w:eastAsia="宋体" w:cs="宋体"/>
                <w:color w:val="auto"/>
                <w:sz w:val="24"/>
                <w:szCs w:val="24"/>
                <w:highlight w:val="none"/>
              </w:rPr>
              <w:t>分别单独密封在封袋中（封袋不得有破损）。封袋应加贴封条，并在封线处加盖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3</w:t>
            </w:r>
          </w:p>
        </w:tc>
        <w:tc>
          <w:tcPr>
            <w:tcW w:w="2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封套上写明</w:t>
            </w:r>
          </w:p>
        </w:tc>
        <w:tc>
          <w:tcPr>
            <w:tcW w:w="5612" w:type="dxa"/>
            <w:vAlign w:val="center"/>
          </w:tcPr>
          <w:p>
            <w:pPr>
              <w:numPr>
                <w:ilvl w:val="0"/>
                <w:numId w:val="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人名称：</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名称以及标注“正本”、“副本”、“</w:t>
            </w:r>
            <w:r>
              <w:rPr>
                <w:rFonts w:hint="eastAsia" w:ascii="宋体" w:hAnsi="宋体" w:eastAsia="宋体" w:cs="宋体"/>
                <w:color w:val="auto"/>
                <w:sz w:val="24"/>
                <w:szCs w:val="24"/>
                <w:highlight w:val="none"/>
                <w:lang w:eastAsia="zh-CN"/>
              </w:rPr>
              <w:t>磋商报价表</w:t>
            </w:r>
            <w:r>
              <w:rPr>
                <w:rFonts w:hint="eastAsia" w:ascii="宋体" w:hAnsi="宋体" w:eastAsia="宋体" w:cs="宋体"/>
                <w:color w:val="auto"/>
                <w:sz w:val="24"/>
                <w:szCs w:val="24"/>
                <w:highlight w:val="none"/>
              </w:rPr>
              <w:t>”“电子版”字样，密封处应加盖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截止时间、地点</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是否退还</w:t>
            </w:r>
            <w:r>
              <w:rPr>
                <w:rFonts w:hint="eastAsia" w:ascii="宋体" w:hAnsi="宋体" w:eastAsia="宋体" w:cs="宋体"/>
                <w:color w:val="auto"/>
                <w:sz w:val="24"/>
                <w:szCs w:val="24"/>
                <w:highlight w:val="none"/>
                <w:lang w:eastAsia="zh-CN"/>
              </w:rPr>
              <w:t>竞争性磋商响应文件</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时间和地点</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p>
        </w:tc>
        <w:tc>
          <w:tcPr>
            <w:tcW w:w="2500"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tc>
        <w:tc>
          <w:tcPr>
            <w:tcW w:w="5612"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代表和具备相关专业的专家</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3人以上单数组成</w:t>
            </w:r>
            <w:r>
              <w:rPr>
                <w:rFonts w:hint="eastAsia" w:ascii="宋体" w:hAnsi="宋体" w:eastAsia="宋体" w:cs="宋体"/>
                <w:color w:val="auto"/>
                <w:sz w:val="24"/>
                <w:szCs w:val="24"/>
                <w:highlight w:val="none"/>
                <w:lang w:eastAsia="zh-CN"/>
              </w:rPr>
              <w:t>磋商小组</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是否授权</w:t>
            </w:r>
            <w:r>
              <w:rPr>
                <w:rFonts w:hint="eastAsia" w:ascii="宋体" w:hAnsi="宋体" w:eastAsia="宋体" w:cs="宋体"/>
                <w:color w:val="auto"/>
                <w:sz w:val="24"/>
                <w:szCs w:val="24"/>
                <w:highlight w:val="none"/>
                <w:lang w:eastAsia="zh-CN"/>
              </w:rPr>
              <w:t>磋商小组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bookmarkStart w:id="23" w:name="OLE_LINK6"/>
            <w:r>
              <w:rPr>
                <w:rFonts w:hint="eastAsia" w:ascii="宋体" w:hAnsi="宋体" w:eastAsia="宋体" w:cs="宋体"/>
                <w:color w:val="auto"/>
                <w:sz w:val="24"/>
                <w:szCs w:val="24"/>
                <w:highlight w:val="none"/>
              </w:rPr>
              <w:t>推荐3名</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履约</w:t>
            </w:r>
            <w:r>
              <w:rPr>
                <w:rFonts w:hint="eastAsia" w:ascii="宋体" w:hAnsi="宋体" w:cs="宋体"/>
                <w:color w:val="auto"/>
                <w:sz w:val="24"/>
                <w:szCs w:val="24"/>
                <w:highlight w:val="none"/>
                <w:lang w:eastAsia="zh-CN"/>
              </w:rPr>
              <w:t>保证金</w:t>
            </w:r>
          </w:p>
        </w:tc>
        <w:tc>
          <w:tcPr>
            <w:tcW w:w="5612" w:type="dxa"/>
            <w:vAlign w:val="center"/>
          </w:tcPr>
          <w:p>
            <w:pPr>
              <w:pStyle w:val="17"/>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bookmarkStart w:id="24" w:name="OLE_LINK97"/>
            <w:r>
              <w:rPr>
                <w:rFonts w:hint="eastAsia" w:ascii="宋体" w:hAnsi="宋体" w:eastAsia="宋体" w:cs="宋体"/>
                <w:b w:val="0"/>
                <w:bCs w:val="0"/>
                <w:color w:val="auto"/>
                <w:kern w:val="0"/>
                <w:sz w:val="24"/>
                <w:szCs w:val="24"/>
                <w:highlight w:val="none"/>
                <w:lang w:val="en-US" w:eastAsia="zh-CN" w:bidi="ar-SA"/>
              </w:rPr>
              <w:t>☑ 不要求提供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 要求提供</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exact"/>
          <w:jc w:val="center"/>
        </w:trPr>
        <w:tc>
          <w:tcPr>
            <w:tcW w:w="104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代理服务费</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8.2采购人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采购工作结束后3日内</w:t>
            </w:r>
            <w:r>
              <w:rPr>
                <w:rFonts w:hint="eastAsia" w:ascii="宋体" w:hAnsi="宋体" w:eastAsia="宋体" w:cs="宋体"/>
                <w:color w:val="auto"/>
                <w:sz w:val="24"/>
                <w:szCs w:val="24"/>
                <w:highlight w:val="none"/>
              </w:rPr>
              <w:t>，须向采购代理机构一次性支付招标代理服务费。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4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是否实行计算机辅助</w:t>
            </w:r>
            <w:r>
              <w:rPr>
                <w:rFonts w:hint="eastAsia" w:ascii="宋体" w:hAnsi="宋体" w:eastAsia="宋体" w:cs="宋体"/>
                <w:color w:val="auto"/>
                <w:sz w:val="24"/>
                <w:szCs w:val="24"/>
                <w:highlight w:val="none"/>
                <w:lang w:eastAsia="zh-CN"/>
              </w:rPr>
              <w:t>评审</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exact"/>
          <w:jc w:val="center"/>
        </w:trPr>
        <w:tc>
          <w:tcPr>
            <w:tcW w:w="354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构成本</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各个组成部分的文件，未经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人书面同意，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不得擅自复印和用于非本项目所需的其他目的。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人全部或者部分使用未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354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同义词语</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组成部分的“通用合同条款”、“专用合同条款”、“技术标准和要求”和“工程量清单”等章节中出现的措辞“发包人”和“承包人”，在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阶段应当分别按“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354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56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exact"/>
          <w:jc w:val="center"/>
        </w:trPr>
        <w:tc>
          <w:tcPr>
            <w:tcW w:w="35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银行账户信息</w:t>
            </w:r>
          </w:p>
        </w:tc>
        <w:tc>
          <w:tcPr>
            <w:tcW w:w="5612"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b/>
                <w:bCs/>
                <w:color w:val="auto"/>
                <w:sz w:val="24"/>
                <w:szCs w:val="24"/>
                <w:highlight w:val="none"/>
                <w:lang w:val="en-US" w:eastAsia="zh-CN"/>
              </w:rPr>
              <w:t>保证金账户：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户  名：陕西中桓国际项目管理有限公司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开户行：上海浦东发展银行股份有限公司西安唐延路支行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账  号：72120078801100001757</w:t>
            </w:r>
          </w:p>
          <w:p>
            <w:pPr>
              <w:pStyle w:val="6"/>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ascii="宋体" w:hAnsi="宋体" w:eastAsia="宋体" w:cs="宋体"/>
                <w:b/>
                <w:bCs/>
                <w:color w:val="auto"/>
                <w:sz w:val="24"/>
                <w:szCs w:val="24"/>
                <w:highlight w:val="none"/>
                <w:lang w:val="en-US" w:eastAsia="zh-CN"/>
              </w:rPr>
              <w:t>请各供应商按照要求将保证金汇入以上指定账户，如因自身原因发生错误，产生的不利后果均由供应商自行承担。</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招标代理服务费账户：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户  名：陕西中桓国际项目管理有限公司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开户行：上海浦东发展银行股份有限公司西安唐延路支行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账  号：72120078801100001757</w:t>
            </w:r>
          </w:p>
          <w:p>
            <w:pPr>
              <w:pStyle w:val="6"/>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请采购人按照要求将服务费汇入以上指定账户。</w:t>
            </w:r>
          </w:p>
        </w:tc>
      </w:tr>
    </w:tbl>
    <w:p>
      <w:pPr>
        <w:spacing w:line="360" w:lineRule="auto"/>
        <w:jc w:val="left"/>
        <w:rPr>
          <w:rFonts w:hint="eastAsia" w:ascii="宋体" w:hAnsi="宋体" w:eastAsia="宋体" w:cs="宋体"/>
          <w:color w:val="auto"/>
          <w:highlight w:val="none"/>
        </w:rPr>
        <w:sectPr>
          <w:footerReference r:id="rId7" w:type="default"/>
          <w:pgSz w:w="11906" w:h="16838"/>
          <w:pgMar w:top="1417" w:right="1417" w:bottom="1417" w:left="1701" w:header="851" w:footer="992" w:gutter="0"/>
          <w:pgNumType w:fmt="decimal" w:start="1"/>
          <w:cols w:space="0" w:num="1"/>
          <w:docGrid w:type="lines" w:linePitch="312" w:charSpace="0"/>
        </w:sectPr>
      </w:pPr>
    </w:p>
    <w:p>
      <w:pPr>
        <w:pStyle w:val="4"/>
        <w:spacing w:line="360" w:lineRule="auto"/>
        <w:jc w:val="center"/>
        <w:rPr>
          <w:rFonts w:hint="default" w:ascii="宋体" w:hAnsi="宋体" w:eastAsia="宋体" w:cs="宋体"/>
          <w:color w:val="auto"/>
          <w:highlight w:val="none"/>
          <w:lang w:val="en-US" w:eastAsia="zh-CN"/>
        </w:rPr>
      </w:pPr>
      <w:bookmarkStart w:id="25" w:name="_Toc462213769"/>
      <w:bookmarkStart w:id="26" w:name="_Toc462213641"/>
      <w:bookmarkStart w:id="27" w:name="_Toc465432091"/>
      <w:bookmarkStart w:id="28" w:name="_Toc10069"/>
      <w:bookmarkStart w:id="29" w:name="_Toc20463"/>
      <w:bookmarkStart w:id="30" w:name="_Toc18046"/>
      <w:bookmarkStart w:id="31" w:name="_Toc14938"/>
      <w:bookmarkStart w:id="32" w:name="_Toc421778365"/>
      <w:bookmarkStart w:id="33" w:name="_Toc420591643"/>
      <w:bookmarkStart w:id="34" w:name="_Toc425240464"/>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须知正文部分</w:t>
      </w:r>
      <w:bookmarkEnd w:id="25"/>
      <w:bookmarkEnd w:id="26"/>
      <w:bookmarkEnd w:id="27"/>
      <w:bookmarkEnd w:id="28"/>
      <w:bookmarkEnd w:id="29"/>
      <w:bookmarkEnd w:id="30"/>
      <w:bookmarkEnd w:id="31"/>
      <w:r>
        <w:rPr>
          <w:rFonts w:hint="eastAsia" w:ascii="宋体" w:hAnsi="宋体" w:cs="宋体"/>
          <w:color w:val="auto"/>
          <w:highlight w:val="none"/>
          <w:lang w:val="en-US" w:eastAsia="zh-CN"/>
        </w:rPr>
        <w:t xml:space="preserve">  </w:t>
      </w:r>
    </w:p>
    <w:p>
      <w:pPr>
        <w:pageBreakBefore w:val="0"/>
        <w:kinsoku/>
        <w:wordWrap/>
        <w:overflowPunct/>
        <w:topLinePunct w:val="0"/>
        <w:autoSpaceDE/>
        <w:autoSpaceDN/>
        <w:bidi w:val="0"/>
        <w:adjustRightInd/>
        <w:snapToGrid/>
        <w:spacing w:before="156" w:after="156"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kern w:val="0"/>
          <w:sz w:val="24"/>
          <w:szCs w:val="24"/>
          <w:highlight w:val="none"/>
        </w:rPr>
        <w:t>总则</w:t>
      </w:r>
      <w:bookmarkEnd w:id="32"/>
      <w:bookmarkEnd w:id="33"/>
      <w:bookmarkEnd w:id="34"/>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35" w:name="_Toc4172"/>
      <w:r>
        <w:rPr>
          <w:rFonts w:hint="eastAsia" w:ascii="宋体" w:hAnsi="宋体" w:eastAsia="宋体" w:cs="宋体"/>
          <w:color w:val="auto"/>
          <w:sz w:val="24"/>
          <w:szCs w:val="24"/>
          <w:highlight w:val="none"/>
        </w:rPr>
        <w:t>1.1 项目概况</w:t>
      </w:r>
      <w:bookmarkEnd w:id="3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w:t>
      </w:r>
      <w:r>
        <w:rPr>
          <w:rFonts w:hint="eastAsia" w:ascii="宋体" w:hAnsi="宋体" w:eastAsia="宋体" w:cs="宋体"/>
          <w:color w:val="auto"/>
          <w:sz w:val="24"/>
          <w:szCs w:val="24"/>
          <w:highlight w:val="none"/>
          <w:lang w:eastAsia="zh-CN"/>
        </w:rPr>
        <w:t>及实施条例</w:t>
      </w:r>
      <w:r>
        <w:rPr>
          <w:rFonts w:hint="eastAsia" w:ascii="宋体" w:hAnsi="宋体" w:eastAsia="宋体" w:cs="宋体"/>
          <w:color w:val="auto"/>
          <w:sz w:val="24"/>
          <w:szCs w:val="24"/>
          <w:highlight w:val="none"/>
        </w:rPr>
        <w:t>和关于印发《政府采购竞争性磋商采购方式管理暂行办法》的通知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财库【2014】214号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的规定，本项目已具备</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条件，现对本项目施工进行</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本项目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本项目</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1.1.4本项目监督机构：</w:t>
      </w:r>
      <w:r>
        <w:rPr>
          <w:rFonts w:hint="eastAsia" w:ascii="宋体" w:hAnsi="宋体" w:eastAsia="宋体" w:cs="宋体"/>
          <w:color w:val="auto"/>
          <w:sz w:val="24"/>
          <w:szCs w:val="24"/>
          <w:highlight w:val="none"/>
          <w:lang w:eastAsia="zh-CN"/>
        </w:rPr>
        <w:t>同级人民政府财政部门及有关部门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1.1.5本项目建设地点：见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36" w:name="_Toc1114"/>
      <w:r>
        <w:rPr>
          <w:rFonts w:hint="eastAsia" w:ascii="宋体" w:hAnsi="宋体" w:eastAsia="宋体" w:cs="宋体"/>
          <w:color w:val="auto"/>
          <w:sz w:val="24"/>
          <w:szCs w:val="24"/>
          <w:highlight w:val="none"/>
        </w:rPr>
        <w:t>1.2 资金来源和落实情况</w:t>
      </w:r>
      <w:bookmarkEnd w:id="3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本项目的资金来源：见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本项目的资金落实情况：见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37" w:name="_Toc6382"/>
      <w:r>
        <w:rPr>
          <w:rFonts w:hint="eastAsia" w:ascii="宋体" w:hAnsi="宋体" w:eastAsia="宋体" w:cs="宋体"/>
          <w:color w:val="auto"/>
          <w:sz w:val="24"/>
          <w:szCs w:val="24"/>
          <w:highlight w:val="none"/>
        </w:rPr>
        <w:t>1.3 招标范围、计划工期和质量要求</w:t>
      </w:r>
      <w:bookmarkEnd w:id="3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范围：见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本项目的计划工期：</w:t>
      </w:r>
      <w:bookmarkStart w:id="38" w:name="OLE_LINK8"/>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3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本项目的质量要求：见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39" w:name="_Toc6249"/>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资格要求及</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发售时间</w:t>
      </w:r>
      <w:bookmarkEnd w:id="39"/>
    </w:p>
    <w:p>
      <w:pPr>
        <w:pStyle w:val="11"/>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1.4.1资格审查条件：见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发售时间：见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0" w:name="_Toc29696"/>
      <w:r>
        <w:rPr>
          <w:rFonts w:hint="eastAsia" w:ascii="宋体" w:hAnsi="宋体" w:eastAsia="宋体" w:cs="宋体"/>
          <w:color w:val="auto"/>
          <w:sz w:val="24"/>
          <w:szCs w:val="24"/>
          <w:highlight w:val="none"/>
        </w:rPr>
        <w:t>1.5 费用承担</w:t>
      </w:r>
      <w:bookmarkEnd w:id="4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准备和</w:t>
      </w:r>
      <w:r>
        <w:rPr>
          <w:rFonts w:hint="eastAsia" w:ascii="宋体" w:hAnsi="宋体" w:eastAsia="宋体" w:cs="宋体"/>
          <w:color w:val="auto"/>
          <w:sz w:val="24"/>
          <w:szCs w:val="24"/>
          <w:highlight w:val="none"/>
          <w:lang w:eastAsia="zh-CN"/>
        </w:rPr>
        <w:t>参加磋商</w:t>
      </w:r>
      <w:r>
        <w:rPr>
          <w:rFonts w:hint="eastAsia" w:ascii="宋体" w:hAnsi="宋体" w:eastAsia="宋体" w:cs="宋体"/>
          <w:color w:val="auto"/>
          <w:sz w:val="24"/>
          <w:szCs w:val="24"/>
          <w:highlight w:val="none"/>
        </w:rPr>
        <w:t>活动所发生的一切费用自理。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1" w:name="_Toc24090"/>
      <w:r>
        <w:rPr>
          <w:rFonts w:hint="eastAsia" w:ascii="宋体" w:hAnsi="宋体" w:eastAsia="宋体" w:cs="宋体"/>
          <w:color w:val="auto"/>
          <w:sz w:val="24"/>
          <w:szCs w:val="24"/>
          <w:highlight w:val="none"/>
        </w:rPr>
        <w:t>1.6 保密</w:t>
      </w:r>
      <w:bookmarkEnd w:id="4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中的商业和技术等秘密保密，违者应对由此造成的后果承担法律责任。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2" w:name="_Toc18529"/>
      <w:r>
        <w:rPr>
          <w:rFonts w:hint="eastAsia" w:ascii="宋体" w:hAnsi="宋体" w:eastAsia="宋体" w:cs="宋体"/>
          <w:color w:val="auto"/>
          <w:sz w:val="24"/>
          <w:szCs w:val="24"/>
          <w:highlight w:val="none"/>
        </w:rPr>
        <w:t>1.7 语言文字</w:t>
      </w:r>
      <w:bookmarkEnd w:id="4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有关的语言均使用中文。必要时专用术语应附有中文注释。</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3" w:name="_Toc29241"/>
      <w:r>
        <w:rPr>
          <w:rFonts w:hint="eastAsia" w:ascii="宋体" w:hAnsi="宋体" w:eastAsia="宋体" w:cs="宋体"/>
          <w:color w:val="auto"/>
          <w:sz w:val="24"/>
          <w:szCs w:val="24"/>
          <w:highlight w:val="none"/>
        </w:rPr>
        <w:t>1.8 计量单位</w:t>
      </w:r>
      <w:bookmarkEnd w:id="4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4" w:name="_Toc21335"/>
      <w:r>
        <w:rPr>
          <w:rFonts w:hint="eastAsia" w:ascii="宋体" w:hAnsi="宋体" w:eastAsia="宋体" w:cs="宋体"/>
          <w:color w:val="auto"/>
          <w:sz w:val="24"/>
          <w:szCs w:val="24"/>
          <w:highlight w:val="none"/>
        </w:rPr>
        <w:t>1.9 踏勘现场</w:t>
      </w:r>
      <w:bookmarkEnd w:id="4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不组织统一踏勘现场，由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自行安排。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踏勘现场发生的一切费用自理，并自行负责在踏勘现场中所发生的人员伤亡和财产损失。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应对工程现场及周围环境进行踏勘，充分了解现场环境、总体布置情况、工程地形地貌、工程现场道路、工程总体进度情况、储存空间、场内运输、装卸等限制条件及其它任何足以影响</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的情况，以便各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获取须自主考虑的有关</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编制和合同签署所需的相关资料和数据，任何因忽视或误解工地情况而导致的索赔或工期延长申请将不获批准。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在踏勘现场中介绍的工程场地和相关的周边环境情况，</w:t>
      </w:r>
      <w:r>
        <w:rPr>
          <w:rFonts w:hint="eastAsia" w:ascii="宋体" w:hAnsi="宋体" w:eastAsia="宋体" w:cs="宋体"/>
          <w:color w:val="auto"/>
          <w:sz w:val="24"/>
          <w:szCs w:val="24"/>
          <w:highlight w:val="none"/>
          <w:lang w:eastAsia="zh-CN"/>
        </w:rPr>
        <w:t>供供应商</w:t>
      </w:r>
      <w:r>
        <w:rPr>
          <w:rFonts w:hint="eastAsia" w:ascii="宋体" w:hAnsi="宋体" w:eastAsia="宋体" w:cs="宋体"/>
          <w:color w:val="auto"/>
          <w:sz w:val="24"/>
          <w:szCs w:val="24"/>
          <w:highlight w:val="none"/>
        </w:rPr>
        <w:t>在编制</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时参考，</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据此作出的判断和决策负责。</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5" w:name="_Toc2558"/>
      <w:r>
        <w:rPr>
          <w:rFonts w:hint="eastAsia" w:ascii="宋体" w:hAnsi="宋体" w:eastAsia="宋体" w:cs="宋体"/>
          <w:color w:val="auto"/>
          <w:sz w:val="24"/>
          <w:szCs w:val="24"/>
          <w:highlight w:val="none"/>
        </w:rPr>
        <w:t xml:space="preserve">1.10 </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答疑会</w:t>
      </w:r>
      <w:bookmarkEnd w:id="4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本项目不召开答疑会，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、工程量清单、施工图以及施工现场条件等的疑问和要求澄清的内容，均应在</w:t>
      </w:r>
      <w:r>
        <w:rPr>
          <w:rFonts w:hint="eastAsia" w:ascii="宋体" w:hAnsi="宋体" w:eastAsia="宋体" w:cs="宋体"/>
          <w:color w:val="auto"/>
          <w:sz w:val="24"/>
          <w:szCs w:val="24"/>
          <w:highlight w:val="none"/>
          <w:lang w:eastAsia="zh-CN"/>
        </w:rPr>
        <w:t>磋商响应文件递交截止时间</w:t>
      </w:r>
      <w:r>
        <w:rPr>
          <w:rFonts w:hint="eastAsia" w:ascii="宋体" w:hAnsi="宋体" w:eastAsia="宋体" w:cs="宋体"/>
          <w:color w:val="auto"/>
          <w:sz w:val="24"/>
          <w:szCs w:val="24"/>
          <w:highlight w:val="none"/>
          <w:lang w:val="en-US" w:eastAsia="zh-CN"/>
        </w:rPr>
        <w:t>3日前</w:t>
      </w:r>
      <w:r>
        <w:rPr>
          <w:rFonts w:hint="eastAsia" w:ascii="宋体" w:hAnsi="宋体" w:eastAsia="宋体" w:cs="宋体"/>
          <w:color w:val="auto"/>
          <w:sz w:val="24"/>
          <w:szCs w:val="24"/>
          <w:highlight w:val="none"/>
        </w:rPr>
        <w:t>以书面形式向采购代理机构提出，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做出统一解答和必要澄清后在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天以书面的《答疑纪要》发送所有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具有同等法律效力。</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6" w:name="_Toc13875"/>
      <w:r>
        <w:rPr>
          <w:rFonts w:hint="eastAsia" w:ascii="宋体" w:hAnsi="宋体" w:eastAsia="宋体" w:cs="宋体"/>
          <w:color w:val="auto"/>
          <w:sz w:val="24"/>
          <w:szCs w:val="24"/>
          <w:highlight w:val="none"/>
        </w:rPr>
        <w:t>1.11 分包</w:t>
      </w:r>
      <w:bookmarkEnd w:id="4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47" w:name="_Toc26246"/>
      <w:r>
        <w:rPr>
          <w:rFonts w:hint="eastAsia" w:ascii="宋体" w:hAnsi="宋体" w:eastAsia="宋体" w:cs="宋体"/>
          <w:color w:val="auto"/>
          <w:sz w:val="24"/>
          <w:szCs w:val="24"/>
          <w:highlight w:val="none"/>
        </w:rPr>
        <w:t>1.12 偏离</w:t>
      </w:r>
      <w:bookmarkEnd w:id="4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48" w:name="_Toc421778366"/>
      <w:bookmarkStart w:id="49" w:name="_Toc420591644"/>
      <w:bookmarkStart w:id="50" w:name="_Toc425240465"/>
      <w:r>
        <w:rPr>
          <w:rFonts w:hint="eastAsia" w:ascii="宋体" w:hAnsi="宋体" w:eastAsia="宋体" w:cs="宋体"/>
          <w:color w:val="auto"/>
          <w:sz w:val="24"/>
          <w:szCs w:val="24"/>
          <w:highlight w:val="none"/>
        </w:rPr>
        <w:t>不满足</w:t>
      </w:r>
      <w:r>
        <w:rPr>
          <w:rFonts w:hint="eastAsia" w:ascii="宋体" w:hAnsi="宋体" w:eastAsia="宋体" w:cs="宋体"/>
          <w:color w:val="auto"/>
          <w:sz w:val="24"/>
          <w:szCs w:val="24"/>
          <w:highlight w:val="none"/>
          <w:lang w:eastAsia="zh-CN"/>
        </w:rPr>
        <w:t>评审方法</w:t>
      </w:r>
      <w:r>
        <w:rPr>
          <w:rFonts w:hint="eastAsia" w:ascii="宋体" w:hAnsi="宋体" w:eastAsia="宋体" w:cs="宋体"/>
          <w:color w:val="auto"/>
          <w:sz w:val="24"/>
          <w:szCs w:val="24"/>
          <w:highlight w:val="none"/>
        </w:rPr>
        <w:t>中初步评审标准的，视为发生重大偏离，其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被否决。其余偏离视为细微偏离，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将通过澄清方式对细微偏离进行澄清或修改。</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eastAsia="zh-CN"/>
        </w:rPr>
      </w:pPr>
      <w:bookmarkStart w:id="51" w:name="_Toc1643"/>
      <w:r>
        <w:rPr>
          <w:rFonts w:hint="eastAsia" w:ascii="宋体" w:hAnsi="宋体" w:eastAsia="宋体" w:cs="宋体"/>
          <w:color w:val="auto"/>
          <w:sz w:val="24"/>
          <w:szCs w:val="24"/>
          <w:highlight w:val="none"/>
        </w:rPr>
        <w:t>2</w:t>
      </w:r>
      <w:bookmarkEnd w:id="48"/>
      <w:bookmarkEnd w:id="49"/>
      <w:bookmarkEnd w:id="50"/>
      <w:r>
        <w:rPr>
          <w:rFonts w:hint="eastAsia" w:ascii="宋体" w:hAnsi="宋体" w:eastAsia="宋体" w:cs="宋体"/>
          <w:color w:val="auto"/>
          <w:sz w:val="24"/>
          <w:szCs w:val="24"/>
          <w:highlight w:val="none"/>
          <w:lang w:eastAsia="zh-CN"/>
        </w:rPr>
        <w:t>、竞争性磋商文件</w:t>
      </w:r>
      <w:bookmarkEnd w:id="51"/>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52" w:name="_Toc25869"/>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的组成</w:t>
      </w:r>
      <w:bookmarkEnd w:id="5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评审方法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合同主要条款及格式</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(5）工程量清单；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技术标准及</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第2.2 款对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所作的澄清、修改，构成</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的组成部分。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53" w:name="_Toc23396"/>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的澄清及修改</w:t>
      </w:r>
      <w:bookmarkEnd w:id="5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4" w:name="_Toc421778367"/>
      <w:bookmarkStart w:id="55" w:name="_Toc425240466"/>
      <w:bookmarkStart w:id="56" w:name="_Toc420591645"/>
      <w:r>
        <w:rPr>
          <w:rFonts w:hint="eastAsia" w:ascii="宋体" w:hAnsi="宋体" w:eastAsia="宋体" w:cs="宋体"/>
          <w:color w:val="auto"/>
          <w:sz w:val="24"/>
          <w:szCs w:val="24"/>
          <w:highlight w:val="none"/>
          <w:lang w:val="en-US" w:eastAsia="zh-CN"/>
        </w:rPr>
        <w:t>2.2.1在磋商响应文件截止时间前，采购代理机构可以视采购具体情况，延长竞争性磋商响应文件递交截止时间和磋商时间并在财政部门指定的媒体上发布变更公告，同时将变更时间书面通知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采购代理机构如果对已发出的竞争性磋商文件进行必要的澄清或者修改，澄清或者修改的内容可能影响响应文件编制的，采购人、采购代理机构应当竞争性磋商文件要求提交竞争性磋商响应文件截止时间5日前，以书面形式通知所有获取竞争性磋商文件的供应商。不足5日的，应当顺延提交响应文件截止时间。该澄清或者修改的内容为竞争性磋商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2.2.4供应商在收到上述通知后，应立即向采购代理机构回函确认。</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宋体" w:hAnsi="宋体" w:eastAsia="宋体" w:cs="宋体"/>
          <w:color w:val="auto"/>
          <w:sz w:val="24"/>
          <w:szCs w:val="24"/>
          <w:highlight w:val="none"/>
          <w:lang w:eastAsia="zh-CN"/>
        </w:rPr>
      </w:pPr>
      <w:bookmarkStart w:id="57" w:name="_Toc25028"/>
      <w:bookmarkStart w:id="58" w:name="_Toc6683"/>
      <w:r>
        <w:rPr>
          <w:rFonts w:hint="eastAsia" w:ascii="宋体" w:hAnsi="宋体" w:eastAsia="宋体" w:cs="宋体"/>
          <w:color w:val="auto"/>
          <w:sz w:val="24"/>
          <w:szCs w:val="24"/>
          <w:highlight w:val="none"/>
        </w:rPr>
        <w:t>3</w:t>
      </w:r>
      <w:bookmarkEnd w:id="54"/>
      <w:bookmarkEnd w:id="55"/>
      <w:bookmarkEnd w:id="56"/>
      <w:r>
        <w:rPr>
          <w:rFonts w:hint="eastAsia" w:ascii="宋体" w:hAnsi="宋体" w:eastAsia="宋体" w:cs="宋体"/>
          <w:color w:val="auto"/>
          <w:sz w:val="24"/>
          <w:szCs w:val="24"/>
          <w:highlight w:val="none"/>
          <w:lang w:eastAsia="zh-CN"/>
        </w:rPr>
        <w:t>、竞争性磋商响应文件</w:t>
      </w:r>
      <w:bookmarkEnd w:id="57"/>
      <w:bookmarkEnd w:id="58"/>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59" w:name="_Toc12140"/>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电子版及</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电子版的要求</w:t>
      </w:r>
      <w:bookmarkEnd w:id="5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应包括下列内容：</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商务标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磋商响应函</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磋商报价表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四、法人授权委托书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五、已标价工程量清单</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六、商务响应与说明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要求的其他文件或承诺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九、其他可以证明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实力的文件   </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技术标</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    资格标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的基本情况介绍和资格声明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磋商保证金</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bookmarkStart w:id="60" w:name="_Toc5895"/>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lang w:eastAsia="zh-CN"/>
        </w:rPr>
        <w:t>磋商报价</w:t>
      </w:r>
      <w:bookmarkEnd w:id="60"/>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3.2.1工程计价方式：工程量清单综合单价法，按</w:t>
      </w:r>
      <w:r>
        <w:rPr>
          <w:rFonts w:hint="eastAsia" w:ascii="宋体" w:hAnsi="宋体" w:cs="宋体"/>
          <w:color w:val="auto"/>
          <w:sz w:val="24"/>
          <w:szCs w:val="24"/>
          <w:highlight w:val="none"/>
        </w:rPr>
        <w:t>陕水规计发〔2019〕66号文颁发的《陕西省水利工程预算编制规定》计价</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应按第五章“工程量清单”的要求填写。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应按照施工图纸、工程量清单、补充通知、答疑纪要、合同条款、施工现场实际情况、拟定的施工方案或施工组织设计的相关内容及要求，并在满足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前提下，结合企业自身技术力量、设备装备水平、企业管理水平、市场价格行情自主报价。组价时应充分考虑相关费用在施工期间的政策调整、市场变动幅度、自然灾害、停电、停水、停工、窝工、施工现场条件及施工过程中发生的不可预见的风险因素，</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后综合单价不可作调整。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bookmarkStart w:id="61" w:name="OLE_LINK44"/>
      <w:r>
        <w:rPr>
          <w:rFonts w:hint="eastAsia" w:ascii="宋体" w:hAnsi="宋体" w:eastAsia="宋体" w:cs="宋体"/>
          <w:color w:val="auto"/>
          <w:sz w:val="24"/>
          <w:szCs w:val="24"/>
          <w:highlight w:val="none"/>
        </w:rPr>
        <w:t>本工程开工日期</w:t>
      </w:r>
      <w:r>
        <w:rPr>
          <w:rFonts w:hint="eastAsia" w:ascii="宋体" w:hAnsi="宋体" w:cs="宋体"/>
          <w:color w:val="auto"/>
          <w:sz w:val="24"/>
          <w:szCs w:val="24"/>
          <w:highlight w:val="none"/>
          <w:lang w:val="en-US" w:eastAsia="zh-CN"/>
        </w:rPr>
        <w:t>为合同签订后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组价时应妥善考虑，正式施工时固定综合单价不因国家法律、行政法规和国家政策变化及原材料市场价发生变化等进行调整。</w:t>
      </w:r>
    </w:p>
    <w:bookmarkEnd w:id="61"/>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bookmarkStart w:id="62" w:name="OLE_LINK24"/>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中提供的工程量清单数量进行计价，不得修改清单工程量。</w:t>
      </w:r>
    </w:p>
    <w:bookmarkEnd w:id="62"/>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3.2.6除非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予以修改，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应按本</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rPr>
        <w:t>依据陕水规计发〔2019〕66号文颁发的《陕西省水利工程预算编制规定》的计价办法填报单价和合价</w:t>
      </w:r>
      <w:r>
        <w:rPr>
          <w:rFonts w:hint="eastAsia" w:ascii="宋体" w:hAnsi="宋体" w:eastAsia="宋体" w:cs="宋体"/>
          <w:color w:val="auto"/>
          <w:sz w:val="24"/>
          <w:szCs w:val="24"/>
          <w:highlight w:val="none"/>
        </w:rPr>
        <w:t>。每一分项工程只允许有一个报价，任何有选择的报价将不予接受。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未填单价或合价的分项工程（零报价），视为该项费用已包括在其他价款的单价或合价内，并在工程实施后，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将不予支付，承包人必须按发包人代表指令完成工程量清单中未填入单价或合价的工程分项；若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未填单价或合价的工程分项在实施中发生变更，无论变更增加或减少均按合同约定执行而且必须无条件执行发包人发出的变更通知。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应先到工地踏勘以充分了解项目位置、现状、道路、储存空间、装卸限制及任何其他足以影响</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价的情况，任何因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忽视或误解工地情况而导致的其提出的任何索赔或工期延长申请将不被批准。凡因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阅读疏忽或误解，或因对施工现场、施工环境、市场行情等了解不清而造成的后果和风险，均由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3.2.8编制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的其他约定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63" w:name="OLE_LINK21"/>
      <w:r>
        <w:rPr>
          <w:rFonts w:hint="eastAsia" w:ascii="宋体" w:hAnsi="宋体" w:eastAsia="宋体" w:cs="宋体"/>
          <w:color w:val="auto"/>
          <w:sz w:val="24"/>
          <w:szCs w:val="24"/>
          <w:highlight w:val="none"/>
        </w:rPr>
        <w:t>3.2.8.</w:t>
      </w:r>
      <w:bookmarkEnd w:id="6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根据自行确定的施工组织设计或施工方案进行自主报价。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应针对拟建工程编制保证安全施工、文明施工和环境保护的技术措施方案，并按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的措施项目清单提供的数量报价。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3.2.8.3</w:t>
      </w:r>
      <w:r>
        <w:rPr>
          <w:rFonts w:hint="eastAsia" w:ascii="宋体" w:hAnsi="宋体" w:cs="宋体"/>
          <w:color w:val="auto"/>
          <w:sz w:val="24"/>
          <w:szCs w:val="24"/>
          <w:highlight w:val="none"/>
          <w:lang w:val="en-US" w:eastAsia="zh-CN"/>
        </w:rPr>
        <w:t>安全文明施工费、</w:t>
      </w:r>
      <w:r>
        <w:rPr>
          <w:rFonts w:hint="eastAsia" w:ascii="宋体" w:hAnsi="宋体" w:eastAsia="宋体" w:cs="宋体"/>
          <w:color w:val="auto"/>
          <w:sz w:val="24"/>
          <w:szCs w:val="24"/>
          <w:highlight w:val="none"/>
        </w:rPr>
        <w:t>规费、税金为不可竞争费，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不可随意改动，按规定标准计取。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因承包本合同工程需缴纳的一切税费均由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自行承担，并包含在所报的单价或总价内。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应为建设工程和施工场地内自有人员及第三方人员生命财产及运至施工场地内用于工程的材料和待安装设备办理保险，</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价中应含的保险费，承包人装备险和承包人职工的（人身）事故险由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在其他项目清单保险费栏内自主列报，</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后包干使用。施工期间在施工区域内因非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原因发生的设备、材料、人员等的损害、伤害，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不再承担任何责任和费用。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中的总价要与综合单价相对应。所有工程量清单每个项目报价中的单价乘以工程量必须等于该项合价，合价累计必须等于合计。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磋商响应函</w:t>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应与“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总价”表中的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总价数字相符，不允许在</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中出现两个报价。任何有选择的报价将不予接受,否则按无效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处理。</w:t>
      </w:r>
      <w:bookmarkStart w:id="64" w:name="OLE_LINK20"/>
      <w:bookmarkStart w:id="65" w:name="OLE_LINK63"/>
      <w:bookmarkStart w:id="66" w:name="OLE_LINK64"/>
      <w:bookmarkStart w:id="67" w:name="OLE_LINK114"/>
      <w:bookmarkStart w:id="68" w:name="OLE_LINK113"/>
      <w:bookmarkStart w:id="69" w:name="OLE_LINK74"/>
    </w:p>
    <w:bookmarkEnd w:id="64"/>
    <w:bookmarkEnd w:id="65"/>
    <w:bookmarkEnd w:id="66"/>
    <w:bookmarkEnd w:id="67"/>
    <w:bookmarkEnd w:id="68"/>
    <w:bookmarkEnd w:id="69"/>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本项目采购预算</w:t>
      </w:r>
      <w:r>
        <w:rPr>
          <w:rFonts w:hint="eastAsia" w:ascii="宋体" w:hAnsi="宋体" w:cs="宋体"/>
          <w:b/>
          <w:bCs/>
          <w:color w:val="auto"/>
          <w:sz w:val="24"/>
          <w:szCs w:val="24"/>
          <w:highlight w:val="none"/>
          <w:lang w:val="en-US" w:eastAsia="zh-CN"/>
        </w:rPr>
        <w:t>及最高限价</w:t>
      </w:r>
      <w:r>
        <w:rPr>
          <w:rFonts w:hint="eastAsia" w:ascii="宋体" w:hAnsi="宋体" w:eastAsia="宋体" w:cs="宋体"/>
          <w:b/>
          <w:bCs/>
          <w:color w:val="auto"/>
          <w:sz w:val="24"/>
          <w:szCs w:val="24"/>
          <w:highlight w:val="none"/>
          <w:lang w:eastAsia="zh-CN"/>
        </w:rPr>
        <w:t>：详见磋商公告</w:t>
      </w:r>
      <w:r>
        <w:rPr>
          <w:rFonts w:hint="eastAsia" w:ascii="宋体" w:hAnsi="宋体" w:eastAsia="宋体" w:cs="宋体"/>
          <w:b/>
          <w:bCs/>
          <w:color w:val="auto"/>
          <w:sz w:val="24"/>
          <w:szCs w:val="24"/>
          <w:highlight w:val="none"/>
        </w:rPr>
        <w:t>。凡</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总报价高于</w:t>
      </w:r>
      <w:r>
        <w:rPr>
          <w:rFonts w:hint="eastAsia" w:ascii="宋体" w:hAnsi="宋体" w:eastAsia="宋体" w:cs="宋体"/>
          <w:b/>
          <w:bCs/>
          <w:color w:val="auto"/>
          <w:sz w:val="24"/>
          <w:szCs w:val="24"/>
          <w:highlight w:val="none"/>
          <w:lang w:eastAsia="zh-CN"/>
        </w:rPr>
        <w:t>采购预算</w:t>
      </w:r>
      <w:r>
        <w:rPr>
          <w:rFonts w:hint="eastAsia" w:ascii="宋体" w:hAnsi="宋体" w:eastAsia="宋体" w:cs="宋体"/>
          <w:b/>
          <w:bCs/>
          <w:color w:val="auto"/>
          <w:sz w:val="24"/>
          <w:szCs w:val="24"/>
          <w:highlight w:val="none"/>
        </w:rPr>
        <w:t>的将被视为无效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处理，不再参与后续</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70" w:name="_Toc21952"/>
      <w:r>
        <w:rPr>
          <w:rFonts w:hint="eastAsia"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bookmarkEnd w:id="7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71" w:name="OLE_LINK4"/>
      <w:r>
        <w:rPr>
          <w:rFonts w:hint="eastAsia" w:ascii="宋体" w:hAnsi="宋体" w:eastAsia="宋体" w:cs="宋体"/>
          <w:color w:val="auto"/>
          <w:sz w:val="24"/>
          <w:szCs w:val="24"/>
          <w:highlight w:val="none"/>
        </w:rPr>
        <w:t>3.3.1磋商响应文件应在“供应商须知前附表”中规定的期限内保持有效。磋商有效期不满足规定有效期的磋商响应文件将被视为非响应性磋商而予以拒绝。</w:t>
      </w:r>
      <w:bookmarkEnd w:id="7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第3.4 条有关磋商保证金的退还和没收的规定将在延长了的有效期内继续有效。</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bookmarkStart w:id="72" w:name="_Toc13419"/>
      <w:r>
        <w:rPr>
          <w:rFonts w:hint="eastAsia" w:ascii="宋体" w:hAnsi="宋体" w:eastAsia="宋体" w:cs="宋体"/>
          <w:color w:val="auto"/>
          <w:sz w:val="24"/>
          <w:szCs w:val="24"/>
          <w:highlight w:val="none"/>
        </w:rPr>
        <w:t xml:space="preserve">3.4 </w:t>
      </w:r>
      <w:r>
        <w:rPr>
          <w:rFonts w:hint="eastAsia" w:ascii="宋体" w:hAnsi="宋体" w:eastAsia="宋体" w:cs="宋体"/>
          <w:color w:val="auto"/>
          <w:sz w:val="24"/>
          <w:szCs w:val="24"/>
          <w:highlight w:val="none"/>
          <w:lang w:eastAsia="zh-CN"/>
        </w:rPr>
        <w:t>磋商保证金</w:t>
      </w:r>
      <w:bookmarkEnd w:id="7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时应向</w:t>
      </w:r>
      <w:r>
        <w:rPr>
          <w:rFonts w:hint="eastAsia" w:ascii="宋体" w:hAnsi="宋体" w:cs="宋体"/>
          <w:color w:val="auto"/>
          <w:sz w:val="24"/>
          <w:szCs w:val="24"/>
          <w:highlight w:val="none"/>
          <w:lang w:eastAsia="zh-CN"/>
        </w:rPr>
        <w:t>陕西中桓国际项目管理有限公司</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须知前附表”规定数额的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,并作为其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的一部分。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是为了保护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免遭因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的行为而蒙受损失。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的行为受到损害时可根据本须知的规定第3.4.7条没收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的缴纳形式：转账、电汇、担保机构保函</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必须按照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须知前附表”中规定的缴纳金额及方式办理。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后经审查，未提交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、未按时间提交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金额不足或</w:t>
      </w:r>
      <w:r>
        <w:rPr>
          <w:rFonts w:hint="eastAsia" w:ascii="宋体" w:hAnsi="宋体" w:eastAsia="宋体" w:cs="宋体"/>
          <w:color w:val="auto"/>
          <w:sz w:val="24"/>
          <w:szCs w:val="24"/>
          <w:highlight w:val="none"/>
          <w:lang w:eastAsia="zh-CN"/>
        </w:rPr>
        <w:t>磋商保证金缴纳凭证</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val="en-US" w:eastAsia="zh-CN"/>
        </w:rPr>
        <w:t>或扫描件</w:t>
      </w:r>
      <w:r>
        <w:rPr>
          <w:rFonts w:hint="eastAsia" w:ascii="宋体" w:hAnsi="宋体" w:eastAsia="宋体" w:cs="宋体"/>
          <w:color w:val="auto"/>
          <w:sz w:val="24"/>
          <w:szCs w:val="24"/>
          <w:highlight w:val="none"/>
        </w:rPr>
        <w:t>未附在</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内的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将按无效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处理。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3.4.6未</w:t>
      </w:r>
      <w:r>
        <w:rPr>
          <w:rFonts w:hint="eastAsia" w:ascii="宋体" w:hAnsi="宋体" w:eastAsia="宋体" w:cs="宋体"/>
          <w:color w:val="auto"/>
          <w:sz w:val="24"/>
          <w:szCs w:val="24"/>
          <w:highlight w:val="none"/>
          <w:lang w:eastAsia="zh-CN"/>
        </w:rPr>
        <w:t>成交单位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通知书发出后五个工作日内退还；</w:t>
      </w:r>
      <w:r>
        <w:rPr>
          <w:rFonts w:hint="eastAsia" w:ascii="宋体" w:hAnsi="宋体" w:eastAsia="宋体" w:cs="宋体"/>
          <w:color w:val="auto"/>
          <w:sz w:val="24"/>
          <w:szCs w:val="24"/>
          <w:highlight w:val="none"/>
          <w:lang w:eastAsia="zh-CN"/>
        </w:rPr>
        <w:t>成交单位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，在施工合同签订后五个工作日内退还</w:t>
      </w:r>
      <w:r>
        <w:rPr>
          <w:rFonts w:hint="eastAsia" w:ascii="宋体" w:hAnsi="宋体" w:eastAsia="宋体" w:cs="宋体"/>
          <w:b/>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及保证金缴纳凭证</w:t>
      </w:r>
      <w:r>
        <w:rPr>
          <w:rFonts w:hint="eastAsia" w:ascii="宋体" w:hAnsi="宋体" w:cs="宋体"/>
          <w:b/>
          <w:bCs/>
          <w:color w:val="auto"/>
          <w:sz w:val="24"/>
          <w:szCs w:val="24"/>
          <w:highlight w:val="none"/>
          <w:lang w:val="en-US" w:eastAsia="zh-CN"/>
        </w:rPr>
        <w:t>复印件或扫描件各</w:t>
      </w:r>
      <w:r>
        <w:rPr>
          <w:rFonts w:hint="eastAsia" w:ascii="宋体" w:hAnsi="宋体" w:eastAsia="宋体" w:cs="宋体"/>
          <w:b/>
          <w:bCs/>
          <w:color w:val="auto"/>
          <w:sz w:val="24"/>
          <w:szCs w:val="24"/>
          <w:highlight w:val="none"/>
        </w:rPr>
        <w:t>壹份</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以担保机构保函形式缴纳</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结束之后将担保机构保函原件退回（退换时间参照3.4.6条款）；</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3.4.8下列任何情况发生时，视为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违约，其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内撤回其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供应商成交</w:t>
      </w:r>
      <w:r>
        <w:rPr>
          <w:rFonts w:hint="eastAsia" w:ascii="宋体" w:hAnsi="宋体" w:eastAsia="宋体" w:cs="宋体"/>
          <w:color w:val="auto"/>
          <w:sz w:val="24"/>
          <w:szCs w:val="24"/>
          <w:highlight w:val="none"/>
        </w:rPr>
        <w:t>后放弃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、未能按规定签订合同</w:t>
      </w:r>
      <w:bookmarkStart w:id="73" w:name="OLE_LINK3"/>
      <w:r>
        <w:rPr>
          <w:rFonts w:hint="eastAsia" w:ascii="宋体" w:hAnsi="宋体" w:eastAsia="宋体" w:cs="宋体"/>
          <w:color w:val="auto"/>
          <w:sz w:val="24"/>
          <w:szCs w:val="24"/>
          <w:highlight w:val="none"/>
        </w:rPr>
        <w:t>、</w:t>
      </w:r>
      <w:bookmarkEnd w:id="73"/>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规定提交履约担保；</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供应商成交</w:t>
      </w:r>
      <w:r>
        <w:rPr>
          <w:rFonts w:hint="eastAsia" w:ascii="宋体" w:hAnsi="宋体" w:eastAsia="宋体" w:cs="宋体"/>
          <w:color w:val="auto"/>
          <w:sz w:val="24"/>
          <w:szCs w:val="24"/>
          <w:highlight w:val="none"/>
        </w:rPr>
        <w:t>后将</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项目转让给他人，或者在</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中未说明，且未经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同意，将</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项目分包给他人的；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事先未通告无故不</w:t>
      </w:r>
      <w:r>
        <w:rPr>
          <w:rFonts w:hint="eastAsia" w:ascii="宋体" w:hAnsi="宋体" w:eastAsia="宋体" w:cs="宋体"/>
          <w:color w:val="auto"/>
          <w:sz w:val="24"/>
          <w:szCs w:val="24"/>
          <w:highlight w:val="none"/>
          <w:lang w:eastAsia="zh-CN"/>
        </w:rPr>
        <w:t>参加磋商</w:t>
      </w:r>
      <w:r>
        <w:rPr>
          <w:rFonts w:hint="eastAsia" w:ascii="宋体" w:hAnsi="宋体" w:eastAsia="宋体" w:cs="宋体"/>
          <w:color w:val="auto"/>
          <w:sz w:val="24"/>
          <w:szCs w:val="24"/>
          <w:highlight w:val="none"/>
        </w:rPr>
        <w:t>活动的；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中提供伪造、套改、虚假资料</w:t>
      </w:r>
      <w:r>
        <w:rPr>
          <w:rFonts w:hint="eastAsia" w:ascii="宋体" w:hAnsi="宋体" w:eastAsia="宋体" w:cs="宋体"/>
          <w:color w:val="auto"/>
          <w:sz w:val="24"/>
          <w:szCs w:val="24"/>
          <w:highlight w:val="none"/>
          <w:lang w:eastAsia="zh-CN"/>
        </w:rPr>
        <w:t>参加磋商</w:t>
      </w:r>
      <w:r>
        <w:rPr>
          <w:rFonts w:hint="eastAsia" w:ascii="宋体" w:hAnsi="宋体" w:eastAsia="宋体" w:cs="宋体"/>
          <w:color w:val="auto"/>
          <w:sz w:val="24"/>
          <w:szCs w:val="24"/>
          <w:highlight w:val="none"/>
        </w:rPr>
        <w:t>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不按法定程序进行质疑和投诉,捏造事实，查无实据，造成恶劣影响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3.4.9</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的有</w:t>
      </w:r>
      <w:bookmarkStart w:id="74" w:name="OLE_LINK47"/>
      <w:r>
        <w:rPr>
          <w:rFonts w:hint="eastAsia" w:ascii="宋体" w:hAnsi="宋体" w:eastAsia="宋体" w:cs="宋体"/>
          <w:color w:val="auto"/>
          <w:sz w:val="24"/>
          <w:szCs w:val="24"/>
          <w:highlight w:val="none"/>
        </w:rPr>
        <w:t>效</w:t>
      </w:r>
      <w:bookmarkEnd w:id="74"/>
      <w:r>
        <w:rPr>
          <w:rFonts w:hint="eastAsia" w:ascii="宋体" w:hAnsi="宋体" w:eastAsia="宋体" w:cs="宋体"/>
          <w:color w:val="auto"/>
          <w:sz w:val="24"/>
          <w:szCs w:val="24"/>
          <w:highlight w:val="none"/>
        </w:rPr>
        <w:t>期与</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一致，担保机构出具的保函有效期为</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延长一个月。</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75" w:name="_Toc5523"/>
      <w:r>
        <w:rPr>
          <w:rFonts w:hint="eastAsia" w:ascii="宋体" w:hAnsi="宋体" w:eastAsia="宋体" w:cs="宋体"/>
          <w:color w:val="auto"/>
          <w:sz w:val="24"/>
          <w:szCs w:val="24"/>
          <w:highlight w:val="none"/>
        </w:rPr>
        <w:t>3.5备选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方案</w:t>
      </w:r>
      <w:bookmarkEnd w:id="7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不得递交备选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方案。</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76" w:name="_Toc20879"/>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的编制</w:t>
      </w:r>
      <w:bookmarkEnd w:id="7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格式”进行编写，如有必要，可以增加附页，作为</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应当对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有关工期、</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、质量要求、技术标准和要求、招标范围等实质性内容作出响应。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应用不褪色的材料书写或打印，并由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的法定代表人或其委托代理人签字或盖章。委托代理人签字的，</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应附法定代表人签署的授权委托书。</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应尽量避免涂改、行间插字或删除。如果出现上述情况，改动之处应加盖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公章或由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的法定代表人或其授权的代理人签字确认。所有要求签字（名）处，均须由签字（名）者本人用不褪色的蓝(黑)色墨水(汁)书写，不得用任何形式的图章代替。</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正本、副本</w:t>
      </w:r>
      <w:r>
        <w:rPr>
          <w:rFonts w:hint="eastAsia" w:ascii="宋体" w:hAnsi="宋体" w:eastAsia="宋体" w:cs="宋体"/>
          <w:color w:val="auto"/>
          <w:sz w:val="24"/>
          <w:szCs w:val="24"/>
          <w:highlight w:val="none"/>
          <w:lang w:eastAsia="zh-CN"/>
        </w:rPr>
        <w:t>、电子版、磋商报价表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所有</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正本和副本须按第八章规定的顺序编排、编制目录</w:t>
      </w:r>
      <w:r>
        <w:rPr>
          <w:rFonts w:hint="eastAsia" w:ascii="宋体" w:hAnsi="宋体" w:eastAsia="宋体" w:cs="宋体"/>
          <w:color w:val="auto"/>
          <w:sz w:val="24"/>
          <w:szCs w:val="24"/>
          <w:highlight w:val="none"/>
          <w:lang w:eastAsia="zh-CN"/>
        </w:rPr>
        <w:t>逐页标注连续页码，并分别胶装成册</w:t>
      </w:r>
      <w:r>
        <w:rPr>
          <w:rFonts w:hint="eastAsia" w:ascii="宋体" w:hAnsi="宋体" w:eastAsia="宋体" w:cs="宋体"/>
          <w:color w:val="auto"/>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eastAsia="zh-CN"/>
        </w:rPr>
      </w:pPr>
      <w:bookmarkStart w:id="77" w:name="_Toc421778368"/>
      <w:bookmarkStart w:id="78" w:name="_Toc425240467"/>
      <w:bookmarkStart w:id="79" w:name="_Toc420591646"/>
      <w:bookmarkStart w:id="80" w:name="_Toc14956"/>
      <w:r>
        <w:rPr>
          <w:rFonts w:hint="eastAsia" w:ascii="宋体" w:hAnsi="宋体" w:eastAsia="宋体" w:cs="宋体"/>
          <w:color w:val="auto"/>
          <w:sz w:val="24"/>
          <w:szCs w:val="24"/>
          <w:highlight w:val="none"/>
        </w:rPr>
        <w:t>4</w:t>
      </w:r>
      <w:bookmarkEnd w:id="77"/>
      <w:bookmarkEnd w:id="78"/>
      <w:bookmarkEnd w:id="79"/>
      <w:r>
        <w:rPr>
          <w:rFonts w:hint="eastAsia" w:ascii="宋体" w:hAnsi="宋体" w:eastAsia="宋体" w:cs="宋体"/>
          <w:color w:val="auto"/>
          <w:sz w:val="24"/>
          <w:szCs w:val="24"/>
          <w:highlight w:val="none"/>
          <w:lang w:eastAsia="zh-CN"/>
        </w:rPr>
        <w:t>、磋商</w:t>
      </w:r>
      <w:bookmarkEnd w:id="80"/>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1" w:name="_Toc14290"/>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的密封和标记</w:t>
      </w:r>
      <w:bookmarkEnd w:id="81"/>
    </w:p>
    <w:p>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4.1.1</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的密封：</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须胶装成套且须用密封袋密封，包括</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正本、副本、电子版，</w:t>
      </w:r>
      <w:r>
        <w:rPr>
          <w:rFonts w:hint="eastAsia" w:ascii="宋体" w:hAnsi="宋体" w:eastAsia="宋体" w:cs="宋体"/>
          <w:color w:val="auto"/>
          <w:sz w:val="24"/>
          <w:szCs w:val="24"/>
          <w:highlight w:val="none"/>
          <w:lang w:eastAsia="zh-CN"/>
        </w:rPr>
        <w:t>磋商报价表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需另外单独准备一份与正本内容一致的</w:t>
      </w:r>
      <w:r>
        <w:rPr>
          <w:rFonts w:hint="eastAsia" w:ascii="宋体" w:hAnsi="宋体" w:eastAsia="宋体" w:cs="宋体"/>
          <w:color w:val="auto"/>
          <w:sz w:val="24"/>
          <w:szCs w:val="24"/>
          <w:highlight w:val="none"/>
          <w:lang w:eastAsia="zh-CN"/>
        </w:rPr>
        <w:t>磋商报价表</w:t>
      </w:r>
      <w:r>
        <w:rPr>
          <w:rFonts w:hint="eastAsia" w:ascii="宋体" w:hAnsi="宋体" w:eastAsia="宋体" w:cs="宋体"/>
          <w:color w:val="auto"/>
          <w:sz w:val="24"/>
          <w:szCs w:val="24"/>
          <w:highlight w:val="none"/>
        </w:rPr>
        <w:t>）须单独分别密封，若不一致，则按单独密封的</w:t>
      </w:r>
      <w:r>
        <w:rPr>
          <w:rFonts w:hint="eastAsia" w:ascii="宋体" w:hAnsi="宋体" w:eastAsia="宋体" w:cs="宋体"/>
          <w:color w:val="auto"/>
          <w:sz w:val="24"/>
          <w:szCs w:val="24"/>
          <w:highlight w:val="none"/>
          <w:lang w:eastAsia="zh-CN"/>
        </w:rPr>
        <w:t>磋商报价表</w:t>
      </w:r>
      <w:r>
        <w:rPr>
          <w:rFonts w:hint="eastAsia" w:ascii="宋体" w:hAnsi="宋体" w:eastAsia="宋体" w:cs="宋体"/>
          <w:color w:val="auto"/>
          <w:sz w:val="24"/>
          <w:szCs w:val="24"/>
          <w:highlight w:val="none"/>
        </w:rPr>
        <w:t>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4.1.2</w:t>
      </w:r>
      <w:r>
        <w:rPr>
          <w:rFonts w:hint="eastAsia" w:ascii="宋体" w:hAnsi="宋体" w:eastAsia="宋体" w:cs="宋体"/>
          <w:color w:val="auto"/>
          <w:sz w:val="24"/>
          <w:szCs w:val="24"/>
          <w:highlight w:val="none"/>
          <w:lang w:eastAsia="zh-CN"/>
        </w:rPr>
        <w:t>竞争性磋商响应文件密封要求见</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4.1.3封套</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未对</w:t>
      </w:r>
      <w:r>
        <w:rPr>
          <w:rFonts w:hint="eastAsia" w:ascii="宋体" w:hAnsi="宋体" w:eastAsia="宋体" w:cs="宋体"/>
          <w:color w:val="auto"/>
          <w:sz w:val="24"/>
          <w:szCs w:val="24"/>
          <w:highlight w:val="none"/>
          <w:lang w:eastAsia="zh-CN"/>
        </w:rPr>
        <w:t>竞争性磋商响应</w:t>
      </w:r>
      <w:r>
        <w:rPr>
          <w:rFonts w:hint="eastAsia" w:ascii="宋体" w:hAnsi="宋体" w:eastAsia="宋体" w:cs="宋体"/>
          <w:color w:val="auto"/>
          <w:sz w:val="24"/>
          <w:szCs w:val="24"/>
          <w:highlight w:val="none"/>
        </w:rPr>
        <w:t>文件按上述要求进行完好密封，由此产生的不利后果由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2" w:name="_Toc11352"/>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的递交</w:t>
      </w:r>
      <w:bookmarkEnd w:id="8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须知前附表第4.2.2 项规定的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截止时间前递交</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所递交的</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不予退还。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4.2.4逾期送达的或者未送达指定地点的</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不予受理。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3" w:name="_Toc2703"/>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的修改与撤回</w:t>
      </w:r>
      <w:bookmarkEnd w:id="8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84" w:name="_Toc420591647"/>
      <w:bookmarkStart w:id="85" w:name="_Toc425240468"/>
      <w:bookmarkStart w:id="86" w:name="_Toc421778369"/>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.1 供应商在递交</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后，可以修改或撤回其</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，也可以提出价格变动声明，但供应商必须在规定的磋商截止时间之前将修改或撤回或变动价格的书面通知文件递交到采购代理机构。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.2 供应商的修改或撤回或变动价格的通知应按本须知的规定编制、密封、标记和递交。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.3 在磋商截止时间之后，供应商不得对其</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做任何修改或撤回。</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eastAsia="zh-CN"/>
        </w:rPr>
      </w:pPr>
      <w:bookmarkStart w:id="87" w:name="_Toc30400"/>
      <w:r>
        <w:rPr>
          <w:rFonts w:hint="eastAsia" w:ascii="宋体" w:hAnsi="宋体" w:eastAsia="宋体" w:cs="宋体"/>
          <w:color w:val="auto"/>
          <w:sz w:val="24"/>
          <w:szCs w:val="24"/>
          <w:highlight w:val="none"/>
        </w:rPr>
        <w:t>5</w:t>
      </w:r>
      <w:bookmarkEnd w:id="84"/>
      <w:bookmarkEnd w:id="85"/>
      <w:bookmarkEnd w:id="86"/>
      <w:r>
        <w:rPr>
          <w:rFonts w:hint="eastAsia" w:ascii="宋体" w:hAnsi="宋体" w:eastAsia="宋体" w:cs="宋体"/>
          <w:color w:val="auto"/>
          <w:sz w:val="24"/>
          <w:szCs w:val="24"/>
          <w:highlight w:val="none"/>
          <w:lang w:eastAsia="zh-CN"/>
        </w:rPr>
        <w:t>、磋商</w:t>
      </w:r>
      <w:bookmarkEnd w:id="87"/>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8" w:name="_Toc12062"/>
      <w:r>
        <w:rPr>
          <w:rFonts w:hint="eastAsia" w:ascii="宋体" w:hAnsi="宋体" w:eastAsia="宋体" w:cs="宋体"/>
          <w:color w:val="auto"/>
          <w:sz w:val="24"/>
          <w:szCs w:val="24"/>
          <w:highlight w:val="none"/>
        </w:rPr>
        <w:t xml:space="preserve">5.1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时间和地点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88"/>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9" w:name="_Toc6885"/>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程序</w:t>
      </w:r>
      <w:bookmarkEnd w:id="8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主持人按下列程序进行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项目名称及</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接收截止时间，终止一切</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的接收工作，并宣布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w:t>
      </w:r>
      <w:r>
        <w:rPr>
          <w:rFonts w:hint="eastAsia" w:ascii="宋体" w:hAnsi="宋体" w:eastAsia="宋体" w:cs="宋体"/>
          <w:color w:val="auto"/>
          <w:sz w:val="24"/>
          <w:szCs w:val="24"/>
          <w:highlight w:val="none"/>
          <w:lang w:eastAsia="zh-CN"/>
        </w:rPr>
        <w:t>议</w:t>
      </w:r>
      <w:r>
        <w:rPr>
          <w:rFonts w:hint="eastAsia" w:ascii="宋体" w:hAnsi="宋体" w:eastAsia="宋体" w:cs="宋体"/>
          <w:color w:val="auto"/>
          <w:sz w:val="24"/>
          <w:szCs w:val="24"/>
          <w:highlight w:val="none"/>
        </w:rPr>
        <w:t>开始；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监督管理部门和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工作人员；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（3）宣布本项目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签到名单；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（4）宣布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会议纪律；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须知前附表规定检查</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的密封情况；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（监标人）的监督下，将</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送交</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磋商会议</w:t>
      </w:r>
      <w:r>
        <w:rPr>
          <w:rFonts w:hint="eastAsia" w:ascii="宋体" w:hAnsi="宋体" w:eastAsia="宋体" w:cs="宋体"/>
          <w:color w:val="auto"/>
          <w:sz w:val="24"/>
          <w:szCs w:val="24"/>
          <w:highlight w:val="none"/>
        </w:rPr>
        <w:t>结束。</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eastAsia="zh-CN"/>
        </w:rPr>
      </w:pPr>
      <w:bookmarkStart w:id="90" w:name="_Toc425240469"/>
      <w:bookmarkStart w:id="91" w:name="_Toc420591648"/>
      <w:bookmarkStart w:id="92" w:name="_Toc421778370"/>
      <w:bookmarkStart w:id="93" w:name="_Toc13785"/>
      <w:r>
        <w:rPr>
          <w:rFonts w:hint="eastAsia" w:ascii="宋体" w:hAnsi="宋体" w:eastAsia="宋体" w:cs="宋体"/>
          <w:color w:val="auto"/>
          <w:sz w:val="24"/>
          <w:szCs w:val="24"/>
          <w:highlight w:val="none"/>
        </w:rPr>
        <w:t>6</w:t>
      </w:r>
      <w:bookmarkEnd w:id="90"/>
      <w:bookmarkEnd w:id="91"/>
      <w:bookmarkEnd w:id="92"/>
      <w:r>
        <w:rPr>
          <w:rFonts w:hint="eastAsia" w:ascii="宋体" w:hAnsi="宋体" w:eastAsia="宋体" w:cs="宋体"/>
          <w:color w:val="auto"/>
          <w:sz w:val="24"/>
          <w:szCs w:val="24"/>
          <w:highlight w:val="none"/>
          <w:lang w:eastAsia="zh-CN"/>
        </w:rPr>
        <w:t>、评审</w:t>
      </w:r>
      <w:bookmarkEnd w:id="93"/>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bookmarkStart w:id="94" w:name="_Toc13140"/>
      <w:r>
        <w:rPr>
          <w:rFonts w:hint="eastAsia" w:ascii="宋体" w:hAnsi="宋体" w:eastAsia="宋体" w:cs="宋体"/>
          <w:color w:val="auto"/>
          <w:sz w:val="24"/>
          <w:szCs w:val="24"/>
          <w:highlight w:val="none"/>
        </w:rPr>
        <w:t xml:space="preserve">6.1 </w:t>
      </w:r>
      <w:r>
        <w:rPr>
          <w:rFonts w:hint="eastAsia" w:ascii="宋体" w:hAnsi="宋体" w:eastAsia="宋体" w:cs="宋体"/>
          <w:color w:val="auto"/>
          <w:sz w:val="24"/>
          <w:szCs w:val="24"/>
          <w:highlight w:val="none"/>
          <w:lang w:eastAsia="zh-CN"/>
        </w:rPr>
        <w:t>磋商小组</w:t>
      </w:r>
      <w:bookmarkEnd w:id="9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依法组建的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磋商小组组成：见供应商须知前附表</w:t>
      </w:r>
      <w:r>
        <w:rPr>
          <w:rFonts w:hint="eastAsia" w:ascii="宋体" w:hAnsi="宋体" w:eastAsia="宋体" w:cs="宋体"/>
          <w:color w:val="auto"/>
          <w:sz w:val="24"/>
          <w:szCs w:val="24"/>
          <w:highlight w:val="none"/>
        </w:rPr>
        <w:t>。磋商小组按照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方法独立进行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）与供应商有其他可能影响政府采购活动公平、公正进行的关系。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95" w:name="_Toc21582"/>
      <w:r>
        <w:rPr>
          <w:rFonts w:hint="eastAsia" w:ascii="宋体" w:hAnsi="宋体" w:eastAsia="宋体" w:cs="宋体"/>
          <w:color w:val="auto"/>
          <w:sz w:val="24"/>
          <w:szCs w:val="24"/>
          <w:highlight w:val="none"/>
        </w:rPr>
        <w:t xml:space="preserve">6.2 </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原则</w:t>
      </w:r>
      <w:bookmarkEnd w:id="9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活动遵循公平、公正、科学和择优的原则。</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bookmarkStart w:id="96" w:name="_Toc22474"/>
      <w:r>
        <w:rPr>
          <w:rFonts w:hint="eastAsia" w:ascii="宋体" w:hAnsi="宋体" w:eastAsia="宋体" w:cs="宋体"/>
          <w:color w:val="auto"/>
          <w:sz w:val="24"/>
          <w:szCs w:val="24"/>
          <w:highlight w:val="none"/>
        </w:rPr>
        <w:t xml:space="preserve">6.3 </w:t>
      </w:r>
      <w:r>
        <w:rPr>
          <w:rFonts w:hint="eastAsia" w:ascii="宋体" w:hAnsi="宋体" w:eastAsia="宋体" w:cs="宋体"/>
          <w:color w:val="auto"/>
          <w:sz w:val="24"/>
          <w:szCs w:val="24"/>
          <w:highlight w:val="none"/>
          <w:lang w:eastAsia="zh-CN"/>
        </w:rPr>
        <w:t>评审</w:t>
      </w:r>
      <w:bookmarkEnd w:id="9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按照第三章“评</w:t>
      </w:r>
      <w:r>
        <w:rPr>
          <w:rFonts w:hint="eastAsia" w:ascii="宋体" w:hAnsi="宋体" w:eastAsia="宋体" w:cs="宋体"/>
          <w:color w:val="auto"/>
          <w:sz w:val="24"/>
          <w:szCs w:val="24"/>
          <w:highlight w:val="none"/>
          <w:lang w:eastAsia="zh-CN"/>
        </w:rPr>
        <w:t>审方</w:t>
      </w:r>
      <w:r>
        <w:rPr>
          <w:rFonts w:hint="eastAsia" w:ascii="宋体" w:hAnsi="宋体" w:eastAsia="宋体" w:cs="宋体"/>
          <w:color w:val="auto"/>
          <w:sz w:val="24"/>
          <w:szCs w:val="24"/>
          <w:highlight w:val="none"/>
        </w:rPr>
        <w:t>法”规定的方法、评审因素、标准和程序对</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文件进行评审。第三章“评</w:t>
      </w:r>
      <w:r>
        <w:rPr>
          <w:rFonts w:hint="eastAsia" w:ascii="宋体" w:hAnsi="宋体" w:eastAsia="宋体" w:cs="宋体"/>
          <w:color w:val="auto"/>
          <w:sz w:val="24"/>
          <w:szCs w:val="24"/>
          <w:highlight w:val="none"/>
          <w:lang w:eastAsia="zh-CN"/>
        </w:rPr>
        <w:t>审方</w:t>
      </w:r>
      <w:r>
        <w:rPr>
          <w:rFonts w:hint="eastAsia" w:ascii="宋体" w:hAnsi="宋体" w:eastAsia="宋体" w:cs="宋体"/>
          <w:color w:val="auto"/>
          <w:sz w:val="24"/>
          <w:szCs w:val="24"/>
          <w:highlight w:val="none"/>
        </w:rPr>
        <w:t>法”没有规定的方法、评审因素和标准，不作为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（1）磋商小组成员和与评审活动有关的工作人员不得泄露有关</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的评审和比较、成交候选人的推荐以及与评审有关的其他情况。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文件的评审、</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施加影响的任何行为，都将会导致其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被拒绝直至取消其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人确定后，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人不对未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就评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过程以及未能</w:t>
      </w:r>
      <w:r>
        <w:rPr>
          <w:rFonts w:hint="eastAsia" w:ascii="宋体" w:hAnsi="宋体" w:eastAsia="宋体" w:cs="宋体"/>
          <w:color w:val="auto"/>
          <w:sz w:val="24"/>
          <w:szCs w:val="24"/>
          <w:highlight w:val="none"/>
          <w:lang w:eastAsia="zh-CN"/>
        </w:rPr>
        <w:t>成交的</w:t>
      </w:r>
      <w:r>
        <w:rPr>
          <w:rFonts w:hint="eastAsia" w:ascii="宋体" w:hAnsi="宋体" w:eastAsia="宋体" w:cs="宋体"/>
          <w:color w:val="auto"/>
          <w:sz w:val="24"/>
          <w:szCs w:val="24"/>
          <w:highlight w:val="none"/>
        </w:rPr>
        <w:t>原因作出任何解释。未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不得向</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组成人员或其他有关人员索问评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过程的情况和材料。</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宋体" w:hAnsi="宋体" w:eastAsia="宋体" w:cs="宋体"/>
          <w:color w:val="auto"/>
          <w:sz w:val="24"/>
          <w:szCs w:val="24"/>
          <w:highlight w:val="none"/>
        </w:rPr>
      </w:pPr>
      <w:bookmarkStart w:id="97" w:name="_Toc16906"/>
      <w:bookmarkStart w:id="98" w:name="_Toc421778371"/>
      <w:bookmarkStart w:id="99" w:name="_Toc425240470"/>
      <w:bookmarkStart w:id="100" w:name="_Toc3800"/>
      <w:bookmarkStart w:id="101" w:name="_Toc420591649"/>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合同授予</w:t>
      </w:r>
      <w:bookmarkEnd w:id="97"/>
      <w:bookmarkEnd w:id="98"/>
      <w:bookmarkEnd w:id="99"/>
      <w:bookmarkEnd w:id="100"/>
      <w:bookmarkEnd w:id="101"/>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102" w:name="_Toc27998"/>
      <w:r>
        <w:rPr>
          <w:rFonts w:hint="eastAsia" w:ascii="宋体" w:hAnsi="宋体" w:eastAsia="宋体" w:cs="宋体"/>
          <w:color w:val="auto"/>
          <w:sz w:val="24"/>
          <w:szCs w:val="24"/>
          <w:highlight w:val="none"/>
        </w:rPr>
        <w:t>7.1 定标方式</w:t>
      </w:r>
      <w:bookmarkEnd w:id="10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磋商小组根据评审方法的规定对供应商进行评审排序，推荐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名成交候选人，作为评审结果。评审结果由全体磋商小组成员签字确认。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7.1.2采购人根据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报告中推荐的成交候选人排列顺序，确定排名第一的为成交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7.1.3排名第一的成交候选人放弃成交、在规定期限内未能签订合同、因不可抗力不能履行合同、不按照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要求提交履约保证金，或者被查实存在影响成交结果的违法行为等情形，不符合成交条件的，采购人可以按照磋商小组提出的成交候选人名单排序依次确定其他成交候选</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，也可以重新组织竞争性磋商。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7.1.4采购人也可以授权磋商小组评审后直接确定成交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7.1.5成交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确定之后，成交结果将在财政部门指定的政府采购信息发布媒体上公告。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7.1.6供应商或者其他利害关系人对评审结果有异议的，应当在</w:t>
      </w:r>
      <w:r>
        <w:rPr>
          <w:rFonts w:hint="eastAsia" w:ascii="宋体" w:hAnsi="宋体" w:eastAsia="宋体" w:cs="宋体"/>
          <w:color w:val="auto"/>
          <w:sz w:val="24"/>
          <w:szCs w:val="24"/>
          <w:highlight w:val="none"/>
          <w:lang w:eastAsia="zh-CN"/>
        </w:rPr>
        <w:t>法律规定的时间内</w:t>
      </w:r>
      <w:r>
        <w:rPr>
          <w:rFonts w:hint="eastAsia" w:ascii="宋体" w:hAnsi="宋体" w:eastAsia="宋体" w:cs="宋体"/>
          <w:color w:val="auto"/>
          <w:sz w:val="24"/>
          <w:szCs w:val="24"/>
          <w:highlight w:val="none"/>
        </w:rPr>
        <w:t>提出。</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103" w:name="_Toc5274"/>
      <w:r>
        <w:rPr>
          <w:rFonts w:hint="eastAsia" w:ascii="宋体" w:hAnsi="宋体" w:eastAsia="宋体" w:cs="宋体"/>
          <w:color w:val="auto"/>
          <w:sz w:val="24"/>
          <w:szCs w:val="24"/>
          <w:highlight w:val="none"/>
        </w:rPr>
        <w:t>7.2 成交通知</w:t>
      </w:r>
      <w:bookmarkEnd w:id="10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7.2.1采购代理机构向成交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发出《成交通知书》。 </w:t>
      </w:r>
      <w:r>
        <w:rPr>
          <w:rFonts w:hint="eastAsia" w:ascii="宋体" w:hAnsi="宋体" w:eastAsia="宋体" w:cs="宋体"/>
          <w:b/>
          <w:bCs/>
          <w:color w:val="auto"/>
          <w:sz w:val="24"/>
          <w:szCs w:val="24"/>
          <w:highlight w:val="none"/>
          <w:lang w:eastAsia="zh-CN"/>
        </w:rPr>
        <w:t>成交供应商在领取成交通知书时须携带法定代表人授权书及加盖单位公章的被授权人身份证复印件</w:t>
      </w:r>
      <w:r>
        <w:rPr>
          <w:rFonts w:hint="eastAsia" w:ascii="宋体" w:hAnsi="宋体" w:cs="宋体"/>
          <w:b/>
          <w:bCs/>
          <w:color w:val="auto"/>
          <w:sz w:val="24"/>
          <w:szCs w:val="24"/>
          <w:highlight w:val="none"/>
          <w:lang w:val="en-US" w:eastAsia="zh-CN"/>
        </w:rPr>
        <w:t>或扫描件</w:t>
      </w:r>
      <w:r>
        <w:rPr>
          <w:rFonts w:hint="eastAsia" w:ascii="宋体" w:hAnsi="宋体" w:eastAsia="宋体" w:cs="宋体"/>
          <w:b/>
          <w:bCs/>
          <w:color w:val="auto"/>
          <w:sz w:val="24"/>
          <w:szCs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具有同等法律效力。成交通知书发出之后，采购人改变成交结果，或者成交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放弃成交，应当承担相应的法律责任。</w:t>
      </w:r>
    </w:p>
    <w:p>
      <w:pPr>
        <w:spacing w:line="360" w:lineRule="auto"/>
        <w:ind w:firstLine="482" w:firstLineChars="200"/>
        <w:outlineLvl w:val="2"/>
        <w:rPr>
          <w:rFonts w:hint="eastAsia" w:ascii="宋体" w:hAnsi="宋体" w:eastAsia="宋体" w:cs="宋体"/>
          <w:b/>
          <w:bCs/>
          <w:color w:val="auto"/>
          <w:sz w:val="24"/>
          <w:szCs w:val="24"/>
          <w:highlight w:val="none"/>
          <w:lang w:eastAsia="zh-CN"/>
        </w:rPr>
      </w:pPr>
      <w:bookmarkStart w:id="104" w:name="_Toc19753"/>
      <w:bookmarkStart w:id="105" w:name="_Toc393"/>
      <w:bookmarkStart w:id="106" w:name="_Toc11506"/>
      <w:r>
        <w:rPr>
          <w:rFonts w:hint="eastAsia" w:ascii="宋体" w:hAnsi="宋体" w:eastAsia="宋体" w:cs="宋体"/>
          <w:b/>
          <w:bCs/>
          <w:color w:val="auto"/>
          <w:sz w:val="24"/>
          <w:szCs w:val="24"/>
          <w:highlight w:val="none"/>
        </w:rPr>
        <w:t>7.3 履约</w:t>
      </w:r>
      <w:bookmarkEnd w:id="104"/>
      <w:bookmarkEnd w:id="105"/>
      <w:r>
        <w:rPr>
          <w:rFonts w:hint="eastAsia" w:ascii="宋体" w:hAnsi="宋体" w:cs="宋体"/>
          <w:b/>
          <w:bCs/>
          <w:color w:val="auto"/>
          <w:sz w:val="24"/>
          <w:szCs w:val="24"/>
          <w:highlight w:val="none"/>
          <w:lang w:eastAsia="zh-CN"/>
        </w:rPr>
        <w:t>保证金</w:t>
      </w:r>
      <w:bookmarkEnd w:id="106"/>
    </w:p>
    <w:p>
      <w:pPr>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highlight w:val="none"/>
        </w:rPr>
        <w:t>7.3.1</w:t>
      </w:r>
      <w:r>
        <w:rPr>
          <w:rFonts w:hint="eastAsia" w:ascii="宋体" w:hAnsi="宋体" w:cs="宋体"/>
          <w:color w:val="auto"/>
          <w:sz w:val="24"/>
          <w:highlight w:val="none"/>
          <w:lang w:eastAsia="zh-CN"/>
        </w:rPr>
        <w:t>履约保证金的形式和金额：</w:t>
      </w:r>
      <w:r>
        <w:rPr>
          <w:rFonts w:hint="eastAsia" w:ascii="宋体" w:hAnsi="宋体" w:cs="宋体"/>
          <w:color w:val="auto"/>
          <w:sz w:val="24"/>
          <w:highlight w:val="none"/>
        </w:rPr>
        <w:t>见</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须知前附表</w:t>
      </w:r>
      <w:r>
        <w:rPr>
          <w:rFonts w:hint="eastAsia" w:ascii="宋体" w:hAnsi="宋体" w:cs="宋体"/>
          <w:color w:val="auto"/>
          <w:sz w:val="24"/>
          <w:highlight w:val="none"/>
          <w:lang w:eastAsia="zh-CN"/>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107" w:name="_Toc23732"/>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签订合同</w:t>
      </w:r>
      <w:bookmarkEnd w:id="10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.1采购人应当自成交通知书发出之日起三十日内，按照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成交供应商竞争性磋商响应文件</w:t>
      </w:r>
      <w:r>
        <w:rPr>
          <w:rFonts w:hint="eastAsia" w:ascii="宋体" w:hAnsi="宋体" w:eastAsia="宋体" w:cs="宋体"/>
          <w:color w:val="auto"/>
          <w:sz w:val="24"/>
          <w:szCs w:val="24"/>
          <w:highlight w:val="none"/>
        </w:rPr>
        <w:t>（包括评审中形成的澄清文件）的约定，与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（包括评审中形成的澄清文件）作实质性修改。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rPr>
      </w:pPr>
      <w:bookmarkStart w:id="108" w:name="_Toc425240474"/>
      <w:bookmarkStart w:id="109" w:name="_Toc420591653"/>
      <w:bookmarkStart w:id="110" w:name="_Toc421778375"/>
      <w:bookmarkStart w:id="111" w:name="_Toc14907"/>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代理服务费</w:t>
      </w:r>
      <w:bookmarkEnd w:id="108"/>
      <w:bookmarkEnd w:id="109"/>
      <w:bookmarkEnd w:id="110"/>
      <w:r>
        <w:rPr>
          <w:rFonts w:hint="eastAsia" w:ascii="宋体" w:hAnsi="宋体" w:eastAsia="宋体" w:cs="宋体"/>
          <w:color w:val="auto"/>
          <w:sz w:val="24"/>
          <w:szCs w:val="24"/>
          <w:highlight w:val="none"/>
          <w:lang w:eastAsia="zh-CN"/>
        </w:rPr>
        <w:t>：详见“供应商须知前附表”。</w:t>
      </w:r>
      <w:bookmarkEnd w:id="111"/>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val="en-US" w:eastAsia="zh-CN"/>
        </w:rPr>
      </w:pPr>
      <w:bookmarkStart w:id="112" w:name="_Toc5555"/>
      <w:r>
        <w:rPr>
          <w:rFonts w:hint="eastAsia" w:ascii="宋体" w:hAnsi="宋体" w:eastAsia="宋体" w:cs="宋体"/>
          <w:color w:val="auto"/>
          <w:sz w:val="24"/>
          <w:szCs w:val="24"/>
          <w:highlight w:val="none"/>
          <w:lang w:val="en-US" w:eastAsia="zh-CN"/>
        </w:rPr>
        <w:t>9、合同鉴证费</w:t>
      </w:r>
      <w:bookmarkEnd w:id="1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9.1委托人和成交人签订的合同需经受托人审核并加盖鉴证方业务专用章。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9.2成交金额在500万元以下的项目，合同鉴证费收费标准为成交中标金额的万分之一，按规定计算低于300元的按300元收取；成交金额在500万元及以上的项目，合同鉴证费收费标准为成交金额的万分之一点五。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9.3合同鉴证费由成交人支付。</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val="en-US" w:eastAsia="zh-CN"/>
        </w:rPr>
      </w:pPr>
      <w:bookmarkStart w:id="113" w:name="_Toc14294"/>
      <w:r>
        <w:rPr>
          <w:rFonts w:hint="eastAsia" w:ascii="宋体" w:hAnsi="宋体" w:eastAsia="宋体" w:cs="宋体"/>
          <w:color w:val="auto"/>
          <w:sz w:val="24"/>
          <w:szCs w:val="24"/>
          <w:highlight w:val="none"/>
          <w:lang w:val="en-US" w:eastAsia="zh-CN"/>
        </w:rPr>
        <w:t>10、质疑</w:t>
      </w:r>
      <w:bookmarkEnd w:id="113"/>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宋体" w:hAnsi="宋体" w:eastAsia="宋体" w:cs="宋体"/>
          <w:b w:val="0"/>
          <w:bCs w:val="0"/>
          <w:color w:val="auto"/>
          <w:sz w:val="24"/>
          <w:szCs w:val="24"/>
          <w:highlight w:val="none"/>
          <w:lang w:val="en-US" w:eastAsia="zh-CN"/>
        </w:rPr>
      </w:pPr>
      <w:bookmarkStart w:id="114" w:name="_Toc20671"/>
      <w:bookmarkStart w:id="115" w:name="_Toc421778376"/>
      <w:r>
        <w:rPr>
          <w:rFonts w:hint="eastAsia" w:ascii="宋体" w:hAnsi="宋体" w:eastAsia="宋体" w:cs="宋体"/>
          <w:b w:val="0"/>
          <w:bCs w:val="0"/>
          <w:color w:val="auto"/>
          <w:sz w:val="24"/>
          <w:szCs w:val="24"/>
          <w:highlight w:val="none"/>
          <w:lang w:val="en-US" w:eastAsia="zh-CN"/>
        </w:rPr>
        <w:t>10.1供应商认为磋商文件、采购过程、成交结果使自己的权益受到损害的，可以在知道或者应知其权益受到损害之日起7个工作日内，以书面形式向采购人、采购代理机构提出质疑。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7"/>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10.2供应商必须在法定质疑期内一次性提出针对同一采购程序环节的质疑。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7"/>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10</w:t>
      </w:r>
      <w:r>
        <w:rPr>
          <w:rStyle w:val="37"/>
          <w:rFonts w:hint="eastAsia" w:ascii="宋体" w:hAnsi="宋体" w:eastAsia="宋体" w:cs="宋体"/>
          <w:b w:val="0"/>
          <w:bCs/>
          <w:i w:val="0"/>
          <w:caps w:val="0"/>
          <w:color w:val="auto"/>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7"/>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10</w:t>
      </w:r>
      <w:r>
        <w:rPr>
          <w:rStyle w:val="37"/>
          <w:rFonts w:hint="eastAsia" w:ascii="宋体" w:hAnsi="宋体" w:eastAsia="宋体" w:cs="宋体"/>
          <w:b w:val="0"/>
          <w:bCs/>
          <w:i w:val="0"/>
          <w:caps w:val="0"/>
          <w:color w:val="auto"/>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7"/>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.5.6提出质疑的日期。</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有下列情形之一的，属于无效质疑，采购代理机构和采购人不予受理：</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不是参与本次政府采购项目的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与质疑事项不存在利害关系的；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未在法定期限内提出质疑的；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质疑未以书面形式提出，或质疑</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主要内容构成不完整的；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lang w:eastAsia="zh-CN"/>
        </w:rPr>
        <w:t>应当提交授权书而未提交的</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.6.6</w:t>
      </w:r>
      <w:r>
        <w:rPr>
          <w:rFonts w:hint="eastAsia" w:ascii="宋体" w:hAnsi="宋体" w:eastAsia="宋体" w:cs="宋体"/>
          <w:color w:val="auto"/>
          <w:sz w:val="24"/>
          <w:szCs w:val="24"/>
          <w:highlight w:val="none"/>
        </w:rPr>
        <w:t>以非法手段取得证据、材料的；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质疑答复后，同一质疑人就同一事项</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同一采购程序环节</w:t>
      </w:r>
      <w:r>
        <w:rPr>
          <w:rFonts w:hint="eastAsia" w:ascii="宋体" w:hAnsi="宋体" w:eastAsia="宋体" w:cs="宋体"/>
          <w:color w:val="auto"/>
          <w:sz w:val="24"/>
          <w:szCs w:val="24"/>
          <w:highlight w:val="none"/>
        </w:rPr>
        <w:t>再次提出质疑的；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Style w:val="37"/>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.6.8</w:t>
      </w:r>
      <w:r>
        <w:rPr>
          <w:rFonts w:hint="eastAsia" w:ascii="宋体" w:hAnsi="宋体" w:eastAsia="宋体" w:cs="宋体"/>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10.7</w:t>
      </w:r>
      <w:r>
        <w:rPr>
          <w:rFonts w:hint="eastAsia" w:ascii="宋体" w:hAnsi="宋体" w:eastAsia="宋体" w:cs="宋体"/>
          <w:color w:val="auto"/>
          <w:sz w:val="24"/>
          <w:szCs w:val="24"/>
          <w:highlight w:val="none"/>
          <w:lang w:eastAsia="zh-CN"/>
        </w:rPr>
        <w:t>质疑答复</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.7.2质疑供应商对采购人、采购代理机构的答复不满意，或者采购人、采购代理机构未在规定时间内作出答复的，可以在答复期满后15个工作日内向同级人民政府财政部门提起投诉。</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.8其他需要说明的事项</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02/t20180201_2804589.html</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10.8.2接收质疑函的方式：书面形式</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.8.3联系部门：</w:t>
      </w:r>
      <w:r>
        <w:rPr>
          <w:rFonts w:hint="eastAsia" w:ascii="宋体" w:hAnsi="宋体" w:cs="宋体"/>
          <w:color w:val="auto"/>
          <w:sz w:val="24"/>
          <w:szCs w:val="24"/>
          <w:highlight w:val="none"/>
          <w:lang w:val="en-US" w:eastAsia="zh-CN"/>
        </w:rPr>
        <w:t>陕西中桓国际项目管理有限公司</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.8.4联系电话：见供应商须知前附表</w:t>
      </w:r>
    </w:p>
    <w:p>
      <w:pPr>
        <w:pStyle w:val="11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.8.5通讯地址：</w:t>
      </w:r>
      <w:r>
        <w:rPr>
          <w:rFonts w:hint="eastAsia" w:ascii="宋体" w:hAnsi="宋体" w:cs="宋体"/>
          <w:color w:val="auto"/>
          <w:sz w:val="24"/>
          <w:szCs w:val="24"/>
          <w:highlight w:val="none"/>
          <w:lang w:eastAsia="zh-CN"/>
        </w:rPr>
        <w:t>陕西省西安市未央区凤城七路长和国际A座25层</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lang w:val="en-US" w:eastAsia="zh-CN"/>
        </w:rPr>
      </w:pPr>
      <w:bookmarkStart w:id="116" w:name="_Toc16828"/>
      <w:r>
        <w:rPr>
          <w:rFonts w:hint="eastAsia" w:ascii="宋体" w:hAnsi="宋体" w:eastAsia="宋体" w:cs="宋体"/>
          <w:color w:val="auto"/>
          <w:sz w:val="24"/>
          <w:szCs w:val="24"/>
          <w:highlight w:val="none"/>
          <w:lang w:val="en-US" w:eastAsia="zh-CN"/>
        </w:rPr>
        <w:t>11、其他</w:t>
      </w:r>
      <w:bookmarkEnd w:id="1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1磋商步骤为：第一次报价---初步评审---分别磋商---第二次报价---综合评审推荐成交候选人。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以供应商递交的磋商响应文件中的总报价为第一次报价。分别磋商后，供应商现场填报的磋商响应总报价为第二次报价）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2当第二次报价全部超过</w:t>
      </w:r>
      <w:r>
        <w:rPr>
          <w:rFonts w:hint="eastAsia" w:ascii="宋体" w:hAnsi="宋体" w:eastAsia="宋体" w:cs="宋体"/>
          <w:color w:val="auto"/>
          <w:sz w:val="24"/>
          <w:szCs w:val="24"/>
          <w:highlight w:val="none"/>
          <w:lang w:eastAsia="zh-CN"/>
        </w:rPr>
        <w:t>磋商文件规定的采购预算（或最高限价）</w:t>
      </w:r>
      <w:r>
        <w:rPr>
          <w:rFonts w:hint="eastAsia" w:ascii="宋体" w:hAnsi="宋体" w:eastAsia="宋体" w:cs="宋体"/>
          <w:color w:val="auto"/>
          <w:sz w:val="24"/>
          <w:szCs w:val="24"/>
          <w:highlight w:val="none"/>
        </w:rPr>
        <w:t>或均低于公认的制作成本时，磋商小组有权决定是否磋商失败或进行第三次报价。当第三次报价若超出财政预算，且采购人又无力支付，磋商小组有权决定磋商失败。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还应当对超过部分予以赔偿，并依法承担相应法律责任。</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sz w:val="24"/>
          <w:szCs w:val="24"/>
          <w:highlight w:val="none"/>
        </w:rPr>
      </w:pPr>
      <w:bookmarkStart w:id="117" w:name="_Toc420591652"/>
      <w:bookmarkStart w:id="118" w:name="_Toc425240473"/>
      <w:bookmarkStart w:id="119" w:name="_Toc26955"/>
      <w:bookmarkStart w:id="120" w:name="_Toc421778374"/>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、需要补充的其他内容：</w:t>
      </w:r>
      <w:bookmarkStart w:id="121" w:name="_Toc356305901"/>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121"/>
      <w:r>
        <w:rPr>
          <w:rFonts w:hint="eastAsia" w:ascii="宋体" w:hAnsi="宋体" w:eastAsia="宋体" w:cs="宋体"/>
          <w:color w:val="auto"/>
          <w:sz w:val="24"/>
          <w:szCs w:val="24"/>
          <w:highlight w:val="none"/>
        </w:rPr>
        <w:t>。</w:t>
      </w:r>
      <w:bookmarkEnd w:id="117"/>
      <w:bookmarkEnd w:id="118"/>
      <w:bookmarkEnd w:id="119"/>
      <w:bookmarkEnd w:id="120"/>
    </w:p>
    <w:p>
      <w:pPr>
        <w:pStyle w:val="13"/>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pStyle w:val="3"/>
        <w:spacing w:afterLines="50"/>
        <w:jc w:val="center"/>
        <w:rPr>
          <w:rFonts w:hint="eastAsia" w:ascii="宋体" w:hAnsi="宋体" w:eastAsia="宋体" w:cs="宋体"/>
          <w:color w:val="auto"/>
          <w:sz w:val="32"/>
          <w:szCs w:val="32"/>
          <w:highlight w:val="none"/>
        </w:rPr>
      </w:pPr>
      <w:bookmarkStart w:id="122" w:name="_Toc8267"/>
      <w:r>
        <w:rPr>
          <w:rFonts w:hint="eastAsia" w:ascii="宋体" w:hAnsi="宋体" w:eastAsia="宋体" w:cs="宋体"/>
          <w:color w:val="auto"/>
          <w:sz w:val="32"/>
          <w:szCs w:val="32"/>
          <w:highlight w:val="none"/>
        </w:rPr>
        <w:t>第三章</w:t>
      </w:r>
      <w:bookmarkEnd w:id="114"/>
      <w:bookmarkEnd w:id="115"/>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评审方法</w:t>
      </w:r>
      <w:bookmarkEnd w:id="12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宋体" w:hAnsi="宋体" w:eastAsia="宋体" w:cs="宋体"/>
          <w:b/>
          <w:color w:val="auto"/>
          <w:sz w:val="24"/>
          <w:szCs w:val="24"/>
          <w:highlight w:val="none"/>
          <w:lang w:eastAsia="zh-CN"/>
        </w:rPr>
      </w:pPr>
      <w:bookmarkStart w:id="123" w:name="_Toc14832"/>
      <w:r>
        <w:rPr>
          <w:rFonts w:hint="eastAsia" w:ascii="宋体" w:hAnsi="宋体" w:eastAsia="宋体" w:cs="宋体"/>
          <w:b/>
          <w:color w:val="auto"/>
          <w:sz w:val="24"/>
          <w:szCs w:val="24"/>
          <w:highlight w:val="none"/>
          <w:lang w:eastAsia="zh-CN"/>
        </w:rPr>
        <w:t>一、评审方法</w:t>
      </w:r>
      <w:bookmarkEnd w:id="123"/>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按照《中华人民共和国政府采购法》</w:t>
      </w:r>
      <w:r>
        <w:rPr>
          <w:rFonts w:hint="eastAsia" w:ascii="宋体" w:hAnsi="宋体" w:eastAsia="宋体" w:cs="宋体"/>
          <w:color w:val="auto"/>
          <w:sz w:val="24"/>
          <w:szCs w:val="24"/>
          <w:highlight w:val="none"/>
          <w:lang w:eastAsia="zh-CN"/>
        </w:rPr>
        <w:t>及实施条例</w:t>
      </w:r>
      <w:r>
        <w:rPr>
          <w:rFonts w:hint="eastAsia" w:ascii="宋体" w:hAnsi="宋体" w:eastAsia="宋体" w:cs="宋体"/>
          <w:color w:val="auto"/>
          <w:sz w:val="24"/>
          <w:szCs w:val="24"/>
          <w:highlight w:val="none"/>
        </w:rPr>
        <w:t>和关于印发《政府采购竞争性磋商采购方式管理暂行办法》的通知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财库【2014】214号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4"/>
          <w:sz w:val="24"/>
          <w:szCs w:val="24"/>
          <w:highlight w:val="none"/>
        </w:rPr>
        <w:t>的规定，本次</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采用综合评分法</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即在最大限度地满足竞争性磋商文件实质性要求前提下，按照竞争性磋商文件中规定的各项因素和相应的权重分值进行综合评审后，以总得分最高的供应商作为成交候选</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并依次排序（最低报价不是</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的唯一标准）。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宋体" w:hAnsi="宋体" w:eastAsia="宋体" w:cs="宋体"/>
          <w:b/>
          <w:color w:val="auto"/>
          <w:sz w:val="24"/>
          <w:szCs w:val="24"/>
          <w:highlight w:val="none"/>
          <w:lang w:eastAsia="zh-CN"/>
        </w:rPr>
      </w:pPr>
      <w:bookmarkStart w:id="124" w:name="_Toc6656"/>
      <w:bookmarkStart w:id="125" w:name="_Toc465432103"/>
      <w:r>
        <w:rPr>
          <w:rFonts w:hint="eastAsia" w:ascii="宋体" w:hAnsi="宋体" w:eastAsia="宋体" w:cs="宋体"/>
          <w:b/>
          <w:color w:val="auto"/>
          <w:sz w:val="24"/>
          <w:szCs w:val="24"/>
          <w:highlight w:val="none"/>
          <w:lang w:eastAsia="zh-CN"/>
        </w:rPr>
        <w:t>二、评审原则</w:t>
      </w:r>
      <w:bookmarkEnd w:id="124"/>
      <w:bookmarkEnd w:id="125"/>
    </w:p>
    <w:p>
      <w:pPr>
        <w:widowControl/>
        <w:snapToGrid w:val="0"/>
        <w:spacing w:line="360" w:lineRule="auto"/>
        <w:ind w:firstLine="31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1、公平、公正、科学、择优。</w:t>
      </w:r>
    </w:p>
    <w:p>
      <w:pPr>
        <w:widowControl/>
        <w:snapToGrid w:val="0"/>
        <w:spacing w:line="360" w:lineRule="auto"/>
        <w:ind w:firstLine="31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工程质量符合国家各项施工及验收规范标准、工期满足</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要求、施工方案合理可行、</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合理低价</w:t>
      </w:r>
      <w:r>
        <w:rPr>
          <w:rFonts w:hint="eastAsia" w:ascii="宋体" w:hAnsi="宋体" w:eastAsia="宋体" w:cs="宋体"/>
          <w:color w:val="auto"/>
          <w:kern w:val="0"/>
          <w:sz w:val="24"/>
          <w:highlight w:val="none"/>
        </w:rPr>
        <w:t>。</w:t>
      </w:r>
    </w:p>
    <w:p>
      <w:pPr>
        <w:widowControl/>
        <w:snapToGrid w:val="0"/>
        <w:spacing w:line="360" w:lineRule="auto"/>
        <w:ind w:firstLine="31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3、禁止不正当竞争。</w:t>
      </w:r>
      <w:bookmarkStart w:id="126" w:name="_Toc3634633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宋体" w:hAnsi="宋体" w:eastAsia="宋体" w:cs="宋体"/>
          <w:b/>
          <w:color w:val="auto"/>
          <w:sz w:val="24"/>
          <w:szCs w:val="24"/>
          <w:highlight w:val="none"/>
          <w:lang w:eastAsia="zh-CN"/>
        </w:rPr>
      </w:pPr>
      <w:bookmarkStart w:id="127" w:name="_Toc30722"/>
      <w:r>
        <w:rPr>
          <w:rFonts w:hint="eastAsia" w:ascii="宋体" w:hAnsi="宋体" w:eastAsia="宋体" w:cs="宋体"/>
          <w:b/>
          <w:color w:val="auto"/>
          <w:sz w:val="24"/>
          <w:szCs w:val="24"/>
          <w:highlight w:val="none"/>
          <w:lang w:eastAsia="zh-CN"/>
        </w:rPr>
        <w:t>三、评审程序</w:t>
      </w:r>
      <w:bookmarkEnd w:id="126"/>
      <w:bookmarkEnd w:id="127"/>
    </w:p>
    <w:p>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宋体" w:hAnsi="宋体" w:eastAsia="宋体" w:cs="宋体"/>
          <w:b w:val="0"/>
          <w:bCs/>
          <w:color w:val="auto"/>
          <w:spacing w:val="4"/>
          <w:kern w:val="2"/>
          <w:sz w:val="24"/>
          <w:szCs w:val="24"/>
          <w:highlight w:val="none"/>
          <w:lang w:val="en-US" w:eastAsia="zh-CN" w:bidi="ar-SA"/>
        </w:rPr>
      </w:pPr>
      <w:r>
        <w:rPr>
          <w:rFonts w:hint="eastAsia" w:ascii="宋体" w:hAnsi="宋体" w:eastAsia="宋体" w:cs="宋体"/>
          <w:b w:val="0"/>
          <w:bCs/>
          <w:color w:val="auto"/>
          <w:spacing w:val="4"/>
          <w:kern w:val="2"/>
          <w:sz w:val="24"/>
          <w:szCs w:val="24"/>
          <w:highlight w:val="none"/>
          <w:lang w:val="en-US" w:eastAsia="zh-CN" w:bidi="ar-SA"/>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72" w:firstLineChars="196"/>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70" w:firstLineChars="196"/>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资格性审查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pacing w:val="4"/>
          <w:kern w:val="2"/>
          <w:sz w:val="24"/>
          <w:szCs w:val="24"/>
          <w:highlight w:val="none"/>
          <w:lang w:val="en-US" w:eastAsia="zh-CN" w:bidi="ar-SA"/>
        </w:rPr>
        <w:t>磋商小组将依据本章“四、评审标准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pacing w:val="4"/>
          <w:kern w:val="2"/>
          <w:sz w:val="24"/>
          <w:szCs w:val="24"/>
          <w:highlight w:val="none"/>
          <w:lang w:val="en-US" w:eastAsia="zh-CN" w:bidi="ar-SA"/>
        </w:rPr>
        <w:t>第1.1</w:t>
      </w:r>
      <w:r>
        <w:rPr>
          <w:rFonts w:hint="eastAsia" w:ascii="宋体" w:hAnsi="宋体" w:eastAsia="宋体" w:cs="宋体"/>
          <w:b w:val="0"/>
          <w:bCs w:val="0"/>
          <w:color w:val="auto"/>
          <w:sz w:val="24"/>
          <w:highlight w:val="none"/>
        </w:rPr>
        <w:t>项规定的评审标准对</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进行资格性审查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有一项不符合评审标准的，</w:t>
      </w:r>
      <w:r>
        <w:rPr>
          <w:rFonts w:hint="eastAsia" w:ascii="宋体" w:hAnsi="宋体" w:eastAsia="宋体" w:cs="宋体"/>
          <w:b w:val="0"/>
          <w:bCs w:val="0"/>
          <w:color w:val="auto"/>
          <w:kern w:val="0"/>
          <w:sz w:val="24"/>
          <w:highlight w:val="none"/>
        </w:rPr>
        <w:t>将被视为未实质性响应</w:t>
      </w:r>
      <w:r>
        <w:rPr>
          <w:rFonts w:hint="eastAsia" w:ascii="宋体" w:hAnsi="宋体" w:eastAsia="宋体" w:cs="宋体"/>
          <w:b w:val="0"/>
          <w:bCs w:val="0"/>
          <w:color w:val="auto"/>
          <w:kern w:val="0"/>
          <w:sz w:val="24"/>
          <w:highlight w:val="none"/>
          <w:lang w:eastAsia="zh-CN"/>
        </w:rPr>
        <w:t>磋商</w:t>
      </w:r>
      <w:r>
        <w:rPr>
          <w:rFonts w:hint="eastAsia" w:ascii="宋体" w:hAnsi="宋体" w:eastAsia="宋体" w:cs="宋体"/>
          <w:b w:val="0"/>
          <w:bCs w:val="0"/>
          <w:color w:val="auto"/>
          <w:kern w:val="0"/>
          <w:sz w:val="24"/>
          <w:highlight w:val="none"/>
        </w:rPr>
        <w:t>文件</w:t>
      </w:r>
      <w:r>
        <w:rPr>
          <w:rFonts w:hint="eastAsia" w:ascii="宋体" w:hAnsi="宋体" w:eastAsia="宋体" w:cs="宋体"/>
          <w:b w:val="0"/>
          <w:bCs w:val="0"/>
          <w:color w:val="auto"/>
          <w:kern w:val="0"/>
          <w:sz w:val="24"/>
          <w:highlight w:val="none"/>
          <w:lang w:eastAsia="zh-CN"/>
        </w:rPr>
        <w:t>，其磋商响应文件将按无效文件处理</w:t>
      </w:r>
      <w:r>
        <w:rPr>
          <w:rFonts w:hint="eastAsia" w:ascii="宋体" w:hAnsi="宋体" w:eastAsia="宋体" w:cs="宋体"/>
          <w:b w:val="0"/>
          <w:bCs w:val="0"/>
          <w:color w:val="auto"/>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w:t>
      </w:r>
      <w:r>
        <w:rPr>
          <w:rFonts w:hint="eastAsia" w:ascii="宋体" w:hAnsi="宋体" w:eastAsia="宋体" w:cs="宋体"/>
          <w:b w:val="0"/>
          <w:bCs w:val="0"/>
          <w:color w:val="auto"/>
          <w:spacing w:val="4"/>
          <w:sz w:val="24"/>
          <w:szCs w:val="24"/>
          <w:highlight w:val="none"/>
        </w:rPr>
        <w:t>.2符合性审查</w:t>
      </w:r>
      <w:r>
        <w:rPr>
          <w:rFonts w:hint="eastAsia" w:ascii="宋体" w:hAnsi="宋体" w:eastAsia="宋体" w:cs="宋体"/>
          <w:b w:val="0"/>
          <w:bCs w:val="0"/>
          <w:color w:val="auto"/>
          <w:spacing w:val="4"/>
          <w:sz w:val="24"/>
          <w:szCs w:val="24"/>
          <w:highlight w:val="none"/>
          <w:lang w:eastAsia="zh-CN"/>
        </w:rPr>
        <w:t>：磋商小组</w:t>
      </w:r>
      <w:r>
        <w:rPr>
          <w:rFonts w:hint="eastAsia" w:ascii="宋体" w:hAnsi="宋体" w:eastAsia="宋体" w:cs="宋体"/>
          <w:b w:val="0"/>
          <w:bCs w:val="0"/>
          <w:color w:val="auto"/>
          <w:spacing w:val="4"/>
          <w:sz w:val="24"/>
          <w:szCs w:val="24"/>
          <w:highlight w:val="none"/>
        </w:rPr>
        <w:t>根据本章</w:t>
      </w:r>
      <w:r>
        <w:rPr>
          <w:rFonts w:hint="eastAsia" w:ascii="宋体" w:hAnsi="宋体" w:eastAsia="宋体" w:cs="宋体"/>
          <w:b w:val="0"/>
          <w:bCs w:val="0"/>
          <w:color w:val="auto"/>
          <w:spacing w:val="4"/>
          <w:sz w:val="24"/>
          <w:szCs w:val="24"/>
          <w:highlight w:val="none"/>
          <w:lang w:val="en-US" w:eastAsia="zh-CN"/>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第1.2</w:t>
      </w:r>
      <w:r>
        <w:rPr>
          <w:rFonts w:hint="eastAsia" w:ascii="宋体" w:hAnsi="宋体" w:eastAsia="宋体" w:cs="宋体"/>
          <w:b w:val="0"/>
          <w:bCs w:val="0"/>
          <w:color w:val="auto"/>
          <w:spacing w:val="4"/>
          <w:sz w:val="24"/>
          <w:szCs w:val="24"/>
          <w:highlight w:val="none"/>
        </w:rPr>
        <w:t>项规定的评审标准对</w:t>
      </w:r>
      <w:r>
        <w:rPr>
          <w:rFonts w:hint="eastAsia" w:ascii="宋体" w:hAnsi="宋体" w:eastAsia="宋体" w:cs="宋体"/>
          <w:b w:val="0"/>
          <w:bCs w:val="0"/>
          <w:color w:val="auto"/>
          <w:spacing w:val="4"/>
          <w:sz w:val="24"/>
          <w:szCs w:val="24"/>
          <w:highlight w:val="none"/>
          <w:lang w:eastAsia="zh-CN"/>
        </w:rPr>
        <w:t>磋商响应文件</w:t>
      </w:r>
      <w:r>
        <w:rPr>
          <w:rFonts w:hint="eastAsia" w:ascii="宋体" w:hAnsi="宋体" w:eastAsia="宋体" w:cs="宋体"/>
          <w:b w:val="0"/>
          <w:bCs w:val="0"/>
          <w:color w:val="auto"/>
          <w:spacing w:val="4"/>
          <w:sz w:val="24"/>
          <w:szCs w:val="24"/>
          <w:highlight w:val="none"/>
        </w:rPr>
        <w:t>进行符合性</w:t>
      </w:r>
      <w:r>
        <w:rPr>
          <w:rFonts w:hint="eastAsia" w:ascii="宋体" w:hAnsi="宋体" w:eastAsia="宋体" w:cs="宋体"/>
          <w:b w:val="0"/>
          <w:bCs w:val="0"/>
          <w:color w:val="auto"/>
          <w:spacing w:val="4"/>
          <w:sz w:val="24"/>
          <w:szCs w:val="24"/>
          <w:highlight w:val="none"/>
          <w:lang w:eastAsia="zh-CN"/>
        </w:rPr>
        <w:t>审查</w:t>
      </w:r>
      <w:r>
        <w:rPr>
          <w:rFonts w:hint="eastAsia" w:ascii="宋体" w:hAnsi="宋体" w:eastAsia="宋体" w:cs="宋体"/>
          <w:b w:val="0"/>
          <w:bCs w:val="0"/>
          <w:color w:val="auto"/>
          <w:spacing w:val="4"/>
          <w:sz w:val="24"/>
          <w:szCs w:val="24"/>
          <w:highlight w:val="none"/>
        </w:rPr>
        <w:t>。有一项不符合评审标准的，将被视为未实质性响应磋商文件，其磋商响应文件将按无效文件处理。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4"/>
          <w:sz w:val="24"/>
          <w:szCs w:val="24"/>
          <w:highlight w:val="none"/>
          <w:lang w:val="en-US" w:eastAsia="zh-CN"/>
        </w:rPr>
        <w:t>1.3</w:t>
      </w:r>
      <w:r>
        <w:rPr>
          <w:rFonts w:hint="eastAsia" w:ascii="宋体" w:hAnsi="宋体" w:eastAsia="宋体" w:cs="宋体"/>
          <w:b w:val="0"/>
          <w:bCs w:val="0"/>
          <w:color w:val="auto"/>
          <w:spacing w:val="4"/>
          <w:sz w:val="24"/>
          <w:szCs w:val="24"/>
          <w:highlight w:val="none"/>
        </w:rPr>
        <w:t>在资格性审查</w:t>
      </w:r>
      <w:r>
        <w:rPr>
          <w:rFonts w:hint="eastAsia" w:ascii="宋体" w:hAnsi="宋体" w:eastAsia="宋体" w:cs="宋体"/>
          <w:b w:val="0"/>
          <w:bCs w:val="0"/>
          <w:color w:val="auto"/>
          <w:spacing w:val="4"/>
          <w:sz w:val="24"/>
          <w:szCs w:val="24"/>
          <w:highlight w:val="none"/>
          <w:lang w:eastAsia="zh-CN"/>
        </w:rPr>
        <w:t>阶</w:t>
      </w:r>
      <w:r>
        <w:rPr>
          <w:rFonts w:hint="eastAsia" w:ascii="宋体" w:hAnsi="宋体" w:eastAsia="宋体" w:cs="宋体"/>
          <w:b w:val="0"/>
          <w:bCs w:val="0"/>
          <w:color w:val="auto"/>
          <w:spacing w:val="4"/>
          <w:sz w:val="24"/>
          <w:szCs w:val="24"/>
          <w:highlight w:val="none"/>
        </w:rPr>
        <w:t>段，不符合</w:t>
      </w:r>
      <w:r>
        <w:rPr>
          <w:rFonts w:hint="eastAsia" w:ascii="宋体" w:hAnsi="宋体" w:eastAsia="宋体" w:cs="宋体"/>
          <w:b w:val="0"/>
          <w:bCs w:val="0"/>
          <w:color w:val="auto"/>
          <w:spacing w:val="4"/>
          <w:sz w:val="24"/>
          <w:szCs w:val="24"/>
          <w:highlight w:val="none"/>
          <w:lang w:eastAsia="zh-CN"/>
        </w:rPr>
        <w:t>磋商文件</w:t>
      </w:r>
      <w:r>
        <w:rPr>
          <w:rFonts w:hint="eastAsia" w:ascii="宋体" w:hAnsi="宋体" w:eastAsia="宋体" w:cs="宋体"/>
          <w:b w:val="0"/>
          <w:bCs w:val="0"/>
          <w:color w:val="auto"/>
          <w:spacing w:val="4"/>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500" w:lineRule="exact"/>
        <w:ind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磋商响应</w:t>
      </w:r>
      <w:r>
        <w:rPr>
          <w:rFonts w:hint="eastAsia" w:ascii="宋体" w:hAnsi="宋体" w:eastAsia="宋体" w:cs="宋体"/>
          <w:b/>
          <w:color w:val="auto"/>
          <w:sz w:val="24"/>
          <w:highlight w:val="none"/>
        </w:rPr>
        <w:t>文件的澄清</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宋体" w:hAnsi="宋体" w:eastAsia="宋体" w:cs="宋体"/>
          <w:b w:val="0"/>
          <w:bCs/>
          <w:color w:val="auto"/>
          <w:spacing w:val="4"/>
          <w:kern w:val="2"/>
          <w:sz w:val="24"/>
          <w:szCs w:val="24"/>
          <w:highlight w:val="none"/>
          <w:lang w:val="en-US" w:eastAsia="zh-CN" w:bidi="ar-SA"/>
        </w:rPr>
      </w:pPr>
      <w:r>
        <w:rPr>
          <w:rFonts w:hint="eastAsia" w:ascii="宋体" w:hAnsi="宋体" w:eastAsia="宋体" w:cs="宋体"/>
          <w:b w:val="0"/>
          <w:bCs/>
          <w:color w:val="auto"/>
          <w:spacing w:val="4"/>
          <w:kern w:val="2"/>
          <w:sz w:val="24"/>
          <w:szCs w:val="24"/>
          <w:highlight w:val="none"/>
          <w:lang w:val="en-US" w:eastAsia="zh-CN" w:bidi="ar-SA"/>
        </w:rPr>
        <w:t>2.1磋商小组发现供应商的报价明显低于其他磋商报价、或明显低于市场价格，使得其磋商报价可能低于其成本的，有可能影响产品质量或者不能诚信履约的，应当要求其在合理的时间内做出书面说明，必要时提交相关证明材料。供应商不能证明其报价合理性的，由磋商小组将其作为无效响应处理。</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宋体" w:hAnsi="宋体" w:eastAsia="宋体" w:cs="宋体"/>
          <w:b w:val="0"/>
          <w:bCs/>
          <w:color w:val="auto"/>
          <w:spacing w:val="4"/>
          <w:kern w:val="2"/>
          <w:sz w:val="24"/>
          <w:szCs w:val="24"/>
          <w:highlight w:val="none"/>
          <w:lang w:val="en-US" w:eastAsia="zh-CN" w:bidi="ar-SA"/>
        </w:rPr>
      </w:pPr>
      <w:r>
        <w:rPr>
          <w:rFonts w:hint="eastAsia" w:ascii="宋体" w:hAnsi="宋体" w:eastAsia="宋体" w:cs="宋体"/>
          <w:b w:val="0"/>
          <w:bCs/>
          <w:color w:val="auto"/>
          <w:spacing w:val="4"/>
          <w:kern w:val="2"/>
          <w:sz w:val="24"/>
          <w:szCs w:val="24"/>
          <w:highlight w:val="none"/>
          <w:lang w:val="en-US" w:eastAsia="zh-CN" w:bidi="ar-SA"/>
        </w:rPr>
        <w:t>2.2有效的书面澄清材料，是磋商响应文件的补充材料，成为磋商响应文件的组成部分。</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jc w:val="left"/>
        <w:rPr>
          <w:rFonts w:hint="eastAsia"/>
          <w:color w:val="auto"/>
          <w:highlight w:val="none"/>
          <w:lang w:val="en-US" w:eastAsia="zh-CN"/>
        </w:rPr>
      </w:pP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、如果供应商在澄清规定期限内，未能答复或拒绝答复磋商小组提出的澄清要求，将由磋商小组根据其竞争性磋商响应文件按最大风险进行评审。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3、磋商：</w:t>
      </w:r>
      <w:r>
        <w:rPr>
          <w:rFonts w:hint="eastAsia" w:ascii="宋体" w:hAnsi="宋体" w:eastAsia="宋体" w:cs="宋体"/>
          <w:color w:val="auto"/>
          <w:sz w:val="24"/>
          <w:szCs w:val="24"/>
          <w:highlight w:val="none"/>
        </w:rPr>
        <w:t>磋商小组所有成员集中与单一供应商分别进行磋商，并要求供应商在规定的时间内提交最后报价。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4、磋商过程中的实质性变动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综合评审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定标</w:t>
      </w:r>
      <w:r>
        <w:rPr>
          <w:rFonts w:hint="eastAsia" w:ascii="宋体" w:hAnsi="宋体" w:eastAsia="宋体" w:cs="宋体"/>
          <w:b/>
          <w:bCs/>
          <w:color w:val="auto"/>
          <w:sz w:val="24"/>
          <w:szCs w:val="24"/>
          <w:highlight w:val="none"/>
        </w:rPr>
        <w:t>：</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1定标程序</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磋商小组依据磋商文件的要求，对供应商进行认真评审。经过评审、澄清、磋商、最后报价等程序后，从响应文件满足磋商文件全部实质性要求的供应商中，按照评审得分由高到低的顺序推荐3名以上成交候选供应商，并编写评审报告。</w:t>
      </w:r>
    </w:p>
    <w:p>
      <w:pPr>
        <w:spacing w:line="480" w:lineRule="exact"/>
        <w:rPr>
          <w:rFonts w:hint="eastAsia" w:ascii="宋体" w:hAnsi="宋体"/>
          <w:color w:val="auto"/>
          <w:sz w:val="24"/>
          <w:highlight w:val="none"/>
        </w:rPr>
      </w:pPr>
      <w:r>
        <w:rPr>
          <w:rFonts w:hint="eastAsia" w:ascii="宋体" w:hAnsi="宋体"/>
          <w:color w:val="auto"/>
          <w:sz w:val="24"/>
          <w:highlight w:val="none"/>
        </w:rPr>
        <w:t xml:space="preserve">    （2）</w:t>
      </w:r>
      <w:bookmarkStart w:id="128" w:name="OLE_LINK12"/>
      <w:r>
        <w:rPr>
          <w:rFonts w:hint="eastAsia" w:ascii="宋体" w:hAnsi="宋体"/>
          <w:color w:val="auto"/>
          <w:sz w:val="24"/>
          <w:highlight w:val="none"/>
        </w:rPr>
        <w:t>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bookmarkEnd w:id="128"/>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采购代理机构应当自评审结束之日起2个工作日内将评审报告送交采购人。采购人在收到评审报告5个工作日内，根据磋商小组提交的评审报告和推荐的成交候选供应商，按照排序由高到低的原则确定成交供应商。确定结果后，采购人向采购代理机构出具《定标复函》。采购人逾期未确定成交供应商且不提出异议的，视为确定评审报告推荐的排名第一的供应商为成交供应商。</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（4）采购代理机构接到采购人的《成交复函》后，在2个工作日内，将成交结果在陕西省政府采购网上发布公告。公告发布1个工作日，其他供应商若有异议，按《政府采购法》第52条执行。</w:t>
      </w:r>
    </w:p>
    <w:p>
      <w:pPr>
        <w:pStyle w:val="6"/>
        <w:ind w:firstLine="480" w:firstLineChars="200"/>
        <w:rPr>
          <w:rFonts w:hint="eastAsia" w:ascii="宋体" w:hAnsi="宋体" w:eastAsia="宋体" w:cs="Times New Roman"/>
          <w:b w:val="0"/>
          <w:bCs w:val="0"/>
          <w:color w:val="auto"/>
          <w:kern w:val="2"/>
          <w:sz w:val="24"/>
          <w:szCs w:val="21"/>
          <w:highlight w:val="none"/>
          <w:lang w:val="en-US" w:eastAsia="zh-CN" w:bidi="ar-SA"/>
        </w:rPr>
      </w:pPr>
      <w:r>
        <w:rPr>
          <w:rFonts w:hint="eastAsia" w:ascii="宋体" w:hAnsi="宋体" w:eastAsia="宋体" w:cs="Times New Roman"/>
          <w:b w:val="0"/>
          <w:bCs w:val="0"/>
          <w:color w:val="auto"/>
          <w:kern w:val="2"/>
          <w:sz w:val="24"/>
          <w:szCs w:val="21"/>
          <w:highlight w:val="none"/>
          <w:lang w:val="en-US" w:eastAsia="zh-CN" w:bidi="ar-SA"/>
        </w:rPr>
        <w:t>5.2成交供应商确定后，采购人和采购代理机构对未成交原因不作任何解释，竞争性磋商响应文件不予退还（含纸质及电子版文件）。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宋体" w:hAnsi="宋体" w:eastAsia="宋体" w:cs="宋体"/>
          <w:b/>
          <w:color w:val="auto"/>
          <w:sz w:val="24"/>
          <w:szCs w:val="24"/>
          <w:highlight w:val="none"/>
          <w:lang w:eastAsia="zh-CN"/>
        </w:rPr>
      </w:pPr>
      <w:bookmarkStart w:id="129" w:name="_Toc5080"/>
      <w:r>
        <w:rPr>
          <w:rFonts w:hint="eastAsia" w:ascii="宋体" w:hAnsi="宋体" w:eastAsia="宋体" w:cs="宋体"/>
          <w:b/>
          <w:color w:val="auto"/>
          <w:sz w:val="24"/>
          <w:szCs w:val="24"/>
          <w:highlight w:val="none"/>
          <w:lang w:eastAsia="zh-CN"/>
        </w:rPr>
        <w:t>四、评审标准</w:t>
      </w:r>
      <w:bookmarkEnd w:id="129"/>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资格性审查</w:t>
      </w:r>
      <w:r>
        <w:rPr>
          <w:rFonts w:hint="eastAsia" w:ascii="宋体" w:hAnsi="宋体" w:eastAsia="宋体" w:cs="宋体"/>
          <w:b w:val="0"/>
          <w:bCs w:val="0"/>
          <w:color w:val="auto"/>
          <w:sz w:val="24"/>
          <w:highlight w:val="none"/>
          <w:lang w:eastAsia="zh-CN"/>
        </w:rPr>
        <w:t>标准：见附件</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2符合性审查</w:t>
      </w:r>
      <w:r>
        <w:rPr>
          <w:rFonts w:hint="eastAsia" w:ascii="宋体" w:hAnsi="宋体" w:eastAsia="宋体" w:cs="宋体"/>
          <w:b w:val="0"/>
          <w:bCs w:val="0"/>
          <w:color w:val="auto"/>
          <w:sz w:val="24"/>
          <w:highlight w:val="none"/>
          <w:lang w:eastAsia="zh-CN"/>
        </w:rPr>
        <w:t>标准：见附件</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宋体" w:hAnsi="宋体" w:eastAsia="宋体" w:cs="宋体"/>
          <w:b/>
          <w:bCs/>
          <w:color w:val="auto"/>
          <w:spacing w:val="4"/>
          <w:sz w:val="24"/>
          <w:szCs w:val="24"/>
          <w:highlight w:val="none"/>
        </w:rPr>
      </w:pPr>
      <w:r>
        <w:rPr>
          <w:rFonts w:hint="eastAsia" w:ascii="宋体" w:hAnsi="宋体" w:eastAsia="宋体" w:cs="宋体"/>
          <w:b w:val="0"/>
          <w:bCs/>
          <w:color w:val="auto"/>
          <w:sz w:val="24"/>
          <w:szCs w:val="22"/>
          <w:highlight w:val="none"/>
          <w:lang w:val="en-US" w:eastAsia="zh-CN"/>
        </w:rPr>
        <w:t>2.1分值构成：见附件2评标因素及权重分值表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宋体" w:hAnsi="宋体" w:eastAsia="宋体" w:cs="宋体"/>
          <w:b/>
          <w:color w:val="auto"/>
          <w:sz w:val="24"/>
          <w:szCs w:val="24"/>
          <w:highlight w:val="none"/>
          <w:lang w:eastAsia="zh-CN"/>
        </w:rPr>
      </w:pPr>
      <w:bookmarkStart w:id="130" w:name="_Toc19827"/>
      <w:r>
        <w:rPr>
          <w:rFonts w:hint="eastAsia" w:ascii="宋体" w:hAnsi="宋体" w:eastAsia="宋体" w:cs="宋体"/>
          <w:b/>
          <w:color w:val="auto"/>
          <w:sz w:val="24"/>
          <w:szCs w:val="24"/>
          <w:highlight w:val="none"/>
          <w:lang w:eastAsia="zh-CN"/>
        </w:rPr>
        <w:t>五、磋商小组当履行下列义务</w:t>
      </w:r>
      <w:bookmarkEnd w:id="130"/>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宋体" w:hAnsi="宋体" w:eastAsia="宋体" w:cs="宋体"/>
          <w:b/>
          <w:bCs/>
          <w:color w:val="auto"/>
          <w:spacing w:val="4"/>
          <w:sz w:val="24"/>
          <w:szCs w:val="24"/>
          <w:highlight w:val="none"/>
          <w:lang w:val="en-US" w:eastAsia="zh-CN"/>
        </w:rPr>
      </w:pPr>
      <w:bookmarkStart w:id="131" w:name="_Toc11581"/>
      <w:r>
        <w:rPr>
          <w:rFonts w:hint="eastAsia" w:ascii="宋体" w:hAnsi="宋体" w:eastAsia="宋体" w:cs="宋体"/>
          <w:b/>
          <w:color w:val="auto"/>
          <w:sz w:val="24"/>
          <w:szCs w:val="24"/>
          <w:highlight w:val="none"/>
          <w:lang w:eastAsia="zh-CN"/>
        </w:rPr>
        <w:t>六、</w:t>
      </w:r>
      <w:r>
        <w:rPr>
          <w:rFonts w:hint="eastAsia" w:ascii="宋体" w:hAnsi="宋体" w:eastAsia="宋体" w:cs="宋体"/>
          <w:b/>
          <w:bCs/>
          <w:color w:val="auto"/>
          <w:spacing w:val="4"/>
          <w:sz w:val="24"/>
          <w:szCs w:val="24"/>
          <w:highlight w:val="none"/>
          <w:lang w:val="en-US" w:eastAsia="zh-CN"/>
        </w:rPr>
        <w:t>无效响应文件</w:t>
      </w:r>
      <w:bookmarkEnd w:id="1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出现下列情形之一的，磋商响应文件无效：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没有按照竞争性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文件要求提供的竞争性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响应文件构成有重大缺项、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响应文件格式不符合竞争性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w:t>
      </w:r>
    </w:p>
    <w:p>
      <w:pPr>
        <w:keepNext w:val="0"/>
        <w:keepLines w:val="0"/>
        <w:pageBreakBefore w:val="0"/>
        <w:widowControl w:val="0"/>
        <w:kinsoku w:val="0"/>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响应文件未按竞争性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供应商未按竞争性磋商文件要求提交磋商</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或保函的</w:t>
      </w:r>
      <w:r>
        <w:rPr>
          <w:rFonts w:hint="eastAsia" w:ascii="宋体" w:hAnsi="宋体" w:eastAsia="宋体" w:cs="宋体"/>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6"/>
          <w:sz w:val="24"/>
          <w:highlight w:val="none"/>
        </w:rPr>
        <w:t>无</w:t>
      </w:r>
      <w:r>
        <w:rPr>
          <w:rFonts w:hint="eastAsia" w:ascii="宋体" w:hAnsi="宋体" w:eastAsia="宋体" w:cs="宋体"/>
          <w:color w:val="auto"/>
          <w:spacing w:val="-6"/>
          <w:sz w:val="24"/>
          <w:highlight w:val="none"/>
          <w:lang w:eastAsia="zh-CN"/>
        </w:rPr>
        <w:t>磋商</w:t>
      </w:r>
      <w:r>
        <w:rPr>
          <w:rFonts w:hint="eastAsia" w:ascii="宋体" w:hAnsi="宋体" w:eastAsia="宋体" w:cs="宋体"/>
          <w:color w:val="auto"/>
          <w:spacing w:val="-6"/>
          <w:sz w:val="24"/>
          <w:highlight w:val="none"/>
        </w:rPr>
        <w:t>有效期或有效期达不到竞争性</w:t>
      </w:r>
      <w:r>
        <w:rPr>
          <w:rFonts w:hint="eastAsia" w:ascii="宋体" w:hAnsi="宋体" w:eastAsia="宋体" w:cs="宋体"/>
          <w:color w:val="auto"/>
          <w:spacing w:val="-6"/>
          <w:sz w:val="24"/>
          <w:highlight w:val="none"/>
          <w:lang w:eastAsia="zh-CN"/>
        </w:rPr>
        <w:t>磋商</w:t>
      </w:r>
      <w:r>
        <w:rPr>
          <w:rFonts w:hint="eastAsia" w:ascii="宋体" w:hAnsi="宋体" w:eastAsia="宋体" w:cs="宋体"/>
          <w:color w:val="auto"/>
          <w:spacing w:val="-6"/>
          <w:sz w:val="24"/>
          <w:highlight w:val="none"/>
        </w:rPr>
        <w:t>文件要求的</w:t>
      </w:r>
      <w:r>
        <w:rPr>
          <w:rFonts w:hint="eastAsia" w:ascii="宋体" w:hAnsi="宋体" w:eastAsia="宋体" w:cs="宋体"/>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有串通</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、以他人名义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、行贿、</w:t>
      </w:r>
      <w:r>
        <w:rPr>
          <w:rFonts w:hint="eastAsia" w:ascii="宋体" w:hAnsi="宋体" w:eastAsia="宋体" w:cs="宋体"/>
          <w:color w:val="auto"/>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文件公布的采购预算的。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文件含有采购人不能接受的附加条件的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color w:val="auto"/>
          <w:szCs w:val="24"/>
          <w:highlight w:val="none"/>
          <w:lang w:eastAsia="zh-CN"/>
        </w:rPr>
      </w:pPr>
      <w:r>
        <w:rPr>
          <w:rFonts w:hint="eastAsia" w:ascii="宋体" w:hAnsi="宋体" w:eastAsia="宋体" w:cs="宋体"/>
          <w:color w:val="auto"/>
          <w:sz w:val="24"/>
          <w:szCs w:val="24"/>
          <w:highlight w:val="none"/>
          <w:lang w:val="en-US" w:eastAsia="zh-CN"/>
        </w:rPr>
        <w:t>9、法律、法规规定的其他无效情形</w:t>
      </w:r>
      <w:r>
        <w:rPr>
          <w:rFonts w:hint="eastAsia" w:ascii="宋体" w:hAnsi="宋体" w:eastAsia="宋体" w:cs="宋体"/>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宋体" w:hAnsi="宋体" w:eastAsia="宋体" w:cs="宋体"/>
          <w:b/>
          <w:color w:val="auto"/>
          <w:sz w:val="24"/>
          <w:szCs w:val="24"/>
          <w:highlight w:val="none"/>
          <w:lang w:eastAsia="zh-CN"/>
        </w:rPr>
      </w:pPr>
      <w:bookmarkStart w:id="132" w:name="_Toc3132"/>
      <w:r>
        <w:rPr>
          <w:rFonts w:hint="eastAsia" w:ascii="宋体" w:hAnsi="宋体" w:eastAsia="宋体" w:cs="宋体"/>
          <w:b/>
          <w:color w:val="auto"/>
          <w:sz w:val="24"/>
          <w:szCs w:val="24"/>
          <w:highlight w:val="none"/>
          <w:lang w:eastAsia="zh-CN"/>
        </w:rPr>
        <w:t>七、政策性扣减</w:t>
      </w:r>
      <w:bookmarkEnd w:id="132"/>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条件的，其磋商报价价格评审时将按相应比例进行扣减。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2.1供应商为非联合体参与磋商的情况：</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报价的基础上，对小型企业，其评审价=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报价*（1-3%）；微型企业，其评审价=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报价*（1-4%）；监狱企业，其评审价=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 xml:space="preserve">报价*（1-8%）； </w:t>
      </w:r>
      <w:r>
        <w:rPr>
          <w:rFonts w:hint="eastAsia" w:ascii="宋体" w:hAnsi="宋体" w:cs="宋体"/>
          <w:color w:val="auto"/>
          <w:sz w:val="24"/>
          <w:szCs w:val="24"/>
          <w:highlight w:val="none"/>
        </w:rPr>
        <w:t>残疾人福利性单位</w:t>
      </w:r>
      <w:r>
        <w:rPr>
          <w:rFonts w:hint="eastAsia" w:ascii="宋体" w:hAnsi="宋体" w:cs="宋体"/>
          <w:color w:val="auto"/>
          <w:spacing w:val="4"/>
          <w:sz w:val="24"/>
          <w:szCs w:val="24"/>
          <w:highlight w:val="none"/>
        </w:rPr>
        <w:t>，其评审价=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 xml:space="preserve">报价*（1-8%）。    </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pacing w:val="4"/>
          <w:sz w:val="24"/>
          <w:szCs w:val="24"/>
          <w:highlight w:val="none"/>
        </w:rPr>
        <w:t>2.2</w:t>
      </w:r>
      <w:r>
        <w:rPr>
          <w:rFonts w:hint="eastAsia" w:ascii="宋体" w:hAnsi="宋体" w:cs="宋体"/>
          <w:color w:val="auto"/>
          <w:spacing w:val="4"/>
          <w:sz w:val="24"/>
          <w:szCs w:val="24"/>
          <w:highlight w:val="none"/>
          <w:lang w:val="en-US" w:eastAsia="zh-CN"/>
        </w:rPr>
        <w:t>供应商</w:t>
      </w:r>
      <w:r>
        <w:rPr>
          <w:rFonts w:hint="eastAsia" w:ascii="宋体" w:hAnsi="宋体" w:cs="宋体"/>
          <w:color w:val="auto"/>
          <w:spacing w:val="4"/>
          <w:sz w:val="24"/>
          <w:szCs w:val="24"/>
          <w:highlight w:val="none"/>
        </w:rPr>
        <w:t>为联合体参与</w:t>
      </w:r>
      <w:r>
        <w:rPr>
          <w:rFonts w:hint="eastAsia" w:ascii="宋体" w:hAnsi="宋体" w:cs="宋体"/>
          <w:color w:val="auto"/>
          <w:spacing w:val="4"/>
          <w:sz w:val="24"/>
          <w:szCs w:val="24"/>
          <w:highlight w:val="none"/>
          <w:lang w:val="en-US" w:eastAsia="zh-CN"/>
        </w:rPr>
        <w:t>磋商</w:t>
      </w:r>
      <w:r>
        <w:rPr>
          <w:rFonts w:hint="eastAsia" w:ascii="宋体" w:hAnsi="宋体" w:cs="宋体"/>
          <w:color w:val="auto"/>
          <w:spacing w:val="4"/>
          <w:sz w:val="24"/>
          <w:szCs w:val="24"/>
          <w:highlight w:val="none"/>
        </w:rPr>
        <w:t>，且联合协议中约定小型或微型企业的协议合同金额占到联合体协议合同总金额30％以上的，与小型企业联合的，                 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报价*（1-1%）；与微型企业联合的，其评审价=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报价*（1-2%）；与监狱企业联合的，其评审价=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报价*（1-3%）；与</w:t>
      </w:r>
      <w:r>
        <w:rPr>
          <w:rFonts w:hint="eastAsia" w:ascii="宋体" w:hAnsi="宋体" w:cs="宋体"/>
          <w:color w:val="auto"/>
          <w:sz w:val="24"/>
          <w:szCs w:val="24"/>
          <w:highlight w:val="none"/>
        </w:rPr>
        <w:t>残疾人福利性单位</w:t>
      </w:r>
      <w:r>
        <w:rPr>
          <w:rFonts w:hint="eastAsia" w:ascii="宋体" w:hAnsi="宋体" w:cs="宋体"/>
          <w:color w:val="auto"/>
          <w:spacing w:val="4"/>
          <w:sz w:val="24"/>
          <w:szCs w:val="24"/>
          <w:highlight w:val="none"/>
        </w:rPr>
        <w:t>联合的，其评审价=</w:t>
      </w:r>
      <w:r>
        <w:rPr>
          <w:rFonts w:hint="eastAsia" w:ascii="宋体" w:hAnsi="宋体" w:cs="宋体"/>
          <w:color w:val="auto"/>
          <w:spacing w:val="4"/>
          <w:sz w:val="24"/>
          <w:szCs w:val="24"/>
          <w:highlight w:val="none"/>
          <w:lang w:val="en-US" w:eastAsia="zh-CN"/>
        </w:rPr>
        <w:t>最终</w:t>
      </w:r>
      <w:r>
        <w:rPr>
          <w:rFonts w:hint="eastAsia" w:ascii="宋体" w:hAnsi="宋体" w:cs="宋体"/>
          <w:color w:val="auto"/>
          <w:spacing w:val="4"/>
          <w:sz w:val="24"/>
          <w:szCs w:val="24"/>
          <w:highlight w:val="none"/>
        </w:rPr>
        <w:t>报价*（1-3%）</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成交价格=成交供应商的有效磋商报价。</w:t>
      </w:r>
    </w:p>
    <w:p>
      <w:pPr>
        <w:keepNext w:val="0"/>
        <w:keepLines w:val="0"/>
        <w:pageBreakBefore w:val="0"/>
        <w:widowControl w:val="0"/>
        <w:kinsoku/>
        <w:wordWrap/>
        <w:overflowPunct/>
        <w:topLinePunct w:val="0"/>
        <w:autoSpaceDE/>
        <w:autoSpaceDN/>
        <w:bidi w:val="0"/>
        <w:adjustRightInd/>
        <w:snapToGrid/>
        <w:spacing w:after="120" w:afterLines="50" w:line="500" w:lineRule="exact"/>
        <w:ind w:left="0" w:leftChars="0" w:right="0" w:rightChars="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kern w:val="0"/>
          <w:sz w:val="24"/>
          <w:szCs w:val="24"/>
          <w:highlight w:val="none"/>
        </w:rPr>
        <w:t>推荐并确定成交候选人</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1、磋商结果报告由磋商小组全体成员签字确认。</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2、采购人根据磋商结果报告中推荐的成交候选人确定成交供应商，以复函通知采购代理机构。</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宋体" w:hAnsi="宋体" w:cs="宋体"/>
          <w:b/>
          <w:color w:val="auto"/>
          <w:sz w:val="24"/>
          <w:szCs w:val="24"/>
          <w:highlight w:val="none"/>
          <w:lang w:val="en-US" w:eastAsia="zh-CN"/>
        </w:rPr>
      </w:pPr>
      <w:bookmarkStart w:id="133" w:name="_Toc18325"/>
      <w:r>
        <w:rPr>
          <w:rFonts w:hint="eastAsia" w:ascii="宋体" w:hAnsi="宋体" w:cs="宋体"/>
          <w:b/>
          <w:color w:val="auto"/>
          <w:sz w:val="24"/>
          <w:szCs w:val="24"/>
          <w:highlight w:val="none"/>
          <w:lang w:val="en-US" w:eastAsia="zh-CN"/>
        </w:rPr>
        <w:t>九、特殊情况的处理</w:t>
      </w:r>
      <w:bookmarkEnd w:id="133"/>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2）磋商响应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对于竞争性磋商响应文件中明显的标点符号错误或不构成实质性偏差的不正规、不一致或不规则，采购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pStyle w:val="13"/>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96" w:firstLineChars="200"/>
        <w:jc w:val="left"/>
        <w:textAlignment w:val="auto"/>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cs="宋体"/>
          <w:b w:val="0"/>
          <w:bCs w:val="0"/>
          <w:color w:val="auto"/>
          <w:spacing w:val="4"/>
          <w:kern w:val="2"/>
          <w:sz w:val="24"/>
          <w:szCs w:val="24"/>
          <w:highlight w:val="none"/>
          <w:lang w:val="en-US" w:eastAsia="zh-CN" w:bidi="ar-SA"/>
        </w:rPr>
        <w:t>3</w:t>
      </w:r>
      <w:r>
        <w:rPr>
          <w:rFonts w:hint="eastAsia" w:ascii="宋体" w:hAnsi="宋体" w:eastAsia="宋体" w:cs="宋体"/>
          <w:b w:val="0"/>
          <w:bCs w:val="0"/>
          <w:color w:val="auto"/>
          <w:spacing w:val="4"/>
          <w:kern w:val="2"/>
          <w:sz w:val="24"/>
          <w:szCs w:val="24"/>
          <w:highlight w:val="none"/>
          <w:lang w:val="en-US" w:eastAsia="zh-CN" w:bidi="ar-SA"/>
        </w:rPr>
        <w:t>、磋商过程中，若出现本评审方法以外的特殊情况时，将暂停评审，待磋商小组商榷后，再进行评定。</w:t>
      </w:r>
    </w:p>
    <w:p>
      <w:pPr>
        <w:pStyle w:val="13"/>
        <w:rPr>
          <w:rFonts w:hint="eastAsia" w:ascii="宋体" w:hAnsi="宋体" w:eastAsia="宋体" w:cs="宋体"/>
          <w:b w:val="0"/>
          <w:bCs w:val="0"/>
          <w:color w:val="auto"/>
          <w:spacing w:val="4"/>
          <w:kern w:val="2"/>
          <w:sz w:val="24"/>
          <w:szCs w:val="24"/>
          <w:highlight w:val="none"/>
          <w:lang w:val="en-US" w:eastAsia="zh-CN" w:bidi="ar-SA"/>
        </w:rPr>
      </w:pPr>
    </w:p>
    <w:p>
      <w:pPr>
        <w:pStyle w:val="13"/>
        <w:keepNext w:val="0"/>
        <w:keepLines w:val="0"/>
        <w:pageBreakBefore w:val="0"/>
        <w:widowControl w:val="0"/>
        <w:numPr>
          <w:ilvl w:val="0"/>
          <w:numId w:val="0"/>
        </w:numPr>
        <w:kinsoku/>
        <w:wordWrap/>
        <w:overflowPunct/>
        <w:topLinePunct w:val="0"/>
        <w:autoSpaceDE/>
        <w:autoSpaceDN/>
        <w:bidi w:val="0"/>
        <w:spacing w:line="480" w:lineRule="exact"/>
        <w:textAlignment w:val="auto"/>
        <w:outlineLvl w:val="9"/>
        <w:rPr>
          <w:rFonts w:hint="eastAsia" w:ascii="宋体" w:hAnsi="宋体" w:eastAsia="宋体" w:cs="宋体"/>
          <w:color w:val="auto"/>
          <w:highlight w:val="none"/>
        </w:rPr>
      </w:pPr>
    </w:p>
    <w:p>
      <w:pPr>
        <w:pStyle w:val="13"/>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color w:val="auto"/>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6"/>
        <w:rPr>
          <w:rFonts w:hint="eastAsia" w:ascii="宋体" w:hAnsi="宋体" w:eastAsia="宋体" w:cs="宋体"/>
          <w:b/>
          <w:bCs/>
          <w:color w:val="auto"/>
          <w:spacing w:val="4"/>
          <w:sz w:val="24"/>
          <w:szCs w:val="24"/>
          <w:highlight w:val="none"/>
        </w:rPr>
      </w:pPr>
    </w:p>
    <w:p>
      <w:pPr>
        <w:rPr>
          <w:rFonts w:hint="eastAsia" w:ascii="宋体" w:hAnsi="宋体" w:eastAsia="宋体" w:cs="宋体"/>
          <w:b/>
          <w:bCs/>
          <w:color w:val="auto"/>
          <w:spacing w:val="4"/>
          <w:sz w:val="24"/>
          <w:szCs w:val="24"/>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color w:val="auto"/>
          <w:sz w:val="28"/>
          <w:szCs w:val="28"/>
          <w:highlight w:val="none"/>
          <w:lang w:val="en-US" w:eastAsia="zh-CN"/>
        </w:rPr>
      </w:pPr>
      <w:bookmarkStart w:id="134" w:name="_Toc21049"/>
      <w:r>
        <w:rPr>
          <w:rFonts w:hint="eastAsia"/>
          <w:color w:val="auto"/>
          <w:sz w:val="28"/>
          <w:szCs w:val="28"/>
          <w:highlight w:val="none"/>
          <w:lang w:eastAsia="zh-CN"/>
        </w:rPr>
        <w:t>附件</w:t>
      </w:r>
      <w:r>
        <w:rPr>
          <w:rFonts w:hint="eastAsia"/>
          <w:color w:val="auto"/>
          <w:sz w:val="28"/>
          <w:szCs w:val="28"/>
          <w:highlight w:val="none"/>
          <w:lang w:val="en-US" w:eastAsia="zh-CN"/>
        </w:rPr>
        <w:t>1</w:t>
      </w:r>
      <w:bookmarkEnd w:id="134"/>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color w:val="auto"/>
          <w:sz w:val="28"/>
          <w:szCs w:val="28"/>
          <w:highlight w:val="none"/>
          <w:lang w:eastAsia="zh-CN"/>
        </w:rPr>
      </w:pPr>
      <w:bookmarkStart w:id="135" w:name="_Toc27441"/>
      <w:r>
        <w:rPr>
          <w:rFonts w:hint="eastAsia"/>
          <w:color w:val="auto"/>
          <w:sz w:val="28"/>
          <w:szCs w:val="28"/>
          <w:highlight w:val="none"/>
          <w:lang w:eastAsia="zh-CN"/>
        </w:rPr>
        <w:t>初步审查要素表</w:t>
      </w:r>
      <w:bookmarkEnd w:id="135"/>
    </w:p>
    <w:p>
      <w:pPr>
        <w:rPr>
          <w:rFonts w:hint="eastAsia" w:ascii="宋体" w:hAnsi="宋体" w:eastAsia="宋体" w:cs="宋体"/>
          <w:b/>
          <w:bCs/>
          <w:color w:val="auto"/>
          <w:sz w:val="24"/>
          <w:szCs w:val="24"/>
          <w:highlight w:val="none"/>
          <w:lang w:eastAsia="zh-CN"/>
        </w:rPr>
      </w:pPr>
    </w:p>
    <w:tbl>
      <w:tblPr>
        <w:tblStyle w:val="3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69"/>
        <w:gridCol w:w="533"/>
        <w:gridCol w:w="165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288" w:type="dxa"/>
            <w:gridSpan w:val="2"/>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条款号</w:t>
            </w:r>
          </w:p>
        </w:tc>
        <w:tc>
          <w:tcPr>
            <w:tcW w:w="2183" w:type="dxa"/>
            <w:gridSpan w:val="2"/>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评审因素</w:t>
            </w:r>
          </w:p>
        </w:tc>
        <w:tc>
          <w:tcPr>
            <w:tcW w:w="5528" w:type="dxa"/>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19"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569"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2183" w:type="dxa"/>
            <w:gridSpan w:val="2"/>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5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 w:leftChars="2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 w:leftChars="20" w:firstLine="0" w:firstLineChars="0"/>
              <w:textAlignment w:val="auto"/>
              <w:outlineLvl w:val="9"/>
              <w:rPr>
                <w:rFonts w:hint="eastAsia" w:ascii="宋体" w:hAnsi="宋体" w:eastAsia="宋体" w:cs="宋体"/>
                <w:b w:val="0"/>
                <w:bCs/>
                <w:color w:val="auto"/>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提供2020年以来任意一年度经审计的财务审计报告（成立时间至提交磋商响应文件截止时间不足一年的可提供成立后任意时段的资产负债表）或其基本存款账户开户银行出具的近三个月内的资信证明及基本存款账户信息（或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firstLine="91" w:firstLineChars="38"/>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提供具有履行合同所必需的设备和专业技术能力的承诺；（格式自拟）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firstLine="91" w:firstLineChars="38"/>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提供磋商截止日前一年内已缴纳的至少三个月的纳税证明或完税证明，依法免税的单位应提供相关证明材料；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firstLine="91" w:firstLineChars="38"/>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保障资金缴纳证明：提供2022年至少一个月已缴纳的社会保障资金的证明（社会保障资金缴存单据或社保机构开具的社会保险参保缴费情况证明等）；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 w:leftChars="20" w:firstLine="0" w:firstLineChars="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参加政府采购活动前3年内，在经营活动中没有重大违法记录的书面声明</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5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供应商须具备合法有效的建设行政主管部门颁发的公路工程施工总承包三级及以上资质或市政公用工程施工总承包三级及以上资质，具有有效的安全生产许可证；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）拟派项目经理须具有公路工程专业二级及以上注册建造师资格或市政公用工程工程二级以上（含二级）注册建造师资格及其本人有效的安全生产考核合格证，且无在建项目（提供承诺书）；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2183" w:type="dxa"/>
            <w:gridSpan w:val="2"/>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）磋商保证金缴纳凭证或担保机构出具的保函。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999" w:type="dxa"/>
            <w:gridSpan w:val="5"/>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注：以上为必备资格条件，缺一项或某项达不到要求，按无效文件处理。资格审查时以磋商响应文件中所附证明材料（信用中国和中国政府采购网信用记录可不提供，由代理机构查询并留存）为准。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19" w:type="dxa"/>
            <w:vMerge w:val="restart"/>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569"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33"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650"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的签署盖章</w:t>
            </w:r>
          </w:p>
        </w:tc>
        <w:tc>
          <w:tcPr>
            <w:tcW w:w="552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上</w:t>
            </w:r>
            <w:r>
              <w:rPr>
                <w:rFonts w:hint="eastAsia" w:ascii="宋体" w:hAnsi="宋体" w:eastAsia="宋体" w:cs="宋体"/>
                <w:b w:val="0"/>
                <w:bCs/>
                <w:color w:val="auto"/>
                <w:sz w:val="24"/>
                <w:szCs w:val="24"/>
                <w:highlight w:val="none"/>
                <w:lang w:eastAsia="zh-CN"/>
              </w:rPr>
              <w:t>法定代表人</w:t>
            </w:r>
            <w:r>
              <w:rPr>
                <w:rFonts w:hint="eastAsia" w:ascii="宋体" w:hAnsi="宋体" w:eastAsia="宋体" w:cs="宋体"/>
                <w:b w:val="0"/>
                <w:bCs/>
                <w:color w:val="auto"/>
                <w:sz w:val="24"/>
                <w:szCs w:val="24"/>
                <w:highlight w:val="none"/>
              </w:rPr>
              <w:t>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格式</w:t>
            </w:r>
          </w:p>
        </w:tc>
        <w:tc>
          <w:tcPr>
            <w:tcW w:w="552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552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只能有一个有效报价，不得提交选择性报价，按要求提交二次或多次报价，且每轮报价不超过采购预算金额或最高限价。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19"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33"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650"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份数</w:t>
            </w:r>
          </w:p>
        </w:tc>
        <w:tc>
          <w:tcPr>
            <w:tcW w:w="552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内容</w:t>
            </w:r>
          </w:p>
        </w:tc>
        <w:tc>
          <w:tcPr>
            <w:tcW w:w="552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内容</w:t>
            </w:r>
            <w:r>
              <w:rPr>
                <w:rFonts w:hint="eastAsia" w:ascii="宋体" w:hAnsi="宋体" w:eastAsia="宋体" w:cs="宋体"/>
                <w:b w:val="0"/>
                <w:bCs/>
                <w:color w:val="auto"/>
                <w:sz w:val="24"/>
                <w:szCs w:val="24"/>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19"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69" w:type="dxa"/>
            <w:vMerge w:val="continue"/>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33" w:type="dxa"/>
            <w:vMerge w:val="restart"/>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650"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响应程度</w:t>
            </w:r>
          </w:p>
        </w:tc>
        <w:tc>
          <w:tcPr>
            <w:tcW w:w="5528"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工</w:t>
            </w:r>
            <w:r>
              <w:rPr>
                <w:rFonts w:hint="eastAsia" w:ascii="宋体" w:hAnsi="宋体" w:eastAsia="宋体" w:cs="宋体"/>
                <w:b w:val="0"/>
                <w:bCs/>
                <w:color w:val="auto"/>
                <w:sz w:val="24"/>
                <w:szCs w:val="24"/>
                <w:highlight w:val="none"/>
              </w:rPr>
              <w:t>期</w:t>
            </w:r>
          </w:p>
        </w:tc>
        <w:tc>
          <w:tcPr>
            <w:tcW w:w="5528"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工</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施工</w:t>
            </w:r>
            <w:r>
              <w:rPr>
                <w:rFonts w:hint="eastAsia" w:ascii="宋体" w:hAnsi="宋体" w:eastAsia="宋体" w:cs="宋体"/>
                <w:b w:val="0"/>
                <w:bCs/>
                <w:color w:val="auto"/>
                <w:sz w:val="24"/>
                <w:szCs w:val="24"/>
                <w:highlight w:val="none"/>
              </w:rPr>
              <w:t>地点</w:t>
            </w:r>
          </w:p>
        </w:tc>
        <w:tc>
          <w:tcPr>
            <w:tcW w:w="5528"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施工</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9"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650" w:type="dxa"/>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w:t>
            </w:r>
          </w:p>
        </w:tc>
        <w:tc>
          <w:tcPr>
            <w:tcW w:w="5528" w:type="dxa"/>
            <w:vAlign w:val="center"/>
          </w:tcPr>
          <w:p>
            <w:pPr>
              <w:tabs>
                <w:tab w:val="left" w:pos="0"/>
              </w:tabs>
              <w:adjustRightInd w:val="0"/>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中的规定</w:t>
            </w:r>
          </w:p>
        </w:tc>
      </w:tr>
    </w:tbl>
    <w:p>
      <w:pPr>
        <w:pStyle w:val="13"/>
        <w:rPr>
          <w:rFonts w:hint="eastAsia" w:ascii="宋体" w:hAnsi="宋体" w:eastAsia="宋体" w:cs="宋体"/>
          <w:b/>
          <w:bCs/>
          <w:color w:val="auto"/>
          <w:sz w:val="24"/>
          <w:szCs w:val="24"/>
          <w:highlight w:val="none"/>
          <w:lang w:eastAsia="zh-CN"/>
        </w:rPr>
      </w:pPr>
    </w:p>
    <w:p>
      <w:pPr>
        <w:rPr>
          <w:rFonts w:hint="eastAsia"/>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color w:val="auto"/>
          <w:sz w:val="28"/>
          <w:szCs w:val="28"/>
          <w:highlight w:val="none"/>
          <w:lang w:val="en-US" w:eastAsia="zh-CN"/>
        </w:rPr>
      </w:pPr>
      <w:bookmarkStart w:id="136" w:name="_Toc26833"/>
      <w:r>
        <w:rPr>
          <w:rFonts w:hint="eastAsia"/>
          <w:color w:val="auto"/>
          <w:sz w:val="28"/>
          <w:szCs w:val="28"/>
          <w:highlight w:val="none"/>
          <w:lang w:eastAsia="zh-CN"/>
        </w:rPr>
        <w:t>附件</w:t>
      </w:r>
      <w:r>
        <w:rPr>
          <w:rFonts w:hint="eastAsia"/>
          <w:color w:val="auto"/>
          <w:sz w:val="28"/>
          <w:szCs w:val="28"/>
          <w:highlight w:val="none"/>
          <w:lang w:val="en-US" w:eastAsia="zh-CN"/>
        </w:rPr>
        <w:t>2</w:t>
      </w:r>
      <w:bookmarkEnd w:id="136"/>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color w:val="auto"/>
          <w:sz w:val="28"/>
          <w:szCs w:val="28"/>
          <w:highlight w:val="none"/>
          <w:lang w:eastAsia="zh-CN"/>
        </w:rPr>
      </w:pPr>
      <w:bookmarkStart w:id="137" w:name="_Toc31946"/>
      <w:r>
        <w:rPr>
          <w:rFonts w:hint="eastAsia"/>
          <w:color w:val="auto"/>
          <w:sz w:val="28"/>
          <w:szCs w:val="28"/>
          <w:highlight w:val="none"/>
          <w:lang w:eastAsia="zh-CN"/>
        </w:rPr>
        <w:t>评标因素及权重分值表</w:t>
      </w:r>
      <w:bookmarkEnd w:id="137"/>
    </w:p>
    <w:tbl>
      <w:tblPr>
        <w:tblStyle w:val="3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80"/>
        <w:gridCol w:w="2460"/>
        <w:gridCol w:w="5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8"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w:t>
            </w:r>
          </w:p>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780"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bCs/>
                <w:color w:val="auto"/>
                <w:sz w:val="24"/>
                <w:szCs w:val="24"/>
                <w:highlight w:val="none"/>
              </w:rPr>
              <w:t>分值</w:t>
            </w:r>
          </w:p>
        </w:tc>
        <w:tc>
          <w:tcPr>
            <w:tcW w:w="7621" w:type="dxa"/>
            <w:gridSpan w:val="2"/>
            <w:vAlign w:val="center"/>
          </w:tcPr>
          <w:p>
            <w:pPr>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评标因素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restart"/>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技术标</w:t>
            </w:r>
          </w:p>
        </w:tc>
        <w:tc>
          <w:tcPr>
            <w:tcW w:w="780" w:type="dxa"/>
            <w:vMerge w:val="restart"/>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分</w:t>
            </w: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方案（</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c>
        <w:tc>
          <w:tcPr>
            <w:tcW w:w="516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①内容具体、完整、详细、</w:t>
            </w:r>
            <w:r>
              <w:rPr>
                <w:rFonts w:hint="eastAsia" w:ascii="宋体" w:hAnsi="宋体" w:eastAsia="宋体" w:cs="宋体"/>
                <w:color w:val="auto"/>
                <w:sz w:val="24"/>
                <w:highlight w:val="none"/>
                <w:lang w:val="en-US" w:eastAsia="zh-CN"/>
              </w:rPr>
              <w:t>合理、可行</w:t>
            </w:r>
            <w:r>
              <w:rPr>
                <w:rFonts w:hint="eastAsia" w:ascii="宋体" w:hAnsi="宋体" w:eastAsia="宋体" w:cs="宋体"/>
                <w:color w:val="auto"/>
                <w:sz w:val="24"/>
                <w:highlight w:val="none"/>
              </w:rPr>
              <w:t>的计</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内容稍有欠缺、较薄弱计7-4</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lang w:val="en-US" w:eastAsia="zh-CN"/>
              </w:rPr>
              <w:t>；</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eastAsia="宋体" w:cs="宋体"/>
                <w:color w:val="auto"/>
                <w:sz w:val="24"/>
                <w:highlight w:val="none"/>
                <w:lang w:val="en-US" w:eastAsia="zh-CN"/>
              </w:rPr>
              <w:t>内容严重</w:t>
            </w:r>
            <w:r>
              <w:rPr>
                <w:rFonts w:hint="eastAsia" w:ascii="宋体" w:hAnsi="宋体" w:eastAsia="宋体" w:cs="宋体"/>
                <w:color w:val="auto"/>
                <w:sz w:val="24"/>
                <w:highlight w:val="none"/>
              </w:rPr>
              <w:t>欠缺、薄弱的计</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-1分；</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④未提供</w:t>
            </w:r>
            <w:r>
              <w:rPr>
                <w:rFonts w:hint="eastAsia" w:ascii="宋体" w:hAnsi="宋体" w:eastAsia="宋体" w:cs="宋体"/>
                <w:color w:val="auto"/>
                <w:sz w:val="24"/>
                <w:highlight w:val="none"/>
                <w:lang w:val="en-US" w:eastAsia="zh-CN"/>
              </w:rPr>
              <w:t>施工方案</w:t>
            </w:r>
            <w:r>
              <w:rPr>
                <w:rFonts w:hint="eastAsia" w:ascii="宋体" w:hAnsi="宋体" w:eastAsia="宋体" w:cs="宋体"/>
                <w:color w:val="auto"/>
                <w:sz w:val="24"/>
                <w:highlight w:val="none"/>
              </w:rPr>
              <w:t>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cs="宋体"/>
                <w:color w:val="auto"/>
                <w:sz w:val="24"/>
                <w:szCs w:val="24"/>
                <w:highlight w:val="none"/>
              </w:rPr>
            </w:pPr>
            <w:r>
              <w:rPr>
                <w:rFonts w:hint="eastAsia" w:ascii="宋体" w:hAnsi="宋体" w:eastAsia="宋体" w:cs="宋体"/>
                <w:color w:val="auto"/>
                <w:sz w:val="24"/>
                <w:highlight w:val="none"/>
              </w:rPr>
              <w:t>确保工程质量的技术组织措施（5分）</w:t>
            </w:r>
          </w:p>
        </w:tc>
        <w:tc>
          <w:tcPr>
            <w:tcW w:w="516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①内容完整、详细、</w:t>
            </w:r>
            <w:r>
              <w:rPr>
                <w:rFonts w:hint="eastAsia" w:ascii="宋体" w:hAnsi="宋体" w:cs="宋体"/>
                <w:color w:val="auto"/>
                <w:sz w:val="24"/>
                <w:highlight w:val="none"/>
                <w:lang w:val="en-US" w:eastAsia="zh-CN"/>
              </w:rPr>
              <w:t>科学、</w:t>
            </w:r>
            <w:r>
              <w:rPr>
                <w:rFonts w:hint="eastAsia" w:ascii="宋体" w:hAnsi="宋体" w:eastAsia="宋体" w:cs="宋体"/>
                <w:color w:val="auto"/>
                <w:sz w:val="24"/>
                <w:highlight w:val="none"/>
                <w:lang w:val="en-US" w:eastAsia="zh-CN"/>
              </w:rPr>
              <w:t>合理、可行</w:t>
            </w:r>
            <w:r>
              <w:rPr>
                <w:rFonts w:hint="eastAsia" w:ascii="宋体" w:hAnsi="宋体" w:eastAsia="宋体" w:cs="宋体"/>
                <w:color w:val="auto"/>
                <w:sz w:val="24"/>
                <w:highlight w:val="none"/>
              </w:rPr>
              <w:t>的计</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确保安全生产的技术组织措施（5分）</w:t>
            </w:r>
          </w:p>
        </w:tc>
        <w:tc>
          <w:tcPr>
            <w:tcW w:w="516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①内容完整、详细、</w:t>
            </w:r>
            <w:r>
              <w:rPr>
                <w:rFonts w:hint="eastAsia" w:ascii="宋体" w:hAnsi="宋体" w:cs="宋体"/>
                <w:color w:val="auto"/>
                <w:sz w:val="24"/>
                <w:highlight w:val="none"/>
                <w:lang w:val="en-US" w:eastAsia="zh-CN"/>
              </w:rPr>
              <w:t>科学、</w:t>
            </w:r>
            <w:r>
              <w:rPr>
                <w:rFonts w:hint="eastAsia" w:ascii="宋体" w:hAnsi="宋体" w:eastAsia="宋体" w:cs="宋体"/>
                <w:color w:val="auto"/>
                <w:sz w:val="24"/>
                <w:highlight w:val="none"/>
                <w:lang w:val="en-US" w:eastAsia="zh-CN"/>
              </w:rPr>
              <w:t>合理、可行</w:t>
            </w:r>
            <w:r>
              <w:rPr>
                <w:rFonts w:hint="eastAsia" w:ascii="宋体" w:hAnsi="宋体" w:eastAsia="宋体" w:cs="宋体"/>
                <w:color w:val="auto"/>
                <w:sz w:val="24"/>
                <w:highlight w:val="none"/>
              </w:rPr>
              <w:t>的计</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确保文明施工的技术组织措施及环境保护措施（</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516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①内容</w:t>
            </w:r>
            <w:r>
              <w:rPr>
                <w:rFonts w:hint="eastAsia" w:ascii="宋体" w:hAnsi="宋体" w:cs="宋体"/>
                <w:color w:val="auto"/>
                <w:sz w:val="24"/>
                <w:highlight w:val="none"/>
                <w:lang w:val="en-US" w:eastAsia="zh-CN"/>
              </w:rPr>
              <w:t>丰富</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科学、</w:t>
            </w:r>
            <w:r>
              <w:rPr>
                <w:rFonts w:hint="eastAsia" w:ascii="宋体" w:hAnsi="宋体" w:eastAsia="宋体" w:cs="宋体"/>
                <w:color w:val="auto"/>
                <w:sz w:val="24"/>
                <w:highlight w:val="none"/>
                <w:lang w:val="en-US" w:eastAsia="zh-CN"/>
              </w:rPr>
              <w:t>合理、</w:t>
            </w:r>
            <w:r>
              <w:rPr>
                <w:rFonts w:hint="eastAsia" w:ascii="宋体" w:hAnsi="宋体" w:cs="宋体"/>
                <w:color w:val="auto"/>
                <w:sz w:val="24"/>
                <w:highlight w:val="none"/>
                <w:lang w:val="en-US" w:eastAsia="zh-CN"/>
              </w:rPr>
              <w:t>有针对性，能达到文明施工、</w:t>
            </w:r>
            <w:r>
              <w:rPr>
                <w:rFonts w:hint="eastAsia" w:ascii="宋体" w:hAnsi="宋体" w:eastAsia="宋体" w:cs="宋体"/>
                <w:color w:val="auto"/>
                <w:sz w:val="24"/>
                <w:highlight w:val="none"/>
              </w:rPr>
              <w:t>保护环境的目的计</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确保工期的技术组织措施（</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516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①内容</w:t>
            </w:r>
            <w:r>
              <w:rPr>
                <w:rFonts w:hint="eastAsia" w:ascii="宋体" w:hAnsi="宋体" w:cs="宋体"/>
                <w:color w:val="auto"/>
                <w:sz w:val="24"/>
                <w:highlight w:val="none"/>
                <w:lang w:val="en-US" w:eastAsia="zh-CN"/>
              </w:rPr>
              <w:t>科学、</w:t>
            </w:r>
            <w:r>
              <w:rPr>
                <w:rFonts w:hint="eastAsia" w:ascii="宋体" w:hAnsi="宋体" w:eastAsia="宋体" w:cs="宋体"/>
                <w:color w:val="auto"/>
                <w:sz w:val="24"/>
                <w:highlight w:val="none"/>
                <w:lang w:val="en-US" w:eastAsia="zh-CN"/>
              </w:rPr>
              <w:t>合理、</w:t>
            </w:r>
            <w:r>
              <w:rPr>
                <w:rFonts w:hint="eastAsia" w:ascii="宋体" w:hAnsi="宋体" w:cs="宋体"/>
                <w:color w:val="auto"/>
                <w:sz w:val="24"/>
                <w:highlight w:val="none"/>
                <w:lang w:val="en-US" w:eastAsia="zh-CN"/>
              </w:rPr>
              <w:t>有针对性，</w:t>
            </w:r>
            <w:r>
              <w:rPr>
                <w:rFonts w:hint="eastAsia" w:ascii="宋体" w:hAnsi="宋体" w:eastAsia="宋体" w:cs="宋体"/>
                <w:color w:val="auto"/>
                <w:sz w:val="24"/>
                <w:highlight w:val="none"/>
              </w:rPr>
              <w:t>能保证施工按时完成</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计</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项目实施计划</w:t>
            </w:r>
            <w:r>
              <w:rPr>
                <w:rFonts w:hint="eastAsia" w:ascii="宋体" w:hAnsi="宋体" w:eastAsia="宋体" w:cs="宋体"/>
                <w:color w:val="auto"/>
                <w:sz w:val="24"/>
                <w:highlight w:val="none"/>
              </w:rPr>
              <w:t>和项目经理部组成人员（</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分）</w:t>
            </w:r>
          </w:p>
        </w:tc>
        <w:tc>
          <w:tcPr>
            <w:tcW w:w="5161" w:type="dxa"/>
            <w:vAlign w:val="center"/>
          </w:tcPr>
          <w:p>
            <w:pP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计划</w:t>
            </w:r>
            <w:r>
              <w:rPr>
                <w:rFonts w:hint="eastAsia" w:ascii="宋体" w:hAnsi="宋体" w:eastAsia="宋体" w:cs="宋体"/>
                <w:color w:val="auto"/>
                <w:sz w:val="24"/>
                <w:highlight w:val="none"/>
              </w:rPr>
              <w:t>完整、科学、可行，项目经理部组成人员搭配合理、齐全，</w:t>
            </w:r>
            <w:r>
              <w:rPr>
                <w:rFonts w:hint="eastAsia" w:ascii="宋体" w:hAnsi="宋体" w:cs="宋体"/>
                <w:color w:val="auto"/>
                <w:sz w:val="24"/>
                <w:highlight w:val="none"/>
                <w:lang w:val="en-US" w:eastAsia="zh-CN"/>
              </w:rPr>
              <w:t>计7-4分；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施工机械配备和材料投入计划（</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5161" w:type="dxa"/>
            <w:vAlign w:val="center"/>
          </w:tcPr>
          <w:p>
            <w:pP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计划</w:t>
            </w:r>
            <w:r>
              <w:rPr>
                <w:rFonts w:hint="eastAsia" w:ascii="宋体" w:hAnsi="宋体" w:eastAsia="宋体" w:cs="宋体"/>
                <w:color w:val="auto"/>
                <w:sz w:val="24"/>
                <w:highlight w:val="none"/>
              </w:rPr>
              <w:t>科学、</w:t>
            </w:r>
            <w:r>
              <w:rPr>
                <w:rFonts w:hint="eastAsia" w:ascii="宋体" w:hAnsi="宋体" w:cs="宋体"/>
                <w:color w:val="auto"/>
                <w:sz w:val="24"/>
                <w:highlight w:val="none"/>
                <w:lang w:val="en-US" w:eastAsia="zh-CN"/>
              </w:rPr>
              <w:t>合理、</w:t>
            </w:r>
            <w:r>
              <w:rPr>
                <w:rFonts w:hint="eastAsia" w:ascii="宋体" w:hAnsi="宋体" w:eastAsia="宋体" w:cs="宋体"/>
                <w:color w:val="auto"/>
                <w:sz w:val="24"/>
                <w:highlight w:val="none"/>
              </w:rPr>
              <w:t>可行，能确保施工正常进行</w:t>
            </w:r>
            <w:r>
              <w:rPr>
                <w:rFonts w:hint="eastAsia" w:ascii="宋体" w:hAnsi="宋体" w:cs="宋体"/>
                <w:color w:val="auto"/>
                <w:sz w:val="24"/>
                <w:highlight w:val="none"/>
                <w:lang w:val="en-US" w:eastAsia="zh-CN"/>
              </w:rPr>
              <w:t>的计5-3分；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施工进度表或施工网络图（</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5161" w:type="dxa"/>
            <w:vAlign w:val="center"/>
          </w:tcPr>
          <w:p>
            <w:pP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安排</w:t>
            </w:r>
            <w:r>
              <w:rPr>
                <w:rFonts w:hint="eastAsia" w:ascii="宋体" w:hAnsi="宋体" w:eastAsia="宋体" w:cs="宋体"/>
                <w:color w:val="auto"/>
                <w:sz w:val="24"/>
                <w:highlight w:val="none"/>
              </w:rPr>
              <w:t>科学、</w:t>
            </w:r>
            <w:r>
              <w:rPr>
                <w:rFonts w:hint="eastAsia" w:ascii="宋体" w:hAnsi="宋体" w:cs="宋体"/>
                <w:color w:val="auto"/>
                <w:sz w:val="24"/>
                <w:highlight w:val="none"/>
                <w:lang w:val="en-US" w:eastAsia="zh-CN"/>
              </w:rPr>
              <w:t>合理、</w:t>
            </w:r>
            <w:r>
              <w:rPr>
                <w:rFonts w:hint="eastAsia" w:ascii="宋体" w:hAnsi="宋体" w:eastAsia="宋体" w:cs="宋体"/>
                <w:color w:val="auto"/>
                <w:sz w:val="24"/>
                <w:highlight w:val="none"/>
              </w:rPr>
              <w:t>可行，能确保施工正常进行</w:t>
            </w:r>
            <w:r>
              <w:rPr>
                <w:rFonts w:hint="eastAsia" w:ascii="宋体" w:hAnsi="宋体" w:cs="宋体"/>
                <w:color w:val="auto"/>
                <w:sz w:val="24"/>
                <w:highlight w:val="none"/>
                <w:lang w:val="en-US" w:eastAsia="zh-CN"/>
              </w:rPr>
              <w:t>的计5-3分；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1分</w:t>
            </w:r>
            <w:r>
              <w:rPr>
                <w:rFonts w:hint="eastAsia" w:ascii="宋体" w:hAnsi="宋体" w:eastAsia="宋体" w:cs="宋体"/>
                <w:color w:val="auto"/>
                <w:sz w:val="24"/>
                <w:highlight w:val="none"/>
                <w:lang w:val="en-US" w:eastAsia="zh-CN"/>
              </w:rPr>
              <w:t>；</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③未提供不计分</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劳动力安排计划及劳务分包情况表（</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5161" w:type="dxa"/>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val="en-US" w:eastAsia="zh-CN"/>
              </w:rPr>
              <w:t>能</w:t>
            </w:r>
            <w:r>
              <w:rPr>
                <w:rFonts w:hint="eastAsia" w:ascii="宋体" w:hAnsi="宋体" w:eastAsia="宋体" w:cs="宋体"/>
                <w:color w:val="auto"/>
                <w:sz w:val="24"/>
                <w:highlight w:val="none"/>
              </w:rPr>
              <w:t>明确劳动力安排计划表及劳务分包情况表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计5-3分；</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内容欠缺、薄弱计3-1分；</w:t>
            </w:r>
          </w:p>
          <w:p>
            <w:pPr>
              <w:rPr>
                <w:rFonts w:hint="default"/>
                <w:lang w:val="en-US" w:eastAsia="zh-CN"/>
              </w:rPr>
            </w:pPr>
            <w:r>
              <w:rPr>
                <w:rFonts w:hint="eastAsia" w:ascii="宋体" w:hAnsi="宋体" w:eastAsia="宋体" w:cs="宋体"/>
                <w:color w:val="auto"/>
                <w:sz w:val="24"/>
                <w:highlight w:val="none"/>
              </w:rPr>
              <w:t>③未提供不计分</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18" w:type="dxa"/>
            <w:vMerge w:val="continue"/>
            <w:vAlign w:val="center"/>
          </w:tcPr>
          <w:p>
            <w:pPr>
              <w:spacing w:line="400" w:lineRule="exact"/>
              <w:jc w:val="center"/>
              <w:rPr>
                <w:rFonts w:hint="eastAsia" w:ascii="宋体" w:hAnsi="宋体" w:cs="宋体"/>
                <w:b/>
                <w:color w:val="auto"/>
                <w:sz w:val="24"/>
                <w:szCs w:val="24"/>
                <w:highlight w:val="none"/>
              </w:rPr>
            </w:pPr>
          </w:p>
        </w:tc>
        <w:tc>
          <w:tcPr>
            <w:tcW w:w="780" w:type="dxa"/>
            <w:vMerge w:val="continue"/>
            <w:vAlign w:val="center"/>
          </w:tcPr>
          <w:p>
            <w:pPr>
              <w:spacing w:line="400" w:lineRule="exact"/>
              <w:jc w:val="center"/>
              <w:rPr>
                <w:rFonts w:hint="eastAsia" w:ascii="宋体" w:hAnsi="宋体" w:cs="宋体"/>
                <w:b/>
                <w:color w:val="auto"/>
                <w:sz w:val="24"/>
                <w:szCs w:val="24"/>
                <w:highlight w:val="none"/>
              </w:rPr>
            </w:pPr>
          </w:p>
        </w:tc>
        <w:tc>
          <w:tcPr>
            <w:tcW w:w="2460" w:type="dxa"/>
            <w:vAlign w:val="center"/>
          </w:tcPr>
          <w:p>
            <w:pPr>
              <w:rPr>
                <w:rFonts w:hint="eastAsia" w:ascii="宋体" w:hAnsi="宋体" w:cs="宋体"/>
                <w:color w:val="auto"/>
                <w:sz w:val="24"/>
                <w:szCs w:val="24"/>
                <w:highlight w:val="none"/>
              </w:rPr>
            </w:pPr>
            <w:r>
              <w:rPr>
                <w:rFonts w:hint="eastAsia" w:ascii="宋体" w:hAnsi="宋体" w:eastAsia="宋体" w:cs="宋体"/>
                <w:color w:val="auto"/>
                <w:sz w:val="24"/>
                <w:highlight w:val="none"/>
              </w:rPr>
              <w:t>结构选型及新材料新技术的应用（</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tc>
        <w:tc>
          <w:tcPr>
            <w:tcW w:w="5161" w:type="dxa"/>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①结构选型合理，新材料新技术的应用恰当，</w:t>
            </w:r>
            <w:r>
              <w:rPr>
                <w:rFonts w:hint="eastAsia" w:ascii="宋体" w:hAnsi="宋体" w:eastAsia="宋体" w:cs="宋体"/>
                <w:color w:val="auto"/>
                <w:sz w:val="24"/>
                <w:highlight w:val="none"/>
                <w:lang w:val="en-US" w:eastAsia="zh-CN"/>
              </w:rPr>
              <w:t>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w:t>
            </w:r>
          </w:p>
          <w:p>
            <w:pPr>
              <w:rPr>
                <w:rFonts w:hint="eastAsia" w:ascii="宋体" w:hAnsi="宋体" w:cs="宋体"/>
                <w:color w:val="auto"/>
                <w:sz w:val="24"/>
                <w:szCs w:val="24"/>
                <w:highlight w:val="none"/>
              </w:rPr>
            </w:pPr>
            <w:r>
              <w:rPr>
                <w:rFonts w:hint="eastAsia" w:ascii="宋体" w:hAnsi="宋体" w:eastAsia="宋体" w:cs="宋体"/>
                <w:color w:val="auto"/>
                <w:sz w:val="24"/>
                <w:highlight w:val="none"/>
              </w:rPr>
              <w:t>②未提供不计分</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18" w:type="dxa"/>
            <w:vAlign w:val="center"/>
          </w:tcPr>
          <w:p>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磋商报价</w:t>
            </w:r>
          </w:p>
        </w:tc>
        <w:tc>
          <w:tcPr>
            <w:tcW w:w="780"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30分</w:t>
            </w:r>
          </w:p>
        </w:tc>
        <w:tc>
          <w:tcPr>
            <w:tcW w:w="7621" w:type="dxa"/>
            <w:gridSpan w:val="2"/>
            <w:vAlign w:val="center"/>
          </w:tcPr>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spacing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磋商报价得分=（磋商基准价/磋商</w:t>
            </w:r>
            <w:r>
              <w:rPr>
                <w:rFonts w:hint="eastAsia" w:ascii="宋体" w:hAnsi="宋体" w:cs="宋体"/>
                <w:color w:val="auto"/>
                <w:kern w:val="2"/>
                <w:sz w:val="24"/>
                <w:szCs w:val="24"/>
                <w:highlight w:val="none"/>
                <w:lang w:val="en-US" w:eastAsia="zh-CN" w:bidi="ar-SA"/>
              </w:rPr>
              <w:t>评审价格</w:t>
            </w:r>
            <w:r>
              <w:rPr>
                <w:rFonts w:hint="eastAsia" w:ascii="宋体" w:hAnsi="宋体" w:eastAsia="宋体" w:cs="宋体"/>
                <w:color w:val="auto"/>
                <w:kern w:val="2"/>
                <w:sz w:val="24"/>
                <w:szCs w:val="24"/>
                <w:highlight w:val="none"/>
                <w:lang w:val="en-US" w:eastAsia="zh-CN" w:bidi="ar-SA"/>
              </w:rPr>
              <w:t>）×价格权值（即3</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%）×100</w:t>
            </w:r>
          </w:p>
          <w:p>
            <w:pPr>
              <w:spacing w:line="400" w:lineRule="exact"/>
              <w:ind w:left="-94" w:leftChars="-45" w:firstLine="120" w:firstLineChars="50"/>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（因落实政府采购政策进行价格调整的，以调整后的价格计算评标基准价和磋商报价）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8" w:type="dxa"/>
            <w:vAlign w:val="center"/>
          </w:tcPr>
          <w:p>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业绩</w:t>
            </w:r>
          </w:p>
        </w:tc>
        <w:tc>
          <w:tcPr>
            <w:tcW w:w="780" w:type="dxa"/>
            <w:vAlign w:val="center"/>
          </w:tcPr>
          <w:p>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10分</w:t>
            </w:r>
          </w:p>
        </w:tc>
        <w:tc>
          <w:tcPr>
            <w:tcW w:w="7621" w:type="dxa"/>
            <w:gridSpan w:val="2"/>
            <w:vAlign w:val="center"/>
          </w:tcPr>
          <w:p>
            <w:pPr>
              <w:pStyle w:val="22"/>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磋商截止时间前近</w:t>
            </w:r>
            <w:r>
              <w:rPr>
                <w:rFonts w:hint="eastAsia" w:ascii="宋体" w:hAnsi="宋体" w:cs="宋体"/>
                <w:color w:val="auto"/>
                <w:sz w:val="24"/>
                <w:szCs w:val="24"/>
                <w:highlight w:val="none"/>
              </w:rPr>
              <w:t>三年同类项目业绩，每提供一份得2分，最高得10分。</w:t>
            </w:r>
            <w:r>
              <w:rPr>
                <w:rFonts w:hint="eastAsia" w:ascii="宋体" w:hAnsi="宋体" w:eastAsia="宋体" w:cs="宋体"/>
                <w:color w:val="auto"/>
                <w:sz w:val="24"/>
                <w:szCs w:val="24"/>
                <w:highlight w:val="none"/>
                <w:lang w:val="en-US" w:eastAsia="zh-CN"/>
              </w:rPr>
              <w:t>业绩证明（以合同或中标/成交通知书为准，须在磋商响应文件中附以上证明材料的扫描件加盖单位公章）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18" w:type="dxa"/>
            <w:vAlign w:val="center"/>
          </w:tcPr>
          <w:p>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服务</w:t>
            </w:r>
          </w:p>
          <w:p>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承诺</w:t>
            </w:r>
          </w:p>
        </w:tc>
        <w:tc>
          <w:tcPr>
            <w:tcW w:w="780" w:type="dxa"/>
            <w:vAlign w:val="center"/>
          </w:tcPr>
          <w:p>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分</w:t>
            </w:r>
          </w:p>
        </w:tc>
        <w:tc>
          <w:tcPr>
            <w:tcW w:w="7621" w:type="dxa"/>
            <w:gridSpan w:val="2"/>
            <w:vAlign w:val="center"/>
          </w:tcPr>
          <w:p>
            <w:pPr>
              <w:spacing w:line="480" w:lineRule="exact"/>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工程竣工验收合格后，发生质量问题有补救措施、质保期有承诺、方案切实可行，根据其</w:t>
            </w:r>
            <w:r>
              <w:rPr>
                <w:rFonts w:hint="eastAsia" w:ascii="宋体" w:hAnsi="宋体" w:eastAsia="宋体" w:cs="宋体"/>
                <w:color w:val="auto"/>
                <w:kern w:val="2"/>
                <w:sz w:val="24"/>
                <w:szCs w:val="24"/>
                <w:highlight w:val="none"/>
                <w:lang w:val="zh-CN" w:eastAsia="zh-CN" w:bidi="ar-SA"/>
              </w:rPr>
              <w:t>方案的针对性、科学性、合理性和完善性</w:t>
            </w:r>
            <w:r>
              <w:rPr>
                <w:rFonts w:hint="eastAsia" w:ascii="宋体" w:hAnsi="宋体" w:eastAsia="宋体" w:cs="宋体"/>
                <w:color w:val="auto"/>
                <w:kern w:val="2"/>
                <w:sz w:val="24"/>
                <w:szCs w:val="24"/>
                <w:highlight w:val="none"/>
                <w:lang w:val="en-US" w:eastAsia="zh-CN" w:bidi="ar-SA"/>
              </w:rPr>
              <w:t>横向对比，根据优劣程度计0-5分，缺项不得分。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atLeast"/>
          <w:jc w:val="center"/>
        </w:trPr>
        <w:tc>
          <w:tcPr>
            <w:tcW w:w="718" w:type="dxa"/>
            <w:vAlign w:val="center"/>
          </w:tcPr>
          <w:p>
            <w:pPr>
              <w:spacing w:line="400" w:lineRule="exact"/>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备注</w:t>
            </w:r>
          </w:p>
        </w:tc>
        <w:tc>
          <w:tcPr>
            <w:tcW w:w="8401" w:type="dxa"/>
            <w:gridSpan w:val="3"/>
            <w:vAlign w:val="center"/>
          </w:tcPr>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1、各评委应按照本评标办法独立打分。</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2、分项评分超出评分标准范围或磋商小组成员对客观评审因素评分不一致时，采购代理机构可以要求磋商小组复核或者书面说明理由，评标委员会拒绝的，应予记录并向本级财政部门报告。</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4、计算结果保留两位小数，第三位“四舍五入”。</w:t>
            </w:r>
          </w:p>
          <w:p>
            <w:pPr>
              <w:spacing w:line="480" w:lineRule="exact"/>
              <w:ind w:firstLine="480" w:firstLineChars="200"/>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5、评标过程中，若出现特殊情况时，由磋商小组决定暂停评标，并提出具体处理意见。</w:t>
            </w:r>
          </w:p>
        </w:tc>
      </w:tr>
    </w:tbl>
    <w:p>
      <w:pPr>
        <w:spacing w:line="360" w:lineRule="auto"/>
        <w:ind w:right="40" w:rightChars="19" w:firstLine="480" w:firstLineChars="200"/>
        <w:rPr>
          <w:rFonts w:hint="eastAsia" w:ascii="宋体" w:hAnsi="宋体" w:eastAsia="宋体" w:cs="宋体"/>
          <w:color w:val="auto"/>
          <w:sz w:val="24"/>
          <w:szCs w:val="24"/>
          <w:highlight w:val="none"/>
        </w:rPr>
      </w:pPr>
    </w:p>
    <w:p>
      <w:pPr>
        <w:rPr>
          <w:rFonts w:hint="eastAsia"/>
          <w:color w:val="auto"/>
          <w:highlight w:val="none"/>
        </w:rPr>
      </w:pPr>
      <w:bookmarkStart w:id="138" w:name="_Hlt128276530"/>
      <w:bookmarkEnd w:id="138"/>
      <w:bookmarkStart w:id="139" w:name="_Hlt128276537"/>
      <w:bookmarkEnd w:id="139"/>
      <w:bookmarkStart w:id="140" w:name="_Hlt128276660"/>
      <w:bookmarkEnd w:id="140"/>
      <w:bookmarkStart w:id="141" w:name="_Toc19346"/>
      <w:bookmarkStart w:id="142" w:name="_Toc221523521"/>
      <w:bookmarkStart w:id="143" w:name="_Toc421778377"/>
      <w:bookmarkStart w:id="144" w:name="_Toc351989128"/>
    </w:p>
    <w:p>
      <w:pPr>
        <w:pStyle w:val="3"/>
        <w:numPr>
          <w:ilvl w:val="0"/>
          <w:numId w:val="5"/>
        </w:numPr>
        <w:spacing w:line="350" w:lineRule="auto"/>
        <w:jc w:val="center"/>
        <w:rPr>
          <w:rFonts w:hint="eastAsia"/>
          <w:lang w:eastAsia="zh-CN"/>
        </w:rPr>
      </w:pPr>
      <w:bookmarkStart w:id="145" w:name="_Toc9981"/>
      <w:r>
        <w:rPr>
          <w:rFonts w:hint="eastAsia" w:ascii="宋体" w:hAnsi="宋体" w:eastAsia="宋体" w:cs="宋体"/>
          <w:color w:val="auto"/>
          <w:highlight w:val="none"/>
          <w:lang w:val="en-US" w:eastAsia="zh-CN"/>
        </w:rPr>
        <w:t xml:space="preserve"> </w:t>
      </w:r>
      <w:bookmarkEnd w:id="141"/>
      <w:bookmarkEnd w:id="142"/>
      <w:bookmarkEnd w:id="143"/>
      <w:bookmarkEnd w:id="144"/>
      <w:bookmarkEnd w:id="145"/>
      <w:r>
        <w:rPr>
          <w:rFonts w:hint="eastAsia" w:ascii="宋体" w:hAnsi="宋体" w:cs="宋体"/>
          <w:color w:val="auto"/>
          <w:highlight w:val="none"/>
          <w:lang w:eastAsia="zh-CN"/>
        </w:rPr>
        <w:t>合同主要条款及格式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CN"/>
        </w:rPr>
      </w:pPr>
    </w:p>
    <w:p>
      <w:pPr>
        <w:autoSpaceDE w:val="0"/>
        <w:autoSpaceDN w:val="0"/>
        <w:adjustRightInd w:val="0"/>
        <w:snapToGrid w:val="0"/>
        <w:spacing w:line="360" w:lineRule="auto"/>
        <w:ind w:firstLine="641"/>
        <w:jc w:val="center"/>
        <w:outlineLvl w:val="1"/>
        <w:rPr>
          <w:rFonts w:hint="eastAsia" w:ascii="宋体" w:hAnsi="宋体" w:eastAsia="宋体" w:cs="宋体"/>
          <w:b/>
          <w:color w:val="auto"/>
          <w:sz w:val="24"/>
          <w:szCs w:val="24"/>
          <w:highlight w:val="none"/>
          <w:lang w:val="zh-CN"/>
        </w:rPr>
      </w:pPr>
      <w:bookmarkStart w:id="146" w:name="_Toc18824"/>
      <w:bookmarkStart w:id="147" w:name="_Toc19023"/>
      <w:r>
        <w:rPr>
          <w:rFonts w:hint="eastAsia" w:ascii="宋体" w:hAnsi="宋体" w:eastAsia="宋体" w:cs="宋体"/>
          <w:b/>
          <w:color w:val="auto"/>
          <w:sz w:val="24"/>
          <w:szCs w:val="24"/>
          <w:highlight w:val="none"/>
          <w:lang w:val="zh-CN"/>
        </w:rPr>
        <w:t>（此合同作为参考，最终合同以采购人给出的合同定稿为准。）</w:t>
      </w:r>
      <w:bookmarkEnd w:id="146"/>
      <w:bookmarkEnd w:id="147"/>
    </w:p>
    <w:p>
      <w:pPr>
        <w:pStyle w:val="2"/>
        <w:rPr>
          <w:rFonts w:hint="eastAsia"/>
          <w:lang w:val="zh-CN"/>
        </w:rPr>
      </w:pP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sz w:val="24"/>
          <w:szCs w:val="24"/>
          <w:highlight w:val="none"/>
        </w:rPr>
        <w:t>以下简称甲方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承包方（</w:t>
      </w:r>
      <w:r>
        <w:rPr>
          <w:rFonts w:hint="eastAsia" w:ascii="宋体" w:hAnsi="宋体" w:eastAsia="宋体" w:cs="宋体"/>
          <w:color w:val="auto"/>
          <w:sz w:val="24"/>
          <w:szCs w:val="24"/>
          <w:highlight w:val="none"/>
        </w:rPr>
        <w:t>以下简称乙方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民法典</w:t>
      </w:r>
      <w:r>
        <w:rPr>
          <w:rFonts w:hint="eastAsia" w:ascii="宋体" w:hAnsi="宋体" w:eastAsia="宋体" w:cs="宋体"/>
          <w:color w:val="auto"/>
          <w:kern w:val="0"/>
          <w:sz w:val="24"/>
          <w:szCs w:val="24"/>
          <w:highlight w:val="none"/>
        </w:rPr>
        <w:t>》、《中华人民共和国建筑法》及其他有关法律、法规之规定，遵循平等、自愿、公平和诚实信用原则，经双方协商一致，签订本合同，双方共同遵照执行。</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1"/>
        <w:rPr>
          <w:rFonts w:hint="eastAsia" w:ascii="宋体" w:hAnsi="宋体" w:eastAsia="宋体" w:cs="宋体"/>
          <w:b/>
          <w:bCs/>
          <w:color w:val="auto"/>
          <w:kern w:val="0"/>
          <w:sz w:val="24"/>
          <w:szCs w:val="24"/>
          <w:highlight w:val="none"/>
        </w:rPr>
      </w:pPr>
      <w:bookmarkStart w:id="148" w:name="_Toc8422"/>
      <w:bookmarkStart w:id="149" w:name="_Toc10915"/>
      <w:r>
        <w:rPr>
          <w:rFonts w:hint="eastAsia" w:ascii="宋体" w:hAnsi="宋体" w:eastAsia="宋体" w:cs="宋体"/>
          <w:b/>
          <w:bCs/>
          <w:color w:val="auto"/>
          <w:kern w:val="0"/>
          <w:sz w:val="24"/>
          <w:szCs w:val="24"/>
          <w:highlight w:val="none"/>
        </w:rPr>
        <w:t>第一条 工程概况、承包工作内容</w:t>
      </w:r>
      <w:bookmarkEnd w:id="148"/>
      <w:bookmarkEnd w:id="149"/>
    </w:p>
    <w:p>
      <w:pPr>
        <w:spacing w:line="360" w:lineRule="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bookmarkStart w:id="150" w:name="_Toc9880"/>
      <w:r>
        <w:rPr>
          <w:rFonts w:hint="eastAsia" w:ascii="宋体" w:hAnsi="宋体" w:eastAsia="宋体" w:cs="宋体"/>
          <w:color w:val="auto"/>
          <w:kern w:val="0"/>
          <w:sz w:val="24"/>
          <w:szCs w:val="24"/>
          <w:highlight w:val="none"/>
        </w:rPr>
        <w:t>1.1 工程名称：</w:t>
      </w:r>
      <w:bookmarkEnd w:id="150"/>
      <w:r>
        <w:rPr>
          <w:rFonts w:hint="eastAsia" w:ascii="宋体" w:hAnsi="宋体" w:eastAsia="宋体" w:cs="宋体"/>
          <w:color w:val="auto"/>
          <w:kern w:val="0"/>
          <w:sz w:val="24"/>
          <w:szCs w:val="24"/>
          <w:highlight w:val="none"/>
          <w:lang w:val="en-US" w:eastAsia="zh-CN"/>
        </w:rPr>
        <w:t xml:space="preserve"> </w:t>
      </w:r>
    </w:p>
    <w:p>
      <w:pPr>
        <w:spacing w:line="360" w:lineRule="auto"/>
        <w:ind w:firstLine="480" w:firstLineChars="200"/>
        <w:outlineLvl w:val="2"/>
        <w:rPr>
          <w:rFonts w:hint="eastAsia" w:ascii="宋体" w:hAnsi="宋体" w:eastAsia="宋体" w:cs="宋体"/>
          <w:color w:val="auto"/>
          <w:kern w:val="0"/>
          <w:sz w:val="24"/>
          <w:szCs w:val="24"/>
          <w:highlight w:val="none"/>
        </w:rPr>
      </w:pPr>
      <w:bookmarkStart w:id="151" w:name="_Toc15437"/>
      <w:r>
        <w:rPr>
          <w:rFonts w:hint="eastAsia" w:ascii="宋体" w:hAnsi="宋体" w:eastAsia="宋体" w:cs="宋体"/>
          <w:color w:val="auto"/>
          <w:kern w:val="0"/>
          <w:sz w:val="24"/>
          <w:szCs w:val="24"/>
          <w:highlight w:val="none"/>
        </w:rPr>
        <w:t>1.2 工程地址：</w:t>
      </w:r>
      <w:bookmarkEnd w:id="151"/>
    </w:p>
    <w:p>
      <w:pPr>
        <w:keepLines w:val="0"/>
        <w:pageBreakBefore w:val="0"/>
        <w:kinsoku/>
        <w:wordWrap/>
        <w:overflowPunct/>
        <w:topLinePunct w:val="0"/>
        <w:bidi w:val="0"/>
        <w:spacing w:line="360" w:lineRule="auto"/>
        <w:ind w:firstLine="480" w:firstLineChars="200"/>
        <w:textAlignment w:val="auto"/>
        <w:outlineLvl w:val="2"/>
        <w:rPr>
          <w:rFonts w:hint="eastAsia" w:ascii="宋体" w:hAnsi="宋体" w:eastAsia="宋体" w:cs="宋体"/>
          <w:b w:val="0"/>
          <w:bCs/>
          <w:color w:val="auto"/>
          <w:spacing w:val="0"/>
          <w:kern w:val="0"/>
          <w:sz w:val="24"/>
          <w:szCs w:val="24"/>
          <w:highlight w:val="none"/>
          <w:u w:val="single"/>
          <w:lang w:val="en-US" w:eastAsia="zh-CN"/>
        </w:rPr>
      </w:pPr>
      <w:bookmarkStart w:id="152" w:name="_Toc32063"/>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eastAsia="zh-CN"/>
        </w:rPr>
        <w:t>工程概况（招标范围）</w:t>
      </w:r>
      <w:r>
        <w:rPr>
          <w:rFonts w:hint="eastAsia" w:ascii="宋体" w:hAnsi="宋体" w:eastAsia="宋体" w:cs="宋体"/>
          <w:color w:val="auto"/>
          <w:sz w:val="24"/>
          <w:szCs w:val="32"/>
          <w:u w:val="none"/>
          <w:lang w:val="en-US" w:eastAsia="zh-CN"/>
        </w:rPr>
        <w:t>：</w:t>
      </w:r>
      <w:bookmarkEnd w:id="152"/>
    </w:p>
    <w:p>
      <w:pPr>
        <w:spacing w:line="360" w:lineRule="auto"/>
        <w:ind w:firstLine="480" w:firstLineChars="200"/>
        <w:outlineLvl w:val="2"/>
        <w:rPr>
          <w:rFonts w:hint="eastAsia" w:ascii="宋体" w:hAnsi="宋体" w:eastAsia="宋体" w:cs="宋体"/>
          <w:color w:val="auto"/>
          <w:kern w:val="0"/>
          <w:sz w:val="24"/>
          <w:szCs w:val="24"/>
          <w:highlight w:val="none"/>
        </w:rPr>
      </w:pPr>
      <w:bookmarkStart w:id="153" w:name="_Toc4331"/>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乙方单位概况：</w:t>
      </w:r>
      <w:bookmarkEnd w:id="153"/>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营业执照注册号、有效期：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资质证书编号、有效期：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安全生产许可证书编号、有效期：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增值税纳税人资格：</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（一般纳税人/小规模纳税人）。</w:t>
      </w:r>
    </w:p>
    <w:p>
      <w:pPr>
        <w:spacing w:line="360" w:lineRule="auto"/>
        <w:ind w:firstLine="480" w:firstLineChars="200"/>
        <w:outlineLvl w:val="2"/>
        <w:rPr>
          <w:rFonts w:hint="eastAsia" w:ascii="宋体" w:hAnsi="宋体" w:eastAsia="宋体" w:cs="宋体"/>
          <w:color w:val="auto"/>
          <w:kern w:val="0"/>
          <w:sz w:val="24"/>
          <w:szCs w:val="24"/>
          <w:highlight w:val="none"/>
        </w:rPr>
      </w:pPr>
      <w:bookmarkStart w:id="154" w:name="_Toc31825"/>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项目计税方式为：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（一般计税方法/简易计税方法）。</w:t>
      </w:r>
      <w:bookmarkEnd w:id="154"/>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55" w:name="_Toc27629"/>
      <w:bookmarkStart w:id="156" w:name="_Toc2318"/>
      <w:r>
        <w:rPr>
          <w:rFonts w:hint="eastAsia" w:ascii="宋体" w:hAnsi="宋体" w:eastAsia="宋体" w:cs="宋体"/>
          <w:b/>
          <w:bCs/>
          <w:color w:val="auto"/>
          <w:kern w:val="0"/>
          <w:sz w:val="24"/>
          <w:szCs w:val="24"/>
          <w:highlight w:val="none"/>
        </w:rPr>
        <w:t>第二条 工期要求</w:t>
      </w:r>
      <w:bookmarkEnd w:id="155"/>
      <w:bookmarkEnd w:id="156"/>
    </w:p>
    <w:p>
      <w:pPr>
        <w:spacing w:line="360" w:lineRule="auto"/>
        <w:ind w:firstLine="720" w:firstLineChars="300"/>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rPr>
        <w:t>满足甲方安排的工期要求，从甲方允许施工之日起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完工。</w:t>
      </w:r>
      <w:bookmarkStart w:id="157" w:name="_Toc23153"/>
    </w:p>
    <w:p>
      <w:pPr>
        <w:spacing w:line="360" w:lineRule="auto"/>
        <w:ind w:firstLine="482" w:firstLineChars="200"/>
        <w:outlineLvl w:val="1"/>
        <w:rPr>
          <w:rFonts w:hint="eastAsia" w:ascii="宋体" w:hAnsi="宋体" w:eastAsia="宋体" w:cs="宋体"/>
          <w:b/>
          <w:bCs/>
          <w:color w:val="auto"/>
          <w:kern w:val="0"/>
          <w:sz w:val="24"/>
          <w:szCs w:val="24"/>
          <w:highlight w:val="none"/>
        </w:rPr>
      </w:pPr>
      <w:bookmarkStart w:id="158" w:name="_Toc28537"/>
      <w:r>
        <w:rPr>
          <w:rFonts w:hint="eastAsia" w:ascii="宋体" w:hAnsi="宋体" w:eastAsia="宋体" w:cs="宋体"/>
          <w:b/>
          <w:bCs/>
          <w:color w:val="auto"/>
          <w:kern w:val="0"/>
          <w:sz w:val="24"/>
          <w:szCs w:val="24"/>
          <w:highlight w:val="none"/>
        </w:rPr>
        <w:t>第三条 工程质量</w:t>
      </w:r>
      <w:bookmarkEnd w:id="157"/>
      <w:bookmarkEnd w:id="158"/>
    </w:p>
    <w:p>
      <w:pPr>
        <w:spacing w:line="360" w:lineRule="auto"/>
        <w:ind w:firstLine="470" w:firstLineChars="196"/>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3.1 达到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合格</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标准，确保达到</w:t>
      </w:r>
      <w:r>
        <w:rPr>
          <w:rFonts w:hint="eastAsia" w:ascii="宋体" w:hAnsi="宋体" w:eastAsia="宋体" w:cs="宋体"/>
          <w:color w:val="auto"/>
          <w:kern w:val="0"/>
          <w:sz w:val="24"/>
          <w:szCs w:val="24"/>
          <w:highlight w:val="none"/>
          <w:u w:val="single"/>
        </w:rPr>
        <w:t>甲方要求的</w:t>
      </w:r>
      <w:r>
        <w:rPr>
          <w:rFonts w:hint="eastAsia" w:ascii="宋体" w:hAnsi="宋体" w:eastAsia="宋体" w:cs="宋体"/>
          <w:color w:val="auto"/>
          <w:kern w:val="0"/>
          <w:sz w:val="24"/>
          <w:szCs w:val="24"/>
          <w:highlight w:val="none"/>
        </w:rPr>
        <w:t>验收标准，且满足工程质量验收标准。</w:t>
      </w:r>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3.2 质量标准：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具体质量验收要求：</w:t>
      </w:r>
    </w:p>
    <w:p>
      <w:pPr>
        <w:numPr>
          <w:ilvl w:val="0"/>
          <w:numId w:val="0"/>
        </w:numPr>
        <w:spacing w:line="360"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乙方严格按照本工程的施工图纸、说明文件和国家有关规范等标准进行施工，接受甲方的监督。</w:t>
      </w:r>
    </w:p>
    <w:p>
      <w:pPr>
        <w:numPr>
          <w:ilvl w:val="0"/>
          <w:numId w:val="0"/>
        </w:numPr>
        <w:spacing w:line="360"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由乙方提供的材料，如因材料质量问题造成的损失及延误工期均由乙方负责。</w:t>
      </w:r>
    </w:p>
    <w:p>
      <w:pPr>
        <w:numPr>
          <w:ilvl w:val="0"/>
          <w:numId w:val="0"/>
        </w:numPr>
        <w:spacing w:line="360"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材料改变或代用必须经甲方同意并签字后，方可用于工程。</w:t>
      </w:r>
    </w:p>
    <w:p>
      <w:pPr>
        <w:numPr>
          <w:ilvl w:val="0"/>
          <w:numId w:val="0"/>
        </w:numPr>
        <w:spacing w:line="360"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乙方材料进场后应做好妥善的保管工作，因保管及保管不善所造成的损失，乙方自负。</w:t>
      </w:r>
    </w:p>
    <w:p>
      <w:pPr>
        <w:numPr>
          <w:ilvl w:val="0"/>
          <w:numId w:val="0"/>
        </w:numPr>
        <w:spacing w:line="360"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验收标准与程序按照有关工程验收规范，设计施工图纸要求条款执行。</w:t>
      </w:r>
    </w:p>
    <w:p>
      <w:pPr>
        <w:numPr>
          <w:ilvl w:val="0"/>
          <w:numId w:val="0"/>
        </w:numPr>
        <w:spacing w:line="360" w:lineRule="auto"/>
        <w:ind w:leftChars="0" w:firstLine="482" w:firstLineChars="200"/>
        <w:outlineLvl w:val="1"/>
        <w:rPr>
          <w:rFonts w:hint="eastAsia" w:ascii="宋体" w:hAnsi="宋体" w:eastAsia="宋体" w:cs="宋体"/>
          <w:b/>
          <w:bCs/>
          <w:color w:val="auto"/>
          <w:kern w:val="0"/>
          <w:sz w:val="24"/>
          <w:szCs w:val="24"/>
          <w:highlight w:val="none"/>
          <w:u w:val="single"/>
          <w:lang w:val="en-US" w:eastAsia="zh-CN"/>
        </w:rPr>
      </w:pPr>
      <w:bookmarkStart w:id="159" w:name="_Toc27139"/>
      <w:bookmarkStart w:id="160" w:name="_Toc5936"/>
      <w:r>
        <w:rPr>
          <w:rFonts w:hint="eastAsia" w:ascii="宋体" w:hAnsi="宋体" w:eastAsia="宋体" w:cs="宋体"/>
          <w:b/>
          <w:bCs/>
          <w:color w:val="auto"/>
          <w:kern w:val="0"/>
          <w:sz w:val="24"/>
          <w:szCs w:val="24"/>
          <w:highlight w:val="none"/>
        </w:rPr>
        <w:t>第四条 合同价款的计价方式</w:t>
      </w:r>
      <w:r>
        <w:rPr>
          <w:rFonts w:hint="eastAsia" w:ascii="宋体" w:hAnsi="宋体" w:eastAsia="宋体" w:cs="宋体"/>
          <w:b/>
          <w:bCs/>
          <w:color w:val="auto"/>
          <w:kern w:val="0"/>
          <w:sz w:val="24"/>
          <w:szCs w:val="24"/>
          <w:highlight w:val="none"/>
          <w:lang w:eastAsia="zh-CN"/>
        </w:rPr>
        <w:t>：</w:t>
      </w:r>
      <w:bookmarkEnd w:id="159"/>
      <w:r>
        <w:rPr>
          <w:rFonts w:hint="eastAsia" w:ascii="宋体" w:hAnsi="宋体" w:eastAsia="宋体" w:cs="宋体"/>
          <w:b/>
          <w:bCs/>
          <w:color w:val="auto"/>
          <w:kern w:val="0"/>
          <w:sz w:val="24"/>
          <w:szCs w:val="24"/>
          <w:highlight w:val="none"/>
          <w:u w:val="single"/>
          <w:lang w:val="en-US" w:eastAsia="zh-CN"/>
        </w:rPr>
        <w:t xml:space="preserve">  </w:t>
      </w:r>
      <w:bookmarkEnd w:id="160"/>
      <w:r>
        <w:rPr>
          <w:rFonts w:hint="eastAsia" w:ascii="宋体" w:hAnsi="宋体" w:eastAsia="宋体" w:cs="宋体"/>
          <w:b/>
          <w:bCs/>
          <w:color w:val="auto"/>
          <w:kern w:val="0"/>
          <w:sz w:val="24"/>
          <w:szCs w:val="24"/>
          <w:highlight w:val="none"/>
          <w:u w:val="single"/>
          <w:lang w:val="en-US" w:eastAsia="zh-CN"/>
        </w:rPr>
        <w:t xml:space="preserve">       </w:t>
      </w:r>
    </w:p>
    <w:p>
      <w:pPr>
        <w:spacing w:line="360" w:lineRule="auto"/>
        <w:ind w:firstLine="472" w:firstLineChars="196"/>
        <w:outlineLvl w:val="1"/>
        <w:rPr>
          <w:rFonts w:hint="eastAsia" w:ascii="宋体" w:hAnsi="宋体" w:eastAsia="宋体" w:cs="宋体"/>
          <w:color w:val="auto"/>
          <w:sz w:val="24"/>
          <w:szCs w:val="24"/>
          <w:highlight w:val="none"/>
          <w:u w:val="single"/>
          <w:lang w:val="en-US" w:eastAsia="zh-CN"/>
        </w:rPr>
      </w:pPr>
      <w:bookmarkStart w:id="161" w:name="_Toc10684"/>
      <w:bookmarkStart w:id="162" w:name="_Toc13809"/>
      <w:r>
        <w:rPr>
          <w:rFonts w:hint="eastAsia" w:ascii="宋体" w:hAnsi="宋体" w:eastAsia="宋体" w:cs="宋体"/>
          <w:b/>
          <w:bCs/>
          <w:color w:val="auto"/>
          <w:kern w:val="0"/>
          <w:sz w:val="24"/>
          <w:szCs w:val="24"/>
          <w:highlight w:val="none"/>
        </w:rPr>
        <w:t>第五条 合同价款的支付</w:t>
      </w:r>
      <w:bookmarkEnd w:id="161"/>
      <w:r>
        <w:rPr>
          <w:rFonts w:hint="eastAsia" w:ascii="宋体" w:hAnsi="宋体" w:eastAsia="宋体" w:cs="宋体"/>
          <w:b/>
          <w:bCs/>
          <w:color w:val="auto"/>
          <w:kern w:val="0"/>
          <w:sz w:val="24"/>
          <w:szCs w:val="24"/>
          <w:highlight w:val="none"/>
          <w:lang w:eastAsia="zh-CN"/>
        </w:rPr>
        <w:t>：</w:t>
      </w:r>
      <w:bookmarkEnd w:id="162"/>
      <w:r>
        <w:rPr>
          <w:rFonts w:hint="eastAsia" w:ascii="宋体" w:hAnsi="宋体" w:eastAsia="宋体" w:cs="宋体"/>
          <w:i w:val="0"/>
          <w:iCs w:val="0"/>
          <w:color w:val="auto"/>
          <w:sz w:val="24"/>
          <w:szCs w:val="24"/>
          <w:highlight w:val="none"/>
          <w:u w:val="single"/>
        </w:rPr>
        <w:t xml:space="preserve">             </w:t>
      </w:r>
    </w:p>
    <w:p>
      <w:pPr>
        <w:spacing w:line="360" w:lineRule="auto"/>
        <w:ind w:firstLine="472" w:firstLineChars="196"/>
        <w:outlineLvl w:val="1"/>
        <w:rPr>
          <w:rFonts w:hint="eastAsia" w:ascii="宋体" w:hAnsi="宋体" w:eastAsia="宋体" w:cs="宋体"/>
          <w:color w:val="auto"/>
          <w:highlight w:val="none"/>
        </w:rPr>
      </w:pPr>
      <w:bookmarkStart w:id="163" w:name="_Toc12970"/>
      <w:bookmarkStart w:id="164" w:name="_Toc4279"/>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六</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b/>
          <w:bCs/>
          <w:color w:val="auto"/>
          <w:kern w:val="0"/>
          <w:sz w:val="24"/>
          <w:szCs w:val="24"/>
          <w:highlight w:val="none"/>
          <w:lang w:eastAsia="zh-CN"/>
        </w:rPr>
        <w:t>安全管理</w:t>
      </w:r>
      <w:bookmarkEnd w:id="163"/>
      <w:bookmarkEnd w:id="164"/>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6.1 </w:t>
      </w:r>
      <w:r>
        <w:rPr>
          <w:rFonts w:hint="eastAsia" w:ascii="宋体" w:hAnsi="宋体" w:eastAsia="宋体" w:cs="宋体"/>
          <w:color w:val="auto"/>
          <w:sz w:val="24"/>
          <w:szCs w:val="24"/>
          <w:highlight w:val="none"/>
        </w:rPr>
        <w:t>乙方应保证其在施工中符合国家《安全生产法》及与安全相关的法律法规。</w:t>
      </w:r>
      <w:r>
        <w:rPr>
          <w:rFonts w:hint="eastAsia" w:ascii="宋体" w:hAnsi="宋体" w:eastAsia="宋体" w:cs="宋体"/>
          <w:color w:val="auto"/>
          <w:kern w:val="0"/>
          <w:sz w:val="24"/>
          <w:szCs w:val="24"/>
          <w:highlight w:val="none"/>
        </w:rPr>
        <w:t xml:space="preserve"> </w:t>
      </w:r>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65" w:name="_Toc12581"/>
      <w:bookmarkStart w:id="166" w:name="_Toc17754"/>
      <w:r>
        <w:rPr>
          <w:rFonts w:hint="eastAsia" w:ascii="宋体" w:hAnsi="宋体" w:eastAsia="宋体" w:cs="宋体"/>
          <w:b/>
          <w:bCs/>
          <w:color w:val="auto"/>
          <w:kern w:val="0"/>
          <w:sz w:val="24"/>
          <w:szCs w:val="24"/>
          <w:highlight w:val="none"/>
        </w:rPr>
        <w:t>第七条 工程质量管理</w:t>
      </w:r>
      <w:bookmarkEnd w:id="165"/>
      <w:bookmarkEnd w:id="166"/>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工程质量必须按国家颁布的施工验收规范验收合格，符合国家标准和设计文件要求，并达到合同约定的质量目标和标准。如设计文件、合同约定和国家施工验收规范、标准之间有差异或不一致，以质量要求较高者为施工依据和验收标准。</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整体工程或分项工程质量按施工验收规范验收不合格的，合同价款不予支付，并由乙方承担相应损失。工程质量按施工验收规范验收合格，但达不到合同约定的质量目标和标准的，对不符合要求的分项工程价款扣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67" w:name="_Toc14412"/>
      <w:bookmarkStart w:id="168" w:name="_Toc30541"/>
      <w:r>
        <w:rPr>
          <w:rFonts w:hint="eastAsia" w:ascii="宋体" w:hAnsi="宋体" w:eastAsia="宋体" w:cs="宋体"/>
          <w:b/>
          <w:bCs/>
          <w:color w:val="auto"/>
          <w:kern w:val="0"/>
          <w:sz w:val="24"/>
          <w:szCs w:val="24"/>
          <w:highlight w:val="none"/>
        </w:rPr>
        <w:t>第八条 工程进度管理</w:t>
      </w:r>
      <w:bookmarkEnd w:id="167"/>
      <w:bookmarkEnd w:id="168"/>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 经甲方确认的以下原因，工期相应顺延：</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（1）因自然灾害或非乙方责任造成的爆炸、火灾等不可抗力；</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（2）因甲方原因致使施工不能正常进行时，工期顺延；</w:t>
      </w:r>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69" w:name="_Toc3101"/>
      <w:bookmarkStart w:id="170" w:name="_Toc14701"/>
      <w:r>
        <w:rPr>
          <w:rFonts w:hint="eastAsia" w:ascii="宋体" w:hAnsi="宋体" w:eastAsia="宋体" w:cs="宋体"/>
          <w:b/>
          <w:bCs/>
          <w:color w:val="auto"/>
          <w:kern w:val="0"/>
          <w:sz w:val="24"/>
          <w:szCs w:val="24"/>
          <w:highlight w:val="none"/>
        </w:rPr>
        <w:t>第九条 材料机具管理</w:t>
      </w:r>
      <w:bookmarkEnd w:id="169"/>
      <w:bookmarkEnd w:id="170"/>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9.1 乙方自备的材料、机械、工具为： </w:t>
      </w:r>
      <w:r>
        <w:rPr>
          <w:rFonts w:hint="eastAsia" w:ascii="宋体" w:hAnsi="宋体" w:eastAsia="宋体" w:cs="宋体"/>
          <w:color w:val="auto"/>
          <w:sz w:val="24"/>
          <w:szCs w:val="24"/>
          <w:highlight w:val="none"/>
          <w:u w:val="single"/>
        </w:rPr>
        <w:t xml:space="preserve"> 所有完成本工程所需的材料和设备  </w:t>
      </w:r>
      <w:r>
        <w:rPr>
          <w:rFonts w:hint="eastAsia" w:ascii="宋体" w:hAnsi="宋体" w:eastAsia="宋体" w:cs="宋体"/>
          <w:color w:val="auto"/>
          <w:sz w:val="24"/>
          <w:szCs w:val="24"/>
          <w:highlight w:val="none"/>
        </w:rPr>
        <w:t>。</w:t>
      </w:r>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71" w:name="_Toc21410"/>
      <w:bookmarkStart w:id="172" w:name="_Toc17016"/>
      <w:r>
        <w:rPr>
          <w:rFonts w:hint="eastAsia" w:ascii="宋体" w:hAnsi="宋体" w:eastAsia="宋体" w:cs="宋体"/>
          <w:b/>
          <w:bCs/>
          <w:color w:val="auto"/>
          <w:kern w:val="0"/>
          <w:sz w:val="24"/>
          <w:szCs w:val="24"/>
          <w:highlight w:val="none"/>
        </w:rPr>
        <w:t>第十条 劳务队伍管理</w:t>
      </w:r>
      <w:bookmarkEnd w:id="171"/>
      <w:bookmarkEnd w:id="172"/>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10.1 乙方安排进驻现场的所有人员，应当符合劳动法律法规规定。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乙方进场前，应将其所有现场人员登记造册，办理人员出入证件。</w:t>
      </w:r>
    </w:p>
    <w:p>
      <w:pPr>
        <w:spacing w:line="360" w:lineRule="auto"/>
        <w:ind w:firstLine="472" w:firstLineChars="196"/>
        <w:outlineLvl w:val="1"/>
        <w:rPr>
          <w:rFonts w:hint="eastAsia" w:ascii="宋体" w:hAnsi="宋体" w:eastAsia="宋体" w:cs="宋体"/>
          <w:b/>
          <w:bCs/>
          <w:color w:val="auto"/>
          <w:kern w:val="0"/>
          <w:sz w:val="24"/>
          <w:szCs w:val="24"/>
          <w:highlight w:val="none"/>
        </w:rPr>
      </w:pPr>
      <w:bookmarkStart w:id="173" w:name="_Toc20863"/>
      <w:bookmarkStart w:id="174" w:name="_Toc6500"/>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rPr>
        <w:t>条 工程保修</w:t>
      </w:r>
      <w:bookmarkEnd w:id="173"/>
      <w:bookmarkEnd w:id="174"/>
    </w:p>
    <w:p>
      <w:pPr>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 保修期为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1"/>
          <w:highlight w:val="none"/>
          <w:lang w:eastAsia="zh-CN"/>
        </w:rPr>
        <w:t>防水工程保修期符合国家相关规定，</w:t>
      </w:r>
      <w:r>
        <w:rPr>
          <w:rFonts w:hint="eastAsia" w:ascii="宋体" w:hAnsi="宋体" w:eastAsia="宋体" w:cs="宋体"/>
          <w:color w:val="auto"/>
          <w:kern w:val="0"/>
          <w:sz w:val="24"/>
          <w:szCs w:val="24"/>
          <w:highlight w:val="none"/>
        </w:rPr>
        <w:t>自乙方工程竣工验收合格之日起算。</w:t>
      </w:r>
    </w:p>
    <w:p>
      <w:pPr>
        <w:spacing w:line="360" w:lineRule="auto"/>
        <w:ind w:firstLine="470" w:firstLineChars="19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 保修期内，发生保修问题时，如为紧急事故，乙方应于接到通知后</w:t>
      </w:r>
      <w:r>
        <w:rPr>
          <w:rFonts w:hint="eastAsia" w:ascii="宋体" w:hAnsi="宋体" w:eastAsia="宋体" w:cs="宋体"/>
          <w:color w:val="auto"/>
          <w:kern w:val="0"/>
          <w:sz w:val="24"/>
          <w:szCs w:val="24"/>
          <w:highlight w:val="none"/>
          <w:u w:val="single"/>
        </w:rPr>
        <w:t xml:space="preserve"> 4 </w:t>
      </w:r>
      <w:r>
        <w:rPr>
          <w:rFonts w:hint="eastAsia" w:ascii="宋体" w:hAnsi="宋体" w:eastAsia="宋体" w:cs="宋体"/>
          <w:color w:val="auto"/>
          <w:kern w:val="0"/>
          <w:sz w:val="24"/>
          <w:szCs w:val="24"/>
          <w:highlight w:val="none"/>
        </w:rPr>
        <w:t>小时内到达现场抢修；一般问题，乙方应于8小时内到达现场维修。否则，甲方可自行或委托第三方实施维修，并由乙方承担实际发生的费用，但该保修事故非因乙方责任引发的除外。保修期内，乙方联系方式等发生变化后，应及时书面通知甲方，否则，甲方发出通知之日即视为通知到达之日。</w:t>
      </w:r>
      <w:r>
        <w:rPr>
          <w:rFonts w:hint="eastAsia" w:ascii="宋体" w:hAnsi="宋体" w:eastAsia="宋体" w:cs="宋体"/>
          <w:color w:val="auto"/>
          <w:kern w:val="0"/>
          <w:sz w:val="24"/>
          <w:szCs w:val="24"/>
          <w:highlight w:val="none"/>
          <w:lang w:eastAsia="zh-CN"/>
        </w:rPr>
        <w:t>供应商提供书面保修承诺书。</w:t>
      </w:r>
    </w:p>
    <w:p>
      <w:pPr>
        <w:spacing w:line="360" w:lineRule="auto"/>
        <w:ind w:firstLine="470" w:firstLineChars="19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11.3保修期满后，提供终身维修，且只收取成本费。</w:t>
      </w:r>
    </w:p>
    <w:p>
      <w:pPr>
        <w:spacing w:line="360" w:lineRule="auto"/>
        <w:ind w:firstLine="472" w:firstLineChars="196"/>
        <w:outlineLvl w:val="1"/>
        <w:rPr>
          <w:rFonts w:hint="eastAsia" w:ascii="宋体" w:hAnsi="宋体" w:eastAsia="宋体" w:cs="宋体"/>
          <w:b/>
          <w:bCs/>
          <w:color w:val="auto"/>
          <w:sz w:val="24"/>
          <w:szCs w:val="24"/>
          <w:highlight w:val="none"/>
        </w:rPr>
      </w:pPr>
      <w:bookmarkStart w:id="175" w:name="_Toc30624"/>
      <w:bookmarkStart w:id="176" w:name="_Toc10402"/>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违约责任</w:t>
      </w:r>
      <w:r>
        <w:rPr>
          <w:rFonts w:hint="eastAsia" w:ascii="宋体" w:hAnsi="宋体" w:eastAsia="宋体" w:cs="宋体"/>
          <w:b/>
          <w:bCs/>
          <w:color w:val="auto"/>
          <w:sz w:val="24"/>
          <w:szCs w:val="24"/>
          <w:highlight w:val="none"/>
        </w:rPr>
        <w:t>、合同的解除</w:t>
      </w:r>
      <w:bookmarkEnd w:id="175"/>
      <w:bookmarkEnd w:id="176"/>
    </w:p>
    <w:p>
      <w:pPr>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甲方不能按照本合同约定时间支付乙方工程款，应承担应付未付工程款同期人民银行贷款基准利率利息损失。</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乙方承包的本工程项目，不得再行分包或转包，否则甲方有权解除合同，并由乙方承担违约责任。</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rPr>
      </w:pPr>
      <w:bookmarkStart w:id="177" w:name="_Toc22155"/>
      <w:bookmarkStart w:id="178" w:name="_Toc30988"/>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条 合同授权</w:t>
      </w:r>
      <w:bookmarkEnd w:id="177"/>
      <w:bookmarkEnd w:id="178"/>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乙方授权项目经理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行使以下职责权限：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负责处理合同履行过程中一切事宜，包括但不限于签署发料单，签收甲方发出的各类通知，确认结算金额，变更合同条款，处理索赔事宜等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未取得甲方书面所签署的任何文件、协议，以及获得授权的人员超越书面授</w:t>
      </w:r>
      <w:r>
        <w:rPr>
          <w:rFonts w:hint="eastAsia" w:ascii="宋体" w:hAnsi="宋体" w:eastAsia="宋体" w:cs="宋体"/>
          <w:color w:val="auto"/>
          <w:sz w:val="24"/>
          <w:szCs w:val="24"/>
          <w:highlight w:val="none"/>
        </w:rPr>
        <w:t>权范围所签署的任何文件、协议，一概无效，且甲方对此不承担任何责任。</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lang w:val="en-US" w:eastAsia="zh-CN"/>
        </w:rPr>
      </w:pPr>
      <w:bookmarkStart w:id="179" w:name="_Toc28243"/>
      <w:bookmarkStart w:id="180" w:name="_Toc9488"/>
      <w:r>
        <w:rPr>
          <w:rFonts w:hint="eastAsia" w:ascii="宋体" w:hAnsi="宋体" w:eastAsia="宋体" w:cs="宋体"/>
          <w:b/>
          <w:bCs/>
          <w:color w:val="auto"/>
          <w:kern w:val="0"/>
          <w:sz w:val="24"/>
          <w:szCs w:val="24"/>
          <w:highlight w:val="none"/>
          <w:lang w:val="en-US" w:eastAsia="zh-CN"/>
        </w:rPr>
        <w:t>第十四条 送达</w:t>
      </w:r>
      <w:bookmarkEnd w:id="179"/>
      <w:bookmarkEnd w:id="18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乙方可按本合同第十五条约定，向有权限的甲方人员当面送达，由其签收。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甲方可按以下方式向乙方送达：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（1）按本合同第十五条约定，向有权限的乙方人员当面送达，或以电话通知方式向其送达，甲方保留的语音通话记录、短信等可作为送达凭据。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（2）甲方亦可按以下地址邮寄送达：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pStyle w:val="17"/>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 件 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收件人电话：</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.3 一方送达方式如发生变更，应及时书面通知对方，否则责任自负。  </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rPr>
      </w:pPr>
      <w:bookmarkStart w:id="181" w:name="_Toc6688"/>
      <w:bookmarkStart w:id="182" w:name="_Toc30747"/>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争议解决</w:t>
      </w:r>
      <w:bookmarkEnd w:id="181"/>
      <w:bookmarkEnd w:id="182"/>
    </w:p>
    <w:p>
      <w:pPr>
        <w:pStyle w:val="17"/>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本合同在履行过程中发生的争议，如双方当事人协商不成，双方约定采用下列第</w:t>
      </w:r>
    </w:p>
    <w:p>
      <w:pPr>
        <w:pStyle w:val="17"/>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种方式解决争议：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申请仲裁；</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kern w:val="0"/>
          <w:sz w:val="24"/>
          <w:szCs w:val="24"/>
          <w:highlight w:val="none"/>
        </w:rPr>
        <w:t>甲方法人住所地</w:t>
      </w:r>
      <w:r>
        <w:rPr>
          <w:rFonts w:hint="eastAsia" w:ascii="宋体" w:hAnsi="宋体" w:eastAsia="宋体" w:cs="宋体"/>
          <w:color w:val="auto"/>
          <w:sz w:val="24"/>
          <w:szCs w:val="24"/>
          <w:highlight w:val="none"/>
        </w:rPr>
        <w:t>人民法院起诉。</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rPr>
      </w:pPr>
      <w:bookmarkStart w:id="183" w:name="_Toc29125"/>
      <w:bookmarkStart w:id="184" w:name="_Toc1621"/>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六</w:t>
      </w:r>
      <w:r>
        <w:rPr>
          <w:rFonts w:hint="eastAsia" w:ascii="宋体" w:hAnsi="宋体" w:eastAsia="宋体" w:cs="宋体"/>
          <w:b/>
          <w:bCs/>
          <w:color w:val="auto"/>
          <w:kern w:val="0"/>
          <w:sz w:val="24"/>
          <w:szCs w:val="24"/>
          <w:highlight w:val="none"/>
        </w:rPr>
        <w:t>条 合同变更</w:t>
      </w:r>
      <w:bookmarkEnd w:id="183"/>
      <w:bookmarkEnd w:id="184"/>
    </w:p>
    <w:p>
      <w:pPr>
        <w:pStyle w:val="17"/>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如需变更本合同条款，应签订书面协议，并加盖双方印章，方才有效。本合同中除填写空格部分外，手写修改之处必须加盖双方印章方才有效。</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rPr>
      </w:pPr>
      <w:bookmarkStart w:id="185" w:name="_Toc24482"/>
      <w:bookmarkStart w:id="186" w:name="_Toc31815"/>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 其他约定</w:t>
      </w:r>
      <w:bookmarkEnd w:id="185"/>
      <w:bookmarkEnd w:id="186"/>
    </w:p>
    <w:p>
      <w:pPr>
        <w:pStyle w:val="17"/>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pPr>
        <w:pStyle w:val="17"/>
        <w:spacing w:line="360" w:lineRule="auto"/>
        <w:ind w:firstLine="472" w:firstLineChars="196"/>
        <w:outlineLvl w:val="1"/>
        <w:rPr>
          <w:rFonts w:hint="eastAsia" w:ascii="宋体" w:hAnsi="宋体" w:eastAsia="宋体" w:cs="宋体"/>
          <w:b/>
          <w:bCs/>
          <w:color w:val="auto"/>
          <w:kern w:val="0"/>
          <w:sz w:val="24"/>
          <w:szCs w:val="24"/>
          <w:highlight w:val="none"/>
        </w:rPr>
      </w:pPr>
      <w:bookmarkStart w:id="187" w:name="_Toc29629"/>
      <w:bookmarkStart w:id="188" w:name="_Toc18076"/>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八</w:t>
      </w:r>
      <w:r>
        <w:rPr>
          <w:rFonts w:hint="eastAsia" w:ascii="宋体" w:hAnsi="宋体" w:eastAsia="宋体" w:cs="宋体"/>
          <w:b/>
          <w:bCs/>
          <w:color w:val="auto"/>
          <w:kern w:val="0"/>
          <w:sz w:val="24"/>
          <w:szCs w:val="24"/>
          <w:highlight w:val="none"/>
        </w:rPr>
        <w:t>条 合同的生效及份数</w:t>
      </w:r>
      <w:bookmarkEnd w:id="187"/>
      <w:bookmarkEnd w:id="188"/>
    </w:p>
    <w:p>
      <w:pPr>
        <w:pStyle w:val="17"/>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本合同一式</w:t>
      </w:r>
      <w:r>
        <w:rPr>
          <w:rFonts w:hint="eastAsia" w:ascii="宋体" w:hAnsi="宋体" w:eastAsia="宋体" w:cs="宋体"/>
          <w:color w:val="auto"/>
          <w:kern w:val="0"/>
          <w:sz w:val="24"/>
          <w:szCs w:val="24"/>
          <w:highlight w:val="none"/>
          <w:u w:val="single"/>
        </w:rPr>
        <w:t xml:space="preserve">  肆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贰  </w:t>
      </w:r>
      <w:r>
        <w:rPr>
          <w:rFonts w:hint="eastAsia" w:ascii="宋体" w:hAnsi="宋体" w:eastAsia="宋体" w:cs="宋体"/>
          <w:color w:val="auto"/>
          <w:kern w:val="0"/>
          <w:sz w:val="24"/>
          <w:szCs w:val="24"/>
          <w:highlight w:val="none"/>
        </w:rPr>
        <w:t>份，自双方签字盖章之日起生效。</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乙方（公章）:   </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开户行：</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                            银行账号：</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60" w:lineRule="auto"/>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pStyle w:val="3"/>
        <w:keepNext w:val="0"/>
        <w:pageBreakBefore/>
        <w:spacing w:line="350" w:lineRule="auto"/>
        <w:jc w:val="center"/>
        <w:rPr>
          <w:rFonts w:hint="eastAsia" w:ascii="宋体" w:hAnsi="宋体" w:eastAsia="宋体" w:cs="宋体"/>
          <w:b w:val="0"/>
          <w:bCs w:val="0"/>
          <w:color w:val="auto"/>
          <w:sz w:val="32"/>
          <w:szCs w:val="32"/>
          <w:highlight w:val="none"/>
        </w:rPr>
      </w:pPr>
      <w:bookmarkStart w:id="189" w:name="_Toc421778378"/>
      <w:bookmarkStart w:id="190" w:name="_Toc4092"/>
      <w:bookmarkStart w:id="191" w:name="_Toc24331"/>
      <w:r>
        <w:rPr>
          <w:rFonts w:hint="eastAsia" w:ascii="宋体" w:hAnsi="宋体" w:eastAsia="宋体" w:cs="宋体"/>
          <w:color w:val="auto"/>
          <w:sz w:val="32"/>
          <w:szCs w:val="32"/>
          <w:highlight w:val="none"/>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工程量清单</w:t>
      </w:r>
      <w:bookmarkEnd w:id="189"/>
      <w:bookmarkEnd w:id="190"/>
      <w:bookmarkEnd w:id="191"/>
    </w:p>
    <w:p>
      <w:pPr>
        <w:spacing w:line="360" w:lineRule="auto"/>
        <w:ind w:firstLine="482" w:firstLineChars="200"/>
        <w:jc w:val="left"/>
        <w:rPr>
          <w:rFonts w:hint="eastAsia" w:ascii="宋体" w:hAnsi="宋体" w:eastAsia="宋体" w:cs="宋体"/>
          <w:b/>
          <w:bCs/>
          <w:color w:val="auto"/>
          <w:sz w:val="24"/>
          <w:szCs w:val="24"/>
          <w:highlight w:val="none"/>
        </w:rPr>
      </w:pPr>
      <w:bookmarkStart w:id="192" w:name="_Toc221523531"/>
      <w:r>
        <w:rPr>
          <w:rFonts w:hint="eastAsia" w:ascii="宋体" w:hAnsi="宋体" w:eastAsia="宋体" w:cs="宋体"/>
          <w:b/>
          <w:bCs/>
          <w:color w:val="auto"/>
          <w:sz w:val="24"/>
          <w:szCs w:val="24"/>
          <w:highlight w:val="none"/>
        </w:rPr>
        <w:t>一、工程概况</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lang w:val="en-US" w:eastAsia="zh-CN"/>
        </w:rPr>
      </w:pPr>
      <w:r>
        <w:rPr>
          <w:rFonts w:hint="eastAsia" w:cs="宋体"/>
          <w:lang w:val="en-US" w:eastAsia="zh-CN"/>
        </w:rPr>
        <w:t>黄陵县水库移民开发局隆坊镇刘家河行政村生产路及排水渠修建项目</w:t>
      </w:r>
      <w:r>
        <w:rPr>
          <w:rFonts w:hint="eastAsia" w:ascii="宋体" w:hAnsi="宋体" w:eastAsia="宋体" w:cs="宋体"/>
          <w:lang w:val="en-US" w:eastAsia="zh-CN"/>
        </w:rPr>
        <w:t>，主要建设内容包括：生产道路、排水渠、过路管涵、渠道清淤。（具体详见</w:t>
      </w:r>
      <w:r>
        <w:rPr>
          <w:rFonts w:hint="eastAsia" w:cs="宋体"/>
          <w:lang w:val="en-US" w:eastAsia="zh-CN"/>
        </w:rPr>
        <w:t>磋商</w:t>
      </w:r>
      <w:r>
        <w:rPr>
          <w:rFonts w:hint="eastAsia" w:ascii="宋体" w:hAnsi="宋体" w:eastAsia="宋体" w:cs="宋体"/>
          <w:lang w:val="en-US" w:eastAsia="zh-CN"/>
        </w:rPr>
        <w:t>文件工程量清单电子版）</w:t>
      </w:r>
    </w:p>
    <w:p>
      <w:pPr>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编制依据</w:t>
      </w:r>
      <w:r>
        <w:rPr>
          <w:rFonts w:hint="eastAsia" w:ascii="宋体" w:hAnsi="宋体" w:eastAsia="宋体" w:cs="宋体"/>
          <w:b/>
          <w:bCs/>
          <w:color w:val="auto"/>
          <w:sz w:val="24"/>
          <w:szCs w:val="24"/>
          <w:highlight w:val="none"/>
          <w:lang w:eastAsia="zh-CN"/>
        </w:rPr>
        <w:tab/>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1、水利水电工程项目划分及费用构成；</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2、建筑工程按“2019 版《陕西省水利水电建筑工程预算定额》”；</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3、安装工程按“2019 版《陕西省水利水电设备安装工程预算定额》”，小型机电设备安装费按设备费的 15%计算，金属结构安装费按照设备费的15%计算；</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4、机械台班定额采用“2019 版陕西省水利水电施工机械台班费定额”，并</w:t>
      </w:r>
      <w:r>
        <w:rPr>
          <w:rFonts w:hint="eastAsia"/>
          <w:sz w:val="24"/>
          <w:highlight w:val="none"/>
          <w:lang w:val="en-US" w:eastAsia="zh-CN"/>
        </w:rPr>
        <w:t>按“</w:t>
      </w:r>
      <w:r>
        <w:rPr>
          <w:rFonts w:hint="eastAsia"/>
          <w:highlight w:val="none"/>
          <w:lang w:val="en-US" w:eastAsia="zh-CN"/>
        </w:rPr>
        <w:t>2019 计算办法及标准”规定；</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5、水利水电工程设计工程量计算规定；</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6、工程设计文件及图纸。</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7、人工预算单价：按“2019 计算办法及标准”规定，技工 75 元/工日，普工50 元/工日。</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r>
        <w:rPr>
          <w:rFonts w:hint="eastAsia"/>
          <w:highlight w:val="none"/>
          <w:lang w:val="en-US" w:eastAsia="zh-CN"/>
        </w:rPr>
        <w:t>8、软件使用陕西易投水利造价软件。</w:t>
      </w:r>
    </w:p>
    <w:p>
      <w:pPr>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三、工程量清单（另册）</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ighlight w:val="none"/>
          <w:lang w:val="en-US" w:eastAsia="zh-CN"/>
        </w:rPr>
      </w:pP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pPr>
    </w:p>
    <w:p>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br w:type="page"/>
      </w:r>
      <w:bookmarkEnd w:id="192"/>
    </w:p>
    <w:p>
      <w:pPr>
        <w:pStyle w:val="3"/>
        <w:keepNext w:val="0"/>
        <w:pageBreakBefore/>
        <w:numPr>
          <w:ilvl w:val="0"/>
          <w:numId w:val="6"/>
        </w:numPr>
        <w:spacing w:line="350" w:lineRule="auto"/>
        <w:jc w:val="center"/>
        <w:rPr>
          <w:rFonts w:hint="eastAsia" w:ascii="宋体" w:hAnsi="宋体" w:eastAsia="宋体" w:cs="宋体"/>
          <w:color w:val="auto"/>
          <w:highlight w:val="none"/>
        </w:rPr>
      </w:pPr>
      <w:bookmarkStart w:id="193" w:name="_Toc410"/>
      <w:bookmarkStart w:id="194" w:name="_Toc421778381"/>
      <w:r>
        <w:rPr>
          <w:rFonts w:hint="eastAsia" w:ascii="宋体" w:hAnsi="宋体" w:cs="宋体"/>
          <w:b/>
          <w:bCs/>
          <w:sz w:val="24"/>
          <w:szCs w:val="24"/>
          <w:highlight w:val="none"/>
        </w:rPr>
        <w:t>（图纸另册）</w:t>
      </w:r>
      <w:r>
        <w:rPr>
          <w:rFonts w:hint="eastAsia" w:ascii="宋体" w:hAnsi="宋体" w:eastAsia="宋体" w:cs="宋体"/>
          <w:color w:val="auto"/>
          <w:highlight w:val="none"/>
          <w:lang w:val="en-US" w:eastAsia="zh-CN"/>
        </w:rPr>
        <w:t xml:space="preserve"> </w:t>
      </w: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pStyle w:val="3"/>
        <w:numPr>
          <w:ilvl w:val="0"/>
          <w:numId w:val="6"/>
        </w:num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bookmarkStart w:id="195" w:name="_Toc17998"/>
      <w:r>
        <w:rPr>
          <w:rFonts w:hint="eastAsia" w:ascii="宋体" w:hAnsi="宋体" w:cs="宋体"/>
          <w:color w:val="auto"/>
          <w:highlight w:val="none"/>
          <w:lang w:val="en-US" w:eastAsia="zh-CN"/>
        </w:rPr>
        <w:t>商务</w:t>
      </w:r>
      <w:r>
        <w:rPr>
          <w:rFonts w:hint="eastAsia" w:ascii="宋体" w:hAnsi="宋体" w:eastAsia="宋体" w:cs="宋体"/>
          <w:color w:val="auto"/>
          <w:highlight w:val="none"/>
        </w:rPr>
        <w:t>要求</w:t>
      </w:r>
      <w:bookmarkEnd w:id="193"/>
      <w:bookmarkEnd w:id="194"/>
      <w:bookmarkEnd w:id="195"/>
    </w:p>
    <w:p>
      <w:pPr>
        <w:numPr>
          <w:ilvl w:val="0"/>
          <w:numId w:val="7"/>
        </w:num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项目名称</w:t>
      </w:r>
    </w:p>
    <w:p>
      <w:pPr>
        <w:numPr>
          <w:ilvl w:val="0"/>
          <w:numId w:val="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黄陵县水库移民开发局隆坊镇刘家河行政村生产路及排水渠修建项目</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二、资金来源</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上级资金和自筹资金</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三、预算</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w:t>
      </w:r>
      <w:r>
        <w:rPr>
          <w:rFonts w:hint="eastAsia" w:cs="宋体"/>
          <w:color w:val="auto"/>
          <w:sz w:val="24"/>
          <w:szCs w:val="24"/>
          <w:highlight w:val="none"/>
          <w:lang w:val="en-US" w:eastAsia="zh-CN"/>
        </w:rPr>
        <w:t>786400.00</w:t>
      </w:r>
      <w:r>
        <w:rPr>
          <w:rFonts w:hint="eastAsia" w:ascii="宋体" w:hAnsi="宋体" w:eastAsia="宋体" w:cs="宋体"/>
          <w:color w:val="auto"/>
          <w:sz w:val="24"/>
          <w:szCs w:val="24"/>
          <w:highlight w:val="none"/>
          <w:lang w:val="en-US" w:eastAsia="zh-CN"/>
        </w:rPr>
        <w:t>元</w:t>
      </w:r>
      <w:r>
        <w:rPr>
          <w:rFonts w:hint="eastAsia" w:cs="宋体"/>
          <w:b w:val="0"/>
          <w:bCs w:val="0"/>
          <w:i w:val="0"/>
          <w:caps w:val="0"/>
          <w:color w:val="auto"/>
          <w:spacing w:val="0"/>
          <w:sz w:val="24"/>
          <w:szCs w:val="24"/>
          <w:highlight w:val="none"/>
          <w:shd w:val="clear" w:fill="FFFFFF"/>
          <w:lang w:val="en-US" w:eastAsia="zh-CN"/>
        </w:rPr>
        <w:t>。</w:t>
      </w:r>
    </w:p>
    <w:p>
      <w:pPr>
        <w:spacing w:line="360" w:lineRule="auto"/>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hint="eastAsia" w:ascii="宋体" w:hAnsi="宋体" w:cs="宋体"/>
          <w:b/>
          <w:bCs/>
          <w:color w:val="000000"/>
          <w:sz w:val="24"/>
          <w:szCs w:val="24"/>
        </w:rPr>
        <w:t>、要求</w:t>
      </w:r>
    </w:p>
    <w:p>
      <w:pPr>
        <w:numPr>
          <w:ilvl w:val="0"/>
          <w:numId w:val="8"/>
        </w:num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按施工图纸要求施工。</w:t>
      </w:r>
    </w:p>
    <w:p>
      <w:pPr>
        <w:numPr>
          <w:ilvl w:val="0"/>
          <w:numId w:val="8"/>
        </w:num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按照工程施工规定完工后提交完整的竣工资料、施工单位配合工程投运。</w:t>
      </w:r>
    </w:p>
    <w:p>
      <w:pPr>
        <w:spacing w:line="360" w:lineRule="auto"/>
        <w:rPr>
          <w:rFonts w:ascii="宋体" w:hAnsi="宋体" w:cs="宋体"/>
          <w:b/>
          <w:bCs/>
          <w:color w:val="000000"/>
          <w:sz w:val="24"/>
          <w:szCs w:val="24"/>
        </w:rPr>
      </w:pPr>
      <w:r>
        <w:rPr>
          <w:rFonts w:hint="eastAsia" w:ascii="宋体" w:hAnsi="宋体" w:cs="宋体"/>
          <w:b/>
          <w:bCs/>
          <w:color w:val="000000"/>
          <w:sz w:val="24"/>
          <w:szCs w:val="24"/>
          <w:lang w:val="en-US" w:eastAsia="zh-CN"/>
        </w:rPr>
        <w:t>五</w:t>
      </w:r>
      <w:r>
        <w:rPr>
          <w:rFonts w:hint="eastAsia" w:ascii="宋体" w:hAnsi="宋体" w:cs="宋体"/>
          <w:b/>
          <w:bCs/>
          <w:color w:val="000000"/>
          <w:sz w:val="24"/>
          <w:szCs w:val="24"/>
        </w:rPr>
        <w:t>、付款方式</w:t>
      </w:r>
    </w:p>
    <w:p>
      <w:pPr>
        <w:spacing w:line="600" w:lineRule="exact"/>
        <w:ind w:firstLine="480" w:firstLineChars="200"/>
        <w:rPr>
          <w:rFonts w:hint="eastAsia"/>
          <w:color w:val="000000"/>
          <w:sz w:val="24"/>
          <w:szCs w:val="24"/>
          <w:highlight w:val="none"/>
          <w:lang w:val="en-US" w:eastAsia="zh-CN"/>
        </w:rPr>
      </w:pPr>
      <w:r>
        <w:rPr>
          <w:rFonts w:hint="eastAsia"/>
          <w:color w:val="000000"/>
          <w:sz w:val="24"/>
          <w:szCs w:val="24"/>
          <w:highlight w:val="none"/>
          <w:lang w:val="en-US" w:eastAsia="zh-CN"/>
        </w:rPr>
        <w:t>付款方式：合同签订后支付至合同总价款的30%，工程完工验收合格并审计完成后支付至合同总价款的90%，预留结算总价款的10%作为质保金，质保期一年，质保期满后无任何质量缺陷等问题（质保时间从验收合格之日起计算），一次性无息支付质保金。</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工期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自合同签订之日起</w:t>
      </w: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日历</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内施工完毕。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keepNext w:val="0"/>
        <w:pageBreakBefore/>
        <w:numPr>
          <w:ilvl w:val="0"/>
          <w:numId w:val="6"/>
        </w:numPr>
        <w:spacing w:line="350" w:lineRule="auto"/>
        <w:ind w:left="0" w:leftChars="0" w:firstLine="0" w:firstLineChars="0"/>
        <w:jc w:val="center"/>
        <w:rPr>
          <w:rFonts w:hint="eastAsia" w:ascii="宋体" w:hAnsi="宋体" w:eastAsia="宋体" w:cs="宋体"/>
          <w:color w:val="auto"/>
          <w:sz w:val="32"/>
          <w:szCs w:val="32"/>
          <w:highlight w:val="none"/>
        </w:rPr>
      </w:pPr>
      <w:bookmarkStart w:id="196" w:name="_Toc714"/>
      <w:r>
        <w:rPr>
          <w:rFonts w:hint="eastAsia" w:ascii="宋体" w:hAnsi="宋体" w:eastAsia="宋体" w:cs="宋体"/>
          <w:color w:val="auto"/>
          <w:sz w:val="32"/>
          <w:szCs w:val="32"/>
          <w:highlight w:val="none"/>
          <w:lang w:eastAsia="zh-CN"/>
        </w:rPr>
        <w:t>竞争性磋商响应文件</w:t>
      </w:r>
      <w:r>
        <w:rPr>
          <w:rFonts w:hint="eastAsia" w:ascii="宋体" w:hAnsi="宋体" w:eastAsia="宋体" w:cs="宋体"/>
          <w:color w:val="auto"/>
          <w:sz w:val="32"/>
          <w:szCs w:val="32"/>
          <w:highlight w:val="none"/>
        </w:rPr>
        <w:t>格式</w:t>
      </w:r>
      <w:bookmarkEnd w:id="196"/>
    </w:p>
    <w:p>
      <w:pPr>
        <w:numPr>
          <w:ilvl w:val="0"/>
          <w:numId w:val="0"/>
        </w:numPr>
        <w:ind w:leftChars="0"/>
        <w:rPr>
          <w:rFonts w:hint="eastAsia"/>
        </w:rPr>
      </w:pPr>
    </w:p>
    <w:p>
      <w:pPr>
        <w:spacing w:line="5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r>
        <w:rPr>
          <w:rFonts w:hint="eastAsia" w:ascii="宋体" w:hAnsi="宋体" w:cs="宋体"/>
          <w:b/>
          <w:bCs/>
          <w:color w:val="auto"/>
          <w:sz w:val="24"/>
          <w:szCs w:val="24"/>
          <w:highlight w:val="none"/>
          <w:lang w:eastAsia="zh-CN"/>
        </w:rPr>
        <w:t>ZHGJ-2022-121</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（正本或副本）</w:t>
      </w:r>
    </w:p>
    <w:p>
      <w:pPr>
        <w:spacing w:line="360" w:lineRule="auto"/>
        <w:ind w:firstLine="420" w:firstLineChars="200"/>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52"/>
          <w:szCs w:val="52"/>
          <w:highlight w:val="none"/>
        </w:rPr>
      </w:pPr>
    </w:p>
    <w:p>
      <w:pPr>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0"/>
          <w:szCs w:val="40"/>
          <w:highlight w:val="none"/>
          <w:lang w:eastAsia="zh-CN"/>
        </w:rPr>
        <w:t>黄陵县水库移民开发局隆坊镇刘家河行政村生产路及排水渠修建项目</w:t>
      </w:r>
    </w:p>
    <w:p>
      <w:pPr>
        <w:spacing w:line="360" w:lineRule="auto"/>
        <w:rPr>
          <w:rFonts w:hint="eastAsia" w:ascii="宋体" w:hAnsi="宋体" w:eastAsia="宋体" w:cs="宋体"/>
          <w:color w:val="auto"/>
          <w:sz w:val="72"/>
          <w:szCs w:val="72"/>
          <w:highlight w:val="none"/>
        </w:rPr>
      </w:pPr>
    </w:p>
    <w:p>
      <w:pPr>
        <w:pStyle w:val="33"/>
        <w:ind w:left="0" w:leftChars="0" w:firstLine="0" w:firstLineChars="0"/>
        <w:jc w:val="both"/>
        <w:rPr>
          <w:rFonts w:hint="eastAsia" w:ascii="宋体" w:hAnsi="宋体" w:eastAsia="宋体" w:cs="宋体"/>
          <w:color w:val="auto"/>
          <w:sz w:val="72"/>
          <w:szCs w:val="72"/>
          <w:highlight w:val="none"/>
        </w:rPr>
      </w:pPr>
    </w:p>
    <w:p>
      <w:pPr>
        <w:pStyle w:val="6"/>
        <w:rPr>
          <w:rFonts w:hint="eastAsia"/>
          <w:color w:val="auto"/>
          <w:highlight w:val="none"/>
        </w:rPr>
      </w:pPr>
    </w:p>
    <w:p>
      <w:pPr>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竞争性磋商响应文件</w:t>
      </w:r>
    </w:p>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spacing w:line="360" w:lineRule="auto"/>
        <w:ind w:firstLine="1124" w:firstLineChars="4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：（盖章）</w:t>
      </w:r>
    </w:p>
    <w:p>
      <w:pPr>
        <w:spacing w:line="360" w:lineRule="auto"/>
        <w:ind w:firstLine="1124" w:firstLineChars="4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法定代表人或其委托代理人：（签字或盖章）</w:t>
      </w:r>
    </w:p>
    <w:p>
      <w:pPr>
        <w:spacing w:line="360" w:lineRule="auto"/>
        <w:ind w:firstLine="1124" w:firstLineChars="4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日</w:t>
      </w:r>
    </w:p>
    <w:p>
      <w:pPr>
        <w:spacing w:line="360" w:lineRule="auto"/>
        <w:jc w:val="center"/>
        <w:rPr>
          <w:rFonts w:hint="eastAsia" w:ascii="宋体" w:hAnsi="宋体" w:eastAsia="宋体" w:cs="宋体"/>
          <w:color w:val="auto"/>
          <w:highlight w:val="none"/>
        </w:rPr>
        <w:sectPr>
          <w:pgSz w:w="11906" w:h="16838"/>
          <w:pgMar w:top="1417" w:right="1417" w:bottom="1417" w:left="1701" w:header="851" w:footer="992" w:gutter="0"/>
          <w:pgNumType w:fmt="decimal"/>
          <w:cols w:space="0" w:num="1"/>
          <w:docGrid w:type="lines" w:linePitch="312" w:charSpace="0"/>
        </w:sectPr>
      </w:pPr>
    </w:p>
    <w:p>
      <w:pPr>
        <w:jc w:val="center"/>
        <w:rPr>
          <w:rFonts w:hint="eastAsia" w:ascii="宋体" w:hAnsi="宋体" w:eastAsia="宋体" w:cs="宋体"/>
          <w:b/>
          <w:bCs/>
          <w:color w:val="auto"/>
          <w:sz w:val="32"/>
          <w:szCs w:val="32"/>
          <w:highlight w:val="none"/>
        </w:rPr>
      </w:pPr>
      <w:bookmarkStart w:id="197" w:name="_Toc420591666"/>
      <w:bookmarkStart w:id="198" w:name="_Toc372885969"/>
      <w:bookmarkStart w:id="199" w:name="_Toc421778385"/>
      <w:bookmarkStart w:id="200" w:name="_Toc420591500"/>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bookmarkEnd w:id="197"/>
      <w:bookmarkEnd w:id="198"/>
      <w:bookmarkEnd w:id="199"/>
      <w:bookmarkEnd w:id="200"/>
    </w:p>
    <w:p>
      <w:pPr>
        <w:pStyle w:val="13"/>
        <w:rPr>
          <w:rFonts w:hint="eastAsia" w:ascii="宋体" w:hAnsi="宋体" w:eastAsia="宋体" w:cs="宋体"/>
          <w:color w:val="auto"/>
          <w:highlight w:val="none"/>
        </w:rPr>
      </w:pPr>
    </w:p>
    <w:p>
      <w:pPr>
        <w:spacing w:line="480" w:lineRule="auto"/>
        <w:ind w:left="2310" w:leftChars="1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商务标</w:t>
      </w:r>
    </w:p>
    <w:p>
      <w:pPr>
        <w:spacing w:line="480" w:lineRule="auto"/>
        <w:ind w:left="2310" w:leftChars="1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磋商响应函</w:t>
      </w:r>
    </w:p>
    <w:p>
      <w:pPr>
        <w:spacing w:line="480" w:lineRule="auto"/>
        <w:ind w:left="2310" w:leftChars="1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磋商报价表</w:t>
      </w:r>
    </w:p>
    <w:p>
      <w:pPr>
        <w:spacing w:line="480" w:lineRule="auto"/>
        <w:ind w:left="2310" w:left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p>
    <w:p>
      <w:pPr>
        <w:spacing w:line="480" w:lineRule="auto"/>
        <w:ind w:left="2310" w:left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四、法人授权委托书</w:t>
      </w:r>
    </w:p>
    <w:p>
      <w:pPr>
        <w:spacing w:line="480" w:lineRule="auto"/>
        <w:ind w:left="2310" w:left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五、已标价工程量清单</w:t>
      </w:r>
    </w:p>
    <w:p>
      <w:pPr>
        <w:spacing w:line="480" w:lineRule="auto"/>
        <w:ind w:left="2310" w:left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六、商务响应与说明</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七、承诺书</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八、</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要求的其他文件或承诺</w:t>
      </w:r>
    </w:p>
    <w:p>
      <w:pPr>
        <w:spacing w:line="480" w:lineRule="auto"/>
        <w:ind w:left="2310" w:left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九、其他可以证明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实力的文件   </w:t>
      </w:r>
    </w:p>
    <w:p>
      <w:pPr>
        <w:spacing w:line="480" w:lineRule="auto"/>
        <w:ind w:left="2310" w:leftChars="1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技术标</w:t>
      </w:r>
    </w:p>
    <w:p>
      <w:pPr>
        <w:spacing w:line="480" w:lineRule="auto"/>
        <w:ind w:left="2310" w:leftChars="1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    资格标</w:t>
      </w:r>
    </w:p>
    <w:p>
      <w:pPr>
        <w:spacing w:line="480" w:lineRule="auto"/>
        <w:ind w:firstLine="2400" w:firstLineChars="1000"/>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的基本情况介绍和资格声明</w:t>
      </w:r>
    </w:p>
    <w:p>
      <w:pPr>
        <w:spacing w:line="480" w:lineRule="auto"/>
        <w:ind w:firstLine="2400" w:firstLineChars="1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w:t>
      </w:r>
    </w:p>
    <w:p>
      <w:pPr>
        <w:spacing w:line="480" w:lineRule="auto"/>
        <w:ind w:firstLine="2400" w:firstLineChars="10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磋商保证金</w:t>
      </w:r>
    </w:p>
    <w:p>
      <w:pPr>
        <w:spacing w:line="480" w:lineRule="auto"/>
        <w:jc w:val="left"/>
        <w:rPr>
          <w:rFonts w:hint="eastAsia" w:ascii="宋体" w:hAnsi="宋体" w:eastAsia="宋体" w:cs="宋体"/>
          <w:color w:val="auto"/>
          <w:sz w:val="24"/>
          <w:szCs w:val="24"/>
          <w:highlight w:val="none"/>
        </w:rPr>
      </w:pPr>
    </w:p>
    <w:p>
      <w:pPr>
        <w:spacing w:line="480" w:lineRule="auto"/>
        <w:ind w:firstLine="2448" w:firstLineChars="1020"/>
        <w:rPr>
          <w:rFonts w:hint="eastAsia" w:ascii="宋体" w:hAnsi="宋体" w:eastAsia="宋体" w:cs="宋体"/>
          <w:color w:val="auto"/>
          <w:sz w:val="24"/>
          <w:szCs w:val="24"/>
          <w:highlight w:val="none"/>
        </w:rPr>
      </w:pPr>
    </w:p>
    <w:p>
      <w:pPr>
        <w:spacing w:line="480" w:lineRule="auto"/>
        <w:rPr>
          <w:rFonts w:hint="eastAsia" w:ascii="宋体" w:hAnsi="宋体" w:eastAsia="宋体" w:cs="宋体"/>
          <w:color w:val="auto"/>
          <w:sz w:val="24"/>
          <w:szCs w:val="24"/>
          <w:highlight w:val="none"/>
        </w:rPr>
      </w:pPr>
    </w:p>
    <w:p>
      <w:pPr>
        <w:spacing w:line="480" w:lineRule="auto"/>
        <w:ind w:left="2310" w:leftChars="1100"/>
        <w:jc w:val="left"/>
        <w:rPr>
          <w:rFonts w:hint="eastAsia" w:ascii="宋体" w:hAnsi="宋体" w:eastAsia="宋体" w:cs="宋体"/>
          <w:b/>
          <w:bCs/>
          <w:color w:val="auto"/>
          <w:sz w:val="24"/>
          <w:szCs w:val="24"/>
          <w:highlight w:val="none"/>
        </w:rPr>
      </w:pPr>
      <w:bookmarkStart w:id="201" w:name="_Toc425240481"/>
      <w:bookmarkStart w:id="202" w:name="_Toc387"/>
      <w:bookmarkStart w:id="203" w:name="_Toc23278"/>
      <w:bookmarkStart w:id="204" w:name="_Toc420591667"/>
      <w:bookmarkStart w:id="205" w:name="_Toc32749"/>
      <w:bookmarkStart w:id="206" w:name="_Toc421778386"/>
    </w:p>
    <w:p>
      <w:pPr>
        <w:keepLines/>
        <w:pageBreakBefore/>
        <w:jc w:val="center"/>
        <w:outlineLvl w:val="1"/>
        <w:rPr>
          <w:rFonts w:hint="eastAsia" w:ascii="宋体" w:hAnsi="宋体" w:eastAsia="宋体" w:cs="宋体"/>
          <w:b/>
          <w:bCs/>
          <w:color w:val="auto"/>
          <w:sz w:val="32"/>
          <w:szCs w:val="32"/>
          <w:highlight w:val="none"/>
        </w:rPr>
      </w:pPr>
      <w:bookmarkStart w:id="207" w:name="_Toc26572"/>
      <w:bookmarkStart w:id="208" w:name="_Toc25163"/>
      <w:r>
        <w:rPr>
          <w:rFonts w:hint="eastAsia" w:ascii="宋体" w:hAnsi="宋体" w:eastAsia="宋体" w:cs="宋体"/>
          <w:b/>
          <w:bCs/>
          <w:color w:val="auto"/>
          <w:sz w:val="32"/>
          <w:szCs w:val="32"/>
          <w:highlight w:val="none"/>
        </w:rPr>
        <w:t>第一部分 商务标</w:t>
      </w:r>
      <w:bookmarkEnd w:id="207"/>
      <w:bookmarkEnd w:id="208"/>
    </w:p>
    <w:p>
      <w:pPr>
        <w:jc w:val="center"/>
        <w:outlineLvl w:val="1"/>
        <w:rPr>
          <w:rFonts w:hint="eastAsia" w:ascii="宋体" w:hAnsi="宋体" w:eastAsia="宋体" w:cs="宋体"/>
          <w:b/>
          <w:bCs/>
          <w:color w:val="auto"/>
          <w:sz w:val="32"/>
          <w:szCs w:val="32"/>
          <w:highlight w:val="none"/>
          <w:lang w:eastAsia="zh-CN"/>
        </w:rPr>
      </w:pPr>
      <w:bookmarkStart w:id="209" w:name="_Toc24435"/>
      <w:bookmarkStart w:id="210" w:name="_Toc2707"/>
      <w:r>
        <w:rPr>
          <w:rFonts w:hint="eastAsia" w:ascii="宋体" w:hAnsi="宋体" w:eastAsia="宋体" w:cs="宋体"/>
          <w:b/>
          <w:bCs/>
          <w:color w:val="auto"/>
          <w:sz w:val="32"/>
          <w:szCs w:val="32"/>
          <w:highlight w:val="none"/>
        </w:rPr>
        <w:t>一、</w:t>
      </w:r>
      <w:bookmarkEnd w:id="201"/>
      <w:bookmarkEnd w:id="202"/>
      <w:bookmarkEnd w:id="203"/>
      <w:bookmarkEnd w:id="204"/>
      <w:bookmarkEnd w:id="205"/>
      <w:bookmarkEnd w:id="206"/>
      <w:r>
        <w:rPr>
          <w:rFonts w:hint="eastAsia" w:ascii="宋体" w:hAnsi="宋体" w:eastAsia="宋体" w:cs="宋体"/>
          <w:b/>
          <w:bCs/>
          <w:color w:val="auto"/>
          <w:sz w:val="32"/>
          <w:szCs w:val="32"/>
          <w:highlight w:val="none"/>
          <w:lang w:eastAsia="zh-CN"/>
        </w:rPr>
        <w:t>磋商响应函</w:t>
      </w:r>
      <w:bookmarkEnd w:id="209"/>
      <w:bookmarkEnd w:id="210"/>
    </w:p>
    <w:p>
      <w:pPr>
        <w:pStyle w:val="31"/>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采购人</w:t>
      </w:r>
      <w:r>
        <w:rPr>
          <w:rFonts w:hint="eastAsia" w:ascii="宋体" w:hAnsi="宋体" w:eastAsia="宋体" w:cs="宋体"/>
          <w:color w:val="auto"/>
          <w:highlight w:val="none"/>
          <w:u w:val="single"/>
        </w:rPr>
        <w:t>）</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1、根据已收到</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，遵照</w:t>
      </w:r>
      <w:r>
        <w:rPr>
          <w:rFonts w:hint="eastAsia" w:ascii="宋体" w:hAnsi="宋体" w:eastAsia="宋体" w:cs="宋体"/>
          <w:color w:val="auto"/>
          <w:szCs w:val="24"/>
          <w:highlight w:val="none"/>
        </w:rPr>
        <w:t>《中华人民共和国政府采购法》</w:t>
      </w:r>
      <w:r>
        <w:rPr>
          <w:rFonts w:hint="eastAsia" w:ascii="宋体" w:hAnsi="宋体" w:eastAsia="宋体" w:cs="宋体"/>
          <w:color w:val="auto"/>
          <w:szCs w:val="24"/>
          <w:highlight w:val="none"/>
          <w:lang w:eastAsia="zh-CN"/>
        </w:rPr>
        <w:t>及实施条例</w:t>
      </w:r>
      <w:r>
        <w:rPr>
          <w:rFonts w:hint="eastAsia" w:ascii="宋体" w:hAnsi="宋体" w:eastAsia="宋体" w:cs="宋体"/>
          <w:color w:val="auto"/>
          <w:szCs w:val="24"/>
          <w:highlight w:val="none"/>
        </w:rPr>
        <w:t>和关于印发《政府采购竞争性磋商采购方式管理暂行办法》的通知</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财库【2014】214号</w:t>
      </w:r>
      <w:r>
        <w:rPr>
          <w:rFonts w:hint="eastAsia" w:ascii="宋体" w:hAnsi="宋体" w:eastAsia="宋体" w:cs="宋体"/>
          <w:color w:val="auto"/>
          <w:szCs w:val="24"/>
          <w:highlight w:val="none"/>
          <w:lang w:eastAsia="zh-CN"/>
        </w:rPr>
        <w:t>）</w:t>
      </w:r>
      <w:r>
        <w:rPr>
          <w:rFonts w:hint="eastAsia" w:ascii="宋体" w:hAnsi="宋体" w:eastAsia="宋体" w:cs="宋体"/>
          <w:color w:val="auto"/>
          <w:highlight w:val="none"/>
        </w:rPr>
        <w:t>等有关规定，经踏勘本项目现场、参加答疑会议和仔细研究本工程</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、答疑纪要、合同条款、图纸、工程量清单及其他有关文件后，我方愿以人民币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总报价，按</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、答疑纪要、合同条款、施工图纸、工程量清单及其他有关文件等承包本工程的施工、竣工和保修，并承担任何质量缺陷保修责任。</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2、我方已详细审核全部</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及有关附件、工程现场条件、答疑纪要、补遗书等文件。</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3、该报价是完成本</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规定的、所需的一切费用，且不低于我单位工程施工的成本价。</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4、如果我方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，我方保证在</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日历天内完工</w:t>
      </w:r>
      <w:r>
        <w:rPr>
          <w:rFonts w:hint="eastAsia" w:ascii="宋体" w:hAnsi="宋体" w:eastAsia="宋体" w:cs="宋体"/>
          <w:color w:val="auto"/>
          <w:highlight w:val="none"/>
        </w:rPr>
        <w:t>，并确保工程质量达到标准。拟派项目</w:t>
      </w:r>
      <w:r>
        <w:rPr>
          <w:rFonts w:hint="eastAsia" w:ascii="宋体" w:hAnsi="宋体" w:eastAsia="宋体" w:cs="宋体"/>
          <w:color w:val="auto"/>
          <w:highlight w:val="none"/>
          <w:lang w:eastAsia="zh-CN"/>
        </w:rPr>
        <w:t>经理</w:t>
      </w:r>
      <w:r>
        <w:rPr>
          <w:rFonts w:hint="eastAsia" w:ascii="宋体" w:hAnsi="宋体" w:eastAsia="宋体" w:cs="宋体"/>
          <w:color w:val="auto"/>
          <w:highlight w:val="none"/>
          <w:u w:val="single"/>
        </w:rPr>
        <w:t>    </w:t>
      </w:r>
      <w:r>
        <w:rPr>
          <w:rFonts w:hint="eastAsia" w:ascii="宋体" w:hAnsi="宋体" w:eastAsia="宋体" w:cs="宋体"/>
          <w:color w:val="auto"/>
          <w:highlight w:val="none"/>
        </w:rPr>
        <w:t>，证书编号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。我方同意本</w:t>
      </w:r>
      <w:r>
        <w:rPr>
          <w:rFonts w:hint="eastAsia" w:ascii="宋体" w:hAnsi="宋体" w:eastAsia="宋体" w:cs="宋体"/>
          <w:color w:val="auto"/>
          <w:highlight w:val="none"/>
          <w:lang w:eastAsia="zh-CN"/>
        </w:rPr>
        <w:t>磋商响应函</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规定的提交</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截止时间后，在</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磋商有效期</w:t>
      </w:r>
      <w:r>
        <w:rPr>
          <w:rFonts w:hint="eastAsia" w:ascii="宋体" w:hAnsi="宋体" w:eastAsia="宋体" w:cs="宋体"/>
          <w:color w:val="auto"/>
          <w:highlight w:val="none"/>
        </w:rPr>
        <w:t>期满前对我方具有约束力，且随时准备接受你方发出的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5、如果我方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，我方将按照</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规定时间足额提交合同履约保证金。</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6、我方保证递交的本工程相关资料和</w:t>
      </w:r>
      <w:r>
        <w:rPr>
          <w:rFonts w:hint="eastAsia" w:ascii="宋体" w:hAnsi="宋体" w:eastAsia="宋体" w:cs="宋体"/>
          <w:color w:val="auto"/>
          <w:highlight w:val="none"/>
          <w:lang w:eastAsia="zh-CN"/>
        </w:rPr>
        <w:t>磋商响应函</w:t>
      </w:r>
      <w:r>
        <w:rPr>
          <w:rFonts w:hint="eastAsia" w:ascii="宋体" w:hAnsi="宋体" w:eastAsia="宋体" w:cs="宋体"/>
          <w:color w:val="auto"/>
          <w:highlight w:val="none"/>
        </w:rPr>
        <w:t>中各种附件是真实可靠的，如有不实，我方将无条件接受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的处理决定，甚至自动退出</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，由此产生的一切后果均由我方负责。</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7、除非另外达成协议并生效，你方的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通知书和本</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将构成约束我们双方的合同。</w:t>
      </w:r>
    </w:p>
    <w:p>
      <w:pPr>
        <w:pStyle w:val="31"/>
        <w:spacing w:before="0" w:beforeAutospacing="0" w:after="0" w:afterAutospacing="0" w:line="360" w:lineRule="auto"/>
        <w:ind w:firstLine="480" w:firstLineChars="200"/>
        <w:rPr>
          <w:rStyle w:val="37"/>
          <w:rFonts w:hint="eastAsia" w:ascii="宋体" w:hAnsi="宋体" w:eastAsia="宋体" w:cs="宋体"/>
          <w:b w:val="0"/>
          <w:bCs w:val="0"/>
          <w:color w:val="auto"/>
          <w:highlight w:val="none"/>
        </w:rPr>
      </w:pPr>
      <w:r>
        <w:rPr>
          <w:rFonts w:hint="eastAsia" w:ascii="宋体" w:hAnsi="宋体" w:eastAsia="宋体" w:cs="宋体"/>
          <w:color w:val="auto"/>
          <w:highlight w:val="none"/>
        </w:rPr>
        <w:t>8、我方的</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后</w:t>
      </w:r>
      <w:r>
        <w:rPr>
          <w:rFonts w:hint="eastAsia" w:ascii="宋体" w:hAnsi="宋体" w:eastAsia="宋体" w:cs="宋体"/>
          <w:color w:val="auto"/>
          <w:highlight w:val="none"/>
          <w:u w:val="single"/>
          <w:lang w:val="en-US" w:eastAsia="zh-CN"/>
        </w:rPr>
        <w:t xml:space="preserve">     天</w:t>
      </w:r>
      <w:r>
        <w:rPr>
          <w:rFonts w:hint="eastAsia" w:ascii="宋体" w:hAnsi="宋体" w:eastAsia="宋体" w:cs="宋体"/>
          <w:color w:val="auto"/>
          <w:highlight w:val="none"/>
        </w:rPr>
        <w:t>有效，在</w:t>
      </w:r>
      <w:r>
        <w:rPr>
          <w:rFonts w:hint="eastAsia" w:ascii="宋体" w:hAnsi="宋体" w:eastAsia="宋体" w:cs="宋体"/>
          <w:color w:val="auto"/>
          <w:highlight w:val="none"/>
          <w:lang w:eastAsia="zh-CN"/>
        </w:rPr>
        <w:t>磋商有效期</w:t>
      </w:r>
      <w:r>
        <w:rPr>
          <w:rFonts w:hint="eastAsia" w:ascii="宋体" w:hAnsi="宋体" w:eastAsia="宋体" w:cs="宋体"/>
          <w:color w:val="auto"/>
          <w:highlight w:val="none"/>
        </w:rPr>
        <w:t>内不修改或撤回</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9、我方理解你方及</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不另负担我们的任何</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费用，无论我方总报价中是否包括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费用，也无论是否能够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，均不要求你方及</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费用做任何补偿。</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10、我方理解你方及</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，我方不要求你方及</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对未</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原因做任何解释，也不退回</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11、如果因我方原因放弃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，我方承诺，除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有权没收</w:t>
      </w:r>
      <w:r>
        <w:rPr>
          <w:rFonts w:hint="eastAsia" w:ascii="宋体" w:hAnsi="宋体" w:eastAsia="宋体" w:cs="宋体"/>
          <w:color w:val="auto"/>
          <w:highlight w:val="none"/>
          <w:lang w:eastAsia="zh-CN"/>
        </w:rPr>
        <w:t>磋商保证金</w:t>
      </w:r>
      <w:r>
        <w:rPr>
          <w:rFonts w:hint="eastAsia" w:ascii="宋体" w:hAnsi="宋体" w:eastAsia="宋体" w:cs="宋体"/>
          <w:color w:val="auto"/>
          <w:highlight w:val="none"/>
        </w:rPr>
        <w:t>外，还承担因下个</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给</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带来的经济损失。</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p>
    <w:p>
      <w:pPr>
        <w:pStyle w:val="31"/>
        <w:spacing w:before="0" w:beforeAutospacing="0" w:after="0" w:afterAutospacing="0"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：（盖章）</w:t>
      </w:r>
    </w:p>
    <w:p>
      <w:pPr>
        <w:pStyle w:val="31"/>
        <w:spacing w:before="0" w:beforeAutospacing="0" w:after="0" w:afterAutospacing="0"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电话：</w:t>
      </w:r>
    </w:p>
    <w:p>
      <w:pPr>
        <w:pStyle w:val="31"/>
        <w:spacing w:before="0" w:beforeAutospacing="0" w:after="0" w:afterAutospacing="0"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法人代表或委托代理人：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w:t>
      </w:r>
      <w:r>
        <w:rPr>
          <w:rFonts w:hint="eastAsia" w:ascii="宋体" w:hAnsi="宋体" w:eastAsia="宋体" w:cs="宋体"/>
          <w:color w:val="auto"/>
          <w:highlight w:val="none"/>
          <w:lang w:eastAsia="zh-CN"/>
        </w:rPr>
        <w:t>字或盖</w:t>
      </w:r>
      <w:r>
        <w:rPr>
          <w:rFonts w:hint="eastAsia" w:ascii="宋体" w:hAnsi="宋体" w:eastAsia="宋体" w:cs="宋体"/>
          <w:color w:val="auto"/>
          <w:highlight w:val="none"/>
        </w:rPr>
        <w:t>章）</w:t>
      </w:r>
    </w:p>
    <w:p>
      <w:pPr>
        <w:pStyle w:val="31"/>
        <w:spacing w:before="0" w:beforeAutospacing="0" w:after="0" w:afterAutospacing="0"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地址:</w:t>
      </w:r>
    </w:p>
    <w:p>
      <w:pPr>
        <w:pStyle w:val="31"/>
        <w:spacing w:before="0" w:beforeAutospacing="0" w:after="0" w:afterAutospacing="0"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日期：年　月　日</w:t>
      </w: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p>
    <w:p>
      <w:pPr>
        <w:pStyle w:val="31"/>
        <w:spacing w:before="0" w:beforeAutospacing="0" w:after="0" w:afterAutospacing="0" w:line="360" w:lineRule="auto"/>
        <w:ind w:firstLine="480" w:firstLineChars="200"/>
        <w:rPr>
          <w:rFonts w:hint="eastAsia" w:ascii="宋体" w:hAnsi="宋体" w:eastAsia="宋体" w:cs="宋体"/>
          <w:color w:val="auto"/>
          <w:highlight w:val="none"/>
        </w:rPr>
      </w:pPr>
    </w:p>
    <w:p>
      <w:pPr>
        <w:keepLines/>
        <w:pageBreakBefore/>
        <w:jc w:val="center"/>
        <w:outlineLvl w:val="1"/>
        <w:rPr>
          <w:rFonts w:hint="eastAsia" w:ascii="宋体" w:hAnsi="宋体" w:eastAsia="宋体" w:cs="宋体"/>
          <w:b/>
          <w:bCs/>
          <w:color w:val="auto"/>
          <w:sz w:val="32"/>
          <w:szCs w:val="32"/>
          <w:highlight w:val="none"/>
          <w:lang w:eastAsia="zh-CN"/>
        </w:rPr>
      </w:pPr>
      <w:bookmarkStart w:id="211" w:name="_Toc425240482"/>
      <w:bookmarkStart w:id="212" w:name="_Toc420591668"/>
      <w:bookmarkStart w:id="213" w:name="_Toc421778387"/>
      <w:bookmarkStart w:id="214" w:name="_Toc3816"/>
      <w:bookmarkStart w:id="215" w:name="_Toc32443"/>
      <w:bookmarkStart w:id="216" w:name="_Toc3994"/>
      <w:bookmarkStart w:id="217" w:name="_Toc11697"/>
      <w:bookmarkStart w:id="218" w:name="_Toc2378"/>
      <w:r>
        <w:rPr>
          <w:rFonts w:hint="eastAsia" w:ascii="宋体" w:hAnsi="宋体" w:eastAsia="宋体" w:cs="宋体"/>
          <w:b/>
          <w:bCs/>
          <w:color w:val="auto"/>
          <w:sz w:val="32"/>
          <w:szCs w:val="32"/>
          <w:highlight w:val="none"/>
        </w:rPr>
        <w:t>二、</w:t>
      </w:r>
      <w:bookmarkEnd w:id="211"/>
      <w:bookmarkEnd w:id="212"/>
      <w:bookmarkEnd w:id="213"/>
      <w:bookmarkEnd w:id="214"/>
      <w:bookmarkEnd w:id="215"/>
      <w:bookmarkEnd w:id="216"/>
      <w:r>
        <w:rPr>
          <w:rFonts w:hint="eastAsia" w:ascii="宋体" w:hAnsi="宋体" w:eastAsia="宋体" w:cs="宋体"/>
          <w:b/>
          <w:bCs/>
          <w:color w:val="auto"/>
          <w:sz w:val="32"/>
          <w:szCs w:val="32"/>
          <w:highlight w:val="none"/>
          <w:lang w:eastAsia="zh-CN"/>
        </w:rPr>
        <w:t>磋商报价表</w:t>
      </w:r>
      <w:bookmarkEnd w:id="217"/>
      <w:bookmarkEnd w:id="21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restart"/>
            <w:noWrap w:val="0"/>
            <w:vAlign w:val="center"/>
          </w:tcPr>
          <w:p>
            <w:pPr>
              <w:jc w:val="center"/>
              <w:rPr>
                <w:rFonts w:ascii="宋体"/>
                <w:color w:val="000000"/>
                <w:sz w:val="24"/>
                <w:szCs w:val="24"/>
              </w:rPr>
            </w:pPr>
            <w:r>
              <w:rPr>
                <w:rFonts w:hint="eastAsia" w:ascii="宋体" w:hAnsi="宋体" w:cs="宋体"/>
                <w:color w:val="000000"/>
                <w:sz w:val="24"/>
                <w:szCs w:val="24"/>
                <w:lang w:val="en-US" w:eastAsia="zh-CN"/>
              </w:rPr>
              <w:t>磋商</w:t>
            </w:r>
            <w:r>
              <w:rPr>
                <w:rFonts w:hint="eastAsia" w:ascii="宋体" w:hAnsi="宋体" w:cs="宋体"/>
                <w:color w:val="000000"/>
                <w:sz w:val="24"/>
                <w:szCs w:val="24"/>
              </w:rPr>
              <w:t>总报价（元）</w:t>
            </w:r>
          </w:p>
        </w:tc>
        <w:tc>
          <w:tcPr>
            <w:tcW w:w="6598" w:type="dxa"/>
            <w:noWrap w:val="0"/>
            <w:vAlign w:val="center"/>
          </w:tcPr>
          <w:p>
            <w:pPr>
              <w:rPr>
                <w:rFonts w:ascii="宋体"/>
                <w:sz w:val="24"/>
                <w:szCs w:val="24"/>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continue"/>
            <w:noWrap w:val="0"/>
            <w:vAlign w:val="center"/>
          </w:tcPr>
          <w:p>
            <w:pPr>
              <w:jc w:val="center"/>
              <w:rPr>
                <w:rFonts w:ascii="宋体"/>
                <w:color w:val="000000"/>
                <w:sz w:val="24"/>
                <w:szCs w:val="24"/>
              </w:rPr>
            </w:pPr>
          </w:p>
        </w:tc>
        <w:tc>
          <w:tcPr>
            <w:tcW w:w="6598" w:type="dxa"/>
            <w:noWrap w:val="0"/>
            <w:vAlign w:val="center"/>
          </w:tcPr>
          <w:p>
            <w:pPr>
              <w:rPr>
                <w:rFonts w:ascii="宋体"/>
                <w:sz w:val="24"/>
                <w:szCs w:val="24"/>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noWrap w:val="0"/>
            <w:vAlign w:val="center"/>
          </w:tcPr>
          <w:p>
            <w:pPr>
              <w:jc w:val="center"/>
              <w:rPr>
                <w:rFonts w:ascii="宋体"/>
                <w:color w:val="000000"/>
                <w:sz w:val="24"/>
                <w:szCs w:val="24"/>
              </w:rPr>
            </w:pPr>
            <w:r>
              <w:rPr>
                <w:rFonts w:hint="eastAsia" w:ascii="宋体" w:hAnsi="宋体" w:cs="宋体"/>
                <w:color w:val="000000"/>
                <w:sz w:val="24"/>
                <w:szCs w:val="24"/>
              </w:rPr>
              <w:t>质量标准</w:t>
            </w:r>
          </w:p>
        </w:tc>
        <w:tc>
          <w:tcPr>
            <w:tcW w:w="6598" w:type="dxa"/>
            <w:noWrap w:val="0"/>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noWrap w:val="0"/>
            <w:vAlign w:val="center"/>
          </w:tcPr>
          <w:p>
            <w:pPr>
              <w:jc w:val="center"/>
              <w:rPr>
                <w:rFonts w:ascii="宋体"/>
                <w:color w:val="000000"/>
                <w:sz w:val="24"/>
                <w:szCs w:val="24"/>
              </w:rPr>
            </w:pPr>
            <w:r>
              <w:rPr>
                <w:rFonts w:hint="eastAsia" w:ascii="宋体" w:hAnsi="宋体" w:cs="宋体"/>
                <w:color w:val="000000"/>
                <w:sz w:val="24"/>
                <w:szCs w:val="24"/>
              </w:rPr>
              <w:t>工期</w:t>
            </w:r>
          </w:p>
        </w:tc>
        <w:tc>
          <w:tcPr>
            <w:tcW w:w="6598" w:type="dxa"/>
            <w:noWrap w:val="0"/>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noWrap w:val="0"/>
            <w:vAlign w:val="center"/>
          </w:tcPr>
          <w:p>
            <w:pPr>
              <w:jc w:val="center"/>
              <w:rPr>
                <w:rFonts w:ascii="宋体"/>
                <w:color w:val="000000"/>
                <w:sz w:val="24"/>
                <w:szCs w:val="24"/>
              </w:rPr>
            </w:pPr>
            <w:r>
              <w:rPr>
                <w:rFonts w:hint="eastAsia" w:ascii="宋体" w:hAnsi="宋体" w:cs="宋体"/>
                <w:color w:val="000000"/>
                <w:sz w:val="24"/>
                <w:szCs w:val="24"/>
              </w:rPr>
              <w:t>项目经理</w:t>
            </w:r>
          </w:p>
        </w:tc>
        <w:tc>
          <w:tcPr>
            <w:tcW w:w="6598" w:type="dxa"/>
            <w:noWrap w:val="0"/>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noWrap w:val="0"/>
            <w:vAlign w:val="center"/>
          </w:tcPr>
          <w:p>
            <w:pPr>
              <w:jc w:val="center"/>
              <w:rPr>
                <w:rFonts w:ascii="宋体"/>
                <w:sz w:val="24"/>
                <w:szCs w:val="24"/>
              </w:rPr>
            </w:pPr>
            <w:r>
              <w:rPr>
                <w:rFonts w:hint="eastAsia" w:ascii="宋体" w:hAnsi="宋体" w:cs="宋体"/>
                <w:sz w:val="24"/>
                <w:szCs w:val="24"/>
              </w:rPr>
              <w:t>备注</w:t>
            </w:r>
          </w:p>
        </w:tc>
        <w:tc>
          <w:tcPr>
            <w:tcW w:w="6598" w:type="dxa"/>
            <w:noWrap w:val="0"/>
            <w:vAlign w:val="center"/>
          </w:tcPr>
          <w:p>
            <w:pPr>
              <w:rPr>
                <w:rFonts w:ascii="宋体"/>
                <w:sz w:val="24"/>
                <w:szCs w:val="24"/>
              </w:rPr>
            </w:pPr>
          </w:p>
        </w:tc>
      </w:tr>
    </w:tbl>
    <w:p>
      <w:pPr>
        <w:spacing w:line="120" w:lineRule="exact"/>
        <w:rPr>
          <w:rFonts w:hint="eastAsia" w:ascii="宋体" w:hAnsi="宋体" w:eastAsia="宋体" w:cs="宋体"/>
          <w:color w:val="auto"/>
          <w:sz w:val="24"/>
          <w:szCs w:val="24"/>
          <w:highlight w:val="none"/>
        </w:rPr>
      </w:pP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注：1、以上表内报价内容以元为单位，保留小数点后两位。</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2、本表应按“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须知”的规定密封单独提交。</w:t>
      </w:r>
    </w:p>
    <w:p>
      <w:pPr>
        <w:spacing w:line="280" w:lineRule="exact"/>
        <w:ind w:right="540" w:rightChars="257" w:firstLine="4440" w:firstLineChars="1850"/>
        <w:jc w:val="left"/>
        <w:rPr>
          <w:rFonts w:hint="eastAsia" w:ascii="宋体" w:hAnsi="宋体" w:eastAsia="宋体" w:cs="宋体"/>
          <w:color w:val="auto"/>
          <w:sz w:val="24"/>
          <w:szCs w:val="24"/>
          <w:highlight w:val="none"/>
        </w:rPr>
      </w:pPr>
    </w:p>
    <w:p>
      <w:pPr>
        <w:spacing w:line="280" w:lineRule="exact"/>
        <w:ind w:right="540" w:rightChars="257" w:firstLine="4440" w:firstLineChars="1850"/>
        <w:jc w:val="right"/>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ind w:right="630" w:right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（加盖单位公章）</w:t>
      </w:r>
    </w:p>
    <w:p>
      <w:pPr>
        <w:keepNext w:val="0"/>
        <w:keepLines w:val="0"/>
        <w:pageBreakBefore w:val="0"/>
        <w:widowControl w:val="0"/>
        <w:kinsoku/>
        <w:wordWrap/>
        <w:overflowPunct/>
        <w:topLinePunct w:val="0"/>
        <w:autoSpaceDE/>
        <w:autoSpaceDN/>
        <w:bidi w:val="0"/>
        <w:adjustRightInd/>
        <w:snapToGrid/>
        <w:spacing w:line="280" w:lineRule="exact"/>
        <w:ind w:right="630" w:rightChars="300" w:firstLine="360" w:firstLineChars="15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ind w:right="630" w:rightChars="300" w:firstLine="4440" w:firstLineChars="185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ind w:right="630" w:right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w:t>
      </w:r>
      <w:r>
        <w:rPr>
          <w:rFonts w:hint="eastAsia" w:ascii="宋体" w:hAnsi="宋体" w:eastAsia="宋体" w:cs="宋体"/>
          <w:color w:val="auto"/>
          <w:sz w:val="24"/>
          <w:szCs w:val="24"/>
          <w:highlight w:val="none"/>
          <w:lang w:eastAsia="zh-CN"/>
        </w:rPr>
        <w:t>字或盖</w:t>
      </w:r>
      <w:r>
        <w:rPr>
          <w:rFonts w:hint="eastAsia" w:ascii="宋体" w:hAnsi="宋体" w:eastAsia="宋体" w:cs="宋体"/>
          <w:color w:val="auto"/>
          <w:sz w:val="24"/>
          <w:szCs w:val="24"/>
          <w:highlight w:val="none"/>
        </w:rPr>
        <w:t>章）</w:t>
      </w:r>
    </w:p>
    <w:p>
      <w:pPr>
        <w:keepNext w:val="0"/>
        <w:keepLines w:val="0"/>
        <w:pageBreakBefore w:val="0"/>
        <w:widowControl w:val="0"/>
        <w:kinsoku/>
        <w:wordWrap/>
        <w:overflowPunct/>
        <w:topLinePunct w:val="0"/>
        <w:autoSpaceDE/>
        <w:autoSpaceDN/>
        <w:bidi w:val="0"/>
        <w:adjustRightInd/>
        <w:snapToGrid/>
        <w:spacing w:line="280" w:lineRule="exact"/>
        <w:ind w:right="630" w:rightChars="300" w:firstLine="4440" w:firstLineChars="185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ind w:right="630" w:rightChars="30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ind w:right="630" w:rightChars="3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Lines/>
        <w:pageBreakBefore/>
        <w:jc w:val="center"/>
        <w:outlineLvl w:val="1"/>
        <w:rPr>
          <w:rFonts w:hint="eastAsia" w:ascii="宋体" w:hAnsi="宋体" w:eastAsia="宋体" w:cs="宋体"/>
          <w:b/>
          <w:bCs/>
          <w:color w:val="auto"/>
          <w:sz w:val="32"/>
          <w:szCs w:val="32"/>
          <w:highlight w:val="none"/>
        </w:rPr>
      </w:pPr>
      <w:bookmarkStart w:id="219" w:name="_Toc421778388"/>
      <w:bookmarkStart w:id="220" w:name="_Toc17870"/>
      <w:bookmarkStart w:id="221" w:name="_Toc8191"/>
      <w:bookmarkStart w:id="222" w:name="_Toc23559"/>
      <w:bookmarkStart w:id="223" w:name="_Toc14400"/>
      <w:bookmarkStart w:id="224" w:name="_Toc420591669"/>
      <w:bookmarkStart w:id="225" w:name="_Toc425240483"/>
      <w:bookmarkStart w:id="226" w:name="_Toc691"/>
      <w:r>
        <w:rPr>
          <w:rFonts w:hint="eastAsia" w:ascii="宋体" w:hAnsi="宋体" w:eastAsia="宋体" w:cs="宋体"/>
          <w:b/>
          <w:bCs/>
          <w:color w:val="auto"/>
          <w:sz w:val="32"/>
          <w:szCs w:val="32"/>
          <w:highlight w:val="none"/>
        </w:rPr>
        <w:t>三、法定代表人身份证明</w:t>
      </w:r>
      <w:bookmarkEnd w:id="219"/>
      <w:bookmarkEnd w:id="220"/>
      <w:bookmarkEnd w:id="221"/>
      <w:bookmarkEnd w:id="222"/>
      <w:bookmarkEnd w:id="223"/>
      <w:bookmarkEnd w:id="224"/>
      <w:bookmarkEnd w:id="225"/>
      <w:bookmarkEnd w:id="226"/>
    </w:p>
    <w:p>
      <w:pPr>
        <w:spacing w:line="360" w:lineRule="auto"/>
        <w:ind w:firstLine="420" w:firstLineChars="200"/>
        <w:rPr>
          <w:rFonts w:hint="eastAsia" w:ascii="宋体" w:hAnsi="宋体" w:eastAsia="宋体" w:cs="宋体"/>
          <w:color w:val="auto"/>
          <w:highlight w:val="none"/>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r>
        <w:rPr>
          <w:rFonts w:hint="eastAsia" w:ascii="宋体" w:hAnsi="宋体" w:cs="宋体"/>
          <w:color w:val="auto"/>
          <w:sz w:val="24"/>
          <w:szCs w:val="24"/>
          <w:highlight w:val="none"/>
          <w:lang w:val="en-US" w:eastAsia="zh-CN"/>
        </w:rPr>
        <w:t>或扫描件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rPr>
        <w:t>）</w:t>
      </w:r>
    </w:p>
    <w:p>
      <w:pPr>
        <w:pStyle w:val="13"/>
        <w:jc w:val="both"/>
        <w:rPr>
          <w:rFonts w:hint="eastAsia" w:ascii="宋体" w:hAnsi="宋体" w:eastAsia="宋体" w:cs="宋体"/>
          <w:color w:val="auto"/>
          <w:highlight w:val="none"/>
        </w:rPr>
      </w:pPr>
    </w:p>
    <w:p>
      <w:pPr>
        <w:spacing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spacing w:line="360" w:lineRule="auto"/>
        <w:ind w:firstLine="5160" w:firstLineChars="2150"/>
        <w:rPr>
          <w:rFonts w:hint="eastAsia" w:ascii="宋体" w:hAnsi="宋体" w:eastAsia="宋体" w:cs="宋体"/>
          <w:color w:val="auto"/>
          <w:sz w:val="24"/>
          <w:szCs w:val="24"/>
          <w:highlight w:val="none"/>
          <w:u w:val="single"/>
        </w:rPr>
      </w:pPr>
    </w:p>
    <w:p>
      <w:pPr>
        <w:spacing w:line="360" w:lineRule="auto"/>
        <w:ind w:firstLine="5040" w:firstLineChars="2100"/>
        <w:rPr>
          <w:rFonts w:hint="eastAsia" w:ascii="宋体" w:hAnsi="宋体" w:eastAsia="宋体" w:cs="宋体"/>
          <w:color w:val="auto"/>
          <w:sz w:val="24"/>
          <w:szCs w:val="24"/>
          <w:highlight w:val="none"/>
        </w:rPr>
        <w:sectPr>
          <w:pgSz w:w="11906" w:h="16838"/>
          <w:pgMar w:top="1417" w:right="1417" w:bottom="1417" w:left="1701" w:header="851" w:footer="992" w:gutter="0"/>
          <w:pgNumType w:fmt="decimal"/>
          <w:cols w:space="0" w:num="1"/>
          <w:docGrid w:type="lines" w:linePitch="312" w:charSpace="0"/>
        </w:sect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Lines/>
        <w:pageBreakBefore/>
        <w:spacing w:line="360" w:lineRule="auto"/>
        <w:jc w:val="center"/>
        <w:outlineLvl w:val="1"/>
        <w:rPr>
          <w:rFonts w:hint="eastAsia" w:ascii="宋体" w:hAnsi="宋体" w:eastAsia="宋体" w:cs="宋体"/>
          <w:b/>
          <w:bCs/>
          <w:color w:val="auto"/>
          <w:sz w:val="32"/>
          <w:szCs w:val="32"/>
          <w:highlight w:val="none"/>
        </w:rPr>
      </w:pPr>
      <w:bookmarkStart w:id="227" w:name="_Toc425240484"/>
      <w:bookmarkStart w:id="228" w:name="_Toc420591670"/>
      <w:bookmarkStart w:id="229" w:name="_Toc30137"/>
      <w:bookmarkStart w:id="230" w:name="_Toc13782"/>
      <w:bookmarkStart w:id="231" w:name="_Toc1856"/>
      <w:bookmarkStart w:id="232" w:name="_Toc421778389"/>
      <w:bookmarkStart w:id="233" w:name="_Toc9626"/>
      <w:bookmarkStart w:id="234" w:name="_Toc13749"/>
      <w:r>
        <w:rPr>
          <w:rFonts w:hint="eastAsia" w:ascii="宋体" w:hAnsi="宋体" w:eastAsia="宋体" w:cs="宋体"/>
          <w:b/>
          <w:bCs/>
          <w:color w:val="auto"/>
          <w:sz w:val="32"/>
          <w:szCs w:val="32"/>
          <w:highlight w:val="none"/>
        </w:rPr>
        <w:t>四、法人授权委托书</w:t>
      </w:r>
      <w:bookmarkEnd w:id="227"/>
      <w:bookmarkEnd w:id="228"/>
      <w:bookmarkEnd w:id="229"/>
      <w:bookmarkEnd w:id="230"/>
      <w:bookmarkEnd w:id="231"/>
      <w:bookmarkEnd w:id="232"/>
      <w:bookmarkEnd w:id="233"/>
      <w:bookmarkEnd w:id="2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、签订合同和处理有关事宜，其法律后果由我方承担。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ind w:firstLine="480" w:firstLineChars="200"/>
        <w:rPr>
          <w:rFonts w:hint="eastAsia" w:ascii="宋体" w:hAnsi="宋体" w:eastAsia="宋体" w:cs="宋体"/>
          <w:color w:val="auto"/>
          <w:sz w:val="24"/>
          <w:szCs w:val="24"/>
          <w:highlight w:val="none"/>
        </w:rPr>
      </w:pPr>
      <w:bookmarkStart w:id="235" w:name="_Toc214090947"/>
      <w:bookmarkStart w:id="236" w:name="_Toc201637979"/>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签字生效，特此证明！</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委托期限：自</w:t>
      </w:r>
      <w:r>
        <w:rPr>
          <w:rFonts w:hint="eastAsia" w:ascii="宋体" w:hAnsi="宋体" w:cs="宋体"/>
          <w:color w:val="auto"/>
          <w:sz w:val="24"/>
          <w:szCs w:val="24"/>
          <w:highlight w:val="none"/>
          <w:lang w:val="en-US" w:eastAsia="zh-CN"/>
        </w:rPr>
        <w:t>磋商截止之日起90个日历天。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字或盖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被授权人签字：</w:t>
      </w:r>
      <w:bookmarkEnd w:id="235"/>
      <w:bookmarkEnd w:id="236"/>
    </w:p>
    <w:p>
      <w:pPr>
        <w:spacing w:line="360" w:lineRule="auto"/>
        <w:ind w:firstLine="480" w:firstLineChars="200"/>
        <w:rPr>
          <w:rFonts w:hint="eastAsia" w:ascii="宋体" w:hAnsi="宋体" w:eastAsia="宋体" w:cs="宋体"/>
          <w:color w:val="auto"/>
          <w:sz w:val="24"/>
          <w:szCs w:val="24"/>
          <w:highlight w:val="none"/>
        </w:rPr>
      </w:pPr>
      <w:bookmarkStart w:id="237" w:name="_Toc201637980"/>
      <w:bookmarkStart w:id="238" w:name="_Toc214090948"/>
      <w:r>
        <w:rPr>
          <w:rFonts w:hint="eastAsia" w:ascii="宋体" w:hAnsi="宋体" w:eastAsia="宋体" w:cs="宋体"/>
          <w:color w:val="auto"/>
          <w:sz w:val="24"/>
          <w:szCs w:val="24"/>
          <w:highlight w:val="none"/>
        </w:rPr>
        <w:t>职务：</w:t>
      </w:r>
      <w:bookmarkEnd w:id="237"/>
      <w:bookmarkEnd w:id="238"/>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p>
    <w:p>
      <w:pPr>
        <w:spacing w:line="360" w:lineRule="auto"/>
        <w:ind w:firstLine="480" w:firstLineChars="200"/>
        <w:rPr>
          <w:rFonts w:hint="eastAsia" w:ascii="宋体" w:hAnsi="宋体" w:eastAsia="宋体" w:cs="宋体"/>
          <w:color w:val="auto"/>
          <w:sz w:val="24"/>
          <w:szCs w:val="24"/>
          <w:highlight w:val="none"/>
        </w:rPr>
      </w:pPr>
      <w:bookmarkStart w:id="239" w:name="_Toc201637981"/>
      <w:bookmarkStart w:id="240" w:name="_Toc214090949"/>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w:t>
      </w:r>
      <w:bookmarkEnd w:id="239"/>
      <w:bookmarkEnd w:id="240"/>
    </w:p>
    <w:p>
      <w:pPr>
        <w:spacing w:line="360" w:lineRule="auto"/>
        <w:rPr>
          <w:rFonts w:hint="eastAsia" w:ascii="宋体" w:hAnsi="宋体" w:eastAsia="宋体" w:cs="宋体"/>
          <w:color w:val="auto"/>
          <w:sz w:val="24"/>
          <w:szCs w:val="24"/>
          <w:highlight w:val="none"/>
        </w:rPr>
      </w:pPr>
      <w:bookmarkStart w:id="241" w:name="_Toc201637982"/>
      <w:bookmarkStart w:id="242" w:name="_Toc214090950"/>
      <w:r>
        <w:rPr>
          <w:rFonts w:hint="eastAsia" w:ascii="宋体" w:hAnsi="宋体" w:eastAsia="宋体" w:cs="宋体"/>
          <w:color w:val="auto"/>
          <w:sz w:val="24"/>
          <w:szCs w:val="24"/>
          <w:highlight w:val="none"/>
        </w:rPr>
        <w:t>附：法定代表人、被授权人身份证复印件</w:t>
      </w:r>
      <w:r>
        <w:rPr>
          <w:rFonts w:hint="eastAsia" w:ascii="宋体" w:hAnsi="宋体" w:cs="宋体"/>
          <w:color w:val="auto"/>
          <w:sz w:val="24"/>
          <w:szCs w:val="24"/>
          <w:highlight w:val="none"/>
          <w:lang w:val="en-US" w:eastAsia="zh-CN"/>
        </w:rPr>
        <w:t>或扫描件</w:t>
      </w:r>
      <w:r>
        <w:rPr>
          <w:rFonts w:hint="eastAsia" w:ascii="宋体" w:hAnsi="宋体" w:eastAsia="宋体" w:cs="宋体"/>
          <w:color w:val="auto"/>
          <w:sz w:val="24"/>
          <w:szCs w:val="24"/>
          <w:highlight w:val="none"/>
        </w:rPr>
        <w:t>。</w:t>
      </w:r>
      <w:bookmarkEnd w:id="241"/>
      <w:bookmarkEnd w:id="242"/>
    </w:p>
    <w:tbl>
      <w:tblPr>
        <w:tblStyle w:val="34"/>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default" w:ascii="宋体" w:hAnsi="宋体" w:eastAsia="宋体" w:cs="宋体"/>
                <w:color w:val="auto"/>
                <w:sz w:val="24"/>
                <w:szCs w:val="24"/>
                <w:highlight w:val="none"/>
                <w:lang w:val="en-US" w:eastAsia="zh-CN"/>
              </w:rPr>
            </w:pPr>
            <w:bookmarkStart w:id="243" w:name="_Toc201637983"/>
            <w:bookmarkStart w:id="244" w:name="_Toc214090951"/>
            <w:r>
              <w:rPr>
                <w:rFonts w:hint="eastAsia" w:ascii="宋体" w:hAnsi="宋体" w:eastAsia="宋体" w:cs="宋体"/>
                <w:color w:val="auto"/>
                <w:sz w:val="24"/>
                <w:szCs w:val="24"/>
                <w:highlight w:val="none"/>
              </w:rPr>
              <w:t>法定代表人身份证复印件</w:t>
            </w:r>
            <w:bookmarkEnd w:id="243"/>
            <w:bookmarkEnd w:id="244"/>
            <w:r>
              <w:rPr>
                <w:rFonts w:hint="eastAsia" w:ascii="宋体" w:hAnsi="宋体" w:cs="宋体"/>
                <w:color w:val="auto"/>
                <w:sz w:val="24"/>
                <w:szCs w:val="24"/>
                <w:highlight w:val="none"/>
                <w:lang w:val="en-US" w:eastAsia="zh-CN"/>
              </w:rPr>
              <w:t>或扫描件</w:t>
            </w:r>
          </w:p>
          <w:p>
            <w:pPr>
              <w:spacing w:line="360" w:lineRule="auto"/>
              <w:jc w:val="center"/>
              <w:rPr>
                <w:rFonts w:hint="eastAsia" w:ascii="宋体" w:hAnsi="宋体" w:eastAsia="宋体" w:cs="宋体"/>
                <w:color w:val="auto"/>
                <w:sz w:val="24"/>
                <w:szCs w:val="24"/>
                <w:highlight w:val="none"/>
              </w:rPr>
            </w:pPr>
          </w:p>
        </w:tc>
        <w:tc>
          <w:tcPr>
            <w:tcW w:w="4649" w:type="dxa"/>
            <w:vAlign w:val="center"/>
          </w:tcPr>
          <w:p>
            <w:pPr>
              <w:spacing w:line="360" w:lineRule="auto"/>
              <w:jc w:val="center"/>
              <w:rPr>
                <w:rFonts w:hint="eastAsia" w:ascii="宋体" w:hAnsi="宋体" w:eastAsia="宋体" w:cs="宋体"/>
                <w:color w:val="auto"/>
                <w:sz w:val="24"/>
                <w:szCs w:val="24"/>
                <w:highlight w:val="none"/>
              </w:rPr>
            </w:pPr>
            <w:bookmarkStart w:id="245" w:name="_Toc201637985"/>
            <w:bookmarkStart w:id="246" w:name="_Toc214090953"/>
            <w:r>
              <w:rPr>
                <w:rFonts w:hint="eastAsia" w:ascii="宋体" w:hAnsi="宋体" w:eastAsia="宋体" w:cs="宋体"/>
                <w:color w:val="auto"/>
                <w:sz w:val="24"/>
                <w:szCs w:val="24"/>
                <w:highlight w:val="none"/>
              </w:rPr>
              <w:t>被授权人身份证复印件</w:t>
            </w:r>
            <w:bookmarkEnd w:id="245"/>
            <w:bookmarkEnd w:id="246"/>
            <w:r>
              <w:rPr>
                <w:rFonts w:hint="eastAsia" w:ascii="宋体" w:hAnsi="宋体" w:cs="宋体"/>
                <w:color w:val="auto"/>
                <w:sz w:val="24"/>
                <w:szCs w:val="24"/>
                <w:highlight w:val="none"/>
                <w:lang w:val="en-US" w:eastAsia="zh-CN"/>
              </w:rPr>
              <w:t>或扫描件</w:t>
            </w:r>
          </w:p>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宋体" w:hAnsi="宋体" w:eastAsia="宋体" w:cs="宋体"/>
                <w:color w:val="auto"/>
                <w:sz w:val="24"/>
                <w:szCs w:val="24"/>
                <w:highlight w:val="none"/>
              </w:rPr>
            </w:pPr>
            <w:bookmarkStart w:id="247" w:name="_Toc214090955"/>
            <w:bookmarkStart w:id="248" w:name="_Toc201637987"/>
            <w:r>
              <w:rPr>
                <w:rFonts w:hint="eastAsia" w:ascii="宋体" w:hAnsi="宋体" w:eastAsia="宋体" w:cs="宋体"/>
                <w:color w:val="auto"/>
                <w:sz w:val="24"/>
                <w:szCs w:val="24"/>
                <w:highlight w:val="none"/>
              </w:rPr>
              <w:t>法定代表人身份证复印件</w:t>
            </w:r>
            <w:bookmarkEnd w:id="247"/>
            <w:bookmarkEnd w:id="248"/>
            <w:r>
              <w:rPr>
                <w:rFonts w:hint="eastAsia" w:ascii="宋体" w:hAnsi="宋体" w:cs="宋体"/>
                <w:color w:val="auto"/>
                <w:sz w:val="24"/>
                <w:szCs w:val="24"/>
                <w:highlight w:val="none"/>
                <w:lang w:val="en-US" w:eastAsia="zh-CN"/>
              </w:rPr>
              <w:t>或扫描件</w:t>
            </w:r>
          </w:p>
          <w:p>
            <w:pPr>
              <w:spacing w:line="360" w:lineRule="auto"/>
              <w:jc w:val="center"/>
              <w:rPr>
                <w:rFonts w:hint="eastAsia" w:ascii="宋体" w:hAnsi="宋体" w:eastAsia="宋体" w:cs="宋体"/>
                <w:color w:val="auto"/>
                <w:sz w:val="24"/>
                <w:szCs w:val="24"/>
                <w:highlight w:val="none"/>
              </w:rPr>
            </w:pPr>
          </w:p>
        </w:tc>
        <w:tc>
          <w:tcPr>
            <w:tcW w:w="4649" w:type="dxa"/>
            <w:vAlign w:val="center"/>
          </w:tcPr>
          <w:p>
            <w:pPr>
              <w:spacing w:line="360" w:lineRule="auto"/>
              <w:jc w:val="center"/>
              <w:rPr>
                <w:rFonts w:hint="eastAsia" w:ascii="宋体" w:hAnsi="宋体" w:eastAsia="宋体" w:cs="宋体"/>
                <w:color w:val="auto"/>
                <w:sz w:val="24"/>
                <w:szCs w:val="24"/>
                <w:highlight w:val="none"/>
              </w:rPr>
            </w:pPr>
            <w:bookmarkStart w:id="249" w:name="_Toc214090957"/>
            <w:bookmarkStart w:id="250" w:name="_Toc201637989"/>
            <w:r>
              <w:rPr>
                <w:rFonts w:hint="eastAsia" w:ascii="宋体" w:hAnsi="宋体" w:eastAsia="宋体" w:cs="宋体"/>
                <w:color w:val="auto"/>
                <w:sz w:val="24"/>
                <w:szCs w:val="24"/>
                <w:highlight w:val="none"/>
              </w:rPr>
              <w:t>被授权人身份证复印件</w:t>
            </w:r>
            <w:bookmarkEnd w:id="249"/>
            <w:bookmarkEnd w:id="250"/>
            <w:r>
              <w:rPr>
                <w:rFonts w:hint="eastAsia" w:ascii="宋体" w:hAnsi="宋体" w:cs="宋体"/>
                <w:color w:val="auto"/>
                <w:sz w:val="24"/>
                <w:szCs w:val="24"/>
                <w:highlight w:val="none"/>
                <w:lang w:val="en-US" w:eastAsia="zh-CN"/>
              </w:rPr>
              <w:t>或扫描件</w:t>
            </w:r>
          </w:p>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spacing w:line="480" w:lineRule="auto"/>
        <w:ind w:left="424" w:leftChars="202" w:right="540" w:rightChars="257"/>
        <w:jc w:val="left"/>
        <w:rPr>
          <w:rFonts w:hint="eastAsia" w:ascii="宋体" w:hAnsi="宋体" w:eastAsia="宋体" w:cs="宋体"/>
          <w:color w:val="auto"/>
          <w:sz w:val="24"/>
          <w:szCs w:val="24"/>
          <w:highlight w:val="none"/>
        </w:rPr>
      </w:pPr>
      <w:bookmarkStart w:id="251" w:name="_Toc421778390"/>
      <w:bookmarkStart w:id="252" w:name="_Toc425240485"/>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（加盖单位公章）      </w:t>
      </w:r>
    </w:p>
    <w:p>
      <w:pPr>
        <w:spacing w:line="480" w:lineRule="auto"/>
        <w:ind w:right="540" w:rightChars="257" w:firstLine="480"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注：法定代表人参加时无需提供。</w:t>
      </w:r>
      <w:r>
        <w:rPr>
          <w:rFonts w:hint="eastAsia" w:ascii="宋体" w:hAnsi="宋体" w:eastAsia="宋体" w:cs="宋体"/>
          <w:color w:val="auto"/>
          <w:sz w:val="24"/>
          <w:szCs w:val="24"/>
          <w:highlight w:val="none"/>
        </w:rPr>
        <w:br w:type="page"/>
      </w:r>
    </w:p>
    <w:p>
      <w:pPr>
        <w:keepLines/>
        <w:pageBreakBefore/>
        <w:jc w:val="center"/>
        <w:outlineLvl w:val="1"/>
        <w:rPr>
          <w:rFonts w:hint="eastAsia" w:ascii="宋体" w:hAnsi="宋体" w:eastAsia="宋体" w:cs="宋体"/>
          <w:b/>
          <w:bCs/>
          <w:color w:val="auto"/>
          <w:sz w:val="32"/>
          <w:szCs w:val="32"/>
          <w:highlight w:val="none"/>
        </w:rPr>
      </w:pPr>
      <w:bookmarkStart w:id="253" w:name="_Toc8044"/>
      <w:bookmarkStart w:id="254" w:name="_Toc7828"/>
      <w:bookmarkStart w:id="255" w:name="_Toc32529"/>
      <w:bookmarkStart w:id="256" w:name="_Toc13497"/>
      <w:bookmarkStart w:id="257" w:name="_Toc16495"/>
      <w:r>
        <w:rPr>
          <w:rFonts w:hint="eastAsia" w:ascii="宋体" w:hAnsi="宋体" w:eastAsia="宋体" w:cs="宋体"/>
          <w:b/>
          <w:bCs/>
          <w:color w:val="auto"/>
          <w:sz w:val="32"/>
          <w:szCs w:val="32"/>
          <w:highlight w:val="none"/>
        </w:rPr>
        <w:t>五、已标价工程量清单</w:t>
      </w:r>
      <w:bookmarkEnd w:id="253"/>
      <w:bookmarkEnd w:id="254"/>
      <w:bookmarkEnd w:id="255"/>
      <w:bookmarkEnd w:id="256"/>
      <w:bookmarkEnd w:id="257"/>
    </w:p>
    <w:p>
      <w:pPr>
        <w:pStyle w:val="79"/>
        <w:spacing w:line="480" w:lineRule="auto"/>
        <w:rPr>
          <w:rFonts w:hint="eastAsia" w:ascii="宋体" w:hAnsi="宋体" w:eastAsia="宋体" w:cs="宋体"/>
          <w:b w:val="0"/>
          <w:bCs w:val="0"/>
          <w:color w:val="auto"/>
          <w:sz w:val="24"/>
          <w:szCs w:val="24"/>
          <w:highlight w:val="none"/>
        </w:rPr>
      </w:pPr>
    </w:p>
    <w:p>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应按以上目录装订</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的报价部分，已标价工程量清单按陕水规计发〔2019〕66号文颁发的《陕西省水利工程预算编制规定》</w:t>
      </w:r>
      <w:r>
        <w:rPr>
          <w:rFonts w:hint="eastAsia" w:ascii="宋体" w:hAnsi="宋体" w:eastAsia="宋体" w:cs="宋体"/>
          <w:color w:val="auto"/>
          <w:sz w:val="24"/>
          <w:szCs w:val="24"/>
          <w:highlight w:val="none"/>
          <w:lang w:val="en-US" w:eastAsia="zh-CN"/>
        </w:rPr>
        <w:t>计价</w:t>
      </w:r>
      <w:r>
        <w:rPr>
          <w:rFonts w:hint="eastAsia" w:ascii="宋体" w:hAnsi="宋体" w:eastAsia="宋体" w:cs="宋体"/>
          <w:color w:val="auto"/>
          <w:sz w:val="24"/>
          <w:szCs w:val="24"/>
          <w:highlight w:val="none"/>
        </w:rPr>
        <w:t>，用</w:t>
      </w:r>
      <w:r>
        <w:rPr>
          <w:rFonts w:hint="eastAsia" w:ascii="宋体" w:hAnsi="宋体" w:eastAsia="宋体" w:cs="宋体"/>
          <w:color w:val="auto"/>
          <w:sz w:val="24"/>
          <w:szCs w:val="24"/>
          <w:highlight w:val="none"/>
          <w:lang w:val="en-US" w:eastAsia="zh-CN"/>
        </w:rPr>
        <w:t>陕西易投水利造价软件</w:t>
      </w:r>
      <w:r>
        <w:rPr>
          <w:rFonts w:hint="eastAsia" w:ascii="宋体" w:hAnsi="宋体" w:eastAsia="宋体" w:cs="宋体"/>
          <w:color w:val="auto"/>
          <w:sz w:val="24"/>
          <w:szCs w:val="24"/>
          <w:highlight w:val="none"/>
        </w:rPr>
        <w:t>生成的格式填写。</w:t>
      </w:r>
    </w:p>
    <w:p>
      <w:pPr>
        <w:spacing w:line="480" w:lineRule="auto"/>
        <w:jc w:val="left"/>
        <w:rPr>
          <w:rFonts w:hint="eastAsia" w:ascii="宋体" w:hAnsi="宋体" w:eastAsia="宋体" w:cs="宋体"/>
          <w:color w:val="auto"/>
          <w:sz w:val="24"/>
          <w:szCs w:val="24"/>
          <w:highlight w:val="none"/>
        </w:rPr>
      </w:pPr>
    </w:p>
    <w:p>
      <w:pPr>
        <w:tabs>
          <w:tab w:val="left" w:pos="8177"/>
        </w:tabs>
        <w:spacing w:line="48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ab/>
      </w:r>
    </w:p>
    <w:p>
      <w:pPr>
        <w:spacing w:line="480" w:lineRule="auto"/>
        <w:jc w:val="left"/>
        <w:rPr>
          <w:rFonts w:hint="eastAsia" w:ascii="宋体" w:hAnsi="宋体" w:eastAsia="宋体" w:cs="宋体"/>
          <w:color w:val="auto"/>
          <w:sz w:val="24"/>
          <w:szCs w:val="24"/>
          <w:highlight w:val="none"/>
        </w:rPr>
      </w:pPr>
    </w:p>
    <w:p>
      <w:pPr>
        <w:spacing w:line="480" w:lineRule="auto"/>
        <w:jc w:val="left"/>
        <w:rPr>
          <w:rFonts w:hint="eastAsia" w:ascii="宋体" w:hAnsi="宋体" w:eastAsia="宋体" w:cs="宋体"/>
          <w:color w:val="auto"/>
          <w:sz w:val="24"/>
          <w:szCs w:val="24"/>
          <w:highlight w:val="none"/>
        </w:rPr>
      </w:pPr>
    </w:p>
    <w:p>
      <w:pPr>
        <w:spacing w:line="480" w:lineRule="auto"/>
        <w:jc w:val="left"/>
        <w:rPr>
          <w:rFonts w:hint="eastAsia" w:ascii="宋体" w:hAnsi="宋体" w:eastAsia="宋体" w:cs="宋体"/>
          <w:color w:val="auto"/>
          <w:sz w:val="24"/>
          <w:szCs w:val="24"/>
          <w:highlight w:val="none"/>
        </w:rPr>
      </w:pPr>
    </w:p>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58" w:name="_Toc3574"/>
      <w:bookmarkStart w:id="259" w:name="_Toc5947"/>
    </w:p>
    <w:p>
      <w:pPr>
        <w:keepLines/>
        <w:pageBreakBefore/>
        <w:jc w:val="center"/>
        <w:outlineLvl w:val="1"/>
        <w:rPr>
          <w:rFonts w:hint="eastAsia" w:ascii="宋体" w:hAnsi="宋体" w:eastAsia="宋体" w:cs="宋体"/>
          <w:b/>
          <w:bCs/>
          <w:color w:val="auto"/>
          <w:sz w:val="32"/>
          <w:szCs w:val="32"/>
          <w:highlight w:val="none"/>
        </w:rPr>
      </w:pPr>
      <w:bookmarkStart w:id="260" w:name="_Toc31551"/>
      <w:bookmarkStart w:id="261" w:name="_Toc6797"/>
      <w:bookmarkStart w:id="262" w:name="_Toc21095"/>
      <w:bookmarkStart w:id="263" w:name="_Toc15602"/>
      <w:bookmarkStart w:id="264" w:name="_Toc6747"/>
      <w:r>
        <w:rPr>
          <w:rFonts w:hint="eastAsia" w:ascii="宋体" w:hAnsi="宋体" w:eastAsia="宋体" w:cs="宋体"/>
          <w:b/>
          <w:bCs/>
          <w:color w:val="auto"/>
          <w:sz w:val="32"/>
          <w:szCs w:val="32"/>
          <w:highlight w:val="none"/>
        </w:rPr>
        <w:t>六、商务响应与说明</w:t>
      </w:r>
      <w:bookmarkEnd w:id="260"/>
      <w:bookmarkEnd w:id="261"/>
      <w:bookmarkEnd w:id="262"/>
      <w:bookmarkEnd w:id="263"/>
      <w:bookmarkEnd w:id="264"/>
    </w:p>
    <w:p>
      <w:pPr>
        <w:spacing w:line="408" w:lineRule="auto"/>
        <w:ind w:left="525" w:left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的商务要求</w:t>
      </w:r>
      <w:r>
        <w:rPr>
          <w:rFonts w:hint="eastAsia" w:ascii="宋体" w:hAnsi="宋体" w:cs="宋体"/>
          <w:color w:val="auto"/>
          <w:sz w:val="24"/>
          <w:szCs w:val="24"/>
          <w:highlight w:val="none"/>
          <w:lang w:val="en-US" w:eastAsia="zh-CN"/>
        </w:rPr>
        <w:t>及合同条款</w:t>
      </w:r>
      <w:r>
        <w:rPr>
          <w:rFonts w:hint="eastAsia" w:ascii="宋体" w:hAnsi="宋体" w:eastAsia="宋体" w:cs="宋体"/>
          <w:color w:val="auto"/>
          <w:sz w:val="24"/>
          <w:szCs w:val="24"/>
          <w:highlight w:val="none"/>
        </w:rPr>
        <w:t>编制商务响应与说明。</w:t>
      </w:r>
    </w:p>
    <w:tbl>
      <w:tblPr>
        <w:tblStyle w:val="34"/>
        <w:tblW w:w="8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07"/>
        <w:gridCol w:w="2285"/>
        <w:gridCol w:w="1874"/>
        <w:gridCol w:w="15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1"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序号</w:t>
            </w:r>
          </w:p>
        </w:tc>
        <w:tc>
          <w:tcPr>
            <w:tcW w:w="2007"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磋商</w:t>
            </w:r>
            <w:r>
              <w:rPr>
                <w:rFonts w:hint="eastAsia" w:ascii="宋体" w:hAnsi="宋体" w:eastAsia="宋体" w:cs="宋体"/>
                <w:b/>
                <w:color w:val="auto"/>
                <w:szCs w:val="24"/>
                <w:highlight w:val="none"/>
              </w:rPr>
              <w:t>文件要求</w:t>
            </w:r>
          </w:p>
        </w:tc>
        <w:tc>
          <w:tcPr>
            <w:tcW w:w="2285"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磋商响应</w:t>
            </w:r>
            <w:r>
              <w:rPr>
                <w:rFonts w:hint="eastAsia" w:ascii="宋体" w:hAnsi="宋体" w:eastAsia="宋体" w:cs="宋体"/>
                <w:b/>
                <w:color w:val="auto"/>
                <w:szCs w:val="24"/>
                <w:highlight w:val="none"/>
              </w:rPr>
              <w:t>文件响应</w:t>
            </w:r>
          </w:p>
        </w:tc>
        <w:tc>
          <w:tcPr>
            <w:tcW w:w="1874" w:type="dxa"/>
            <w:noWrap w:val="0"/>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偏离情况</w:t>
            </w:r>
          </w:p>
        </w:tc>
        <w:tc>
          <w:tcPr>
            <w:tcW w:w="1551" w:type="dxa"/>
            <w:noWrap w:val="0"/>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6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0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28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874"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1551" w:type="dxa"/>
            <w:noWrap w:val="0"/>
            <w:vAlign w:val="center"/>
          </w:tcPr>
          <w:p>
            <w:pPr>
              <w:spacing w:line="480" w:lineRule="exact"/>
              <w:ind w:left="210" w:leftChars="100"/>
              <w:rPr>
                <w:rFonts w:hint="eastAsia" w:ascii="宋体" w:hAnsi="宋体" w:eastAsia="宋体" w:cs="宋体"/>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注：磋商响应文件中商务响应与磋商文件商务要求完全一致的，不用在此表中列出，但必须提交空白表。</w:t>
      </w:r>
    </w:p>
    <w:p>
      <w:pPr>
        <w:spacing w:line="280" w:lineRule="exact"/>
        <w:ind w:right="540" w:rightChars="257"/>
        <w:jc w:val="left"/>
        <w:rPr>
          <w:rFonts w:hint="eastAsia" w:ascii="宋体" w:hAnsi="宋体" w:eastAsia="宋体" w:cs="宋体"/>
          <w:color w:val="auto"/>
          <w:sz w:val="24"/>
          <w:szCs w:val="24"/>
          <w:highlight w:val="none"/>
          <w:lang w:eastAsia="zh-CN"/>
        </w:rPr>
      </w:pPr>
    </w:p>
    <w:p>
      <w:pPr>
        <w:spacing w:line="280" w:lineRule="exact"/>
        <w:ind w:right="540" w:rightChars="25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（加盖单位公章）</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eastAsia="zh-CN"/>
        </w:rPr>
        <w:t>字或盖</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p>
      <w:pPr>
        <w:spacing w:line="280" w:lineRule="exact"/>
        <w:ind w:right="540" w:rightChars="257" w:firstLine="4440" w:firstLineChars="1850"/>
        <w:jc w:val="left"/>
        <w:rPr>
          <w:rFonts w:hint="eastAsia" w:ascii="宋体" w:hAnsi="宋体" w:eastAsia="宋体" w:cs="宋体"/>
          <w:color w:val="auto"/>
          <w:sz w:val="24"/>
          <w:szCs w:val="24"/>
          <w:highlight w:val="none"/>
        </w:rPr>
      </w:pPr>
    </w:p>
    <w:p>
      <w:pPr>
        <w:spacing w:line="280" w:lineRule="exact"/>
        <w:ind w:right="540" w:rightChars="257"/>
        <w:jc w:val="left"/>
        <w:rPr>
          <w:rFonts w:hint="eastAsia" w:ascii="宋体" w:hAnsi="宋体" w:eastAsia="宋体" w:cs="宋体"/>
          <w:color w:val="auto"/>
          <w:sz w:val="24"/>
          <w:szCs w:val="24"/>
          <w:highlight w:val="none"/>
        </w:rPr>
      </w:pPr>
    </w:p>
    <w:p>
      <w:pPr>
        <w:spacing w:line="408" w:lineRule="auto"/>
        <w:ind w:left="525" w:leftChars="25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Lines/>
        <w:pageBreakBefore/>
        <w:numPr>
          <w:ilvl w:val="0"/>
          <w:numId w:val="0"/>
        </w:numPr>
        <w:ind w:leftChars="0"/>
        <w:jc w:val="center"/>
        <w:outlineLvl w:val="1"/>
        <w:rPr>
          <w:rFonts w:hint="eastAsia" w:ascii="宋体" w:hAnsi="宋体" w:eastAsia="宋体" w:cs="宋体"/>
          <w:b/>
          <w:bCs/>
          <w:color w:val="auto"/>
          <w:sz w:val="32"/>
          <w:szCs w:val="32"/>
          <w:highlight w:val="none"/>
          <w:lang w:eastAsia="zh-CN"/>
        </w:rPr>
      </w:pPr>
      <w:bookmarkStart w:id="265" w:name="_Toc16325"/>
      <w:bookmarkStart w:id="266" w:name="_Toc31221"/>
      <w:r>
        <w:rPr>
          <w:rFonts w:hint="eastAsia" w:ascii="宋体" w:hAnsi="宋体" w:eastAsia="宋体" w:cs="宋体"/>
          <w:b/>
          <w:bCs/>
          <w:color w:val="auto"/>
          <w:sz w:val="32"/>
          <w:szCs w:val="32"/>
          <w:highlight w:val="none"/>
          <w:lang w:eastAsia="zh-CN"/>
        </w:rPr>
        <w:t>七、承诺书</w:t>
      </w:r>
      <w:bookmarkEnd w:id="265"/>
      <w:bookmarkEnd w:id="266"/>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陕</w:t>
      </w:r>
      <w:r>
        <w:rPr>
          <w:rFonts w:hint="eastAsia" w:ascii="宋体" w:hAnsi="宋体" w:eastAsia="宋体" w:cs="宋体"/>
          <w:b/>
          <w:bCs/>
          <w:color w:val="auto"/>
          <w:sz w:val="30"/>
          <w:szCs w:val="30"/>
          <w:highlight w:val="none"/>
        </w:rPr>
        <w:t>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为响应党中央、国务院关于治理政府采购领域商业贿赂行为的号召，我公司在此庄严承诺：</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在参与政府采购活动中遵纪守法、诚信经营、公平竞标。</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不向政府采购人、采购代理机构和政府采购评审专家进行任何形式的商业贿赂以谋取交易机会。</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不向政府采购代理机构和采购人提供虚假资质文件或采用虚假应标方式参与政府采购市场竞争并谋取中标、成交。</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不采取“围标、陪标”等商业欺诈手段获得政府采购定单。</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不采取不正当手段诋毁、排挤其他供应商。</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不在提供商品和服务时“偷梁换柱、以次充好”损害采购人的合法权益。</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不与采购人、采购代理机构政府采购评审专家或其它供应商恶意串通，进行质疑和投诉，维护政府采购市场秩序。</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尊重和接受政府采购监督管理部门的监督和政府采购代理机构采购要求，承担因违约行为给采购人造成的损失。</w:t>
      </w:r>
    </w:p>
    <w:p>
      <w:pPr>
        <w:keepNext w:val="0"/>
        <w:keepLines w:val="0"/>
        <w:pageBreakBefore w:val="0"/>
        <w:widowControl/>
        <w:numPr>
          <w:ilvl w:val="0"/>
          <w:numId w:val="9"/>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不发生其他有悖于政府采购公开、公平、公正和诚信原则的行为。</w:t>
      </w:r>
      <w:r>
        <w:rPr>
          <w:rFonts w:hint="eastAsia" w:ascii="宋体" w:hAnsi="宋体" w:eastAsia="宋体" w:cs="宋体"/>
          <w:color w:val="auto"/>
          <w:sz w:val="24"/>
          <w:szCs w:val="24"/>
          <w:highlight w:val="none"/>
        </w:rPr>
        <w:br w:type="textWrapping"/>
      </w:r>
    </w:p>
    <w:p>
      <w:pPr>
        <w:widowControl/>
        <w:spacing w:line="408" w:lineRule="auto"/>
        <w:ind w:left="239" w:leftChars="1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408" w:lineRule="auto"/>
        <w:ind w:left="239" w:leftChars="1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br w:type="textWrapping"/>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b/>
          <w:bCs/>
          <w:color w:val="auto"/>
          <w:sz w:val="30"/>
          <w:szCs w:val="30"/>
          <w:highlight w:val="none"/>
          <w:lang w:val="en-US" w:eastAsia="zh-CN"/>
        </w:rPr>
      </w:pPr>
    </w:p>
    <w:p>
      <w:pPr>
        <w:widowControl/>
        <w:numPr>
          <w:ilvl w:val="0"/>
          <w:numId w:val="10"/>
        </w:numPr>
        <w:jc w:val="center"/>
        <w:outlineLvl w:val="1"/>
        <w:rPr>
          <w:rFonts w:hint="eastAsia" w:ascii="宋体" w:hAnsi="宋体" w:eastAsia="宋体" w:cs="宋体"/>
          <w:b/>
          <w:bCs/>
          <w:color w:val="auto"/>
          <w:sz w:val="32"/>
          <w:szCs w:val="32"/>
          <w:highlight w:val="none"/>
        </w:rPr>
      </w:pPr>
      <w:bookmarkStart w:id="267" w:name="_Toc494"/>
      <w:bookmarkStart w:id="268" w:name="_Toc22069"/>
      <w:r>
        <w:rPr>
          <w:rFonts w:hint="eastAsia" w:ascii="宋体" w:hAnsi="宋体" w:eastAsia="宋体" w:cs="宋体"/>
          <w:b/>
          <w:bCs/>
          <w:color w:val="auto"/>
          <w:sz w:val="32"/>
          <w:szCs w:val="32"/>
          <w:highlight w:val="none"/>
          <w:lang w:eastAsia="zh-CN"/>
        </w:rPr>
        <w:t>竞争性磋商文件</w:t>
      </w:r>
      <w:r>
        <w:rPr>
          <w:rFonts w:hint="eastAsia" w:ascii="宋体" w:hAnsi="宋体" w:eastAsia="宋体" w:cs="宋体"/>
          <w:b/>
          <w:bCs/>
          <w:color w:val="auto"/>
          <w:sz w:val="32"/>
          <w:szCs w:val="32"/>
          <w:highlight w:val="none"/>
        </w:rPr>
        <w:t>要求的其他文件或承诺</w:t>
      </w:r>
      <w:bookmarkEnd w:id="267"/>
      <w:bookmarkEnd w:id="268"/>
    </w:p>
    <w:p>
      <w:pPr>
        <w:pStyle w:val="13"/>
        <w:rPr>
          <w:rFonts w:hint="eastAsia" w:ascii="宋体" w:hAnsi="宋体" w:eastAsia="宋体" w:cs="宋体"/>
          <w:color w:val="auto"/>
          <w:highlight w:val="none"/>
        </w:rPr>
      </w:pPr>
    </w:p>
    <w:p>
      <w:pPr>
        <w:keepLines/>
        <w:pageBreakBefore/>
        <w:jc w:val="center"/>
        <w:outlineLvl w:val="1"/>
        <w:rPr>
          <w:rFonts w:hint="eastAsia" w:ascii="宋体" w:hAnsi="宋体" w:eastAsia="宋体" w:cs="宋体"/>
          <w:b/>
          <w:bCs/>
          <w:color w:val="auto"/>
          <w:sz w:val="32"/>
          <w:szCs w:val="32"/>
          <w:highlight w:val="none"/>
        </w:rPr>
      </w:pPr>
      <w:bookmarkStart w:id="269" w:name="_Toc7029"/>
      <w:bookmarkStart w:id="270" w:name="_Toc13500"/>
      <w:r>
        <w:rPr>
          <w:rFonts w:hint="eastAsia" w:ascii="宋体" w:hAnsi="宋体" w:eastAsia="宋体" w:cs="宋体"/>
          <w:b/>
          <w:bCs/>
          <w:color w:val="auto"/>
          <w:sz w:val="32"/>
          <w:szCs w:val="32"/>
          <w:highlight w:val="none"/>
        </w:rPr>
        <w:t>九、其他可以证明</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实力的文件</w:t>
      </w:r>
      <w:bookmarkEnd w:id="269"/>
      <w:bookmarkEnd w:id="270"/>
      <w:r>
        <w:rPr>
          <w:rFonts w:hint="eastAsia" w:ascii="宋体" w:hAnsi="宋体" w:eastAsia="宋体" w:cs="宋体"/>
          <w:b/>
          <w:bCs/>
          <w:color w:val="auto"/>
          <w:sz w:val="32"/>
          <w:szCs w:val="32"/>
          <w:highlight w:val="none"/>
        </w:rPr>
        <w:t xml:space="preserve"> </w:t>
      </w:r>
    </w:p>
    <w:p>
      <w:pPr>
        <w:spacing w:line="408" w:lineRule="auto"/>
        <w:ind w:left="525" w:leftChars="250"/>
        <w:rPr>
          <w:rFonts w:hint="eastAsia" w:ascii="宋体" w:hAnsi="宋体" w:eastAsia="宋体" w:cs="宋体"/>
          <w:color w:val="auto"/>
          <w:sz w:val="32"/>
          <w:szCs w:val="32"/>
          <w:highlight w:val="none"/>
        </w:rPr>
      </w:pPr>
    </w:p>
    <w:p>
      <w:pPr>
        <w:spacing w:line="408" w:lineRule="auto"/>
        <w:ind w:left="525" w:left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Lines/>
        <w:pageBreakBefore/>
        <w:jc w:val="center"/>
        <w:outlineLvl w:val="1"/>
        <w:rPr>
          <w:rFonts w:hint="eastAsia" w:ascii="宋体" w:hAnsi="宋体" w:eastAsia="宋体" w:cs="宋体"/>
          <w:b/>
          <w:bCs/>
          <w:color w:val="auto"/>
          <w:sz w:val="32"/>
          <w:szCs w:val="32"/>
          <w:highlight w:val="none"/>
        </w:rPr>
      </w:pPr>
      <w:bookmarkStart w:id="271" w:name="_Toc16715"/>
      <w:bookmarkStart w:id="272" w:name="_Toc22342"/>
      <w:r>
        <w:rPr>
          <w:rFonts w:hint="eastAsia" w:ascii="宋体" w:hAnsi="宋体" w:eastAsia="宋体" w:cs="宋体"/>
          <w:b/>
          <w:bCs/>
          <w:color w:val="auto"/>
          <w:sz w:val="32"/>
          <w:szCs w:val="32"/>
          <w:highlight w:val="none"/>
        </w:rPr>
        <w:t>第二部分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技术</w:t>
      </w:r>
      <w:bookmarkEnd w:id="258"/>
      <w:bookmarkEnd w:id="259"/>
      <w:r>
        <w:rPr>
          <w:rFonts w:hint="eastAsia" w:ascii="宋体" w:hAnsi="宋体" w:eastAsia="宋体" w:cs="宋体"/>
          <w:b/>
          <w:bCs/>
          <w:color w:val="auto"/>
          <w:sz w:val="32"/>
          <w:szCs w:val="32"/>
          <w:highlight w:val="none"/>
        </w:rPr>
        <w:t>标</w:t>
      </w:r>
      <w:bookmarkEnd w:id="271"/>
      <w:bookmarkEnd w:id="272"/>
    </w:p>
    <w:p>
      <w:pPr>
        <w:spacing w:line="580" w:lineRule="exact"/>
        <w:ind w:firstLine="480" w:firstLineChars="200"/>
        <w:rPr>
          <w:rFonts w:ascii="宋体" w:hAnsi="宋体" w:cs="宋体"/>
          <w:sz w:val="24"/>
          <w:szCs w:val="24"/>
        </w:rPr>
      </w:pPr>
      <w:r>
        <w:rPr>
          <w:rFonts w:hint="eastAsia" w:ascii="宋体" w:hAnsi="宋体" w:cs="宋体"/>
          <w:sz w:val="24"/>
          <w:szCs w:val="24"/>
        </w:rPr>
        <w:t>包括但不限于施工方案、人材机配备计划，质量保障措施、安全措施、服务承诺等，格式自拟。</w:t>
      </w:r>
    </w:p>
    <w:p>
      <w:pPr>
        <w:spacing w:line="580" w:lineRule="exact"/>
        <w:ind w:firstLine="480" w:firstLineChars="20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color w:val="auto"/>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beforeLines="50" w:afterLines="100"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附表一：拟投入本工程的主要施工设备表</w:t>
      </w:r>
    </w:p>
    <w:tbl>
      <w:tblPr>
        <w:tblStyle w:val="34"/>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1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设备</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99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3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13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1843"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用于施工部位</w:t>
            </w:r>
          </w:p>
        </w:tc>
        <w:tc>
          <w:tcPr>
            <w:tcW w:w="170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宋体" w:hAnsi="宋体" w:eastAsia="宋体" w:cs="宋体"/>
                <w:color w:val="auto"/>
                <w:highlight w:val="none"/>
              </w:rPr>
            </w:pPr>
          </w:p>
        </w:tc>
        <w:tc>
          <w:tcPr>
            <w:tcW w:w="1117" w:type="dxa"/>
            <w:vAlign w:val="center"/>
          </w:tcPr>
          <w:p>
            <w:pPr>
              <w:jc w:val="center"/>
              <w:rPr>
                <w:rFonts w:hint="eastAsia" w:ascii="宋体" w:hAnsi="宋体" w:eastAsia="宋体" w:cs="宋体"/>
                <w:color w:val="auto"/>
                <w:highlight w:val="none"/>
              </w:rPr>
            </w:pPr>
          </w:p>
        </w:tc>
        <w:tc>
          <w:tcPr>
            <w:tcW w:w="992" w:type="dxa"/>
            <w:vAlign w:val="center"/>
          </w:tcPr>
          <w:p>
            <w:pPr>
              <w:jc w:val="center"/>
              <w:rPr>
                <w:rFonts w:hint="eastAsia" w:ascii="宋体" w:hAnsi="宋体" w:eastAsia="宋体" w:cs="宋体"/>
                <w:color w:val="auto"/>
                <w:highlight w:val="none"/>
              </w:rPr>
            </w:pPr>
          </w:p>
        </w:tc>
        <w:tc>
          <w:tcPr>
            <w:tcW w:w="709"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134" w:type="dxa"/>
            <w:vAlign w:val="center"/>
          </w:tcPr>
          <w:p>
            <w:pPr>
              <w:jc w:val="center"/>
              <w:rPr>
                <w:rFonts w:hint="eastAsia" w:ascii="宋体" w:hAnsi="宋体" w:eastAsia="宋体" w:cs="宋体"/>
                <w:color w:val="auto"/>
                <w:highlight w:val="none"/>
              </w:rPr>
            </w:pPr>
          </w:p>
        </w:tc>
        <w:tc>
          <w:tcPr>
            <w:tcW w:w="1843" w:type="dxa"/>
            <w:vAlign w:val="center"/>
          </w:tcPr>
          <w:p>
            <w:pPr>
              <w:jc w:val="center"/>
              <w:rPr>
                <w:rFonts w:hint="eastAsia" w:ascii="宋体" w:hAnsi="宋体" w:eastAsia="宋体" w:cs="宋体"/>
                <w:color w:val="auto"/>
                <w:highlight w:val="none"/>
              </w:rPr>
            </w:pPr>
          </w:p>
        </w:tc>
        <w:tc>
          <w:tcPr>
            <w:tcW w:w="1701" w:type="dxa"/>
            <w:vAlign w:val="center"/>
          </w:tcPr>
          <w:p>
            <w:pPr>
              <w:jc w:val="center"/>
              <w:rPr>
                <w:rFonts w:hint="eastAsia" w:ascii="宋体" w:hAnsi="宋体" w:eastAsia="宋体" w:cs="宋体"/>
                <w:color w:val="auto"/>
                <w:highlight w:val="none"/>
              </w:rPr>
            </w:pPr>
          </w:p>
        </w:tc>
      </w:tr>
    </w:tbl>
    <w:p>
      <w:pPr>
        <w:spacing w:line="420" w:lineRule="exact"/>
        <w:rPr>
          <w:rFonts w:hint="eastAsia" w:ascii="宋体" w:hAnsi="宋体" w:eastAsia="宋体" w:cs="宋体"/>
          <w:color w:val="auto"/>
          <w:sz w:val="24"/>
          <w:szCs w:val="24"/>
          <w:highlight w:val="none"/>
        </w:rPr>
      </w:pPr>
    </w:p>
    <w:p>
      <w:pPr>
        <w:spacing w:beforeLines="50" w:afterLines="100" w:line="42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附表二：拟配备本工程的试验和检测仪器设备表</w:t>
      </w:r>
    </w:p>
    <w:tbl>
      <w:tblPr>
        <w:tblStyle w:val="3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2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136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00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8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40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127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362" w:type="dxa"/>
            <w:vAlign w:val="center"/>
          </w:tcPr>
          <w:p>
            <w:pPr>
              <w:jc w:val="center"/>
              <w:rPr>
                <w:rFonts w:hint="eastAsia" w:ascii="宋体" w:hAnsi="宋体" w:eastAsia="宋体" w:cs="宋体"/>
                <w:color w:val="auto"/>
                <w:highlight w:val="none"/>
              </w:rPr>
            </w:pPr>
          </w:p>
        </w:tc>
        <w:tc>
          <w:tcPr>
            <w:tcW w:w="1001" w:type="dxa"/>
            <w:vAlign w:val="center"/>
          </w:tcPr>
          <w:p>
            <w:pPr>
              <w:jc w:val="center"/>
              <w:rPr>
                <w:rFonts w:hint="eastAsia" w:ascii="宋体" w:hAnsi="宋体" w:eastAsia="宋体" w:cs="宋体"/>
                <w:color w:val="auto"/>
                <w:highlight w:val="none"/>
              </w:rPr>
            </w:pPr>
          </w:p>
        </w:tc>
        <w:tc>
          <w:tcPr>
            <w:tcW w:w="1180" w:type="dxa"/>
            <w:vAlign w:val="center"/>
          </w:tcPr>
          <w:p>
            <w:pPr>
              <w:jc w:val="center"/>
              <w:rPr>
                <w:rFonts w:hint="eastAsia" w:ascii="宋体" w:hAnsi="宋体" w:eastAsia="宋体" w:cs="宋体"/>
                <w:color w:val="auto"/>
                <w:highlight w:val="none"/>
              </w:rPr>
            </w:pPr>
          </w:p>
        </w:tc>
        <w:tc>
          <w:tcPr>
            <w:tcW w:w="1402" w:type="dxa"/>
            <w:vAlign w:val="center"/>
          </w:tcPr>
          <w:p>
            <w:pPr>
              <w:jc w:val="center"/>
              <w:rPr>
                <w:rFonts w:hint="eastAsia" w:ascii="宋体" w:hAnsi="宋体" w:eastAsia="宋体" w:cs="宋体"/>
                <w:color w:val="auto"/>
                <w:highlight w:val="none"/>
              </w:rPr>
            </w:pPr>
          </w:p>
        </w:tc>
        <w:tc>
          <w:tcPr>
            <w:tcW w:w="1279" w:type="dxa"/>
            <w:vAlign w:val="center"/>
          </w:tcPr>
          <w:p>
            <w:pPr>
              <w:jc w:val="center"/>
              <w:rPr>
                <w:rFonts w:hint="eastAsia" w:ascii="宋体" w:hAnsi="宋体" w:eastAsia="宋体" w:cs="宋体"/>
                <w:color w:val="auto"/>
                <w:highlight w:val="none"/>
              </w:rPr>
            </w:pPr>
          </w:p>
        </w:tc>
      </w:tr>
    </w:tbl>
    <w:p>
      <w:pPr>
        <w:spacing w:beforeLines="50" w:afterLines="50"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附表三：劳动力计划表</w:t>
      </w:r>
    </w:p>
    <w:p>
      <w:pPr>
        <w:spacing w:beforeLines="50" w:afterLines="50" w:line="48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单位：人</w:t>
      </w:r>
    </w:p>
    <w:tbl>
      <w:tblPr>
        <w:tblStyle w:val="34"/>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7425" w:type="dxa"/>
            <w:gridSpan w:val="7"/>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宋体" w:hAnsi="宋体" w:eastAsia="宋体" w:cs="宋体"/>
                <w:color w:val="auto"/>
                <w:highlight w:val="none"/>
              </w:rPr>
            </w:pPr>
          </w:p>
        </w:tc>
        <w:tc>
          <w:tcPr>
            <w:tcW w:w="1047"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c>
          <w:tcPr>
            <w:tcW w:w="1063" w:type="dxa"/>
            <w:vAlign w:val="center"/>
          </w:tcPr>
          <w:p>
            <w:pPr>
              <w:spacing w:line="360" w:lineRule="auto"/>
              <w:jc w:val="center"/>
              <w:rPr>
                <w:rFonts w:hint="eastAsia" w:ascii="宋体" w:hAnsi="宋体" w:eastAsia="宋体" w:cs="宋体"/>
                <w:color w:val="auto"/>
                <w:highlight w:val="none"/>
              </w:rPr>
            </w:pPr>
          </w:p>
        </w:tc>
      </w:tr>
    </w:tbl>
    <w:p>
      <w:pPr>
        <w:spacing w:line="580" w:lineRule="exact"/>
        <w:rPr>
          <w:rFonts w:hint="eastAsia" w:ascii="宋体" w:hAnsi="宋体" w:eastAsia="宋体" w:cs="宋体"/>
          <w:b/>
          <w:bCs/>
          <w:color w:val="auto"/>
          <w:spacing w:val="4"/>
          <w:sz w:val="24"/>
          <w:szCs w:val="24"/>
          <w:highlight w:val="none"/>
        </w:rPr>
      </w:pPr>
    </w:p>
    <w:p>
      <w:pPr>
        <w:spacing w:beforeLines="50" w:after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附表四：计划开、竣工日期和施工进度网络图</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应递交施工进度网络图或施工进度表，说明按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要求的计划工期进行施工的各个关键日期。</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2．施工进度表可采用网络图或横道图表示。</w:t>
      </w:r>
    </w:p>
    <w:p>
      <w:pPr>
        <w:keepLines/>
        <w:pageBreakBefore/>
        <w:jc w:val="center"/>
        <w:outlineLvl w:val="1"/>
        <w:rPr>
          <w:rFonts w:hint="eastAsia" w:ascii="宋体" w:hAnsi="宋体" w:eastAsia="宋体" w:cs="宋体"/>
          <w:b/>
          <w:bCs/>
          <w:color w:val="auto"/>
          <w:sz w:val="32"/>
          <w:szCs w:val="32"/>
          <w:highlight w:val="none"/>
        </w:rPr>
      </w:pPr>
      <w:bookmarkStart w:id="273" w:name="_Toc314"/>
      <w:bookmarkStart w:id="274" w:name="_Toc11640"/>
      <w:bookmarkStart w:id="275" w:name="_Toc16618"/>
      <w:bookmarkStart w:id="276" w:name="_Toc18300"/>
      <w:bookmarkStart w:id="277" w:name="_Toc20335"/>
      <w:r>
        <w:rPr>
          <w:rFonts w:hint="eastAsia" w:ascii="宋体" w:hAnsi="宋体" w:eastAsia="宋体" w:cs="宋体"/>
          <w:b/>
          <w:bCs/>
          <w:color w:val="auto"/>
          <w:sz w:val="32"/>
          <w:szCs w:val="32"/>
          <w:highlight w:val="none"/>
        </w:rPr>
        <w:t>第三部分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资格标</w:t>
      </w:r>
      <w:bookmarkEnd w:id="273"/>
      <w:bookmarkEnd w:id="274"/>
    </w:p>
    <w:p>
      <w:pPr>
        <w:keepLines/>
        <w:pageBreakBefore/>
        <w:jc w:val="center"/>
        <w:outlineLvl w:val="1"/>
        <w:rPr>
          <w:rFonts w:hint="eastAsia" w:ascii="宋体" w:hAnsi="宋体" w:eastAsia="宋体" w:cs="宋体"/>
          <w:b/>
          <w:color w:val="auto"/>
          <w:sz w:val="32"/>
          <w:szCs w:val="32"/>
          <w:highlight w:val="none"/>
        </w:rPr>
      </w:pPr>
      <w:bookmarkStart w:id="278" w:name="_Toc21258"/>
      <w:bookmarkStart w:id="279" w:name="_Toc18660"/>
      <w:r>
        <w:rPr>
          <w:rFonts w:hint="eastAsia" w:ascii="宋体" w:hAnsi="宋体" w:eastAsia="宋体" w:cs="宋体"/>
          <w:b/>
          <w:bCs/>
          <w:color w:val="auto"/>
          <w:sz w:val="32"/>
          <w:szCs w:val="32"/>
          <w:highlight w:val="none"/>
          <w:lang w:eastAsia="zh-CN"/>
        </w:rPr>
        <w:t>一、供应商</w:t>
      </w:r>
      <w:r>
        <w:rPr>
          <w:rFonts w:hint="eastAsia" w:ascii="宋体" w:hAnsi="宋体" w:eastAsia="宋体" w:cs="宋体"/>
          <w:b/>
          <w:bCs/>
          <w:color w:val="auto"/>
          <w:sz w:val="32"/>
          <w:szCs w:val="32"/>
          <w:highlight w:val="none"/>
        </w:rPr>
        <w:t>的基本情况介绍和资格声明</w:t>
      </w:r>
      <w:bookmarkEnd w:id="278"/>
      <w:bookmarkEnd w:id="279"/>
    </w:p>
    <w:p>
      <w:pPr>
        <w:numPr>
          <w:ilvl w:val="0"/>
          <w:numId w:val="11"/>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的基本情况介绍</w:t>
      </w:r>
    </w:p>
    <w:p>
      <w:pPr>
        <w:numPr>
          <w:ilvl w:val="0"/>
          <w:numId w:val="0"/>
        </w:num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（格式自拟）</w:t>
      </w:r>
    </w:p>
    <w:p>
      <w:pPr>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eastAsia="zh-CN"/>
        </w:rPr>
        <w:t>（二）供应商资格声明</w:t>
      </w:r>
    </w:p>
    <w:p>
      <w:pPr>
        <w:numPr>
          <w:ilvl w:val="0"/>
          <w:numId w:val="12"/>
        </w:num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名称及其它情况</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名称：____________________________________</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址：电  话：</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成立和注册日期：</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主管部门：</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公司性质：</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职工总人数：</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工程技术及管理人员数分别为：</w:t>
      </w:r>
    </w:p>
    <w:p>
      <w:pPr>
        <w:numPr>
          <w:ilvl w:val="0"/>
          <w:numId w:val="13"/>
        </w:numPr>
        <w:spacing w:line="520" w:lineRule="exact"/>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的主要财务情况（到  </w:t>
      </w:r>
      <w:r>
        <w:rPr>
          <w:rFonts w:hint="eastAsia" w:ascii="宋体" w:hAnsi="宋体" w:eastAsia="宋体" w:cs="宋体"/>
          <w:color w:val="auto"/>
          <w:sz w:val="24"/>
          <w:szCs w:val="24"/>
          <w:highlight w:val="none"/>
          <w:u w:val="single"/>
        </w:rPr>
        <w:t xml:space="preserve">年  月  日 </w:t>
      </w:r>
      <w:r>
        <w:rPr>
          <w:rFonts w:hint="eastAsia" w:ascii="宋体" w:hAnsi="宋体" w:eastAsia="宋体" w:cs="宋体"/>
          <w:color w:val="auto"/>
          <w:sz w:val="24"/>
          <w:szCs w:val="24"/>
          <w:highlight w:val="none"/>
        </w:rPr>
        <w:t>止）</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w:t>
      </w:r>
    </w:p>
    <w:p>
      <w:pPr>
        <w:spacing w:line="52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原    值：</w:t>
      </w:r>
    </w:p>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净    值：</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流动资产：</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长期负债：</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短期负债：</w:t>
      </w:r>
    </w:p>
    <w:p>
      <w:pPr>
        <w:numPr>
          <w:ilvl w:val="0"/>
          <w:numId w:val="14"/>
        </w:numPr>
        <w:spacing w:line="520" w:lineRule="exact"/>
        <w:ind w:left="691" w:leftChars="32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销售收入/主营业务收入：</w:t>
      </w:r>
    </w:p>
    <w:p>
      <w:pPr>
        <w:numPr>
          <w:ilvl w:val="0"/>
          <w:numId w:val="12"/>
        </w:numPr>
        <w:spacing w:line="52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2019年以来任意一年</w:t>
      </w:r>
      <w:r>
        <w:rPr>
          <w:rFonts w:hint="eastAsia" w:ascii="宋体" w:hAnsi="宋体" w:cs="宋体"/>
          <w:color w:val="auto"/>
          <w:sz w:val="24"/>
          <w:szCs w:val="24"/>
          <w:highlight w:val="none"/>
        </w:rPr>
        <w:t>的年度总营业额</w:t>
      </w:r>
      <w:r>
        <w:rPr>
          <w:rFonts w:hint="eastAsia" w:ascii="宋体" w:hAnsi="宋体" w:eastAsia="宋体" w:cs="宋体"/>
          <w:color w:val="auto"/>
          <w:sz w:val="24"/>
          <w:szCs w:val="24"/>
          <w:highlight w:val="none"/>
        </w:rPr>
        <w:t>：</w:t>
      </w:r>
    </w:p>
    <w:p>
      <w:pPr>
        <w:numPr>
          <w:ilvl w:val="0"/>
          <w:numId w:val="12"/>
        </w:num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最近三年法律纠纷情况</w:t>
      </w:r>
    </w:p>
    <w:tbl>
      <w:tblPr>
        <w:tblStyle w:val="34"/>
        <w:tblW w:w="8298"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101"/>
        <w:gridCol w:w="1683"/>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24" w:type="dxa"/>
            <w:vAlign w:val="center"/>
          </w:tcPr>
          <w:p>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2101" w:type="dxa"/>
            <w:vAlign w:val="center"/>
          </w:tcPr>
          <w:p>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案由</w:t>
            </w:r>
          </w:p>
        </w:tc>
        <w:tc>
          <w:tcPr>
            <w:tcW w:w="1683" w:type="dxa"/>
            <w:vAlign w:val="center"/>
          </w:tcPr>
          <w:p>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涉及金额</w:t>
            </w:r>
          </w:p>
        </w:tc>
        <w:tc>
          <w:tcPr>
            <w:tcW w:w="2690" w:type="dxa"/>
            <w:vAlign w:val="center"/>
          </w:tcPr>
          <w:p>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24" w:type="dxa"/>
          </w:tcPr>
          <w:p>
            <w:pPr>
              <w:spacing w:line="520" w:lineRule="exact"/>
              <w:jc w:val="left"/>
              <w:rPr>
                <w:rFonts w:hint="eastAsia" w:ascii="宋体" w:hAnsi="宋体" w:eastAsia="宋体" w:cs="宋体"/>
                <w:color w:val="auto"/>
                <w:sz w:val="24"/>
                <w:szCs w:val="24"/>
                <w:highlight w:val="none"/>
              </w:rPr>
            </w:pPr>
          </w:p>
        </w:tc>
        <w:tc>
          <w:tcPr>
            <w:tcW w:w="2101" w:type="dxa"/>
          </w:tcPr>
          <w:p>
            <w:pPr>
              <w:spacing w:line="520" w:lineRule="exact"/>
              <w:jc w:val="left"/>
              <w:rPr>
                <w:rFonts w:hint="eastAsia" w:ascii="宋体" w:hAnsi="宋体" w:eastAsia="宋体" w:cs="宋体"/>
                <w:color w:val="auto"/>
                <w:sz w:val="24"/>
                <w:szCs w:val="24"/>
                <w:highlight w:val="none"/>
              </w:rPr>
            </w:pPr>
          </w:p>
        </w:tc>
        <w:tc>
          <w:tcPr>
            <w:tcW w:w="1683" w:type="dxa"/>
          </w:tcPr>
          <w:p>
            <w:pPr>
              <w:spacing w:line="520" w:lineRule="exact"/>
              <w:jc w:val="left"/>
              <w:rPr>
                <w:rFonts w:hint="eastAsia" w:ascii="宋体" w:hAnsi="宋体" w:eastAsia="宋体" w:cs="宋体"/>
                <w:color w:val="auto"/>
                <w:sz w:val="24"/>
                <w:szCs w:val="24"/>
                <w:highlight w:val="none"/>
              </w:rPr>
            </w:pPr>
          </w:p>
        </w:tc>
        <w:tc>
          <w:tcPr>
            <w:tcW w:w="2690" w:type="dxa"/>
          </w:tcPr>
          <w:p>
            <w:pPr>
              <w:spacing w:line="52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24" w:type="dxa"/>
          </w:tcPr>
          <w:p>
            <w:pPr>
              <w:spacing w:line="520" w:lineRule="exact"/>
              <w:jc w:val="left"/>
              <w:rPr>
                <w:rFonts w:hint="eastAsia" w:ascii="宋体" w:hAnsi="宋体" w:eastAsia="宋体" w:cs="宋体"/>
                <w:color w:val="auto"/>
                <w:sz w:val="24"/>
                <w:szCs w:val="24"/>
                <w:highlight w:val="none"/>
              </w:rPr>
            </w:pPr>
          </w:p>
        </w:tc>
        <w:tc>
          <w:tcPr>
            <w:tcW w:w="2101" w:type="dxa"/>
          </w:tcPr>
          <w:p>
            <w:pPr>
              <w:spacing w:line="520" w:lineRule="exact"/>
              <w:jc w:val="left"/>
              <w:rPr>
                <w:rFonts w:hint="eastAsia" w:ascii="宋体" w:hAnsi="宋体" w:eastAsia="宋体" w:cs="宋体"/>
                <w:color w:val="auto"/>
                <w:sz w:val="24"/>
                <w:szCs w:val="24"/>
                <w:highlight w:val="none"/>
              </w:rPr>
            </w:pPr>
          </w:p>
        </w:tc>
        <w:tc>
          <w:tcPr>
            <w:tcW w:w="1683" w:type="dxa"/>
          </w:tcPr>
          <w:p>
            <w:pPr>
              <w:spacing w:line="520" w:lineRule="exact"/>
              <w:jc w:val="left"/>
              <w:rPr>
                <w:rFonts w:hint="eastAsia" w:ascii="宋体" w:hAnsi="宋体" w:eastAsia="宋体" w:cs="宋体"/>
                <w:color w:val="auto"/>
                <w:sz w:val="24"/>
                <w:szCs w:val="24"/>
                <w:highlight w:val="none"/>
              </w:rPr>
            </w:pPr>
          </w:p>
        </w:tc>
        <w:tc>
          <w:tcPr>
            <w:tcW w:w="2690" w:type="dxa"/>
          </w:tcPr>
          <w:p>
            <w:pPr>
              <w:spacing w:line="52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824" w:type="dxa"/>
          </w:tcPr>
          <w:p>
            <w:pPr>
              <w:spacing w:line="520" w:lineRule="exact"/>
              <w:jc w:val="left"/>
              <w:rPr>
                <w:rFonts w:hint="eastAsia" w:ascii="宋体" w:hAnsi="宋体" w:eastAsia="宋体" w:cs="宋体"/>
                <w:color w:val="auto"/>
                <w:sz w:val="24"/>
                <w:szCs w:val="24"/>
                <w:highlight w:val="none"/>
              </w:rPr>
            </w:pPr>
          </w:p>
        </w:tc>
        <w:tc>
          <w:tcPr>
            <w:tcW w:w="2101" w:type="dxa"/>
          </w:tcPr>
          <w:p>
            <w:pPr>
              <w:spacing w:line="520" w:lineRule="exact"/>
              <w:jc w:val="left"/>
              <w:rPr>
                <w:rFonts w:hint="eastAsia" w:ascii="宋体" w:hAnsi="宋体" w:eastAsia="宋体" w:cs="宋体"/>
                <w:color w:val="auto"/>
                <w:sz w:val="24"/>
                <w:szCs w:val="24"/>
                <w:highlight w:val="none"/>
              </w:rPr>
            </w:pPr>
          </w:p>
        </w:tc>
        <w:tc>
          <w:tcPr>
            <w:tcW w:w="1683" w:type="dxa"/>
          </w:tcPr>
          <w:p>
            <w:pPr>
              <w:spacing w:line="520" w:lineRule="exact"/>
              <w:jc w:val="left"/>
              <w:rPr>
                <w:rFonts w:hint="eastAsia" w:ascii="宋体" w:hAnsi="宋体" w:eastAsia="宋体" w:cs="宋体"/>
                <w:color w:val="auto"/>
                <w:sz w:val="24"/>
                <w:szCs w:val="24"/>
                <w:highlight w:val="none"/>
              </w:rPr>
            </w:pPr>
          </w:p>
        </w:tc>
        <w:tc>
          <w:tcPr>
            <w:tcW w:w="2690" w:type="dxa"/>
          </w:tcPr>
          <w:p>
            <w:pPr>
              <w:spacing w:line="520" w:lineRule="exact"/>
              <w:jc w:val="left"/>
              <w:rPr>
                <w:rFonts w:hint="eastAsia" w:ascii="宋体" w:hAnsi="宋体" w:eastAsia="宋体" w:cs="宋体"/>
                <w:color w:val="auto"/>
                <w:sz w:val="24"/>
                <w:szCs w:val="24"/>
                <w:highlight w:val="none"/>
              </w:rPr>
            </w:pPr>
          </w:p>
        </w:tc>
      </w:tr>
    </w:tbl>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4、有关银行的名称和地址：</w:t>
      </w:r>
    </w:p>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5、其他情况：</w:t>
      </w:r>
    </w:p>
    <w:p>
      <w:pPr>
        <w:spacing w:line="520" w:lineRule="exact"/>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我们保证上述声明是真实的、正确的，并提供了全部能提供的资料和数据；如贵方要求我们同意出示进一步证明文件。</w:t>
      </w:r>
    </w:p>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w:t>
      </w:r>
    </w:p>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授权代表的职务：</w:t>
      </w:r>
    </w:p>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电话号和传真号：</w:t>
      </w:r>
    </w:p>
    <w:p>
      <w:pPr>
        <w:spacing w:line="520" w:lineRule="exact"/>
        <w:ind w:right="960"/>
        <w:rPr>
          <w:rFonts w:hint="eastAsia" w:ascii="宋体" w:hAnsi="宋体" w:eastAsia="宋体" w:cs="宋体"/>
          <w:color w:val="auto"/>
          <w:sz w:val="24"/>
          <w:szCs w:val="24"/>
          <w:highlight w:val="none"/>
        </w:rPr>
      </w:pPr>
    </w:p>
    <w:p>
      <w:pPr>
        <w:spacing w:line="520" w:lineRule="exact"/>
        <w:ind w:right="960"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   章:</w:t>
      </w:r>
    </w:p>
    <w:p>
      <w:pPr>
        <w:wordWrap w:val="0"/>
        <w:spacing w:line="520" w:lineRule="exact"/>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tabs>
          <w:tab w:val="left" w:pos="1799"/>
        </w:tabs>
        <w:jc w:val="left"/>
        <w:rPr>
          <w:rFonts w:hint="eastAsia" w:ascii="宋体" w:hAnsi="宋体" w:eastAsia="宋体" w:cs="宋体"/>
          <w:b/>
          <w:bCs/>
          <w:color w:val="auto"/>
          <w:sz w:val="24"/>
          <w:szCs w:val="24"/>
          <w:highlight w:val="none"/>
        </w:rPr>
      </w:pPr>
    </w:p>
    <w:p>
      <w:pPr>
        <w:keepLines/>
        <w:pageBreakBefore/>
        <w:jc w:val="center"/>
        <w:outlineLvl w:val="1"/>
        <w:rPr>
          <w:rFonts w:hint="eastAsia" w:ascii="宋体" w:hAnsi="宋体" w:eastAsia="宋体" w:cs="宋体"/>
          <w:b/>
          <w:bCs/>
          <w:color w:val="auto"/>
          <w:sz w:val="32"/>
          <w:szCs w:val="32"/>
          <w:highlight w:val="none"/>
        </w:rPr>
      </w:pPr>
      <w:bookmarkStart w:id="280" w:name="_Toc22089"/>
      <w:bookmarkStart w:id="281" w:name="_Toc30449"/>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资格证明文件</w:t>
      </w:r>
      <w:bookmarkEnd w:id="280"/>
      <w:bookmarkEnd w:id="281"/>
    </w:p>
    <w:p>
      <w:pPr>
        <w:pStyle w:val="13"/>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（见初步审查要素表，格式自拟）</w:t>
      </w:r>
    </w:p>
    <w:p>
      <w:pPr>
        <w:keepLines/>
        <w:pageBreakBefore/>
        <w:jc w:val="center"/>
        <w:outlineLvl w:val="1"/>
        <w:rPr>
          <w:rFonts w:hint="eastAsia" w:ascii="宋体" w:hAnsi="宋体" w:eastAsia="宋体" w:cs="宋体"/>
          <w:b/>
          <w:bCs/>
          <w:color w:val="auto"/>
          <w:sz w:val="32"/>
          <w:szCs w:val="32"/>
          <w:highlight w:val="none"/>
          <w:lang w:eastAsia="zh-CN"/>
        </w:rPr>
      </w:pPr>
      <w:bookmarkStart w:id="282" w:name="_Toc8720"/>
      <w:bookmarkStart w:id="283" w:name="_Toc5288"/>
      <w:r>
        <w:rPr>
          <w:rFonts w:hint="eastAsia" w:ascii="宋体" w:hAnsi="宋体" w:eastAsia="宋体" w:cs="宋体"/>
          <w:b/>
          <w:bCs/>
          <w:color w:val="auto"/>
          <w:sz w:val="32"/>
          <w:szCs w:val="32"/>
          <w:highlight w:val="none"/>
        </w:rPr>
        <w:t>三、</w:t>
      </w:r>
      <w:r>
        <w:rPr>
          <w:rFonts w:hint="eastAsia" w:ascii="宋体" w:hAnsi="宋体" w:eastAsia="宋体" w:cs="宋体"/>
          <w:b/>
          <w:bCs/>
          <w:color w:val="auto"/>
          <w:sz w:val="32"/>
          <w:szCs w:val="32"/>
          <w:highlight w:val="none"/>
          <w:lang w:eastAsia="zh-CN"/>
        </w:rPr>
        <w:t>磋商保证金</w:t>
      </w:r>
      <w:bookmarkEnd w:id="282"/>
      <w:bookmarkEnd w:id="283"/>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408" w:lineRule="auto"/>
        <w:ind w:left="525" w:leftChars="25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u w:val="single"/>
        </w:rPr>
        <w:t>本页附</w:t>
      </w:r>
      <w:r>
        <w:rPr>
          <w:rFonts w:hint="eastAsia" w:ascii="宋体" w:hAnsi="宋体" w:eastAsia="宋体" w:cs="宋体"/>
          <w:b/>
          <w:color w:val="auto"/>
          <w:sz w:val="28"/>
          <w:szCs w:val="28"/>
          <w:highlight w:val="none"/>
          <w:u w:val="single"/>
          <w:lang w:eastAsia="zh-CN"/>
        </w:rPr>
        <w:t>磋商保证金</w:t>
      </w:r>
      <w:r>
        <w:rPr>
          <w:rFonts w:hint="eastAsia" w:ascii="宋体" w:hAnsi="宋体" w:eastAsia="宋体" w:cs="宋体"/>
          <w:b/>
          <w:color w:val="auto"/>
          <w:sz w:val="28"/>
          <w:szCs w:val="28"/>
          <w:highlight w:val="none"/>
          <w:u w:val="single"/>
        </w:rPr>
        <w:t>缴纳凭证复印件</w:t>
      </w:r>
      <w:r>
        <w:rPr>
          <w:rFonts w:hint="eastAsia" w:ascii="宋体" w:hAnsi="宋体" w:cs="宋体"/>
          <w:b/>
          <w:color w:val="auto"/>
          <w:sz w:val="28"/>
          <w:szCs w:val="28"/>
          <w:highlight w:val="none"/>
          <w:u w:val="single"/>
          <w:lang w:eastAsia="zh-CN"/>
        </w:rPr>
        <w:t>（</w:t>
      </w:r>
      <w:r>
        <w:rPr>
          <w:rFonts w:hint="eastAsia" w:ascii="宋体" w:hAnsi="宋体" w:cs="宋体"/>
          <w:b/>
          <w:color w:val="auto"/>
          <w:sz w:val="28"/>
          <w:szCs w:val="28"/>
          <w:highlight w:val="none"/>
          <w:u w:val="single"/>
          <w:lang w:val="en-US" w:eastAsia="zh-CN"/>
        </w:rPr>
        <w:t>或扫描件</w:t>
      </w:r>
      <w:r>
        <w:rPr>
          <w:rFonts w:hint="eastAsia" w:ascii="宋体" w:hAnsi="宋体" w:cs="宋体"/>
          <w:b/>
          <w:color w:val="auto"/>
          <w:sz w:val="28"/>
          <w:szCs w:val="28"/>
          <w:highlight w:val="none"/>
          <w:u w:val="single"/>
          <w:lang w:eastAsia="zh-CN"/>
        </w:rPr>
        <w:t>）</w:t>
      </w:r>
      <w:r>
        <w:rPr>
          <w:rFonts w:hint="eastAsia" w:ascii="宋体" w:hAnsi="宋体" w:eastAsia="宋体" w:cs="宋体"/>
          <w:b/>
          <w:color w:val="auto"/>
          <w:sz w:val="28"/>
          <w:szCs w:val="28"/>
          <w:highlight w:val="none"/>
          <w:u w:val="single"/>
        </w:rPr>
        <w:t>或</w:t>
      </w:r>
      <w:r>
        <w:rPr>
          <w:rFonts w:hint="eastAsia" w:ascii="宋体" w:hAnsi="宋体" w:eastAsia="宋体" w:cs="宋体"/>
          <w:b/>
          <w:color w:val="auto"/>
          <w:sz w:val="28"/>
          <w:szCs w:val="28"/>
          <w:highlight w:val="none"/>
          <w:u w:val="single"/>
          <w:lang w:eastAsia="zh-CN"/>
        </w:rPr>
        <w:t>磋商</w:t>
      </w:r>
      <w:r>
        <w:rPr>
          <w:rFonts w:hint="eastAsia" w:ascii="宋体" w:hAnsi="宋体" w:eastAsia="宋体" w:cs="宋体"/>
          <w:b/>
          <w:color w:val="auto"/>
          <w:sz w:val="28"/>
          <w:szCs w:val="28"/>
          <w:highlight w:val="none"/>
          <w:u w:val="single"/>
        </w:rPr>
        <w:t>保函正本复印件</w:t>
      </w:r>
      <w:r>
        <w:rPr>
          <w:rFonts w:hint="eastAsia" w:ascii="宋体" w:hAnsi="宋体" w:cs="宋体"/>
          <w:b/>
          <w:color w:val="auto"/>
          <w:sz w:val="28"/>
          <w:szCs w:val="28"/>
          <w:highlight w:val="none"/>
          <w:u w:val="single"/>
          <w:lang w:eastAsia="zh-CN"/>
        </w:rPr>
        <w:t>（</w:t>
      </w:r>
      <w:r>
        <w:rPr>
          <w:rFonts w:hint="eastAsia" w:ascii="宋体" w:hAnsi="宋体" w:cs="宋体"/>
          <w:b/>
          <w:color w:val="auto"/>
          <w:sz w:val="28"/>
          <w:szCs w:val="28"/>
          <w:highlight w:val="none"/>
          <w:u w:val="single"/>
          <w:lang w:val="en-US" w:eastAsia="zh-CN"/>
        </w:rPr>
        <w:t>或扫描件</w:t>
      </w:r>
      <w:r>
        <w:rPr>
          <w:rFonts w:hint="eastAsia" w:ascii="宋体" w:hAnsi="宋体" w:cs="宋体"/>
          <w:b/>
          <w:color w:val="auto"/>
          <w:sz w:val="28"/>
          <w:szCs w:val="28"/>
          <w:highlight w:val="none"/>
          <w:u w:val="single"/>
          <w:lang w:eastAsia="zh-CN"/>
        </w:rPr>
        <w:t>）</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bookmarkEnd w:id="251"/>
    <w:bookmarkEnd w:id="252"/>
    <w:bookmarkEnd w:id="275"/>
    <w:bookmarkEnd w:id="276"/>
    <w:bookmarkEnd w:id="277"/>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keepLines/>
        <w:pageBreakBefore/>
        <w:spacing w:before="100" w:beforeAutospacing="1"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284" w:name="OLE_LINK13"/>
      <w:bookmarkStart w:id="285" w:name="OLE_LINK14"/>
      <w:r>
        <w:rPr>
          <w:rFonts w:hint="eastAsia" w:ascii="宋体" w:hAnsi="宋体" w:eastAsia="宋体" w:cs="宋体"/>
          <w:b/>
          <w:color w:val="auto"/>
          <w:spacing w:val="6"/>
          <w:sz w:val="32"/>
          <w:szCs w:val="32"/>
          <w:highlight w:val="none"/>
        </w:rPr>
        <w:t>残疾人福利性单位声明函</w:t>
      </w:r>
    </w:p>
    <w:bookmarkEnd w:id="284"/>
    <w:bookmarkEnd w:id="285"/>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6"/>
        <w:rPr>
          <w:rFonts w:hint="eastAsia"/>
          <w:color w:val="auto"/>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keepLines/>
        <w:pageBreakBefore/>
        <w:spacing w:before="100" w:beforeAutospacing="1"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（如有）</w:t>
      </w:r>
    </w:p>
    <w:p>
      <w:pPr>
        <w:pStyle w:val="13"/>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rPr>
          <w:rFonts w:hint="eastAsia"/>
          <w:color w:val="auto"/>
          <w:highlight w:val="none"/>
        </w:rPr>
      </w:pPr>
    </w:p>
    <w:sectPr>
      <w:pgSz w:w="11906" w:h="16838"/>
      <w:pgMar w:top="1417" w:right="1417"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eastAsia="宋体"/>
        <w:lang w:val="en-US" w:eastAsia="zh-CN"/>
      </w:rPr>
    </w:pPr>
    <w:r>
      <w:rPr>
        <w:rFonts w:hint="eastAsia" w:cs="宋体"/>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eastAsia="宋体"/>
        <w:lang w:val="en-US" w:eastAsia="zh-CN"/>
      </w:rPr>
    </w:pPr>
    <w:r>
      <w:pict>
        <v:shape id="_x0000_s4099" o:spid="_x0000_s4099" o:spt="202" type="#_x0000_t202" style="position:absolute;left:0pt;margin-left:217.4pt;margin-top:-0.15pt;height:10.35pt;width:9.05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w:r>
    <w:r>
      <w:rPr>
        <w:rFonts w:hint="eastAsia"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left"/>
      <w:rPr>
        <w:rFonts w:hint="default" w:eastAsia="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vertAlign w:val="baseline"/>
      </w:rPr>
      <w:t>黄陵县项目策划包装咨询服务项目</w:t>
    </w:r>
    <w:r>
      <w:rPr>
        <w:rFonts w:hint="eastAsia" w:ascii="宋体" w:hAnsi="宋体" w:eastAsia="宋体" w:cs="宋体"/>
        <w:i w:val="0"/>
        <w:iCs w:val="0"/>
        <w:caps w:val="0"/>
        <w:color w:val="333333"/>
        <w:spacing w:val="0"/>
        <w:sz w:val="21"/>
        <w:szCs w:val="21"/>
        <w:shd w:val="clear" w:color="auto" w:fill="FFFFFF"/>
        <w:vertAlign w:val="baseline"/>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hAnsi="宋体"/>
        <w:bCs/>
        <w:color w:val="auto"/>
        <w:sz w:val="18"/>
        <w:szCs w:val="18"/>
        <w:highlight w:val="none"/>
        <w:u w:val="single"/>
        <w:lang w:eastAsia="zh-CN"/>
      </w:rPr>
      <w:t>黄陵县水库移民开发局隆坊镇刘家河行政村生产路及排水渠修建项目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251"/>
        <w:tab w:val="clear" w:pos="4153"/>
      </w:tabs>
      <w:jc w:val="both"/>
      <w:rPr>
        <w:rFonts w:hint="eastAsia" w:eastAsia="宋体"/>
        <w:u w:val="none"/>
        <w:lang w:eastAsia="zh-CN"/>
      </w:rPr>
    </w:pPr>
    <w:r>
      <w:rPr>
        <w:rFonts w:hint="eastAsia" w:ascii="宋体" w:hAnsi="宋体" w:cs="宋体"/>
        <w:lang w:val="en-US" w:eastAsia="zh-CN"/>
      </w:rPr>
      <w:t>黄陵县水库移民开发局隆坊镇刘家河行政村生产路及排水渠修建项目</w:t>
    </w:r>
    <w:r>
      <w:rPr>
        <w:rFonts w:hint="eastAsia" w:ascii="宋体" w:hAnsi="宋体" w:cs="宋体"/>
      </w:rPr>
      <w:tab/>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u w:val="none"/>
      </w:rPr>
      <w:t xml:space="preserve">  </w:t>
    </w:r>
    <w:r>
      <w:rPr>
        <w:rFonts w:hint="eastAsia" w:hAnsi="宋体"/>
        <w:bCs/>
        <w:sz w:val="18"/>
        <w:szCs w:val="18"/>
        <w:u w:val="none"/>
      </w:rPr>
      <w:t xml:space="preserve"> </w:t>
    </w:r>
    <w:r>
      <w:rPr>
        <w:rFonts w:hint="eastAsia" w:hAnsi="宋体"/>
        <w:bCs/>
        <w:sz w:val="18"/>
        <w:szCs w:val="18"/>
        <w:u w:val="non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A91C9"/>
    <w:multiLevelType w:val="singleLevel"/>
    <w:tmpl w:val="877A91C9"/>
    <w:lvl w:ilvl="0" w:tentative="0">
      <w:start w:val="1"/>
      <w:numFmt w:val="chineseCounting"/>
      <w:suff w:val="space"/>
      <w:lvlText w:val="第%1章"/>
      <w:lvlJc w:val="left"/>
      <w:rPr>
        <w:rFonts w:hint="eastAsia"/>
      </w:rPr>
    </w:lvl>
  </w:abstractNum>
  <w:abstractNum w:abstractNumId="1">
    <w:nsid w:val="88F483E0"/>
    <w:multiLevelType w:val="singleLevel"/>
    <w:tmpl w:val="88F483E0"/>
    <w:lvl w:ilvl="0" w:tentative="0">
      <w:start w:val="1"/>
      <w:numFmt w:val="decimal"/>
      <w:suff w:val="nothing"/>
      <w:lvlText w:val="%1、"/>
      <w:lvlJc w:val="left"/>
    </w:lvl>
  </w:abstractNum>
  <w:abstractNum w:abstractNumId="2">
    <w:nsid w:val="A7DDED23"/>
    <w:multiLevelType w:val="singleLevel"/>
    <w:tmpl w:val="A7DDED23"/>
    <w:lvl w:ilvl="0" w:tentative="0">
      <w:start w:val="8"/>
      <w:numFmt w:val="chineseCounting"/>
      <w:suff w:val="nothing"/>
      <w:lvlText w:val="%1、"/>
      <w:lvlJc w:val="left"/>
      <w:rPr>
        <w:rFonts w:hint="eastAsia"/>
      </w:rPr>
    </w:lvl>
  </w:abstractNum>
  <w:abstractNum w:abstractNumId="3">
    <w:nsid w:val="C8CC4AFC"/>
    <w:multiLevelType w:val="singleLevel"/>
    <w:tmpl w:val="C8CC4AFC"/>
    <w:lvl w:ilvl="0" w:tentative="0">
      <w:start w:val="1"/>
      <w:numFmt w:val="decimal"/>
      <w:suff w:val="nothing"/>
      <w:lvlText w:val="%1、"/>
      <w:lvlJc w:val="left"/>
    </w:lvl>
  </w:abstractNum>
  <w:abstractNum w:abstractNumId="4">
    <w:nsid w:val="DB2D1D9B"/>
    <w:multiLevelType w:val="singleLevel"/>
    <w:tmpl w:val="DB2D1D9B"/>
    <w:lvl w:ilvl="0" w:tentative="0">
      <w:start w:val="4"/>
      <w:numFmt w:val="chineseCounting"/>
      <w:suff w:val="space"/>
      <w:lvlText w:val="第%1章"/>
      <w:lvlJc w:val="left"/>
      <w:rPr>
        <w:rFonts w:hint="eastAsia"/>
      </w:rPr>
    </w:lvl>
  </w:abstractNum>
  <w:abstractNum w:abstractNumId="5">
    <w:nsid w:val="E0DC7E9A"/>
    <w:multiLevelType w:val="singleLevel"/>
    <w:tmpl w:val="E0DC7E9A"/>
    <w:lvl w:ilvl="0" w:tentative="0">
      <w:start w:val="1"/>
      <w:numFmt w:val="decimal"/>
      <w:suff w:val="nothing"/>
      <w:lvlText w:val="（%1）"/>
      <w:lvlJc w:val="left"/>
    </w:lvl>
  </w:abstractNum>
  <w:abstractNum w:abstractNumId="6">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7">
    <w:nsid w:val="0EA73D69"/>
    <w:multiLevelType w:val="singleLevel"/>
    <w:tmpl w:val="0EA73D69"/>
    <w:lvl w:ilvl="0" w:tentative="0">
      <w:start w:val="1"/>
      <w:numFmt w:val="decimal"/>
      <w:suff w:val="nothing"/>
      <w:lvlText w:val="%1、"/>
      <w:lvlJc w:val="left"/>
    </w:lvl>
  </w:abstractNum>
  <w:abstractNum w:abstractNumId="8">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9">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0">
    <w:nsid w:val="5354ECB6"/>
    <w:multiLevelType w:val="singleLevel"/>
    <w:tmpl w:val="5354ECB6"/>
    <w:lvl w:ilvl="0" w:tentative="0">
      <w:start w:val="1"/>
      <w:numFmt w:val="decimal"/>
      <w:suff w:val="nothing"/>
      <w:lvlText w:val="%1、"/>
      <w:lvlJc w:val="left"/>
    </w:lvl>
  </w:abstractNum>
  <w:abstractNum w:abstractNumId="11">
    <w:nsid w:val="57675E35"/>
    <w:multiLevelType w:val="singleLevel"/>
    <w:tmpl w:val="57675E35"/>
    <w:lvl w:ilvl="0" w:tentative="0">
      <w:start w:val="6"/>
      <w:numFmt w:val="chineseCounting"/>
      <w:suff w:val="space"/>
      <w:lvlText w:val="第%1章"/>
      <w:lvlJc w:val="left"/>
    </w:lvl>
  </w:abstractNum>
  <w:abstractNum w:abstractNumId="12">
    <w:nsid w:val="5913EF5B"/>
    <w:multiLevelType w:val="singleLevel"/>
    <w:tmpl w:val="5913EF5B"/>
    <w:lvl w:ilvl="0" w:tentative="0">
      <w:start w:val="1"/>
      <w:numFmt w:val="chineseCounting"/>
      <w:suff w:val="nothing"/>
      <w:lvlText w:val="（%1）"/>
      <w:lvlJc w:val="left"/>
    </w:lvl>
  </w:abstractNum>
  <w:abstractNum w:abstractNumId="13">
    <w:nsid w:val="60B7F891"/>
    <w:multiLevelType w:val="singleLevel"/>
    <w:tmpl w:val="60B7F891"/>
    <w:lvl w:ilvl="0" w:tentative="0">
      <w:start w:val="1"/>
      <w:numFmt w:val="chineseCounting"/>
      <w:suff w:val="nothing"/>
      <w:lvlText w:val="%1、"/>
      <w:lvlJc w:val="left"/>
      <w:rPr>
        <w:rFonts w:hint="eastAsia"/>
      </w:rPr>
    </w:lvl>
  </w:abstractNum>
  <w:num w:numId="1">
    <w:abstractNumId w:val="0"/>
  </w:num>
  <w:num w:numId="2">
    <w:abstractNumId w:val="5"/>
  </w:num>
  <w:num w:numId="3">
    <w:abstractNumId w:val="7"/>
  </w:num>
  <w:num w:numId="4">
    <w:abstractNumId w:val="10"/>
  </w:num>
  <w:num w:numId="5">
    <w:abstractNumId w:val="4"/>
  </w:num>
  <w:num w:numId="6">
    <w:abstractNumId w:val="11"/>
  </w:num>
  <w:num w:numId="7">
    <w:abstractNumId w:val="13"/>
  </w:num>
  <w:num w:numId="8">
    <w:abstractNumId w:val="3"/>
  </w:num>
  <w:num w:numId="9">
    <w:abstractNumId w:val="1"/>
  </w:num>
  <w:num w:numId="10">
    <w:abstractNumId w:val="2"/>
  </w:num>
  <w:num w:numId="11">
    <w:abstractNumId w:val="12"/>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2U1MDdlMGZmYzM0YjBiZWQ3Y2U5NTEyY2ViMGY1ZjUifQ=="/>
  </w:docVars>
  <w:rsids>
    <w:rsidRoot w:val="00172A27"/>
    <w:rsid w:val="00000B79"/>
    <w:rsid w:val="0000215D"/>
    <w:rsid w:val="00003F19"/>
    <w:rsid w:val="0000558E"/>
    <w:rsid w:val="000067FE"/>
    <w:rsid w:val="00006F45"/>
    <w:rsid w:val="00007B0C"/>
    <w:rsid w:val="00010632"/>
    <w:rsid w:val="00010FA5"/>
    <w:rsid w:val="00012150"/>
    <w:rsid w:val="000122FE"/>
    <w:rsid w:val="00013C0B"/>
    <w:rsid w:val="00014D51"/>
    <w:rsid w:val="000150E1"/>
    <w:rsid w:val="0001566F"/>
    <w:rsid w:val="00015A14"/>
    <w:rsid w:val="00016449"/>
    <w:rsid w:val="000207FF"/>
    <w:rsid w:val="00021267"/>
    <w:rsid w:val="00023783"/>
    <w:rsid w:val="000239F4"/>
    <w:rsid w:val="000250BB"/>
    <w:rsid w:val="000253E5"/>
    <w:rsid w:val="000255CB"/>
    <w:rsid w:val="000261B6"/>
    <w:rsid w:val="000268D2"/>
    <w:rsid w:val="00027D20"/>
    <w:rsid w:val="00031201"/>
    <w:rsid w:val="00034583"/>
    <w:rsid w:val="00034BC2"/>
    <w:rsid w:val="00034C7E"/>
    <w:rsid w:val="00036283"/>
    <w:rsid w:val="00037304"/>
    <w:rsid w:val="000404EA"/>
    <w:rsid w:val="00041B9E"/>
    <w:rsid w:val="00041EDA"/>
    <w:rsid w:val="0004251E"/>
    <w:rsid w:val="00042A62"/>
    <w:rsid w:val="00043948"/>
    <w:rsid w:val="00044508"/>
    <w:rsid w:val="00044AF2"/>
    <w:rsid w:val="00044E7D"/>
    <w:rsid w:val="00045300"/>
    <w:rsid w:val="00045850"/>
    <w:rsid w:val="0005063C"/>
    <w:rsid w:val="00051E3B"/>
    <w:rsid w:val="00051EFE"/>
    <w:rsid w:val="00052AB3"/>
    <w:rsid w:val="00054965"/>
    <w:rsid w:val="00054F2A"/>
    <w:rsid w:val="000566F1"/>
    <w:rsid w:val="00057F94"/>
    <w:rsid w:val="00060ABB"/>
    <w:rsid w:val="00061B72"/>
    <w:rsid w:val="0006202B"/>
    <w:rsid w:val="00062425"/>
    <w:rsid w:val="0006264A"/>
    <w:rsid w:val="00063042"/>
    <w:rsid w:val="00064C8A"/>
    <w:rsid w:val="00067CEF"/>
    <w:rsid w:val="0007163C"/>
    <w:rsid w:val="00072AAF"/>
    <w:rsid w:val="00073176"/>
    <w:rsid w:val="00073C4A"/>
    <w:rsid w:val="000743DF"/>
    <w:rsid w:val="0007508E"/>
    <w:rsid w:val="000757D9"/>
    <w:rsid w:val="00075BFF"/>
    <w:rsid w:val="000766BC"/>
    <w:rsid w:val="00076752"/>
    <w:rsid w:val="00076FBC"/>
    <w:rsid w:val="000775BE"/>
    <w:rsid w:val="000779E0"/>
    <w:rsid w:val="00081F9C"/>
    <w:rsid w:val="000827B7"/>
    <w:rsid w:val="00083F35"/>
    <w:rsid w:val="0008479A"/>
    <w:rsid w:val="0008507C"/>
    <w:rsid w:val="000853F7"/>
    <w:rsid w:val="000858A6"/>
    <w:rsid w:val="000858D9"/>
    <w:rsid w:val="00085F58"/>
    <w:rsid w:val="00086702"/>
    <w:rsid w:val="00086D83"/>
    <w:rsid w:val="00086E59"/>
    <w:rsid w:val="00087B37"/>
    <w:rsid w:val="0009055A"/>
    <w:rsid w:val="00090774"/>
    <w:rsid w:val="00091267"/>
    <w:rsid w:val="00091347"/>
    <w:rsid w:val="00092735"/>
    <w:rsid w:val="00092B1B"/>
    <w:rsid w:val="000951CD"/>
    <w:rsid w:val="000957CC"/>
    <w:rsid w:val="00097DA7"/>
    <w:rsid w:val="000A0454"/>
    <w:rsid w:val="000A1062"/>
    <w:rsid w:val="000A2244"/>
    <w:rsid w:val="000A23E9"/>
    <w:rsid w:val="000A36D5"/>
    <w:rsid w:val="000A4140"/>
    <w:rsid w:val="000A419A"/>
    <w:rsid w:val="000A6318"/>
    <w:rsid w:val="000A6CAF"/>
    <w:rsid w:val="000B0256"/>
    <w:rsid w:val="000B0687"/>
    <w:rsid w:val="000B0EFE"/>
    <w:rsid w:val="000B36B7"/>
    <w:rsid w:val="000B37C2"/>
    <w:rsid w:val="000B3D2B"/>
    <w:rsid w:val="000B5FF5"/>
    <w:rsid w:val="000B76DF"/>
    <w:rsid w:val="000B79AF"/>
    <w:rsid w:val="000C07B5"/>
    <w:rsid w:val="000C2924"/>
    <w:rsid w:val="000C3701"/>
    <w:rsid w:val="000C49DB"/>
    <w:rsid w:val="000C5BE0"/>
    <w:rsid w:val="000C5EC2"/>
    <w:rsid w:val="000C7211"/>
    <w:rsid w:val="000C7440"/>
    <w:rsid w:val="000D0609"/>
    <w:rsid w:val="000D0BDF"/>
    <w:rsid w:val="000D1205"/>
    <w:rsid w:val="000D14CD"/>
    <w:rsid w:val="000D1ED0"/>
    <w:rsid w:val="000D1EF1"/>
    <w:rsid w:val="000D228C"/>
    <w:rsid w:val="000D3416"/>
    <w:rsid w:val="000D3F99"/>
    <w:rsid w:val="000D4D1B"/>
    <w:rsid w:val="000D5AE6"/>
    <w:rsid w:val="000D6425"/>
    <w:rsid w:val="000D693A"/>
    <w:rsid w:val="000D6E95"/>
    <w:rsid w:val="000E007C"/>
    <w:rsid w:val="000E0DB5"/>
    <w:rsid w:val="000E1449"/>
    <w:rsid w:val="000E2E1A"/>
    <w:rsid w:val="000E2E98"/>
    <w:rsid w:val="000E37C1"/>
    <w:rsid w:val="000E49DB"/>
    <w:rsid w:val="000E61E4"/>
    <w:rsid w:val="000E7294"/>
    <w:rsid w:val="000F0F67"/>
    <w:rsid w:val="000F18B6"/>
    <w:rsid w:val="000F1FAC"/>
    <w:rsid w:val="000F2187"/>
    <w:rsid w:val="000F2CF5"/>
    <w:rsid w:val="000F38E6"/>
    <w:rsid w:val="000F4453"/>
    <w:rsid w:val="000F4691"/>
    <w:rsid w:val="000F4C8E"/>
    <w:rsid w:val="000F50FE"/>
    <w:rsid w:val="000F536C"/>
    <w:rsid w:val="000F61F4"/>
    <w:rsid w:val="000F6F95"/>
    <w:rsid w:val="000F7CD7"/>
    <w:rsid w:val="00100E29"/>
    <w:rsid w:val="00105369"/>
    <w:rsid w:val="00105862"/>
    <w:rsid w:val="0010628B"/>
    <w:rsid w:val="001066D1"/>
    <w:rsid w:val="0010704D"/>
    <w:rsid w:val="0010706C"/>
    <w:rsid w:val="001074EA"/>
    <w:rsid w:val="00107737"/>
    <w:rsid w:val="00107DDE"/>
    <w:rsid w:val="001106A2"/>
    <w:rsid w:val="001107E0"/>
    <w:rsid w:val="00110965"/>
    <w:rsid w:val="00111DC3"/>
    <w:rsid w:val="0011393E"/>
    <w:rsid w:val="00113CE9"/>
    <w:rsid w:val="001140D6"/>
    <w:rsid w:val="001149FD"/>
    <w:rsid w:val="00115496"/>
    <w:rsid w:val="001156F4"/>
    <w:rsid w:val="00115775"/>
    <w:rsid w:val="001171E8"/>
    <w:rsid w:val="00117318"/>
    <w:rsid w:val="001177F0"/>
    <w:rsid w:val="00117AF5"/>
    <w:rsid w:val="00117CF8"/>
    <w:rsid w:val="00117F8A"/>
    <w:rsid w:val="00120166"/>
    <w:rsid w:val="001206F3"/>
    <w:rsid w:val="001228AB"/>
    <w:rsid w:val="00122E2F"/>
    <w:rsid w:val="0012400F"/>
    <w:rsid w:val="00124F99"/>
    <w:rsid w:val="00125D85"/>
    <w:rsid w:val="00126EC1"/>
    <w:rsid w:val="001275FA"/>
    <w:rsid w:val="00127AA9"/>
    <w:rsid w:val="00130A9B"/>
    <w:rsid w:val="00131740"/>
    <w:rsid w:val="0013354C"/>
    <w:rsid w:val="00133AED"/>
    <w:rsid w:val="00133E39"/>
    <w:rsid w:val="0013465C"/>
    <w:rsid w:val="00135740"/>
    <w:rsid w:val="0013722A"/>
    <w:rsid w:val="00137566"/>
    <w:rsid w:val="00140847"/>
    <w:rsid w:val="00140DD7"/>
    <w:rsid w:val="00141A92"/>
    <w:rsid w:val="0014274E"/>
    <w:rsid w:val="00143711"/>
    <w:rsid w:val="00143D6F"/>
    <w:rsid w:val="00144199"/>
    <w:rsid w:val="00144BF8"/>
    <w:rsid w:val="001453FC"/>
    <w:rsid w:val="0014592E"/>
    <w:rsid w:val="00146C59"/>
    <w:rsid w:val="00146EF9"/>
    <w:rsid w:val="0014723D"/>
    <w:rsid w:val="001512AC"/>
    <w:rsid w:val="0015152E"/>
    <w:rsid w:val="00152D0A"/>
    <w:rsid w:val="00153D19"/>
    <w:rsid w:val="0015492B"/>
    <w:rsid w:val="001556A0"/>
    <w:rsid w:val="001560AE"/>
    <w:rsid w:val="001573B2"/>
    <w:rsid w:val="001600AE"/>
    <w:rsid w:val="001605A3"/>
    <w:rsid w:val="001605C5"/>
    <w:rsid w:val="00160BDD"/>
    <w:rsid w:val="001610BE"/>
    <w:rsid w:val="00161674"/>
    <w:rsid w:val="00161C80"/>
    <w:rsid w:val="00161E4E"/>
    <w:rsid w:val="00162887"/>
    <w:rsid w:val="00162A0A"/>
    <w:rsid w:val="00163B78"/>
    <w:rsid w:val="00166761"/>
    <w:rsid w:val="001667E9"/>
    <w:rsid w:val="0016771A"/>
    <w:rsid w:val="001700B4"/>
    <w:rsid w:val="001719EB"/>
    <w:rsid w:val="00172A27"/>
    <w:rsid w:val="001731C2"/>
    <w:rsid w:val="00173969"/>
    <w:rsid w:val="001740D0"/>
    <w:rsid w:val="00176B19"/>
    <w:rsid w:val="00176B72"/>
    <w:rsid w:val="00177602"/>
    <w:rsid w:val="001804C7"/>
    <w:rsid w:val="00181C7E"/>
    <w:rsid w:val="00182FAB"/>
    <w:rsid w:val="00183994"/>
    <w:rsid w:val="001851EE"/>
    <w:rsid w:val="001876E9"/>
    <w:rsid w:val="00190942"/>
    <w:rsid w:val="00191A80"/>
    <w:rsid w:val="00192AF9"/>
    <w:rsid w:val="001930CE"/>
    <w:rsid w:val="001935D1"/>
    <w:rsid w:val="00193A79"/>
    <w:rsid w:val="0019465E"/>
    <w:rsid w:val="00195687"/>
    <w:rsid w:val="00196728"/>
    <w:rsid w:val="00196929"/>
    <w:rsid w:val="00197C31"/>
    <w:rsid w:val="001A060F"/>
    <w:rsid w:val="001A1834"/>
    <w:rsid w:val="001A23B9"/>
    <w:rsid w:val="001A3911"/>
    <w:rsid w:val="001A3A75"/>
    <w:rsid w:val="001A3FFF"/>
    <w:rsid w:val="001A4AC9"/>
    <w:rsid w:val="001A4D86"/>
    <w:rsid w:val="001A4DFD"/>
    <w:rsid w:val="001A4FC1"/>
    <w:rsid w:val="001A5705"/>
    <w:rsid w:val="001A5ABF"/>
    <w:rsid w:val="001A66EF"/>
    <w:rsid w:val="001A70A5"/>
    <w:rsid w:val="001A74DC"/>
    <w:rsid w:val="001B0C6C"/>
    <w:rsid w:val="001B1D2F"/>
    <w:rsid w:val="001B32E1"/>
    <w:rsid w:val="001B33C6"/>
    <w:rsid w:val="001B47A4"/>
    <w:rsid w:val="001B4CDE"/>
    <w:rsid w:val="001B4FDA"/>
    <w:rsid w:val="001B55E2"/>
    <w:rsid w:val="001B69BD"/>
    <w:rsid w:val="001C0D55"/>
    <w:rsid w:val="001C284B"/>
    <w:rsid w:val="001C3DAA"/>
    <w:rsid w:val="001C43B7"/>
    <w:rsid w:val="001C4E56"/>
    <w:rsid w:val="001C628C"/>
    <w:rsid w:val="001C6407"/>
    <w:rsid w:val="001C728B"/>
    <w:rsid w:val="001D0C72"/>
    <w:rsid w:val="001D203D"/>
    <w:rsid w:val="001D2B52"/>
    <w:rsid w:val="001D3AC7"/>
    <w:rsid w:val="001D5204"/>
    <w:rsid w:val="001D73F4"/>
    <w:rsid w:val="001E02F9"/>
    <w:rsid w:val="001E25AF"/>
    <w:rsid w:val="001E279A"/>
    <w:rsid w:val="001E413F"/>
    <w:rsid w:val="001E4B9A"/>
    <w:rsid w:val="001E5281"/>
    <w:rsid w:val="001E58D2"/>
    <w:rsid w:val="001E634C"/>
    <w:rsid w:val="001E7667"/>
    <w:rsid w:val="001E79C4"/>
    <w:rsid w:val="001F0441"/>
    <w:rsid w:val="001F0F75"/>
    <w:rsid w:val="001F23D3"/>
    <w:rsid w:val="001F248A"/>
    <w:rsid w:val="001F4067"/>
    <w:rsid w:val="001F5288"/>
    <w:rsid w:val="001F57EB"/>
    <w:rsid w:val="001F626C"/>
    <w:rsid w:val="001F6290"/>
    <w:rsid w:val="001F7C94"/>
    <w:rsid w:val="0020010D"/>
    <w:rsid w:val="00200837"/>
    <w:rsid w:val="0020121B"/>
    <w:rsid w:val="00201A4C"/>
    <w:rsid w:val="002039A8"/>
    <w:rsid w:val="00203EBE"/>
    <w:rsid w:val="00203F16"/>
    <w:rsid w:val="00205499"/>
    <w:rsid w:val="002055E6"/>
    <w:rsid w:val="002058B4"/>
    <w:rsid w:val="002064AA"/>
    <w:rsid w:val="002068C4"/>
    <w:rsid w:val="002079D7"/>
    <w:rsid w:val="0021054F"/>
    <w:rsid w:val="00213086"/>
    <w:rsid w:val="002133C4"/>
    <w:rsid w:val="00213C10"/>
    <w:rsid w:val="002140D4"/>
    <w:rsid w:val="00215EE4"/>
    <w:rsid w:val="00216B93"/>
    <w:rsid w:val="00223FDF"/>
    <w:rsid w:val="00225792"/>
    <w:rsid w:val="00226047"/>
    <w:rsid w:val="00226893"/>
    <w:rsid w:val="00226ECF"/>
    <w:rsid w:val="002308EB"/>
    <w:rsid w:val="002317A8"/>
    <w:rsid w:val="00233377"/>
    <w:rsid w:val="002337D5"/>
    <w:rsid w:val="0023488A"/>
    <w:rsid w:val="002348C5"/>
    <w:rsid w:val="00234E13"/>
    <w:rsid w:val="00236865"/>
    <w:rsid w:val="002369EB"/>
    <w:rsid w:val="002372E1"/>
    <w:rsid w:val="00240261"/>
    <w:rsid w:val="00240310"/>
    <w:rsid w:val="00241476"/>
    <w:rsid w:val="00242784"/>
    <w:rsid w:val="0024369B"/>
    <w:rsid w:val="00244963"/>
    <w:rsid w:val="00244B56"/>
    <w:rsid w:val="00245B38"/>
    <w:rsid w:val="00246D4A"/>
    <w:rsid w:val="00247780"/>
    <w:rsid w:val="00247965"/>
    <w:rsid w:val="00250CDF"/>
    <w:rsid w:val="002516F8"/>
    <w:rsid w:val="0025250C"/>
    <w:rsid w:val="00252E6B"/>
    <w:rsid w:val="00253665"/>
    <w:rsid w:val="002536FB"/>
    <w:rsid w:val="002543BE"/>
    <w:rsid w:val="002548AF"/>
    <w:rsid w:val="00255152"/>
    <w:rsid w:val="00255263"/>
    <w:rsid w:val="00257784"/>
    <w:rsid w:val="0025783C"/>
    <w:rsid w:val="00260832"/>
    <w:rsid w:val="002611DA"/>
    <w:rsid w:val="002616DA"/>
    <w:rsid w:val="00261CB6"/>
    <w:rsid w:val="00262354"/>
    <w:rsid w:val="002625AC"/>
    <w:rsid w:val="0026424F"/>
    <w:rsid w:val="00264325"/>
    <w:rsid w:val="002648C1"/>
    <w:rsid w:val="00264D24"/>
    <w:rsid w:val="00265BDA"/>
    <w:rsid w:val="0026675B"/>
    <w:rsid w:val="0026771E"/>
    <w:rsid w:val="00270797"/>
    <w:rsid w:val="002707F7"/>
    <w:rsid w:val="00271396"/>
    <w:rsid w:val="00271A13"/>
    <w:rsid w:val="00271AEE"/>
    <w:rsid w:val="00272085"/>
    <w:rsid w:val="00273A0D"/>
    <w:rsid w:val="002741B4"/>
    <w:rsid w:val="002744D2"/>
    <w:rsid w:val="00274E73"/>
    <w:rsid w:val="00275AD7"/>
    <w:rsid w:val="00276E55"/>
    <w:rsid w:val="00276ED2"/>
    <w:rsid w:val="002777C0"/>
    <w:rsid w:val="00277A72"/>
    <w:rsid w:val="0028145F"/>
    <w:rsid w:val="00281ACC"/>
    <w:rsid w:val="00281F6A"/>
    <w:rsid w:val="002823A6"/>
    <w:rsid w:val="002829A6"/>
    <w:rsid w:val="002836EA"/>
    <w:rsid w:val="00283E70"/>
    <w:rsid w:val="002848E4"/>
    <w:rsid w:val="00285445"/>
    <w:rsid w:val="002856F8"/>
    <w:rsid w:val="002873BC"/>
    <w:rsid w:val="00287927"/>
    <w:rsid w:val="00290D84"/>
    <w:rsid w:val="0029328E"/>
    <w:rsid w:val="00293942"/>
    <w:rsid w:val="00293E7E"/>
    <w:rsid w:val="00294075"/>
    <w:rsid w:val="00294297"/>
    <w:rsid w:val="00294CA0"/>
    <w:rsid w:val="00295AB4"/>
    <w:rsid w:val="00295DEF"/>
    <w:rsid w:val="002963A4"/>
    <w:rsid w:val="002A085F"/>
    <w:rsid w:val="002A11CB"/>
    <w:rsid w:val="002A15ED"/>
    <w:rsid w:val="002A3044"/>
    <w:rsid w:val="002A3444"/>
    <w:rsid w:val="002A34D1"/>
    <w:rsid w:val="002A460D"/>
    <w:rsid w:val="002A56C7"/>
    <w:rsid w:val="002A5964"/>
    <w:rsid w:val="002A5DBA"/>
    <w:rsid w:val="002A5E24"/>
    <w:rsid w:val="002A7061"/>
    <w:rsid w:val="002A7299"/>
    <w:rsid w:val="002A745E"/>
    <w:rsid w:val="002B0500"/>
    <w:rsid w:val="002B0A45"/>
    <w:rsid w:val="002B1E2E"/>
    <w:rsid w:val="002B28D2"/>
    <w:rsid w:val="002B450F"/>
    <w:rsid w:val="002B4694"/>
    <w:rsid w:val="002B747E"/>
    <w:rsid w:val="002C071F"/>
    <w:rsid w:val="002C0D55"/>
    <w:rsid w:val="002C1340"/>
    <w:rsid w:val="002C158B"/>
    <w:rsid w:val="002C3DCF"/>
    <w:rsid w:val="002C3E1B"/>
    <w:rsid w:val="002C4D14"/>
    <w:rsid w:val="002C4E4A"/>
    <w:rsid w:val="002C589E"/>
    <w:rsid w:val="002C74A1"/>
    <w:rsid w:val="002D08E0"/>
    <w:rsid w:val="002D2CC6"/>
    <w:rsid w:val="002D3494"/>
    <w:rsid w:val="002D4239"/>
    <w:rsid w:val="002D4B56"/>
    <w:rsid w:val="002D5573"/>
    <w:rsid w:val="002D616A"/>
    <w:rsid w:val="002D652C"/>
    <w:rsid w:val="002D6C1C"/>
    <w:rsid w:val="002D7BA7"/>
    <w:rsid w:val="002D7C37"/>
    <w:rsid w:val="002E1205"/>
    <w:rsid w:val="002E4A0F"/>
    <w:rsid w:val="002E4A7A"/>
    <w:rsid w:val="002E61D6"/>
    <w:rsid w:val="002E719D"/>
    <w:rsid w:val="002E783B"/>
    <w:rsid w:val="002F0E0D"/>
    <w:rsid w:val="002F0F35"/>
    <w:rsid w:val="002F1355"/>
    <w:rsid w:val="002F149D"/>
    <w:rsid w:val="002F1905"/>
    <w:rsid w:val="002F5377"/>
    <w:rsid w:val="002F694A"/>
    <w:rsid w:val="002F6BC6"/>
    <w:rsid w:val="002F7AE9"/>
    <w:rsid w:val="002F7BD0"/>
    <w:rsid w:val="00300043"/>
    <w:rsid w:val="00300997"/>
    <w:rsid w:val="0030100D"/>
    <w:rsid w:val="003045A3"/>
    <w:rsid w:val="00304B5E"/>
    <w:rsid w:val="00304F2A"/>
    <w:rsid w:val="003053A1"/>
    <w:rsid w:val="003055DB"/>
    <w:rsid w:val="00305E04"/>
    <w:rsid w:val="0030648E"/>
    <w:rsid w:val="0030689B"/>
    <w:rsid w:val="00306A95"/>
    <w:rsid w:val="00307FE7"/>
    <w:rsid w:val="003112C0"/>
    <w:rsid w:val="00312B54"/>
    <w:rsid w:val="00313A8C"/>
    <w:rsid w:val="0031416E"/>
    <w:rsid w:val="003145A1"/>
    <w:rsid w:val="00314B49"/>
    <w:rsid w:val="00314BA6"/>
    <w:rsid w:val="00314DED"/>
    <w:rsid w:val="0031504C"/>
    <w:rsid w:val="003152EB"/>
    <w:rsid w:val="00315DB4"/>
    <w:rsid w:val="003165E9"/>
    <w:rsid w:val="003166BE"/>
    <w:rsid w:val="003168A2"/>
    <w:rsid w:val="00316904"/>
    <w:rsid w:val="0032098B"/>
    <w:rsid w:val="0032098F"/>
    <w:rsid w:val="00320C33"/>
    <w:rsid w:val="00321127"/>
    <w:rsid w:val="003215E9"/>
    <w:rsid w:val="003219D6"/>
    <w:rsid w:val="00322D65"/>
    <w:rsid w:val="00324293"/>
    <w:rsid w:val="00324477"/>
    <w:rsid w:val="00324FFF"/>
    <w:rsid w:val="003258FF"/>
    <w:rsid w:val="003259B2"/>
    <w:rsid w:val="00325EF0"/>
    <w:rsid w:val="003269A8"/>
    <w:rsid w:val="00326A3F"/>
    <w:rsid w:val="00326C2C"/>
    <w:rsid w:val="00326F9F"/>
    <w:rsid w:val="0032713D"/>
    <w:rsid w:val="003273BA"/>
    <w:rsid w:val="00330B51"/>
    <w:rsid w:val="003314B6"/>
    <w:rsid w:val="00332B47"/>
    <w:rsid w:val="00332F7B"/>
    <w:rsid w:val="0033316A"/>
    <w:rsid w:val="00334454"/>
    <w:rsid w:val="00334C72"/>
    <w:rsid w:val="00335C95"/>
    <w:rsid w:val="00336655"/>
    <w:rsid w:val="0033751D"/>
    <w:rsid w:val="00337DAF"/>
    <w:rsid w:val="0034158C"/>
    <w:rsid w:val="0034160A"/>
    <w:rsid w:val="003419D1"/>
    <w:rsid w:val="00341C64"/>
    <w:rsid w:val="00342B1D"/>
    <w:rsid w:val="00343297"/>
    <w:rsid w:val="00343341"/>
    <w:rsid w:val="00343455"/>
    <w:rsid w:val="003435C6"/>
    <w:rsid w:val="00343E83"/>
    <w:rsid w:val="003442F3"/>
    <w:rsid w:val="00344AB1"/>
    <w:rsid w:val="00344BB4"/>
    <w:rsid w:val="00345252"/>
    <w:rsid w:val="00345898"/>
    <w:rsid w:val="00345CF8"/>
    <w:rsid w:val="003465A5"/>
    <w:rsid w:val="00350931"/>
    <w:rsid w:val="0035140B"/>
    <w:rsid w:val="00351421"/>
    <w:rsid w:val="00351ABB"/>
    <w:rsid w:val="00351E22"/>
    <w:rsid w:val="00353E0B"/>
    <w:rsid w:val="00355059"/>
    <w:rsid w:val="00355ABB"/>
    <w:rsid w:val="003567E1"/>
    <w:rsid w:val="0035748E"/>
    <w:rsid w:val="00357DCF"/>
    <w:rsid w:val="00360820"/>
    <w:rsid w:val="00360C7A"/>
    <w:rsid w:val="00360D21"/>
    <w:rsid w:val="0036213C"/>
    <w:rsid w:val="003628DA"/>
    <w:rsid w:val="003635DF"/>
    <w:rsid w:val="0036504C"/>
    <w:rsid w:val="0036539D"/>
    <w:rsid w:val="00366D46"/>
    <w:rsid w:val="003676C3"/>
    <w:rsid w:val="003709FF"/>
    <w:rsid w:val="00370C7C"/>
    <w:rsid w:val="00372978"/>
    <w:rsid w:val="00372FE9"/>
    <w:rsid w:val="00376AA0"/>
    <w:rsid w:val="00377517"/>
    <w:rsid w:val="003778E6"/>
    <w:rsid w:val="0038006A"/>
    <w:rsid w:val="00381D92"/>
    <w:rsid w:val="00381E45"/>
    <w:rsid w:val="00382532"/>
    <w:rsid w:val="003826D1"/>
    <w:rsid w:val="003839DF"/>
    <w:rsid w:val="00384677"/>
    <w:rsid w:val="00384B2A"/>
    <w:rsid w:val="00384BA6"/>
    <w:rsid w:val="003869B0"/>
    <w:rsid w:val="00387339"/>
    <w:rsid w:val="00387AC6"/>
    <w:rsid w:val="00387F4C"/>
    <w:rsid w:val="00391036"/>
    <w:rsid w:val="0039378A"/>
    <w:rsid w:val="003943FC"/>
    <w:rsid w:val="003944CC"/>
    <w:rsid w:val="00395253"/>
    <w:rsid w:val="003955B0"/>
    <w:rsid w:val="0039571F"/>
    <w:rsid w:val="00395CFD"/>
    <w:rsid w:val="003965EF"/>
    <w:rsid w:val="00396815"/>
    <w:rsid w:val="00396DE2"/>
    <w:rsid w:val="0039742B"/>
    <w:rsid w:val="00397BC0"/>
    <w:rsid w:val="003A0846"/>
    <w:rsid w:val="003A08B8"/>
    <w:rsid w:val="003A15EC"/>
    <w:rsid w:val="003A2331"/>
    <w:rsid w:val="003A3B47"/>
    <w:rsid w:val="003A403D"/>
    <w:rsid w:val="003A5163"/>
    <w:rsid w:val="003A6636"/>
    <w:rsid w:val="003A6FD1"/>
    <w:rsid w:val="003B020A"/>
    <w:rsid w:val="003B1786"/>
    <w:rsid w:val="003B21BF"/>
    <w:rsid w:val="003B435C"/>
    <w:rsid w:val="003B465A"/>
    <w:rsid w:val="003B4721"/>
    <w:rsid w:val="003B5ACB"/>
    <w:rsid w:val="003B65AD"/>
    <w:rsid w:val="003B705B"/>
    <w:rsid w:val="003B7837"/>
    <w:rsid w:val="003C13C5"/>
    <w:rsid w:val="003C199E"/>
    <w:rsid w:val="003C263C"/>
    <w:rsid w:val="003C3899"/>
    <w:rsid w:val="003C4EDE"/>
    <w:rsid w:val="003C56DD"/>
    <w:rsid w:val="003C5C6E"/>
    <w:rsid w:val="003C607E"/>
    <w:rsid w:val="003C705B"/>
    <w:rsid w:val="003C7EEE"/>
    <w:rsid w:val="003D1D9D"/>
    <w:rsid w:val="003D2330"/>
    <w:rsid w:val="003D2963"/>
    <w:rsid w:val="003D413E"/>
    <w:rsid w:val="003D432D"/>
    <w:rsid w:val="003D4474"/>
    <w:rsid w:val="003D44EE"/>
    <w:rsid w:val="003D6C75"/>
    <w:rsid w:val="003D78AE"/>
    <w:rsid w:val="003E24C8"/>
    <w:rsid w:val="003E4F4E"/>
    <w:rsid w:val="003E66EE"/>
    <w:rsid w:val="003E6DE2"/>
    <w:rsid w:val="003E70C5"/>
    <w:rsid w:val="003F2889"/>
    <w:rsid w:val="003F29E2"/>
    <w:rsid w:val="003F3D0C"/>
    <w:rsid w:val="003F5EA8"/>
    <w:rsid w:val="003F7747"/>
    <w:rsid w:val="003F7C5E"/>
    <w:rsid w:val="00400424"/>
    <w:rsid w:val="004007DF"/>
    <w:rsid w:val="00400B94"/>
    <w:rsid w:val="00401072"/>
    <w:rsid w:val="00402B06"/>
    <w:rsid w:val="004059B8"/>
    <w:rsid w:val="00406279"/>
    <w:rsid w:val="00406336"/>
    <w:rsid w:val="00407BD5"/>
    <w:rsid w:val="0041008F"/>
    <w:rsid w:val="00410B10"/>
    <w:rsid w:val="0041149B"/>
    <w:rsid w:val="00412E98"/>
    <w:rsid w:val="004148C2"/>
    <w:rsid w:val="00414940"/>
    <w:rsid w:val="00415502"/>
    <w:rsid w:val="00415682"/>
    <w:rsid w:val="00415B59"/>
    <w:rsid w:val="004164DC"/>
    <w:rsid w:val="00416C79"/>
    <w:rsid w:val="00417BC1"/>
    <w:rsid w:val="00417E61"/>
    <w:rsid w:val="00417FD0"/>
    <w:rsid w:val="0042034E"/>
    <w:rsid w:val="00421BEF"/>
    <w:rsid w:val="00422A70"/>
    <w:rsid w:val="004234ED"/>
    <w:rsid w:val="0042412F"/>
    <w:rsid w:val="0042482C"/>
    <w:rsid w:val="00424BE0"/>
    <w:rsid w:val="00424D92"/>
    <w:rsid w:val="00426321"/>
    <w:rsid w:val="00426675"/>
    <w:rsid w:val="00426E0C"/>
    <w:rsid w:val="0042751E"/>
    <w:rsid w:val="004275F7"/>
    <w:rsid w:val="00430106"/>
    <w:rsid w:val="0043142C"/>
    <w:rsid w:val="004336CE"/>
    <w:rsid w:val="004339A8"/>
    <w:rsid w:val="00436B63"/>
    <w:rsid w:val="00436E21"/>
    <w:rsid w:val="004373B3"/>
    <w:rsid w:val="00437D15"/>
    <w:rsid w:val="004413DF"/>
    <w:rsid w:val="00443339"/>
    <w:rsid w:val="00443ADB"/>
    <w:rsid w:val="00444ABC"/>
    <w:rsid w:val="00445040"/>
    <w:rsid w:val="0044547A"/>
    <w:rsid w:val="004463AA"/>
    <w:rsid w:val="004468E4"/>
    <w:rsid w:val="004478EA"/>
    <w:rsid w:val="0045090B"/>
    <w:rsid w:val="00450A87"/>
    <w:rsid w:val="00450B27"/>
    <w:rsid w:val="00451EB7"/>
    <w:rsid w:val="00452807"/>
    <w:rsid w:val="004529FC"/>
    <w:rsid w:val="00452DE9"/>
    <w:rsid w:val="00452E0E"/>
    <w:rsid w:val="00453E2B"/>
    <w:rsid w:val="00454002"/>
    <w:rsid w:val="00454FEF"/>
    <w:rsid w:val="00455009"/>
    <w:rsid w:val="00456486"/>
    <w:rsid w:val="00456C1F"/>
    <w:rsid w:val="004573E5"/>
    <w:rsid w:val="0045761A"/>
    <w:rsid w:val="0046147B"/>
    <w:rsid w:val="00463AF9"/>
    <w:rsid w:val="00464883"/>
    <w:rsid w:val="00464A18"/>
    <w:rsid w:val="00464C9F"/>
    <w:rsid w:val="00464FE3"/>
    <w:rsid w:val="0046566C"/>
    <w:rsid w:val="00467AA9"/>
    <w:rsid w:val="00471204"/>
    <w:rsid w:val="0047152D"/>
    <w:rsid w:val="00471C02"/>
    <w:rsid w:val="00472526"/>
    <w:rsid w:val="00472BBF"/>
    <w:rsid w:val="0047365F"/>
    <w:rsid w:val="0047608A"/>
    <w:rsid w:val="00476B1B"/>
    <w:rsid w:val="004775F1"/>
    <w:rsid w:val="004804AF"/>
    <w:rsid w:val="004825BE"/>
    <w:rsid w:val="00483287"/>
    <w:rsid w:val="00483886"/>
    <w:rsid w:val="00483EEF"/>
    <w:rsid w:val="00483F65"/>
    <w:rsid w:val="0048418B"/>
    <w:rsid w:val="00485C12"/>
    <w:rsid w:val="004864CA"/>
    <w:rsid w:val="00486D20"/>
    <w:rsid w:val="004879D4"/>
    <w:rsid w:val="004917C2"/>
    <w:rsid w:val="0049354B"/>
    <w:rsid w:val="004938FE"/>
    <w:rsid w:val="00493ED2"/>
    <w:rsid w:val="004941FA"/>
    <w:rsid w:val="004949CB"/>
    <w:rsid w:val="004952CC"/>
    <w:rsid w:val="00495569"/>
    <w:rsid w:val="004957D0"/>
    <w:rsid w:val="00495A8F"/>
    <w:rsid w:val="00496898"/>
    <w:rsid w:val="00496C07"/>
    <w:rsid w:val="00497D28"/>
    <w:rsid w:val="004A0786"/>
    <w:rsid w:val="004A0C10"/>
    <w:rsid w:val="004A1262"/>
    <w:rsid w:val="004A16C9"/>
    <w:rsid w:val="004A1DE8"/>
    <w:rsid w:val="004A2401"/>
    <w:rsid w:val="004A242E"/>
    <w:rsid w:val="004A2525"/>
    <w:rsid w:val="004A259A"/>
    <w:rsid w:val="004A3228"/>
    <w:rsid w:val="004A3BFE"/>
    <w:rsid w:val="004A3EDB"/>
    <w:rsid w:val="004A3F12"/>
    <w:rsid w:val="004A3F98"/>
    <w:rsid w:val="004A4B21"/>
    <w:rsid w:val="004A4DE6"/>
    <w:rsid w:val="004A5D9F"/>
    <w:rsid w:val="004A5DBB"/>
    <w:rsid w:val="004A6319"/>
    <w:rsid w:val="004A64C7"/>
    <w:rsid w:val="004B0429"/>
    <w:rsid w:val="004B05C4"/>
    <w:rsid w:val="004B1211"/>
    <w:rsid w:val="004B23C1"/>
    <w:rsid w:val="004B273F"/>
    <w:rsid w:val="004B28DF"/>
    <w:rsid w:val="004B415D"/>
    <w:rsid w:val="004B452A"/>
    <w:rsid w:val="004B46C8"/>
    <w:rsid w:val="004B4CDA"/>
    <w:rsid w:val="004B583E"/>
    <w:rsid w:val="004B5A39"/>
    <w:rsid w:val="004B5D87"/>
    <w:rsid w:val="004B5FDF"/>
    <w:rsid w:val="004B6C28"/>
    <w:rsid w:val="004B78E1"/>
    <w:rsid w:val="004C00D8"/>
    <w:rsid w:val="004C0F45"/>
    <w:rsid w:val="004C1A8D"/>
    <w:rsid w:val="004C1B0F"/>
    <w:rsid w:val="004C24CD"/>
    <w:rsid w:val="004C28F1"/>
    <w:rsid w:val="004C299D"/>
    <w:rsid w:val="004C35B5"/>
    <w:rsid w:val="004C42E9"/>
    <w:rsid w:val="004C508E"/>
    <w:rsid w:val="004C67CB"/>
    <w:rsid w:val="004C6B00"/>
    <w:rsid w:val="004C71F6"/>
    <w:rsid w:val="004D2348"/>
    <w:rsid w:val="004D24FF"/>
    <w:rsid w:val="004D2903"/>
    <w:rsid w:val="004D5029"/>
    <w:rsid w:val="004D5382"/>
    <w:rsid w:val="004D5933"/>
    <w:rsid w:val="004D6F1D"/>
    <w:rsid w:val="004D70FF"/>
    <w:rsid w:val="004E0834"/>
    <w:rsid w:val="004E0A9C"/>
    <w:rsid w:val="004E1CAA"/>
    <w:rsid w:val="004E296D"/>
    <w:rsid w:val="004E2A7D"/>
    <w:rsid w:val="004E6395"/>
    <w:rsid w:val="004F25CB"/>
    <w:rsid w:val="004F25EE"/>
    <w:rsid w:val="004F2B59"/>
    <w:rsid w:val="004F39F0"/>
    <w:rsid w:val="004F41C3"/>
    <w:rsid w:val="004F5DCD"/>
    <w:rsid w:val="004F6D27"/>
    <w:rsid w:val="004F763B"/>
    <w:rsid w:val="00502CD3"/>
    <w:rsid w:val="00502F4C"/>
    <w:rsid w:val="00503576"/>
    <w:rsid w:val="00503902"/>
    <w:rsid w:val="00504ADC"/>
    <w:rsid w:val="00504BC3"/>
    <w:rsid w:val="00505650"/>
    <w:rsid w:val="005067FE"/>
    <w:rsid w:val="005075A6"/>
    <w:rsid w:val="00507FE4"/>
    <w:rsid w:val="00511488"/>
    <w:rsid w:val="00511A65"/>
    <w:rsid w:val="005136C2"/>
    <w:rsid w:val="00514121"/>
    <w:rsid w:val="00514D22"/>
    <w:rsid w:val="00514F52"/>
    <w:rsid w:val="005159F7"/>
    <w:rsid w:val="00515ED1"/>
    <w:rsid w:val="00516308"/>
    <w:rsid w:val="0051642B"/>
    <w:rsid w:val="005164E8"/>
    <w:rsid w:val="00517B7C"/>
    <w:rsid w:val="005214F2"/>
    <w:rsid w:val="005243FD"/>
    <w:rsid w:val="0052465A"/>
    <w:rsid w:val="005252CA"/>
    <w:rsid w:val="00530B56"/>
    <w:rsid w:val="00531062"/>
    <w:rsid w:val="005320FC"/>
    <w:rsid w:val="00532115"/>
    <w:rsid w:val="00532427"/>
    <w:rsid w:val="005324EA"/>
    <w:rsid w:val="00532A6F"/>
    <w:rsid w:val="005330FD"/>
    <w:rsid w:val="00533263"/>
    <w:rsid w:val="00534EA3"/>
    <w:rsid w:val="005358CF"/>
    <w:rsid w:val="00535A3E"/>
    <w:rsid w:val="005360E7"/>
    <w:rsid w:val="005408D8"/>
    <w:rsid w:val="00541199"/>
    <w:rsid w:val="00542C92"/>
    <w:rsid w:val="00542CE1"/>
    <w:rsid w:val="00542F1A"/>
    <w:rsid w:val="005440E4"/>
    <w:rsid w:val="00544D7C"/>
    <w:rsid w:val="005458E1"/>
    <w:rsid w:val="00546455"/>
    <w:rsid w:val="00546AFC"/>
    <w:rsid w:val="00546ED8"/>
    <w:rsid w:val="00547454"/>
    <w:rsid w:val="005475FC"/>
    <w:rsid w:val="00547FE8"/>
    <w:rsid w:val="00550174"/>
    <w:rsid w:val="0055075A"/>
    <w:rsid w:val="00550ACA"/>
    <w:rsid w:val="00552AD4"/>
    <w:rsid w:val="00553FA5"/>
    <w:rsid w:val="0055415C"/>
    <w:rsid w:val="0055424B"/>
    <w:rsid w:val="00556EF9"/>
    <w:rsid w:val="0055706C"/>
    <w:rsid w:val="00557310"/>
    <w:rsid w:val="005577B7"/>
    <w:rsid w:val="0056018A"/>
    <w:rsid w:val="00560BE2"/>
    <w:rsid w:val="005611C3"/>
    <w:rsid w:val="00561891"/>
    <w:rsid w:val="00562289"/>
    <w:rsid w:val="005623D7"/>
    <w:rsid w:val="00563157"/>
    <w:rsid w:val="00564824"/>
    <w:rsid w:val="00565294"/>
    <w:rsid w:val="0056614E"/>
    <w:rsid w:val="00566DF0"/>
    <w:rsid w:val="00566FAF"/>
    <w:rsid w:val="005670FF"/>
    <w:rsid w:val="00567614"/>
    <w:rsid w:val="005706A1"/>
    <w:rsid w:val="00571181"/>
    <w:rsid w:val="00575E36"/>
    <w:rsid w:val="00576610"/>
    <w:rsid w:val="00577116"/>
    <w:rsid w:val="005776AE"/>
    <w:rsid w:val="0058068B"/>
    <w:rsid w:val="00581BBD"/>
    <w:rsid w:val="0058448D"/>
    <w:rsid w:val="00584A45"/>
    <w:rsid w:val="00584B97"/>
    <w:rsid w:val="0058555B"/>
    <w:rsid w:val="00586AFC"/>
    <w:rsid w:val="00586D61"/>
    <w:rsid w:val="0058757C"/>
    <w:rsid w:val="00587EF3"/>
    <w:rsid w:val="005916AE"/>
    <w:rsid w:val="00591C56"/>
    <w:rsid w:val="005939DD"/>
    <w:rsid w:val="00593C1E"/>
    <w:rsid w:val="00593CF6"/>
    <w:rsid w:val="00593D05"/>
    <w:rsid w:val="0059488D"/>
    <w:rsid w:val="00594C47"/>
    <w:rsid w:val="00596310"/>
    <w:rsid w:val="00596823"/>
    <w:rsid w:val="00596F90"/>
    <w:rsid w:val="005A0DC1"/>
    <w:rsid w:val="005A16F1"/>
    <w:rsid w:val="005A1715"/>
    <w:rsid w:val="005A2CE8"/>
    <w:rsid w:val="005A33CB"/>
    <w:rsid w:val="005A3777"/>
    <w:rsid w:val="005A3D5C"/>
    <w:rsid w:val="005A4281"/>
    <w:rsid w:val="005A514E"/>
    <w:rsid w:val="005A6C23"/>
    <w:rsid w:val="005A74A9"/>
    <w:rsid w:val="005A7ECC"/>
    <w:rsid w:val="005B0CB5"/>
    <w:rsid w:val="005B158E"/>
    <w:rsid w:val="005B24C4"/>
    <w:rsid w:val="005B2A68"/>
    <w:rsid w:val="005B5E46"/>
    <w:rsid w:val="005B6EC3"/>
    <w:rsid w:val="005B74AB"/>
    <w:rsid w:val="005B7E51"/>
    <w:rsid w:val="005B7E79"/>
    <w:rsid w:val="005C0946"/>
    <w:rsid w:val="005C0A0C"/>
    <w:rsid w:val="005C274F"/>
    <w:rsid w:val="005C2ED4"/>
    <w:rsid w:val="005C42E6"/>
    <w:rsid w:val="005C64C4"/>
    <w:rsid w:val="005C7BF1"/>
    <w:rsid w:val="005C7FD1"/>
    <w:rsid w:val="005D1DB8"/>
    <w:rsid w:val="005D2427"/>
    <w:rsid w:val="005D2FB2"/>
    <w:rsid w:val="005D50D6"/>
    <w:rsid w:val="005D55D6"/>
    <w:rsid w:val="005D55F2"/>
    <w:rsid w:val="005D5D1B"/>
    <w:rsid w:val="005D5DFC"/>
    <w:rsid w:val="005D6EB3"/>
    <w:rsid w:val="005D731F"/>
    <w:rsid w:val="005E02B6"/>
    <w:rsid w:val="005E0D30"/>
    <w:rsid w:val="005E19D5"/>
    <w:rsid w:val="005E207B"/>
    <w:rsid w:val="005E26B3"/>
    <w:rsid w:val="005E2A2F"/>
    <w:rsid w:val="005E39B3"/>
    <w:rsid w:val="005E4047"/>
    <w:rsid w:val="005E428E"/>
    <w:rsid w:val="005E47A5"/>
    <w:rsid w:val="005E4DC1"/>
    <w:rsid w:val="005E5C4C"/>
    <w:rsid w:val="005E6BDA"/>
    <w:rsid w:val="005E7499"/>
    <w:rsid w:val="005E74BC"/>
    <w:rsid w:val="005F1DA8"/>
    <w:rsid w:val="005F34E0"/>
    <w:rsid w:val="005F49D7"/>
    <w:rsid w:val="005F4E8C"/>
    <w:rsid w:val="005F501B"/>
    <w:rsid w:val="005F6034"/>
    <w:rsid w:val="005F62B6"/>
    <w:rsid w:val="005F6A5A"/>
    <w:rsid w:val="005F790C"/>
    <w:rsid w:val="005F7CFD"/>
    <w:rsid w:val="006005D1"/>
    <w:rsid w:val="00601EE4"/>
    <w:rsid w:val="0060395C"/>
    <w:rsid w:val="00604328"/>
    <w:rsid w:val="006043DC"/>
    <w:rsid w:val="006053B5"/>
    <w:rsid w:val="00605807"/>
    <w:rsid w:val="0060766B"/>
    <w:rsid w:val="00607912"/>
    <w:rsid w:val="00610DE2"/>
    <w:rsid w:val="00612465"/>
    <w:rsid w:val="006128B4"/>
    <w:rsid w:val="00613E45"/>
    <w:rsid w:val="00614546"/>
    <w:rsid w:val="00614600"/>
    <w:rsid w:val="006158B7"/>
    <w:rsid w:val="00615CA0"/>
    <w:rsid w:val="006164E5"/>
    <w:rsid w:val="00617C80"/>
    <w:rsid w:val="00626914"/>
    <w:rsid w:val="00626D9A"/>
    <w:rsid w:val="006272FE"/>
    <w:rsid w:val="006300BF"/>
    <w:rsid w:val="006306F3"/>
    <w:rsid w:val="0063302D"/>
    <w:rsid w:val="00633B51"/>
    <w:rsid w:val="00633C79"/>
    <w:rsid w:val="00633F2E"/>
    <w:rsid w:val="00634ED8"/>
    <w:rsid w:val="00635FDB"/>
    <w:rsid w:val="00636654"/>
    <w:rsid w:val="0063750B"/>
    <w:rsid w:val="00640763"/>
    <w:rsid w:val="0064098E"/>
    <w:rsid w:val="00640F8F"/>
    <w:rsid w:val="00642103"/>
    <w:rsid w:val="0064239C"/>
    <w:rsid w:val="00642604"/>
    <w:rsid w:val="006435EF"/>
    <w:rsid w:val="00643A52"/>
    <w:rsid w:val="00643A64"/>
    <w:rsid w:val="006443DA"/>
    <w:rsid w:val="0064459F"/>
    <w:rsid w:val="00644E57"/>
    <w:rsid w:val="00645B0C"/>
    <w:rsid w:val="00646D9A"/>
    <w:rsid w:val="006474B9"/>
    <w:rsid w:val="006476DD"/>
    <w:rsid w:val="006477CA"/>
    <w:rsid w:val="00647C89"/>
    <w:rsid w:val="00651B96"/>
    <w:rsid w:val="00651E72"/>
    <w:rsid w:val="00651FDB"/>
    <w:rsid w:val="0065269B"/>
    <w:rsid w:val="00653020"/>
    <w:rsid w:val="006541A4"/>
    <w:rsid w:val="00655B1B"/>
    <w:rsid w:val="006560A3"/>
    <w:rsid w:val="006562D1"/>
    <w:rsid w:val="00656831"/>
    <w:rsid w:val="006574B2"/>
    <w:rsid w:val="00657E88"/>
    <w:rsid w:val="00660096"/>
    <w:rsid w:val="00660AE7"/>
    <w:rsid w:val="006614CE"/>
    <w:rsid w:val="00662E41"/>
    <w:rsid w:val="00662EE3"/>
    <w:rsid w:val="00664655"/>
    <w:rsid w:val="00664EE4"/>
    <w:rsid w:val="0066572F"/>
    <w:rsid w:val="00665EE0"/>
    <w:rsid w:val="006676B6"/>
    <w:rsid w:val="006701AA"/>
    <w:rsid w:val="006706B8"/>
    <w:rsid w:val="00670740"/>
    <w:rsid w:val="00672DB5"/>
    <w:rsid w:val="006743BE"/>
    <w:rsid w:val="006752D4"/>
    <w:rsid w:val="00677E41"/>
    <w:rsid w:val="00681E86"/>
    <w:rsid w:val="0068204C"/>
    <w:rsid w:val="006833B4"/>
    <w:rsid w:val="00683C24"/>
    <w:rsid w:val="00685DB5"/>
    <w:rsid w:val="006861D7"/>
    <w:rsid w:val="006869D1"/>
    <w:rsid w:val="00687A9C"/>
    <w:rsid w:val="00690869"/>
    <w:rsid w:val="00690D3B"/>
    <w:rsid w:val="0069226B"/>
    <w:rsid w:val="00692507"/>
    <w:rsid w:val="0069255B"/>
    <w:rsid w:val="0069258B"/>
    <w:rsid w:val="00692C52"/>
    <w:rsid w:val="00694C16"/>
    <w:rsid w:val="006957A4"/>
    <w:rsid w:val="00695C58"/>
    <w:rsid w:val="006964CC"/>
    <w:rsid w:val="00696527"/>
    <w:rsid w:val="00696B3E"/>
    <w:rsid w:val="00696DB6"/>
    <w:rsid w:val="006978E7"/>
    <w:rsid w:val="006A03D8"/>
    <w:rsid w:val="006A1870"/>
    <w:rsid w:val="006A1CF8"/>
    <w:rsid w:val="006A3C30"/>
    <w:rsid w:val="006A3CF4"/>
    <w:rsid w:val="006A4BD7"/>
    <w:rsid w:val="006A54DC"/>
    <w:rsid w:val="006A5E34"/>
    <w:rsid w:val="006A71B8"/>
    <w:rsid w:val="006A7538"/>
    <w:rsid w:val="006A7722"/>
    <w:rsid w:val="006A785C"/>
    <w:rsid w:val="006B1C0E"/>
    <w:rsid w:val="006B33A7"/>
    <w:rsid w:val="006B50E2"/>
    <w:rsid w:val="006B76EF"/>
    <w:rsid w:val="006C07C5"/>
    <w:rsid w:val="006C0FAE"/>
    <w:rsid w:val="006C1D4D"/>
    <w:rsid w:val="006C26D1"/>
    <w:rsid w:val="006C3378"/>
    <w:rsid w:val="006C3E9F"/>
    <w:rsid w:val="006C4286"/>
    <w:rsid w:val="006C43A1"/>
    <w:rsid w:val="006C4BCF"/>
    <w:rsid w:val="006C56E5"/>
    <w:rsid w:val="006C6B24"/>
    <w:rsid w:val="006C79BA"/>
    <w:rsid w:val="006C7E1C"/>
    <w:rsid w:val="006D0516"/>
    <w:rsid w:val="006D0F9C"/>
    <w:rsid w:val="006D15D6"/>
    <w:rsid w:val="006D2CD4"/>
    <w:rsid w:val="006D3FE8"/>
    <w:rsid w:val="006D4E7D"/>
    <w:rsid w:val="006D7742"/>
    <w:rsid w:val="006E0AAF"/>
    <w:rsid w:val="006E3E48"/>
    <w:rsid w:val="006E4252"/>
    <w:rsid w:val="006E4488"/>
    <w:rsid w:val="006E5974"/>
    <w:rsid w:val="006E622A"/>
    <w:rsid w:val="006E6C07"/>
    <w:rsid w:val="006E70B2"/>
    <w:rsid w:val="006F03A6"/>
    <w:rsid w:val="006F1A86"/>
    <w:rsid w:val="006F2065"/>
    <w:rsid w:val="006F5870"/>
    <w:rsid w:val="007004A0"/>
    <w:rsid w:val="007009A0"/>
    <w:rsid w:val="00700E93"/>
    <w:rsid w:val="00700F3C"/>
    <w:rsid w:val="00701464"/>
    <w:rsid w:val="0070301A"/>
    <w:rsid w:val="007043D5"/>
    <w:rsid w:val="00704AFF"/>
    <w:rsid w:val="00705367"/>
    <w:rsid w:val="00705631"/>
    <w:rsid w:val="007058D8"/>
    <w:rsid w:val="00705990"/>
    <w:rsid w:val="007114B4"/>
    <w:rsid w:val="00713395"/>
    <w:rsid w:val="00713CAC"/>
    <w:rsid w:val="00715D2A"/>
    <w:rsid w:val="007164A3"/>
    <w:rsid w:val="0072059E"/>
    <w:rsid w:val="00720899"/>
    <w:rsid w:val="007208E1"/>
    <w:rsid w:val="007219DC"/>
    <w:rsid w:val="00721E57"/>
    <w:rsid w:val="00722CB9"/>
    <w:rsid w:val="00723F95"/>
    <w:rsid w:val="00723FC8"/>
    <w:rsid w:val="007250D5"/>
    <w:rsid w:val="0072674D"/>
    <w:rsid w:val="00726BE3"/>
    <w:rsid w:val="00730050"/>
    <w:rsid w:val="007302FE"/>
    <w:rsid w:val="00730BD6"/>
    <w:rsid w:val="00730F53"/>
    <w:rsid w:val="00732527"/>
    <w:rsid w:val="00732EB3"/>
    <w:rsid w:val="00734095"/>
    <w:rsid w:val="007340FE"/>
    <w:rsid w:val="00734C2B"/>
    <w:rsid w:val="00736150"/>
    <w:rsid w:val="007371EF"/>
    <w:rsid w:val="00737469"/>
    <w:rsid w:val="0073749D"/>
    <w:rsid w:val="00740A92"/>
    <w:rsid w:val="007440D7"/>
    <w:rsid w:val="00744AAE"/>
    <w:rsid w:val="00745043"/>
    <w:rsid w:val="0074547D"/>
    <w:rsid w:val="007471FC"/>
    <w:rsid w:val="0074758A"/>
    <w:rsid w:val="00747CD4"/>
    <w:rsid w:val="00753A11"/>
    <w:rsid w:val="00753BFC"/>
    <w:rsid w:val="00754EDE"/>
    <w:rsid w:val="00755C48"/>
    <w:rsid w:val="007562ED"/>
    <w:rsid w:val="0075687B"/>
    <w:rsid w:val="00757242"/>
    <w:rsid w:val="00757A2B"/>
    <w:rsid w:val="00757B02"/>
    <w:rsid w:val="00760272"/>
    <w:rsid w:val="00760AE4"/>
    <w:rsid w:val="00761B42"/>
    <w:rsid w:val="00761BBC"/>
    <w:rsid w:val="00761D26"/>
    <w:rsid w:val="007625E7"/>
    <w:rsid w:val="007652EE"/>
    <w:rsid w:val="00765B7A"/>
    <w:rsid w:val="0076632B"/>
    <w:rsid w:val="0076768B"/>
    <w:rsid w:val="0076772D"/>
    <w:rsid w:val="00770E38"/>
    <w:rsid w:val="00770F71"/>
    <w:rsid w:val="0077116A"/>
    <w:rsid w:val="0077172B"/>
    <w:rsid w:val="00773475"/>
    <w:rsid w:val="00774490"/>
    <w:rsid w:val="00776725"/>
    <w:rsid w:val="00776FF2"/>
    <w:rsid w:val="007770B2"/>
    <w:rsid w:val="007778E6"/>
    <w:rsid w:val="00780ADB"/>
    <w:rsid w:val="007828F4"/>
    <w:rsid w:val="00782FAB"/>
    <w:rsid w:val="0078329E"/>
    <w:rsid w:val="007845CB"/>
    <w:rsid w:val="00785AD9"/>
    <w:rsid w:val="00786629"/>
    <w:rsid w:val="00786DDF"/>
    <w:rsid w:val="007874A6"/>
    <w:rsid w:val="00787927"/>
    <w:rsid w:val="00787DFF"/>
    <w:rsid w:val="00790259"/>
    <w:rsid w:val="007907BA"/>
    <w:rsid w:val="00790A70"/>
    <w:rsid w:val="00791709"/>
    <w:rsid w:val="00792B25"/>
    <w:rsid w:val="00793829"/>
    <w:rsid w:val="0079405C"/>
    <w:rsid w:val="00796496"/>
    <w:rsid w:val="00796B92"/>
    <w:rsid w:val="007A0361"/>
    <w:rsid w:val="007A0EF1"/>
    <w:rsid w:val="007A32D3"/>
    <w:rsid w:val="007A55D5"/>
    <w:rsid w:val="007A61F5"/>
    <w:rsid w:val="007A6263"/>
    <w:rsid w:val="007A6A3F"/>
    <w:rsid w:val="007A6E23"/>
    <w:rsid w:val="007A6E70"/>
    <w:rsid w:val="007A7D4C"/>
    <w:rsid w:val="007B112D"/>
    <w:rsid w:val="007B26A4"/>
    <w:rsid w:val="007B39F0"/>
    <w:rsid w:val="007B3DEF"/>
    <w:rsid w:val="007B4CB7"/>
    <w:rsid w:val="007B7E53"/>
    <w:rsid w:val="007B7F53"/>
    <w:rsid w:val="007C0103"/>
    <w:rsid w:val="007C040F"/>
    <w:rsid w:val="007C0561"/>
    <w:rsid w:val="007C0B6D"/>
    <w:rsid w:val="007C0F27"/>
    <w:rsid w:val="007C1458"/>
    <w:rsid w:val="007C1E05"/>
    <w:rsid w:val="007C28CC"/>
    <w:rsid w:val="007C2DF7"/>
    <w:rsid w:val="007C3E26"/>
    <w:rsid w:val="007C40CA"/>
    <w:rsid w:val="007C4132"/>
    <w:rsid w:val="007C5664"/>
    <w:rsid w:val="007C56E3"/>
    <w:rsid w:val="007C6FFA"/>
    <w:rsid w:val="007D0012"/>
    <w:rsid w:val="007D0844"/>
    <w:rsid w:val="007D196F"/>
    <w:rsid w:val="007D2422"/>
    <w:rsid w:val="007D35BD"/>
    <w:rsid w:val="007D3C5E"/>
    <w:rsid w:val="007D46B4"/>
    <w:rsid w:val="007D4BC5"/>
    <w:rsid w:val="007D4E85"/>
    <w:rsid w:val="007D673A"/>
    <w:rsid w:val="007D75D2"/>
    <w:rsid w:val="007D7BF4"/>
    <w:rsid w:val="007E1A07"/>
    <w:rsid w:val="007E1C3B"/>
    <w:rsid w:val="007E32DE"/>
    <w:rsid w:val="007E3AD5"/>
    <w:rsid w:val="007E4A67"/>
    <w:rsid w:val="007E543B"/>
    <w:rsid w:val="007E60DE"/>
    <w:rsid w:val="007E6C3F"/>
    <w:rsid w:val="007F2E3C"/>
    <w:rsid w:val="007F3EEE"/>
    <w:rsid w:val="007F3F52"/>
    <w:rsid w:val="007F524C"/>
    <w:rsid w:val="007F57CC"/>
    <w:rsid w:val="007F6B6F"/>
    <w:rsid w:val="007F6C36"/>
    <w:rsid w:val="007F798B"/>
    <w:rsid w:val="007F7BFA"/>
    <w:rsid w:val="00802206"/>
    <w:rsid w:val="00802AEF"/>
    <w:rsid w:val="00802F34"/>
    <w:rsid w:val="00803770"/>
    <w:rsid w:val="0080544A"/>
    <w:rsid w:val="008071F5"/>
    <w:rsid w:val="00810261"/>
    <w:rsid w:val="0081154C"/>
    <w:rsid w:val="00812569"/>
    <w:rsid w:val="00812E84"/>
    <w:rsid w:val="00812F83"/>
    <w:rsid w:val="00813B2F"/>
    <w:rsid w:val="00813B51"/>
    <w:rsid w:val="00815020"/>
    <w:rsid w:val="0081511E"/>
    <w:rsid w:val="00815CD6"/>
    <w:rsid w:val="008163F9"/>
    <w:rsid w:val="008164CE"/>
    <w:rsid w:val="0081685F"/>
    <w:rsid w:val="00816B2A"/>
    <w:rsid w:val="00816CBF"/>
    <w:rsid w:val="008171DA"/>
    <w:rsid w:val="008210BB"/>
    <w:rsid w:val="00822139"/>
    <w:rsid w:val="008223E3"/>
    <w:rsid w:val="0082399C"/>
    <w:rsid w:val="0082479D"/>
    <w:rsid w:val="008252CB"/>
    <w:rsid w:val="008258E5"/>
    <w:rsid w:val="0083027D"/>
    <w:rsid w:val="008309FA"/>
    <w:rsid w:val="00831AE2"/>
    <w:rsid w:val="008328DC"/>
    <w:rsid w:val="00832CA2"/>
    <w:rsid w:val="008333CF"/>
    <w:rsid w:val="0083351B"/>
    <w:rsid w:val="00834AF1"/>
    <w:rsid w:val="00835455"/>
    <w:rsid w:val="0083686F"/>
    <w:rsid w:val="008375E0"/>
    <w:rsid w:val="00840A3F"/>
    <w:rsid w:val="00840D35"/>
    <w:rsid w:val="00840D7D"/>
    <w:rsid w:val="00840F5A"/>
    <w:rsid w:val="00841A0D"/>
    <w:rsid w:val="00841BB0"/>
    <w:rsid w:val="0084405E"/>
    <w:rsid w:val="0084520D"/>
    <w:rsid w:val="008459DB"/>
    <w:rsid w:val="0084704A"/>
    <w:rsid w:val="0084715E"/>
    <w:rsid w:val="0084746F"/>
    <w:rsid w:val="00847976"/>
    <w:rsid w:val="00850485"/>
    <w:rsid w:val="00851433"/>
    <w:rsid w:val="00851625"/>
    <w:rsid w:val="0085208F"/>
    <w:rsid w:val="008526CA"/>
    <w:rsid w:val="008535FC"/>
    <w:rsid w:val="0085438A"/>
    <w:rsid w:val="00856863"/>
    <w:rsid w:val="00857683"/>
    <w:rsid w:val="00857C2A"/>
    <w:rsid w:val="00860CC0"/>
    <w:rsid w:val="00860DEA"/>
    <w:rsid w:val="00862977"/>
    <w:rsid w:val="00863FF0"/>
    <w:rsid w:val="00864505"/>
    <w:rsid w:val="00866569"/>
    <w:rsid w:val="00866628"/>
    <w:rsid w:val="008677FA"/>
    <w:rsid w:val="00867FD1"/>
    <w:rsid w:val="00870767"/>
    <w:rsid w:val="00870C48"/>
    <w:rsid w:val="00870DE1"/>
    <w:rsid w:val="00870F8B"/>
    <w:rsid w:val="00873713"/>
    <w:rsid w:val="0087372C"/>
    <w:rsid w:val="00875054"/>
    <w:rsid w:val="00875775"/>
    <w:rsid w:val="00875A6B"/>
    <w:rsid w:val="0087634B"/>
    <w:rsid w:val="00877C7C"/>
    <w:rsid w:val="00880AF1"/>
    <w:rsid w:val="00880B6D"/>
    <w:rsid w:val="00881AF8"/>
    <w:rsid w:val="008822AC"/>
    <w:rsid w:val="00882836"/>
    <w:rsid w:val="00884127"/>
    <w:rsid w:val="00884B9A"/>
    <w:rsid w:val="008853E0"/>
    <w:rsid w:val="008855AA"/>
    <w:rsid w:val="00885B72"/>
    <w:rsid w:val="0088703B"/>
    <w:rsid w:val="0088745D"/>
    <w:rsid w:val="008900B2"/>
    <w:rsid w:val="0089036D"/>
    <w:rsid w:val="008906F0"/>
    <w:rsid w:val="00892D20"/>
    <w:rsid w:val="008934F3"/>
    <w:rsid w:val="00893568"/>
    <w:rsid w:val="00894544"/>
    <w:rsid w:val="008952C3"/>
    <w:rsid w:val="00895D6A"/>
    <w:rsid w:val="008A0212"/>
    <w:rsid w:val="008A0A76"/>
    <w:rsid w:val="008A1374"/>
    <w:rsid w:val="008A1631"/>
    <w:rsid w:val="008A1BD6"/>
    <w:rsid w:val="008A1DC9"/>
    <w:rsid w:val="008A3175"/>
    <w:rsid w:val="008A4CFE"/>
    <w:rsid w:val="008A5972"/>
    <w:rsid w:val="008A5FCF"/>
    <w:rsid w:val="008A7DCC"/>
    <w:rsid w:val="008B09B6"/>
    <w:rsid w:val="008B1741"/>
    <w:rsid w:val="008B1D1E"/>
    <w:rsid w:val="008B2F8C"/>
    <w:rsid w:val="008B51F3"/>
    <w:rsid w:val="008B5D20"/>
    <w:rsid w:val="008B6D7E"/>
    <w:rsid w:val="008C1413"/>
    <w:rsid w:val="008C239C"/>
    <w:rsid w:val="008C4691"/>
    <w:rsid w:val="008C4708"/>
    <w:rsid w:val="008C4CE6"/>
    <w:rsid w:val="008C4D25"/>
    <w:rsid w:val="008C63B9"/>
    <w:rsid w:val="008C6D28"/>
    <w:rsid w:val="008C6D66"/>
    <w:rsid w:val="008C778E"/>
    <w:rsid w:val="008C7C01"/>
    <w:rsid w:val="008D1304"/>
    <w:rsid w:val="008D3368"/>
    <w:rsid w:val="008D34BB"/>
    <w:rsid w:val="008D369B"/>
    <w:rsid w:val="008D445D"/>
    <w:rsid w:val="008D57BF"/>
    <w:rsid w:val="008D67CF"/>
    <w:rsid w:val="008E052B"/>
    <w:rsid w:val="008E1515"/>
    <w:rsid w:val="008E43C7"/>
    <w:rsid w:val="008E63E8"/>
    <w:rsid w:val="008F0418"/>
    <w:rsid w:val="008F08DC"/>
    <w:rsid w:val="008F1381"/>
    <w:rsid w:val="008F1AEF"/>
    <w:rsid w:val="008F1F5D"/>
    <w:rsid w:val="008F1FEF"/>
    <w:rsid w:val="008F2A9E"/>
    <w:rsid w:val="008F3376"/>
    <w:rsid w:val="008F38EE"/>
    <w:rsid w:val="008F6135"/>
    <w:rsid w:val="008F6305"/>
    <w:rsid w:val="008F71AF"/>
    <w:rsid w:val="009008A0"/>
    <w:rsid w:val="00900A44"/>
    <w:rsid w:val="00902F35"/>
    <w:rsid w:val="009032D5"/>
    <w:rsid w:val="0090418B"/>
    <w:rsid w:val="00905055"/>
    <w:rsid w:val="00905D2A"/>
    <w:rsid w:val="00906A2A"/>
    <w:rsid w:val="00907097"/>
    <w:rsid w:val="0091056D"/>
    <w:rsid w:val="00910A7E"/>
    <w:rsid w:val="0091134E"/>
    <w:rsid w:val="00912F26"/>
    <w:rsid w:val="00913BFD"/>
    <w:rsid w:val="00913C71"/>
    <w:rsid w:val="009153F3"/>
    <w:rsid w:val="00921464"/>
    <w:rsid w:val="0092189F"/>
    <w:rsid w:val="0092192D"/>
    <w:rsid w:val="009222DB"/>
    <w:rsid w:val="00924A26"/>
    <w:rsid w:val="009270FA"/>
    <w:rsid w:val="0092722E"/>
    <w:rsid w:val="009275FC"/>
    <w:rsid w:val="0092774D"/>
    <w:rsid w:val="00930159"/>
    <w:rsid w:val="0093060C"/>
    <w:rsid w:val="00930D99"/>
    <w:rsid w:val="00931116"/>
    <w:rsid w:val="00932C9E"/>
    <w:rsid w:val="00932EDE"/>
    <w:rsid w:val="00933C86"/>
    <w:rsid w:val="00933D37"/>
    <w:rsid w:val="00933F77"/>
    <w:rsid w:val="0093469D"/>
    <w:rsid w:val="00935035"/>
    <w:rsid w:val="00936700"/>
    <w:rsid w:val="0093675E"/>
    <w:rsid w:val="00937530"/>
    <w:rsid w:val="009375D9"/>
    <w:rsid w:val="009401A8"/>
    <w:rsid w:val="00940BB3"/>
    <w:rsid w:val="009422E0"/>
    <w:rsid w:val="00943D1E"/>
    <w:rsid w:val="00943E1C"/>
    <w:rsid w:val="00944E26"/>
    <w:rsid w:val="0094581A"/>
    <w:rsid w:val="009478F7"/>
    <w:rsid w:val="00950301"/>
    <w:rsid w:val="00950CD0"/>
    <w:rsid w:val="00953C46"/>
    <w:rsid w:val="00955285"/>
    <w:rsid w:val="00956536"/>
    <w:rsid w:val="00956BD1"/>
    <w:rsid w:val="00956E9E"/>
    <w:rsid w:val="009570EA"/>
    <w:rsid w:val="00957A54"/>
    <w:rsid w:val="0096194D"/>
    <w:rsid w:val="00961986"/>
    <w:rsid w:val="0096221F"/>
    <w:rsid w:val="009637FE"/>
    <w:rsid w:val="00964264"/>
    <w:rsid w:val="00964438"/>
    <w:rsid w:val="00965B78"/>
    <w:rsid w:val="009662CE"/>
    <w:rsid w:val="00966DAA"/>
    <w:rsid w:val="00966E31"/>
    <w:rsid w:val="00966FF8"/>
    <w:rsid w:val="00970CB2"/>
    <w:rsid w:val="00971A0F"/>
    <w:rsid w:val="00971A9E"/>
    <w:rsid w:val="009723FF"/>
    <w:rsid w:val="009735B5"/>
    <w:rsid w:val="009736B0"/>
    <w:rsid w:val="00974A57"/>
    <w:rsid w:val="009774F4"/>
    <w:rsid w:val="00980F75"/>
    <w:rsid w:val="009820C6"/>
    <w:rsid w:val="009831D2"/>
    <w:rsid w:val="00983FA9"/>
    <w:rsid w:val="00984257"/>
    <w:rsid w:val="0098456F"/>
    <w:rsid w:val="00984818"/>
    <w:rsid w:val="009848B7"/>
    <w:rsid w:val="00986852"/>
    <w:rsid w:val="00986891"/>
    <w:rsid w:val="00986CD7"/>
    <w:rsid w:val="00991DBA"/>
    <w:rsid w:val="009923C1"/>
    <w:rsid w:val="009930C0"/>
    <w:rsid w:val="00993A2A"/>
    <w:rsid w:val="00994C29"/>
    <w:rsid w:val="00995510"/>
    <w:rsid w:val="00995C6F"/>
    <w:rsid w:val="00995E71"/>
    <w:rsid w:val="009964A4"/>
    <w:rsid w:val="0099695F"/>
    <w:rsid w:val="009969FF"/>
    <w:rsid w:val="0099726F"/>
    <w:rsid w:val="009A0ABB"/>
    <w:rsid w:val="009A1031"/>
    <w:rsid w:val="009A12EA"/>
    <w:rsid w:val="009A1867"/>
    <w:rsid w:val="009A1EC7"/>
    <w:rsid w:val="009A31C3"/>
    <w:rsid w:val="009A4536"/>
    <w:rsid w:val="009A75C4"/>
    <w:rsid w:val="009A7D6A"/>
    <w:rsid w:val="009B0153"/>
    <w:rsid w:val="009B02EB"/>
    <w:rsid w:val="009B04EF"/>
    <w:rsid w:val="009B0DF4"/>
    <w:rsid w:val="009B1281"/>
    <w:rsid w:val="009B2622"/>
    <w:rsid w:val="009B426B"/>
    <w:rsid w:val="009B4D11"/>
    <w:rsid w:val="009B50D9"/>
    <w:rsid w:val="009B62F1"/>
    <w:rsid w:val="009C0C51"/>
    <w:rsid w:val="009C1706"/>
    <w:rsid w:val="009C1FD3"/>
    <w:rsid w:val="009C2BC1"/>
    <w:rsid w:val="009C3441"/>
    <w:rsid w:val="009C4B3A"/>
    <w:rsid w:val="009C4EA2"/>
    <w:rsid w:val="009C53DF"/>
    <w:rsid w:val="009C5CEA"/>
    <w:rsid w:val="009C5FEC"/>
    <w:rsid w:val="009C73E2"/>
    <w:rsid w:val="009D0907"/>
    <w:rsid w:val="009D1524"/>
    <w:rsid w:val="009D1E2E"/>
    <w:rsid w:val="009D2859"/>
    <w:rsid w:val="009D292F"/>
    <w:rsid w:val="009D2B34"/>
    <w:rsid w:val="009D35BA"/>
    <w:rsid w:val="009D3AF0"/>
    <w:rsid w:val="009D3B13"/>
    <w:rsid w:val="009D3B31"/>
    <w:rsid w:val="009D43B2"/>
    <w:rsid w:val="009D493C"/>
    <w:rsid w:val="009D5217"/>
    <w:rsid w:val="009D5D97"/>
    <w:rsid w:val="009D5F81"/>
    <w:rsid w:val="009D62AD"/>
    <w:rsid w:val="009D6324"/>
    <w:rsid w:val="009D7EAE"/>
    <w:rsid w:val="009E05DC"/>
    <w:rsid w:val="009E0872"/>
    <w:rsid w:val="009E15B7"/>
    <w:rsid w:val="009E291F"/>
    <w:rsid w:val="009E3443"/>
    <w:rsid w:val="009E3CE2"/>
    <w:rsid w:val="009E3D76"/>
    <w:rsid w:val="009E3DFC"/>
    <w:rsid w:val="009F005D"/>
    <w:rsid w:val="009F11D8"/>
    <w:rsid w:val="009F1CD2"/>
    <w:rsid w:val="009F2973"/>
    <w:rsid w:val="009F35F2"/>
    <w:rsid w:val="009F36D4"/>
    <w:rsid w:val="009F4248"/>
    <w:rsid w:val="009F4901"/>
    <w:rsid w:val="009F4C1B"/>
    <w:rsid w:val="009F50F8"/>
    <w:rsid w:val="009F529A"/>
    <w:rsid w:val="009F62E2"/>
    <w:rsid w:val="009F72A9"/>
    <w:rsid w:val="009F767D"/>
    <w:rsid w:val="009F7757"/>
    <w:rsid w:val="009F7798"/>
    <w:rsid w:val="009F7821"/>
    <w:rsid w:val="00A005F2"/>
    <w:rsid w:val="00A00A4D"/>
    <w:rsid w:val="00A00D2B"/>
    <w:rsid w:val="00A0135D"/>
    <w:rsid w:val="00A015CE"/>
    <w:rsid w:val="00A02E5E"/>
    <w:rsid w:val="00A034F0"/>
    <w:rsid w:val="00A05C5E"/>
    <w:rsid w:val="00A05D6E"/>
    <w:rsid w:val="00A0695D"/>
    <w:rsid w:val="00A06B85"/>
    <w:rsid w:val="00A0732C"/>
    <w:rsid w:val="00A0764F"/>
    <w:rsid w:val="00A1131C"/>
    <w:rsid w:val="00A1247C"/>
    <w:rsid w:val="00A12A61"/>
    <w:rsid w:val="00A12E0B"/>
    <w:rsid w:val="00A13293"/>
    <w:rsid w:val="00A13FB4"/>
    <w:rsid w:val="00A1466B"/>
    <w:rsid w:val="00A14C1E"/>
    <w:rsid w:val="00A14FFF"/>
    <w:rsid w:val="00A152A4"/>
    <w:rsid w:val="00A16722"/>
    <w:rsid w:val="00A16881"/>
    <w:rsid w:val="00A16AF8"/>
    <w:rsid w:val="00A17027"/>
    <w:rsid w:val="00A20876"/>
    <w:rsid w:val="00A20985"/>
    <w:rsid w:val="00A22CCF"/>
    <w:rsid w:val="00A235CC"/>
    <w:rsid w:val="00A24464"/>
    <w:rsid w:val="00A2621D"/>
    <w:rsid w:val="00A27C16"/>
    <w:rsid w:val="00A317B8"/>
    <w:rsid w:val="00A32282"/>
    <w:rsid w:val="00A32F43"/>
    <w:rsid w:val="00A3350E"/>
    <w:rsid w:val="00A33644"/>
    <w:rsid w:val="00A336B8"/>
    <w:rsid w:val="00A33DBF"/>
    <w:rsid w:val="00A33FA7"/>
    <w:rsid w:val="00A36AB6"/>
    <w:rsid w:val="00A37946"/>
    <w:rsid w:val="00A40BE1"/>
    <w:rsid w:val="00A40D3F"/>
    <w:rsid w:val="00A40DB4"/>
    <w:rsid w:val="00A42413"/>
    <w:rsid w:val="00A429E9"/>
    <w:rsid w:val="00A42A19"/>
    <w:rsid w:val="00A42AC4"/>
    <w:rsid w:val="00A43D1C"/>
    <w:rsid w:val="00A44950"/>
    <w:rsid w:val="00A45F6A"/>
    <w:rsid w:val="00A460F7"/>
    <w:rsid w:val="00A464D4"/>
    <w:rsid w:val="00A4734C"/>
    <w:rsid w:val="00A4789F"/>
    <w:rsid w:val="00A50496"/>
    <w:rsid w:val="00A512D5"/>
    <w:rsid w:val="00A51391"/>
    <w:rsid w:val="00A513A2"/>
    <w:rsid w:val="00A51F5C"/>
    <w:rsid w:val="00A51F91"/>
    <w:rsid w:val="00A5214B"/>
    <w:rsid w:val="00A523CF"/>
    <w:rsid w:val="00A52596"/>
    <w:rsid w:val="00A52F8F"/>
    <w:rsid w:val="00A5312F"/>
    <w:rsid w:val="00A54A2C"/>
    <w:rsid w:val="00A54F40"/>
    <w:rsid w:val="00A5737B"/>
    <w:rsid w:val="00A5743C"/>
    <w:rsid w:val="00A57CE1"/>
    <w:rsid w:val="00A6065E"/>
    <w:rsid w:val="00A60C5E"/>
    <w:rsid w:val="00A620CF"/>
    <w:rsid w:val="00A63948"/>
    <w:rsid w:val="00A64767"/>
    <w:rsid w:val="00A64D85"/>
    <w:rsid w:val="00A65329"/>
    <w:rsid w:val="00A65377"/>
    <w:rsid w:val="00A65464"/>
    <w:rsid w:val="00A667C5"/>
    <w:rsid w:val="00A66A0D"/>
    <w:rsid w:val="00A6702C"/>
    <w:rsid w:val="00A6771A"/>
    <w:rsid w:val="00A67812"/>
    <w:rsid w:val="00A67E28"/>
    <w:rsid w:val="00A705EB"/>
    <w:rsid w:val="00A70E83"/>
    <w:rsid w:val="00A73075"/>
    <w:rsid w:val="00A733AA"/>
    <w:rsid w:val="00A73767"/>
    <w:rsid w:val="00A73D00"/>
    <w:rsid w:val="00A74E9C"/>
    <w:rsid w:val="00A74EC6"/>
    <w:rsid w:val="00A74F00"/>
    <w:rsid w:val="00A75837"/>
    <w:rsid w:val="00A773D4"/>
    <w:rsid w:val="00A77EF9"/>
    <w:rsid w:val="00A82867"/>
    <w:rsid w:val="00A829A1"/>
    <w:rsid w:val="00A82D09"/>
    <w:rsid w:val="00A82EA5"/>
    <w:rsid w:val="00A86D30"/>
    <w:rsid w:val="00A8725D"/>
    <w:rsid w:val="00A87AC5"/>
    <w:rsid w:val="00A905EA"/>
    <w:rsid w:val="00A908FA"/>
    <w:rsid w:val="00A90DB8"/>
    <w:rsid w:val="00A9400D"/>
    <w:rsid w:val="00A94280"/>
    <w:rsid w:val="00A94792"/>
    <w:rsid w:val="00A949E8"/>
    <w:rsid w:val="00A958A4"/>
    <w:rsid w:val="00A95A9C"/>
    <w:rsid w:val="00A95C34"/>
    <w:rsid w:val="00A95FE5"/>
    <w:rsid w:val="00A96799"/>
    <w:rsid w:val="00A967DC"/>
    <w:rsid w:val="00A9699A"/>
    <w:rsid w:val="00A96CBD"/>
    <w:rsid w:val="00AA1C39"/>
    <w:rsid w:val="00AA25CD"/>
    <w:rsid w:val="00AA2774"/>
    <w:rsid w:val="00AA2A5A"/>
    <w:rsid w:val="00AA32B9"/>
    <w:rsid w:val="00AA3519"/>
    <w:rsid w:val="00AA351D"/>
    <w:rsid w:val="00AA39D7"/>
    <w:rsid w:val="00AA433D"/>
    <w:rsid w:val="00AA4F5D"/>
    <w:rsid w:val="00AA50D1"/>
    <w:rsid w:val="00AA6B4C"/>
    <w:rsid w:val="00AA7399"/>
    <w:rsid w:val="00AA7864"/>
    <w:rsid w:val="00AA7921"/>
    <w:rsid w:val="00AB01C7"/>
    <w:rsid w:val="00AB0A63"/>
    <w:rsid w:val="00AB142D"/>
    <w:rsid w:val="00AB2B9F"/>
    <w:rsid w:val="00AB472A"/>
    <w:rsid w:val="00AB4AD6"/>
    <w:rsid w:val="00AB4F07"/>
    <w:rsid w:val="00AB4F49"/>
    <w:rsid w:val="00AB7187"/>
    <w:rsid w:val="00AB73A2"/>
    <w:rsid w:val="00AC0442"/>
    <w:rsid w:val="00AC07C9"/>
    <w:rsid w:val="00AC33A8"/>
    <w:rsid w:val="00AC360D"/>
    <w:rsid w:val="00AC5948"/>
    <w:rsid w:val="00AC6EBD"/>
    <w:rsid w:val="00AC6EFF"/>
    <w:rsid w:val="00AC7755"/>
    <w:rsid w:val="00AD0890"/>
    <w:rsid w:val="00AD2BBD"/>
    <w:rsid w:val="00AD2BD1"/>
    <w:rsid w:val="00AD3373"/>
    <w:rsid w:val="00AD3FED"/>
    <w:rsid w:val="00AD60BC"/>
    <w:rsid w:val="00AD622A"/>
    <w:rsid w:val="00AD69CD"/>
    <w:rsid w:val="00AD7024"/>
    <w:rsid w:val="00AD7A08"/>
    <w:rsid w:val="00AD7AD5"/>
    <w:rsid w:val="00AD7CD6"/>
    <w:rsid w:val="00AE0460"/>
    <w:rsid w:val="00AE0C6D"/>
    <w:rsid w:val="00AE0FF5"/>
    <w:rsid w:val="00AE2DDE"/>
    <w:rsid w:val="00AE344B"/>
    <w:rsid w:val="00AE3B95"/>
    <w:rsid w:val="00AE60F9"/>
    <w:rsid w:val="00AE63A7"/>
    <w:rsid w:val="00AE6CE5"/>
    <w:rsid w:val="00AE7CD5"/>
    <w:rsid w:val="00AE7E8B"/>
    <w:rsid w:val="00AF1E2F"/>
    <w:rsid w:val="00AF23AD"/>
    <w:rsid w:val="00AF270E"/>
    <w:rsid w:val="00AF28A5"/>
    <w:rsid w:val="00AF2953"/>
    <w:rsid w:val="00AF3B95"/>
    <w:rsid w:val="00AF3D5F"/>
    <w:rsid w:val="00AF5B06"/>
    <w:rsid w:val="00AF5FA9"/>
    <w:rsid w:val="00B01054"/>
    <w:rsid w:val="00B02F64"/>
    <w:rsid w:val="00B037B0"/>
    <w:rsid w:val="00B0472B"/>
    <w:rsid w:val="00B04F2F"/>
    <w:rsid w:val="00B07E99"/>
    <w:rsid w:val="00B1039B"/>
    <w:rsid w:val="00B10887"/>
    <w:rsid w:val="00B10B3D"/>
    <w:rsid w:val="00B12247"/>
    <w:rsid w:val="00B1360F"/>
    <w:rsid w:val="00B1445C"/>
    <w:rsid w:val="00B144E5"/>
    <w:rsid w:val="00B146D9"/>
    <w:rsid w:val="00B14B6A"/>
    <w:rsid w:val="00B14E18"/>
    <w:rsid w:val="00B161F1"/>
    <w:rsid w:val="00B16716"/>
    <w:rsid w:val="00B16976"/>
    <w:rsid w:val="00B17173"/>
    <w:rsid w:val="00B2034D"/>
    <w:rsid w:val="00B208FD"/>
    <w:rsid w:val="00B20D9F"/>
    <w:rsid w:val="00B21725"/>
    <w:rsid w:val="00B21730"/>
    <w:rsid w:val="00B23038"/>
    <w:rsid w:val="00B23678"/>
    <w:rsid w:val="00B23A69"/>
    <w:rsid w:val="00B23C78"/>
    <w:rsid w:val="00B23DB4"/>
    <w:rsid w:val="00B276D3"/>
    <w:rsid w:val="00B27AA9"/>
    <w:rsid w:val="00B30660"/>
    <w:rsid w:val="00B30A28"/>
    <w:rsid w:val="00B32771"/>
    <w:rsid w:val="00B359B9"/>
    <w:rsid w:val="00B35C98"/>
    <w:rsid w:val="00B402F6"/>
    <w:rsid w:val="00B40795"/>
    <w:rsid w:val="00B410D4"/>
    <w:rsid w:val="00B41B8D"/>
    <w:rsid w:val="00B42329"/>
    <w:rsid w:val="00B42FA1"/>
    <w:rsid w:val="00B43118"/>
    <w:rsid w:val="00B43178"/>
    <w:rsid w:val="00B43364"/>
    <w:rsid w:val="00B43886"/>
    <w:rsid w:val="00B43FCE"/>
    <w:rsid w:val="00B44E5B"/>
    <w:rsid w:val="00B44EA4"/>
    <w:rsid w:val="00B44F1B"/>
    <w:rsid w:val="00B451FA"/>
    <w:rsid w:val="00B45C48"/>
    <w:rsid w:val="00B45E67"/>
    <w:rsid w:val="00B46066"/>
    <w:rsid w:val="00B46F2B"/>
    <w:rsid w:val="00B471E1"/>
    <w:rsid w:val="00B473C2"/>
    <w:rsid w:val="00B47624"/>
    <w:rsid w:val="00B47F5F"/>
    <w:rsid w:val="00B5057E"/>
    <w:rsid w:val="00B50D10"/>
    <w:rsid w:val="00B51EC9"/>
    <w:rsid w:val="00B53003"/>
    <w:rsid w:val="00B53F6B"/>
    <w:rsid w:val="00B5475D"/>
    <w:rsid w:val="00B54FCE"/>
    <w:rsid w:val="00B56DE1"/>
    <w:rsid w:val="00B56F89"/>
    <w:rsid w:val="00B57A7C"/>
    <w:rsid w:val="00B57CA0"/>
    <w:rsid w:val="00B600DA"/>
    <w:rsid w:val="00B6084B"/>
    <w:rsid w:val="00B614C4"/>
    <w:rsid w:val="00B62365"/>
    <w:rsid w:val="00B64671"/>
    <w:rsid w:val="00B6574D"/>
    <w:rsid w:val="00B6596B"/>
    <w:rsid w:val="00B659DC"/>
    <w:rsid w:val="00B65C4F"/>
    <w:rsid w:val="00B67402"/>
    <w:rsid w:val="00B705DC"/>
    <w:rsid w:val="00B71E43"/>
    <w:rsid w:val="00B727F0"/>
    <w:rsid w:val="00B7330E"/>
    <w:rsid w:val="00B73E0E"/>
    <w:rsid w:val="00B75050"/>
    <w:rsid w:val="00B758AB"/>
    <w:rsid w:val="00B807F4"/>
    <w:rsid w:val="00B80C93"/>
    <w:rsid w:val="00B8135F"/>
    <w:rsid w:val="00B813E2"/>
    <w:rsid w:val="00B85E39"/>
    <w:rsid w:val="00B872FA"/>
    <w:rsid w:val="00B8752E"/>
    <w:rsid w:val="00B87829"/>
    <w:rsid w:val="00B87A96"/>
    <w:rsid w:val="00B87AE6"/>
    <w:rsid w:val="00B910F2"/>
    <w:rsid w:val="00B932B0"/>
    <w:rsid w:val="00B944C5"/>
    <w:rsid w:val="00B94E20"/>
    <w:rsid w:val="00B94ECD"/>
    <w:rsid w:val="00B9511E"/>
    <w:rsid w:val="00B965A0"/>
    <w:rsid w:val="00B973E6"/>
    <w:rsid w:val="00BA0C34"/>
    <w:rsid w:val="00BA1767"/>
    <w:rsid w:val="00BA1E41"/>
    <w:rsid w:val="00BA2167"/>
    <w:rsid w:val="00BA236C"/>
    <w:rsid w:val="00BA2962"/>
    <w:rsid w:val="00BA38F0"/>
    <w:rsid w:val="00BA3FA5"/>
    <w:rsid w:val="00BA5CB6"/>
    <w:rsid w:val="00BA6C3D"/>
    <w:rsid w:val="00BA77A3"/>
    <w:rsid w:val="00BB3150"/>
    <w:rsid w:val="00BB4062"/>
    <w:rsid w:val="00BB4137"/>
    <w:rsid w:val="00BB45D2"/>
    <w:rsid w:val="00BB5225"/>
    <w:rsid w:val="00BB6131"/>
    <w:rsid w:val="00BC0BC0"/>
    <w:rsid w:val="00BC1E0F"/>
    <w:rsid w:val="00BC2B7D"/>
    <w:rsid w:val="00BC3C60"/>
    <w:rsid w:val="00BC5FA3"/>
    <w:rsid w:val="00BC75B5"/>
    <w:rsid w:val="00BC76B0"/>
    <w:rsid w:val="00BC7B17"/>
    <w:rsid w:val="00BD01B5"/>
    <w:rsid w:val="00BD1849"/>
    <w:rsid w:val="00BD19FF"/>
    <w:rsid w:val="00BD37E1"/>
    <w:rsid w:val="00BD59A6"/>
    <w:rsid w:val="00BD5F1F"/>
    <w:rsid w:val="00BD6F36"/>
    <w:rsid w:val="00BD6F65"/>
    <w:rsid w:val="00BE0068"/>
    <w:rsid w:val="00BE101D"/>
    <w:rsid w:val="00BE207D"/>
    <w:rsid w:val="00BE2A79"/>
    <w:rsid w:val="00BE2C12"/>
    <w:rsid w:val="00BE2F33"/>
    <w:rsid w:val="00BE36F0"/>
    <w:rsid w:val="00BE4F35"/>
    <w:rsid w:val="00BE7D14"/>
    <w:rsid w:val="00BF0323"/>
    <w:rsid w:val="00BF070D"/>
    <w:rsid w:val="00BF0D6B"/>
    <w:rsid w:val="00BF2777"/>
    <w:rsid w:val="00BF2B86"/>
    <w:rsid w:val="00BF3110"/>
    <w:rsid w:val="00BF36F9"/>
    <w:rsid w:val="00BF3870"/>
    <w:rsid w:val="00BF4F60"/>
    <w:rsid w:val="00BF68FD"/>
    <w:rsid w:val="00BF732E"/>
    <w:rsid w:val="00BF7364"/>
    <w:rsid w:val="00BF75F8"/>
    <w:rsid w:val="00BF7DDE"/>
    <w:rsid w:val="00C00A6A"/>
    <w:rsid w:val="00C03DD7"/>
    <w:rsid w:val="00C03FCA"/>
    <w:rsid w:val="00C04313"/>
    <w:rsid w:val="00C0478A"/>
    <w:rsid w:val="00C06733"/>
    <w:rsid w:val="00C06D59"/>
    <w:rsid w:val="00C107A7"/>
    <w:rsid w:val="00C10CC9"/>
    <w:rsid w:val="00C11C68"/>
    <w:rsid w:val="00C11E5A"/>
    <w:rsid w:val="00C15E0F"/>
    <w:rsid w:val="00C16A68"/>
    <w:rsid w:val="00C16BBD"/>
    <w:rsid w:val="00C171BA"/>
    <w:rsid w:val="00C20582"/>
    <w:rsid w:val="00C22098"/>
    <w:rsid w:val="00C2243C"/>
    <w:rsid w:val="00C23472"/>
    <w:rsid w:val="00C23BB2"/>
    <w:rsid w:val="00C2549E"/>
    <w:rsid w:val="00C26C4E"/>
    <w:rsid w:val="00C33152"/>
    <w:rsid w:val="00C33A46"/>
    <w:rsid w:val="00C33A58"/>
    <w:rsid w:val="00C340E6"/>
    <w:rsid w:val="00C34C14"/>
    <w:rsid w:val="00C36A7B"/>
    <w:rsid w:val="00C36CC6"/>
    <w:rsid w:val="00C37BD5"/>
    <w:rsid w:val="00C4010A"/>
    <w:rsid w:val="00C40F5A"/>
    <w:rsid w:val="00C41584"/>
    <w:rsid w:val="00C41B14"/>
    <w:rsid w:val="00C426B6"/>
    <w:rsid w:val="00C435D4"/>
    <w:rsid w:val="00C44C79"/>
    <w:rsid w:val="00C44E10"/>
    <w:rsid w:val="00C45577"/>
    <w:rsid w:val="00C46473"/>
    <w:rsid w:val="00C46763"/>
    <w:rsid w:val="00C5173F"/>
    <w:rsid w:val="00C54244"/>
    <w:rsid w:val="00C5429E"/>
    <w:rsid w:val="00C60502"/>
    <w:rsid w:val="00C61032"/>
    <w:rsid w:val="00C613E1"/>
    <w:rsid w:val="00C6169C"/>
    <w:rsid w:val="00C6303F"/>
    <w:rsid w:val="00C6357D"/>
    <w:rsid w:val="00C635B3"/>
    <w:rsid w:val="00C64121"/>
    <w:rsid w:val="00C66442"/>
    <w:rsid w:val="00C66BBD"/>
    <w:rsid w:val="00C673CB"/>
    <w:rsid w:val="00C67E1B"/>
    <w:rsid w:val="00C7036F"/>
    <w:rsid w:val="00C70395"/>
    <w:rsid w:val="00C706C9"/>
    <w:rsid w:val="00C7189E"/>
    <w:rsid w:val="00C71D3D"/>
    <w:rsid w:val="00C72109"/>
    <w:rsid w:val="00C726DF"/>
    <w:rsid w:val="00C72928"/>
    <w:rsid w:val="00C74181"/>
    <w:rsid w:val="00C752FD"/>
    <w:rsid w:val="00C75F8A"/>
    <w:rsid w:val="00C7728D"/>
    <w:rsid w:val="00C804E2"/>
    <w:rsid w:val="00C80732"/>
    <w:rsid w:val="00C8128E"/>
    <w:rsid w:val="00C8207F"/>
    <w:rsid w:val="00C85968"/>
    <w:rsid w:val="00C86AFD"/>
    <w:rsid w:val="00C87673"/>
    <w:rsid w:val="00C87CD7"/>
    <w:rsid w:val="00C90E5D"/>
    <w:rsid w:val="00C914E8"/>
    <w:rsid w:val="00C9197B"/>
    <w:rsid w:val="00C9224A"/>
    <w:rsid w:val="00C92861"/>
    <w:rsid w:val="00C92A16"/>
    <w:rsid w:val="00C932E6"/>
    <w:rsid w:val="00C9369D"/>
    <w:rsid w:val="00C93BD7"/>
    <w:rsid w:val="00C93BF4"/>
    <w:rsid w:val="00C95040"/>
    <w:rsid w:val="00C95596"/>
    <w:rsid w:val="00C96509"/>
    <w:rsid w:val="00C96E07"/>
    <w:rsid w:val="00C9736F"/>
    <w:rsid w:val="00C9749F"/>
    <w:rsid w:val="00CA021C"/>
    <w:rsid w:val="00CA05F2"/>
    <w:rsid w:val="00CA104E"/>
    <w:rsid w:val="00CA123F"/>
    <w:rsid w:val="00CA2089"/>
    <w:rsid w:val="00CA2540"/>
    <w:rsid w:val="00CA259C"/>
    <w:rsid w:val="00CA3398"/>
    <w:rsid w:val="00CA3C23"/>
    <w:rsid w:val="00CA3F6C"/>
    <w:rsid w:val="00CA45E3"/>
    <w:rsid w:val="00CA4858"/>
    <w:rsid w:val="00CA488B"/>
    <w:rsid w:val="00CA4A96"/>
    <w:rsid w:val="00CA4FEE"/>
    <w:rsid w:val="00CA5788"/>
    <w:rsid w:val="00CA626D"/>
    <w:rsid w:val="00CA64FE"/>
    <w:rsid w:val="00CA6641"/>
    <w:rsid w:val="00CA6D78"/>
    <w:rsid w:val="00CA710A"/>
    <w:rsid w:val="00CA7A32"/>
    <w:rsid w:val="00CB0186"/>
    <w:rsid w:val="00CB1237"/>
    <w:rsid w:val="00CB2266"/>
    <w:rsid w:val="00CB29DB"/>
    <w:rsid w:val="00CB2E95"/>
    <w:rsid w:val="00CB35A8"/>
    <w:rsid w:val="00CB46EC"/>
    <w:rsid w:val="00CB4D0E"/>
    <w:rsid w:val="00CB599E"/>
    <w:rsid w:val="00CB5F9E"/>
    <w:rsid w:val="00CB650F"/>
    <w:rsid w:val="00CB6DD0"/>
    <w:rsid w:val="00CB70AE"/>
    <w:rsid w:val="00CB7D7F"/>
    <w:rsid w:val="00CB7EA8"/>
    <w:rsid w:val="00CC03F7"/>
    <w:rsid w:val="00CC0D11"/>
    <w:rsid w:val="00CC1264"/>
    <w:rsid w:val="00CC1E42"/>
    <w:rsid w:val="00CC319C"/>
    <w:rsid w:val="00CC474A"/>
    <w:rsid w:val="00CC48E7"/>
    <w:rsid w:val="00CC5024"/>
    <w:rsid w:val="00CC56D5"/>
    <w:rsid w:val="00CC5CFF"/>
    <w:rsid w:val="00CC63A1"/>
    <w:rsid w:val="00CD045D"/>
    <w:rsid w:val="00CD09A6"/>
    <w:rsid w:val="00CD09F1"/>
    <w:rsid w:val="00CD0AA7"/>
    <w:rsid w:val="00CD200E"/>
    <w:rsid w:val="00CD3152"/>
    <w:rsid w:val="00CD3516"/>
    <w:rsid w:val="00CD3A55"/>
    <w:rsid w:val="00CD3F00"/>
    <w:rsid w:val="00CD4375"/>
    <w:rsid w:val="00CD4670"/>
    <w:rsid w:val="00CD49AB"/>
    <w:rsid w:val="00CD51A7"/>
    <w:rsid w:val="00CD5645"/>
    <w:rsid w:val="00CD57BA"/>
    <w:rsid w:val="00CD5841"/>
    <w:rsid w:val="00CD662A"/>
    <w:rsid w:val="00CD67A5"/>
    <w:rsid w:val="00CD728C"/>
    <w:rsid w:val="00CD7809"/>
    <w:rsid w:val="00CD7A71"/>
    <w:rsid w:val="00CE0BAC"/>
    <w:rsid w:val="00CE0FD8"/>
    <w:rsid w:val="00CE164A"/>
    <w:rsid w:val="00CE1CB0"/>
    <w:rsid w:val="00CE1E96"/>
    <w:rsid w:val="00CE2E05"/>
    <w:rsid w:val="00CE3024"/>
    <w:rsid w:val="00CE357B"/>
    <w:rsid w:val="00CE3E2B"/>
    <w:rsid w:val="00CE4321"/>
    <w:rsid w:val="00CE4939"/>
    <w:rsid w:val="00CE5D19"/>
    <w:rsid w:val="00CE6E3A"/>
    <w:rsid w:val="00CE72E3"/>
    <w:rsid w:val="00CF0E17"/>
    <w:rsid w:val="00CF19AA"/>
    <w:rsid w:val="00CF28EF"/>
    <w:rsid w:val="00CF2F86"/>
    <w:rsid w:val="00CF3F27"/>
    <w:rsid w:val="00CF5508"/>
    <w:rsid w:val="00CF5BE7"/>
    <w:rsid w:val="00CF6731"/>
    <w:rsid w:val="00CF6825"/>
    <w:rsid w:val="00CF6DD0"/>
    <w:rsid w:val="00CF6EF3"/>
    <w:rsid w:val="00CF7872"/>
    <w:rsid w:val="00CF7F3C"/>
    <w:rsid w:val="00D0081E"/>
    <w:rsid w:val="00D00A95"/>
    <w:rsid w:val="00D03427"/>
    <w:rsid w:val="00D037AC"/>
    <w:rsid w:val="00D043DE"/>
    <w:rsid w:val="00D0445C"/>
    <w:rsid w:val="00D05824"/>
    <w:rsid w:val="00D1007E"/>
    <w:rsid w:val="00D101F6"/>
    <w:rsid w:val="00D10459"/>
    <w:rsid w:val="00D120F0"/>
    <w:rsid w:val="00D1228C"/>
    <w:rsid w:val="00D12BC2"/>
    <w:rsid w:val="00D1336A"/>
    <w:rsid w:val="00D13F3C"/>
    <w:rsid w:val="00D149AE"/>
    <w:rsid w:val="00D15278"/>
    <w:rsid w:val="00D1546A"/>
    <w:rsid w:val="00D15E7E"/>
    <w:rsid w:val="00D16AB1"/>
    <w:rsid w:val="00D17078"/>
    <w:rsid w:val="00D1731B"/>
    <w:rsid w:val="00D202F2"/>
    <w:rsid w:val="00D20B5D"/>
    <w:rsid w:val="00D20C5B"/>
    <w:rsid w:val="00D20D6B"/>
    <w:rsid w:val="00D21FE4"/>
    <w:rsid w:val="00D2225B"/>
    <w:rsid w:val="00D222BA"/>
    <w:rsid w:val="00D23080"/>
    <w:rsid w:val="00D2380A"/>
    <w:rsid w:val="00D24775"/>
    <w:rsid w:val="00D24B12"/>
    <w:rsid w:val="00D25451"/>
    <w:rsid w:val="00D255A3"/>
    <w:rsid w:val="00D26A6E"/>
    <w:rsid w:val="00D27154"/>
    <w:rsid w:val="00D2762A"/>
    <w:rsid w:val="00D30C27"/>
    <w:rsid w:val="00D30F4D"/>
    <w:rsid w:val="00D31429"/>
    <w:rsid w:val="00D31751"/>
    <w:rsid w:val="00D32CE8"/>
    <w:rsid w:val="00D34377"/>
    <w:rsid w:val="00D343EB"/>
    <w:rsid w:val="00D3452E"/>
    <w:rsid w:val="00D35860"/>
    <w:rsid w:val="00D35B3F"/>
    <w:rsid w:val="00D36099"/>
    <w:rsid w:val="00D36156"/>
    <w:rsid w:val="00D40FE3"/>
    <w:rsid w:val="00D42FBF"/>
    <w:rsid w:val="00D43008"/>
    <w:rsid w:val="00D43014"/>
    <w:rsid w:val="00D43BD4"/>
    <w:rsid w:val="00D44280"/>
    <w:rsid w:val="00D4445F"/>
    <w:rsid w:val="00D453EB"/>
    <w:rsid w:val="00D45697"/>
    <w:rsid w:val="00D46CE2"/>
    <w:rsid w:val="00D473B4"/>
    <w:rsid w:val="00D526D1"/>
    <w:rsid w:val="00D52A19"/>
    <w:rsid w:val="00D52AE0"/>
    <w:rsid w:val="00D537D1"/>
    <w:rsid w:val="00D53EE0"/>
    <w:rsid w:val="00D54106"/>
    <w:rsid w:val="00D550F5"/>
    <w:rsid w:val="00D55360"/>
    <w:rsid w:val="00D55628"/>
    <w:rsid w:val="00D56AD9"/>
    <w:rsid w:val="00D579ED"/>
    <w:rsid w:val="00D61A96"/>
    <w:rsid w:val="00D61DE2"/>
    <w:rsid w:val="00D62879"/>
    <w:rsid w:val="00D62E3F"/>
    <w:rsid w:val="00D62F09"/>
    <w:rsid w:val="00D64B66"/>
    <w:rsid w:val="00D66F44"/>
    <w:rsid w:val="00D675FC"/>
    <w:rsid w:val="00D71E7E"/>
    <w:rsid w:val="00D724CA"/>
    <w:rsid w:val="00D72852"/>
    <w:rsid w:val="00D72F18"/>
    <w:rsid w:val="00D739E5"/>
    <w:rsid w:val="00D739FD"/>
    <w:rsid w:val="00D74BBD"/>
    <w:rsid w:val="00D7626E"/>
    <w:rsid w:val="00D76283"/>
    <w:rsid w:val="00D80202"/>
    <w:rsid w:val="00D805C9"/>
    <w:rsid w:val="00D81DA9"/>
    <w:rsid w:val="00D82381"/>
    <w:rsid w:val="00D829C3"/>
    <w:rsid w:val="00D83B01"/>
    <w:rsid w:val="00D85659"/>
    <w:rsid w:val="00D8568B"/>
    <w:rsid w:val="00D85D35"/>
    <w:rsid w:val="00D872C0"/>
    <w:rsid w:val="00D874FB"/>
    <w:rsid w:val="00D907AD"/>
    <w:rsid w:val="00D918B6"/>
    <w:rsid w:val="00D91C86"/>
    <w:rsid w:val="00D92449"/>
    <w:rsid w:val="00D92DA7"/>
    <w:rsid w:val="00D93C0C"/>
    <w:rsid w:val="00D95988"/>
    <w:rsid w:val="00D9599B"/>
    <w:rsid w:val="00D95F6F"/>
    <w:rsid w:val="00D9630A"/>
    <w:rsid w:val="00D967F5"/>
    <w:rsid w:val="00D96BAC"/>
    <w:rsid w:val="00D96FDD"/>
    <w:rsid w:val="00D9705D"/>
    <w:rsid w:val="00D974B9"/>
    <w:rsid w:val="00D97607"/>
    <w:rsid w:val="00DA0CFE"/>
    <w:rsid w:val="00DA0DA2"/>
    <w:rsid w:val="00DA2FC8"/>
    <w:rsid w:val="00DA3160"/>
    <w:rsid w:val="00DA3885"/>
    <w:rsid w:val="00DA3CE6"/>
    <w:rsid w:val="00DA3CF2"/>
    <w:rsid w:val="00DA4611"/>
    <w:rsid w:val="00DA471E"/>
    <w:rsid w:val="00DA4881"/>
    <w:rsid w:val="00DA4F33"/>
    <w:rsid w:val="00DA4F44"/>
    <w:rsid w:val="00DA5433"/>
    <w:rsid w:val="00DA5F52"/>
    <w:rsid w:val="00DA6027"/>
    <w:rsid w:val="00DA63DC"/>
    <w:rsid w:val="00DA70DD"/>
    <w:rsid w:val="00DB02C7"/>
    <w:rsid w:val="00DB0931"/>
    <w:rsid w:val="00DB235F"/>
    <w:rsid w:val="00DB3500"/>
    <w:rsid w:val="00DB3E46"/>
    <w:rsid w:val="00DB3E5B"/>
    <w:rsid w:val="00DB6058"/>
    <w:rsid w:val="00DB627F"/>
    <w:rsid w:val="00DB6287"/>
    <w:rsid w:val="00DB6ADD"/>
    <w:rsid w:val="00DB735F"/>
    <w:rsid w:val="00DB7958"/>
    <w:rsid w:val="00DC0B9A"/>
    <w:rsid w:val="00DC101A"/>
    <w:rsid w:val="00DC1DD8"/>
    <w:rsid w:val="00DC1F9C"/>
    <w:rsid w:val="00DC2914"/>
    <w:rsid w:val="00DC3B97"/>
    <w:rsid w:val="00DC3ED8"/>
    <w:rsid w:val="00DC3F61"/>
    <w:rsid w:val="00DC3F74"/>
    <w:rsid w:val="00DC42F8"/>
    <w:rsid w:val="00DC52E0"/>
    <w:rsid w:val="00DC7798"/>
    <w:rsid w:val="00DD03B4"/>
    <w:rsid w:val="00DD0B5E"/>
    <w:rsid w:val="00DD13A8"/>
    <w:rsid w:val="00DD4AD5"/>
    <w:rsid w:val="00DD52C9"/>
    <w:rsid w:val="00DD5B1F"/>
    <w:rsid w:val="00DD5EA2"/>
    <w:rsid w:val="00DD71AA"/>
    <w:rsid w:val="00DD7366"/>
    <w:rsid w:val="00DD7F6C"/>
    <w:rsid w:val="00DE0127"/>
    <w:rsid w:val="00DE0631"/>
    <w:rsid w:val="00DE10D5"/>
    <w:rsid w:val="00DE1C5D"/>
    <w:rsid w:val="00DE2715"/>
    <w:rsid w:val="00DE3304"/>
    <w:rsid w:val="00DE3681"/>
    <w:rsid w:val="00DE5090"/>
    <w:rsid w:val="00DE523D"/>
    <w:rsid w:val="00DE5844"/>
    <w:rsid w:val="00DE6199"/>
    <w:rsid w:val="00DE6F1C"/>
    <w:rsid w:val="00DE7148"/>
    <w:rsid w:val="00DE7208"/>
    <w:rsid w:val="00DF04E9"/>
    <w:rsid w:val="00DF0EBC"/>
    <w:rsid w:val="00DF13C6"/>
    <w:rsid w:val="00DF14FE"/>
    <w:rsid w:val="00DF1639"/>
    <w:rsid w:val="00DF2F1E"/>
    <w:rsid w:val="00DF3E1D"/>
    <w:rsid w:val="00DF6A04"/>
    <w:rsid w:val="00DF6BD3"/>
    <w:rsid w:val="00DF79F6"/>
    <w:rsid w:val="00E00FF0"/>
    <w:rsid w:val="00E01722"/>
    <w:rsid w:val="00E01FE1"/>
    <w:rsid w:val="00E02321"/>
    <w:rsid w:val="00E02600"/>
    <w:rsid w:val="00E031F9"/>
    <w:rsid w:val="00E03254"/>
    <w:rsid w:val="00E03F87"/>
    <w:rsid w:val="00E0548E"/>
    <w:rsid w:val="00E0632D"/>
    <w:rsid w:val="00E06652"/>
    <w:rsid w:val="00E06702"/>
    <w:rsid w:val="00E072AE"/>
    <w:rsid w:val="00E10019"/>
    <w:rsid w:val="00E105C7"/>
    <w:rsid w:val="00E10C40"/>
    <w:rsid w:val="00E121F2"/>
    <w:rsid w:val="00E13520"/>
    <w:rsid w:val="00E13975"/>
    <w:rsid w:val="00E1437D"/>
    <w:rsid w:val="00E156D4"/>
    <w:rsid w:val="00E15BB2"/>
    <w:rsid w:val="00E164CC"/>
    <w:rsid w:val="00E176C5"/>
    <w:rsid w:val="00E21948"/>
    <w:rsid w:val="00E21C93"/>
    <w:rsid w:val="00E23CDA"/>
    <w:rsid w:val="00E2561B"/>
    <w:rsid w:val="00E25CA6"/>
    <w:rsid w:val="00E25F44"/>
    <w:rsid w:val="00E265D7"/>
    <w:rsid w:val="00E267F4"/>
    <w:rsid w:val="00E26B0F"/>
    <w:rsid w:val="00E26D58"/>
    <w:rsid w:val="00E27629"/>
    <w:rsid w:val="00E2788A"/>
    <w:rsid w:val="00E30319"/>
    <w:rsid w:val="00E321B0"/>
    <w:rsid w:val="00E3258B"/>
    <w:rsid w:val="00E34F4A"/>
    <w:rsid w:val="00E35222"/>
    <w:rsid w:val="00E35AA9"/>
    <w:rsid w:val="00E36D2B"/>
    <w:rsid w:val="00E4044B"/>
    <w:rsid w:val="00E420E7"/>
    <w:rsid w:val="00E42345"/>
    <w:rsid w:val="00E4268A"/>
    <w:rsid w:val="00E42904"/>
    <w:rsid w:val="00E42E04"/>
    <w:rsid w:val="00E436AE"/>
    <w:rsid w:val="00E43B23"/>
    <w:rsid w:val="00E43ED3"/>
    <w:rsid w:val="00E45B64"/>
    <w:rsid w:val="00E4647F"/>
    <w:rsid w:val="00E464E5"/>
    <w:rsid w:val="00E473B3"/>
    <w:rsid w:val="00E504C3"/>
    <w:rsid w:val="00E5092F"/>
    <w:rsid w:val="00E50B26"/>
    <w:rsid w:val="00E51882"/>
    <w:rsid w:val="00E51FFA"/>
    <w:rsid w:val="00E521D6"/>
    <w:rsid w:val="00E53235"/>
    <w:rsid w:val="00E536B6"/>
    <w:rsid w:val="00E5407B"/>
    <w:rsid w:val="00E540EA"/>
    <w:rsid w:val="00E54CAE"/>
    <w:rsid w:val="00E54D27"/>
    <w:rsid w:val="00E55228"/>
    <w:rsid w:val="00E55440"/>
    <w:rsid w:val="00E5591E"/>
    <w:rsid w:val="00E55BD2"/>
    <w:rsid w:val="00E56A12"/>
    <w:rsid w:val="00E57588"/>
    <w:rsid w:val="00E57900"/>
    <w:rsid w:val="00E60240"/>
    <w:rsid w:val="00E6279A"/>
    <w:rsid w:val="00E665D2"/>
    <w:rsid w:val="00E72039"/>
    <w:rsid w:val="00E73795"/>
    <w:rsid w:val="00E748D0"/>
    <w:rsid w:val="00E74FB6"/>
    <w:rsid w:val="00E7585A"/>
    <w:rsid w:val="00E76ABA"/>
    <w:rsid w:val="00E76ED9"/>
    <w:rsid w:val="00E7715C"/>
    <w:rsid w:val="00E7754F"/>
    <w:rsid w:val="00E778D5"/>
    <w:rsid w:val="00E7798F"/>
    <w:rsid w:val="00E807C6"/>
    <w:rsid w:val="00E814EE"/>
    <w:rsid w:val="00E81C41"/>
    <w:rsid w:val="00E8206B"/>
    <w:rsid w:val="00E83AE6"/>
    <w:rsid w:val="00E85B45"/>
    <w:rsid w:val="00E85F21"/>
    <w:rsid w:val="00E86BBC"/>
    <w:rsid w:val="00E87EE0"/>
    <w:rsid w:val="00E901B5"/>
    <w:rsid w:val="00E9031A"/>
    <w:rsid w:val="00E90E0F"/>
    <w:rsid w:val="00E92226"/>
    <w:rsid w:val="00E92A7F"/>
    <w:rsid w:val="00E935E6"/>
    <w:rsid w:val="00E93665"/>
    <w:rsid w:val="00E93FA8"/>
    <w:rsid w:val="00E95668"/>
    <w:rsid w:val="00E95EC2"/>
    <w:rsid w:val="00EA0038"/>
    <w:rsid w:val="00EA0C11"/>
    <w:rsid w:val="00EA0FFE"/>
    <w:rsid w:val="00EA1D1F"/>
    <w:rsid w:val="00EA24A0"/>
    <w:rsid w:val="00EA2FF0"/>
    <w:rsid w:val="00EA3474"/>
    <w:rsid w:val="00EA3F81"/>
    <w:rsid w:val="00EA461D"/>
    <w:rsid w:val="00EA5DEC"/>
    <w:rsid w:val="00EA6BDC"/>
    <w:rsid w:val="00EB011D"/>
    <w:rsid w:val="00EB074D"/>
    <w:rsid w:val="00EB1874"/>
    <w:rsid w:val="00EB2997"/>
    <w:rsid w:val="00EB3429"/>
    <w:rsid w:val="00EB3D6D"/>
    <w:rsid w:val="00EB5754"/>
    <w:rsid w:val="00EB589F"/>
    <w:rsid w:val="00EC0520"/>
    <w:rsid w:val="00EC0777"/>
    <w:rsid w:val="00EC097F"/>
    <w:rsid w:val="00EC09EF"/>
    <w:rsid w:val="00EC1459"/>
    <w:rsid w:val="00EC225B"/>
    <w:rsid w:val="00EC2683"/>
    <w:rsid w:val="00EC347D"/>
    <w:rsid w:val="00EC55B5"/>
    <w:rsid w:val="00EC6ABF"/>
    <w:rsid w:val="00ED011F"/>
    <w:rsid w:val="00ED0A9A"/>
    <w:rsid w:val="00ED0D72"/>
    <w:rsid w:val="00ED0F98"/>
    <w:rsid w:val="00ED1292"/>
    <w:rsid w:val="00ED12C2"/>
    <w:rsid w:val="00ED1800"/>
    <w:rsid w:val="00ED1CC0"/>
    <w:rsid w:val="00ED3318"/>
    <w:rsid w:val="00ED36F2"/>
    <w:rsid w:val="00ED39E1"/>
    <w:rsid w:val="00ED55BC"/>
    <w:rsid w:val="00EE008D"/>
    <w:rsid w:val="00EE16F1"/>
    <w:rsid w:val="00EE226B"/>
    <w:rsid w:val="00EE23BB"/>
    <w:rsid w:val="00EE2D11"/>
    <w:rsid w:val="00EE3211"/>
    <w:rsid w:val="00EE3C37"/>
    <w:rsid w:val="00EE3E04"/>
    <w:rsid w:val="00EE5287"/>
    <w:rsid w:val="00EE64FA"/>
    <w:rsid w:val="00EE693B"/>
    <w:rsid w:val="00EE6E27"/>
    <w:rsid w:val="00EE73D6"/>
    <w:rsid w:val="00EE7407"/>
    <w:rsid w:val="00EF004F"/>
    <w:rsid w:val="00EF00E7"/>
    <w:rsid w:val="00EF1121"/>
    <w:rsid w:val="00EF1123"/>
    <w:rsid w:val="00EF196B"/>
    <w:rsid w:val="00EF3661"/>
    <w:rsid w:val="00EF38BF"/>
    <w:rsid w:val="00EF5AED"/>
    <w:rsid w:val="00EF5CA4"/>
    <w:rsid w:val="00EF6252"/>
    <w:rsid w:val="00EF680B"/>
    <w:rsid w:val="00EF699D"/>
    <w:rsid w:val="00EF75F4"/>
    <w:rsid w:val="00EF761B"/>
    <w:rsid w:val="00EF77DA"/>
    <w:rsid w:val="00EF7876"/>
    <w:rsid w:val="00F013A6"/>
    <w:rsid w:val="00F0266E"/>
    <w:rsid w:val="00F05E29"/>
    <w:rsid w:val="00F05E67"/>
    <w:rsid w:val="00F07AC8"/>
    <w:rsid w:val="00F11D2F"/>
    <w:rsid w:val="00F12883"/>
    <w:rsid w:val="00F128F8"/>
    <w:rsid w:val="00F13002"/>
    <w:rsid w:val="00F13BC0"/>
    <w:rsid w:val="00F150D4"/>
    <w:rsid w:val="00F174FD"/>
    <w:rsid w:val="00F17B14"/>
    <w:rsid w:val="00F20DE7"/>
    <w:rsid w:val="00F20E63"/>
    <w:rsid w:val="00F21E84"/>
    <w:rsid w:val="00F230C8"/>
    <w:rsid w:val="00F24056"/>
    <w:rsid w:val="00F241B5"/>
    <w:rsid w:val="00F244B0"/>
    <w:rsid w:val="00F25F03"/>
    <w:rsid w:val="00F26006"/>
    <w:rsid w:val="00F26B86"/>
    <w:rsid w:val="00F2735E"/>
    <w:rsid w:val="00F278C2"/>
    <w:rsid w:val="00F312AC"/>
    <w:rsid w:val="00F313AF"/>
    <w:rsid w:val="00F3149D"/>
    <w:rsid w:val="00F3173F"/>
    <w:rsid w:val="00F320D4"/>
    <w:rsid w:val="00F32657"/>
    <w:rsid w:val="00F32B96"/>
    <w:rsid w:val="00F34981"/>
    <w:rsid w:val="00F37B70"/>
    <w:rsid w:val="00F40397"/>
    <w:rsid w:val="00F403AB"/>
    <w:rsid w:val="00F40EF4"/>
    <w:rsid w:val="00F41E89"/>
    <w:rsid w:val="00F422EF"/>
    <w:rsid w:val="00F42855"/>
    <w:rsid w:val="00F42A07"/>
    <w:rsid w:val="00F42AC6"/>
    <w:rsid w:val="00F441AF"/>
    <w:rsid w:val="00F44363"/>
    <w:rsid w:val="00F466B1"/>
    <w:rsid w:val="00F47A91"/>
    <w:rsid w:val="00F47BAB"/>
    <w:rsid w:val="00F50380"/>
    <w:rsid w:val="00F51D61"/>
    <w:rsid w:val="00F524B5"/>
    <w:rsid w:val="00F528E8"/>
    <w:rsid w:val="00F52CE6"/>
    <w:rsid w:val="00F532EC"/>
    <w:rsid w:val="00F55584"/>
    <w:rsid w:val="00F5571F"/>
    <w:rsid w:val="00F55E4E"/>
    <w:rsid w:val="00F56B9D"/>
    <w:rsid w:val="00F56BB5"/>
    <w:rsid w:val="00F571D7"/>
    <w:rsid w:val="00F574DC"/>
    <w:rsid w:val="00F613EA"/>
    <w:rsid w:val="00F624F1"/>
    <w:rsid w:val="00F636FF"/>
    <w:rsid w:val="00F63FE1"/>
    <w:rsid w:val="00F65831"/>
    <w:rsid w:val="00F65DB1"/>
    <w:rsid w:val="00F66855"/>
    <w:rsid w:val="00F66BE0"/>
    <w:rsid w:val="00F70147"/>
    <w:rsid w:val="00F713D7"/>
    <w:rsid w:val="00F71C5C"/>
    <w:rsid w:val="00F72251"/>
    <w:rsid w:val="00F72289"/>
    <w:rsid w:val="00F730D1"/>
    <w:rsid w:val="00F74059"/>
    <w:rsid w:val="00F740B5"/>
    <w:rsid w:val="00F74F01"/>
    <w:rsid w:val="00F75B7C"/>
    <w:rsid w:val="00F7656D"/>
    <w:rsid w:val="00F7716B"/>
    <w:rsid w:val="00F8230E"/>
    <w:rsid w:val="00F84A90"/>
    <w:rsid w:val="00F855E3"/>
    <w:rsid w:val="00F85673"/>
    <w:rsid w:val="00F872A9"/>
    <w:rsid w:val="00F9074A"/>
    <w:rsid w:val="00F92ECF"/>
    <w:rsid w:val="00F93D57"/>
    <w:rsid w:val="00F9437E"/>
    <w:rsid w:val="00F944A2"/>
    <w:rsid w:val="00F948BA"/>
    <w:rsid w:val="00F94BCD"/>
    <w:rsid w:val="00F97436"/>
    <w:rsid w:val="00FA014D"/>
    <w:rsid w:val="00FA01BA"/>
    <w:rsid w:val="00FA047C"/>
    <w:rsid w:val="00FA084A"/>
    <w:rsid w:val="00FA13A3"/>
    <w:rsid w:val="00FA15FC"/>
    <w:rsid w:val="00FA3F40"/>
    <w:rsid w:val="00FA50EE"/>
    <w:rsid w:val="00FA5BFD"/>
    <w:rsid w:val="00FA7111"/>
    <w:rsid w:val="00FA7682"/>
    <w:rsid w:val="00FB040A"/>
    <w:rsid w:val="00FB15B6"/>
    <w:rsid w:val="00FB2209"/>
    <w:rsid w:val="00FB3B52"/>
    <w:rsid w:val="00FB6AC4"/>
    <w:rsid w:val="00FC09C6"/>
    <w:rsid w:val="00FC0E1D"/>
    <w:rsid w:val="00FC30DA"/>
    <w:rsid w:val="00FC40B3"/>
    <w:rsid w:val="00FD1225"/>
    <w:rsid w:val="00FD20C6"/>
    <w:rsid w:val="00FD255B"/>
    <w:rsid w:val="00FD2E11"/>
    <w:rsid w:val="00FD460D"/>
    <w:rsid w:val="00FD4804"/>
    <w:rsid w:val="00FD506E"/>
    <w:rsid w:val="00FD5395"/>
    <w:rsid w:val="00FD557A"/>
    <w:rsid w:val="00FD6014"/>
    <w:rsid w:val="00FD6418"/>
    <w:rsid w:val="00FD70ED"/>
    <w:rsid w:val="00FD7573"/>
    <w:rsid w:val="00FD7B81"/>
    <w:rsid w:val="00FD7B98"/>
    <w:rsid w:val="00FE0AC9"/>
    <w:rsid w:val="00FE29AA"/>
    <w:rsid w:val="00FE3415"/>
    <w:rsid w:val="00FE37D3"/>
    <w:rsid w:val="00FE5197"/>
    <w:rsid w:val="00FE59C7"/>
    <w:rsid w:val="00FE6093"/>
    <w:rsid w:val="00FE6D1B"/>
    <w:rsid w:val="00FE78C6"/>
    <w:rsid w:val="00FE79AA"/>
    <w:rsid w:val="00FE7DEF"/>
    <w:rsid w:val="00FF0C23"/>
    <w:rsid w:val="00FF127B"/>
    <w:rsid w:val="00FF3C8F"/>
    <w:rsid w:val="00FF3D37"/>
    <w:rsid w:val="00FF3E62"/>
    <w:rsid w:val="00FF4F84"/>
    <w:rsid w:val="00FF535D"/>
    <w:rsid w:val="00FF58AC"/>
    <w:rsid w:val="00FF5C98"/>
    <w:rsid w:val="00FF6381"/>
    <w:rsid w:val="00FF679D"/>
    <w:rsid w:val="00FF6DB2"/>
    <w:rsid w:val="00FF7E2F"/>
    <w:rsid w:val="011530C3"/>
    <w:rsid w:val="01382DB4"/>
    <w:rsid w:val="01457F6F"/>
    <w:rsid w:val="016519C1"/>
    <w:rsid w:val="01747D1E"/>
    <w:rsid w:val="01BB3CD7"/>
    <w:rsid w:val="01C43576"/>
    <w:rsid w:val="01C47CF3"/>
    <w:rsid w:val="01CF1907"/>
    <w:rsid w:val="01E4051A"/>
    <w:rsid w:val="01E55935"/>
    <w:rsid w:val="01F178BE"/>
    <w:rsid w:val="020F3011"/>
    <w:rsid w:val="023006A7"/>
    <w:rsid w:val="0252665D"/>
    <w:rsid w:val="025F19CF"/>
    <w:rsid w:val="026E36A9"/>
    <w:rsid w:val="028A13E5"/>
    <w:rsid w:val="02FF7A7B"/>
    <w:rsid w:val="035203D6"/>
    <w:rsid w:val="03564C17"/>
    <w:rsid w:val="03610DE0"/>
    <w:rsid w:val="0361681B"/>
    <w:rsid w:val="03ED1CC0"/>
    <w:rsid w:val="03EE1902"/>
    <w:rsid w:val="03F13330"/>
    <w:rsid w:val="040556DD"/>
    <w:rsid w:val="04253FDA"/>
    <w:rsid w:val="045C66B2"/>
    <w:rsid w:val="04641540"/>
    <w:rsid w:val="04710CD1"/>
    <w:rsid w:val="048A515F"/>
    <w:rsid w:val="048E79EB"/>
    <w:rsid w:val="0491498E"/>
    <w:rsid w:val="049860A4"/>
    <w:rsid w:val="04995C1A"/>
    <w:rsid w:val="04A41675"/>
    <w:rsid w:val="04AA04C7"/>
    <w:rsid w:val="04BE2062"/>
    <w:rsid w:val="04C837E3"/>
    <w:rsid w:val="04D253F8"/>
    <w:rsid w:val="05084354"/>
    <w:rsid w:val="0525422D"/>
    <w:rsid w:val="056B1564"/>
    <w:rsid w:val="05797A3D"/>
    <w:rsid w:val="058B77B2"/>
    <w:rsid w:val="05A671DA"/>
    <w:rsid w:val="05B9261D"/>
    <w:rsid w:val="05C572C4"/>
    <w:rsid w:val="061D6D0E"/>
    <w:rsid w:val="0623601E"/>
    <w:rsid w:val="06302DB6"/>
    <w:rsid w:val="064D4D61"/>
    <w:rsid w:val="06597543"/>
    <w:rsid w:val="06981DF9"/>
    <w:rsid w:val="06A905A2"/>
    <w:rsid w:val="06C550DB"/>
    <w:rsid w:val="06D0743C"/>
    <w:rsid w:val="06D7510F"/>
    <w:rsid w:val="070E33A2"/>
    <w:rsid w:val="071E63F3"/>
    <w:rsid w:val="075E2523"/>
    <w:rsid w:val="0760708C"/>
    <w:rsid w:val="07944BFB"/>
    <w:rsid w:val="07A36A9F"/>
    <w:rsid w:val="07D26F91"/>
    <w:rsid w:val="082F3DD2"/>
    <w:rsid w:val="08377730"/>
    <w:rsid w:val="086C26E0"/>
    <w:rsid w:val="08822685"/>
    <w:rsid w:val="088C0A16"/>
    <w:rsid w:val="08C52D6F"/>
    <w:rsid w:val="08FC5665"/>
    <w:rsid w:val="0929584C"/>
    <w:rsid w:val="092E340E"/>
    <w:rsid w:val="093431FC"/>
    <w:rsid w:val="0966617B"/>
    <w:rsid w:val="09C13EA5"/>
    <w:rsid w:val="09DD2B7E"/>
    <w:rsid w:val="09DE12BD"/>
    <w:rsid w:val="09DF5A3E"/>
    <w:rsid w:val="0A1A1394"/>
    <w:rsid w:val="0A303D95"/>
    <w:rsid w:val="0A4038E0"/>
    <w:rsid w:val="0A8623B3"/>
    <w:rsid w:val="0A9860DD"/>
    <w:rsid w:val="0B1867A2"/>
    <w:rsid w:val="0B243B52"/>
    <w:rsid w:val="0B591E2E"/>
    <w:rsid w:val="0B6049A4"/>
    <w:rsid w:val="0B62416D"/>
    <w:rsid w:val="0B982B1A"/>
    <w:rsid w:val="0BB023D2"/>
    <w:rsid w:val="0BC248E5"/>
    <w:rsid w:val="0BCD1763"/>
    <w:rsid w:val="0C1D75EE"/>
    <w:rsid w:val="0C314310"/>
    <w:rsid w:val="0C5F0057"/>
    <w:rsid w:val="0C691C6B"/>
    <w:rsid w:val="0C890D10"/>
    <w:rsid w:val="0C9376F3"/>
    <w:rsid w:val="0CB50A66"/>
    <w:rsid w:val="0CC06DF7"/>
    <w:rsid w:val="0DAF4501"/>
    <w:rsid w:val="0DEF62B6"/>
    <w:rsid w:val="0E1F739B"/>
    <w:rsid w:val="0E2B5D40"/>
    <w:rsid w:val="0E3C75E8"/>
    <w:rsid w:val="0E5C591E"/>
    <w:rsid w:val="0E617934"/>
    <w:rsid w:val="0E6179B4"/>
    <w:rsid w:val="0E8343A6"/>
    <w:rsid w:val="0E8419FF"/>
    <w:rsid w:val="0EE30B9E"/>
    <w:rsid w:val="0EEA0A05"/>
    <w:rsid w:val="0EEE65D1"/>
    <w:rsid w:val="0EFC6F33"/>
    <w:rsid w:val="0F0273A3"/>
    <w:rsid w:val="0F4E27DE"/>
    <w:rsid w:val="0F6D2474"/>
    <w:rsid w:val="0F6D575B"/>
    <w:rsid w:val="0F8A4D67"/>
    <w:rsid w:val="0F8B645F"/>
    <w:rsid w:val="0F971E23"/>
    <w:rsid w:val="0FAB02B9"/>
    <w:rsid w:val="0FE02217"/>
    <w:rsid w:val="103A162C"/>
    <w:rsid w:val="106A0522"/>
    <w:rsid w:val="107431BA"/>
    <w:rsid w:val="109B03CC"/>
    <w:rsid w:val="109E452C"/>
    <w:rsid w:val="10AD3841"/>
    <w:rsid w:val="10F75879"/>
    <w:rsid w:val="1111121D"/>
    <w:rsid w:val="11127111"/>
    <w:rsid w:val="11333889"/>
    <w:rsid w:val="113D42B9"/>
    <w:rsid w:val="113F222E"/>
    <w:rsid w:val="11515D18"/>
    <w:rsid w:val="11564050"/>
    <w:rsid w:val="11645423"/>
    <w:rsid w:val="118B5AD6"/>
    <w:rsid w:val="11942369"/>
    <w:rsid w:val="12912E05"/>
    <w:rsid w:val="12A44024"/>
    <w:rsid w:val="12A97B84"/>
    <w:rsid w:val="13327318"/>
    <w:rsid w:val="13327FF2"/>
    <w:rsid w:val="13451321"/>
    <w:rsid w:val="134770B1"/>
    <w:rsid w:val="13887B1A"/>
    <w:rsid w:val="13923D54"/>
    <w:rsid w:val="13AA413F"/>
    <w:rsid w:val="13D778B6"/>
    <w:rsid w:val="13E959C6"/>
    <w:rsid w:val="140B4870"/>
    <w:rsid w:val="14162C01"/>
    <w:rsid w:val="14166AE1"/>
    <w:rsid w:val="143015E2"/>
    <w:rsid w:val="14565413"/>
    <w:rsid w:val="14735C5F"/>
    <w:rsid w:val="1497763F"/>
    <w:rsid w:val="14B83E6B"/>
    <w:rsid w:val="14D56784"/>
    <w:rsid w:val="14DC5FE6"/>
    <w:rsid w:val="14E4621D"/>
    <w:rsid w:val="1508348E"/>
    <w:rsid w:val="150E2655"/>
    <w:rsid w:val="15203C88"/>
    <w:rsid w:val="15242DBE"/>
    <w:rsid w:val="1526273B"/>
    <w:rsid w:val="15317A6C"/>
    <w:rsid w:val="154842EA"/>
    <w:rsid w:val="15B21729"/>
    <w:rsid w:val="15EB4E7C"/>
    <w:rsid w:val="15F92FD8"/>
    <w:rsid w:val="1620557D"/>
    <w:rsid w:val="16593A75"/>
    <w:rsid w:val="167071E4"/>
    <w:rsid w:val="16733962"/>
    <w:rsid w:val="16757268"/>
    <w:rsid w:val="16AC5172"/>
    <w:rsid w:val="16BD4245"/>
    <w:rsid w:val="16DA0303"/>
    <w:rsid w:val="16FF19EA"/>
    <w:rsid w:val="172179B8"/>
    <w:rsid w:val="17850FB1"/>
    <w:rsid w:val="17CA3AE1"/>
    <w:rsid w:val="17DC4231"/>
    <w:rsid w:val="180E3DC2"/>
    <w:rsid w:val="182944A3"/>
    <w:rsid w:val="1852743B"/>
    <w:rsid w:val="188764B7"/>
    <w:rsid w:val="188B43D5"/>
    <w:rsid w:val="19024013"/>
    <w:rsid w:val="19414DFD"/>
    <w:rsid w:val="19420680"/>
    <w:rsid w:val="194C318E"/>
    <w:rsid w:val="19AF5431"/>
    <w:rsid w:val="19CF3767"/>
    <w:rsid w:val="19D528C7"/>
    <w:rsid w:val="19E96131"/>
    <w:rsid w:val="1A1041D0"/>
    <w:rsid w:val="1A247A97"/>
    <w:rsid w:val="1A3A7593"/>
    <w:rsid w:val="1A7C1301"/>
    <w:rsid w:val="1A9C7638"/>
    <w:rsid w:val="1AA530AD"/>
    <w:rsid w:val="1AB768D0"/>
    <w:rsid w:val="1AC34776"/>
    <w:rsid w:val="1AFB58F2"/>
    <w:rsid w:val="1B2E3201"/>
    <w:rsid w:val="1B376301"/>
    <w:rsid w:val="1B380F38"/>
    <w:rsid w:val="1B415452"/>
    <w:rsid w:val="1B6B6A0B"/>
    <w:rsid w:val="1B764049"/>
    <w:rsid w:val="1C154F6E"/>
    <w:rsid w:val="1C197E29"/>
    <w:rsid w:val="1C4A49B2"/>
    <w:rsid w:val="1C4F6C7E"/>
    <w:rsid w:val="1C625C9F"/>
    <w:rsid w:val="1C907DE2"/>
    <w:rsid w:val="1C912F6B"/>
    <w:rsid w:val="1CD30C0D"/>
    <w:rsid w:val="1CEB326A"/>
    <w:rsid w:val="1D03247A"/>
    <w:rsid w:val="1D047EAE"/>
    <w:rsid w:val="1D175E0D"/>
    <w:rsid w:val="1D284DB2"/>
    <w:rsid w:val="1D320DF5"/>
    <w:rsid w:val="1D6E70D6"/>
    <w:rsid w:val="1D7A568E"/>
    <w:rsid w:val="1D903137"/>
    <w:rsid w:val="1DB530CD"/>
    <w:rsid w:val="1DC23799"/>
    <w:rsid w:val="1DD10A37"/>
    <w:rsid w:val="1DD8637C"/>
    <w:rsid w:val="1E0E2DE9"/>
    <w:rsid w:val="1E2101FE"/>
    <w:rsid w:val="1E301E2D"/>
    <w:rsid w:val="1E3B28B6"/>
    <w:rsid w:val="1E537319"/>
    <w:rsid w:val="1E5A522A"/>
    <w:rsid w:val="1E5E66D2"/>
    <w:rsid w:val="1EA416D1"/>
    <w:rsid w:val="1EA4585B"/>
    <w:rsid w:val="1EE61241"/>
    <w:rsid w:val="1F010A0B"/>
    <w:rsid w:val="1F06691B"/>
    <w:rsid w:val="1F1C0F96"/>
    <w:rsid w:val="1F1F7A4B"/>
    <w:rsid w:val="1F271CAA"/>
    <w:rsid w:val="1F2930F3"/>
    <w:rsid w:val="1F3C63CC"/>
    <w:rsid w:val="1F8A0ACB"/>
    <w:rsid w:val="1F92518E"/>
    <w:rsid w:val="1F996057"/>
    <w:rsid w:val="1FCD7EB9"/>
    <w:rsid w:val="200A5B20"/>
    <w:rsid w:val="20163B31"/>
    <w:rsid w:val="20201EC2"/>
    <w:rsid w:val="20220951"/>
    <w:rsid w:val="204C14F0"/>
    <w:rsid w:val="20585C30"/>
    <w:rsid w:val="206A5249"/>
    <w:rsid w:val="207A3E5E"/>
    <w:rsid w:val="20941E5C"/>
    <w:rsid w:val="20D17AAC"/>
    <w:rsid w:val="20E91E42"/>
    <w:rsid w:val="20EF3C66"/>
    <w:rsid w:val="20F53847"/>
    <w:rsid w:val="213F3B84"/>
    <w:rsid w:val="21C76D7B"/>
    <w:rsid w:val="21E736FC"/>
    <w:rsid w:val="221E3F06"/>
    <w:rsid w:val="22587EB6"/>
    <w:rsid w:val="22645564"/>
    <w:rsid w:val="2290261E"/>
    <w:rsid w:val="229628CB"/>
    <w:rsid w:val="22CC223E"/>
    <w:rsid w:val="22D20532"/>
    <w:rsid w:val="22D66F38"/>
    <w:rsid w:val="22DC346F"/>
    <w:rsid w:val="232A43DD"/>
    <w:rsid w:val="2364201F"/>
    <w:rsid w:val="238C6E29"/>
    <w:rsid w:val="23A52A88"/>
    <w:rsid w:val="23B0469D"/>
    <w:rsid w:val="23C1773C"/>
    <w:rsid w:val="241C1F5B"/>
    <w:rsid w:val="24470995"/>
    <w:rsid w:val="24482291"/>
    <w:rsid w:val="24674FCB"/>
    <w:rsid w:val="246B1625"/>
    <w:rsid w:val="24DB15E6"/>
    <w:rsid w:val="250E3F9A"/>
    <w:rsid w:val="251D54C7"/>
    <w:rsid w:val="252A6FED"/>
    <w:rsid w:val="253F1428"/>
    <w:rsid w:val="2562407F"/>
    <w:rsid w:val="25A8151C"/>
    <w:rsid w:val="25E92311"/>
    <w:rsid w:val="260F5480"/>
    <w:rsid w:val="26751385"/>
    <w:rsid w:val="269D1C78"/>
    <w:rsid w:val="26A06F6E"/>
    <w:rsid w:val="26B639D7"/>
    <w:rsid w:val="26DE0FD1"/>
    <w:rsid w:val="26E31B2E"/>
    <w:rsid w:val="26EE1790"/>
    <w:rsid w:val="27530AEC"/>
    <w:rsid w:val="2781405D"/>
    <w:rsid w:val="28061BC7"/>
    <w:rsid w:val="280B3FC1"/>
    <w:rsid w:val="285A40FB"/>
    <w:rsid w:val="285E3505"/>
    <w:rsid w:val="286233FC"/>
    <w:rsid w:val="28681C13"/>
    <w:rsid w:val="287149A1"/>
    <w:rsid w:val="288F1C76"/>
    <w:rsid w:val="28AF344A"/>
    <w:rsid w:val="28B14910"/>
    <w:rsid w:val="28BF25E3"/>
    <w:rsid w:val="28DC6898"/>
    <w:rsid w:val="29854031"/>
    <w:rsid w:val="29880BEA"/>
    <w:rsid w:val="29980F12"/>
    <w:rsid w:val="29A520E4"/>
    <w:rsid w:val="2A1A4572"/>
    <w:rsid w:val="2A230DAE"/>
    <w:rsid w:val="2A3B04C1"/>
    <w:rsid w:val="2A423861"/>
    <w:rsid w:val="2AB22C1B"/>
    <w:rsid w:val="2AEA3A1A"/>
    <w:rsid w:val="2AF53506"/>
    <w:rsid w:val="2B0A0962"/>
    <w:rsid w:val="2B267866"/>
    <w:rsid w:val="2B320F6B"/>
    <w:rsid w:val="2B3C72FC"/>
    <w:rsid w:val="2B6A4FC2"/>
    <w:rsid w:val="2BD22C0B"/>
    <w:rsid w:val="2C25678C"/>
    <w:rsid w:val="2C572784"/>
    <w:rsid w:val="2CA174A1"/>
    <w:rsid w:val="2CEF21C5"/>
    <w:rsid w:val="2D3364CE"/>
    <w:rsid w:val="2D452F54"/>
    <w:rsid w:val="2D5A676F"/>
    <w:rsid w:val="2D6B0AEA"/>
    <w:rsid w:val="2DBD6096"/>
    <w:rsid w:val="2DC77CAA"/>
    <w:rsid w:val="2DE26AA6"/>
    <w:rsid w:val="2E2C5491"/>
    <w:rsid w:val="2ECC1AD7"/>
    <w:rsid w:val="2ED72669"/>
    <w:rsid w:val="2F0D2540"/>
    <w:rsid w:val="2F0F4910"/>
    <w:rsid w:val="2F317156"/>
    <w:rsid w:val="2F386C07"/>
    <w:rsid w:val="2F4F47F1"/>
    <w:rsid w:val="2F7552B2"/>
    <w:rsid w:val="2F9D7121"/>
    <w:rsid w:val="2F9E7F1F"/>
    <w:rsid w:val="2FB72E95"/>
    <w:rsid w:val="2FD62A87"/>
    <w:rsid w:val="305D6C29"/>
    <w:rsid w:val="307D149D"/>
    <w:rsid w:val="30C10EB6"/>
    <w:rsid w:val="30C44089"/>
    <w:rsid w:val="30D7336F"/>
    <w:rsid w:val="30E531BD"/>
    <w:rsid w:val="30EB624E"/>
    <w:rsid w:val="30EC6A9B"/>
    <w:rsid w:val="311D09DC"/>
    <w:rsid w:val="312F5E08"/>
    <w:rsid w:val="3157337F"/>
    <w:rsid w:val="318254C8"/>
    <w:rsid w:val="31827B83"/>
    <w:rsid w:val="319A5D04"/>
    <w:rsid w:val="31A17BC3"/>
    <w:rsid w:val="31F7547D"/>
    <w:rsid w:val="31F9640B"/>
    <w:rsid w:val="31FD7F77"/>
    <w:rsid w:val="3204001F"/>
    <w:rsid w:val="32242AD2"/>
    <w:rsid w:val="322A3DF1"/>
    <w:rsid w:val="323C2735"/>
    <w:rsid w:val="328234D4"/>
    <w:rsid w:val="328E1B6C"/>
    <w:rsid w:val="32907B6F"/>
    <w:rsid w:val="32C91C94"/>
    <w:rsid w:val="32F93DAF"/>
    <w:rsid w:val="330672EA"/>
    <w:rsid w:val="33391532"/>
    <w:rsid w:val="333F0CA1"/>
    <w:rsid w:val="33C10429"/>
    <w:rsid w:val="33C92B36"/>
    <w:rsid w:val="33CE41B8"/>
    <w:rsid w:val="33D72119"/>
    <w:rsid w:val="33DC6658"/>
    <w:rsid w:val="33F73CD2"/>
    <w:rsid w:val="341D6EEF"/>
    <w:rsid w:val="34270272"/>
    <w:rsid w:val="343B5701"/>
    <w:rsid w:val="344779A5"/>
    <w:rsid w:val="344C7783"/>
    <w:rsid w:val="34933B51"/>
    <w:rsid w:val="34A90CC0"/>
    <w:rsid w:val="34F27A73"/>
    <w:rsid w:val="351C30E3"/>
    <w:rsid w:val="35216666"/>
    <w:rsid w:val="353F34FF"/>
    <w:rsid w:val="353F3CFB"/>
    <w:rsid w:val="353F7ACA"/>
    <w:rsid w:val="358E1AEB"/>
    <w:rsid w:val="35B3740D"/>
    <w:rsid w:val="35B80C45"/>
    <w:rsid w:val="35C032BE"/>
    <w:rsid w:val="35CD27A1"/>
    <w:rsid w:val="35D5640E"/>
    <w:rsid w:val="35D579E0"/>
    <w:rsid w:val="36056CF3"/>
    <w:rsid w:val="365357D3"/>
    <w:rsid w:val="366729AE"/>
    <w:rsid w:val="366D46DB"/>
    <w:rsid w:val="36820DFD"/>
    <w:rsid w:val="3685583C"/>
    <w:rsid w:val="368D718F"/>
    <w:rsid w:val="36DB4D0F"/>
    <w:rsid w:val="371812F1"/>
    <w:rsid w:val="374314D2"/>
    <w:rsid w:val="375201D1"/>
    <w:rsid w:val="375E4BBA"/>
    <w:rsid w:val="378E453E"/>
    <w:rsid w:val="37910FBB"/>
    <w:rsid w:val="37A84685"/>
    <w:rsid w:val="37BD5302"/>
    <w:rsid w:val="37CF27BA"/>
    <w:rsid w:val="3801031D"/>
    <w:rsid w:val="3810198E"/>
    <w:rsid w:val="384A2968"/>
    <w:rsid w:val="385641FC"/>
    <w:rsid w:val="386B671F"/>
    <w:rsid w:val="387243E8"/>
    <w:rsid w:val="38AD702E"/>
    <w:rsid w:val="38EE3475"/>
    <w:rsid w:val="390A7481"/>
    <w:rsid w:val="3914223C"/>
    <w:rsid w:val="393915D2"/>
    <w:rsid w:val="393941D4"/>
    <w:rsid w:val="393F0C84"/>
    <w:rsid w:val="39BB7346"/>
    <w:rsid w:val="39D20B92"/>
    <w:rsid w:val="39EB029D"/>
    <w:rsid w:val="39FC7DAF"/>
    <w:rsid w:val="39FD3633"/>
    <w:rsid w:val="3A0B4374"/>
    <w:rsid w:val="3A29797A"/>
    <w:rsid w:val="3A3C2693"/>
    <w:rsid w:val="3A4B3EDA"/>
    <w:rsid w:val="3A73272E"/>
    <w:rsid w:val="3AA12049"/>
    <w:rsid w:val="3ACB7183"/>
    <w:rsid w:val="3AEE2E06"/>
    <w:rsid w:val="3B191137"/>
    <w:rsid w:val="3B6405FB"/>
    <w:rsid w:val="3C1C362D"/>
    <w:rsid w:val="3C26613B"/>
    <w:rsid w:val="3C94676F"/>
    <w:rsid w:val="3C9D0501"/>
    <w:rsid w:val="3CA96714"/>
    <w:rsid w:val="3CC60A6D"/>
    <w:rsid w:val="3CC66044"/>
    <w:rsid w:val="3CE974FE"/>
    <w:rsid w:val="3D053A32"/>
    <w:rsid w:val="3D264530"/>
    <w:rsid w:val="3D393E77"/>
    <w:rsid w:val="3D493E51"/>
    <w:rsid w:val="3D61263F"/>
    <w:rsid w:val="3D8C258A"/>
    <w:rsid w:val="3DB039E8"/>
    <w:rsid w:val="3DEC58B0"/>
    <w:rsid w:val="3DFA2BBE"/>
    <w:rsid w:val="3DFE50A4"/>
    <w:rsid w:val="3E0F3A5D"/>
    <w:rsid w:val="3E173A67"/>
    <w:rsid w:val="3E175815"/>
    <w:rsid w:val="3E3E6712"/>
    <w:rsid w:val="3E9F79AE"/>
    <w:rsid w:val="3EAE5A4E"/>
    <w:rsid w:val="3EF43B41"/>
    <w:rsid w:val="3F0874F8"/>
    <w:rsid w:val="3F39320C"/>
    <w:rsid w:val="3F602397"/>
    <w:rsid w:val="3F69137B"/>
    <w:rsid w:val="3F6C1603"/>
    <w:rsid w:val="3F6F5F91"/>
    <w:rsid w:val="3F964E60"/>
    <w:rsid w:val="3FA12730"/>
    <w:rsid w:val="3FA444F3"/>
    <w:rsid w:val="3FA61B30"/>
    <w:rsid w:val="3FDE08F5"/>
    <w:rsid w:val="4008017A"/>
    <w:rsid w:val="401776B5"/>
    <w:rsid w:val="40380FC1"/>
    <w:rsid w:val="40481F49"/>
    <w:rsid w:val="40712288"/>
    <w:rsid w:val="40A57735"/>
    <w:rsid w:val="40C50AD3"/>
    <w:rsid w:val="40E65833"/>
    <w:rsid w:val="414B09AC"/>
    <w:rsid w:val="4156362F"/>
    <w:rsid w:val="418A654E"/>
    <w:rsid w:val="41947EA6"/>
    <w:rsid w:val="41D47F93"/>
    <w:rsid w:val="41F533C3"/>
    <w:rsid w:val="42004FD7"/>
    <w:rsid w:val="42014C57"/>
    <w:rsid w:val="4211049B"/>
    <w:rsid w:val="42772D77"/>
    <w:rsid w:val="427C658F"/>
    <w:rsid w:val="42C07614"/>
    <w:rsid w:val="42C42797"/>
    <w:rsid w:val="42C8103A"/>
    <w:rsid w:val="42D178AE"/>
    <w:rsid w:val="432418C0"/>
    <w:rsid w:val="4351010D"/>
    <w:rsid w:val="435C3C0F"/>
    <w:rsid w:val="43713BB4"/>
    <w:rsid w:val="43867BC2"/>
    <w:rsid w:val="438B4FB1"/>
    <w:rsid w:val="43947F98"/>
    <w:rsid w:val="439B601B"/>
    <w:rsid w:val="43A45F3A"/>
    <w:rsid w:val="43AE11BC"/>
    <w:rsid w:val="440F575E"/>
    <w:rsid w:val="441A2199"/>
    <w:rsid w:val="442339D8"/>
    <w:rsid w:val="44563ED5"/>
    <w:rsid w:val="44605A3B"/>
    <w:rsid w:val="44D25AAC"/>
    <w:rsid w:val="44F92736"/>
    <w:rsid w:val="45030AC7"/>
    <w:rsid w:val="453749EF"/>
    <w:rsid w:val="45441531"/>
    <w:rsid w:val="456077F4"/>
    <w:rsid w:val="45647867"/>
    <w:rsid w:val="456E61AA"/>
    <w:rsid w:val="45913BAE"/>
    <w:rsid w:val="45A121F1"/>
    <w:rsid w:val="45C66607"/>
    <w:rsid w:val="45D55F98"/>
    <w:rsid w:val="46295027"/>
    <w:rsid w:val="464E18AF"/>
    <w:rsid w:val="4650656B"/>
    <w:rsid w:val="465E3302"/>
    <w:rsid w:val="4664577F"/>
    <w:rsid w:val="4672735B"/>
    <w:rsid w:val="46816C10"/>
    <w:rsid w:val="47051512"/>
    <w:rsid w:val="471D091C"/>
    <w:rsid w:val="473F01F0"/>
    <w:rsid w:val="47567722"/>
    <w:rsid w:val="47595427"/>
    <w:rsid w:val="478E1953"/>
    <w:rsid w:val="47D01EDF"/>
    <w:rsid w:val="47DD782E"/>
    <w:rsid w:val="47FF54E0"/>
    <w:rsid w:val="481822D3"/>
    <w:rsid w:val="485A4C3C"/>
    <w:rsid w:val="487A531F"/>
    <w:rsid w:val="48AB2F86"/>
    <w:rsid w:val="48BA1ECA"/>
    <w:rsid w:val="48BF3D66"/>
    <w:rsid w:val="49255691"/>
    <w:rsid w:val="498C34BA"/>
    <w:rsid w:val="499E6ADA"/>
    <w:rsid w:val="49B8117F"/>
    <w:rsid w:val="49B93C25"/>
    <w:rsid w:val="49E13F6E"/>
    <w:rsid w:val="49E52C6C"/>
    <w:rsid w:val="4A6A2B0D"/>
    <w:rsid w:val="4A835FE1"/>
    <w:rsid w:val="4AB26F61"/>
    <w:rsid w:val="4ABD162D"/>
    <w:rsid w:val="4AC07465"/>
    <w:rsid w:val="4ACE2F74"/>
    <w:rsid w:val="4ADE69B0"/>
    <w:rsid w:val="4AEA39F4"/>
    <w:rsid w:val="4AED1EB3"/>
    <w:rsid w:val="4AEE5B50"/>
    <w:rsid w:val="4B3F2B00"/>
    <w:rsid w:val="4B8B517E"/>
    <w:rsid w:val="4B9B51B7"/>
    <w:rsid w:val="4BB601AF"/>
    <w:rsid w:val="4BD03E62"/>
    <w:rsid w:val="4BF27A27"/>
    <w:rsid w:val="4C0C69D1"/>
    <w:rsid w:val="4C4A4923"/>
    <w:rsid w:val="4C537700"/>
    <w:rsid w:val="4C8F3727"/>
    <w:rsid w:val="4CB06962"/>
    <w:rsid w:val="4CD01F92"/>
    <w:rsid w:val="4D2A5FFD"/>
    <w:rsid w:val="4D490586"/>
    <w:rsid w:val="4D5E2AFB"/>
    <w:rsid w:val="4D7A64BE"/>
    <w:rsid w:val="4D7E0E31"/>
    <w:rsid w:val="4D8347ED"/>
    <w:rsid w:val="4D9B435B"/>
    <w:rsid w:val="4E0C3F18"/>
    <w:rsid w:val="4E0E60E4"/>
    <w:rsid w:val="4E3A416A"/>
    <w:rsid w:val="4E6765F6"/>
    <w:rsid w:val="4E6D2CB8"/>
    <w:rsid w:val="4E717CF4"/>
    <w:rsid w:val="4E933E07"/>
    <w:rsid w:val="4ED97DE9"/>
    <w:rsid w:val="4F1A208D"/>
    <w:rsid w:val="4F320A25"/>
    <w:rsid w:val="4F3E0B37"/>
    <w:rsid w:val="4F404BC5"/>
    <w:rsid w:val="4F45079D"/>
    <w:rsid w:val="4F630B06"/>
    <w:rsid w:val="4F7C2E75"/>
    <w:rsid w:val="4F851663"/>
    <w:rsid w:val="501B5FCF"/>
    <w:rsid w:val="5027550C"/>
    <w:rsid w:val="5054095A"/>
    <w:rsid w:val="507704C5"/>
    <w:rsid w:val="507B081A"/>
    <w:rsid w:val="50A75D18"/>
    <w:rsid w:val="50BE271F"/>
    <w:rsid w:val="50CD3844"/>
    <w:rsid w:val="510B7D56"/>
    <w:rsid w:val="512A4843"/>
    <w:rsid w:val="51370321"/>
    <w:rsid w:val="513A40D0"/>
    <w:rsid w:val="514946EA"/>
    <w:rsid w:val="515A6B83"/>
    <w:rsid w:val="517A073C"/>
    <w:rsid w:val="517F6B8D"/>
    <w:rsid w:val="5192290C"/>
    <w:rsid w:val="519B2E9C"/>
    <w:rsid w:val="51A161BE"/>
    <w:rsid w:val="51D714C7"/>
    <w:rsid w:val="51E00412"/>
    <w:rsid w:val="51F21870"/>
    <w:rsid w:val="51F562DF"/>
    <w:rsid w:val="52121BB5"/>
    <w:rsid w:val="521D0102"/>
    <w:rsid w:val="52B513BE"/>
    <w:rsid w:val="52BB6C5F"/>
    <w:rsid w:val="52EC03EB"/>
    <w:rsid w:val="530B1DCC"/>
    <w:rsid w:val="530C225C"/>
    <w:rsid w:val="531E71EE"/>
    <w:rsid w:val="531F0928"/>
    <w:rsid w:val="532225DD"/>
    <w:rsid w:val="533E08F9"/>
    <w:rsid w:val="533E519B"/>
    <w:rsid w:val="5346672E"/>
    <w:rsid w:val="53496683"/>
    <w:rsid w:val="5357444A"/>
    <w:rsid w:val="535757FA"/>
    <w:rsid w:val="53677427"/>
    <w:rsid w:val="53820B12"/>
    <w:rsid w:val="53C548B8"/>
    <w:rsid w:val="53F96DF7"/>
    <w:rsid w:val="54267F9B"/>
    <w:rsid w:val="54782184"/>
    <w:rsid w:val="5509025D"/>
    <w:rsid w:val="55104E28"/>
    <w:rsid w:val="551556A5"/>
    <w:rsid w:val="55401D6C"/>
    <w:rsid w:val="554558D8"/>
    <w:rsid w:val="55564CF1"/>
    <w:rsid w:val="55754AD4"/>
    <w:rsid w:val="557708B5"/>
    <w:rsid w:val="558B778B"/>
    <w:rsid w:val="55B43AB0"/>
    <w:rsid w:val="55C43625"/>
    <w:rsid w:val="55DB77D0"/>
    <w:rsid w:val="55ED318A"/>
    <w:rsid w:val="55FA625C"/>
    <w:rsid w:val="563E54BC"/>
    <w:rsid w:val="565B7F3A"/>
    <w:rsid w:val="56CD1491"/>
    <w:rsid w:val="56FD77F1"/>
    <w:rsid w:val="56FE2C83"/>
    <w:rsid w:val="571E12FD"/>
    <w:rsid w:val="571F24A8"/>
    <w:rsid w:val="573E3DB0"/>
    <w:rsid w:val="578A642E"/>
    <w:rsid w:val="578C1931"/>
    <w:rsid w:val="57A7215B"/>
    <w:rsid w:val="57DF519E"/>
    <w:rsid w:val="583152CE"/>
    <w:rsid w:val="58425BDC"/>
    <w:rsid w:val="58803394"/>
    <w:rsid w:val="588562C6"/>
    <w:rsid w:val="588F6E1D"/>
    <w:rsid w:val="58D6513A"/>
    <w:rsid w:val="58DD4440"/>
    <w:rsid w:val="59522196"/>
    <w:rsid w:val="597102E2"/>
    <w:rsid w:val="59957101"/>
    <w:rsid w:val="59A92BA5"/>
    <w:rsid w:val="59AA2204"/>
    <w:rsid w:val="59D143DE"/>
    <w:rsid w:val="59EC260F"/>
    <w:rsid w:val="5A006E37"/>
    <w:rsid w:val="5A6826C8"/>
    <w:rsid w:val="5A6C3F68"/>
    <w:rsid w:val="5A8B6F17"/>
    <w:rsid w:val="5A8E7DBD"/>
    <w:rsid w:val="5AB346C0"/>
    <w:rsid w:val="5AB741B0"/>
    <w:rsid w:val="5ABF32C5"/>
    <w:rsid w:val="5ACC27AE"/>
    <w:rsid w:val="5AEE3DBE"/>
    <w:rsid w:val="5B026636"/>
    <w:rsid w:val="5B027DDB"/>
    <w:rsid w:val="5B0F6FF4"/>
    <w:rsid w:val="5B1556C4"/>
    <w:rsid w:val="5B343F5B"/>
    <w:rsid w:val="5B3D4D88"/>
    <w:rsid w:val="5B715A14"/>
    <w:rsid w:val="5B7F2E79"/>
    <w:rsid w:val="5B8945B3"/>
    <w:rsid w:val="5B9C20DB"/>
    <w:rsid w:val="5BAA161F"/>
    <w:rsid w:val="5BB6738A"/>
    <w:rsid w:val="5BC83D3F"/>
    <w:rsid w:val="5BD347B4"/>
    <w:rsid w:val="5BD42235"/>
    <w:rsid w:val="5BDD2B45"/>
    <w:rsid w:val="5BE701AC"/>
    <w:rsid w:val="5BFA51BE"/>
    <w:rsid w:val="5BFA53B5"/>
    <w:rsid w:val="5C3B728F"/>
    <w:rsid w:val="5C427B1B"/>
    <w:rsid w:val="5C493E38"/>
    <w:rsid w:val="5C497C75"/>
    <w:rsid w:val="5CA05B26"/>
    <w:rsid w:val="5CD765E0"/>
    <w:rsid w:val="5CDD1E23"/>
    <w:rsid w:val="5D385380"/>
    <w:rsid w:val="5D4F4CD0"/>
    <w:rsid w:val="5D6F7A58"/>
    <w:rsid w:val="5D715229"/>
    <w:rsid w:val="5D82627E"/>
    <w:rsid w:val="5D8E150E"/>
    <w:rsid w:val="5DA80EB7"/>
    <w:rsid w:val="5DD067F8"/>
    <w:rsid w:val="5DF94EA0"/>
    <w:rsid w:val="5E12784F"/>
    <w:rsid w:val="5E26061F"/>
    <w:rsid w:val="5E607CDE"/>
    <w:rsid w:val="5ED46B86"/>
    <w:rsid w:val="5ED50624"/>
    <w:rsid w:val="5ED8702A"/>
    <w:rsid w:val="5EDA45BA"/>
    <w:rsid w:val="5F1526D8"/>
    <w:rsid w:val="5F164911"/>
    <w:rsid w:val="5F3560BF"/>
    <w:rsid w:val="5F9E34FB"/>
    <w:rsid w:val="5FC826BE"/>
    <w:rsid w:val="5FD50E80"/>
    <w:rsid w:val="5FD54106"/>
    <w:rsid w:val="60467201"/>
    <w:rsid w:val="60496C09"/>
    <w:rsid w:val="607F5921"/>
    <w:rsid w:val="611B369C"/>
    <w:rsid w:val="614A6BE5"/>
    <w:rsid w:val="61662701"/>
    <w:rsid w:val="61855A0A"/>
    <w:rsid w:val="619C785C"/>
    <w:rsid w:val="61A66D2D"/>
    <w:rsid w:val="62037FB9"/>
    <w:rsid w:val="62146209"/>
    <w:rsid w:val="623F1E5F"/>
    <w:rsid w:val="627B71A0"/>
    <w:rsid w:val="62C82CA9"/>
    <w:rsid w:val="63130619"/>
    <w:rsid w:val="63483071"/>
    <w:rsid w:val="63800859"/>
    <w:rsid w:val="63936B74"/>
    <w:rsid w:val="64045ED9"/>
    <w:rsid w:val="6405401B"/>
    <w:rsid w:val="643979E4"/>
    <w:rsid w:val="643C25D6"/>
    <w:rsid w:val="64423289"/>
    <w:rsid w:val="645B1696"/>
    <w:rsid w:val="645F60EA"/>
    <w:rsid w:val="647319F7"/>
    <w:rsid w:val="64750AFA"/>
    <w:rsid w:val="64901066"/>
    <w:rsid w:val="64B1636B"/>
    <w:rsid w:val="64DE0355"/>
    <w:rsid w:val="6501056A"/>
    <w:rsid w:val="651D75FB"/>
    <w:rsid w:val="65367019"/>
    <w:rsid w:val="654B2B4E"/>
    <w:rsid w:val="659A6D3E"/>
    <w:rsid w:val="65D920A6"/>
    <w:rsid w:val="6619093D"/>
    <w:rsid w:val="661F6E0C"/>
    <w:rsid w:val="6623094C"/>
    <w:rsid w:val="663667DB"/>
    <w:rsid w:val="664107D0"/>
    <w:rsid w:val="667A6BE2"/>
    <w:rsid w:val="667B19B6"/>
    <w:rsid w:val="667C162B"/>
    <w:rsid w:val="66990B2F"/>
    <w:rsid w:val="66B229A3"/>
    <w:rsid w:val="66B96DA9"/>
    <w:rsid w:val="66CC7AB7"/>
    <w:rsid w:val="66EC34BE"/>
    <w:rsid w:val="670853FD"/>
    <w:rsid w:val="670E46A1"/>
    <w:rsid w:val="67456D79"/>
    <w:rsid w:val="67602EBD"/>
    <w:rsid w:val="67666032"/>
    <w:rsid w:val="676C7B91"/>
    <w:rsid w:val="67706CC4"/>
    <w:rsid w:val="67742D74"/>
    <w:rsid w:val="677A5055"/>
    <w:rsid w:val="678655E4"/>
    <w:rsid w:val="67BC5ABE"/>
    <w:rsid w:val="683F2814"/>
    <w:rsid w:val="68402ED8"/>
    <w:rsid w:val="68511835"/>
    <w:rsid w:val="68542D19"/>
    <w:rsid w:val="686D58E2"/>
    <w:rsid w:val="687E024B"/>
    <w:rsid w:val="688A7410"/>
    <w:rsid w:val="68BE5982"/>
    <w:rsid w:val="690B5432"/>
    <w:rsid w:val="6923630A"/>
    <w:rsid w:val="692E7F1E"/>
    <w:rsid w:val="6954574C"/>
    <w:rsid w:val="6974674E"/>
    <w:rsid w:val="698F343B"/>
    <w:rsid w:val="699636A9"/>
    <w:rsid w:val="69AC6C0B"/>
    <w:rsid w:val="69BB70A1"/>
    <w:rsid w:val="6A015CF8"/>
    <w:rsid w:val="6A3D00DC"/>
    <w:rsid w:val="6A491970"/>
    <w:rsid w:val="6A5C2B8F"/>
    <w:rsid w:val="6A9A0475"/>
    <w:rsid w:val="6ADE0D7A"/>
    <w:rsid w:val="6AEA5C76"/>
    <w:rsid w:val="6B601CFA"/>
    <w:rsid w:val="6B8861F6"/>
    <w:rsid w:val="6BB256BF"/>
    <w:rsid w:val="6BC31BD8"/>
    <w:rsid w:val="6BE43C52"/>
    <w:rsid w:val="6BF74B2E"/>
    <w:rsid w:val="6BFF17D6"/>
    <w:rsid w:val="6C272092"/>
    <w:rsid w:val="6C2B07E3"/>
    <w:rsid w:val="6C3A689C"/>
    <w:rsid w:val="6C6241DE"/>
    <w:rsid w:val="6C8F7D1B"/>
    <w:rsid w:val="6CAD2E04"/>
    <w:rsid w:val="6CBD35F3"/>
    <w:rsid w:val="6CFA206B"/>
    <w:rsid w:val="6D302924"/>
    <w:rsid w:val="6D341F2A"/>
    <w:rsid w:val="6D400349"/>
    <w:rsid w:val="6D447ADB"/>
    <w:rsid w:val="6D474FD5"/>
    <w:rsid w:val="6D727209"/>
    <w:rsid w:val="6D756624"/>
    <w:rsid w:val="6DAA1F76"/>
    <w:rsid w:val="6E077F01"/>
    <w:rsid w:val="6E1267D6"/>
    <w:rsid w:val="6E1D51B1"/>
    <w:rsid w:val="6E20323A"/>
    <w:rsid w:val="6E26748E"/>
    <w:rsid w:val="6E283E5B"/>
    <w:rsid w:val="6E4E2A84"/>
    <w:rsid w:val="6E500DC6"/>
    <w:rsid w:val="6E8C2E06"/>
    <w:rsid w:val="6EA64798"/>
    <w:rsid w:val="6EB66959"/>
    <w:rsid w:val="6EDC35ED"/>
    <w:rsid w:val="6EFC1923"/>
    <w:rsid w:val="6EFC51A7"/>
    <w:rsid w:val="6F6E1A65"/>
    <w:rsid w:val="6F974E54"/>
    <w:rsid w:val="6FEE0256"/>
    <w:rsid w:val="700C1760"/>
    <w:rsid w:val="703716AB"/>
    <w:rsid w:val="70406A16"/>
    <w:rsid w:val="70593DDE"/>
    <w:rsid w:val="706A37E2"/>
    <w:rsid w:val="70A0333E"/>
    <w:rsid w:val="70A367DC"/>
    <w:rsid w:val="70B97668"/>
    <w:rsid w:val="70C65EC1"/>
    <w:rsid w:val="70DA0EB4"/>
    <w:rsid w:val="710E27E5"/>
    <w:rsid w:val="712A71FF"/>
    <w:rsid w:val="713F1EA3"/>
    <w:rsid w:val="714A2FA6"/>
    <w:rsid w:val="715304D9"/>
    <w:rsid w:val="71662FC2"/>
    <w:rsid w:val="71920663"/>
    <w:rsid w:val="719A09DE"/>
    <w:rsid w:val="719E6674"/>
    <w:rsid w:val="724C7A91"/>
    <w:rsid w:val="72510C2D"/>
    <w:rsid w:val="726F7A40"/>
    <w:rsid w:val="727A2B5F"/>
    <w:rsid w:val="728241F2"/>
    <w:rsid w:val="728D3B4B"/>
    <w:rsid w:val="729B5D0E"/>
    <w:rsid w:val="72C267D6"/>
    <w:rsid w:val="72D95730"/>
    <w:rsid w:val="72F3399E"/>
    <w:rsid w:val="731358A4"/>
    <w:rsid w:val="73166260"/>
    <w:rsid w:val="733A09A1"/>
    <w:rsid w:val="7359610E"/>
    <w:rsid w:val="735A34D3"/>
    <w:rsid w:val="7396227D"/>
    <w:rsid w:val="73B1065D"/>
    <w:rsid w:val="73C64D7F"/>
    <w:rsid w:val="73C85151"/>
    <w:rsid w:val="73C93A07"/>
    <w:rsid w:val="740D74D1"/>
    <w:rsid w:val="743B72F2"/>
    <w:rsid w:val="74463A57"/>
    <w:rsid w:val="747131CA"/>
    <w:rsid w:val="74887320"/>
    <w:rsid w:val="74944C62"/>
    <w:rsid w:val="74952880"/>
    <w:rsid w:val="74964153"/>
    <w:rsid w:val="74A024E4"/>
    <w:rsid w:val="74A677B5"/>
    <w:rsid w:val="74A9289C"/>
    <w:rsid w:val="74AF784E"/>
    <w:rsid w:val="74C0081A"/>
    <w:rsid w:val="74CF3C20"/>
    <w:rsid w:val="74E81B55"/>
    <w:rsid w:val="74EE0377"/>
    <w:rsid w:val="75011284"/>
    <w:rsid w:val="752175BA"/>
    <w:rsid w:val="75243D99"/>
    <w:rsid w:val="754200FE"/>
    <w:rsid w:val="756D74E4"/>
    <w:rsid w:val="75C42647"/>
    <w:rsid w:val="75D00657"/>
    <w:rsid w:val="75D100C4"/>
    <w:rsid w:val="76032986"/>
    <w:rsid w:val="765C3ABF"/>
    <w:rsid w:val="7663757C"/>
    <w:rsid w:val="766E14B9"/>
    <w:rsid w:val="767720EA"/>
    <w:rsid w:val="76776496"/>
    <w:rsid w:val="76853969"/>
    <w:rsid w:val="76B94407"/>
    <w:rsid w:val="76D43EF9"/>
    <w:rsid w:val="76FB7CCC"/>
    <w:rsid w:val="77130569"/>
    <w:rsid w:val="7719211F"/>
    <w:rsid w:val="772B760F"/>
    <w:rsid w:val="772D6395"/>
    <w:rsid w:val="774A0BC1"/>
    <w:rsid w:val="77543BCA"/>
    <w:rsid w:val="777C6D05"/>
    <w:rsid w:val="778238A1"/>
    <w:rsid w:val="778D1C32"/>
    <w:rsid w:val="77BB0A7E"/>
    <w:rsid w:val="77E839E1"/>
    <w:rsid w:val="77F90B6D"/>
    <w:rsid w:val="77FB2266"/>
    <w:rsid w:val="78055809"/>
    <w:rsid w:val="78173D95"/>
    <w:rsid w:val="78304CBF"/>
    <w:rsid w:val="78342545"/>
    <w:rsid w:val="78711EA5"/>
    <w:rsid w:val="78985D43"/>
    <w:rsid w:val="78BC3D56"/>
    <w:rsid w:val="78D829EE"/>
    <w:rsid w:val="78F227FE"/>
    <w:rsid w:val="78FC3F32"/>
    <w:rsid w:val="795B7FA5"/>
    <w:rsid w:val="798D302F"/>
    <w:rsid w:val="79BD3F25"/>
    <w:rsid w:val="79E32474"/>
    <w:rsid w:val="7A7D0E5C"/>
    <w:rsid w:val="7A855F1F"/>
    <w:rsid w:val="7A905722"/>
    <w:rsid w:val="7AA51E44"/>
    <w:rsid w:val="7AD0650C"/>
    <w:rsid w:val="7AD16771"/>
    <w:rsid w:val="7B202013"/>
    <w:rsid w:val="7B20617F"/>
    <w:rsid w:val="7B5D15F3"/>
    <w:rsid w:val="7BBB1C1E"/>
    <w:rsid w:val="7BC36BAD"/>
    <w:rsid w:val="7BFC04F7"/>
    <w:rsid w:val="7BFC0976"/>
    <w:rsid w:val="7C5B3A94"/>
    <w:rsid w:val="7C6552DE"/>
    <w:rsid w:val="7C8313D5"/>
    <w:rsid w:val="7C8B38B7"/>
    <w:rsid w:val="7C8E7766"/>
    <w:rsid w:val="7C985AF7"/>
    <w:rsid w:val="7CDC328D"/>
    <w:rsid w:val="7CEF6506"/>
    <w:rsid w:val="7CFA011A"/>
    <w:rsid w:val="7D28013E"/>
    <w:rsid w:val="7D4071CA"/>
    <w:rsid w:val="7D7C1806"/>
    <w:rsid w:val="7D9E6DEE"/>
    <w:rsid w:val="7DC93C6B"/>
    <w:rsid w:val="7DD532C9"/>
    <w:rsid w:val="7DF34AAF"/>
    <w:rsid w:val="7E0A3E44"/>
    <w:rsid w:val="7E286E4E"/>
    <w:rsid w:val="7E2B372E"/>
    <w:rsid w:val="7E4A0D41"/>
    <w:rsid w:val="7E5252B7"/>
    <w:rsid w:val="7E587DBC"/>
    <w:rsid w:val="7E620CB9"/>
    <w:rsid w:val="7E730C5F"/>
    <w:rsid w:val="7E95476D"/>
    <w:rsid w:val="7EA038CE"/>
    <w:rsid w:val="7EB53732"/>
    <w:rsid w:val="7ECD2214"/>
    <w:rsid w:val="7F242240"/>
    <w:rsid w:val="7F2C6E61"/>
    <w:rsid w:val="7F5B0B7E"/>
    <w:rsid w:val="7F5D1C11"/>
    <w:rsid w:val="7F656F0F"/>
    <w:rsid w:val="7F74100D"/>
    <w:rsid w:val="7F772081"/>
    <w:rsid w:val="7F7E7F1B"/>
    <w:rsid w:val="7FA22BE1"/>
    <w:rsid w:val="7FB665F7"/>
    <w:rsid w:val="7FBA383D"/>
    <w:rsid w:val="7FC65CAF"/>
    <w:rsid w:val="7FEF3192"/>
    <w:rsid w:val="7FEF642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0"/>
    <w:qFormat/>
    <w:uiPriority w:val="99"/>
    <w:pPr>
      <w:keepNext/>
      <w:keepLines/>
      <w:spacing w:line="360" w:lineRule="auto"/>
      <w:outlineLvl w:val="0"/>
    </w:pPr>
    <w:rPr>
      <w:b/>
      <w:bCs/>
      <w:kern w:val="44"/>
      <w:sz w:val="32"/>
      <w:szCs w:val="32"/>
    </w:rPr>
  </w:style>
  <w:style w:type="paragraph" w:styleId="4">
    <w:name w:val="heading 2"/>
    <w:basedOn w:val="1"/>
    <w:next w:val="1"/>
    <w:link w:val="5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link w:val="52"/>
    <w:qFormat/>
    <w:uiPriority w:val="99"/>
    <w:pPr>
      <w:keepNext/>
      <w:keepLines/>
      <w:spacing w:line="360" w:lineRule="auto"/>
      <w:outlineLvl w:val="2"/>
    </w:pPr>
    <w:rPr>
      <w:b/>
      <w:bCs/>
      <w:sz w:val="24"/>
      <w:szCs w:val="24"/>
    </w:rPr>
  </w:style>
  <w:style w:type="paragraph" w:styleId="6">
    <w:name w:val="heading 4"/>
    <w:basedOn w:val="1"/>
    <w:next w:val="1"/>
    <w:link w:val="53"/>
    <w:qFormat/>
    <w:uiPriority w:val="99"/>
    <w:pPr>
      <w:keepNext/>
      <w:keepLines/>
      <w:spacing w:line="360" w:lineRule="auto"/>
      <w:outlineLvl w:val="3"/>
    </w:pPr>
    <w:rPr>
      <w:rFonts w:ascii="Arial" w:hAnsi="Arial" w:cs="Arial"/>
      <w:b/>
      <w:bCs/>
    </w:rPr>
  </w:style>
  <w:style w:type="paragraph" w:styleId="7">
    <w:name w:val="heading 5"/>
    <w:basedOn w:val="1"/>
    <w:next w:val="1"/>
    <w:link w:val="54"/>
    <w:qFormat/>
    <w:uiPriority w:val="99"/>
    <w:pPr>
      <w:keepNext/>
      <w:keepLines/>
      <w:spacing w:before="280" w:after="290" w:line="376" w:lineRule="auto"/>
      <w:outlineLvl w:val="4"/>
    </w:pPr>
    <w:rPr>
      <w:b/>
      <w:bCs/>
      <w:sz w:val="28"/>
      <w:szCs w:val="28"/>
    </w:rPr>
  </w:style>
  <w:style w:type="paragraph" w:styleId="8">
    <w:name w:val="heading 6"/>
    <w:basedOn w:val="1"/>
    <w:next w:val="1"/>
    <w:link w:val="55"/>
    <w:qFormat/>
    <w:uiPriority w:val="99"/>
    <w:pPr>
      <w:keepNext/>
      <w:keepLines/>
      <w:spacing w:before="240" w:after="64" w:line="320" w:lineRule="auto"/>
      <w:outlineLvl w:val="5"/>
    </w:pPr>
    <w:rPr>
      <w:rFonts w:ascii="Arial" w:hAnsi="Arial" w:eastAsia="黑体" w:cs="Arial"/>
      <w:b/>
      <w:bCs/>
      <w:sz w:val="24"/>
      <w:szCs w:val="24"/>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9">
    <w:name w:val="toc 7"/>
    <w:basedOn w:val="1"/>
    <w:next w:val="1"/>
    <w:semiHidden/>
    <w:qFormat/>
    <w:uiPriority w:val="99"/>
    <w:pPr>
      <w:ind w:left="1260"/>
      <w:jc w:val="left"/>
    </w:pPr>
    <w:rPr>
      <w:rFonts w:ascii="Calibri" w:hAnsi="Calibri" w:cs="Calibri"/>
      <w:sz w:val="18"/>
      <w:szCs w:val="18"/>
    </w:rPr>
  </w:style>
  <w:style w:type="paragraph" w:styleId="10">
    <w:name w:val="Document Map"/>
    <w:basedOn w:val="1"/>
    <w:link w:val="58"/>
    <w:semiHidden/>
    <w:qFormat/>
    <w:uiPriority w:val="99"/>
    <w:pPr>
      <w:shd w:val="clear" w:color="auto" w:fill="000080"/>
    </w:pPr>
  </w:style>
  <w:style w:type="paragraph" w:styleId="11">
    <w:name w:val="annotation text"/>
    <w:basedOn w:val="1"/>
    <w:link w:val="56"/>
    <w:semiHidden/>
    <w:qFormat/>
    <w:uiPriority w:val="99"/>
    <w:pPr>
      <w:jc w:val="left"/>
    </w:pPr>
  </w:style>
  <w:style w:type="paragraph" w:styleId="12">
    <w:name w:val="Body Text 3"/>
    <w:basedOn w:val="1"/>
    <w:link w:val="59"/>
    <w:qFormat/>
    <w:uiPriority w:val="99"/>
    <w:rPr>
      <w:rFonts w:ascii="宋体" w:cs="宋体"/>
      <w:sz w:val="24"/>
      <w:szCs w:val="24"/>
    </w:rPr>
  </w:style>
  <w:style w:type="paragraph" w:styleId="13">
    <w:name w:val="Body Text"/>
    <w:basedOn w:val="1"/>
    <w:next w:val="1"/>
    <w:link w:val="60"/>
    <w:qFormat/>
    <w:uiPriority w:val="99"/>
    <w:pPr>
      <w:jc w:val="center"/>
    </w:pPr>
  </w:style>
  <w:style w:type="paragraph" w:styleId="14">
    <w:name w:val="Body Text Indent"/>
    <w:basedOn w:val="1"/>
    <w:link w:val="61"/>
    <w:qFormat/>
    <w:uiPriority w:val="99"/>
    <w:pPr>
      <w:spacing w:line="360" w:lineRule="auto"/>
      <w:ind w:left="424" w:leftChars="202" w:firstLine="567"/>
    </w:pPr>
    <w:rPr>
      <w:sz w:val="24"/>
      <w:szCs w:val="24"/>
    </w:rPr>
  </w:style>
  <w:style w:type="paragraph" w:styleId="15">
    <w:name w:val="toc 5"/>
    <w:basedOn w:val="1"/>
    <w:next w:val="1"/>
    <w:semiHidden/>
    <w:qFormat/>
    <w:uiPriority w:val="99"/>
    <w:pPr>
      <w:ind w:left="840"/>
      <w:jc w:val="left"/>
    </w:pPr>
    <w:rPr>
      <w:rFonts w:ascii="Calibri" w:hAnsi="Calibri" w:cs="Calibri"/>
      <w:sz w:val="18"/>
      <w:szCs w:val="18"/>
    </w:rPr>
  </w:style>
  <w:style w:type="paragraph" w:styleId="16">
    <w:name w:val="toc 3"/>
    <w:basedOn w:val="1"/>
    <w:next w:val="1"/>
    <w:semiHidden/>
    <w:qFormat/>
    <w:uiPriority w:val="99"/>
    <w:pPr>
      <w:ind w:left="420"/>
      <w:jc w:val="left"/>
    </w:pPr>
    <w:rPr>
      <w:rFonts w:ascii="Calibri" w:hAnsi="Calibri" w:cs="Calibri"/>
      <w:i/>
      <w:iCs/>
      <w:sz w:val="20"/>
      <w:szCs w:val="20"/>
    </w:rPr>
  </w:style>
  <w:style w:type="paragraph" w:styleId="17">
    <w:name w:val="Plain Text"/>
    <w:basedOn w:val="1"/>
    <w:link w:val="62"/>
    <w:qFormat/>
    <w:uiPriority w:val="99"/>
    <w:rPr>
      <w:rFonts w:ascii="宋体" w:hAnsi="Courier New" w:cs="宋体"/>
    </w:rPr>
  </w:style>
  <w:style w:type="paragraph" w:styleId="18">
    <w:name w:val="toc 8"/>
    <w:basedOn w:val="1"/>
    <w:next w:val="1"/>
    <w:semiHidden/>
    <w:qFormat/>
    <w:uiPriority w:val="99"/>
    <w:pPr>
      <w:ind w:left="1470"/>
      <w:jc w:val="left"/>
    </w:pPr>
    <w:rPr>
      <w:rFonts w:ascii="Calibri" w:hAnsi="Calibri" w:cs="Calibri"/>
      <w:sz w:val="18"/>
      <w:szCs w:val="18"/>
    </w:rPr>
  </w:style>
  <w:style w:type="paragraph" w:styleId="19">
    <w:name w:val="Date"/>
    <w:basedOn w:val="1"/>
    <w:next w:val="1"/>
    <w:link w:val="63"/>
    <w:qFormat/>
    <w:uiPriority w:val="99"/>
    <w:pPr>
      <w:ind w:left="100" w:leftChars="2500"/>
    </w:pPr>
  </w:style>
  <w:style w:type="paragraph" w:styleId="20">
    <w:name w:val="Body Text Indent 2"/>
    <w:basedOn w:val="1"/>
    <w:link w:val="64"/>
    <w:qFormat/>
    <w:uiPriority w:val="99"/>
    <w:pPr>
      <w:spacing w:line="480" w:lineRule="exact"/>
      <w:ind w:left="-1"/>
    </w:pPr>
    <w:rPr>
      <w:sz w:val="24"/>
      <w:szCs w:val="24"/>
    </w:rPr>
  </w:style>
  <w:style w:type="paragraph" w:styleId="21">
    <w:name w:val="Balloon Text"/>
    <w:basedOn w:val="1"/>
    <w:link w:val="65"/>
    <w:semiHidden/>
    <w:qFormat/>
    <w:uiPriority w:val="99"/>
    <w:rPr>
      <w:sz w:val="18"/>
      <w:szCs w:val="18"/>
    </w:rPr>
  </w:style>
  <w:style w:type="paragraph" w:styleId="22">
    <w:name w:val="footer"/>
    <w:basedOn w:val="1"/>
    <w:link w:val="66"/>
    <w:qFormat/>
    <w:uiPriority w:val="99"/>
    <w:pPr>
      <w:tabs>
        <w:tab w:val="center" w:pos="4153"/>
        <w:tab w:val="right" w:pos="8306"/>
      </w:tabs>
      <w:snapToGrid w:val="0"/>
      <w:jc w:val="left"/>
    </w:pPr>
    <w:rPr>
      <w:sz w:val="18"/>
      <w:szCs w:val="18"/>
    </w:rPr>
  </w:style>
  <w:style w:type="paragraph" w:styleId="23">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spacing w:before="120" w:after="120"/>
      <w:jc w:val="left"/>
    </w:pPr>
    <w:rPr>
      <w:rFonts w:ascii="Calibri" w:hAnsi="Calibri" w:cs="Calibri"/>
      <w:b/>
      <w:bCs/>
      <w:caps/>
      <w:sz w:val="20"/>
      <w:szCs w:val="20"/>
    </w:rPr>
  </w:style>
  <w:style w:type="paragraph" w:styleId="25">
    <w:name w:val="toc 4"/>
    <w:basedOn w:val="1"/>
    <w:next w:val="1"/>
    <w:semiHidden/>
    <w:qFormat/>
    <w:uiPriority w:val="99"/>
    <w:pPr>
      <w:ind w:left="630"/>
      <w:jc w:val="left"/>
    </w:pPr>
    <w:rPr>
      <w:rFonts w:ascii="Calibri" w:hAnsi="Calibri" w:cs="Calibri"/>
      <w:sz w:val="18"/>
      <w:szCs w:val="18"/>
    </w:rPr>
  </w:style>
  <w:style w:type="paragraph" w:styleId="26">
    <w:name w:val="toc 6"/>
    <w:basedOn w:val="1"/>
    <w:next w:val="1"/>
    <w:semiHidden/>
    <w:qFormat/>
    <w:uiPriority w:val="99"/>
    <w:pPr>
      <w:ind w:left="1050"/>
      <w:jc w:val="left"/>
    </w:pPr>
    <w:rPr>
      <w:rFonts w:ascii="Calibri" w:hAnsi="Calibri" w:cs="Calibri"/>
      <w:sz w:val="18"/>
      <w:szCs w:val="18"/>
    </w:rPr>
  </w:style>
  <w:style w:type="paragraph" w:styleId="27">
    <w:name w:val="Body Text Indent 3"/>
    <w:basedOn w:val="1"/>
    <w:link w:val="68"/>
    <w:qFormat/>
    <w:uiPriority w:val="99"/>
    <w:pPr>
      <w:spacing w:line="360" w:lineRule="auto"/>
      <w:ind w:left="420" w:firstLine="480"/>
    </w:pPr>
    <w:rPr>
      <w:rFonts w:ascii="宋体" w:hAnsi="宋体" w:cs="宋体"/>
      <w:sz w:val="24"/>
      <w:szCs w:val="24"/>
    </w:rPr>
  </w:style>
  <w:style w:type="paragraph" w:styleId="28">
    <w:name w:val="toc 2"/>
    <w:basedOn w:val="1"/>
    <w:next w:val="1"/>
    <w:semiHidden/>
    <w:qFormat/>
    <w:uiPriority w:val="99"/>
    <w:pPr>
      <w:ind w:left="210"/>
      <w:jc w:val="left"/>
    </w:pPr>
    <w:rPr>
      <w:rFonts w:ascii="Calibri" w:hAnsi="Calibri" w:cs="Calibri"/>
      <w:smallCaps/>
      <w:sz w:val="20"/>
      <w:szCs w:val="20"/>
    </w:rPr>
  </w:style>
  <w:style w:type="paragraph" w:styleId="29">
    <w:name w:val="toc 9"/>
    <w:basedOn w:val="1"/>
    <w:next w:val="1"/>
    <w:semiHidden/>
    <w:qFormat/>
    <w:uiPriority w:val="99"/>
    <w:pPr>
      <w:ind w:left="1680"/>
      <w:jc w:val="left"/>
    </w:pPr>
    <w:rPr>
      <w:rFonts w:ascii="Calibri" w:hAnsi="Calibri" w:cs="Calibri"/>
      <w:sz w:val="18"/>
      <w:szCs w:val="18"/>
    </w:rPr>
  </w:style>
  <w:style w:type="paragraph" w:styleId="30">
    <w:name w:val="Body Text 2"/>
    <w:basedOn w:val="1"/>
    <w:link w:val="69"/>
    <w:qFormat/>
    <w:uiPriority w:val="99"/>
    <w:pPr>
      <w:adjustRightInd w:val="0"/>
      <w:snapToGrid w:val="0"/>
      <w:spacing w:before="60" w:after="60" w:line="300" w:lineRule="auto"/>
    </w:pPr>
    <w:rPr>
      <w:rFonts w:ascii="宋体" w:cs="宋体"/>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2">
    <w:name w:val="annotation subject"/>
    <w:basedOn w:val="11"/>
    <w:next w:val="11"/>
    <w:link w:val="57"/>
    <w:semiHidden/>
    <w:qFormat/>
    <w:uiPriority w:val="99"/>
    <w:rPr>
      <w:b/>
      <w:bCs/>
    </w:rPr>
  </w:style>
  <w:style w:type="paragraph" w:styleId="33">
    <w:name w:val="Body Text First Indent"/>
    <w:basedOn w:val="13"/>
    <w:qFormat/>
    <w:locked/>
    <w:uiPriority w:val="99"/>
    <w:pPr>
      <w:ind w:firstLine="420" w:firstLineChars="100"/>
    </w:pPr>
    <w:rPr>
      <w:rFonts w:ascii="宋体"/>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b/>
      <w:bCs/>
    </w:rPr>
  </w:style>
  <w:style w:type="character" w:styleId="38">
    <w:name w:val="page number"/>
    <w:basedOn w:val="36"/>
    <w:qFormat/>
    <w:uiPriority w:val="99"/>
  </w:style>
  <w:style w:type="character" w:styleId="39">
    <w:name w:val="FollowedHyperlink"/>
    <w:basedOn w:val="36"/>
    <w:qFormat/>
    <w:uiPriority w:val="99"/>
    <w:rPr>
      <w:color w:val="auto"/>
      <w:u w:val="none"/>
    </w:rPr>
  </w:style>
  <w:style w:type="character" w:styleId="40">
    <w:name w:val="Emphasis"/>
    <w:basedOn w:val="36"/>
    <w:qFormat/>
    <w:uiPriority w:val="99"/>
    <w:rPr>
      <w:i/>
      <w:iCs/>
    </w:rPr>
  </w:style>
  <w:style w:type="character" w:styleId="41">
    <w:name w:val="HTML Definition"/>
    <w:basedOn w:val="36"/>
    <w:qFormat/>
    <w:uiPriority w:val="99"/>
  </w:style>
  <w:style w:type="character" w:styleId="42">
    <w:name w:val="HTML Acronym"/>
    <w:basedOn w:val="36"/>
    <w:qFormat/>
    <w:uiPriority w:val="99"/>
  </w:style>
  <w:style w:type="character" w:styleId="43">
    <w:name w:val="HTML Variable"/>
    <w:basedOn w:val="36"/>
    <w:qFormat/>
    <w:uiPriority w:val="99"/>
  </w:style>
  <w:style w:type="character" w:styleId="44">
    <w:name w:val="Hyperlink"/>
    <w:basedOn w:val="36"/>
    <w:qFormat/>
    <w:uiPriority w:val="99"/>
    <w:rPr>
      <w:color w:val="auto"/>
      <w:u w:val="none"/>
    </w:rPr>
  </w:style>
  <w:style w:type="character" w:styleId="45">
    <w:name w:val="HTML Code"/>
    <w:basedOn w:val="36"/>
    <w:qFormat/>
    <w:uiPriority w:val="99"/>
    <w:rPr>
      <w:rFonts w:ascii="monospace" w:hAnsi="monospace" w:cs="monospace"/>
      <w:sz w:val="24"/>
      <w:szCs w:val="24"/>
    </w:rPr>
  </w:style>
  <w:style w:type="character" w:styleId="46">
    <w:name w:val="annotation reference"/>
    <w:basedOn w:val="36"/>
    <w:semiHidden/>
    <w:qFormat/>
    <w:uiPriority w:val="99"/>
    <w:rPr>
      <w:sz w:val="21"/>
      <w:szCs w:val="21"/>
    </w:rPr>
  </w:style>
  <w:style w:type="character" w:styleId="47">
    <w:name w:val="HTML Cite"/>
    <w:basedOn w:val="36"/>
    <w:qFormat/>
    <w:uiPriority w:val="99"/>
  </w:style>
  <w:style w:type="character" w:styleId="48">
    <w:name w:val="HTML Keyboard"/>
    <w:basedOn w:val="36"/>
    <w:qFormat/>
    <w:uiPriority w:val="99"/>
    <w:rPr>
      <w:rFonts w:ascii="monospace" w:hAnsi="monospace" w:cs="monospace"/>
      <w:sz w:val="24"/>
      <w:szCs w:val="24"/>
    </w:rPr>
  </w:style>
  <w:style w:type="character" w:styleId="49">
    <w:name w:val="HTML Sample"/>
    <w:basedOn w:val="36"/>
    <w:qFormat/>
    <w:uiPriority w:val="99"/>
    <w:rPr>
      <w:rFonts w:ascii="monospace" w:hAnsi="monospace" w:cs="monospace"/>
      <w:sz w:val="24"/>
      <w:szCs w:val="24"/>
    </w:rPr>
  </w:style>
  <w:style w:type="character" w:customStyle="1" w:styleId="50">
    <w:name w:val="标题 1 Char"/>
    <w:basedOn w:val="36"/>
    <w:link w:val="3"/>
    <w:qFormat/>
    <w:locked/>
    <w:uiPriority w:val="99"/>
    <w:rPr>
      <w:b/>
      <w:bCs/>
      <w:kern w:val="44"/>
      <w:sz w:val="44"/>
      <w:szCs w:val="44"/>
    </w:rPr>
  </w:style>
  <w:style w:type="character" w:customStyle="1" w:styleId="51">
    <w:name w:val="标题 2 Char"/>
    <w:basedOn w:val="36"/>
    <w:link w:val="4"/>
    <w:qFormat/>
    <w:locked/>
    <w:uiPriority w:val="99"/>
    <w:rPr>
      <w:rFonts w:ascii="Cambria" w:hAnsi="Cambria" w:cs="Cambria"/>
      <w:b/>
      <w:bCs/>
      <w:kern w:val="2"/>
      <w:sz w:val="32"/>
      <w:szCs w:val="32"/>
    </w:rPr>
  </w:style>
  <w:style w:type="character" w:customStyle="1" w:styleId="52">
    <w:name w:val="标题 3 Char"/>
    <w:basedOn w:val="36"/>
    <w:link w:val="5"/>
    <w:qFormat/>
    <w:locked/>
    <w:uiPriority w:val="99"/>
    <w:rPr>
      <w:b/>
      <w:bCs/>
      <w:kern w:val="2"/>
      <w:sz w:val="32"/>
      <w:szCs w:val="32"/>
    </w:rPr>
  </w:style>
  <w:style w:type="character" w:customStyle="1" w:styleId="53">
    <w:name w:val="标题 4 Char"/>
    <w:basedOn w:val="36"/>
    <w:link w:val="6"/>
    <w:semiHidden/>
    <w:qFormat/>
    <w:locked/>
    <w:uiPriority w:val="99"/>
    <w:rPr>
      <w:rFonts w:ascii="Cambria" w:hAnsi="Cambria" w:eastAsia="宋体" w:cs="Cambria"/>
      <w:b/>
      <w:bCs/>
      <w:sz w:val="28"/>
      <w:szCs w:val="28"/>
    </w:rPr>
  </w:style>
  <w:style w:type="character" w:customStyle="1" w:styleId="54">
    <w:name w:val="标题 5 Char"/>
    <w:basedOn w:val="36"/>
    <w:link w:val="7"/>
    <w:qFormat/>
    <w:locked/>
    <w:uiPriority w:val="99"/>
    <w:rPr>
      <w:b/>
      <w:bCs/>
      <w:kern w:val="2"/>
      <w:sz w:val="28"/>
      <w:szCs w:val="28"/>
    </w:rPr>
  </w:style>
  <w:style w:type="character" w:customStyle="1" w:styleId="55">
    <w:name w:val="标题 6 Char"/>
    <w:basedOn w:val="36"/>
    <w:link w:val="8"/>
    <w:semiHidden/>
    <w:qFormat/>
    <w:locked/>
    <w:uiPriority w:val="99"/>
    <w:rPr>
      <w:rFonts w:ascii="Cambria" w:hAnsi="Cambria" w:eastAsia="宋体" w:cs="Cambria"/>
      <w:b/>
      <w:bCs/>
      <w:sz w:val="24"/>
      <w:szCs w:val="24"/>
    </w:rPr>
  </w:style>
  <w:style w:type="character" w:customStyle="1" w:styleId="56">
    <w:name w:val="批注文字 Char"/>
    <w:basedOn w:val="36"/>
    <w:link w:val="11"/>
    <w:semiHidden/>
    <w:qFormat/>
    <w:locked/>
    <w:uiPriority w:val="99"/>
    <w:rPr>
      <w:sz w:val="21"/>
      <w:szCs w:val="21"/>
    </w:rPr>
  </w:style>
  <w:style w:type="character" w:customStyle="1" w:styleId="57">
    <w:name w:val="批注主题 Char"/>
    <w:basedOn w:val="56"/>
    <w:link w:val="32"/>
    <w:semiHidden/>
    <w:qFormat/>
    <w:locked/>
    <w:uiPriority w:val="99"/>
    <w:rPr>
      <w:b/>
      <w:bCs/>
    </w:rPr>
  </w:style>
  <w:style w:type="character" w:customStyle="1" w:styleId="58">
    <w:name w:val="文档结构图 Char"/>
    <w:basedOn w:val="36"/>
    <w:link w:val="10"/>
    <w:semiHidden/>
    <w:qFormat/>
    <w:locked/>
    <w:uiPriority w:val="99"/>
    <w:rPr>
      <w:sz w:val="2"/>
      <w:szCs w:val="2"/>
    </w:rPr>
  </w:style>
  <w:style w:type="character" w:customStyle="1" w:styleId="59">
    <w:name w:val="正文文本 3 Char"/>
    <w:basedOn w:val="36"/>
    <w:link w:val="12"/>
    <w:semiHidden/>
    <w:qFormat/>
    <w:locked/>
    <w:uiPriority w:val="99"/>
    <w:rPr>
      <w:sz w:val="16"/>
      <w:szCs w:val="16"/>
    </w:rPr>
  </w:style>
  <w:style w:type="character" w:customStyle="1" w:styleId="60">
    <w:name w:val="正文文本 Char"/>
    <w:basedOn w:val="36"/>
    <w:link w:val="13"/>
    <w:qFormat/>
    <w:locked/>
    <w:uiPriority w:val="99"/>
    <w:rPr>
      <w:rFonts w:eastAsia="宋体"/>
      <w:kern w:val="2"/>
      <w:sz w:val="21"/>
      <w:szCs w:val="21"/>
      <w:lang w:val="en-US" w:eastAsia="zh-CN"/>
    </w:rPr>
  </w:style>
  <w:style w:type="character" w:customStyle="1" w:styleId="61">
    <w:name w:val="正文文本缩进 Char"/>
    <w:basedOn w:val="36"/>
    <w:link w:val="14"/>
    <w:qFormat/>
    <w:locked/>
    <w:uiPriority w:val="99"/>
    <w:rPr>
      <w:snapToGrid w:val="0"/>
      <w:sz w:val="24"/>
      <w:szCs w:val="24"/>
    </w:rPr>
  </w:style>
  <w:style w:type="character" w:customStyle="1" w:styleId="62">
    <w:name w:val="纯文本 Char"/>
    <w:basedOn w:val="36"/>
    <w:link w:val="17"/>
    <w:qFormat/>
    <w:locked/>
    <w:uiPriority w:val="99"/>
    <w:rPr>
      <w:rFonts w:ascii="宋体" w:hAnsi="Courier New" w:eastAsia="宋体" w:cs="宋体"/>
      <w:kern w:val="2"/>
      <w:sz w:val="21"/>
      <w:szCs w:val="21"/>
      <w:lang w:val="en-US" w:eastAsia="zh-CN"/>
    </w:rPr>
  </w:style>
  <w:style w:type="character" w:customStyle="1" w:styleId="63">
    <w:name w:val="日期 Char"/>
    <w:basedOn w:val="36"/>
    <w:link w:val="19"/>
    <w:semiHidden/>
    <w:qFormat/>
    <w:locked/>
    <w:uiPriority w:val="99"/>
    <w:rPr>
      <w:sz w:val="21"/>
      <w:szCs w:val="21"/>
    </w:rPr>
  </w:style>
  <w:style w:type="character" w:customStyle="1" w:styleId="64">
    <w:name w:val="正文文本缩进 2 Char"/>
    <w:basedOn w:val="36"/>
    <w:link w:val="20"/>
    <w:qFormat/>
    <w:locked/>
    <w:uiPriority w:val="99"/>
    <w:rPr>
      <w:snapToGrid w:val="0"/>
      <w:sz w:val="24"/>
      <w:szCs w:val="24"/>
    </w:rPr>
  </w:style>
  <w:style w:type="character" w:customStyle="1" w:styleId="65">
    <w:name w:val="批注框文本 Char"/>
    <w:basedOn w:val="36"/>
    <w:link w:val="21"/>
    <w:qFormat/>
    <w:locked/>
    <w:uiPriority w:val="99"/>
    <w:rPr>
      <w:kern w:val="2"/>
      <w:sz w:val="18"/>
      <w:szCs w:val="18"/>
    </w:rPr>
  </w:style>
  <w:style w:type="character" w:customStyle="1" w:styleId="66">
    <w:name w:val="页脚 Char"/>
    <w:basedOn w:val="36"/>
    <w:link w:val="22"/>
    <w:qFormat/>
    <w:locked/>
    <w:uiPriority w:val="99"/>
    <w:rPr>
      <w:rFonts w:eastAsia="宋体"/>
      <w:kern w:val="2"/>
      <w:sz w:val="18"/>
      <w:szCs w:val="18"/>
      <w:lang w:val="en-US" w:eastAsia="zh-CN"/>
    </w:rPr>
  </w:style>
  <w:style w:type="character" w:customStyle="1" w:styleId="67">
    <w:name w:val="页眉 Char"/>
    <w:basedOn w:val="36"/>
    <w:link w:val="23"/>
    <w:semiHidden/>
    <w:qFormat/>
    <w:locked/>
    <w:uiPriority w:val="99"/>
    <w:rPr>
      <w:sz w:val="18"/>
      <w:szCs w:val="18"/>
    </w:rPr>
  </w:style>
  <w:style w:type="character" w:customStyle="1" w:styleId="68">
    <w:name w:val="正文文本缩进 3 Char"/>
    <w:basedOn w:val="36"/>
    <w:link w:val="27"/>
    <w:qFormat/>
    <w:locked/>
    <w:uiPriority w:val="99"/>
    <w:rPr>
      <w:rFonts w:ascii="宋体" w:eastAsia="宋体" w:cs="宋体"/>
      <w:snapToGrid w:val="0"/>
      <w:sz w:val="24"/>
      <w:szCs w:val="24"/>
    </w:rPr>
  </w:style>
  <w:style w:type="character" w:customStyle="1" w:styleId="69">
    <w:name w:val="正文文本 2 Char"/>
    <w:basedOn w:val="36"/>
    <w:link w:val="30"/>
    <w:qFormat/>
    <w:locked/>
    <w:uiPriority w:val="99"/>
    <w:rPr>
      <w:rFonts w:ascii="宋体" w:cs="宋体"/>
      <w:kern w:val="2"/>
      <w:sz w:val="24"/>
      <w:szCs w:val="24"/>
    </w:rPr>
  </w:style>
  <w:style w:type="character" w:customStyle="1" w:styleId="70">
    <w:name w:val="Char Char24"/>
    <w:qFormat/>
    <w:locked/>
    <w:uiPriority w:val="99"/>
    <w:rPr>
      <w:rFonts w:eastAsia="宋体"/>
      <w:b/>
      <w:bCs/>
      <w:kern w:val="2"/>
      <w:sz w:val="32"/>
      <w:szCs w:val="32"/>
      <w:lang w:val="en-US" w:eastAsia="zh-CN"/>
    </w:rPr>
  </w:style>
  <w:style w:type="character" w:customStyle="1" w:styleId="71">
    <w:name w:val="t_tag"/>
    <w:basedOn w:val="36"/>
    <w:qFormat/>
    <w:uiPriority w:val="99"/>
  </w:style>
  <w:style w:type="character" w:customStyle="1" w:styleId="72">
    <w:name w:val="Char Char3"/>
    <w:qFormat/>
    <w:uiPriority w:val="99"/>
    <w:rPr>
      <w:rFonts w:eastAsia="宋体"/>
      <w:kern w:val="2"/>
      <w:sz w:val="24"/>
      <w:szCs w:val="24"/>
      <w:lang w:val="en-US" w:eastAsia="zh-CN"/>
    </w:rPr>
  </w:style>
  <w:style w:type="paragraph" w:customStyle="1" w:styleId="73">
    <w:name w:val="Char Char Char Char"/>
    <w:basedOn w:val="1"/>
    <w:qFormat/>
    <w:uiPriority w:val="99"/>
    <w:rPr>
      <w:rFonts w:ascii="Tahoma" w:hAnsi="Tahoma" w:cs="Tahoma"/>
      <w:sz w:val="24"/>
      <w:szCs w:val="24"/>
    </w:rPr>
  </w:style>
  <w:style w:type="paragraph" w:customStyle="1" w:styleId="74">
    <w:name w:val="Char Char Char"/>
    <w:basedOn w:val="1"/>
    <w:qFormat/>
    <w:uiPriority w:val="99"/>
    <w:pPr>
      <w:spacing w:line="360" w:lineRule="auto"/>
    </w:pPr>
  </w:style>
  <w:style w:type="paragraph" w:customStyle="1" w:styleId="75">
    <w:name w:val="列出段落1"/>
    <w:basedOn w:val="1"/>
    <w:qFormat/>
    <w:uiPriority w:val="99"/>
    <w:pPr>
      <w:ind w:firstLine="420" w:firstLineChars="200"/>
    </w:pPr>
    <w:rPr>
      <w:rFonts w:ascii="Calibri" w:hAnsi="Calibri" w:cs="Calibri"/>
    </w:rPr>
  </w:style>
  <w:style w:type="paragraph" w:customStyle="1" w:styleId="76">
    <w:name w:val="Char"/>
    <w:basedOn w:val="1"/>
    <w:qFormat/>
    <w:uiPriority w:val="99"/>
    <w:pPr>
      <w:spacing w:line="360" w:lineRule="auto"/>
    </w:pPr>
    <w:rPr>
      <w:rFonts w:ascii="仿宋_GB2312" w:eastAsia="仿宋_GB2312" w:cs="仿宋_GB2312"/>
      <w:b/>
      <w:bCs/>
      <w:sz w:val="32"/>
      <w:szCs w:val="32"/>
    </w:rPr>
  </w:style>
  <w:style w:type="paragraph" w:customStyle="1" w:styleId="77">
    <w:name w:val="保留正文"/>
    <w:basedOn w:val="13"/>
    <w:qFormat/>
    <w:uiPriority w:val="99"/>
    <w:pPr>
      <w:keepNext/>
      <w:spacing w:after="160"/>
      <w:jc w:val="both"/>
    </w:pPr>
  </w:style>
  <w:style w:type="paragraph" w:customStyle="1" w:styleId="78">
    <w:name w:val="普通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9">
    <w:name w:val="目录"/>
    <w:basedOn w:val="1"/>
    <w:qFormat/>
    <w:uiPriority w:val="99"/>
    <w:pPr>
      <w:widowControl/>
      <w:jc w:val="center"/>
    </w:pPr>
    <w:rPr>
      <w:rFonts w:ascii="宋体" w:cs="宋体"/>
      <w:b/>
      <w:bCs/>
      <w:sz w:val="36"/>
      <w:szCs w:val="36"/>
    </w:rPr>
  </w:style>
  <w:style w:type="paragraph" w:customStyle="1" w:styleId="80">
    <w:name w:val="Char Char Char Char1"/>
    <w:basedOn w:val="1"/>
    <w:qFormat/>
    <w:uiPriority w:val="99"/>
    <w:pPr>
      <w:adjustRightInd w:val="0"/>
      <w:spacing w:line="440" w:lineRule="exact"/>
    </w:pPr>
    <w:rPr>
      <w:sz w:val="20"/>
      <w:szCs w:val="20"/>
    </w:rPr>
  </w:style>
  <w:style w:type="character" w:customStyle="1" w:styleId="81">
    <w:name w:val="ui-bz-bg-hover"/>
    <w:basedOn w:val="36"/>
    <w:qFormat/>
    <w:uiPriority w:val="99"/>
    <w:rPr>
      <w:shd w:val="clear" w:color="auto" w:fill="000000"/>
    </w:rPr>
  </w:style>
  <w:style w:type="character" w:customStyle="1" w:styleId="82">
    <w:name w:val="ui-bz-bg-hover1"/>
    <w:basedOn w:val="36"/>
    <w:qFormat/>
    <w:uiPriority w:val="99"/>
  </w:style>
  <w:style w:type="character" w:customStyle="1" w:styleId="83">
    <w:name w:val="top-icon"/>
    <w:basedOn w:val="36"/>
    <w:qFormat/>
    <w:uiPriority w:val="99"/>
  </w:style>
  <w:style w:type="character" w:customStyle="1" w:styleId="84">
    <w:name w:val="t-tag"/>
    <w:basedOn w:val="36"/>
    <w:qFormat/>
    <w:uiPriority w:val="99"/>
    <w:rPr>
      <w:color w:val="FFFFFF"/>
      <w:sz w:val="18"/>
      <w:szCs w:val="18"/>
      <w:shd w:val="clear" w:color="auto" w:fill="auto"/>
    </w:rPr>
  </w:style>
  <w:style w:type="character" w:customStyle="1" w:styleId="85">
    <w:name w:val="bds_more2"/>
    <w:basedOn w:val="36"/>
    <w:qFormat/>
    <w:uiPriority w:val="99"/>
  </w:style>
  <w:style w:type="character" w:customStyle="1" w:styleId="86">
    <w:name w:val="bds_more3"/>
    <w:basedOn w:val="36"/>
    <w:qFormat/>
    <w:uiPriority w:val="99"/>
  </w:style>
  <w:style w:type="character" w:customStyle="1" w:styleId="87">
    <w:name w:val="f-star"/>
    <w:basedOn w:val="36"/>
    <w:qFormat/>
    <w:uiPriority w:val="99"/>
    <w:rPr>
      <w:color w:val="auto"/>
      <w:sz w:val="21"/>
      <w:szCs w:val="21"/>
    </w:rPr>
  </w:style>
  <w:style w:type="character" w:customStyle="1" w:styleId="88">
    <w:name w:val="bds_nopic"/>
    <w:basedOn w:val="36"/>
    <w:qFormat/>
    <w:uiPriority w:val="99"/>
  </w:style>
  <w:style w:type="character" w:customStyle="1" w:styleId="89">
    <w:name w:val="orange"/>
    <w:basedOn w:val="36"/>
    <w:qFormat/>
    <w:uiPriority w:val="99"/>
    <w:rPr>
      <w:color w:val="auto"/>
    </w:rPr>
  </w:style>
  <w:style w:type="character" w:customStyle="1" w:styleId="90">
    <w:name w:val="org_name"/>
    <w:basedOn w:val="36"/>
    <w:qFormat/>
    <w:uiPriority w:val="99"/>
  </w:style>
  <w:style w:type="character" w:customStyle="1" w:styleId="91">
    <w:name w:val="no42"/>
    <w:basedOn w:val="36"/>
    <w:qFormat/>
    <w:uiPriority w:val="99"/>
  </w:style>
  <w:style w:type="character" w:customStyle="1" w:styleId="92">
    <w:name w:val="no52"/>
    <w:basedOn w:val="36"/>
    <w:qFormat/>
    <w:uiPriority w:val="99"/>
  </w:style>
  <w:style w:type="character" w:customStyle="1" w:styleId="93">
    <w:name w:val="no62"/>
    <w:basedOn w:val="36"/>
    <w:qFormat/>
    <w:uiPriority w:val="99"/>
  </w:style>
  <w:style w:type="character" w:customStyle="1" w:styleId="94">
    <w:name w:val="no72"/>
    <w:basedOn w:val="36"/>
    <w:qFormat/>
    <w:uiPriority w:val="99"/>
  </w:style>
  <w:style w:type="character" w:customStyle="1" w:styleId="95">
    <w:name w:val="ico-jiang"/>
    <w:basedOn w:val="36"/>
    <w:qFormat/>
    <w:uiPriority w:val="99"/>
  </w:style>
  <w:style w:type="character" w:customStyle="1" w:styleId="96">
    <w:name w:val="ico-jiang1"/>
    <w:basedOn w:val="36"/>
    <w:qFormat/>
    <w:uiPriority w:val="99"/>
  </w:style>
  <w:style w:type="character" w:customStyle="1" w:styleId="97">
    <w:name w:val="my-notice1"/>
    <w:basedOn w:val="36"/>
    <w:qFormat/>
    <w:uiPriority w:val="99"/>
  </w:style>
  <w:style w:type="character" w:customStyle="1" w:styleId="98">
    <w:name w:val="my-class"/>
    <w:basedOn w:val="36"/>
    <w:qFormat/>
    <w:uiPriority w:val="99"/>
  </w:style>
  <w:style w:type="character" w:customStyle="1" w:styleId="99">
    <w:name w:val="tip10"/>
    <w:basedOn w:val="36"/>
    <w:qFormat/>
    <w:uiPriority w:val="99"/>
    <w:rPr>
      <w:vanish/>
      <w:color w:val="FF0000"/>
      <w:sz w:val="18"/>
      <w:szCs w:val="18"/>
    </w:rPr>
  </w:style>
  <w:style w:type="character" w:customStyle="1" w:styleId="100">
    <w:name w:val="my-class2"/>
    <w:basedOn w:val="36"/>
    <w:qFormat/>
    <w:uiPriority w:val="99"/>
  </w:style>
  <w:style w:type="character" w:customStyle="1" w:styleId="101">
    <w:name w:val="bds_more"/>
    <w:basedOn w:val="36"/>
    <w:qFormat/>
    <w:uiPriority w:val="99"/>
  </w:style>
  <w:style w:type="character" w:customStyle="1" w:styleId="102">
    <w:name w:val="bds_more1"/>
    <w:basedOn w:val="36"/>
    <w:qFormat/>
    <w:uiPriority w:val="99"/>
    <w:rPr>
      <w:rFonts w:ascii="宋体" w:hAnsi="宋体" w:eastAsia="宋体" w:cs="宋体"/>
    </w:rPr>
  </w:style>
  <w:style w:type="character" w:customStyle="1" w:styleId="103">
    <w:name w:val="bds_nopic1"/>
    <w:basedOn w:val="36"/>
    <w:qFormat/>
    <w:uiPriority w:val="99"/>
  </w:style>
  <w:style w:type="character" w:customStyle="1" w:styleId="104">
    <w:name w:val="bds_nopic2"/>
    <w:basedOn w:val="36"/>
    <w:qFormat/>
    <w:uiPriority w:val="99"/>
  </w:style>
  <w:style w:type="character" w:customStyle="1" w:styleId="105">
    <w:name w:val="orange6"/>
    <w:basedOn w:val="36"/>
    <w:qFormat/>
    <w:uiPriority w:val="99"/>
    <w:rPr>
      <w:color w:val="auto"/>
    </w:rPr>
  </w:style>
  <w:style w:type="character" w:customStyle="1" w:styleId="106">
    <w:name w:val="font31"/>
    <w:basedOn w:val="36"/>
    <w:qFormat/>
    <w:uiPriority w:val="99"/>
    <w:rPr>
      <w:rFonts w:ascii="font-weight : 400" w:hAnsi="font-weight : 400" w:cs="font-weight : 400"/>
      <w:color w:val="000000"/>
      <w:sz w:val="20"/>
      <w:szCs w:val="20"/>
      <w:u w:val="none"/>
      <w:vertAlign w:val="superscript"/>
    </w:rPr>
  </w:style>
  <w:style w:type="character" w:customStyle="1" w:styleId="107">
    <w:name w:val="font01"/>
    <w:basedOn w:val="36"/>
    <w:qFormat/>
    <w:uiPriority w:val="99"/>
    <w:rPr>
      <w:rFonts w:ascii="宋体" w:hAnsi="宋体" w:eastAsia="宋体" w:cs="宋体"/>
      <w:color w:val="FF0000"/>
      <w:sz w:val="20"/>
      <w:szCs w:val="20"/>
      <w:u w:val="none"/>
    </w:rPr>
  </w:style>
  <w:style w:type="character" w:customStyle="1" w:styleId="108">
    <w:name w:val="font11"/>
    <w:basedOn w:val="36"/>
    <w:qFormat/>
    <w:uiPriority w:val="99"/>
    <w:rPr>
      <w:rFonts w:ascii="宋体" w:hAnsi="宋体" w:eastAsia="宋体" w:cs="宋体"/>
      <w:color w:val="000000"/>
      <w:sz w:val="20"/>
      <w:szCs w:val="20"/>
      <w:u w:val="none"/>
    </w:rPr>
  </w:style>
  <w:style w:type="paragraph" w:customStyle="1" w:styleId="109">
    <w:name w:val="Revision1"/>
    <w:hidden/>
    <w:qFormat/>
    <w:uiPriority w:val="99"/>
    <w:rPr>
      <w:rFonts w:ascii="Times New Roman" w:hAnsi="Times New Roman" w:eastAsia="宋体" w:cs="Times New Roman"/>
      <w:kern w:val="2"/>
      <w:sz w:val="21"/>
      <w:szCs w:val="21"/>
      <w:lang w:val="en-US" w:eastAsia="zh-CN" w:bidi="ar-SA"/>
    </w:rPr>
  </w:style>
  <w:style w:type="paragraph" w:customStyle="1" w:styleId="110">
    <w:name w:val="表注1"/>
    <w:basedOn w:val="1"/>
    <w:unhideWhenUsed/>
    <w:qFormat/>
    <w:uiPriority w:val="0"/>
    <w:pPr>
      <w:adjustRightInd w:val="0"/>
      <w:snapToGrid w:val="0"/>
      <w:spacing w:beforeLines="50" w:line="300" w:lineRule="auto"/>
      <w:ind w:left="350" w:hanging="350" w:hangingChars="350"/>
    </w:pPr>
    <w:rPr>
      <w:rFonts w:hint="eastAsia" w:eastAsia="仿宋_GB2312"/>
      <w:color w:val="000000"/>
    </w:rPr>
  </w:style>
  <w:style w:type="paragraph" w:customStyle="1" w:styleId="1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27216</Words>
  <Characters>28916</Characters>
  <Lines>97</Lines>
  <Paragraphs>102</Paragraphs>
  <TotalTime>5</TotalTime>
  <ScaleCrop>false</ScaleCrop>
  <LinksUpToDate>false</LinksUpToDate>
  <CharactersWithSpaces>30746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2015-07-29T10:12:00Z</dcterms:created>
  <dc:creator>Longwill-4</dc:creator>
  <cp:lastModifiedBy>果果</cp:lastModifiedBy>
  <cp:lastPrinted>2021-06-10T07:29:00Z</cp:lastPrinted>
  <dcterms:modified xsi:type="dcterms:W3CDTF">2022-05-23T00:28:14Z</dcterms:modified>
  <dc:title>招标编号:SXLHZB2009-276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82E7A3C0E4CF46FA8EC03F6B7A5785BE</vt:lpwstr>
  </property>
</Properties>
</file>