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color w:val="FF0000"/>
          <w:sz w:val="32"/>
          <w:szCs w:val="32"/>
          <w:highlight w:val="none"/>
          <w:lang w:val="en-US" w:eastAsia="zh-CN"/>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ZHGJ-2022-129</w:t>
      </w:r>
    </w:p>
    <w:p>
      <w:pPr>
        <w:jc w:val="left"/>
        <w:rPr>
          <w:rFonts w:hint="eastAsia" w:ascii="宋体" w:hAnsi="宋体" w:eastAsia="宋体" w:cs="宋体"/>
          <w:b/>
          <w:bCs/>
          <w:color w:val="FF0000"/>
          <w:sz w:val="32"/>
          <w:szCs w:val="32"/>
          <w:highlight w:val="none"/>
          <w:lang w:val="en-US" w:eastAsia="zh-CN"/>
        </w:rPr>
      </w:pPr>
    </w:p>
    <w:p>
      <w:pPr>
        <w:jc w:val="left"/>
        <w:rPr>
          <w:rFonts w:hint="eastAsia" w:ascii="宋体" w:hAnsi="宋体" w:eastAsia="宋体" w:cs="宋体"/>
          <w:b/>
          <w:bCs/>
          <w:color w:val="FF0000"/>
          <w:sz w:val="32"/>
          <w:szCs w:val="32"/>
          <w:highlight w:val="none"/>
          <w:lang w:val="en-US" w:eastAsia="zh-CN"/>
        </w:rPr>
      </w:pPr>
    </w:p>
    <w:p>
      <w:pPr>
        <w:jc w:val="left"/>
        <w:rPr>
          <w:rFonts w:hint="eastAsia" w:ascii="宋体" w:hAnsi="宋体" w:eastAsia="宋体" w:cs="宋体"/>
          <w:b/>
          <w:bCs/>
          <w:color w:val="FF0000"/>
          <w:sz w:val="32"/>
          <w:szCs w:val="32"/>
          <w:highlight w:val="none"/>
          <w:lang w:val="en-US" w:eastAsia="zh-CN"/>
        </w:rPr>
      </w:pPr>
    </w:p>
    <w:p>
      <w:pPr>
        <w:jc w:val="center"/>
        <w:rPr>
          <w:rFonts w:hint="eastAsia" w:cs="宋体"/>
          <w:b/>
          <w:bCs/>
          <w:spacing w:val="-20"/>
          <w:sz w:val="48"/>
          <w:szCs w:val="48"/>
          <w:highlight w:val="none"/>
          <w:lang w:eastAsia="zh-CN"/>
        </w:rPr>
      </w:pPr>
      <w:bookmarkStart w:id="0" w:name="OLE_LINK4"/>
      <w:r>
        <w:rPr>
          <w:rFonts w:hint="eastAsia" w:cs="宋体"/>
          <w:b/>
          <w:bCs/>
          <w:spacing w:val="-20"/>
          <w:sz w:val="48"/>
          <w:szCs w:val="48"/>
          <w:highlight w:val="none"/>
          <w:lang w:eastAsia="zh-CN"/>
        </w:rPr>
        <w:t>黄陵县交通运输局327国道黄陵双龙至咸阳界公路改建工程水土保持初步设计、水土保持</w:t>
      </w:r>
    </w:p>
    <w:p>
      <w:pPr>
        <w:jc w:val="center"/>
        <w:rPr>
          <w:rFonts w:hint="eastAsia" w:ascii="宋体" w:hAnsi="宋体" w:eastAsia="宋体" w:cs="宋体"/>
          <w:b/>
          <w:bCs/>
          <w:color w:val="FF0000"/>
          <w:spacing w:val="-20"/>
          <w:sz w:val="52"/>
          <w:szCs w:val="52"/>
          <w:highlight w:val="none"/>
        </w:rPr>
      </w:pPr>
      <w:r>
        <w:rPr>
          <w:rFonts w:hint="eastAsia" w:cs="宋体"/>
          <w:b/>
          <w:bCs/>
          <w:spacing w:val="-20"/>
          <w:sz w:val="48"/>
          <w:szCs w:val="48"/>
          <w:highlight w:val="none"/>
          <w:lang w:eastAsia="zh-CN"/>
        </w:rPr>
        <w:t>监理 、水土保持监测、水土保持验收项目</w:t>
      </w:r>
    </w:p>
    <w:p>
      <w:pPr>
        <w:jc w:val="center"/>
        <w:rPr>
          <w:rFonts w:hint="eastAsia" w:ascii="宋体" w:hAnsi="宋体" w:eastAsia="宋体" w:cs="宋体"/>
          <w:b/>
          <w:color w:val="FF0000"/>
          <w:spacing w:val="-20"/>
          <w:sz w:val="52"/>
          <w:szCs w:val="52"/>
          <w:highlight w:val="none"/>
        </w:rPr>
      </w:pPr>
    </w:p>
    <w:p>
      <w:pPr>
        <w:jc w:val="center"/>
        <w:rPr>
          <w:rFonts w:hint="eastAsia" w:ascii="宋体" w:hAnsi="宋体" w:eastAsia="宋体" w:cs="宋体"/>
          <w:b/>
          <w:color w:val="FF0000"/>
          <w:sz w:val="52"/>
          <w:szCs w:val="52"/>
          <w:highlight w:val="none"/>
        </w:rPr>
      </w:pPr>
    </w:p>
    <w:p>
      <w:pPr>
        <w:jc w:val="center"/>
        <w:rPr>
          <w:rFonts w:hint="eastAsia" w:ascii="宋体" w:hAnsi="宋体" w:eastAsia="宋体" w:cs="宋体"/>
          <w:b/>
          <w:color w:val="FF0000"/>
          <w:sz w:val="52"/>
          <w:szCs w:val="52"/>
          <w:highlight w:val="none"/>
        </w:rPr>
      </w:pPr>
    </w:p>
    <w:p>
      <w:pPr>
        <w:pStyle w:val="8"/>
        <w:rPr>
          <w:rFonts w:hint="eastAsia"/>
          <w:highlight w:val="none"/>
        </w:rPr>
      </w:pPr>
    </w:p>
    <w:p>
      <w:pPr>
        <w:pStyle w:val="3"/>
        <w:rPr>
          <w:rFonts w:hint="eastAsia" w:ascii="宋体" w:hAnsi="宋体" w:eastAsia="宋体" w:cs="宋体"/>
          <w:highlight w:val="none"/>
        </w:rPr>
      </w:pPr>
    </w:p>
    <w:bookmarkEnd w:id="0"/>
    <w:p>
      <w:pPr>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竞争性谈判文件</w:t>
      </w:r>
    </w:p>
    <w:p>
      <w:pPr>
        <w:spacing w:line="480" w:lineRule="auto"/>
        <w:rPr>
          <w:rFonts w:hint="eastAsia" w:ascii="宋体" w:hAnsi="宋体" w:eastAsia="宋体" w:cs="宋体"/>
          <w:sz w:val="32"/>
          <w:highlight w:val="none"/>
        </w:rPr>
      </w:pPr>
    </w:p>
    <w:p>
      <w:pPr>
        <w:spacing w:line="480" w:lineRule="auto"/>
        <w:rPr>
          <w:rFonts w:hint="eastAsia" w:ascii="宋体" w:hAnsi="宋体" w:eastAsia="宋体" w:cs="宋体"/>
          <w:sz w:val="44"/>
          <w:szCs w:val="44"/>
          <w:highlight w:val="none"/>
        </w:rPr>
      </w:pPr>
    </w:p>
    <w:p>
      <w:pPr>
        <w:pStyle w:val="3"/>
        <w:rPr>
          <w:rFonts w:hint="eastAsia" w:ascii="宋体" w:hAnsi="宋体" w:eastAsia="宋体" w:cs="宋体"/>
          <w:highlight w:val="none"/>
        </w:rPr>
      </w:pPr>
    </w:p>
    <w:p>
      <w:pPr>
        <w:spacing w:line="480" w:lineRule="auto"/>
        <w:rPr>
          <w:rFonts w:hint="eastAsia" w:ascii="宋体" w:hAnsi="宋体" w:eastAsia="宋体" w:cs="宋体"/>
          <w:sz w:val="44"/>
          <w:szCs w:val="44"/>
          <w:highlight w:val="none"/>
        </w:rPr>
      </w:pPr>
    </w:p>
    <w:p>
      <w:pPr>
        <w:pStyle w:val="3"/>
        <w:rPr>
          <w:rFonts w:hint="eastAsia" w:ascii="宋体" w:hAnsi="宋体" w:eastAsia="宋体" w:cs="宋体"/>
          <w:highlight w:val="none"/>
        </w:rPr>
      </w:pPr>
    </w:p>
    <w:p>
      <w:pPr>
        <w:ind w:firstLine="321" w:firstLineChars="100"/>
        <w:jc w:val="center"/>
        <w:rPr>
          <w:rFonts w:hint="eastAsia" w:ascii="宋体" w:hAnsi="宋体" w:eastAsia="宋体" w:cs="宋体"/>
          <w:b/>
          <w:bCs/>
          <w:sz w:val="32"/>
          <w:szCs w:val="32"/>
          <w:highlight w:val="none"/>
          <w:lang w:eastAsia="zh-CN"/>
        </w:rPr>
      </w:pPr>
      <w:r>
        <w:rPr>
          <w:rFonts w:hint="eastAsia"/>
          <w:b/>
          <w:bCs/>
          <w:sz w:val="32"/>
          <w:szCs w:val="32"/>
          <w:highlight w:val="none"/>
          <w:lang w:val="en-US" w:eastAsia="zh-CN"/>
        </w:rPr>
        <w:t>采购代理机构：</w:t>
      </w:r>
      <w:r>
        <w:rPr>
          <w:rFonts w:hint="eastAsia"/>
          <w:b/>
          <w:bCs/>
          <w:sz w:val="32"/>
          <w:szCs w:val="32"/>
          <w:highlight w:val="none"/>
          <w:lang w:eastAsia="zh-CN"/>
        </w:rPr>
        <w:t>陕西中桓国际项目管理有限公司</w:t>
      </w:r>
    </w:p>
    <w:p>
      <w:pPr>
        <w:tabs>
          <w:tab w:val="left" w:pos="525"/>
        </w:tabs>
        <w:ind w:left="-2" w:leftChars="-1" w:firstLine="1"/>
        <w:jc w:val="center"/>
        <w:rPr>
          <w:rFonts w:hint="eastAsia" w:ascii="宋体" w:hAnsi="宋体" w:eastAsia="宋体" w:cs="宋体"/>
          <w:b/>
          <w:bCs/>
          <w:color w:val="FF0000"/>
          <w:sz w:val="32"/>
          <w:szCs w:val="32"/>
          <w:highlight w:val="none"/>
        </w:rPr>
      </w:pPr>
    </w:p>
    <w:p>
      <w:pPr>
        <w:tabs>
          <w:tab w:val="left" w:pos="525"/>
        </w:tabs>
        <w:ind w:left="-2" w:leftChars="-1" w:firstLine="1"/>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bCs/>
          <w:color w:val="auto"/>
          <w:sz w:val="32"/>
          <w:szCs w:val="32"/>
          <w:highlight w:val="none"/>
          <w:lang w:eastAsia="zh-CN"/>
        </w:rPr>
        <w:t>〇二</w:t>
      </w:r>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六</w:t>
      </w:r>
      <w:r>
        <w:rPr>
          <w:rFonts w:hint="eastAsia" w:ascii="宋体" w:hAnsi="宋体" w:eastAsia="宋体" w:cs="宋体"/>
          <w:b/>
          <w:bCs/>
          <w:color w:val="auto"/>
          <w:sz w:val="32"/>
          <w:szCs w:val="32"/>
          <w:highlight w:val="none"/>
        </w:rPr>
        <w:t>月</w:t>
      </w:r>
    </w:p>
    <w:p>
      <w:pPr>
        <w:tabs>
          <w:tab w:val="left" w:pos="525"/>
        </w:tabs>
        <w:spacing w:after="100" w:afterAutospacing="1"/>
        <w:ind w:left="-2" w:leftChars="-1"/>
        <w:jc w:val="center"/>
        <w:rPr>
          <w:rFonts w:hint="eastAsia" w:ascii="宋体" w:hAnsi="宋体" w:eastAsia="宋体" w:cs="宋体"/>
          <w:b/>
          <w:bCs/>
          <w:sz w:val="30"/>
          <w:szCs w:val="30"/>
          <w:highlight w:val="none"/>
        </w:rPr>
        <w:sectPr>
          <w:footerReference r:id="rId5" w:type="first"/>
          <w:pgSz w:w="11907" w:h="16840"/>
          <w:pgMar w:top="1418" w:right="1418" w:bottom="1418" w:left="1701" w:header="1134" w:footer="851" w:gutter="0"/>
          <w:pgNumType w:fmt="decimal" w:start="2"/>
          <w:cols w:space="720" w:num="1"/>
          <w:docGrid w:linePitch="286" w:charSpace="0"/>
        </w:sectPr>
      </w:pPr>
      <w:bookmarkStart w:id="1" w:name="_Toc20666"/>
    </w:p>
    <w:p>
      <w:pPr>
        <w:keepNext w:val="0"/>
        <w:keepLines w:val="0"/>
        <w:pageBreakBefore w:val="0"/>
        <w:widowControl w:val="0"/>
        <w:kinsoku/>
        <w:wordWrap/>
        <w:overflowPunct/>
        <w:topLinePunct w:val="0"/>
        <w:autoSpaceDE/>
        <w:autoSpaceDN/>
        <w:bidi w:val="0"/>
        <w:adjustRightInd/>
        <w:snapToGrid/>
        <w:spacing w:after="165" w:afterLines="50" w:line="460" w:lineRule="exact"/>
        <w:jc w:val="both"/>
        <w:textAlignment w:val="auto"/>
        <w:outlineLvl w:val="9"/>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特别提示</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有关</w:t>
      </w:r>
      <w:r>
        <w:rPr>
          <w:rFonts w:hint="eastAsia" w:ascii="宋体" w:hAnsi="宋体" w:eastAsia="宋体" w:cs="宋体"/>
          <w:b/>
          <w:bCs/>
          <w:sz w:val="24"/>
          <w:szCs w:val="24"/>
          <w:highlight w:val="none"/>
          <w:lang w:eastAsia="zh-CN"/>
        </w:rPr>
        <w:t>谈判响应</w:t>
      </w:r>
      <w:r>
        <w:rPr>
          <w:rFonts w:hint="eastAsia" w:ascii="宋体" w:hAnsi="宋体" w:eastAsia="宋体" w:cs="宋体"/>
          <w:b/>
          <w:bCs/>
          <w:sz w:val="24"/>
          <w:szCs w:val="24"/>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、请仔细阅读</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文件并正确理解</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文件中各项具体要求。如对</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文件有疑问，请在</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文件规定的时间内以书面形式提出，逾期将被</w:t>
      </w:r>
      <w:r>
        <w:rPr>
          <w:rFonts w:hint="eastAsia" w:ascii="宋体" w:hAnsi="宋体" w:eastAsia="宋体" w:cs="宋体"/>
          <w:b w:val="0"/>
          <w:bCs w:val="0"/>
          <w:sz w:val="24"/>
          <w:szCs w:val="24"/>
          <w:highlight w:val="none"/>
          <w:lang w:eastAsia="zh-CN"/>
        </w:rPr>
        <w:t>拒绝</w:t>
      </w:r>
      <w:r>
        <w:rPr>
          <w:rFonts w:hint="eastAsia" w:ascii="宋体" w:hAnsi="宋体" w:eastAsia="宋体" w:cs="宋体"/>
          <w:b w:val="0"/>
          <w:bCs w:val="0"/>
          <w:sz w:val="24"/>
          <w:szCs w:val="24"/>
          <w:highlight w:val="none"/>
        </w:rPr>
        <w:t>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2、请严格按照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文件载明的</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文件的格式要求编制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文件须胶装成册</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3、请仔细核对</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文件是否已按照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文件的要求签字、签章和加盖单位公章，实质性条款是否满足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文件中所附资格证明等资料是否齐全、有效且是否满足</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4、请于规定时</w:t>
      </w:r>
      <w:r>
        <w:rPr>
          <w:rFonts w:hint="eastAsia" w:ascii="宋体" w:hAnsi="宋体" w:eastAsia="宋体" w:cs="宋体"/>
          <w:b w:val="0"/>
          <w:bCs w:val="0"/>
          <w:sz w:val="24"/>
          <w:szCs w:val="24"/>
          <w:highlight w:val="none"/>
          <w:lang w:eastAsia="zh-CN"/>
        </w:rPr>
        <w:t>间</w:t>
      </w:r>
      <w:r>
        <w:rPr>
          <w:rFonts w:hint="eastAsia" w:ascii="宋体" w:hAnsi="宋体" w:eastAsia="宋体" w:cs="宋体"/>
          <w:b w:val="0"/>
          <w:bCs w:val="0"/>
          <w:sz w:val="24"/>
          <w:szCs w:val="24"/>
          <w:highlight w:val="none"/>
        </w:rPr>
        <w:t>内按</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文件要求递交保证金（保证金必须足额、必须在</w:t>
      </w:r>
      <w:r>
        <w:rPr>
          <w:rFonts w:hint="eastAsia" w:ascii="宋体" w:hAnsi="宋体" w:eastAsia="宋体" w:cs="宋体"/>
          <w:b w:val="0"/>
          <w:bCs w:val="0"/>
          <w:sz w:val="24"/>
          <w:szCs w:val="24"/>
          <w:highlight w:val="none"/>
          <w:lang w:eastAsia="zh-CN"/>
        </w:rPr>
        <w:t>谈判响应文件递交截止时间</w:t>
      </w:r>
      <w:r>
        <w:rPr>
          <w:rFonts w:hint="eastAsia" w:ascii="宋体" w:hAnsi="宋体" w:eastAsia="宋体" w:cs="宋体"/>
          <w:b w:val="0"/>
          <w:bCs w:val="0"/>
          <w:sz w:val="24"/>
          <w:szCs w:val="24"/>
          <w:highlight w:val="none"/>
        </w:rPr>
        <w:t>前从您基本账户转出且到账，保证金</w:t>
      </w:r>
      <w:r>
        <w:rPr>
          <w:rFonts w:hint="eastAsia" w:ascii="宋体" w:hAnsi="宋体" w:eastAsia="宋体" w:cs="宋体"/>
          <w:b w:val="0"/>
          <w:bCs w:val="0"/>
          <w:sz w:val="24"/>
          <w:szCs w:val="24"/>
          <w:highlight w:val="none"/>
          <w:lang w:eastAsia="zh-CN"/>
        </w:rPr>
        <w:t>缴</w:t>
      </w:r>
      <w:r>
        <w:rPr>
          <w:rFonts w:hint="eastAsia" w:ascii="宋体" w:hAnsi="宋体" w:eastAsia="宋体" w:cs="宋体"/>
          <w:b w:val="0"/>
          <w:bCs w:val="0"/>
          <w:sz w:val="24"/>
          <w:szCs w:val="24"/>
          <w:highlight w:val="none"/>
        </w:rPr>
        <w:t>纳凭证须附在</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5、请按照</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文件要求密封</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文件，并正确标记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提示：</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文件若不满足以上条件将有被否决的风险</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二、有关</w:t>
      </w:r>
      <w:r>
        <w:rPr>
          <w:rFonts w:hint="eastAsia" w:ascii="宋体" w:hAnsi="宋体" w:eastAsia="宋体" w:cs="宋体"/>
          <w:b/>
          <w:bCs/>
          <w:sz w:val="24"/>
          <w:szCs w:val="24"/>
          <w:highlight w:val="none"/>
          <w:lang w:eastAsia="zh-CN"/>
        </w:rPr>
        <w:t>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、请务必考虑天气情况、交通情况以及您对</w:t>
      </w:r>
      <w:r>
        <w:rPr>
          <w:rFonts w:hint="eastAsia" w:ascii="宋体" w:hAnsi="宋体" w:eastAsia="宋体" w:cs="宋体"/>
          <w:b w:val="0"/>
          <w:bCs w:val="0"/>
          <w:sz w:val="24"/>
          <w:szCs w:val="24"/>
          <w:highlight w:val="none"/>
          <w:lang w:eastAsia="zh-CN"/>
        </w:rPr>
        <w:t>谈</w:t>
      </w:r>
      <w:r>
        <w:rPr>
          <w:rFonts w:hint="eastAsia" w:ascii="宋体" w:hAnsi="宋体" w:eastAsia="宋体" w:cs="宋体"/>
          <w:b w:val="0"/>
          <w:bCs w:val="0"/>
          <w:color w:val="auto"/>
          <w:sz w:val="24"/>
          <w:szCs w:val="24"/>
          <w:highlight w:val="none"/>
          <w:lang w:eastAsia="zh-CN"/>
        </w:rPr>
        <w:t>判</w:t>
      </w:r>
      <w:r>
        <w:rPr>
          <w:rFonts w:hint="eastAsia" w:ascii="宋体" w:hAnsi="宋体" w:eastAsia="宋体" w:cs="宋体"/>
          <w:b w:val="0"/>
          <w:bCs w:val="0"/>
          <w:color w:val="auto"/>
          <w:sz w:val="24"/>
          <w:szCs w:val="24"/>
          <w:highlight w:val="none"/>
        </w:rPr>
        <w:t>地址的路线熟悉等情况于</w:t>
      </w:r>
      <w:r>
        <w:rPr>
          <w:rFonts w:hint="eastAsia" w:ascii="宋体" w:hAnsi="宋体" w:eastAsia="宋体" w:cs="宋体"/>
          <w:b w:val="0"/>
          <w:bCs w:val="0"/>
          <w:color w:val="auto"/>
          <w:sz w:val="24"/>
          <w:szCs w:val="24"/>
          <w:highlight w:val="none"/>
          <w:lang w:eastAsia="zh-CN"/>
        </w:rPr>
        <w:t>竞争性谈判公告规定的时间和地点</w:t>
      </w:r>
      <w:r>
        <w:rPr>
          <w:rFonts w:hint="eastAsia" w:ascii="宋体" w:hAnsi="宋体" w:eastAsia="宋体" w:cs="宋体"/>
          <w:b w:val="0"/>
          <w:bCs w:val="0"/>
          <w:color w:val="auto"/>
          <w:sz w:val="24"/>
          <w:szCs w:val="24"/>
          <w:highlight w:val="none"/>
        </w:rPr>
        <w:t>递交</w:t>
      </w:r>
      <w:r>
        <w:rPr>
          <w:rFonts w:hint="eastAsia" w:ascii="宋体" w:hAnsi="宋体" w:eastAsia="宋体" w:cs="宋体"/>
          <w:b w:val="0"/>
          <w:bCs w:val="0"/>
          <w:color w:val="auto"/>
          <w:sz w:val="24"/>
          <w:szCs w:val="24"/>
          <w:highlight w:val="none"/>
          <w:lang w:eastAsia="zh-CN"/>
        </w:rPr>
        <w:t>谈判响应</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谈判</w:t>
      </w:r>
      <w:r>
        <w:rPr>
          <w:rFonts w:hint="eastAsia" w:ascii="宋体" w:hAnsi="宋体" w:eastAsia="宋体" w:cs="宋体"/>
          <w:b w:val="0"/>
          <w:bCs w:val="0"/>
          <w:sz w:val="24"/>
          <w:szCs w:val="24"/>
          <w:highlight w:val="none"/>
          <w:lang w:eastAsia="zh-CN"/>
        </w:rPr>
        <w:t>响应</w:t>
      </w:r>
      <w:r>
        <w:rPr>
          <w:rFonts w:hint="eastAsia" w:ascii="宋体" w:hAnsi="宋体" w:eastAsia="宋体" w:cs="宋体"/>
          <w:b w:val="0"/>
          <w:bCs w:val="0"/>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、请到达文件递交地点后及时到</w:t>
      </w:r>
      <w:r>
        <w:rPr>
          <w:rFonts w:hint="eastAsia" w:ascii="宋体" w:hAnsi="宋体" w:eastAsia="宋体" w:cs="宋体"/>
          <w:b w:val="0"/>
          <w:bCs w:val="0"/>
          <w:sz w:val="24"/>
          <w:szCs w:val="24"/>
          <w:highlight w:val="none"/>
          <w:lang w:eastAsia="zh-CN"/>
        </w:rPr>
        <w:t>谈判响应</w:t>
      </w:r>
      <w:r>
        <w:rPr>
          <w:rFonts w:hint="eastAsia" w:ascii="宋体" w:hAnsi="宋体" w:eastAsia="宋体" w:cs="宋体"/>
          <w:b w:val="0"/>
          <w:bCs w:val="0"/>
          <w:sz w:val="24"/>
          <w:szCs w:val="24"/>
          <w:highlight w:val="none"/>
        </w:rPr>
        <w:t>文件接收处签字登记</w:t>
      </w:r>
      <w:r>
        <w:rPr>
          <w:rFonts w:hint="eastAsia" w:ascii="宋体" w:hAnsi="宋体" w:eastAsia="宋体" w:cs="宋体"/>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、关于弃标的说明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若因为</w:t>
      </w:r>
      <w:r>
        <w:rPr>
          <w:rFonts w:hint="eastAsia" w:ascii="宋体" w:hAnsi="宋体" w:eastAsia="宋体" w:cs="宋体"/>
          <w:b w:val="0"/>
          <w:bCs w:val="0"/>
          <w:sz w:val="24"/>
          <w:szCs w:val="24"/>
          <w:highlight w:val="none"/>
          <w:lang w:eastAsia="zh-CN"/>
        </w:rPr>
        <w:t>一</w:t>
      </w:r>
      <w:r>
        <w:rPr>
          <w:rFonts w:hint="eastAsia" w:ascii="宋体" w:hAnsi="宋体" w:eastAsia="宋体" w:cs="宋体"/>
          <w:b w:val="0"/>
          <w:bCs w:val="0"/>
          <w:sz w:val="24"/>
          <w:szCs w:val="24"/>
          <w:highlight w:val="none"/>
        </w:rPr>
        <w:t>些特殊原因不能参加本次</w:t>
      </w:r>
      <w:r>
        <w:rPr>
          <w:rFonts w:hint="eastAsia" w:ascii="宋体" w:hAnsi="宋体" w:eastAsia="宋体" w:cs="宋体"/>
          <w:b w:val="0"/>
          <w:bCs w:val="0"/>
          <w:sz w:val="24"/>
          <w:szCs w:val="24"/>
          <w:highlight w:val="none"/>
          <w:lang w:eastAsia="zh-CN"/>
        </w:rPr>
        <w:t>谈判</w:t>
      </w:r>
      <w:r>
        <w:rPr>
          <w:rFonts w:hint="eastAsia" w:ascii="宋体" w:hAnsi="宋体" w:eastAsia="宋体" w:cs="宋体"/>
          <w:b w:val="0"/>
          <w:bCs w:val="0"/>
          <w:sz w:val="24"/>
          <w:szCs w:val="24"/>
          <w:highlight w:val="none"/>
        </w:rPr>
        <w:t>活动，请务必以书面形式告知我们，以便我们正常开展后期工作，同时也避免再次打扰您，感谢您的配合。</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440" w:lineRule="exact"/>
        <w:ind w:right="-252" w:rightChars="-120" w:firstLine="482" w:firstLineChars="200"/>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请各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仔细</w:t>
      </w:r>
      <w:r>
        <w:rPr>
          <w:rFonts w:hint="eastAsia" w:ascii="宋体" w:hAnsi="宋体" w:eastAsia="宋体" w:cs="宋体"/>
          <w:b/>
          <w:bCs/>
          <w:sz w:val="24"/>
          <w:szCs w:val="24"/>
          <w:highlight w:val="none"/>
          <w:lang w:eastAsia="zh-CN"/>
        </w:rPr>
        <w:t>阅</w:t>
      </w:r>
      <w:r>
        <w:rPr>
          <w:rFonts w:hint="eastAsia" w:ascii="宋体" w:hAnsi="宋体" w:eastAsia="宋体" w:cs="宋体"/>
          <w:b/>
          <w:bCs/>
          <w:sz w:val="24"/>
          <w:szCs w:val="24"/>
          <w:highlight w:val="none"/>
        </w:rPr>
        <w:t>读上述提示。如需帮助，请您与我们的工作人员联系</w:t>
      </w:r>
      <w:r>
        <w:rPr>
          <w:rFonts w:hint="eastAsia" w:ascii="宋体" w:hAnsi="宋体" w:eastAsia="宋体" w:cs="宋体"/>
          <w:b/>
          <w:bCs/>
          <w:sz w:val="24"/>
          <w:szCs w:val="24"/>
          <w:highlight w:val="none"/>
          <w:lang w:eastAsia="zh-CN"/>
        </w:rPr>
        <w:t>，我们将非常高兴地为您服务。</w:t>
      </w:r>
    </w:p>
    <w:p>
      <w:pPr>
        <w:pStyle w:val="3"/>
        <w:rPr>
          <w:rFonts w:hint="eastAsia" w:ascii="宋体" w:hAnsi="宋体" w:eastAsia="宋体" w:cs="宋体"/>
          <w:highlight w:val="none"/>
        </w:rPr>
      </w:pPr>
    </w:p>
    <w:p>
      <w:pPr>
        <w:pStyle w:val="3"/>
        <w:rPr>
          <w:rFonts w:hint="eastAsia"/>
          <w:highlight w:val="none"/>
          <w:lang w:val="zh-CN"/>
        </w:rPr>
      </w:pPr>
    </w:p>
    <w:p>
      <w:pPr>
        <w:tabs>
          <w:tab w:val="left" w:pos="525"/>
        </w:tabs>
        <w:spacing w:after="100" w:afterAutospacing="1"/>
        <w:ind w:left="-2" w:leftChars="-1"/>
        <w:jc w:val="center"/>
        <w:rPr>
          <w:rFonts w:hint="eastAsia" w:ascii="宋体" w:hAnsi="宋体" w:eastAsia="宋体" w:cs="宋体"/>
          <w:b/>
          <w:bCs/>
          <w:sz w:val="44"/>
          <w:szCs w:val="44"/>
          <w:highlight w:val="none"/>
          <w:lang w:val="zh-CN"/>
        </w:rPr>
      </w:pPr>
      <w:r>
        <w:rPr>
          <w:rFonts w:hint="eastAsia" w:ascii="宋体" w:hAnsi="宋体" w:eastAsia="宋体" w:cs="宋体"/>
          <w:b/>
          <w:bCs/>
          <w:sz w:val="44"/>
          <w:szCs w:val="44"/>
          <w:highlight w:val="none"/>
          <w:lang w:val="zh-CN"/>
        </w:rPr>
        <w:t>目  录</w:t>
      </w:r>
      <w:bookmarkEnd w:id="1"/>
    </w:p>
    <w:p>
      <w:pPr>
        <w:rPr>
          <w:rFonts w:hint="eastAsia" w:ascii="宋体" w:hAnsi="宋体" w:eastAsia="宋体" w:cs="宋体"/>
          <w:highlight w:val="none"/>
          <w:lang w:val="zh-CN"/>
        </w:rPr>
      </w:pP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"1-3"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_Toc29766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第一章 竞争性谈判公告</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_Toc29766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_Toc21911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 xml:space="preserve">第二章 </w:t>
      </w:r>
      <w:r>
        <w:rPr>
          <w:rFonts w:hint="eastAsia" w:ascii="宋体" w:hAnsi="宋体" w:eastAsia="宋体" w:cs="宋体"/>
          <w:bCs/>
          <w:sz w:val="30"/>
          <w:szCs w:val="30"/>
          <w:highlight w:val="none"/>
          <w:lang w:eastAsia="zh-CN"/>
        </w:rPr>
        <w:t>供应商</w:t>
      </w:r>
      <w:r>
        <w:rPr>
          <w:rFonts w:hint="eastAsia" w:ascii="宋体" w:hAnsi="宋体" w:eastAsia="宋体" w:cs="宋体"/>
          <w:bCs/>
          <w:sz w:val="30"/>
          <w:szCs w:val="30"/>
          <w:highlight w:val="none"/>
        </w:rPr>
        <w:t>须知</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_Toc21911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7</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_Toc8912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rPr>
        <w:t>第三章 合同条款及格式</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_Toc8912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24</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_Toc32341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第四章</w:t>
      </w:r>
      <w:r>
        <w:rPr>
          <w:rFonts w:hint="eastAsia" w:ascii="宋体" w:hAnsi="宋体" w:eastAsia="宋体" w:cs="宋体"/>
          <w:bCs/>
          <w:sz w:val="30"/>
          <w:szCs w:val="30"/>
          <w:highlight w:val="none"/>
          <w:lang w:val="en-US" w:eastAsia="zh-CN"/>
        </w:rPr>
        <w:t xml:space="preserve"> </w:t>
      </w:r>
      <w:r>
        <w:rPr>
          <w:rFonts w:hint="eastAsia" w:ascii="宋体" w:hAnsi="宋体" w:eastAsia="宋体" w:cs="宋体"/>
          <w:bCs/>
          <w:sz w:val="30"/>
          <w:szCs w:val="30"/>
          <w:highlight w:val="none"/>
        </w:rPr>
        <w:t>竞争性谈判内容及</w:t>
      </w:r>
      <w:r>
        <w:rPr>
          <w:rFonts w:hint="eastAsia" w:ascii="宋体" w:hAnsi="宋体" w:eastAsia="宋体" w:cs="宋体"/>
          <w:bCs/>
          <w:sz w:val="30"/>
          <w:szCs w:val="30"/>
          <w:highlight w:val="none"/>
          <w:lang w:eastAsia="zh-CN"/>
        </w:rPr>
        <w:t>服务</w:t>
      </w:r>
      <w:r>
        <w:rPr>
          <w:rFonts w:hint="eastAsia" w:ascii="宋体" w:hAnsi="宋体" w:eastAsia="宋体" w:cs="宋体"/>
          <w:bCs/>
          <w:sz w:val="30"/>
          <w:szCs w:val="30"/>
          <w:highlight w:val="none"/>
        </w:rPr>
        <w:t>要求</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_Toc32341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30</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_Toc22294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第五章 评审方法</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_Toc22294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31</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pStyle w:val="20"/>
        <w:keepNext w:val="0"/>
        <w:keepLines w:val="0"/>
        <w:pageBreakBefore w:val="0"/>
        <w:widowControl w:val="0"/>
        <w:tabs>
          <w:tab w:val="right" w:leader="dot" w:pos="8788"/>
        </w:tabs>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_Toc20805 </w:instrText>
      </w:r>
      <w:r>
        <w:rPr>
          <w:rFonts w:hint="eastAsia" w:ascii="宋体" w:hAnsi="宋体" w:eastAsia="宋体" w:cs="宋体"/>
          <w:sz w:val="30"/>
          <w:szCs w:val="30"/>
          <w:highlight w:val="none"/>
        </w:rPr>
        <w:fldChar w:fldCharType="separate"/>
      </w:r>
      <w:r>
        <w:rPr>
          <w:rFonts w:hint="eastAsia" w:ascii="宋体" w:hAnsi="宋体" w:eastAsia="宋体" w:cs="宋体"/>
          <w:bCs/>
          <w:sz w:val="30"/>
          <w:szCs w:val="30"/>
          <w:highlight w:val="none"/>
          <w:lang w:eastAsia="zh-CN"/>
        </w:rPr>
        <w:t>第六章 竞争性谈判响应文件格式及构成</w:t>
      </w:r>
      <w:r>
        <w:rPr>
          <w:rFonts w:hint="eastAsia" w:ascii="宋体" w:hAnsi="宋体" w:eastAsia="宋体" w:cs="宋体"/>
          <w:sz w:val="30"/>
          <w:szCs w:val="30"/>
          <w:highlight w:val="none"/>
        </w:rPr>
        <w:tab/>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PAGEREF _Toc20805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38</w:t>
      </w:r>
      <w:r>
        <w:rPr>
          <w:rFonts w:hint="eastAsia" w:ascii="宋体" w:hAnsi="宋体" w:eastAsia="宋体" w:cs="宋体"/>
          <w:sz w:val="30"/>
          <w:szCs w:val="30"/>
          <w:highlight w:val="none"/>
        </w:rPr>
        <w:fldChar w:fldCharType="end"/>
      </w:r>
      <w:r>
        <w:rPr>
          <w:rFonts w:hint="eastAsia" w:ascii="宋体" w:hAnsi="宋体" w:eastAsia="宋体" w:cs="宋体"/>
          <w:sz w:val="30"/>
          <w:szCs w:val="30"/>
          <w:highlight w:val="none"/>
        </w:rPr>
        <w:fldChar w:fldCharType="end"/>
      </w:r>
    </w:p>
    <w:p>
      <w:pPr>
        <w:keepNext w:val="0"/>
        <w:keepLines w:val="0"/>
        <w:pageBreakBefore w:val="0"/>
        <w:widowControl w:val="0"/>
        <w:kinsoku/>
        <w:wordWrap/>
        <w:overflowPunct/>
        <w:topLinePunct w:val="0"/>
        <w:autoSpaceDE/>
        <w:autoSpaceDN/>
        <w:bidi w:val="0"/>
        <w:adjustRightInd/>
        <w:snapToGrid/>
        <w:spacing w:line="900" w:lineRule="exact"/>
        <w:ind w:right="0" w:rightChars="0" w:firstLine="0" w:firstLineChars="0"/>
        <w:jc w:val="both"/>
        <w:textAlignment w:val="auto"/>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fldChar w:fldCharType="end"/>
      </w:r>
    </w:p>
    <w:p>
      <w:pPr>
        <w:rPr>
          <w:rFonts w:hint="eastAsia" w:ascii="宋体" w:hAnsi="宋体" w:eastAsia="宋体" w:cs="宋体"/>
          <w:sz w:val="36"/>
          <w:szCs w:val="36"/>
          <w:highlight w:val="none"/>
        </w:rPr>
      </w:pPr>
    </w:p>
    <w:p>
      <w:pPr>
        <w:tabs>
          <w:tab w:val="left" w:pos="525"/>
        </w:tabs>
        <w:ind w:left="-2" w:leftChars="-1" w:firstLine="1"/>
        <w:jc w:val="center"/>
        <w:rPr>
          <w:rFonts w:hint="eastAsia" w:ascii="宋体" w:hAnsi="宋体" w:eastAsia="宋体" w:cs="宋体"/>
          <w:b/>
          <w:bCs/>
          <w:sz w:val="30"/>
          <w:szCs w:val="30"/>
          <w:highlight w:val="none"/>
        </w:rPr>
      </w:pPr>
    </w:p>
    <w:p>
      <w:pPr>
        <w:spacing w:line="360" w:lineRule="auto"/>
        <w:ind w:right="240"/>
        <w:jc w:val="center"/>
        <w:rPr>
          <w:rFonts w:hint="eastAsia" w:ascii="宋体" w:hAnsi="宋体" w:eastAsia="宋体" w:cs="宋体"/>
          <w:sz w:val="24"/>
          <w:szCs w:val="24"/>
          <w:highlight w:val="none"/>
        </w:rPr>
      </w:pPr>
      <w:bookmarkStart w:id="2" w:name="_Toc393284672"/>
      <w:bookmarkStart w:id="3" w:name="_Toc393284379"/>
      <w:bookmarkStart w:id="4" w:name="_Toc389836551"/>
    </w:p>
    <w:p>
      <w:pPr>
        <w:spacing w:line="360" w:lineRule="auto"/>
        <w:jc w:val="center"/>
        <w:rPr>
          <w:rFonts w:hint="eastAsia" w:ascii="宋体" w:hAnsi="宋体" w:eastAsia="宋体" w:cs="宋体"/>
          <w:b/>
          <w:sz w:val="36"/>
          <w:highlight w:val="none"/>
        </w:rPr>
      </w:pPr>
    </w:p>
    <w:p>
      <w:pPr>
        <w:spacing w:line="360" w:lineRule="auto"/>
        <w:rPr>
          <w:rFonts w:hint="eastAsia" w:ascii="宋体" w:hAnsi="宋体" w:eastAsia="宋体" w:cs="宋体"/>
          <w:b/>
          <w:sz w:val="36"/>
          <w:highlight w:val="none"/>
        </w:rPr>
      </w:pPr>
    </w:p>
    <w:p>
      <w:pPr>
        <w:keepLines/>
        <w:pageBreakBefore/>
        <w:tabs>
          <w:tab w:val="left" w:pos="525"/>
        </w:tabs>
        <w:spacing w:after="120" w:afterLines="50" w:line="360" w:lineRule="auto"/>
        <w:jc w:val="center"/>
        <w:outlineLvl w:val="0"/>
        <w:rPr>
          <w:rFonts w:hint="eastAsia" w:ascii="宋体" w:hAnsi="宋体" w:eastAsia="宋体" w:cs="宋体"/>
          <w:b/>
          <w:sz w:val="36"/>
          <w:szCs w:val="36"/>
          <w:highlight w:val="none"/>
        </w:rPr>
        <w:sectPr>
          <w:headerReference r:id="rId6" w:type="default"/>
          <w:footerReference r:id="rId7" w:type="default"/>
          <w:pgSz w:w="11907" w:h="16840"/>
          <w:pgMar w:top="1418" w:right="1386" w:bottom="1418" w:left="1701" w:header="1134" w:footer="851" w:gutter="0"/>
          <w:pgNumType w:fmt="decimal" w:start="2"/>
          <w:cols w:space="720" w:num="1"/>
          <w:docGrid w:linePitch="286" w:charSpace="0"/>
        </w:sectPr>
      </w:pPr>
      <w:bookmarkStart w:id="5" w:name="_Toc425781306"/>
      <w:bookmarkStart w:id="6" w:name="_Toc409690875"/>
      <w:bookmarkStart w:id="7" w:name="_Toc405358614"/>
    </w:p>
    <w:p>
      <w:pPr>
        <w:pStyle w:val="4"/>
        <w:keepNext/>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0"/>
        <w:rPr>
          <w:rFonts w:hint="eastAsia" w:ascii="宋体" w:hAnsi="宋体" w:eastAsia="宋体" w:cs="宋体"/>
          <w:b/>
          <w:bCs/>
          <w:sz w:val="36"/>
          <w:szCs w:val="36"/>
          <w:highlight w:val="none"/>
        </w:rPr>
      </w:pPr>
      <w:bookmarkStart w:id="8" w:name="_Toc29766"/>
      <w:r>
        <w:rPr>
          <w:rFonts w:hint="eastAsia" w:ascii="宋体" w:hAnsi="宋体" w:eastAsia="宋体" w:cs="宋体"/>
          <w:b/>
          <w:bCs/>
          <w:sz w:val="36"/>
          <w:szCs w:val="36"/>
          <w:highlight w:val="none"/>
        </w:rPr>
        <w:t>第一章 竞争性谈判公告</w:t>
      </w:r>
      <w:bookmarkEnd w:id="5"/>
      <w:bookmarkEnd w:id="8"/>
    </w:p>
    <w:p>
      <w:pPr>
        <w:spacing w:line="360" w:lineRule="auto"/>
        <w:rPr>
          <w:rFonts w:hint="eastAsia" w:eastAsia="宋体"/>
          <w:b/>
          <w:bCs/>
          <w:sz w:val="24"/>
          <w:szCs w:val="32"/>
        </w:rPr>
      </w:pPr>
      <w:bookmarkStart w:id="9" w:name="_Toc425781307"/>
      <w:r>
        <w:rPr>
          <w:rFonts w:hint="eastAsia" w:eastAsia="宋体"/>
          <w:b/>
          <w:bCs/>
          <w:sz w:val="24"/>
          <w:szCs w:val="32"/>
        </w:rPr>
        <w:t>项目概况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327国道黄陵双龙至咸阳界公路改建工程水土保持初步设计水土保持监理水土保持监测水土保持验收项目采购项目的潜在供应商应在黄陵县轩辕大道原石油公司办公楼二楼会议室获取采购文件，并于2022年06月21日 09时30分（北京时间）前提交响应文件。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项目编号：ZHGJ-2022-129</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项目名称：327国道黄陵双龙至咸阳界公路改建工程水土保持初步设计水土保持监理水土保持监测水土保持验收项目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采购方式：竞争性谈判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预算金额：528,200.00元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合同包1(黄陵县交通运输局327国道黄陵双龙至咸阳界公路改建工程水土保持初步设计、水土保持监理 、水土保持监测、水土保持验收项目):</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合同包预算金额：528,200.00元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合同包最高限价：528,200.00元</w:t>
      </w:r>
    </w:p>
    <w:tbl>
      <w:tblPr>
        <w:tblStyle w:val="28"/>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80"/>
        <w:gridCol w:w="1653"/>
        <w:gridCol w:w="1623"/>
        <w:gridCol w:w="1080"/>
        <w:gridCol w:w="1575"/>
        <w:gridCol w:w="1470"/>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2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品目号</w:t>
            </w:r>
          </w:p>
        </w:tc>
        <w:tc>
          <w:tcPr>
            <w:tcW w:w="8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品目名称</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采购标的</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firstLine="240" w:firstLineChars="1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（单位）</w:t>
            </w:r>
          </w:p>
        </w:tc>
        <w:tc>
          <w:tcPr>
            <w:tcW w:w="8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技术规格、</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参数及要求</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品目预算(元)</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p>
        </w:tc>
        <w:tc>
          <w:tcPr>
            <w:tcW w:w="8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设计前咨询服务</w:t>
            </w:r>
          </w:p>
        </w:tc>
        <w:tc>
          <w:tcPr>
            <w:tcW w:w="84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528200.00</w:t>
            </w:r>
          </w:p>
        </w:tc>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1(项)</w:t>
            </w:r>
          </w:p>
        </w:tc>
        <w:tc>
          <w:tcPr>
            <w:tcW w:w="8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详见采购文件</w:t>
            </w:r>
          </w:p>
        </w:tc>
        <w:tc>
          <w:tcPr>
            <w:tcW w:w="7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528,200.00</w:t>
            </w:r>
          </w:p>
        </w:tc>
        <w:tc>
          <w:tcPr>
            <w:tcW w:w="8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528,200.00</w:t>
            </w:r>
          </w:p>
        </w:tc>
      </w:tr>
    </w:tbl>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本合同包不接受联合体投标</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合同履行期限：2年（具体服务起止日期可随合同签订时间相应顺延）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合同包1(黄陵县交通运输局327国道黄陵双龙至咸阳界公路改建工程水土保持初步设计、水土保持监理 、水土保持监测、水土保持验收项目)落实政府采购政策需满足的资格要求如下: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（1）.《三部门联合发布关于促进残疾人就业政府采购政策的通知》（财库〔2017〕141号）； （2）.《财政部司法部关于政府采购支持监狱企业发展有关问题的通知》（财库〔2014〕68号）； （3）.《政府采购促进中小企业发展管理办法》（财库〔2020〕46号）； （4）.《国务院办公厅关于建立政府强制采购节能产品制度的通知》（国办发〔2007〕51号）； （5）.《财政部国家发展改革委关于印发〈节能产品政府采购实施意见〉的通知》（财库〔2004〕185号）； （6）.《环境标志产品政府采购实施的意见》（财库〔2006〕90号）； （7）.《财政部国务院扶贫办关于运用政府采购政策支持脱贫攻坚的通知》（财库〔2019〕27号）； （8）.其他需要落实的政府采购政策。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3.本项目的特定资格要求：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合同包1(黄陵县交通运输局327国道黄陵双龙至咸阳界公路改建工程水土保持初步设计、水土保持监理 、水土保持监测、水土保持验收项目)特定资格要求如下:</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投标人须具有水利行业（水土保持）丙级及以上资质；（4）、拟派本项目负责人具备水利工程专业中级及以上职称,且在本单位注册；（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三、获取采购文件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时间： 2022年06月14日至2022年06月16日，每天</w:t>
      </w:r>
      <w:r>
        <w:rPr>
          <w:rFonts w:hint="eastAsia" w:ascii="宋体" w:hAnsi="宋体" w:cs="宋体"/>
          <w:sz w:val="24"/>
          <w:szCs w:val="24"/>
          <w:highlight w:val="none"/>
          <w:lang w:eastAsia="zh-CN"/>
        </w:rPr>
        <w:t>上</w:t>
      </w:r>
      <w:r>
        <w:rPr>
          <w:rFonts w:hint="eastAsia" w:ascii="宋体" w:hAnsi="宋体" w:eastAsia="宋体" w:cs="宋体"/>
          <w:sz w:val="24"/>
          <w:szCs w:val="24"/>
          <w:highlight w:val="none"/>
        </w:rPr>
        <w:t>午08:00:00至12:00:00 ，下午14:30:00至18:00:00（北京时间,法定节假日除外）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地点：黄陵县轩辕大道原石油公司办公楼二楼会议室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方式：现场获取</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售价：500元</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截止时间：2022年06月21日 09时30分00秒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地点：黄陵县轩辕大道原石油公司办公楼二楼会议室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时间： 2022年06月21日 09时30分00秒 （北京时间）</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地点：黄陵县轩辕大道原石油公司办公楼二楼会议室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六、公告期限</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自本公告发布之日起3个工作日。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七、其他补充事宜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购买竞争性谈判文件请携带单位介绍信原件,经办人身份证原件及加盖供应商公章的复印件。</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八、凡对本次采购提出询问，请按以下方式联系。</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名称：黄陵县交通运输局</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地址：黄陵县商业街</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联系方式：18091115228</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名称：陕西中桓国际项目管理有限公司</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地址：陕西省西安市未央区凤城七路长和国际A座25层</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联系方式：13892190023</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项目联系人：田甜</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电话：13892190023</w:t>
      </w:r>
    </w:p>
    <w:p>
      <w:pPr>
        <w:rPr>
          <w:rFonts w:hint="eastAsia" w:ascii="宋体" w:hAnsi="宋体" w:eastAsia="宋体" w:cs="宋体"/>
          <w:b/>
          <w:bCs/>
          <w:sz w:val="36"/>
          <w:szCs w:val="36"/>
          <w:highlight w:val="none"/>
        </w:rPr>
      </w:pPr>
      <w:bookmarkStart w:id="10" w:name="_Toc21911"/>
      <w:r>
        <w:rPr>
          <w:rFonts w:hint="eastAsia" w:ascii="宋体" w:hAnsi="宋体" w:eastAsia="宋体" w:cs="宋体"/>
          <w:b/>
          <w:bCs/>
          <w:sz w:val="36"/>
          <w:szCs w:val="36"/>
          <w:highlight w:val="none"/>
        </w:rPr>
        <w:br w:type="page"/>
      </w:r>
    </w:p>
    <w:p>
      <w:pPr>
        <w:pStyle w:val="4"/>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 xml:space="preserve">第二章 </w:t>
      </w:r>
      <w:r>
        <w:rPr>
          <w:rFonts w:hint="eastAsia" w:ascii="宋体" w:hAnsi="宋体" w:eastAsia="宋体" w:cs="宋体"/>
          <w:b/>
          <w:bCs/>
          <w:sz w:val="36"/>
          <w:szCs w:val="36"/>
          <w:highlight w:val="none"/>
          <w:lang w:eastAsia="zh-CN"/>
        </w:rPr>
        <w:t>供应商</w:t>
      </w:r>
      <w:r>
        <w:rPr>
          <w:rFonts w:hint="eastAsia" w:ascii="宋体" w:hAnsi="宋体" w:eastAsia="宋体" w:cs="宋体"/>
          <w:b/>
          <w:bCs/>
          <w:sz w:val="36"/>
          <w:szCs w:val="36"/>
          <w:highlight w:val="none"/>
        </w:rPr>
        <w:t>须知</w:t>
      </w:r>
      <w:bookmarkEnd w:id="6"/>
      <w:bookmarkEnd w:id="9"/>
      <w:bookmarkEnd w:id="10"/>
    </w:p>
    <w:p>
      <w:pPr>
        <w:spacing w:after="156" w:afterLines="50" w:line="360" w:lineRule="auto"/>
        <w:jc w:val="center"/>
        <w:outlineLvl w:val="1"/>
        <w:rPr>
          <w:rFonts w:hint="eastAsia" w:ascii="宋体" w:hAnsi="宋体" w:eastAsia="宋体" w:cs="宋体"/>
          <w:b/>
          <w:kern w:val="0"/>
          <w:sz w:val="32"/>
          <w:szCs w:val="32"/>
          <w:highlight w:val="none"/>
        </w:rPr>
      </w:pPr>
      <w:bookmarkStart w:id="11" w:name="_Toc425781308"/>
      <w:bookmarkStart w:id="12" w:name="_Toc5265"/>
      <w:r>
        <w:rPr>
          <w:rFonts w:hint="eastAsia" w:ascii="宋体" w:hAnsi="宋体" w:eastAsia="宋体" w:cs="宋体"/>
          <w:b/>
          <w:kern w:val="0"/>
          <w:sz w:val="32"/>
          <w:szCs w:val="32"/>
          <w:highlight w:val="none"/>
          <w:lang w:eastAsia="zh-CN"/>
        </w:rPr>
        <w:t>供应商</w:t>
      </w:r>
      <w:r>
        <w:rPr>
          <w:rFonts w:hint="eastAsia" w:ascii="宋体" w:hAnsi="宋体" w:eastAsia="宋体" w:cs="宋体"/>
          <w:b/>
          <w:kern w:val="0"/>
          <w:sz w:val="32"/>
          <w:szCs w:val="32"/>
          <w:highlight w:val="none"/>
        </w:rPr>
        <w:t>须知前附表</w:t>
      </w:r>
      <w:bookmarkEnd w:id="2"/>
      <w:bookmarkEnd w:id="3"/>
      <w:bookmarkEnd w:id="4"/>
      <w:bookmarkEnd w:id="7"/>
      <w:bookmarkEnd w:id="11"/>
      <w:bookmarkEnd w:id="12"/>
    </w:p>
    <w:p>
      <w:pPr>
        <w:spacing w:line="360" w:lineRule="auto"/>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本表是对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须知的具体补充和修改，如有矛盾，应以本资料表为准。</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6"/>
        <w:gridCol w:w="1567"/>
        <w:gridCol w:w="66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tblHeader/>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条款号</w:t>
            </w:r>
          </w:p>
        </w:tc>
        <w:tc>
          <w:tcPr>
            <w:tcW w:w="1567"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条款内容提示</w:t>
            </w:r>
          </w:p>
        </w:tc>
        <w:tc>
          <w:tcPr>
            <w:tcW w:w="6612" w:type="dxa"/>
            <w:noWrap w:val="0"/>
            <w:vAlign w:val="center"/>
          </w:tcPr>
          <w:p>
            <w:pPr>
              <w:keepNext w:val="0"/>
              <w:keepLines w:val="0"/>
              <w:pageBreakBefore w:val="0"/>
              <w:kinsoku/>
              <w:wordWrap/>
              <w:overflowPunct/>
              <w:topLinePunct w:val="0"/>
              <w:autoSpaceDE/>
              <w:autoSpaceDN/>
              <w:bidi w:val="0"/>
              <w:adjustRightInd/>
              <w:snapToGrid/>
              <w:spacing w:before="156" w:line="360" w:lineRule="auto"/>
              <w:jc w:val="center"/>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sz w:val="24"/>
                <w:szCs w:val="24"/>
                <w:highlight w:val="none"/>
                <w:lang w:val="en-US" w:eastAsia="zh-CN"/>
              </w:rPr>
              <w:t>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color w:val="auto"/>
                <w:sz w:val="24"/>
                <w:szCs w:val="24"/>
                <w:highlight w:val="none"/>
                <w:lang w:val="en-US" w:eastAsia="zh-CN"/>
              </w:rPr>
              <w:t>采购人</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val="en-US" w:eastAsia="zh-CN"/>
              </w:rPr>
              <w:t>黄陵县交通运输局</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val="en-US" w:eastAsia="zh-CN"/>
              </w:rPr>
              <w:t>黄陵县商业街</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惠博</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w:t>
            </w:r>
            <w:r>
              <w:rPr>
                <w:rFonts w:hint="eastAsia" w:ascii="宋体" w:hAnsi="宋体" w:cs="宋体"/>
                <w:color w:val="auto"/>
                <w:sz w:val="24"/>
                <w:szCs w:val="24"/>
                <w:highlight w:val="none"/>
                <w:lang w:val="en-US" w:eastAsia="zh-CN"/>
              </w:rPr>
              <w:t>18091115228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名称：陕西中桓国际项目管理有限公司</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szCs w:val="24"/>
                <w:highlight w:val="none"/>
                <w:lang w:eastAsia="zh-CN"/>
              </w:rPr>
              <w:t>黄陵县轩辕大道原石油公司办公楼二楼</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电话：13892190023</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传 真：</w:t>
            </w:r>
            <w:r>
              <w:rPr>
                <w:rFonts w:hint="eastAsia" w:ascii="宋体" w:hAnsi="宋体" w:eastAsia="宋体" w:cs="宋体"/>
                <w:color w:val="auto"/>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联合体谈判</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内容的实质性响应要求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文件第</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章“合同条款</w:t>
            </w:r>
            <w:r>
              <w:rPr>
                <w:rFonts w:hint="eastAsia" w:ascii="宋体" w:hAnsi="宋体" w:eastAsia="宋体" w:cs="宋体"/>
                <w:color w:val="auto"/>
                <w:sz w:val="24"/>
                <w:szCs w:val="24"/>
                <w:highlight w:val="none"/>
                <w:lang w:val="en-US" w:eastAsia="zh-CN"/>
              </w:rPr>
              <w:t>及格式</w:t>
            </w:r>
            <w:r>
              <w:rPr>
                <w:rFonts w:hint="eastAsia" w:ascii="宋体" w:hAnsi="宋体" w:eastAsia="宋体" w:cs="宋体"/>
                <w:color w:val="auto"/>
                <w:sz w:val="24"/>
                <w:szCs w:val="24"/>
                <w:highlight w:val="none"/>
              </w:rPr>
              <w:t>”和第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lang w:val="en-US" w:eastAsia="zh-CN"/>
              </w:rPr>
              <w:t>竞争性谈判内容及服务要求</w:t>
            </w:r>
            <w:r>
              <w:rPr>
                <w:rFonts w:hint="eastAsia" w:ascii="宋体" w:hAnsi="宋体" w:eastAsia="宋体" w:cs="宋体"/>
                <w:color w:val="auto"/>
                <w:sz w:val="24"/>
                <w:szCs w:val="24"/>
                <w:highlight w:val="none"/>
              </w:rPr>
              <w:t>”为不允许偏离的技术和商务的实质性要求和条件，不满足实质性要求和条件的投标为无效</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是否允许备选方案</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8" w:hRule="atLeast"/>
          <w:jc w:val="center"/>
        </w:trPr>
        <w:tc>
          <w:tcPr>
            <w:tcW w:w="94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sz w:val="24"/>
                <w:szCs w:val="24"/>
                <w:highlight w:val="none"/>
              </w:rPr>
              <w:t>本次</w:t>
            </w:r>
            <w:r>
              <w:rPr>
                <w:rFonts w:hint="eastAsia" w:ascii="宋体" w:hAnsi="宋体"/>
                <w:sz w:val="24"/>
                <w:szCs w:val="24"/>
                <w:highlight w:val="none"/>
                <w:lang w:eastAsia="zh-CN"/>
              </w:rPr>
              <w:t>谈判</w:t>
            </w:r>
            <w:r>
              <w:rPr>
                <w:rFonts w:hint="eastAsia" w:ascii="宋体" w:hAnsi="宋体"/>
                <w:sz w:val="24"/>
                <w:szCs w:val="24"/>
                <w:highlight w:val="none"/>
              </w:rPr>
              <w:t>的最小单元</w:t>
            </w:r>
          </w:p>
        </w:tc>
        <w:tc>
          <w:tcPr>
            <w:tcW w:w="66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color w:val="auto"/>
                <w:sz w:val="24"/>
                <w:szCs w:val="24"/>
                <w:highlight w:val="none"/>
              </w:rPr>
              <w:t>本次</w:t>
            </w:r>
            <w:r>
              <w:rPr>
                <w:rFonts w:hint="eastAsia"/>
                <w:color w:val="auto"/>
                <w:sz w:val="24"/>
                <w:szCs w:val="24"/>
                <w:highlight w:val="none"/>
                <w:lang w:eastAsia="zh-CN"/>
              </w:rPr>
              <w:t>谈判</w:t>
            </w:r>
            <w:r>
              <w:rPr>
                <w:rFonts w:hint="eastAsia"/>
                <w:color w:val="auto"/>
                <w:sz w:val="24"/>
                <w:szCs w:val="24"/>
                <w:highlight w:val="none"/>
              </w:rPr>
              <w:t>的最小单元为“项目全部内容”。任何不完全的</w:t>
            </w:r>
            <w:r>
              <w:rPr>
                <w:rFonts w:hint="eastAsia"/>
                <w:color w:val="auto"/>
                <w:sz w:val="24"/>
                <w:szCs w:val="24"/>
                <w:highlight w:val="none"/>
                <w:lang w:eastAsia="zh-CN"/>
              </w:rPr>
              <w:t>响应</w:t>
            </w:r>
            <w:r>
              <w:rPr>
                <w:rFonts w:hint="eastAsia"/>
                <w:color w:val="auto"/>
                <w:sz w:val="24"/>
                <w:szCs w:val="24"/>
                <w:highlight w:val="none"/>
              </w:rPr>
              <w:t>将按照无效</w:t>
            </w:r>
            <w:r>
              <w:rPr>
                <w:rFonts w:hint="eastAsia"/>
                <w:color w:val="auto"/>
                <w:sz w:val="24"/>
                <w:szCs w:val="24"/>
                <w:highlight w:val="none"/>
                <w:lang w:eastAsia="zh-CN"/>
              </w:rPr>
              <w:t>文件</w:t>
            </w:r>
            <w:r>
              <w:rPr>
                <w:rFonts w:hint="eastAsia"/>
                <w:color w:val="auto"/>
                <w:sz w:val="24"/>
                <w:szCs w:val="24"/>
                <w:highlight w:val="none"/>
              </w:rPr>
              <w:t>处理</w:t>
            </w:r>
            <w:r>
              <w:rPr>
                <w:rFonts w:hint="eastAsia"/>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4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12.1</w:t>
            </w:r>
          </w:p>
        </w:tc>
        <w:tc>
          <w:tcPr>
            <w:tcW w:w="1567"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highlight w:val="none"/>
              </w:rPr>
            </w:pPr>
            <w:r>
              <w:rPr>
                <w:rFonts w:hint="eastAsia" w:ascii="宋体" w:hAnsi="宋体" w:eastAsia="宋体" w:cs="宋体"/>
                <w:sz w:val="24"/>
                <w:szCs w:val="24"/>
                <w:highlight w:val="none"/>
                <w:lang w:eastAsia="zh-CN"/>
              </w:rPr>
              <w:t>谈判报价</w:t>
            </w:r>
          </w:p>
        </w:tc>
        <w:tc>
          <w:tcPr>
            <w:tcW w:w="6612"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w:t>
            </w:r>
            <w:r>
              <w:rPr>
                <w:rFonts w:hint="eastAsia" w:ascii="宋体" w:hAnsi="宋体" w:eastAsia="宋体" w:cs="宋体"/>
                <w:sz w:val="24"/>
                <w:szCs w:val="24"/>
                <w:highlight w:val="none"/>
                <w:lang w:eastAsia="zh-CN"/>
              </w:rPr>
              <w:t>报价是</w:t>
            </w:r>
            <w:r>
              <w:rPr>
                <w:rFonts w:hint="eastAsia" w:ascii="宋体" w:hAnsi="宋体" w:eastAsia="宋体" w:cs="宋体"/>
                <w:sz w:val="24"/>
                <w:szCs w:val="24"/>
                <w:highlight w:val="none"/>
              </w:rPr>
              <w:t>供应商为完成本项目要求的全部</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内容最终价格的体现。供应商所报的价格应考虑到可能发生的所有与完成本项目相关服务及履行合同义务有关的一切费用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任何有选择的报价将不予接受，按无效</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8"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13.1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供应商资格证明文件</w:t>
            </w:r>
          </w:p>
        </w:tc>
        <w:tc>
          <w:tcPr>
            <w:tcW w:w="6612" w:type="dxa"/>
            <w:tcBorders>
              <w:top w:val="single" w:color="auto" w:sz="4" w:space="0"/>
              <w:bottom w:val="single" w:color="auto" w:sz="4" w:space="0"/>
            </w:tcBorders>
            <w:noWrap w:val="0"/>
            <w:vAlign w:val="top"/>
          </w:tcPr>
          <w:p>
            <w:pPr>
              <w:pStyle w:val="3"/>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基本资格条件：</w:t>
            </w:r>
            <w:r>
              <w:rPr>
                <w:rFonts w:hint="eastAsia" w:ascii="宋体" w:hAnsi="宋体" w:eastAsia="宋体" w:cs="宋体"/>
                <w:b w:val="0"/>
                <w:bCs w:val="0"/>
                <w:sz w:val="24"/>
                <w:szCs w:val="24"/>
                <w:highlight w:val="none"/>
                <w:lang w:val="en-US" w:eastAsia="zh-CN"/>
              </w:rPr>
              <w:t>满足《中华人民共和国政府采购法》第二十二条规定</w:t>
            </w:r>
            <w:r>
              <w:rPr>
                <w:rFonts w:hint="eastAsia" w:ascii="宋体" w:hAnsi="宋体" w:cs="宋体"/>
                <w:b w:val="0"/>
                <w:bCs w:val="0"/>
                <w:sz w:val="24"/>
                <w:szCs w:val="24"/>
                <w:highlight w:val="none"/>
                <w:lang w:val="en-US" w:eastAsia="zh-CN"/>
              </w:rPr>
              <w:t>。</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特定资格条件：</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lef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投标人须具有水利行业（水土保持）丙级及以上资质；（4）、拟派本项目负责人具备水利工程专业中级及以上职称,且在本单位注册；（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sz w:val="24"/>
                <w:szCs w:val="24"/>
                <w:highlight w:val="none"/>
              </w:rPr>
            </w:pPr>
            <w:r>
              <w:rPr>
                <w:rFonts w:hint="eastAsia" w:ascii="宋体" w:hAnsi="宋体" w:eastAsia="宋体" w:cs="宋体"/>
                <w:b/>
                <w:color w:val="auto"/>
                <w:sz w:val="24"/>
                <w:szCs w:val="24"/>
                <w:highlight w:val="none"/>
              </w:rPr>
              <w:t>以上为必备</w:t>
            </w:r>
            <w:r>
              <w:rPr>
                <w:rFonts w:hint="eastAsia" w:ascii="宋体" w:hAnsi="宋体" w:cs="宋体"/>
                <w:b/>
                <w:color w:val="auto"/>
                <w:sz w:val="24"/>
                <w:szCs w:val="24"/>
                <w:highlight w:val="none"/>
                <w:lang w:eastAsia="zh-CN"/>
              </w:rPr>
              <w:t>资格要求</w:t>
            </w:r>
            <w:r>
              <w:rPr>
                <w:rFonts w:hint="eastAsia" w:ascii="宋体" w:hAnsi="宋体" w:eastAsia="宋体" w:cs="宋体"/>
                <w:b/>
                <w:color w:val="auto"/>
                <w:sz w:val="24"/>
                <w:szCs w:val="24"/>
                <w:highlight w:val="none"/>
              </w:rPr>
              <w:t>，缺一项或某项达不到要求，按无效</w:t>
            </w:r>
            <w:r>
              <w:rPr>
                <w:rFonts w:hint="eastAsia" w:ascii="宋体" w:hAnsi="宋体" w:eastAsia="宋体" w:cs="宋体"/>
                <w:b/>
                <w:color w:val="auto"/>
                <w:sz w:val="24"/>
                <w:szCs w:val="24"/>
                <w:highlight w:val="none"/>
                <w:lang w:val="en-US" w:eastAsia="zh-CN"/>
              </w:rPr>
              <w:t>谈判</w:t>
            </w:r>
            <w:r>
              <w:rPr>
                <w:rFonts w:hint="eastAsia" w:ascii="宋体" w:hAnsi="宋体" w:eastAsia="宋体" w:cs="宋体"/>
                <w:b/>
                <w:color w:val="auto"/>
                <w:sz w:val="24"/>
                <w:szCs w:val="24"/>
                <w:highlight w:val="none"/>
              </w:rPr>
              <w:t>处理。除法定代表人授权书需将原件装订在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文件正本中外，其他所有资质证件的复印件必须加盖单位公章附在</w:t>
            </w:r>
            <w:r>
              <w:rPr>
                <w:rFonts w:hint="eastAsia" w:ascii="宋体" w:hAnsi="宋体" w:eastAsia="宋体" w:cs="宋体"/>
                <w:b/>
                <w:color w:val="auto"/>
                <w:sz w:val="24"/>
                <w:szCs w:val="24"/>
                <w:highlight w:val="none"/>
                <w:lang w:eastAsia="zh-CN"/>
              </w:rPr>
              <w:t>响应</w:t>
            </w:r>
            <w:r>
              <w:rPr>
                <w:rFonts w:hint="eastAsia" w:ascii="宋体" w:hAnsi="宋体" w:eastAsia="宋体" w:cs="宋体"/>
                <w:b/>
                <w:color w:val="auto"/>
                <w:sz w:val="24"/>
                <w:szCs w:val="24"/>
                <w:highlight w:val="none"/>
              </w:rPr>
              <w:t>文件中</w:t>
            </w:r>
            <w:r>
              <w:rPr>
                <w:rFonts w:hint="eastAsia" w:ascii="宋体" w:hAnsi="宋体" w:eastAsia="宋体" w:cs="宋体"/>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2" w:hRule="atLeast"/>
          <w:jc w:val="center"/>
        </w:trPr>
        <w:tc>
          <w:tcPr>
            <w:tcW w:w="946"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15.1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谈判保证金</w:t>
            </w:r>
          </w:p>
        </w:tc>
        <w:tc>
          <w:tcPr>
            <w:tcW w:w="6612" w:type="dxa"/>
            <w:tcBorders>
              <w:top w:val="single" w:color="auto" w:sz="4" w:space="0"/>
              <w:bottom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需交纳的</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保证金为: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人民币</w:t>
            </w:r>
            <w:r>
              <w:rPr>
                <w:rFonts w:hint="eastAsia" w:ascii="宋体" w:hAnsi="宋体" w:cs="宋体"/>
                <w:b/>
                <w:color w:val="auto"/>
                <w:sz w:val="24"/>
                <w:szCs w:val="24"/>
                <w:highlight w:val="none"/>
                <w:lang w:val="en-US" w:eastAsia="zh-CN"/>
              </w:rPr>
              <w:t>壹万元整</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10000</w:t>
            </w:r>
            <w:r>
              <w:rPr>
                <w:rFonts w:hint="eastAsia" w:ascii="宋体" w:hAnsi="宋体" w:eastAsia="宋体" w:cs="宋体"/>
                <w:b/>
                <w:color w:val="auto"/>
                <w:sz w:val="24"/>
                <w:szCs w:val="24"/>
                <w:highlight w:val="none"/>
              </w:rPr>
              <w:t xml:space="preserve">.00元)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谈判保证金的有效期与谈判有效期一致。</w:t>
            </w:r>
            <w:r>
              <w:rPr>
                <w:rFonts w:hint="eastAsia" w:ascii="宋体" w:hAnsi="宋体" w:eastAsia="宋体" w:cs="宋体"/>
                <w:color w:val="auto"/>
                <w:sz w:val="24"/>
                <w:szCs w:val="24"/>
                <w:highlight w:val="none"/>
              </w:rPr>
              <w:t>担保机构出具的保函的有效期为</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有效期延长一个月。</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谈判保证金的缴纳形式：转账、电汇、担保机构保函。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以银行转账、电汇形式</w:t>
            </w:r>
            <w:r>
              <w:rPr>
                <w:rFonts w:hint="eastAsia" w:ascii="宋体" w:hAnsi="宋体" w:eastAsia="宋体" w:cs="宋体"/>
                <w:sz w:val="24"/>
                <w:szCs w:val="24"/>
                <w:highlight w:val="none"/>
                <w:lang w:eastAsia="zh-CN"/>
              </w:rPr>
              <w:t>缴纳</w:t>
            </w:r>
            <w:r>
              <w:rPr>
                <w:rFonts w:hint="eastAsia" w:ascii="宋体" w:hAnsi="宋体" w:eastAsia="宋体" w:cs="宋体"/>
                <w:sz w:val="24"/>
                <w:szCs w:val="24"/>
                <w:highlight w:val="none"/>
              </w:rPr>
              <w:t>谈判保证金的</w:t>
            </w:r>
            <w:r>
              <w:rPr>
                <w:rFonts w:hint="eastAsia" w:ascii="宋体" w:hAnsi="宋体" w:eastAsia="宋体" w:cs="宋体"/>
                <w:sz w:val="24"/>
                <w:szCs w:val="24"/>
                <w:highlight w:val="none"/>
                <w:lang w:eastAsia="zh-CN"/>
              </w:rPr>
              <w:t>，须从基本账户转出，并且</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eastAsia="zh-CN"/>
              </w:rPr>
              <w:t>递交</w:t>
            </w:r>
            <w:r>
              <w:rPr>
                <w:rFonts w:hint="eastAsia" w:ascii="宋体" w:hAnsi="宋体" w:eastAsia="宋体" w:cs="宋体"/>
                <w:color w:val="auto"/>
                <w:sz w:val="24"/>
                <w:szCs w:val="24"/>
                <w:highlight w:val="none"/>
              </w:rPr>
              <w:t>截止前</w:t>
            </w:r>
            <w:r>
              <w:rPr>
                <w:rFonts w:hint="eastAsia" w:ascii="宋体" w:hAnsi="宋体" w:eastAsia="宋体" w:cs="宋体"/>
                <w:b/>
                <w:bCs/>
                <w:color w:val="auto"/>
                <w:sz w:val="24"/>
                <w:szCs w:val="24"/>
                <w:highlight w:val="none"/>
                <w:lang w:eastAsia="zh-CN"/>
              </w:rPr>
              <w:t>到达</w:t>
            </w:r>
            <w:r>
              <w:rPr>
                <w:rFonts w:hint="eastAsia" w:ascii="宋体" w:hAnsi="宋体" w:eastAsia="宋体" w:cs="宋体"/>
                <w:color w:val="auto"/>
                <w:sz w:val="24"/>
                <w:szCs w:val="24"/>
                <w:highlight w:val="none"/>
                <w:lang w:eastAsia="zh-CN"/>
              </w:rPr>
              <w:t>采购代理机构指定账</w:t>
            </w:r>
            <w:r>
              <w:rPr>
                <w:rFonts w:hint="eastAsia" w:ascii="宋体" w:hAnsi="宋体" w:eastAsia="宋体" w:cs="宋体"/>
                <w:color w:val="auto"/>
                <w:sz w:val="24"/>
                <w:szCs w:val="24"/>
                <w:highlight w:val="none"/>
              </w:rPr>
              <w:t>户</w:t>
            </w:r>
            <w:r>
              <w:rPr>
                <w:rFonts w:hint="eastAsia" w:ascii="宋体" w:hAnsi="宋体" w:eastAsia="宋体" w:cs="宋体"/>
                <w:sz w:val="24"/>
                <w:szCs w:val="24"/>
                <w:highlight w:val="none"/>
              </w:rPr>
              <w:t>(转账时请注明</w:t>
            </w:r>
            <w:r>
              <w:rPr>
                <w:rFonts w:hint="eastAsia" w:ascii="宋体" w:hAnsi="宋体" w:eastAsia="宋体" w:cs="宋体"/>
                <w:sz w:val="24"/>
                <w:szCs w:val="24"/>
                <w:highlight w:val="none"/>
                <w:lang w:eastAsia="zh-CN"/>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b/>
                <w:bCs/>
                <w:color w:val="auto"/>
                <w:sz w:val="24"/>
                <w:szCs w:val="24"/>
                <w:highlight w:val="none"/>
                <w:lang w:eastAsia="zh-CN"/>
              </w:rPr>
              <w:t>：</w:t>
            </w:r>
            <w:r>
              <w:rPr>
                <w:rFonts w:hint="eastAsia" w:ascii="宋体" w:hAnsi="宋体" w:cs="Times New Roman"/>
                <w:b/>
                <w:bCs/>
                <w:color w:val="000000"/>
                <w:spacing w:val="-6"/>
                <w:sz w:val="24"/>
                <w:highlight w:val="none"/>
                <w:lang w:val="en-US" w:eastAsia="zh-CN"/>
              </w:rPr>
              <w:t>ZHGJ-2022-129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保证金到达采购代理机构指定账户后，</w:t>
            </w:r>
            <w:r>
              <w:rPr>
                <w:rFonts w:hint="eastAsia" w:ascii="宋体" w:hAnsi="宋体" w:eastAsia="宋体" w:cs="宋体"/>
                <w:kern w:val="0"/>
                <w:sz w:val="24"/>
                <w:szCs w:val="24"/>
                <w:highlight w:val="none"/>
                <w:lang w:eastAsia="zh-CN"/>
              </w:rPr>
              <w:t>供应商</w:t>
            </w:r>
            <w:r>
              <w:rPr>
                <w:rFonts w:hint="eastAsia" w:ascii="宋体" w:hAnsi="宋体" w:eastAsia="宋体" w:cs="宋体"/>
                <w:kern w:val="0"/>
                <w:sz w:val="24"/>
                <w:szCs w:val="24"/>
                <w:highlight w:val="none"/>
              </w:rPr>
              <w:t>须与</w:t>
            </w:r>
            <w:r>
              <w:rPr>
                <w:rFonts w:hint="eastAsia" w:ascii="宋体" w:hAnsi="宋体" w:eastAsia="宋体" w:cs="宋体"/>
                <w:kern w:val="0"/>
                <w:sz w:val="24"/>
                <w:szCs w:val="24"/>
                <w:highlight w:val="none"/>
                <w:lang w:eastAsia="zh-CN"/>
              </w:rPr>
              <w:t>陕西中桓国际项目管理有限公司</w:t>
            </w:r>
            <w:r>
              <w:rPr>
                <w:rFonts w:hint="eastAsia" w:ascii="宋体" w:hAnsi="宋体" w:eastAsia="宋体" w:cs="宋体"/>
                <w:kern w:val="0"/>
                <w:sz w:val="24"/>
                <w:szCs w:val="24"/>
                <w:highlight w:val="none"/>
                <w:lang w:val="en-US" w:eastAsia="zh-CN"/>
              </w:rPr>
              <w:t>项目负责人</w:t>
            </w:r>
            <w:r>
              <w:rPr>
                <w:rFonts w:hint="eastAsia" w:ascii="宋体" w:hAnsi="宋体" w:eastAsia="宋体" w:cs="宋体"/>
                <w:kern w:val="0"/>
                <w:sz w:val="24"/>
                <w:szCs w:val="24"/>
                <w:highlight w:val="none"/>
              </w:rPr>
              <w:t>联系确认到账后，将</w:t>
            </w:r>
            <w:r>
              <w:rPr>
                <w:rFonts w:hint="eastAsia" w:ascii="宋体" w:hAnsi="宋体" w:eastAsia="宋体" w:cs="宋体"/>
                <w:kern w:val="0"/>
                <w:sz w:val="24"/>
                <w:szCs w:val="24"/>
                <w:highlight w:val="none"/>
                <w:lang w:val="en-US" w:eastAsia="zh-CN"/>
              </w:rPr>
              <w:t>谈判保证金缴纳凭证复印件</w:t>
            </w:r>
            <w:r>
              <w:rPr>
                <w:rFonts w:hint="eastAsia" w:ascii="宋体" w:hAnsi="宋体" w:eastAsia="宋体" w:cs="宋体"/>
                <w:kern w:val="0"/>
                <w:sz w:val="24"/>
                <w:szCs w:val="24"/>
                <w:highlight w:val="none"/>
              </w:rPr>
              <w:t>粘贴于</w:t>
            </w:r>
            <w:r>
              <w:rPr>
                <w:rFonts w:hint="eastAsia" w:ascii="宋体" w:hAnsi="宋体" w:eastAsia="宋体" w:cs="宋体"/>
                <w:sz w:val="24"/>
                <w:szCs w:val="24"/>
                <w:highlight w:val="none"/>
                <w:lang w:eastAsia="zh-CN"/>
              </w:rPr>
              <w:t>谈判响应</w:t>
            </w:r>
            <w:r>
              <w:rPr>
                <w:rFonts w:hint="eastAsia" w:ascii="宋体" w:hAnsi="宋体" w:eastAsia="宋体" w:cs="宋体"/>
                <w:kern w:val="0"/>
                <w:sz w:val="24"/>
                <w:szCs w:val="24"/>
                <w:highlight w:val="none"/>
              </w:rPr>
              <w:t>文件规定处。</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以保函形式缴纳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保证金的，须在</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文件递交截止时间前将担保机构保函</w:t>
            </w:r>
            <w:r>
              <w:rPr>
                <w:rFonts w:hint="eastAsia" w:ascii="宋体" w:hAnsi="宋体" w:eastAsia="宋体" w:cs="宋体"/>
                <w:b/>
                <w:bCs/>
                <w:sz w:val="24"/>
                <w:szCs w:val="24"/>
                <w:highlight w:val="none"/>
                <w:lang w:eastAsia="zh-CN"/>
              </w:rPr>
              <w:t>正本原件</w:t>
            </w:r>
            <w:r>
              <w:rPr>
                <w:rFonts w:hint="eastAsia" w:ascii="宋体" w:hAnsi="宋体" w:eastAsia="宋体" w:cs="宋体"/>
                <w:sz w:val="24"/>
                <w:szCs w:val="24"/>
                <w:highlight w:val="none"/>
              </w:rPr>
              <w:t>提交至采购代理机构备案</w:t>
            </w:r>
            <w:r>
              <w:rPr>
                <w:rFonts w:hint="eastAsia" w:ascii="宋体" w:hAnsi="宋体" w:eastAsia="宋体" w:cs="宋体"/>
                <w:sz w:val="24"/>
                <w:szCs w:val="24"/>
                <w:highlight w:val="none"/>
                <w:lang w:eastAsia="zh-CN"/>
              </w:rPr>
              <w:t>，并将保函正本复印件附在谈判响应文件规定处。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94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16.1</w:t>
            </w:r>
          </w:p>
        </w:tc>
        <w:tc>
          <w:tcPr>
            <w:tcW w:w="1567"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谈判有效期</w:t>
            </w:r>
          </w:p>
        </w:tc>
        <w:tc>
          <w:tcPr>
            <w:tcW w:w="6612"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谈判响应文件的递交截止之日起</w:t>
            </w:r>
            <w:r>
              <w:rPr>
                <w:rFonts w:hint="eastAsia" w:ascii="宋体" w:hAnsi="宋体" w:cs="宋体"/>
                <w:sz w:val="24"/>
                <w:szCs w:val="24"/>
                <w:highlight w:val="none"/>
                <w:lang w:val="en-US" w:eastAsia="zh-CN"/>
              </w:rPr>
              <w:t>90日历天</w:t>
            </w:r>
            <w:r>
              <w:rPr>
                <w:rFonts w:hint="eastAsia" w:ascii="宋体" w:hAnsi="宋体" w:eastAsia="宋体" w:cs="宋体"/>
                <w:sz w:val="24"/>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w:t>
            </w:r>
            <w:r>
              <w:rPr>
                <w:rFonts w:hint="eastAsia" w:ascii="宋体" w:hAnsi="宋体" w:eastAsia="宋体" w:cs="宋体"/>
                <w:sz w:val="24"/>
                <w:szCs w:val="24"/>
                <w:highlight w:val="none"/>
                <w:lang w:val="en-US" w:eastAsia="zh-CN"/>
              </w:rPr>
              <w:t>份数及要求</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正本的份数：</w:t>
            </w:r>
            <w:r>
              <w:rPr>
                <w:rFonts w:hint="eastAsia" w:ascii="宋体" w:hAnsi="宋体" w:eastAsia="宋体" w:cs="宋体"/>
                <w:sz w:val="24"/>
                <w:szCs w:val="24"/>
                <w:highlight w:val="none"/>
                <w:u w:val="none"/>
              </w:rPr>
              <w:t>壹</w:t>
            </w:r>
            <w:r>
              <w:rPr>
                <w:rFonts w:hint="eastAsia" w:ascii="宋体" w:hAnsi="宋体" w:eastAsia="宋体" w:cs="宋体"/>
                <w:sz w:val="24"/>
                <w:szCs w:val="24"/>
                <w:highlight w:val="none"/>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副本的份数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none"/>
              </w:rPr>
              <w:t>贰</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报价一览表：</w:t>
            </w:r>
            <w:r>
              <w:rPr>
                <w:rFonts w:hint="eastAsia" w:ascii="宋体" w:hAnsi="宋体" w:eastAsia="宋体" w:cs="宋体"/>
                <w:sz w:val="24"/>
                <w:szCs w:val="24"/>
                <w:highlight w:val="none"/>
              </w:rPr>
              <w:t>壹</w:t>
            </w:r>
            <w:r>
              <w:rPr>
                <w:rFonts w:hint="eastAsia" w:ascii="宋体" w:hAnsi="宋体" w:eastAsia="宋体" w:cs="宋体"/>
                <w:sz w:val="24"/>
                <w:szCs w:val="24"/>
                <w:highlight w:val="none"/>
                <w:lang w:eastAsia="zh-CN"/>
              </w:rPr>
              <w:t>份；</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电子版（U盘）：</w:t>
            </w:r>
            <w:r>
              <w:rPr>
                <w:rFonts w:hint="eastAsia" w:ascii="宋体" w:hAnsi="宋体" w:cs="宋体"/>
                <w:sz w:val="24"/>
                <w:szCs w:val="24"/>
                <w:highlight w:val="none"/>
                <w:lang w:eastAsia="zh-CN"/>
              </w:rPr>
              <w:t>贰</w:t>
            </w:r>
            <w:r>
              <w:rPr>
                <w:rFonts w:hint="eastAsia" w:ascii="宋体" w:hAnsi="宋体" w:eastAsia="宋体" w:cs="宋体"/>
                <w:sz w:val="24"/>
                <w:szCs w:val="24"/>
                <w:highlight w:val="none"/>
                <w:lang w:eastAsia="zh-CN"/>
              </w:rPr>
              <w:t>份（需在盘面上标注</w:t>
            </w:r>
            <w:r>
              <w:rPr>
                <w:rFonts w:hint="eastAsia" w:ascii="宋体" w:hAnsi="宋体" w:eastAsia="宋体" w:cs="宋体"/>
                <w:sz w:val="24"/>
                <w:szCs w:val="24"/>
                <w:highlight w:val="none"/>
                <w:lang w:val="en-US" w:eastAsia="zh-CN"/>
              </w:rPr>
              <w:t>供应商全称）</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电子版包括：word版谈判响应文件；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谈判响应文件的密封和标记</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1、密封包装方式：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供应商应将谈判响应文件正本、所有副本、电子版本、报价一览表分别单独密封在封袋中（封袋不得有破损），封袋应加贴封条，并在封线处加盖供应商公章。</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2、外层包装请按以下要求标记：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）供应商名称；</w:t>
            </w:r>
          </w:p>
          <w:p>
            <w:pPr>
              <w:pStyle w:val="3"/>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）采购项目名称、采购项目编号；</w:t>
            </w:r>
          </w:p>
          <w:p>
            <w:pPr>
              <w:pStyle w:val="3"/>
              <w:keepNext w:val="0"/>
              <w:keepLines w:val="0"/>
              <w:pageBreakBefore w:val="0"/>
              <w:kinsoku/>
              <w:wordWrap/>
              <w:overflowPunct/>
              <w:topLinePunct w:val="0"/>
              <w:autoSpaceDE/>
              <w:autoSpaceDN/>
              <w:bidi w:val="0"/>
              <w:adjustRightInd/>
              <w:snapToGrid/>
              <w:spacing w:after="0" w:afterLines="0"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）“正本”、“副本”、“电子版本”、“报价一览表”</w:t>
            </w:r>
            <w:r>
              <w:rPr>
                <w:rFonts w:hint="eastAsia" w:ascii="宋体" w:hAnsi="宋体" w:eastAsia="宋体" w:cs="宋体"/>
                <w:color w:val="auto"/>
                <w:sz w:val="24"/>
                <w:szCs w:val="24"/>
                <w:highlight w:val="none"/>
              </w:rPr>
              <w:t>字样，密封处应加盖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sz w:val="24"/>
                <w:szCs w:val="24"/>
                <w:highlight w:val="none"/>
                <w:lang w:eastAsia="zh-CN"/>
              </w:rPr>
              <w:t>“请勿在＿＿＿＿(谈判时间)之前启封”字样。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谈判响应文件的递交</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谈判响应文件递交截止时间：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谈判响应文件递交地址：</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谈判响应文件接收人</w:t>
            </w:r>
            <w:r>
              <w:rPr>
                <w:rFonts w:hint="eastAsia" w:ascii="宋体" w:hAnsi="宋体" w:eastAsia="宋体" w:cs="宋体"/>
                <w:color w:val="auto"/>
                <w:sz w:val="24"/>
                <w:szCs w:val="24"/>
                <w:highlight w:val="none"/>
                <w:lang w:eastAsia="zh-CN"/>
              </w:rPr>
              <w:t>：陕西中桓国际项目管理有限公司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谈判时间和地点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谈判时间：</w:t>
            </w:r>
            <w:r>
              <w:rPr>
                <w:rFonts w:hint="eastAsia" w:ascii="宋体" w:hAnsi="宋体" w:eastAsia="宋体" w:cs="宋体"/>
                <w:color w:val="auto"/>
                <w:sz w:val="24"/>
                <w:szCs w:val="24"/>
                <w:highlight w:val="none"/>
                <w:lang w:eastAsia="zh-CN"/>
              </w:rPr>
              <w:t>详见竞争性谈判公告。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谈判地点：</w:t>
            </w:r>
            <w:r>
              <w:rPr>
                <w:rFonts w:hint="eastAsia" w:ascii="宋体" w:hAnsi="宋体" w:eastAsia="宋体" w:cs="宋体"/>
                <w:color w:val="auto"/>
                <w:sz w:val="24"/>
                <w:szCs w:val="24"/>
                <w:highlight w:val="none"/>
                <w:lang w:eastAsia="zh-CN"/>
              </w:rPr>
              <w:t>详见竞争性谈判公告。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评审方法</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评审方法：最低评标价法 （详见第五章）。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招标代理服务费</w:t>
            </w:r>
          </w:p>
        </w:tc>
        <w:tc>
          <w:tcPr>
            <w:tcW w:w="661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color w:val="000000"/>
                <w:spacing w:val="-20"/>
                <w:sz w:val="24"/>
                <w:szCs w:val="24"/>
                <w:highlight w:val="none"/>
              </w:rPr>
            </w:pPr>
            <w:r>
              <w:rPr>
                <w:rFonts w:hint="eastAsia" w:ascii="宋体" w:hAnsi="宋体" w:cs="宋体"/>
                <w:color w:val="auto"/>
                <w:sz w:val="24"/>
                <w:szCs w:val="24"/>
                <w:highlight w:val="none"/>
                <w:lang w:val="en-US" w:eastAsia="zh-CN"/>
              </w:rPr>
              <w:t>2.成交供应商</w:t>
            </w: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采购工作结束后3日内</w:t>
            </w:r>
            <w:r>
              <w:rPr>
                <w:rFonts w:hint="eastAsia" w:ascii="宋体" w:hAnsi="宋体" w:cs="宋体"/>
                <w:color w:val="auto"/>
                <w:sz w:val="24"/>
                <w:szCs w:val="24"/>
                <w:highlight w:val="none"/>
              </w:rPr>
              <w:t>，须向采购代理机构一次性支付招标代理服务费。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3"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保证金账户</w:t>
            </w:r>
          </w:p>
        </w:tc>
        <w:tc>
          <w:tcPr>
            <w:tcW w:w="6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w:t>
            </w:r>
            <w:r>
              <w:rPr>
                <w:rFonts w:hint="eastAsia" w:ascii="宋体" w:hAnsi="宋体" w:eastAsia="宋体" w:cs="宋体"/>
                <w:b/>
                <w:bCs/>
                <w:sz w:val="24"/>
                <w:szCs w:val="24"/>
                <w:highlight w:val="none"/>
                <w:lang w:val="en-US" w:eastAsia="zh-CN"/>
              </w:rPr>
              <w:t>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w:t>
            </w:r>
            <w:r>
              <w:rPr>
                <w:rFonts w:hint="eastAsia" w:ascii="宋体" w:hAnsi="宋体" w:eastAsia="宋体" w:cs="Times New Roman"/>
                <w:b/>
                <w:bCs/>
                <w:sz w:val="24"/>
                <w:highlight w:val="none"/>
                <w:lang w:eastAsia="zh-CN"/>
              </w:rPr>
              <w:t>上海浦东发展银行股份有限公司西安唐延路支行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w:t>
            </w:r>
            <w:r>
              <w:rPr>
                <w:rFonts w:hint="eastAsia" w:ascii="宋体" w:hAnsi="宋体" w:eastAsia="宋体" w:cs="Times New Roman"/>
                <w:b/>
                <w:bCs/>
                <w:sz w:val="24"/>
                <w:highlight w:val="none"/>
                <w:lang w:eastAsia="zh-CN"/>
              </w:rPr>
              <w:t>72120078801100001757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请各供应商按照要求将保证金汇入以上指定账户，如因自身原因发生错误，产生的不利后果均由供应商自行承担。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招标代理服务费账户</w:t>
            </w:r>
          </w:p>
        </w:tc>
        <w:tc>
          <w:tcPr>
            <w:tcW w:w="661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w:t>
            </w:r>
            <w:r>
              <w:rPr>
                <w:rFonts w:hint="eastAsia" w:ascii="宋体" w:hAnsi="宋体" w:eastAsia="宋体" w:cs="宋体"/>
                <w:b/>
                <w:bCs/>
                <w:sz w:val="24"/>
                <w:szCs w:val="24"/>
                <w:highlight w:val="none"/>
                <w:lang w:val="en-US" w:eastAsia="zh-CN"/>
              </w:rPr>
              <w:t>陕西中桓国际项目管理有限公司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w:t>
            </w:r>
            <w:r>
              <w:rPr>
                <w:rFonts w:hint="eastAsia" w:ascii="宋体" w:hAnsi="宋体" w:eastAsia="宋体" w:cs="Times New Roman"/>
                <w:b/>
                <w:bCs/>
                <w:sz w:val="24"/>
                <w:highlight w:val="none"/>
                <w:lang w:eastAsia="zh-CN"/>
              </w:rPr>
              <w:t>上海浦东发展银行股份有限公司西安唐延路支行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w:t>
            </w:r>
            <w:r>
              <w:rPr>
                <w:rFonts w:hint="eastAsia" w:ascii="宋体" w:hAnsi="宋体" w:eastAsia="宋体" w:cs="Times New Roman"/>
                <w:b/>
                <w:bCs/>
                <w:sz w:val="24"/>
                <w:highlight w:val="none"/>
                <w:lang w:eastAsia="zh-CN"/>
              </w:rPr>
              <w:t>72120078801100001757</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请采购人</w:t>
            </w:r>
            <w:r>
              <w:rPr>
                <w:rFonts w:hint="eastAsia" w:ascii="宋体" w:hAnsi="宋体" w:cs="宋体"/>
                <w:b w:val="0"/>
                <w:bCs w:val="0"/>
                <w:color w:val="auto"/>
                <w:sz w:val="24"/>
                <w:szCs w:val="24"/>
                <w:highlight w:val="none"/>
                <w:lang w:val="en-US" w:eastAsia="zh-CN"/>
              </w:rPr>
              <w:t>或供应商</w:t>
            </w:r>
            <w:r>
              <w:rPr>
                <w:rFonts w:hint="eastAsia" w:ascii="宋体" w:hAnsi="宋体" w:eastAsia="宋体" w:cs="宋体"/>
                <w:b w:val="0"/>
                <w:bCs w:val="0"/>
                <w:color w:val="auto"/>
                <w:sz w:val="24"/>
                <w:szCs w:val="24"/>
                <w:highlight w:val="none"/>
                <w:lang w:val="en-US" w:eastAsia="zh-CN"/>
              </w:rPr>
              <w:t>按照要求将服务费汇入以上指定账户。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担保</w:t>
            </w:r>
          </w:p>
        </w:tc>
        <w:tc>
          <w:tcPr>
            <w:tcW w:w="6612" w:type="dxa"/>
            <w:noWrap w:val="0"/>
            <w:vAlign w:val="center"/>
          </w:tcPr>
          <w:p>
            <w:pPr>
              <w:pStyle w:val="14"/>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☑不要求提供</w:t>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34</w:t>
            </w:r>
          </w:p>
        </w:tc>
        <w:tc>
          <w:tcPr>
            <w:tcW w:w="1567"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踏勘</w:t>
            </w:r>
          </w:p>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现场</w:t>
            </w:r>
          </w:p>
        </w:tc>
        <w:tc>
          <w:tcPr>
            <w:tcW w:w="6612" w:type="dxa"/>
            <w:noWrap w:val="0"/>
            <w:vAlign w:val="center"/>
          </w:tcPr>
          <w:p>
            <w:pPr>
              <w:pStyle w:val="3"/>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sym w:font="Wingdings" w:char="00FE"/>
            </w:r>
            <w:r>
              <w:rPr>
                <w:rFonts w:hint="eastAsia" w:ascii="宋体" w:hAnsi="宋体" w:eastAsia="宋体" w:cs="宋体"/>
                <w:color w:val="auto"/>
                <w:kern w:val="0"/>
                <w:sz w:val="24"/>
                <w:szCs w:val="24"/>
                <w:highlight w:val="none"/>
                <w:lang w:val="en-US" w:eastAsia="zh-CN" w:bidi="ar-SA"/>
              </w:rPr>
              <w:t>不踏勘</w:t>
            </w:r>
          </w:p>
          <w:p>
            <w:pPr>
              <w:pStyle w:val="3"/>
              <w:keepNext w:val="0"/>
              <w:keepLines w:val="0"/>
              <w:pageBreakBefore w:val="0"/>
              <w:kinsoku/>
              <w:wordWrap/>
              <w:overflowPunct/>
              <w:topLinePunct w:val="0"/>
              <w:autoSpaceDE/>
              <w:autoSpaceDN/>
              <w:bidi w:val="0"/>
              <w:adjustRightInd/>
              <w:snapToGrid/>
              <w:spacing w:after="0" w:afterLines="0" w:line="360" w:lineRule="auto"/>
              <w:ind w:left="42" w:leftChars="20"/>
              <w:textAlignment w:val="auto"/>
              <w:outlineLvl w:val="9"/>
              <w:rPr>
                <w:rFonts w:hint="eastAsia" w:ascii="宋体" w:hAnsi="宋体" w:eastAsia="宋体" w:cs="宋体"/>
                <w:color w:val="auto"/>
                <w:szCs w:val="21"/>
                <w:highlight w:val="none"/>
              </w:rPr>
            </w:pPr>
            <w:r>
              <w:rPr>
                <w:rFonts w:hint="default" w:ascii="宋体" w:hAnsi="宋体" w:eastAsia="宋体" w:cs="宋体"/>
                <w:color w:val="auto"/>
                <w:kern w:val="0"/>
                <w:sz w:val="24"/>
                <w:szCs w:val="24"/>
                <w:highlight w:val="none"/>
                <w:lang w:val="en-US" w:eastAsia="zh-CN" w:bidi="ar-SA"/>
              </w:rPr>
              <w:sym w:font="Wingdings" w:char="00A8"/>
            </w:r>
            <w:r>
              <w:rPr>
                <w:rFonts w:hint="eastAsia" w:hAnsi="宋体" w:eastAsia="宋体" w:cs="宋体"/>
                <w:color w:val="auto"/>
                <w:kern w:val="0"/>
                <w:sz w:val="24"/>
                <w:szCs w:val="24"/>
                <w:highlight w:val="none"/>
                <w:lang w:val="en-US" w:eastAsia="zh-CN" w:bidi="ar-SA"/>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946"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5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en-US" w:eastAsia="zh-CN"/>
              </w:rPr>
              <w:t>一致性</w:t>
            </w:r>
          </w:p>
        </w:tc>
        <w:tc>
          <w:tcPr>
            <w:tcW w:w="6612" w:type="dxa"/>
            <w:noWrap w:val="0"/>
            <w:vAlign w:val="center"/>
          </w:tcPr>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lang w:val="en-US" w:eastAsia="zh-CN"/>
              </w:rPr>
              <w:t>供应商须知前附表和供应商须知不一致的地方，以供应商须知前附表为准</w:t>
            </w:r>
          </w:p>
        </w:tc>
      </w:tr>
    </w:tbl>
    <w:p>
      <w:pPr>
        <w:spacing w:line="336" w:lineRule="auto"/>
        <w:jc w:val="left"/>
        <w:rPr>
          <w:rFonts w:hint="eastAsia" w:ascii="宋体" w:hAnsi="宋体" w:eastAsia="宋体" w:cs="宋体"/>
          <w:b/>
          <w:kern w:val="0"/>
          <w:szCs w:val="21"/>
          <w:highlight w:val="none"/>
        </w:rPr>
      </w:pPr>
      <w:bookmarkStart w:id="13" w:name="_Toc370906267"/>
      <w:bookmarkStart w:id="14" w:name="_Toc393281138"/>
      <w:bookmarkStart w:id="15" w:name="_Toc393284380"/>
      <w:bookmarkStart w:id="16" w:name="_Toc393284673"/>
      <w:bookmarkStart w:id="17" w:name="_Toc389836556"/>
    </w:p>
    <w:p>
      <w:pPr>
        <w:spacing w:before="156" w:before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rPr>
        <w:t>一.总  则</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1.资金来源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1.1本次竞争性谈判采购所签合同使用</w:t>
      </w:r>
      <w:r>
        <w:rPr>
          <w:rFonts w:hint="eastAsia" w:ascii="宋体" w:hAnsi="宋体" w:eastAsia="宋体" w:cs="宋体"/>
          <w:sz w:val="24"/>
          <w:szCs w:val="24"/>
          <w:highlight w:val="none"/>
          <w:lang w:val="en-US" w:eastAsia="zh-CN"/>
        </w:rPr>
        <w:t>自筹资金</w:t>
      </w:r>
      <w:r>
        <w:rPr>
          <w:rFonts w:hint="eastAsia" w:ascii="宋体" w:hAnsi="宋体" w:eastAsia="宋体" w:cs="宋体"/>
          <w:sz w:val="24"/>
          <w:szCs w:val="24"/>
          <w:highlight w:val="none"/>
        </w:rPr>
        <w:t>支付，资金已落实到位。</w:t>
      </w:r>
    </w:p>
    <w:p>
      <w:pPr>
        <w:keepNext w:val="0"/>
        <w:keepLines w:val="0"/>
        <w:pageBreakBefore w:val="0"/>
        <w:widowControl w:val="0"/>
        <w:numPr>
          <w:ilvl w:val="0"/>
          <w:numId w:val="2"/>
        </w:numPr>
        <w:kinsoku/>
        <w:wordWrap/>
        <w:overflowPunct/>
        <w:topLinePunct w:val="0"/>
        <w:autoSpaceDE/>
        <w:autoSpaceDN/>
        <w:bidi w:val="0"/>
        <w:spacing w:line="500" w:lineRule="exact"/>
        <w:ind w:left="0" w:leftChars="0" w:right="0" w:rightChars="0"/>
        <w:jc w:val="both"/>
        <w:textAlignment w:val="auto"/>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名词解释</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2.1采购人：</w:t>
      </w:r>
      <w:r>
        <w:rPr>
          <w:rFonts w:hint="eastAsia" w:ascii="宋体" w:hAnsi="宋体" w:eastAsia="宋体" w:cs="宋体"/>
          <w:color w:val="000000"/>
          <w:sz w:val="24"/>
          <w:highlight w:val="none"/>
          <w:lang w:eastAsia="zh-CN"/>
        </w:rPr>
        <w:t>见供应商须知前附表</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采购代理机构：</w:t>
      </w:r>
      <w:r>
        <w:rPr>
          <w:rFonts w:hint="eastAsia" w:ascii="宋体" w:hAnsi="宋体" w:eastAsia="宋体" w:cs="宋体"/>
          <w:color w:val="000000"/>
          <w:sz w:val="24"/>
          <w:highlight w:val="none"/>
          <w:lang w:eastAsia="zh-CN"/>
        </w:rPr>
        <w:t>陕西中桓国际项目管理有限公司</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highlight w:val="none"/>
          <w:lang w:eastAsia="zh-CN"/>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监督机构：</w:t>
      </w:r>
      <w:r>
        <w:rPr>
          <w:rFonts w:hint="eastAsia" w:ascii="宋体" w:hAnsi="宋体" w:eastAsia="宋体" w:cs="宋体"/>
          <w:color w:val="000000"/>
          <w:sz w:val="24"/>
          <w:highlight w:val="none"/>
          <w:lang w:eastAsia="zh-CN"/>
        </w:rPr>
        <w:t>同级人民政府财政部门及有关部门</w:t>
      </w:r>
    </w:p>
    <w:p>
      <w:pPr>
        <w:keepNext w:val="0"/>
        <w:keepLines w:val="0"/>
        <w:pageBreakBefore w:val="0"/>
        <w:widowControl w:val="0"/>
        <w:tabs>
          <w:tab w:val="left" w:pos="7665"/>
        </w:tabs>
        <w:kinsoku/>
        <w:wordWrap/>
        <w:overflowPunct/>
        <w:topLinePunct w:val="0"/>
        <w:autoSpaceDE/>
        <w:autoSpaceDN/>
        <w:bidi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2.4</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：是指响应和符合</w:t>
      </w:r>
      <w:r>
        <w:rPr>
          <w:rFonts w:hint="eastAsia" w:ascii="宋体" w:hAnsi="宋体" w:eastAsia="宋体" w:cs="宋体"/>
          <w:color w:val="000000"/>
          <w:sz w:val="24"/>
          <w:highlight w:val="none"/>
          <w:lang w:eastAsia="zh-CN"/>
        </w:rPr>
        <w:t>谈判</w:t>
      </w:r>
      <w:r>
        <w:rPr>
          <w:rFonts w:hint="eastAsia" w:ascii="宋体" w:hAnsi="宋体" w:eastAsia="宋体" w:cs="宋体"/>
          <w:color w:val="000000"/>
          <w:sz w:val="24"/>
          <w:szCs w:val="24"/>
          <w:highlight w:val="none"/>
        </w:rPr>
        <w:t>文件规定资格条件且参与</w:t>
      </w:r>
      <w:r>
        <w:rPr>
          <w:rFonts w:hint="eastAsia" w:ascii="宋体" w:hAnsi="宋体" w:eastAsia="宋体" w:cs="宋体"/>
          <w:color w:val="000000"/>
          <w:sz w:val="24"/>
          <w:szCs w:val="24"/>
          <w:highlight w:val="none"/>
          <w:lang w:eastAsia="zh-CN"/>
        </w:rPr>
        <w:t>谈判</w:t>
      </w:r>
      <w:r>
        <w:rPr>
          <w:rFonts w:hint="eastAsia" w:ascii="宋体" w:hAnsi="宋体" w:eastAsia="宋体" w:cs="宋体"/>
          <w:color w:val="000000"/>
          <w:sz w:val="24"/>
          <w:szCs w:val="24"/>
          <w:highlight w:val="none"/>
        </w:rPr>
        <w:t>竞争的法人</w:t>
      </w:r>
      <w:r>
        <w:rPr>
          <w:rFonts w:hint="eastAsia" w:ascii="宋体" w:hAnsi="宋体" w:eastAsia="宋体" w:cs="宋体"/>
          <w:color w:val="000000"/>
          <w:sz w:val="24"/>
          <w:szCs w:val="24"/>
          <w:highlight w:val="none"/>
          <w:lang w:eastAsia="zh-CN"/>
        </w:rPr>
        <w:t>、</w:t>
      </w:r>
      <w:r>
        <w:rPr>
          <w:rFonts w:hint="eastAsia" w:ascii="宋体" w:hAnsi="宋体" w:eastAsia="宋体" w:cs="宋体"/>
          <w:sz w:val="24"/>
          <w:szCs w:val="24"/>
          <w:highlight w:val="none"/>
        </w:rPr>
        <w:t>其他组织或者自然人。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szCs w:val="24"/>
          <w:highlight w:val="none"/>
        </w:rPr>
        <w:t>2.5产品是指本招标文件中第四</w:t>
      </w:r>
      <w:r>
        <w:rPr>
          <w:rFonts w:hint="eastAsia" w:ascii="宋体" w:hAnsi="宋体" w:eastAsia="宋体" w:cs="宋体"/>
          <w:color w:val="000000"/>
          <w:sz w:val="24"/>
          <w:highlight w:val="none"/>
        </w:rPr>
        <w:t>章所述所有产品。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2.6服务是指</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为满足招标文件要求而提供的服务。</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2.7节能产品或者环保产品是指依据国家确定的认证机构出具的、处于有效期之内的具有节能产品、环境标志产品认证证书的产品。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进口产品是指通过中国海关报关验放进入中国境内且产自关境外的产品，详见《关于政府采购进口产品管理有关问题的通知》(财库[2007]119号)。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lang w:val="en-US" w:eastAsia="zh-CN"/>
        </w:rPr>
        <w:t>9</w:t>
      </w:r>
      <w:r>
        <w:rPr>
          <w:rFonts w:hint="eastAsia" w:ascii="宋体" w:hAnsi="宋体" w:eastAsia="宋体" w:cs="宋体"/>
          <w:color w:val="000000"/>
          <w:sz w:val="24"/>
          <w:highlight w:val="none"/>
        </w:rPr>
        <w:t>中小企业是指符合《工业和信息化部、国家统计局、国家发展和改革委员会、财政部关于印发中小企业划型标准规定的通知》（工信部联企业[2011]300号）规定的对中小企业的划分标准的企业。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en-US" w:eastAsia="zh-CN"/>
        </w:rPr>
        <w:t>.10</w:t>
      </w:r>
      <w:r>
        <w:rPr>
          <w:rFonts w:hint="eastAsia" w:ascii="宋体" w:hAnsi="宋体" w:eastAsia="宋体" w:cs="宋体"/>
          <w:color w:val="000000"/>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color w:val="000000"/>
          <w:sz w:val="24"/>
          <w:highlight w:val="none"/>
          <w:lang w:val="en-US" w:eastAsia="zh-CN"/>
        </w:rPr>
        <w:t>2.11</w:t>
      </w:r>
      <w:r>
        <w:rPr>
          <w:rFonts w:hint="eastAsia" w:ascii="宋体" w:hAnsi="宋体" w:eastAsia="宋体" w:cs="宋体"/>
          <w:color w:val="000000"/>
          <w:sz w:val="24"/>
          <w:highlight w:val="none"/>
        </w:rPr>
        <w:t>残疾人福利性单位</w:t>
      </w:r>
      <w:r>
        <w:rPr>
          <w:rFonts w:hint="eastAsia" w:ascii="宋体" w:hAnsi="宋体" w:eastAsia="宋体" w:cs="宋体"/>
          <w:color w:val="000000"/>
          <w:sz w:val="24"/>
          <w:highlight w:val="none"/>
          <w:lang w:eastAsia="zh-CN"/>
        </w:rPr>
        <w:t>是指符合《</w:t>
      </w:r>
      <w:r>
        <w:rPr>
          <w:rFonts w:hint="eastAsia" w:ascii="宋体" w:hAnsi="宋体" w:eastAsia="宋体" w:cs="宋体"/>
          <w:color w:val="000000"/>
          <w:sz w:val="24"/>
          <w:highlight w:val="none"/>
          <w:lang w:val="en-US" w:eastAsia="zh-CN"/>
        </w:rPr>
        <w:t>三部门联合发布关于促进残疾人就业政府采购政策的通知》</w:t>
      </w:r>
      <w:r>
        <w:rPr>
          <w:rFonts w:hint="eastAsia" w:ascii="宋体" w:hAnsi="宋体" w:eastAsia="宋体" w:cs="宋体"/>
          <w:color w:val="000000"/>
          <w:sz w:val="24"/>
          <w:highlight w:val="none"/>
        </w:rPr>
        <w:t>财库〔2017〕141号规定的对</w:t>
      </w:r>
      <w:r>
        <w:rPr>
          <w:rFonts w:hint="eastAsia" w:ascii="宋体" w:hAnsi="宋体" w:eastAsia="宋体" w:cs="宋体"/>
          <w:color w:val="000000"/>
          <w:sz w:val="24"/>
          <w:highlight w:val="none"/>
          <w:lang w:eastAsia="zh-CN"/>
        </w:rPr>
        <w:t>残疾人福利性单位</w:t>
      </w:r>
      <w:r>
        <w:rPr>
          <w:rFonts w:hint="eastAsia" w:ascii="宋体" w:hAnsi="宋体" w:eastAsia="宋体" w:cs="宋体"/>
          <w:color w:val="000000"/>
          <w:sz w:val="24"/>
          <w:highlight w:val="none"/>
        </w:rPr>
        <w:t>划分标准的</w:t>
      </w:r>
      <w:r>
        <w:rPr>
          <w:rFonts w:hint="eastAsia" w:ascii="宋体" w:hAnsi="宋体" w:eastAsia="宋体" w:cs="宋体"/>
          <w:color w:val="000000"/>
          <w:sz w:val="24"/>
          <w:highlight w:val="none"/>
          <w:lang w:eastAsia="zh-CN"/>
        </w:rPr>
        <w:t>单位</w:t>
      </w:r>
      <w:r>
        <w:rPr>
          <w:rFonts w:hint="eastAsia" w:ascii="宋体" w:hAnsi="宋体" w:eastAsia="宋体" w:cs="宋体"/>
          <w:color w:val="000000"/>
          <w:sz w:val="24"/>
          <w:highlight w:val="none"/>
        </w:rPr>
        <w:t>。</w:t>
      </w:r>
    </w:p>
    <w:p>
      <w:pPr>
        <w:keepNext w:val="0"/>
        <w:keepLines w:val="0"/>
        <w:pageBreakBefore w:val="0"/>
        <w:widowControl w:val="0"/>
        <w:numPr>
          <w:ilvl w:val="0"/>
          <w:numId w:val="0"/>
        </w:numPr>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val="en-US" w:eastAsia="zh-CN"/>
        </w:rPr>
        <w:t>3.</w:t>
      </w:r>
      <w:r>
        <w:rPr>
          <w:rFonts w:hint="eastAsia" w:ascii="宋体" w:hAnsi="宋体" w:eastAsia="宋体" w:cs="宋体"/>
          <w:b/>
          <w:sz w:val="24"/>
          <w:szCs w:val="24"/>
          <w:highlight w:val="none"/>
        </w:rPr>
        <w:t>合格的</w:t>
      </w:r>
      <w:r>
        <w:rPr>
          <w:rFonts w:hint="eastAsia" w:ascii="宋体" w:hAnsi="宋体" w:eastAsia="宋体" w:cs="宋体"/>
          <w:b/>
          <w:sz w:val="24"/>
          <w:szCs w:val="24"/>
          <w:highlight w:val="none"/>
          <w:lang w:eastAsia="zh-CN"/>
        </w:rPr>
        <w:t>谈判供应商</w:t>
      </w:r>
    </w:p>
    <w:p>
      <w:pPr>
        <w:keepNext w:val="0"/>
        <w:keepLines w:val="0"/>
        <w:pageBreakBefore w:val="0"/>
        <w:widowControl w:val="0"/>
        <w:numPr>
          <w:ilvl w:val="0"/>
          <w:numId w:val="0"/>
        </w:numPr>
        <w:wordWrap/>
        <w:overflowPunct/>
        <w:topLinePunct w:val="0"/>
        <w:autoSpaceDE/>
        <w:autoSpaceDN/>
        <w:bidi w:val="0"/>
        <w:spacing w:line="500" w:lineRule="exact"/>
        <w:ind w:firstLine="240" w:firstLineChars="100"/>
        <w:textAlignment w:val="auto"/>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3.1</w:t>
      </w:r>
      <w:r>
        <w:rPr>
          <w:rFonts w:hint="eastAsia" w:ascii="宋体" w:hAnsi="宋体" w:eastAsia="宋体" w:cs="宋体"/>
          <w:b w:val="0"/>
          <w:bCs/>
          <w:sz w:val="24"/>
          <w:szCs w:val="24"/>
          <w:highlight w:val="none"/>
          <w:lang w:eastAsia="zh-CN"/>
        </w:rPr>
        <w:t>《政府采购法》第二十二条第一款规定的供应商基本资格条件</w:t>
      </w:r>
      <w:r>
        <w:rPr>
          <w:rFonts w:hint="eastAsia" w:ascii="宋体" w:hAnsi="宋体" w:eastAsia="宋体" w:cs="宋体"/>
          <w:b w:val="0"/>
          <w:bCs/>
          <w:sz w:val="24"/>
          <w:szCs w:val="24"/>
          <w:highlight w:val="none"/>
          <w:lang w:val="en-US"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（3）具有履行合同所必需的产品和专业技术能力；</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w:t>
      </w:r>
      <w:r>
        <w:rPr>
          <w:rFonts w:hint="eastAsia" w:ascii="宋体" w:hAnsi="宋体" w:eastAsia="宋体" w:cs="宋体"/>
          <w:sz w:val="24"/>
          <w:szCs w:val="24"/>
          <w:highlight w:val="none"/>
          <w:lang w:eastAsia="zh-CN"/>
        </w:rPr>
        <w:t>记</w:t>
      </w:r>
      <w:r>
        <w:rPr>
          <w:rFonts w:hint="eastAsia" w:ascii="宋体" w:hAnsi="宋体" w:eastAsia="宋体" w:cs="宋体"/>
          <w:sz w:val="24"/>
          <w:szCs w:val="24"/>
          <w:highlight w:val="none"/>
        </w:rPr>
        <w:t>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（6）法律、行政法规规定的其他条件</w:t>
      </w:r>
      <w:r>
        <w:rPr>
          <w:rFonts w:hint="eastAsia" w:ascii="宋体" w:hAnsi="宋体" w:eastAsia="宋体" w:cs="宋体"/>
          <w:sz w:val="24"/>
          <w:szCs w:val="24"/>
          <w:highlight w:val="none"/>
          <w:lang w:eastAsia="zh-CN"/>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rPr>
        <w:t>根据本次采购项目的特殊要求，规定的供应商特殊条件（见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3.3单位负责人为同一人或者存在直接控股、管理关系的不同供应商，不得参加同一合同项下的政府采购活动。</w:t>
      </w:r>
      <w:r>
        <w:rPr>
          <w:rFonts w:hint="eastAsia" w:ascii="宋体" w:hAnsi="宋体" w:eastAsia="宋体" w:cs="宋体"/>
          <w:color w:val="auto"/>
          <w:sz w:val="24"/>
          <w:szCs w:val="24"/>
          <w:highlight w:val="none"/>
          <w:lang w:val="en-US" w:eastAsia="zh-CN"/>
        </w:rPr>
        <w:t>供应商须按照格式要求填写企业关系关联承诺书（并提供国家企业信用信息公示系统http://www.gsxt.gov.cn/index.html网页截图并加盖供应商红章）</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除单一来源采购项目外，为采购项目提供整体设计、规范编制或者项目管理、监理、检测等服务的供应商，不得再参加该采购项目的其他采购活动，否则均为无效谈判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必须在</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购买竞争性谈判文件，方可参加竞争性谈判。竞争性谈判文件售后不退。</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right="0" w:rightChars="0"/>
        <w:jc w:val="both"/>
        <w:textAlignment w:val="auto"/>
        <w:outlineLvl w:val="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4.合格的服务</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4.1</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提供的服务</w:t>
      </w:r>
      <w:r>
        <w:rPr>
          <w:rFonts w:hint="eastAsia" w:ascii="宋体" w:hAnsi="宋体" w:eastAsia="宋体" w:cs="宋体"/>
          <w:color w:val="000000"/>
          <w:sz w:val="24"/>
          <w:highlight w:val="none"/>
          <w:lang w:eastAsia="zh-CN"/>
        </w:rPr>
        <w:t>（包含为完成服务所提供的产品）</w:t>
      </w:r>
      <w:r>
        <w:rPr>
          <w:rFonts w:hint="eastAsia" w:ascii="宋体" w:hAnsi="宋体" w:eastAsia="宋体" w:cs="宋体"/>
          <w:color w:val="000000"/>
          <w:sz w:val="24"/>
          <w:highlight w:val="none"/>
        </w:rPr>
        <w:t>，必须是合法生产、合法来源，符合国家有关标准要求，并满足</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文件规定的规格、参数、质量、价格、有效期、售后服务及</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须承担的运输、安装、技术支持、培训和</w:t>
      </w:r>
      <w:r>
        <w:rPr>
          <w:rFonts w:hint="eastAsia" w:ascii="宋体" w:hAnsi="宋体" w:eastAsia="宋体" w:cs="宋体"/>
          <w:color w:val="000000"/>
          <w:sz w:val="24"/>
          <w:highlight w:val="none"/>
          <w:lang w:eastAsia="zh-CN"/>
        </w:rPr>
        <w:t>竞争性谈判</w:t>
      </w:r>
      <w:r>
        <w:rPr>
          <w:rFonts w:hint="eastAsia" w:ascii="宋体" w:hAnsi="宋体" w:eastAsia="宋体" w:cs="宋体"/>
          <w:color w:val="000000"/>
          <w:sz w:val="24"/>
          <w:highlight w:val="none"/>
        </w:rPr>
        <w:t>文件规定的其它伴随服务等要求。</w:t>
      </w:r>
    </w:p>
    <w:p>
      <w:pPr>
        <w:keepNext w:val="0"/>
        <w:keepLines w:val="0"/>
        <w:pageBreakBefore w:val="0"/>
        <w:widowControl w:val="0"/>
        <w:tabs>
          <w:tab w:val="left" w:pos="747"/>
        </w:tabs>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eastAsia" w:ascii="宋体" w:hAnsi="宋体" w:eastAsia="宋体" w:cs="宋体"/>
          <w:color w:val="000000"/>
          <w:sz w:val="24"/>
          <w:highlight w:val="none"/>
        </w:rPr>
      </w:pPr>
      <w:r>
        <w:rPr>
          <w:rFonts w:hint="eastAsia" w:ascii="宋体" w:hAnsi="宋体" w:eastAsia="宋体" w:cs="宋体"/>
          <w:color w:val="000000"/>
          <w:sz w:val="24"/>
          <w:highlight w:val="none"/>
        </w:rPr>
        <w:t>4.2采购人有权拒绝接受任何不合格的产品和服务，由此产生的费用及相关后果均由</w:t>
      </w:r>
      <w:r>
        <w:rPr>
          <w:rFonts w:hint="eastAsia" w:ascii="宋体" w:hAnsi="宋体" w:eastAsia="宋体" w:cs="宋体"/>
          <w:color w:val="000000"/>
          <w:sz w:val="24"/>
          <w:highlight w:val="none"/>
          <w:lang w:eastAsia="zh-CN"/>
        </w:rPr>
        <w:t>供应商</w:t>
      </w:r>
      <w:r>
        <w:rPr>
          <w:rFonts w:hint="eastAsia" w:ascii="宋体" w:hAnsi="宋体" w:eastAsia="宋体" w:cs="宋体"/>
          <w:color w:val="000000"/>
          <w:sz w:val="24"/>
          <w:highlight w:val="none"/>
        </w:rPr>
        <w:t>自行承担。</w:t>
      </w:r>
    </w:p>
    <w:p>
      <w:pPr>
        <w:pStyle w:val="3"/>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bCs/>
          <w:color w:val="000000"/>
          <w:kern w:val="2"/>
          <w:sz w:val="24"/>
          <w:szCs w:val="22"/>
          <w:highlight w:val="none"/>
          <w:lang w:val="en-US" w:eastAsia="zh-CN" w:bidi="ar-SA"/>
        </w:rPr>
      </w:pPr>
      <w:r>
        <w:rPr>
          <w:rFonts w:hint="eastAsia" w:ascii="宋体" w:hAnsi="宋体" w:eastAsia="宋体" w:cs="宋体"/>
          <w:b/>
          <w:bCs/>
          <w:color w:val="000000"/>
          <w:kern w:val="2"/>
          <w:sz w:val="24"/>
          <w:szCs w:val="22"/>
          <w:highlight w:val="none"/>
          <w:lang w:val="en-US" w:eastAsia="zh-CN" w:bidi="ar-SA"/>
        </w:rPr>
        <w:t>5.供应商信用记录查询及使用</w:t>
      </w:r>
    </w:p>
    <w:p>
      <w:pPr>
        <w:pStyle w:val="3"/>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highlight w:val="none"/>
        </w:rPr>
      </w:pPr>
      <w:r>
        <w:rPr>
          <w:rFonts w:hint="eastAsia" w:ascii="宋体" w:hAnsi="宋体" w:eastAsia="宋体" w:cs="宋体"/>
          <w:color w:val="000000"/>
          <w:kern w:val="2"/>
          <w:sz w:val="24"/>
          <w:szCs w:val="22"/>
          <w:highlight w:val="none"/>
          <w:lang w:val="en-US" w:eastAsia="zh-CN" w:bidi="ar-SA"/>
        </w:rPr>
        <w:t xml:space="preserve">“信用中国”网站（www.creditchina.gov.cn）和“中国政府采购网”（ccgp.gov.cn）为供应商信用信息查询渠道，如果供应商被查实在谈判响应文件递交截止时间前已列入失信被执行人、重大税收违法案件当事人名单、政府采购严重违法失信行为记录名单，其响应文件为无效。采购代理机构将打印查询记录作为证据留存。 </w:t>
      </w:r>
    </w:p>
    <w:p>
      <w:pPr>
        <w:keepNext w:val="0"/>
        <w:keepLines w:val="0"/>
        <w:pageBreakBefore w:val="0"/>
        <w:widowControl w:val="0"/>
        <w:kinsoku/>
        <w:wordWrap/>
        <w:overflowPunct/>
        <w:topLinePunct w:val="0"/>
        <w:autoSpaceDE/>
        <w:autoSpaceDN/>
        <w:bidi w:val="0"/>
        <w:adjustRightInd/>
        <w:spacing w:line="360" w:lineRule="auto"/>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.竞争性谈判响应文件内容的</w:t>
      </w:r>
      <w:r>
        <w:rPr>
          <w:rFonts w:hint="eastAsia" w:ascii="宋体" w:hAnsi="宋体" w:eastAsia="宋体" w:cs="宋体"/>
          <w:b/>
          <w:color w:val="auto"/>
          <w:sz w:val="24"/>
          <w:szCs w:val="24"/>
          <w:highlight w:val="none"/>
        </w:rPr>
        <w:t>真实性</w:t>
      </w:r>
      <w:r>
        <w:rPr>
          <w:rFonts w:hint="eastAsia" w:ascii="宋体" w:hAnsi="宋体" w:eastAsia="宋体" w:cs="宋体"/>
          <w:b/>
          <w:color w:val="auto"/>
          <w:sz w:val="24"/>
          <w:szCs w:val="24"/>
          <w:highlight w:val="none"/>
          <w:lang w:eastAsia="zh-CN"/>
        </w:rPr>
        <w:t>和谈判内容的实质性要求</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应保证其竞争性谈判响应文件中所提供的所有有关谈判的资料、信息是真实的、并且来源于合法的渠道。因竞争性谈判响应文件中所提供的有关谈判的资料、信息不真实、或者其</w:t>
      </w:r>
      <w:r>
        <w:rPr>
          <w:rFonts w:hint="eastAsia" w:ascii="宋体" w:hAnsi="宋体" w:eastAsia="宋体" w:cs="宋体"/>
          <w:color w:val="auto"/>
          <w:sz w:val="24"/>
          <w:szCs w:val="24"/>
          <w:highlight w:val="none"/>
        </w:rPr>
        <w:t>来源不合法而导致的所有法律责任，由</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自行承担。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kern w:val="2"/>
          <w:sz w:val="24"/>
          <w:szCs w:val="24"/>
          <w:highlight w:val="none"/>
          <w:lang w:val="en-US" w:eastAsia="zh-CN" w:bidi="ar-SA"/>
        </w:rPr>
        <w:t>.2谈判内容的实质性响应要求：谈判文件第三章“合同条款及格式”和第四章“竞争性谈判内容及服务要求”为不允许偏离的技术和商务的实质性要求和条件，不满足实质性要求和条件的为无效响应文件。</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二.竞争性谈判文件</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.竞争性谈判文件构成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 竞争性谈判文件规定了要求提供的货物和服务，竞争性谈判程序和合同条件在竞争性谈判文件中均有说明。竞争性谈判文件共六章，内容如下：</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第一章 竞争性谈判公告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第三章 合同条款及格式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第四章 竞争性谈判内容及</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 xml:space="preserve">要求 </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第五章 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第六章 竞争性谈判响应文件格式及构成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应认真阅读竞争性谈判文件中所有的事项、格式、条款和规范等要求。如果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没有按照竞争性谈判文件要求提交全部资料，或者竞争性谈判响应文件没有对竞争性谈判文件在各方面都做出实质性响应，由此带来的不利于</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的谈判结果，其风险由</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承担。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.3本竞争性谈判文件的解释权归</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如发现</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文件内容与现行法律法规不相符的情况，以现行法律法规为准。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.竞争性谈判文件的修改和澄清</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截止时间前，</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代理机构可以视采购具体情况，延长</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递交截止时间和</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时间并在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公告的发布媒体上发布变更公告，同时将变更时间书面通知所有获取竞争性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.3</w:t>
      </w:r>
      <w:r>
        <w:rPr>
          <w:rFonts w:hint="eastAsia" w:ascii="宋体" w:hAnsi="宋体" w:eastAsia="宋体" w:cs="宋体"/>
          <w:color w:val="auto"/>
          <w:sz w:val="24"/>
          <w:szCs w:val="24"/>
          <w:highlight w:val="none"/>
        </w:rPr>
        <w:t>已经购买竞争性谈判文件的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对竞争性谈判文件有疑问的，均应在谈判截止日期2日前以书面形式向采购代理机构提出。采购代理机构视情况必要时将书面答</w:t>
      </w:r>
      <w:r>
        <w:rPr>
          <w:rFonts w:hint="eastAsia" w:ascii="宋体" w:hAnsi="宋体" w:eastAsia="宋体" w:cs="宋体"/>
          <w:sz w:val="24"/>
          <w:szCs w:val="24"/>
          <w:highlight w:val="none"/>
        </w:rPr>
        <w:t>复传送给</w:t>
      </w:r>
      <w:r>
        <w:rPr>
          <w:rFonts w:hint="eastAsia" w:ascii="宋体" w:hAnsi="宋体" w:eastAsia="宋体" w:cs="宋体"/>
          <w:sz w:val="24"/>
          <w:szCs w:val="24"/>
          <w:highlight w:val="none"/>
          <w:lang w:eastAsia="zh-CN"/>
        </w:rPr>
        <w:t>所有获取</w:t>
      </w:r>
      <w:r>
        <w:rPr>
          <w:rFonts w:hint="eastAsia" w:ascii="宋体" w:hAnsi="宋体" w:eastAsia="宋体" w:cs="宋体"/>
          <w:sz w:val="24"/>
          <w:szCs w:val="24"/>
          <w:highlight w:val="none"/>
        </w:rPr>
        <w:t>竞争性谈判文件的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在收到上述通知后，应立即向</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代理机构回函确认。</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三.竞争性谈判响应文件的编制</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 谈判语言和谈判货币</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提交的竞争性谈判响应文件以及</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与采购代理机构就有关谈判的所有来往函电均应使用中文。</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.2谈判应以人民币报价。任何包含非人民币报价的谈判将被作无效响应处理。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10</w:t>
      </w:r>
      <w:r>
        <w:rPr>
          <w:rFonts w:hint="eastAsia" w:ascii="宋体" w:hAnsi="宋体" w:eastAsia="宋体" w:cs="宋体"/>
          <w:b/>
          <w:sz w:val="24"/>
          <w:szCs w:val="24"/>
          <w:highlight w:val="none"/>
        </w:rPr>
        <w:t>.竞争性谈判响应文件的构成</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提交的竞争性谈判响应文件应包括下列部分的内容：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的要求和竞争性谈判文件规定格式填写的</w:t>
      </w:r>
      <w:r>
        <w:rPr>
          <w:rFonts w:hint="eastAsia" w:ascii="宋体" w:hAnsi="宋体" w:eastAsia="宋体" w:cs="宋体"/>
          <w:sz w:val="24"/>
          <w:szCs w:val="24"/>
          <w:highlight w:val="none"/>
          <w:lang w:eastAsia="zh-CN"/>
        </w:rPr>
        <w:t>谈判响应函</w:t>
      </w:r>
      <w:r>
        <w:rPr>
          <w:rFonts w:hint="eastAsia" w:ascii="宋体" w:hAnsi="宋体" w:eastAsia="宋体" w:cs="宋体"/>
          <w:sz w:val="24"/>
          <w:szCs w:val="24"/>
          <w:highlight w:val="none"/>
        </w:rPr>
        <w:t>、谈判报价表、</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授权书。</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（2）按照竞争性谈判文件的要求编制的谈判方案说明书，内容应包括组织实施计划和服务的详细说明，服务应答表，人员配备和售后服务承诺等。</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（3）按照竞争性谈判文件</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前附表的要求提交的资格证明文件；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（4）按照本须知第1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条要求提交的谈判保证金。</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（5）竞争性谈判文件中要求的其他证明文件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.2 如果在竞争性谈判文件中没有允许提供备选方案，则每个</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只允许提交一个谈判方案，否则，其谈判将被作谈判无效处理。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.3本次</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的最小单元</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eastAsia="zh-CN"/>
        </w:rPr>
        <w:t>见供应商须知前附表，供应</w:t>
      </w:r>
      <w:r>
        <w:rPr>
          <w:rFonts w:hint="eastAsia" w:ascii="宋体" w:hAnsi="宋体" w:eastAsia="宋体" w:cs="宋体"/>
          <w:sz w:val="24"/>
          <w:szCs w:val="24"/>
          <w:highlight w:val="none"/>
          <w:lang w:eastAsia="zh-CN"/>
        </w:rPr>
        <w:t>商</w:t>
      </w:r>
      <w:r>
        <w:rPr>
          <w:rFonts w:hint="eastAsia" w:ascii="宋体" w:hAnsi="宋体" w:eastAsia="宋体" w:cs="宋体"/>
          <w:sz w:val="24"/>
          <w:szCs w:val="24"/>
          <w:highlight w:val="none"/>
        </w:rPr>
        <w:t>可根据自身的资质情况和经营范围对本次项目进行响应，不得将其子目再行分解或只对本次项目中的品目进行不完全响应，任何不完全的响应将</w:t>
      </w:r>
      <w:r>
        <w:rPr>
          <w:rFonts w:hint="eastAsia" w:ascii="宋体" w:hAnsi="宋体" w:eastAsia="宋体" w:cs="宋体"/>
          <w:sz w:val="24"/>
          <w:szCs w:val="24"/>
          <w:highlight w:val="none"/>
          <w:lang w:eastAsia="zh-CN"/>
        </w:rPr>
        <w:t>按无效响应处理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rPr>
        <w:t>.竞争性谈判响应文件格式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应按照竞争性谈判文件中“竞争性谈判响应文件格式及构成”所提供的格式和要求制作竞争性谈判响应文件，明确表达谈判意愿，详细说明谈判方案、承诺及价格。</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sz w:val="24"/>
          <w:highlight w:val="none"/>
          <w:lang w:val="en-US" w:eastAsia="zh-CN"/>
        </w:rPr>
        <w:t>11</w:t>
      </w:r>
      <w:r>
        <w:rPr>
          <w:rFonts w:hint="eastAsia" w:ascii="宋体" w:hAnsi="宋体" w:eastAsia="宋体" w:cs="宋体"/>
          <w:b w:val="0"/>
          <w:bCs w:val="0"/>
          <w:sz w:val="24"/>
          <w:highlight w:val="none"/>
        </w:rPr>
        <w:t>.2</w:t>
      </w:r>
      <w:r>
        <w:rPr>
          <w:rFonts w:hint="eastAsia" w:ascii="宋体" w:hAnsi="宋体" w:eastAsia="宋体" w:cs="宋体"/>
          <w:b w:val="0"/>
          <w:bCs w:val="0"/>
          <w:color w:val="auto"/>
          <w:sz w:val="24"/>
          <w:highlight w:val="none"/>
          <w:lang w:eastAsia="zh-CN"/>
        </w:rPr>
        <w:t>供应商</w:t>
      </w:r>
      <w:r>
        <w:rPr>
          <w:rFonts w:hint="eastAsia" w:ascii="宋体" w:hAnsi="宋体" w:eastAsia="宋体" w:cs="宋体"/>
          <w:b w:val="0"/>
          <w:bCs w:val="0"/>
          <w:color w:val="auto"/>
          <w:sz w:val="24"/>
          <w:highlight w:val="none"/>
        </w:rPr>
        <w:t>应完整地提供</w:t>
      </w:r>
      <w:r>
        <w:rPr>
          <w:rFonts w:hint="eastAsia" w:ascii="宋体" w:hAnsi="宋体" w:eastAsia="宋体" w:cs="宋体"/>
          <w:b w:val="0"/>
          <w:bCs w:val="0"/>
          <w:color w:val="auto"/>
          <w:sz w:val="24"/>
          <w:highlight w:val="none"/>
          <w:lang w:eastAsia="zh-CN"/>
        </w:rPr>
        <w:t>谈判</w:t>
      </w:r>
      <w:r>
        <w:rPr>
          <w:rFonts w:hint="eastAsia" w:ascii="宋体" w:hAnsi="宋体" w:eastAsia="宋体" w:cs="宋体"/>
          <w:b w:val="0"/>
          <w:bCs w:val="0"/>
          <w:color w:val="auto"/>
          <w:sz w:val="24"/>
          <w:highlight w:val="none"/>
        </w:rPr>
        <w:t>文件要求的所有数据和资料。</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.谈判报价</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12</w:t>
      </w:r>
      <w:r>
        <w:rPr>
          <w:rFonts w:hint="eastAsia" w:ascii="宋体" w:hAnsi="宋体" w:eastAsia="宋体" w:cs="宋体"/>
          <w:sz w:val="24"/>
          <w:highlight w:val="none"/>
        </w:rPr>
        <w:t>.1</w:t>
      </w:r>
      <w:r>
        <w:rPr>
          <w:rFonts w:hint="eastAsia" w:ascii="宋体" w:hAnsi="宋体" w:eastAsia="宋体" w:cs="宋体"/>
          <w:sz w:val="24"/>
          <w:highlight w:val="none"/>
          <w:lang w:eastAsia="zh-CN"/>
        </w:rPr>
        <w:t>谈判</w:t>
      </w:r>
      <w:r>
        <w:rPr>
          <w:rFonts w:hint="eastAsia" w:ascii="宋体" w:hAnsi="宋体" w:eastAsia="宋体" w:cs="宋体"/>
          <w:sz w:val="24"/>
          <w:highlight w:val="none"/>
        </w:rPr>
        <w:t>报价：</w:t>
      </w:r>
      <w:r>
        <w:rPr>
          <w:rFonts w:hint="eastAsia" w:ascii="宋体" w:hAnsi="宋体" w:eastAsia="宋体" w:cs="宋体"/>
          <w:sz w:val="24"/>
          <w:highlight w:val="none"/>
          <w:lang w:eastAsia="zh-CN"/>
        </w:rPr>
        <w:t>见供应商须知前附表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.2谈判报价表</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明的价格应为履行合同的固定价格，不得以任何理由予以变更。以可调整的价格提交的竞争性谈判响应文件按无效响应处理。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13</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合格和资格的文件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应按照竞争性谈判文件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的要求，在竞争性谈判响应文件中提交合格的资格证明文件。如果资格证明文件不全或不合格的，其谈判按无效响应处理。</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.证明</w:t>
      </w:r>
      <w:r>
        <w:rPr>
          <w:rFonts w:hint="eastAsia" w:ascii="宋体" w:hAnsi="宋体" w:eastAsia="宋体" w:cs="宋体"/>
          <w:b/>
          <w:sz w:val="24"/>
          <w:szCs w:val="24"/>
          <w:highlight w:val="none"/>
          <w:lang w:eastAsia="zh-CN"/>
        </w:rPr>
        <w:t>服务</w:t>
      </w:r>
      <w:r>
        <w:rPr>
          <w:rFonts w:hint="eastAsia" w:ascii="宋体" w:hAnsi="宋体" w:eastAsia="宋体" w:cs="宋体"/>
          <w:b/>
          <w:sz w:val="24"/>
          <w:szCs w:val="24"/>
          <w:highlight w:val="none"/>
        </w:rPr>
        <w:t>符合竞争性谈判文件规定的文件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应在竞争性谈判响应文件中提交产品和服务满足竞争性谈判文件要求并符合国家法律法规、行业管理部门要求的其他强制性标准的证明文件。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.2上述证明文件包括：</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主要技术指标和性能的详细说明；</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逐条对竞争性谈判文件提出的技术要求和商务要求进行应答，说明所提供的产品和服务对竞争性谈判的技术和商务要求是否做出了实质性响应并提供支持文件；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3) 服务内容、服务实施方案等的详细说明。</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.谈判保证金</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在谈判时应向</w:t>
      </w:r>
      <w:r>
        <w:rPr>
          <w:rFonts w:hint="eastAsia" w:ascii="宋体" w:hAnsi="宋体" w:eastAsia="宋体" w:cs="宋体"/>
          <w:sz w:val="24"/>
          <w:szCs w:val="24"/>
          <w:highlight w:val="none"/>
          <w:lang w:eastAsia="zh-CN"/>
        </w:rPr>
        <w:t>陕西中桓国际项目管理有限公司</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须知前附表”规定数额的谈判保证金,并作为其谈判的一部分。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.2谈判保证金是为了保护采购人和采购代理机构免遭因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的行为而蒙受损失。招标采购单位在因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的行为受到损害时可根据本须知</w:t>
      </w: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.8的规定没收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的谈判保证金。</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.3谈判保证金可采取“</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前附表”规定的任何一种形式。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.4谈判保证金必须按照竞争性谈判文件 “</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前附表”中规定的缴纳金额及方式办理。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谈判开始</w:t>
      </w:r>
      <w:r>
        <w:rPr>
          <w:rFonts w:hint="eastAsia" w:ascii="宋体" w:hAnsi="宋体" w:eastAsia="宋体" w:cs="宋体"/>
          <w:sz w:val="24"/>
          <w:szCs w:val="24"/>
          <w:highlight w:val="none"/>
        </w:rPr>
        <w:t>后经审查，未提交谈判保证金、未按竞争性谈判文件规定时间提交谈判保证金、谈判保证金金额不足或谈判保证金</w:t>
      </w:r>
      <w:r>
        <w:rPr>
          <w:rFonts w:hint="eastAsia" w:ascii="宋体" w:hAnsi="宋体" w:eastAsia="宋体" w:cs="宋体"/>
          <w:sz w:val="24"/>
          <w:szCs w:val="24"/>
          <w:highlight w:val="none"/>
          <w:lang w:eastAsia="zh-CN"/>
        </w:rPr>
        <w:t>转款凭证</w:t>
      </w:r>
      <w:r>
        <w:rPr>
          <w:rFonts w:hint="eastAsia" w:ascii="宋体" w:hAnsi="宋体" w:eastAsia="宋体" w:cs="宋体"/>
          <w:sz w:val="24"/>
          <w:szCs w:val="24"/>
          <w:highlight w:val="none"/>
        </w:rPr>
        <w:t>复印件/担保机构出具的保函复印件未附在竞争性谈判文件内</w:t>
      </w:r>
      <w:r>
        <w:rPr>
          <w:rFonts w:hint="eastAsia" w:ascii="宋体" w:hAnsi="宋体" w:eastAsia="宋体" w:cs="宋体"/>
          <w:color w:val="000000"/>
          <w:sz w:val="24"/>
          <w:szCs w:val="24"/>
          <w:highlight w:val="none"/>
        </w:rPr>
        <w:t>的</w:t>
      </w:r>
      <w:r>
        <w:rPr>
          <w:rFonts w:hint="eastAsia" w:ascii="宋体" w:hAnsi="宋体" w:eastAsia="宋体" w:cs="宋体"/>
          <w:sz w:val="24"/>
          <w:szCs w:val="24"/>
          <w:highlight w:val="none"/>
        </w:rPr>
        <w:t>谈判将按无效响应处理。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15.6</w:t>
      </w:r>
      <w:r>
        <w:rPr>
          <w:rFonts w:hint="eastAsia" w:ascii="宋体" w:hAnsi="宋体" w:eastAsia="宋体" w:cs="宋体"/>
          <w:sz w:val="24"/>
          <w:szCs w:val="24"/>
          <w:highlight w:val="none"/>
        </w:rPr>
        <w:t>未</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保证金，将在</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通知书发出后五个工作日内按原账户退还；</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保证金，在采购合同签订后五个工作日内退还（</w:t>
      </w:r>
      <w:r>
        <w:rPr>
          <w:rFonts w:hint="eastAsia" w:ascii="宋体" w:hAnsi="宋体" w:eastAsia="宋体" w:cs="宋体"/>
          <w:b/>
          <w:bCs/>
          <w:sz w:val="24"/>
          <w:szCs w:val="24"/>
          <w:highlight w:val="none"/>
        </w:rPr>
        <w:t>退还时，须</w:t>
      </w:r>
      <w:r>
        <w:rPr>
          <w:rFonts w:hint="eastAsia" w:ascii="宋体" w:hAnsi="宋体" w:eastAsia="宋体" w:cs="宋体"/>
          <w:b/>
          <w:color w:val="auto"/>
          <w:sz w:val="24"/>
          <w:szCs w:val="24"/>
          <w:highlight w:val="none"/>
        </w:rPr>
        <w:t>向采购代理机构提供采购合同</w:t>
      </w:r>
      <w:r>
        <w:rPr>
          <w:rFonts w:hint="eastAsia" w:ascii="宋体" w:hAnsi="宋体" w:eastAsia="宋体" w:cs="宋体"/>
          <w:b/>
          <w:bCs/>
          <w:color w:val="auto"/>
          <w:sz w:val="24"/>
          <w:szCs w:val="24"/>
          <w:highlight w:val="none"/>
          <w:lang w:eastAsia="zh-CN"/>
        </w:rPr>
        <w:t>及保证金缴纳凭证</w:t>
      </w:r>
      <w:r>
        <w:rPr>
          <w:rFonts w:hint="eastAsia" w:ascii="宋体" w:hAnsi="宋体" w:cs="宋体"/>
          <w:b/>
          <w:bCs/>
          <w:color w:val="auto"/>
          <w:sz w:val="24"/>
          <w:szCs w:val="24"/>
          <w:highlight w:val="none"/>
          <w:lang w:val="en-US" w:eastAsia="zh-CN"/>
        </w:rPr>
        <w:t>复印件各</w:t>
      </w:r>
      <w:r>
        <w:rPr>
          <w:rFonts w:hint="eastAsia" w:ascii="宋体" w:hAnsi="宋体" w:eastAsia="宋体" w:cs="宋体"/>
          <w:b/>
          <w:bCs/>
          <w:color w:val="auto"/>
          <w:sz w:val="24"/>
          <w:szCs w:val="24"/>
          <w:highlight w:val="none"/>
        </w:rPr>
        <w:t>壹份</w:t>
      </w:r>
      <w:r>
        <w:rPr>
          <w:rFonts w:hint="eastAsia" w:ascii="宋体" w:hAnsi="宋体" w:eastAsia="宋体" w:cs="宋体"/>
          <w:b/>
          <w:bCs/>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15</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以担保机构保函形式缴纳谈判保证金的，谈判结束之后将担保机构保函正本原件退回（退还时间参照</w:t>
      </w:r>
      <w:r>
        <w:rPr>
          <w:rFonts w:hint="eastAsia" w:ascii="宋体" w:hAnsi="宋体" w:eastAsia="宋体" w:cs="宋体"/>
          <w:color w:val="auto"/>
          <w:sz w:val="24"/>
          <w:szCs w:val="24"/>
          <w:highlight w:val="none"/>
          <w:lang w:eastAsia="zh-CN"/>
        </w:rPr>
        <w:t>15</w:t>
      </w:r>
      <w:r>
        <w:rPr>
          <w:rFonts w:hint="eastAsia" w:ascii="宋体" w:hAnsi="宋体" w:eastAsia="宋体" w:cs="宋体"/>
          <w:color w:val="auto"/>
          <w:sz w:val="24"/>
          <w:szCs w:val="24"/>
          <w:highlight w:val="none"/>
        </w:rPr>
        <w:t>.6条款）。</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领取担保机构保函正本原件时需携带</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授权委托书原件。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.8 下列任何情况发生时，视为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违约，其谈判保证金将被没收：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在谈判有效期内撤回其谈判；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成交后放弃成交或未能按规定签订合同；</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事先未通告无故不参加谈判活动的；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在谈判响应文件中提供伪造、套改、虚假资料参加谈判的；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不按法定程序进行质疑和投诉,捏造事实，查无实据，造成恶劣影响，导致采购活动无法正常进行的</w:t>
      </w:r>
      <w:r>
        <w:rPr>
          <w:rFonts w:hint="eastAsia" w:ascii="宋体" w:hAnsi="宋体" w:eastAsia="宋体" w:cs="宋体"/>
          <w:sz w:val="24"/>
          <w:szCs w:val="24"/>
          <w:highlight w:val="none"/>
          <w:lang w:val="en-US" w:eastAsia="zh-CN"/>
        </w:rPr>
        <w:t>。</w:t>
      </w:r>
    </w:p>
    <w:p>
      <w:pPr>
        <w:keepNext w:val="0"/>
        <w:keepLines w:val="0"/>
        <w:pageBreakBefore w:val="0"/>
        <w:widowControl w:val="0"/>
        <w:tabs>
          <w:tab w:val="right" w:pos="8788"/>
        </w:tabs>
        <w:wordWrap/>
        <w:overflowPunct/>
        <w:topLinePunct w:val="0"/>
        <w:autoSpaceDE/>
        <w:autoSpaceDN/>
        <w:bidi w:val="0"/>
        <w:spacing w:line="500" w:lineRule="exact"/>
        <w:textAlignment w:val="auto"/>
        <w:outlineLvl w:val="2"/>
        <w:rPr>
          <w:rFonts w:hint="eastAsia" w:ascii="宋体" w:hAnsi="宋体" w:eastAsia="宋体" w:cs="宋体"/>
          <w:b/>
          <w:color w:val="auto"/>
          <w:sz w:val="24"/>
          <w:szCs w:val="24"/>
          <w:highlight w:val="none"/>
        </w:rPr>
      </w:pPr>
      <w:r>
        <w:rPr>
          <w:rFonts w:hint="eastAsia" w:ascii="宋体" w:hAnsi="宋体" w:eastAsia="宋体" w:cs="宋体"/>
          <w:b/>
          <w:bCs w:val="0"/>
          <w:sz w:val="24"/>
          <w:szCs w:val="24"/>
          <w:highlight w:val="none"/>
        </w:rPr>
        <w:t>1</w:t>
      </w:r>
      <w:r>
        <w:rPr>
          <w:rFonts w:hint="eastAsia" w:ascii="宋体" w:hAnsi="宋体" w:eastAsia="宋体" w:cs="宋体"/>
          <w:b/>
          <w:bCs w:val="0"/>
          <w:sz w:val="24"/>
          <w:szCs w:val="24"/>
          <w:highlight w:val="none"/>
          <w:lang w:val="en-US" w:eastAsia="zh-CN"/>
        </w:rPr>
        <w:t>6</w:t>
      </w:r>
      <w:r>
        <w:rPr>
          <w:rFonts w:hint="eastAsia" w:ascii="宋体" w:hAnsi="宋体" w:eastAsia="宋体" w:cs="宋体"/>
          <w:b/>
          <w:bCs w:val="0"/>
          <w:sz w:val="24"/>
          <w:szCs w:val="24"/>
          <w:highlight w:val="none"/>
        </w:rPr>
        <w:t>.谈判有效期</w:t>
      </w:r>
      <w:r>
        <w:rPr>
          <w:rFonts w:hint="eastAsia" w:ascii="宋体" w:hAnsi="宋体" w:eastAsia="宋体" w:cs="宋体"/>
          <w:b/>
          <w:color w:val="auto"/>
          <w:sz w:val="24"/>
          <w:szCs w:val="24"/>
          <w:highlight w:val="none"/>
        </w:rPr>
        <w:tab/>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谈判有效期：见供应商须知前附表</w:t>
      </w:r>
      <w:r>
        <w:rPr>
          <w:rFonts w:hint="eastAsia" w:ascii="宋体" w:hAnsi="宋体" w:eastAsia="宋体" w:cs="宋体"/>
          <w:color w:val="auto"/>
          <w:sz w:val="24"/>
          <w:szCs w:val="24"/>
          <w:highlight w:val="none"/>
        </w:rPr>
        <w:t>。谈判有</w:t>
      </w:r>
      <w:r>
        <w:rPr>
          <w:rFonts w:hint="eastAsia" w:ascii="宋体" w:hAnsi="宋体" w:eastAsia="宋体" w:cs="宋体"/>
          <w:sz w:val="24"/>
          <w:szCs w:val="24"/>
          <w:highlight w:val="none"/>
        </w:rPr>
        <w:t>效期不满足规定有效期的谈判</w:t>
      </w:r>
      <w:r>
        <w:rPr>
          <w:rFonts w:hint="eastAsia" w:ascii="宋体" w:hAnsi="宋体" w:eastAsia="宋体" w:cs="宋体"/>
          <w:sz w:val="24"/>
          <w:highlight w:val="none"/>
        </w:rPr>
        <w:t>将被视为非响应性谈判而予以拒绝</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.2在特殊情况下，在原谈判有效期期满之前，采购代理机构可向</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提出延长谈判有效期的要求。这种要求与答复均应以书面的形式。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可以拒绝采购代理机构的这种要求,其谈判保证金也不被没收。同意延长的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既不能要求也不允许修改其竞争性谈判响应文件，但要相应延长其谈判保证金的有效期。</w:t>
      </w:r>
      <w:r>
        <w:rPr>
          <w:rFonts w:hint="eastAsia" w:ascii="宋体" w:hAnsi="宋体" w:eastAsia="宋体" w:cs="宋体"/>
          <w:sz w:val="24"/>
          <w:highlight w:val="none"/>
        </w:rPr>
        <w:t>在这种情况下，本须知第</w:t>
      </w:r>
      <w:r>
        <w:rPr>
          <w:rFonts w:hint="eastAsia" w:ascii="宋体" w:hAnsi="宋体" w:eastAsia="宋体" w:cs="宋体"/>
          <w:sz w:val="24"/>
          <w:highlight w:val="none"/>
          <w:lang w:val="en-US" w:eastAsia="zh-CN"/>
        </w:rPr>
        <w:t>15</w:t>
      </w:r>
      <w:r>
        <w:rPr>
          <w:rFonts w:hint="eastAsia" w:ascii="宋体" w:hAnsi="宋体" w:eastAsia="宋体" w:cs="宋体"/>
          <w:sz w:val="24"/>
          <w:highlight w:val="none"/>
        </w:rPr>
        <w:t>条有关谈判保证金的退还和没收的规定将在延长了的有效期内继续有效。</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7</w:t>
      </w:r>
      <w:r>
        <w:rPr>
          <w:rFonts w:hint="eastAsia" w:ascii="宋体" w:hAnsi="宋体" w:eastAsia="宋体" w:cs="宋体"/>
          <w:b/>
          <w:sz w:val="24"/>
          <w:szCs w:val="24"/>
          <w:highlight w:val="none"/>
        </w:rPr>
        <w:t>.竞争性谈判响应文件的式样和签署</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文件正本、副本、电子版</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份数</w:t>
      </w:r>
      <w:r>
        <w:rPr>
          <w:rFonts w:hint="eastAsia" w:ascii="宋体" w:hAnsi="宋体" w:eastAsia="宋体" w:cs="宋体"/>
          <w:color w:val="auto"/>
          <w:sz w:val="24"/>
          <w:szCs w:val="24"/>
          <w:highlight w:val="none"/>
          <w:lang w:eastAsia="zh-CN"/>
        </w:rPr>
        <w:t>及要求详</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w:t>
      </w:r>
      <w:r>
        <w:rPr>
          <w:rFonts w:hint="eastAsia" w:ascii="宋体" w:hAnsi="宋体" w:eastAsia="宋体" w:cs="宋体"/>
          <w:b w:val="0"/>
          <w:bCs w:val="0"/>
          <w:color w:val="auto"/>
          <w:sz w:val="24"/>
          <w:szCs w:val="24"/>
          <w:highlight w:val="none"/>
        </w:rPr>
        <w:t>竞争性谈判响应文件正本均需打印或用不褪色、不变质的墨水书写，</w:t>
      </w:r>
      <w:r>
        <w:rPr>
          <w:rFonts w:hint="eastAsia" w:hAnsi="宋体"/>
          <w:b w:val="0"/>
          <w:bCs w:val="0"/>
          <w:color w:val="auto"/>
          <w:sz w:val="24"/>
          <w:szCs w:val="24"/>
          <w:highlight w:val="none"/>
        </w:rPr>
        <w:t>由</w:t>
      </w:r>
      <w:r>
        <w:rPr>
          <w:rFonts w:hint="eastAsia" w:hAnsi="宋体"/>
          <w:b w:val="0"/>
          <w:bCs w:val="0"/>
          <w:color w:val="auto"/>
          <w:sz w:val="24"/>
          <w:szCs w:val="24"/>
          <w:highlight w:val="none"/>
          <w:lang w:eastAsia="zh-CN"/>
        </w:rPr>
        <w:t>供应商</w:t>
      </w:r>
      <w:r>
        <w:rPr>
          <w:rFonts w:hint="eastAsia" w:hAnsi="宋体"/>
          <w:b w:val="0"/>
          <w:bCs w:val="0"/>
          <w:color w:val="auto"/>
          <w:sz w:val="24"/>
          <w:szCs w:val="24"/>
          <w:highlight w:val="none"/>
        </w:rPr>
        <w:t>的法定代表人或</w:t>
      </w:r>
      <w:r>
        <w:rPr>
          <w:rFonts w:hint="eastAsia" w:hAnsi="宋体"/>
          <w:b w:val="0"/>
          <w:bCs w:val="0"/>
          <w:color w:val="auto"/>
          <w:sz w:val="24"/>
          <w:szCs w:val="24"/>
          <w:highlight w:val="none"/>
          <w:lang w:eastAsia="zh-CN"/>
        </w:rPr>
        <w:t>被授权人按谈判文件的规定签署</w:t>
      </w:r>
      <w:r>
        <w:rPr>
          <w:rFonts w:hint="eastAsia" w:hAnsi="宋体"/>
          <w:b w:val="0"/>
          <w:bCs w:val="0"/>
          <w:color w:val="auto"/>
          <w:sz w:val="24"/>
          <w:szCs w:val="24"/>
          <w:highlight w:val="none"/>
        </w:rPr>
        <w:t>（</w:t>
      </w:r>
      <w:r>
        <w:rPr>
          <w:rFonts w:hint="eastAsia" w:hAnsi="宋体" w:eastAsia="宋体" w:cs="宋体"/>
          <w:b w:val="0"/>
          <w:bCs w:val="0"/>
          <w:color w:val="auto"/>
          <w:sz w:val="24"/>
          <w:szCs w:val="24"/>
          <w:highlight w:val="none"/>
          <w:lang w:eastAsia="zh-CN"/>
        </w:rPr>
        <w:t>谈判</w:t>
      </w:r>
      <w:r>
        <w:rPr>
          <w:rFonts w:hint="eastAsia" w:ascii="宋体" w:hAnsi="宋体" w:eastAsia="宋体" w:cs="宋体"/>
          <w:b w:val="0"/>
          <w:bCs w:val="0"/>
          <w:color w:val="auto"/>
          <w:sz w:val="24"/>
          <w:szCs w:val="24"/>
          <w:highlight w:val="none"/>
        </w:rPr>
        <w:t>文件</w:t>
      </w:r>
      <w:r>
        <w:rPr>
          <w:rFonts w:hint="eastAsia" w:ascii="宋体" w:hAnsi="宋体" w:eastAsia="宋体" w:cs="宋体"/>
          <w:b w:val="0"/>
          <w:bCs w:val="0"/>
          <w:color w:val="auto"/>
          <w:sz w:val="24"/>
          <w:szCs w:val="24"/>
          <w:highlight w:val="none"/>
          <w:lang w:eastAsia="zh-CN"/>
        </w:rPr>
        <w:t>要求</w:t>
      </w:r>
      <w:r>
        <w:rPr>
          <w:rFonts w:hint="eastAsia" w:hAnsi="宋体" w:eastAsia="宋体" w:cs="宋体"/>
          <w:b w:val="0"/>
          <w:bCs w:val="0"/>
          <w:color w:val="auto"/>
          <w:sz w:val="24"/>
          <w:szCs w:val="24"/>
          <w:highlight w:val="none"/>
          <w:lang w:eastAsia="zh-CN"/>
        </w:rPr>
        <w:t>谈判响应文件中</w:t>
      </w:r>
      <w:r>
        <w:rPr>
          <w:rFonts w:hint="eastAsia" w:ascii="宋体" w:hAnsi="宋体" w:eastAsia="宋体" w:cs="宋体"/>
          <w:b w:val="0"/>
          <w:bCs w:val="0"/>
          <w:color w:val="auto"/>
          <w:sz w:val="24"/>
          <w:szCs w:val="24"/>
          <w:highlight w:val="none"/>
          <w:lang w:eastAsia="zh-CN"/>
        </w:rPr>
        <w:t>签章的统一为签字或盖章</w:t>
      </w:r>
      <w:r>
        <w:rPr>
          <w:rFonts w:hint="eastAsia" w:hAnsi="宋体"/>
          <w:b w:val="0"/>
          <w:bCs w:val="0"/>
          <w:color w:val="auto"/>
          <w:sz w:val="24"/>
          <w:szCs w:val="24"/>
          <w:highlight w:val="none"/>
        </w:rPr>
        <w:t>）</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竞争性谈判响应</w:t>
      </w:r>
      <w:r>
        <w:rPr>
          <w:rFonts w:hint="eastAsia" w:ascii="宋体" w:hAnsi="宋体" w:eastAsia="宋体" w:cs="宋体"/>
          <w:b w:val="0"/>
          <w:bCs w:val="0"/>
          <w:color w:val="auto"/>
          <w:sz w:val="24"/>
          <w:szCs w:val="24"/>
          <w:highlight w:val="none"/>
        </w:rPr>
        <w:t>文件副本可采用正本的复印件。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.3任何行间插字、涂改和增删，必须由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的法定代表人或其授权代表在旁边签字才有效。</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val="en-US" w:eastAsia="zh-CN"/>
        </w:rPr>
        <w:t>17.4</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竞争性谈判响应</w:t>
      </w:r>
      <w:r>
        <w:rPr>
          <w:rFonts w:hint="eastAsia" w:ascii="宋体" w:hAnsi="宋体" w:eastAsia="宋体" w:cs="宋体"/>
          <w:sz w:val="24"/>
          <w:szCs w:val="24"/>
          <w:highlight w:val="none"/>
        </w:rPr>
        <w:t>文件正本和副本</w:t>
      </w:r>
      <w:r>
        <w:rPr>
          <w:rFonts w:hint="eastAsia" w:ascii="宋体" w:hAnsi="宋体" w:eastAsia="宋体" w:cs="宋体"/>
          <w:sz w:val="24"/>
          <w:szCs w:val="24"/>
          <w:highlight w:val="none"/>
          <w:lang w:eastAsia="zh-CN"/>
        </w:rPr>
        <w:t>按照竞争性谈判文件</w:t>
      </w: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eastAsia="zh-CN"/>
        </w:rPr>
        <w:t>规定的</w:t>
      </w:r>
      <w:r>
        <w:rPr>
          <w:rFonts w:hint="eastAsia" w:ascii="宋体" w:hAnsi="宋体" w:eastAsia="宋体" w:cs="宋体"/>
          <w:sz w:val="24"/>
          <w:szCs w:val="24"/>
          <w:highlight w:val="none"/>
        </w:rPr>
        <w:t>顺序编排</w:t>
      </w:r>
      <w:r>
        <w:rPr>
          <w:rFonts w:hint="eastAsia" w:ascii="宋体" w:hAnsi="宋体" w:eastAsia="宋体" w:cs="宋体"/>
          <w:sz w:val="24"/>
          <w:szCs w:val="24"/>
          <w:highlight w:val="none"/>
          <w:lang w:eastAsia="zh-CN"/>
        </w:rPr>
        <w:t>、并应</w:t>
      </w:r>
      <w:r>
        <w:rPr>
          <w:rFonts w:hint="eastAsia" w:ascii="宋体" w:hAnsi="宋体" w:eastAsia="宋体" w:cs="宋体"/>
          <w:sz w:val="24"/>
          <w:szCs w:val="24"/>
          <w:highlight w:val="none"/>
          <w:lang w:val="zh-CN"/>
        </w:rPr>
        <w:t>编制目录，</w:t>
      </w:r>
      <w:r>
        <w:rPr>
          <w:rFonts w:hint="eastAsia" w:ascii="宋体" w:hAnsi="宋体" w:eastAsia="宋体" w:cs="宋体"/>
          <w:sz w:val="24"/>
          <w:szCs w:val="24"/>
          <w:highlight w:val="none"/>
        </w:rPr>
        <w:t>逐页标注连续页码</w:t>
      </w:r>
      <w:r>
        <w:rPr>
          <w:rFonts w:hint="eastAsia" w:ascii="宋体" w:hAnsi="宋体" w:eastAsia="宋体" w:cs="宋体"/>
          <w:sz w:val="24"/>
          <w:szCs w:val="24"/>
          <w:highlight w:val="none"/>
          <w:lang w:eastAsia="zh-CN"/>
        </w:rPr>
        <w:t>，并分别</w:t>
      </w:r>
      <w:r>
        <w:rPr>
          <w:rFonts w:hint="eastAsia" w:ascii="宋体" w:hAnsi="宋体" w:eastAsia="宋体" w:cs="宋体"/>
          <w:sz w:val="24"/>
          <w:szCs w:val="24"/>
          <w:highlight w:val="none"/>
          <w:lang w:val="zh-CN"/>
        </w:rPr>
        <w:t>胶装成册</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因字迹潦草、表述不清或不按竞争性谈判文件格式编制的竞争性谈判响应文件，所引起的对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不利的后果，由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自行负责。</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谈判响应</w:t>
      </w:r>
      <w:r>
        <w:rPr>
          <w:rFonts w:hint="eastAsia" w:ascii="宋体" w:hAnsi="宋体" w:eastAsia="宋体" w:cs="宋体"/>
          <w:sz w:val="24"/>
          <w:szCs w:val="24"/>
          <w:highlight w:val="none"/>
        </w:rPr>
        <w:t>文件的副本、电子版须和正本保持一致。若正本</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副本</w:t>
      </w:r>
      <w:r>
        <w:rPr>
          <w:rFonts w:hint="eastAsia" w:ascii="宋体" w:hAnsi="宋体" w:eastAsia="宋体" w:cs="宋体"/>
          <w:sz w:val="24"/>
          <w:szCs w:val="24"/>
          <w:highlight w:val="none"/>
          <w:lang w:eastAsia="zh-CN"/>
        </w:rPr>
        <w:t>和电子版</w:t>
      </w:r>
      <w:r>
        <w:rPr>
          <w:rFonts w:hint="eastAsia" w:ascii="宋体" w:hAnsi="宋体" w:eastAsia="宋体" w:cs="宋体"/>
          <w:sz w:val="24"/>
          <w:szCs w:val="24"/>
          <w:highlight w:val="none"/>
        </w:rPr>
        <w:t>有不一致的内容，以正本为准。</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四.竞争性谈判响应文件的递交</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竞争性谈判响应文件的密封和标记</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.1</w:t>
      </w:r>
      <w:r>
        <w:rPr>
          <w:rFonts w:hint="eastAsia" w:ascii="宋体" w:hAnsi="宋体" w:eastAsia="宋体" w:cs="宋体"/>
          <w:sz w:val="24"/>
          <w:highlight w:val="none"/>
        </w:rPr>
        <w:t>报价一览表除在竞争性谈判响应文件内装订外，再</w:t>
      </w:r>
      <w:r>
        <w:rPr>
          <w:rFonts w:hint="eastAsia" w:ascii="宋体" w:hAnsi="宋体" w:eastAsia="宋体" w:cs="宋体"/>
          <w:sz w:val="24"/>
          <w:highlight w:val="none"/>
          <w:lang w:eastAsia="zh-CN"/>
        </w:rPr>
        <w:t>单独</w:t>
      </w:r>
      <w:r>
        <w:rPr>
          <w:rFonts w:hint="eastAsia" w:ascii="宋体" w:hAnsi="宋体" w:eastAsia="宋体" w:cs="宋体"/>
          <w:sz w:val="24"/>
          <w:highlight w:val="none"/>
        </w:rPr>
        <w:t>制作一份单独</w:t>
      </w:r>
      <w:r>
        <w:rPr>
          <w:rFonts w:hint="eastAsia" w:ascii="宋体" w:hAnsi="宋体" w:eastAsia="宋体" w:cs="宋体"/>
          <w:sz w:val="24"/>
          <w:highlight w:val="none"/>
          <w:lang w:eastAsia="zh-CN"/>
        </w:rPr>
        <w:t>密封在封袋</w:t>
      </w:r>
      <w:r>
        <w:rPr>
          <w:rFonts w:hint="eastAsia" w:ascii="宋体" w:hAnsi="宋体" w:eastAsia="宋体" w:cs="宋体"/>
          <w:sz w:val="24"/>
          <w:highlight w:val="none"/>
        </w:rPr>
        <w:t>中。封线处加贴封条并加盖</w:t>
      </w:r>
      <w:r>
        <w:rPr>
          <w:rFonts w:hint="eastAsia" w:ascii="宋体" w:hAnsi="宋体" w:eastAsia="宋体" w:cs="宋体"/>
          <w:sz w:val="24"/>
          <w:highlight w:val="none"/>
          <w:lang w:eastAsia="zh-CN"/>
        </w:rPr>
        <w:t>谈判供应商</w:t>
      </w:r>
      <w:r>
        <w:rPr>
          <w:rFonts w:hint="eastAsia" w:ascii="宋体" w:hAnsi="宋体" w:eastAsia="宋体" w:cs="宋体"/>
          <w:sz w:val="24"/>
          <w:highlight w:val="none"/>
        </w:rPr>
        <w:t>公章，封袋正面要粘贴标识，单独递交（该单独密封报价一览表的谈判报价必须与竞争性谈判响应文件正本中的报价一览表谈判报价一致，若不一致，则按单独密封的报价一览表为准。）</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18.2</w:t>
      </w:r>
      <w:r>
        <w:rPr>
          <w:rFonts w:hint="eastAsia" w:ascii="宋体" w:hAnsi="宋体" w:eastAsia="宋体" w:cs="宋体"/>
          <w:sz w:val="24"/>
          <w:szCs w:val="24"/>
          <w:highlight w:val="none"/>
          <w:lang w:eastAsia="zh-CN"/>
        </w:rPr>
        <w:t>谈判响应文件的密封和标记</w:t>
      </w:r>
      <w:r>
        <w:rPr>
          <w:rFonts w:hint="eastAsia" w:ascii="宋体" w:hAnsi="宋体" w:eastAsia="宋体" w:cs="宋体"/>
          <w:color w:val="auto"/>
          <w:sz w:val="24"/>
          <w:szCs w:val="24"/>
          <w:highlight w:val="none"/>
          <w:lang w:eastAsia="zh-CN"/>
        </w:rPr>
        <w:t>：详见“供应商须知前附表”。</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18.3</w:t>
      </w:r>
      <w:r>
        <w:rPr>
          <w:rFonts w:hint="eastAsia" w:ascii="宋体" w:hAnsi="宋体" w:eastAsia="宋体" w:cs="宋体"/>
          <w:sz w:val="24"/>
          <w:szCs w:val="24"/>
          <w:highlight w:val="none"/>
        </w:rPr>
        <w:t>如果</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未对竞争性谈判响应文件按上述要求进行完好密封，由此产生的不利后果由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自行承担。</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竞争性谈判响应文件的递交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应按照竞争性谈判公告中规定的时间、地点，在规定的竞争性谈判响应文件递交截止时间前将全部竞争性谈判响应文件和谈判资料递交至采购代理机构接收人处。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.2采购代理机构在竞争性谈判文件规定的竞争性谈判响应文件递交截止时间前，只负责竞争性谈判响应文件的接收、清点、造册登记工作，并请递交人签字确认，对其有效性不负任何责任；</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.3无论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成交与否，其竞争性谈判响应文件</w:t>
      </w:r>
      <w:r>
        <w:rPr>
          <w:rFonts w:hint="eastAsia" w:ascii="宋体" w:hAnsi="宋体" w:eastAsia="宋体" w:cs="宋体"/>
          <w:color w:val="auto"/>
          <w:sz w:val="24"/>
          <w:szCs w:val="24"/>
          <w:highlight w:val="none"/>
          <w:lang w:val="en-US" w:eastAsia="zh-CN"/>
        </w:rPr>
        <w:t>概</w:t>
      </w:r>
      <w:r>
        <w:rPr>
          <w:rFonts w:hint="eastAsia" w:ascii="宋体" w:hAnsi="宋体" w:eastAsia="宋体" w:cs="宋体"/>
          <w:color w:val="auto"/>
          <w:sz w:val="24"/>
          <w:szCs w:val="24"/>
          <w:highlight w:val="none"/>
        </w:rPr>
        <w:t>不退还。</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20</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迟交的竞争性谈判响应文件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.1按照</w:t>
      </w:r>
      <w:r>
        <w:rPr>
          <w:rFonts w:hint="eastAsia" w:ascii="宋体" w:hAnsi="宋体" w:eastAsia="宋体" w:cs="宋体"/>
          <w:sz w:val="24"/>
          <w:szCs w:val="24"/>
          <w:highlight w:val="none"/>
          <w:lang w:eastAsia="zh-CN"/>
        </w:rPr>
        <w:t>供应商须知</w:t>
      </w:r>
      <w:r>
        <w:rPr>
          <w:rFonts w:hint="eastAsia" w:ascii="宋体" w:hAnsi="宋体" w:eastAsia="宋体" w:cs="宋体"/>
          <w:sz w:val="24"/>
          <w:szCs w:val="24"/>
          <w:highlight w:val="none"/>
        </w:rPr>
        <w:t>的规定，</w:t>
      </w:r>
      <w:r>
        <w:rPr>
          <w:rFonts w:hint="eastAsia" w:ascii="宋体" w:hAnsi="宋体" w:eastAsia="宋体" w:cs="宋体"/>
          <w:sz w:val="24"/>
          <w:szCs w:val="24"/>
          <w:highlight w:val="none"/>
          <w:lang w:eastAsia="zh-CN"/>
        </w:rPr>
        <w:t>在递交谈判响应文件</w:t>
      </w:r>
      <w:r>
        <w:rPr>
          <w:rFonts w:hint="eastAsia" w:ascii="宋体" w:hAnsi="宋体" w:eastAsia="宋体" w:cs="宋体"/>
          <w:sz w:val="24"/>
          <w:szCs w:val="24"/>
          <w:highlight w:val="none"/>
        </w:rPr>
        <w:t>截止时间后</w:t>
      </w:r>
      <w:r>
        <w:rPr>
          <w:rFonts w:hint="eastAsia" w:ascii="宋体" w:hAnsi="宋体" w:eastAsia="宋体" w:cs="宋体"/>
          <w:sz w:val="24"/>
          <w:szCs w:val="24"/>
          <w:highlight w:val="none"/>
          <w:lang w:eastAsia="zh-CN"/>
        </w:rPr>
        <w:t>送达</w:t>
      </w:r>
      <w:r>
        <w:rPr>
          <w:rFonts w:hint="eastAsia" w:ascii="宋体" w:hAnsi="宋体" w:eastAsia="宋体" w:cs="宋体"/>
          <w:sz w:val="24"/>
          <w:szCs w:val="24"/>
          <w:highlight w:val="none"/>
        </w:rPr>
        <w:t>的竞争性谈判响应文件</w:t>
      </w:r>
      <w:r>
        <w:rPr>
          <w:rFonts w:hint="eastAsia" w:ascii="宋体" w:hAnsi="宋体" w:eastAsia="宋体" w:cs="宋体"/>
          <w:sz w:val="24"/>
          <w:szCs w:val="24"/>
          <w:highlight w:val="none"/>
          <w:lang w:eastAsia="zh-CN"/>
        </w:rPr>
        <w:t>，为无效响应文件，采购代理机构将拒绝接受</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谈判的修改与撤回</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可以修改或撤回其</w:t>
      </w:r>
      <w:r>
        <w:rPr>
          <w:rFonts w:hint="eastAsia" w:ascii="宋体" w:hAnsi="宋体" w:eastAsia="宋体" w:cs="宋体"/>
          <w:sz w:val="24"/>
          <w:szCs w:val="24"/>
          <w:highlight w:val="none"/>
          <w:lang w:eastAsia="zh-CN"/>
        </w:rPr>
        <w:t>已递交的谈判</w:t>
      </w:r>
      <w:r>
        <w:rPr>
          <w:rFonts w:hint="eastAsia" w:ascii="宋体" w:hAnsi="宋体" w:eastAsia="宋体" w:cs="宋体"/>
          <w:sz w:val="24"/>
          <w:szCs w:val="24"/>
          <w:highlight w:val="none"/>
        </w:rPr>
        <w:t>响应文件，也可以提出价格变动声明，但</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必须在规定的谈判截止时间之前将修改或撤回或变动价格的书面通知文件递交到采购代理机构。</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的修改或撤回或变动价格的通知应按本须知第</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rPr>
        <w:t>条的规定编制、密封、标记和递交。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.3 在</w:t>
      </w:r>
      <w:r>
        <w:rPr>
          <w:rFonts w:hint="eastAsia" w:ascii="宋体" w:hAnsi="宋体" w:eastAsia="宋体" w:cs="宋体"/>
          <w:sz w:val="24"/>
          <w:szCs w:val="24"/>
          <w:highlight w:val="none"/>
          <w:lang w:eastAsia="zh-CN"/>
        </w:rPr>
        <w:t>谈判响应文件递交</w:t>
      </w:r>
      <w:r>
        <w:rPr>
          <w:rFonts w:hint="eastAsia" w:ascii="宋体" w:hAnsi="宋体" w:eastAsia="宋体" w:cs="宋体"/>
          <w:sz w:val="24"/>
          <w:szCs w:val="24"/>
          <w:highlight w:val="none"/>
        </w:rPr>
        <w:t>截止时间之后，</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不得对其谈判做任何修改或撤回。</w:t>
      </w: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五.谈判与评审</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.谈判</w:t>
      </w:r>
      <w:r>
        <w:rPr>
          <w:rFonts w:hint="eastAsia" w:ascii="宋体" w:hAnsi="宋体" w:eastAsia="宋体" w:cs="宋体"/>
          <w:b/>
          <w:sz w:val="24"/>
          <w:szCs w:val="24"/>
          <w:highlight w:val="none"/>
          <w:lang w:eastAsia="zh-CN"/>
        </w:rPr>
        <w:t>大会</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 采购代理机构在规定的时间和地点组织竞争性谈判。谈判时所有</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代表自愿参加，参加谈判的代表应签名报到以证明其出席。</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sz w:val="24"/>
          <w:szCs w:val="24"/>
          <w:highlight w:val="none"/>
        </w:rPr>
        <w:t>在谈判时没有启封的竞争性谈判响应文件将原封退回给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.3采购代理机构将做</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记录，存档备查。</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23</w:t>
      </w:r>
      <w:r>
        <w:rPr>
          <w:rFonts w:hint="eastAsia" w:ascii="宋体" w:hAnsi="宋体" w:eastAsia="宋体" w:cs="宋体"/>
          <w:b/>
          <w:sz w:val="24"/>
          <w:szCs w:val="24"/>
          <w:highlight w:val="none"/>
        </w:rPr>
        <w:t>．评审组织及评审原则</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.1按照《中华人民共和国政府采购法》</w:t>
      </w:r>
      <w:r>
        <w:rPr>
          <w:rFonts w:hint="eastAsia" w:ascii="宋体" w:hAnsi="宋体" w:eastAsia="宋体" w:cs="宋体"/>
          <w:sz w:val="24"/>
          <w:szCs w:val="24"/>
          <w:highlight w:val="none"/>
          <w:lang w:eastAsia="zh-CN"/>
        </w:rPr>
        <w:t>及实施条例</w:t>
      </w:r>
      <w:r>
        <w:rPr>
          <w:rFonts w:hint="eastAsia" w:ascii="宋体" w:hAnsi="宋体" w:eastAsia="宋体" w:cs="宋体"/>
          <w:sz w:val="24"/>
          <w:szCs w:val="24"/>
          <w:highlight w:val="none"/>
        </w:rPr>
        <w:t>和中华人民共和国财政部令第74号--《政府采购非招标采购方式管理办法》的规定，依法组建谈判小组。谈判小组由采购人代表和有关技术、经济等方面的专家组成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谈判小组按照竞争性谈判文件规定的评审方法独立进行评审工作。</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.2竞争性谈判文件和竞争性谈判响应文件是评审的依据。在评审中，不得改变竞争性谈判文件中规定的评审标准、方法和成交条件。</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.3在谈判期间，对竞争性谈判响应文件中含义不明确、同类问题表述不一致或者有明显文字和计算错误的内容，</w:t>
      </w:r>
      <w:r>
        <w:rPr>
          <w:rFonts w:hint="eastAsia" w:ascii="宋体" w:hAnsi="宋体" w:eastAsia="宋体" w:cs="宋体"/>
          <w:color w:val="auto"/>
          <w:sz w:val="24"/>
          <w:szCs w:val="24"/>
          <w:highlight w:val="none"/>
        </w:rPr>
        <w:t>谈判小组可以书面形式（由</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小组专家签字）</w:t>
      </w: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作出必要的澄清、说明或者纠正。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的澄清、说明或者补正应当采用书面形式，由其授权的代表签字，并不得超出竞争性谈判响应文件的范围或者改变竞争性谈判响应文件的实质性内容。</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23</w:t>
      </w:r>
      <w:r>
        <w:rPr>
          <w:rFonts w:hint="eastAsia" w:ascii="宋体" w:hAnsi="宋体" w:eastAsia="宋体" w:cs="宋体"/>
          <w:sz w:val="24"/>
          <w:szCs w:val="24"/>
          <w:highlight w:val="none"/>
        </w:rPr>
        <w:t>.4如果</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在澄清规定期限内，未能答复或拒绝答复谈判小组提出的澄清要求，将由谈判小组根据其竞争性谈判响应文件按最大风险进行评审。</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24</w:t>
      </w:r>
      <w:r>
        <w:rPr>
          <w:rFonts w:hint="eastAsia" w:ascii="宋体" w:hAnsi="宋体" w:eastAsia="宋体" w:cs="宋体"/>
          <w:b/>
          <w:sz w:val="24"/>
          <w:szCs w:val="24"/>
          <w:highlight w:val="none"/>
        </w:rPr>
        <w:t>．评审过程的保密</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谈判小组成员和与评审活动有关的工作人员不得泄露有关竞争性谈判响应文件的评审和比较、成交候选人的推荐以及与评审有关的其他情况。</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25</w:t>
      </w:r>
      <w:r>
        <w:rPr>
          <w:rFonts w:hint="eastAsia" w:ascii="宋体" w:hAnsi="宋体" w:eastAsia="宋体" w:cs="宋体"/>
          <w:b/>
          <w:sz w:val="24"/>
          <w:szCs w:val="24"/>
          <w:highlight w:val="none"/>
        </w:rPr>
        <w:t>．评审方法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w:t>
      </w:r>
      <w:r>
        <w:rPr>
          <w:rFonts w:hint="eastAsia" w:ascii="宋体" w:hAnsi="宋体" w:eastAsia="宋体" w:cs="宋体"/>
          <w:sz w:val="24"/>
          <w:szCs w:val="24"/>
          <w:highlight w:val="none"/>
          <w:lang w:eastAsia="zh-CN"/>
        </w:rPr>
        <w:t>政府采购法》及实施条例</w:t>
      </w:r>
      <w:r>
        <w:rPr>
          <w:rFonts w:hint="eastAsia" w:ascii="宋体" w:hAnsi="宋体" w:eastAsia="宋体" w:cs="宋体"/>
          <w:sz w:val="24"/>
          <w:szCs w:val="24"/>
          <w:highlight w:val="none"/>
        </w:rPr>
        <w:t>、中华人民共和国财政部令第74号--《政府采购非招标采购方式管理办法》的规定，本次评审采用最低评标价法。</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最低评标价法，即在全部满足竞争性谈判文件实质性要求前提下，依据统一的价格要素评定最低报价，以提出最低报价的谈判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作为成交候选供应商并依次排序。</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26</w:t>
      </w:r>
      <w:r>
        <w:rPr>
          <w:rFonts w:hint="eastAsia" w:ascii="宋体" w:hAnsi="宋体" w:eastAsia="宋体" w:cs="宋体"/>
          <w:b/>
          <w:sz w:val="24"/>
          <w:szCs w:val="24"/>
          <w:highlight w:val="none"/>
        </w:rPr>
        <w:t>．评审程序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按照竞争性谈判响应文件初审、澄清有关问题、分别谈判、二次报价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推荐成交候选供应商名单的工作程序进行评审。在上一步评审中被</w:t>
      </w:r>
      <w:r>
        <w:rPr>
          <w:rFonts w:hint="eastAsia" w:ascii="宋体" w:hAnsi="宋体" w:eastAsia="宋体" w:cs="宋体"/>
          <w:sz w:val="24"/>
          <w:szCs w:val="24"/>
          <w:highlight w:val="none"/>
          <w:lang w:eastAsia="zh-CN"/>
        </w:rPr>
        <w:t>认定无效文件</w:t>
      </w:r>
      <w:r>
        <w:rPr>
          <w:rFonts w:hint="eastAsia" w:ascii="宋体" w:hAnsi="宋体" w:eastAsia="宋体" w:cs="宋体"/>
          <w:sz w:val="24"/>
          <w:szCs w:val="24"/>
          <w:highlight w:val="none"/>
        </w:rPr>
        <w:t>者，不进入下一步的评审。</w:t>
      </w:r>
    </w:p>
    <w:p>
      <w:pPr>
        <w:pStyle w:val="3"/>
        <w:rPr>
          <w:rFonts w:hint="eastAsia" w:ascii="宋体" w:hAnsi="宋体" w:eastAsia="宋体" w:cs="宋体"/>
          <w:highlight w:val="none"/>
        </w:rPr>
      </w:pPr>
    </w:p>
    <w:p>
      <w:pPr>
        <w:keepNext w:val="0"/>
        <w:keepLines w:val="0"/>
        <w:pageBreakBefore w:val="0"/>
        <w:widowControl w:val="0"/>
        <w:wordWrap/>
        <w:overflowPunct/>
        <w:topLinePunct w:val="0"/>
        <w:autoSpaceDE/>
        <w:autoSpaceDN/>
        <w:bidi w:val="0"/>
        <w:spacing w:before="156" w:beforeLines="50" w:line="500" w:lineRule="exact"/>
        <w:jc w:val="center"/>
        <w:textAlignment w:val="auto"/>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27</w:t>
      </w:r>
      <w:r>
        <w:rPr>
          <w:rFonts w:hint="eastAsia" w:ascii="宋体" w:hAnsi="宋体" w:eastAsia="宋体" w:cs="宋体"/>
          <w:b/>
          <w:sz w:val="24"/>
          <w:szCs w:val="24"/>
          <w:highlight w:val="none"/>
        </w:rPr>
        <w:t>．成交程序</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.1谈判小组根据评审方法的规定对谈判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进行评审排序，推荐3名成交候选人，作为评审结果。评审结果由全体评委签字确认。</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.2采购人根据谈判报告中推荐的成交候选人排列顺序，确定排名第一的为成交人。采购人也可以授权谈判小组评审后直接确定成交人。</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.3</w:t>
      </w:r>
      <w:r>
        <w:rPr>
          <w:rFonts w:hint="eastAsia" w:ascii="宋体" w:hAnsi="宋体" w:eastAsia="宋体" w:cs="宋体"/>
          <w:sz w:val="24"/>
          <w:highlight w:val="none"/>
        </w:rPr>
        <w:t>排名第一的成交候选人放弃成交、在规定期限内未能签订合同、因不可抗力不能履行合同、不按照竞争性谈判文件要求提交履约保证金，或者被查实存在影响成交结果的违法行为等情形，不符合成交条件的，采购人可以按照谈判小组提出的成交候选人名单排序依次确定其他成交候选人为成交人，也可以重新组织竞争性谈判</w:t>
      </w:r>
      <w:r>
        <w:rPr>
          <w:rFonts w:hint="eastAsia" w:ascii="宋体" w:hAnsi="宋体" w:eastAsia="宋体" w:cs="宋体"/>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.4成交人确定之后，成交结果将在财政部门指定的政府采购信息发布媒体上公告。</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.5</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或者其他利害关系人对评审结果有异议的，应当在</w:t>
      </w:r>
      <w:r>
        <w:rPr>
          <w:rFonts w:hint="eastAsia" w:ascii="宋体" w:hAnsi="宋体" w:eastAsia="宋体" w:cs="宋体"/>
          <w:sz w:val="24"/>
          <w:szCs w:val="24"/>
          <w:highlight w:val="none"/>
          <w:lang w:eastAsia="zh-CN"/>
        </w:rPr>
        <w:t>法律规定的时间内</w:t>
      </w:r>
      <w:r>
        <w:rPr>
          <w:rFonts w:hint="eastAsia" w:ascii="宋体" w:hAnsi="宋体" w:eastAsia="宋体" w:cs="宋体"/>
          <w:sz w:val="24"/>
          <w:szCs w:val="24"/>
          <w:highlight w:val="none"/>
        </w:rPr>
        <w:t>提出。</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sz w:val="24"/>
          <w:szCs w:val="24"/>
          <w:highlight w:val="none"/>
          <w:lang w:val="en-US" w:eastAsia="zh-CN"/>
        </w:rPr>
        <w:t>8</w:t>
      </w:r>
      <w:r>
        <w:rPr>
          <w:rFonts w:hint="eastAsia" w:ascii="宋体" w:hAnsi="宋体" w:eastAsia="宋体" w:cs="宋体"/>
          <w:b/>
          <w:sz w:val="24"/>
          <w:szCs w:val="24"/>
          <w:highlight w:val="none"/>
        </w:rPr>
        <w:t>．成交通知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 xml:space="preserve">.1 采购代理机构向成交人发出《成交通知书》。 </w:t>
      </w:r>
      <w:r>
        <w:rPr>
          <w:rFonts w:hint="eastAsia" w:ascii="宋体" w:hAnsi="宋体" w:eastAsia="宋体" w:cs="宋体"/>
          <w:b/>
          <w:bCs/>
          <w:sz w:val="24"/>
          <w:szCs w:val="24"/>
          <w:highlight w:val="none"/>
          <w:lang w:eastAsia="zh-CN"/>
        </w:rPr>
        <w:t>成交人领取成交通知书时须携带法定代表人授权书及加盖单位公章的被授权人身份证复印件。</w:t>
      </w:r>
      <w:r>
        <w:rPr>
          <w:rFonts w:hint="eastAsia" w:ascii="宋体" w:hAnsi="宋体" w:eastAsia="宋体" w:cs="宋体"/>
          <w:b/>
          <w:bCs/>
          <w:sz w:val="24"/>
          <w:szCs w:val="24"/>
          <w:highlight w:val="none"/>
        </w:rPr>
        <w:t xml:space="preserve"> </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.2成交通知书对采购人和成交人具有同等法律效力。成交通知书发出之后，采购人改变成交结果，或者成交人放弃成交，应当承担相应的法律责任。</w:t>
      </w:r>
    </w:p>
    <w:p>
      <w:pPr>
        <w:keepNext w:val="0"/>
        <w:keepLines w:val="0"/>
        <w:pageBreakBefore w:val="0"/>
        <w:widowControl w:val="0"/>
        <w:wordWrap/>
        <w:overflowPunct/>
        <w:topLinePunct w:val="0"/>
        <w:autoSpaceDE/>
        <w:autoSpaceDN/>
        <w:bidi w:val="0"/>
        <w:spacing w:line="500" w:lineRule="exact"/>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29</w:t>
      </w:r>
      <w:r>
        <w:rPr>
          <w:rFonts w:hint="eastAsia" w:ascii="宋体" w:hAnsi="宋体" w:eastAsia="宋体" w:cs="宋体"/>
          <w:b/>
          <w:sz w:val="24"/>
          <w:szCs w:val="24"/>
          <w:highlight w:val="none"/>
        </w:rPr>
        <w:t xml:space="preserve">. </w:t>
      </w:r>
      <w:r>
        <w:rPr>
          <w:rFonts w:hint="eastAsia" w:ascii="宋体" w:hAnsi="宋体" w:eastAsia="宋体" w:cs="宋体"/>
          <w:b/>
          <w:sz w:val="24"/>
          <w:szCs w:val="24"/>
          <w:highlight w:val="none"/>
          <w:lang w:eastAsia="zh-CN"/>
        </w:rPr>
        <w:t>采购</w:t>
      </w:r>
      <w:r>
        <w:rPr>
          <w:rFonts w:hint="eastAsia" w:ascii="宋体" w:hAnsi="宋体" w:eastAsia="宋体" w:cs="宋体"/>
          <w:b/>
          <w:sz w:val="24"/>
          <w:szCs w:val="24"/>
          <w:highlight w:val="none"/>
        </w:rPr>
        <w:t>合同的签订</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1采购人应当自成交通知书发出之日起三十日内，按照竞争性谈判文件和成交人竞争性谈判响应文件（包括评审中形成的澄清文件）的约定，与成交人签订书面合同。所签订的合同不得对竞争性谈判文件和成交人的竞争性谈判响应文件（包括评审中形成的澄清文件）作实质性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color w:val="auto"/>
          <w:sz w:val="24"/>
          <w:szCs w:val="24"/>
          <w:highlight w:val="none"/>
          <w:lang w:val="en-US" w:eastAsia="zh-CN"/>
        </w:rPr>
      </w:pPr>
      <w:r>
        <w:rPr>
          <w:rFonts w:hint="eastAsia"/>
          <w:sz w:val="24"/>
          <w:szCs w:val="24"/>
          <w:highlight w:val="none"/>
          <w:lang w:val="en-US" w:eastAsia="zh-CN"/>
        </w:rPr>
        <w:t>29.2采购人自政府采购合同签订之日起2个工作日内，将政府采购合同在省级以上人民政府财政部门指定的媒体上公告，但政府采购合同中涉及国家秘密、商业秘密的内容除外。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30</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color w:val="auto"/>
          <w:sz w:val="24"/>
          <w:szCs w:val="24"/>
          <w:highlight w:val="none"/>
          <w:lang w:eastAsia="zh-CN"/>
        </w:rPr>
        <w:t>招标代理服务费：详见“供应商须知前附表”。</w:t>
      </w:r>
    </w:p>
    <w:p>
      <w:pPr>
        <w:keepNext w:val="0"/>
        <w:keepLines w:val="0"/>
        <w:pageBreakBefore w:val="0"/>
        <w:numPr>
          <w:ilvl w:val="0"/>
          <w:numId w:val="0"/>
        </w:numPr>
        <w:wordWrap/>
        <w:overflowPunct/>
        <w:topLinePunct w:val="0"/>
        <w:bidi w:val="0"/>
        <w:spacing w:line="360" w:lineRule="auto"/>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31.合同鉴证费</w:t>
      </w:r>
    </w:p>
    <w:p>
      <w:pPr>
        <w:pStyle w:val="2"/>
        <w:spacing w:line="360" w:lineRule="auto"/>
        <w:ind w:left="0" w:leftChars="0"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p>
      <w:pPr>
        <w:numPr>
          <w:ilvl w:val="0"/>
          <w:numId w:val="0"/>
        </w:numPr>
        <w:spacing w:line="360" w:lineRule="auto"/>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32.履约验收</w:t>
      </w:r>
      <w:bookmarkStart w:id="97" w:name="_GoBack"/>
      <w:bookmarkEnd w:id="97"/>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rPr>
          <w:rFonts w:hint="eastAsia"/>
          <w:highlight w:val="none"/>
        </w:rPr>
      </w:pPr>
      <w:r>
        <w:rPr>
          <w:rFonts w:hint="eastAsia" w:ascii="宋体" w:hAnsi="宋体" w:eastAsia="宋体" w:cs="宋体"/>
          <w:sz w:val="24"/>
          <w:szCs w:val="24"/>
          <w:highlight w:val="none"/>
          <w:lang w:val="en-US" w:eastAsia="zh-CN"/>
        </w:rPr>
        <w:t>32.2履约验收的费用及要求详见“供应商须知前附表”。</w:t>
      </w:r>
    </w:p>
    <w:p>
      <w:pPr>
        <w:numPr>
          <w:ilvl w:val="0"/>
          <w:numId w:val="0"/>
        </w:numPr>
        <w:spacing w:line="600" w:lineRule="exact"/>
        <w:outlineLvl w:val="2"/>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33.质疑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33.1供应商认为谈判文件、采购过程、成交结果使自己的权益受到损害的，可以在知道或者应知其权益受到损害之日起7个工作日内，以书面形式向采购人、采购代理机构提出质疑。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500" w:lineRule="exact"/>
        <w:ind w:left="0" w:leftChars="0" w:right="12" w:rightChars="0" w:firstLine="480" w:firstLineChars="0"/>
        <w:jc w:val="both"/>
        <w:textAlignment w:val="auto"/>
        <w:outlineLvl w:val="9"/>
        <w:rPr>
          <w:rStyle w:val="31"/>
          <w:rFonts w:hint="eastAsia" w:ascii="宋体" w:hAnsi="宋体" w:eastAsia="宋体" w:cs="宋体"/>
          <w:b/>
          <w:bCs w:val="0"/>
          <w:i w:val="0"/>
          <w:caps w:val="0"/>
          <w:color w:val="0000FF"/>
          <w:spacing w:val="0"/>
          <w:sz w:val="24"/>
          <w:szCs w:val="24"/>
          <w:highlight w:val="none"/>
          <w:shd w:val="clear" w:color="auto" w:fill="FFFFFF"/>
          <w:lang w:val="en-US" w:eastAsia="zh-CN"/>
        </w:rPr>
      </w:pPr>
      <w:r>
        <w:rPr>
          <w:rFonts w:hint="eastAsia" w:ascii="宋体" w:hAnsi="宋体" w:eastAsia="宋体" w:cs="宋体"/>
          <w:b w:val="0"/>
          <w:bCs w:val="0"/>
          <w:sz w:val="24"/>
          <w:szCs w:val="24"/>
          <w:highlight w:val="none"/>
          <w:lang w:val="en-US" w:eastAsia="zh-CN"/>
        </w:rPr>
        <w:t>33.2供应商必须在法定质疑期内一次性提出针对同一采购程序环节的质疑。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3" w:leftChars="0" w:right="0" w:rightChars="0" w:firstLine="518" w:firstLineChars="216"/>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pPr>
      <w:r>
        <w:rPr>
          <w:rStyle w:val="31"/>
          <w:rFonts w:hint="eastAsia" w:ascii="宋体" w:hAnsi="宋体" w:eastAsia="宋体" w:cs="宋体"/>
          <w:b w:val="0"/>
          <w:bCs/>
          <w:i w:val="0"/>
          <w:caps w:val="0"/>
          <w:color w:val="000000"/>
          <w:spacing w:val="0"/>
          <w:sz w:val="24"/>
          <w:szCs w:val="24"/>
          <w:highlight w:val="none"/>
          <w:shd w:val="clear" w:color="auto" w:fill="FFFFFF"/>
          <w:lang w:val="en-US" w:eastAsia="zh-CN"/>
        </w:rPr>
        <w:t>33.4以联合体形式参加政府采购活动的，其质疑应当由组成联合体的所有供应商共同提出。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33.5.2质疑项目的名称、编号；</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33.5.4事实依据；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33.5.5必要的法律依据；</w:t>
      </w:r>
    </w:p>
    <w:p>
      <w:pPr>
        <w:keepNext w:val="0"/>
        <w:keepLines w:val="0"/>
        <w:pageBreakBefore w:val="0"/>
        <w:widowControl w:val="0"/>
        <w:kinsoku/>
        <w:wordWrap/>
        <w:overflowPunct/>
        <w:topLinePunct w:val="0"/>
        <w:autoSpaceDE/>
        <w:autoSpaceDN/>
        <w:bidi w:val="0"/>
        <w:adjustRightInd/>
        <w:snapToGrid/>
        <w:spacing w:line="500" w:lineRule="exact"/>
        <w:ind w:right="12" w:rightChars="0" w:firstLine="480" w:firstLineChars="200"/>
        <w:jc w:val="both"/>
        <w:textAlignment w:val="auto"/>
        <w:outlineLvl w:val="9"/>
        <w:rPr>
          <w:rStyle w:val="31"/>
          <w:rFonts w:hint="eastAsia" w:ascii="宋体" w:hAnsi="宋体" w:eastAsia="宋体" w:cs="宋体"/>
          <w:b w:val="0"/>
          <w:bCs/>
          <w:i w:val="0"/>
          <w:caps w:val="0"/>
          <w:color w:val="000000"/>
          <w:spacing w:val="0"/>
          <w:sz w:val="24"/>
          <w:szCs w:val="24"/>
          <w:highlight w:val="none"/>
          <w:shd w:val="clear" w:color="auto" w:fill="FFFFFF"/>
          <w:lang w:eastAsia="zh-CN"/>
        </w:rPr>
      </w:pPr>
      <w:r>
        <w:rPr>
          <w:rFonts w:hint="eastAsia" w:ascii="宋体" w:hAnsi="宋体" w:eastAsia="宋体" w:cs="宋体"/>
          <w:sz w:val="24"/>
          <w:szCs w:val="24"/>
          <w:highlight w:val="none"/>
          <w:lang w:val="en-US" w:eastAsia="zh-CN"/>
        </w:rPr>
        <w:t>33.5.6提出质疑的日期。</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w:t>
      </w:r>
      <w:r>
        <w:rPr>
          <w:rFonts w:hint="eastAsia" w:ascii="宋体" w:hAnsi="宋体" w:eastAsia="宋体" w:cs="宋体"/>
          <w:color w:val="auto"/>
          <w:sz w:val="24"/>
          <w:highlight w:val="none"/>
        </w:rPr>
        <w:t>有下列情形之一的，属于无效质疑，采购代理机构和采购人不予受理：</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33.6.1</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不是参与本次政府采购项目的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33.6.2</w:t>
      </w:r>
      <w:r>
        <w:rPr>
          <w:rFonts w:hint="eastAsia" w:ascii="宋体" w:hAnsi="宋体" w:eastAsia="宋体" w:cs="宋体"/>
          <w:color w:val="auto"/>
          <w:sz w:val="24"/>
          <w:highlight w:val="none"/>
        </w:rPr>
        <w:t>质疑</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与质疑事项不存在利害关系的；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33.6.3</w:t>
      </w:r>
      <w:r>
        <w:rPr>
          <w:rFonts w:hint="eastAsia" w:ascii="宋体" w:hAnsi="宋体" w:eastAsia="宋体" w:cs="宋体"/>
          <w:color w:val="auto"/>
          <w:sz w:val="24"/>
          <w:highlight w:val="none"/>
        </w:rPr>
        <w:t>未在法定期限内提出质疑的；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33.6.4</w:t>
      </w:r>
      <w:r>
        <w:rPr>
          <w:rFonts w:hint="eastAsia" w:ascii="宋体" w:hAnsi="宋体" w:eastAsia="宋体" w:cs="宋体"/>
          <w:color w:val="auto"/>
          <w:sz w:val="24"/>
          <w:highlight w:val="none"/>
        </w:rPr>
        <w:t>质疑未以书面形式提出，或质疑</w:t>
      </w:r>
      <w:r>
        <w:rPr>
          <w:rFonts w:hint="eastAsia" w:ascii="宋体" w:hAnsi="宋体" w:eastAsia="宋体" w:cs="宋体"/>
          <w:color w:val="auto"/>
          <w:sz w:val="24"/>
          <w:highlight w:val="none"/>
          <w:lang w:eastAsia="zh-CN"/>
        </w:rPr>
        <w:t>函</w:t>
      </w:r>
      <w:r>
        <w:rPr>
          <w:rFonts w:hint="eastAsia" w:ascii="宋体" w:hAnsi="宋体" w:eastAsia="宋体" w:cs="宋体"/>
          <w:color w:val="auto"/>
          <w:sz w:val="24"/>
          <w:highlight w:val="none"/>
        </w:rPr>
        <w:t>主要内容构成不完整的；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33.6.5</w:t>
      </w:r>
      <w:r>
        <w:rPr>
          <w:rFonts w:hint="eastAsia" w:ascii="宋体" w:hAnsi="宋体" w:eastAsia="宋体" w:cs="宋体"/>
          <w:color w:val="auto"/>
          <w:sz w:val="24"/>
          <w:highlight w:val="none"/>
          <w:lang w:eastAsia="zh-CN"/>
        </w:rPr>
        <w:t>应当提交授权书而未提交的</w:t>
      </w:r>
      <w:r>
        <w:rPr>
          <w:rFonts w:hint="eastAsia" w:ascii="宋体" w:hAnsi="宋体" w:eastAsia="宋体" w:cs="宋体"/>
          <w:color w:val="auto"/>
          <w:sz w:val="24"/>
          <w:highlight w:val="none"/>
        </w:rPr>
        <w:t>；</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33.6.6</w:t>
      </w:r>
      <w:r>
        <w:rPr>
          <w:rFonts w:hint="eastAsia" w:ascii="宋体" w:hAnsi="宋体" w:eastAsia="宋体" w:cs="宋体"/>
          <w:color w:val="auto"/>
          <w:sz w:val="24"/>
          <w:highlight w:val="none"/>
        </w:rPr>
        <w:t>以非法手段取得证据、材料的；</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33.6.7</w:t>
      </w:r>
      <w:r>
        <w:rPr>
          <w:rFonts w:hint="eastAsia" w:ascii="宋体" w:hAnsi="宋体" w:eastAsia="宋体" w:cs="宋体"/>
          <w:color w:val="auto"/>
          <w:sz w:val="24"/>
          <w:highlight w:val="none"/>
        </w:rPr>
        <w:t>质疑答复后，同一质疑人就同一事项</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lang w:val="en-US" w:eastAsia="zh-CN"/>
        </w:rPr>
        <w:t>同一采购程序环节</w:t>
      </w:r>
      <w:r>
        <w:rPr>
          <w:rFonts w:hint="eastAsia" w:ascii="宋体" w:hAnsi="宋体" w:eastAsia="宋体" w:cs="宋体"/>
          <w:color w:val="auto"/>
          <w:sz w:val="24"/>
          <w:highlight w:val="none"/>
        </w:rPr>
        <w:t>再次提出质疑的；</w:t>
      </w:r>
    </w:p>
    <w:p>
      <w:pPr>
        <w:widowControl/>
        <w:spacing w:line="360" w:lineRule="auto"/>
        <w:ind w:firstLine="480" w:firstLineChars="200"/>
        <w:rPr>
          <w:rStyle w:val="31"/>
          <w:rFonts w:hint="eastAsia" w:ascii="宋体" w:hAnsi="宋体" w:eastAsia="宋体" w:cs="宋体"/>
          <w:b w:val="0"/>
          <w:bCs/>
          <w:i w:val="0"/>
          <w:caps w:val="0"/>
          <w:color w:val="auto"/>
          <w:spacing w:val="0"/>
          <w:sz w:val="24"/>
          <w:szCs w:val="24"/>
          <w:highlight w:val="none"/>
          <w:shd w:val="clear" w:color="auto" w:fill="FFFFFF"/>
          <w:lang w:eastAsia="zh-CN"/>
        </w:rPr>
      </w:pPr>
      <w:r>
        <w:rPr>
          <w:rFonts w:hint="eastAsia" w:ascii="宋体" w:hAnsi="宋体" w:eastAsia="宋体" w:cs="宋体"/>
          <w:color w:val="auto"/>
          <w:sz w:val="24"/>
          <w:highlight w:val="none"/>
          <w:lang w:val="en-US" w:eastAsia="zh-CN"/>
        </w:rPr>
        <w:t>33.6.8</w:t>
      </w:r>
      <w:r>
        <w:rPr>
          <w:rFonts w:hint="eastAsia" w:ascii="宋体" w:hAnsi="宋体" w:eastAsia="宋体" w:cs="宋体"/>
          <w:color w:val="auto"/>
          <w:sz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12"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33.7</w:t>
      </w:r>
      <w:r>
        <w:rPr>
          <w:rFonts w:hint="eastAsia" w:ascii="宋体" w:hAnsi="宋体" w:eastAsia="宋体" w:cs="宋体"/>
          <w:color w:val="auto"/>
          <w:sz w:val="24"/>
          <w:szCs w:val="24"/>
          <w:highlight w:val="none"/>
          <w:lang w:eastAsia="zh-CN"/>
        </w:rPr>
        <w:t>质疑答复</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33.7.1采购人或采购代理机构</w:t>
      </w:r>
      <w:r>
        <w:rPr>
          <w:rFonts w:hint="eastAsia" w:ascii="宋体" w:hAnsi="宋体" w:eastAsia="宋体" w:cs="宋体"/>
          <w:color w:val="auto"/>
          <w:sz w:val="24"/>
          <w:szCs w:val="24"/>
          <w:highlight w:val="none"/>
        </w:rPr>
        <w:t>在收到质疑函后7个工作日内作出答复，并以书面形式通知质疑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33.7.2质疑供应商对采购人、采购代理机构的答复不满意，或者采购人、采购代理机构未在规定时间内作出答复的，可以在答复期满后15个工作日内向</w:t>
      </w:r>
      <w:r>
        <w:rPr>
          <w:rFonts w:hint="eastAsia" w:ascii="宋体" w:hAnsi="宋体" w:eastAsia="宋体" w:cs="宋体"/>
          <w:b w:val="0"/>
          <w:bCs w:val="0"/>
          <w:color w:val="auto"/>
          <w:sz w:val="24"/>
          <w:szCs w:val="24"/>
          <w:highlight w:val="none"/>
          <w:lang w:val="en-US" w:eastAsia="zh-CN"/>
        </w:rPr>
        <w:t>同级人民政府财政部门提起投诉。</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33.8其他需要说明的事项</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33.8.1质疑函须按财政部《质疑函范本》给定的格式进行填写，范本下载详见【财政部国库司（gks.mof.gov.cn）】网站〖首页·政府采购管理〗栏目中的《政府采购供应商质疑函范本》。《政府采购供应商质疑函范本》链接地址：</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http://gks.mof.gov.cn/zhengfucaigouguanli/201802/t20180201_2804589.html</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33.8.2接收质疑函的方式：书面形式</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33.8.3联系部门：陕西中桓国际项目管理有限公司项目部</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33.8.4联系电话：</w:t>
      </w:r>
      <w:r>
        <w:rPr>
          <w:rFonts w:hint="eastAsia" w:hAnsi="宋体" w:eastAsia="宋体" w:cs="宋体"/>
          <w:color w:val="auto"/>
          <w:sz w:val="24"/>
          <w:szCs w:val="24"/>
          <w:highlight w:val="none"/>
          <w:lang w:val="en-US" w:eastAsia="zh-CN"/>
        </w:rPr>
        <w:t>见供应商须知前</w:t>
      </w:r>
      <w:r>
        <w:rPr>
          <w:rFonts w:hint="eastAsia" w:ascii="宋体" w:hAnsi="宋体" w:eastAsia="宋体" w:cs="宋体"/>
          <w:color w:val="auto"/>
          <w:sz w:val="24"/>
          <w:szCs w:val="24"/>
          <w:highlight w:val="none"/>
          <w:lang w:val="en-US" w:eastAsia="zh-CN"/>
        </w:rPr>
        <w:t>附表</w:t>
      </w:r>
    </w:p>
    <w:p>
      <w:pPr>
        <w:pStyle w:val="78"/>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jc w:val="left"/>
        <w:textAlignment w:val="auto"/>
        <w:outlineLvl w:val="9"/>
        <w:rPr>
          <w:rFonts w:hint="eastAsia" w:ascii="宋体" w:hAnsi="宋体" w:eastAsia="宋体" w:cs="宋体"/>
          <w:color w:val="auto"/>
          <w:szCs w:val="24"/>
          <w:highlight w:val="none"/>
          <w:lang w:eastAsia="zh-CN"/>
        </w:rPr>
      </w:pPr>
      <w:r>
        <w:rPr>
          <w:rFonts w:hint="eastAsia" w:ascii="宋体" w:hAnsi="宋体" w:eastAsia="宋体" w:cs="宋体"/>
          <w:color w:val="auto"/>
          <w:sz w:val="24"/>
          <w:szCs w:val="24"/>
          <w:highlight w:val="none"/>
          <w:lang w:val="en-US" w:eastAsia="zh-CN"/>
        </w:rPr>
        <w:t>33.8.5通讯地址：</w:t>
      </w:r>
      <w:r>
        <w:rPr>
          <w:rFonts w:hint="eastAsia" w:ascii="宋体" w:hAnsi="宋体" w:cs="宋体"/>
          <w:color w:val="000000"/>
          <w:sz w:val="24"/>
          <w:szCs w:val="24"/>
          <w:highlight w:val="none"/>
          <w:lang w:eastAsia="zh-CN"/>
        </w:rPr>
        <w:t>黄陵县轩辕大道原石油公司办公楼二楼</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34</w:t>
      </w:r>
      <w:r>
        <w:rPr>
          <w:rFonts w:hint="eastAsia" w:ascii="宋体" w:hAnsi="宋体" w:eastAsia="宋体" w:cs="宋体"/>
          <w:b/>
          <w:sz w:val="24"/>
          <w:szCs w:val="24"/>
          <w:highlight w:val="none"/>
        </w:rPr>
        <w:t>.其他</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rPr>
        <w:t>.1谈判步骤为：第一次报价---分别谈判---第二次报价---评审推荐成交人。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拆封时的价格为第一次报价，无效</w:t>
      </w:r>
      <w:r>
        <w:rPr>
          <w:rFonts w:hint="eastAsia" w:ascii="宋体" w:hAnsi="宋体" w:eastAsia="宋体" w:cs="宋体"/>
          <w:color w:val="auto"/>
          <w:sz w:val="24"/>
          <w:szCs w:val="24"/>
          <w:highlight w:val="none"/>
          <w:lang w:eastAsia="zh-CN"/>
        </w:rPr>
        <w:t>谈判供应商</w:t>
      </w:r>
      <w:r>
        <w:rPr>
          <w:rFonts w:hint="eastAsia" w:ascii="宋体" w:hAnsi="宋体" w:eastAsia="宋体" w:cs="宋体"/>
          <w:color w:val="auto"/>
          <w:sz w:val="24"/>
          <w:szCs w:val="24"/>
          <w:highlight w:val="none"/>
        </w:rPr>
        <w:t>将不得进入</w:t>
      </w:r>
      <w:r>
        <w:rPr>
          <w:rFonts w:hint="eastAsia" w:ascii="宋体" w:hAnsi="宋体" w:eastAsia="宋体" w:cs="宋体"/>
          <w:color w:val="auto"/>
          <w:sz w:val="24"/>
          <w:szCs w:val="24"/>
          <w:highlight w:val="none"/>
          <w:lang w:eastAsia="zh-CN"/>
        </w:rPr>
        <w:t>第二次</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.2当第二次报价全部超过</w:t>
      </w:r>
      <w:r>
        <w:rPr>
          <w:rFonts w:hint="eastAsia" w:ascii="宋体" w:hAnsi="宋体" w:eastAsia="宋体" w:cs="宋体"/>
          <w:sz w:val="24"/>
          <w:highlight w:val="none"/>
          <w:lang w:eastAsia="zh-CN"/>
        </w:rPr>
        <w:t>谈判文件规定的采购预算（或最高限价）</w:t>
      </w:r>
      <w:r>
        <w:rPr>
          <w:rFonts w:hint="eastAsia" w:ascii="宋体" w:hAnsi="宋体" w:eastAsia="宋体" w:cs="宋体"/>
          <w:sz w:val="24"/>
          <w:highlight w:val="none"/>
        </w:rPr>
        <w:t>或均低于公认的制作成本时，谈判小组有权决定是否谈判失败或进行第三次报价。当第三次报价若超出财政预算，且采购人又无力支付，谈判小组有权决定谈判失败。</w:t>
      </w:r>
    </w:p>
    <w:p>
      <w:pPr>
        <w:keepNext w:val="0"/>
        <w:keepLines w:val="0"/>
        <w:pageBreakBefore w:val="0"/>
        <w:widowControl w:val="0"/>
        <w:wordWrap/>
        <w:overflowPunct/>
        <w:topLinePunct w:val="0"/>
        <w:autoSpaceDE/>
        <w:autoSpaceDN/>
        <w:bidi w:val="0"/>
        <w:spacing w:line="500" w:lineRule="exact"/>
        <w:ind w:firstLine="480" w:firstLineChars="200"/>
        <w:textAlignment w:val="auto"/>
        <w:rPr>
          <w:rFonts w:hint="eastAsia" w:ascii="宋体" w:hAnsi="宋体" w:eastAsia="宋体" w:cs="宋体"/>
          <w:spacing w:val="5"/>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.3</w:t>
      </w:r>
      <w:r>
        <w:rPr>
          <w:rFonts w:hint="eastAsia" w:ascii="宋体" w:hAnsi="宋体" w:eastAsia="宋体" w:cs="宋体"/>
          <w:spacing w:val="5"/>
          <w:sz w:val="24"/>
          <w:highlight w:val="none"/>
        </w:rPr>
        <w:t>在采购过程中符合竞争要求的供应商不足3家的，且采购单位或谈判小组不推荐的，须终止</w:t>
      </w:r>
      <w:r>
        <w:rPr>
          <w:rFonts w:hint="eastAsia" w:ascii="宋体" w:hAnsi="宋体" w:eastAsia="宋体" w:cs="宋体"/>
          <w:spacing w:val="5"/>
          <w:sz w:val="24"/>
          <w:highlight w:val="none"/>
          <w:lang w:eastAsia="zh-CN"/>
        </w:rPr>
        <w:t>谈判</w:t>
      </w:r>
      <w:r>
        <w:rPr>
          <w:rFonts w:hint="eastAsia" w:ascii="宋体" w:hAnsi="宋体" w:eastAsia="宋体" w:cs="宋体"/>
          <w:spacing w:val="5"/>
          <w:sz w:val="24"/>
          <w:highlight w:val="none"/>
        </w:rPr>
        <w:t>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34</w:t>
      </w:r>
      <w:r>
        <w:rPr>
          <w:rFonts w:hint="eastAsia" w:ascii="宋体" w:hAnsi="宋体" w:eastAsia="宋体" w:cs="宋体"/>
          <w:sz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谈判保证金额的，还应当对超过部分予以赔偿，并依法承担相应法律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35.</w:t>
      </w:r>
      <w:r>
        <w:rPr>
          <w:rFonts w:hint="eastAsia" w:ascii="宋体" w:hAnsi="宋体" w:eastAsia="宋体" w:cs="宋体"/>
          <w:b/>
          <w:bCs/>
          <w:color w:val="auto"/>
          <w:sz w:val="24"/>
          <w:szCs w:val="24"/>
          <w:highlight w:val="none"/>
        </w:rPr>
        <w:t>需要补充的其他内容：</w:t>
      </w:r>
      <w:bookmarkStart w:id="18" w:name="_Toc356305901"/>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bookmarkEnd w:id="18"/>
      <w:r>
        <w:rPr>
          <w:rFonts w:hint="eastAsia" w:ascii="宋体" w:hAnsi="宋体" w:eastAsia="宋体" w:cs="宋体"/>
          <w:b/>
          <w:bCs/>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p>
    <w:p>
      <w:pPr>
        <w:rPr>
          <w:rFonts w:hint="eastAsia" w:ascii="宋体" w:hAnsi="宋体" w:eastAsia="宋体" w:cs="宋体"/>
          <w:b/>
          <w:kern w:val="0"/>
          <w:sz w:val="24"/>
          <w:szCs w:val="24"/>
          <w:highlight w:val="none"/>
        </w:rPr>
      </w:pPr>
    </w:p>
    <w:p>
      <w:pPr>
        <w:pStyle w:val="4"/>
        <w:rPr>
          <w:rFonts w:hint="eastAsia" w:ascii="宋体" w:hAnsi="宋体" w:eastAsia="宋体" w:cs="宋体"/>
          <w:b/>
          <w:bCs/>
          <w:sz w:val="36"/>
          <w:szCs w:val="36"/>
          <w:highlight w:val="none"/>
        </w:rPr>
      </w:pPr>
      <w:r>
        <w:rPr>
          <w:rFonts w:hint="eastAsia" w:ascii="宋体" w:hAnsi="宋体" w:eastAsia="宋体" w:cs="宋体"/>
          <w:b/>
          <w:kern w:val="0"/>
          <w:sz w:val="24"/>
          <w:szCs w:val="24"/>
          <w:highlight w:val="none"/>
        </w:rPr>
        <w:br w:type="page"/>
      </w:r>
      <w:bookmarkStart w:id="19" w:name="_Toc20645"/>
      <w:bookmarkStart w:id="20" w:name="_Toc409690876"/>
      <w:bookmarkStart w:id="21" w:name="_Toc31299"/>
      <w:bookmarkStart w:id="22" w:name="_Toc425781309"/>
      <w:bookmarkStart w:id="23" w:name="_Toc8912"/>
      <w:bookmarkStart w:id="24" w:name="_Toc405358615"/>
      <w:bookmarkStart w:id="25" w:name="_Toc25472"/>
      <w:bookmarkStart w:id="26" w:name="_Toc75232033"/>
      <w:bookmarkStart w:id="27" w:name="_Toc409690877"/>
      <w:bookmarkStart w:id="28" w:name="_Toc7665"/>
      <w:bookmarkStart w:id="29" w:name="_Toc19921"/>
      <w:r>
        <w:rPr>
          <w:rFonts w:hint="eastAsia" w:ascii="宋体" w:hAnsi="宋体" w:eastAsia="宋体" w:cs="宋体"/>
          <w:b/>
          <w:bCs/>
          <w:sz w:val="36"/>
          <w:szCs w:val="36"/>
          <w:highlight w:val="none"/>
        </w:rPr>
        <w:t>第三章 合同条款</w:t>
      </w:r>
      <w:bookmarkEnd w:id="19"/>
      <w:bookmarkEnd w:id="20"/>
      <w:bookmarkEnd w:id="21"/>
      <w:r>
        <w:rPr>
          <w:rFonts w:hint="eastAsia" w:ascii="宋体" w:hAnsi="宋体" w:eastAsia="宋体" w:cs="宋体"/>
          <w:b/>
          <w:bCs/>
          <w:sz w:val="36"/>
          <w:szCs w:val="36"/>
          <w:highlight w:val="none"/>
        </w:rPr>
        <w:t>及格式</w:t>
      </w:r>
      <w:bookmarkEnd w:id="22"/>
      <w:bookmarkEnd w:id="23"/>
    </w:p>
    <w:p>
      <w:pPr>
        <w:pStyle w:val="5"/>
        <w:jc w:val="center"/>
        <w:rPr>
          <w:rFonts w:hint="eastAsia" w:ascii="宋体" w:hAnsi="宋体" w:eastAsia="宋体" w:cs="宋体"/>
          <w:highlight w:val="none"/>
        </w:rPr>
      </w:pPr>
      <w:bookmarkStart w:id="30" w:name="_Toc425781310"/>
      <w:bookmarkStart w:id="31" w:name="_Toc31424"/>
      <w:r>
        <w:rPr>
          <w:rFonts w:hint="eastAsia" w:ascii="宋体" w:hAnsi="宋体" w:eastAsia="宋体" w:cs="宋体"/>
          <w:highlight w:val="none"/>
        </w:rPr>
        <w:t>合同</w:t>
      </w:r>
      <w:bookmarkEnd w:id="24"/>
      <w:r>
        <w:rPr>
          <w:rFonts w:hint="eastAsia" w:ascii="宋体" w:hAnsi="宋体" w:eastAsia="宋体" w:cs="宋体"/>
          <w:highlight w:val="none"/>
        </w:rPr>
        <w:t>前附表</w:t>
      </w:r>
      <w:bookmarkEnd w:id="30"/>
      <w:bookmarkEnd w:id="31"/>
    </w:p>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本表是对合同条款的具体补充和修改，如有矛盾，应以本资料表为准。</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828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1" w:hRule="exac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81" w:type="dxa"/>
            <w:noWrap w:val="0"/>
            <w:vAlign w:val="center"/>
          </w:tcPr>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黄陵县交通运输局</w:t>
            </w:r>
          </w:p>
          <w:p>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kern w:val="2"/>
                <w:sz w:val="24"/>
                <w:szCs w:val="24"/>
                <w:highlight w:val="none"/>
                <w:lang w:val="en-US" w:eastAsia="zh-CN" w:bidi="ar-SA"/>
              </w:rPr>
              <w:t>黄陵县商业街</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黄陵县交通运输局327国道黄陵双龙至咸阳界公路改建工程水土保持初步设计、水土保持监理 、水土保持监测、水土保持验收项目</w:t>
            </w:r>
          </w:p>
          <w:p>
            <w:pP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资金来源：</w:t>
            </w:r>
            <w:r>
              <w:rPr>
                <w:rFonts w:hint="eastAsia" w:ascii="宋体" w:hAnsi="宋体" w:eastAsia="宋体" w:cs="宋体"/>
                <w:color w:val="auto"/>
                <w:sz w:val="24"/>
                <w:szCs w:val="24"/>
                <w:highlight w:val="none"/>
                <w:lang w:val="en-US" w:eastAsia="zh-CN"/>
              </w:rPr>
              <w:t>自筹资金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81" w:type="dxa"/>
            <w:noWrap w:val="0"/>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项目实施</w:t>
            </w: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eastAsia="zh-CN"/>
              </w:rPr>
              <w:t>黄陵县交通运输局</w:t>
            </w:r>
            <w:r>
              <w:rPr>
                <w:rFonts w:hint="eastAsia" w:ascii="宋体" w:hAnsi="宋体" w:eastAsia="宋体" w:cs="宋体"/>
                <w:color w:val="auto"/>
                <w:sz w:val="24"/>
                <w:szCs w:val="24"/>
                <w:highlight w:val="none"/>
              </w:rPr>
              <w:t>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8281"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rPr>
              <w:t>服务期限：</w:t>
            </w:r>
            <w:r>
              <w:rPr>
                <w:rFonts w:hint="eastAsia" w:ascii="宋体" w:hAnsi="宋体" w:cs="宋体"/>
                <w:color w:val="auto"/>
                <w:sz w:val="24"/>
                <w:szCs w:val="24"/>
                <w:highlight w:val="none"/>
                <w:lang w:val="en-US" w:eastAsia="zh-CN"/>
              </w:rPr>
              <w:t>2年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trPr>
        <w:tc>
          <w:tcPr>
            <w:tcW w:w="1021" w:type="dxa"/>
            <w:noWrap w:val="0"/>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p>
        </w:tc>
        <w:tc>
          <w:tcPr>
            <w:tcW w:w="8281" w:type="dxa"/>
            <w:noWrap w:val="0"/>
            <w:vAlign w:val="center"/>
          </w:tcPr>
          <w:p>
            <w:pPr>
              <w:numPr>
                <w:ilvl w:val="0"/>
                <w:numId w:val="3"/>
              </w:num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合同总价即</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价，</w:t>
            </w:r>
            <w:r>
              <w:rPr>
                <w:rFonts w:hint="eastAsia" w:ascii="宋体" w:hAnsi="宋体" w:eastAsia="宋体" w:cs="宋体"/>
                <w:sz w:val="24"/>
                <w:szCs w:val="24"/>
                <w:highlight w:val="none"/>
                <w:lang w:eastAsia="zh-CN"/>
              </w:rPr>
              <w:t>谈判供应商</w:t>
            </w:r>
            <w:r>
              <w:rPr>
                <w:rFonts w:hint="eastAsia" w:ascii="宋体" w:hAnsi="宋体" w:eastAsia="宋体" w:cs="宋体"/>
                <w:sz w:val="24"/>
                <w:szCs w:val="24"/>
                <w:highlight w:val="none"/>
              </w:rPr>
              <w:t>应在谈判报价表</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明完成本次谈判所要求的货物、服务并验收至合格的所有费用</w:t>
            </w:r>
            <w:r>
              <w:rPr>
                <w:rFonts w:hint="eastAsia" w:ascii="宋体" w:hAnsi="宋体" w:eastAsia="宋体" w:cs="宋体"/>
                <w:sz w:val="24"/>
                <w:szCs w:val="24"/>
                <w:highlight w:val="none"/>
                <w:lang w:eastAsia="zh-CN"/>
              </w:rPr>
              <w:t>。</w:t>
            </w:r>
          </w:p>
          <w:p>
            <w:pPr>
              <w:numPr>
                <w:ilvl w:val="0"/>
                <w:numId w:val="3"/>
              </w:num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合同总价一次包死，不受市场价变化或实际工作量变化的影响。</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3.付款方式和程序：</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（1）由采购人负责结算，在付款前，供应商必须开具全额发票给采购人。 </w:t>
            </w:r>
          </w:p>
          <w:p>
            <w:pPr>
              <w:spacing w:line="360" w:lineRule="auto"/>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color w:val="auto"/>
                <w:sz w:val="24"/>
                <w:szCs w:val="24"/>
                <w:highlight w:val="none"/>
              </w:rPr>
              <w:t>）付款方式：</w:t>
            </w:r>
            <w:bookmarkStart w:id="32" w:name="OLE_LINK17"/>
            <w:r>
              <w:rPr>
                <w:rFonts w:hint="eastAsia" w:ascii="宋体" w:hAnsi="宋体" w:eastAsia="宋体" w:cs="宋体"/>
                <w:color w:val="auto"/>
                <w:sz w:val="24"/>
                <w:szCs w:val="24"/>
                <w:highlight w:val="none"/>
                <w:lang w:val="en-US" w:eastAsia="zh-CN"/>
              </w:rPr>
              <w:t>服务</w:t>
            </w:r>
            <w:r>
              <w:rPr>
                <w:rFonts w:hint="eastAsia" w:ascii="宋体" w:hAnsi="宋体" w:eastAsia="宋体" w:cs="宋体"/>
                <w:sz w:val="24"/>
                <w:szCs w:val="24"/>
                <w:highlight w:val="none"/>
              </w:rPr>
              <w:t>项目整体验收合格,一次付清。</w:t>
            </w:r>
            <w:bookmarkEnd w:id="3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8281" w:type="dxa"/>
            <w:noWrap w:val="0"/>
            <w:vAlign w:val="center"/>
          </w:tcPr>
          <w:p>
            <w:pPr>
              <w:pStyle w:val="14"/>
              <w:spacing w:line="360" w:lineRule="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质量保证：</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供应商提供的服务，应全面满足</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文件未明确要求的内容，供应商须按采购人的补充要求为准。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验收：</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1、本项</w:t>
            </w:r>
            <w:r>
              <w:rPr>
                <w:rFonts w:hint="eastAsia" w:ascii="宋体" w:hAnsi="宋体" w:eastAsia="宋体" w:cs="宋体"/>
                <w:color w:val="auto"/>
                <w:sz w:val="24"/>
                <w:szCs w:val="24"/>
                <w:highlight w:val="none"/>
              </w:rPr>
              <w:t>目由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相关部</w:t>
            </w:r>
            <w:r>
              <w:rPr>
                <w:rFonts w:hint="eastAsia" w:ascii="宋体" w:hAnsi="宋体" w:eastAsia="宋体" w:cs="宋体"/>
                <w:sz w:val="24"/>
                <w:szCs w:val="24"/>
                <w:highlight w:val="none"/>
              </w:rPr>
              <w:t>门定期对项目进行阶段性验收。</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2.验收标准：按</w:t>
            </w: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及澄清函、项目检查情况等综合指标进行验收。各项指标均应符合验收标准及要求。</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3.验收合格后，填写验收单，双方签字生效。</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4.验收依据：</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合同文本；</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谈判文件</w:t>
            </w:r>
            <w:r>
              <w:rPr>
                <w:rFonts w:hint="eastAsia" w:ascii="宋体" w:hAnsi="宋体" w:eastAsia="宋体" w:cs="宋体"/>
                <w:sz w:val="24"/>
                <w:szCs w:val="24"/>
                <w:highlight w:val="none"/>
              </w:rPr>
              <w:t>及澄清函、</w:t>
            </w:r>
            <w:r>
              <w:rPr>
                <w:rFonts w:hint="eastAsia" w:ascii="宋体" w:hAnsi="宋体" w:eastAsia="宋体" w:cs="宋体"/>
                <w:sz w:val="24"/>
                <w:szCs w:val="24"/>
                <w:highlight w:val="none"/>
                <w:lang w:eastAsia="zh-CN"/>
              </w:rPr>
              <w:t>谈判响应文件</w:t>
            </w:r>
            <w:r>
              <w:rPr>
                <w:rFonts w:hint="eastAsia" w:ascii="宋体" w:hAnsi="宋体" w:eastAsia="宋体" w:cs="宋体"/>
                <w:sz w:val="24"/>
                <w:szCs w:val="24"/>
                <w:highlight w:val="none"/>
              </w:rPr>
              <w:t>；</w:t>
            </w:r>
          </w:p>
          <w:p>
            <w:pPr>
              <w:keepNext w:val="0"/>
              <w:keepLines w:val="0"/>
              <w:pageBreakBefore w:val="0"/>
              <w:widowControl w:val="0"/>
              <w:numPr>
                <w:ilvl w:val="0"/>
                <w:numId w:val="4"/>
              </w:numPr>
              <w:tabs>
                <w:tab w:val="left" w:pos="498"/>
                <w:tab w:val="clear" w:pos="840"/>
              </w:tabs>
              <w:kinsoku/>
              <w:wordWrap/>
              <w:overflowPunct/>
              <w:topLinePunct w:val="0"/>
              <w:autoSpaceDE/>
              <w:autoSpaceDN/>
              <w:bidi w:val="0"/>
              <w:adjustRightInd/>
              <w:snapToGrid/>
              <w:spacing w:line="480" w:lineRule="exact"/>
              <w:ind w:hanging="625"/>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国家和行业制定的相应的标准和规范；</w:t>
            </w:r>
          </w:p>
          <w:p>
            <w:pPr>
              <w:keepNext w:val="0"/>
              <w:keepLines w:val="0"/>
              <w:pageBreakBefore w:val="0"/>
              <w:widowControl w:val="0"/>
              <w:kinsoku/>
              <w:wordWrap/>
              <w:overflowPunct/>
              <w:topLinePunct w:val="0"/>
              <w:autoSpaceDE/>
              <w:autoSpaceDN/>
              <w:bidi w:val="0"/>
              <w:adjustRightInd/>
              <w:snapToGrid/>
              <w:spacing w:line="480" w:lineRule="exact"/>
              <w:ind w:firstLine="240" w:firstLineChars="1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d)验收清单。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违约责任：</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按按《中华人民共和国政府采购法》、《中华人民共和国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》中的相关条款执行。</w:t>
            </w:r>
          </w:p>
          <w:p>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未按合同或</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文件要求提供的产品或者服务，质量不能满足采购人技术要求，采购单位有权终止合同，甚至对供应商违约行为进行追究。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021" w:type="dxa"/>
            <w:noWrap w:val="0"/>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8281" w:type="dxa"/>
            <w:noWrap w:val="0"/>
            <w:vAlign w:val="center"/>
          </w:tcPr>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其它：</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1.供应商须按报价一览表（统一格式）和</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分项报价表（统一格式）的内容填写单价、总价及其他事项。</w:t>
            </w:r>
          </w:p>
          <w:p>
            <w:pPr>
              <w:pStyle w:val="14"/>
              <w:spacing w:line="360" w:lineRule="auto"/>
              <w:rPr>
                <w:rFonts w:hint="eastAsia" w:ascii="宋体" w:hAnsi="宋体" w:eastAsia="宋体" w:cs="宋体"/>
                <w:b/>
                <w:kern w:val="0"/>
                <w:sz w:val="24"/>
                <w:szCs w:val="24"/>
                <w:highlight w:val="none"/>
              </w:rPr>
            </w:pPr>
            <w:r>
              <w:rPr>
                <w:rFonts w:hint="eastAsia" w:ascii="宋体" w:hAnsi="宋体" w:eastAsia="宋体" w:cs="宋体"/>
                <w:kern w:val="0"/>
                <w:sz w:val="24"/>
                <w:szCs w:val="24"/>
                <w:highlight w:val="none"/>
              </w:rPr>
              <w:t>2.供应商所报的</w:t>
            </w: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价在合同执行过程中是固定不变的，不得以任何理由予以变更。</w:t>
            </w:r>
          </w:p>
        </w:tc>
      </w:tr>
    </w:tbl>
    <w:p>
      <w:pPr>
        <w:jc w:val="center"/>
        <w:rPr>
          <w:rFonts w:hint="eastAsia" w:ascii="宋体" w:hAnsi="宋体" w:eastAsia="宋体" w:cs="宋体"/>
          <w:b/>
          <w:sz w:val="52"/>
          <w:szCs w:val="52"/>
          <w:highlight w:val="none"/>
          <w:lang w:eastAsia="zh-CN"/>
        </w:rPr>
      </w:pPr>
      <w:r>
        <w:rPr>
          <w:rFonts w:hint="eastAsia" w:ascii="宋体" w:hAnsi="宋体" w:eastAsia="宋体" w:cs="宋体"/>
          <w:b/>
          <w:bCs/>
          <w:sz w:val="48"/>
          <w:szCs w:val="48"/>
          <w:highlight w:val="none"/>
        </w:rPr>
        <w:br w:type="page"/>
      </w:r>
    </w:p>
    <w:p>
      <w:pPr>
        <w:jc w:val="center"/>
        <w:rPr>
          <w:rFonts w:hint="eastAsia" w:ascii="宋体" w:hAnsi="宋体" w:cs="宋体"/>
          <w:b/>
          <w:spacing w:val="-20"/>
          <w:sz w:val="52"/>
          <w:szCs w:val="52"/>
          <w:highlight w:val="none"/>
          <w:lang w:eastAsia="zh-CN"/>
        </w:rPr>
      </w:pPr>
    </w:p>
    <w:p>
      <w:pPr>
        <w:jc w:val="center"/>
        <w:rPr>
          <w:rFonts w:hint="eastAsia" w:ascii="宋体" w:hAnsi="宋体" w:eastAsia="宋体" w:cs="宋体"/>
          <w:b/>
          <w:spacing w:val="-20"/>
          <w:sz w:val="52"/>
          <w:szCs w:val="52"/>
          <w:highlight w:val="none"/>
        </w:rPr>
      </w:pPr>
      <w:r>
        <w:rPr>
          <w:rFonts w:hint="eastAsia" w:ascii="宋体" w:hAnsi="宋体" w:cs="宋体"/>
          <w:b/>
          <w:spacing w:val="-20"/>
          <w:sz w:val="52"/>
          <w:szCs w:val="52"/>
          <w:highlight w:val="none"/>
          <w:lang w:eastAsia="zh-CN"/>
        </w:rPr>
        <w:t>黄陵县交通运输局327国道黄陵双龙至咸阳界公路改建工程水土保持初步设计、水土保持监理 、水土保持监测、水土保持验收项目</w:t>
      </w:r>
    </w:p>
    <w:p>
      <w:pPr>
        <w:jc w:val="center"/>
        <w:rPr>
          <w:rFonts w:hint="eastAsia" w:ascii="宋体" w:hAnsi="宋体" w:eastAsia="宋体" w:cs="宋体"/>
          <w:b/>
          <w:sz w:val="52"/>
          <w:szCs w:val="52"/>
          <w:highlight w:val="none"/>
        </w:rPr>
      </w:pPr>
    </w:p>
    <w:p>
      <w:pPr>
        <w:jc w:val="center"/>
        <w:rPr>
          <w:rFonts w:hint="eastAsia" w:ascii="宋体" w:hAnsi="宋体" w:eastAsia="宋体" w:cs="宋体"/>
          <w:b/>
          <w:sz w:val="52"/>
          <w:szCs w:val="52"/>
          <w:highlight w:val="none"/>
        </w:rPr>
      </w:pP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采购合同</w:t>
      </w:r>
    </w:p>
    <w:p>
      <w:pPr>
        <w:jc w:val="center"/>
        <w:rPr>
          <w:rFonts w:hint="eastAsia" w:ascii="宋体" w:hAnsi="宋体" w:eastAsia="宋体" w:cs="宋体"/>
          <w:sz w:val="28"/>
          <w:szCs w:val="24"/>
          <w:highlight w:val="none"/>
        </w:rPr>
      </w:pPr>
    </w:p>
    <w:p>
      <w:pPr>
        <w:jc w:val="center"/>
        <w:rPr>
          <w:rFonts w:hint="eastAsia" w:ascii="宋体" w:hAnsi="宋体" w:eastAsia="宋体" w:cs="宋体"/>
          <w:b/>
          <w:bCs/>
          <w:sz w:val="2"/>
          <w:szCs w:val="24"/>
          <w:highlight w:val="none"/>
        </w:rPr>
      </w:pPr>
      <w:r>
        <w:rPr>
          <w:rFonts w:hint="eastAsia" w:ascii="宋体" w:hAnsi="宋体" w:eastAsia="宋体" w:cs="宋体"/>
          <w:b/>
          <w:bCs/>
          <w:sz w:val="28"/>
          <w:szCs w:val="24"/>
          <w:highlight w:val="none"/>
        </w:rPr>
        <w:t>（示范文本）</w:t>
      </w: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480" w:firstLineChars="200"/>
        <w:rPr>
          <w:rFonts w:hint="eastAsia" w:ascii="宋体" w:hAnsi="宋体" w:eastAsia="宋体" w:cs="宋体"/>
          <w:sz w:val="24"/>
          <w:highlight w:val="none"/>
        </w:rPr>
      </w:pPr>
    </w:p>
    <w:p>
      <w:pPr>
        <w:ind w:firstLine="2811" w:firstLineChars="1000"/>
        <w:jc w:val="both"/>
        <w:rPr>
          <w:rFonts w:hint="default" w:ascii="宋体" w:hAnsi="宋体" w:eastAsia="宋体" w:cs="宋体"/>
          <w:b/>
          <w:sz w:val="24"/>
          <w:highlight w:val="none"/>
          <w:u w:val="single"/>
          <w:lang w:val="en-US"/>
        </w:rPr>
      </w:pPr>
      <w:r>
        <w:rPr>
          <w:rFonts w:hint="eastAsia" w:ascii="宋体" w:hAnsi="宋体" w:eastAsia="宋体" w:cs="宋体"/>
          <w:b/>
          <w:bCs/>
          <w:sz w:val="28"/>
          <w:szCs w:val="28"/>
          <w:highlight w:val="none"/>
          <w:u w:val="none"/>
          <w:lang w:val="en-US" w:eastAsia="zh-CN"/>
        </w:rPr>
        <w:t>签订日期：</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b/>
          <w:bCs/>
          <w:sz w:val="28"/>
          <w:szCs w:val="28"/>
          <w:highlight w:val="none"/>
          <w:u w:val="single"/>
        </w:rPr>
        <w:br w:type="page"/>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采购人（全称）：</w:t>
      </w:r>
      <w:r>
        <w:rPr>
          <w:rFonts w:hint="eastAsia" w:ascii="宋体" w:hAnsi="宋体" w:eastAsia="宋体" w:cs="宋体"/>
          <w:b/>
          <w:sz w:val="24"/>
          <w:highlight w:val="none"/>
          <w:u w:val="single"/>
        </w:rPr>
        <w:t xml:space="preserve">   </w:t>
      </w:r>
      <w:r>
        <w:rPr>
          <w:rFonts w:hint="eastAsia" w:ascii="宋体" w:hAnsi="宋体" w:cs="宋体"/>
          <w:b/>
          <w:sz w:val="24"/>
          <w:highlight w:val="none"/>
          <w:u w:val="single"/>
          <w:lang w:val="en-US" w:eastAsia="zh-CN"/>
        </w:rPr>
        <w:t xml:space="preserve">黄陵县交通运输局                   </w:t>
      </w:r>
    </w:p>
    <w:p>
      <w:pPr>
        <w:adjustRightInd w:val="0"/>
        <w:snapToGrid w:val="0"/>
        <w:spacing w:line="580" w:lineRule="exact"/>
        <w:ind w:firstLine="482" w:firstLineChars="200"/>
        <w:rPr>
          <w:rFonts w:hint="eastAsia" w:ascii="宋体" w:hAnsi="宋体" w:eastAsia="宋体" w:cs="宋体"/>
          <w:sz w:val="24"/>
          <w:highlight w:val="none"/>
        </w:rPr>
      </w:pPr>
      <w:r>
        <w:rPr>
          <w:rFonts w:hint="eastAsia" w:ascii="宋体" w:hAnsi="宋体" w:eastAsia="宋体" w:cs="宋体"/>
          <w:b/>
          <w:sz w:val="24"/>
          <w:highlight w:val="none"/>
        </w:rPr>
        <w:t>供应商（全称）：</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根据《中华人民共和国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一、项目概况</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项目名称：</w:t>
      </w:r>
      <w:r>
        <w:rPr>
          <w:rFonts w:hint="eastAsia" w:ascii="宋体" w:hAnsi="宋体" w:eastAsia="宋体" w:cs="宋体"/>
          <w:sz w:val="24"/>
          <w:highlight w:val="none"/>
          <w:u w:val="single"/>
        </w:rPr>
        <w:t xml:space="preserve">   </w:t>
      </w:r>
      <w:r>
        <w:rPr>
          <w:rFonts w:hint="eastAsia" w:ascii="宋体" w:hAnsi="宋体" w:cs="宋体"/>
          <w:color w:val="auto"/>
          <w:sz w:val="24"/>
          <w:szCs w:val="24"/>
          <w:highlight w:val="none"/>
          <w:u w:val="single"/>
          <w:lang w:eastAsia="zh-CN"/>
        </w:rPr>
        <w:t>黄陵县交通运输局327国道黄陵双龙至咸阳界公路改建工程水土保持初步设计、水土保持监理 、水土保持监测、水土保持验收项目</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项目地点：</w:t>
      </w:r>
      <w:r>
        <w:rPr>
          <w:rFonts w:hint="eastAsia" w:ascii="宋体" w:hAnsi="宋体" w:eastAsia="宋体" w:cs="宋体"/>
          <w:sz w:val="24"/>
          <w:highlight w:val="none"/>
          <w:u w:val="single"/>
        </w:rPr>
        <w:t xml:space="preserve">   </w:t>
      </w:r>
      <w:r>
        <w:rPr>
          <w:rFonts w:hint="eastAsia" w:ascii="宋体" w:hAnsi="宋体" w:cs="宋体"/>
          <w:color w:val="auto"/>
          <w:sz w:val="24"/>
          <w:szCs w:val="24"/>
          <w:highlight w:val="none"/>
          <w:u w:val="single"/>
          <w:lang w:eastAsia="zh-CN"/>
        </w:rPr>
        <w:t>黄陵县交通运输局</w:t>
      </w:r>
      <w:r>
        <w:rPr>
          <w:rFonts w:hint="eastAsia" w:ascii="宋体" w:hAnsi="宋体" w:eastAsia="宋体" w:cs="宋体"/>
          <w:sz w:val="24"/>
          <w:highlight w:val="none"/>
          <w:u w:val="single"/>
          <w:lang w:val="en-US" w:eastAsia="zh-CN"/>
        </w:rPr>
        <w:t>指定地点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3. 项目</w:t>
      </w:r>
      <w:r>
        <w:rPr>
          <w:rFonts w:hint="eastAsia" w:ascii="宋体" w:hAnsi="宋体" w:eastAsia="宋体" w:cs="宋体"/>
          <w:kern w:val="0"/>
          <w:sz w:val="24"/>
          <w:highlight w:val="none"/>
        </w:rPr>
        <w:t>内容</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对327国道黄陵双龙至咸阳界公路改建工程水土保持初步设计、水土保持监理 、水土保持监测、水土保持验收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二、组成本合同的文件</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 协议书；</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 成交通知书、谈判响应文件、谈判文件、澄清、谈判补充文件（或委托书）；</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 相关服务建议书；</w:t>
      </w:r>
    </w:p>
    <w:p>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4. 附录，即：附表内相关服务的范围和内容；</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本合同签订后，双方依法签订的补充协议也是本合同文件的组成部分。</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三、合同价款</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合同总价即成交价，合同总价一次包死，不受市场价变化或实际工作量变化的影响，合同价格为含税价，供应商（</w:t>
      </w:r>
      <w:r>
        <w:rPr>
          <w:rFonts w:hint="eastAsia" w:ascii="宋体" w:hAnsi="宋体" w:eastAsia="宋体" w:cs="宋体"/>
          <w:sz w:val="24"/>
          <w:highlight w:val="none"/>
          <w:lang w:eastAsia="zh-CN"/>
        </w:rPr>
        <w:t>成交</w:t>
      </w:r>
      <w:r>
        <w:rPr>
          <w:rFonts w:hint="eastAsia" w:ascii="宋体" w:hAnsi="宋体" w:eastAsia="宋体" w:cs="宋体"/>
          <w:sz w:val="24"/>
          <w:highlight w:val="none"/>
        </w:rPr>
        <w:t>人）提供产品所发生的一切税（包括增值税）费等都已包含于合同价款中。</w:t>
      </w:r>
    </w:p>
    <w:p>
      <w:pPr>
        <w:adjustRightInd w:val="0"/>
        <w:snapToGrid w:val="0"/>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四、结算方式：</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（1）结算单位：由采购人以人民币负责结算，在付款前，供应商必须开具全额发票给采购人。</w:t>
      </w:r>
    </w:p>
    <w:p>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szCs w:val="24"/>
          <w:highlight w:val="none"/>
        </w:rPr>
        <w:t>付款方式：详见竞争性谈判文件合同条款及格式前附表。</w:t>
      </w:r>
    </w:p>
    <w:p>
      <w:pPr>
        <w:spacing w:line="360" w:lineRule="auto"/>
        <w:rPr>
          <w:rFonts w:hint="eastAsia" w:ascii="宋体" w:hAnsi="宋体" w:eastAsia="宋体" w:cs="宋体"/>
          <w:b/>
          <w:sz w:val="24"/>
          <w:highlight w:val="none"/>
        </w:rPr>
      </w:pPr>
      <w:r>
        <w:rPr>
          <w:rFonts w:hint="eastAsia" w:ascii="宋体" w:hAnsi="宋体" w:eastAsia="宋体" w:cs="宋体"/>
          <w:b/>
          <w:sz w:val="24"/>
          <w:highlight w:val="none"/>
          <w:lang w:eastAsia="zh-CN"/>
        </w:rPr>
        <w:t>五、</w:t>
      </w:r>
      <w:r>
        <w:rPr>
          <w:rFonts w:hint="eastAsia" w:ascii="宋体" w:hAnsi="宋体" w:eastAsia="宋体" w:cs="宋体"/>
          <w:b/>
          <w:sz w:val="24"/>
          <w:highlight w:val="none"/>
        </w:rPr>
        <w:t>内容及要求：详见第四章竞争性</w:t>
      </w:r>
      <w:r>
        <w:rPr>
          <w:rFonts w:hint="eastAsia" w:ascii="宋体" w:hAnsi="宋体" w:eastAsia="宋体" w:cs="宋体"/>
          <w:b/>
          <w:sz w:val="24"/>
          <w:highlight w:val="none"/>
          <w:lang w:eastAsia="zh-CN"/>
        </w:rPr>
        <w:t>谈判</w:t>
      </w:r>
      <w:r>
        <w:rPr>
          <w:rFonts w:hint="eastAsia" w:ascii="宋体" w:hAnsi="宋体" w:eastAsia="宋体" w:cs="宋体"/>
          <w:b/>
          <w:sz w:val="24"/>
          <w:highlight w:val="none"/>
        </w:rPr>
        <w:t>内容及服务要求</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六、</w:t>
      </w:r>
      <w:r>
        <w:rPr>
          <w:rFonts w:hint="eastAsia" w:ascii="宋体" w:hAnsi="宋体" w:eastAsia="宋体" w:cs="宋体"/>
          <w:b/>
          <w:sz w:val="24"/>
          <w:szCs w:val="24"/>
          <w:highlight w:val="none"/>
        </w:rPr>
        <w:t>验收</w:t>
      </w:r>
    </w:p>
    <w:p>
      <w:pPr>
        <w:spacing w:line="520" w:lineRule="exact"/>
        <w:ind w:firstLine="240" w:firstLineChars="1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详见</w:t>
      </w:r>
      <w:r>
        <w:rPr>
          <w:rFonts w:hint="eastAsia" w:ascii="宋体" w:hAnsi="宋体" w:eastAsia="宋体" w:cs="宋体"/>
          <w:b w:val="0"/>
          <w:bCs/>
          <w:sz w:val="24"/>
          <w:szCs w:val="24"/>
          <w:highlight w:val="none"/>
          <w:lang w:eastAsia="zh-CN"/>
        </w:rPr>
        <w:t>谈判文件</w:t>
      </w:r>
      <w:r>
        <w:rPr>
          <w:rFonts w:hint="eastAsia" w:ascii="宋体" w:hAnsi="宋体" w:eastAsia="宋体" w:cs="宋体"/>
          <w:b w:val="0"/>
          <w:bCs/>
          <w:sz w:val="24"/>
          <w:szCs w:val="24"/>
          <w:highlight w:val="none"/>
        </w:rPr>
        <w:t>及</w:t>
      </w:r>
      <w:r>
        <w:rPr>
          <w:rFonts w:hint="eastAsia" w:ascii="宋体" w:hAnsi="宋体" w:eastAsia="宋体" w:cs="宋体"/>
          <w:b w:val="0"/>
          <w:bCs/>
          <w:sz w:val="24"/>
          <w:szCs w:val="24"/>
          <w:highlight w:val="none"/>
          <w:lang w:eastAsia="zh-CN"/>
        </w:rPr>
        <w:t>成交</w:t>
      </w:r>
      <w:r>
        <w:rPr>
          <w:rFonts w:hint="eastAsia" w:ascii="宋体" w:hAnsi="宋体" w:eastAsia="宋体" w:cs="宋体"/>
          <w:b w:val="0"/>
          <w:bCs/>
          <w:sz w:val="24"/>
          <w:szCs w:val="24"/>
          <w:highlight w:val="none"/>
        </w:rPr>
        <w:t>供应商的</w:t>
      </w:r>
      <w:r>
        <w:rPr>
          <w:rFonts w:hint="eastAsia" w:ascii="宋体" w:hAnsi="宋体" w:eastAsia="宋体" w:cs="宋体"/>
          <w:b w:val="0"/>
          <w:bCs/>
          <w:sz w:val="24"/>
          <w:szCs w:val="24"/>
          <w:highlight w:val="none"/>
          <w:lang w:eastAsia="zh-CN"/>
        </w:rPr>
        <w:t>谈判响应文件</w:t>
      </w:r>
      <w:r>
        <w:rPr>
          <w:rFonts w:hint="eastAsia" w:ascii="宋体" w:hAnsi="宋体" w:eastAsia="宋体" w:cs="宋体"/>
          <w:b w:val="0"/>
          <w:bCs/>
          <w:sz w:val="24"/>
          <w:szCs w:val="24"/>
          <w:highlight w:val="none"/>
        </w:rPr>
        <w:t>及相关的澄清资料。</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七、违约责任、保密</w:t>
      </w:r>
    </w:p>
    <w:p>
      <w:pPr>
        <w:tabs>
          <w:tab w:val="left" w:pos="1080"/>
        </w:tabs>
        <w:spacing w:line="52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对工作中了解到的采购人的技术、机密等进行严格保密，不得向他人泄漏。本合同的解除或终止不免除供应商应承担的保密义务。</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八、合同争议的解决</w:t>
      </w:r>
    </w:p>
    <w:p>
      <w:pPr>
        <w:spacing w:line="520" w:lineRule="exac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 xml:space="preserve">    合同执行中发生争议的，当事人双方应协商解决。协商达不成一致时，可</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当地</w:t>
      </w:r>
      <w:r>
        <w:rPr>
          <w:rFonts w:hint="eastAsia" w:ascii="宋体" w:hAnsi="宋体" w:eastAsia="宋体" w:cs="宋体"/>
          <w:color w:val="auto"/>
          <w:sz w:val="24"/>
          <w:szCs w:val="24"/>
          <w:highlight w:val="none"/>
        </w:rPr>
        <w:t>行政仲裁机关申请仲裁。</w:t>
      </w:r>
    </w:p>
    <w:p>
      <w:pPr>
        <w:spacing w:line="52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九、不可抗力情况下的免责约定</w:t>
      </w:r>
    </w:p>
    <w:p>
      <w:pPr>
        <w:spacing w:line="5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52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十、违约责任</w:t>
      </w:r>
    </w:p>
    <w:p>
      <w:pPr>
        <w:spacing w:line="52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依据《中华人民共和国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》、《中华人民共和国政府采购法》、《中华人民共和国政府采购法实施条例》的相关条款和本合同约定，</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供应商未全面履行合同义务或者发生违约，采购单位会同采购代理机构有权终止合同，依法向</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供应商进行经济索赔，并报请政府采购监督管理机关进行相应的行政处罚。采购单位违约的，应当赔偿给</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供应商造成的经济损失。</w:t>
      </w:r>
    </w:p>
    <w:p>
      <w:pPr>
        <w:spacing w:line="520" w:lineRule="exact"/>
        <w:rPr>
          <w:rFonts w:hint="eastAsia" w:ascii="宋体" w:hAnsi="宋体" w:eastAsia="宋体" w:cs="宋体"/>
          <w:sz w:val="24"/>
          <w:szCs w:val="24"/>
          <w:highlight w:val="none"/>
        </w:rPr>
      </w:pPr>
      <w:r>
        <w:rPr>
          <w:rFonts w:hint="eastAsia" w:ascii="宋体" w:hAnsi="宋体" w:eastAsia="宋体" w:cs="宋体"/>
          <w:b/>
          <w:sz w:val="24"/>
          <w:szCs w:val="24"/>
          <w:highlight w:val="none"/>
        </w:rPr>
        <w:t>十一、其他（</w:t>
      </w:r>
      <w:r>
        <w:rPr>
          <w:rFonts w:hint="eastAsia" w:ascii="宋体" w:hAnsi="宋体" w:eastAsia="宋体" w:cs="宋体"/>
          <w:sz w:val="24"/>
          <w:szCs w:val="24"/>
          <w:highlight w:val="none"/>
        </w:rPr>
        <w:t>在合同中具体明确）</w:t>
      </w:r>
    </w:p>
    <w:p>
      <w:pPr>
        <w:spacing w:line="5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十二、合同订立</w:t>
      </w:r>
    </w:p>
    <w:p>
      <w:pP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1. 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580" w:lineRule="exact"/>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2. 订立地点：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tabs>
          <w:tab w:val="left" w:pos="980"/>
        </w:tabs>
        <w:kinsoku w:val="0"/>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份，具有同等法律效力，双方各执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份，监管部门备案 </w:t>
      </w:r>
      <w:r>
        <w:rPr>
          <w:rFonts w:hint="eastAsia" w:ascii="宋体" w:hAnsi="宋体" w:eastAsia="宋体" w:cs="宋体"/>
          <w:sz w:val="24"/>
          <w:szCs w:val="24"/>
          <w:highlight w:val="none"/>
          <w:u w:val="single"/>
        </w:rPr>
        <w:t xml:space="preserve">壹 </w:t>
      </w:r>
      <w:r>
        <w:rPr>
          <w:rFonts w:hint="eastAsia" w:ascii="宋体" w:hAnsi="宋体" w:eastAsia="宋体" w:cs="宋体"/>
          <w:sz w:val="24"/>
          <w:szCs w:val="24"/>
          <w:highlight w:val="none"/>
        </w:rPr>
        <w:t>份。各方签字盖章后生效，合同执行完毕自动失效。（合同的服务承诺则长期有效）。</w:t>
      </w:r>
    </w:p>
    <w:p>
      <w:pPr>
        <w:tabs>
          <w:tab w:val="left" w:pos="980"/>
        </w:tabs>
        <w:kinsoku w:val="0"/>
        <w:spacing w:line="360" w:lineRule="auto"/>
        <w:ind w:firstLine="480" w:firstLineChars="200"/>
        <w:rPr>
          <w:rFonts w:hint="eastAsia" w:ascii="宋体" w:hAnsi="宋体" w:eastAsia="宋体" w:cs="宋体"/>
          <w:sz w:val="24"/>
          <w:szCs w:val="24"/>
          <w:highlight w:val="none"/>
        </w:rPr>
      </w:pP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地址： </w:t>
      </w:r>
      <w:r>
        <w:rPr>
          <w:rFonts w:hint="eastAsia" w:ascii="宋体" w:hAnsi="宋体" w:eastAsia="宋体" w:cs="宋体"/>
          <w:sz w:val="24"/>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电子邮箱：</w:t>
      </w:r>
      <w:r>
        <w:rPr>
          <w:rFonts w:hint="eastAsia" w:ascii="宋体" w:hAnsi="宋体" w:eastAsia="宋体" w:cs="宋体"/>
          <w:sz w:val="24"/>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sz w:val="24"/>
          <w:szCs w:val="24"/>
          <w:highlight w:val="none"/>
        </w:rPr>
      </w:pPr>
    </w:p>
    <w:p>
      <w:pPr>
        <w:adjustRightInd w:val="0"/>
        <w:snapToGrid w:val="0"/>
        <w:spacing w:line="360" w:lineRule="auto"/>
        <w:ind w:firstLine="415" w:firstLineChars="198"/>
        <w:rPr>
          <w:rFonts w:hint="eastAsia" w:ascii="宋体" w:hAnsi="宋体" w:eastAsia="宋体" w:cs="宋体"/>
          <w:highlight w:val="none"/>
          <w:lang w:val="en-US" w:eastAsia="zh-CN"/>
        </w:rPr>
      </w:pPr>
    </w:p>
    <w:p>
      <w:pPr>
        <w:adjustRightInd w:val="0"/>
        <w:snapToGrid w:val="0"/>
        <w:spacing w:line="360" w:lineRule="auto"/>
        <w:ind w:firstLine="415" w:firstLineChars="198"/>
        <w:rPr>
          <w:rFonts w:hint="eastAsia" w:ascii="宋体" w:hAnsi="宋体" w:eastAsia="宋体" w:cs="宋体"/>
          <w:highlight w:val="none"/>
          <w:u w:val="single"/>
          <w:lang w:val="en-US" w:eastAsia="zh-CN"/>
        </w:rPr>
        <w:sectPr>
          <w:headerReference r:id="rId8" w:type="default"/>
          <w:footerReference r:id="rId9" w:type="default"/>
          <w:pgSz w:w="11906" w:h="16838"/>
          <w:pgMar w:top="1417" w:right="1134" w:bottom="1417" w:left="1417" w:header="851" w:footer="992" w:gutter="0"/>
          <w:pgNumType w:fmt="decimal"/>
          <w:cols w:space="720" w:num="1"/>
          <w:rtlGutter w:val="0"/>
          <w:docGrid w:type="lines" w:linePitch="312" w:charSpace="0"/>
        </w:sectPr>
      </w:pPr>
    </w:p>
    <w:bookmarkEnd w:id="25"/>
    <w:bookmarkEnd w:id="26"/>
    <w:bookmarkEnd w:id="27"/>
    <w:bookmarkEnd w:id="28"/>
    <w:p>
      <w:pPr>
        <w:rPr>
          <w:rFonts w:hint="eastAsia"/>
          <w:highlight w:val="none"/>
          <w:lang w:eastAsia="zh-CN"/>
        </w:rPr>
      </w:pPr>
      <w:bookmarkStart w:id="33" w:name="_Toc425781311"/>
      <w:bookmarkStart w:id="34" w:name="_Toc32341"/>
      <w:bookmarkStart w:id="35" w:name="_Toc405358616"/>
    </w:p>
    <w:p>
      <w:pPr>
        <w:pStyle w:val="4"/>
        <w:rPr>
          <w:rFonts w:hint="eastAsia" w:ascii="宋体" w:hAnsi="宋体" w:eastAsia="宋体" w:cs="宋体"/>
          <w:b/>
          <w:bCs/>
          <w:sz w:val="36"/>
          <w:szCs w:val="36"/>
          <w:highlight w:val="none"/>
        </w:rPr>
      </w:pPr>
      <w:r>
        <w:rPr>
          <w:rFonts w:hint="eastAsia" w:ascii="宋体" w:hAnsi="宋体" w:eastAsia="宋体" w:cs="宋体"/>
          <w:b/>
          <w:bCs/>
          <w:sz w:val="36"/>
          <w:szCs w:val="36"/>
          <w:highlight w:val="none"/>
          <w:lang w:eastAsia="zh-CN"/>
        </w:rPr>
        <w:t>第四章</w:t>
      </w: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竞争性谈判内容及</w:t>
      </w:r>
      <w:r>
        <w:rPr>
          <w:rFonts w:hint="eastAsia" w:ascii="宋体" w:hAnsi="宋体" w:eastAsia="宋体" w:cs="宋体"/>
          <w:b/>
          <w:bCs/>
          <w:sz w:val="36"/>
          <w:szCs w:val="36"/>
          <w:highlight w:val="none"/>
          <w:lang w:eastAsia="zh-CN"/>
        </w:rPr>
        <w:t>服务</w:t>
      </w:r>
      <w:r>
        <w:rPr>
          <w:rFonts w:hint="eastAsia" w:ascii="宋体" w:hAnsi="宋体" w:eastAsia="宋体" w:cs="宋体"/>
          <w:b/>
          <w:bCs/>
          <w:sz w:val="36"/>
          <w:szCs w:val="36"/>
          <w:highlight w:val="none"/>
        </w:rPr>
        <w:t>要求</w:t>
      </w:r>
      <w:bookmarkEnd w:id="29"/>
      <w:bookmarkEnd w:id="33"/>
      <w:bookmarkEnd w:id="34"/>
      <w:bookmarkEnd w:id="35"/>
      <w:bookmarkStart w:id="36" w:name="_Toc405191192"/>
      <w:bookmarkStart w:id="37" w:name="_Toc405358632"/>
    </w:p>
    <w:p>
      <w:pPr>
        <w:numPr>
          <w:ilvl w:val="0"/>
          <w:numId w:val="0"/>
        </w:numPr>
        <w:spacing w:line="360" w:lineRule="auto"/>
        <w:rPr>
          <w:rFonts w:hint="eastAsia" w:ascii="宋体" w:hAnsi="宋体" w:eastAsia="宋体" w:cs="宋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一、项目基本内容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 对327国道黄陵双龙至咸阳界公路改建工程水土保持初步设计、水土保持监理 、水土保持监测、水土保持验收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二、服务内容及要求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对327国道黄陵双龙至咸阳界公路改建工程水土保持初步设计、水土保持监理 、水土保持监测、水土保持验收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三、商务条款及要求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1、项目实施地点：黄陵县交通运输局指定地点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2、服务期限：</w:t>
      </w:r>
      <w:r>
        <w:rPr>
          <w:rFonts w:hint="eastAsia" w:ascii="宋体" w:hAnsi="宋体" w:cs="宋体"/>
          <w:b w:val="0"/>
          <w:bCs w:val="0"/>
          <w:sz w:val="24"/>
          <w:szCs w:val="24"/>
          <w:highlight w:val="none"/>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3、合同总价即成交价，谈判供应商应在谈判报价表成交明完成本次谈判所要求的货物、服务并验收至合格的所有费用。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4.合同总价一次包死，不受市场价变化或实际工作量变化的影响。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5.付款方式和程序：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 xml:space="preserve">（1）由采购人负责结算，在付款前，供应商必须开具全额发票给采购人。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（2）付款方式：服务项目整体验收合格,一次付清。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6、质量保证：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供应商提供的服务，应全面满足谈判文件的要求，谈判文件未明确要求的内容，供应商须按采购人的补充要求为准。</w:t>
      </w:r>
    </w:p>
    <w:p>
      <w:pPr>
        <w:pStyle w:val="4"/>
        <w:numPr>
          <w:ilvl w:val="0"/>
          <w:numId w:val="5"/>
        </w:numPr>
        <w:rPr>
          <w:rFonts w:hint="eastAsia" w:ascii="宋体" w:hAnsi="宋体" w:eastAsia="宋体" w:cs="宋体"/>
          <w:b/>
          <w:bCs/>
          <w:sz w:val="36"/>
          <w:szCs w:val="36"/>
          <w:highlight w:val="none"/>
          <w:lang w:eastAsia="zh-CN"/>
        </w:rPr>
      </w:pPr>
      <w:r>
        <w:rPr>
          <w:rFonts w:hint="eastAsia" w:ascii="宋体" w:hAnsi="宋体" w:eastAsia="宋体" w:cs="宋体"/>
          <w:b w:val="0"/>
          <w:bCs w:val="0"/>
          <w:sz w:val="24"/>
          <w:szCs w:val="24"/>
          <w:highlight w:val="none"/>
          <w:lang w:eastAsia="zh-CN"/>
        </w:rPr>
        <w:br w:type="page"/>
      </w:r>
      <w:bookmarkEnd w:id="36"/>
      <w:bookmarkStart w:id="38" w:name="_Toc425781312"/>
      <w:bookmarkStart w:id="39" w:name="_Toc393281139"/>
      <w:bookmarkStart w:id="40" w:name="_Toc389836557"/>
      <w:bookmarkStart w:id="41" w:name="_Toc393284674"/>
      <w:bookmarkStart w:id="42" w:name="_Toc389568492"/>
      <w:bookmarkStart w:id="43" w:name="_Toc26400"/>
      <w:bookmarkStart w:id="44" w:name="_Toc370906268"/>
      <w:bookmarkStart w:id="45" w:name="_Toc393284381"/>
      <w:bookmarkStart w:id="46" w:name="_Toc22294"/>
      <w:bookmarkStart w:id="47" w:name="_Toc405191193"/>
      <w:bookmarkStart w:id="48" w:name="_Toc393284675"/>
      <w:bookmarkStart w:id="49" w:name="_Toc389836558"/>
      <w:bookmarkStart w:id="50" w:name="_Toc393371572"/>
      <w:bookmarkStart w:id="51" w:name="_Toc393281140"/>
      <w:bookmarkStart w:id="52" w:name="_Toc393284382"/>
      <w:bookmarkStart w:id="53" w:name="_Toc370906269"/>
      <w:bookmarkStart w:id="54" w:name="_Toc389568493"/>
      <w:bookmarkStart w:id="55" w:name="_Toc393285042"/>
      <w:r>
        <w:rPr>
          <w:rFonts w:hint="eastAsia" w:ascii="宋体" w:hAnsi="宋体" w:eastAsia="宋体" w:cs="宋体"/>
          <w:b/>
          <w:bCs/>
          <w:sz w:val="36"/>
          <w:szCs w:val="36"/>
          <w:highlight w:val="none"/>
          <w:lang w:eastAsia="zh-CN"/>
        </w:rPr>
        <w:t>评审方法</w:t>
      </w:r>
      <w:bookmarkEnd w:id="37"/>
      <w:bookmarkEnd w:id="38"/>
      <w:bookmarkEnd w:id="39"/>
      <w:bookmarkEnd w:id="40"/>
      <w:bookmarkEnd w:id="41"/>
      <w:bookmarkEnd w:id="42"/>
      <w:bookmarkEnd w:id="43"/>
      <w:bookmarkEnd w:id="44"/>
      <w:bookmarkEnd w:id="45"/>
      <w:bookmarkEnd w:id="46"/>
      <w:bookmarkEnd w:id="47"/>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highlight w:val="none"/>
          <w:lang w:eastAsia="zh-CN"/>
        </w:rPr>
      </w:pPr>
    </w:p>
    <w:bookmarkEnd w:id="48"/>
    <w:bookmarkEnd w:id="49"/>
    <w:bookmarkEnd w:id="50"/>
    <w:bookmarkEnd w:id="51"/>
    <w:bookmarkEnd w:id="52"/>
    <w:bookmarkEnd w:id="53"/>
    <w:bookmarkEnd w:id="54"/>
    <w:bookmarkEnd w:id="55"/>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一．评审方法</w:t>
      </w:r>
    </w:p>
    <w:p>
      <w:pPr>
        <w:keepNext w:val="0"/>
        <w:keepLines w:val="0"/>
        <w:pageBreakBefore w:val="0"/>
        <w:widowControl w:val="0"/>
        <w:kinsoku/>
        <w:wordWrap/>
        <w:overflowPunct/>
        <w:topLinePunct w:val="0"/>
        <w:autoSpaceDE/>
        <w:autoSpaceDN/>
        <w:bidi w:val="0"/>
        <w:spacing w:line="360" w:lineRule="auto"/>
        <w:ind w:right="0" w:rightChars="0" w:firstLine="496" w:firstLineChars="200"/>
        <w:textAlignment w:val="auto"/>
        <w:outlineLvl w:val="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按照</w:t>
      </w:r>
      <w:r>
        <w:rPr>
          <w:rFonts w:hint="eastAsia"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rPr>
        <w:t>中华人民共和国</w:t>
      </w:r>
      <w:r>
        <w:rPr>
          <w:rFonts w:hint="eastAsia" w:ascii="宋体" w:hAnsi="宋体" w:eastAsia="宋体" w:cs="宋体"/>
          <w:spacing w:val="4"/>
          <w:sz w:val="24"/>
          <w:szCs w:val="24"/>
          <w:highlight w:val="none"/>
          <w:lang w:eastAsia="zh-CN"/>
        </w:rPr>
        <w:t>政府采购法》及实施条例</w:t>
      </w:r>
      <w:r>
        <w:rPr>
          <w:rFonts w:hint="eastAsia" w:ascii="宋体" w:hAnsi="宋体" w:eastAsia="宋体" w:cs="宋体"/>
          <w:spacing w:val="4"/>
          <w:sz w:val="24"/>
          <w:szCs w:val="24"/>
          <w:highlight w:val="none"/>
        </w:rPr>
        <w:t>、</w:t>
      </w:r>
      <w:r>
        <w:rPr>
          <w:rFonts w:hint="eastAsia" w:ascii="宋体" w:hAnsi="宋体" w:eastAsia="宋体" w:cs="宋体"/>
          <w:sz w:val="24"/>
          <w:szCs w:val="24"/>
          <w:highlight w:val="none"/>
        </w:rPr>
        <w:t>中华人民共和国财政部令第74号--《政府采购非招标采购方式管理办法》</w:t>
      </w:r>
      <w:r>
        <w:rPr>
          <w:rFonts w:hint="eastAsia" w:ascii="宋体" w:hAnsi="宋体" w:eastAsia="宋体" w:cs="宋体"/>
          <w:spacing w:val="4"/>
          <w:sz w:val="24"/>
          <w:szCs w:val="24"/>
          <w:highlight w:val="none"/>
        </w:rPr>
        <w:t>的规定，本次评审采用最低评标价法，</w:t>
      </w:r>
      <w:r>
        <w:rPr>
          <w:rFonts w:hint="eastAsia" w:ascii="宋体" w:hAnsi="宋体" w:eastAsia="宋体" w:cs="宋体"/>
          <w:sz w:val="24"/>
          <w:szCs w:val="24"/>
          <w:highlight w:val="none"/>
        </w:rPr>
        <w:t>即质量和服务均能满足谈判文件要求的供应商中，按照最后报价由低到高的顺序依次排序，推荐</w:t>
      </w:r>
      <w:r>
        <w:rPr>
          <w:rFonts w:hint="eastAsia" w:ascii="宋体" w:hAnsi="宋体" w:eastAsia="宋体" w:cs="宋体"/>
          <w:sz w:val="24"/>
          <w:szCs w:val="24"/>
          <w:highlight w:val="none"/>
          <w:lang w:val="en-US" w:eastAsia="zh-CN"/>
        </w:rPr>
        <w:t>3名</w:t>
      </w:r>
      <w:r>
        <w:rPr>
          <w:rFonts w:hint="eastAsia" w:ascii="宋体" w:hAnsi="宋体" w:eastAsia="宋体" w:cs="宋体"/>
          <w:sz w:val="24"/>
          <w:szCs w:val="24"/>
          <w:highlight w:val="none"/>
        </w:rPr>
        <w:t>成交候选人。</w:t>
      </w:r>
    </w:p>
    <w:p>
      <w:pPr>
        <w:keepNext w:val="0"/>
        <w:keepLines w:val="0"/>
        <w:pageBreakBefore w:val="0"/>
        <w:widowControl w:val="0"/>
        <w:kinsoku/>
        <w:wordWrap/>
        <w:overflowPunct/>
        <w:topLinePunct w:val="0"/>
        <w:autoSpaceDE/>
        <w:autoSpaceDN/>
        <w:bidi w:val="0"/>
        <w:spacing w:line="360" w:lineRule="auto"/>
        <w:ind w:right="0" w:rightChars="0"/>
        <w:textAlignment w:val="auto"/>
        <w:outlineLvl w:val="1"/>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2.1</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资格性审查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0" w:firstLineChars="196"/>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2.</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2符合性审查</w:t>
      </w:r>
      <w:r>
        <w:rPr>
          <w:rFonts w:hint="eastAsia" w:ascii="宋体" w:hAnsi="宋体" w:eastAsia="宋体" w:cs="宋体"/>
          <w:b w:val="0"/>
          <w:bCs w:val="0"/>
          <w:color w:val="000000"/>
          <w:sz w:val="24"/>
          <w:szCs w:val="24"/>
          <w:highlight w:val="none"/>
          <w:lang w:eastAsia="zh-CN"/>
        </w:rPr>
        <w:t>标准：见附件</w:t>
      </w: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2"/>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2.2成交标准</w:t>
      </w:r>
    </w:p>
    <w:p>
      <w:pPr>
        <w:pStyle w:val="3"/>
        <w:keepNext w:val="0"/>
        <w:keepLines w:val="0"/>
        <w:pageBreakBefore w:val="0"/>
        <w:widowControl w:val="0"/>
        <w:kinsoku/>
        <w:wordWrap/>
        <w:overflowPunct/>
        <w:topLinePunct w:val="0"/>
        <w:autoSpaceDE/>
        <w:autoSpaceDN/>
        <w:bidi w:val="0"/>
        <w:spacing w:after="0" w:afterLines="0" w:line="360" w:lineRule="auto"/>
        <w:ind w:right="0" w:rightChars="0" w:firstLine="480" w:firstLineChars="200"/>
        <w:jc w:val="both"/>
        <w:textAlignment w:val="auto"/>
        <w:rPr>
          <w:rFonts w:hint="eastAsia"/>
          <w:sz w:val="24"/>
          <w:szCs w:val="24"/>
          <w:highlight w:val="none"/>
        </w:rPr>
      </w:pPr>
      <w:r>
        <w:rPr>
          <w:rFonts w:hint="eastAsia"/>
          <w:sz w:val="24"/>
          <w:szCs w:val="24"/>
          <w:highlight w:val="none"/>
        </w:rPr>
        <w:t>根据质量和服务均能满足采购文件实质性响应要求且最后报价最低的原则确定成交供应商</w:t>
      </w:r>
      <w:r>
        <w:rPr>
          <w:rFonts w:hint="eastAsia"/>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三</w:t>
      </w:r>
      <w:r>
        <w:rPr>
          <w:rFonts w:hint="eastAsia" w:ascii="宋体" w:hAnsi="宋体" w:eastAsia="宋体" w:cs="宋体"/>
          <w:b/>
          <w:kern w:val="0"/>
          <w:sz w:val="24"/>
          <w:szCs w:val="24"/>
          <w:highlight w:val="none"/>
          <w:lang w:val="en-US" w:eastAsia="zh-CN"/>
        </w:rPr>
        <w:t>、</w:t>
      </w:r>
      <w:r>
        <w:rPr>
          <w:rFonts w:hint="eastAsia" w:ascii="宋体" w:hAnsi="宋体" w:eastAsia="宋体" w:cs="宋体"/>
          <w:b/>
          <w:kern w:val="0"/>
          <w:sz w:val="24"/>
          <w:szCs w:val="24"/>
          <w:highlight w:val="none"/>
        </w:rPr>
        <w:t>评审程序</w:t>
      </w:r>
    </w:p>
    <w:p>
      <w:pPr>
        <w:pStyle w:val="2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44"/>
        <w:jc w:val="both"/>
        <w:textAlignment w:val="auto"/>
        <w:outlineLvl w:val="9"/>
        <w:rPr>
          <w:rFonts w:hint="eastAsia" w:ascii="宋体" w:hAnsi="宋体" w:eastAsia="宋体" w:cs="宋体"/>
          <w:b/>
          <w:bCs/>
          <w:spacing w:val="4"/>
          <w:sz w:val="24"/>
          <w:szCs w:val="24"/>
          <w:highlight w:val="none"/>
          <w:lang w:eastAsia="zh-CN"/>
        </w:rPr>
      </w:pPr>
      <w:r>
        <w:rPr>
          <w:rFonts w:hint="eastAsia" w:ascii="宋体" w:hAnsi="宋体" w:eastAsia="宋体" w:cs="宋体"/>
          <w:b/>
          <w:bCs/>
          <w:spacing w:val="4"/>
          <w:sz w:val="24"/>
          <w:szCs w:val="24"/>
          <w:highlight w:val="none"/>
          <w:lang w:eastAsia="zh-CN"/>
        </w:rPr>
        <w:t>按照初审、澄清有关问题、分别谈判、推荐成交候选人名单。在上一步评审中被作无效响应处理者，不得进入下一步的评审。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outlineLvl w:val="2"/>
        <w:rPr>
          <w:rFonts w:hint="eastAsia" w:ascii="宋体" w:hAnsi="宋体" w:eastAsia="宋体" w:cs="宋体"/>
          <w:b/>
          <w:bCs/>
          <w:spacing w:val="4"/>
          <w:sz w:val="24"/>
          <w:szCs w:val="24"/>
          <w:highlight w:val="none"/>
        </w:rPr>
      </w:pPr>
      <w:r>
        <w:rPr>
          <w:rFonts w:hint="eastAsia" w:ascii="宋体" w:hAnsi="宋体" w:eastAsia="宋体" w:cs="宋体"/>
          <w:b/>
          <w:bCs/>
          <w:spacing w:val="4"/>
          <w:sz w:val="24"/>
          <w:szCs w:val="24"/>
          <w:highlight w:val="none"/>
          <w:lang w:val="en-US" w:eastAsia="zh-CN"/>
        </w:rPr>
        <w:t>1、</w:t>
      </w:r>
      <w:r>
        <w:rPr>
          <w:rFonts w:hint="eastAsia" w:ascii="宋体" w:hAnsi="宋体" w:eastAsia="宋体" w:cs="宋体"/>
          <w:b/>
          <w:bCs/>
          <w:spacing w:val="4"/>
          <w:sz w:val="24"/>
          <w:szCs w:val="24"/>
          <w:highlight w:val="none"/>
        </w:rPr>
        <w:t>对</w:t>
      </w:r>
      <w:r>
        <w:rPr>
          <w:rFonts w:hint="eastAsia" w:ascii="宋体" w:hAnsi="宋体" w:eastAsia="宋体" w:cs="宋体"/>
          <w:b/>
          <w:bCs/>
          <w:spacing w:val="4"/>
          <w:sz w:val="24"/>
          <w:szCs w:val="24"/>
          <w:highlight w:val="none"/>
          <w:lang w:eastAsia="zh-CN"/>
        </w:rPr>
        <w:t>谈判</w:t>
      </w:r>
      <w:r>
        <w:rPr>
          <w:rFonts w:hint="eastAsia" w:ascii="宋体" w:hAnsi="宋体" w:eastAsia="宋体" w:cs="宋体"/>
          <w:b/>
          <w:bCs/>
          <w:spacing w:val="4"/>
          <w:sz w:val="24"/>
          <w:szCs w:val="24"/>
          <w:highlight w:val="none"/>
        </w:rPr>
        <w:t>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0" w:rightChars="0" w:firstLine="472" w:firstLineChars="196"/>
        <w:jc w:val="both"/>
        <w:textAlignment w:val="auto"/>
        <w:outlineLvl w:val="9"/>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资格性审查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将依据本章第 2.1.1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进行资格性审查。有一项不符合评审标准的，</w:t>
      </w:r>
      <w:r>
        <w:rPr>
          <w:rFonts w:hint="eastAsia" w:ascii="宋体" w:hAnsi="宋体" w:eastAsia="宋体" w:cs="宋体"/>
          <w:b/>
          <w:bCs/>
          <w:color w:val="000000"/>
          <w:kern w:val="0"/>
          <w:sz w:val="24"/>
          <w:szCs w:val="24"/>
          <w:highlight w:val="none"/>
        </w:rPr>
        <w:t>将被视为未实质性响应</w:t>
      </w:r>
      <w:r>
        <w:rPr>
          <w:rFonts w:hint="eastAsia" w:ascii="宋体" w:hAnsi="宋体" w:eastAsia="宋体" w:cs="宋体"/>
          <w:b/>
          <w:bCs/>
          <w:color w:val="000000"/>
          <w:kern w:val="0"/>
          <w:sz w:val="24"/>
          <w:szCs w:val="24"/>
          <w:highlight w:val="none"/>
          <w:lang w:eastAsia="zh-CN"/>
        </w:rPr>
        <w:t>谈判</w:t>
      </w:r>
      <w:r>
        <w:rPr>
          <w:rFonts w:hint="eastAsia" w:ascii="宋体" w:hAnsi="宋体" w:eastAsia="宋体" w:cs="宋体"/>
          <w:b/>
          <w:bCs/>
          <w:color w:val="000000"/>
          <w:kern w:val="0"/>
          <w:sz w:val="24"/>
          <w:szCs w:val="24"/>
          <w:highlight w:val="none"/>
        </w:rPr>
        <w:t>文件</w:t>
      </w:r>
      <w:r>
        <w:rPr>
          <w:rFonts w:hint="eastAsia" w:ascii="宋体" w:hAnsi="宋体" w:eastAsia="宋体" w:cs="宋体"/>
          <w:b/>
          <w:bCs/>
          <w:color w:val="000000"/>
          <w:kern w:val="0"/>
          <w:sz w:val="24"/>
          <w:szCs w:val="24"/>
          <w:highlight w:val="none"/>
          <w:lang w:eastAsia="zh-CN"/>
        </w:rPr>
        <w:t>，其谈判响应文件将按无效文件处理</w:t>
      </w:r>
      <w:r>
        <w:rPr>
          <w:rFonts w:hint="eastAsia" w:ascii="宋体" w:hAnsi="宋体" w:eastAsia="宋体" w:cs="宋体"/>
          <w:b/>
          <w:bCs/>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.2符合性审查</w:t>
      </w:r>
      <w:r>
        <w:rPr>
          <w:rFonts w:hint="eastAsia" w:ascii="宋体" w:hAnsi="宋体" w:eastAsia="宋体" w:cs="宋体"/>
          <w:b/>
          <w:bCs/>
          <w:color w:val="000000"/>
          <w:sz w:val="24"/>
          <w:szCs w:val="24"/>
          <w:highlight w:val="none"/>
          <w:lang w:eastAsia="zh-CN"/>
        </w:rPr>
        <w:t>：谈判小组</w:t>
      </w:r>
      <w:r>
        <w:rPr>
          <w:rFonts w:hint="eastAsia" w:ascii="宋体" w:hAnsi="宋体" w:eastAsia="宋体" w:cs="宋体"/>
          <w:b/>
          <w:bCs/>
          <w:color w:val="000000"/>
          <w:sz w:val="24"/>
          <w:szCs w:val="24"/>
          <w:highlight w:val="none"/>
        </w:rPr>
        <w:t>根据本章第 2.1.2 项规定的评审标准对</w:t>
      </w:r>
      <w:r>
        <w:rPr>
          <w:rFonts w:hint="eastAsia" w:ascii="宋体" w:hAnsi="宋体" w:eastAsia="宋体" w:cs="宋体"/>
          <w:b/>
          <w:bCs/>
          <w:color w:val="000000"/>
          <w:sz w:val="24"/>
          <w:szCs w:val="24"/>
          <w:highlight w:val="none"/>
          <w:lang w:eastAsia="zh-CN"/>
        </w:rPr>
        <w:t>谈判响应文件</w:t>
      </w:r>
      <w:r>
        <w:rPr>
          <w:rFonts w:hint="eastAsia" w:ascii="宋体" w:hAnsi="宋体" w:eastAsia="宋体" w:cs="宋体"/>
          <w:b/>
          <w:bCs/>
          <w:color w:val="000000"/>
          <w:sz w:val="24"/>
          <w:szCs w:val="24"/>
          <w:highlight w:val="none"/>
        </w:rPr>
        <w:t>进行符合性评审。有一项不符合评审标准的，将被视为未实质性响应</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文件，其</w:t>
      </w:r>
      <w:r>
        <w:rPr>
          <w:rFonts w:hint="eastAsia" w:ascii="宋体" w:hAnsi="宋体" w:eastAsia="宋体" w:cs="宋体"/>
          <w:b/>
          <w:bCs/>
          <w:color w:val="000000"/>
          <w:sz w:val="24"/>
          <w:szCs w:val="24"/>
          <w:highlight w:val="none"/>
          <w:lang w:eastAsia="zh-CN"/>
        </w:rPr>
        <w:t>谈判</w:t>
      </w:r>
      <w:r>
        <w:rPr>
          <w:rFonts w:hint="eastAsia" w:ascii="宋体" w:hAnsi="宋体" w:eastAsia="宋体" w:cs="宋体"/>
          <w:b/>
          <w:bCs/>
          <w:color w:val="000000"/>
          <w:sz w:val="24"/>
          <w:szCs w:val="24"/>
          <w:highlight w:val="none"/>
        </w:rPr>
        <w:t>响应文件将按无效文件处理。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sz w:val="24"/>
          <w:szCs w:val="24"/>
          <w:highlight w:val="none"/>
        </w:rPr>
        <w:t>在资格性审查</w:t>
      </w:r>
      <w:r>
        <w:rPr>
          <w:rFonts w:hint="eastAsia" w:ascii="宋体" w:hAnsi="宋体" w:eastAsia="宋体" w:cs="宋体"/>
          <w:b/>
          <w:bCs/>
          <w:color w:val="000000"/>
          <w:sz w:val="24"/>
          <w:szCs w:val="24"/>
          <w:highlight w:val="none"/>
          <w:lang w:eastAsia="zh-CN"/>
        </w:rPr>
        <w:t>阶</w:t>
      </w:r>
      <w:r>
        <w:rPr>
          <w:rFonts w:hint="eastAsia" w:ascii="宋体" w:hAnsi="宋体" w:eastAsia="宋体" w:cs="宋体"/>
          <w:b/>
          <w:bCs/>
          <w:color w:val="000000"/>
          <w:sz w:val="24"/>
          <w:szCs w:val="24"/>
          <w:highlight w:val="none"/>
        </w:rPr>
        <w:t>段，不符合</w:t>
      </w:r>
      <w:r>
        <w:rPr>
          <w:rFonts w:hint="eastAsia" w:ascii="宋体" w:hAnsi="宋体" w:eastAsia="宋体" w:cs="宋体"/>
          <w:b/>
          <w:bCs/>
          <w:color w:val="000000"/>
          <w:sz w:val="24"/>
          <w:szCs w:val="24"/>
          <w:highlight w:val="none"/>
          <w:lang w:eastAsia="zh-CN"/>
        </w:rPr>
        <w:t>谈判文件</w:t>
      </w:r>
      <w:r>
        <w:rPr>
          <w:rFonts w:hint="eastAsia" w:ascii="宋体" w:hAnsi="宋体" w:eastAsia="宋体" w:cs="宋体"/>
          <w:b/>
          <w:bCs/>
          <w:color w:val="000000"/>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line="360" w:lineRule="auto"/>
        <w:ind w:right="0" w:rightChars="0" w:firstLine="482" w:firstLineChars="200"/>
        <w:jc w:val="both"/>
        <w:textAlignment w:val="auto"/>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2、</w:t>
      </w:r>
      <w:r>
        <w:rPr>
          <w:rFonts w:hint="eastAsia" w:ascii="宋体" w:hAnsi="宋体" w:eastAsia="宋体" w:cs="宋体"/>
          <w:b/>
          <w:color w:val="000000"/>
          <w:sz w:val="24"/>
          <w:highlight w:val="none"/>
          <w:lang w:eastAsia="zh-CN"/>
        </w:rPr>
        <w:t>谈判响应</w:t>
      </w:r>
      <w:r>
        <w:rPr>
          <w:rFonts w:hint="eastAsia" w:ascii="宋体" w:hAnsi="宋体" w:eastAsia="宋体" w:cs="宋体"/>
          <w:b/>
          <w:color w:val="000000"/>
          <w:sz w:val="24"/>
          <w:highlight w:val="none"/>
        </w:rPr>
        <w:t>文件的澄清</w:t>
      </w:r>
    </w:p>
    <w:p>
      <w:pPr>
        <w:keepNext w:val="0"/>
        <w:keepLines w:val="0"/>
        <w:pageBreakBefore w:val="0"/>
        <w:widowControl w:val="0"/>
        <w:kinsoku/>
        <w:wordWrap/>
        <w:overflowPunct/>
        <w:topLinePunct w:val="0"/>
        <w:autoSpaceDE/>
        <w:autoSpaceDN/>
        <w:bidi w:val="0"/>
        <w:spacing w:line="360" w:lineRule="auto"/>
        <w:ind w:right="0" w:rightChars="0" w:firstLine="496" w:firstLineChars="200"/>
        <w:jc w:val="both"/>
        <w:textAlignment w:val="auto"/>
        <w:outlineLvl w:val="9"/>
        <w:rPr>
          <w:rFonts w:hint="eastAsia" w:ascii="宋体" w:hAnsi="宋体" w:eastAsia="宋体" w:cs="宋体"/>
          <w:b w:val="0"/>
          <w:bCs/>
          <w:spacing w:val="4"/>
          <w:sz w:val="24"/>
          <w:szCs w:val="24"/>
          <w:highlight w:val="none"/>
          <w:lang w:val="en-US" w:eastAsia="zh-CN"/>
        </w:rPr>
      </w:pPr>
      <w:r>
        <w:rPr>
          <w:rFonts w:hint="eastAsia" w:ascii="宋体" w:hAnsi="宋体" w:eastAsia="宋体" w:cs="宋体"/>
          <w:b w:val="0"/>
          <w:bCs/>
          <w:spacing w:val="4"/>
          <w:sz w:val="24"/>
          <w:szCs w:val="24"/>
          <w:highlight w:val="none"/>
          <w:lang w:val="en-US" w:eastAsia="zh-CN"/>
        </w:rPr>
        <w:t>2.1</w:t>
      </w:r>
      <w:r>
        <w:rPr>
          <w:rFonts w:hint="eastAsia" w:ascii="宋体" w:hAnsi="宋体" w:eastAsia="宋体" w:cs="宋体"/>
          <w:b w:val="0"/>
          <w:bCs/>
          <w:spacing w:val="4"/>
          <w:sz w:val="24"/>
          <w:szCs w:val="24"/>
          <w:highlight w:val="none"/>
          <w:lang w:eastAsia="zh-CN"/>
        </w:rPr>
        <w:t>谈判小组发现供应商的报价明显低于其他通过符合性审查的供应商的报价，有可能影响产品质量或者不能诚信履约的，</w:t>
      </w:r>
      <w:r>
        <w:rPr>
          <w:rFonts w:hint="eastAsia" w:ascii="宋体" w:hAnsi="宋体" w:eastAsia="宋体" w:cs="宋体"/>
          <w:b w:val="0"/>
          <w:bCs/>
          <w:spacing w:val="4"/>
          <w:sz w:val="24"/>
          <w:szCs w:val="24"/>
          <w:highlight w:val="none"/>
          <w:lang w:val="en-US" w:eastAsia="zh-CN"/>
        </w:rPr>
        <w:t>应当要求其在谈判现场合理的时间内做出书面说明，必要时提交相关证明材料。供应商不能证明其报价合理性的，谈判小组应当将其作为无效响应处理。</w:t>
      </w:r>
    </w:p>
    <w:p>
      <w:pPr>
        <w:keepNext w:val="0"/>
        <w:keepLines w:val="0"/>
        <w:pageBreakBefore w:val="0"/>
        <w:widowControl w:val="0"/>
        <w:kinsoku/>
        <w:wordWrap/>
        <w:overflowPunct/>
        <w:topLinePunct w:val="0"/>
        <w:autoSpaceDE/>
        <w:autoSpaceDN/>
        <w:bidi w:val="0"/>
        <w:spacing w:line="360" w:lineRule="auto"/>
        <w:ind w:right="0" w:rightChars="0" w:firstLine="480" w:firstLineChars="200"/>
        <w:jc w:val="both"/>
        <w:textAlignment w:val="auto"/>
        <w:outlineLvl w:val="9"/>
        <w:rPr>
          <w:rFonts w:hint="eastAsia"/>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.2有效的书面澄清材料，是</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文件的补充材料，成为</w:t>
      </w:r>
      <w:r>
        <w:rPr>
          <w:rFonts w:hint="eastAsia" w:ascii="宋体" w:hAnsi="宋体" w:eastAsia="宋体" w:cs="宋体"/>
          <w:color w:val="000000"/>
          <w:sz w:val="24"/>
          <w:szCs w:val="24"/>
          <w:highlight w:val="none"/>
          <w:lang w:eastAsia="zh-CN"/>
        </w:rPr>
        <w:t>谈判响应</w:t>
      </w:r>
      <w:r>
        <w:rPr>
          <w:rFonts w:hint="eastAsia" w:ascii="宋体" w:hAnsi="宋体" w:eastAsia="宋体" w:cs="宋体"/>
          <w:color w:val="000000"/>
          <w:sz w:val="24"/>
          <w:szCs w:val="24"/>
          <w:highlight w:val="none"/>
        </w:rPr>
        <w:t>文件的组成部分。</w:t>
      </w:r>
    </w:p>
    <w:p>
      <w:pPr>
        <w:pStyle w:val="12"/>
        <w:keepNext w:val="0"/>
        <w:keepLines w:val="0"/>
        <w:pageBreakBefore w:val="0"/>
        <w:widowControl w:val="0"/>
        <w:kinsoku/>
        <w:wordWrap/>
        <w:overflowPunct/>
        <w:topLinePunct w:val="0"/>
        <w:autoSpaceDE/>
        <w:autoSpaceDN/>
        <w:bidi w:val="0"/>
        <w:spacing w:line="360" w:lineRule="auto"/>
        <w:ind w:right="0" w:rightChars="0" w:firstLine="482" w:firstLineChars="200"/>
        <w:textAlignment w:val="auto"/>
        <w:outlineLvl w:val="2"/>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3、谈判</w:t>
      </w:r>
    </w:p>
    <w:p>
      <w:pPr>
        <w:pStyle w:val="12"/>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谈判小组所有成员集中与单一供应商分别进行谈判，并要求供应商在规定的时间内提交最后报价。</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hAnsi="宋体" w:eastAsia="宋体" w:cs="宋体"/>
          <w:b/>
          <w:bCs/>
          <w:color w:val="auto"/>
          <w:spacing w:val="4"/>
          <w:sz w:val="24"/>
          <w:szCs w:val="24"/>
          <w:highlight w:val="none"/>
          <w:lang w:val="en-US" w:eastAsia="zh-CN"/>
        </w:rPr>
      </w:pPr>
      <w:r>
        <w:rPr>
          <w:rFonts w:hint="eastAsia" w:hAnsi="宋体" w:eastAsia="宋体" w:cs="宋体"/>
          <w:b/>
          <w:bCs/>
          <w:color w:val="auto"/>
          <w:spacing w:val="4"/>
          <w:sz w:val="24"/>
          <w:szCs w:val="24"/>
          <w:highlight w:val="none"/>
          <w:lang w:val="en-US" w:eastAsia="zh-CN"/>
        </w:rPr>
        <w:t>4、谈判过程中的实质性变动</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.1在谈判过程中，谈判小组可以根据谈判文件和谈判情况在最终报价之前实质性变动采购需求中的技术、服务要求以及合同草案条款，但不得变动竞争性谈判文件中的其他</w:t>
      </w:r>
      <w:r>
        <w:rPr>
          <w:rFonts w:hint="eastAsia" w:ascii="宋体" w:hAnsi="宋体" w:eastAsia="宋体" w:cs="宋体"/>
          <w:color w:val="auto"/>
          <w:sz w:val="24"/>
          <w:szCs w:val="24"/>
          <w:highlight w:val="none"/>
          <w:lang w:eastAsia="zh-CN"/>
        </w:rPr>
        <w:t>内容</w:t>
      </w:r>
      <w:r>
        <w:rPr>
          <w:rFonts w:hint="eastAsia" w:ascii="宋体" w:hAnsi="宋体" w:eastAsia="宋体" w:cs="宋体"/>
          <w:color w:val="auto"/>
          <w:sz w:val="24"/>
          <w:szCs w:val="24"/>
          <w:highlight w:val="none"/>
        </w:rPr>
        <w:t>。实质性变动的内容，须经采购人代表确认。</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.2对竞争性谈判文件做出的实质性变动是谈判文件的有效组成部分，谈判小组应当及时以书面形式通知所有参加谈判的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pPr>
        <w:pStyle w:val="12"/>
        <w:keepNext w:val="0"/>
        <w:keepLines w:val="0"/>
        <w:pageBreakBefore w:val="0"/>
        <w:widowControl w:val="0"/>
        <w:kinsoku/>
        <w:wordWrap/>
        <w:overflowPunct/>
        <w:topLinePunct w:val="0"/>
        <w:autoSpaceDE/>
        <w:autoSpaceDN/>
        <w:bidi w:val="0"/>
        <w:spacing w:line="360" w:lineRule="auto"/>
        <w:ind w:right="0" w:rightChars="0" w:firstLine="498" w:firstLineChars="200"/>
        <w:textAlignment w:val="auto"/>
        <w:outlineLvl w:val="2"/>
        <w:rPr>
          <w:rFonts w:hint="eastAsia" w:ascii="宋体" w:hAnsi="宋体" w:eastAsia="宋体" w:cs="宋体"/>
          <w:b/>
          <w:bCs/>
          <w:spacing w:val="4"/>
          <w:sz w:val="24"/>
          <w:szCs w:val="24"/>
          <w:highlight w:val="none"/>
        </w:rPr>
      </w:pPr>
      <w:r>
        <w:rPr>
          <w:rFonts w:hint="eastAsia" w:hAnsi="宋体" w:eastAsia="宋体" w:cs="宋体"/>
          <w:b/>
          <w:bCs/>
          <w:spacing w:val="4"/>
          <w:sz w:val="24"/>
          <w:szCs w:val="24"/>
          <w:highlight w:val="none"/>
          <w:lang w:val="en-US" w:eastAsia="zh-CN"/>
        </w:rPr>
        <w:t>5</w:t>
      </w:r>
      <w:r>
        <w:rPr>
          <w:rFonts w:hint="eastAsia" w:ascii="宋体" w:hAnsi="宋体" w:eastAsia="宋体" w:cs="宋体"/>
          <w:b/>
          <w:bCs/>
          <w:spacing w:val="4"/>
          <w:sz w:val="24"/>
          <w:szCs w:val="24"/>
          <w:highlight w:val="none"/>
        </w:rPr>
        <w:t>、推荐成交候选人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96" w:firstLineChars="200"/>
        <w:textAlignment w:val="auto"/>
        <w:outlineLvl w:val="9"/>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由谈判小组依据谈判响应文件，从质量和服务均能满足谈判文件要求的供应商中，按照最后报价由低到高的顺序依次排序，推荐</w:t>
      </w:r>
      <w:r>
        <w:rPr>
          <w:rFonts w:hint="eastAsia" w:hAnsi="宋体" w:eastAsia="宋体" w:cs="宋体"/>
          <w:color w:val="auto"/>
          <w:spacing w:val="4"/>
          <w:sz w:val="24"/>
          <w:szCs w:val="24"/>
          <w:highlight w:val="none"/>
          <w:lang w:val="en-US" w:eastAsia="zh-CN"/>
        </w:rPr>
        <w:t>3</w:t>
      </w:r>
      <w:r>
        <w:rPr>
          <w:rFonts w:hint="eastAsia" w:hAnsi="宋体" w:eastAsia="宋体" w:cs="宋体"/>
          <w:color w:val="auto"/>
          <w:spacing w:val="4"/>
          <w:sz w:val="24"/>
          <w:szCs w:val="24"/>
          <w:highlight w:val="none"/>
          <w:lang w:eastAsia="zh-CN"/>
        </w:rPr>
        <w:t>名</w:t>
      </w:r>
      <w:r>
        <w:rPr>
          <w:rFonts w:hint="eastAsia" w:ascii="宋体" w:hAnsi="宋体" w:eastAsia="宋体" w:cs="宋体"/>
          <w:color w:val="auto"/>
          <w:spacing w:val="4"/>
          <w:sz w:val="24"/>
          <w:szCs w:val="24"/>
          <w:highlight w:val="none"/>
        </w:rPr>
        <w:t>成交候选人</w:t>
      </w:r>
      <w:r>
        <w:rPr>
          <w:rFonts w:hint="eastAsia" w:hAnsi="宋体" w:eastAsia="宋体" w:cs="宋体"/>
          <w:color w:val="auto"/>
          <w:spacing w:val="4"/>
          <w:sz w:val="24"/>
          <w:szCs w:val="24"/>
          <w:highlight w:val="none"/>
          <w:lang w:eastAsia="zh-CN"/>
        </w:rPr>
        <w:t>，并标明顺序</w:t>
      </w:r>
      <w:r>
        <w:rPr>
          <w:rFonts w:hint="eastAsia" w:ascii="宋体" w:hAnsi="宋体" w:eastAsia="宋体" w:cs="宋体"/>
          <w:color w:val="auto"/>
          <w:spacing w:val="4"/>
          <w:sz w:val="24"/>
          <w:szCs w:val="24"/>
          <w:highlight w:val="none"/>
        </w:rPr>
        <w:t>。谈判报价相同的，按照技术指标优劣顺序排序或由全体谈判小组成员无记名投票，得票高者排序在前。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四、谈判小组当履行下列义务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配合财政部门的投诉处理和监督检查工作。</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1"/>
        <w:rPr>
          <w:rFonts w:hint="eastAsia" w:hAnsi="宋体"/>
          <w:b/>
          <w:bCs/>
          <w:color w:val="auto"/>
          <w:spacing w:val="4"/>
          <w:sz w:val="24"/>
          <w:szCs w:val="24"/>
          <w:highlight w:val="none"/>
          <w:lang w:val="en-US" w:eastAsia="zh-CN"/>
        </w:rPr>
      </w:pPr>
      <w:r>
        <w:rPr>
          <w:rFonts w:hint="eastAsia" w:ascii="宋体" w:hAnsi="宋体"/>
          <w:b/>
          <w:color w:val="auto"/>
          <w:sz w:val="24"/>
          <w:szCs w:val="24"/>
          <w:highlight w:val="none"/>
          <w:lang w:eastAsia="zh-CN"/>
        </w:rPr>
        <w:t>五、</w:t>
      </w:r>
      <w:r>
        <w:rPr>
          <w:rFonts w:hint="eastAsia" w:hAnsi="宋体"/>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宋体" w:hAnsi="宋体"/>
          <w:b/>
          <w:color w:val="auto"/>
          <w:sz w:val="24"/>
          <w:szCs w:val="24"/>
          <w:highlight w:val="none"/>
          <w:lang w:eastAsia="zh-CN"/>
        </w:rPr>
      </w:pPr>
      <w:r>
        <w:rPr>
          <w:rFonts w:hint="eastAsia" w:ascii="宋体" w:hAnsi="宋体"/>
          <w:b/>
          <w:color w:val="auto"/>
          <w:sz w:val="24"/>
          <w:szCs w:val="24"/>
          <w:highlight w:val="none"/>
          <w:lang w:eastAsia="zh-CN"/>
        </w:rPr>
        <w:t>出现下列情形之一的，谈判响应文件无效：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highlight w:val="none"/>
        </w:rPr>
        <w:t>竞争性谈判响应文件未按竞争性谈判文件要求密封、签署、盖章的；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4"/>
          <w:highlight w:val="none"/>
          <w:lang w:eastAsia="zh-CN"/>
        </w:rPr>
        <w:t>供应商未按竞争性谈判文件要求提交谈判</w:t>
      </w:r>
      <w:r>
        <w:rPr>
          <w:rFonts w:hint="eastAsia" w:ascii="宋体" w:hAnsi="宋体" w:eastAsia="宋体" w:cs="宋体"/>
          <w:color w:val="auto"/>
          <w:sz w:val="24"/>
          <w:szCs w:val="24"/>
          <w:highlight w:val="none"/>
        </w:rPr>
        <w:t>保证金</w:t>
      </w:r>
      <w:r>
        <w:rPr>
          <w:rFonts w:hint="eastAsia" w:ascii="宋体" w:hAnsi="宋体" w:eastAsia="宋体" w:cs="宋体"/>
          <w:color w:val="auto"/>
          <w:sz w:val="24"/>
          <w:szCs w:val="24"/>
          <w:highlight w:val="none"/>
          <w:lang w:eastAsia="zh-CN"/>
        </w:rPr>
        <w:t>或保函的</w:t>
      </w:r>
      <w:r>
        <w:rPr>
          <w:rFonts w:hint="eastAsia" w:ascii="宋体" w:hAnsi="宋体" w:eastAsia="宋体" w:cs="宋体"/>
          <w:color w:val="auto"/>
          <w:sz w:val="24"/>
          <w:szCs w:val="24"/>
          <w:highlight w:val="none"/>
        </w:rPr>
        <w:t>；</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3、不具备谈判文件中规定的资格要求或</w:t>
      </w:r>
      <w:r>
        <w:rPr>
          <w:rFonts w:hint="eastAsia" w:ascii="宋体" w:hAnsi="宋体" w:eastAsia="宋体" w:cs="宋体"/>
          <w:color w:val="auto"/>
          <w:sz w:val="24"/>
          <w:szCs w:val="24"/>
          <w:highlight w:val="none"/>
        </w:rPr>
        <w:t>资格证明文件不全的或无效的；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pacing w:val="-6"/>
          <w:sz w:val="24"/>
          <w:highlight w:val="none"/>
        </w:rPr>
        <w:t>无谈判有效期或有效期达不到竞争性谈判文件要求的</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谈判总报价</w:t>
      </w:r>
      <w:r>
        <w:rPr>
          <w:rFonts w:hint="eastAsia" w:ascii="宋体" w:hAnsi="宋体" w:eastAsia="宋体" w:cs="宋体"/>
          <w:color w:val="auto"/>
          <w:sz w:val="24"/>
          <w:szCs w:val="24"/>
          <w:highlight w:val="none"/>
          <w:lang w:eastAsia="zh-CN"/>
        </w:rPr>
        <w:t>超过</w:t>
      </w:r>
      <w:r>
        <w:rPr>
          <w:rFonts w:hint="eastAsia" w:ascii="宋体" w:hAnsi="宋体" w:eastAsia="宋体" w:cs="宋体"/>
          <w:color w:val="auto"/>
          <w:sz w:val="24"/>
          <w:szCs w:val="24"/>
          <w:highlight w:val="none"/>
        </w:rPr>
        <w:t>竞争性谈判文件公布的采购预算的</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eastAsia="宋体" w:cs="宋体"/>
          <w:color w:val="auto"/>
          <w:sz w:val="24"/>
          <w:szCs w:val="24"/>
          <w:highlight w:val="none"/>
          <w:lang w:val="en-US" w:eastAsia="zh-CN"/>
        </w:rPr>
        <w:t>6、</w:t>
      </w:r>
      <w:r>
        <w:rPr>
          <w:rFonts w:hint="eastAsia" w:hAnsi="宋体"/>
          <w:b w:val="0"/>
          <w:bCs w:val="0"/>
          <w:color w:val="auto"/>
          <w:spacing w:val="4"/>
          <w:sz w:val="24"/>
          <w:szCs w:val="24"/>
          <w:highlight w:val="none"/>
          <w:lang w:val="en-US" w:eastAsia="zh-CN"/>
        </w:rPr>
        <w:t>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7、单位负责人为同一人或者存在直接控股、管理关系的不同供应商，参加本项目同一合同项下的谈判的；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8、为本采购项目提供整体设计、规范编制或者项目管理、监理、检测等服务的供应商，参加本采购项目谈判的；</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color w:val="auto"/>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highlight w:val="none"/>
        </w:rPr>
        <w:t>提供虚假</w:t>
      </w:r>
      <w:r>
        <w:rPr>
          <w:rFonts w:hint="eastAsia" w:ascii="宋体" w:hAnsi="宋体" w:eastAsia="宋体" w:cs="宋体"/>
          <w:color w:val="auto"/>
          <w:sz w:val="24"/>
          <w:highlight w:val="none"/>
          <w:lang w:eastAsia="zh-CN"/>
        </w:rPr>
        <w:t>文件和资料的</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10、法律、法规规定的其他无效情形</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政策性扣减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政策性扣减范围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1.1供应商符合小型、微型企业或监狱企业</w:t>
      </w:r>
      <w:r>
        <w:rPr>
          <w:rFonts w:hint="eastAsia" w:ascii="宋体" w:hAnsi="宋体" w:eastAsia="宋体" w:cs="宋体"/>
          <w:color w:val="auto"/>
          <w:sz w:val="24"/>
          <w:szCs w:val="24"/>
          <w:highlight w:val="none"/>
          <w:lang w:eastAsia="zh-CN"/>
        </w:rPr>
        <w:t>、残疾人福利性单位</w:t>
      </w:r>
      <w:r>
        <w:rPr>
          <w:rFonts w:hint="eastAsia" w:ascii="宋体" w:hAnsi="宋体" w:eastAsia="宋体" w:cs="宋体"/>
          <w:color w:val="auto"/>
          <w:sz w:val="24"/>
          <w:szCs w:val="24"/>
          <w:highlight w:val="none"/>
        </w:rPr>
        <w:t>条件的，其</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报价价格评审时将按相应比例进行扣减。</w:t>
      </w:r>
    </w:p>
    <w:p>
      <w:pPr>
        <w:spacing w:line="360" w:lineRule="auto"/>
        <w:ind w:firstLine="496" w:firstLineChars="200"/>
        <w:rPr>
          <w:rFonts w:hint="eastAsia" w:ascii="宋体" w:hAnsi="宋体" w:cs="宋体"/>
          <w:bCs/>
          <w:color w:val="auto"/>
          <w:spacing w:val="4"/>
          <w:sz w:val="24"/>
          <w:szCs w:val="24"/>
          <w:highlight w:val="none"/>
        </w:rPr>
      </w:pPr>
      <w:r>
        <w:rPr>
          <w:rFonts w:hint="eastAsia" w:ascii="宋体" w:hAnsi="宋体" w:cs="宋体"/>
          <w:bCs/>
          <w:color w:val="auto"/>
          <w:spacing w:val="4"/>
          <w:sz w:val="24"/>
          <w:szCs w:val="24"/>
          <w:highlight w:val="none"/>
        </w:rPr>
        <w:t>1.2依照&lt;关于印发《政府采购促进中小企业发展管理办法》的通知&gt;（财库〔2020〕46号）的规定，小型、微型企业应当同时符合以下条件：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96"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cs="宋体"/>
          <w:bCs/>
          <w:color w:val="auto"/>
          <w:spacing w:val="4"/>
          <w:sz w:val="24"/>
          <w:szCs w:val="24"/>
          <w:highlight w:val="none"/>
        </w:rPr>
        <w:t>1.2.1符合中小企业划分标准（中小企业划分标准是指国务院有关部门根据企业从业人员、营业收入、资产总额等指标制定的中小企业划型标准（工信部联企业〔2011〕300号））。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1.2.2提供本企业制造的货物、承担的工程或者服务，或者提供其他中小企业制造的货物，不包括提供或使用大型企业注册商标的货物。</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1.2.3小型、微型企业提供中型企业制造的货物的，视同为中型企业；小型、微型、中型企业提供大型企业制造的货物的，视同为大型企业。</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spacing w:line="4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监狱企业参加政府采购活动时，视同</w:t>
      </w:r>
      <w:r>
        <w:rPr>
          <w:rFonts w:hint="eastAsia" w:ascii="宋体" w:hAnsi="宋体" w:eastAsia="宋体" w:cs="宋体"/>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166" w:rightChars="-79" w:firstLine="480" w:firstLineChars="200"/>
        <w:textAlignment w:val="auto"/>
        <w:rPr>
          <w:rFonts w:hint="eastAsia" w:ascii="宋体" w:hAnsi="宋体" w:eastAsia="宋体" w:cs="宋体"/>
          <w:spacing w:val="4"/>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sz w:val="24"/>
          <w:szCs w:val="24"/>
          <w:highlight w:val="none"/>
        </w:rPr>
        <w:t>参加政府采购活动时，视同</w:t>
      </w:r>
      <w:r>
        <w:rPr>
          <w:rFonts w:hint="eastAsia" w:ascii="宋体" w:hAnsi="宋体" w:eastAsia="宋体" w:cs="宋体"/>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8" w:firstLineChars="200"/>
        <w:textAlignment w:val="auto"/>
        <w:outlineLvl w:val="2"/>
        <w:rPr>
          <w:rFonts w:hint="eastAsia" w:ascii="宋体" w:hAnsi="宋体" w:eastAsia="宋体" w:cs="宋体"/>
          <w:b/>
          <w:spacing w:val="4"/>
          <w:sz w:val="24"/>
          <w:szCs w:val="24"/>
          <w:highlight w:val="none"/>
        </w:rPr>
      </w:pPr>
      <w:r>
        <w:rPr>
          <w:rFonts w:hint="eastAsia" w:ascii="宋体" w:hAnsi="宋体" w:eastAsia="宋体" w:cs="宋体"/>
          <w:b/>
          <w:spacing w:val="4"/>
          <w:sz w:val="24"/>
          <w:szCs w:val="24"/>
          <w:highlight w:val="none"/>
        </w:rPr>
        <w:t>2、政策性扣减方式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2.1供应商为非联合体参与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的情况：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最终报价的基础上，对小微企业、监狱企业、残疾人福利性单位，按“投标报价×6%”进行扣减；</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为联合体参与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且联合协议中约定小型或微型企业的协议合同金额占到联合体协议合同总金额30％以上的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按“投标报价×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%”进行扣减；</w:t>
      </w:r>
    </w:p>
    <w:p>
      <w:pPr>
        <w:keepNext w:val="0"/>
        <w:keepLines w:val="0"/>
        <w:pageBreakBefore w:val="0"/>
        <w:widowControl w:val="0"/>
        <w:kinsoku/>
        <w:wordWrap/>
        <w:overflowPunct/>
        <w:topLinePunct w:val="0"/>
        <w:autoSpaceDE/>
        <w:autoSpaceDN/>
        <w:bidi w:val="0"/>
        <w:spacing w:line="360" w:lineRule="auto"/>
        <w:ind w:right="0" w:righ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2.3小微企业、监狱企业、残疾人福利性单位不重复享受优惠政策；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zh-CN"/>
        </w:rPr>
        <w:t>4谈判产品属于优先采购的节能、环境标志产品范围的，须按照本章“四、政策性扣减 1、政策性扣减范围第1.3</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条规定提供相应的证明材料；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在报价相同的前提下，应优先采购“两个清单”内的产品；对于同时列入“两个清单”的产品，应当优先于只获得其中一项认证的产品。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享受支持中小型企业发展政策优惠的，可以同时享受节能、环境标志产品优先采购政策。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2"/>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3、成交价格=成交供应商的有效</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报价</w:t>
      </w:r>
      <w:r>
        <w:rPr>
          <w:rFonts w:hint="eastAsia" w:ascii="宋体" w:hAnsi="宋体" w:eastAsia="宋体" w:cs="宋体"/>
          <w:b/>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1"/>
        <w:rPr>
          <w:rFonts w:hint="eastAsia" w:ascii="宋体" w:hAnsi="宋体" w:eastAsia="宋体" w:cs="宋体"/>
          <w:b/>
          <w:color w:val="FF0000"/>
          <w:kern w:val="0"/>
          <w:sz w:val="24"/>
          <w:szCs w:val="24"/>
          <w:highlight w:val="none"/>
          <w:lang w:eastAsia="zh-CN"/>
        </w:rPr>
      </w:pPr>
      <w:bookmarkStart w:id="56" w:name="_Toc409690878"/>
      <w:bookmarkStart w:id="57" w:name="_Toc24123"/>
      <w:bookmarkStart w:id="58" w:name="_Toc1474"/>
      <w:bookmarkStart w:id="59" w:name="_Toc425781313"/>
      <w:r>
        <w:rPr>
          <w:rFonts w:hint="eastAsia" w:ascii="宋体" w:hAnsi="宋体" w:eastAsia="宋体" w:cs="宋体"/>
          <w:b/>
          <w:kern w:val="0"/>
          <w:sz w:val="24"/>
          <w:szCs w:val="24"/>
          <w:highlight w:val="none"/>
          <w:lang w:eastAsia="zh-CN"/>
        </w:rPr>
        <w:t>七</w:t>
      </w:r>
      <w:r>
        <w:rPr>
          <w:rFonts w:hint="eastAsia" w:ascii="宋体" w:hAnsi="宋体" w:eastAsia="宋体" w:cs="宋体"/>
          <w:b/>
          <w:kern w:val="0"/>
          <w:sz w:val="24"/>
          <w:szCs w:val="24"/>
          <w:highlight w:val="none"/>
        </w:rPr>
        <w:t>、</w:t>
      </w:r>
      <w:r>
        <w:rPr>
          <w:rFonts w:hint="eastAsia" w:ascii="宋体" w:hAnsi="宋体" w:eastAsia="宋体" w:cs="宋体"/>
          <w:b/>
          <w:color w:val="auto"/>
          <w:kern w:val="0"/>
          <w:sz w:val="24"/>
          <w:szCs w:val="24"/>
          <w:highlight w:val="none"/>
          <w:lang w:eastAsia="zh-CN"/>
        </w:rPr>
        <w:t>成交</w:t>
      </w:r>
    </w:p>
    <w:p>
      <w:pPr>
        <w:pStyle w:val="1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1、谈判结果报告由谈判小组签字确认。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2、采购人根据谈判结果报告中推荐的成交候选人排列顺序确定成交人，以复函通知采购代理</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1"/>
        <w:rPr>
          <w:rFonts w:hint="eastAsia" w:ascii="宋体" w:hAnsi="宋体" w:eastAsia="宋体" w:cs="宋体"/>
          <w:b/>
          <w:bCs/>
          <w:color w:val="auto"/>
          <w:spacing w:val="4"/>
          <w:kern w:val="2"/>
          <w:sz w:val="24"/>
          <w:szCs w:val="24"/>
          <w:highlight w:val="none"/>
          <w:lang w:val="en-US" w:eastAsia="zh-CN" w:bidi="ar-SA"/>
        </w:rPr>
      </w:pPr>
      <w:r>
        <w:rPr>
          <w:rFonts w:hint="eastAsia" w:ascii="宋体" w:hAnsi="宋体" w:eastAsia="宋体" w:cs="宋体"/>
          <w:b/>
          <w:bCs/>
          <w:color w:val="auto"/>
          <w:spacing w:val="4"/>
          <w:kern w:val="2"/>
          <w:sz w:val="24"/>
          <w:szCs w:val="24"/>
          <w:highlight w:val="none"/>
          <w:lang w:val="en-US" w:eastAsia="zh-CN" w:bidi="ar-SA"/>
        </w:rPr>
        <w:t>八、特殊情况的处理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计算错误将按以下方法更正：</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一览表(报价表)内容与</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w:t>
      </w:r>
      <w:r>
        <w:rPr>
          <w:rFonts w:hint="eastAsia" w:ascii="宋体" w:hAnsi="宋体" w:eastAsia="宋体" w:cs="宋体"/>
          <w:color w:val="auto"/>
          <w:sz w:val="24"/>
          <w:szCs w:val="24"/>
          <w:highlight w:val="none"/>
          <w:lang w:eastAsia="zh-CN"/>
        </w:rPr>
        <w:t>相应内容</w:t>
      </w:r>
      <w:r>
        <w:rPr>
          <w:rFonts w:hint="eastAsia" w:ascii="宋体" w:hAnsi="宋体" w:eastAsia="宋体" w:cs="宋体"/>
          <w:color w:val="auto"/>
          <w:sz w:val="24"/>
          <w:szCs w:val="24"/>
          <w:highlight w:val="none"/>
        </w:rPr>
        <w:t>总金额不一致的，以</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一览表与</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正本的</w:t>
      </w:r>
      <w:r>
        <w:rPr>
          <w:rFonts w:hint="eastAsia" w:ascii="宋体" w:hAnsi="宋体" w:eastAsia="宋体" w:cs="宋体"/>
          <w:color w:val="auto"/>
          <w:sz w:val="24"/>
          <w:szCs w:val="24"/>
          <w:highlight w:val="none"/>
          <w:lang w:eastAsia="zh-CN"/>
        </w:rPr>
        <w:t>报价一览表</w:t>
      </w:r>
      <w:r>
        <w:rPr>
          <w:rFonts w:hint="eastAsia" w:ascii="宋体" w:hAnsi="宋体" w:eastAsia="宋体" w:cs="宋体"/>
          <w:color w:val="auto"/>
          <w:sz w:val="24"/>
          <w:szCs w:val="24"/>
          <w:highlight w:val="none"/>
        </w:rPr>
        <w:t>(报价表)不一致，以单独密封的</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一览表(报价表)为准。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2）谈判响应</w:t>
      </w:r>
      <w:r>
        <w:rPr>
          <w:rFonts w:hint="eastAsia" w:ascii="宋体" w:hAnsi="宋体" w:eastAsia="宋体" w:cs="宋体"/>
          <w:color w:val="auto"/>
          <w:sz w:val="24"/>
          <w:szCs w:val="24"/>
          <w:highlight w:val="none"/>
        </w:rPr>
        <w:t>文件的大写金额和小写金额不一致的，以大写金额为准；</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总价金额与按单价汇总金额不一致的，以单价金额计算结果为准</w:t>
      </w:r>
      <w:r>
        <w:rPr>
          <w:rFonts w:hint="eastAsia" w:ascii="宋体" w:hAnsi="宋体" w:eastAsia="宋体" w:cs="宋体"/>
          <w:color w:val="auto"/>
          <w:sz w:val="24"/>
          <w:szCs w:val="24"/>
          <w:highlight w:val="none"/>
          <w:lang w:eastAsia="zh-CN"/>
        </w:rPr>
        <w:t>。</w:t>
      </w:r>
    </w:p>
    <w:p>
      <w:pPr>
        <w:keepNext w:val="0"/>
        <w:keepLines w:val="0"/>
        <w:pageBreakBefore w:val="0"/>
        <w:widowControl w:val="0"/>
        <w:wordWrap/>
        <w:overflowPunct/>
        <w:topLinePunct w:val="0"/>
        <w:autoSpaceDE/>
        <w:autoSpaceDN/>
        <w:bidi w:val="0"/>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按上述修正的</w:t>
      </w:r>
      <w:r>
        <w:rPr>
          <w:rFonts w:hint="eastAsia" w:ascii="宋体" w:hAnsi="宋体" w:eastAsia="宋体" w:cs="宋体"/>
          <w:color w:val="auto"/>
          <w:sz w:val="24"/>
          <w:szCs w:val="24"/>
          <w:highlight w:val="none"/>
          <w:lang w:eastAsia="zh-CN"/>
        </w:rPr>
        <w:t>顺序和</w:t>
      </w:r>
      <w:r>
        <w:rPr>
          <w:rFonts w:hint="eastAsia" w:ascii="宋体" w:hAnsi="宋体" w:eastAsia="宋体" w:cs="宋体"/>
          <w:color w:val="auto"/>
          <w:sz w:val="24"/>
          <w:szCs w:val="24"/>
          <w:highlight w:val="none"/>
        </w:rPr>
        <w:t>方法调整的报价应对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不接受修正后的价格，其</w:t>
      </w:r>
      <w:r>
        <w:rPr>
          <w:rFonts w:hint="eastAsia" w:ascii="宋体" w:hAnsi="宋体" w:eastAsia="宋体" w:cs="宋体"/>
          <w:color w:val="auto"/>
          <w:sz w:val="24"/>
          <w:szCs w:val="24"/>
          <w:highlight w:val="none"/>
          <w:lang w:eastAsia="zh-CN"/>
        </w:rPr>
        <w:t>响应文件将按</w:t>
      </w:r>
      <w:r>
        <w:rPr>
          <w:rFonts w:hint="eastAsia" w:ascii="宋体" w:hAnsi="宋体" w:eastAsia="宋体" w:cs="宋体"/>
          <w:color w:val="auto"/>
          <w:sz w:val="24"/>
          <w:szCs w:val="24"/>
          <w:highlight w:val="none"/>
        </w:rPr>
        <w:t>无效</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color w:val="auto"/>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对于竞争性</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响应文件中明显的标点符号错误或不构成实质性偏差的不正规、不一致或不规则，采购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可以接受。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出现下列情形之一的，采购人或者采购代理机构应当终止竞争性谈判采购活动，发布项目终止公告并说明原因，重新开展采购活动：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（三）在采购过程中符合竞争要求的供应商或者报价未超过采购预算的供应商不足3家的，</w:t>
      </w:r>
      <w:r>
        <w:rPr>
          <w:rFonts w:hint="eastAsia" w:ascii="宋体" w:hAnsi="宋体" w:eastAsia="宋体" w:cs="宋体"/>
          <w:color w:val="auto"/>
          <w:sz w:val="24"/>
          <w:szCs w:val="24"/>
          <w:highlight w:val="none"/>
          <w:lang w:eastAsia="zh-CN"/>
        </w:rPr>
        <w:t>但《政府采购非招标采购方式管理办法》（财政部</w:t>
      </w:r>
      <w:r>
        <w:rPr>
          <w:rFonts w:hint="eastAsia" w:ascii="宋体" w:hAnsi="宋体" w:eastAsia="宋体" w:cs="宋体"/>
          <w:color w:val="auto"/>
          <w:sz w:val="24"/>
          <w:szCs w:val="24"/>
          <w:highlight w:val="none"/>
          <w:lang w:val="en-US" w:eastAsia="zh-CN"/>
        </w:rPr>
        <w:t>74号令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第二十七条第二款规定的情形除外。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96" w:firstLineChars="200"/>
        <w:jc w:val="both"/>
        <w:textAlignment w:val="auto"/>
        <w:outlineLvl w:val="9"/>
        <w:rPr>
          <w:rFonts w:hint="eastAsia" w:ascii="宋体" w:hAnsi="宋体" w:eastAsia="宋体" w:cs="宋体"/>
          <w:b w:val="0"/>
          <w:bCs w:val="0"/>
          <w:color w:val="auto"/>
          <w:spacing w:val="4"/>
          <w:kern w:val="2"/>
          <w:sz w:val="24"/>
          <w:szCs w:val="24"/>
          <w:highlight w:val="none"/>
          <w:lang w:val="en-US" w:eastAsia="zh-CN" w:bidi="ar-SA"/>
        </w:rPr>
      </w:pPr>
      <w:r>
        <w:rPr>
          <w:rFonts w:hint="eastAsia" w:ascii="宋体" w:hAnsi="宋体" w:eastAsia="宋体" w:cs="Times New Roman"/>
          <w:b w:val="0"/>
          <w:bCs w:val="0"/>
          <w:color w:val="auto"/>
          <w:spacing w:val="4"/>
          <w:kern w:val="2"/>
          <w:sz w:val="24"/>
          <w:szCs w:val="24"/>
          <w:highlight w:val="none"/>
          <w:lang w:val="en-US" w:eastAsia="zh-CN" w:bidi="ar-SA"/>
        </w:rPr>
        <w:t>4、</w:t>
      </w:r>
      <w:r>
        <w:rPr>
          <w:rFonts w:hint="eastAsia" w:ascii="宋体" w:hAnsi="宋体" w:eastAsia="宋体" w:cs="宋体"/>
          <w:b w:val="0"/>
          <w:bCs w:val="0"/>
          <w:color w:val="auto"/>
          <w:spacing w:val="4"/>
          <w:kern w:val="2"/>
          <w:sz w:val="24"/>
          <w:szCs w:val="24"/>
          <w:highlight w:val="none"/>
          <w:lang w:val="en-US" w:eastAsia="zh-CN" w:bidi="ar-SA"/>
        </w:rPr>
        <w:t>谈判过程中，若出现本评审方法以外的特殊情况时，将暂停评审，待谈判小组商榷后，再进行评定。</w:t>
      </w: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rPr>
          <w:rFonts w:hint="eastAsia"/>
          <w:highlight w:val="none"/>
          <w:lang w:val="en-US" w:eastAsia="zh-CN"/>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keepNext w:val="0"/>
        <w:keepLines w:val="0"/>
        <w:pageBreakBefore w:val="0"/>
        <w:widowControl w:val="0"/>
        <w:wordWrap/>
        <w:overflowPunct/>
        <w:topLinePunct w:val="0"/>
        <w:autoSpaceDE/>
        <w:autoSpaceDN/>
        <w:bidi w:val="0"/>
        <w:spacing w:after="0" w:afterLines="0" w:line="360" w:lineRule="auto"/>
        <w:ind w:right="0" w:rightChars="0"/>
        <w:textAlignment w:val="auto"/>
        <w:rPr>
          <w:rFonts w:hint="eastAsia" w:ascii="宋体" w:hAnsi="宋体" w:eastAsia="宋体" w:cs="宋体"/>
          <w:b w:val="0"/>
          <w:bCs w:val="0"/>
          <w:color w:val="auto"/>
          <w:spacing w:val="4"/>
          <w:kern w:val="2"/>
          <w:sz w:val="24"/>
          <w:szCs w:val="24"/>
          <w:highlight w:val="none"/>
          <w:lang w:val="en-US" w:eastAsia="zh-CN" w:bidi="ar-SA"/>
        </w:rPr>
      </w:pPr>
    </w:p>
    <w:p>
      <w:pPr>
        <w:pStyle w:val="3"/>
        <w:rPr>
          <w:rFonts w:hint="eastAsia" w:ascii="宋体" w:hAnsi="宋体" w:eastAsia="宋体" w:cs="宋体"/>
          <w:b w:val="0"/>
          <w:bCs w:val="0"/>
          <w:color w:val="auto"/>
          <w:spacing w:val="4"/>
          <w:kern w:val="2"/>
          <w:sz w:val="24"/>
          <w:szCs w:val="24"/>
          <w:highlight w:val="none"/>
          <w:lang w:val="en-US" w:eastAsia="zh-CN" w:bidi="ar-SA"/>
        </w:rPr>
      </w:pPr>
    </w:p>
    <w:p>
      <w:pPr>
        <w:pStyle w:val="3"/>
        <w:outlineLvl w:val="2"/>
        <w:rPr>
          <w:rFonts w:hint="eastAsia" w:ascii="宋体" w:hAnsi="宋体" w:eastAsia="宋体" w:cs="宋体"/>
          <w:szCs w:val="24"/>
          <w:highlight w:val="none"/>
          <w:lang w:val="en-US" w:eastAsia="zh-CN"/>
        </w:rPr>
      </w:pPr>
      <w:r>
        <w:rPr>
          <w:rFonts w:hint="eastAsia" w:ascii="宋体" w:hAnsi="宋体" w:eastAsia="宋体" w:cs="宋体"/>
          <w:b/>
          <w:bCs/>
          <w:sz w:val="24"/>
          <w:szCs w:val="24"/>
          <w:highlight w:val="none"/>
          <w:lang w:eastAsia="zh-CN"/>
        </w:rPr>
        <w:t>附件</w:t>
      </w:r>
      <w:r>
        <w:rPr>
          <w:rFonts w:hint="eastAsia" w:ascii="宋体" w:hAnsi="宋体" w:eastAsia="宋体" w:cs="宋体"/>
          <w:b/>
          <w:bCs/>
          <w:sz w:val="24"/>
          <w:szCs w:val="24"/>
          <w:highlight w:val="none"/>
          <w:lang w:val="en-US" w:eastAsia="zh-CN"/>
        </w:rPr>
        <w:t>1：</w:t>
      </w:r>
    </w:p>
    <w:p>
      <w:pPr>
        <w:pStyle w:val="3"/>
        <w:jc w:val="center"/>
        <w:outlineLvl w:val="2"/>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初步审查要素表</w:t>
      </w:r>
    </w:p>
    <w:tbl>
      <w:tblPr>
        <w:tblStyle w:val="2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596"/>
        <w:gridCol w:w="563"/>
        <w:gridCol w:w="1260"/>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条款号</w:t>
            </w:r>
          </w:p>
        </w:tc>
        <w:tc>
          <w:tcPr>
            <w:tcW w:w="1823" w:type="dxa"/>
            <w:gridSpan w:val="2"/>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评审因素</w:t>
            </w:r>
          </w:p>
        </w:tc>
        <w:tc>
          <w:tcPr>
            <w:tcW w:w="6280" w:type="dxa"/>
            <w:noWrap w:val="0"/>
            <w:vAlign w:val="center"/>
          </w:tcPr>
          <w:p>
            <w:pPr>
              <w:tabs>
                <w:tab w:val="left" w:pos="0"/>
              </w:tabs>
              <w:adjustRightInd w:val="0"/>
              <w:snapToGrid w:val="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59"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2.1.1</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资格评审</w:t>
            </w:r>
          </w:p>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标准</w:t>
            </w:r>
          </w:p>
        </w:tc>
        <w:tc>
          <w:tcPr>
            <w:tcW w:w="1823" w:type="dxa"/>
            <w:gridSpan w:val="2"/>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基本资格条件</w:t>
            </w:r>
          </w:p>
        </w:tc>
        <w:tc>
          <w:tcPr>
            <w:tcW w:w="6280" w:type="dxa"/>
            <w:noWrap w:val="0"/>
            <w:vAlign w:val="center"/>
          </w:tcPr>
          <w:p>
            <w:pPr>
              <w:pStyle w:val="3"/>
              <w:numPr>
                <w:ilvl w:val="0"/>
                <w:numId w:val="0"/>
              </w:numPr>
              <w:ind w:left="0" w:leftChars="0" w:firstLine="0" w:firstLineChars="0"/>
              <w:jc w:val="both"/>
              <w:rPr>
                <w:rFonts w:hint="eastAsia" w:ascii="宋体" w:hAnsi="宋体" w:eastAsia="宋体" w:cs="宋体"/>
                <w:b w:val="0"/>
                <w:bCs/>
                <w:color w:val="auto"/>
                <w:sz w:val="24"/>
                <w:szCs w:val="24"/>
                <w:highlight w:val="yellow"/>
                <w:lang w:eastAsia="zh-CN"/>
              </w:rPr>
            </w:pPr>
            <w:r>
              <w:rPr>
                <w:rFonts w:hint="eastAsia" w:ascii="宋体" w:hAnsi="宋体" w:eastAsia="宋体" w:cs="宋体"/>
                <w:b w:val="0"/>
                <w:bCs/>
                <w:color w:val="auto"/>
                <w:sz w:val="24"/>
                <w:szCs w:val="24"/>
                <w:highlight w:val="none"/>
                <w:lang w:eastAsia="zh-CN"/>
              </w:rPr>
              <w:t>满足《中华人民共和国政府采购法》第二十二条规定</w:t>
            </w:r>
            <w:r>
              <w:rPr>
                <w:rFonts w:hint="eastAsia" w:ascii="宋体" w:hAnsi="宋体" w:cs="宋体"/>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restart"/>
            <w:tcBorders>
              <w:top w:val="nil"/>
            </w:tcBorders>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特定资格条件</w:t>
            </w: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91" w:firstLineChars="38"/>
              <w:jc w:val="left"/>
              <w:textAlignment w:val="auto"/>
              <w:rPr>
                <w:rFonts w:hint="eastAsia" w:ascii="宋体" w:hAnsi="宋体" w:eastAsia="微软雅黑"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(1)、供应商须具有独立承担民事责任能力，法人或其他组织的应提供营业执照等证明文件，自然人的应提供有效的自然人身份证明；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6280"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（2）、法定代表人授权书（附法定代表人、被授权人身份证复印件）及被授权人身份证（法定代表人直接参加谈判，须提供法定代表人身份证明及身份证原件）；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（3）、投标人须具有水利行业（水土保持）丙级及以上资质；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（4）、拟派本项目负责人具备水利工程专业中级及以上职称,且在本单位注册；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（5）、提供谈判响应文件递交截止日前一年内已缴纳的至少一个月的纳税证明或完税证明，依法免税的单位应提供相关证明材料；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（6）、提供谈判响应文件递交截止日前一年内已缴存的至少一个月的社会保障资金缴存单据或社保机构开具的社会保险参保缴费情况证明，依法不需要缴纳社会保障资金的单位应提供相关证明材料；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（8）、参加政府活动近三年内，在经营活动中无重大违法记录的书面声明；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（9）.供应商不得为“信用中国”（www.creditchina.gov.cn)中列入失信被执行人和重大税收违法案件当事人名单的供应商，不得为中国政府采购网（www.ccgp.gov.cn）政府采购严重违法失信行为名单；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（10）、谈判保证金缴纳凭证或担保机构出具的保函；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59"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1823" w:type="dxa"/>
            <w:gridSpan w:val="2"/>
            <w:vMerge w:val="continue"/>
            <w:tcBorders>
              <w:bottom w:val="nil"/>
            </w:tcBorders>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p>
        </w:tc>
        <w:tc>
          <w:tcPr>
            <w:tcW w:w="6280" w:type="dxa"/>
            <w:tcBorders>
              <w:left w:val="nil"/>
            </w:tcBorders>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（11）、单位负责人为同一人或者存在直接控股、管理关系的不同供应商，不得参加同一合同项下的政府采购活动。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5"/>
            <w:noWrap w:val="0"/>
            <w:vAlign w:val="center"/>
          </w:tcPr>
          <w:p>
            <w:pPr>
              <w:tabs>
                <w:tab w:val="left" w:pos="0"/>
              </w:tabs>
              <w:adjustRightInd w:val="0"/>
              <w:snapToGrid w:val="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注：</w:t>
            </w:r>
            <w:r>
              <w:rPr>
                <w:rFonts w:hint="eastAsia" w:ascii="宋体" w:hAnsi="宋体" w:eastAsia="宋体" w:cs="宋体"/>
                <w:b w:val="0"/>
                <w:bCs/>
                <w:color w:val="auto"/>
                <w:sz w:val="24"/>
                <w:szCs w:val="24"/>
                <w:highlight w:val="none"/>
              </w:rPr>
              <w:t>以上为必备</w:t>
            </w:r>
            <w:r>
              <w:rPr>
                <w:rFonts w:hint="eastAsia" w:ascii="宋体" w:hAnsi="宋体" w:eastAsia="宋体" w:cs="宋体"/>
                <w:b w:val="0"/>
                <w:bCs/>
                <w:color w:val="auto"/>
                <w:sz w:val="24"/>
                <w:szCs w:val="24"/>
                <w:highlight w:val="none"/>
                <w:lang w:eastAsia="zh-CN"/>
              </w:rPr>
              <w:t>资格条件</w:t>
            </w:r>
            <w:r>
              <w:rPr>
                <w:rFonts w:hint="eastAsia" w:ascii="宋体" w:hAnsi="宋体" w:eastAsia="宋体" w:cs="宋体"/>
                <w:b w:val="0"/>
                <w:bCs/>
                <w:color w:val="auto"/>
                <w:sz w:val="24"/>
                <w:szCs w:val="24"/>
                <w:highlight w:val="none"/>
              </w:rPr>
              <w:t>，缺一项或某项达不到要求，按无效</w:t>
            </w:r>
            <w:r>
              <w:rPr>
                <w:rFonts w:hint="eastAsia" w:ascii="宋体" w:hAnsi="宋体" w:eastAsia="宋体" w:cs="宋体"/>
                <w:b w:val="0"/>
                <w:bCs/>
                <w:color w:val="auto"/>
                <w:sz w:val="24"/>
                <w:szCs w:val="24"/>
                <w:highlight w:val="none"/>
                <w:lang w:eastAsia="zh-CN"/>
              </w:rPr>
              <w:t>文件</w:t>
            </w:r>
            <w:r>
              <w:rPr>
                <w:rFonts w:hint="eastAsia" w:ascii="宋体" w:hAnsi="宋体" w:eastAsia="宋体" w:cs="宋体"/>
                <w:b w:val="0"/>
                <w:bCs/>
                <w:color w:val="auto"/>
                <w:sz w:val="24"/>
                <w:szCs w:val="24"/>
                <w:highlight w:val="none"/>
              </w:rPr>
              <w:t>处理。资格审查时以</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中所附证明材料</w:t>
            </w:r>
            <w:r>
              <w:rPr>
                <w:rFonts w:hint="eastAsia" w:ascii="宋体" w:hAnsi="宋体" w:eastAsia="宋体" w:cs="宋体"/>
                <w:b w:val="0"/>
                <w:bCs/>
                <w:color w:val="auto"/>
                <w:sz w:val="24"/>
                <w:szCs w:val="24"/>
                <w:highlight w:val="none"/>
                <w:lang w:eastAsia="zh-CN"/>
              </w:rPr>
              <w:t>（信用中国和中国政府采购网信用记录可不提供，由代理机构查询并留存）</w:t>
            </w:r>
            <w:r>
              <w:rPr>
                <w:rFonts w:hint="eastAsia" w:ascii="宋体" w:hAnsi="宋体" w:eastAsia="宋体" w:cs="宋体"/>
                <w:b w:val="0"/>
                <w:bCs/>
                <w:color w:val="auto"/>
                <w:sz w:val="24"/>
                <w:szCs w:val="24"/>
                <w:highlight w:val="none"/>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59" w:type="dxa"/>
            <w:vMerge w:val="restart"/>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2.1.2</w:t>
            </w:r>
          </w:p>
        </w:tc>
        <w:tc>
          <w:tcPr>
            <w:tcW w:w="596"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符合性评审标准</w:t>
            </w: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有效性审查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的签署盖章</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报价唯一</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只能有一个有效报价，不得提交选择性报价，</w:t>
            </w:r>
            <w:r>
              <w:rPr>
                <w:rFonts w:hint="eastAsia" w:ascii="宋体" w:hAnsi="宋体" w:eastAsia="宋体" w:cs="宋体"/>
                <w:b w:val="0"/>
                <w:bCs/>
                <w:color w:val="auto"/>
                <w:sz w:val="24"/>
                <w:szCs w:val="24"/>
                <w:highlight w:val="none"/>
                <w:lang w:eastAsia="zh-CN"/>
              </w:rPr>
              <w:t>按要求提交二次或多次报价，</w:t>
            </w:r>
            <w:r>
              <w:rPr>
                <w:rFonts w:hint="eastAsia" w:ascii="宋体" w:hAnsi="宋体" w:eastAsia="宋体" w:cs="宋体"/>
                <w:b w:val="0"/>
                <w:bCs/>
                <w:color w:val="auto"/>
                <w:sz w:val="24"/>
                <w:szCs w:val="24"/>
                <w:highlight w:val="none"/>
              </w:rPr>
              <w:t>且</w:t>
            </w:r>
            <w:r>
              <w:rPr>
                <w:rFonts w:hint="eastAsia" w:ascii="宋体" w:hAnsi="宋体" w:eastAsia="宋体" w:cs="宋体"/>
                <w:b w:val="0"/>
                <w:bCs/>
                <w:color w:val="auto"/>
                <w:sz w:val="24"/>
                <w:szCs w:val="24"/>
                <w:highlight w:val="none"/>
                <w:lang w:eastAsia="zh-CN"/>
              </w:rPr>
              <w:t>每轮</w:t>
            </w:r>
            <w:r>
              <w:rPr>
                <w:rFonts w:hint="eastAsia" w:ascii="宋体" w:hAnsi="宋体" w:eastAsia="宋体" w:cs="宋体"/>
                <w:b w:val="0"/>
                <w:bCs/>
                <w:color w:val="auto"/>
                <w:sz w:val="24"/>
                <w:szCs w:val="24"/>
                <w:highlight w:val="none"/>
              </w:rPr>
              <w:t>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完整性审查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份数</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应符合“</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w:t>
            </w:r>
          </w:p>
        </w:tc>
        <w:tc>
          <w:tcPr>
            <w:tcW w:w="6280" w:type="dxa"/>
            <w:noWrap w:val="0"/>
            <w:vAlign w:val="center"/>
          </w:tcPr>
          <w:p>
            <w:pPr>
              <w:tabs>
                <w:tab w:val="left" w:pos="0"/>
              </w:tabs>
              <w:adjustRightInd w:val="0"/>
              <w:snapToGrid w:val="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谈判响应文件</w:t>
            </w:r>
            <w:r>
              <w:rPr>
                <w:rFonts w:hint="eastAsia" w:ascii="宋体" w:hAnsi="宋体" w:eastAsia="宋体" w:cs="宋体"/>
                <w:b w:val="0"/>
                <w:bCs/>
                <w:color w:val="auto"/>
                <w:sz w:val="24"/>
                <w:szCs w:val="24"/>
                <w:highlight w:val="none"/>
              </w:rPr>
              <w:t>内容齐全、无遗漏</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59" w:type="dxa"/>
            <w:vMerge w:val="continue"/>
            <w:noWrap w:val="0"/>
            <w:vAlign w:val="center"/>
          </w:tcPr>
          <w:p>
            <w:pPr>
              <w:tabs>
                <w:tab w:val="left" w:pos="0"/>
              </w:tabs>
              <w:adjustRightInd w:val="0"/>
              <w:snapToGrid w:val="0"/>
              <w:spacing w:line="360" w:lineRule="auto"/>
              <w:jc w:val="center"/>
              <w:rPr>
                <w:rFonts w:hint="eastAsia" w:ascii="宋体" w:hAnsi="宋体" w:eastAsia="宋体" w:cs="宋体"/>
                <w:b w:val="0"/>
                <w:bCs/>
                <w:color w:val="auto"/>
                <w:sz w:val="24"/>
                <w:szCs w:val="24"/>
                <w:highlight w:val="none"/>
              </w:rPr>
            </w:pPr>
          </w:p>
        </w:tc>
        <w:tc>
          <w:tcPr>
            <w:tcW w:w="596" w:type="dxa"/>
            <w:vMerge w:val="continue"/>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p>
        </w:tc>
        <w:tc>
          <w:tcPr>
            <w:tcW w:w="563" w:type="dxa"/>
            <w:vMerge w:val="restart"/>
            <w:noWrap w:val="0"/>
            <w:vAlign w:val="center"/>
          </w:tcPr>
          <w:p>
            <w:pPr>
              <w:tabs>
                <w:tab w:val="left" w:pos="0"/>
              </w:tabs>
              <w:adjustRightInd w:val="0"/>
              <w:snapToGrid w:val="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响应性审查</w:t>
            </w: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对</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响应程度</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要求</w:t>
            </w:r>
            <w:r>
              <w:rPr>
                <w:rFonts w:hint="eastAsia" w:ascii="宋体" w:hAnsi="宋体" w:eastAsia="宋体" w:cs="宋体"/>
                <w:b w:val="0"/>
                <w:bCs/>
                <w:color w:val="auto"/>
                <w:sz w:val="24"/>
                <w:szCs w:val="24"/>
                <w:highlight w:val="none"/>
                <w:lang w:eastAsia="zh-CN"/>
              </w:rPr>
              <w:t>实质性条款全部</w:t>
            </w:r>
            <w:r>
              <w:rPr>
                <w:rFonts w:hint="eastAsia" w:ascii="宋体" w:hAnsi="宋体" w:eastAsia="宋体" w:cs="宋体"/>
                <w:b w:val="0"/>
                <w:bCs/>
                <w:color w:val="auto"/>
                <w:sz w:val="24"/>
                <w:szCs w:val="24"/>
                <w:highlight w:val="none"/>
              </w:rPr>
              <w:t>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服务</w:t>
            </w:r>
            <w:r>
              <w:rPr>
                <w:rFonts w:hint="eastAsia" w:ascii="宋体" w:hAnsi="宋体" w:eastAsia="宋体" w:cs="宋体"/>
                <w:b w:val="0"/>
                <w:bCs/>
                <w:color w:val="auto"/>
                <w:sz w:val="24"/>
                <w:szCs w:val="24"/>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中要求的</w:t>
            </w:r>
            <w:r>
              <w:rPr>
                <w:rFonts w:hint="eastAsia" w:ascii="宋体" w:hAnsi="宋体" w:eastAsia="宋体" w:cs="宋体"/>
                <w:b w:val="0"/>
                <w:bCs/>
                <w:color w:val="auto"/>
                <w:sz w:val="24"/>
                <w:szCs w:val="24"/>
                <w:highlight w:val="none"/>
                <w:lang w:eastAsia="zh-CN"/>
              </w:rPr>
              <w:t>实施</w:t>
            </w:r>
            <w:r>
              <w:rPr>
                <w:rFonts w:hint="eastAsia" w:ascii="宋体" w:hAnsi="宋体" w:eastAsia="宋体" w:cs="宋体"/>
                <w:b w:val="0"/>
                <w:bCs/>
                <w:color w:val="auto"/>
                <w:sz w:val="24"/>
                <w:szCs w:val="24"/>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59"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96"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563" w:type="dxa"/>
            <w:vMerge w:val="continue"/>
            <w:noWrap w:val="0"/>
            <w:vAlign w:val="top"/>
          </w:tcPr>
          <w:p>
            <w:pPr>
              <w:tabs>
                <w:tab w:val="left" w:pos="0"/>
              </w:tabs>
              <w:adjustRightInd w:val="0"/>
              <w:snapToGrid w:val="0"/>
              <w:spacing w:line="360" w:lineRule="auto"/>
              <w:rPr>
                <w:rFonts w:hint="eastAsia" w:ascii="宋体" w:hAnsi="宋体" w:eastAsia="宋体" w:cs="宋体"/>
                <w:b w:val="0"/>
                <w:bCs/>
                <w:color w:val="auto"/>
                <w:sz w:val="24"/>
                <w:szCs w:val="24"/>
                <w:highlight w:val="none"/>
              </w:rPr>
            </w:pPr>
          </w:p>
        </w:tc>
        <w:tc>
          <w:tcPr>
            <w:tcW w:w="126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投标有效期</w:t>
            </w:r>
          </w:p>
        </w:tc>
        <w:tc>
          <w:tcPr>
            <w:tcW w:w="6280" w:type="dxa"/>
            <w:noWrap w:val="0"/>
            <w:vAlign w:val="center"/>
          </w:tcPr>
          <w:p>
            <w:pPr>
              <w:tabs>
                <w:tab w:val="left" w:pos="0"/>
              </w:tabs>
              <w:adjustRightInd w:val="0"/>
              <w:snapToGrid w:val="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应满足</w:t>
            </w:r>
            <w:r>
              <w:rPr>
                <w:rFonts w:hint="eastAsia" w:ascii="宋体" w:hAnsi="宋体" w:eastAsia="宋体" w:cs="宋体"/>
                <w:b w:val="0"/>
                <w:bCs/>
                <w:color w:val="auto"/>
                <w:sz w:val="24"/>
                <w:szCs w:val="24"/>
                <w:highlight w:val="none"/>
                <w:lang w:eastAsia="zh-CN"/>
              </w:rPr>
              <w:t>谈判文件</w:t>
            </w:r>
            <w:r>
              <w:rPr>
                <w:rFonts w:hint="eastAsia" w:ascii="宋体" w:hAnsi="宋体" w:eastAsia="宋体" w:cs="宋体"/>
                <w:b w:val="0"/>
                <w:bCs/>
                <w:color w:val="auto"/>
                <w:sz w:val="24"/>
                <w:szCs w:val="24"/>
                <w:highlight w:val="none"/>
              </w:rPr>
              <w:t>中的规定</w:t>
            </w:r>
          </w:p>
        </w:tc>
      </w:tr>
    </w:tbl>
    <w:p>
      <w:pPr>
        <w:pStyle w:val="3"/>
        <w:jc w:val="center"/>
        <w:rPr>
          <w:rFonts w:hint="eastAsia" w:ascii="宋体" w:hAnsi="宋体" w:eastAsia="宋体" w:cs="宋体"/>
          <w:b/>
          <w:bCs/>
          <w:sz w:val="24"/>
          <w:szCs w:val="24"/>
          <w:highlight w:val="none"/>
          <w:lang w:eastAsia="zh-CN"/>
        </w:rPr>
      </w:pPr>
    </w:p>
    <w:p>
      <w:pPr>
        <w:pStyle w:val="3"/>
        <w:rPr>
          <w:rFonts w:hint="eastAsia" w:ascii="宋体" w:hAnsi="宋体" w:eastAsia="宋体" w:cs="宋体"/>
          <w:color w:val="FF0000"/>
          <w:spacing w:val="4"/>
          <w:kern w:val="2"/>
          <w:sz w:val="24"/>
          <w:szCs w:val="24"/>
          <w:highlight w:val="none"/>
          <w:lang w:val="en-US" w:eastAsia="zh-CN" w:bidi="ar-SA"/>
        </w:rPr>
        <w:sectPr>
          <w:pgSz w:w="11907" w:h="16840"/>
          <w:pgMar w:top="1417" w:right="1250" w:bottom="1417" w:left="1417" w:header="851" w:footer="850" w:gutter="0"/>
          <w:pgNumType w:fmt="decimal"/>
          <w:cols w:space="720" w:num="1"/>
          <w:rtlGutter w:val="0"/>
          <w:docGrid w:linePitch="286" w:charSpace="0"/>
        </w:sectPr>
      </w:pPr>
    </w:p>
    <w:bookmarkEnd w:id="56"/>
    <w:bookmarkEnd w:id="57"/>
    <w:bookmarkEnd w:id="58"/>
    <w:p>
      <w:pPr>
        <w:pStyle w:val="4"/>
        <w:numPr>
          <w:ilvl w:val="0"/>
          <w:numId w:val="5"/>
        </w:numPr>
        <w:rPr>
          <w:rFonts w:hint="eastAsia" w:ascii="宋体" w:hAnsi="宋体" w:eastAsia="宋体" w:cs="宋体"/>
          <w:b/>
          <w:bCs/>
          <w:sz w:val="36"/>
          <w:szCs w:val="36"/>
          <w:highlight w:val="none"/>
          <w:lang w:eastAsia="zh-CN"/>
        </w:rPr>
      </w:pPr>
      <w:bookmarkStart w:id="60" w:name="_Toc404670157"/>
      <w:bookmarkStart w:id="61" w:name="_Toc20805"/>
      <w:r>
        <w:rPr>
          <w:rFonts w:hint="eastAsia" w:ascii="宋体" w:hAnsi="宋体" w:eastAsia="宋体" w:cs="宋体"/>
          <w:b/>
          <w:bCs/>
          <w:sz w:val="36"/>
          <w:szCs w:val="36"/>
          <w:highlight w:val="none"/>
          <w:lang w:eastAsia="zh-CN"/>
        </w:rPr>
        <w:t>竞争性谈判响应文件格式及构成</w:t>
      </w:r>
      <w:bookmarkEnd w:id="59"/>
      <w:bookmarkEnd w:id="60"/>
      <w:bookmarkEnd w:id="61"/>
    </w:p>
    <w:p>
      <w:pPr>
        <w:rPr>
          <w:rFonts w:hint="eastAsia" w:ascii="宋体" w:hAnsi="宋体" w:eastAsia="宋体" w:cs="宋体"/>
          <w:b/>
          <w:sz w:val="36"/>
          <w:szCs w:val="36"/>
          <w:highlight w:val="none"/>
        </w:rPr>
      </w:pPr>
    </w:p>
    <w:p>
      <w:pPr>
        <w:rPr>
          <w:rFonts w:hint="eastAsia" w:ascii="宋体" w:hAnsi="宋体" w:eastAsia="宋体" w:cs="宋体"/>
          <w:b/>
          <w:sz w:val="32"/>
          <w:szCs w:val="32"/>
          <w:highlight w:val="none"/>
        </w:rPr>
      </w:pPr>
    </w:p>
    <w:p>
      <w:pPr>
        <w:rPr>
          <w:rFonts w:hint="eastAsia" w:ascii="宋体" w:hAnsi="宋体" w:eastAsia="宋体" w:cs="宋体"/>
          <w:b/>
          <w:color w:val="FF0000"/>
          <w:sz w:val="32"/>
          <w:szCs w:val="32"/>
          <w:highlight w:val="none"/>
        </w:rPr>
      </w:pPr>
      <w:r>
        <w:rPr>
          <w:rFonts w:hint="eastAsia" w:ascii="宋体" w:hAnsi="宋体" w:eastAsia="宋体" w:cs="宋体"/>
          <w:b/>
          <w:sz w:val="32"/>
          <w:szCs w:val="32"/>
          <w:highlight w:val="none"/>
        </w:rPr>
        <w:t>项目编号：</w:t>
      </w:r>
      <w:r>
        <w:rPr>
          <w:rFonts w:hint="eastAsia" w:ascii="宋体" w:hAnsi="宋体" w:cs="宋体"/>
          <w:b/>
          <w:sz w:val="32"/>
          <w:szCs w:val="32"/>
          <w:highlight w:val="none"/>
          <w:lang w:val="en-US" w:eastAsia="zh-CN"/>
        </w:rPr>
        <w:t>ZHGJ-2022-129</w:t>
      </w:r>
    </w:p>
    <w:p>
      <w:pPr>
        <w:ind w:firstLine="5405" w:firstLineChars="1923"/>
        <w:rPr>
          <w:rFonts w:hint="eastAsia" w:ascii="宋体" w:hAnsi="宋体" w:eastAsia="宋体" w:cs="宋体"/>
          <w:b/>
          <w:sz w:val="36"/>
          <w:szCs w:val="36"/>
          <w:highlight w:val="none"/>
        </w:rPr>
      </w:pPr>
      <w:r>
        <w:rPr>
          <w:rFonts w:hint="eastAsia" w:ascii="宋体" w:hAnsi="宋体" w:eastAsia="宋体" w:cs="宋体"/>
          <w:b/>
          <w:sz w:val="28"/>
          <w:szCs w:val="28"/>
          <w:highlight w:val="none"/>
          <w:lang w:val="en-US" w:eastAsia="zh-CN"/>
        </w:rPr>
        <w:t xml:space="preserve">    </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（正本或副本）</w:t>
      </w:r>
    </w:p>
    <w:p>
      <w:pPr>
        <w:jc w:val="center"/>
        <w:rPr>
          <w:rFonts w:hint="eastAsia" w:ascii="宋体" w:hAnsi="宋体" w:eastAsia="宋体" w:cs="宋体"/>
          <w:b/>
          <w:sz w:val="36"/>
          <w:szCs w:val="36"/>
          <w:highlight w:val="none"/>
        </w:rPr>
      </w:pPr>
    </w:p>
    <w:p>
      <w:pPr>
        <w:jc w:val="both"/>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jc w:val="center"/>
        <w:rPr>
          <w:rFonts w:hint="eastAsia" w:ascii="宋体" w:hAnsi="宋体" w:cs="宋体"/>
          <w:b/>
          <w:spacing w:val="-20"/>
          <w:sz w:val="52"/>
          <w:szCs w:val="52"/>
          <w:highlight w:val="none"/>
          <w:lang w:eastAsia="zh-CN"/>
        </w:rPr>
      </w:pPr>
      <w:r>
        <w:rPr>
          <w:rFonts w:hint="eastAsia" w:ascii="宋体" w:hAnsi="宋体" w:cs="宋体"/>
          <w:b/>
          <w:spacing w:val="-20"/>
          <w:sz w:val="52"/>
          <w:szCs w:val="52"/>
          <w:highlight w:val="none"/>
          <w:lang w:eastAsia="zh-CN"/>
        </w:rPr>
        <w:t>黄陵县交通运输局327国道黄陵双龙至咸阳界公路改建工程水土保持初步设计、水土保持</w:t>
      </w:r>
    </w:p>
    <w:p>
      <w:pPr>
        <w:jc w:val="center"/>
        <w:rPr>
          <w:rFonts w:hint="eastAsia" w:ascii="宋体" w:hAnsi="宋体" w:eastAsia="宋体" w:cs="宋体"/>
          <w:b/>
          <w:spacing w:val="-20"/>
          <w:sz w:val="52"/>
          <w:szCs w:val="52"/>
          <w:highlight w:val="none"/>
        </w:rPr>
      </w:pPr>
      <w:r>
        <w:rPr>
          <w:rFonts w:hint="eastAsia" w:ascii="宋体" w:hAnsi="宋体" w:cs="宋体"/>
          <w:b/>
          <w:spacing w:val="-20"/>
          <w:sz w:val="52"/>
          <w:szCs w:val="52"/>
          <w:highlight w:val="none"/>
          <w:lang w:eastAsia="zh-CN"/>
        </w:rPr>
        <w:t>监理 、水土保持监测、水土保持验收项目</w:t>
      </w:r>
    </w:p>
    <w:p>
      <w:pPr>
        <w:jc w:val="center"/>
        <w:rPr>
          <w:rFonts w:hint="eastAsia" w:ascii="宋体" w:hAnsi="宋体" w:eastAsia="宋体" w:cs="宋体"/>
          <w:b/>
          <w:spacing w:val="-20"/>
          <w:sz w:val="44"/>
          <w:szCs w:val="44"/>
          <w:highlight w:val="none"/>
        </w:rPr>
      </w:pPr>
    </w:p>
    <w:p>
      <w:pPr>
        <w:jc w:val="center"/>
        <w:rPr>
          <w:rFonts w:hint="eastAsia" w:ascii="宋体" w:hAnsi="宋体" w:eastAsia="宋体" w:cs="宋体"/>
          <w:b/>
          <w:sz w:val="44"/>
          <w:szCs w:val="44"/>
          <w:highlight w:val="none"/>
        </w:rPr>
      </w:pPr>
    </w:p>
    <w:p>
      <w:pPr>
        <w:pStyle w:val="2"/>
        <w:rPr>
          <w:rFonts w:hint="eastAsia" w:ascii="宋体" w:hAnsi="宋体" w:eastAsia="宋体" w:cs="宋体"/>
          <w:b/>
          <w:sz w:val="44"/>
          <w:szCs w:val="44"/>
          <w:highlight w:val="none"/>
        </w:rPr>
      </w:pPr>
    </w:p>
    <w:p>
      <w:pPr>
        <w:pStyle w:val="2"/>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52"/>
          <w:szCs w:val="52"/>
          <w:highlight w:val="none"/>
        </w:rPr>
      </w:pPr>
      <w:r>
        <w:rPr>
          <w:rFonts w:hint="eastAsia" w:ascii="宋体" w:hAnsi="宋体" w:eastAsia="宋体" w:cs="宋体"/>
          <w:b/>
          <w:sz w:val="52"/>
          <w:szCs w:val="52"/>
          <w:highlight w:val="none"/>
        </w:rPr>
        <w:t>竞争性谈判响应文件</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 </w:t>
      </w:r>
    </w:p>
    <w:p>
      <w:pP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tabs>
          <w:tab w:val="center" w:pos="5346"/>
        </w:tabs>
        <w:spacing w:line="42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谈判</w:t>
      </w:r>
      <w:r>
        <w:rPr>
          <w:rFonts w:hint="eastAsia" w:ascii="宋体" w:hAnsi="宋体" w:eastAsia="宋体" w:cs="宋体"/>
          <w:b/>
          <w:sz w:val="32"/>
          <w:szCs w:val="32"/>
          <w:highlight w:val="none"/>
          <w:lang w:eastAsia="zh-CN"/>
        </w:rPr>
        <w:t>供应商</w:t>
      </w:r>
      <w:r>
        <w:rPr>
          <w:rFonts w:hint="eastAsia" w:ascii="宋体" w:hAnsi="宋体" w:eastAsia="宋体" w:cs="宋体"/>
          <w:b/>
          <w:sz w:val="32"/>
          <w:szCs w:val="32"/>
          <w:highlight w:val="none"/>
        </w:rPr>
        <w:t>名称（盖章）</w:t>
      </w:r>
    </w:p>
    <w:p>
      <w:pPr>
        <w:jc w:val="center"/>
        <w:rPr>
          <w:rFonts w:hint="eastAsia" w:ascii="宋体" w:hAnsi="宋体" w:eastAsia="宋体" w:cs="宋体"/>
          <w:b/>
          <w:sz w:val="36"/>
          <w:szCs w:val="36"/>
          <w:highlight w:val="none"/>
          <w:lang w:val="en-US" w:eastAsia="zh-CN"/>
        </w:rPr>
      </w:pPr>
      <w:r>
        <w:rPr>
          <w:rFonts w:hint="eastAsia" w:ascii="宋体" w:hAnsi="宋体" w:eastAsia="宋体" w:cs="宋体"/>
          <w:b/>
          <w:sz w:val="32"/>
          <w:szCs w:val="32"/>
          <w:highlight w:val="none"/>
        </w:rPr>
        <w:t>年   月</w:t>
      </w:r>
      <w:r>
        <w:rPr>
          <w:rFonts w:hint="eastAsia" w:ascii="宋体" w:hAnsi="宋体" w:eastAsia="宋体" w:cs="宋体"/>
          <w:b/>
          <w:sz w:val="32"/>
          <w:szCs w:val="32"/>
          <w:highlight w:val="none"/>
          <w:lang w:val="en-US" w:eastAsia="zh-CN"/>
        </w:rPr>
        <w:t xml:space="preserve">   日</w:t>
      </w:r>
    </w:p>
    <w:p>
      <w:pPr>
        <w:rPr>
          <w:rFonts w:hint="eastAsia" w:ascii="宋体" w:hAnsi="宋体" w:eastAsia="宋体" w:cs="宋体"/>
          <w:b/>
          <w:sz w:val="36"/>
          <w:szCs w:val="36"/>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32"/>
          <w:szCs w:val="32"/>
          <w:highlight w:val="none"/>
        </w:rPr>
      </w:pPr>
    </w:p>
    <w:p>
      <w:pPr>
        <w:jc w:val="center"/>
        <w:rPr>
          <w:rFonts w:hint="eastAsia" w:ascii="宋体" w:hAnsi="宋体" w:eastAsia="宋体" w:cs="宋体"/>
          <w:b/>
          <w:bCs/>
          <w:spacing w:val="4"/>
          <w:sz w:val="44"/>
          <w:szCs w:val="44"/>
          <w:highlight w:val="none"/>
        </w:rPr>
      </w:pPr>
      <w:r>
        <w:rPr>
          <w:rFonts w:hint="eastAsia" w:ascii="宋体" w:hAnsi="宋体" w:eastAsia="宋体" w:cs="宋体"/>
          <w:b/>
          <w:bCs/>
          <w:spacing w:val="4"/>
          <w:sz w:val="44"/>
          <w:szCs w:val="44"/>
          <w:highlight w:val="none"/>
        </w:rPr>
        <w:t>目 录</w:t>
      </w:r>
    </w:p>
    <w:p>
      <w:pPr>
        <w:spacing w:line="480" w:lineRule="auto"/>
        <w:rPr>
          <w:rFonts w:hint="eastAsia" w:ascii="宋体" w:hAnsi="宋体" w:eastAsia="宋体" w:cs="宋体"/>
          <w:b/>
          <w:bCs/>
          <w:spacing w:val="4"/>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一、</w:t>
      </w:r>
      <w:r>
        <w:rPr>
          <w:rFonts w:hint="eastAsia" w:ascii="宋体" w:hAnsi="宋体" w:eastAsia="宋体" w:cs="宋体"/>
          <w:spacing w:val="4"/>
          <w:sz w:val="24"/>
          <w:szCs w:val="24"/>
          <w:highlight w:val="none"/>
        </w:rPr>
        <w:t>谈判响应函</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二、</w:t>
      </w:r>
      <w:r>
        <w:rPr>
          <w:rFonts w:hint="eastAsia" w:ascii="宋体" w:hAnsi="宋体" w:eastAsia="宋体" w:cs="宋体"/>
          <w:spacing w:val="4"/>
          <w:sz w:val="24"/>
          <w:szCs w:val="24"/>
          <w:highlight w:val="none"/>
        </w:rPr>
        <w:t>谈判报价表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三、</w:t>
      </w:r>
      <w:r>
        <w:rPr>
          <w:rFonts w:hint="eastAsia" w:ascii="宋体" w:hAnsi="宋体" w:eastAsia="宋体" w:cs="宋体"/>
          <w:sz w:val="24"/>
          <w:szCs w:val="24"/>
          <w:highlight w:val="none"/>
        </w:rPr>
        <w:t>谈判方案说明书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条款偏离表</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五、供应商</w:t>
      </w:r>
      <w:r>
        <w:rPr>
          <w:rFonts w:hint="eastAsia" w:ascii="宋体" w:hAnsi="宋体" w:eastAsia="宋体" w:cs="宋体"/>
          <w:color w:val="auto"/>
          <w:sz w:val="24"/>
          <w:szCs w:val="24"/>
          <w:highlight w:val="none"/>
        </w:rPr>
        <w:t>承诺书</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七、其它资料</w:t>
      </w:r>
    </w:p>
    <w:p>
      <w:pPr>
        <w:keepNext w:val="0"/>
        <w:keepLines w:val="0"/>
        <w:pageBreakBefore w:val="0"/>
        <w:widowControl w:val="0"/>
        <w:numPr>
          <w:ilvl w:val="0"/>
          <w:numId w:val="0"/>
        </w:numPr>
        <w:kinsoku/>
        <w:wordWrap/>
        <w:overflowPunct/>
        <w:topLinePunct w:val="0"/>
        <w:autoSpaceDE/>
        <w:autoSpaceDN/>
        <w:bidi w:val="0"/>
        <w:adjustRightInd/>
        <w:snapToGrid/>
        <w:spacing w:line="800" w:lineRule="exact"/>
        <w:ind w:left="1612" w:leftChars="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80" w:lineRule="auto"/>
        <w:ind w:firstLine="1574" w:firstLineChars="635"/>
        <w:rPr>
          <w:rFonts w:hint="eastAsia" w:ascii="宋体" w:hAnsi="宋体" w:eastAsia="宋体" w:cs="宋体"/>
          <w:spacing w:val="4"/>
          <w:sz w:val="24"/>
          <w:szCs w:val="24"/>
          <w:highlight w:val="none"/>
        </w:rPr>
      </w:pPr>
    </w:p>
    <w:p>
      <w:pPr>
        <w:spacing w:line="480" w:lineRule="auto"/>
        <w:ind w:left="105"/>
        <w:rPr>
          <w:rFonts w:hint="eastAsia" w:ascii="宋体" w:hAnsi="宋体" w:eastAsia="宋体" w:cs="宋体"/>
          <w:spacing w:val="4"/>
          <w:sz w:val="24"/>
          <w:szCs w:val="24"/>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spacing w:line="440" w:lineRule="exact"/>
        <w:jc w:val="center"/>
        <w:rPr>
          <w:rFonts w:hint="eastAsia" w:ascii="宋体" w:hAnsi="宋体" w:eastAsia="宋体" w:cs="宋体"/>
          <w:b/>
          <w:spacing w:val="4"/>
          <w:sz w:val="32"/>
          <w:szCs w:val="32"/>
          <w:highlight w:val="none"/>
        </w:rPr>
      </w:pPr>
    </w:p>
    <w:p>
      <w:pPr>
        <w:pStyle w:val="3"/>
        <w:rPr>
          <w:rFonts w:hint="eastAsia" w:ascii="宋体" w:hAnsi="宋体" w:eastAsia="宋体" w:cs="宋体"/>
          <w:highlight w:val="none"/>
        </w:rPr>
      </w:pPr>
    </w:p>
    <w:p>
      <w:pPr>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br w:type="page"/>
      </w:r>
    </w:p>
    <w:p>
      <w:pPr>
        <w:spacing w:line="440" w:lineRule="exact"/>
        <w:jc w:val="center"/>
        <w:outlineLvl w:val="1"/>
        <w:rPr>
          <w:rFonts w:hint="eastAsia" w:ascii="宋体" w:hAnsi="宋体" w:eastAsia="宋体" w:cs="宋体"/>
          <w:b/>
          <w:spacing w:val="4"/>
          <w:sz w:val="32"/>
          <w:szCs w:val="32"/>
          <w:highlight w:val="none"/>
        </w:rPr>
      </w:pPr>
      <w:r>
        <w:rPr>
          <w:rFonts w:hint="eastAsia" w:ascii="宋体" w:hAnsi="宋体" w:eastAsia="宋体" w:cs="宋体"/>
          <w:b/>
          <w:spacing w:val="4"/>
          <w:sz w:val="32"/>
          <w:szCs w:val="32"/>
          <w:highlight w:val="none"/>
        </w:rPr>
        <w:t>一、谈判响应函</w:t>
      </w:r>
    </w:p>
    <w:p>
      <w:pPr>
        <w:spacing w:line="440" w:lineRule="exact"/>
        <w:jc w:val="left"/>
        <w:rPr>
          <w:rFonts w:hint="eastAsia" w:ascii="宋体" w:hAnsi="宋体" w:eastAsia="宋体" w:cs="宋体"/>
          <w:spacing w:val="4"/>
          <w:sz w:val="24"/>
          <w:highlight w:val="none"/>
        </w:rPr>
      </w:pPr>
    </w:p>
    <w:p>
      <w:pPr>
        <w:spacing w:line="440" w:lineRule="exact"/>
        <w:jc w:val="left"/>
        <w:rPr>
          <w:rFonts w:hint="default" w:ascii="宋体" w:hAnsi="宋体" w:eastAsia="宋体" w:cs="宋体"/>
          <w:color w:val="auto"/>
          <w:spacing w:val="4"/>
          <w:sz w:val="24"/>
          <w:highlight w:val="none"/>
          <w:u w:val="single"/>
          <w:lang w:val="en-US" w:eastAsia="zh-CN"/>
        </w:rPr>
      </w:pPr>
      <w:r>
        <w:rPr>
          <w:rFonts w:hint="eastAsia" w:ascii="宋体" w:hAnsi="宋体" w:eastAsia="宋体" w:cs="宋体"/>
          <w:color w:val="auto"/>
          <w:spacing w:val="4"/>
          <w:sz w:val="24"/>
          <w:highlight w:val="none"/>
        </w:rPr>
        <w:t>致：</w:t>
      </w:r>
      <w:r>
        <w:rPr>
          <w:rFonts w:hint="eastAsia" w:ascii="宋体" w:hAnsi="宋体" w:cs="宋体"/>
          <w:color w:val="auto"/>
          <w:spacing w:val="4"/>
          <w:sz w:val="24"/>
          <w:highlight w:val="none"/>
          <w:u w:val="single"/>
          <w:lang w:val="en-US" w:eastAsia="zh-CN"/>
        </w:rPr>
        <w:t>黄陵县交通运输局</w:t>
      </w:r>
    </w:p>
    <w:p>
      <w:pPr>
        <w:spacing w:line="440" w:lineRule="exact"/>
        <w:jc w:val="left"/>
        <w:rPr>
          <w:rFonts w:hint="eastAsia" w:ascii="宋体" w:hAnsi="宋体" w:eastAsia="宋体" w:cs="宋体"/>
          <w:spacing w:val="4"/>
          <w:sz w:val="24"/>
          <w:highlight w:val="none"/>
          <w:u w:val="single"/>
        </w:rPr>
      </w:pPr>
    </w:p>
    <w:p>
      <w:pPr>
        <w:spacing w:line="440" w:lineRule="exact"/>
        <w:ind w:firstLine="496" w:firstLineChars="200"/>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根据贵方“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”项目的谈判邀请</w:t>
      </w:r>
      <w:r>
        <w:rPr>
          <w:rFonts w:hint="eastAsia" w:ascii="宋体" w:hAnsi="宋体" w:eastAsia="宋体" w:cs="宋体"/>
          <w:spacing w:val="4"/>
          <w:sz w:val="24"/>
          <w:highlight w:val="none"/>
          <w:u w:val="single"/>
        </w:rPr>
        <w:t>(项目编号：            )</w:t>
      </w:r>
      <w:r>
        <w:rPr>
          <w:rFonts w:hint="eastAsia" w:ascii="宋体" w:hAnsi="宋体" w:eastAsia="宋体" w:cs="宋体"/>
          <w:spacing w:val="4"/>
          <w:sz w:val="24"/>
          <w:highlight w:val="none"/>
        </w:rPr>
        <w:t>，签字代表</w:t>
      </w:r>
      <w:r>
        <w:rPr>
          <w:rFonts w:hint="eastAsia" w:ascii="宋体" w:hAnsi="宋体" w:eastAsia="宋体" w:cs="宋体"/>
          <w:spacing w:val="4"/>
          <w:sz w:val="24"/>
          <w:highlight w:val="none"/>
          <w:u w:val="single"/>
        </w:rPr>
        <w:t>（全名、职务）</w:t>
      </w:r>
      <w:r>
        <w:rPr>
          <w:rFonts w:hint="eastAsia" w:ascii="宋体" w:hAnsi="宋体" w:eastAsia="宋体" w:cs="宋体"/>
          <w:spacing w:val="4"/>
          <w:sz w:val="24"/>
          <w:highlight w:val="none"/>
        </w:rPr>
        <w:t>经正式授权并代表谈判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u w:val="single"/>
        </w:rPr>
        <w:t>(谈判</w:t>
      </w:r>
      <w:r>
        <w:rPr>
          <w:rFonts w:hint="eastAsia" w:ascii="宋体" w:hAnsi="宋体" w:eastAsia="宋体" w:cs="宋体"/>
          <w:spacing w:val="4"/>
          <w:sz w:val="24"/>
          <w:highlight w:val="none"/>
          <w:u w:val="single"/>
          <w:lang w:eastAsia="zh-CN"/>
        </w:rPr>
        <w:t>供应商</w:t>
      </w:r>
      <w:r>
        <w:rPr>
          <w:rFonts w:hint="eastAsia" w:ascii="宋体" w:hAnsi="宋体" w:eastAsia="宋体" w:cs="宋体"/>
          <w:spacing w:val="4"/>
          <w:sz w:val="24"/>
          <w:highlight w:val="none"/>
          <w:u w:val="single"/>
        </w:rPr>
        <w:t>名称、地址)</w:t>
      </w:r>
      <w:r>
        <w:rPr>
          <w:rFonts w:hint="eastAsia" w:ascii="宋体" w:hAnsi="宋体" w:eastAsia="宋体" w:cs="宋体"/>
          <w:spacing w:val="4"/>
          <w:sz w:val="24"/>
          <w:highlight w:val="none"/>
        </w:rPr>
        <w:t xml:space="preserve"> 提交竞争性谈判响应文件正本一份、副本</w:t>
      </w:r>
      <w:r>
        <w:rPr>
          <w:rFonts w:hint="eastAsia" w:ascii="宋体" w:hAnsi="宋体" w:eastAsia="宋体" w:cs="宋体"/>
          <w:color w:val="auto"/>
          <w:spacing w:val="4"/>
          <w:sz w:val="24"/>
          <w:highlight w:val="none"/>
        </w:rPr>
        <w:t>一式</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rPr>
        <w:t>份</w:t>
      </w:r>
      <w:r>
        <w:rPr>
          <w:rFonts w:hint="eastAsia" w:ascii="宋体" w:hAnsi="宋体" w:eastAsia="宋体" w:cs="宋体"/>
          <w:color w:val="auto"/>
          <w:spacing w:val="4"/>
          <w:sz w:val="24"/>
          <w:highlight w:val="none"/>
          <w:lang w:eastAsia="zh-CN"/>
        </w:rPr>
        <w:t>，电子版</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u w:val="none"/>
          <w:lang w:val="en-US" w:eastAsia="zh-CN"/>
        </w:rPr>
        <w:t>份，</w:t>
      </w:r>
      <w:r>
        <w:rPr>
          <w:rFonts w:hint="eastAsia" w:ascii="宋体" w:hAnsi="宋体" w:eastAsia="宋体" w:cs="宋体"/>
          <w:color w:val="auto"/>
          <w:spacing w:val="4"/>
          <w:sz w:val="24"/>
          <w:highlight w:val="none"/>
          <w:lang w:eastAsia="zh-CN"/>
        </w:rPr>
        <w:t>报价一览表</w:t>
      </w:r>
      <w:r>
        <w:rPr>
          <w:rFonts w:hint="eastAsia" w:ascii="宋体" w:hAnsi="宋体" w:eastAsia="宋体" w:cs="宋体"/>
          <w:color w:val="auto"/>
          <w:spacing w:val="4"/>
          <w:sz w:val="24"/>
          <w:highlight w:val="none"/>
          <w:u w:val="single"/>
          <w:lang w:val="en-US" w:eastAsia="zh-CN"/>
        </w:rPr>
        <w:t xml:space="preserve">    </w:t>
      </w:r>
      <w:r>
        <w:rPr>
          <w:rFonts w:hint="eastAsia" w:ascii="宋体" w:hAnsi="宋体" w:eastAsia="宋体" w:cs="宋体"/>
          <w:color w:val="auto"/>
          <w:spacing w:val="4"/>
          <w:sz w:val="24"/>
          <w:highlight w:val="none"/>
          <w:lang w:val="en-US" w:eastAsia="zh-CN"/>
        </w:rPr>
        <w:t>份</w:t>
      </w:r>
      <w:r>
        <w:rPr>
          <w:rFonts w:hint="eastAsia" w:ascii="宋体" w:hAnsi="宋体" w:eastAsia="宋体" w:cs="宋体"/>
          <w:color w:val="auto"/>
          <w:spacing w:val="4"/>
          <w:sz w:val="24"/>
          <w:highlight w:val="none"/>
        </w:rPr>
        <w:t>。并提交谈判保证金，金额为</w:t>
      </w:r>
      <w:r>
        <w:rPr>
          <w:rFonts w:hint="eastAsia" w:ascii="宋体" w:hAnsi="宋体" w:eastAsia="宋体" w:cs="宋体"/>
          <w:color w:val="auto"/>
          <w:spacing w:val="4"/>
          <w:sz w:val="24"/>
          <w:highlight w:val="none"/>
          <w:u w:val="single"/>
        </w:rPr>
        <w:t xml:space="preserve">    </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 xml:space="preserve"> 。</w:t>
      </w:r>
    </w:p>
    <w:p>
      <w:pPr>
        <w:spacing w:line="440" w:lineRule="exact"/>
        <w:ind w:left="549" w:leftChars="251" w:hanging="22" w:hangingChars="9"/>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我方承诺如下：</w:t>
      </w:r>
    </w:p>
    <w:p>
      <w:pPr>
        <w:numPr>
          <w:ilvl w:val="0"/>
          <w:numId w:val="6"/>
        </w:numPr>
        <w:tabs>
          <w:tab w:val="left" w:pos="2160"/>
        </w:tabs>
        <w:spacing w:line="440" w:lineRule="exact"/>
        <w:ind w:left="0" w:firstLine="0"/>
        <w:jc w:val="left"/>
        <w:rPr>
          <w:rFonts w:hint="eastAsia" w:ascii="宋体" w:hAnsi="宋体" w:eastAsia="宋体" w:cs="宋体"/>
          <w:spacing w:val="4"/>
          <w:sz w:val="24"/>
          <w:szCs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szCs w:val="24"/>
          <w:highlight w:val="none"/>
        </w:rPr>
        <w:t>报价为</w:t>
      </w:r>
      <w:r>
        <w:rPr>
          <w:rFonts w:hint="eastAsia" w:ascii="宋体" w:hAnsi="宋体" w:eastAsia="宋体" w:cs="宋体"/>
          <w:spacing w:val="4"/>
          <w:sz w:val="24"/>
          <w:szCs w:val="24"/>
          <w:highlight w:val="none"/>
          <w:lang w:eastAsia="zh-CN"/>
        </w:rPr>
        <w:t>小写：</w:t>
      </w: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lang w:eastAsia="zh-CN"/>
        </w:rPr>
        <w:t>大写：</w:t>
      </w:r>
      <w:r>
        <w:rPr>
          <w:rFonts w:hint="eastAsia" w:ascii="宋体" w:hAnsi="宋体" w:eastAsia="宋体" w:cs="宋体"/>
          <w:spacing w:val="4"/>
          <w:sz w:val="24"/>
          <w:szCs w:val="24"/>
          <w:highlight w:val="none"/>
          <w:u w:val="single"/>
          <w:lang w:val="en-US" w:eastAsia="zh-CN"/>
        </w:rPr>
        <w:t xml:space="preserve">         </w:t>
      </w:r>
      <w:r>
        <w:rPr>
          <w:rFonts w:hint="eastAsia" w:ascii="宋体" w:hAnsi="宋体" w:eastAsia="宋体" w:cs="宋体"/>
          <w:spacing w:val="4"/>
          <w:sz w:val="24"/>
          <w:szCs w:val="24"/>
          <w:highlight w:val="none"/>
        </w:rPr>
        <w:t>）。</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szCs w:val="24"/>
          <w:highlight w:val="none"/>
        </w:rPr>
        <w:t>如果成交，我们根据竞争性谈判文件的规定，履行合同的责任和义务</w:t>
      </w:r>
      <w:r>
        <w:rPr>
          <w:rFonts w:hint="eastAsia" w:ascii="宋体" w:hAnsi="宋体" w:eastAsia="宋体" w:cs="宋体"/>
          <w:spacing w:val="4"/>
          <w:sz w:val="24"/>
          <w:highlight w:val="none"/>
        </w:rPr>
        <w:t>。</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我们已详细阅读和审核全部竞争性谈判文件（含修改部分，如有的话），及有关附件，我们知道必须放弃提出含糊不清或误解的问题的权利。</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我们同意在谈判有效期内（自谈判之日起</w:t>
      </w:r>
      <w:r>
        <w:rPr>
          <w:rFonts w:hint="eastAsia" w:ascii="宋体" w:hAnsi="宋体" w:eastAsia="宋体" w:cs="宋体"/>
          <w:spacing w:val="4"/>
          <w:sz w:val="24"/>
          <w:highlight w:val="none"/>
          <w:u w:val="single"/>
        </w:rPr>
        <w:t xml:space="preserve">  </w:t>
      </w:r>
      <w:r>
        <w:rPr>
          <w:rFonts w:hint="eastAsia" w:ascii="宋体" w:hAnsi="宋体" w:eastAsia="宋体" w:cs="宋体"/>
          <w:spacing w:val="4"/>
          <w:sz w:val="24"/>
          <w:highlight w:val="none"/>
        </w:rPr>
        <w:t>天），本谈判响应函对我方具有约束力。</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如果在</w:t>
      </w:r>
      <w:r>
        <w:rPr>
          <w:rFonts w:hint="eastAsia" w:ascii="宋体" w:hAnsi="宋体" w:eastAsia="宋体" w:cs="宋体"/>
          <w:spacing w:val="4"/>
          <w:sz w:val="24"/>
          <w:highlight w:val="none"/>
          <w:lang w:eastAsia="zh-CN"/>
        </w:rPr>
        <w:t>谈判</w:t>
      </w:r>
      <w:r>
        <w:rPr>
          <w:rFonts w:hint="eastAsia" w:ascii="宋体" w:hAnsi="宋体" w:eastAsia="宋体" w:cs="宋体"/>
          <w:spacing w:val="4"/>
          <w:sz w:val="24"/>
          <w:highlight w:val="none"/>
        </w:rPr>
        <w:t>后规定的谈判有效期内撤回谈判，我们的谈判保证金可被贵方没收。</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 xml:space="preserve">同意提供贵方可能另外要求的与本谈判有关的任何证据和资料。 </w:t>
      </w:r>
    </w:p>
    <w:p>
      <w:pPr>
        <w:numPr>
          <w:ilvl w:val="0"/>
          <w:numId w:val="6"/>
        </w:numPr>
        <w:tabs>
          <w:tab w:val="left" w:pos="2160"/>
        </w:tabs>
        <w:spacing w:line="440" w:lineRule="exact"/>
        <w:ind w:left="0" w:firstLine="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与本谈判有关的一切正式往来通讯为：</w:t>
      </w:r>
    </w:p>
    <w:p>
      <w:pPr>
        <w:spacing w:line="440" w:lineRule="exact"/>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联系地址：</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邮政编码：</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电    话：</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传    真：</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谈判</w:t>
      </w:r>
      <w:r>
        <w:rPr>
          <w:rFonts w:hint="eastAsia" w:ascii="宋体" w:hAnsi="宋体" w:eastAsia="宋体" w:cs="宋体"/>
          <w:spacing w:val="4"/>
          <w:sz w:val="24"/>
          <w:highlight w:val="none"/>
          <w:lang w:eastAsia="zh-CN"/>
        </w:rPr>
        <w:t>供应商</w:t>
      </w:r>
      <w:r>
        <w:rPr>
          <w:rFonts w:hint="eastAsia" w:ascii="宋体" w:hAnsi="宋体" w:eastAsia="宋体" w:cs="宋体"/>
          <w:spacing w:val="4"/>
          <w:sz w:val="24"/>
          <w:highlight w:val="none"/>
        </w:rPr>
        <w:t>名称（盖章）：</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w:t>
      </w:r>
      <w:r>
        <w:rPr>
          <w:rFonts w:hint="eastAsia" w:ascii="宋体" w:hAnsi="宋体" w:eastAsia="宋体" w:cs="宋体"/>
          <w:spacing w:val="4"/>
          <w:sz w:val="24"/>
          <w:highlight w:val="none"/>
          <w:lang w:val="en-US" w:eastAsia="zh-CN"/>
        </w:rPr>
        <w:t>或</w:t>
      </w:r>
      <w:r>
        <w:rPr>
          <w:rFonts w:hint="eastAsia" w:ascii="宋体" w:hAnsi="宋体" w:eastAsia="宋体" w:cs="宋体"/>
          <w:spacing w:val="4"/>
          <w:sz w:val="24"/>
          <w:highlight w:val="none"/>
          <w:lang w:eastAsia="zh-CN"/>
        </w:rPr>
        <w:t>被授权人</w:t>
      </w:r>
      <w:r>
        <w:rPr>
          <w:rFonts w:hint="eastAsia" w:ascii="宋体" w:hAnsi="宋体" w:eastAsia="宋体" w:cs="宋体"/>
          <w:spacing w:val="4"/>
          <w:sz w:val="24"/>
          <w:highlight w:val="none"/>
        </w:rPr>
        <w:t>：</w:t>
      </w:r>
      <w:r>
        <w:rPr>
          <w:rFonts w:hint="eastAsia" w:ascii="宋体" w:hAnsi="宋体" w:eastAsia="宋体" w:cs="宋体"/>
          <w:spacing w:val="4"/>
          <w:sz w:val="24"/>
          <w:highlight w:val="none"/>
          <w:lang w:val="en-US" w:eastAsia="zh-CN"/>
        </w:rPr>
        <w:t xml:space="preserve"> </w:t>
      </w:r>
      <w:r>
        <w:rPr>
          <w:rFonts w:hint="eastAsia" w:ascii="宋体" w:hAnsi="宋体" w:eastAsia="宋体" w:cs="宋体"/>
          <w:spacing w:val="4"/>
          <w:sz w:val="24"/>
          <w:highlight w:val="none"/>
          <w:u w:val="single"/>
          <w:lang w:val="en-US" w:eastAsia="zh-CN"/>
        </w:rPr>
        <w:t xml:space="preserve">     </w:t>
      </w:r>
      <w:r>
        <w:rPr>
          <w:rFonts w:hint="eastAsia" w:ascii="宋体" w:hAnsi="宋体" w:eastAsia="宋体" w:cs="宋体"/>
          <w:spacing w:val="4"/>
          <w:sz w:val="24"/>
          <w:highlight w:val="none"/>
          <w:lang w:val="en-US" w:eastAsia="zh-CN"/>
        </w:rPr>
        <w:t>（</w:t>
      </w:r>
      <w:r>
        <w:rPr>
          <w:rFonts w:hint="eastAsia" w:ascii="宋体" w:hAnsi="宋体" w:eastAsia="宋体" w:cs="宋体"/>
          <w:spacing w:val="4"/>
          <w:sz w:val="24"/>
          <w:highlight w:val="none"/>
        </w:rPr>
        <w:t>签字</w:t>
      </w:r>
      <w:r>
        <w:rPr>
          <w:rFonts w:hint="eastAsia" w:ascii="宋体" w:hAnsi="宋体" w:eastAsia="宋体" w:cs="宋体"/>
          <w:spacing w:val="4"/>
          <w:sz w:val="24"/>
          <w:highlight w:val="none"/>
          <w:lang w:eastAsia="zh-CN"/>
        </w:rPr>
        <w:t>或盖章</w:t>
      </w:r>
      <w:r>
        <w:rPr>
          <w:rFonts w:hint="eastAsia" w:ascii="宋体" w:hAnsi="宋体" w:eastAsia="宋体" w:cs="宋体"/>
          <w:spacing w:val="4"/>
          <w:sz w:val="24"/>
          <w:highlight w:val="none"/>
          <w:lang w:val="en-US" w:eastAsia="zh-CN"/>
        </w:rPr>
        <w:t>）</w:t>
      </w:r>
    </w:p>
    <w:p>
      <w:pPr>
        <w:spacing w:line="440" w:lineRule="exact"/>
        <w:ind w:firstLine="1240" w:firstLineChars="500"/>
        <w:jc w:val="left"/>
        <w:rPr>
          <w:rFonts w:hint="eastAsia" w:ascii="宋体" w:hAnsi="宋体" w:eastAsia="宋体" w:cs="宋体"/>
          <w:spacing w:val="4"/>
          <w:sz w:val="24"/>
          <w:highlight w:val="none"/>
        </w:rPr>
      </w:pPr>
      <w:r>
        <w:rPr>
          <w:rFonts w:hint="eastAsia" w:ascii="宋体" w:hAnsi="宋体" w:eastAsia="宋体" w:cs="宋体"/>
          <w:spacing w:val="4"/>
          <w:sz w:val="24"/>
          <w:highlight w:val="none"/>
        </w:rPr>
        <w:t>日    期：</w:t>
      </w:r>
    </w:p>
    <w:p>
      <w:pPr>
        <w:spacing w:line="440" w:lineRule="exact"/>
        <w:rPr>
          <w:rFonts w:hint="eastAsia" w:ascii="宋体" w:hAnsi="宋体" w:eastAsia="宋体" w:cs="宋体"/>
          <w:sz w:val="28"/>
          <w:highlight w:val="none"/>
        </w:rPr>
      </w:pPr>
      <w:r>
        <w:rPr>
          <w:rFonts w:hint="eastAsia" w:ascii="宋体" w:hAnsi="宋体" w:eastAsia="宋体" w:cs="宋体"/>
          <w:sz w:val="28"/>
          <w:highlight w:val="none"/>
        </w:rPr>
        <w:t xml:space="preserve">           </w:t>
      </w:r>
    </w:p>
    <w:p>
      <w:pPr>
        <w:jc w:val="both"/>
        <w:rPr>
          <w:rFonts w:hint="eastAsia" w:ascii="宋体" w:hAnsi="宋体" w:eastAsia="宋体" w:cs="宋体"/>
          <w:sz w:val="44"/>
          <w:highlight w:val="none"/>
        </w:rPr>
      </w:pPr>
    </w:p>
    <w:p>
      <w:pPr>
        <w:ind w:left="-199" w:leftChars="-95" w:right="-250" w:rightChars="-119" w:firstLine="199" w:firstLineChars="62"/>
        <w:jc w:val="both"/>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r>
        <w:rPr>
          <w:rFonts w:hint="eastAsia" w:ascii="宋体" w:hAnsi="宋体" w:eastAsia="宋体" w:cs="宋体"/>
          <w:b/>
          <w:sz w:val="32"/>
          <w:szCs w:val="32"/>
          <w:highlight w:val="none"/>
          <w:lang w:eastAsia="zh-CN"/>
        </w:rPr>
        <w:t>二</w:t>
      </w:r>
      <w:r>
        <w:rPr>
          <w:rFonts w:hint="eastAsia" w:ascii="宋体" w:hAnsi="宋体" w:eastAsia="宋体" w:cs="宋体"/>
          <w:b/>
          <w:sz w:val="32"/>
          <w:szCs w:val="32"/>
          <w:highlight w:val="none"/>
        </w:rPr>
        <w:t>、谈判报价表</w:t>
      </w:r>
    </w:p>
    <w:p>
      <w:pPr>
        <w:jc w:val="center"/>
        <w:rPr>
          <w:rFonts w:hint="eastAsia" w:ascii="宋体" w:hAnsi="宋体" w:eastAsia="宋体" w:cs="宋体"/>
          <w:b/>
          <w:sz w:val="36"/>
          <w:szCs w:val="36"/>
          <w:highlight w:val="none"/>
        </w:rPr>
      </w:pPr>
    </w:p>
    <w:p>
      <w:pPr>
        <w:jc w:val="center"/>
        <w:outlineLvl w:val="2"/>
        <w:rPr>
          <w:rFonts w:hint="eastAsia" w:ascii="宋体" w:hAnsi="宋体" w:eastAsia="宋体" w:cs="宋体"/>
          <w:b/>
          <w:bCs/>
          <w:sz w:val="30"/>
          <w:szCs w:val="30"/>
          <w:highlight w:val="none"/>
        </w:rPr>
      </w:pP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.1报价一览表</w:t>
      </w:r>
    </w:p>
    <w:p>
      <w:pPr>
        <w:jc w:val="left"/>
        <w:rPr>
          <w:rFonts w:hint="eastAsia" w:ascii="宋体" w:hAnsi="宋体" w:eastAsia="宋体" w:cs="宋体"/>
          <w:sz w:val="24"/>
          <w:highlight w:val="none"/>
        </w:rPr>
      </w:pPr>
      <w:r>
        <w:rPr>
          <w:rFonts w:hint="eastAsia" w:ascii="宋体" w:hAnsi="宋体" w:eastAsia="宋体" w:cs="宋体"/>
          <w:sz w:val="24"/>
          <w:highlight w:val="none"/>
        </w:rPr>
        <w:t xml:space="preserve">                                                </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 xml:space="preserve">名称：                                                 </w:t>
      </w:r>
    </w:p>
    <w:p>
      <w:pPr>
        <w:jc w:val="left"/>
        <w:rPr>
          <w:rFonts w:hint="eastAsia" w:ascii="宋体" w:hAnsi="宋体" w:eastAsia="宋体" w:cs="宋体"/>
          <w:sz w:val="24"/>
          <w:highlight w:val="none"/>
        </w:rPr>
      </w:pPr>
      <w:r>
        <w:rPr>
          <w:rFonts w:hint="eastAsia" w:ascii="宋体" w:hAnsi="宋体" w:eastAsia="宋体" w:cs="宋体"/>
          <w:sz w:val="24"/>
          <w:szCs w:val="24"/>
          <w:highlight w:val="none"/>
        </w:rPr>
        <w:t xml:space="preserve">项目编号：  </w:t>
      </w:r>
      <w:r>
        <w:rPr>
          <w:rFonts w:hint="eastAsia" w:ascii="宋体" w:hAnsi="宋体" w:eastAsia="宋体" w:cs="宋体"/>
          <w:sz w:val="24"/>
          <w:highlight w:val="none"/>
        </w:rPr>
        <w:t xml:space="preserve">                                                  </w:t>
      </w:r>
    </w:p>
    <w:p>
      <w:pPr>
        <w:pStyle w:val="8"/>
        <w:rPr>
          <w:rFonts w:hint="eastAsia"/>
          <w:highlight w:val="none"/>
        </w:rPr>
      </w:pPr>
    </w:p>
    <w:p>
      <w:pPr>
        <w:spacing w:line="120" w:lineRule="exact"/>
        <w:rPr>
          <w:rFonts w:hint="eastAsia" w:ascii="宋体" w:hAnsi="宋体" w:eastAsia="宋体" w:cs="宋体"/>
          <w:sz w:val="24"/>
          <w:highlight w:val="none"/>
        </w:rPr>
      </w:pPr>
    </w:p>
    <w:tbl>
      <w:tblPr>
        <w:tblStyle w:val="28"/>
        <w:tblpPr w:leftFromText="180" w:rightFromText="180" w:vertAnchor="text" w:horzAnchor="page" w:tblpX="1802" w:tblpY="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4"/>
        <w:gridCol w:w="3028"/>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214"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谈判总报价（元）</w:t>
            </w:r>
          </w:p>
        </w:tc>
        <w:tc>
          <w:tcPr>
            <w:tcW w:w="3028" w:type="dxa"/>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服务期限</w:t>
            </w:r>
          </w:p>
        </w:tc>
        <w:tc>
          <w:tcPr>
            <w:tcW w:w="2016"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214" w:type="dxa"/>
            <w:noWrap w:val="0"/>
            <w:vAlign w:val="center"/>
          </w:tcPr>
          <w:p>
            <w:pPr>
              <w:jc w:val="center"/>
              <w:rPr>
                <w:rFonts w:hint="eastAsia" w:ascii="宋体" w:hAnsi="宋体" w:eastAsia="宋体" w:cs="宋体"/>
                <w:sz w:val="24"/>
                <w:szCs w:val="24"/>
                <w:highlight w:val="none"/>
              </w:rPr>
            </w:pPr>
          </w:p>
        </w:tc>
        <w:tc>
          <w:tcPr>
            <w:tcW w:w="3028" w:type="dxa"/>
            <w:noWrap w:val="0"/>
            <w:vAlign w:val="center"/>
          </w:tcPr>
          <w:p>
            <w:pPr>
              <w:jc w:val="center"/>
              <w:rPr>
                <w:rFonts w:hint="eastAsia" w:ascii="宋体" w:hAnsi="宋体" w:eastAsia="宋体" w:cs="宋体"/>
                <w:sz w:val="24"/>
                <w:szCs w:val="24"/>
                <w:highlight w:val="none"/>
              </w:rPr>
            </w:pPr>
          </w:p>
        </w:tc>
        <w:tc>
          <w:tcPr>
            <w:tcW w:w="2016" w:type="dxa"/>
            <w:noWrap w:val="0"/>
            <w:vAlign w:val="center"/>
          </w:tcPr>
          <w:p>
            <w:pPr>
              <w:jc w:val="center"/>
              <w:rPr>
                <w:rFonts w:hint="eastAsia" w:ascii="宋体" w:hAnsi="宋体" w:eastAsia="宋体" w:cs="宋体"/>
                <w:sz w:val="24"/>
                <w:szCs w:val="24"/>
                <w:highlight w:val="none"/>
              </w:rPr>
            </w:pPr>
          </w:p>
        </w:tc>
      </w:tr>
    </w:tbl>
    <w:p>
      <w:pPr>
        <w:spacing w:line="360" w:lineRule="auto"/>
        <w:rPr>
          <w:rFonts w:hint="eastAsia" w:ascii="宋体" w:hAnsi="宋体" w:eastAsia="宋体" w:cs="宋体"/>
          <w:sz w:val="24"/>
          <w:highlight w:val="none"/>
        </w:rPr>
      </w:pPr>
    </w:p>
    <w:p>
      <w:pPr>
        <w:rPr>
          <w:rFonts w:hint="eastAsia" w:ascii="宋体" w:hAnsi="宋体" w:eastAsia="宋体" w:cs="宋体"/>
          <w:sz w:val="24"/>
          <w:highlight w:val="none"/>
        </w:rPr>
      </w:pPr>
    </w:p>
    <w:p>
      <w:pPr>
        <w:pStyle w:val="8"/>
        <w:rPr>
          <w:rFonts w:hint="eastAsia" w:ascii="宋体" w:hAnsi="宋体" w:eastAsia="宋体" w:cs="宋体"/>
          <w:sz w:val="24"/>
          <w:highlight w:val="none"/>
        </w:rPr>
      </w:pPr>
    </w:p>
    <w:p>
      <w:pPr>
        <w:rPr>
          <w:rFonts w:hint="eastAsia" w:ascii="宋体" w:hAnsi="宋体" w:eastAsia="宋体" w:cs="宋体"/>
          <w:sz w:val="24"/>
          <w:highlight w:val="none"/>
        </w:rPr>
      </w:pPr>
    </w:p>
    <w:p>
      <w:pPr>
        <w:pStyle w:val="8"/>
        <w:rPr>
          <w:rFonts w:hint="eastAsia"/>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40" w:lineRule="auto"/>
        <w:ind w:right="540" w:rightChars="257"/>
        <w:jc w:val="left"/>
        <w:rPr>
          <w:rFonts w:hint="eastAsia" w:ascii="宋体" w:hAnsi="宋体" w:eastAsia="宋体" w:cs="宋体"/>
          <w:sz w:val="24"/>
          <w:highlight w:val="none"/>
        </w:rPr>
      </w:pPr>
    </w:p>
    <w:p>
      <w:pPr>
        <w:spacing w:line="240" w:lineRule="auto"/>
        <w:ind w:right="540" w:rightChars="257" w:firstLine="3360" w:firstLineChars="1400"/>
        <w:rPr>
          <w:rFonts w:hint="eastAsia" w:ascii="宋体" w:hAnsi="宋体" w:eastAsia="宋体" w:cs="宋体"/>
          <w:sz w:val="24"/>
          <w:highlight w:val="none"/>
        </w:rPr>
      </w:pPr>
      <w:r>
        <w:rPr>
          <w:rFonts w:hint="eastAsia" w:ascii="宋体" w:hAnsi="宋体" w:eastAsia="宋体" w:cs="宋体"/>
          <w:sz w:val="24"/>
          <w:highlight w:val="none"/>
        </w:rPr>
        <w:t>日    期：</w:t>
      </w:r>
    </w:p>
    <w:p>
      <w:pPr>
        <w:jc w:val="center"/>
        <w:rPr>
          <w:rFonts w:hint="eastAsia" w:ascii="宋体" w:hAnsi="宋体" w:eastAsia="宋体" w:cs="宋体"/>
          <w:sz w:val="30"/>
          <w:szCs w:val="30"/>
          <w:highlight w:val="none"/>
        </w:rPr>
      </w:pPr>
    </w:p>
    <w:p>
      <w:pPr>
        <w:spacing w:before="120" w:beforeLines="50" w:after="120" w:afterLines="50" w:line="400" w:lineRule="atLeast"/>
        <w:rPr>
          <w:rFonts w:hint="eastAsia" w:ascii="宋体" w:hAnsi="宋体" w:eastAsia="宋体" w:cs="宋体"/>
          <w:szCs w:val="21"/>
          <w:highlight w:val="none"/>
          <w:u w:val="single"/>
        </w:rPr>
      </w:pPr>
      <w:r>
        <w:rPr>
          <w:rFonts w:hint="eastAsia" w:ascii="宋体" w:hAnsi="宋体" w:eastAsia="宋体" w:cs="宋体"/>
          <w:sz w:val="24"/>
          <w:highlight w:val="none"/>
        </w:rPr>
        <w:t>注：本表应按“</w:t>
      </w:r>
      <w:r>
        <w:rPr>
          <w:rFonts w:hint="eastAsia" w:ascii="宋体" w:hAnsi="宋体" w:eastAsia="宋体" w:cs="宋体"/>
          <w:sz w:val="24"/>
          <w:highlight w:val="none"/>
          <w:lang w:eastAsia="zh-CN"/>
        </w:rPr>
        <w:t>供应商须知</w:t>
      </w:r>
      <w:r>
        <w:rPr>
          <w:rFonts w:hint="eastAsia" w:ascii="宋体" w:hAnsi="宋体" w:eastAsia="宋体" w:cs="宋体"/>
          <w:sz w:val="24"/>
          <w:highlight w:val="none"/>
        </w:rPr>
        <w:t>”的规定密封单独提交。</w:t>
      </w:r>
    </w:p>
    <w:p>
      <w:pPr>
        <w:jc w:val="center"/>
        <w:rPr>
          <w:rFonts w:hint="eastAsia" w:ascii="宋体" w:hAnsi="宋体" w:eastAsia="宋体" w:cs="宋体"/>
          <w:sz w:val="30"/>
          <w:szCs w:val="30"/>
          <w:highlight w:val="none"/>
        </w:rPr>
      </w:pPr>
    </w:p>
    <w:p>
      <w:pPr>
        <w:jc w:val="center"/>
        <w:outlineLvl w:val="2"/>
        <w:rPr>
          <w:rFonts w:hint="eastAsia" w:ascii="宋体" w:hAnsi="宋体" w:eastAsia="宋体" w:cs="宋体"/>
          <w:sz w:val="30"/>
          <w:szCs w:val="30"/>
          <w:highlight w:val="none"/>
        </w:rPr>
      </w:pPr>
      <w:r>
        <w:rPr>
          <w:rFonts w:hint="eastAsia" w:ascii="宋体" w:hAnsi="宋体" w:eastAsia="宋体" w:cs="宋体"/>
          <w:sz w:val="30"/>
          <w:szCs w:val="30"/>
          <w:highlight w:val="none"/>
        </w:rPr>
        <w:br w:type="page"/>
      </w:r>
      <w:r>
        <w:rPr>
          <w:rFonts w:hint="eastAsia" w:ascii="宋体" w:hAnsi="宋体" w:eastAsia="宋体" w:cs="宋体"/>
          <w:b/>
          <w:bCs/>
          <w:sz w:val="30"/>
          <w:szCs w:val="30"/>
          <w:highlight w:val="none"/>
          <w:lang w:val="en-US" w:eastAsia="zh-CN"/>
        </w:rPr>
        <w:t>2</w:t>
      </w:r>
      <w:r>
        <w:rPr>
          <w:rFonts w:hint="eastAsia" w:ascii="宋体" w:hAnsi="宋体" w:eastAsia="宋体" w:cs="宋体"/>
          <w:b/>
          <w:bCs/>
          <w:sz w:val="30"/>
          <w:szCs w:val="30"/>
          <w:highlight w:val="none"/>
        </w:rPr>
        <w:t>.2谈判分项报价表</w:t>
      </w:r>
    </w:p>
    <w:p>
      <w:pPr>
        <w:jc w:val="center"/>
        <w:rPr>
          <w:rFonts w:hint="eastAsia" w:ascii="宋体" w:hAnsi="宋体" w:eastAsia="宋体" w:cs="宋体"/>
          <w:sz w:val="30"/>
          <w:szCs w:val="30"/>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项目名称：                                                     单位：元</w:t>
      </w:r>
    </w:p>
    <w:p>
      <w:pPr>
        <w:rPr>
          <w:rFonts w:hint="eastAsia" w:ascii="宋体" w:hAnsi="宋体" w:eastAsia="宋体" w:cs="宋体"/>
          <w:sz w:val="24"/>
          <w:highlight w:val="none"/>
        </w:rPr>
      </w:pPr>
      <w:r>
        <w:rPr>
          <w:rFonts w:hint="eastAsia" w:ascii="宋体" w:hAnsi="宋体" w:eastAsia="宋体" w:cs="宋体"/>
          <w:sz w:val="24"/>
          <w:highlight w:val="none"/>
        </w:rPr>
        <w:t>项目编号：</w:t>
      </w:r>
    </w:p>
    <w:p>
      <w:pPr>
        <w:rPr>
          <w:rFonts w:hint="eastAsia" w:ascii="宋体" w:hAnsi="宋体" w:eastAsia="宋体" w:cs="宋体"/>
          <w:sz w:val="24"/>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48"/>
        <w:gridCol w:w="1303"/>
        <w:gridCol w:w="990"/>
        <w:gridCol w:w="1615"/>
        <w:gridCol w:w="1303"/>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303"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990"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6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303"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303"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人工费</w:t>
            </w:r>
          </w:p>
        </w:tc>
        <w:tc>
          <w:tcPr>
            <w:tcW w:w="1303" w:type="dxa"/>
            <w:noWrap w:val="0"/>
            <w:vAlign w:val="center"/>
          </w:tcPr>
          <w:p>
            <w:pPr>
              <w:jc w:val="center"/>
              <w:rPr>
                <w:rFonts w:hint="eastAsia" w:ascii="宋体" w:hAnsi="宋体" w:eastAsia="宋体" w:cs="宋体"/>
                <w:sz w:val="24"/>
                <w:szCs w:val="24"/>
                <w:highlight w:val="none"/>
              </w:rPr>
            </w:pPr>
          </w:p>
        </w:tc>
        <w:tc>
          <w:tcPr>
            <w:tcW w:w="990" w:type="dxa"/>
            <w:noWrap w:val="0"/>
            <w:vAlign w:val="center"/>
          </w:tcPr>
          <w:p>
            <w:pPr>
              <w:jc w:val="center"/>
              <w:rPr>
                <w:rFonts w:hint="eastAsia" w:ascii="宋体" w:hAnsi="宋体" w:eastAsia="宋体" w:cs="宋体"/>
                <w:sz w:val="24"/>
                <w:szCs w:val="24"/>
                <w:highlight w:val="none"/>
              </w:rPr>
            </w:pPr>
          </w:p>
        </w:tc>
        <w:tc>
          <w:tcPr>
            <w:tcW w:w="1615" w:type="dxa"/>
            <w:noWrap w:val="0"/>
            <w:vAlign w:val="center"/>
          </w:tcPr>
          <w:p>
            <w:pPr>
              <w:jc w:val="center"/>
              <w:rPr>
                <w:rFonts w:hint="eastAsia" w:ascii="宋体" w:hAnsi="宋体" w:eastAsia="宋体" w:cs="宋体"/>
                <w:color w:val="auto"/>
                <w:sz w:val="24"/>
                <w:szCs w:val="24"/>
                <w:highlight w:val="none"/>
              </w:rPr>
            </w:pPr>
          </w:p>
        </w:tc>
        <w:tc>
          <w:tcPr>
            <w:tcW w:w="1303" w:type="dxa"/>
            <w:noWrap w:val="0"/>
            <w:vAlign w:val="center"/>
          </w:tcPr>
          <w:p>
            <w:pPr>
              <w:jc w:val="center"/>
              <w:rPr>
                <w:rFonts w:hint="eastAsia" w:ascii="宋体" w:hAnsi="宋体" w:eastAsia="宋体" w:cs="宋体"/>
                <w:color w:val="auto"/>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设备费</w:t>
            </w:r>
          </w:p>
        </w:tc>
        <w:tc>
          <w:tcPr>
            <w:tcW w:w="1303" w:type="dxa"/>
            <w:noWrap w:val="0"/>
            <w:vAlign w:val="center"/>
          </w:tcPr>
          <w:p>
            <w:pPr>
              <w:jc w:val="center"/>
              <w:rPr>
                <w:rFonts w:hint="eastAsia" w:ascii="宋体" w:hAnsi="宋体" w:eastAsia="宋体" w:cs="宋体"/>
                <w:sz w:val="24"/>
                <w:szCs w:val="24"/>
                <w:highlight w:val="none"/>
              </w:rPr>
            </w:pPr>
          </w:p>
        </w:tc>
        <w:tc>
          <w:tcPr>
            <w:tcW w:w="990" w:type="dxa"/>
            <w:noWrap w:val="0"/>
            <w:vAlign w:val="center"/>
          </w:tcPr>
          <w:p>
            <w:pPr>
              <w:jc w:val="center"/>
              <w:rPr>
                <w:rFonts w:hint="eastAsia" w:ascii="宋体" w:hAnsi="宋体" w:eastAsia="宋体" w:cs="宋体"/>
                <w:sz w:val="24"/>
                <w:szCs w:val="24"/>
                <w:highlight w:val="none"/>
              </w:rPr>
            </w:pPr>
          </w:p>
        </w:tc>
        <w:tc>
          <w:tcPr>
            <w:tcW w:w="1615"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303" w:type="dxa"/>
            <w:noWrap w:val="0"/>
            <w:vAlign w:val="center"/>
          </w:tcPr>
          <w:p>
            <w:pPr>
              <w:jc w:val="center"/>
              <w:rPr>
                <w:rFonts w:hint="eastAsia" w:ascii="宋体" w:hAnsi="宋体" w:eastAsia="宋体" w:cs="宋体"/>
                <w:sz w:val="24"/>
                <w:szCs w:val="24"/>
                <w:highlight w:val="none"/>
              </w:rPr>
            </w:pPr>
          </w:p>
        </w:tc>
        <w:tc>
          <w:tcPr>
            <w:tcW w:w="990" w:type="dxa"/>
            <w:noWrap w:val="0"/>
            <w:vAlign w:val="center"/>
          </w:tcPr>
          <w:p>
            <w:pPr>
              <w:jc w:val="center"/>
              <w:rPr>
                <w:rFonts w:hint="eastAsia" w:ascii="宋体" w:hAnsi="宋体" w:eastAsia="宋体" w:cs="宋体"/>
                <w:sz w:val="24"/>
                <w:szCs w:val="24"/>
                <w:highlight w:val="none"/>
              </w:rPr>
            </w:pPr>
          </w:p>
        </w:tc>
        <w:tc>
          <w:tcPr>
            <w:tcW w:w="1615"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c>
          <w:tcPr>
            <w:tcW w:w="1303" w:type="dxa"/>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958" w:type="dxa"/>
            <w:noWrap w:val="0"/>
            <w:vAlign w:val="center"/>
          </w:tcPr>
          <w:p>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6514" w:type="dxa"/>
            <w:gridSpan w:val="5"/>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58"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其他费用</w:t>
            </w:r>
          </w:p>
        </w:tc>
        <w:tc>
          <w:tcPr>
            <w:tcW w:w="6514" w:type="dxa"/>
            <w:gridSpan w:val="5"/>
            <w:noWrap w:val="0"/>
            <w:vAlign w:val="center"/>
          </w:tcPr>
          <w:p>
            <w:pPr>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58" w:type="dxa"/>
            <w:noWrap w:val="0"/>
            <w:vAlign w:val="center"/>
          </w:tcPr>
          <w:p>
            <w:pPr>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648" w:type="dxa"/>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合计</w:t>
            </w:r>
          </w:p>
        </w:tc>
        <w:tc>
          <w:tcPr>
            <w:tcW w:w="6514" w:type="dxa"/>
            <w:gridSpan w:val="5"/>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                          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606" w:type="dxa"/>
            <w:gridSpan w:val="2"/>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6514" w:type="dxa"/>
            <w:gridSpan w:val="5"/>
            <w:noWrap w:val="0"/>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表内报价内容以</w:t>
            </w:r>
            <w:r>
              <w:rPr>
                <w:rFonts w:hint="eastAsia" w:ascii="宋体" w:hAnsi="宋体" w:eastAsia="宋体" w:cs="宋体"/>
                <w:color w:val="auto"/>
                <w:sz w:val="24"/>
                <w:szCs w:val="24"/>
                <w:highlight w:val="none"/>
              </w:rPr>
              <w:t>元为单位</w:t>
            </w:r>
            <w:r>
              <w:rPr>
                <w:rFonts w:hint="eastAsia" w:ascii="宋体" w:hAnsi="宋体" w:eastAsia="宋体" w:cs="宋体"/>
                <w:sz w:val="24"/>
                <w:szCs w:val="24"/>
                <w:highlight w:val="none"/>
              </w:rPr>
              <w:t>，保留小数点后两位。</w:t>
            </w:r>
          </w:p>
        </w:tc>
      </w:tr>
    </w:tbl>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rPr>
          <w:rFonts w:hint="eastAsia" w:ascii="宋体" w:hAnsi="宋体" w:eastAsia="宋体" w:cs="宋体"/>
          <w:sz w:val="24"/>
          <w:highlight w:val="none"/>
        </w:rPr>
      </w:pPr>
      <w:r>
        <w:rPr>
          <w:rFonts w:hint="eastAsia" w:ascii="宋体" w:hAnsi="宋体" w:eastAsia="宋体" w:cs="宋体"/>
          <w:sz w:val="24"/>
          <w:highlight w:val="none"/>
        </w:rPr>
        <w:t>日    期：</w:t>
      </w:r>
    </w:p>
    <w:p>
      <w:pPr>
        <w:spacing w:line="440" w:lineRule="exact"/>
        <w:rPr>
          <w:rFonts w:hint="eastAsia" w:ascii="宋体" w:hAnsi="宋体" w:eastAsia="宋体" w:cs="宋体"/>
          <w:sz w:val="36"/>
          <w:highlight w:val="none"/>
        </w:rPr>
      </w:pPr>
    </w:p>
    <w:p>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注：1. 如果按单价计算的结果与总价不一致，以单价为准修正总价。</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2．如果不提供详细分项报价将视为没有实质性响应竞争性谈判文件。</w:t>
      </w:r>
    </w:p>
    <w:p>
      <w:pPr>
        <w:spacing w:line="44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可适当调整该表格式，但不得减少信息内容。</w:t>
      </w:r>
    </w:p>
    <w:p>
      <w:pPr>
        <w:spacing w:line="360" w:lineRule="auto"/>
        <w:jc w:val="both"/>
        <w:rPr>
          <w:rFonts w:hint="eastAsia" w:ascii="宋体" w:hAnsi="宋体" w:eastAsia="宋体" w:cs="宋体"/>
          <w:sz w:val="24"/>
          <w:highlight w:val="none"/>
        </w:rPr>
      </w:pPr>
      <w:r>
        <w:rPr>
          <w:rFonts w:hint="eastAsia" w:ascii="宋体" w:hAnsi="宋体" w:eastAsia="宋体" w:cs="宋体"/>
          <w:sz w:val="24"/>
          <w:highlight w:val="none"/>
        </w:rPr>
        <w:br w:type="page"/>
      </w:r>
    </w:p>
    <w:p>
      <w:pPr>
        <w:spacing w:line="360" w:lineRule="auto"/>
        <w:jc w:val="center"/>
        <w:outlineLvl w:val="1"/>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三</w:t>
      </w:r>
      <w:r>
        <w:rPr>
          <w:rFonts w:hint="eastAsia" w:ascii="宋体" w:hAnsi="宋体" w:eastAsia="宋体" w:cs="宋体"/>
          <w:b/>
          <w:sz w:val="32"/>
          <w:szCs w:val="32"/>
          <w:highlight w:val="none"/>
        </w:rPr>
        <w:t>、谈判方案说明书</w:t>
      </w:r>
    </w:p>
    <w:p>
      <w:pPr>
        <w:rPr>
          <w:rFonts w:hint="eastAsia" w:ascii="宋体" w:hAnsi="宋体" w:eastAsia="宋体" w:cs="宋体"/>
          <w:highlight w:val="none"/>
        </w:rPr>
      </w:pP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文件的要求编制的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方案说明书，</w:t>
      </w:r>
      <w:r>
        <w:rPr>
          <w:rFonts w:hint="eastAsia" w:ascii="宋体" w:hAnsi="宋体" w:eastAsia="宋体" w:cs="宋体"/>
          <w:b/>
          <w:bCs/>
          <w:sz w:val="24"/>
          <w:szCs w:val="24"/>
          <w:highlight w:val="none"/>
        </w:rPr>
        <w:t>内容</w:t>
      </w:r>
      <w:r>
        <w:rPr>
          <w:rFonts w:hint="eastAsia" w:ascii="宋体" w:hAnsi="宋体" w:eastAsia="宋体" w:cs="宋体"/>
          <w:b/>
          <w:sz w:val="24"/>
          <w:szCs w:val="24"/>
          <w:highlight w:val="none"/>
        </w:rPr>
        <w:t>包括如下</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 xml:space="preserve"> 完成项目的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针对本项目的需求提出全面、完整的</w:t>
      </w:r>
      <w:r>
        <w:rPr>
          <w:rFonts w:hint="eastAsia" w:ascii="宋体" w:hAnsi="宋体" w:eastAsia="宋体" w:cs="宋体"/>
          <w:sz w:val="24"/>
          <w:szCs w:val="24"/>
          <w:highlight w:val="none"/>
          <w:lang w:eastAsia="zh-CN"/>
        </w:rPr>
        <w:t>服务和</w:t>
      </w:r>
      <w:r>
        <w:rPr>
          <w:rFonts w:hint="eastAsia" w:ascii="宋体" w:hAnsi="宋体" w:eastAsia="宋体" w:cs="宋体"/>
          <w:sz w:val="24"/>
          <w:szCs w:val="24"/>
          <w:highlight w:val="none"/>
        </w:rPr>
        <w:t>技术方案；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填写</w:t>
      </w:r>
      <w:r>
        <w:rPr>
          <w:rFonts w:hint="eastAsia" w:ascii="宋体" w:hAnsi="宋体" w:eastAsia="宋体" w:cs="宋体"/>
          <w:sz w:val="24"/>
          <w:szCs w:val="24"/>
          <w:highlight w:val="none"/>
          <w:lang w:eastAsia="zh-CN"/>
        </w:rPr>
        <w:t>服务应答</w:t>
      </w:r>
      <w:r>
        <w:rPr>
          <w:rFonts w:hint="eastAsia" w:ascii="宋体" w:hAnsi="宋体" w:eastAsia="宋体" w:cs="宋体"/>
          <w:sz w:val="24"/>
          <w:szCs w:val="24"/>
          <w:highlight w:val="none"/>
        </w:rPr>
        <w:t>表（见附表</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）并提供支持文件，详细、据实说明优于或偏离招标要求的指标（如有）；</w:t>
      </w:r>
    </w:p>
    <w:p>
      <w:pPr>
        <w:kinsoku w:val="0"/>
        <w:spacing w:line="580" w:lineRule="exact"/>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整体组织部署计划及针对本项目的进度计划；</w:t>
      </w:r>
    </w:p>
    <w:p>
      <w:pPr>
        <w:kinsoku w:val="0"/>
        <w:spacing w:line="58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拟为本项目配备的人员（见附表</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p>
    <w:p>
      <w:pPr>
        <w:kinsoku w:val="0"/>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质量保证</w:t>
      </w:r>
      <w:r>
        <w:rPr>
          <w:rFonts w:hint="eastAsia" w:ascii="宋体" w:hAnsi="宋体" w:cs="宋体"/>
          <w:sz w:val="24"/>
          <w:szCs w:val="24"/>
          <w:highlight w:val="none"/>
          <w:lang w:val="en-US" w:eastAsia="zh-CN"/>
        </w:rPr>
        <w:t>和服务</w:t>
      </w:r>
      <w:r>
        <w:rPr>
          <w:rFonts w:hint="eastAsia" w:ascii="宋体" w:hAnsi="宋体" w:eastAsia="宋体" w:cs="宋体"/>
          <w:sz w:val="24"/>
          <w:szCs w:val="24"/>
          <w:highlight w:val="none"/>
          <w:lang w:val="en-US" w:eastAsia="zh-CN"/>
        </w:rPr>
        <w:t>承诺</w:t>
      </w:r>
      <w:r>
        <w:rPr>
          <w:rFonts w:hint="eastAsia" w:ascii="宋体" w:hAnsi="宋体" w:eastAsia="宋体" w:cs="宋体"/>
          <w:sz w:val="24"/>
          <w:szCs w:val="24"/>
          <w:highlight w:val="none"/>
        </w:rPr>
        <w:t>；</w:t>
      </w:r>
    </w:p>
    <w:p>
      <w:pPr>
        <w:kinsoku w:val="0"/>
        <w:spacing w:line="5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认为有必要说明的问题。</w:t>
      </w: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jc w:val="both"/>
        <w:textAlignment w:val="auto"/>
        <w:outlineLvl w:val="9"/>
        <w:rPr>
          <w:rFonts w:hint="eastAsia" w:ascii="宋体" w:hAnsi="宋体" w:eastAsia="宋体" w:cs="宋体"/>
          <w:sz w:val="24"/>
          <w:szCs w:val="24"/>
          <w:highlight w:val="none"/>
          <w:lang w:eastAsia="zh-CN"/>
        </w:rPr>
      </w:pPr>
    </w:p>
    <w:p>
      <w:pPr>
        <w:spacing w:line="280" w:lineRule="exact"/>
        <w:ind w:right="540" w:rightChars="257" w:firstLine="3360" w:firstLineChars="1400"/>
        <w:jc w:val="left"/>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（加盖单位公章）      </w:t>
      </w:r>
    </w:p>
    <w:p>
      <w:pPr>
        <w:spacing w:line="280" w:lineRule="exact"/>
        <w:ind w:right="540" w:rightChars="257"/>
        <w:jc w:val="left"/>
        <w:rPr>
          <w:rFonts w:hint="eastAsia" w:ascii="宋体" w:hAnsi="宋体" w:eastAsia="宋体" w:cs="宋体"/>
          <w:sz w:val="24"/>
          <w:highlight w:val="none"/>
        </w:rPr>
      </w:pPr>
    </w:p>
    <w:p>
      <w:pPr>
        <w:spacing w:line="280" w:lineRule="exact"/>
        <w:ind w:right="540" w:rightChars="257" w:firstLine="3360" w:firstLineChars="1400"/>
        <w:jc w:val="left"/>
        <w:rPr>
          <w:rFonts w:hint="eastAsia" w:ascii="宋体" w:hAnsi="宋体" w:eastAsia="宋体" w:cs="宋体"/>
          <w:sz w:val="24"/>
          <w:highlight w:val="none"/>
        </w:rPr>
      </w:pPr>
      <w:r>
        <w:rPr>
          <w:rFonts w:hint="eastAsia" w:ascii="宋体" w:hAnsi="宋体" w:eastAsia="宋体" w:cs="宋体"/>
          <w:sz w:val="24"/>
          <w:highlight w:val="none"/>
          <w:lang w:eastAsia="zh-CN"/>
        </w:rPr>
        <w:t>法定代表人</w:t>
      </w:r>
      <w:r>
        <w:rPr>
          <w:rFonts w:hint="eastAsia" w:ascii="宋体" w:hAnsi="宋体" w:eastAsia="宋体" w:cs="宋体"/>
          <w:sz w:val="24"/>
          <w:highlight w:val="none"/>
          <w:lang w:val="en-US" w:eastAsia="zh-CN"/>
        </w:rPr>
        <w:t>或</w:t>
      </w:r>
      <w:r>
        <w:rPr>
          <w:rFonts w:hint="eastAsia" w:ascii="宋体" w:hAnsi="宋体" w:eastAsia="宋体" w:cs="宋体"/>
          <w:sz w:val="24"/>
          <w:highlight w:val="none"/>
          <w:lang w:eastAsia="zh-CN"/>
        </w:rPr>
        <w:t>被授权人</w:t>
      </w: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签字</w:t>
      </w:r>
      <w:r>
        <w:rPr>
          <w:rFonts w:hint="eastAsia" w:ascii="宋体" w:hAnsi="宋体" w:eastAsia="宋体" w:cs="宋体"/>
          <w:sz w:val="24"/>
          <w:highlight w:val="none"/>
          <w:lang w:eastAsia="zh-CN"/>
        </w:rPr>
        <w:t>或盖章</w:t>
      </w:r>
      <w:r>
        <w:rPr>
          <w:rFonts w:hint="eastAsia" w:ascii="宋体" w:hAnsi="宋体" w:eastAsia="宋体" w:cs="宋体"/>
          <w:sz w:val="24"/>
          <w:highlight w:val="none"/>
          <w:lang w:val="en-US" w:eastAsia="zh-CN"/>
        </w:rPr>
        <w:t>）</w:t>
      </w:r>
    </w:p>
    <w:p>
      <w:pPr>
        <w:spacing w:line="280" w:lineRule="exact"/>
        <w:ind w:right="540" w:rightChars="257"/>
        <w:jc w:val="left"/>
        <w:rPr>
          <w:rFonts w:hint="eastAsia" w:ascii="宋体" w:hAnsi="宋体" w:eastAsia="宋体" w:cs="宋体"/>
          <w:sz w:val="24"/>
          <w:highlight w:val="none"/>
        </w:rPr>
      </w:pPr>
    </w:p>
    <w:p>
      <w:pPr>
        <w:keepNext w:val="0"/>
        <w:keepLines w:val="0"/>
        <w:pageBreakBefore w:val="0"/>
        <w:widowControl w:val="0"/>
        <w:wordWrap/>
        <w:overflowPunct/>
        <w:topLinePunct w:val="0"/>
        <w:autoSpaceDE/>
        <w:autoSpaceDN/>
        <w:bidi w:val="0"/>
        <w:adjustRightInd/>
        <w:snapToGrid/>
        <w:spacing w:line="480" w:lineRule="exact"/>
        <w:ind w:left="3259" w:leftChars="1552" w:right="0" w:rightChars="0" w:firstLine="240" w:firstLineChars="100"/>
        <w:jc w:val="both"/>
        <w:textAlignment w:val="auto"/>
        <w:outlineLvl w:val="9"/>
        <w:rPr>
          <w:rFonts w:hint="eastAsia" w:ascii="宋体" w:hAnsi="宋体" w:eastAsia="宋体" w:cs="宋体"/>
          <w:sz w:val="24"/>
          <w:szCs w:val="24"/>
          <w:highlight w:val="none"/>
        </w:rPr>
      </w:pPr>
      <w:r>
        <w:rPr>
          <w:rFonts w:hint="eastAsia" w:ascii="宋体" w:hAnsi="宋体" w:eastAsia="宋体" w:cs="宋体"/>
          <w:sz w:val="24"/>
          <w:highlight w:val="none"/>
        </w:rPr>
        <w:t>日    期：</w:t>
      </w:r>
    </w:p>
    <w:p>
      <w:pPr>
        <w:spacing w:after="120"/>
        <w:outlineLvl w:val="2"/>
        <w:rPr>
          <w:rFonts w:hint="eastAsia" w:ascii="宋体" w:hAnsi="宋体" w:eastAsia="宋体" w:cs="宋体"/>
          <w:b/>
          <w:sz w:val="24"/>
          <w:szCs w:val="24"/>
          <w:highlight w:val="none"/>
        </w:rPr>
      </w:pPr>
      <w:r>
        <w:rPr>
          <w:rFonts w:hint="eastAsia" w:ascii="宋体" w:hAnsi="宋体" w:eastAsia="宋体" w:cs="宋体"/>
          <w:b/>
          <w:sz w:val="36"/>
          <w:highlight w:val="none"/>
        </w:rPr>
        <w:br w:type="page"/>
      </w:r>
      <w:r>
        <w:rPr>
          <w:rFonts w:hint="eastAsia" w:ascii="宋体" w:hAnsi="宋体" w:eastAsia="宋体" w:cs="宋体"/>
          <w:b/>
          <w:sz w:val="24"/>
          <w:szCs w:val="24"/>
          <w:highlight w:val="none"/>
        </w:rPr>
        <w:t>附表1：</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服务应答表</w:t>
      </w:r>
    </w:p>
    <w:p>
      <w:pPr>
        <w:spacing w:after="120"/>
        <w:ind w:firstLine="120" w:firstLineChars="5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项目名称：</w:t>
      </w:r>
    </w:p>
    <w:p>
      <w:pPr>
        <w:spacing w:after="120"/>
        <w:ind w:firstLine="120" w:firstLineChars="50"/>
        <w:rPr>
          <w:rFonts w:hint="eastAsia" w:ascii="宋体" w:hAnsi="宋体" w:eastAsia="宋体" w:cs="宋体"/>
          <w:b/>
          <w:bCs/>
          <w:sz w:val="24"/>
          <w:szCs w:val="24"/>
          <w:highlight w:val="none"/>
        </w:rPr>
      </w:pPr>
      <w:r>
        <w:rPr>
          <w:rFonts w:hint="eastAsia" w:ascii="宋体" w:hAnsi="宋体" w:eastAsia="宋体" w:cs="宋体"/>
          <w:b w:val="0"/>
          <w:bCs w:val="0"/>
          <w:sz w:val="24"/>
          <w:szCs w:val="24"/>
          <w:highlight w:val="none"/>
        </w:rPr>
        <w:t>项目编号：</w:t>
      </w:r>
      <w:r>
        <w:rPr>
          <w:rFonts w:hint="eastAsia" w:ascii="宋体" w:hAnsi="宋体" w:eastAsia="宋体" w:cs="宋体"/>
          <w:b/>
          <w:bCs/>
          <w:sz w:val="24"/>
          <w:szCs w:val="24"/>
          <w:highlight w:val="none"/>
        </w:rPr>
        <w:t xml:space="preserve"> </w:t>
      </w:r>
    </w:p>
    <w:tbl>
      <w:tblPr>
        <w:tblStyle w:val="28"/>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0"/>
            <w:vAlign w:val="center"/>
          </w:tcPr>
          <w:p>
            <w:pPr>
              <w:pStyle w:val="6"/>
              <w:tabs>
                <w:tab w:val="left" w:pos="6880"/>
              </w:tabs>
              <w:spacing w:line="360" w:lineRule="auto"/>
              <w:ind w:firstLine="0" w:firstLineChars="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序号</w:t>
            </w:r>
          </w:p>
        </w:tc>
        <w:tc>
          <w:tcPr>
            <w:tcW w:w="2519"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w:t>
            </w:r>
            <w:r>
              <w:rPr>
                <w:rFonts w:hint="eastAsia" w:ascii="宋体" w:hAnsi="宋体" w:eastAsia="宋体" w:cs="宋体"/>
                <w:kern w:val="0"/>
                <w:sz w:val="24"/>
                <w:szCs w:val="24"/>
                <w:highlight w:val="none"/>
              </w:rPr>
              <w:t>文件要求</w:t>
            </w:r>
          </w:p>
        </w:tc>
        <w:tc>
          <w:tcPr>
            <w:tcW w:w="2393" w:type="dxa"/>
            <w:noWrap w:val="0"/>
            <w:vAlign w:val="center"/>
          </w:tcPr>
          <w:p>
            <w:pPr>
              <w:pStyle w:val="6"/>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谈判响应</w:t>
            </w:r>
            <w:r>
              <w:rPr>
                <w:rFonts w:hint="eastAsia" w:ascii="宋体" w:hAnsi="宋体" w:eastAsia="宋体" w:cs="宋体"/>
                <w:kern w:val="0"/>
                <w:sz w:val="24"/>
                <w:szCs w:val="24"/>
                <w:highlight w:val="none"/>
              </w:rPr>
              <w:t>文件</w:t>
            </w:r>
          </w:p>
          <w:p>
            <w:pPr>
              <w:pStyle w:val="6"/>
              <w:tabs>
                <w:tab w:val="left" w:pos="6880"/>
              </w:tabs>
              <w:spacing w:line="360" w:lineRule="auto"/>
              <w:ind w:firstLine="120" w:firstLineChars="5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的应答</w:t>
            </w:r>
          </w:p>
        </w:tc>
        <w:tc>
          <w:tcPr>
            <w:tcW w:w="1815"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响应/偏离</w:t>
            </w:r>
          </w:p>
        </w:tc>
        <w:tc>
          <w:tcPr>
            <w:tcW w:w="1238" w:type="dxa"/>
            <w:noWrap w:val="0"/>
            <w:vAlign w:val="center"/>
          </w:tcPr>
          <w:p>
            <w:pPr>
              <w:pStyle w:val="6"/>
              <w:tabs>
                <w:tab w:val="left" w:pos="6880"/>
              </w:tabs>
              <w:spacing w:line="360" w:lineRule="auto"/>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left="-108" w:firstLine="0" w:firstLineChars="0"/>
              <w:jc w:val="center"/>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0"/>
            <w:vAlign w:val="center"/>
          </w:tcPr>
          <w:p>
            <w:pPr>
              <w:pStyle w:val="6"/>
              <w:tabs>
                <w:tab w:val="left" w:pos="34"/>
              </w:tabs>
              <w:spacing w:line="360" w:lineRule="auto"/>
              <w:ind w:firstLine="120" w:firstLineChars="50"/>
              <w:rPr>
                <w:rFonts w:hint="eastAsia" w:ascii="宋体" w:hAnsi="宋体" w:eastAsia="宋体" w:cs="宋体"/>
                <w:kern w:val="0"/>
                <w:sz w:val="24"/>
                <w:szCs w:val="24"/>
                <w:highlight w:val="none"/>
              </w:rPr>
            </w:pPr>
          </w:p>
        </w:tc>
        <w:tc>
          <w:tcPr>
            <w:tcW w:w="2519"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2393"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815"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c>
          <w:tcPr>
            <w:tcW w:w="1238" w:type="dxa"/>
            <w:noWrap w:val="0"/>
            <w:vAlign w:val="center"/>
          </w:tcPr>
          <w:p>
            <w:pPr>
              <w:pStyle w:val="6"/>
              <w:tabs>
                <w:tab w:val="left" w:pos="6880"/>
              </w:tabs>
              <w:spacing w:line="360" w:lineRule="auto"/>
              <w:ind w:firstLine="480"/>
              <w:rPr>
                <w:rFonts w:hint="eastAsia" w:ascii="宋体" w:hAnsi="宋体" w:eastAsia="宋体" w:cs="宋体"/>
                <w:kern w:val="0"/>
                <w:sz w:val="24"/>
                <w:szCs w:val="24"/>
                <w:highlight w:val="none"/>
              </w:rPr>
            </w:pPr>
          </w:p>
        </w:tc>
      </w:tr>
    </w:tbl>
    <w:p>
      <w:pPr>
        <w:spacing w:after="120"/>
        <w:ind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u w:val="single"/>
        </w:rPr>
        <w:t xml:space="preserve">      （加盖单位公章）      </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280" w:lineRule="exact"/>
        <w:ind w:right="540" w:rightChars="257"/>
        <w:jc w:val="left"/>
        <w:rPr>
          <w:rFonts w:hint="eastAsia" w:ascii="宋体" w:hAnsi="宋体" w:eastAsia="宋体" w:cs="宋体"/>
          <w:sz w:val="24"/>
          <w:szCs w:val="24"/>
          <w:highlight w:val="none"/>
        </w:rPr>
      </w:pPr>
    </w:p>
    <w:p>
      <w:pPr>
        <w:spacing w:line="280" w:lineRule="exact"/>
        <w:ind w:right="540" w:rightChars="257"/>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pPr>
        <w:spacing w:line="400" w:lineRule="exact"/>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500" w:lineRule="exact"/>
        <w:ind w:left="600" w:leftChars="57" w:hanging="480" w:hanging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必须将</w:t>
      </w:r>
      <w:r>
        <w:rPr>
          <w:rFonts w:hint="eastAsia" w:ascii="宋体" w:hAnsi="宋体" w:eastAsia="宋体" w:cs="宋体"/>
          <w:b/>
          <w:bCs/>
          <w:color w:val="auto"/>
          <w:sz w:val="24"/>
          <w:szCs w:val="24"/>
          <w:highlight w:val="none"/>
          <w:lang w:eastAsia="zh-CN"/>
        </w:rPr>
        <w:t>谈判文件</w:t>
      </w:r>
      <w:r>
        <w:rPr>
          <w:rFonts w:hint="eastAsia" w:ascii="宋体" w:hAnsi="宋体" w:eastAsia="宋体" w:cs="宋体"/>
          <w:b/>
          <w:bCs/>
          <w:color w:val="auto"/>
          <w:sz w:val="24"/>
          <w:szCs w:val="24"/>
          <w:highlight w:val="none"/>
        </w:rPr>
        <w:t>中第四章</w:t>
      </w:r>
      <w:r>
        <w:rPr>
          <w:rFonts w:hint="eastAsia" w:ascii="宋体" w:hAnsi="宋体" w:eastAsia="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内容及</w:t>
      </w: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rPr>
        <w:t>要求</w:t>
      </w:r>
      <w:r>
        <w:rPr>
          <w:rFonts w:hint="eastAsia" w:ascii="宋体" w:hAnsi="宋体" w:eastAsia="宋体" w:cs="宋体"/>
          <w:sz w:val="24"/>
          <w:szCs w:val="24"/>
          <w:highlight w:val="none"/>
        </w:rPr>
        <w:t>的全部内容和标准要求事项列入此表。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2．按照服务要求的顺序对应填写。</w:t>
      </w:r>
    </w:p>
    <w:p>
      <w:pPr>
        <w:keepNext w:val="0"/>
        <w:keepLines w:val="0"/>
        <w:pageBreakBefore w:val="0"/>
        <w:widowControl w:val="0"/>
        <w:tabs>
          <w:tab w:val="left" w:pos="668"/>
        </w:tabs>
        <w:kinsoku/>
        <w:wordWrap/>
        <w:overflowPunct/>
        <w:topLinePunct w:val="0"/>
        <w:autoSpaceDE/>
        <w:autoSpaceDN/>
        <w:bidi w:val="0"/>
        <w:adjustRightInd/>
        <w:snapToGrid/>
        <w:spacing w:line="500" w:lineRule="exact"/>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必须据实填写，不得虚假填写，否则将取消其</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pPr>
        <w:spacing w:line="440" w:lineRule="exact"/>
        <w:jc w:val="center"/>
        <w:rPr>
          <w:rFonts w:hint="eastAsia" w:ascii="宋体" w:hAnsi="宋体" w:eastAsia="宋体" w:cs="宋体"/>
          <w:sz w:val="24"/>
          <w:szCs w:val="24"/>
          <w:highlight w:val="none"/>
        </w:rPr>
      </w:pPr>
    </w:p>
    <w:p>
      <w:pPr>
        <w:spacing w:after="120"/>
        <w:rPr>
          <w:rFonts w:hint="eastAsia" w:ascii="宋体" w:hAnsi="宋体" w:eastAsia="宋体" w:cs="宋体"/>
          <w:b/>
          <w:sz w:val="24"/>
          <w:szCs w:val="24"/>
          <w:highlight w:val="none"/>
        </w:rPr>
      </w:pPr>
      <w:bookmarkStart w:id="62" w:name="_Toc225415860"/>
      <w:bookmarkStart w:id="63" w:name="_Toc341541375"/>
      <w:bookmarkStart w:id="64" w:name="_Toc225566701"/>
      <w:bookmarkStart w:id="65" w:name="_Toc225415659"/>
      <w:bookmarkStart w:id="66" w:name="_Toc396304713"/>
      <w:bookmarkStart w:id="67" w:name="_Toc225566882"/>
      <w:bookmarkStart w:id="68" w:name="_Toc225412373"/>
      <w:bookmarkStart w:id="69" w:name="_Toc225410807"/>
      <w:bookmarkStart w:id="70" w:name="_Toc225412171"/>
      <w:bookmarkStart w:id="71" w:name="_Toc225567481"/>
      <w:bookmarkStart w:id="72" w:name="_Toc225410181"/>
      <w:bookmarkStart w:id="73" w:name="_Toc225409965"/>
      <w:bookmarkStart w:id="74" w:name="_Toc225416061"/>
    </w:p>
    <w:p>
      <w:pPr>
        <w:spacing w:after="120"/>
        <w:outlineLvl w:val="2"/>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 xml:space="preserve">附表2 </w:t>
      </w:r>
      <w:r>
        <w:rPr>
          <w:rFonts w:hint="eastAsia" w:ascii="宋体" w:hAnsi="宋体" w:eastAsia="宋体" w:cs="宋体"/>
          <w:b/>
          <w:sz w:val="24"/>
          <w:szCs w:val="24"/>
          <w:highlight w:val="none"/>
          <w:lang w:val="en-US" w:eastAsia="zh-CN"/>
        </w:rPr>
        <w:t>:</w:t>
      </w:r>
    </w:p>
    <w:p>
      <w:pPr>
        <w:spacing w:after="120"/>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本项目拟投入人员汇总表</w:t>
      </w:r>
      <w:bookmarkEnd w:id="62"/>
      <w:bookmarkEnd w:id="63"/>
      <w:bookmarkEnd w:id="64"/>
      <w:bookmarkEnd w:id="65"/>
      <w:bookmarkEnd w:id="66"/>
      <w:bookmarkEnd w:id="67"/>
      <w:bookmarkEnd w:id="68"/>
      <w:bookmarkEnd w:id="69"/>
      <w:bookmarkEnd w:id="70"/>
      <w:bookmarkEnd w:id="71"/>
      <w:bookmarkEnd w:id="72"/>
      <w:bookmarkEnd w:id="73"/>
      <w:bookmarkEnd w:id="74"/>
    </w:p>
    <w:p>
      <w:pPr>
        <w:rPr>
          <w:rFonts w:hint="eastAsia"/>
          <w:highlight w:val="none"/>
        </w:rPr>
      </w:pPr>
    </w:p>
    <w:p>
      <w:pPr>
        <w:pStyle w:val="71"/>
        <w:ind w:firstLine="0" w:firstLineChars="0"/>
        <w:jc w:val="center"/>
        <w:outlineLvl w:val="9"/>
        <w:rPr>
          <w:rFonts w:hint="eastAsia" w:ascii="宋体" w:hAnsi="宋体" w:eastAsia="宋体" w:cs="宋体"/>
          <w:color w:val="auto"/>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525"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姓  名</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性别</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年龄</w:t>
            </w:r>
          </w:p>
        </w:tc>
        <w:tc>
          <w:tcPr>
            <w:tcW w:w="701"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学历</w:t>
            </w:r>
          </w:p>
        </w:tc>
        <w:tc>
          <w:tcPr>
            <w:tcW w:w="920"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工作</w:t>
            </w:r>
          </w:p>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年限</w:t>
            </w:r>
          </w:p>
        </w:tc>
        <w:tc>
          <w:tcPr>
            <w:tcW w:w="2309"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拟担任的职务</w:t>
            </w:r>
          </w:p>
        </w:tc>
        <w:tc>
          <w:tcPr>
            <w:tcW w:w="836" w:type="dxa"/>
            <w:noWrap w:val="0"/>
            <w:tcMar>
              <w:top w:w="15" w:type="dxa"/>
              <w:left w:w="15" w:type="dxa"/>
              <w:bottom w:w="0" w:type="dxa"/>
              <w:right w:w="15" w:type="dxa"/>
            </w:tcMar>
            <w:vAlign w:val="center"/>
          </w:tcPr>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岗位</w:t>
            </w:r>
          </w:p>
          <w:p>
            <w:pPr>
              <w:pStyle w:val="64"/>
              <w:spacing w:line="400" w:lineRule="exact"/>
              <w:ind w:left="0" w:lef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68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1525"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701"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920"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2309"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c>
          <w:tcPr>
            <w:tcW w:w="836" w:type="dxa"/>
            <w:noWrap w:val="0"/>
            <w:tcMar>
              <w:top w:w="15" w:type="dxa"/>
              <w:left w:w="15" w:type="dxa"/>
              <w:bottom w:w="0" w:type="dxa"/>
              <w:right w:w="15" w:type="dxa"/>
            </w:tcMar>
            <w:vAlign w:val="bottom"/>
          </w:tcPr>
          <w:p>
            <w:pPr>
              <w:pStyle w:val="64"/>
              <w:spacing w:line="400" w:lineRule="exact"/>
              <w:ind w:left="0" w:leftChars="0" w:firstLine="480" w:firstLineChars="200"/>
              <w:jc w:val="both"/>
              <w:rPr>
                <w:rFonts w:hint="eastAsia" w:ascii="宋体" w:hAnsi="宋体" w:eastAsia="宋体" w:cs="宋体"/>
                <w:sz w:val="24"/>
                <w:szCs w:val="24"/>
                <w:highlight w:val="none"/>
              </w:rPr>
            </w:pPr>
          </w:p>
        </w:tc>
      </w:tr>
    </w:tbl>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注：1.“岗位情况”须注明该人在本单位是在岗、返聘还是外聘。</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可适当调整该表格式，但不得减少信息内容。</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应书面承诺</w:t>
      </w:r>
      <w:r>
        <w:rPr>
          <w:rFonts w:hint="eastAsia" w:ascii="宋体" w:hAnsi="宋体" w:eastAsia="宋体" w:cs="宋体"/>
          <w:color w:val="auto"/>
          <w:sz w:val="24"/>
          <w:szCs w:val="24"/>
          <w:highlight w:val="none"/>
          <w:lang w:eastAsia="zh-CN"/>
        </w:rPr>
        <w:t>谈判响应文件</w:t>
      </w:r>
      <w:r>
        <w:rPr>
          <w:rFonts w:hint="eastAsia" w:ascii="宋体" w:hAnsi="宋体" w:eastAsia="宋体" w:cs="宋体"/>
          <w:color w:val="auto"/>
          <w:sz w:val="24"/>
          <w:szCs w:val="24"/>
          <w:highlight w:val="none"/>
        </w:rPr>
        <w:t>中人员的真实性。</w:t>
      </w:r>
    </w:p>
    <w:p>
      <w:pPr>
        <w:pStyle w:val="69"/>
        <w:keepNext w:val="0"/>
        <w:keepLines w:val="0"/>
        <w:pageBreakBefore w:val="0"/>
        <w:widowControl w:val="0"/>
        <w:tabs>
          <w:tab w:val="left" w:pos="2040"/>
        </w:tabs>
        <w:kinsoku/>
        <w:wordWrap/>
        <w:overflowPunct/>
        <w:topLinePunct w:val="0"/>
        <w:autoSpaceDE/>
        <w:autoSpaceDN/>
        <w:bidi w:val="0"/>
        <w:adjustRightInd w:val="0"/>
        <w:snapToGrid w:val="0"/>
        <w:spacing w:beforeLines="0" w:line="500" w:lineRule="exact"/>
        <w:ind w:left="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4、未书面承诺</w:t>
      </w:r>
      <w:r>
        <w:rPr>
          <w:rFonts w:hint="eastAsia" w:ascii="宋体" w:hAnsi="宋体" w:eastAsia="宋体" w:cs="宋体"/>
          <w:color w:val="auto"/>
          <w:sz w:val="24"/>
          <w:szCs w:val="24"/>
          <w:highlight w:val="none"/>
          <w:lang w:eastAsia="zh-CN"/>
        </w:rPr>
        <w:t>谈判响应</w:t>
      </w:r>
      <w:r>
        <w:rPr>
          <w:rFonts w:hint="eastAsia" w:ascii="宋体" w:hAnsi="宋体" w:eastAsia="宋体" w:cs="宋体"/>
          <w:color w:val="auto"/>
          <w:sz w:val="24"/>
          <w:szCs w:val="24"/>
          <w:highlight w:val="none"/>
        </w:rPr>
        <w:t>文件中人员真实性的材料视为无效材料。</w:t>
      </w:r>
    </w:p>
    <w:p>
      <w:pPr>
        <w:pStyle w:val="71"/>
        <w:spacing w:line="400" w:lineRule="exact"/>
        <w:ind w:firstLine="0" w:firstLineChars="0"/>
        <w:jc w:val="center"/>
        <w:outlineLvl w:val="9"/>
        <w:rPr>
          <w:rFonts w:hint="eastAsia" w:ascii="宋体" w:hAnsi="宋体" w:eastAsia="宋体" w:cs="宋体"/>
          <w:color w:val="auto"/>
          <w:sz w:val="24"/>
          <w:szCs w:val="24"/>
          <w:highlight w:val="none"/>
        </w:rPr>
      </w:pPr>
      <w:bookmarkStart w:id="75" w:name="_Toc225566702"/>
      <w:bookmarkStart w:id="76" w:name="_Toc225410808"/>
      <w:bookmarkStart w:id="77" w:name="_Toc341541376"/>
      <w:bookmarkStart w:id="78" w:name="_Toc225415660"/>
      <w:bookmarkStart w:id="79" w:name="_Toc396304715"/>
      <w:bookmarkStart w:id="80" w:name="_Toc225412172"/>
      <w:bookmarkStart w:id="81" w:name="_Toc225567482"/>
      <w:bookmarkStart w:id="82" w:name="_Toc403077653"/>
      <w:bookmarkStart w:id="83" w:name="_Toc225409966"/>
      <w:bookmarkStart w:id="84" w:name="_Toc225415861"/>
      <w:bookmarkStart w:id="85" w:name="_Toc225566883"/>
      <w:bookmarkStart w:id="86" w:name="_Toc225410182"/>
      <w:bookmarkStart w:id="87" w:name="_Toc426457711"/>
      <w:bookmarkStart w:id="88" w:name="_Toc225412374"/>
      <w:bookmarkStart w:id="89" w:name="_Toc225416062"/>
    </w:p>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Pr>
        <w:pStyle w:val="5"/>
        <w:keepNext/>
        <w:keepLines/>
        <w:pageBreakBefore w:val="0"/>
        <w:widowControl w:val="0"/>
        <w:kinsoku/>
        <w:wordWrap/>
        <w:overflowPunct/>
        <w:topLinePunct w:val="0"/>
        <w:autoSpaceDE/>
        <w:autoSpaceDN/>
        <w:bidi w:val="0"/>
        <w:adjustRightInd/>
        <w:snapToGrid/>
        <w:spacing w:before="430" w:beforeLines="150" w:line="416" w:lineRule="auto"/>
        <w:jc w:val="center"/>
        <w:textAlignment w:val="auto"/>
        <w:outlineLvl w:val="1"/>
        <w:rPr>
          <w:rFonts w:hint="eastAsia" w:ascii="宋体" w:hAnsi="宋体" w:eastAsia="宋体" w:cs="宋体"/>
          <w:sz w:val="32"/>
          <w:szCs w:val="32"/>
          <w:highlight w:val="none"/>
        </w:rPr>
      </w:pPr>
      <w:bookmarkStart w:id="90" w:name="_Toc9218"/>
      <w:bookmarkStart w:id="91" w:name="_Toc1379"/>
      <w:bookmarkStart w:id="92" w:name="_Toc2621"/>
      <w:bookmarkStart w:id="93" w:name="_Toc23455"/>
      <w:bookmarkStart w:id="94" w:name="_Toc21284"/>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w:t>
      </w:r>
      <w:bookmarkEnd w:id="90"/>
      <w:bookmarkEnd w:id="91"/>
      <w:bookmarkEnd w:id="92"/>
      <w:bookmarkEnd w:id="93"/>
      <w:bookmarkEnd w:id="94"/>
      <w:r>
        <w:rPr>
          <w:rFonts w:hint="eastAsia" w:ascii="宋体" w:hAnsi="宋体" w:eastAsia="宋体" w:cs="宋体"/>
          <w:sz w:val="32"/>
          <w:szCs w:val="32"/>
          <w:highlight w:val="none"/>
          <w:lang w:val="en-US" w:eastAsia="zh-CN"/>
        </w:rPr>
        <w:t>商务条款偏离表</w:t>
      </w:r>
    </w:p>
    <w:p>
      <w:pPr>
        <w:pStyle w:val="25"/>
        <w:keepNext w:val="0"/>
        <w:keepLines w:val="0"/>
        <w:widowControl w:val="0"/>
        <w:suppressLineNumbers w:val="0"/>
        <w:spacing w:before="0" w:beforeAutospacing="0" w:after="0" w:afterAutospacing="0"/>
        <w:ind w:right="0"/>
        <w:jc w:val="both"/>
        <w:rPr>
          <w:rFonts w:hint="eastAsia" w:ascii="宋体" w:hAnsi="宋体" w:eastAsia="宋体" w:cs="宋体"/>
          <w:highlight w:val="none"/>
          <w:lang w:val="en-US"/>
        </w:rPr>
      </w:pPr>
    </w:p>
    <w:p>
      <w:pPr>
        <w:pStyle w:val="25"/>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项目编号：</w:t>
      </w:r>
    </w:p>
    <w:p>
      <w:pPr>
        <w:pStyle w:val="25"/>
        <w:keepNext w:val="0"/>
        <w:keepLines w:val="0"/>
        <w:pageBreakBefore w:val="0"/>
        <w:widowControl w:val="0"/>
        <w:suppressLineNumbers w:val="0"/>
        <w:kinsoku/>
        <w:wordWrap/>
        <w:overflowPunct/>
        <w:topLinePunct w:val="0"/>
        <w:autoSpaceDE/>
        <w:autoSpaceDN/>
        <w:bidi w:val="0"/>
        <w:adjustRightInd/>
        <w:snapToGrid/>
        <w:spacing w:before="165" w:beforeLines="50" w:beforeAutospacing="0" w:after="165" w:afterLines="50" w:afterAutospacing="0"/>
        <w:ind w:right="0"/>
        <w:jc w:val="left"/>
        <w:textAlignment w:val="auto"/>
        <w:outlineLvl w:val="9"/>
        <w:rPr>
          <w:rFonts w:hint="eastAsia" w:ascii="宋体" w:hAnsi="宋体" w:eastAsia="宋体" w:cs="宋体"/>
          <w:highlight w:val="none"/>
          <w:u w:val="single"/>
          <w:lang w:val="en-US" w:eastAsia="zh-CN"/>
        </w:rPr>
      </w:pPr>
      <w:r>
        <w:rPr>
          <w:rFonts w:hint="eastAsia" w:ascii="宋体" w:hAnsi="宋体" w:eastAsia="宋体" w:cs="宋体"/>
          <w:highlight w:val="none"/>
          <w:lang w:val="en-US" w:eastAsia="zh-CN"/>
        </w:rPr>
        <w:t>项目名称：</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82"/>
        <w:gridCol w:w="2385"/>
        <w:gridCol w:w="14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序号</w:t>
            </w: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谈判文件的商务条款</w:t>
            </w: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谈判响应文件的商务条款</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偏离</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right="0"/>
              <w:jc w:val="center"/>
              <w:rPr>
                <w:rFonts w:hint="eastAsia" w:ascii="宋体" w:hAnsi="宋体" w:eastAsia="宋体" w:cs="宋体"/>
                <w:highlight w:val="none"/>
                <w:lang w:val="en-US"/>
              </w:rPr>
            </w:pPr>
            <w:r>
              <w:rPr>
                <w:rFonts w:hint="eastAsia" w:ascii="宋体" w:hAnsi="宋体" w:eastAsia="宋体" w:cs="宋体"/>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1009"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28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2385"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441"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tc>
      </w:tr>
    </w:tbl>
    <w:p>
      <w:pPr>
        <w:pStyle w:val="25"/>
        <w:keepNext w:val="0"/>
        <w:keepLines w:val="0"/>
        <w:widowControl w:val="0"/>
        <w:suppressLineNumbers w:val="0"/>
        <w:spacing w:before="0" w:beforeAutospacing="0" w:after="0" w:afterAutospacing="0"/>
        <w:ind w:right="0"/>
        <w:jc w:val="left"/>
        <w:rPr>
          <w:rFonts w:hint="eastAsia" w:ascii="宋体" w:hAnsi="宋体" w:eastAsia="宋体" w:cs="宋体"/>
          <w:highlight w:val="none"/>
          <w:lang w:val="en-US"/>
        </w:rPr>
      </w:pPr>
      <w:r>
        <w:rPr>
          <w:rFonts w:hint="eastAsia" w:ascii="宋体" w:hAnsi="宋体" w:eastAsia="宋体" w:cs="宋体"/>
          <w:highlight w:val="none"/>
          <w:lang w:val="en-US"/>
        </w:rPr>
        <w:t>说明：</w:t>
      </w:r>
    </w:p>
    <w:p>
      <w:pPr>
        <w:pStyle w:val="25"/>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1.本表只填写</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文件有偏离（包括正偏离和负偏离）的内容，</w:t>
      </w:r>
      <w:r>
        <w:rPr>
          <w:rFonts w:hint="eastAsia" w:ascii="宋体" w:hAnsi="宋体" w:eastAsia="宋体" w:cs="宋体"/>
          <w:highlight w:val="none"/>
          <w:lang w:val="en-US" w:eastAsia="zh-CN"/>
        </w:rPr>
        <w:t>谈判响应</w:t>
      </w:r>
      <w:r>
        <w:rPr>
          <w:rFonts w:hint="eastAsia" w:ascii="宋体" w:hAnsi="宋体" w:eastAsia="宋体" w:cs="宋体"/>
          <w:highlight w:val="none"/>
          <w:lang w:val="en-US"/>
        </w:rPr>
        <w:t>文件中</w:t>
      </w:r>
      <w:r>
        <w:rPr>
          <w:rFonts w:hint="eastAsia" w:ascii="宋体" w:hAnsi="宋体" w:eastAsia="宋体" w:cs="宋体"/>
          <w:b/>
          <w:bCs/>
          <w:highlight w:val="none"/>
          <w:lang w:val="en-US"/>
        </w:rPr>
        <w:t>商务响应</w:t>
      </w:r>
      <w:r>
        <w:rPr>
          <w:rFonts w:hint="eastAsia" w:ascii="宋体" w:hAnsi="宋体" w:cs="宋体"/>
          <w:b/>
          <w:bCs/>
          <w:color w:val="auto"/>
          <w:sz w:val="24"/>
          <w:szCs w:val="24"/>
          <w:highlight w:val="none"/>
          <w:lang w:val="en-US" w:eastAsia="zh-CN"/>
        </w:rPr>
        <w:t>及谈判文件中第三章合同前附表</w:t>
      </w:r>
      <w:r>
        <w:rPr>
          <w:rFonts w:hint="eastAsia" w:ascii="宋体" w:hAnsi="宋体" w:eastAsia="宋体" w:cs="宋体"/>
          <w:highlight w:val="none"/>
          <w:lang w:val="en-US"/>
        </w:rPr>
        <w:t>与</w:t>
      </w:r>
      <w:r>
        <w:rPr>
          <w:rFonts w:hint="eastAsia" w:ascii="宋体" w:hAnsi="宋体" w:eastAsia="宋体" w:cs="宋体"/>
          <w:highlight w:val="none"/>
          <w:lang w:val="en-US" w:eastAsia="zh-CN"/>
        </w:rPr>
        <w:t>谈判</w:t>
      </w:r>
      <w:r>
        <w:rPr>
          <w:rFonts w:hint="eastAsia" w:ascii="宋体" w:hAnsi="宋体" w:eastAsia="宋体" w:cs="宋体"/>
          <w:highlight w:val="none"/>
          <w:lang w:val="en-US"/>
        </w:rPr>
        <w:t>文件要求完全一致的，不用在此表中列出，但必须提交空白表。</w:t>
      </w:r>
    </w:p>
    <w:p>
      <w:pPr>
        <w:pStyle w:val="25"/>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highlight w:val="none"/>
          <w:lang w:val="en-US"/>
        </w:rPr>
      </w:pPr>
      <w:r>
        <w:rPr>
          <w:rFonts w:hint="eastAsia" w:ascii="宋体" w:hAnsi="宋体" w:eastAsia="宋体" w:cs="宋体"/>
          <w:highlight w:val="none"/>
          <w:lang w:val="en-US"/>
        </w:rPr>
        <w:t>2.</w:t>
      </w:r>
      <w:r>
        <w:rPr>
          <w:rFonts w:hint="eastAsia" w:ascii="宋体" w:hAnsi="宋体" w:eastAsia="宋体" w:cs="宋体"/>
          <w:highlight w:val="none"/>
          <w:lang w:val="en-US" w:eastAsia="zh-CN"/>
        </w:rPr>
        <w:t>供应商</w:t>
      </w:r>
      <w:r>
        <w:rPr>
          <w:rFonts w:hint="eastAsia" w:ascii="宋体" w:hAnsi="宋体" w:eastAsia="宋体" w:cs="宋体"/>
          <w:highlight w:val="none"/>
          <w:lang w:val="en-US"/>
        </w:rPr>
        <w:t>必须据实填写，不得虚假响应，否则将取消其</w:t>
      </w:r>
      <w:r>
        <w:rPr>
          <w:rFonts w:hint="eastAsia" w:ascii="宋体" w:hAnsi="宋体" w:eastAsia="宋体" w:cs="宋体"/>
          <w:highlight w:val="none"/>
          <w:lang w:val="en-US" w:eastAsia="zh-CN"/>
        </w:rPr>
        <w:t>谈判或成交</w:t>
      </w:r>
      <w:r>
        <w:rPr>
          <w:rFonts w:hint="eastAsia" w:ascii="宋体" w:hAnsi="宋体" w:eastAsia="宋体" w:cs="宋体"/>
          <w:highlight w:val="none"/>
          <w:lang w:val="en-US"/>
        </w:rPr>
        <w:t>资格，并按有关规定进处罚。</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highlight w:val="none"/>
          <w:lang w:val="en-US"/>
        </w:rPr>
      </w:pPr>
    </w:p>
    <w:p>
      <w:pPr>
        <w:pStyle w:val="25"/>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en-US"/>
        </w:rPr>
        <w:t xml:space="preserve">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US"/>
        </w:rPr>
        <w:t xml:space="preserve"> （单位公章）</w:t>
      </w:r>
    </w:p>
    <w:p>
      <w:pPr>
        <w:pStyle w:val="25"/>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sz w:val="24"/>
          <w:szCs w:val="24"/>
          <w:highlight w:val="none"/>
          <w:lang w:val="en-US"/>
        </w:rPr>
      </w:pPr>
    </w:p>
    <w:p>
      <w:pPr>
        <w:tabs>
          <w:tab w:val="left" w:pos="3045"/>
        </w:tabs>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lang w:eastAsia="zh-CN"/>
        </w:rPr>
        <w:t>被授权人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lang w:val="en-US" w:eastAsia="zh-CN"/>
        </w:rPr>
        <w:t>）</w:t>
      </w:r>
    </w:p>
    <w:p>
      <w:pPr>
        <w:spacing w:line="400" w:lineRule="exact"/>
        <w:ind w:firstLine="480" w:firstLineChars="200"/>
        <w:jc w:val="center"/>
        <w:rPr>
          <w:rFonts w:hint="eastAsia" w:ascii="宋体" w:hAnsi="宋体" w:eastAsia="宋体" w:cs="宋体"/>
          <w:sz w:val="24"/>
          <w:szCs w:val="24"/>
          <w:highlight w:val="none"/>
        </w:rPr>
      </w:pPr>
    </w:p>
    <w:p>
      <w:pPr>
        <w:spacing w:line="360" w:lineRule="auto"/>
        <w:ind w:left="525" w:leftChars="250"/>
        <w:rPr>
          <w:rFonts w:hint="eastAsia" w:ascii="宋体" w:hAnsi="宋体" w:eastAsia="宋体" w:cs="宋体"/>
          <w:b/>
          <w:bCs/>
          <w:sz w:val="28"/>
          <w:szCs w:val="28"/>
          <w:highlight w:val="none"/>
        </w:rPr>
      </w:pPr>
    </w:p>
    <w:p>
      <w:pPr>
        <w:spacing w:line="400" w:lineRule="exact"/>
        <w:ind w:firstLine="480" w:firstLineChars="200"/>
        <w:rPr>
          <w:rFonts w:hint="eastAsia" w:ascii="宋体" w:hAnsi="宋体" w:eastAsia="宋体" w:cs="宋体"/>
          <w:sz w:val="24"/>
          <w:szCs w:val="24"/>
          <w:highlight w:val="none"/>
        </w:rPr>
      </w:pPr>
    </w:p>
    <w:p>
      <w:pPr>
        <w:numPr>
          <w:ilvl w:val="0"/>
          <w:numId w:val="7"/>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highlight w:val="none"/>
        </w:rPr>
        <w:br w:type="page"/>
      </w:r>
      <w:r>
        <w:rPr>
          <w:rFonts w:hint="eastAsia" w:ascii="宋体" w:hAnsi="宋体" w:eastAsia="宋体" w:cs="宋体"/>
          <w:b/>
          <w:sz w:val="32"/>
          <w:szCs w:val="32"/>
          <w:highlight w:val="none"/>
          <w:lang w:eastAsia="zh-CN"/>
        </w:rPr>
        <w:t>供应商承诺书</w:t>
      </w:r>
    </w:p>
    <w:p>
      <w:pPr>
        <w:jc w:val="center"/>
        <w:rPr>
          <w:rFonts w:hint="eastAsia" w:ascii="宋体" w:hAnsi="宋体" w:cs="宋体"/>
          <w:b/>
          <w:sz w:val="28"/>
          <w:szCs w:val="28"/>
          <w:highlight w:val="none"/>
          <w:lang w:eastAsia="zh-CN"/>
        </w:rPr>
      </w:pPr>
    </w:p>
    <w:p>
      <w:pPr>
        <w:jc w:val="center"/>
        <w:outlineLvl w:val="2"/>
        <w:rPr>
          <w:rFonts w:hint="eastAsia" w:ascii="宋体" w:hAnsi="宋体" w:eastAsia="宋体" w:cs="宋体"/>
          <w:b/>
          <w:sz w:val="28"/>
          <w:szCs w:val="28"/>
          <w:highlight w:val="none"/>
        </w:rPr>
      </w:pPr>
      <w:r>
        <w:rPr>
          <w:rFonts w:hint="eastAsia" w:ascii="宋体" w:hAnsi="宋体" w:eastAsia="宋体" w:cs="宋体"/>
          <w:b/>
          <w:sz w:val="28"/>
          <w:szCs w:val="28"/>
          <w:highlight w:val="none"/>
        </w:rPr>
        <w:t>陕西省政府采购供应商拒绝政府采购领域商业贿赂承诺书</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3、不向政府采购代理机构和采购人提供虚假资质文件或采用虚假应标方式参与政府采购市场竞争并谋取成交。</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8、尊重和接受政府采购监督管理部门的监督和政府采购代理机构竞争性谈判采购要求，承担因违约行为给采购人造成的损失。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highlight w:val="none"/>
        </w:rPr>
      </w:pPr>
      <w:r>
        <w:rPr>
          <w:rFonts w:hint="eastAsia" w:ascii="宋体" w:hAnsi="宋体" w:eastAsia="宋体" w:cs="宋体"/>
          <w:kern w:val="0"/>
          <w:sz w:val="24"/>
          <w:highlight w:val="none"/>
        </w:rPr>
        <w:t>9、不发生其他有悖于政府采购公开、公平、公正和诚信原则的行为。</w:t>
      </w:r>
    </w:p>
    <w:p>
      <w:pPr>
        <w:widowControl/>
        <w:spacing w:line="408" w:lineRule="auto"/>
        <w:ind w:left="239" w:leftChars="114" w:firstLine="470" w:firstLineChars="196"/>
        <w:jc w:val="left"/>
        <w:rPr>
          <w:rFonts w:hint="eastAsia" w:ascii="宋体" w:hAnsi="宋体" w:eastAsia="宋体" w:cs="宋体"/>
          <w:kern w:val="0"/>
          <w:sz w:val="24"/>
          <w:highlight w:val="none"/>
        </w:rPr>
      </w:pP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承诺单位：（盖章）</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lang w:eastAsia="zh-CN"/>
        </w:rPr>
        <w:t>法定代表人</w:t>
      </w:r>
      <w:r>
        <w:rPr>
          <w:rFonts w:hint="eastAsia" w:ascii="宋体" w:hAnsi="宋体" w:eastAsia="宋体" w:cs="宋体"/>
          <w:kern w:val="0"/>
          <w:sz w:val="24"/>
          <w:highlight w:val="none"/>
          <w:lang w:val="en-US" w:eastAsia="zh-CN"/>
        </w:rPr>
        <w:t>或</w:t>
      </w:r>
      <w:r>
        <w:rPr>
          <w:rFonts w:hint="eastAsia" w:ascii="宋体" w:hAnsi="宋体" w:eastAsia="宋体" w:cs="宋体"/>
          <w:kern w:val="0"/>
          <w:sz w:val="24"/>
          <w:highlight w:val="none"/>
          <w:lang w:eastAsia="zh-CN"/>
        </w:rPr>
        <w:t>被授权人</w:t>
      </w:r>
      <w:r>
        <w:rPr>
          <w:rFonts w:hint="eastAsia" w:ascii="宋体" w:hAnsi="宋体" w:eastAsia="宋体" w:cs="宋体"/>
          <w:kern w:val="0"/>
          <w:sz w:val="24"/>
          <w:highlight w:val="none"/>
        </w:rPr>
        <w:t>：</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签字</w:t>
      </w:r>
      <w:r>
        <w:rPr>
          <w:rFonts w:hint="eastAsia" w:ascii="宋体" w:hAnsi="宋体" w:eastAsia="宋体" w:cs="宋体"/>
          <w:kern w:val="0"/>
          <w:sz w:val="24"/>
          <w:highlight w:val="none"/>
          <w:lang w:eastAsia="zh-CN"/>
        </w:rPr>
        <w:t>或盖章</w:t>
      </w:r>
      <w:r>
        <w:rPr>
          <w:rFonts w:hint="eastAsia" w:ascii="宋体" w:hAnsi="宋体" w:eastAsia="宋体" w:cs="宋体"/>
          <w:kern w:val="0"/>
          <w:sz w:val="24"/>
          <w:highlight w:val="none"/>
          <w:lang w:val="en-US" w:eastAsia="zh-CN"/>
        </w:rPr>
        <w:t>）</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地  址：        </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邮  编：</w:t>
      </w:r>
    </w:p>
    <w:p>
      <w:pPr>
        <w:widowControl/>
        <w:spacing w:line="408"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电  话：                        </w:t>
      </w:r>
    </w:p>
    <w:p>
      <w:pPr>
        <w:widowControl/>
        <w:spacing w:line="408" w:lineRule="auto"/>
        <w:ind w:left="239" w:leftChars="114"/>
        <w:jc w:val="right"/>
        <w:rPr>
          <w:rFonts w:hint="eastAsia" w:ascii="宋体" w:hAnsi="宋体" w:eastAsia="宋体" w:cs="宋体"/>
          <w:kern w:val="0"/>
          <w:sz w:val="24"/>
          <w:highlight w:val="none"/>
        </w:rPr>
      </w:pPr>
      <w:r>
        <w:rPr>
          <w:rFonts w:hint="eastAsia" w:ascii="宋体" w:hAnsi="宋体" w:eastAsia="宋体" w:cs="宋体"/>
          <w:kern w:val="0"/>
          <w:sz w:val="24"/>
          <w:highlight w:val="none"/>
        </w:rPr>
        <w:t>                           年  月  日</w:t>
      </w:r>
    </w:p>
    <w:p>
      <w:pPr>
        <w:spacing w:before="240" w:line="360" w:lineRule="auto"/>
        <w:ind w:left="1"/>
        <w:jc w:val="center"/>
        <w:outlineLvl w:val="1"/>
        <w:rPr>
          <w:rFonts w:hint="eastAsia" w:ascii="宋体" w:hAnsi="宋体" w:eastAsia="宋体" w:cs="宋体"/>
          <w:b/>
          <w:sz w:val="32"/>
          <w:szCs w:val="32"/>
          <w:highlight w:val="none"/>
        </w:rPr>
      </w:pPr>
      <w:r>
        <w:rPr>
          <w:rFonts w:hint="eastAsia" w:ascii="宋体" w:hAnsi="宋体" w:eastAsia="宋体" w:cs="宋体"/>
          <w:b/>
          <w:sz w:val="36"/>
          <w:szCs w:val="36"/>
          <w:highlight w:val="none"/>
        </w:rPr>
        <w:br w:type="page"/>
      </w:r>
      <w:r>
        <w:rPr>
          <w:rFonts w:hint="eastAsia" w:ascii="宋体" w:hAnsi="宋体" w:eastAsia="宋体" w:cs="宋体"/>
          <w:b/>
          <w:sz w:val="32"/>
          <w:szCs w:val="32"/>
          <w:highlight w:val="none"/>
          <w:lang w:eastAsia="zh-CN"/>
        </w:rPr>
        <w:t>六</w:t>
      </w:r>
      <w:r>
        <w:rPr>
          <w:rFonts w:hint="eastAsia" w:ascii="宋体" w:hAnsi="宋体" w:eastAsia="宋体" w:cs="宋体"/>
          <w:b/>
          <w:sz w:val="32"/>
          <w:szCs w:val="32"/>
          <w:highlight w:val="none"/>
        </w:rPr>
        <w:t xml:space="preserve">、资格证明文件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both"/>
        <w:textAlignment w:val="auto"/>
        <w:outlineLvl w:val="9"/>
        <w:rPr>
          <w:rFonts w:hint="eastAsia" w:ascii="宋体" w:hAnsi="宋体" w:eastAsia="宋体" w:cs="宋体"/>
          <w:b w:val="0"/>
          <w:bCs w:val="0"/>
          <w:sz w:val="24"/>
          <w:szCs w:val="24"/>
          <w:highlight w:val="yellow"/>
          <w:lang w:val="en-US" w:eastAsia="zh-CN"/>
        </w:rPr>
      </w:pPr>
      <w:r>
        <w:rPr>
          <w:rFonts w:hint="eastAsia" w:ascii="宋体" w:hAnsi="宋体" w:eastAsia="宋体" w:cs="宋体"/>
          <w:b/>
          <w:bCs/>
          <w:sz w:val="24"/>
          <w:szCs w:val="24"/>
          <w:highlight w:val="none"/>
          <w:lang w:val="en-US" w:eastAsia="zh-CN"/>
        </w:rPr>
        <w:t>（一）基本资格条件：</w:t>
      </w:r>
      <w:r>
        <w:rPr>
          <w:rFonts w:hint="eastAsia" w:ascii="宋体" w:hAnsi="宋体" w:eastAsia="宋体" w:cs="宋体"/>
          <w:b w:val="0"/>
          <w:bCs w:val="0"/>
          <w:sz w:val="24"/>
          <w:szCs w:val="24"/>
          <w:highlight w:val="none"/>
          <w:lang w:val="en-US" w:eastAsia="zh-CN"/>
        </w:rPr>
        <w:t>符合《中华人民共和国政府采购法》第二十二条的规定</w:t>
      </w:r>
      <w:r>
        <w:rPr>
          <w:rFonts w:hint="eastAsia" w:ascii="宋体" w:hAnsi="宋体" w:cs="宋体"/>
          <w:b w:val="0"/>
          <w:bCs w:val="0"/>
          <w:sz w:val="24"/>
          <w:szCs w:val="24"/>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（二）特定资格条件：</w:t>
      </w:r>
    </w:p>
    <w:p>
      <w:pPr>
        <w:pStyle w:val="3"/>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须具有独立承担民事责任能力，法人或其他组织的应提供营业执照等证明文件，自然人的应提供有效的自然人身份证明；（2）、法定代表人授权书（附法定代表人、被授权人身份证复印件）及被授权人身份证（法定代表人直接参加谈判，须提供法定代表人身份证明及身份证原件）；（3）、投标人须具有水利行业（水土保持）丙级及以上资质；（4）、拟派本项目负责人具备水利工程专业中级及以上职称,且在本单位注册；（5）、提供谈判响应文件递交截止日前一年内已缴纳的至少一个月的纳税证明或完税证明，依法免税的单位应提供相关证明材料；（6）、提供谈判响应文件递交截止日前一年内已缴存的至少一个月的社会保障资金缴存单据或社保机构开具的社会保险参保缴费情况证明，依法不需要缴纳社会保障资金的单位应提供相关证明材料；（7）、提供2019年以来任意一年度经审计的财务审计报告（成立时间至提交谈判响应文件截止时间不足一年的可提供成立后任意时段的资产负债表），或其谈判前三个月内基本存款账户开户银行出具的资信证明及基本存款账户开户许可证，或信用担保机构出具的谈判担保函。（以上三种形式的资料提供任何一种即可）；（8）、参加政府活动近三年内，在经营活动中无重大违法记录的书面声明；（9）.供应商不得为“信用中国”（www.creditchina.gov.cn)中列入失信被执行人和重大税收违法案件当事人名单的供应商，不得为中国政府采购网（www.ccgp.gov.cn）政府采购严重违法失信行为名单；（10）、谈判保证金缴纳凭证或担保机构出具的保函；（11）、单位负责人为同一人或者存在直接控股、管理关系的不同供应商，不得参加同一合同项下的政府采购活动。</w:t>
      </w:r>
    </w:p>
    <w:p>
      <w:pPr>
        <w:rPr>
          <w:rFonts w:hint="eastAsia"/>
          <w:highlight w:val="none"/>
          <w:lang w:val="en-US" w:eastAsia="zh-CN"/>
        </w:rPr>
      </w:pPr>
    </w:p>
    <w:p>
      <w:pPr>
        <w:pStyle w:val="8"/>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hAnsi="宋体" w:eastAsia="宋体" w:cs="宋体"/>
          <w:b/>
          <w:bCs/>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2"/>
        <w:rPr>
          <w:rFonts w:hint="eastAsia" w:ascii="宋体" w:hAnsi="宋体" w:eastAsia="宋体" w:cs="宋体"/>
          <w:b/>
          <w:bCs/>
          <w:kern w:val="2"/>
          <w:sz w:val="30"/>
          <w:szCs w:val="30"/>
          <w:highlight w:val="none"/>
          <w:lang w:val="en-US" w:eastAsia="zh-CN" w:bidi="ar-SA"/>
        </w:rPr>
      </w:pPr>
      <w:r>
        <w:rPr>
          <w:rFonts w:hint="eastAsia" w:hAnsi="宋体" w:eastAsia="宋体" w:cs="宋体"/>
          <w:b/>
          <w:bCs/>
          <w:color w:val="auto"/>
          <w:sz w:val="28"/>
          <w:szCs w:val="28"/>
          <w:highlight w:val="none"/>
          <w:lang w:val="en-US" w:eastAsia="zh-CN"/>
        </w:rPr>
        <w:t>（1）</w:t>
      </w:r>
      <w:r>
        <w:rPr>
          <w:rFonts w:hint="eastAsia" w:ascii="宋体" w:hAnsi="宋体" w:eastAsia="宋体" w:cs="宋体"/>
          <w:b/>
          <w:bCs/>
          <w:kern w:val="2"/>
          <w:sz w:val="30"/>
          <w:szCs w:val="30"/>
          <w:highlight w:val="none"/>
          <w:lang w:val="en-US" w:eastAsia="zh-CN" w:bidi="ar-SA"/>
        </w:rPr>
        <w:t>法定代表人身份证明/法定代表人授权书</w:t>
      </w:r>
    </w:p>
    <w:p>
      <w:pPr>
        <w:spacing w:line="440" w:lineRule="exact"/>
        <w:ind w:left="-359" w:leftChars="-171" w:firstLine="496" w:firstLineChars="200"/>
        <w:jc w:val="center"/>
        <w:rPr>
          <w:rFonts w:hint="eastAsia" w:ascii="宋体" w:hAnsi="宋体" w:eastAsia="宋体" w:cs="宋体"/>
          <w:spacing w:val="4"/>
          <w:sz w:val="24"/>
          <w:szCs w:val="32"/>
          <w:highlight w:val="none"/>
        </w:rPr>
      </w:pPr>
      <w:r>
        <w:rPr>
          <w:rFonts w:hint="eastAsia" w:ascii="宋体" w:hAnsi="宋体" w:eastAsia="宋体" w:cs="宋体"/>
          <w:spacing w:val="4"/>
          <w:sz w:val="24"/>
          <w:highlight w:val="none"/>
        </w:rPr>
        <w:t xml:space="preserve">  </w:t>
      </w:r>
      <w:r>
        <w:rPr>
          <w:rFonts w:hint="eastAsia" w:ascii="宋体" w:hAnsi="宋体" w:eastAsia="宋体" w:cs="宋体"/>
          <w:spacing w:val="4"/>
          <w:sz w:val="24"/>
          <w:szCs w:val="32"/>
          <w:highlight w:val="none"/>
        </w:rPr>
        <w:t xml:space="preserve"> </w:t>
      </w:r>
    </w:p>
    <w:p>
      <w:pPr>
        <w:spacing w:line="440" w:lineRule="exact"/>
        <w:ind w:left="-359" w:leftChars="-171" w:firstLine="643" w:firstLineChars="200"/>
        <w:jc w:val="cente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t>法定代表人身份证明</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日</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pPr>
        <w:autoSpaceDE w:val="0"/>
        <w:autoSpaceDN w:val="0"/>
        <w:adjustRightInd w:val="0"/>
        <w:snapToGrid w:val="0"/>
        <w:spacing w:before="120" w:beforeLines="50" w:line="360" w:lineRule="auto"/>
        <w:jc w:val="left"/>
        <w:rPr>
          <w:rFonts w:hint="eastAsia" w:ascii="宋体" w:hAnsi="宋体" w:eastAsia="宋体" w:cs="宋体"/>
          <w:kern w:val="0"/>
          <w:szCs w:val="21"/>
          <w:highlight w:val="none"/>
          <w:lang w:eastAsia="zh-CN"/>
        </w:rPr>
      </w:pPr>
      <w:r>
        <w:rPr>
          <w:rFonts w:hint="eastAsia" w:ascii="宋体" w:hAnsi="宋体" w:eastAsia="宋体" w:cs="宋体"/>
          <w:szCs w:val="21"/>
          <w:highlight w:val="none"/>
        </w:rPr>
        <w:t>附：法定代表人身份证复印件</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正反面</w:t>
      </w:r>
      <w:r>
        <w:rPr>
          <w:rFonts w:hint="eastAsia" w:ascii="宋体" w:hAnsi="宋体" w:eastAsia="宋体" w:cs="宋体"/>
          <w:szCs w:val="21"/>
          <w:highlight w:val="none"/>
          <w:lang w:eastAsia="zh-CN"/>
        </w:rPr>
        <w:t>）</w:t>
      </w:r>
    </w:p>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名称（</w:t>
      </w:r>
      <w:r>
        <w:rPr>
          <w:rFonts w:hint="eastAsia" w:ascii="宋体" w:hAnsi="宋体" w:eastAsia="宋体" w:cs="宋体"/>
          <w:sz w:val="24"/>
          <w:highlight w:val="none"/>
          <w:lang w:eastAsia="zh-CN"/>
        </w:rPr>
        <w:t>公章</w:t>
      </w:r>
      <w:r>
        <w:rPr>
          <w:rFonts w:hint="eastAsia" w:ascii="宋体" w:hAnsi="宋体" w:eastAsia="宋体" w:cs="宋体"/>
          <w:sz w:val="24"/>
          <w:highlight w:val="none"/>
        </w:rPr>
        <w:t>）：</w:t>
      </w:r>
    </w:p>
    <w:p>
      <w:pPr>
        <w:adjustRightInd w:val="0"/>
        <w:snapToGrid w:val="0"/>
        <w:spacing w:line="360" w:lineRule="auto"/>
        <w:ind w:right="420"/>
        <w:rPr>
          <w:rFonts w:hint="eastAsia" w:ascii="宋体" w:hAnsi="宋体" w:eastAsia="宋体" w:cs="宋体"/>
          <w:sz w:val="24"/>
          <w:highlight w:val="none"/>
        </w:rPr>
      </w:pPr>
      <w:r>
        <w:rPr>
          <w:rFonts w:hint="eastAsia" w:ascii="宋体" w:hAnsi="宋体" w:eastAsia="宋体" w:cs="宋体"/>
          <w:sz w:val="24"/>
          <w:highlight w:val="none"/>
        </w:rPr>
        <w:t>日期：    年  月  日</w:t>
      </w:r>
    </w:p>
    <w:p>
      <w:pPr>
        <w:pStyle w:val="3"/>
        <w:rPr>
          <w:rFonts w:hint="eastAsia" w:ascii="宋体" w:hAnsi="宋体" w:eastAsia="宋体" w:cs="宋体"/>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482" w:firstLineChars="200"/>
        <w:textAlignment w:val="auto"/>
        <w:outlineLvl w:val="9"/>
        <w:rPr>
          <w:rFonts w:hint="eastAsia" w:ascii="宋体" w:hAnsi="宋体" w:eastAsia="宋体" w:cs="宋体"/>
          <w:b/>
          <w:bCs/>
          <w:sz w:val="24"/>
          <w:szCs w:val="24"/>
          <w:highlight w:val="none"/>
          <w:lang w:val="en-US" w:eastAsia="zh-CN"/>
        </w:rPr>
      </w:pPr>
    </w:p>
    <w:p>
      <w:pPr>
        <w:pStyle w:val="3"/>
        <w:rPr>
          <w:rFonts w:hint="eastAsia"/>
          <w:highlight w:val="none"/>
          <w:lang w:val="en-US" w:eastAsia="zh-CN"/>
        </w:rPr>
      </w:pPr>
    </w:p>
    <w:p>
      <w:pPr>
        <w:pStyle w:val="3"/>
        <w:rPr>
          <w:rFonts w:hint="eastAsia" w:ascii="宋体" w:hAnsi="宋体" w:eastAsia="宋体" w:cs="宋体"/>
          <w:b/>
          <w:bCs/>
          <w:sz w:val="24"/>
          <w:szCs w:val="24"/>
          <w:highlight w:val="none"/>
          <w:lang w:val="en-US" w:eastAsia="zh-CN"/>
        </w:rPr>
      </w:pPr>
    </w:p>
    <w:p>
      <w:pPr>
        <w:rPr>
          <w:rFonts w:hint="eastAsia" w:ascii="宋体" w:hAnsi="宋体" w:eastAsia="宋体" w:cs="宋体"/>
          <w:b/>
          <w:bCs/>
          <w:sz w:val="24"/>
          <w:szCs w:val="24"/>
          <w:highlight w:val="none"/>
          <w:lang w:val="en-US" w:eastAsia="zh-CN"/>
        </w:rPr>
      </w:pPr>
    </w:p>
    <w:p>
      <w:pPr>
        <w:spacing w:before="327" w:beforeLines="100"/>
        <w:jc w:val="center"/>
        <w:outlineLvl w:val="9"/>
        <w:rPr>
          <w:rFonts w:hint="eastAsia" w:ascii="宋体" w:hAnsi="宋体" w:eastAsia="宋体" w:cs="宋体"/>
          <w:b/>
          <w:bCs/>
          <w:color w:val="auto"/>
          <w:sz w:val="32"/>
          <w:szCs w:val="32"/>
          <w:highlight w:val="none"/>
        </w:rPr>
      </w:pPr>
    </w:p>
    <w:p>
      <w:pPr>
        <w:spacing w:before="327" w:beforeLines="100"/>
        <w:jc w:val="center"/>
        <w:outlineLvl w:val="9"/>
        <w:rPr>
          <w:rFonts w:hint="eastAsia" w:ascii="宋体" w:hAnsi="宋体" w:eastAsia="宋体" w:cs="宋体"/>
          <w:b/>
          <w:bCs/>
          <w:color w:val="auto"/>
          <w:spacing w:val="4"/>
          <w:sz w:val="24"/>
          <w:szCs w:val="30"/>
          <w:highlight w:val="none"/>
        </w:rPr>
      </w:pPr>
      <w:r>
        <w:rPr>
          <w:rFonts w:hint="eastAsia" w:ascii="宋体" w:hAnsi="宋体" w:eastAsia="宋体" w:cs="宋体"/>
          <w:b/>
          <w:bCs/>
          <w:color w:val="auto"/>
          <w:sz w:val="32"/>
          <w:szCs w:val="32"/>
          <w:highlight w:val="none"/>
        </w:rPr>
        <w:t>法定代表人授权书</w:t>
      </w: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744" w:firstLineChars="3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u w:val="single"/>
        </w:rPr>
        <w:t>(</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供应商</w:t>
      </w:r>
      <w:r>
        <w:rPr>
          <w:rFonts w:hint="eastAsia" w:ascii="宋体" w:hAnsi="宋体" w:eastAsia="宋体" w:cs="宋体"/>
          <w:spacing w:val="4"/>
          <w:sz w:val="24"/>
          <w:szCs w:val="30"/>
          <w:highlight w:val="none"/>
          <w:u w:val="single"/>
        </w:rPr>
        <w:t xml:space="preserve">名称)      </w:t>
      </w:r>
      <w:r>
        <w:rPr>
          <w:rFonts w:hint="eastAsia" w:ascii="宋体" w:hAnsi="宋体" w:eastAsia="宋体" w:cs="宋体"/>
          <w:spacing w:val="4"/>
          <w:sz w:val="24"/>
          <w:szCs w:val="30"/>
          <w:highlight w:val="none"/>
        </w:rPr>
        <w:t>按中华人民共和国法律于</w:t>
      </w:r>
      <w:r>
        <w:rPr>
          <w:rFonts w:hint="eastAsia" w:ascii="宋体" w:hAnsi="宋体" w:eastAsia="宋体" w:cs="宋体"/>
          <w:spacing w:val="4"/>
          <w:sz w:val="24"/>
          <w:szCs w:val="30"/>
          <w:highlight w:val="none"/>
          <w:u w:val="single"/>
        </w:rPr>
        <w:t>（  年  月  日 ）</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rPr>
        <w:t xml:space="preserve">成立。      </w:t>
      </w:r>
      <w:r>
        <w:rPr>
          <w:rFonts w:hint="eastAsia" w:ascii="宋体" w:hAnsi="宋体" w:eastAsia="宋体" w:cs="宋体"/>
          <w:spacing w:val="4"/>
          <w:sz w:val="24"/>
          <w:szCs w:val="30"/>
          <w:highlight w:val="none"/>
          <w:u w:val="single"/>
        </w:rPr>
        <w:t xml:space="preserve">     </w:t>
      </w:r>
      <w:r>
        <w:rPr>
          <w:rFonts w:hint="eastAsia" w:ascii="宋体" w:hAnsi="宋体" w:eastAsia="宋体" w:cs="宋体"/>
          <w:spacing w:val="4"/>
          <w:sz w:val="24"/>
          <w:szCs w:val="30"/>
          <w:highlight w:val="none"/>
          <w:u w:val="none"/>
        </w:rPr>
        <w:t>法定代表人</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特授权</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被授权人</w:t>
      </w:r>
      <w:r>
        <w:rPr>
          <w:rFonts w:hint="eastAsia" w:ascii="宋体" w:hAnsi="宋体" w:eastAsia="宋体" w:cs="宋体"/>
          <w:spacing w:val="4"/>
          <w:sz w:val="24"/>
          <w:szCs w:val="30"/>
          <w:highlight w:val="none"/>
          <w:u w:val="single"/>
        </w:rPr>
        <w:t>姓名</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none"/>
        </w:rPr>
        <w:t>代表我公司全权办理针对本次</w:t>
      </w:r>
      <w:r>
        <w:rPr>
          <w:rFonts w:hint="eastAsia" w:ascii="宋体" w:hAnsi="宋体" w:eastAsia="宋体" w:cs="宋体"/>
          <w:spacing w:val="4"/>
          <w:sz w:val="24"/>
          <w:szCs w:val="30"/>
          <w:highlight w:val="none"/>
          <w:u w:val="single"/>
          <w:lang w:val="en-US" w:eastAsia="zh-CN"/>
        </w:rPr>
        <w:t xml:space="preserve">  </w:t>
      </w:r>
      <w:r>
        <w:rPr>
          <w:rFonts w:hint="eastAsia" w:ascii="宋体" w:hAnsi="宋体" w:eastAsia="宋体" w:cs="宋体"/>
          <w:spacing w:val="4"/>
          <w:sz w:val="24"/>
          <w:szCs w:val="30"/>
          <w:highlight w:val="none"/>
          <w:u w:val="single"/>
          <w:lang w:eastAsia="zh-CN"/>
        </w:rPr>
        <w:t>项目名称、</w:t>
      </w:r>
      <w:r>
        <w:rPr>
          <w:rFonts w:hint="eastAsia" w:ascii="宋体" w:hAnsi="宋体" w:eastAsia="宋体" w:cs="宋体"/>
          <w:spacing w:val="4"/>
          <w:sz w:val="24"/>
          <w:szCs w:val="30"/>
          <w:highlight w:val="none"/>
          <w:u w:val="single"/>
        </w:rPr>
        <w:t xml:space="preserve">项目编号   </w:t>
      </w:r>
      <w:r>
        <w:rPr>
          <w:rFonts w:hint="eastAsia" w:ascii="宋体" w:hAnsi="宋体" w:eastAsia="宋体" w:cs="宋体"/>
          <w:spacing w:val="4"/>
          <w:sz w:val="24"/>
          <w:szCs w:val="30"/>
          <w:highlight w:val="none"/>
        </w:rPr>
        <w:t>项目的谈判、签约等具体工作，并签署全部有关的文件、协议及合同。</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我公司对被授权人的签名负全部责任。</w:t>
      </w:r>
    </w:p>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本授权有效期</w:t>
      </w:r>
      <w:r>
        <w:rPr>
          <w:rFonts w:hint="eastAsia" w:ascii="宋体" w:hAnsi="宋体" w:eastAsia="宋体" w:cs="宋体"/>
          <w:spacing w:val="4"/>
          <w:sz w:val="24"/>
          <w:szCs w:val="30"/>
          <w:highlight w:val="none"/>
          <w:lang w:eastAsia="zh-CN"/>
        </w:rPr>
        <w:t>与谈判有效期一致</w:t>
      </w:r>
      <w:r>
        <w:rPr>
          <w:rFonts w:hint="eastAsia" w:ascii="宋体" w:hAnsi="宋体" w:eastAsia="宋体" w:cs="宋体"/>
          <w:spacing w:val="4"/>
          <w:sz w:val="24"/>
          <w:szCs w:val="30"/>
          <w:highlight w:val="none"/>
        </w:rPr>
        <w:t>。</w:t>
      </w:r>
    </w:p>
    <w:tbl>
      <w:tblPr>
        <w:tblStyle w:val="28"/>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highlight w:val="none"/>
                <w:lang w:eastAsia="zh-CN"/>
              </w:rPr>
              <w:t>签字或盖章</w:t>
            </w:r>
            <w:r>
              <w:rPr>
                <w:rFonts w:hint="eastAsia" w:ascii="宋体" w:hAnsi="宋体" w:eastAsia="宋体" w:cs="宋体"/>
                <w:spacing w:val="4"/>
                <w:sz w:val="24"/>
                <w:highlight w:val="none"/>
              </w:rPr>
              <w:t>：</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lang w:eastAsia="zh-CN"/>
              </w:rPr>
              <w:t>法定代表人签字或盖章</w:t>
            </w:r>
            <w:r>
              <w:rPr>
                <w:rFonts w:hint="eastAsia" w:ascii="宋体" w:hAnsi="宋体" w:eastAsia="宋体" w:cs="宋体"/>
                <w:spacing w:val="4"/>
                <w:sz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c>
          <w:tcPr>
            <w:tcW w:w="3990"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宋体" w:hAnsi="宋体" w:eastAsia="宋体" w:cs="宋体"/>
                <w:spacing w:val="4"/>
                <w:sz w:val="24"/>
                <w:highlight w:val="none"/>
              </w:rPr>
            </w:pPr>
            <w:r>
              <w:rPr>
                <w:rFonts w:hint="eastAsia" w:ascii="宋体" w:hAnsi="宋体" w:eastAsia="宋体" w:cs="宋体"/>
                <w:spacing w:val="4"/>
                <w:sz w:val="24"/>
                <w:highlight w:val="none"/>
              </w:rPr>
              <w:t>身份证号：</w:t>
            </w:r>
          </w:p>
        </w:tc>
      </w:tr>
    </w:tbl>
    <w:p>
      <w:pPr>
        <w:keepNext w:val="0"/>
        <w:keepLines w:val="0"/>
        <w:pageBreakBefore w:val="0"/>
        <w:widowControl w:val="0"/>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宋体" w:hAnsi="宋体" w:eastAsia="宋体" w:cs="宋体"/>
          <w:spacing w:val="4"/>
          <w:sz w:val="24"/>
          <w:highlight w:val="none"/>
        </w:rPr>
      </w:pPr>
    </w:p>
    <w:p>
      <w:pPr>
        <w:spacing w:line="440" w:lineRule="exact"/>
        <w:ind w:firstLine="505" w:firstLineChars="204"/>
        <w:rPr>
          <w:rFonts w:hint="eastAsia" w:ascii="宋体" w:hAnsi="宋体" w:eastAsia="宋体" w:cs="宋体"/>
          <w:spacing w:val="4"/>
          <w:sz w:val="24"/>
          <w:szCs w:val="30"/>
          <w:highlight w:val="none"/>
        </w:rPr>
      </w:pPr>
      <w:r>
        <w:rPr>
          <w:rFonts w:hint="eastAsia" w:ascii="宋体" w:hAnsi="宋体" w:eastAsia="宋体" w:cs="宋体"/>
          <w:spacing w:val="4"/>
          <w:sz w:val="24"/>
          <w:szCs w:val="30"/>
          <w:highlight w:val="none"/>
        </w:rPr>
        <w:t>附：</w:t>
      </w:r>
      <w:r>
        <w:rPr>
          <w:rFonts w:hint="eastAsia" w:ascii="宋体" w:hAnsi="宋体" w:eastAsia="宋体" w:cs="宋体"/>
          <w:spacing w:val="4"/>
          <w:sz w:val="24"/>
          <w:szCs w:val="30"/>
          <w:highlight w:val="none"/>
          <w:lang w:eastAsia="zh-CN"/>
        </w:rPr>
        <w:t>法定代表人</w:t>
      </w:r>
      <w:r>
        <w:rPr>
          <w:rFonts w:hint="eastAsia" w:ascii="宋体" w:hAnsi="宋体" w:eastAsia="宋体" w:cs="宋体"/>
          <w:spacing w:val="4"/>
          <w:sz w:val="24"/>
          <w:szCs w:val="30"/>
          <w:highlight w:val="none"/>
        </w:rPr>
        <w:t>、</w:t>
      </w:r>
      <w:r>
        <w:rPr>
          <w:rFonts w:hint="eastAsia" w:ascii="宋体" w:hAnsi="宋体" w:eastAsia="宋体" w:cs="宋体"/>
          <w:spacing w:val="4"/>
          <w:sz w:val="24"/>
          <w:highlight w:val="none"/>
          <w:lang w:val="en-US" w:eastAsia="zh-CN"/>
        </w:rPr>
        <w:t>被授权人</w:t>
      </w:r>
      <w:r>
        <w:rPr>
          <w:rFonts w:hint="eastAsia" w:ascii="宋体" w:hAnsi="宋体" w:eastAsia="宋体" w:cs="宋体"/>
          <w:spacing w:val="4"/>
          <w:sz w:val="24"/>
          <w:szCs w:val="30"/>
          <w:highlight w:val="none"/>
        </w:rPr>
        <w:t>身份证复印件</w:t>
      </w:r>
      <w:r>
        <w:rPr>
          <w:rFonts w:hint="eastAsia" w:ascii="宋体" w:hAnsi="宋体" w:eastAsia="宋体" w:cs="宋体"/>
          <w:spacing w:val="4"/>
          <w:sz w:val="24"/>
          <w:szCs w:val="30"/>
          <w:highlight w:val="none"/>
          <w:lang w:eastAsia="zh-CN"/>
        </w:rPr>
        <w:t>（正反面）</w:t>
      </w:r>
    </w:p>
    <w:p>
      <w:pPr>
        <w:spacing w:line="440" w:lineRule="exact"/>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pStyle w:val="3"/>
        <w:rPr>
          <w:rFonts w:hint="eastAsia" w:ascii="宋体" w:hAnsi="宋体" w:eastAsia="宋体" w:cs="宋体"/>
          <w:spacing w:val="4"/>
          <w:sz w:val="24"/>
          <w:szCs w:val="30"/>
          <w:highlight w:val="none"/>
        </w:rPr>
      </w:pPr>
    </w:p>
    <w:p>
      <w:pPr>
        <w:spacing w:line="440" w:lineRule="exact"/>
        <w:ind w:firstLine="496" w:firstLineChars="200"/>
        <w:jc w:val="both"/>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eastAsia="zh-CN"/>
        </w:rPr>
        <w:t>供应商</w:t>
      </w:r>
      <w:r>
        <w:rPr>
          <w:rFonts w:hint="eastAsia" w:ascii="宋体" w:hAnsi="宋体" w:eastAsia="宋体" w:cs="宋体"/>
          <w:spacing w:val="4"/>
          <w:sz w:val="24"/>
          <w:szCs w:val="24"/>
          <w:highlight w:val="none"/>
        </w:rPr>
        <w:t>名称（盖章）：</w:t>
      </w:r>
    </w:p>
    <w:p>
      <w:pPr>
        <w:spacing w:line="440" w:lineRule="exact"/>
        <w:ind w:firstLine="496" w:firstLineChars="200"/>
        <w:rPr>
          <w:rFonts w:hint="eastAsia" w:ascii="宋体" w:hAnsi="宋体" w:eastAsia="宋体" w:cs="宋体"/>
          <w:spacing w:val="4"/>
          <w:sz w:val="24"/>
          <w:szCs w:val="24"/>
          <w:highlight w:val="none"/>
        </w:rPr>
      </w:pPr>
    </w:p>
    <w:p>
      <w:pPr>
        <w:spacing w:line="440" w:lineRule="exact"/>
        <w:ind w:firstLine="496" w:firstLineChars="20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日</w:t>
      </w:r>
      <w:r>
        <w:rPr>
          <w:rFonts w:hint="eastAsia" w:ascii="宋体" w:hAnsi="宋体" w:eastAsia="宋体" w:cs="宋体"/>
          <w:spacing w:val="4"/>
          <w:sz w:val="24"/>
          <w:szCs w:val="24"/>
          <w:highlight w:val="none"/>
          <w:lang w:val="en-US" w:eastAsia="zh-CN"/>
        </w:rPr>
        <w:t xml:space="preserve"> </w:t>
      </w:r>
      <w:r>
        <w:rPr>
          <w:rFonts w:hint="eastAsia" w:ascii="宋体" w:hAnsi="宋体" w:eastAsia="宋体" w:cs="宋体"/>
          <w:spacing w:val="4"/>
          <w:sz w:val="24"/>
          <w:szCs w:val="24"/>
          <w:highlight w:val="none"/>
        </w:rPr>
        <w:t>期：</w:t>
      </w:r>
    </w:p>
    <w:p>
      <w:pPr>
        <w:pStyle w:val="3"/>
        <w:rPr>
          <w:rFonts w:hint="eastAsia"/>
          <w:highlight w:val="none"/>
        </w:rPr>
      </w:pPr>
    </w:p>
    <w:p>
      <w:pPr>
        <w:spacing w:line="440" w:lineRule="exact"/>
        <w:ind w:firstLine="482" w:firstLineChars="200"/>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说明：法定代表人参加谈判时无需提供。</w:t>
      </w:r>
    </w:p>
    <w:p>
      <w:pPr>
        <w:pStyle w:val="3"/>
        <w:rPr>
          <w:rFonts w:hint="eastAsia" w:ascii="宋体" w:hAnsi="宋体" w:eastAsia="宋体" w:cs="宋体"/>
          <w:b/>
          <w:bCs/>
          <w:sz w:val="24"/>
          <w:szCs w:val="24"/>
          <w:highlight w:val="none"/>
          <w:lang w:val="zh-CN"/>
        </w:rPr>
      </w:pPr>
    </w:p>
    <w:p>
      <w:pPr>
        <w:pStyle w:val="3"/>
        <w:rPr>
          <w:rFonts w:hint="eastAsia" w:ascii="宋体" w:hAnsi="宋体" w:eastAsia="宋体" w:cs="宋体"/>
          <w:b/>
          <w:bCs/>
          <w:sz w:val="24"/>
          <w:szCs w:val="24"/>
          <w:highlight w:val="none"/>
          <w:lang w:val="zh-CN"/>
        </w:rPr>
      </w:pPr>
    </w:p>
    <w:p>
      <w:pPr>
        <w:rPr>
          <w:rFonts w:hint="eastAsia"/>
          <w:highlight w:val="none"/>
          <w:lang w:val="zh-CN"/>
        </w:rPr>
      </w:pPr>
    </w:p>
    <w:p>
      <w:pPr>
        <w:pStyle w:val="8"/>
        <w:rPr>
          <w:rFonts w:hint="eastAsia"/>
          <w:highlight w:val="none"/>
          <w:lang w:val="zh-CN"/>
        </w:rPr>
      </w:pPr>
    </w:p>
    <w:p>
      <w:pPr>
        <w:rPr>
          <w:rFonts w:hint="eastAsia"/>
          <w:highlight w:val="none"/>
          <w:lang w:val="zh-CN"/>
        </w:rPr>
      </w:pPr>
    </w:p>
    <w:p>
      <w:pPr>
        <w:pStyle w:val="3"/>
        <w:widowControl w:val="0"/>
        <w:numPr>
          <w:ilvl w:val="0"/>
          <w:numId w:val="0"/>
        </w:numPr>
        <w:spacing w:after="120" w:afterLines="0"/>
        <w:jc w:val="both"/>
        <w:rPr>
          <w:rFonts w:hint="eastAsia"/>
          <w:highlight w:val="none"/>
        </w:rPr>
      </w:pPr>
    </w:p>
    <w:p>
      <w:pPr>
        <w:jc w:val="center"/>
        <w:outlineLvl w:val="2"/>
        <w:rPr>
          <w:rFonts w:hint="eastAsia" w:hAnsi="宋体" w:eastAsia="宋体" w:cs="宋体"/>
          <w:b/>
          <w:bCs/>
          <w:color w:val="auto"/>
          <w:sz w:val="28"/>
          <w:szCs w:val="28"/>
          <w:highlight w:val="none"/>
          <w:lang w:val="en-US" w:eastAsia="zh-CN"/>
        </w:rPr>
      </w:pPr>
    </w:p>
    <w:p>
      <w:pPr>
        <w:jc w:val="center"/>
        <w:outlineLvl w:val="2"/>
        <w:rPr>
          <w:rFonts w:hint="eastAsia" w:hAnsi="宋体" w:eastAsia="宋体" w:cs="宋体"/>
          <w:b/>
          <w:bCs/>
          <w:color w:val="auto"/>
          <w:sz w:val="28"/>
          <w:szCs w:val="28"/>
          <w:highlight w:val="none"/>
          <w:lang w:val="en-US" w:eastAsia="zh-CN"/>
        </w:rPr>
      </w:pPr>
    </w:p>
    <w:p>
      <w:pPr>
        <w:jc w:val="center"/>
        <w:outlineLvl w:val="2"/>
        <w:rPr>
          <w:rFonts w:hint="eastAsia" w:hAnsi="宋体" w:eastAsia="宋体" w:cs="宋体"/>
          <w:b/>
          <w:bCs/>
          <w:color w:val="auto"/>
          <w:sz w:val="28"/>
          <w:szCs w:val="28"/>
          <w:highlight w:val="none"/>
          <w:lang w:val="en-US" w:eastAsia="zh-CN"/>
        </w:rPr>
      </w:pPr>
      <w:r>
        <w:rPr>
          <w:rFonts w:hint="eastAsia" w:hAnsi="宋体" w:eastAsia="宋体" w:cs="宋体"/>
          <w:b/>
          <w:bCs/>
          <w:color w:val="auto"/>
          <w:sz w:val="28"/>
          <w:szCs w:val="28"/>
          <w:highlight w:val="none"/>
          <w:lang w:val="en-US" w:eastAsia="zh-CN"/>
        </w:rPr>
        <w:t>（</w:t>
      </w:r>
      <w:r>
        <w:rPr>
          <w:rFonts w:hint="eastAsia" w:hAnsi="宋体" w:cs="宋体"/>
          <w:b/>
          <w:bCs/>
          <w:color w:val="auto"/>
          <w:sz w:val="28"/>
          <w:szCs w:val="28"/>
          <w:highlight w:val="none"/>
          <w:lang w:val="en-US" w:eastAsia="zh-CN"/>
        </w:rPr>
        <w:t>2</w:t>
      </w:r>
      <w:r>
        <w:rPr>
          <w:rFonts w:hint="eastAsia" w:hAnsi="宋体" w:eastAsia="宋体" w:cs="宋体"/>
          <w:b/>
          <w:bCs/>
          <w:color w:val="auto"/>
          <w:sz w:val="28"/>
          <w:szCs w:val="28"/>
          <w:highlight w:val="none"/>
          <w:lang w:val="en-US" w:eastAsia="zh-CN"/>
        </w:rPr>
        <w:t>）谈判保证金缴纳凭证或担保机构出具的保函</w:t>
      </w: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jc w:val="center"/>
        <w:rPr>
          <w:rFonts w:hint="eastAsia" w:ascii="宋体" w:hAnsi="宋体" w:eastAsia="宋体" w:cs="宋体"/>
          <w:highlight w:val="none"/>
          <w:u w:val="none"/>
          <w:lang w:eastAsia="zh-CN"/>
        </w:rPr>
      </w:pPr>
      <w:r>
        <w:rPr>
          <w:rFonts w:hint="eastAsia" w:hAnsi="宋体"/>
          <w:b/>
          <w:sz w:val="24"/>
          <w:szCs w:val="24"/>
          <w:highlight w:val="none"/>
          <w:u w:val="none"/>
        </w:rPr>
        <w:t>本页附</w:t>
      </w:r>
      <w:r>
        <w:rPr>
          <w:rFonts w:hint="eastAsia" w:hAnsi="宋体"/>
          <w:b/>
          <w:sz w:val="24"/>
          <w:szCs w:val="24"/>
          <w:highlight w:val="none"/>
          <w:u w:val="none"/>
          <w:lang w:eastAsia="zh-CN"/>
        </w:rPr>
        <w:t>谈判</w:t>
      </w:r>
      <w:r>
        <w:rPr>
          <w:rFonts w:hint="eastAsia" w:hAnsi="宋体"/>
          <w:b/>
          <w:sz w:val="24"/>
          <w:szCs w:val="24"/>
          <w:highlight w:val="none"/>
          <w:u w:val="none"/>
        </w:rPr>
        <w:t>保证金缴纳凭证复印件或</w:t>
      </w:r>
      <w:r>
        <w:rPr>
          <w:rFonts w:hint="eastAsia" w:hAnsi="宋体"/>
          <w:b/>
          <w:sz w:val="24"/>
          <w:szCs w:val="24"/>
          <w:highlight w:val="none"/>
          <w:u w:val="none"/>
          <w:lang w:eastAsia="zh-CN"/>
        </w:rPr>
        <w:t>担保函</w:t>
      </w:r>
      <w:r>
        <w:rPr>
          <w:rFonts w:hint="eastAsia" w:hAnsi="宋体"/>
          <w:b/>
          <w:sz w:val="24"/>
          <w:szCs w:val="24"/>
          <w:highlight w:val="none"/>
          <w:u w:val="none"/>
        </w:rPr>
        <w:t>正本复印</w:t>
      </w:r>
      <w:r>
        <w:rPr>
          <w:rFonts w:hint="eastAsia" w:hAnsi="宋体"/>
          <w:b/>
          <w:sz w:val="24"/>
          <w:szCs w:val="24"/>
          <w:highlight w:val="none"/>
          <w:u w:val="none"/>
          <w:lang w:eastAsia="zh-CN"/>
        </w:rPr>
        <w:t>件</w:t>
      </w: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highlight w:val="none"/>
        </w:rPr>
      </w:pPr>
    </w:p>
    <w:p>
      <w:pPr>
        <w:pStyle w:val="3"/>
        <w:rPr>
          <w:rFonts w:hint="eastAsia" w:ascii="宋体" w:hAnsi="宋体" w:eastAsia="宋体" w:cs="宋体"/>
          <w:highlight w:val="none"/>
        </w:rPr>
      </w:pPr>
    </w:p>
    <w:p>
      <w:pPr>
        <w:numPr>
          <w:ilvl w:val="0"/>
          <w:numId w:val="0"/>
        </w:numPr>
        <w:jc w:val="center"/>
        <w:outlineLvl w:val="2"/>
        <w:rPr>
          <w:rFonts w:hint="eastAsia" w:ascii="宋体" w:hAnsi="宋体" w:eastAsia="宋体" w:cs="宋体"/>
          <w:b/>
          <w:bCs w:val="0"/>
          <w:sz w:val="28"/>
          <w:szCs w:val="28"/>
          <w:highlight w:val="none"/>
          <w:lang w:val="zh-CN" w:eastAsia="zh-CN"/>
        </w:rPr>
      </w:pPr>
    </w:p>
    <w:p>
      <w:pPr>
        <w:numPr>
          <w:ilvl w:val="0"/>
          <w:numId w:val="0"/>
        </w:numPr>
        <w:jc w:val="center"/>
        <w:outlineLvl w:val="2"/>
        <w:rPr>
          <w:rFonts w:hint="eastAsia" w:ascii="宋体" w:hAnsi="宋体" w:eastAsia="宋体" w:cs="宋体"/>
          <w:b/>
          <w:bCs w:val="0"/>
          <w:sz w:val="28"/>
          <w:szCs w:val="28"/>
          <w:highlight w:val="none"/>
          <w:lang w:val="zh-CN" w:eastAsia="zh-CN"/>
        </w:rPr>
      </w:pPr>
      <w:r>
        <w:rPr>
          <w:rFonts w:hint="eastAsia" w:ascii="宋体" w:hAnsi="宋体" w:eastAsia="宋体" w:cs="宋体"/>
          <w:b/>
          <w:bCs w:val="0"/>
          <w:sz w:val="28"/>
          <w:szCs w:val="28"/>
          <w:highlight w:val="none"/>
          <w:lang w:val="zh-CN" w:eastAsia="zh-CN"/>
        </w:rPr>
        <w:t>（</w:t>
      </w:r>
      <w:r>
        <w:rPr>
          <w:rFonts w:hint="eastAsia" w:ascii="宋体" w:hAnsi="宋体" w:eastAsia="宋体" w:cs="宋体"/>
          <w:b/>
          <w:bCs w:val="0"/>
          <w:sz w:val="28"/>
          <w:szCs w:val="28"/>
          <w:highlight w:val="none"/>
          <w:lang w:val="en-US" w:eastAsia="zh-CN"/>
        </w:rPr>
        <w:t>3</w:t>
      </w:r>
      <w:r>
        <w:rPr>
          <w:rFonts w:hint="eastAsia" w:ascii="宋体" w:hAnsi="宋体" w:eastAsia="宋体" w:cs="宋体"/>
          <w:b/>
          <w:bCs w:val="0"/>
          <w:sz w:val="28"/>
          <w:szCs w:val="28"/>
          <w:highlight w:val="none"/>
          <w:lang w:val="zh-CN" w:eastAsia="zh-CN"/>
        </w:rPr>
        <w:t>）企业关系关联承诺书</w:t>
      </w:r>
    </w:p>
    <w:p>
      <w:pPr>
        <w:pStyle w:val="3"/>
        <w:numPr>
          <w:ilvl w:val="0"/>
          <w:numId w:val="0"/>
        </w:numPr>
        <w:rPr>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1、供应商股东及股权证明。（提供国家企业信用信息公示系统http://www.gsxt.gov.cn/index.html网页截图并加盖供应商红章）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2、供应商在本项目谈判中，不存在与其它供应商负责人为同一人，有控股、管理等关联关系承诺：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我单位管理的具有独立法人的下属单位有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我单位的上级管理单位有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我单位控股的单位有</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我单位被</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2.3、单位负责人：</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（是或否）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b w:val="0"/>
          <w:bCs w:val="0"/>
          <w:sz w:val="24"/>
          <w:szCs w:val="24"/>
          <w:highlight w:val="none"/>
          <w:lang w:val="en-US" w:eastAsia="zh-CN"/>
        </w:rPr>
        <w:t>4、其他与本项目有关的利害关系说明：</w:t>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pStyle w:val="3"/>
        <w:rPr>
          <w:rFonts w:hint="eastAsia"/>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供应商名称</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b w:val="0"/>
          <w:bCs w:val="0"/>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法定代表人或被授权人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lang w:val="en-US" w:eastAsia="zh-CN"/>
        </w:rPr>
        <w:t>（签字或盖章）</w:t>
      </w: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jc w:val="center"/>
        <w:rPr>
          <w:rFonts w:hint="eastAsia" w:ascii="宋体" w:hAnsi="宋体" w:eastAsia="宋体" w:cs="宋体"/>
          <w:b/>
          <w:sz w:val="32"/>
          <w:szCs w:val="32"/>
          <w:highlight w:val="none"/>
        </w:rPr>
      </w:pPr>
    </w:p>
    <w:p>
      <w:pPr>
        <w:rPr>
          <w:rFonts w:hint="eastAsia"/>
          <w:highlight w:val="none"/>
        </w:rPr>
      </w:pPr>
    </w:p>
    <w:p>
      <w:pPr>
        <w:pStyle w:val="3"/>
        <w:rPr>
          <w:rFonts w:hint="eastAsia" w:ascii="宋体" w:hAnsi="宋体" w:eastAsia="宋体" w:cs="宋体"/>
          <w:highlight w:val="none"/>
        </w:rPr>
      </w:pPr>
    </w:p>
    <w:p>
      <w:pPr>
        <w:pStyle w:val="3"/>
        <w:rPr>
          <w:rFonts w:hint="eastAsia" w:ascii="宋体" w:hAnsi="宋体" w:eastAsia="宋体" w:cs="宋体"/>
          <w:highlight w:val="none"/>
        </w:rPr>
      </w:pPr>
    </w:p>
    <w:p>
      <w:pPr>
        <w:numPr>
          <w:ilvl w:val="0"/>
          <w:numId w:val="8"/>
        </w:numPr>
        <w:jc w:val="center"/>
        <w:outlineLvl w:val="1"/>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eastAsia="zh-CN"/>
        </w:rPr>
        <w:t>其他资料</w:t>
      </w:r>
    </w:p>
    <w:p>
      <w:pPr>
        <w:pStyle w:val="3"/>
        <w:widowControl w:val="0"/>
        <w:numPr>
          <w:ilvl w:val="0"/>
          <w:numId w:val="0"/>
        </w:numPr>
        <w:spacing w:after="120" w:afterLines="0"/>
        <w:jc w:val="both"/>
        <w:rPr>
          <w:rFonts w:hint="eastAsia"/>
          <w:highlight w:val="none"/>
          <w:lang w:eastAsia="zh-CN"/>
        </w:rPr>
      </w:pPr>
    </w:p>
    <w:p>
      <w:pPr>
        <w:pStyle w:val="3"/>
        <w:widowControl w:val="0"/>
        <w:numPr>
          <w:ilvl w:val="0"/>
          <w:numId w:val="0"/>
        </w:numPr>
        <w:spacing w:after="120" w:afterLines="0"/>
        <w:jc w:val="both"/>
        <w:rPr>
          <w:rFonts w:hint="eastAsia"/>
          <w:highlight w:val="none"/>
          <w:lang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依据竞争性谈判文件要求，供应商认为有必要说明的其他内容。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、其他可以证明供应商实力的文件。</w:t>
      </w: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pStyle w:val="3"/>
        <w:rPr>
          <w:rFonts w:hint="eastAsia" w:ascii="宋体" w:hAnsi="宋体" w:eastAsia="宋体" w:cs="宋体"/>
          <w:b/>
          <w:sz w:val="28"/>
          <w:szCs w:val="28"/>
          <w:highlight w:val="none"/>
        </w:rPr>
      </w:pPr>
    </w:p>
    <w:p>
      <w:pPr>
        <w:rPr>
          <w:rFonts w:hint="eastAsia" w:ascii="宋体" w:hAnsi="宋体" w:eastAsia="宋体" w:cs="宋体"/>
          <w:b/>
          <w:sz w:val="28"/>
          <w:szCs w:val="28"/>
          <w:highlight w:val="none"/>
        </w:rPr>
      </w:pPr>
    </w:p>
    <w:bookmarkEnd w:id="13"/>
    <w:bookmarkEnd w:id="14"/>
    <w:bookmarkEnd w:id="15"/>
    <w:bookmarkEnd w:id="16"/>
    <w:bookmarkEnd w:id="17"/>
    <w:p>
      <w:pPr>
        <w:keepLines/>
        <w:pageBreakBefore/>
        <w:spacing w:before="100" w:beforeAutospacing="1" w:afterLines="50"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如有</w:t>
      </w:r>
      <w:r>
        <w:rPr>
          <w:rFonts w:hint="eastAsia" w:ascii="宋体" w:hAnsi="宋体" w:cs="宋体"/>
          <w:b/>
          <w:color w:val="auto"/>
          <w:sz w:val="28"/>
          <w:szCs w:val="28"/>
          <w:highlight w:val="none"/>
          <w:lang w:eastAsia="zh-CN"/>
        </w:rPr>
        <w:t>）</w:t>
      </w:r>
    </w:p>
    <w:p>
      <w:pPr>
        <w:spacing w:before="100" w:beforeAutospacing="1"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中小企业声明函</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本公司郑重声明，根据《政府采购促进中小企业发展管理办法》（财库﹝2020﹞46 号）的规定，本公司参加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 xml:space="preserve"> （标的名称）</w:t>
      </w:r>
      <w:r>
        <w:rPr>
          <w:rFonts w:hint="eastAsia" w:ascii="宋体" w:hAnsi="宋体" w:cs="宋体"/>
          <w:color w:val="auto"/>
          <w:sz w:val="24"/>
          <w:szCs w:val="24"/>
          <w:highlight w:val="none"/>
        </w:rPr>
        <w:t xml:space="preserve"> ，属于（采购文件中明确的所属行业）；承建（承接）企业为（企业名称），从业人员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万元，属于（中型企业、小型企业、微型企业）； </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pPr>
        <w:spacing w:line="500" w:lineRule="exact"/>
        <w:ind w:firstLine="360" w:firstLineChars="15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本企业对上述声明内容的真实性负责。如有虚假，将依法承担相应责任。 </w:t>
      </w:r>
    </w:p>
    <w:p>
      <w:pPr>
        <w:spacing w:line="500" w:lineRule="exact"/>
        <w:ind w:firstLine="360" w:firstLineChars="1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企业名称（盖章）： </w:t>
      </w:r>
    </w:p>
    <w:p>
      <w:pPr>
        <w:spacing w:line="500" w:lineRule="exact"/>
        <w:ind w:firstLine="360" w:firstLineChars="1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w:t>
      </w:r>
    </w:p>
    <w:p>
      <w:pPr>
        <w:spacing w:line="500" w:lineRule="exact"/>
        <w:ind w:firstLine="315" w:firstLineChars="150"/>
        <w:jc w:val="left"/>
        <w:rPr>
          <w:rFonts w:ascii="宋体" w:hAnsi="宋体" w:cs="宋体"/>
          <w:color w:val="auto"/>
          <w:sz w:val="21"/>
          <w:szCs w:val="21"/>
          <w:highlight w:val="none"/>
        </w:rPr>
      </w:pPr>
      <w:r>
        <w:rPr>
          <w:rFonts w:hint="eastAsia" w:ascii="宋体" w:hAnsi="宋体" w:cs="宋体"/>
          <w:color w:val="auto"/>
          <w:sz w:val="21"/>
          <w:szCs w:val="21"/>
          <w:highlight w:val="none"/>
        </w:rPr>
        <w:t>备注：填写前请认真阅读工业和信息化部、国家统计局、国家发展和改革委员会、财政部关于印发中小企业划分标准规定的通知》（工信部联企业【2011】300号）和《财政部工业和信息化部关于印发政府采购促进中小企业发展管理办法》（财﹝2020﹞46 号）相关规定。</w:t>
      </w:r>
    </w:p>
    <w:p>
      <w:pPr>
        <w:pageBreakBefore w:val="0"/>
        <w:widowControl w:val="0"/>
        <w:numPr>
          <w:ilvl w:val="0"/>
          <w:numId w:val="0"/>
        </w:numPr>
        <w:tabs>
          <w:tab w:val="left" w:pos="1620"/>
          <w:tab w:val="left" w:pos="1800"/>
        </w:tabs>
        <w:kinsoku/>
        <w:wordWrap/>
        <w:overflowPunct/>
        <w:topLinePunct w:val="0"/>
        <w:autoSpaceDE/>
        <w:autoSpaceDN/>
        <w:bidi w:val="0"/>
        <w:adjustRightInd/>
        <w:snapToGrid/>
        <w:spacing w:line="500" w:lineRule="exact"/>
        <w:ind w:right="0" w:rightChars="0" w:firstLine="420" w:firstLineChars="200"/>
        <w:jc w:val="both"/>
        <w:textAlignment w:val="auto"/>
        <w:rPr>
          <w:rFonts w:hint="eastAsia" w:ascii="宋体" w:hAnsi="宋体" w:eastAsia="宋体" w:cs="宋体"/>
          <w:color w:val="auto"/>
          <w:sz w:val="24"/>
          <w:szCs w:val="24"/>
          <w:highlight w:val="none"/>
        </w:rPr>
      </w:pPr>
      <w:r>
        <w:rPr>
          <w:rFonts w:hint="eastAsia" w:ascii="宋体" w:hAnsi="宋体" w:cs="宋体"/>
          <w:color w:val="auto"/>
          <w:sz w:val="21"/>
          <w:szCs w:val="21"/>
          <w:highlight w:val="none"/>
          <w:lang w:val="en-US" w:eastAsia="zh-CN"/>
        </w:rPr>
        <w:t>供应商</w:t>
      </w:r>
      <w:r>
        <w:rPr>
          <w:rFonts w:hint="eastAsia" w:ascii="宋体" w:hAnsi="宋体" w:cs="宋体"/>
          <w:color w:val="auto"/>
          <w:sz w:val="21"/>
          <w:szCs w:val="21"/>
          <w:highlight w:val="none"/>
        </w:rPr>
        <w:t>认为其为小型或微型企业的应提交本函，并明确企业类型，否则评审时不能享受相应的价格扣除。（从业人员、营业收入、资产总额填报上一年度数据，无上一年度数据的新成立企业可不填报。）</w:t>
      </w:r>
    </w:p>
    <w:p>
      <w:pPr>
        <w:keepLines/>
        <w:pageBreakBefore/>
        <w:spacing w:before="100" w:beforeAutospacing="1"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before="100" w:beforeAutospacing="1"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谈判</w:t>
      </w:r>
      <w:r>
        <w:rPr>
          <w:rFonts w:hint="eastAsia" w:ascii="宋体" w:hAnsi="宋体" w:eastAsia="宋体" w:cs="宋体"/>
          <w:b/>
          <w:color w:val="auto"/>
          <w:sz w:val="32"/>
          <w:szCs w:val="32"/>
          <w:highlight w:val="none"/>
        </w:rPr>
        <w:t>担保函</w:t>
      </w:r>
    </w:p>
    <w:p>
      <w:pPr>
        <w:rPr>
          <w:rFonts w:hint="eastAsia" w:ascii="宋体" w:hAnsi="宋体" w:eastAsia="宋体" w:cs="宋体"/>
          <w:color w:val="auto"/>
          <w:sz w:val="22"/>
          <w:szCs w:val="36"/>
          <w:highlight w:val="none"/>
        </w:r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编号： </w:t>
      </w:r>
    </w:p>
    <w:p>
      <w:pPr>
        <w:rPr>
          <w:rFonts w:hint="eastAsia" w:ascii="宋体" w:hAnsi="宋体" w:eastAsia="宋体" w:cs="宋体"/>
          <w:color w:val="auto"/>
          <w:sz w:val="24"/>
          <w:szCs w:val="24"/>
          <w:highlight w:val="none"/>
          <w:u w:val="singl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___________________（采购人或采购代理机构）：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鉴于_______________（以下简称“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”）拟参加编号为___________的_______项目（以下简称“本项目”）</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，根据本项目</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参加谈判</w:t>
      </w:r>
      <w:r>
        <w:rPr>
          <w:rFonts w:hint="eastAsia" w:ascii="宋体" w:hAnsi="宋体" w:eastAsia="宋体" w:cs="宋体"/>
          <w:color w:val="auto"/>
          <w:sz w:val="24"/>
          <w:szCs w:val="24"/>
          <w:highlight w:val="none"/>
        </w:rPr>
        <w:t>时应向你方交纳</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，且可以</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担保函的形式交纳</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。应供应商的申请，我方以保证的方式向你方提供如下</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 xml:space="preserve">担保：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一、保证责任的情形及保证金额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出现下列情形之一时，我方承担保证责任：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无正当理由不与采购人或者采购代理机构签订《政府采购合同》；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应当缴纳保证金的其他情形。 </w:t>
      </w:r>
    </w:p>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（二）我方承担保证责任的最高金额为人民币______元（大写_________________），即本项目的</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 xml:space="preserve">金额。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二、保证的方式及保证期间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我方保证的方式为：连带责任保证。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我方的保证期间为：自本保函生效之日起______个月止。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三、承担保证责任的程序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1．你方要求我方承担保证责任的，应在本保函保证期间内向我方发出书面索赔通知。索赔通知应写明要求索赔的金额，支付款项应到达的账号，并附有证明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发生我方应承担保证责任情形的事实材料。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2．我方在收到索赔通知及相关证明材料后，在_____个工作日内进行审查，符合应承担保证责任情形的，我方应按照你方的要求代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向你方支付</w:t>
      </w:r>
      <w:r>
        <w:rPr>
          <w:rFonts w:hint="eastAsia" w:ascii="宋体" w:hAnsi="宋体" w:eastAsia="宋体" w:cs="宋体"/>
          <w:color w:val="auto"/>
          <w:sz w:val="24"/>
          <w:szCs w:val="24"/>
          <w:highlight w:val="none"/>
          <w:lang w:eastAsia="zh-CN"/>
        </w:rPr>
        <w:t>谈判保证金</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四、保证责任的终止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3．按照法律法规的规定或出现我方保证责任终止的其它情形的，我方在本保函项下的保证责任亦终止。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五、免责条款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1．依照法律规定或你方与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的另行约定，全部或者部分免除</w:t>
      </w:r>
      <w:r>
        <w:rPr>
          <w:rFonts w:hint="eastAsia" w:ascii="宋体" w:hAnsi="宋体" w:eastAsia="宋体" w:cs="宋体"/>
          <w:color w:val="auto"/>
          <w:sz w:val="24"/>
          <w:szCs w:val="24"/>
          <w:highlight w:val="none"/>
          <w:lang w:eastAsia="zh-CN"/>
        </w:rPr>
        <w:t>供应商谈判保证金</w:t>
      </w:r>
      <w:r>
        <w:rPr>
          <w:rFonts w:hint="eastAsia" w:ascii="宋体" w:hAnsi="宋体" w:eastAsia="宋体" w:cs="宋体"/>
          <w:color w:val="auto"/>
          <w:sz w:val="24"/>
          <w:szCs w:val="24"/>
          <w:highlight w:val="none"/>
        </w:rPr>
        <w:t xml:space="preserve">义务时，我方亦免除相应的保证责任。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2．因你方原因致使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发生本保函第一条第（一）款约定情形的，我方不承担保证责任。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3．因不可抗力造成</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发生本保函第一条约定情形的，我方不承担保证责任。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4．你方或其他有权机关对</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 xml:space="preserve">进行任何澄清或修改，加重我方保证责任的，我方对加重部分不承担保证责任，但该澄清或修改经我方事先书面同意的除外。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六、争议的解决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因本保函发生的纠纷，由你我双方协商解决，协商不成的，通过诉讼程序解决，诉讼管辖地法院为________________法院。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七、保函的生效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本保函自我方加盖公章之日起生效。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ind w:right="640"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pPr>
        <w:spacing w:line="360" w:lineRule="auto"/>
        <w:ind w:right="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pStyle w:val="8"/>
        <w:rPr>
          <w:rFonts w:hint="eastAsia"/>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before="100" w:beforeAutospacing="1" w:after="15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3</w:t>
      </w:r>
      <w:r>
        <w:rPr>
          <w:rFonts w:hint="eastAsia" w:ascii="宋体" w:hAnsi="宋体" w:eastAsia="宋体" w:cs="宋体"/>
          <w:b/>
          <w:bCs/>
          <w:color w:val="auto"/>
          <w:spacing w:val="6"/>
          <w:sz w:val="30"/>
          <w:szCs w:val="30"/>
          <w:highlight w:val="none"/>
        </w:rPr>
        <w:t>：</w:t>
      </w:r>
      <w:r>
        <w:rPr>
          <w:rFonts w:hint="eastAsia" w:ascii="宋体" w:hAnsi="宋体" w:eastAsia="宋体" w:cs="宋体"/>
          <w:b/>
          <w:color w:val="auto"/>
          <w:sz w:val="28"/>
          <w:szCs w:val="28"/>
          <w:highlight w:val="none"/>
        </w:rPr>
        <w:t>（如</w:t>
      </w:r>
      <w:r>
        <w:rPr>
          <w:rFonts w:hint="eastAsia" w:ascii="宋体" w:hAnsi="宋体" w:cs="宋体"/>
          <w:b/>
          <w:color w:val="auto"/>
          <w:sz w:val="28"/>
          <w:szCs w:val="28"/>
          <w:highlight w:val="none"/>
          <w:lang w:val="en-US" w:eastAsia="zh-CN"/>
        </w:rPr>
        <w:t>有</w:t>
      </w:r>
      <w:r>
        <w:rPr>
          <w:rFonts w:hint="eastAsia" w:ascii="宋体" w:hAnsi="宋体" w:eastAsia="宋体" w:cs="宋体"/>
          <w:b/>
          <w:color w:val="auto"/>
          <w:sz w:val="28"/>
          <w:szCs w:val="28"/>
          <w:highlight w:val="none"/>
        </w:rPr>
        <w:t>）</w:t>
      </w:r>
    </w:p>
    <w:p>
      <w:pPr>
        <w:spacing w:line="588" w:lineRule="exact"/>
        <w:jc w:val="center"/>
        <w:rPr>
          <w:rFonts w:hint="eastAsia" w:ascii="宋体" w:hAnsi="宋体" w:eastAsia="宋体" w:cs="宋体"/>
          <w:b/>
          <w:color w:val="auto"/>
          <w:spacing w:val="6"/>
          <w:sz w:val="32"/>
          <w:szCs w:val="32"/>
          <w:highlight w:val="none"/>
        </w:rPr>
      </w:pPr>
      <w:bookmarkStart w:id="95" w:name="OLE_LINK14"/>
      <w:bookmarkStart w:id="96" w:name="OLE_LINK13"/>
      <w:r>
        <w:rPr>
          <w:rFonts w:hint="eastAsia" w:ascii="宋体" w:hAnsi="宋体" w:eastAsia="宋体" w:cs="宋体"/>
          <w:b/>
          <w:color w:val="auto"/>
          <w:spacing w:val="6"/>
          <w:sz w:val="32"/>
          <w:szCs w:val="32"/>
          <w:highlight w:val="none"/>
        </w:rPr>
        <w:t>残疾人福利性单位声明函</w:t>
      </w:r>
    </w:p>
    <w:bookmarkEnd w:id="95"/>
    <w:bookmarkEnd w:id="96"/>
    <w:p>
      <w:pPr>
        <w:spacing w:line="588" w:lineRule="exact"/>
        <w:rPr>
          <w:rFonts w:hint="eastAsia" w:ascii="宋体" w:hAnsi="宋体" w:eastAsia="宋体" w:cs="宋体"/>
          <w:b/>
          <w:color w:val="auto"/>
          <w:spacing w:val="6"/>
          <w:sz w:val="30"/>
          <w:szCs w:val="30"/>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360" w:lineRule="auto"/>
        <w:ind w:right="640"/>
        <w:rPr>
          <w:rFonts w:hint="eastAsia" w:ascii="宋体" w:hAnsi="宋体" w:eastAsia="宋体" w:cs="宋体"/>
          <w:color w:val="auto"/>
          <w:sz w:val="24"/>
          <w:szCs w:val="24"/>
          <w:highlight w:val="none"/>
        </w:rPr>
      </w:pPr>
    </w:p>
    <w:p>
      <w:pPr>
        <w:spacing w:line="550" w:lineRule="exact"/>
        <w:ind w:right="640"/>
        <w:rPr>
          <w:rFonts w:hint="eastAsia" w:ascii="宋体" w:hAnsi="宋体" w:eastAsia="宋体" w:cs="宋体"/>
          <w:color w:val="auto"/>
          <w:sz w:val="24"/>
          <w:szCs w:val="24"/>
          <w:highlight w:val="none"/>
        </w:rPr>
      </w:pPr>
    </w:p>
    <w:p>
      <w:pPr>
        <w:pStyle w:val="8"/>
        <w:rPr>
          <w:rFonts w:hint="eastAsia"/>
          <w:color w:val="auto"/>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jc w:val="left"/>
        <w:rPr>
          <w:rFonts w:hint="eastAsia" w:ascii="宋体" w:hAnsi="宋体" w:cs="宋体"/>
          <w:b/>
          <w:bCs/>
          <w:color w:val="auto"/>
          <w:spacing w:val="6"/>
          <w:kern w:val="0"/>
          <w:sz w:val="30"/>
          <w:szCs w:val="30"/>
          <w:highlight w:val="none"/>
        </w:rPr>
      </w:pPr>
    </w:p>
    <w:p>
      <w:pPr>
        <w:pStyle w:val="3"/>
        <w:jc w:val="left"/>
        <w:rPr>
          <w:rFonts w:hint="eastAsia" w:ascii="宋体" w:hAnsi="宋体" w:cs="宋体"/>
          <w:b/>
          <w:bCs/>
          <w:color w:val="auto"/>
          <w:spacing w:val="6"/>
          <w:kern w:val="0"/>
          <w:sz w:val="30"/>
          <w:szCs w:val="30"/>
          <w:highlight w:val="none"/>
        </w:rPr>
      </w:pPr>
    </w:p>
    <w:p>
      <w:pPr>
        <w:pStyle w:val="3"/>
        <w:jc w:val="left"/>
        <w:rPr>
          <w:rFonts w:ascii="宋体" w:hAnsi="宋体" w:cs="宋体"/>
          <w:b/>
          <w:bCs/>
          <w:color w:val="auto"/>
          <w:spacing w:val="6"/>
          <w:sz w:val="30"/>
          <w:szCs w:val="30"/>
          <w:highlight w:val="none"/>
        </w:rPr>
      </w:pPr>
      <w:r>
        <w:rPr>
          <w:rFonts w:hint="eastAsia" w:ascii="宋体" w:hAnsi="宋体" w:cs="宋体"/>
          <w:b/>
          <w:bCs/>
          <w:color w:val="auto"/>
          <w:spacing w:val="6"/>
          <w:kern w:val="0"/>
          <w:sz w:val="30"/>
          <w:szCs w:val="30"/>
          <w:highlight w:val="none"/>
        </w:rPr>
        <w:t>附件4</w:t>
      </w:r>
      <w:r>
        <w:rPr>
          <w:rFonts w:hint="eastAsia" w:ascii="宋体" w:hAnsi="宋体" w:cs="宋体"/>
          <w:b/>
          <w:bCs/>
          <w:color w:val="auto"/>
          <w:spacing w:val="6"/>
          <w:sz w:val="30"/>
          <w:szCs w:val="30"/>
          <w:highlight w:val="none"/>
        </w:rPr>
        <w:t>（如有）</w:t>
      </w:r>
    </w:p>
    <w:p>
      <w:pPr>
        <w:pStyle w:val="3"/>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监狱企业证明文件</w:t>
      </w:r>
    </w:p>
    <w:p>
      <w:pPr>
        <w:spacing w:line="588" w:lineRule="exact"/>
        <w:ind w:firstLine="504" w:firstLineChars="200"/>
        <w:rPr>
          <w:rFonts w:ascii="宋体" w:hAnsi="宋体" w:cs="宋体"/>
          <w:color w:val="auto"/>
          <w:spacing w:val="6"/>
          <w:sz w:val="24"/>
          <w:szCs w:val="24"/>
          <w:highlight w:val="none"/>
        </w:rPr>
      </w:pPr>
      <w:r>
        <w:rPr>
          <w:rFonts w:hint="eastAsia" w:ascii="宋体" w:hAnsi="宋体" w:cs="宋体"/>
          <w:color w:val="auto"/>
          <w:spacing w:val="6"/>
          <w:sz w:val="24"/>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504" w:firstLineChars="200"/>
        <w:jc w:val="left"/>
        <w:rPr>
          <w:rFonts w:hint="eastAsia" w:ascii="宋体" w:hAnsi="宋体" w:eastAsia="宋体" w:cs="宋体"/>
          <w:sz w:val="24"/>
          <w:szCs w:val="24"/>
          <w:highlight w:val="none"/>
        </w:rPr>
      </w:pPr>
      <w:r>
        <w:rPr>
          <w:rFonts w:hint="eastAsia" w:ascii="宋体" w:hAnsi="宋体" w:cs="宋体"/>
          <w:color w:val="auto"/>
          <w:spacing w:val="6"/>
          <w:sz w:val="24"/>
          <w:szCs w:val="24"/>
          <w:highlight w:val="none"/>
        </w:rPr>
        <w:t>监狱企业参加政府采购活动时，应当提供由省级以上监狱管理局、戒毒管理局（含新疆生产建设兵团）出具的属于监狱企业的证明文件。</w:t>
      </w:r>
    </w:p>
    <w:p>
      <w:pPr>
        <w:pStyle w:val="3"/>
        <w:rPr>
          <w:rFonts w:hint="eastAsia" w:ascii="宋体" w:hAnsi="宋体" w:eastAsia="宋体" w:cs="宋体"/>
          <w:highlight w:val="none"/>
        </w:rPr>
      </w:pPr>
    </w:p>
    <w:p>
      <w:pPr>
        <w:spacing w:line="360" w:lineRule="auto"/>
        <w:ind w:right="640"/>
        <w:rPr>
          <w:rFonts w:hint="eastAsia" w:ascii="宋体" w:hAnsi="宋体" w:eastAsia="宋体" w:cs="宋体"/>
          <w:sz w:val="24"/>
          <w:szCs w:val="24"/>
          <w:highlight w:val="none"/>
        </w:rPr>
      </w:pPr>
    </w:p>
    <w:sectPr>
      <w:headerReference r:id="rId10" w:type="default"/>
      <w:pgSz w:w="11907" w:h="16840"/>
      <w:pgMar w:top="1418" w:right="94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6tsy/TAQAApg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lqsqKdR7qLHw3mNpHD66IVVPccBgIj7IYNIXKRHMo76ni75iiISnS9WqqkpMcczNDuIUj9d9&#10;gHgnnCHJaGjAB8y6suNniGPpXJK6WXertMY4q7UlPaJeV++v841LCtG1xSaJxThtsuKwGyYKO9ee&#10;kFmPW9BQi0tPif5kUeS0MLMRZmM3Gwcf1L7LG5X6g/9wiDhOnjJ1GGGnxvh8mee0amk/nvq56vH3&#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6tsy/TAQAApgMAAA4AAAAAAAAAAQAgAAAA&#10;IgEAAGRycy9lMm9Eb2MueG1sUEsFBgAAAAAGAAYAWQEAAGcFA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ascii="Times New Roman" w:hAnsi="Times New Roman" w:eastAsia="宋体" w:cs="Times New Roman"/>
                        <w:b w:val="0"/>
                        <w:kern w:val="2"/>
                        <w:sz w:val="18"/>
                        <w:szCs w:val="18"/>
                        <w:highlight w:val="none"/>
                        <w:lang w:val="en-US" w:eastAsia="zh-CN" w:bidi="ar-SA"/>
                      </w:rPr>
                    </w:pPr>
                    <w:r>
                      <w:rPr>
                        <w:rFonts w:hint="eastAsia" w:ascii="Times New Roman" w:hAnsi="Times New Roman" w:eastAsia="宋体" w:cs="Times New Roman"/>
                        <w:b w:val="0"/>
                        <w:kern w:val="2"/>
                        <w:sz w:val="18"/>
                        <w:szCs w:val="18"/>
                        <w:highlight w:val="none"/>
                        <w:lang w:val="en-US" w:eastAsia="zh-CN" w:bidi="ar-SA"/>
                      </w:rPr>
                      <w:t xml:space="preserve">第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PAGE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1</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 共 </w:t>
                    </w:r>
                    <w:r>
                      <w:rPr>
                        <w:rFonts w:hint="eastAsia" w:ascii="Times New Roman" w:hAnsi="Times New Roman" w:eastAsia="宋体" w:cs="Times New Roman"/>
                        <w:b w:val="0"/>
                        <w:kern w:val="2"/>
                        <w:sz w:val="18"/>
                        <w:szCs w:val="18"/>
                        <w:highlight w:val="none"/>
                        <w:lang w:val="en-US" w:eastAsia="zh-CN" w:bidi="ar-SA"/>
                      </w:rPr>
                      <w:fldChar w:fldCharType="begin"/>
                    </w:r>
                    <w:r>
                      <w:rPr>
                        <w:rFonts w:hint="eastAsia" w:ascii="Times New Roman" w:hAnsi="Times New Roman" w:eastAsia="宋体" w:cs="Times New Roman"/>
                        <w:b w:val="0"/>
                        <w:kern w:val="2"/>
                        <w:sz w:val="18"/>
                        <w:szCs w:val="18"/>
                        <w:highlight w:val="none"/>
                        <w:lang w:val="en-US" w:eastAsia="zh-CN" w:bidi="ar-SA"/>
                      </w:rPr>
                      <w:instrText xml:space="preserve"> NUMPAGES  \* MERGEFORMAT </w:instrText>
                    </w:r>
                    <w:r>
                      <w:rPr>
                        <w:rFonts w:hint="eastAsia" w:ascii="Times New Roman" w:hAnsi="Times New Roman" w:eastAsia="宋体" w:cs="Times New Roman"/>
                        <w:b w:val="0"/>
                        <w:kern w:val="2"/>
                        <w:sz w:val="18"/>
                        <w:szCs w:val="18"/>
                        <w:highlight w:val="none"/>
                        <w:lang w:val="en-US" w:eastAsia="zh-CN" w:bidi="ar-SA"/>
                      </w:rPr>
                      <w:fldChar w:fldCharType="separate"/>
                    </w:r>
                    <w:r>
                      <w:rPr>
                        <w:rFonts w:hint="eastAsia" w:ascii="Times New Roman" w:hAnsi="Times New Roman" w:eastAsia="宋体" w:cs="Times New Roman"/>
                        <w:b w:val="0"/>
                        <w:kern w:val="2"/>
                        <w:sz w:val="18"/>
                        <w:szCs w:val="18"/>
                        <w:highlight w:val="none"/>
                        <w:lang w:val="en-US" w:eastAsia="zh-CN" w:bidi="ar-SA"/>
                      </w:rPr>
                      <w:t>58</w:t>
                    </w:r>
                    <w:r>
                      <w:rPr>
                        <w:rFonts w:hint="eastAsia" w:ascii="Times New Roman" w:hAnsi="Times New Roman" w:eastAsia="宋体" w:cs="Times New Roman"/>
                        <w:b w:val="0"/>
                        <w:kern w:val="2"/>
                        <w:sz w:val="18"/>
                        <w:szCs w:val="18"/>
                        <w:highlight w:val="none"/>
                        <w:lang w:val="en-US" w:eastAsia="zh-CN" w:bidi="ar-SA"/>
                      </w:rPr>
                      <w:fldChar w:fldCharType="end"/>
                    </w:r>
                    <w:r>
                      <w:rPr>
                        <w:rFonts w:hint="eastAsia" w:ascii="Times New Roman" w:hAnsi="Times New Roman" w:eastAsia="宋体" w:cs="Times New Roman"/>
                        <w:b w:val="0"/>
                        <w:kern w:val="2"/>
                        <w:sz w:val="18"/>
                        <w:szCs w:val="18"/>
                        <w:highlight w:val="none"/>
                        <w:lang w:val="en-US" w:eastAsia="zh-CN" w:bidi="ar-SA"/>
                      </w:rPr>
                      <w:t xml:space="preserve"> 页</w:t>
                    </w:r>
                  </w:p>
                </w:txbxContent>
              </v:textbox>
            </v:shape>
          </w:pict>
        </mc:Fallback>
      </mc:AlternateContent>
    </w:r>
    <w:r>
      <w:rPr>
        <w:rFonts w:hint="eastAsia" w:ascii="Times New Roman" w:hAnsi="Times New Roman" w:eastAsia="宋体" w:cs="Times New Roman"/>
        <w:sz w:val="18"/>
        <w:szCs w:val="18"/>
        <w:highlight w:val="none"/>
        <w:lang w:eastAsia="zh-CN"/>
      </w:rPr>
      <w:t>陕西中桓国际项目管理有限公司</w: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r>
      <w:rPr>
        <w:rFonts w:hint="eastAsia"/>
        <w:sz w:val="18"/>
        <w:szCs w:val="18"/>
        <w:lang w:eastAsia="zh-CN"/>
      </w:rPr>
      <w:t>地</w:t>
    </w:r>
    <w:r>
      <w:rPr>
        <w:rFonts w:hint="eastAsia"/>
        <w:sz w:val="18"/>
        <w:szCs w:val="18"/>
        <w:highlight w:val="none"/>
        <w:lang w:eastAsia="zh-CN"/>
      </w:rPr>
      <w:t>址</w:t>
    </w:r>
    <w:r>
      <w:rPr>
        <w:rFonts w:hint="eastAsia" w:ascii="Times New Roman" w:hAnsi="Times New Roman" w:eastAsia="宋体" w:cs="Times New Roman"/>
        <w:sz w:val="18"/>
        <w:szCs w:val="18"/>
        <w:highlight w:val="none"/>
        <w:lang w:eastAsia="zh-CN"/>
      </w:rPr>
      <w:t>：</w:t>
    </w:r>
    <w:r>
      <w:rPr>
        <w:rFonts w:hint="eastAsia" w:cs="Times New Roman"/>
        <w:sz w:val="18"/>
        <w:szCs w:val="18"/>
        <w:highlight w:val="none"/>
        <w:lang w:eastAsia="zh-CN"/>
      </w:rPr>
      <w:t>黄陵县轩辕大道原石油公司办公楼二楼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ind w:right="-420" w:rightChars="-200"/>
      <w:rPr>
        <w:rFonts w:ascii="宋体" w:hAnsi="宋体"/>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1</w:t>
                    </w:r>
                    <w:r>
                      <w:rPr>
                        <w:b w:val="0"/>
                        <w:bCs/>
                      </w:rPr>
                      <w:fldChar w:fldCharType="end"/>
                    </w:r>
                    <w:r>
                      <w:rPr>
                        <w:b w:val="0"/>
                        <w:bCs/>
                      </w:rPr>
                      <w:t xml:space="preserve"> 页 共 </w:t>
                    </w:r>
                    <w:r>
                      <w:rPr>
                        <w:b w:val="0"/>
                        <w:bCs/>
                      </w:rPr>
                      <w:fldChar w:fldCharType="begin"/>
                    </w:r>
                    <w:r>
                      <w:rPr>
                        <w:b w:val="0"/>
                        <w:bCs/>
                      </w:rPr>
                      <w:instrText xml:space="preserve"> NUMPAGES  \* MERGEFORMAT </w:instrText>
                    </w:r>
                    <w:r>
                      <w:rPr>
                        <w:b w:val="0"/>
                        <w:bCs/>
                      </w:rPr>
                      <w:fldChar w:fldCharType="separate"/>
                    </w:r>
                    <w:r>
                      <w:rPr>
                        <w:b w:val="0"/>
                        <w:bCs/>
                      </w:rPr>
                      <w:t>58</w:t>
                    </w:r>
                    <w:r>
                      <w:rPr>
                        <w:b w:val="0"/>
                        <w:bCs/>
                      </w:rPr>
                      <w:fldChar w:fldCharType="end"/>
                    </w:r>
                    <w:r>
                      <w:rPr>
                        <w:b w:val="0"/>
                        <w:bCs/>
                      </w:rPr>
                      <w:t xml:space="preserve"> 页</w:t>
                    </w:r>
                  </w:p>
                </w:txbxContent>
              </v:textbox>
            </v:shape>
          </w:pict>
        </mc:Fallback>
      </mc:AlternateContent>
    </w:r>
    <w:r>
      <w:rPr>
        <w:rFonts w:hint="eastAsia" w:ascii="Times New Roman" w:hAnsi="Times New Roman" w:eastAsia="宋体" w:cs="Times New Roman"/>
        <w:sz w:val="18"/>
        <w:szCs w:val="18"/>
        <w:highlight w:val="none"/>
        <w:lang w:val="en-US" w:eastAsia="zh-CN"/>
      </w:rPr>
      <w:t xml:space="preserve">  </w:t>
    </w:r>
    <w:r>
      <w:rPr>
        <w:rFonts w:hint="eastAsia"/>
        <w:sz w:val="18"/>
        <w:szCs w:val="1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hint="eastAsia"/>
        <w:u w:val="none"/>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tabs>
        <w:tab w:val="right" w:pos="8820"/>
        <w:tab w:val="clear" w:pos="8306"/>
      </w:tabs>
      <w:ind w:right="619" w:rightChars="29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9E576"/>
    <w:multiLevelType w:val="singleLevel"/>
    <w:tmpl w:val="D959E576"/>
    <w:lvl w:ilvl="0" w:tentative="0">
      <w:start w:val="1"/>
      <w:numFmt w:val="decimal"/>
      <w:suff w:val="nothing"/>
      <w:lvlText w:val="（%1）"/>
      <w:lvlJc w:val="left"/>
    </w:lvl>
  </w:abstractNum>
  <w:abstractNum w:abstractNumId="1">
    <w:nsid w:val="00000001"/>
    <w:multiLevelType w:val="multilevel"/>
    <w:tmpl w:val="00000001"/>
    <w:lvl w:ilvl="0" w:tentative="0">
      <w:start w:val="1"/>
      <w:numFmt w:val="lowerLetter"/>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3">
    <w:nsid w:val="124BB631"/>
    <w:multiLevelType w:val="singleLevel"/>
    <w:tmpl w:val="124BB631"/>
    <w:lvl w:ilvl="0" w:tentative="0">
      <w:start w:val="7"/>
      <w:numFmt w:val="chineseCounting"/>
      <w:suff w:val="nothing"/>
      <w:lvlText w:val="%1、"/>
      <w:lvlJc w:val="left"/>
      <w:rPr>
        <w:rFonts w:hint="eastAsia"/>
      </w:rPr>
    </w:lvl>
  </w:abstractNum>
  <w:abstractNum w:abstractNumId="4">
    <w:nsid w:val="3D0E1543"/>
    <w:multiLevelType w:val="singleLevel"/>
    <w:tmpl w:val="3D0E1543"/>
    <w:lvl w:ilvl="0" w:tentative="0">
      <w:start w:val="1"/>
      <w:numFmt w:val="decimal"/>
      <w:lvlText w:val="%1."/>
      <w:lvlJc w:val="left"/>
      <w:pPr>
        <w:tabs>
          <w:tab w:val="left" w:pos="312"/>
        </w:tabs>
      </w:pPr>
    </w:lvl>
  </w:abstractNum>
  <w:abstractNum w:abstractNumId="5">
    <w:nsid w:val="3D39144C"/>
    <w:multiLevelType w:val="singleLevel"/>
    <w:tmpl w:val="3D39144C"/>
    <w:lvl w:ilvl="0" w:tentative="0">
      <w:start w:val="5"/>
      <w:numFmt w:val="chineseCounting"/>
      <w:suff w:val="nothing"/>
      <w:lvlText w:val="%1、"/>
      <w:lvlJc w:val="left"/>
      <w:rPr>
        <w:rFonts w:hint="eastAsia"/>
      </w:rPr>
    </w:lvl>
  </w:abstractNum>
  <w:abstractNum w:abstractNumId="6">
    <w:nsid w:val="59B2460E"/>
    <w:multiLevelType w:val="singleLevel"/>
    <w:tmpl w:val="59B2460E"/>
    <w:lvl w:ilvl="0" w:tentative="0">
      <w:start w:val="2"/>
      <w:numFmt w:val="decimal"/>
      <w:suff w:val="nothing"/>
      <w:lvlText w:val="%1."/>
      <w:lvlJc w:val="left"/>
    </w:lvl>
  </w:abstractNum>
  <w:abstractNum w:abstractNumId="7">
    <w:nsid w:val="59CC62DA"/>
    <w:multiLevelType w:val="singleLevel"/>
    <w:tmpl w:val="59CC62DA"/>
    <w:lvl w:ilvl="0" w:tentative="0">
      <w:start w:val="5"/>
      <w:numFmt w:val="chineseCounting"/>
      <w:suff w:val="space"/>
      <w:lvlText w:val="第%1章"/>
      <w:lvlJc w:val="left"/>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MTMwNDVkYTA2MTU3NGM2MjUzNmNiNTg1MjE0MjcifQ=="/>
  </w:docVars>
  <w:rsids>
    <w:rsidRoot w:val="00172A27"/>
    <w:rsid w:val="00002484"/>
    <w:rsid w:val="00006BA7"/>
    <w:rsid w:val="00006F34"/>
    <w:rsid w:val="00010923"/>
    <w:rsid w:val="000111C7"/>
    <w:rsid w:val="0001276B"/>
    <w:rsid w:val="00014C80"/>
    <w:rsid w:val="00016233"/>
    <w:rsid w:val="00021033"/>
    <w:rsid w:val="00025B34"/>
    <w:rsid w:val="000267AF"/>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682B"/>
    <w:rsid w:val="00F16F91"/>
    <w:rsid w:val="00F20AD3"/>
    <w:rsid w:val="00F23757"/>
    <w:rsid w:val="00F40C3B"/>
    <w:rsid w:val="00F40F9D"/>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1C1B4B"/>
    <w:rsid w:val="01380C45"/>
    <w:rsid w:val="01391806"/>
    <w:rsid w:val="024B788D"/>
    <w:rsid w:val="027D062B"/>
    <w:rsid w:val="029370C7"/>
    <w:rsid w:val="029E0CDB"/>
    <w:rsid w:val="02A5798A"/>
    <w:rsid w:val="02E505EF"/>
    <w:rsid w:val="02E876A7"/>
    <w:rsid w:val="0314419D"/>
    <w:rsid w:val="03324F93"/>
    <w:rsid w:val="03406F5E"/>
    <w:rsid w:val="0342363C"/>
    <w:rsid w:val="038D72DF"/>
    <w:rsid w:val="03A27284"/>
    <w:rsid w:val="03B5557A"/>
    <w:rsid w:val="03CE35CB"/>
    <w:rsid w:val="03FE52CF"/>
    <w:rsid w:val="041026CE"/>
    <w:rsid w:val="04204165"/>
    <w:rsid w:val="042133C7"/>
    <w:rsid w:val="04716658"/>
    <w:rsid w:val="048552F8"/>
    <w:rsid w:val="056B3C24"/>
    <w:rsid w:val="0583116F"/>
    <w:rsid w:val="05A71363"/>
    <w:rsid w:val="05AC72D7"/>
    <w:rsid w:val="062B640B"/>
    <w:rsid w:val="066E4CAE"/>
    <w:rsid w:val="06894CA3"/>
    <w:rsid w:val="068B5F77"/>
    <w:rsid w:val="06925B6D"/>
    <w:rsid w:val="0696660B"/>
    <w:rsid w:val="06C26EFB"/>
    <w:rsid w:val="06D864CC"/>
    <w:rsid w:val="06FA1444"/>
    <w:rsid w:val="06FC6897"/>
    <w:rsid w:val="0747745C"/>
    <w:rsid w:val="078157D1"/>
    <w:rsid w:val="07CF65FF"/>
    <w:rsid w:val="08315D7E"/>
    <w:rsid w:val="08712944"/>
    <w:rsid w:val="08FB19A4"/>
    <w:rsid w:val="08FB3435"/>
    <w:rsid w:val="09015CED"/>
    <w:rsid w:val="09183C9B"/>
    <w:rsid w:val="09362AAF"/>
    <w:rsid w:val="098B402E"/>
    <w:rsid w:val="099224C2"/>
    <w:rsid w:val="09993138"/>
    <w:rsid w:val="09D92C37"/>
    <w:rsid w:val="0A1F33AB"/>
    <w:rsid w:val="0A1F5B28"/>
    <w:rsid w:val="0A3D4F01"/>
    <w:rsid w:val="0A552B46"/>
    <w:rsid w:val="0A7950D7"/>
    <w:rsid w:val="0A912549"/>
    <w:rsid w:val="0AA15EAB"/>
    <w:rsid w:val="0AAE27CA"/>
    <w:rsid w:val="0AF1320B"/>
    <w:rsid w:val="0AF17010"/>
    <w:rsid w:val="0B973E91"/>
    <w:rsid w:val="0BB0283D"/>
    <w:rsid w:val="0C46506D"/>
    <w:rsid w:val="0C6D40AD"/>
    <w:rsid w:val="0D2B0CC3"/>
    <w:rsid w:val="0D523EEC"/>
    <w:rsid w:val="0D631E83"/>
    <w:rsid w:val="0DC12C53"/>
    <w:rsid w:val="0DD451C6"/>
    <w:rsid w:val="0DE46F59"/>
    <w:rsid w:val="0E580E17"/>
    <w:rsid w:val="0E6E1FAD"/>
    <w:rsid w:val="0E7A3FA8"/>
    <w:rsid w:val="0E9E01A5"/>
    <w:rsid w:val="0EC11AEA"/>
    <w:rsid w:val="0F192865"/>
    <w:rsid w:val="0F360424"/>
    <w:rsid w:val="0F4155C6"/>
    <w:rsid w:val="0F7F0EF9"/>
    <w:rsid w:val="0F970C16"/>
    <w:rsid w:val="0FD6660F"/>
    <w:rsid w:val="0FDB7A2F"/>
    <w:rsid w:val="0FE9742C"/>
    <w:rsid w:val="0FF7696F"/>
    <w:rsid w:val="100D0BAA"/>
    <w:rsid w:val="10BE76B9"/>
    <w:rsid w:val="11233F97"/>
    <w:rsid w:val="1137099C"/>
    <w:rsid w:val="11452DE3"/>
    <w:rsid w:val="116E43FC"/>
    <w:rsid w:val="11714C98"/>
    <w:rsid w:val="11AE5E3A"/>
    <w:rsid w:val="11B5219D"/>
    <w:rsid w:val="11D543EE"/>
    <w:rsid w:val="12271C6A"/>
    <w:rsid w:val="12301BDC"/>
    <w:rsid w:val="123F6E4A"/>
    <w:rsid w:val="12423403"/>
    <w:rsid w:val="12592048"/>
    <w:rsid w:val="12922A85"/>
    <w:rsid w:val="12A13F4A"/>
    <w:rsid w:val="12D9642F"/>
    <w:rsid w:val="12E73A02"/>
    <w:rsid w:val="12E94609"/>
    <w:rsid w:val="12EE73D0"/>
    <w:rsid w:val="130D65BB"/>
    <w:rsid w:val="132A7A92"/>
    <w:rsid w:val="135037EB"/>
    <w:rsid w:val="135E29E4"/>
    <w:rsid w:val="137F4E4D"/>
    <w:rsid w:val="13BE14CF"/>
    <w:rsid w:val="14515F6C"/>
    <w:rsid w:val="14995A19"/>
    <w:rsid w:val="14F11BE1"/>
    <w:rsid w:val="150A61A4"/>
    <w:rsid w:val="151762C4"/>
    <w:rsid w:val="15365590"/>
    <w:rsid w:val="158540DD"/>
    <w:rsid w:val="159077EE"/>
    <w:rsid w:val="16166263"/>
    <w:rsid w:val="164B0DF0"/>
    <w:rsid w:val="167A6EE1"/>
    <w:rsid w:val="167B4B5C"/>
    <w:rsid w:val="168F788A"/>
    <w:rsid w:val="16937499"/>
    <w:rsid w:val="16E21383"/>
    <w:rsid w:val="16EE4D8D"/>
    <w:rsid w:val="16F7073B"/>
    <w:rsid w:val="172E4372"/>
    <w:rsid w:val="17EC6088"/>
    <w:rsid w:val="187301E8"/>
    <w:rsid w:val="187F72BD"/>
    <w:rsid w:val="18B12C39"/>
    <w:rsid w:val="18E616BD"/>
    <w:rsid w:val="198A0A74"/>
    <w:rsid w:val="19A741F4"/>
    <w:rsid w:val="19C740EA"/>
    <w:rsid w:val="19CE0D96"/>
    <w:rsid w:val="1A3801B5"/>
    <w:rsid w:val="1A667B51"/>
    <w:rsid w:val="1A846B3C"/>
    <w:rsid w:val="1B1425D4"/>
    <w:rsid w:val="1B155FFD"/>
    <w:rsid w:val="1B1970DF"/>
    <w:rsid w:val="1B6712A8"/>
    <w:rsid w:val="1B8E43E1"/>
    <w:rsid w:val="1B9B7CA7"/>
    <w:rsid w:val="1BB905CA"/>
    <w:rsid w:val="1BB97074"/>
    <w:rsid w:val="1BD2289D"/>
    <w:rsid w:val="1C11403B"/>
    <w:rsid w:val="1C46561A"/>
    <w:rsid w:val="1C583D58"/>
    <w:rsid w:val="1C6A440F"/>
    <w:rsid w:val="1CB42226"/>
    <w:rsid w:val="1CFF7226"/>
    <w:rsid w:val="1D1636D0"/>
    <w:rsid w:val="1DBC198B"/>
    <w:rsid w:val="1DCE386D"/>
    <w:rsid w:val="1E625FC7"/>
    <w:rsid w:val="1E79088D"/>
    <w:rsid w:val="1EA02CCB"/>
    <w:rsid w:val="1F2532ED"/>
    <w:rsid w:val="1F9D516C"/>
    <w:rsid w:val="1FF41D4F"/>
    <w:rsid w:val="20046DF4"/>
    <w:rsid w:val="208F4B9E"/>
    <w:rsid w:val="20CC7A2F"/>
    <w:rsid w:val="20F40FA1"/>
    <w:rsid w:val="20FE1478"/>
    <w:rsid w:val="21025613"/>
    <w:rsid w:val="21180122"/>
    <w:rsid w:val="218E342C"/>
    <w:rsid w:val="21B06551"/>
    <w:rsid w:val="21B462BD"/>
    <w:rsid w:val="21C56604"/>
    <w:rsid w:val="21CF79E5"/>
    <w:rsid w:val="21DF2183"/>
    <w:rsid w:val="220940AD"/>
    <w:rsid w:val="221148DD"/>
    <w:rsid w:val="221F6142"/>
    <w:rsid w:val="222C02AA"/>
    <w:rsid w:val="227E362E"/>
    <w:rsid w:val="22BC6BBD"/>
    <w:rsid w:val="22C12F8A"/>
    <w:rsid w:val="22D01E29"/>
    <w:rsid w:val="23007D7C"/>
    <w:rsid w:val="23186C79"/>
    <w:rsid w:val="23B95696"/>
    <w:rsid w:val="23EA7CFA"/>
    <w:rsid w:val="240750AB"/>
    <w:rsid w:val="24395BDE"/>
    <w:rsid w:val="243C0FB3"/>
    <w:rsid w:val="24466E5F"/>
    <w:rsid w:val="244F54A0"/>
    <w:rsid w:val="249B5864"/>
    <w:rsid w:val="24A50A2E"/>
    <w:rsid w:val="254C7941"/>
    <w:rsid w:val="256E4ED7"/>
    <w:rsid w:val="259C1015"/>
    <w:rsid w:val="25EE7FBB"/>
    <w:rsid w:val="26202593"/>
    <w:rsid w:val="26E4095C"/>
    <w:rsid w:val="273B6ADE"/>
    <w:rsid w:val="279D398E"/>
    <w:rsid w:val="27CD66DB"/>
    <w:rsid w:val="28676D94"/>
    <w:rsid w:val="289C400E"/>
    <w:rsid w:val="28C7409B"/>
    <w:rsid w:val="291C4FEB"/>
    <w:rsid w:val="29322093"/>
    <w:rsid w:val="293B36DC"/>
    <w:rsid w:val="29423CBE"/>
    <w:rsid w:val="297476BF"/>
    <w:rsid w:val="29E04A1D"/>
    <w:rsid w:val="29F81E1C"/>
    <w:rsid w:val="2A846F27"/>
    <w:rsid w:val="2AD872B4"/>
    <w:rsid w:val="2AFE7725"/>
    <w:rsid w:val="2B1A72C1"/>
    <w:rsid w:val="2B32082B"/>
    <w:rsid w:val="2B4B2633"/>
    <w:rsid w:val="2BAA3A0A"/>
    <w:rsid w:val="2BB71DD4"/>
    <w:rsid w:val="2C07741C"/>
    <w:rsid w:val="2CA87275"/>
    <w:rsid w:val="2CC44B48"/>
    <w:rsid w:val="2CDD4A0E"/>
    <w:rsid w:val="2CE9341F"/>
    <w:rsid w:val="2D03199A"/>
    <w:rsid w:val="2D0D48D4"/>
    <w:rsid w:val="2D8518F4"/>
    <w:rsid w:val="2DB30890"/>
    <w:rsid w:val="2E090714"/>
    <w:rsid w:val="2E2744B0"/>
    <w:rsid w:val="2E8669AA"/>
    <w:rsid w:val="2F62392B"/>
    <w:rsid w:val="2F82488D"/>
    <w:rsid w:val="3018109B"/>
    <w:rsid w:val="30235A50"/>
    <w:rsid w:val="303E5A10"/>
    <w:rsid w:val="304D6F7E"/>
    <w:rsid w:val="307008BB"/>
    <w:rsid w:val="30873FAB"/>
    <w:rsid w:val="31114F97"/>
    <w:rsid w:val="312471E7"/>
    <w:rsid w:val="316322AE"/>
    <w:rsid w:val="31782CAF"/>
    <w:rsid w:val="318654E0"/>
    <w:rsid w:val="3207269E"/>
    <w:rsid w:val="326A259E"/>
    <w:rsid w:val="32933712"/>
    <w:rsid w:val="32C13380"/>
    <w:rsid w:val="32E77493"/>
    <w:rsid w:val="3320617E"/>
    <w:rsid w:val="332924F5"/>
    <w:rsid w:val="33401C0F"/>
    <w:rsid w:val="335E5CD2"/>
    <w:rsid w:val="339A7D0A"/>
    <w:rsid w:val="33DF4510"/>
    <w:rsid w:val="3401164F"/>
    <w:rsid w:val="343C732F"/>
    <w:rsid w:val="34777188"/>
    <w:rsid w:val="34827ADC"/>
    <w:rsid w:val="34856DB9"/>
    <w:rsid w:val="34E03C50"/>
    <w:rsid w:val="353B029B"/>
    <w:rsid w:val="35410549"/>
    <w:rsid w:val="3554290A"/>
    <w:rsid w:val="356A099A"/>
    <w:rsid w:val="357E6FD1"/>
    <w:rsid w:val="358D5123"/>
    <w:rsid w:val="35F74768"/>
    <w:rsid w:val="360E412D"/>
    <w:rsid w:val="368A57DF"/>
    <w:rsid w:val="36B936D8"/>
    <w:rsid w:val="370666B6"/>
    <w:rsid w:val="37862E84"/>
    <w:rsid w:val="37F07439"/>
    <w:rsid w:val="380B2BA2"/>
    <w:rsid w:val="392F3EDF"/>
    <w:rsid w:val="399177DC"/>
    <w:rsid w:val="39A105E9"/>
    <w:rsid w:val="39AD2622"/>
    <w:rsid w:val="39C656D7"/>
    <w:rsid w:val="39E43EB9"/>
    <w:rsid w:val="3A061A3B"/>
    <w:rsid w:val="3A0636E9"/>
    <w:rsid w:val="3A0B7871"/>
    <w:rsid w:val="3A2C3E02"/>
    <w:rsid w:val="3AA351FB"/>
    <w:rsid w:val="3AAD7671"/>
    <w:rsid w:val="3AD60D98"/>
    <w:rsid w:val="3AFD0385"/>
    <w:rsid w:val="3B0911E6"/>
    <w:rsid w:val="3B305869"/>
    <w:rsid w:val="3B3B1C9B"/>
    <w:rsid w:val="3BC66196"/>
    <w:rsid w:val="3BD92149"/>
    <w:rsid w:val="3BF1547D"/>
    <w:rsid w:val="3C1E0393"/>
    <w:rsid w:val="3D4B5F1A"/>
    <w:rsid w:val="3D5D315C"/>
    <w:rsid w:val="3E292D05"/>
    <w:rsid w:val="3E2E4EC5"/>
    <w:rsid w:val="3E603030"/>
    <w:rsid w:val="3E9D1661"/>
    <w:rsid w:val="3EA57E41"/>
    <w:rsid w:val="3EC7742B"/>
    <w:rsid w:val="3EDF43A1"/>
    <w:rsid w:val="3EF34430"/>
    <w:rsid w:val="3F7A2BB9"/>
    <w:rsid w:val="3FAB1399"/>
    <w:rsid w:val="3FEA1609"/>
    <w:rsid w:val="3FF664DD"/>
    <w:rsid w:val="400637DB"/>
    <w:rsid w:val="40551718"/>
    <w:rsid w:val="407B3D6A"/>
    <w:rsid w:val="40991474"/>
    <w:rsid w:val="40BF4E05"/>
    <w:rsid w:val="41D3417C"/>
    <w:rsid w:val="421D54DF"/>
    <w:rsid w:val="42B809A5"/>
    <w:rsid w:val="42C20897"/>
    <w:rsid w:val="42C2516F"/>
    <w:rsid w:val="42C47DB1"/>
    <w:rsid w:val="43432ECC"/>
    <w:rsid w:val="434969FB"/>
    <w:rsid w:val="437020DC"/>
    <w:rsid w:val="437C019B"/>
    <w:rsid w:val="43FF71E6"/>
    <w:rsid w:val="44495A5D"/>
    <w:rsid w:val="44944E80"/>
    <w:rsid w:val="44D51E4A"/>
    <w:rsid w:val="44EF0953"/>
    <w:rsid w:val="44F608DF"/>
    <w:rsid w:val="450960EF"/>
    <w:rsid w:val="45320E4E"/>
    <w:rsid w:val="454C5DC7"/>
    <w:rsid w:val="454F78C2"/>
    <w:rsid w:val="45854404"/>
    <w:rsid w:val="459F0EDF"/>
    <w:rsid w:val="45A75D52"/>
    <w:rsid w:val="45C949EF"/>
    <w:rsid w:val="45F401D7"/>
    <w:rsid w:val="46190610"/>
    <w:rsid w:val="4666290D"/>
    <w:rsid w:val="466D2592"/>
    <w:rsid w:val="46F6477A"/>
    <w:rsid w:val="46FE6849"/>
    <w:rsid w:val="472D26D6"/>
    <w:rsid w:val="473B56EE"/>
    <w:rsid w:val="4742580A"/>
    <w:rsid w:val="475C14A6"/>
    <w:rsid w:val="476A59FF"/>
    <w:rsid w:val="47785046"/>
    <w:rsid w:val="47AB0DF7"/>
    <w:rsid w:val="481276E8"/>
    <w:rsid w:val="481B3258"/>
    <w:rsid w:val="4871662B"/>
    <w:rsid w:val="490C714C"/>
    <w:rsid w:val="49710197"/>
    <w:rsid w:val="497F0086"/>
    <w:rsid w:val="49975C79"/>
    <w:rsid w:val="49BD0AEA"/>
    <w:rsid w:val="49C35B92"/>
    <w:rsid w:val="49FB02FC"/>
    <w:rsid w:val="4A0324B3"/>
    <w:rsid w:val="4A873352"/>
    <w:rsid w:val="4AC6364F"/>
    <w:rsid w:val="4AD25863"/>
    <w:rsid w:val="4B6E3E83"/>
    <w:rsid w:val="4B96350F"/>
    <w:rsid w:val="4B9A6686"/>
    <w:rsid w:val="4BFC52F4"/>
    <w:rsid w:val="4BFD56FB"/>
    <w:rsid w:val="4C0D09E6"/>
    <w:rsid w:val="4CA42BB5"/>
    <w:rsid w:val="4CAF36BC"/>
    <w:rsid w:val="4CEC603F"/>
    <w:rsid w:val="4D147203"/>
    <w:rsid w:val="4D2E60E3"/>
    <w:rsid w:val="4D6C1AA7"/>
    <w:rsid w:val="4D9E2C43"/>
    <w:rsid w:val="4DB8213F"/>
    <w:rsid w:val="4DDB3621"/>
    <w:rsid w:val="4E0D31B4"/>
    <w:rsid w:val="4E3F773E"/>
    <w:rsid w:val="4F433A65"/>
    <w:rsid w:val="4F6B03BF"/>
    <w:rsid w:val="4F6B40C7"/>
    <w:rsid w:val="4FCC508E"/>
    <w:rsid w:val="4FF31BBA"/>
    <w:rsid w:val="50DE7320"/>
    <w:rsid w:val="51196930"/>
    <w:rsid w:val="51237D2E"/>
    <w:rsid w:val="51320DBA"/>
    <w:rsid w:val="51935A63"/>
    <w:rsid w:val="51937DEA"/>
    <w:rsid w:val="519E1B03"/>
    <w:rsid w:val="51CD01CB"/>
    <w:rsid w:val="51E23031"/>
    <w:rsid w:val="520410A5"/>
    <w:rsid w:val="525E649B"/>
    <w:rsid w:val="5279675E"/>
    <w:rsid w:val="531E4C24"/>
    <w:rsid w:val="539443E3"/>
    <w:rsid w:val="53F3657F"/>
    <w:rsid w:val="54103BF9"/>
    <w:rsid w:val="548B6C5C"/>
    <w:rsid w:val="54D413B8"/>
    <w:rsid w:val="551602BA"/>
    <w:rsid w:val="55634A48"/>
    <w:rsid w:val="55D1587F"/>
    <w:rsid w:val="55D54221"/>
    <w:rsid w:val="55F47291"/>
    <w:rsid w:val="56091739"/>
    <w:rsid w:val="563B606E"/>
    <w:rsid w:val="56686B67"/>
    <w:rsid w:val="5689104A"/>
    <w:rsid w:val="568C6A5B"/>
    <w:rsid w:val="573E3DB0"/>
    <w:rsid w:val="574127B6"/>
    <w:rsid w:val="574F6831"/>
    <w:rsid w:val="577A22DD"/>
    <w:rsid w:val="57874D27"/>
    <w:rsid w:val="57D0245B"/>
    <w:rsid w:val="57DC6531"/>
    <w:rsid w:val="58154293"/>
    <w:rsid w:val="582505BD"/>
    <w:rsid w:val="585374C7"/>
    <w:rsid w:val="585F66A5"/>
    <w:rsid w:val="58982D68"/>
    <w:rsid w:val="594076DC"/>
    <w:rsid w:val="598451C7"/>
    <w:rsid w:val="59A6736A"/>
    <w:rsid w:val="59AF2530"/>
    <w:rsid w:val="59C81783"/>
    <w:rsid w:val="59CA6081"/>
    <w:rsid w:val="59DF7D2A"/>
    <w:rsid w:val="5A09239E"/>
    <w:rsid w:val="5A21156A"/>
    <w:rsid w:val="5A2C4568"/>
    <w:rsid w:val="5A721036"/>
    <w:rsid w:val="5ACF5FD5"/>
    <w:rsid w:val="5BA15428"/>
    <w:rsid w:val="5BB23B5A"/>
    <w:rsid w:val="5BDB5BEC"/>
    <w:rsid w:val="5C08720C"/>
    <w:rsid w:val="5C363E3A"/>
    <w:rsid w:val="5C602C23"/>
    <w:rsid w:val="5C82091C"/>
    <w:rsid w:val="5C8735BF"/>
    <w:rsid w:val="5C8E34A7"/>
    <w:rsid w:val="5CD87D14"/>
    <w:rsid w:val="5D6278A3"/>
    <w:rsid w:val="5DFC25F6"/>
    <w:rsid w:val="5E3C4585"/>
    <w:rsid w:val="5EE16635"/>
    <w:rsid w:val="5EE71659"/>
    <w:rsid w:val="5EEF7822"/>
    <w:rsid w:val="5EF80BA4"/>
    <w:rsid w:val="5F2343D1"/>
    <w:rsid w:val="5FF24FD6"/>
    <w:rsid w:val="602B0BD5"/>
    <w:rsid w:val="602F7576"/>
    <w:rsid w:val="60317DF6"/>
    <w:rsid w:val="60865C34"/>
    <w:rsid w:val="60A027A4"/>
    <w:rsid w:val="60A9153E"/>
    <w:rsid w:val="60B91430"/>
    <w:rsid w:val="60BD2BEB"/>
    <w:rsid w:val="60F85351"/>
    <w:rsid w:val="612D1A7D"/>
    <w:rsid w:val="616A76ED"/>
    <w:rsid w:val="620F67EC"/>
    <w:rsid w:val="626D5A4E"/>
    <w:rsid w:val="626F590C"/>
    <w:rsid w:val="62D80F58"/>
    <w:rsid w:val="633D2BA7"/>
    <w:rsid w:val="63485C21"/>
    <w:rsid w:val="63D964CB"/>
    <w:rsid w:val="63E16C2B"/>
    <w:rsid w:val="6407617A"/>
    <w:rsid w:val="641E13AB"/>
    <w:rsid w:val="64460FA7"/>
    <w:rsid w:val="646C5D5E"/>
    <w:rsid w:val="646D0843"/>
    <w:rsid w:val="647B2C03"/>
    <w:rsid w:val="64AE3C3D"/>
    <w:rsid w:val="64E61BEE"/>
    <w:rsid w:val="65094CA5"/>
    <w:rsid w:val="656D720C"/>
    <w:rsid w:val="659510F2"/>
    <w:rsid w:val="65B456E9"/>
    <w:rsid w:val="65F86CC8"/>
    <w:rsid w:val="66063E6E"/>
    <w:rsid w:val="66827D25"/>
    <w:rsid w:val="66A7352E"/>
    <w:rsid w:val="66A76785"/>
    <w:rsid w:val="66D9246B"/>
    <w:rsid w:val="66E05BD7"/>
    <w:rsid w:val="670F7F24"/>
    <w:rsid w:val="6777713F"/>
    <w:rsid w:val="678D1A58"/>
    <w:rsid w:val="67AC0AC0"/>
    <w:rsid w:val="67D20654"/>
    <w:rsid w:val="67ED44E4"/>
    <w:rsid w:val="680B4E12"/>
    <w:rsid w:val="682560DB"/>
    <w:rsid w:val="683D4813"/>
    <w:rsid w:val="68AA326C"/>
    <w:rsid w:val="690B60DA"/>
    <w:rsid w:val="691E2698"/>
    <w:rsid w:val="693862AF"/>
    <w:rsid w:val="6949403B"/>
    <w:rsid w:val="69513F80"/>
    <w:rsid w:val="698F6CBE"/>
    <w:rsid w:val="69AB2D6B"/>
    <w:rsid w:val="6A385E52"/>
    <w:rsid w:val="6A6B3213"/>
    <w:rsid w:val="6AC7350B"/>
    <w:rsid w:val="6AC771D0"/>
    <w:rsid w:val="6AEE4AB1"/>
    <w:rsid w:val="6AEF4F14"/>
    <w:rsid w:val="6B002DB9"/>
    <w:rsid w:val="6B4828A5"/>
    <w:rsid w:val="6B7A5565"/>
    <w:rsid w:val="6BC333DB"/>
    <w:rsid w:val="6BE31711"/>
    <w:rsid w:val="6BEF1FF7"/>
    <w:rsid w:val="6C302273"/>
    <w:rsid w:val="6C687BEB"/>
    <w:rsid w:val="6D73577F"/>
    <w:rsid w:val="6DC30630"/>
    <w:rsid w:val="6DD64A3D"/>
    <w:rsid w:val="6DD726CA"/>
    <w:rsid w:val="6E4D50B9"/>
    <w:rsid w:val="6E4F0506"/>
    <w:rsid w:val="6E5967B9"/>
    <w:rsid w:val="6EA16692"/>
    <w:rsid w:val="6EB26C3D"/>
    <w:rsid w:val="6F8011C4"/>
    <w:rsid w:val="6FA757A7"/>
    <w:rsid w:val="6FCF6002"/>
    <w:rsid w:val="6FE00C06"/>
    <w:rsid w:val="700E2DED"/>
    <w:rsid w:val="704476BC"/>
    <w:rsid w:val="70483B44"/>
    <w:rsid w:val="704D5DCD"/>
    <w:rsid w:val="70577F08"/>
    <w:rsid w:val="706332AE"/>
    <w:rsid w:val="70970C45"/>
    <w:rsid w:val="70E57245"/>
    <w:rsid w:val="70F518BA"/>
    <w:rsid w:val="726500DD"/>
    <w:rsid w:val="72E5585D"/>
    <w:rsid w:val="72F11B8E"/>
    <w:rsid w:val="73534607"/>
    <w:rsid w:val="735D1848"/>
    <w:rsid w:val="73A3477D"/>
    <w:rsid w:val="73DD1CA1"/>
    <w:rsid w:val="7404143B"/>
    <w:rsid w:val="744E6366"/>
    <w:rsid w:val="747169C8"/>
    <w:rsid w:val="747E21A4"/>
    <w:rsid w:val="74964153"/>
    <w:rsid w:val="74C45759"/>
    <w:rsid w:val="74CB6BAB"/>
    <w:rsid w:val="74F86EA3"/>
    <w:rsid w:val="750061C9"/>
    <w:rsid w:val="751E6F30"/>
    <w:rsid w:val="752F3ED9"/>
    <w:rsid w:val="7566482B"/>
    <w:rsid w:val="757C2D2F"/>
    <w:rsid w:val="75890323"/>
    <w:rsid w:val="75B312CC"/>
    <w:rsid w:val="75EC0074"/>
    <w:rsid w:val="762A506B"/>
    <w:rsid w:val="764D4710"/>
    <w:rsid w:val="76592DDA"/>
    <w:rsid w:val="76A22A13"/>
    <w:rsid w:val="770411E7"/>
    <w:rsid w:val="770E7A7F"/>
    <w:rsid w:val="771D33C8"/>
    <w:rsid w:val="77597671"/>
    <w:rsid w:val="77AF0DED"/>
    <w:rsid w:val="78753C71"/>
    <w:rsid w:val="78830343"/>
    <w:rsid w:val="788E4559"/>
    <w:rsid w:val="78A501F4"/>
    <w:rsid w:val="78B26191"/>
    <w:rsid w:val="78C5495A"/>
    <w:rsid w:val="78C63AB1"/>
    <w:rsid w:val="78F22F1D"/>
    <w:rsid w:val="79110144"/>
    <w:rsid w:val="79165D8E"/>
    <w:rsid w:val="7941716A"/>
    <w:rsid w:val="796B11C3"/>
    <w:rsid w:val="79BB270F"/>
    <w:rsid w:val="7A426386"/>
    <w:rsid w:val="7A636281"/>
    <w:rsid w:val="7AD36766"/>
    <w:rsid w:val="7AD50CD0"/>
    <w:rsid w:val="7AFB04C4"/>
    <w:rsid w:val="7B2E79FD"/>
    <w:rsid w:val="7B6334FC"/>
    <w:rsid w:val="7B763128"/>
    <w:rsid w:val="7B763940"/>
    <w:rsid w:val="7B8008AE"/>
    <w:rsid w:val="7BD52323"/>
    <w:rsid w:val="7C072C71"/>
    <w:rsid w:val="7C141DD7"/>
    <w:rsid w:val="7C331CAB"/>
    <w:rsid w:val="7C4C347A"/>
    <w:rsid w:val="7CDA1DE4"/>
    <w:rsid w:val="7D08374B"/>
    <w:rsid w:val="7DD72A26"/>
    <w:rsid w:val="7E0F43DF"/>
    <w:rsid w:val="7E4D5DC2"/>
    <w:rsid w:val="7E6D684F"/>
    <w:rsid w:val="7EB2722A"/>
    <w:rsid w:val="7EB476E6"/>
    <w:rsid w:val="7EC37706"/>
    <w:rsid w:val="7ED026CE"/>
    <w:rsid w:val="7F1D6B1B"/>
    <w:rsid w:val="7F605361"/>
    <w:rsid w:val="7F6234C8"/>
    <w:rsid w:val="7F7052A0"/>
    <w:rsid w:val="7F8C3920"/>
    <w:rsid w:val="7FB47D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sz w:val="28"/>
    </w:rPr>
  </w:style>
  <w:style w:type="paragraph" w:styleId="5">
    <w:name w:val="heading 2"/>
    <w:basedOn w:val="1"/>
    <w:next w:val="6"/>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41"/>
    <w:qFormat/>
    <w:uiPriority w:val="0"/>
    <w:pPr>
      <w:keepNext/>
      <w:keepLines/>
      <w:spacing w:before="280" w:beforeLines="0" w:after="290" w:afterLines="0" w:line="376" w:lineRule="auto"/>
      <w:outlineLvl w:val="3"/>
    </w:pPr>
    <w:rPr>
      <w:rFonts w:ascii="Cambria" w:hAnsi="Cambria"/>
      <w:b/>
      <w:bCs/>
      <w:sz w:val="28"/>
      <w:szCs w:val="28"/>
      <w:lang w:eastAsia="en-US"/>
    </w:rPr>
  </w:style>
  <w:style w:type="paragraph" w:styleId="9">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30">
    <w:name w:val="Default Paragraph Font"/>
    <w:qFormat/>
    <w:uiPriority w:val="0"/>
    <w:rPr>
      <w:rFonts w:ascii="Arial" w:hAnsi="Arial" w:eastAsia="Times New Roman" w:cs="Verdana"/>
      <w:b/>
      <w:kern w:val="0"/>
      <w:sz w:val="24"/>
      <w:szCs w:val="24"/>
      <w:lang w:eastAsia="en-US"/>
    </w:rPr>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rFonts w:ascii="宋体"/>
    </w:rPr>
  </w:style>
  <w:style w:type="paragraph" w:styleId="3">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spacing w:line="300" w:lineRule="auto"/>
      <w:ind w:firstLine="420" w:firstLineChars="200"/>
    </w:pPr>
    <w:rPr>
      <w:rFonts w:ascii="Times New Roman"/>
      <w:kern w:val="2"/>
      <w:sz w:val="21"/>
      <w:szCs w:val="24"/>
    </w:rPr>
  </w:style>
  <w:style w:type="paragraph" w:styleId="10">
    <w:name w:val="Document Map"/>
    <w:basedOn w:val="1"/>
    <w:qFormat/>
    <w:uiPriority w:val="0"/>
    <w:pPr>
      <w:shd w:val="clear" w:color="auto" w:fill="000080"/>
    </w:pPr>
  </w:style>
  <w:style w:type="paragraph" w:styleId="11">
    <w:name w:val="annotation text"/>
    <w:basedOn w:val="1"/>
    <w:link w:val="42"/>
    <w:unhideWhenUsed/>
    <w:qFormat/>
    <w:uiPriority w:val="99"/>
    <w:pPr>
      <w:jc w:val="left"/>
    </w:pPr>
    <w:rPr>
      <w:rFonts w:ascii="Arial" w:hAnsi="Arial" w:eastAsia="Times New Roman"/>
      <w:b/>
      <w:szCs w:val="24"/>
      <w:lang w:eastAsia="en-US"/>
    </w:rPr>
  </w:style>
  <w:style w:type="paragraph" w:styleId="12">
    <w:name w:val="Body Text Indent"/>
    <w:basedOn w:val="1"/>
    <w:qFormat/>
    <w:uiPriority w:val="0"/>
    <w:pPr>
      <w:ind w:firstLine="552"/>
    </w:pPr>
    <w:rPr>
      <w:rFonts w:ascii="宋体"/>
      <w:sz w:val="28"/>
    </w:rPr>
  </w:style>
  <w:style w:type="paragraph" w:styleId="13">
    <w:name w:val="toc 3"/>
    <w:basedOn w:val="1"/>
    <w:next w:val="1"/>
    <w:qFormat/>
    <w:uiPriority w:val="39"/>
    <w:pPr>
      <w:ind w:left="840" w:leftChars="400"/>
    </w:pPr>
  </w:style>
  <w:style w:type="paragraph" w:styleId="14">
    <w:name w:val="Plain Text"/>
    <w:basedOn w:val="1"/>
    <w:link w:val="43"/>
    <w:qFormat/>
    <w:uiPriority w:val="0"/>
    <w:rPr>
      <w:rFonts w:ascii="宋体" w:hAnsi="Courier New"/>
      <w:szCs w:val="21"/>
    </w:rPr>
  </w:style>
  <w:style w:type="paragraph" w:styleId="15">
    <w:name w:val="Date"/>
    <w:basedOn w:val="1"/>
    <w:next w:val="1"/>
    <w:link w:val="44"/>
    <w:qFormat/>
    <w:uiPriority w:val="0"/>
    <w:rPr>
      <w:rFonts w:ascii="宋体" w:hAnsi="Arial" w:eastAsia="Times New Roman"/>
      <w:b/>
      <w:sz w:val="24"/>
      <w:szCs w:val="24"/>
      <w:lang w:eastAsia="en-US"/>
    </w:rPr>
  </w:style>
  <w:style w:type="paragraph" w:styleId="16">
    <w:name w:val="Body Text Indent 2"/>
    <w:basedOn w:val="1"/>
    <w:link w:val="45"/>
    <w:qFormat/>
    <w:uiPriority w:val="0"/>
    <w:pPr>
      <w:spacing w:after="120" w:afterLines="0" w:line="480" w:lineRule="auto"/>
      <w:ind w:left="420" w:leftChars="200"/>
    </w:pPr>
    <w:rPr>
      <w:rFonts w:ascii="Arial" w:hAnsi="Arial" w:eastAsia="Times New Roman"/>
      <w:b/>
      <w:szCs w:val="24"/>
      <w:lang w:eastAsia="en-US"/>
    </w:rPr>
  </w:style>
  <w:style w:type="paragraph" w:styleId="17">
    <w:name w:val="Balloon Text"/>
    <w:basedOn w:val="1"/>
    <w:qFormat/>
    <w:uiPriority w:val="0"/>
    <w:rPr>
      <w:sz w:val="18"/>
      <w:szCs w:val="18"/>
    </w:rPr>
  </w:style>
  <w:style w:type="paragraph" w:styleId="18">
    <w:name w:val="footer"/>
    <w:basedOn w:val="1"/>
    <w:link w:val="46"/>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19">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link w:val="48"/>
    <w:unhideWhenUsed/>
    <w:qFormat/>
    <w:uiPriority w:val="99"/>
    <w:pPr>
      <w:spacing w:after="120"/>
      <w:ind w:left="420" w:leftChars="200"/>
    </w:pPr>
    <w:rPr>
      <w:rFonts w:ascii="Arial" w:hAnsi="Arial" w:eastAsia="Times New Roman"/>
      <w:b/>
      <w:sz w:val="16"/>
      <w:szCs w:val="16"/>
      <w:lang w:eastAsia="en-US"/>
    </w:rPr>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5">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3D3D3D"/>
      <w:kern w:val="0"/>
      <w:sz w:val="24"/>
      <w:lang w:val="en-US" w:eastAsia="zh-CN" w:bidi="ar"/>
    </w:rPr>
  </w:style>
  <w:style w:type="paragraph" w:styleId="26">
    <w:name w:val="Title"/>
    <w:basedOn w:val="1"/>
    <w:next w:val="1"/>
    <w:link w:val="49"/>
    <w:qFormat/>
    <w:uiPriority w:val="0"/>
    <w:pPr>
      <w:spacing w:before="240" w:beforeLines="0" w:after="60" w:afterLines="0"/>
      <w:jc w:val="center"/>
      <w:outlineLvl w:val="0"/>
    </w:pPr>
    <w:rPr>
      <w:rFonts w:ascii="Cambria" w:hAnsi="Cambria" w:eastAsia="Times New Roman"/>
      <w:b/>
      <w:bCs/>
      <w:sz w:val="32"/>
      <w:szCs w:val="32"/>
      <w:lang w:eastAsia="en-US"/>
    </w:rPr>
  </w:style>
  <w:style w:type="paragraph" w:styleId="27">
    <w:name w:val="annotation subject"/>
    <w:basedOn w:val="11"/>
    <w:next w:val="11"/>
    <w:link w:val="50"/>
    <w:unhideWhenUsed/>
    <w:qFormat/>
    <w:uiPriority w:val="99"/>
    <w:rPr>
      <w:bCs/>
    </w:rPr>
  </w:style>
  <w:style w:type="table" w:styleId="29">
    <w:name w:val="Table Grid"/>
    <w:basedOn w:val="2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Cs/>
    </w:rPr>
  </w:style>
  <w:style w:type="character" w:styleId="32">
    <w:name w:val="page number"/>
    <w:basedOn w:val="30"/>
    <w:qFormat/>
    <w:uiPriority w:val="0"/>
  </w:style>
  <w:style w:type="character" w:styleId="33">
    <w:name w:val="FollowedHyperlink"/>
    <w:unhideWhenUsed/>
    <w:qFormat/>
    <w:uiPriority w:val="99"/>
    <w:rPr>
      <w:rFonts w:ascii="Arial" w:hAnsi="Arial" w:eastAsia="Times New Roman" w:cs="Verdana"/>
      <w:b/>
      <w:color w:val="3D3D3D"/>
      <w:kern w:val="0"/>
      <w:sz w:val="24"/>
      <w:szCs w:val="24"/>
      <w:u w:val="none"/>
      <w:lang w:eastAsia="en-US"/>
    </w:rPr>
  </w:style>
  <w:style w:type="character" w:styleId="34">
    <w:name w:val="Emphasis"/>
    <w:basedOn w:val="30"/>
    <w:qFormat/>
    <w:uiPriority w:val="20"/>
  </w:style>
  <w:style w:type="character" w:styleId="35">
    <w:name w:val="HTML Definition"/>
    <w:basedOn w:val="30"/>
    <w:semiHidden/>
    <w:unhideWhenUsed/>
    <w:qFormat/>
    <w:uiPriority w:val="99"/>
    <w:rPr>
      <w:i/>
      <w:iCs/>
    </w:rPr>
  </w:style>
  <w:style w:type="character" w:styleId="36">
    <w:name w:val="Hyperlink"/>
    <w:basedOn w:val="30"/>
    <w:qFormat/>
    <w:uiPriority w:val="99"/>
    <w:rPr>
      <w:rFonts w:ascii="Arial" w:hAnsi="Arial" w:eastAsia="Times New Roman" w:cs="Verdana"/>
      <w:b w:val="0"/>
      <w:color w:val="0000FF"/>
      <w:kern w:val="0"/>
      <w:sz w:val="24"/>
      <w:szCs w:val="24"/>
      <w:u w:val="single"/>
      <w:lang w:eastAsia="en-US"/>
    </w:rPr>
  </w:style>
  <w:style w:type="character" w:styleId="37">
    <w:name w:val="HTML Code"/>
    <w:basedOn w:val="30"/>
    <w:semiHidden/>
    <w:unhideWhenUsed/>
    <w:qFormat/>
    <w:uiPriority w:val="99"/>
    <w:rPr>
      <w:rFonts w:hint="default" w:ascii="Consolas" w:hAnsi="Consolas" w:eastAsia="Consolas" w:cs="Consolas"/>
      <w:color w:val="C7254E"/>
      <w:sz w:val="21"/>
      <w:szCs w:val="21"/>
      <w:shd w:val="clear" w:fill="F9F2F4"/>
    </w:rPr>
  </w:style>
  <w:style w:type="character" w:styleId="38">
    <w:name w:val="annotation reference"/>
    <w:unhideWhenUsed/>
    <w:qFormat/>
    <w:uiPriority w:val="99"/>
    <w:rPr>
      <w:rFonts w:ascii="Arial" w:hAnsi="Arial" w:eastAsia="Times New Roman" w:cs="Verdana"/>
      <w:b/>
      <w:kern w:val="0"/>
      <w:sz w:val="21"/>
      <w:szCs w:val="21"/>
      <w:lang w:eastAsia="en-US"/>
    </w:rPr>
  </w:style>
  <w:style w:type="character" w:styleId="39">
    <w:name w:val="HTML Keyboard"/>
    <w:basedOn w:val="30"/>
    <w:semiHidden/>
    <w:unhideWhenUsed/>
    <w:qFormat/>
    <w:uiPriority w:val="99"/>
    <w:rPr>
      <w:rFonts w:ascii="Consolas" w:hAnsi="Consolas" w:eastAsia="Consolas" w:cs="Consolas"/>
      <w:color w:val="FFFFFF"/>
      <w:sz w:val="21"/>
      <w:szCs w:val="21"/>
      <w:shd w:val="clear" w:fill="333333"/>
    </w:rPr>
  </w:style>
  <w:style w:type="character" w:styleId="40">
    <w:name w:val="HTML Sample"/>
    <w:basedOn w:val="30"/>
    <w:semiHidden/>
    <w:unhideWhenUsed/>
    <w:qFormat/>
    <w:uiPriority w:val="99"/>
    <w:rPr>
      <w:rFonts w:hint="default" w:ascii="Consolas" w:hAnsi="Consolas" w:eastAsia="Consolas" w:cs="Consolas"/>
      <w:sz w:val="21"/>
      <w:szCs w:val="21"/>
    </w:rPr>
  </w:style>
  <w:style w:type="character" w:customStyle="1" w:styleId="41">
    <w:name w:val="标题 4 Char"/>
    <w:link w:val="8"/>
    <w:qFormat/>
    <w:uiPriority w:val="0"/>
    <w:rPr>
      <w:rFonts w:ascii="Cambria" w:hAnsi="Cambria" w:eastAsia="宋体" w:cs="Times New Roman"/>
      <w:b/>
      <w:bCs/>
      <w:kern w:val="2"/>
      <w:sz w:val="28"/>
      <w:szCs w:val="28"/>
      <w:lang w:eastAsia="en-US"/>
    </w:rPr>
  </w:style>
  <w:style w:type="character" w:customStyle="1" w:styleId="42">
    <w:name w:val="批注文字 Char"/>
    <w:link w:val="11"/>
    <w:qFormat/>
    <w:uiPriority w:val="99"/>
    <w:rPr>
      <w:rFonts w:ascii="Arial" w:hAnsi="Arial" w:eastAsia="Times New Roman" w:cs="Verdana"/>
      <w:b/>
      <w:kern w:val="2"/>
      <w:sz w:val="21"/>
      <w:szCs w:val="24"/>
      <w:lang w:eastAsia="en-US"/>
    </w:rPr>
  </w:style>
  <w:style w:type="character" w:customStyle="1" w:styleId="43">
    <w:name w:val="纯文本 Char"/>
    <w:link w:val="14"/>
    <w:qFormat/>
    <w:uiPriority w:val="0"/>
    <w:rPr>
      <w:rFonts w:ascii="宋体" w:hAnsi="Courier New" w:cs="Courier New"/>
      <w:kern w:val="2"/>
      <w:sz w:val="21"/>
      <w:szCs w:val="21"/>
    </w:rPr>
  </w:style>
  <w:style w:type="character" w:customStyle="1" w:styleId="44">
    <w:name w:val="日期 Char"/>
    <w:link w:val="15"/>
    <w:qFormat/>
    <w:uiPriority w:val="0"/>
    <w:rPr>
      <w:rFonts w:ascii="宋体" w:hAnsi="Arial" w:eastAsia="Times New Roman" w:cs="Verdana"/>
      <w:b/>
      <w:kern w:val="2"/>
      <w:sz w:val="24"/>
      <w:szCs w:val="24"/>
      <w:lang w:eastAsia="en-US"/>
    </w:rPr>
  </w:style>
  <w:style w:type="character" w:customStyle="1" w:styleId="45">
    <w:name w:val="正文文本缩进 2 Char"/>
    <w:link w:val="16"/>
    <w:qFormat/>
    <w:uiPriority w:val="0"/>
    <w:rPr>
      <w:rFonts w:ascii="Arial" w:hAnsi="Arial" w:eastAsia="Times New Roman" w:cs="Verdana"/>
      <w:b/>
      <w:kern w:val="2"/>
      <w:sz w:val="21"/>
      <w:szCs w:val="24"/>
      <w:lang w:eastAsia="en-US"/>
    </w:rPr>
  </w:style>
  <w:style w:type="character" w:customStyle="1" w:styleId="46">
    <w:name w:val="页脚 Char"/>
    <w:link w:val="18"/>
    <w:qFormat/>
    <w:uiPriority w:val="99"/>
    <w:rPr>
      <w:rFonts w:ascii="Arial" w:hAnsi="Arial" w:eastAsia="Times New Roman" w:cs="Verdana"/>
      <w:b/>
      <w:kern w:val="0"/>
      <w:sz w:val="18"/>
      <w:szCs w:val="24"/>
      <w:lang w:eastAsia="en-US"/>
    </w:rPr>
  </w:style>
  <w:style w:type="character" w:customStyle="1" w:styleId="47">
    <w:name w:val="页眉 Char"/>
    <w:link w:val="19"/>
    <w:qFormat/>
    <w:uiPriority w:val="0"/>
    <w:rPr>
      <w:kern w:val="2"/>
      <w:sz w:val="18"/>
      <w:szCs w:val="18"/>
    </w:rPr>
  </w:style>
  <w:style w:type="character" w:customStyle="1" w:styleId="48">
    <w:name w:val="正文文本缩进 3 Char"/>
    <w:link w:val="21"/>
    <w:semiHidden/>
    <w:qFormat/>
    <w:uiPriority w:val="99"/>
    <w:rPr>
      <w:rFonts w:ascii="Arial" w:hAnsi="Arial" w:eastAsia="Times New Roman" w:cs="Verdana"/>
      <w:b/>
      <w:kern w:val="2"/>
      <w:sz w:val="16"/>
      <w:szCs w:val="16"/>
      <w:lang w:eastAsia="en-US"/>
    </w:rPr>
  </w:style>
  <w:style w:type="character" w:customStyle="1" w:styleId="49">
    <w:name w:val="标题 Char"/>
    <w:link w:val="26"/>
    <w:qFormat/>
    <w:uiPriority w:val="0"/>
    <w:rPr>
      <w:rFonts w:ascii="Cambria" w:hAnsi="Cambria" w:eastAsia="Times New Roman" w:cs="Verdana"/>
      <w:b/>
      <w:bCs/>
      <w:kern w:val="2"/>
      <w:sz w:val="32"/>
      <w:szCs w:val="32"/>
      <w:lang w:eastAsia="en-US"/>
    </w:rPr>
  </w:style>
  <w:style w:type="character" w:customStyle="1" w:styleId="50">
    <w:name w:val="批注主题 Char"/>
    <w:link w:val="27"/>
    <w:semiHidden/>
    <w:qFormat/>
    <w:uiPriority w:val="99"/>
    <w:rPr>
      <w:rFonts w:ascii="Arial" w:hAnsi="Arial" w:eastAsia="Times New Roman" w:cs="Verdana"/>
      <w:b/>
      <w:bCs/>
      <w:kern w:val="2"/>
      <w:sz w:val="21"/>
      <w:szCs w:val="24"/>
      <w:lang w:eastAsia="en-US"/>
    </w:rPr>
  </w:style>
  <w:style w:type="character" w:customStyle="1" w:styleId="51">
    <w:name w:val="style5 style5"/>
    <w:basedOn w:val="30"/>
    <w:qFormat/>
    <w:uiPriority w:val="0"/>
  </w:style>
  <w:style w:type="character" w:customStyle="1" w:styleId="52">
    <w:name w:val="普通文字1 Char2"/>
    <w:qFormat/>
    <w:uiPriority w:val="0"/>
    <w:rPr>
      <w:rFonts w:ascii="宋体" w:hAnsi="Courier New" w:eastAsia="宋体"/>
      <w:kern w:val="2"/>
      <w:sz w:val="21"/>
      <w:lang w:val="en-US" w:eastAsia="zh-CN" w:bidi="ar-SA"/>
    </w:rPr>
  </w:style>
  <w:style w:type="character" w:customStyle="1" w:styleId="53">
    <w:name w:val="gpa"/>
    <w:basedOn w:val="30"/>
    <w:qFormat/>
    <w:uiPriority w:val="0"/>
    <w:rPr>
      <w:rFonts w:ascii="Arial" w:hAnsi="Arial" w:cs="Arial"/>
      <w:sz w:val="15"/>
      <w:szCs w:val="15"/>
    </w:rPr>
  </w:style>
  <w:style w:type="character" w:customStyle="1" w:styleId="54">
    <w:name w:val="displayarti"/>
    <w:basedOn w:val="30"/>
    <w:qFormat/>
    <w:uiPriority w:val="0"/>
    <w:rPr>
      <w:color w:val="FFFFFF"/>
      <w:shd w:val="clear" w:color="auto" w:fill="A00000"/>
    </w:rPr>
  </w:style>
  <w:style w:type="character" w:customStyle="1" w:styleId="55">
    <w:name w:val="【正文】 Char"/>
    <w:link w:val="56"/>
    <w:qFormat/>
    <w:uiPriority w:val="0"/>
    <w:rPr>
      <w:rFonts w:ascii="仿宋" w:hAnsi="仿宋" w:eastAsia="仿宋" w:cs="仿宋_GB2312"/>
      <w:kern w:val="2"/>
      <w:sz w:val="24"/>
      <w:szCs w:val="28"/>
    </w:rPr>
  </w:style>
  <w:style w:type="paragraph" w:customStyle="1" w:styleId="56">
    <w:name w:val="【正文】"/>
    <w:basedOn w:val="23"/>
    <w:link w:val="55"/>
    <w:qFormat/>
    <w:uiPriority w:val="0"/>
    <w:pPr>
      <w:spacing w:after="0" w:line="360" w:lineRule="auto"/>
      <w:ind w:firstLine="200" w:firstLineChars="200"/>
    </w:pPr>
    <w:rPr>
      <w:rFonts w:ascii="仿宋" w:hAnsi="仿宋" w:eastAsia="仿宋"/>
      <w:sz w:val="24"/>
      <w:szCs w:val="28"/>
    </w:rPr>
  </w:style>
  <w:style w:type="character" w:customStyle="1" w:styleId="57">
    <w:name w:val="selected"/>
    <w:basedOn w:val="30"/>
    <w:qFormat/>
    <w:uiPriority w:val="0"/>
    <w:rPr>
      <w:shd w:val="clear" w:color="auto" w:fill="B00006"/>
    </w:rPr>
  </w:style>
  <w:style w:type="character" w:customStyle="1" w:styleId="58">
    <w:name w:val="段 Char Char"/>
    <w:link w:val="59"/>
    <w:qFormat/>
    <w:locked/>
    <w:uiPriority w:val="0"/>
    <w:rPr>
      <w:rFonts w:ascii="宋体" w:eastAsia="Times New Roman"/>
      <w:kern w:val="2"/>
      <w:sz w:val="21"/>
      <w:szCs w:val="22"/>
      <w:lang w:val="en-US" w:eastAsia="zh-CN" w:bidi="ar-SA"/>
    </w:rPr>
  </w:style>
  <w:style w:type="paragraph" w:customStyle="1" w:styleId="59">
    <w:name w:val="段"/>
    <w:link w:val="58"/>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0">
    <w:name w:val="纯文本 Char1"/>
    <w:qFormat/>
    <w:uiPriority w:val="0"/>
    <w:rPr>
      <w:rFonts w:ascii="宋体" w:hAnsi="Courier New" w:eastAsia="Times New Roman" w:cs="Courier New"/>
      <w:b/>
      <w:kern w:val="2"/>
      <w:sz w:val="21"/>
      <w:szCs w:val="21"/>
      <w:lang w:eastAsia="en-US"/>
    </w:rPr>
  </w:style>
  <w:style w:type="character" w:customStyle="1" w:styleId="61">
    <w:name w:val="page number"/>
    <w:basedOn w:val="30"/>
    <w:qFormat/>
    <w:uiPriority w:val="0"/>
  </w:style>
  <w:style w:type="character" w:customStyle="1" w:styleId="62">
    <w:name w:val="apple-style-span"/>
    <w:basedOn w:val="30"/>
    <w:qFormat/>
    <w:uiPriority w:val="0"/>
  </w:style>
  <w:style w:type="paragraph" w:customStyle="1" w:styleId="63">
    <w:name w:val="Body Text Indent 3"/>
    <w:basedOn w:val="1"/>
    <w:qFormat/>
    <w:uiPriority w:val="0"/>
    <w:pPr>
      <w:spacing w:line="410" w:lineRule="exact"/>
      <w:ind w:left="619" w:leftChars="295" w:firstLine="390" w:firstLineChars="179"/>
    </w:pPr>
    <w:rPr>
      <w:rFonts w:ascii="宋体" w:hAnsi="宋体"/>
      <w:spacing w:val="4"/>
    </w:rPr>
  </w:style>
  <w:style w:type="paragraph" w:customStyle="1" w:styleId="64">
    <w:name w:val="表格文字中"/>
    <w:basedOn w:val="1"/>
    <w:qFormat/>
    <w:uiPriority w:val="0"/>
    <w:pPr>
      <w:adjustRightInd w:val="0"/>
      <w:snapToGrid w:val="0"/>
      <w:ind w:left="22" w:leftChars="8"/>
      <w:jc w:val="center"/>
    </w:pPr>
    <w:rPr>
      <w:kern w:val="0"/>
      <w:szCs w:val="24"/>
    </w:rPr>
  </w:style>
  <w:style w:type="paragraph" w:customStyle="1" w:styleId="65">
    <w:name w:val="Char1"/>
    <w:basedOn w:val="1"/>
    <w:qFormat/>
    <w:uiPriority w:val="0"/>
    <w:pPr>
      <w:tabs>
        <w:tab w:val="left" w:pos="360"/>
      </w:tabs>
      <w:ind w:left="360" w:hanging="360" w:hangingChars="200"/>
    </w:pPr>
    <w:rPr>
      <w:sz w:val="24"/>
      <w:szCs w:val="24"/>
    </w:rPr>
  </w:style>
  <w:style w:type="paragraph" w:customStyle="1" w:styleId="66">
    <w:name w:val="Body Text Indent"/>
    <w:basedOn w:val="1"/>
    <w:qFormat/>
    <w:uiPriority w:val="0"/>
    <w:pPr>
      <w:widowControl/>
      <w:ind w:firstLine="652" w:firstLineChars="233"/>
    </w:pPr>
    <w:rPr>
      <w:kern w:val="0"/>
      <w:sz w:val="28"/>
    </w:rPr>
  </w:style>
  <w:style w:type="paragraph" w:customStyle="1" w:styleId="67">
    <w:name w:val="Normal"/>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customStyle="1" w:styleId="68">
    <w:name w:val="(a)正文"/>
    <w:basedOn w:val="1"/>
    <w:qFormat/>
    <w:uiPriority w:val="0"/>
    <w:pPr>
      <w:widowControl/>
      <w:tabs>
        <w:tab w:val="left" w:pos="1871"/>
        <w:tab w:val="left" w:pos="2081"/>
      </w:tabs>
      <w:spacing w:line="360" w:lineRule="exact"/>
      <w:ind w:left="1871" w:hanging="510"/>
    </w:pPr>
    <w:rPr>
      <w:sz w:val="24"/>
    </w:rPr>
  </w:style>
  <w:style w:type="paragraph" w:customStyle="1" w:styleId="6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7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2">
    <w:name w:val="List Paragraph"/>
    <w:basedOn w:val="1"/>
    <w:qFormat/>
    <w:uiPriority w:val="34"/>
    <w:pPr>
      <w:ind w:firstLine="420" w:firstLineChars="200"/>
    </w:pPr>
    <w:rPr>
      <w:rFonts w:ascii="Calibri" w:hAnsi="Calibri"/>
      <w:sz w:val="28"/>
      <w:szCs w:val="28"/>
    </w:rPr>
  </w:style>
  <w:style w:type="paragraph" w:customStyle="1" w:styleId="73">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74">
    <w:name w:val="样式 首行缩进:  0.8 厘米1"/>
    <w:basedOn w:val="1"/>
    <w:qFormat/>
    <w:uiPriority w:val="0"/>
    <w:pPr>
      <w:spacing w:before="60" w:after="60" w:line="288" w:lineRule="auto"/>
      <w:ind w:firstLine="454"/>
    </w:pPr>
    <w:rPr>
      <w:rFonts w:cs="宋体"/>
      <w:kern w:val="0"/>
      <w:sz w:val="24"/>
      <w:lang w:eastAsia="en-US"/>
    </w:rPr>
  </w:style>
  <w:style w:type="paragraph" w:customStyle="1" w:styleId="75">
    <w:name w:val=" Char Char3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6">
    <w:name w:val="列出段落1"/>
    <w:basedOn w:val="1"/>
    <w:qFormat/>
    <w:uiPriority w:val="34"/>
    <w:pPr>
      <w:ind w:firstLine="420" w:firstLineChars="200"/>
    </w:pPr>
    <w:rPr>
      <w:rFonts w:ascii="Calibri" w:hAnsi="Calibri"/>
      <w:szCs w:val="22"/>
    </w:rPr>
  </w:style>
  <w:style w:type="paragraph" w:customStyle="1" w:styleId="77">
    <w:name w:val="方案正文"/>
    <w:basedOn w:val="1"/>
    <w:qFormat/>
    <w:uiPriority w:val="0"/>
    <w:pPr>
      <w:adjustRightInd w:val="0"/>
      <w:snapToGrid w:val="0"/>
      <w:spacing w:line="360" w:lineRule="auto"/>
      <w:ind w:firstLine="480" w:firstLineChars="200"/>
      <w:jc w:val="left"/>
    </w:pPr>
    <w:rPr>
      <w:sz w:val="24"/>
      <w:szCs w:val="24"/>
    </w:rPr>
  </w:style>
  <w:style w:type="paragraph" w:customStyle="1" w:styleId="78">
    <w:name w:val="List Paragraph1"/>
    <w:basedOn w:val="1"/>
    <w:qFormat/>
    <w:uiPriority w:val="34"/>
    <w:pPr>
      <w:ind w:firstLine="420" w:firstLineChars="200"/>
    </w:pPr>
  </w:style>
  <w:style w:type="paragraph" w:customStyle="1" w:styleId="79">
    <w:name w:val=" Char1"/>
    <w:basedOn w:val="1"/>
    <w:qFormat/>
    <w:uiPriority w:val="0"/>
    <w:pPr>
      <w:tabs>
        <w:tab w:val="left" w:pos="360"/>
      </w:tabs>
      <w:ind w:left="360" w:hanging="360" w:hangingChars="200"/>
    </w:pPr>
    <w:rPr>
      <w:sz w:val="24"/>
      <w:szCs w:val="24"/>
    </w:rPr>
  </w:style>
  <w:style w:type="paragraph" w:customStyle="1" w:styleId="80">
    <w:name w:val="Char Char Char Char"/>
    <w:basedOn w:val="1"/>
    <w:qFormat/>
    <w:uiPriority w:val="0"/>
    <w:pPr>
      <w:widowControl/>
      <w:spacing w:after="160" w:afterLines="0" w:line="240" w:lineRule="exact"/>
      <w:jc w:val="center"/>
    </w:pPr>
    <w:rPr>
      <w:rFonts w:ascii="宋体" w:hAnsi="宋体"/>
      <w:b/>
      <w:kern w:val="0"/>
      <w:sz w:val="28"/>
      <w:szCs w:val="28"/>
      <w:lang w:eastAsia="en-US"/>
    </w:rPr>
  </w:style>
  <w:style w:type="paragraph" w:customStyle="1" w:styleId="81">
    <w:name w:val="_Style 74"/>
    <w:basedOn w:val="4"/>
    <w:next w:val="1"/>
    <w:qFormat/>
    <w:uiPriority w:val="0"/>
    <w:pPr>
      <w:keepLines/>
      <w:widowControl/>
      <w:spacing w:before="480" w:beforeLines="0" w:line="276" w:lineRule="auto"/>
      <w:jc w:val="left"/>
      <w:outlineLvl w:val="9"/>
    </w:pPr>
    <w:rPr>
      <w:rFonts w:ascii="Cambria" w:hAnsi="Cambria" w:eastAsia="宋体" w:cs="Times New Roman"/>
      <w:b/>
      <w:bCs/>
      <w:color w:val="365F91"/>
      <w:kern w:val="0"/>
      <w:szCs w:val="28"/>
    </w:rPr>
  </w:style>
  <w:style w:type="paragraph" w:customStyle="1" w:styleId="8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83">
    <w:name w:val="button"/>
    <w:basedOn w:val="30"/>
    <w:qFormat/>
    <w:uiPriority w:val="0"/>
    <w:rPr>
      <w:u w:val="single"/>
    </w:rPr>
  </w:style>
  <w:style w:type="character" w:customStyle="1" w:styleId="84">
    <w:name w:val="indent"/>
    <w:basedOn w:val="30"/>
    <w:qFormat/>
    <w:uiPriority w:val="0"/>
  </w:style>
  <w:style w:type="paragraph" w:customStyle="1" w:styleId="85">
    <w:name w:val="title11"/>
    <w:basedOn w:val="1"/>
    <w:qFormat/>
    <w:uiPriority w:val="0"/>
    <w:pPr>
      <w:pBdr>
        <w:left w:val="none" w:color="auto" w:sz="0" w:space="0"/>
        <w:right w:val="none" w:color="auto" w:sz="0" w:space="0"/>
      </w:pBdr>
      <w:spacing w:before="150" w:beforeAutospacing="0" w:after="0" w:afterAutospacing="0" w:line="450" w:lineRule="atLeast"/>
      <w:ind w:left="0" w:right="0"/>
      <w:jc w:val="left"/>
    </w:pPr>
    <w:rPr>
      <w:b/>
      <w:bCs/>
      <w:kern w:val="0"/>
      <w:sz w:val="24"/>
      <w:szCs w:val="24"/>
      <w:lang w:val="en-US" w:eastAsia="zh-CN" w:bidi="ar"/>
    </w:rPr>
  </w:style>
  <w:style w:type="character" w:customStyle="1" w:styleId="86">
    <w:name w:val="old"/>
    <w:basedOn w:val="30"/>
    <w:qFormat/>
    <w:uiPriority w:val="0"/>
    <w:rPr>
      <w:color w:val="999999"/>
    </w:rPr>
  </w:style>
  <w:style w:type="character" w:customStyle="1" w:styleId="87">
    <w:name w:val="glyphicon4"/>
    <w:basedOn w:val="30"/>
    <w:qFormat/>
    <w:uiPriority w:val="0"/>
  </w:style>
  <w:style w:type="character" w:customStyle="1" w:styleId="88">
    <w:name w:val="hour_pm"/>
    <w:basedOn w:val="30"/>
    <w:qFormat/>
    <w:uiPriority w:val="0"/>
  </w:style>
  <w:style w:type="character" w:customStyle="1" w:styleId="89">
    <w:name w:val="hover2"/>
    <w:basedOn w:val="30"/>
    <w:qFormat/>
    <w:uiPriority w:val="0"/>
    <w:rPr>
      <w:shd w:val="clear" w:fill="EEEEEE"/>
    </w:rPr>
  </w:style>
  <w:style w:type="character" w:customStyle="1" w:styleId="90">
    <w:name w:val="hour_am"/>
    <w:basedOn w:val="30"/>
    <w:qFormat/>
    <w:uiPriority w:val="0"/>
  </w:style>
  <w:style w:type="character" w:customStyle="1" w:styleId="91">
    <w:name w:val="tmpztreemove_arrow"/>
    <w:basedOn w:val="30"/>
    <w:qFormat/>
    <w:uiPriority w:val="0"/>
    <w:rPr>
      <w:shd w:val="clear" w:fill="FFFFFF"/>
    </w:rPr>
  </w:style>
  <w:style w:type="character" w:customStyle="1" w:styleId="92">
    <w:name w:val="hover3"/>
    <w:basedOn w:val="30"/>
    <w:qFormat/>
    <w:uiPriority w:val="0"/>
    <w:rPr>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58</Pages>
  <Words>25814</Words>
  <Characters>27336</Characters>
  <Lines>215</Lines>
  <Paragraphs>60</Paragraphs>
  <TotalTime>13</TotalTime>
  <ScaleCrop>false</ScaleCrop>
  <LinksUpToDate>false</LinksUpToDate>
  <CharactersWithSpaces>29370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2016-03-16T16:58:00Z</dcterms:created>
  <dc:creator>HXZB</dc:creator>
  <cp:keywords>Birthday</cp:keywords>
  <cp:lastModifiedBy>Administrator</cp:lastModifiedBy>
  <cp:lastPrinted>2016-04-20T09:46:00Z</cp:lastPrinted>
  <dcterms:modified xsi:type="dcterms:W3CDTF">2022-06-15T02:11:04Z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673424686D8C49DC8220809271653468</vt:lpwstr>
  </property>
</Properties>
</file>