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highlight w:val="none"/>
          <w:lang w:val="en-US" w:eastAsia="zh-CN"/>
        </w:rPr>
      </w:pPr>
      <w:bookmarkStart w:id="0" w:name="_Toc452384741"/>
      <w:bookmarkStart w:id="1" w:name="_Toc2360"/>
      <w:bookmarkStart w:id="2" w:name="_Toc27034"/>
      <w:bookmarkStart w:id="3" w:name="_Toc1988"/>
      <w:bookmarkStart w:id="4" w:name="_Toc425781307"/>
      <w:bookmarkStart w:id="5" w:name="_Toc409690875"/>
      <w:bookmarkStart w:id="6" w:name="_Toc405358614"/>
      <w:bookmarkStart w:id="7" w:name="_Toc393284379"/>
      <w:bookmarkStart w:id="8" w:name="_Toc393284672"/>
      <w:bookmarkStart w:id="9" w:name="_Toc389836551"/>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ZHGJ-2023-136</w:t>
      </w:r>
    </w:p>
    <w:p>
      <w:pPr>
        <w:jc w:val="left"/>
        <w:rPr>
          <w:rFonts w:hint="eastAsia" w:ascii="宋体" w:hAnsi="宋体" w:eastAsia="宋体" w:cs="宋体"/>
          <w:b/>
          <w:bCs/>
          <w:color w:val="FF0000"/>
          <w:sz w:val="32"/>
          <w:szCs w:val="32"/>
          <w:highlight w:val="none"/>
          <w:lang w:val="en-US" w:eastAsia="zh-CN"/>
        </w:rPr>
      </w:pPr>
    </w:p>
    <w:p>
      <w:pPr>
        <w:jc w:val="center"/>
        <w:rPr>
          <w:rFonts w:hint="eastAsia" w:cs="宋体"/>
          <w:b/>
          <w:bCs/>
          <w:spacing w:val="-23"/>
          <w:sz w:val="72"/>
          <w:szCs w:val="72"/>
          <w:highlight w:val="none"/>
          <w:lang w:eastAsia="zh-CN"/>
        </w:rPr>
      </w:pPr>
      <w:bookmarkStart w:id="10" w:name="OLE_LINK4"/>
    </w:p>
    <w:p>
      <w:pPr>
        <w:jc w:val="center"/>
        <w:rPr>
          <w:rFonts w:hint="eastAsia" w:cs="宋体"/>
          <w:b/>
          <w:bCs/>
          <w:spacing w:val="-23"/>
          <w:sz w:val="72"/>
          <w:szCs w:val="72"/>
          <w:highlight w:val="none"/>
          <w:lang w:eastAsia="zh-CN"/>
        </w:rPr>
      </w:pPr>
      <w:r>
        <w:rPr>
          <w:rFonts w:hint="eastAsia" w:cs="宋体"/>
          <w:b/>
          <w:bCs/>
          <w:spacing w:val="-23"/>
          <w:sz w:val="72"/>
          <w:szCs w:val="72"/>
          <w:highlight w:val="none"/>
          <w:lang w:eastAsia="zh-CN"/>
        </w:rPr>
        <w:t>中小学、幼儿园教学视导</w:t>
      </w:r>
    </w:p>
    <w:p>
      <w:pPr>
        <w:jc w:val="center"/>
        <w:rPr>
          <w:rFonts w:hint="eastAsia" w:ascii="宋体" w:hAnsi="宋体" w:eastAsia="宋体" w:cs="宋体"/>
          <w:b/>
          <w:color w:val="FF0000"/>
          <w:spacing w:val="-20"/>
          <w:sz w:val="52"/>
          <w:szCs w:val="52"/>
          <w:highlight w:val="none"/>
        </w:rPr>
      </w:pPr>
      <w:r>
        <w:rPr>
          <w:rFonts w:hint="eastAsia" w:cs="宋体"/>
          <w:b/>
          <w:bCs/>
          <w:spacing w:val="-23"/>
          <w:sz w:val="72"/>
          <w:szCs w:val="72"/>
          <w:highlight w:val="none"/>
          <w:lang w:eastAsia="zh-CN"/>
        </w:rPr>
        <w:t>评估项目</w:t>
      </w:r>
    </w:p>
    <w:p>
      <w:pPr>
        <w:jc w:val="center"/>
        <w:rPr>
          <w:rFonts w:hint="eastAsia" w:ascii="宋体" w:hAnsi="宋体" w:eastAsia="宋体" w:cs="宋体"/>
          <w:b/>
          <w:color w:val="FF0000"/>
          <w:sz w:val="52"/>
          <w:szCs w:val="52"/>
          <w:highlight w:val="none"/>
        </w:rPr>
      </w:pPr>
    </w:p>
    <w:p>
      <w:pPr>
        <w:jc w:val="center"/>
        <w:rPr>
          <w:rFonts w:hint="eastAsia" w:ascii="宋体" w:hAnsi="宋体" w:eastAsia="宋体" w:cs="宋体"/>
          <w:b/>
          <w:color w:val="FF0000"/>
          <w:sz w:val="52"/>
          <w:szCs w:val="52"/>
          <w:highlight w:val="none"/>
        </w:rPr>
      </w:pPr>
    </w:p>
    <w:p>
      <w:pPr>
        <w:pStyle w:val="7"/>
        <w:rPr>
          <w:rFonts w:hint="eastAsia"/>
          <w:highlight w:val="none"/>
        </w:rPr>
      </w:pPr>
    </w:p>
    <w:p>
      <w:pPr>
        <w:pStyle w:val="11"/>
        <w:rPr>
          <w:rFonts w:hint="eastAsia" w:ascii="宋体" w:hAnsi="宋体" w:eastAsia="宋体" w:cs="宋体"/>
          <w:highlight w:val="none"/>
        </w:rPr>
      </w:pPr>
    </w:p>
    <w:bookmarkEnd w:id="10"/>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rPr>
          <w:rFonts w:hint="eastAsia" w:ascii="宋体" w:hAnsi="宋体" w:eastAsia="宋体" w:cs="宋体"/>
          <w:sz w:val="32"/>
          <w:highlight w:val="none"/>
        </w:rPr>
      </w:pPr>
    </w:p>
    <w:p>
      <w:pPr>
        <w:spacing w:line="480" w:lineRule="auto"/>
        <w:rPr>
          <w:rFonts w:hint="eastAsia" w:ascii="宋体" w:hAnsi="宋体" w:eastAsia="宋体" w:cs="宋体"/>
          <w:sz w:val="44"/>
          <w:szCs w:val="44"/>
          <w:highlight w:val="none"/>
        </w:rPr>
      </w:pPr>
    </w:p>
    <w:p>
      <w:pPr>
        <w:pStyle w:val="11"/>
        <w:rPr>
          <w:rFonts w:hint="eastAsia" w:ascii="宋体" w:hAnsi="宋体" w:eastAsia="宋体" w:cs="宋体"/>
          <w:highlight w:val="none"/>
        </w:rPr>
      </w:pPr>
    </w:p>
    <w:p>
      <w:pPr>
        <w:spacing w:line="480" w:lineRule="auto"/>
        <w:rPr>
          <w:rFonts w:hint="eastAsia" w:ascii="宋体" w:hAnsi="宋体" w:eastAsia="宋体" w:cs="宋体"/>
          <w:sz w:val="44"/>
          <w:szCs w:val="44"/>
          <w:highlight w:val="none"/>
        </w:rPr>
      </w:pPr>
    </w:p>
    <w:p>
      <w:pPr>
        <w:pStyle w:val="11"/>
        <w:rPr>
          <w:rFonts w:hint="eastAsia" w:ascii="宋体" w:hAnsi="宋体" w:eastAsia="宋体" w:cs="宋体"/>
          <w:highlight w:val="none"/>
        </w:rPr>
      </w:pPr>
    </w:p>
    <w:p>
      <w:pPr>
        <w:ind w:firstLine="321" w:firstLineChars="100"/>
        <w:jc w:val="center"/>
        <w:rPr>
          <w:rFonts w:hint="eastAsia" w:ascii="宋体" w:hAnsi="宋体" w:eastAsia="宋体" w:cs="宋体"/>
          <w:b/>
          <w:bCs/>
          <w:sz w:val="32"/>
          <w:szCs w:val="32"/>
          <w:highlight w:val="none"/>
          <w:lang w:eastAsia="zh-CN"/>
        </w:rPr>
      </w:pPr>
      <w:r>
        <w:rPr>
          <w:rFonts w:hint="eastAsia"/>
          <w:b/>
          <w:bCs/>
          <w:sz w:val="32"/>
          <w:szCs w:val="32"/>
          <w:highlight w:val="none"/>
          <w:lang w:val="en-US" w:eastAsia="zh-CN"/>
        </w:rPr>
        <w:t>采购代理机构：</w:t>
      </w:r>
      <w:r>
        <w:rPr>
          <w:rFonts w:hint="eastAsia"/>
          <w:b/>
          <w:bCs/>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color w:val="FF0000"/>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六</w:t>
      </w:r>
      <w:r>
        <w:rPr>
          <w:rFonts w:hint="eastAsia" w:ascii="宋体" w:hAnsi="宋体" w:eastAsia="宋体" w:cs="宋体"/>
          <w:b/>
          <w:bCs/>
          <w:color w:val="auto"/>
          <w:sz w:val="32"/>
          <w:szCs w:val="32"/>
          <w:highlight w:val="none"/>
        </w:rPr>
        <w:t>月</w:t>
      </w:r>
    </w:p>
    <w:p>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418" w:bottom="1418" w:left="1701" w:header="1134" w:footer="851" w:gutter="0"/>
          <w:pgNumType w:fmt="decimal" w:start="2"/>
          <w:cols w:space="720" w:num="1"/>
          <w:docGrid w:linePitch="286" w:charSpace="0"/>
        </w:sectPr>
      </w:pPr>
      <w:bookmarkStart w:id="11" w:name="_Toc20666"/>
    </w:p>
    <w:p>
      <w:pPr>
        <w:keepNext w:val="0"/>
        <w:keepLines w:val="0"/>
        <w:pageBreakBefore w:val="0"/>
        <w:widowControl w:val="0"/>
        <w:kinsoku/>
        <w:wordWrap/>
        <w:overflowPunct/>
        <w:topLinePunct w:val="0"/>
        <w:autoSpaceDE/>
        <w:autoSpaceDN/>
        <w:bidi w:val="0"/>
        <w:adjustRightInd/>
        <w:snapToGrid/>
        <w:spacing w:after="165" w:afterLines="50" w:line="460" w:lineRule="exact"/>
        <w:jc w:val="both"/>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3、请仔细核对</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4、请于规定时</w:t>
      </w:r>
      <w:r>
        <w:rPr>
          <w:rFonts w:hint="eastAsia" w:ascii="宋体" w:hAnsi="宋体" w:eastAsia="宋体" w:cs="宋体"/>
          <w:b w:val="0"/>
          <w:bCs w:val="0"/>
          <w:sz w:val="24"/>
          <w:szCs w:val="24"/>
          <w:highlight w:val="none"/>
          <w:lang w:eastAsia="zh-CN"/>
        </w:rPr>
        <w:t>间</w:t>
      </w:r>
      <w:r>
        <w:rPr>
          <w:rFonts w:hint="eastAsia" w:ascii="宋体" w:hAnsi="宋体" w:eastAsia="宋体" w:cs="宋体"/>
          <w:b w:val="0"/>
          <w:bCs w:val="0"/>
          <w:sz w:val="24"/>
          <w:szCs w:val="24"/>
          <w:highlight w:val="none"/>
        </w:rPr>
        <w:t>内按</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文件要求递交保证金（保证金必须足额、必须在</w:t>
      </w:r>
      <w:r>
        <w:rPr>
          <w:rFonts w:hint="eastAsia" w:ascii="宋体" w:hAnsi="宋体" w:eastAsia="宋体" w:cs="宋体"/>
          <w:b w:val="0"/>
          <w:bCs w:val="0"/>
          <w:sz w:val="24"/>
          <w:szCs w:val="24"/>
          <w:highlight w:val="none"/>
          <w:lang w:eastAsia="zh-CN"/>
        </w:rPr>
        <w:t>谈判响应文件递交截止时间</w:t>
      </w:r>
      <w:r>
        <w:rPr>
          <w:rFonts w:hint="eastAsia" w:ascii="宋体" w:hAnsi="宋体" w:eastAsia="宋体" w:cs="宋体"/>
          <w:b w:val="0"/>
          <w:bCs w:val="0"/>
          <w:sz w:val="24"/>
          <w:szCs w:val="24"/>
          <w:highlight w:val="none"/>
        </w:rPr>
        <w:t>前从您基本账户转出且到账，保证金</w:t>
      </w:r>
      <w:r>
        <w:rPr>
          <w:rFonts w:hint="eastAsia" w:ascii="宋体" w:hAnsi="宋体" w:eastAsia="宋体" w:cs="宋体"/>
          <w:b w:val="0"/>
          <w:bCs w:val="0"/>
          <w:sz w:val="24"/>
          <w:szCs w:val="24"/>
          <w:highlight w:val="none"/>
          <w:lang w:eastAsia="zh-CN"/>
        </w:rPr>
        <w:t>缴</w:t>
      </w:r>
      <w:r>
        <w:rPr>
          <w:rFonts w:hint="eastAsia" w:ascii="宋体" w:hAnsi="宋体" w:eastAsia="宋体" w:cs="宋体"/>
          <w:b w:val="0"/>
          <w:bCs w:val="0"/>
          <w:sz w:val="24"/>
          <w:szCs w:val="24"/>
          <w:highlight w:val="none"/>
        </w:rPr>
        <w:t>纳凭证须附在</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5、请按照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、请务必考虑天气情况、交通情况以及您对</w:t>
      </w:r>
      <w:r>
        <w:rPr>
          <w:rFonts w:hint="eastAsia" w:ascii="宋体" w:hAnsi="宋体" w:eastAsia="宋体" w:cs="宋体"/>
          <w:b w:val="0"/>
          <w:bCs w:val="0"/>
          <w:sz w:val="24"/>
          <w:szCs w:val="24"/>
          <w:highlight w:val="none"/>
          <w:lang w:eastAsia="zh-CN"/>
        </w:rPr>
        <w:t>谈</w:t>
      </w:r>
      <w:r>
        <w:rPr>
          <w:rFonts w:hint="eastAsia" w:ascii="宋体" w:hAnsi="宋体" w:eastAsia="宋体" w:cs="宋体"/>
          <w:b w:val="0"/>
          <w:bCs w:val="0"/>
          <w:color w:val="auto"/>
          <w:sz w:val="24"/>
          <w:szCs w:val="24"/>
          <w:highlight w:val="none"/>
          <w:lang w:eastAsia="zh-CN"/>
        </w:rPr>
        <w:t>判</w:t>
      </w:r>
      <w:r>
        <w:rPr>
          <w:rFonts w:hint="eastAsia" w:ascii="宋体" w:hAnsi="宋体" w:eastAsia="宋体" w:cs="宋体"/>
          <w:b w:val="0"/>
          <w:bCs w:val="0"/>
          <w:color w:val="auto"/>
          <w:sz w:val="24"/>
          <w:szCs w:val="24"/>
          <w:highlight w:val="none"/>
        </w:rPr>
        <w:t>地址的路线熟悉等情况于</w:t>
      </w:r>
      <w:r>
        <w:rPr>
          <w:rFonts w:hint="eastAsia" w:ascii="宋体" w:hAnsi="宋体" w:eastAsia="宋体" w:cs="宋体"/>
          <w:b w:val="0"/>
          <w:bCs w:val="0"/>
          <w:color w:val="auto"/>
          <w:sz w:val="24"/>
          <w:szCs w:val="24"/>
          <w:highlight w:val="none"/>
          <w:lang w:eastAsia="zh-CN"/>
        </w:rPr>
        <w:t>竞争性谈判公告规定的时间和地点</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谈判响应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、请到达文件递交地点后及时到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exact"/>
        <w:ind w:right="-252" w:rightChars="-120"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，我们将非常高兴地为您服务。</w:t>
      </w:r>
    </w:p>
    <w:p>
      <w:pPr>
        <w:pStyle w:val="11"/>
        <w:rPr>
          <w:rFonts w:hint="eastAsia" w:ascii="宋体" w:hAnsi="宋体" w:eastAsia="宋体" w:cs="宋体"/>
          <w:highlight w:val="none"/>
        </w:rPr>
      </w:pPr>
    </w:p>
    <w:p>
      <w:pPr>
        <w:pStyle w:val="11"/>
        <w:rPr>
          <w:rFonts w:hint="eastAsia"/>
          <w:highlight w:val="none"/>
          <w:lang w:val="zh-CN"/>
        </w:rPr>
      </w:pPr>
    </w:p>
    <w:p>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1"/>
    </w:p>
    <w:p>
      <w:pPr>
        <w:rPr>
          <w:rFonts w:hint="eastAsia" w:ascii="宋体" w:hAnsi="宋体" w:eastAsia="宋体" w:cs="宋体"/>
          <w:highlight w:val="none"/>
          <w:lang w:val="zh-CN"/>
        </w:rPr>
      </w:pP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_Toc29766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_Toc29766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_Toc21911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_Toc21911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_Toc8912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_Toc32341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w:t>
      </w:r>
      <w:r>
        <w:rPr>
          <w:rFonts w:hint="eastAsia" w:ascii="宋体" w:hAnsi="宋体" w:eastAsia="宋体" w:cs="宋体"/>
          <w:bCs/>
          <w:sz w:val="30"/>
          <w:szCs w:val="30"/>
          <w:highlight w:val="none"/>
          <w:lang w:eastAsia="zh-CN"/>
        </w:rPr>
        <w:t>服务</w:t>
      </w:r>
      <w:r>
        <w:rPr>
          <w:rFonts w:hint="eastAsia" w:ascii="宋体" w:hAnsi="宋体" w:eastAsia="宋体" w:cs="宋体"/>
          <w:bCs/>
          <w:sz w:val="30"/>
          <w:szCs w:val="30"/>
          <w:highlight w:val="none"/>
        </w:rPr>
        <w:t>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_Toc32341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_Toc22294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_Toc22294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1"/>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_Toc20805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_Toc20805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pPr>
        <w:rPr>
          <w:rFonts w:hint="eastAsia" w:ascii="宋体" w:hAnsi="宋体" w:eastAsia="宋体" w:cs="宋体"/>
          <w:sz w:val="36"/>
          <w:szCs w:val="36"/>
          <w:highlight w:val="none"/>
        </w:rPr>
      </w:pPr>
    </w:p>
    <w:p>
      <w:pPr>
        <w:tabs>
          <w:tab w:val="left" w:pos="525"/>
        </w:tabs>
        <w:ind w:left="-2" w:leftChars="-1" w:firstLine="1"/>
        <w:jc w:val="center"/>
        <w:rPr>
          <w:rFonts w:hint="eastAsia" w:ascii="宋体" w:hAnsi="宋体" w:eastAsia="宋体" w:cs="宋体"/>
          <w:b/>
          <w:bCs/>
          <w:sz w:val="30"/>
          <w:szCs w:val="30"/>
          <w:highlight w:val="none"/>
        </w:rPr>
      </w:pPr>
    </w:p>
    <w:p>
      <w:pPr>
        <w:spacing w:line="360" w:lineRule="auto"/>
        <w:ind w:right="240"/>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b/>
          <w:sz w:val="36"/>
          <w:highlight w:val="none"/>
        </w:rPr>
      </w:pPr>
    </w:p>
    <w:p>
      <w:pPr>
        <w:spacing w:line="360" w:lineRule="auto"/>
        <w:rPr>
          <w:rFonts w:hint="eastAsia" w:ascii="宋体" w:hAnsi="宋体" w:eastAsia="宋体" w:cs="宋体"/>
          <w:b/>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7" w:h="16840"/>
          <w:pgMar w:top="1418" w:right="1386" w:bottom="1418" w:left="1701" w:header="1134" w:footer="851" w:gutter="0"/>
          <w:pgNumType w:fmt="decimal" w:start="2"/>
          <w:cols w:space="720" w:num="1"/>
          <w:docGrid w:linePitch="286" w:charSpace="0"/>
        </w:sectPr>
      </w:pPr>
    </w:p>
    <w:p>
      <w:pPr>
        <w:widowControl/>
        <w:spacing w:line="360" w:lineRule="auto"/>
        <w:ind w:firstLine="482" w:firstLineChars="150"/>
        <w:jc w:val="center"/>
        <w:outlineLvl w:val="0"/>
        <w:rPr>
          <w:rFonts w:ascii="宋体"/>
          <w:b/>
          <w:bCs/>
          <w:sz w:val="32"/>
          <w:szCs w:val="32"/>
          <w:highlight w:val="none"/>
        </w:rPr>
      </w:pPr>
      <w:r>
        <w:rPr>
          <w:rFonts w:hint="eastAsia" w:ascii="宋体" w:hAnsi="宋体" w:cs="宋体"/>
          <w:b/>
          <w:bCs/>
          <w:sz w:val="32"/>
          <w:szCs w:val="32"/>
          <w:highlight w:val="none"/>
        </w:rPr>
        <w:t>第一章</w:t>
      </w:r>
      <w:bookmarkEnd w:id="0"/>
      <w:bookmarkEnd w:id="1"/>
      <w:r>
        <w:rPr>
          <w:rFonts w:hint="eastAsia" w:ascii="宋体" w:hAnsi="宋体" w:cs="宋体"/>
          <w:b/>
          <w:bCs/>
          <w:sz w:val="32"/>
          <w:szCs w:val="32"/>
          <w:highlight w:val="none"/>
        </w:rPr>
        <w:t xml:space="preserve">  竞争性谈判公告</w:t>
      </w:r>
      <w:bookmarkEnd w:id="2"/>
      <w:bookmarkEnd w:id="3"/>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项目概况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中小学、幼儿园教学视导评估项目采购项目的潜在供应商应在黄陵县轩辕大道原石油公司办公楼二楼获取采购文件，并于 2023年07月03日 09时30分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项目编号：ZHGJ-2023-136</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项目名称：中小学、幼儿园教学视导评估项目</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采购方式：竞争性谈判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预算金额：480,000.00元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合同包1(中小学、幼儿园教学视导评估项目):</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合同包预算金额：480,000.00元</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合同包最高限价：480,000.00元</w:t>
      </w:r>
    </w:p>
    <w:tbl>
      <w:tblPr>
        <w:tblStyle w:val="30"/>
        <w:tblW w:w="9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8"/>
        <w:gridCol w:w="1931"/>
        <w:gridCol w:w="1932"/>
        <w:gridCol w:w="841"/>
        <w:gridCol w:w="1614"/>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7" w:hRule="atLeast"/>
          <w:tblHeader/>
        </w:trPr>
        <w:tc>
          <w:tcPr>
            <w:tcW w:w="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0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8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其他教育服务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480,000.00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480,000.00</w:t>
            </w:r>
          </w:p>
        </w:tc>
      </w:tr>
    </w:tbl>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合同履行期限：自签订合同之日起25天。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合同包1(中小学、幼儿园教学视导评估项目)落实政府采购政策需满足的资格要求如下: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（10）《陕西省财政厅关于印发&lt;陕西省中小企业政府采购信用融资办法&gt;的通知》（陕财办采〔2018〕23号）；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（12）《陕西省财政厅关于进一步优化政府采购营商环境有关事项的通知》（陕财办采〔2023〕4号）；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（13）其他需要落实的政府采购政策。</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合同包1(中小学、幼儿园教学视导评估项目)特定资格要求如下:</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（1）供应商须具有独立承担民事责任能力，法人或其他组织的应提供营业执照等证明文件，自然人的应提供有效的自然人身份证明；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（2）法定代表人授权书（附法定代表人、被授权人身份证复印件）及被授权人身份证（法定代表人直接参加谈判，须提供法定代表人身份证明及身份证原件）；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（3）提供谈判截止日前一年内已缴存的至少一个月的社会保障资金缴存单据或社保机构开具的社会保险参保缴费情况证明，依法不需要缴纳社会保障资金的单位应提供相关证明材料；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提供2021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（5）提供谈判截止日前一年内已缴纳至少一个月的纳税证明或完税证明，依法免税的单位应提供相关证明材料；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（6）参加政府活动近三年内，在经营活动中无重大违法记录的书面声明；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（8）单位负责人为同一人或者存在直接控股、管理关系的不同供应商，不得参加同一合同项下的政府采购活动。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时间：2023年06月25日至2023年06月27日，每天上午 08:00:00 至 12:00:00 ，下午 14:30:00至18:00:00（北京时间）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途径：黄陵县轩辕大道原石油公司办公楼二楼</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截止时间：2023年07月03日 09时30分00秒 （北京时间）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五、开启</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2023年07月03日 09时30分00秒（北京时间）</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六、公告期限</w:t>
      </w:r>
    </w:p>
    <w:p>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注：1.本项目为专门面向中小企业采购的采购项目。 </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  2.购买竞争性谈判文件请携带单位介绍信原件,经办人身份证原件及加盖供应商公章的复印件。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3"/>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名称：黄陵县教育科技体育局</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地址：土德路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联系方式：13310912589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名称：陕西中桓国际项目管理有限公司</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地址：陕西省西安市未央区凤城七路长和国际A座25层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联系方式：13892190023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项目联系人：田甜</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电话：13892190023</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60" w:lineRule="auto"/>
        <w:ind w:right="0"/>
        <w:jc w:val="both"/>
        <w:rPr>
          <w:rFonts w:hint="eastAsia" w:ascii="宋体" w:hAnsi="宋体" w:eastAsia="宋体" w:cs="宋体"/>
          <w:sz w:val="32"/>
          <w:szCs w:val="32"/>
          <w:highlight w:val="none"/>
        </w:rPr>
      </w:pPr>
      <w:r>
        <w:rPr>
          <w:rFonts w:hint="eastAsia" w:cs="宋体"/>
          <w:i w:val="0"/>
          <w:iCs w:val="0"/>
          <w:caps w:val="0"/>
          <w:color w:val="333333"/>
          <w:spacing w:val="0"/>
          <w:sz w:val="24"/>
          <w:szCs w:val="24"/>
          <w:highlight w:val="none"/>
          <w:shd w:val="clear" w:color="auto" w:fill="FFFFFF"/>
          <w:lang w:val="en-US" w:eastAsia="zh-CN"/>
        </w:rPr>
        <w:t xml:space="preserve">                                   </w:t>
      </w: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bidi w:val="0"/>
        <w:rPr>
          <w:rFonts w:hint="eastAsia"/>
          <w:highlight w:val="none"/>
        </w:rPr>
      </w:pPr>
    </w:p>
    <w:p>
      <w:pPr>
        <w:rPr>
          <w:rFonts w:hint="eastAsia" w:ascii="宋体" w:hAnsi="宋体" w:eastAsia="宋体" w:cs="宋体"/>
          <w:b/>
          <w:bCs/>
          <w:sz w:val="36"/>
          <w:szCs w:val="36"/>
          <w:highlight w:val="none"/>
        </w:rPr>
      </w:pPr>
      <w:bookmarkStart w:id="12" w:name="_Toc21911"/>
      <w:r>
        <w:rPr>
          <w:rFonts w:hint="eastAsia" w:ascii="宋体" w:hAnsi="宋体" w:eastAsia="宋体" w:cs="宋体"/>
          <w:b/>
          <w:bCs/>
          <w:sz w:val="36"/>
          <w:szCs w:val="36"/>
          <w:highlight w:val="none"/>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4"/>
      <w:bookmarkEnd w:id="5"/>
      <w:bookmarkEnd w:id="12"/>
    </w:p>
    <w:p>
      <w:pPr>
        <w:spacing w:after="156" w:afterLines="50" w:line="360" w:lineRule="auto"/>
        <w:jc w:val="center"/>
        <w:outlineLvl w:val="1"/>
        <w:rPr>
          <w:rFonts w:hint="eastAsia" w:ascii="宋体" w:hAnsi="宋体" w:eastAsia="宋体" w:cs="宋体"/>
          <w:b/>
          <w:kern w:val="0"/>
          <w:sz w:val="32"/>
          <w:szCs w:val="32"/>
          <w:highlight w:val="none"/>
        </w:rPr>
      </w:pPr>
      <w:bookmarkStart w:id="13" w:name="_Toc5265"/>
      <w:bookmarkStart w:id="14" w:name="_Toc425781308"/>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6"/>
      <w:bookmarkEnd w:id="7"/>
      <w:bookmarkEnd w:id="8"/>
      <w:bookmarkEnd w:id="9"/>
      <w:bookmarkEnd w:id="13"/>
      <w:bookmarkEnd w:id="14"/>
    </w:p>
    <w:p>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6"/>
        <w:gridCol w:w="1567"/>
        <w:gridCol w:w="6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条款号</w:t>
            </w:r>
          </w:p>
        </w:tc>
        <w:tc>
          <w:tcPr>
            <w:tcW w:w="1567"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条款内容提示</w:t>
            </w:r>
          </w:p>
        </w:tc>
        <w:tc>
          <w:tcPr>
            <w:tcW w:w="6612"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val="en-US" w:eastAsia="zh-CN"/>
              </w:rPr>
              <w:t>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color w:val="auto"/>
                <w:sz w:val="24"/>
                <w:szCs w:val="24"/>
                <w:highlight w:val="none"/>
                <w:lang w:val="en-US" w:eastAsia="zh-CN"/>
              </w:rPr>
              <w:t>采购人</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黄陵县教育科技体育局</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val="en-US" w:eastAsia="zh-CN"/>
              </w:rPr>
              <w:t xml:space="preserve">黄陵县土德路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张敏</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联系方式：13310912589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名称：陕西中桓国际项目管理有限公司</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sz w:val="24"/>
                <w:szCs w:val="24"/>
                <w:highlight w:val="none"/>
              </w:rPr>
              <w:t>西安市经开区凤城七路长和国际A座25层</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w:t>
            </w:r>
            <w:r>
              <w:rPr>
                <w:rFonts w:hint="eastAsia" w:ascii="宋体" w:hAnsi="宋体" w:cs="宋体"/>
                <w:color w:val="auto"/>
                <w:sz w:val="24"/>
                <w:szCs w:val="24"/>
                <w:highlight w:val="none"/>
                <w:lang w:val="en-US" w:eastAsia="zh-CN"/>
              </w:rPr>
              <w:t>13892190023</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联合体谈判</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内容的实质性响应要求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章“合同条款</w:t>
            </w:r>
            <w:r>
              <w:rPr>
                <w:rFonts w:hint="eastAsia" w:ascii="宋体" w:hAnsi="宋体" w:eastAsia="宋体" w:cs="宋体"/>
                <w:color w:val="auto"/>
                <w:sz w:val="24"/>
                <w:szCs w:val="24"/>
                <w:highlight w:val="none"/>
                <w:lang w:val="en-US" w:eastAsia="zh-CN"/>
              </w:rPr>
              <w:t>及格式</w:t>
            </w:r>
            <w:r>
              <w:rPr>
                <w:rFonts w:hint="eastAsia" w:ascii="宋体" w:hAnsi="宋体" w:eastAsia="宋体" w:cs="宋体"/>
                <w:color w:val="auto"/>
                <w:sz w:val="24"/>
                <w:szCs w:val="24"/>
                <w:highlight w:val="none"/>
              </w:rPr>
              <w:t>”和第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竞争性谈判内容及服务要求</w:t>
            </w:r>
            <w:r>
              <w:rPr>
                <w:rFonts w:hint="eastAsia" w:ascii="宋体" w:hAnsi="宋体" w:eastAsia="宋体" w:cs="宋体"/>
                <w:color w:val="auto"/>
                <w:sz w:val="24"/>
                <w:szCs w:val="24"/>
                <w:highlight w:val="none"/>
              </w:rPr>
              <w:t>”为不允许偏离的技术和商务的实质性要求和条件，不满足实质性要求和条件的投标为无效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是否允许备选方案</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sz w:val="24"/>
                <w:szCs w:val="24"/>
                <w:highlight w:val="none"/>
              </w:rPr>
              <w:t>本次</w:t>
            </w:r>
            <w:r>
              <w:rPr>
                <w:rFonts w:hint="eastAsia" w:ascii="宋体" w:hAnsi="宋体"/>
                <w:sz w:val="24"/>
                <w:szCs w:val="24"/>
                <w:highlight w:val="none"/>
                <w:lang w:eastAsia="zh-CN"/>
              </w:rPr>
              <w:t>谈判</w:t>
            </w:r>
            <w:r>
              <w:rPr>
                <w:rFonts w:hint="eastAsia" w:ascii="宋体" w:hAnsi="宋体"/>
                <w:sz w:val="24"/>
                <w:szCs w:val="24"/>
                <w:highlight w:val="none"/>
              </w:rPr>
              <w:t>的最小单元</w:t>
            </w:r>
          </w:p>
        </w:tc>
        <w:tc>
          <w:tcPr>
            <w:tcW w:w="6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color w:val="auto"/>
                <w:sz w:val="24"/>
                <w:szCs w:val="24"/>
                <w:highlight w:val="none"/>
              </w:rPr>
              <w:t>本次</w:t>
            </w:r>
            <w:r>
              <w:rPr>
                <w:rFonts w:hint="eastAsia"/>
                <w:color w:val="auto"/>
                <w:sz w:val="24"/>
                <w:szCs w:val="24"/>
                <w:highlight w:val="none"/>
                <w:lang w:eastAsia="zh-CN"/>
              </w:rPr>
              <w:t>谈判</w:t>
            </w:r>
            <w:r>
              <w:rPr>
                <w:rFonts w:hint="eastAsia"/>
                <w:color w:val="auto"/>
                <w:sz w:val="24"/>
                <w:szCs w:val="24"/>
                <w:highlight w:val="none"/>
              </w:rPr>
              <w:t>的最小单元为“项目全部内容”。任何不完全的</w:t>
            </w:r>
            <w:r>
              <w:rPr>
                <w:rFonts w:hint="eastAsia"/>
                <w:color w:val="auto"/>
                <w:sz w:val="24"/>
                <w:szCs w:val="24"/>
                <w:highlight w:val="none"/>
                <w:lang w:eastAsia="zh-CN"/>
              </w:rPr>
              <w:t>响应</w:t>
            </w:r>
            <w:r>
              <w:rPr>
                <w:rFonts w:hint="eastAsia"/>
                <w:color w:val="auto"/>
                <w:sz w:val="24"/>
                <w:szCs w:val="24"/>
                <w:highlight w:val="none"/>
              </w:rPr>
              <w:t>将按照无效</w:t>
            </w:r>
            <w:r>
              <w:rPr>
                <w:rFonts w:hint="eastAsia"/>
                <w:color w:val="auto"/>
                <w:sz w:val="24"/>
                <w:szCs w:val="24"/>
                <w:highlight w:val="none"/>
                <w:lang w:eastAsia="zh-CN"/>
              </w:rPr>
              <w:t>文件</w:t>
            </w:r>
            <w:r>
              <w:rPr>
                <w:rFonts w:hint="eastAsia"/>
                <w:color w:val="auto"/>
                <w:sz w:val="24"/>
                <w:szCs w:val="24"/>
                <w:highlight w:val="none"/>
              </w:rPr>
              <w:t>处理</w:t>
            </w:r>
            <w:r>
              <w:rPr>
                <w:rFonts w:hint="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谈判报价</w:t>
            </w:r>
          </w:p>
        </w:tc>
        <w:tc>
          <w:tcPr>
            <w:tcW w:w="661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报价是</w:t>
            </w:r>
            <w:r>
              <w:rPr>
                <w:rFonts w:hint="eastAsia" w:ascii="宋体" w:hAnsi="宋体" w:eastAsia="宋体" w:cs="宋体"/>
                <w:sz w:val="24"/>
                <w:szCs w:val="24"/>
                <w:highlight w:val="none"/>
              </w:rPr>
              <w:t>供应商为完成本项目要求的全部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内容最终价格的体现。供应商所报的价格应考虑到可能发生的所有与完成本项目相关服务及履行合同义务有关的一切费用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任何有选择的报价将不予接受，按无效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供应商资格证明文件</w:t>
            </w:r>
          </w:p>
        </w:tc>
        <w:tc>
          <w:tcPr>
            <w:tcW w:w="6612" w:type="dxa"/>
            <w:tcBorders>
              <w:top w:val="single" w:color="auto" w:sz="4" w:space="0"/>
              <w:bottom w:val="single" w:color="auto" w:sz="4" w:space="0"/>
            </w:tcBorders>
            <w:noWrap w:val="0"/>
            <w:vAlign w:val="top"/>
          </w:tcPr>
          <w:p>
            <w:pPr>
              <w:pStyle w:val="11"/>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基本资格条件：</w:t>
            </w:r>
            <w:r>
              <w:rPr>
                <w:rFonts w:hint="eastAsia" w:ascii="宋体" w:hAnsi="宋体" w:eastAsia="宋体" w:cs="宋体"/>
                <w:b w:val="0"/>
                <w:bCs w:val="0"/>
                <w:sz w:val="24"/>
                <w:szCs w:val="24"/>
                <w:highlight w:val="none"/>
                <w:lang w:val="en-US" w:eastAsia="zh-CN"/>
              </w:rPr>
              <w:t>满足《中华人民共和国政府采购法》第二十二条规定</w:t>
            </w:r>
            <w:r>
              <w:rPr>
                <w:rFonts w:hint="eastAsia" w:ascii="宋体" w:hAnsi="宋体" w:cs="宋体"/>
                <w:b w:val="0"/>
                <w:bCs w:val="0"/>
                <w:sz w:val="24"/>
                <w:szCs w:val="24"/>
                <w:highlight w:val="none"/>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textAlignment w:val="auto"/>
              <w:outlineLvl w:val="9"/>
              <w:rPr>
                <w:rFonts w:hint="eastAsia"/>
                <w:b/>
                <w:bCs/>
                <w:highlight w:val="none"/>
                <w:lang w:val="en-US" w:eastAsia="zh-CN"/>
              </w:rPr>
            </w:pPr>
            <w:r>
              <w:rPr>
                <w:rFonts w:hint="eastAsia" w:ascii="宋体" w:hAnsi="宋体" w:eastAsia="宋体" w:cs="宋体"/>
                <w:b/>
                <w:bCs/>
                <w:kern w:val="2"/>
                <w:sz w:val="24"/>
                <w:szCs w:val="24"/>
                <w:highlight w:val="none"/>
                <w:lang w:val="en-US" w:eastAsia="zh-CN" w:bidi="ar-SA"/>
              </w:rPr>
              <w:t>（2）特定资格条件：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（2）法定代表人授权书（附法定代表人、被授权人身份证复印件）及被授权人身份证（法定代表人直接参加谈判，须提供法定代表人身份证明及身份证原件）；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（3）提供谈判截止日前一年内已缴存的至少一个月的社会保障资金缴存单据或社保机构开具的社会保险参保缴费情况证明，依法不需要缴纳社会保障资金的单位应提供相关证明材料；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提供2021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（5）提供谈判截止日前一年内已缴纳至少一个月的纳税证明或完税证明，依法免税的单位应提供相关证明材料；</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（6）参加政府活动近三年内，在经营活动中无重大违法记录的书面声明；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3"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谈判保证金</w:t>
            </w:r>
          </w:p>
        </w:tc>
        <w:tc>
          <w:tcPr>
            <w:tcW w:w="6612"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本项目不收取谈判保证金。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94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w:t>
            </w:r>
          </w:p>
        </w:tc>
        <w:tc>
          <w:tcPr>
            <w:tcW w:w="661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w:t>
            </w:r>
            <w:r>
              <w:rPr>
                <w:rFonts w:hint="eastAsia" w:ascii="宋体" w:hAnsi="宋体" w:eastAsia="宋体" w:cs="宋体"/>
                <w:sz w:val="24"/>
                <w:szCs w:val="24"/>
                <w:highlight w:val="none"/>
                <w:lang w:val="en-US" w:eastAsia="zh-CN"/>
              </w:rPr>
              <w:t>份数及要求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谈判响应文件的密封和标记</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供应商应将谈判响应文件正本、所有副本、电子版本、报价一览表分别单独密封在封袋中（封袋不得有破损），封袋应加贴封条，并在封线处加盖供应商公章。</w:t>
            </w:r>
          </w:p>
          <w:p>
            <w:pPr>
              <w:pStyle w:val="1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pPr>
              <w:pStyle w:val="11"/>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pPr>
              <w:pStyle w:val="11"/>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）“正本”、“副本”、“电子版本”、“报价一览表”</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谈判响应文件的递交</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谈判响应文件递交截止时间：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谈判响应文件递交地址：</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谈判响应文件接收人</w:t>
            </w:r>
            <w:r>
              <w:rPr>
                <w:rFonts w:hint="eastAsia" w:ascii="宋体" w:hAnsi="宋体" w:eastAsia="宋体" w:cs="宋体"/>
                <w:color w:val="auto"/>
                <w:sz w:val="24"/>
                <w:szCs w:val="24"/>
                <w:highlight w:val="none"/>
                <w:lang w:eastAsia="zh-CN"/>
              </w:rPr>
              <w:t>：陕西中桓国际项目管理有限公司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谈判时间和地点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lang w:eastAsia="zh-CN"/>
              </w:rPr>
              <w:t>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评审方法</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招标代理服务费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cs="宋体"/>
                <w:color w:val="auto"/>
                <w:sz w:val="24"/>
                <w:szCs w:val="24"/>
                <w:highlight w:val="none"/>
                <w:lang w:val="en-US" w:eastAsia="zh-CN"/>
              </w:rPr>
              <w:t>2.由成交供应商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采购工作结束后3日内</w:t>
            </w:r>
            <w:r>
              <w:rPr>
                <w:rFonts w:hint="eastAsia" w:ascii="宋体" w:hAnsi="宋体" w:cs="宋体"/>
                <w:color w:val="auto"/>
                <w:sz w:val="24"/>
                <w:szCs w:val="24"/>
                <w:highlight w:val="none"/>
              </w:rPr>
              <w:t>，须向采购代理机构一次性支付招标代理服务费。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招标代理服务费账户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担保</w:t>
            </w:r>
          </w:p>
        </w:tc>
        <w:tc>
          <w:tcPr>
            <w:tcW w:w="6612" w:type="dxa"/>
            <w:noWrap w:val="0"/>
            <w:vAlign w:val="center"/>
          </w:tcPr>
          <w:p>
            <w:pPr>
              <w:pStyle w:val="15"/>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w:t>
            </w:r>
          </w:p>
        </w:tc>
        <w:tc>
          <w:tcPr>
            <w:tcW w:w="6612" w:type="dxa"/>
            <w:noWrap w:val="0"/>
            <w:vAlign w:val="center"/>
          </w:tcPr>
          <w:p>
            <w:pPr>
              <w:pStyle w:val="11"/>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不踏勘</w:t>
            </w:r>
          </w:p>
          <w:p>
            <w:pPr>
              <w:pStyle w:val="11"/>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0"/>
                <w:sz w:val="24"/>
                <w:szCs w:val="24"/>
                <w:highlight w:val="none"/>
                <w:lang w:val="en-US" w:eastAsia="zh-CN" w:bidi="ar-SA"/>
              </w:rPr>
              <w:sym w:font="Wingdings" w:char="00A8"/>
            </w:r>
            <w:r>
              <w:rPr>
                <w:rFonts w:hint="eastAsia" w:hAnsi="宋体" w:eastAsia="宋体" w:cs="宋体"/>
                <w:color w:val="auto"/>
                <w:kern w:val="0"/>
                <w:sz w:val="24"/>
                <w:szCs w:val="24"/>
                <w:highlight w:val="none"/>
                <w:lang w:val="en-US" w:eastAsia="zh-CN" w:bidi="ar-SA"/>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一致性</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highlight w:val="none"/>
        </w:rPr>
      </w:pPr>
      <w:bookmarkStart w:id="15" w:name="_Toc393284380"/>
      <w:bookmarkStart w:id="16" w:name="_Toc370906267"/>
      <w:bookmarkStart w:id="17" w:name="_Toc393281138"/>
      <w:bookmarkStart w:id="18" w:name="_Toc393284673"/>
      <w:bookmarkStart w:id="19" w:name="_Toc389836556"/>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1.1本次竞争性谈判采购所签合同使用</w:t>
      </w:r>
      <w:r>
        <w:rPr>
          <w:rFonts w:hint="eastAsia" w:ascii="宋体" w:hAnsi="宋体" w:cs="宋体"/>
          <w:color w:val="auto"/>
          <w:sz w:val="24"/>
          <w:szCs w:val="24"/>
          <w:highlight w:val="none"/>
          <w:lang w:val="en-US" w:eastAsia="zh-CN"/>
        </w:rPr>
        <w:t>财政</w:t>
      </w:r>
      <w:r>
        <w:rPr>
          <w:rFonts w:hint="eastAsia" w:ascii="宋体" w:hAnsi="宋体" w:eastAsia="宋体" w:cs="宋体"/>
          <w:color w:val="auto"/>
          <w:sz w:val="24"/>
          <w:szCs w:val="24"/>
          <w:highlight w:val="none"/>
          <w:lang w:val="en-US" w:eastAsia="zh-CN"/>
        </w:rPr>
        <w:t>资金</w:t>
      </w:r>
      <w:r>
        <w:rPr>
          <w:rFonts w:hint="eastAsia" w:ascii="宋体" w:hAnsi="宋体" w:eastAsia="宋体" w:cs="宋体"/>
          <w:color w:val="auto"/>
          <w:sz w:val="24"/>
          <w:szCs w:val="24"/>
          <w:highlight w:val="none"/>
        </w:rPr>
        <w:t>支付，资金已落实到位。</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right="0" w:rightChars="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2.1采购人：</w:t>
      </w:r>
      <w:r>
        <w:rPr>
          <w:rFonts w:hint="eastAsia" w:ascii="宋体" w:hAnsi="宋体" w:eastAsia="宋体" w:cs="宋体"/>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w:t>
      </w:r>
      <w:r>
        <w:rPr>
          <w:rFonts w:hint="eastAsia" w:ascii="宋体" w:hAnsi="宋体" w:eastAsia="宋体" w:cs="宋体"/>
          <w:color w:val="000000"/>
          <w:sz w:val="24"/>
          <w:highlight w:val="none"/>
          <w:lang w:eastAsia="zh-CN"/>
        </w:rPr>
        <w:t>陕西中桓国际项目管理有限公司</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监督机构：</w:t>
      </w:r>
      <w:r>
        <w:rPr>
          <w:rFonts w:hint="eastAsia" w:ascii="宋体" w:hAnsi="宋体" w:eastAsia="宋体" w:cs="宋体"/>
          <w:color w:val="000000"/>
          <w:sz w:val="24"/>
          <w:highlight w:val="none"/>
          <w:lang w:eastAsia="zh-CN"/>
        </w:rPr>
        <w:t>同级人民政府财政部门及有关部门</w:t>
      </w:r>
    </w:p>
    <w:p>
      <w:pPr>
        <w:keepNext w:val="0"/>
        <w:keepLines w:val="0"/>
        <w:pageBreakBefore w:val="0"/>
        <w:widowControl w:val="0"/>
        <w:tabs>
          <w:tab w:val="left" w:pos="7665"/>
        </w:tabs>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w:t>
      </w:r>
      <w:r>
        <w:rPr>
          <w:rFonts w:hint="eastAsia" w:ascii="宋体" w:hAnsi="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文件要求而提供的服务。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rPr>
        <w:t>残疾人福利性单位</w:t>
      </w:r>
      <w:r>
        <w:rPr>
          <w:rFonts w:hint="eastAsia" w:ascii="宋体" w:hAnsi="宋体" w:eastAsia="宋体" w:cs="宋体"/>
          <w:color w:val="000000"/>
          <w:sz w:val="24"/>
          <w:highlight w:val="none"/>
          <w:lang w:eastAsia="zh-CN"/>
        </w:rPr>
        <w:t>是指符合《</w:t>
      </w:r>
      <w:r>
        <w:rPr>
          <w:rFonts w:hint="eastAsia" w:ascii="宋体" w:hAnsi="宋体" w:eastAsia="宋体" w:cs="宋体"/>
          <w:color w:val="000000"/>
          <w:sz w:val="24"/>
          <w:highlight w:val="none"/>
          <w:lang w:val="en-US" w:eastAsia="zh-CN"/>
        </w:rPr>
        <w:t>三部门联合发布关于促进残疾人就业政府采购政策的通知》</w:t>
      </w:r>
      <w:r>
        <w:rPr>
          <w:rFonts w:hint="eastAsia" w:ascii="宋体" w:hAnsi="宋体" w:eastAsia="宋体" w:cs="宋体"/>
          <w:color w:val="000000"/>
          <w:sz w:val="24"/>
          <w:highlight w:val="none"/>
        </w:rPr>
        <w:t>财库〔2017〕141号规定的对</w:t>
      </w:r>
      <w:r>
        <w:rPr>
          <w:rFonts w:hint="eastAsia" w:ascii="宋体" w:hAnsi="宋体" w:eastAsia="宋体" w:cs="宋体"/>
          <w:color w:val="000000"/>
          <w:sz w:val="24"/>
          <w:highlight w:val="none"/>
          <w:lang w:eastAsia="zh-CN"/>
        </w:rPr>
        <w:t>残疾人福利性单位</w:t>
      </w:r>
      <w:r>
        <w:rPr>
          <w:rFonts w:hint="eastAsia" w:ascii="宋体" w:hAnsi="宋体" w:eastAsia="宋体" w:cs="宋体"/>
          <w:color w:val="000000"/>
          <w:sz w:val="24"/>
          <w:highlight w:val="none"/>
        </w:rPr>
        <w:t>划分标准的</w:t>
      </w:r>
      <w:r>
        <w:rPr>
          <w:rFonts w:hint="eastAsia" w:ascii="宋体" w:hAnsi="宋体" w:eastAsia="宋体" w:cs="宋体"/>
          <w:color w:val="000000"/>
          <w:sz w:val="24"/>
          <w:highlight w:val="none"/>
          <w:lang w:eastAsia="zh-CN"/>
        </w:rPr>
        <w:t>单位</w:t>
      </w:r>
      <w:r>
        <w:rPr>
          <w:rFonts w:hint="eastAsia" w:ascii="宋体" w:hAnsi="宋体" w:eastAsia="宋体" w:cs="宋体"/>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360" w:lineRule="auto"/>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供应商须按照格式要求填写企业关系关联承诺书</w:t>
      </w:r>
      <w:r>
        <w:rPr>
          <w:rFonts w:hint="eastAsia" w:ascii="宋体" w:hAnsi="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购买竞争性谈判文件，方可参加竞争性谈判。竞争性谈判文件售后不退。</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right="0" w:rightChars="0"/>
        <w:jc w:val="both"/>
        <w:textAlignment w:val="auto"/>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提供的服务</w:t>
      </w:r>
      <w:r>
        <w:rPr>
          <w:rFonts w:hint="eastAsia" w:ascii="宋体" w:hAnsi="宋体" w:eastAsia="宋体" w:cs="宋体"/>
          <w:color w:val="000000"/>
          <w:sz w:val="24"/>
          <w:highlight w:val="none"/>
          <w:lang w:eastAsia="zh-CN"/>
        </w:rPr>
        <w:t>（包含为完成服务所提供的产品）</w:t>
      </w:r>
      <w:r>
        <w:rPr>
          <w:rFonts w:hint="eastAsia" w:ascii="宋体" w:hAnsi="宋体" w:eastAsia="宋体" w:cs="宋体"/>
          <w:color w:val="000000"/>
          <w:sz w:val="24"/>
          <w:highlight w:val="none"/>
        </w:rPr>
        <w:t>，必须是合法生产、合法来源，符合国家有关标准要求，并满足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pStyle w:val="11"/>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5.供应商信用记录查询及使用</w:t>
      </w:r>
    </w:p>
    <w:p>
      <w:pPr>
        <w:pStyle w:val="11"/>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highlight w:val="none"/>
        </w:rPr>
      </w:pPr>
      <w:r>
        <w:rPr>
          <w:rFonts w:hint="eastAsia" w:ascii="宋体" w:hAnsi="宋体" w:eastAsia="宋体" w:cs="宋体"/>
          <w:color w:val="000000"/>
          <w:kern w:val="2"/>
          <w:sz w:val="24"/>
          <w:szCs w:val="22"/>
          <w:highlight w:val="none"/>
          <w:lang w:val="en-US" w:eastAsia="zh-CN" w:bidi="ar-SA"/>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.竞争性谈判响应文件内容的</w:t>
      </w:r>
      <w:r>
        <w:rPr>
          <w:rFonts w:hint="eastAsia" w:ascii="宋体" w:hAnsi="宋体" w:eastAsia="宋体" w:cs="宋体"/>
          <w:b/>
          <w:color w:val="auto"/>
          <w:sz w:val="24"/>
          <w:szCs w:val="24"/>
          <w:highlight w:val="none"/>
        </w:rPr>
        <w:t>真实性</w:t>
      </w:r>
      <w:r>
        <w:rPr>
          <w:rFonts w:hint="eastAsia" w:ascii="宋体" w:hAnsi="宋体" w:eastAsia="宋体" w:cs="宋体"/>
          <w:b/>
          <w:color w:val="auto"/>
          <w:sz w:val="24"/>
          <w:szCs w:val="24"/>
          <w:highlight w:val="none"/>
          <w:lang w:eastAsia="zh-CN"/>
        </w:rPr>
        <w:t>和谈判内容的实质性要求</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w:t>
      </w:r>
      <w:r>
        <w:rPr>
          <w:rFonts w:hint="eastAsia" w:ascii="宋体" w:hAnsi="宋体" w:eastAsia="宋体" w:cs="宋体"/>
          <w:color w:val="auto"/>
          <w:sz w:val="24"/>
          <w:szCs w:val="24"/>
          <w:highlight w:val="none"/>
        </w:rPr>
        <w:t>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.2谈判内容的实质性响应要求：谈判文件第三章“合同条款及格式”和第四章“竞争性谈判内容及服务要求”为不允许偏离的技术和商务的实质性要求和条件，不满足实质性要求和条件的为无效响应文件。</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.竞争性谈判文件构成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竞争性谈判内容及</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 xml:space="preserve">要求 </w:t>
      </w:r>
    </w:p>
    <w:p>
      <w:pPr>
        <w:keepNext w:val="0"/>
        <w:keepLines w:val="0"/>
        <w:pageBreakBefore w:val="0"/>
        <w:widowControl w:val="0"/>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.竞争性谈判文件的修改和澄清</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代理机构可以视采购具体情况，延长</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递交截止时间和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公告的发布媒体上发布变更公告，同时将变更时间书面通知所有获取竞争性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谈判语言和谈判货币</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.竞争性谈判响应文件的构成</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（2）按照竞争性谈判文件的要求编制的谈判方案说明书，内容应包括组织实施计划和服务的详细说明，服务应答表，人员配备和售后服务承诺等。</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条要求提交的谈判保证金。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（5）竞争性谈判文件中要求的其他证明文件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见供应商须知前附表，供应</w:t>
      </w:r>
      <w:r>
        <w:rPr>
          <w:rFonts w:hint="eastAsia" w:ascii="宋体" w:hAnsi="宋体" w:eastAsia="宋体" w:cs="宋体"/>
          <w:sz w:val="24"/>
          <w:szCs w:val="24"/>
          <w:highlight w:val="none"/>
          <w:lang w:eastAsia="zh-CN"/>
        </w:rPr>
        <w:t>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.竞争性谈判响应文件格式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.2</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应完整地提供</w:t>
      </w:r>
      <w:r>
        <w:rPr>
          <w:rFonts w:hint="eastAsia" w:ascii="宋体" w:hAnsi="宋体" w:eastAsia="宋体" w:cs="宋体"/>
          <w:b w:val="0"/>
          <w:bCs w:val="0"/>
          <w:color w:val="auto"/>
          <w:sz w:val="24"/>
          <w:highlight w:val="none"/>
          <w:lang w:eastAsia="zh-CN"/>
        </w:rPr>
        <w:t>谈判</w:t>
      </w:r>
      <w:r>
        <w:rPr>
          <w:rFonts w:hint="eastAsia" w:ascii="宋体" w:hAnsi="宋体" w:eastAsia="宋体" w:cs="宋体"/>
          <w:b w:val="0"/>
          <w:bCs w:val="0"/>
          <w:color w:val="auto"/>
          <w:sz w:val="24"/>
          <w:highlight w:val="none"/>
        </w:rPr>
        <w:t>文件要求的所有数据和资料。</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.谈判报价</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.1</w:t>
      </w:r>
      <w:r>
        <w:rPr>
          <w:rFonts w:hint="eastAsia" w:ascii="宋体" w:hAnsi="宋体" w:eastAsia="宋体" w:cs="宋体"/>
          <w:sz w:val="24"/>
          <w:highlight w:val="none"/>
          <w:lang w:eastAsia="zh-CN"/>
        </w:rPr>
        <w:t>谈判</w:t>
      </w:r>
      <w:r>
        <w:rPr>
          <w:rFonts w:hint="eastAsia" w:ascii="宋体" w:hAnsi="宋体" w:eastAsia="宋体" w:cs="宋体"/>
          <w:sz w:val="24"/>
          <w:highlight w:val="none"/>
        </w:rPr>
        <w:t>报价：</w:t>
      </w:r>
      <w:r>
        <w:rPr>
          <w:rFonts w:hint="eastAsia" w:ascii="宋体" w:hAnsi="宋体" w:eastAsia="宋体" w:cs="宋体"/>
          <w:sz w:val="24"/>
          <w:highlight w:val="none"/>
          <w:lang w:eastAsia="zh-CN"/>
        </w:rPr>
        <w:t>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.2谈判报价表</w:t>
      </w:r>
      <w:r>
        <w:rPr>
          <w:rFonts w:hint="eastAsia" w:ascii="宋体" w:hAnsi="宋体" w:cs="宋体"/>
          <w:sz w:val="24"/>
          <w:szCs w:val="24"/>
          <w:highlight w:val="none"/>
          <w:lang w:val="en-US" w:eastAsia="zh-CN"/>
        </w:rPr>
        <w:t>应以明确</w:t>
      </w:r>
      <w:r>
        <w:rPr>
          <w:rFonts w:hint="eastAsia" w:ascii="宋体" w:hAnsi="宋体" w:eastAsia="宋体" w:cs="宋体"/>
          <w:sz w:val="24"/>
          <w:szCs w:val="24"/>
          <w:highlight w:val="none"/>
        </w:rPr>
        <w:t>的价格</w:t>
      </w:r>
      <w:r>
        <w:rPr>
          <w:rFonts w:hint="eastAsia" w:ascii="宋体" w:hAnsi="宋体" w:cs="宋体"/>
          <w:sz w:val="24"/>
          <w:szCs w:val="24"/>
          <w:highlight w:val="none"/>
          <w:lang w:val="en-US" w:eastAsia="zh-CN"/>
        </w:rPr>
        <w:t>作</w:t>
      </w:r>
      <w:r>
        <w:rPr>
          <w:rFonts w:hint="eastAsia" w:ascii="宋体" w:hAnsi="宋体" w:eastAsia="宋体" w:cs="宋体"/>
          <w:sz w:val="24"/>
          <w:szCs w:val="24"/>
          <w:highlight w:val="none"/>
        </w:rPr>
        <w:t>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13</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.2上述证明文件包括：</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主要技术指标和性能的详细说明；</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3) 服务内容、服务实施方案等的详细说明。</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.谈判保证金</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详见</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cs="宋体"/>
          <w:sz w:val="24"/>
          <w:szCs w:val="24"/>
          <w:highlight w:val="none"/>
          <w:lang w:val="en-US" w:eastAsia="zh-CN"/>
        </w:rPr>
        <w:t>规定的本次谈判</w:t>
      </w:r>
      <w:r>
        <w:rPr>
          <w:rFonts w:hint="eastAsia" w:ascii="宋体" w:hAnsi="宋体" w:eastAsia="宋体" w:cs="宋体"/>
          <w:sz w:val="24"/>
          <w:szCs w:val="24"/>
          <w:highlight w:val="none"/>
        </w:rPr>
        <w:t>规定保证金</w:t>
      </w:r>
      <w:r>
        <w:rPr>
          <w:rFonts w:hint="eastAsia" w:ascii="宋体" w:hAnsi="宋体" w:cs="宋体"/>
          <w:sz w:val="24"/>
          <w:szCs w:val="24"/>
          <w:highlight w:val="none"/>
          <w:lang w:val="en-US" w:eastAsia="zh-CN"/>
        </w:rPr>
        <w:t>说明</w:t>
      </w:r>
      <w:r>
        <w:rPr>
          <w:rFonts w:hint="eastAsia" w:ascii="宋体" w:hAnsi="宋体" w:eastAsia="宋体" w:cs="宋体"/>
          <w:sz w:val="24"/>
          <w:szCs w:val="24"/>
          <w:highlight w:val="none"/>
        </w:rPr>
        <w:t>。</w:t>
      </w:r>
    </w:p>
    <w:p>
      <w:pPr>
        <w:keepNext w:val="0"/>
        <w:keepLines w:val="0"/>
        <w:pageBreakBefore w:val="0"/>
        <w:widowControl w:val="0"/>
        <w:tabs>
          <w:tab w:val="right" w:pos="8788"/>
        </w:tabs>
        <w:wordWrap/>
        <w:overflowPunct/>
        <w:topLinePunct w:val="0"/>
        <w:autoSpaceDE/>
        <w:autoSpaceDN/>
        <w:bidi w:val="0"/>
        <w:spacing w:line="360" w:lineRule="auto"/>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6</w:t>
      </w:r>
      <w:r>
        <w:rPr>
          <w:rFonts w:hint="eastAsia" w:ascii="宋体" w:hAnsi="宋体" w:eastAsia="宋体" w:cs="宋体"/>
          <w:b/>
          <w:bCs w:val="0"/>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谈判有效期：见供应商须知前附表</w:t>
      </w:r>
      <w:r>
        <w:rPr>
          <w:rFonts w:hint="eastAsia" w:ascii="宋体" w:hAnsi="宋体" w:eastAsia="宋体" w:cs="宋体"/>
          <w:color w:val="auto"/>
          <w:sz w:val="24"/>
          <w:szCs w:val="24"/>
          <w:highlight w:val="none"/>
        </w:rPr>
        <w:t>。谈判有</w:t>
      </w:r>
      <w:r>
        <w:rPr>
          <w:rFonts w:hint="eastAsia" w:ascii="宋体" w:hAnsi="宋体" w:eastAsia="宋体" w:cs="宋体"/>
          <w:sz w:val="24"/>
          <w:szCs w:val="24"/>
          <w:highlight w:val="none"/>
        </w:rPr>
        <w:t>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文件正本、副本、电子版</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rPr>
        <w:t>竞争性谈判响应文件正本均需打印或用不褪色、不变质的墨水书写，</w:t>
      </w:r>
      <w:r>
        <w:rPr>
          <w:rFonts w:hint="eastAsia" w:hAnsi="宋体"/>
          <w:b w:val="0"/>
          <w:bCs w:val="0"/>
          <w:color w:val="auto"/>
          <w:sz w:val="24"/>
          <w:szCs w:val="24"/>
          <w:highlight w:val="none"/>
        </w:rPr>
        <w:t>由</w:t>
      </w:r>
      <w:r>
        <w:rPr>
          <w:rFonts w:hint="eastAsia" w:hAnsi="宋体"/>
          <w:b w:val="0"/>
          <w:bCs w:val="0"/>
          <w:color w:val="auto"/>
          <w:sz w:val="24"/>
          <w:szCs w:val="24"/>
          <w:highlight w:val="none"/>
          <w:lang w:eastAsia="zh-CN"/>
        </w:rPr>
        <w:t>供应商</w:t>
      </w:r>
      <w:r>
        <w:rPr>
          <w:rFonts w:hint="eastAsia" w:hAnsi="宋体"/>
          <w:b w:val="0"/>
          <w:bCs w:val="0"/>
          <w:color w:val="auto"/>
          <w:sz w:val="24"/>
          <w:szCs w:val="24"/>
          <w:highlight w:val="none"/>
        </w:rPr>
        <w:t>的法定代表人或</w:t>
      </w:r>
      <w:r>
        <w:rPr>
          <w:rFonts w:hint="eastAsia" w:hAnsi="宋体"/>
          <w:b w:val="0"/>
          <w:bCs w:val="0"/>
          <w:color w:val="auto"/>
          <w:sz w:val="24"/>
          <w:szCs w:val="24"/>
          <w:highlight w:val="none"/>
          <w:lang w:eastAsia="zh-CN"/>
        </w:rPr>
        <w:t>被授权人按谈判文件的规定签署</w:t>
      </w:r>
      <w:r>
        <w:rPr>
          <w:rFonts w:hint="eastAsia" w:hAnsi="宋体"/>
          <w:b w:val="0"/>
          <w:bCs w:val="0"/>
          <w:color w:val="auto"/>
          <w:sz w:val="24"/>
          <w:szCs w:val="24"/>
          <w:highlight w:val="none"/>
        </w:rPr>
        <w:t>（</w:t>
      </w:r>
      <w:r>
        <w:rPr>
          <w:rFonts w:hint="eastAsia"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要求</w:t>
      </w:r>
      <w:r>
        <w:rPr>
          <w:rFonts w:hint="eastAsia" w:hAnsi="宋体" w:eastAsia="宋体" w:cs="宋体"/>
          <w:b w:val="0"/>
          <w:bCs w:val="0"/>
          <w:color w:val="auto"/>
          <w:sz w:val="24"/>
          <w:szCs w:val="24"/>
          <w:highlight w:val="none"/>
          <w:lang w:eastAsia="zh-CN"/>
        </w:rPr>
        <w:t>谈判响应文件中</w:t>
      </w:r>
      <w:r>
        <w:rPr>
          <w:rFonts w:hint="eastAsia" w:ascii="宋体" w:hAnsi="宋体" w:eastAsia="宋体" w:cs="宋体"/>
          <w:b w:val="0"/>
          <w:bCs w:val="0"/>
          <w:color w:val="auto"/>
          <w:sz w:val="24"/>
          <w:szCs w:val="24"/>
          <w:highlight w:val="none"/>
          <w:lang w:eastAsia="zh-CN"/>
        </w:rPr>
        <w:t>签章的统一为签字或盖章</w:t>
      </w:r>
      <w:r>
        <w:rPr>
          <w:rFonts w:hint="eastAsia" w:hAnsi="宋体"/>
          <w:b w:val="0"/>
          <w:bCs w:val="0"/>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17.4</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竞争性谈判响应</w:t>
      </w:r>
      <w:r>
        <w:rPr>
          <w:rFonts w:hint="eastAsia" w:ascii="宋体" w:hAnsi="宋体" w:eastAsia="宋体" w:cs="宋体"/>
          <w:sz w:val="24"/>
          <w:szCs w:val="24"/>
          <w:highlight w:val="none"/>
        </w:rPr>
        <w:t>文件正本和副本</w:t>
      </w:r>
      <w:r>
        <w:rPr>
          <w:rFonts w:hint="eastAsia" w:ascii="宋体" w:hAnsi="宋体" w:eastAsia="宋体" w:cs="宋体"/>
          <w:sz w:val="24"/>
          <w:szCs w:val="24"/>
          <w:highlight w:val="none"/>
          <w:lang w:eastAsia="zh-CN"/>
        </w:rPr>
        <w:t>按照竞争性谈判文件</w:t>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eastAsia="zh-CN"/>
        </w:rPr>
        <w:t>规定的</w:t>
      </w:r>
      <w:r>
        <w:rPr>
          <w:rFonts w:hint="eastAsia" w:ascii="宋体" w:hAnsi="宋体" w:eastAsia="宋体" w:cs="宋体"/>
          <w:sz w:val="24"/>
          <w:szCs w:val="24"/>
          <w:highlight w:val="none"/>
        </w:rPr>
        <w:t>顺序编排</w:t>
      </w:r>
      <w:r>
        <w:rPr>
          <w:rFonts w:hint="eastAsia" w:ascii="宋体" w:hAnsi="宋体" w:eastAsia="宋体" w:cs="宋体"/>
          <w:sz w:val="24"/>
          <w:szCs w:val="24"/>
          <w:highlight w:val="none"/>
          <w:lang w:eastAsia="zh-CN"/>
        </w:rPr>
        <w:t>、并应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w:t>
      </w:r>
      <w:r>
        <w:rPr>
          <w:rFonts w:hint="eastAsia" w:ascii="宋体" w:hAnsi="宋体" w:eastAsia="宋体" w:cs="宋体"/>
          <w:sz w:val="24"/>
          <w:szCs w:val="24"/>
          <w:highlight w:val="none"/>
          <w:lang w:eastAsia="zh-CN"/>
        </w:rPr>
        <w:t>，并分别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公章，封袋正面要粘贴标识，单独递交（该单独密封报价一览表的谈判报价必须与竞争性谈判响应文件正本中的报价一览表谈判报价一致，若不一致，则按单独密封的报价一览表为准。）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lang w:eastAsia="zh-CN"/>
        </w:rPr>
        <w:t>谈判响应文件的密封和标记</w:t>
      </w:r>
      <w:r>
        <w:rPr>
          <w:rFonts w:hint="eastAsia" w:ascii="宋体" w:hAnsi="宋体" w:eastAsia="宋体" w:cs="宋体"/>
          <w:color w:val="auto"/>
          <w:sz w:val="24"/>
          <w:szCs w:val="24"/>
          <w:highlight w:val="none"/>
          <w:lang w:eastAsia="zh-CN"/>
        </w:rPr>
        <w:t>：详见“供应商须知前附表”。</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不退还。</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可以修改或撤回其</w:t>
      </w:r>
      <w:r>
        <w:rPr>
          <w:rFonts w:hint="eastAsia" w:ascii="宋体" w:hAnsi="宋体" w:eastAsia="宋体" w:cs="宋体"/>
          <w:sz w:val="24"/>
          <w:szCs w:val="24"/>
          <w:highlight w:val="none"/>
          <w:lang w:eastAsia="zh-CN"/>
        </w:rPr>
        <w:t>已递交的谈判</w:t>
      </w:r>
      <w:r>
        <w:rPr>
          <w:rFonts w:hint="eastAsia" w:ascii="宋体" w:hAnsi="宋体" w:eastAsia="宋体" w:cs="宋体"/>
          <w:sz w:val="24"/>
          <w:szCs w:val="24"/>
          <w:highlight w:val="none"/>
        </w:rPr>
        <w:t>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条的规定编制、密封、标记和递交。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pStyle w:val="11"/>
        <w:spacing w:line="360" w:lineRule="auto"/>
        <w:rPr>
          <w:rFonts w:hint="eastAsia" w:ascii="宋体" w:hAnsi="宋体" w:eastAsia="宋体" w:cs="宋体"/>
          <w:highlight w:val="none"/>
        </w:rPr>
      </w:pPr>
    </w:p>
    <w:p>
      <w:pPr>
        <w:keepNext w:val="0"/>
        <w:keepLines w:val="0"/>
        <w:pageBreakBefore w:val="0"/>
        <w:widowControl w:val="0"/>
        <w:wordWrap/>
        <w:overflowPunct/>
        <w:topLinePunct w:val="0"/>
        <w:autoSpaceDE/>
        <w:autoSpaceDN/>
        <w:bidi w:val="0"/>
        <w:spacing w:before="156" w:beforeLines="50" w:line="360" w:lineRule="auto"/>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 采购代理机构向成交人发出《成交通知书》。 </w:t>
      </w:r>
      <w:r>
        <w:rPr>
          <w:rFonts w:hint="eastAsia" w:ascii="宋体" w:hAnsi="宋体" w:eastAsia="宋体" w:cs="宋体"/>
          <w:b/>
          <w:bCs/>
          <w:sz w:val="24"/>
          <w:szCs w:val="24"/>
          <w:highlight w:val="none"/>
          <w:lang w:eastAsia="zh-CN"/>
        </w:rPr>
        <w:t>成交人领取成交通知书时须携带法定代表人授权书及加盖单位公章的被授权人身份证复印件。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.1采购人应当自成交通知书发出之日起</w:t>
      </w:r>
      <w:r>
        <w:rPr>
          <w:rFonts w:hint="eastAsia" w:ascii="宋体" w:hAnsi="宋体" w:cs="宋体"/>
          <w:sz w:val="24"/>
          <w:szCs w:val="24"/>
          <w:highlight w:val="none"/>
          <w:lang w:eastAsia="zh-CN"/>
        </w:rPr>
        <w:t>二十五</w:t>
      </w:r>
      <w:r>
        <w:rPr>
          <w:rFonts w:hint="eastAsia" w:ascii="宋体" w:hAnsi="宋体" w:eastAsia="宋体" w:cs="宋体"/>
          <w:sz w:val="24"/>
          <w:szCs w:val="24"/>
          <w:highlight w:val="none"/>
        </w:rPr>
        <w:t>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lang w:val="en-US" w:eastAsia="zh-CN"/>
        </w:rPr>
      </w:pPr>
      <w:r>
        <w:rPr>
          <w:rFonts w:hint="eastAsia" w:ascii="宋体" w:hAnsi="宋体" w:eastAsia="宋体" w:cs="宋体"/>
          <w:sz w:val="24"/>
          <w:szCs w:val="24"/>
          <w:highlight w:val="none"/>
          <w:lang w:val="en-US" w:eastAsia="zh-CN"/>
        </w:rPr>
        <w:t>29.2采购人</w:t>
      </w:r>
      <w:r>
        <w:rPr>
          <w:rFonts w:hint="eastAsia"/>
          <w:sz w:val="24"/>
          <w:szCs w:val="24"/>
          <w:highlight w:val="none"/>
          <w:lang w:val="en-US" w:eastAsia="zh-CN"/>
        </w:rPr>
        <w:t>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招标代理服务费：详见“供应商须知前附表”。</w:t>
      </w:r>
    </w:p>
    <w:p>
      <w:pPr>
        <w:keepNext w:val="0"/>
        <w:keepLines w:val="0"/>
        <w:pageBreakBefore w:val="0"/>
        <w:numPr>
          <w:ilvl w:val="0"/>
          <w:numId w:val="0"/>
        </w:numPr>
        <w:wordWrap/>
        <w:overflowPunct/>
        <w:topLinePunct w:val="0"/>
        <w:bidi w:val="0"/>
        <w:spacing w:line="360" w:lineRule="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31.合同鉴证费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31.1委托人和成交供应商签订的合同需经受托人审核并加盖鉴证方业务专用章。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31.2成交金额在500万元以下的项目，合同鉴证费收费标准为成交金额的万分之一，按规定计算低于300元的按300元收取；成交金额在500万元及以上的项目，合同鉴证费收费标准为成交金额的万分之一点五。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31.3合同鉴证费由成交供应商支付。</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32.履约验收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highlight w:val="none"/>
        </w:rPr>
      </w:pPr>
      <w:r>
        <w:rPr>
          <w:rFonts w:hint="eastAsia" w:ascii="宋体" w:hAnsi="宋体" w:eastAsia="宋体" w:cs="宋体"/>
          <w:sz w:val="24"/>
          <w:szCs w:val="24"/>
          <w:highlight w:val="none"/>
          <w:lang w:val="en-US" w:eastAsia="zh-CN"/>
        </w:rPr>
        <w:t>32.2履约验收的费用及要求详见“供应商须知前附表”。</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3"/>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3"/>
          <w:rFonts w:hint="eastAsia" w:ascii="宋体" w:hAnsi="宋体" w:eastAsia="宋体" w:cs="宋体"/>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3"/>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sz w:val="24"/>
          <w:szCs w:val="24"/>
          <w:highlight w:val="none"/>
          <w:lang w:val="en-US" w:eastAsia="zh-CN"/>
        </w:rPr>
        <w:t>33.5.6提出质疑的日期。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3"/>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color w:val="auto"/>
          <w:sz w:val="24"/>
          <w:highlight w:val="none"/>
          <w:lang w:val="en-US" w:eastAsia="zh-CN"/>
        </w:rPr>
        <w:t>33.6.8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33.7</w:t>
      </w:r>
      <w:r>
        <w:rPr>
          <w:rFonts w:hint="eastAsia" w:ascii="宋体" w:hAnsi="宋体" w:eastAsia="宋体" w:cs="宋体"/>
          <w:color w:val="auto"/>
          <w:sz w:val="24"/>
          <w:szCs w:val="24"/>
          <w:highlight w:val="none"/>
          <w:lang w:eastAsia="zh-CN"/>
        </w:rPr>
        <w:t>质疑答复</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33.7.2质疑供应商对采购人、采购代理机构的答复不满意，或者采购人、采购代理机构未在规定时间内作出答复的，可以在答复期满后15个工作日内向</w:t>
      </w:r>
      <w:r>
        <w:rPr>
          <w:rFonts w:hint="eastAsia" w:ascii="宋体" w:hAnsi="宋体" w:eastAsia="宋体" w:cs="宋体"/>
          <w:b w:val="0"/>
          <w:bCs w:val="0"/>
          <w:color w:val="auto"/>
          <w:sz w:val="24"/>
          <w:szCs w:val="24"/>
          <w:highlight w:val="none"/>
          <w:lang w:val="en-US" w:eastAsia="zh-CN"/>
        </w:rPr>
        <w:t>同级人民政府财政部门提起投诉。</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33.8其他需要说明的事项</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33.8.2接收质疑函的方式：书面形式</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33.8.3联系部门：陕西中桓国际项目管理有限公司项目部</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33.8.4联系电话：</w:t>
      </w:r>
      <w:r>
        <w:rPr>
          <w:rFonts w:hint="eastAsia" w:hAnsi="宋体" w:eastAsia="宋体" w:cs="宋体"/>
          <w:color w:val="auto"/>
          <w:sz w:val="24"/>
          <w:szCs w:val="24"/>
          <w:highlight w:val="none"/>
          <w:lang w:val="en-US" w:eastAsia="zh-CN"/>
        </w:rPr>
        <w:t>见供应商须知前</w:t>
      </w:r>
      <w:r>
        <w:rPr>
          <w:rFonts w:hint="eastAsia" w:ascii="宋体" w:hAnsi="宋体" w:eastAsia="宋体" w:cs="宋体"/>
          <w:color w:val="auto"/>
          <w:sz w:val="24"/>
          <w:szCs w:val="24"/>
          <w:highlight w:val="none"/>
          <w:lang w:val="en-US" w:eastAsia="zh-CN"/>
        </w:rPr>
        <w:t>附表</w:t>
      </w:r>
    </w:p>
    <w:p>
      <w:pPr>
        <w:pStyle w:val="8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33.8.5通讯地址：西安市经开区凤城七路长和国际A座25层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34</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.1谈判步骤为：第一次报价---分别谈判---第二次报价---评审推荐成交人。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bCs/>
          <w:color w:val="auto"/>
          <w:sz w:val="24"/>
          <w:szCs w:val="24"/>
          <w:highlight w:val="none"/>
        </w:rPr>
        <w:t>需要补充的其他内容：</w:t>
      </w:r>
      <w:bookmarkStart w:id="20" w:name="_Toc356305901"/>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20"/>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rPr>
          <w:rFonts w:hint="eastAsia" w:ascii="宋体" w:hAnsi="宋体" w:eastAsia="宋体" w:cs="宋体"/>
          <w:b/>
          <w:bCs/>
          <w:sz w:val="36"/>
          <w:szCs w:val="36"/>
          <w:highlight w:val="none"/>
        </w:rPr>
      </w:pPr>
      <w:bookmarkStart w:id="21" w:name="_Toc31299"/>
      <w:bookmarkStart w:id="22" w:name="_Toc20645"/>
      <w:bookmarkStart w:id="23" w:name="_Toc409690876"/>
      <w:bookmarkStart w:id="24" w:name="_Toc425781309"/>
      <w:bookmarkStart w:id="25" w:name="_Toc8912"/>
      <w:bookmarkStart w:id="26" w:name="_Toc405358615"/>
      <w:bookmarkStart w:id="27" w:name="_Toc409690877"/>
      <w:bookmarkStart w:id="28" w:name="_Toc75232033"/>
      <w:bookmarkStart w:id="29" w:name="_Toc25472"/>
      <w:bookmarkStart w:id="30" w:name="_Toc7665"/>
      <w:bookmarkStart w:id="31" w:name="_Toc19921"/>
      <w:r>
        <w:rPr>
          <w:rFonts w:hint="eastAsia" w:ascii="宋体" w:hAnsi="宋体" w:eastAsia="宋体" w:cs="宋体"/>
          <w:b/>
          <w:bCs/>
          <w:sz w:val="36"/>
          <w:szCs w:val="36"/>
          <w:highlight w:val="none"/>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第三章 合同条款</w:t>
      </w:r>
      <w:bookmarkEnd w:id="21"/>
      <w:bookmarkEnd w:id="22"/>
      <w:bookmarkEnd w:id="23"/>
      <w:r>
        <w:rPr>
          <w:rFonts w:hint="eastAsia" w:ascii="宋体" w:hAnsi="宋体" w:eastAsia="宋体" w:cs="宋体"/>
          <w:b/>
          <w:bCs/>
          <w:sz w:val="36"/>
          <w:szCs w:val="36"/>
          <w:highlight w:val="none"/>
        </w:rPr>
        <w:t>及格式</w:t>
      </w:r>
      <w:bookmarkEnd w:id="24"/>
      <w:bookmarkEnd w:id="25"/>
    </w:p>
    <w:p>
      <w:pPr>
        <w:pStyle w:val="4"/>
        <w:jc w:val="center"/>
        <w:rPr>
          <w:rFonts w:hint="eastAsia" w:ascii="宋体" w:hAnsi="宋体" w:eastAsia="宋体" w:cs="宋体"/>
          <w:highlight w:val="none"/>
        </w:rPr>
      </w:pPr>
      <w:bookmarkStart w:id="32" w:name="_Toc425781310"/>
      <w:bookmarkStart w:id="33" w:name="_Toc31424"/>
      <w:r>
        <w:rPr>
          <w:rFonts w:hint="eastAsia" w:ascii="宋体" w:hAnsi="宋体" w:eastAsia="宋体" w:cs="宋体"/>
          <w:highlight w:val="none"/>
        </w:rPr>
        <w:t>合同</w:t>
      </w:r>
      <w:bookmarkEnd w:id="26"/>
      <w:r>
        <w:rPr>
          <w:rFonts w:hint="eastAsia" w:ascii="宋体" w:hAnsi="宋体" w:eastAsia="宋体" w:cs="宋体"/>
          <w:highlight w:val="none"/>
        </w:rPr>
        <w:t>前附表</w:t>
      </w:r>
      <w:bookmarkEnd w:id="32"/>
      <w:bookmarkEnd w:id="33"/>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9" w:hRule="exact"/>
        </w:trPr>
        <w:tc>
          <w:tcPr>
            <w:tcW w:w="1021" w:type="dxa"/>
            <w:noWrap w:val="0"/>
            <w:vAlign w:val="center"/>
          </w:tcPr>
          <w:p>
            <w:pPr>
              <w:spacing w:line="360" w:lineRule="auto"/>
              <w:jc w:val="center"/>
              <w:rPr>
                <w:rFonts w:hint="eastAsia" w:ascii="宋体" w:hAnsi="宋体" w:eastAsia="宋体" w:cs="宋体"/>
                <w:color w:val="FF0000"/>
                <w:sz w:val="24"/>
                <w:szCs w:val="24"/>
                <w:highlight w:val="none"/>
              </w:rPr>
            </w:pPr>
            <w:r>
              <w:rPr>
                <w:rFonts w:hint="eastAsia" w:ascii="宋体" w:hAnsi="宋体" w:cs="宋体"/>
                <w:color w:val="auto"/>
                <w:sz w:val="24"/>
                <w:szCs w:val="24"/>
                <w:highlight w:val="none"/>
                <w:lang w:eastAsia="zh-CN"/>
              </w:rPr>
              <w:t>1</w:t>
            </w:r>
          </w:p>
        </w:tc>
        <w:tc>
          <w:tcPr>
            <w:tcW w:w="8281"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黄陵县教育科技体育局</w:t>
            </w:r>
          </w:p>
          <w:p>
            <w:pPr>
              <w:spacing w:line="360" w:lineRule="auto"/>
              <w:jc w:val="left"/>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地址：</w:t>
            </w:r>
            <w:r>
              <w:rPr>
                <w:rFonts w:hint="eastAsia" w:ascii="宋体" w:hAnsi="宋体" w:cs="宋体"/>
                <w:color w:val="auto"/>
                <w:kern w:val="2"/>
                <w:sz w:val="24"/>
                <w:szCs w:val="24"/>
                <w:highlight w:val="none"/>
                <w:lang w:val="en-US" w:eastAsia="zh-CN" w:bidi="ar-SA"/>
              </w:rPr>
              <w:t>黄陵县土德路</w:t>
            </w:r>
          </w:p>
          <w:p>
            <w:pPr>
              <w:spacing w:line="360" w:lineRule="auto"/>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中小学、幼儿园教学视导评估项目</w:t>
            </w:r>
          </w:p>
          <w:p>
            <w:pPr>
              <w:spacing w:line="360" w:lineRule="auto"/>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资金来源：</w:t>
            </w:r>
            <w:r>
              <w:rPr>
                <w:rFonts w:hint="eastAsia" w:ascii="宋体" w:hAnsi="宋体" w:cs="宋体"/>
                <w:color w:val="000000" w:themeColor="text1"/>
                <w:sz w:val="24"/>
                <w:szCs w:val="24"/>
                <w:highlight w:val="none"/>
                <w:lang w:val="en-US" w:eastAsia="zh-CN"/>
                <w14:textFill>
                  <w14:solidFill>
                    <w14:schemeClr w14:val="tx1"/>
                  </w14:solidFill>
                </w14:textFill>
              </w:rPr>
              <w:t>财政</w:t>
            </w:r>
            <w:r>
              <w:rPr>
                <w:rFonts w:hint="eastAsia" w:ascii="宋体" w:hAnsi="宋体" w:eastAsia="宋体" w:cs="宋体"/>
                <w:color w:val="000000" w:themeColor="text1"/>
                <w:sz w:val="24"/>
                <w:szCs w:val="24"/>
                <w:highlight w:val="none"/>
                <w:lang w:val="en-US" w:eastAsia="zh-CN"/>
                <w14:textFill>
                  <w14:solidFill>
                    <w14:schemeClr w14:val="tx1"/>
                  </w14:solidFill>
                </w14:textFill>
              </w:rPr>
              <w:t>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黄陵县教育科技体育局</w:t>
            </w:r>
            <w:r>
              <w:rPr>
                <w:rFonts w:hint="eastAsia" w:ascii="宋体" w:hAnsi="宋体" w:eastAsia="宋体" w:cs="宋体"/>
                <w:color w:val="auto"/>
                <w:sz w:val="24"/>
                <w:szCs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281" w:type="dxa"/>
            <w:noWrap w:val="0"/>
            <w:vAlign w:val="center"/>
          </w:tcPr>
          <w:p>
            <w:pPr>
              <w:spacing w:line="360" w:lineRule="auto"/>
              <w:jc w:val="left"/>
              <w:rPr>
                <w:rFonts w:hint="eastAsia" w:eastAsia="宋体"/>
                <w:highlight w:val="none"/>
                <w:lang w:val="en-US" w:eastAsia="zh-CN"/>
              </w:rPr>
            </w:pPr>
            <w:r>
              <w:rPr>
                <w:rFonts w:hint="eastAsia" w:ascii="宋体" w:hAnsi="宋体" w:cs="宋体"/>
                <w:color w:val="auto"/>
                <w:sz w:val="24"/>
                <w:szCs w:val="24"/>
                <w:highlight w:val="none"/>
                <w:lang w:eastAsia="zh-CN"/>
              </w:rPr>
              <w:t>服务期限：</w:t>
            </w:r>
            <w:r>
              <w:rPr>
                <w:rFonts w:hint="eastAsia" w:ascii="宋体" w:hAnsi="宋体" w:cs="宋体"/>
                <w:color w:val="auto"/>
                <w:sz w:val="24"/>
                <w:szCs w:val="24"/>
                <w:highlight w:val="none"/>
                <w:lang w:val="en-US" w:eastAsia="zh-CN"/>
              </w:rPr>
              <w:t>25天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281" w:type="dxa"/>
            <w:noWrap w:val="0"/>
            <w:vAlign w:val="center"/>
          </w:tcPr>
          <w:p>
            <w:pPr>
              <w:numPr>
                <w:ilvl w:val="0"/>
                <w:numId w:val="3"/>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应在谈判报价表明</w:t>
            </w:r>
            <w:r>
              <w:rPr>
                <w:rFonts w:hint="eastAsia" w:ascii="宋体" w:hAnsi="宋体" w:cs="宋体"/>
                <w:sz w:val="24"/>
                <w:szCs w:val="24"/>
                <w:highlight w:val="none"/>
                <w:lang w:val="en-US" w:eastAsia="zh-CN"/>
              </w:rPr>
              <w:t>确</w:t>
            </w:r>
            <w:r>
              <w:rPr>
                <w:rFonts w:hint="eastAsia" w:ascii="宋体" w:hAnsi="宋体" w:eastAsia="宋体" w:cs="宋体"/>
                <w:sz w:val="24"/>
                <w:szCs w:val="24"/>
                <w:highlight w:val="none"/>
              </w:rPr>
              <w:t>完成本次谈判所要求的货物、服务并验收至合格的所有费用</w:t>
            </w:r>
            <w:r>
              <w:rPr>
                <w:rFonts w:hint="eastAsia" w:ascii="宋体" w:hAnsi="宋体" w:eastAsia="宋体" w:cs="宋体"/>
                <w:sz w:val="24"/>
                <w:szCs w:val="24"/>
                <w:highlight w:val="none"/>
                <w:lang w:eastAsia="zh-CN"/>
              </w:rPr>
              <w:t>。</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（1）由采购人负责结算，在付款前，供应商必须开具全额发票给采购人。 </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spacing w:line="360" w:lineRule="auto"/>
              <w:rPr>
                <w:rFonts w:hint="eastAsia" w:ascii="宋体" w:hAnsi="宋体" w:eastAsia="宋体" w:cs="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81" w:type="dxa"/>
            <w:noWrap w:val="0"/>
            <w:vAlign w:val="center"/>
          </w:tcPr>
          <w:p>
            <w:pPr>
              <w:pStyle w:val="15"/>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质量保证：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供应商提供的服务，应全面满足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81" w:type="dxa"/>
            <w:noWrap w:val="0"/>
            <w:vAlign w:val="center"/>
          </w:tcPr>
          <w:p>
            <w:pPr>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验收：</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1、本项</w:t>
            </w:r>
            <w:r>
              <w:rPr>
                <w:rFonts w:hint="eastAsia" w:ascii="宋体" w:hAnsi="宋体" w:eastAsia="宋体" w:cs="宋体"/>
                <w:color w:val="auto"/>
                <w:sz w:val="24"/>
                <w:szCs w:val="24"/>
                <w:highlight w:val="none"/>
              </w:rPr>
              <w:t>目由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相关部</w:t>
            </w:r>
            <w:r>
              <w:rPr>
                <w:rFonts w:hint="eastAsia" w:ascii="宋体" w:hAnsi="宋体" w:eastAsia="宋体" w:cs="宋体"/>
                <w:sz w:val="24"/>
                <w:szCs w:val="24"/>
                <w:highlight w:val="none"/>
              </w:rPr>
              <w:t>门定期对项目进行阶段性验收。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及澄清函、项目检查情况等综合指标进行验收。各项指标均应符合验收标准及要求。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3.验收合格后，填写验收单，双方签字生效。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及澄清函、</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国家和行业制定的相应的标准和规范；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违约责任：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按按《中华人民共和国政府采购法》、《中华人民共和国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》中的相关条款执行。</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1.供应商须按报价一览表（统一格式）和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分项报价表（统一格式）的内容填写单价、总价及其他事项。</w:t>
            </w:r>
          </w:p>
          <w:p>
            <w:pPr>
              <w:pStyle w:val="15"/>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2.供应商所报的</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b/>
          <w:bCs/>
          <w:sz w:val="48"/>
          <w:szCs w:val="48"/>
          <w:highlight w:val="none"/>
        </w:rPr>
        <w:br w:type="page"/>
      </w:r>
    </w:p>
    <w:p>
      <w:pPr>
        <w:jc w:val="center"/>
        <w:rPr>
          <w:rFonts w:hint="eastAsia" w:ascii="宋体" w:hAnsi="宋体" w:cs="宋体"/>
          <w:b/>
          <w:sz w:val="52"/>
          <w:szCs w:val="52"/>
          <w:highlight w:val="none"/>
          <w:lang w:eastAsia="zh-CN"/>
        </w:rPr>
      </w:pPr>
    </w:p>
    <w:p>
      <w:pPr>
        <w:spacing w:line="360" w:lineRule="auto"/>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中小学、幼儿园教学视导评估项目</w:t>
      </w:r>
    </w:p>
    <w:p>
      <w:pPr>
        <w:spacing w:line="360" w:lineRule="auto"/>
        <w:jc w:val="center"/>
        <w:rPr>
          <w:rFonts w:hint="eastAsia" w:ascii="宋体" w:hAnsi="宋体"/>
          <w:b/>
          <w:bCs/>
          <w:color w:val="000000"/>
          <w:sz w:val="48"/>
          <w:szCs w:val="48"/>
          <w:highlight w:val="none"/>
        </w:rPr>
      </w:pPr>
      <w:r>
        <w:rPr>
          <w:rFonts w:hint="eastAsia" w:ascii="宋体" w:hAnsi="宋体"/>
          <w:b/>
          <w:bCs/>
          <w:color w:val="000000"/>
          <w:sz w:val="48"/>
          <w:szCs w:val="48"/>
          <w:highlight w:val="none"/>
          <w:lang w:val="en-US" w:eastAsia="zh-CN"/>
        </w:rPr>
        <w:t>咨询服务</w:t>
      </w:r>
      <w:r>
        <w:rPr>
          <w:rFonts w:hint="eastAsia" w:ascii="宋体" w:hAnsi="宋体"/>
          <w:b/>
          <w:bCs/>
          <w:color w:val="000000"/>
          <w:sz w:val="48"/>
          <w:szCs w:val="48"/>
          <w:highlight w:val="none"/>
        </w:rPr>
        <w:t>合同</w:t>
      </w:r>
    </w:p>
    <w:p>
      <w:pPr>
        <w:spacing w:line="360" w:lineRule="auto"/>
        <w:ind w:firstLine="1200" w:firstLineChars="500"/>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4"/>
          <w:szCs w:val="22"/>
          <w:highlight w:val="none"/>
        </w:rPr>
        <w:t xml:space="preserve"> </w:t>
      </w: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spacing w:line="360" w:lineRule="auto"/>
        <w:rPr>
          <w:rFonts w:hint="eastAsia" w:ascii="仿宋_GB2312" w:hAnsi="仿宋_GB2312" w:eastAsia="仿宋_GB2312" w:cs="仿宋_GB2312"/>
          <w:sz w:val="24"/>
          <w:szCs w:val="22"/>
          <w:highlight w:val="none"/>
        </w:rPr>
      </w:pPr>
    </w:p>
    <w:p>
      <w:pPr>
        <w:pStyle w:val="7"/>
        <w:rPr>
          <w:rFonts w:hint="eastAsia" w:ascii="宋体" w:hAnsi="宋体" w:eastAsia="宋体" w:cs="宋体"/>
          <w:b w:val="0"/>
          <w:bCs w:val="0"/>
          <w:kern w:val="2"/>
          <w:sz w:val="24"/>
          <w:szCs w:val="24"/>
          <w:highlight w:val="none"/>
          <w:lang w:val="en-US" w:eastAsia="zh-CN" w:bidi="ar-SA"/>
        </w:rPr>
      </w:pPr>
    </w:p>
    <w:p>
      <w:pPr>
        <w:rPr>
          <w:rFonts w:hint="eastAsia" w:ascii="宋体" w:hAnsi="宋体" w:eastAsia="宋体" w:cs="宋体"/>
          <w:b w:val="0"/>
          <w:bCs w:val="0"/>
          <w:kern w:val="2"/>
          <w:sz w:val="24"/>
          <w:szCs w:val="24"/>
          <w:highlight w:val="none"/>
          <w:lang w:val="en-US" w:eastAsia="zh-CN" w:bidi="ar-SA"/>
        </w:rPr>
      </w:pPr>
    </w:p>
    <w:p>
      <w:pPr>
        <w:spacing w:line="360" w:lineRule="auto"/>
        <w:rPr>
          <w:rFonts w:hint="eastAsia" w:ascii="宋体" w:hAnsi="宋体" w:eastAsia="宋体" w:cs="宋体"/>
          <w:b w:val="0"/>
          <w:bCs w:val="0"/>
          <w:kern w:val="2"/>
          <w:sz w:val="24"/>
          <w:szCs w:val="24"/>
          <w:highlight w:val="none"/>
          <w:lang w:val="en-US" w:eastAsia="zh-CN" w:bidi="ar-SA"/>
        </w:rPr>
      </w:pPr>
    </w:p>
    <w:p>
      <w:pPr>
        <w:spacing w:line="360" w:lineRule="auto"/>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甲方：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乙方：             </w:t>
      </w:r>
    </w:p>
    <w:p>
      <w:pPr>
        <w:spacing w:line="360" w:lineRule="auto"/>
        <w:ind w:firstLine="720" w:firstLineChars="300"/>
        <w:rPr>
          <w:rFonts w:hint="eastAsia" w:ascii="宋体" w:hAnsi="宋体" w:eastAsia="宋体" w:cs="宋体"/>
          <w:sz w:val="24"/>
          <w:szCs w:val="24"/>
          <w:highlight w:val="none"/>
        </w:rPr>
      </w:pP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ind w:firstLine="2640" w:firstLineChars="1100"/>
        <w:rPr>
          <w:rFonts w:hint="eastAsia" w:ascii="宋体" w:hAnsi="宋体" w:eastAsia="宋体" w:cs="宋体"/>
          <w:sz w:val="24"/>
          <w:szCs w:val="24"/>
          <w:highlight w:val="none"/>
        </w:rPr>
      </w:pPr>
    </w:p>
    <w:p>
      <w:pPr>
        <w:spacing w:line="360" w:lineRule="auto"/>
        <w:ind w:firstLine="3840" w:firstLineChars="1600"/>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年  月  日</w:t>
      </w: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人）：</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乙方（供应商）：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（项目名称）(项目编号：</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组织竞争</w:t>
      </w:r>
      <w:r>
        <w:rPr>
          <w:rFonts w:hint="eastAsia" w:ascii="宋体" w:hAnsi="宋体" w:eastAsia="宋体" w:cs="宋体"/>
          <w:sz w:val="24"/>
          <w:szCs w:val="24"/>
          <w:highlight w:val="none"/>
          <w:lang w:val="en-US" w:eastAsia="zh-CN"/>
        </w:rPr>
        <w:t>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(以下简称“甲方”)确定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（以下简称“乙方”）为的</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依据《中华人民共和国民法典》和《中华人民共和国政府采购法》，经双方协商按下述条款和条件签署本合同。</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服务内容</w:t>
      </w:r>
    </w:p>
    <w:p>
      <w:pPr>
        <w:spacing w:line="360" w:lineRule="auto"/>
        <w:rPr>
          <w:rFonts w:hint="eastAsia" w:ascii="宋体" w:hAnsi="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（一） 服务工作内容</w:t>
      </w:r>
      <w:r>
        <w:rPr>
          <w:rFonts w:hint="eastAsia" w:ascii="宋体" w:hAnsi="宋体" w:cs="宋体"/>
          <w:b w:val="0"/>
          <w:bCs w:val="0"/>
          <w:sz w:val="24"/>
          <w:szCs w:val="24"/>
          <w:highlight w:val="none"/>
          <w:u w:val="single"/>
          <w:lang w:val="en-US" w:eastAsia="zh-CN"/>
        </w:rPr>
        <w:t xml:space="preserve">                                                         </w:t>
      </w:r>
    </w:p>
    <w:p>
      <w:pPr>
        <w:pStyle w:val="29"/>
        <w:rPr>
          <w:rFonts w:hint="default"/>
          <w:highlight w:val="none"/>
          <w:lang w:val="en-US" w:eastAsia="zh-CN"/>
        </w:rPr>
      </w:pPr>
      <w:r>
        <w:rPr>
          <w:rFonts w:hint="eastAsia" w:hAnsi="宋体" w:cs="宋体"/>
          <w:b w:val="0"/>
          <w:bCs w:val="0"/>
          <w:sz w:val="24"/>
          <w:szCs w:val="24"/>
          <w:highlight w:val="none"/>
          <w:u w:val="single"/>
          <w:lang w:val="en-US" w:eastAsia="zh-CN"/>
        </w:rPr>
        <w:t xml:space="preserve">                                                                          </w:t>
      </w:r>
    </w:p>
    <w:p>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（二）工作周期：</w:t>
      </w:r>
      <w:r>
        <w:rPr>
          <w:rFonts w:hint="eastAsia" w:ascii="宋体" w:hAnsi="宋体" w:cs="宋体"/>
          <w:sz w:val="24"/>
          <w:szCs w:val="24"/>
          <w:highlight w:val="none"/>
          <w:u w:val="single"/>
          <w:lang w:val="en-US" w:eastAsia="zh-CN"/>
        </w:rPr>
        <w:t xml:space="preserve"> 25天</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本服务自合同签订之日起至XXX结束。</w:t>
      </w:r>
    </w:p>
    <w:p>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注：</w:t>
      </w:r>
      <w:r>
        <w:rPr>
          <w:rFonts w:hint="eastAsia" w:ascii="宋体" w:hAnsi="宋体" w:cs="宋体"/>
          <w:sz w:val="24"/>
          <w:szCs w:val="24"/>
          <w:highlight w:val="none"/>
          <w:u w:val="single"/>
          <w:lang w:val="en-US" w:eastAsia="zh-CN"/>
        </w:rPr>
        <w:t>具体服务起止时间根据服务内容及要求双方协商可顺延。</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 提交服务成果</w:t>
      </w:r>
    </w:p>
    <w:p>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乙方应以XXX方式提交工作成果，具体包括XXXX</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rPr>
        <w:t>合同总价款为人民币（大写）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合同总价是指为</w:t>
      </w:r>
      <w:r>
        <w:rPr>
          <w:rFonts w:hint="eastAsia" w:ascii="宋体" w:hAnsi="宋体" w:cs="宋体"/>
          <w:sz w:val="24"/>
          <w:szCs w:val="24"/>
          <w:highlight w:val="none"/>
          <w:lang w:val="en-US" w:eastAsia="zh-CN"/>
        </w:rPr>
        <w:t>25天</w:t>
      </w:r>
      <w:r>
        <w:rPr>
          <w:rFonts w:hint="eastAsia" w:ascii="宋体" w:hAnsi="宋体" w:eastAsia="宋体" w:cs="宋体"/>
          <w:sz w:val="24"/>
          <w:szCs w:val="24"/>
          <w:highlight w:val="none"/>
        </w:rPr>
        <w:t>工作所需的全部费用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不受市场价格变化因素的影响。</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三、款项结算</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（一）合同款的支</w:t>
      </w:r>
      <w:r>
        <w:rPr>
          <w:rFonts w:hint="eastAsia" w:ascii="宋体" w:hAnsi="宋体" w:eastAsia="宋体" w:cs="宋体"/>
          <w:sz w:val="24"/>
          <w:szCs w:val="24"/>
          <w:highlight w:val="none"/>
          <w:lang w:val="en-US" w:eastAsia="zh-CN"/>
        </w:rPr>
        <w:t>付</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支付30%</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numPr>
          <w:ilvl w:val="0"/>
          <w:numId w:val="5"/>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支付方式</w:t>
      </w: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乙方在付款日前（）个工作日内，开具相应付款金额的正式含税票送达至甲方。</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甲方通过银行转账方式予以支付。乙方保证上述账户的有效性，合法性。若收款账户发送变动，乙方应提前XX个工作日书面通知甲方。</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四、验收时间及依据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（二）本合同及附件文本；</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（三）合同签订时国家及行业现行的标准和技术规范；</w:t>
      </w:r>
    </w:p>
    <w:p>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五、双方的责任与义务</w:t>
      </w:r>
    </w:p>
    <w:p>
      <w:pPr>
        <w:spacing w:line="360" w:lineRule="auto"/>
        <w:rPr>
          <w:rFonts w:hint="eastAsia" w:ascii="宋体" w:hAnsi="宋体" w:eastAsia="宋体" w:cs="宋体"/>
          <w:sz w:val="24"/>
          <w:szCs w:val="24"/>
          <w:highlight w:val="none"/>
        </w:rPr>
      </w:pP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（一）甲方的责任与义务</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方应积极协调相关单位，协助乙方开展工作，并根据乙方的合理要求，负责向乙方及时提供有关项目的基础资料。</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2.甲方应当全面、真实地叙述与本项目事务有关的各种情况，并保证所提供的一切相关文件真实、合法和有效。甲方应为乙方调查、研究和实地勘察事宜提供全面便利。</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.甲方应按本合同规定及时足额支付相应的费用。</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（二）乙方的责任</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1.乙方应充分理解甲方的意图，其工作思路、想法须贯穿项目实施的目的。</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按照本合同</w:t>
      </w:r>
      <w:r>
        <w:rPr>
          <w:rFonts w:hint="eastAsia" w:ascii="宋体" w:hAnsi="宋体" w:eastAsia="宋体" w:cs="宋体"/>
          <w:sz w:val="24"/>
          <w:szCs w:val="24"/>
          <w:highlight w:val="none"/>
        </w:rPr>
        <w:t>所述咨询服务，并对咨询服务质量负责，确保甲方权益。</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3.同甲方共同商定咨询服务工作计划。</w:t>
      </w:r>
    </w:p>
    <w:p>
      <w:pPr>
        <w:pageBreakBefore w:val="0"/>
        <w:kinsoku/>
        <w:overflowPunct/>
        <w:topLinePunct w:val="0"/>
        <w:autoSpaceDE/>
        <w:autoSpaceDN/>
        <w:bidi w:val="0"/>
        <w:adjustRightInd w:val="0"/>
        <w:snapToGrid w:val="0"/>
        <w:spacing w:line="597"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4.根据合同约定的支付方式及时通知甲方支付咨询服务费。</w:t>
      </w:r>
    </w:p>
    <w:p>
      <w:pPr>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 六、违约责任</w:t>
      </w:r>
      <w:r>
        <w:rPr>
          <w:rFonts w:hint="eastAsia" w:ascii="宋体" w:hAnsi="宋体" w:eastAsia="宋体" w:cs="宋体"/>
          <w:b/>
          <w:bCs/>
          <w:sz w:val="24"/>
          <w:szCs w:val="24"/>
          <w:highlight w:val="none"/>
          <w:lang w:val="en-US" w:eastAsia="zh-CN"/>
        </w:rPr>
        <w:t xml:space="preserve"> 保密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》、《中华人民共和国政府采购法》、《中华人民共和国政府采购法实施条例》的相关条款和本合同约定，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供应商未全面履行合同义务或者发生违约，采购单位会同采购代理机构有权终止合同，依法向</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供应商造成的经济损失。</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 对工作中了解到的采购人的技术、机密等进行严格保密，不得向他人泄漏。本合同的解除或终止不免除供应商应承担的保密义务。</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七、不可抗力情况下的免责约定</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lang w:eastAsia="zh-CN"/>
        </w:rPr>
        <w:t>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八、合同争议解决的方式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本合同在履行过程中发生的争议，由甲、乙双方当事人协商解决，协商不成的按下列第二种方式解决：</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lang w:val="en-US" w:eastAsia="zh-CN"/>
        </w:rPr>
        <w:t>XXX</w:t>
      </w:r>
      <w:r>
        <w:rPr>
          <w:rFonts w:hint="eastAsia" w:ascii="宋体" w:hAnsi="宋体" w:eastAsia="宋体" w:cs="宋体"/>
          <w:sz w:val="24"/>
          <w:szCs w:val="24"/>
          <w:highlight w:val="none"/>
        </w:rPr>
        <w:t>仲裁委员会仲裁；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（二）依法向甲方所在地人民法院起诉。</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九、合同生效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订立地点：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本合同经双方签字盖章后生效。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本合同须经甲、乙双方的法定代表人（授权代理人）在合同书上签字并加盖本单位公章后正实生效。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合同生效后，甲、乙双方须严格执行本合同条款的规定，全面履行合同，违者按《中华人民共和国民法典》的有关规定承担相应责任。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份。监管部门备案</w:t>
      </w:r>
      <w:r>
        <w:rPr>
          <w:rFonts w:hint="eastAsia" w:ascii="宋体" w:hAnsi="宋体" w:eastAsia="宋体" w:cs="宋体"/>
          <w:sz w:val="24"/>
          <w:szCs w:val="24"/>
          <w:highlight w:val="none"/>
          <w:u w:val="single"/>
        </w:rPr>
        <w:t xml:space="preserve"> 壹 </w:t>
      </w:r>
      <w:r>
        <w:rPr>
          <w:rFonts w:hint="eastAsia" w:ascii="宋体" w:hAnsi="宋体" w:eastAsia="宋体" w:cs="宋体"/>
          <w:sz w:val="24"/>
          <w:szCs w:val="24"/>
          <w:highlight w:val="none"/>
        </w:rPr>
        <w:t>份。各方签字盖章后生效，合同执行完毕自动失效。（合同的服务承诺则长期有效）。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本合同如有未尽事宜，甲、乙双方协商解决。</w:t>
      </w:r>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eastAsia="zh-CN"/>
        </w:rPr>
        <w:t>其他事项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）成交人不得转让、分包给其它单位或个人；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）成交人的</w:t>
      </w:r>
      <w:r>
        <w:rPr>
          <w:rFonts w:hint="eastAsia" w:ascii="宋体" w:hAnsi="宋体" w:eastAsia="宋体" w:cs="宋体"/>
          <w:sz w:val="24"/>
          <w:szCs w:val="24"/>
          <w:highlight w:val="none"/>
          <w:lang w:val="en-US" w:eastAsia="zh-CN"/>
        </w:rPr>
        <w:t>谈判响应</w:t>
      </w:r>
      <w:r>
        <w:rPr>
          <w:rFonts w:hint="eastAsia" w:ascii="宋体" w:hAnsi="宋体" w:eastAsia="宋体" w:cs="宋体"/>
          <w:sz w:val="24"/>
          <w:szCs w:val="24"/>
          <w:highlight w:val="none"/>
        </w:rPr>
        <w:t>文件和承诺等内容将列入合同。</w:t>
      </w:r>
    </w:p>
    <w:tbl>
      <w:tblPr>
        <w:tblStyle w:val="30"/>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  方</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c>
          <w:tcPr>
            <w:tcW w:w="4202" w:type="dxa"/>
            <w:noWrap w:val="0"/>
            <w:vAlign w:val="center"/>
          </w:tcPr>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420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r>
    </w:tbl>
    <w:p>
      <w:pPr>
        <w:spacing w:line="300" w:lineRule="auto"/>
        <w:rPr>
          <w:rFonts w:hint="eastAsia" w:ascii="仿宋" w:hAnsi="仿宋" w:eastAsia="仿宋" w:cs="仿宋"/>
          <w:b/>
          <w:sz w:val="28"/>
          <w:szCs w:val="28"/>
          <w:highlight w:val="none"/>
        </w:rPr>
      </w:pPr>
    </w:p>
    <w:bookmarkEnd w:id="27"/>
    <w:bookmarkEnd w:id="28"/>
    <w:bookmarkEnd w:id="29"/>
    <w:bookmarkEnd w:id="30"/>
    <w:p>
      <w:pPr>
        <w:rPr>
          <w:rFonts w:hint="eastAsia" w:ascii="宋体" w:hAnsi="宋体" w:eastAsia="宋体" w:cs="宋体"/>
          <w:b/>
          <w:bCs/>
          <w:sz w:val="36"/>
          <w:szCs w:val="36"/>
          <w:highlight w:val="none"/>
          <w:lang w:eastAsia="zh-CN"/>
        </w:rPr>
      </w:pPr>
      <w:bookmarkStart w:id="34" w:name="_Toc425781311"/>
      <w:bookmarkStart w:id="35" w:name="_Toc32341"/>
      <w:bookmarkStart w:id="36" w:name="_Toc405358616"/>
      <w:r>
        <w:rPr>
          <w:rFonts w:hint="eastAsia" w:ascii="宋体" w:hAnsi="宋体" w:eastAsia="宋体" w:cs="宋体"/>
          <w:b/>
          <w:bCs/>
          <w:sz w:val="36"/>
          <w:szCs w:val="36"/>
          <w:highlight w:val="none"/>
          <w:lang w:eastAsia="zh-CN"/>
        </w:rPr>
        <w:br w:type="page"/>
      </w:r>
    </w:p>
    <w:p>
      <w:pPr>
        <w:pStyle w:val="3"/>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第四章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w:t>
      </w:r>
      <w:r>
        <w:rPr>
          <w:rFonts w:hint="eastAsia" w:ascii="宋体" w:hAnsi="宋体" w:eastAsia="宋体" w:cs="宋体"/>
          <w:b/>
          <w:bCs/>
          <w:sz w:val="36"/>
          <w:szCs w:val="36"/>
          <w:highlight w:val="none"/>
          <w:lang w:eastAsia="zh-CN"/>
        </w:rPr>
        <w:t>服务</w:t>
      </w:r>
      <w:r>
        <w:rPr>
          <w:rFonts w:hint="eastAsia" w:ascii="宋体" w:hAnsi="宋体" w:eastAsia="宋体" w:cs="宋体"/>
          <w:b/>
          <w:bCs/>
          <w:sz w:val="36"/>
          <w:szCs w:val="36"/>
          <w:highlight w:val="none"/>
        </w:rPr>
        <w:t>要求</w:t>
      </w:r>
      <w:bookmarkEnd w:id="31"/>
      <w:bookmarkEnd w:id="34"/>
      <w:bookmarkEnd w:id="35"/>
      <w:bookmarkEnd w:id="36"/>
      <w:bookmarkStart w:id="37" w:name="_Toc405191192"/>
      <w:bookmarkStart w:id="38" w:name="_Toc405358632"/>
    </w:p>
    <w:p>
      <w:pPr>
        <w:numPr>
          <w:ilvl w:val="0"/>
          <w:numId w:val="0"/>
        </w:numPr>
        <w:spacing w:line="360" w:lineRule="auto"/>
        <w:rPr>
          <w:rFonts w:hint="eastAsia" w:ascii="宋体" w:hAnsi="宋体" w:eastAsia="宋体" w:cs="宋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一、项目基本内容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中小学、幼儿园教学视导评估项目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 通过对黄陵县中小学、幼儿园教学效能开展全面视导，深入了解各校在学校治理、发挥学校教育教学主阵地作用的管理工作中所制定的相关制度、方案、机制的运行效果，评估校长管理效能、学校管理水平及治理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2.发现黄陵县中小学、幼儿园在办学、教育教学管理和教学工作中的特色和亮点及发展潜力之所在，总结并推广各校在办学、管理和教学工作中的新思路、好作法和成功案例。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3.找出目前各校（园）在学校管理和教育教学工作中影响质量提升问题之所在，以及在办学中明显的短板和问题。通过对相关数据和调研结果的分析，找出造成困难，产生问题，出现短板的原因。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依据视导评估的结果和黄陵县确保“到2025年全县各类教育协调发展形成创新性较强、结构合理、优质均衡的现代教育体系，教育在人才培养和社会服务上贡献突出，教育治理体系和治理能力现代化程度显著提高”的诉求，提出各类学校质量提升的策略和具体的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三、商务条款及要求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项目实施地点：</w:t>
      </w:r>
      <w:r>
        <w:rPr>
          <w:rFonts w:hint="eastAsia" w:ascii="宋体" w:hAnsi="宋体" w:cs="宋体"/>
          <w:b w:val="0"/>
          <w:bCs w:val="0"/>
          <w:sz w:val="24"/>
          <w:szCs w:val="24"/>
          <w:highlight w:val="none"/>
          <w:lang w:eastAsia="zh-CN"/>
        </w:rPr>
        <w:t>黄陵县教育科技体育局</w:t>
      </w:r>
      <w:r>
        <w:rPr>
          <w:rFonts w:hint="eastAsia" w:ascii="宋体" w:hAnsi="宋体" w:eastAsia="宋体" w:cs="宋体"/>
          <w:b w:val="0"/>
          <w:bCs w:val="0"/>
          <w:sz w:val="24"/>
          <w:szCs w:val="24"/>
          <w:highlight w:val="none"/>
          <w:lang w:eastAsia="zh-CN"/>
        </w:rPr>
        <w:t>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2</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eastAsia="zh-CN"/>
        </w:rPr>
        <w:t>服务期限：</w:t>
      </w:r>
      <w:r>
        <w:rPr>
          <w:rFonts w:hint="eastAsia" w:ascii="宋体" w:hAnsi="宋体" w:cs="宋体"/>
          <w:b w:val="0"/>
          <w:bCs w:val="0"/>
          <w:sz w:val="24"/>
          <w:szCs w:val="24"/>
          <w:highlight w:val="none"/>
          <w:lang w:val="en-US" w:eastAsia="zh-CN"/>
        </w:rPr>
        <w:t>25天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3</w:t>
      </w:r>
      <w:r>
        <w:rPr>
          <w:rFonts w:hint="eastAsia" w:ascii="宋体" w:hAnsi="宋体" w:cs="宋体"/>
          <w:b w:val="0"/>
          <w:bCs w:val="0"/>
          <w:sz w:val="24"/>
          <w:szCs w:val="24"/>
          <w:highlight w:val="none"/>
          <w:lang w:val="en-US" w:eastAsia="zh-CN"/>
        </w:rPr>
        <w:t>.主要服务人员要求：本项目拟派至少2名具备相关专业高级职称或高级任职资格证书人员。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合同总价即成交价，谈判供应商应在谈判报价表</w:t>
      </w:r>
      <w:r>
        <w:rPr>
          <w:rFonts w:hint="eastAsia" w:ascii="宋体" w:hAnsi="宋体" w:cs="宋体"/>
          <w:b w:val="0"/>
          <w:bCs w:val="0"/>
          <w:sz w:val="24"/>
          <w:szCs w:val="24"/>
          <w:highlight w:val="none"/>
          <w:lang w:val="en-US" w:eastAsia="zh-CN"/>
        </w:rPr>
        <w:t>明确</w:t>
      </w:r>
      <w:r>
        <w:rPr>
          <w:rFonts w:hint="eastAsia" w:ascii="宋体" w:hAnsi="宋体" w:eastAsia="宋体" w:cs="宋体"/>
          <w:b w:val="0"/>
          <w:bCs w:val="0"/>
          <w:sz w:val="24"/>
          <w:szCs w:val="24"/>
          <w:highlight w:val="none"/>
          <w:lang w:eastAsia="zh-CN"/>
        </w:rPr>
        <w:t>完成本次谈判所要求的</w:t>
      </w:r>
      <w:r>
        <w:rPr>
          <w:rFonts w:hint="eastAsia" w:ascii="宋体" w:hAnsi="宋体" w:cs="宋体"/>
          <w:b w:val="0"/>
          <w:bCs w:val="0"/>
          <w:sz w:val="24"/>
          <w:szCs w:val="24"/>
          <w:highlight w:val="none"/>
          <w:lang w:eastAsia="zh-CN"/>
        </w:rPr>
        <w:t>服务</w:t>
      </w:r>
      <w:bookmarkStart w:id="98" w:name="_GoBack"/>
      <w:bookmarkEnd w:id="98"/>
      <w:r>
        <w:rPr>
          <w:rFonts w:hint="eastAsia" w:ascii="宋体" w:hAnsi="宋体" w:eastAsia="宋体" w:cs="宋体"/>
          <w:b w:val="0"/>
          <w:bCs w:val="0"/>
          <w:sz w:val="24"/>
          <w:szCs w:val="24"/>
          <w:highlight w:val="none"/>
          <w:lang w:eastAsia="zh-CN"/>
        </w:rPr>
        <w:t>并验收至合格的所有费用。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合同总价一次包死，不受市场价变化或实际工作量变化的影响。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付款方式和程序：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（1）由采购人负责结算，在付款前，供应商必须开具全额发票给采购人。 </w:t>
      </w:r>
    </w:p>
    <w:p>
      <w:pPr>
        <w:spacing w:line="36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eastAsia="zh-CN"/>
        </w:rPr>
        <w:t>（2）</w:t>
      </w:r>
      <w:r>
        <w:rPr>
          <w:rFonts w:hint="eastAsia" w:ascii="宋体" w:hAnsi="宋体" w:eastAsia="宋体" w:cs="宋体"/>
          <w:color w:val="auto"/>
          <w:sz w:val="24"/>
          <w:szCs w:val="24"/>
          <w:highlight w:val="none"/>
        </w:rPr>
        <w:t>付款方式：签订合同</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支付</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服务费</w:t>
      </w:r>
      <w:r>
        <w:rPr>
          <w:rFonts w:hint="eastAsia" w:ascii="宋体" w:hAnsi="宋体" w:eastAsia="宋体" w:cs="宋体"/>
          <w:color w:val="auto"/>
          <w:sz w:val="24"/>
          <w:szCs w:val="24"/>
          <w:highlight w:val="none"/>
        </w:rPr>
        <w:t>，剩余</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完成全部工作内容</w:t>
      </w:r>
      <w:r>
        <w:rPr>
          <w:rFonts w:hint="eastAsia" w:ascii="宋体" w:hAnsi="宋体" w:cs="宋体"/>
          <w:color w:val="auto"/>
          <w:sz w:val="24"/>
          <w:szCs w:val="24"/>
          <w:highlight w:val="none"/>
          <w:lang w:val="en-US" w:eastAsia="zh-CN"/>
        </w:rPr>
        <w:t>后，一次性付清。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eastAsia="zh-CN"/>
        </w:rPr>
        <w:t>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供应商提供的服务，应全面满足谈判文件的要求，谈判文件未明确要求的内容，供应商须按采购人的补充要求为准。</w:t>
      </w:r>
    </w:p>
    <w:p>
      <w:pPr>
        <w:pStyle w:val="3"/>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36"/>
          <w:szCs w:val="36"/>
          <w:highlight w:val="none"/>
          <w:lang w:eastAsia="zh-CN"/>
        </w:rPr>
      </w:pPr>
      <w:r>
        <w:rPr>
          <w:rFonts w:hint="eastAsia" w:ascii="宋体" w:hAnsi="宋体" w:eastAsia="宋体" w:cs="宋体"/>
          <w:b w:val="0"/>
          <w:bCs w:val="0"/>
          <w:sz w:val="24"/>
          <w:szCs w:val="24"/>
          <w:highlight w:val="none"/>
          <w:lang w:eastAsia="zh-CN"/>
        </w:rPr>
        <w:br w:type="page"/>
      </w:r>
      <w:bookmarkEnd w:id="37"/>
      <w:bookmarkStart w:id="39" w:name="_Toc393281139"/>
      <w:bookmarkStart w:id="40" w:name="_Toc405191193"/>
      <w:bookmarkStart w:id="41" w:name="_Toc393284674"/>
      <w:bookmarkStart w:id="42" w:name="_Toc425781312"/>
      <w:bookmarkStart w:id="43" w:name="_Toc22294"/>
      <w:bookmarkStart w:id="44" w:name="_Toc370906268"/>
      <w:bookmarkStart w:id="45" w:name="_Toc393284381"/>
      <w:bookmarkStart w:id="46" w:name="_Toc389836557"/>
      <w:bookmarkStart w:id="47" w:name="_Toc26400"/>
      <w:bookmarkStart w:id="48" w:name="_Toc389568492"/>
      <w:bookmarkStart w:id="49" w:name="_Toc389836558"/>
      <w:bookmarkStart w:id="50" w:name="_Toc393285042"/>
      <w:bookmarkStart w:id="51" w:name="_Toc389568493"/>
      <w:bookmarkStart w:id="52" w:name="_Toc370906269"/>
      <w:bookmarkStart w:id="53" w:name="_Toc393284382"/>
      <w:bookmarkStart w:id="54" w:name="_Toc393281140"/>
      <w:bookmarkStart w:id="55" w:name="_Toc393371572"/>
      <w:bookmarkStart w:id="56" w:name="_Toc393284675"/>
      <w:r>
        <w:rPr>
          <w:rFonts w:hint="eastAsia" w:ascii="宋体" w:hAnsi="宋体" w:eastAsia="宋体" w:cs="宋体"/>
          <w:b/>
          <w:bCs/>
          <w:sz w:val="36"/>
          <w:szCs w:val="36"/>
          <w:highlight w:val="none"/>
          <w:lang w:eastAsia="zh-CN"/>
        </w:rPr>
        <w:t>评审方法</w:t>
      </w:r>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highlight w:val="none"/>
          <w:lang w:eastAsia="zh-CN"/>
        </w:rPr>
      </w:pPr>
    </w:p>
    <w:bookmarkEnd w:id="49"/>
    <w:bookmarkEnd w:id="50"/>
    <w:bookmarkEnd w:id="51"/>
    <w:bookmarkEnd w:id="52"/>
    <w:bookmarkEnd w:id="53"/>
    <w:bookmarkEnd w:id="54"/>
    <w:bookmarkEnd w:id="55"/>
    <w:bookmarkEnd w:id="5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spacing w:line="360" w:lineRule="auto"/>
        <w:ind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w:t>
      </w:r>
      <w:r>
        <w:rPr>
          <w:rFonts w:hint="eastAsia" w:ascii="宋体" w:hAnsi="宋体" w:eastAsia="宋体" w:cs="宋体"/>
          <w:sz w:val="24"/>
          <w:szCs w:val="24"/>
          <w:highlight w:val="none"/>
          <w:lang w:val="en-US" w:eastAsia="zh-CN"/>
        </w:rPr>
        <w:t>3名</w:t>
      </w:r>
      <w:r>
        <w:rPr>
          <w:rFonts w:hint="eastAsia" w:ascii="宋体" w:hAnsi="宋体" w:eastAsia="宋体" w:cs="宋体"/>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2.2成交标准</w:t>
      </w:r>
    </w:p>
    <w:p>
      <w:pPr>
        <w:pStyle w:val="11"/>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sz w:val="24"/>
          <w:szCs w:val="24"/>
          <w:highlight w:val="none"/>
        </w:rPr>
      </w:pPr>
      <w:r>
        <w:rPr>
          <w:rFonts w:hint="eastAsia"/>
          <w:sz w:val="24"/>
          <w:szCs w:val="24"/>
          <w:highlight w:val="none"/>
        </w:rPr>
        <w:t>根据质量和服务均能满足采购文件实质性响应要求且最后报价最低的原则确定成交供应商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2"/>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2"/>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hAnsi="宋体" w:eastAsia="宋体" w:cs="宋体"/>
          <w:b/>
          <w:bCs/>
          <w:color w:val="auto"/>
          <w:spacing w:val="4"/>
          <w:sz w:val="24"/>
          <w:szCs w:val="24"/>
          <w:highlight w:val="none"/>
          <w:lang w:val="en-US" w:eastAsia="zh-CN"/>
        </w:rPr>
      </w:pPr>
      <w:r>
        <w:rPr>
          <w:rFonts w:hint="eastAsia" w:hAnsi="宋体" w:eastAsia="宋体" w:cs="宋体"/>
          <w:b/>
          <w:bCs/>
          <w:color w:val="auto"/>
          <w:spacing w:val="4"/>
          <w:sz w:val="24"/>
          <w:szCs w:val="24"/>
          <w:highlight w:val="none"/>
          <w:lang w:val="en-US" w:eastAsia="zh-CN"/>
        </w:rPr>
        <w:t>4、谈判过程中的实质性变动</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.2对竞争性谈判文件做出的实质性变动是谈判文件的有效组成部分，谈判小组应当及时以书面形式通知所有参加谈判的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宋体" w:hAnsi="宋体" w:eastAsia="宋体" w:cs="宋体"/>
          <w:b/>
          <w:bCs/>
          <w:spacing w:val="4"/>
          <w:sz w:val="24"/>
          <w:szCs w:val="24"/>
          <w:highlight w:val="none"/>
        </w:rPr>
      </w:pPr>
      <w:r>
        <w:rPr>
          <w:rFonts w:hint="eastAsia" w:hAnsi="宋体" w:eastAsia="宋体" w:cs="宋体"/>
          <w:b/>
          <w:bCs/>
          <w:spacing w:val="4"/>
          <w:sz w:val="24"/>
          <w:szCs w:val="24"/>
          <w:highlight w:val="none"/>
          <w:lang w:val="en-US" w:eastAsia="zh-CN"/>
        </w:rPr>
        <w:t>5</w:t>
      </w:r>
      <w:r>
        <w:rPr>
          <w:rFonts w:hint="eastAsia" w:ascii="宋体" w:hAnsi="宋体" w:eastAsia="宋体" w:cs="宋体"/>
          <w:b/>
          <w:bCs/>
          <w:spacing w:val="4"/>
          <w:sz w:val="24"/>
          <w:szCs w:val="24"/>
          <w:highlight w:val="none"/>
        </w:rPr>
        <w:t>、推荐成交候选人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由谈判小组依据谈判响应文件，从质量和服务均能满足谈判文件要求的供应商中，按照最后报价由低到高的顺序依次排序，推荐</w:t>
      </w:r>
      <w:r>
        <w:rPr>
          <w:rFonts w:hint="eastAsia" w:hAnsi="宋体" w:eastAsia="宋体" w:cs="宋体"/>
          <w:color w:val="auto"/>
          <w:spacing w:val="4"/>
          <w:sz w:val="24"/>
          <w:szCs w:val="24"/>
          <w:highlight w:val="none"/>
          <w:lang w:val="en-US" w:eastAsia="zh-CN"/>
        </w:rPr>
        <w:t>3</w:t>
      </w:r>
      <w:r>
        <w:rPr>
          <w:rFonts w:hint="eastAsia"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四、谈判小组当履行下列义务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hAnsi="宋体"/>
          <w:b/>
          <w:bCs/>
          <w:color w:val="auto"/>
          <w:spacing w:val="4"/>
          <w:sz w:val="24"/>
          <w:szCs w:val="24"/>
          <w:highlight w:val="none"/>
          <w:lang w:val="en-US" w:eastAsia="zh-CN"/>
        </w:rPr>
      </w:pPr>
      <w:r>
        <w:rPr>
          <w:rFonts w:hint="eastAsia" w:ascii="宋体" w:hAnsi="宋体"/>
          <w:b/>
          <w:color w:val="auto"/>
          <w:sz w:val="24"/>
          <w:szCs w:val="24"/>
          <w:highlight w:val="none"/>
          <w:lang w:eastAsia="zh-CN"/>
        </w:rPr>
        <w:t>五、</w:t>
      </w:r>
      <w:r>
        <w:rPr>
          <w:rFonts w:hint="eastAsia" w:hAnsi="宋体"/>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pacing w:val="-6"/>
          <w:sz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谈判总报价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5、</w:t>
      </w:r>
      <w:r>
        <w:rPr>
          <w:rFonts w:hint="eastAsia" w:hAnsi="宋体"/>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166" w:rightChars="-79"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textAlignment w:val="auto"/>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最终报价的基础上，对小微企业、监狱企业、残疾人福利性单位，</w:t>
      </w:r>
      <w:r>
        <w:rPr>
          <w:rFonts w:hint="eastAsia" w:ascii="宋体" w:hAnsi="宋体" w:cs="宋体"/>
          <w:color w:val="auto"/>
          <w:sz w:val="24"/>
          <w:szCs w:val="24"/>
          <w:highlight w:val="none"/>
          <w:lang w:val="en-US" w:eastAsia="zh-CN"/>
        </w:rPr>
        <w:t>报价给予10%的扣除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且联合协议中约定小型或微型企业的协议合同金额占到联合体协议合同总金额30％以上的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报价给予4%的扣除</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4谈判产品属于优先采购的节能、环境标志产品范围的，须按照本章“四、政策性扣减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在报价相同的前提下，应优先采购“两个清单”内的产品；对于同时列入“两个清单”的产品，应当优先于只获得其中一项认证的产品。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3、成交价格=成交供应商的有效</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FF0000"/>
          <w:kern w:val="0"/>
          <w:sz w:val="24"/>
          <w:szCs w:val="24"/>
          <w:highlight w:val="none"/>
          <w:lang w:eastAsia="zh-CN"/>
        </w:rPr>
      </w:pPr>
      <w:bookmarkStart w:id="57" w:name="_Toc1474"/>
      <w:bookmarkStart w:id="58" w:name="_Toc409690878"/>
      <w:bookmarkStart w:id="59" w:name="_Toc24123"/>
      <w:bookmarkStart w:id="60" w:name="_Toc425781313"/>
      <w:r>
        <w:rPr>
          <w:rFonts w:hint="eastAsia" w:ascii="宋体" w:hAnsi="宋体" w:eastAsia="宋体" w:cs="宋体"/>
          <w:b/>
          <w:kern w:val="0"/>
          <w:sz w:val="24"/>
          <w:szCs w:val="24"/>
          <w:highlight w:val="none"/>
          <w:lang w:eastAsia="zh-CN"/>
        </w:rPr>
        <w:t>七</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eastAsia="zh-CN"/>
        </w:rPr>
        <w:t>、</w:t>
      </w:r>
      <w:r>
        <w:rPr>
          <w:rFonts w:hint="eastAsia" w:ascii="宋体" w:hAnsi="宋体" w:eastAsia="宋体" w:cs="宋体"/>
          <w:sz w:val="24"/>
          <w:szCs w:val="24"/>
          <w:highlight w:val="none"/>
        </w:rPr>
        <w:t>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采购人根据谈判结果报告中推荐的成交候选人排列顺序确定成交人，以复函通知采购代理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八、特殊情况的处理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一览表与</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Times New Roman"/>
          <w:b w:val="0"/>
          <w:bCs w:val="0"/>
          <w:color w:val="auto"/>
          <w:spacing w:val="4"/>
          <w:kern w:val="2"/>
          <w:sz w:val="24"/>
          <w:szCs w:val="24"/>
          <w:highlight w:val="none"/>
          <w:lang w:val="en-US" w:eastAsia="zh-CN" w:bidi="ar-SA"/>
        </w:rPr>
        <w:t>4</w:t>
      </w:r>
      <w:r>
        <w:rPr>
          <w:rFonts w:hint="eastAsia" w:ascii="宋体" w:hAnsi="宋体" w:cs="Times New Roman"/>
          <w:b w:val="0"/>
          <w:bCs w:val="0"/>
          <w:color w:val="auto"/>
          <w:spacing w:val="4"/>
          <w:kern w:val="2"/>
          <w:sz w:val="24"/>
          <w:szCs w:val="24"/>
          <w:highlight w:val="none"/>
          <w:lang w:val="en-US" w:eastAsia="zh-CN" w:bidi="ar-SA"/>
        </w:rPr>
        <w:t>、</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rPr>
          <w:rFonts w:hint="eastAsia"/>
          <w:highlight w:val="none"/>
          <w:lang w:val="en-US" w:eastAsia="zh-CN"/>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11"/>
        <w:rPr>
          <w:rFonts w:hint="eastAsia" w:ascii="宋体" w:hAnsi="宋体" w:eastAsia="宋体" w:cs="宋体"/>
          <w:b w:val="0"/>
          <w:bCs w:val="0"/>
          <w:color w:val="auto"/>
          <w:spacing w:val="4"/>
          <w:kern w:val="2"/>
          <w:sz w:val="24"/>
          <w:szCs w:val="24"/>
          <w:highlight w:val="none"/>
          <w:lang w:val="en-US" w:eastAsia="zh-CN" w:bidi="ar-SA"/>
        </w:rPr>
      </w:pPr>
    </w:p>
    <w:p>
      <w:pPr>
        <w:pStyle w:val="11"/>
        <w:outlineLvl w:val="2"/>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11"/>
        <w:jc w:val="center"/>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3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条款号</w:t>
            </w:r>
          </w:p>
        </w:tc>
        <w:tc>
          <w:tcPr>
            <w:tcW w:w="1823"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评审因素</w:t>
            </w:r>
          </w:p>
        </w:tc>
        <w:tc>
          <w:tcPr>
            <w:tcW w:w="6280" w:type="dxa"/>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823" w:type="dxa"/>
            <w:gridSpan w:val="2"/>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6280" w:type="dxa"/>
            <w:noWrap w:val="0"/>
            <w:vAlign w:val="center"/>
          </w:tcPr>
          <w:p>
            <w:pPr>
              <w:pStyle w:val="11"/>
              <w:numPr>
                <w:ilvl w:val="0"/>
                <w:numId w:val="0"/>
              </w:numPr>
              <w:ind w:left="0" w:leftChars="0" w:firstLine="0" w:firstLineChars="0"/>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满足《中华人民共和国政府采购法》第二十二条规定</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restart"/>
            <w:tcBorders>
              <w:top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微软雅黑" w:cs="宋体"/>
                <w:b w:val="0"/>
                <w:bCs/>
                <w:color w:val="auto"/>
                <w:sz w:val="24"/>
                <w:szCs w:val="24"/>
                <w:highlight w:val="none"/>
                <w:lang w:val="en-US" w:eastAsia="zh-CN"/>
              </w:rPr>
            </w:pPr>
            <w:r>
              <w:rPr>
                <w:rFonts w:hint="eastAsia" w:ascii="宋体" w:hAnsi="宋体" w:eastAsia="微软雅黑" w:cs="宋体"/>
                <w:b w:val="0"/>
                <w:bCs/>
                <w:color w:val="auto"/>
                <w:sz w:val="24"/>
                <w:szCs w:val="24"/>
                <w:highlight w:val="none"/>
                <w:lang w:val="en-US" w:eastAsia="zh-CN"/>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（3）提供谈判截止日前一年内已缴存的至少一个月的社会保障资金缴存单据或社保机构开具的社会保险参保缴费情况证明，依法不需要缴纳社会保障资金的单位应提供相关证明材料；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4）提供2021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（5）提供谈判截止日前一年内已缴纳至少一个月的纳税证明或完税证明，依法免税的单位应提供相关证明材料；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7）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（8）单位负责人为同一人或者存在直接控股、管理关系的不同供应商，不得参加同一合同项下的政府采购活动。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w:t>
            </w:r>
            <w:r>
              <w:rPr>
                <w:rFonts w:hint="eastAsia" w:ascii="宋体" w:hAnsi="宋体" w:eastAsia="宋体" w:cs="宋体"/>
                <w:b w:val="0"/>
                <w:bCs/>
                <w:color w:val="auto"/>
                <w:sz w:val="24"/>
                <w:szCs w:val="24"/>
                <w:highlight w:val="none"/>
                <w:lang w:eastAsia="zh-CN"/>
              </w:rPr>
              <w:t>（信用中国和中国政府采购网信用记录可不提供，由代理机构查询并留存）</w:t>
            </w:r>
            <w:r>
              <w:rPr>
                <w:rFonts w:hint="eastAsia" w:ascii="宋体" w:hAnsi="宋体" w:eastAsia="宋体" w:cs="宋体"/>
                <w:b w:val="0"/>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w:t>
            </w:r>
            <w:r>
              <w:rPr>
                <w:rFonts w:hint="eastAsia" w:ascii="宋体" w:hAnsi="宋体" w:eastAsia="宋体" w:cs="宋体"/>
                <w:b w:val="0"/>
                <w:bCs/>
                <w:color w:val="auto"/>
                <w:sz w:val="24"/>
                <w:szCs w:val="24"/>
                <w:highlight w:val="none"/>
                <w:lang w:eastAsia="zh-CN"/>
              </w:rPr>
              <w:t>按要求提交二次或多次报价，</w:t>
            </w:r>
            <w:r>
              <w:rPr>
                <w:rFonts w:hint="eastAsia" w:ascii="宋体" w:hAnsi="宋体" w:eastAsia="宋体" w:cs="宋体"/>
                <w:b w:val="0"/>
                <w:bCs/>
                <w:color w:val="auto"/>
                <w:sz w:val="24"/>
                <w:szCs w:val="24"/>
                <w:highlight w:val="none"/>
              </w:rPr>
              <w:t>且</w:t>
            </w:r>
            <w:r>
              <w:rPr>
                <w:rFonts w:hint="eastAsia" w:ascii="宋体" w:hAnsi="宋体" w:eastAsia="宋体" w:cs="宋体"/>
                <w:b w:val="0"/>
                <w:bCs/>
                <w:color w:val="auto"/>
                <w:sz w:val="24"/>
                <w:szCs w:val="24"/>
                <w:highlight w:val="none"/>
                <w:lang w:eastAsia="zh-CN"/>
              </w:rPr>
              <w:t>每轮</w:t>
            </w:r>
            <w:r>
              <w:rPr>
                <w:rFonts w:hint="eastAsia" w:ascii="宋体" w:hAnsi="宋体" w:eastAsia="宋体" w:cs="宋体"/>
                <w:b w:val="0"/>
                <w:bCs/>
                <w:color w:val="auto"/>
                <w:sz w:val="24"/>
                <w:szCs w:val="24"/>
                <w:highlight w:val="none"/>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280" w:type="dxa"/>
            <w:noWrap w:val="0"/>
            <w:vAlign w:val="center"/>
          </w:tcPr>
          <w:p>
            <w:pPr>
              <w:tabs>
                <w:tab w:val="left" w:pos="0"/>
              </w:tabs>
              <w:adjustRightInd w:val="0"/>
              <w:snapToGrid w:val="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实质性条款全部</w:t>
            </w:r>
            <w:r>
              <w:rPr>
                <w:rFonts w:hint="eastAsia" w:ascii="宋体" w:hAnsi="宋体" w:eastAsia="宋体" w:cs="宋体"/>
                <w:b w:val="0"/>
                <w:bCs/>
                <w:color w:val="auto"/>
                <w:sz w:val="24"/>
                <w:szCs w:val="24"/>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谈判</w:t>
            </w:r>
            <w:r>
              <w:rPr>
                <w:rFonts w:hint="eastAsia" w:ascii="宋体" w:hAnsi="宋体" w:eastAsia="宋体" w:cs="宋体"/>
                <w:b w:val="0"/>
                <w:bCs/>
                <w:color w:val="auto"/>
                <w:sz w:val="24"/>
                <w:szCs w:val="24"/>
                <w:highlight w:val="none"/>
              </w:rPr>
              <w:t>有效期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11"/>
        <w:jc w:val="center"/>
        <w:rPr>
          <w:rFonts w:hint="eastAsia" w:ascii="宋体" w:hAnsi="宋体" w:eastAsia="宋体" w:cs="宋体"/>
          <w:b/>
          <w:bCs/>
          <w:sz w:val="24"/>
          <w:szCs w:val="24"/>
          <w:highlight w:val="none"/>
          <w:lang w:eastAsia="zh-CN"/>
        </w:rPr>
      </w:pPr>
    </w:p>
    <w:p>
      <w:pPr>
        <w:pStyle w:val="11"/>
        <w:rPr>
          <w:rFonts w:hint="eastAsia" w:ascii="宋体" w:hAnsi="宋体" w:eastAsia="宋体" w:cs="宋体"/>
          <w:color w:val="FF0000"/>
          <w:spacing w:val="4"/>
          <w:kern w:val="2"/>
          <w:sz w:val="24"/>
          <w:szCs w:val="24"/>
          <w:highlight w:val="none"/>
          <w:lang w:val="en-US" w:eastAsia="zh-CN" w:bidi="ar-SA"/>
        </w:rPr>
        <w:sectPr>
          <w:headerReference r:id="rId8" w:type="default"/>
          <w:footerReference r:id="rId9" w:type="default"/>
          <w:pgSz w:w="11907" w:h="16840"/>
          <w:pgMar w:top="1417" w:right="1250" w:bottom="1417" w:left="1417" w:header="851" w:footer="850" w:gutter="0"/>
          <w:pgNumType w:fmt="decimal"/>
          <w:cols w:space="720" w:num="1"/>
          <w:rtlGutter w:val="0"/>
          <w:docGrid w:linePitch="286" w:charSpace="0"/>
        </w:sectPr>
      </w:pPr>
    </w:p>
    <w:bookmarkEnd w:id="57"/>
    <w:bookmarkEnd w:id="58"/>
    <w:bookmarkEnd w:id="59"/>
    <w:p>
      <w:pPr>
        <w:pStyle w:val="3"/>
        <w:numPr>
          <w:ilvl w:val="0"/>
          <w:numId w:val="7"/>
        </w:numPr>
        <w:rPr>
          <w:rFonts w:hint="eastAsia" w:ascii="宋体" w:hAnsi="宋体" w:eastAsia="宋体" w:cs="宋体"/>
          <w:b/>
          <w:bCs/>
          <w:sz w:val="36"/>
          <w:szCs w:val="36"/>
          <w:highlight w:val="none"/>
          <w:lang w:eastAsia="zh-CN"/>
        </w:rPr>
      </w:pPr>
      <w:bookmarkStart w:id="61" w:name="_Toc20805"/>
      <w:bookmarkStart w:id="62" w:name="_Toc404670157"/>
      <w:r>
        <w:rPr>
          <w:rFonts w:hint="eastAsia" w:ascii="宋体" w:hAnsi="宋体" w:eastAsia="宋体" w:cs="宋体"/>
          <w:b/>
          <w:bCs/>
          <w:sz w:val="36"/>
          <w:szCs w:val="36"/>
          <w:highlight w:val="none"/>
          <w:lang w:eastAsia="zh-CN"/>
        </w:rPr>
        <w:t>竞争性谈判响应文件格式及构成</w:t>
      </w:r>
      <w:bookmarkEnd w:id="60"/>
      <w:bookmarkEnd w:id="61"/>
      <w:bookmarkEnd w:id="62"/>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rPr>
          <w:rFonts w:hint="default" w:ascii="宋体" w:hAnsi="宋体" w:eastAsia="宋体" w:cs="宋体"/>
          <w:b/>
          <w:color w:val="FF0000"/>
          <w:sz w:val="32"/>
          <w:szCs w:val="32"/>
          <w:highlight w:val="none"/>
          <w:lang w:val="en-US"/>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val="en-US" w:eastAsia="zh-CN"/>
        </w:rPr>
        <w:t>ZHGJ-2023-136</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eastAsia="宋体" w:cs="宋体"/>
          <w:b/>
          <w:sz w:val="52"/>
          <w:szCs w:val="52"/>
          <w:highlight w:val="none"/>
        </w:rPr>
      </w:pPr>
      <w:r>
        <w:rPr>
          <w:rFonts w:hint="eastAsia" w:ascii="宋体" w:hAnsi="宋体" w:cs="宋体"/>
          <w:b/>
          <w:sz w:val="52"/>
          <w:szCs w:val="52"/>
          <w:highlight w:val="none"/>
          <w:lang w:eastAsia="zh-CN"/>
        </w:rPr>
        <w:t>中小学、幼儿园教学视导评估项目</w:t>
      </w:r>
    </w:p>
    <w:p>
      <w:pPr>
        <w:jc w:val="center"/>
        <w:rPr>
          <w:rFonts w:hint="eastAsia" w:ascii="宋体" w:hAnsi="宋体" w:eastAsia="宋体" w:cs="宋体"/>
          <w:b/>
          <w:sz w:val="52"/>
          <w:szCs w:val="52"/>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名称（盖章）</w:t>
      </w:r>
    </w:p>
    <w:p>
      <w:pPr>
        <w:jc w:val="center"/>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jc w:val="both"/>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spacing w:line="480" w:lineRule="auto"/>
        <w:rPr>
          <w:rFonts w:hint="eastAsia" w:ascii="宋体" w:hAnsi="宋体" w:eastAsia="宋体" w:cs="宋体"/>
          <w:b/>
          <w:bCs/>
          <w:spacing w:val="4"/>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五、供应商</w:t>
      </w:r>
      <w:r>
        <w:rPr>
          <w:rFonts w:hint="eastAsia" w:ascii="宋体" w:hAnsi="宋体" w:eastAsia="宋体" w:cs="宋体"/>
          <w:color w:val="auto"/>
          <w:sz w:val="24"/>
          <w:szCs w:val="24"/>
          <w:highlight w:val="non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七、其它资料</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br w:type="page"/>
      </w:r>
    </w:p>
    <w:p>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default" w:ascii="宋体" w:hAnsi="宋体" w:eastAsia="宋体" w:cs="宋体"/>
          <w:color w:val="auto"/>
          <w:spacing w:val="4"/>
          <w:sz w:val="24"/>
          <w:highlight w:val="none"/>
          <w:u w:val="single"/>
          <w:lang w:val="en-US" w:eastAsia="zh-CN"/>
        </w:rPr>
      </w:pPr>
      <w:r>
        <w:rPr>
          <w:rFonts w:hint="eastAsia" w:ascii="宋体" w:hAnsi="宋体" w:eastAsia="宋体" w:cs="宋体"/>
          <w:color w:val="auto"/>
          <w:spacing w:val="4"/>
          <w:sz w:val="24"/>
          <w:highlight w:val="none"/>
        </w:rPr>
        <w:t>致：</w:t>
      </w:r>
      <w:r>
        <w:rPr>
          <w:rFonts w:hint="eastAsia" w:ascii="宋体" w:hAnsi="宋体" w:cs="宋体"/>
          <w:color w:val="auto"/>
          <w:spacing w:val="4"/>
          <w:sz w:val="24"/>
          <w:highlight w:val="none"/>
          <w:u w:val="single"/>
          <w:lang w:val="en-US" w:eastAsia="zh-CN"/>
        </w:rPr>
        <w:t>黄陵县教育科技体育局</w:t>
      </w:r>
    </w:p>
    <w:p>
      <w:pPr>
        <w:spacing w:line="440" w:lineRule="exact"/>
        <w:jc w:val="left"/>
        <w:rPr>
          <w:rFonts w:hint="eastAsia" w:ascii="宋体" w:hAnsi="宋体" w:eastAsia="宋体" w:cs="宋体"/>
          <w:spacing w:val="4"/>
          <w:sz w:val="24"/>
          <w:highlight w:val="none"/>
          <w:u w:val="single"/>
        </w:rPr>
      </w:pP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u w:val="single"/>
        </w:rPr>
        <w:t>(谈判</w:t>
      </w:r>
      <w:r>
        <w:rPr>
          <w:rFonts w:hint="eastAsia" w:ascii="宋体" w:hAnsi="宋体" w:eastAsia="宋体" w:cs="宋体"/>
          <w:spacing w:val="4"/>
          <w:sz w:val="24"/>
          <w:highlight w:val="none"/>
          <w:u w:val="single"/>
          <w:lang w:eastAsia="zh-CN"/>
        </w:rPr>
        <w:t>供应商</w:t>
      </w:r>
      <w:r>
        <w:rPr>
          <w:rFonts w:hint="eastAsia" w:ascii="宋体" w:hAnsi="宋体" w:eastAsia="宋体" w:cs="宋体"/>
          <w:spacing w:val="4"/>
          <w:sz w:val="24"/>
          <w:highlight w:val="none"/>
          <w:u w:val="single"/>
        </w:rPr>
        <w:t>名称、地址)</w:t>
      </w:r>
      <w:r>
        <w:rPr>
          <w:rFonts w:hint="eastAsia" w:ascii="宋体" w:hAnsi="宋体" w:eastAsia="宋体" w:cs="宋体"/>
          <w:spacing w:val="4"/>
          <w:sz w:val="24"/>
          <w:highlight w:val="none"/>
        </w:rPr>
        <w:t xml:space="preserve"> 提交竞争性谈判响应文件正本一份、副本</w:t>
      </w:r>
      <w:r>
        <w:rPr>
          <w:rFonts w:hint="eastAsia" w:ascii="宋体" w:hAnsi="宋体" w:eastAsia="宋体" w:cs="宋体"/>
          <w:color w:val="auto"/>
          <w:spacing w:val="4"/>
          <w:sz w:val="24"/>
          <w:highlight w:val="none"/>
        </w:rPr>
        <w:t>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8"/>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8"/>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both"/>
        <w:rPr>
          <w:rFonts w:hint="eastAsia" w:ascii="宋体" w:hAnsi="宋体" w:eastAsia="宋体" w:cs="宋体"/>
          <w:sz w:val="44"/>
          <w:highlight w:val="none"/>
        </w:rPr>
      </w:pPr>
    </w:p>
    <w:p>
      <w:pPr>
        <w:ind w:left="-199" w:leftChars="-95" w:right="-250" w:rightChars="-119" w:firstLine="199" w:firstLineChars="62"/>
        <w:jc w:val="both"/>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p>
      <w:pPr>
        <w:pStyle w:val="7"/>
        <w:rPr>
          <w:rFonts w:hint="eastAsia"/>
          <w:highlight w:val="none"/>
        </w:rPr>
      </w:pPr>
    </w:p>
    <w:p>
      <w:pPr>
        <w:spacing w:line="120" w:lineRule="exact"/>
        <w:rPr>
          <w:rFonts w:hint="eastAsia" w:ascii="宋体" w:hAnsi="宋体" w:eastAsia="宋体" w:cs="宋体"/>
          <w:sz w:val="24"/>
          <w:highlight w:val="none"/>
        </w:rPr>
      </w:pPr>
    </w:p>
    <w:tbl>
      <w:tblPr>
        <w:tblStyle w:val="30"/>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谈判总报价（元）</w:t>
            </w:r>
          </w:p>
        </w:tc>
        <w:tc>
          <w:tcPr>
            <w:tcW w:w="3028"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201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0"/>
            <w:vAlign w:val="center"/>
          </w:tcPr>
          <w:p>
            <w:pPr>
              <w:jc w:val="center"/>
              <w:rPr>
                <w:rFonts w:hint="eastAsia" w:ascii="宋体" w:hAnsi="宋体" w:eastAsia="宋体" w:cs="宋体"/>
                <w:sz w:val="24"/>
                <w:szCs w:val="24"/>
                <w:highlight w:val="none"/>
              </w:rPr>
            </w:pPr>
          </w:p>
        </w:tc>
        <w:tc>
          <w:tcPr>
            <w:tcW w:w="3028" w:type="dxa"/>
            <w:noWrap w:val="0"/>
            <w:vAlign w:val="center"/>
          </w:tcPr>
          <w:p>
            <w:pPr>
              <w:jc w:val="center"/>
              <w:rPr>
                <w:rFonts w:hint="eastAsia" w:ascii="宋体" w:hAnsi="宋体" w:eastAsia="宋体" w:cs="宋体"/>
                <w:sz w:val="24"/>
                <w:szCs w:val="24"/>
                <w:highlight w:val="none"/>
              </w:rPr>
            </w:pPr>
          </w:p>
        </w:tc>
        <w:tc>
          <w:tcPr>
            <w:tcW w:w="2016" w:type="dxa"/>
            <w:noWrap w:val="0"/>
            <w:vAlign w:val="center"/>
          </w:tcPr>
          <w:p>
            <w:pPr>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pStyle w:val="7"/>
        <w:rPr>
          <w:rFonts w:hint="eastAsia" w:ascii="宋体" w:hAnsi="宋体" w:eastAsia="宋体" w:cs="宋体"/>
          <w:sz w:val="24"/>
          <w:highlight w:val="none"/>
        </w:rPr>
      </w:pPr>
    </w:p>
    <w:p>
      <w:pPr>
        <w:rPr>
          <w:rFonts w:hint="eastAsia" w:ascii="宋体" w:hAnsi="宋体" w:eastAsia="宋体" w:cs="宋体"/>
          <w:sz w:val="24"/>
          <w:highlight w:val="none"/>
        </w:rPr>
      </w:pPr>
    </w:p>
    <w:p>
      <w:pPr>
        <w:pStyle w:val="7"/>
        <w:rPr>
          <w:rFonts w:hint="eastAsia"/>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w:t>
      </w:r>
    </w:p>
    <w:p>
      <w:pPr>
        <w:spacing w:before="120" w:beforeLines="50" w:after="120" w:afterLines="50" w:line="400" w:lineRule="atLeas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2、报价表内报价内容以元为单位，保留小数点后两位。</w:t>
      </w:r>
    </w:p>
    <w:p>
      <w:pPr>
        <w:jc w:val="center"/>
        <w:rPr>
          <w:rFonts w:hint="eastAsia" w:ascii="宋体" w:hAnsi="宋体" w:eastAsia="宋体" w:cs="宋体"/>
          <w:sz w:val="30"/>
          <w:szCs w:val="30"/>
          <w:highlight w:val="none"/>
        </w:rPr>
      </w:pPr>
    </w:p>
    <w:p>
      <w:pPr>
        <w:jc w:val="center"/>
        <w:outlineLvl w:val="2"/>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spacing w:line="440" w:lineRule="exact"/>
        <w:jc w:val="both"/>
        <w:rPr>
          <w:rFonts w:hint="eastAsia" w:ascii="宋体" w:hAnsi="宋体" w:cs="宋体"/>
          <w:sz w:val="24"/>
          <w:highlight w:val="none"/>
          <w:lang w:val="en-US" w:eastAsia="zh-CN"/>
        </w:rPr>
      </w:pPr>
      <w:r>
        <w:rPr>
          <w:rFonts w:hint="eastAsia" w:ascii="宋体" w:hAnsi="宋体" w:eastAsia="宋体" w:cs="宋体"/>
          <w:sz w:val="24"/>
          <w:szCs w:val="24"/>
          <w:highlight w:val="none"/>
        </w:rPr>
        <w:t>项目编号：</w:t>
      </w:r>
    </w:p>
    <w:p>
      <w:pPr>
        <w:spacing w:line="440" w:lineRule="exact"/>
        <w:ind w:firstLine="480" w:firstLineChars="200"/>
        <w:jc w:val="center"/>
        <w:rPr>
          <w:rFonts w:hint="eastAsia" w:ascii="宋体" w:hAnsi="宋体" w:cs="宋体"/>
          <w:sz w:val="24"/>
          <w:highlight w:val="none"/>
          <w:lang w:val="en-US" w:eastAsia="zh-CN"/>
        </w:rPr>
      </w:pPr>
    </w:p>
    <w:p>
      <w:pPr>
        <w:spacing w:line="440" w:lineRule="exact"/>
        <w:ind w:firstLine="480" w:firstLineChars="200"/>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格式自拟</w:t>
      </w: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lang w:eastAsia="zh-CN"/>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pStyle w:val="7"/>
        <w:rPr>
          <w:rFonts w:hint="default" w:ascii="宋体" w:hAnsi="宋体" w:eastAsia="宋体" w:cs="宋体"/>
          <w:b w:val="0"/>
          <w:bCs w:val="0"/>
          <w:kern w:val="2"/>
          <w:sz w:val="24"/>
          <w:szCs w:val="20"/>
          <w:highlight w:val="none"/>
          <w:lang w:val="en-US" w:eastAsia="zh-CN" w:bidi="ar-SA"/>
        </w:rPr>
      </w:pPr>
      <w:r>
        <w:rPr>
          <w:rFonts w:hint="eastAsia" w:ascii="宋体" w:hAnsi="宋体" w:eastAsia="宋体" w:cs="宋体"/>
          <w:b w:val="0"/>
          <w:bCs w:val="0"/>
          <w:kern w:val="2"/>
          <w:sz w:val="24"/>
          <w:szCs w:val="20"/>
          <w:highlight w:val="none"/>
          <w:lang w:val="en-US" w:eastAsia="zh-CN" w:bidi="ar-SA"/>
        </w:rPr>
        <w:t>注：报价表内报价内容以元为单位，保留小数点后两位。</w:t>
      </w:r>
    </w:p>
    <w:p>
      <w:pPr>
        <w:rPr>
          <w:rFonts w:hint="eastAsia"/>
          <w:highlight w:val="none"/>
          <w:lang w:val="en-US" w:eastAsia="zh-CN"/>
        </w:rPr>
      </w:pPr>
    </w:p>
    <w:p>
      <w:pPr>
        <w:spacing w:line="360" w:lineRule="auto"/>
        <w:jc w:val="center"/>
        <w:outlineLvl w:val="1"/>
        <w:rPr>
          <w:rFonts w:hint="eastAsia" w:ascii="宋体" w:hAnsi="宋体" w:eastAsia="宋体" w:cs="宋体"/>
          <w:b/>
          <w:sz w:val="32"/>
          <w:szCs w:val="32"/>
          <w:highlight w:val="none"/>
          <w:lang w:eastAsia="zh-CN"/>
        </w:rPr>
      </w:pPr>
      <w:r>
        <w:rPr>
          <w:rFonts w:hint="eastAsia" w:ascii="宋体" w:hAnsi="宋体" w:eastAsia="宋体" w:cs="宋体"/>
          <w:sz w:val="24"/>
          <w:highlight w:val="none"/>
        </w:rPr>
        <w:br w:type="page"/>
      </w: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rPr>
          <w:rFonts w:hint="eastAsia" w:ascii="宋体" w:hAnsi="宋体" w:eastAsia="宋体" w:cs="宋体"/>
          <w:highlight w:val="none"/>
        </w:rPr>
      </w:pP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文件的要求编制的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包括如下</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完成项目的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eastAsia="zh-CN"/>
        </w:rPr>
        <w:t>服务应答</w:t>
      </w:r>
      <w:r>
        <w:rPr>
          <w:rFonts w:hint="eastAsia" w:ascii="宋体" w:hAnsi="宋体" w:eastAsia="宋体" w:cs="宋体"/>
          <w:sz w:val="24"/>
          <w:szCs w:val="24"/>
          <w:highlight w:val="none"/>
        </w:rPr>
        <w:t>表（见附表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）并提供支持文件，详细、据实说明优于或偏离招标要求的指标（如有）；</w:t>
      </w:r>
    </w:p>
    <w:p>
      <w:pPr>
        <w:kinsoku w:val="0"/>
        <w:spacing w:line="58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整体组织部署计划及针对本项目的进度计划；</w:t>
      </w:r>
    </w:p>
    <w:p>
      <w:pPr>
        <w:kinsoku w:val="0"/>
        <w:spacing w:line="5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拟为本项目配备的人员（见附表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insoku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质量保证</w:t>
      </w:r>
      <w:r>
        <w:rPr>
          <w:rFonts w:hint="eastAsia" w:ascii="宋体" w:hAnsi="宋体" w:cs="宋体"/>
          <w:sz w:val="24"/>
          <w:szCs w:val="24"/>
          <w:highlight w:val="none"/>
          <w:lang w:val="en-US" w:eastAsia="zh-CN"/>
        </w:rPr>
        <w:t>和服务</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insoku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日    期：</w:t>
      </w:r>
    </w:p>
    <w:p>
      <w:pPr>
        <w:spacing w:after="120"/>
        <w:outlineLvl w:val="2"/>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pPr>
        <w:spacing w:after="120"/>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p>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项目编号：</w:t>
      </w:r>
      <w:r>
        <w:rPr>
          <w:rFonts w:hint="eastAsia" w:ascii="宋体" w:hAnsi="宋体" w:eastAsia="宋体" w:cs="宋体"/>
          <w:b/>
          <w:bCs/>
          <w:sz w:val="24"/>
          <w:szCs w:val="24"/>
          <w:highlight w:val="none"/>
        </w:rPr>
        <w:t xml:space="preserve"> </w:t>
      </w:r>
    </w:p>
    <w:tbl>
      <w:tblPr>
        <w:tblStyle w:val="30"/>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5"/>
              <w:tabs>
                <w:tab w:val="left" w:pos="6880"/>
              </w:tabs>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519"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文件要求</w:t>
            </w:r>
          </w:p>
        </w:tc>
        <w:tc>
          <w:tcPr>
            <w:tcW w:w="2393" w:type="dxa"/>
            <w:noWrap w:val="0"/>
            <w:vAlign w:val="center"/>
          </w:tcPr>
          <w:p>
            <w:pPr>
              <w:pStyle w:val="5"/>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谈判响应</w:t>
            </w:r>
            <w:r>
              <w:rPr>
                <w:rFonts w:hint="eastAsia" w:ascii="宋体" w:hAnsi="宋体" w:eastAsia="宋体" w:cs="宋体"/>
                <w:kern w:val="0"/>
                <w:sz w:val="24"/>
                <w:szCs w:val="24"/>
                <w:highlight w:val="none"/>
              </w:rPr>
              <w:t>文件</w:t>
            </w:r>
          </w:p>
          <w:p>
            <w:pPr>
              <w:pStyle w:val="5"/>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的应答</w:t>
            </w:r>
          </w:p>
        </w:tc>
        <w:tc>
          <w:tcPr>
            <w:tcW w:w="1815"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响应/偏离</w:t>
            </w:r>
          </w:p>
        </w:tc>
        <w:tc>
          <w:tcPr>
            <w:tcW w:w="1238" w:type="dxa"/>
            <w:noWrap w:val="0"/>
            <w:vAlign w:val="center"/>
          </w:tcPr>
          <w:p>
            <w:pPr>
              <w:pStyle w:val="5"/>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5"/>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bottom w:val="single" w:color="auto" w:sz="4" w:space="0"/>
            </w:tcBorders>
            <w:noWrap w:val="0"/>
            <w:vAlign w:val="center"/>
          </w:tcPr>
          <w:p>
            <w:pPr>
              <w:pStyle w:val="5"/>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Borders>
              <w:top w:val="single" w:color="auto" w:sz="4" w:space="0"/>
              <w:left w:val="single" w:color="auto" w:sz="4" w:space="0"/>
              <w:bottom w:val="single" w:color="auto" w:sz="4" w:space="0"/>
            </w:tcBorders>
            <w:noWrap w:val="0"/>
            <w:vAlign w:val="center"/>
          </w:tcPr>
          <w:p>
            <w:pPr>
              <w:pStyle w:val="5"/>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2393"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815" w:type="dxa"/>
            <w:tcBorders>
              <w:top w:val="single" w:color="auto" w:sz="4" w:space="0"/>
              <w:bottom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c>
          <w:tcPr>
            <w:tcW w:w="1238" w:type="dxa"/>
            <w:tcBorders>
              <w:top w:val="single" w:color="auto" w:sz="4" w:space="0"/>
              <w:bottom w:val="single" w:color="auto" w:sz="4" w:space="0"/>
              <w:right w:val="single" w:color="auto" w:sz="4" w:space="0"/>
            </w:tcBorders>
            <w:noWrap w:val="0"/>
            <w:vAlign w:val="center"/>
          </w:tcPr>
          <w:p>
            <w:pPr>
              <w:pStyle w:val="5"/>
              <w:tabs>
                <w:tab w:val="left" w:pos="6880"/>
              </w:tabs>
              <w:spacing w:line="360" w:lineRule="auto"/>
              <w:ind w:firstLine="480"/>
              <w:rPr>
                <w:rFonts w:hint="eastAsia" w:ascii="宋体" w:hAnsi="宋体" w:eastAsia="宋体" w:cs="宋体"/>
                <w:kern w:val="0"/>
                <w:sz w:val="24"/>
                <w:szCs w:val="24"/>
                <w:highlight w:val="none"/>
              </w:rPr>
            </w:pPr>
          </w:p>
        </w:tc>
      </w:tr>
    </w:tbl>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lang w:eastAsia="zh-CN"/>
        </w:rPr>
      </w:pPr>
    </w:p>
    <w:p>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（加盖单位公章）      </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400" w:lineRule="exact"/>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600" w:leftChars="57" w:hanging="480" w:hanging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必须将</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中第四章</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内容及</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要求</w:t>
      </w:r>
      <w:r>
        <w:rPr>
          <w:rFonts w:hint="eastAsia" w:ascii="宋体" w:hAnsi="宋体" w:eastAsia="宋体" w:cs="宋体"/>
          <w:sz w:val="24"/>
          <w:szCs w:val="24"/>
          <w:highlight w:val="none"/>
        </w:rPr>
        <w:t>的全部内容和标准要求事项列入此表。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2．按照服务要求的顺序对应填写。</w:t>
      </w:r>
    </w:p>
    <w:p>
      <w:pPr>
        <w:keepNext w:val="0"/>
        <w:keepLines w:val="0"/>
        <w:pageBreakBefore w:val="0"/>
        <w:widowControl w:val="0"/>
        <w:tabs>
          <w:tab w:val="left" w:pos="668"/>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必须据实填写，不得虚假填写，否则将取消其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40" w:lineRule="exact"/>
        <w:jc w:val="center"/>
        <w:rPr>
          <w:rFonts w:hint="eastAsia" w:ascii="宋体" w:hAnsi="宋体" w:eastAsia="宋体" w:cs="宋体"/>
          <w:sz w:val="24"/>
          <w:szCs w:val="24"/>
          <w:highlight w:val="none"/>
        </w:rPr>
      </w:pPr>
    </w:p>
    <w:p>
      <w:pPr>
        <w:spacing w:after="120"/>
        <w:rPr>
          <w:rFonts w:hint="eastAsia" w:ascii="宋体" w:hAnsi="宋体" w:eastAsia="宋体" w:cs="宋体"/>
          <w:b/>
          <w:sz w:val="24"/>
          <w:szCs w:val="24"/>
          <w:highlight w:val="none"/>
        </w:rPr>
      </w:pPr>
      <w:bookmarkStart w:id="63" w:name="_Toc341541375"/>
      <w:bookmarkStart w:id="64" w:name="_Toc225566701"/>
      <w:bookmarkStart w:id="65" w:name="_Toc225566882"/>
      <w:bookmarkStart w:id="66" w:name="_Toc225410807"/>
      <w:bookmarkStart w:id="67" w:name="_Toc225409965"/>
      <w:bookmarkStart w:id="68" w:name="_Toc225412171"/>
      <w:bookmarkStart w:id="69" w:name="_Toc225416061"/>
      <w:bookmarkStart w:id="70" w:name="_Toc225415659"/>
      <w:bookmarkStart w:id="71" w:name="_Toc396304713"/>
      <w:bookmarkStart w:id="72" w:name="_Toc225410181"/>
      <w:bookmarkStart w:id="73" w:name="_Toc225567481"/>
      <w:bookmarkStart w:id="74" w:name="_Toc225415860"/>
      <w:bookmarkStart w:id="75" w:name="_Toc225412373"/>
    </w:p>
    <w:p>
      <w:pPr>
        <w:spacing w:after="120"/>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附表2 </w:t>
      </w:r>
      <w:r>
        <w:rPr>
          <w:rFonts w:hint="eastAsia" w:ascii="宋体" w:hAnsi="宋体" w:eastAsia="宋体" w:cs="宋体"/>
          <w:b/>
          <w:sz w:val="24"/>
          <w:szCs w:val="24"/>
          <w:highlight w:val="none"/>
          <w:lang w:val="en-US" w:eastAsia="zh-CN"/>
        </w:rPr>
        <w:t>:</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bookmarkEnd w:id="63"/>
      <w:bookmarkEnd w:id="64"/>
      <w:bookmarkEnd w:id="65"/>
      <w:bookmarkEnd w:id="66"/>
      <w:bookmarkEnd w:id="67"/>
      <w:bookmarkEnd w:id="68"/>
      <w:bookmarkEnd w:id="69"/>
      <w:bookmarkEnd w:id="70"/>
      <w:bookmarkEnd w:id="71"/>
      <w:bookmarkEnd w:id="72"/>
      <w:bookmarkEnd w:id="73"/>
      <w:bookmarkEnd w:id="74"/>
      <w:bookmarkEnd w:id="75"/>
    </w:p>
    <w:p>
      <w:pPr>
        <w:rPr>
          <w:rFonts w:hint="eastAsia"/>
          <w:highlight w:val="none"/>
        </w:rPr>
      </w:pPr>
    </w:p>
    <w:p>
      <w:pPr>
        <w:pStyle w:val="73"/>
        <w:ind w:firstLine="0" w:firstLineChars="0"/>
        <w:jc w:val="center"/>
        <w:outlineLvl w:val="9"/>
        <w:rPr>
          <w:rFonts w:hint="eastAsia" w:ascii="宋体" w:hAnsi="宋体" w:eastAsia="宋体" w:cs="宋体"/>
          <w:color w:val="auto"/>
          <w:sz w:val="24"/>
          <w:szCs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25"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姓  名</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性别</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年龄</w:t>
            </w:r>
          </w:p>
        </w:tc>
        <w:tc>
          <w:tcPr>
            <w:tcW w:w="701"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920"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工作</w:t>
            </w:r>
          </w:p>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年限</w:t>
            </w:r>
          </w:p>
        </w:tc>
        <w:tc>
          <w:tcPr>
            <w:tcW w:w="2309"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拟担任的职务</w:t>
            </w:r>
          </w:p>
        </w:tc>
        <w:tc>
          <w:tcPr>
            <w:tcW w:w="836" w:type="dxa"/>
            <w:noWrap w:val="0"/>
            <w:tcMar>
              <w:top w:w="15" w:type="dxa"/>
              <w:left w:w="15" w:type="dxa"/>
              <w:bottom w:w="0" w:type="dxa"/>
              <w:right w:w="15" w:type="dxa"/>
            </w:tcMar>
            <w:vAlign w:val="center"/>
          </w:tcPr>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岗位</w:t>
            </w:r>
          </w:p>
          <w:p>
            <w:pPr>
              <w:pStyle w:val="66"/>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6"/>
              <w:spacing w:line="400" w:lineRule="exact"/>
              <w:ind w:left="0" w:leftChars="0" w:firstLine="480" w:firstLineChars="200"/>
              <w:jc w:val="both"/>
              <w:rPr>
                <w:rFonts w:hint="eastAsia" w:ascii="宋体" w:hAnsi="宋体" w:eastAsia="宋体" w:cs="宋体"/>
                <w:sz w:val="24"/>
                <w:szCs w:val="24"/>
                <w:highlight w:val="none"/>
              </w:rPr>
            </w:pPr>
          </w:p>
        </w:tc>
      </w:tr>
    </w:tbl>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注：1.“岗位情况”须注明该人在本单位是在岗、返聘还是外聘。</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可适当调整该表格式，但不得减少信息内容。</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应书面承诺</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中人员的真实性。</w:t>
      </w:r>
    </w:p>
    <w:p>
      <w:pPr>
        <w:pStyle w:val="71"/>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4、未书面承诺</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文件中人员真实性的材料视为无效材料。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default" w:ascii="宋体" w:hAnsi="宋体" w:cs="宋体"/>
          <w:b w:val="0"/>
          <w:bCs w:val="0"/>
          <w:sz w:val="24"/>
          <w:szCs w:val="24"/>
          <w:highlight w:val="none"/>
          <w:lang w:val="en-US" w:eastAsia="zh-CN"/>
        </w:rPr>
      </w:pPr>
      <w:bookmarkStart w:id="76" w:name="_Toc225409966"/>
      <w:bookmarkStart w:id="77" w:name="_Toc426457711"/>
      <w:bookmarkStart w:id="78" w:name="_Toc403077653"/>
      <w:bookmarkStart w:id="79" w:name="_Toc225566702"/>
      <w:bookmarkStart w:id="80" w:name="_Toc225410808"/>
      <w:bookmarkStart w:id="81" w:name="_Toc341541376"/>
      <w:bookmarkStart w:id="82" w:name="_Toc225412172"/>
      <w:bookmarkStart w:id="83" w:name="_Toc225566883"/>
      <w:bookmarkStart w:id="84" w:name="_Toc225415861"/>
      <w:bookmarkStart w:id="85" w:name="_Toc225412374"/>
      <w:bookmarkStart w:id="86" w:name="_Toc225410182"/>
      <w:bookmarkStart w:id="87" w:name="_Toc225567482"/>
      <w:bookmarkStart w:id="88" w:name="_Toc396304715"/>
      <w:bookmarkStart w:id="89" w:name="_Toc225415660"/>
      <w:bookmarkStart w:id="90" w:name="_Toc225416062"/>
      <w:r>
        <w:rPr>
          <w:rFonts w:hint="eastAsia" w:ascii="宋体" w:hAnsi="宋体" w:cs="宋体"/>
          <w:b w:val="0"/>
          <w:bCs w:val="0"/>
          <w:sz w:val="24"/>
          <w:szCs w:val="24"/>
          <w:highlight w:val="none"/>
          <w:lang w:val="en-US" w:eastAsia="zh-CN"/>
        </w:rPr>
        <w:t>5.本表后附本项目拟派相关人员专业高级职称或高级任职资格证书人员及辅助人员相关证明材料。</w:t>
      </w:r>
    </w:p>
    <w:p>
      <w:pPr>
        <w:pStyle w:val="73"/>
        <w:spacing w:line="400" w:lineRule="exact"/>
        <w:ind w:firstLine="0" w:firstLineChars="0"/>
        <w:jc w:val="center"/>
        <w:outlineLvl w:val="9"/>
        <w:rPr>
          <w:rFonts w:hint="eastAsia" w:ascii="宋体" w:hAnsi="宋体" w:eastAsia="宋体" w:cs="宋体"/>
          <w:color w:val="auto"/>
          <w:sz w:val="24"/>
          <w:szCs w:val="24"/>
          <w:highlight w:val="none"/>
        </w:rPr>
      </w:pP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Pr>
        <w:pStyle w:val="4"/>
        <w:keepNext/>
        <w:keepLines/>
        <w:pageBreakBefore w:val="0"/>
        <w:widowControl w:val="0"/>
        <w:kinsoku/>
        <w:wordWrap/>
        <w:overflowPunct/>
        <w:topLinePunct w:val="0"/>
        <w:autoSpaceDE/>
        <w:autoSpaceDN/>
        <w:bidi w:val="0"/>
        <w:adjustRightInd/>
        <w:snapToGrid/>
        <w:spacing w:before="430" w:beforeLines="150" w:line="416" w:lineRule="auto"/>
        <w:jc w:val="center"/>
        <w:textAlignment w:val="auto"/>
        <w:outlineLvl w:val="1"/>
        <w:rPr>
          <w:rFonts w:hint="eastAsia" w:ascii="宋体" w:hAnsi="宋体" w:eastAsia="宋体" w:cs="宋体"/>
          <w:sz w:val="32"/>
          <w:szCs w:val="32"/>
          <w:highlight w:val="none"/>
        </w:rPr>
      </w:pPr>
      <w:bookmarkStart w:id="91" w:name="_Toc9218"/>
      <w:bookmarkStart w:id="92" w:name="_Toc23455"/>
      <w:bookmarkStart w:id="93" w:name="_Toc21284"/>
      <w:bookmarkStart w:id="94" w:name="_Toc1379"/>
      <w:bookmarkStart w:id="95" w:name="_Toc2621"/>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91"/>
      <w:bookmarkEnd w:id="92"/>
      <w:bookmarkEnd w:id="93"/>
      <w:bookmarkEnd w:id="94"/>
      <w:bookmarkEnd w:id="95"/>
      <w:r>
        <w:rPr>
          <w:rFonts w:hint="eastAsia" w:ascii="宋体" w:hAnsi="宋体" w:eastAsia="宋体" w:cs="宋体"/>
          <w:sz w:val="32"/>
          <w:szCs w:val="32"/>
          <w:highlight w:val="none"/>
          <w:lang w:val="en-US" w:eastAsia="zh-CN"/>
        </w:rPr>
        <w:t>商务条款偏离表</w:t>
      </w:r>
    </w:p>
    <w:p>
      <w:pPr>
        <w:pStyle w:val="26"/>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6"/>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6"/>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6"/>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6"/>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w:t>
      </w:r>
      <w:r>
        <w:rPr>
          <w:rFonts w:hint="eastAsia" w:ascii="宋体" w:hAnsi="宋体" w:eastAsia="宋体" w:cs="宋体"/>
          <w:b/>
          <w:bCs/>
          <w:highlight w:val="none"/>
          <w:lang w:val="en-US"/>
        </w:rPr>
        <w:t>商务响应</w:t>
      </w:r>
      <w:r>
        <w:rPr>
          <w:rFonts w:hint="eastAsia" w:ascii="宋体" w:hAnsi="宋体" w:cs="宋体"/>
          <w:b/>
          <w:bCs/>
          <w:color w:val="auto"/>
          <w:sz w:val="24"/>
          <w:szCs w:val="24"/>
          <w:highlight w:val="none"/>
          <w:lang w:val="en-US" w:eastAsia="zh-CN"/>
        </w:rPr>
        <w:t>及谈判文件中第三章合同前附表</w:t>
      </w:r>
      <w:r>
        <w:rPr>
          <w:rFonts w:hint="eastAsia" w:ascii="宋体" w:hAnsi="宋体" w:eastAsia="宋体" w:cs="宋体"/>
          <w:highlight w:val="none"/>
          <w:lang w:val="en-US"/>
        </w:rPr>
        <w:t>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6"/>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6"/>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 xml:space="preserve">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rPr>
        <w:t xml:space="preserve"> （单位公章）</w:t>
      </w:r>
    </w:p>
    <w:p>
      <w:pPr>
        <w:pStyle w:val="2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spacing w:line="400" w:lineRule="exact"/>
        <w:ind w:firstLine="480" w:firstLineChars="200"/>
        <w:rPr>
          <w:rFonts w:hint="eastAsia" w:ascii="宋体" w:hAnsi="宋体" w:eastAsia="宋体" w:cs="宋体"/>
          <w:sz w:val="24"/>
          <w:szCs w:val="24"/>
          <w:highlight w:val="none"/>
        </w:rPr>
      </w:pPr>
    </w:p>
    <w:p>
      <w:pPr>
        <w:numPr>
          <w:ilvl w:val="0"/>
          <w:numId w:val="9"/>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供应商承诺书</w:t>
      </w:r>
    </w:p>
    <w:p>
      <w:pPr>
        <w:jc w:val="center"/>
        <w:rPr>
          <w:rFonts w:hint="eastAsia" w:ascii="宋体" w:hAnsi="宋体" w:cs="宋体"/>
          <w:b/>
          <w:sz w:val="28"/>
          <w:szCs w:val="28"/>
          <w:highlight w:val="none"/>
          <w:lang w:eastAsia="zh-CN"/>
        </w:rPr>
      </w:pPr>
    </w:p>
    <w:p>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 xml:space="preserve">、资格证明文件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（一）基本资格条件：符合《中华人民共和国政府采购法》第二十二条的规定</w:t>
      </w:r>
      <w:r>
        <w:rPr>
          <w:rFonts w:hint="eastAsia" w:ascii="宋体" w:hAnsi="宋体" w:cs="宋体"/>
          <w:b/>
          <w:bCs/>
          <w:sz w:val="24"/>
          <w:szCs w:val="24"/>
          <w:highlight w:val="none"/>
          <w:lang w:val="en-US" w:eastAsia="zh-CN"/>
        </w:rPr>
        <w:t>；</w:t>
      </w:r>
    </w:p>
    <w:p>
      <w:pPr>
        <w:pStyle w:val="11"/>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（二）特定资格条件：</w:t>
      </w:r>
    </w:p>
    <w:p>
      <w:pPr>
        <w:pageBreakBefore w:val="0"/>
        <w:widowControl w:val="0"/>
        <w:kinsoku/>
        <w:wordWrap/>
        <w:overflowPunct/>
        <w:topLinePunct w:val="0"/>
        <w:autoSpaceDE/>
        <w:autoSpaceDN/>
        <w:bidi w:val="0"/>
        <w:adjustRightInd/>
        <w:snapToGrid/>
        <w:spacing w:line="500" w:lineRule="exact"/>
        <w:textAlignment w:val="auto"/>
        <w:rPr>
          <w:rFonts w:hint="eastAsia"/>
          <w:highlight w:val="none"/>
          <w:lang w:val="en-US" w:eastAsia="zh-CN"/>
        </w:rPr>
      </w:pPr>
      <w:r>
        <w:rPr>
          <w:rFonts w:hint="eastAsia" w:ascii="宋体" w:hAnsi="宋体" w:eastAsia="宋体" w:cs="宋体"/>
          <w:kern w:val="0"/>
          <w:sz w:val="24"/>
          <w:highlight w:val="none"/>
          <w:lang w:val="en-US" w:eastAsia="zh-CN"/>
        </w:rPr>
        <w:t>（1）供应商须具有独立承担民事责任能力，法人或其他组织的应提供营业执照等证明文件，自然人的应提供有效的自然人身份证明；</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（2）法定代表人授权书（附法定代表人、被授权人身份证复印件）及被授权人身份证（法定代表人直接参加谈判，须提供法定代表人身份证明及身份证原件）；</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（3）提供谈判截止日前一年内已缴存的至少一个月的社会保障资金缴存单据或社保机构开具的社会保险参保缴费情况证明，依法不需要缴纳社会保障资金的单位应提供相关证明材料；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4）提供2021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（5）提供谈判截止日前一年内已缴纳至少一个月的纳税证明或完税证明，依法免税的单位应提供相关证明材料；</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（6）参加政府活动近三年内，在经营活动中无重大违法记录的书面声明；</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7）供应商不得为中国执行信息公开网（http://zxgk.court.gov.cn/shixin/）失信被执行人及“信用中国”网站（www.creditchina.gov.cn）重大税收违法失信主体的供应商；不得为中国政府采购网（www.ccgp.gov.cn）政府采购严重违法失信行为记录名单中的供应商；</w:t>
      </w:r>
      <w:r>
        <w:rPr>
          <w:rFonts w:hint="eastAsia" w:ascii="宋体" w:hAnsi="宋体" w:eastAsia="宋体" w:cs="宋体"/>
          <w:kern w:val="0"/>
          <w:sz w:val="24"/>
          <w:highlight w:val="none"/>
          <w:lang w:val="en-US" w:eastAsia="zh-CN"/>
        </w:rPr>
        <w:br w:type="textWrapping"/>
      </w:r>
      <w:r>
        <w:rPr>
          <w:rFonts w:hint="eastAsia" w:ascii="宋体" w:hAnsi="宋体" w:eastAsia="宋体" w:cs="宋体"/>
          <w:kern w:val="0"/>
          <w:sz w:val="24"/>
          <w:highlight w:val="none"/>
          <w:lang w:val="en-US" w:eastAsia="zh-CN"/>
        </w:rPr>
        <w:t xml:space="preserve">（8）单位负责人为同一人或者存在直接控股、管理关系的不同供应商，不得参加同一合同项下的政府采购活动。  </w:t>
      </w:r>
    </w:p>
    <w:p>
      <w:pPr>
        <w:pStyle w:val="7"/>
        <w:pageBreakBefore w:val="0"/>
        <w:widowControl w:val="0"/>
        <w:kinsoku/>
        <w:wordWrap/>
        <w:overflowPunct/>
        <w:topLinePunct w:val="0"/>
        <w:autoSpaceDE/>
        <w:autoSpaceDN/>
        <w:bidi w:val="0"/>
        <w:adjustRightInd/>
        <w:snapToGrid/>
        <w:spacing w:line="500" w:lineRule="exact"/>
        <w:textAlignment w:val="auto"/>
        <w:rPr>
          <w:rFonts w:hint="eastAsia"/>
          <w:highlight w:val="none"/>
          <w:lang w:val="en-US" w:eastAsia="zh-CN"/>
        </w:rPr>
      </w:pPr>
    </w:p>
    <w:p>
      <w:pPr>
        <w:rPr>
          <w:rFonts w:hint="eastAsia"/>
          <w:highlight w:val="none"/>
          <w:lang w:val="en-US" w:eastAsia="zh-CN"/>
        </w:rPr>
      </w:pPr>
    </w:p>
    <w:p>
      <w:pPr>
        <w:rPr>
          <w:rFonts w:hint="eastAsia" w:hAnsi="宋体" w:eastAsia="宋体" w:cs="宋体"/>
          <w:b/>
          <w:bCs/>
          <w:color w:val="auto"/>
          <w:sz w:val="28"/>
          <w:szCs w:val="28"/>
          <w:highlight w:val="none"/>
          <w:lang w:val="en-US" w:eastAsia="zh-CN"/>
        </w:rPr>
      </w:pPr>
      <w:r>
        <w:rPr>
          <w:rFonts w:hint="eastAsia" w:hAnsi="宋体" w:eastAsia="宋体" w:cs="宋体"/>
          <w:b/>
          <w:bCs/>
          <w:color w:val="auto"/>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宋体" w:hAnsi="宋体" w:eastAsia="宋体" w:cs="宋体"/>
          <w:b/>
          <w:bCs/>
          <w:kern w:val="2"/>
          <w:sz w:val="30"/>
          <w:szCs w:val="30"/>
          <w:highlight w:val="none"/>
          <w:lang w:val="en-US" w:eastAsia="zh-CN" w:bidi="ar-SA"/>
        </w:rPr>
      </w:pPr>
      <w:r>
        <w:rPr>
          <w:rFonts w:hint="eastAsia" w:hAnsi="宋体" w:eastAsia="宋体" w:cs="宋体"/>
          <w:b/>
          <w:bCs/>
          <w:color w:val="auto"/>
          <w:sz w:val="28"/>
          <w:szCs w:val="28"/>
          <w:highlight w:val="none"/>
          <w:lang w:val="en-US" w:eastAsia="zh-CN"/>
        </w:rPr>
        <w:t>（1）</w:t>
      </w:r>
      <w:r>
        <w:rPr>
          <w:rFonts w:hint="eastAsia" w:ascii="宋体" w:hAnsi="宋体" w:eastAsia="宋体" w:cs="宋体"/>
          <w:b/>
          <w:bCs/>
          <w:kern w:val="2"/>
          <w:sz w:val="30"/>
          <w:szCs w:val="30"/>
          <w:highlight w:val="none"/>
          <w:lang w:val="en-US" w:eastAsia="zh-CN" w:bidi="ar-SA"/>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rPr>
        <w:t>附：法定代表人身份证复印件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正反面</w:t>
      </w:r>
      <w:r>
        <w:rPr>
          <w:rFonts w:hint="eastAsia" w:ascii="宋体" w:hAnsi="宋体" w:eastAsia="宋体" w:cs="宋体"/>
          <w:szCs w:val="21"/>
          <w:highlight w:val="none"/>
          <w:lang w:eastAsia="zh-CN"/>
        </w:rPr>
        <w:t>）</w:t>
      </w:r>
    </w:p>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11"/>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11"/>
        <w:rPr>
          <w:rFonts w:hint="eastAsia"/>
          <w:highlight w:val="none"/>
          <w:lang w:val="en-US" w:eastAsia="zh-CN"/>
        </w:rPr>
      </w:pPr>
    </w:p>
    <w:p>
      <w:pPr>
        <w:pStyle w:val="11"/>
        <w:rPr>
          <w:rFonts w:hint="eastAsia" w:ascii="宋体" w:hAnsi="宋体" w:eastAsia="宋体" w:cs="宋体"/>
          <w:b/>
          <w:bCs/>
          <w:sz w:val="24"/>
          <w:szCs w:val="24"/>
          <w:highlight w:val="none"/>
          <w:lang w:val="en-US" w:eastAsia="zh-CN"/>
        </w:rPr>
      </w:pPr>
    </w:p>
    <w:p>
      <w:pPr>
        <w:rPr>
          <w:rFonts w:hint="eastAsia" w:ascii="宋体" w:hAnsi="宋体" w:eastAsia="宋体" w:cs="宋体"/>
          <w:b/>
          <w:bCs/>
          <w:sz w:val="24"/>
          <w:szCs w:val="24"/>
          <w:highlight w:val="none"/>
          <w:lang w:val="en-US" w:eastAsia="zh-CN"/>
        </w:rPr>
      </w:pPr>
    </w:p>
    <w:p>
      <w:pPr>
        <w:spacing w:before="327" w:beforeLines="100"/>
        <w:jc w:val="center"/>
        <w:outlineLvl w:val="9"/>
        <w:rPr>
          <w:rFonts w:hint="eastAsia" w:ascii="宋体" w:hAnsi="宋体" w:eastAsia="宋体" w:cs="宋体"/>
          <w:b/>
          <w:bCs/>
          <w:color w:val="auto"/>
          <w:sz w:val="32"/>
          <w:szCs w:val="32"/>
          <w:highlight w:val="none"/>
        </w:rPr>
      </w:pPr>
    </w:p>
    <w:p>
      <w:pPr>
        <w:spacing w:before="327" w:beforeLines="100"/>
        <w:jc w:val="center"/>
        <w:outlineLvl w:val="9"/>
        <w:rPr>
          <w:rFonts w:hint="eastAsia" w:ascii="宋体" w:hAnsi="宋体" w:eastAsia="宋体" w:cs="宋体"/>
          <w:b/>
          <w:bCs/>
          <w:color w:val="auto"/>
          <w:spacing w:val="4"/>
          <w:sz w:val="24"/>
          <w:szCs w:val="30"/>
          <w:highlight w:val="none"/>
        </w:rPr>
      </w:pPr>
      <w:r>
        <w:rPr>
          <w:rFonts w:hint="eastAsia" w:ascii="宋体" w:hAnsi="宋体" w:eastAsia="宋体" w:cs="宋体"/>
          <w:b/>
          <w:bCs/>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w:t>
      </w:r>
      <w:r>
        <w:rPr>
          <w:rFonts w:hint="eastAsia" w:ascii="宋体" w:hAnsi="宋体" w:eastAsia="宋体" w:cs="宋体"/>
          <w:spacing w:val="4"/>
          <w:sz w:val="24"/>
          <w:szCs w:val="30"/>
          <w:highlight w:val="none"/>
          <w:lang w:eastAsia="zh-CN"/>
        </w:rPr>
        <w:t>与谈判有效期一致</w:t>
      </w:r>
      <w:r>
        <w:rPr>
          <w:rFonts w:hint="eastAsia" w:ascii="宋体" w:hAnsi="宋体" w:eastAsia="宋体" w:cs="宋体"/>
          <w:spacing w:val="4"/>
          <w:sz w:val="24"/>
          <w:szCs w:val="30"/>
          <w:highlight w:val="none"/>
        </w:rPr>
        <w:t>。</w:t>
      </w:r>
    </w:p>
    <w:tbl>
      <w:tblPr>
        <w:tblStyle w:val="30"/>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pStyle w:val="11"/>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11"/>
        <w:rPr>
          <w:rFonts w:hint="eastAsia"/>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pPr>
        <w:pStyle w:val="11"/>
        <w:rPr>
          <w:rFonts w:hint="eastAsia" w:ascii="宋体" w:hAnsi="宋体" w:eastAsia="宋体" w:cs="宋体"/>
          <w:b/>
          <w:bCs/>
          <w:sz w:val="24"/>
          <w:szCs w:val="24"/>
          <w:highlight w:val="none"/>
          <w:lang w:val="zh-CN"/>
        </w:rPr>
      </w:pPr>
    </w:p>
    <w:p>
      <w:pPr>
        <w:pStyle w:val="11"/>
        <w:rPr>
          <w:rFonts w:hint="eastAsia" w:ascii="宋体" w:hAnsi="宋体" w:eastAsia="宋体" w:cs="宋体"/>
          <w:b/>
          <w:bCs/>
          <w:sz w:val="24"/>
          <w:szCs w:val="24"/>
          <w:highlight w:val="none"/>
          <w:lang w:val="zh-CN"/>
        </w:rPr>
      </w:pPr>
    </w:p>
    <w:p>
      <w:pPr>
        <w:rPr>
          <w:rFonts w:hint="eastAsia"/>
          <w:highlight w:val="none"/>
          <w:lang w:val="zh-CN"/>
        </w:rPr>
      </w:pPr>
    </w:p>
    <w:p>
      <w:pPr>
        <w:pStyle w:val="7"/>
        <w:rPr>
          <w:rFonts w:hint="eastAsia"/>
          <w:highlight w:val="none"/>
          <w:lang w:val="zh-CN"/>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numPr>
          <w:ilvl w:val="0"/>
          <w:numId w:val="0"/>
        </w:numPr>
        <w:jc w:val="center"/>
        <w:outlineLvl w:val="2"/>
        <w:rPr>
          <w:rFonts w:hint="eastAsia" w:ascii="宋体" w:hAnsi="宋体" w:eastAsia="宋体" w:cs="宋体"/>
          <w:b/>
          <w:bCs w:val="0"/>
          <w:sz w:val="28"/>
          <w:szCs w:val="28"/>
          <w:highlight w:val="none"/>
          <w:lang w:val="zh-CN" w:eastAsia="zh-CN"/>
        </w:rPr>
      </w:pPr>
      <w:r>
        <w:rPr>
          <w:rFonts w:hint="eastAsia" w:ascii="宋体" w:hAnsi="宋体" w:eastAsia="宋体" w:cs="宋体"/>
          <w:b/>
          <w:bCs w:val="0"/>
          <w:sz w:val="28"/>
          <w:szCs w:val="28"/>
          <w:highlight w:val="none"/>
          <w:lang w:val="zh-CN" w:eastAsia="zh-CN"/>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lang w:val="zh-CN" w:eastAsia="zh-CN"/>
        </w:rPr>
        <w:t>）企业关系关联承诺书</w:t>
      </w:r>
    </w:p>
    <w:p>
      <w:pPr>
        <w:pStyle w:val="11"/>
        <w:numPr>
          <w:ilvl w:val="0"/>
          <w:numId w:val="0"/>
        </w:numPr>
        <w:rPr>
          <w:highlight w:val="none"/>
        </w:rPr>
      </w:pP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供应商股东及股权证明。</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2.3、单位负责人：</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4、其他与本项目有关的利害关系说明：</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pStyle w:val="11"/>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rPr>
          <w:rFonts w:hint="eastAsia"/>
          <w:highlight w:val="none"/>
        </w:rPr>
      </w:pPr>
    </w:p>
    <w:p>
      <w:pPr>
        <w:pStyle w:val="11"/>
        <w:rPr>
          <w:rFonts w:hint="eastAsia" w:ascii="宋体" w:hAnsi="宋体" w:eastAsia="宋体" w:cs="宋体"/>
          <w:highlight w:val="none"/>
        </w:rPr>
      </w:pPr>
    </w:p>
    <w:p>
      <w:pPr>
        <w:pStyle w:val="11"/>
        <w:rPr>
          <w:rFonts w:hint="eastAsia" w:ascii="宋体" w:hAnsi="宋体" w:eastAsia="宋体" w:cs="宋体"/>
          <w:highlight w:val="none"/>
        </w:rPr>
      </w:pPr>
    </w:p>
    <w:p>
      <w:pPr>
        <w:numPr>
          <w:ilvl w:val="0"/>
          <w:numId w:val="11"/>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11"/>
        <w:widowControl w:val="0"/>
        <w:numPr>
          <w:ilvl w:val="0"/>
          <w:numId w:val="0"/>
        </w:numPr>
        <w:spacing w:after="120" w:afterLines="0"/>
        <w:jc w:val="both"/>
        <w:rPr>
          <w:rFonts w:hint="eastAsia"/>
          <w:highlight w:val="none"/>
          <w:lang w:eastAsia="zh-CN"/>
        </w:rPr>
      </w:pPr>
    </w:p>
    <w:p>
      <w:pPr>
        <w:pStyle w:val="11"/>
        <w:widowControl w:val="0"/>
        <w:numPr>
          <w:ilvl w:val="0"/>
          <w:numId w:val="0"/>
        </w:numPr>
        <w:spacing w:after="120" w:afterLines="0"/>
        <w:jc w:val="both"/>
        <w:rPr>
          <w:rFonts w:hint="eastAsia"/>
          <w:highlight w:val="none"/>
          <w:lang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依据竞争性谈判文件要求，供应商认为有必要说明的其他内容。</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、其他可以证明供应商实力的文件。</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pStyle w:val="11"/>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bookmarkEnd w:id="15"/>
    <w:bookmarkEnd w:id="16"/>
    <w:bookmarkEnd w:id="17"/>
    <w:bookmarkEnd w:id="18"/>
    <w:bookmarkEnd w:id="19"/>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cs="宋体"/>
          <w:b/>
          <w:bCs/>
          <w:color w:val="auto"/>
          <w:spacing w:val="6"/>
          <w:sz w:val="30"/>
          <w:szCs w:val="30"/>
          <w:highlight w:val="none"/>
          <w:lang w:val="en-US" w:eastAsia="zh-CN"/>
        </w:rPr>
        <w:t>2</w:t>
      </w:r>
      <w:r>
        <w:rPr>
          <w:rFonts w:hint="eastAsia" w:ascii="宋体" w:hAnsi="宋体" w:eastAsia="宋体" w:cs="宋体"/>
          <w:b/>
          <w:bCs/>
          <w:color w:val="auto"/>
          <w:spacing w:val="6"/>
          <w:sz w:val="30"/>
          <w:szCs w:val="30"/>
          <w:highlight w:val="none"/>
        </w:rPr>
        <w:t>：</w:t>
      </w:r>
      <w:r>
        <w:rPr>
          <w:rFonts w:hint="eastAsia" w:ascii="宋体" w:hAnsi="宋体" w:eastAsia="宋体" w:cs="宋体"/>
          <w:b/>
          <w:color w:val="auto"/>
          <w:sz w:val="28"/>
          <w:szCs w:val="28"/>
          <w:highlight w:val="none"/>
        </w:rPr>
        <w:t>（如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96" w:name="OLE_LINK14"/>
      <w:bookmarkStart w:id="97" w:name="OLE_LINK13"/>
      <w:r>
        <w:rPr>
          <w:rFonts w:hint="eastAsia" w:ascii="宋体" w:hAnsi="宋体" w:eastAsia="宋体" w:cs="宋体"/>
          <w:b/>
          <w:color w:val="auto"/>
          <w:spacing w:val="6"/>
          <w:sz w:val="32"/>
          <w:szCs w:val="32"/>
          <w:highlight w:val="none"/>
        </w:rPr>
        <w:t>残疾人福利性单位声明函</w:t>
      </w:r>
    </w:p>
    <w:bookmarkEnd w:id="96"/>
    <w:bookmarkEnd w:id="97"/>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7"/>
        <w:rPr>
          <w:rFonts w:hint="eastAsia"/>
          <w:color w:val="auto"/>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1"/>
        <w:jc w:val="left"/>
        <w:rPr>
          <w:rFonts w:hint="eastAsia" w:ascii="宋体" w:hAnsi="宋体" w:cs="宋体"/>
          <w:b/>
          <w:bCs/>
          <w:color w:val="auto"/>
          <w:spacing w:val="6"/>
          <w:kern w:val="0"/>
          <w:sz w:val="30"/>
          <w:szCs w:val="30"/>
          <w:highlight w:val="none"/>
        </w:rPr>
      </w:pPr>
    </w:p>
    <w:p>
      <w:pPr>
        <w:pStyle w:val="11"/>
        <w:jc w:val="left"/>
        <w:rPr>
          <w:rFonts w:hint="eastAsia" w:ascii="宋体" w:hAnsi="宋体" w:cs="宋体"/>
          <w:b/>
          <w:bCs/>
          <w:color w:val="auto"/>
          <w:spacing w:val="6"/>
          <w:kern w:val="0"/>
          <w:sz w:val="30"/>
          <w:szCs w:val="30"/>
          <w:highlight w:val="none"/>
        </w:rPr>
      </w:pPr>
    </w:p>
    <w:p>
      <w:pPr>
        <w:pStyle w:val="11"/>
        <w:jc w:val="left"/>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w:t>
      </w:r>
      <w:r>
        <w:rPr>
          <w:rFonts w:hint="eastAsia" w:ascii="宋体" w:hAnsi="宋体" w:cs="宋体"/>
          <w:b/>
          <w:bCs/>
          <w:color w:val="auto"/>
          <w:spacing w:val="6"/>
          <w:kern w:val="0"/>
          <w:sz w:val="30"/>
          <w:szCs w:val="30"/>
          <w:highlight w:val="none"/>
          <w:lang w:val="en-US" w:eastAsia="zh-CN"/>
        </w:rPr>
        <w:t>3</w:t>
      </w:r>
      <w:r>
        <w:rPr>
          <w:rFonts w:hint="eastAsia" w:ascii="宋体" w:hAnsi="宋体" w:cs="宋体"/>
          <w:b/>
          <w:bCs/>
          <w:color w:val="auto"/>
          <w:spacing w:val="6"/>
          <w:sz w:val="30"/>
          <w:szCs w:val="30"/>
          <w:highlight w:val="none"/>
        </w:rPr>
        <w:t>（如有）</w:t>
      </w:r>
    </w:p>
    <w:p>
      <w:pPr>
        <w:pStyle w:val="1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pStyle w:val="11"/>
        <w:rPr>
          <w:rFonts w:hint="eastAsia" w:ascii="宋体" w:hAnsi="宋体" w:eastAsia="宋体" w:cs="宋体"/>
          <w:highlight w:val="none"/>
        </w:rPr>
      </w:pPr>
    </w:p>
    <w:p>
      <w:pPr>
        <w:tabs>
          <w:tab w:val="left" w:pos="8820"/>
        </w:tabs>
        <w:spacing w:line="360" w:lineRule="auto"/>
        <w:ind w:right="200" w:rightChars="0"/>
        <w:rPr>
          <w:rFonts w:hint="eastAsia" w:ascii="宋体" w:hAnsi="宋体" w:eastAsia="宋体" w:cs="宋体"/>
          <w:sz w:val="24"/>
          <w:szCs w:val="24"/>
          <w:highlight w:val="none"/>
        </w:rPr>
      </w:pPr>
    </w:p>
    <w:sectPr>
      <w:headerReference r:id="rId10" w:type="default"/>
      <w:pgSz w:w="11907" w:h="16840"/>
      <w:pgMar w:top="1418" w:right="72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w:t>
    </w:r>
    <w:r>
      <w:rPr>
        <w:rFonts w:hint="eastAsia" w:cs="Times New Roman"/>
        <w:sz w:val="18"/>
        <w:szCs w:val="18"/>
        <w:highlight w:val="none"/>
        <w:lang w:eastAsia="zh-CN"/>
      </w:rPr>
      <w:t>黄陵县轩辕大道原石油公司办公楼二楼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2305050</wp:posOffset>
              </wp:positionH>
              <wp:positionV relativeFrom="paragraph">
                <wp:posOffset>13335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5pt;margin-top:1.05pt;height:144pt;width:144pt;mso-position-horizontal-relative:margin;mso-wrap-style:none;z-index:251659264;mso-width-relative:page;mso-height-relative:page;" filled="f" stroked="f" coordsize="21600,21600" o:gfxdata="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79LEzVAAAACQ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：西安市经开区凤城七路长和国际A座25层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rPr>
        <w:rFonts w:hint="eastAsia"/>
        <w:u w:val="non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right" w:pos="8820"/>
        <w:tab w:val="clear" w:pos="8306"/>
      </w:tabs>
      <w:ind w:right="619" w:rightChars="29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C0A45"/>
    <w:multiLevelType w:val="singleLevel"/>
    <w:tmpl w:val="81BC0A45"/>
    <w:lvl w:ilvl="0" w:tentative="0">
      <w:start w:val="2"/>
      <w:numFmt w:val="chineseCounting"/>
      <w:suff w:val="nothing"/>
      <w:lvlText w:val="（%1）"/>
      <w:lvlJc w:val="left"/>
      <w:rPr>
        <w:rFonts w:hint="eastAsia"/>
      </w:rPr>
    </w:lvl>
  </w:abstractNum>
  <w:abstractNum w:abstractNumId="1">
    <w:nsid w:val="AC94D0C7"/>
    <w:multiLevelType w:val="singleLevel"/>
    <w:tmpl w:val="AC94D0C7"/>
    <w:lvl w:ilvl="0" w:tentative="0">
      <w:start w:val="1"/>
      <w:numFmt w:val="decimal"/>
      <w:suff w:val="nothing"/>
      <w:lvlText w:val="%1、"/>
      <w:lvlJc w:val="left"/>
    </w:lvl>
  </w:abstractNum>
  <w:abstractNum w:abstractNumId="2">
    <w:nsid w:val="CBB594A2"/>
    <w:multiLevelType w:val="singleLevel"/>
    <w:tmpl w:val="CBB594A2"/>
    <w:lvl w:ilvl="0" w:tentative="0">
      <w:start w:val="2"/>
      <w:numFmt w:val="chineseCounting"/>
      <w:suff w:val="nothing"/>
      <w:lvlText w:val="%1、"/>
      <w:lvlJc w:val="left"/>
      <w:rPr>
        <w:rFonts w:hint="eastAsia"/>
      </w:rPr>
    </w:lvl>
  </w:abstractNum>
  <w:abstractNum w:abstractNumId="3">
    <w:nsid w:val="D959E576"/>
    <w:multiLevelType w:val="singleLevel"/>
    <w:tmpl w:val="D959E576"/>
    <w:lvl w:ilvl="0" w:tentative="0">
      <w:start w:val="1"/>
      <w:numFmt w:val="decimal"/>
      <w:suff w:val="nothing"/>
      <w:lvlText w:val="（%1）"/>
      <w:lvlJc w:val="left"/>
    </w:lvl>
  </w:abstractNum>
  <w:abstractNum w:abstractNumId="4">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6">
    <w:nsid w:val="124BB631"/>
    <w:multiLevelType w:val="singleLevel"/>
    <w:tmpl w:val="124BB631"/>
    <w:lvl w:ilvl="0" w:tentative="0">
      <w:start w:val="7"/>
      <w:numFmt w:val="chineseCounting"/>
      <w:suff w:val="nothing"/>
      <w:lvlText w:val="%1、"/>
      <w:lvlJc w:val="left"/>
      <w:rPr>
        <w:rFonts w:hint="eastAsia"/>
      </w:rPr>
    </w:lvl>
  </w:abstractNum>
  <w:abstractNum w:abstractNumId="7">
    <w:nsid w:val="3D0E1543"/>
    <w:multiLevelType w:val="singleLevel"/>
    <w:tmpl w:val="3D0E1543"/>
    <w:lvl w:ilvl="0" w:tentative="0">
      <w:start w:val="1"/>
      <w:numFmt w:val="decimal"/>
      <w:lvlText w:val="%1."/>
      <w:lvlJc w:val="left"/>
      <w:pPr>
        <w:tabs>
          <w:tab w:val="left" w:pos="312"/>
        </w:tabs>
      </w:pPr>
    </w:lvl>
  </w:abstractNum>
  <w:abstractNum w:abstractNumId="8">
    <w:nsid w:val="3D39144C"/>
    <w:multiLevelType w:val="singleLevel"/>
    <w:tmpl w:val="3D39144C"/>
    <w:lvl w:ilvl="0" w:tentative="0">
      <w:start w:val="5"/>
      <w:numFmt w:val="chineseCounting"/>
      <w:suff w:val="nothing"/>
      <w:lvlText w:val="%1、"/>
      <w:lvlJc w:val="left"/>
      <w:rPr>
        <w:rFonts w:hint="eastAsia"/>
      </w:rPr>
    </w:lvl>
  </w:abstractNum>
  <w:abstractNum w:abstractNumId="9">
    <w:nsid w:val="59B2460E"/>
    <w:multiLevelType w:val="singleLevel"/>
    <w:tmpl w:val="59B2460E"/>
    <w:lvl w:ilvl="0" w:tentative="0">
      <w:start w:val="2"/>
      <w:numFmt w:val="decimal"/>
      <w:suff w:val="nothing"/>
      <w:lvlText w:val="%1."/>
      <w:lvlJc w:val="left"/>
    </w:lvl>
  </w:abstractNum>
  <w:abstractNum w:abstractNumId="10">
    <w:nsid w:val="59CC62DA"/>
    <w:multiLevelType w:val="singleLevel"/>
    <w:tmpl w:val="59CC62DA"/>
    <w:lvl w:ilvl="0" w:tentative="0">
      <w:start w:val="5"/>
      <w:numFmt w:val="chineseCounting"/>
      <w:suff w:val="space"/>
      <w:lvlText w:val="第%1章"/>
      <w:lvlJc w:val="left"/>
    </w:lvl>
  </w:abstractNum>
  <w:num w:numId="1">
    <w:abstractNumId w:val="3"/>
  </w:num>
  <w:num w:numId="2">
    <w:abstractNumId w:val="9"/>
  </w:num>
  <w:num w:numId="3">
    <w:abstractNumId w:val="7"/>
  </w:num>
  <w:num w:numId="4">
    <w:abstractNumId w:val="4"/>
  </w:num>
  <w:num w:numId="5">
    <w:abstractNumId w:val="0"/>
  </w:num>
  <w:num w:numId="6">
    <w:abstractNumId w:val="2"/>
  </w:num>
  <w:num w:numId="7">
    <w:abstractNumId w:val="10"/>
  </w:num>
  <w:num w:numId="8">
    <w:abstractNumId w:val="5"/>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TMyNDc2NGM2YmQwODA3YWU2M2JlOTI4N2EwMDQifQ=="/>
  </w:docVars>
  <w:rsids>
    <w:rsidRoot w:val="00172A27"/>
    <w:rsid w:val="00002484"/>
    <w:rsid w:val="00006BA7"/>
    <w:rsid w:val="00006F34"/>
    <w:rsid w:val="00010923"/>
    <w:rsid w:val="000111C7"/>
    <w:rsid w:val="0001276B"/>
    <w:rsid w:val="00014C80"/>
    <w:rsid w:val="00016233"/>
    <w:rsid w:val="00017CED"/>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17C"/>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1FEE"/>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3269"/>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1543C57"/>
    <w:rsid w:val="01D86637"/>
    <w:rsid w:val="01E7687A"/>
    <w:rsid w:val="024B788D"/>
    <w:rsid w:val="027D062B"/>
    <w:rsid w:val="029370C7"/>
    <w:rsid w:val="029E0CDB"/>
    <w:rsid w:val="02A5798A"/>
    <w:rsid w:val="02DC3F04"/>
    <w:rsid w:val="02E505EF"/>
    <w:rsid w:val="02E876A7"/>
    <w:rsid w:val="02EE59E6"/>
    <w:rsid w:val="03123DCA"/>
    <w:rsid w:val="0314419D"/>
    <w:rsid w:val="03324F93"/>
    <w:rsid w:val="03406F5E"/>
    <w:rsid w:val="0342363C"/>
    <w:rsid w:val="034416AE"/>
    <w:rsid w:val="034615F2"/>
    <w:rsid w:val="036839EA"/>
    <w:rsid w:val="038D72DF"/>
    <w:rsid w:val="03920A67"/>
    <w:rsid w:val="03A27284"/>
    <w:rsid w:val="03B15391"/>
    <w:rsid w:val="03B5557A"/>
    <w:rsid w:val="03CA0201"/>
    <w:rsid w:val="03CE35CB"/>
    <w:rsid w:val="03FA61DB"/>
    <w:rsid w:val="03FE52CF"/>
    <w:rsid w:val="041026CE"/>
    <w:rsid w:val="04204165"/>
    <w:rsid w:val="042133C7"/>
    <w:rsid w:val="04491B65"/>
    <w:rsid w:val="046C750A"/>
    <w:rsid w:val="04716658"/>
    <w:rsid w:val="048552F8"/>
    <w:rsid w:val="04F459FA"/>
    <w:rsid w:val="056B3C24"/>
    <w:rsid w:val="0583116F"/>
    <w:rsid w:val="05A52CD4"/>
    <w:rsid w:val="05A71363"/>
    <w:rsid w:val="05AC72D7"/>
    <w:rsid w:val="062B640B"/>
    <w:rsid w:val="066E4CAE"/>
    <w:rsid w:val="06894CA3"/>
    <w:rsid w:val="068B5F77"/>
    <w:rsid w:val="06925B6D"/>
    <w:rsid w:val="0696660B"/>
    <w:rsid w:val="06C26EFB"/>
    <w:rsid w:val="06D864CC"/>
    <w:rsid w:val="06F85085"/>
    <w:rsid w:val="06FA0DFD"/>
    <w:rsid w:val="06FA1444"/>
    <w:rsid w:val="06FC6897"/>
    <w:rsid w:val="07131EBF"/>
    <w:rsid w:val="07475E05"/>
    <w:rsid w:val="0747745C"/>
    <w:rsid w:val="078157D1"/>
    <w:rsid w:val="07CF65FF"/>
    <w:rsid w:val="07F953C3"/>
    <w:rsid w:val="082616D5"/>
    <w:rsid w:val="08315D7E"/>
    <w:rsid w:val="08691BEE"/>
    <w:rsid w:val="08712944"/>
    <w:rsid w:val="088A4403"/>
    <w:rsid w:val="08C276F9"/>
    <w:rsid w:val="08ED311B"/>
    <w:rsid w:val="08FB19A4"/>
    <w:rsid w:val="08FB3435"/>
    <w:rsid w:val="09015CED"/>
    <w:rsid w:val="09183C9B"/>
    <w:rsid w:val="09362AAF"/>
    <w:rsid w:val="095F241F"/>
    <w:rsid w:val="098B402E"/>
    <w:rsid w:val="099224C2"/>
    <w:rsid w:val="09993138"/>
    <w:rsid w:val="09B74D83"/>
    <w:rsid w:val="09BB0D18"/>
    <w:rsid w:val="09D92C37"/>
    <w:rsid w:val="0A1F33AB"/>
    <w:rsid w:val="0A1F5B28"/>
    <w:rsid w:val="0A200B7B"/>
    <w:rsid w:val="0A3D4F01"/>
    <w:rsid w:val="0A552B46"/>
    <w:rsid w:val="0A7950D7"/>
    <w:rsid w:val="0A912549"/>
    <w:rsid w:val="0AA15EAB"/>
    <w:rsid w:val="0AAE27CA"/>
    <w:rsid w:val="0AAF0151"/>
    <w:rsid w:val="0AD5056D"/>
    <w:rsid w:val="0AF1320B"/>
    <w:rsid w:val="0AF17010"/>
    <w:rsid w:val="0B17352C"/>
    <w:rsid w:val="0B3C6FF9"/>
    <w:rsid w:val="0B973E91"/>
    <w:rsid w:val="0BA06C1B"/>
    <w:rsid w:val="0BB0283D"/>
    <w:rsid w:val="0C191D25"/>
    <w:rsid w:val="0C46506D"/>
    <w:rsid w:val="0C4A0131"/>
    <w:rsid w:val="0C6D40AD"/>
    <w:rsid w:val="0C7657FC"/>
    <w:rsid w:val="0CB16402"/>
    <w:rsid w:val="0CC021A1"/>
    <w:rsid w:val="0CCE2B10"/>
    <w:rsid w:val="0D2B0CC3"/>
    <w:rsid w:val="0D523EEC"/>
    <w:rsid w:val="0D5F19BA"/>
    <w:rsid w:val="0D631E83"/>
    <w:rsid w:val="0DC12C53"/>
    <w:rsid w:val="0DD451C6"/>
    <w:rsid w:val="0DE46F59"/>
    <w:rsid w:val="0E042561"/>
    <w:rsid w:val="0E580E17"/>
    <w:rsid w:val="0E6E1FAD"/>
    <w:rsid w:val="0E7A3FA8"/>
    <w:rsid w:val="0E7B6CC7"/>
    <w:rsid w:val="0E9E01A5"/>
    <w:rsid w:val="0EC11AEA"/>
    <w:rsid w:val="0ED018D1"/>
    <w:rsid w:val="0F192865"/>
    <w:rsid w:val="0F360424"/>
    <w:rsid w:val="0F3B6457"/>
    <w:rsid w:val="0F4155C6"/>
    <w:rsid w:val="0F7F0EF9"/>
    <w:rsid w:val="0F7F6343"/>
    <w:rsid w:val="0F970C16"/>
    <w:rsid w:val="0FBA737B"/>
    <w:rsid w:val="0FD6660F"/>
    <w:rsid w:val="0FDB7A2F"/>
    <w:rsid w:val="0FDC101C"/>
    <w:rsid w:val="0FE9742C"/>
    <w:rsid w:val="0FF52AA9"/>
    <w:rsid w:val="0FF7412C"/>
    <w:rsid w:val="0FF7696F"/>
    <w:rsid w:val="100D0BAA"/>
    <w:rsid w:val="103307E6"/>
    <w:rsid w:val="1078764E"/>
    <w:rsid w:val="10A047C3"/>
    <w:rsid w:val="10AD5132"/>
    <w:rsid w:val="10BE76B9"/>
    <w:rsid w:val="11233F97"/>
    <w:rsid w:val="1137099C"/>
    <w:rsid w:val="113A4C18"/>
    <w:rsid w:val="11452DE3"/>
    <w:rsid w:val="115B3953"/>
    <w:rsid w:val="1160098A"/>
    <w:rsid w:val="116E43FC"/>
    <w:rsid w:val="11714C98"/>
    <w:rsid w:val="11B5219D"/>
    <w:rsid w:val="11D0732A"/>
    <w:rsid w:val="11D30BC8"/>
    <w:rsid w:val="11EB7CC0"/>
    <w:rsid w:val="11EE3461"/>
    <w:rsid w:val="120A53C1"/>
    <w:rsid w:val="12271C6A"/>
    <w:rsid w:val="12301BDC"/>
    <w:rsid w:val="123F6E4A"/>
    <w:rsid w:val="12423403"/>
    <w:rsid w:val="124F48F4"/>
    <w:rsid w:val="12592048"/>
    <w:rsid w:val="12922A85"/>
    <w:rsid w:val="129E11D6"/>
    <w:rsid w:val="12A13F4A"/>
    <w:rsid w:val="12D9642F"/>
    <w:rsid w:val="12E73A02"/>
    <w:rsid w:val="12E94609"/>
    <w:rsid w:val="12EE73D0"/>
    <w:rsid w:val="130D65BB"/>
    <w:rsid w:val="132A7A92"/>
    <w:rsid w:val="13472162"/>
    <w:rsid w:val="135037EB"/>
    <w:rsid w:val="135E29E4"/>
    <w:rsid w:val="13620456"/>
    <w:rsid w:val="137F4E4D"/>
    <w:rsid w:val="13BE14CF"/>
    <w:rsid w:val="14873017"/>
    <w:rsid w:val="14995A19"/>
    <w:rsid w:val="14D56A06"/>
    <w:rsid w:val="14E07884"/>
    <w:rsid w:val="14ED575C"/>
    <w:rsid w:val="14F11BE1"/>
    <w:rsid w:val="150A61A4"/>
    <w:rsid w:val="151762C4"/>
    <w:rsid w:val="15365590"/>
    <w:rsid w:val="157B75AD"/>
    <w:rsid w:val="15806971"/>
    <w:rsid w:val="158540DD"/>
    <w:rsid w:val="159077EE"/>
    <w:rsid w:val="15995C85"/>
    <w:rsid w:val="16166263"/>
    <w:rsid w:val="164B0DF0"/>
    <w:rsid w:val="167A6EE1"/>
    <w:rsid w:val="167B4B5C"/>
    <w:rsid w:val="168F788A"/>
    <w:rsid w:val="16937499"/>
    <w:rsid w:val="16AE5760"/>
    <w:rsid w:val="16E21383"/>
    <w:rsid w:val="16EE4D8D"/>
    <w:rsid w:val="16F7073B"/>
    <w:rsid w:val="172E4372"/>
    <w:rsid w:val="17A32DEB"/>
    <w:rsid w:val="17C214C3"/>
    <w:rsid w:val="17EC6088"/>
    <w:rsid w:val="180D6418"/>
    <w:rsid w:val="1869193F"/>
    <w:rsid w:val="187301E8"/>
    <w:rsid w:val="18784278"/>
    <w:rsid w:val="187F72BD"/>
    <w:rsid w:val="18B12C39"/>
    <w:rsid w:val="18E616BD"/>
    <w:rsid w:val="191930FF"/>
    <w:rsid w:val="198A0A74"/>
    <w:rsid w:val="19A741F4"/>
    <w:rsid w:val="19C740EA"/>
    <w:rsid w:val="19CC03D7"/>
    <w:rsid w:val="1A353370"/>
    <w:rsid w:val="1A3801B5"/>
    <w:rsid w:val="1A497C7A"/>
    <w:rsid w:val="1A667B51"/>
    <w:rsid w:val="1A846B3C"/>
    <w:rsid w:val="1A8A78A8"/>
    <w:rsid w:val="1AD559B1"/>
    <w:rsid w:val="1B1425D4"/>
    <w:rsid w:val="1B155DAE"/>
    <w:rsid w:val="1B155FFD"/>
    <w:rsid w:val="1B1970DF"/>
    <w:rsid w:val="1B6712A8"/>
    <w:rsid w:val="1B8E43E1"/>
    <w:rsid w:val="1B9B7CA7"/>
    <w:rsid w:val="1BB905CA"/>
    <w:rsid w:val="1BB97074"/>
    <w:rsid w:val="1BD2289D"/>
    <w:rsid w:val="1C11403B"/>
    <w:rsid w:val="1C365FDC"/>
    <w:rsid w:val="1C3D55BC"/>
    <w:rsid w:val="1C424981"/>
    <w:rsid w:val="1C46561A"/>
    <w:rsid w:val="1C4C1CA3"/>
    <w:rsid w:val="1C583D58"/>
    <w:rsid w:val="1C6A440F"/>
    <w:rsid w:val="1C8B457A"/>
    <w:rsid w:val="1C9E568D"/>
    <w:rsid w:val="1CB42226"/>
    <w:rsid w:val="1CC7757C"/>
    <w:rsid w:val="1CFF0AC4"/>
    <w:rsid w:val="1CFF7226"/>
    <w:rsid w:val="1D1636D0"/>
    <w:rsid w:val="1DBC198B"/>
    <w:rsid w:val="1DCE386D"/>
    <w:rsid w:val="1E2702D2"/>
    <w:rsid w:val="1E2F362A"/>
    <w:rsid w:val="1E592455"/>
    <w:rsid w:val="1E625FC7"/>
    <w:rsid w:val="1E780B2E"/>
    <w:rsid w:val="1E79088D"/>
    <w:rsid w:val="1EA02CCB"/>
    <w:rsid w:val="1EA30E39"/>
    <w:rsid w:val="1ED85A70"/>
    <w:rsid w:val="1F2532ED"/>
    <w:rsid w:val="1F925C1F"/>
    <w:rsid w:val="1F9D516C"/>
    <w:rsid w:val="1FD46237"/>
    <w:rsid w:val="1FF41D4F"/>
    <w:rsid w:val="1FF57F5C"/>
    <w:rsid w:val="20046DF4"/>
    <w:rsid w:val="203E5DA7"/>
    <w:rsid w:val="203E7B55"/>
    <w:rsid w:val="208F4B9E"/>
    <w:rsid w:val="209E23A2"/>
    <w:rsid w:val="20CC7A2F"/>
    <w:rsid w:val="20F40FA1"/>
    <w:rsid w:val="20FE1478"/>
    <w:rsid w:val="21025613"/>
    <w:rsid w:val="21180122"/>
    <w:rsid w:val="21701F90"/>
    <w:rsid w:val="218E342C"/>
    <w:rsid w:val="219F4623"/>
    <w:rsid w:val="21B06551"/>
    <w:rsid w:val="21B462BD"/>
    <w:rsid w:val="21BA77E7"/>
    <w:rsid w:val="21C56604"/>
    <w:rsid w:val="21CF79E5"/>
    <w:rsid w:val="21DF2183"/>
    <w:rsid w:val="220940AD"/>
    <w:rsid w:val="221148DD"/>
    <w:rsid w:val="221F6142"/>
    <w:rsid w:val="222C02AA"/>
    <w:rsid w:val="2234120F"/>
    <w:rsid w:val="223B07F0"/>
    <w:rsid w:val="223D1D8E"/>
    <w:rsid w:val="227E362E"/>
    <w:rsid w:val="229E0D7F"/>
    <w:rsid w:val="22BC6BBD"/>
    <w:rsid w:val="22C12F8A"/>
    <w:rsid w:val="22D01E29"/>
    <w:rsid w:val="22FF35CB"/>
    <w:rsid w:val="23007D7C"/>
    <w:rsid w:val="23186C79"/>
    <w:rsid w:val="233D2346"/>
    <w:rsid w:val="23841045"/>
    <w:rsid w:val="23B95696"/>
    <w:rsid w:val="23CE7442"/>
    <w:rsid w:val="23EA7CFA"/>
    <w:rsid w:val="240750AB"/>
    <w:rsid w:val="24395BDE"/>
    <w:rsid w:val="243C0FB3"/>
    <w:rsid w:val="24466E5F"/>
    <w:rsid w:val="244F54A0"/>
    <w:rsid w:val="249B5864"/>
    <w:rsid w:val="24A50A2E"/>
    <w:rsid w:val="24D9609E"/>
    <w:rsid w:val="25164BFC"/>
    <w:rsid w:val="254C7941"/>
    <w:rsid w:val="25655D11"/>
    <w:rsid w:val="256E2C8A"/>
    <w:rsid w:val="256E4ED7"/>
    <w:rsid w:val="259C1015"/>
    <w:rsid w:val="25EE7FBB"/>
    <w:rsid w:val="26202593"/>
    <w:rsid w:val="268F110A"/>
    <w:rsid w:val="26991BAC"/>
    <w:rsid w:val="269B185D"/>
    <w:rsid w:val="26E4095C"/>
    <w:rsid w:val="26ED240F"/>
    <w:rsid w:val="27321A96"/>
    <w:rsid w:val="273B6ADE"/>
    <w:rsid w:val="274F43F6"/>
    <w:rsid w:val="279D398E"/>
    <w:rsid w:val="27CD66DB"/>
    <w:rsid w:val="27D843EB"/>
    <w:rsid w:val="27EF3BE9"/>
    <w:rsid w:val="282B4E63"/>
    <w:rsid w:val="28676D94"/>
    <w:rsid w:val="2891635B"/>
    <w:rsid w:val="289C400E"/>
    <w:rsid w:val="28C11323"/>
    <w:rsid w:val="28C6241F"/>
    <w:rsid w:val="28C7409B"/>
    <w:rsid w:val="28CA2476"/>
    <w:rsid w:val="291C4FEB"/>
    <w:rsid w:val="292D3BC1"/>
    <w:rsid w:val="29322093"/>
    <w:rsid w:val="293B36DC"/>
    <w:rsid w:val="29423CBE"/>
    <w:rsid w:val="29693E94"/>
    <w:rsid w:val="297476BF"/>
    <w:rsid w:val="2976035F"/>
    <w:rsid w:val="29E04A1D"/>
    <w:rsid w:val="29F81E1C"/>
    <w:rsid w:val="2A067935"/>
    <w:rsid w:val="2A0E0598"/>
    <w:rsid w:val="2A846F27"/>
    <w:rsid w:val="2ACE793F"/>
    <w:rsid w:val="2AD872B4"/>
    <w:rsid w:val="2AE61515"/>
    <w:rsid w:val="2AFE7725"/>
    <w:rsid w:val="2B1A72C1"/>
    <w:rsid w:val="2B32082B"/>
    <w:rsid w:val="2B4B2633"/>
    <w:rsid w:val="2BAA3A0A"/>
    <w:rsid w:val="2BB71DD4"/>
    <w:rsid w:val="2BEC4909"/>
    <w:rsid w:val="2BF832AE"/>
    <w:rsid w:val="2C025EDA"/>
    <w:rsid w:val="2C07741C"/>
    <w:rsid w:val="2C2E783A"/>
    <w:rsid w:val="2C884632"/>
    <w:rsid w:val="2C994A91"/>
    <w:rsid w:val="2CA87275"/>
    <w:rsid w:val="2CC44B48"/>
    <w:rsid w:val="2CDD4A0E"/>
    <w:rsid w:val="2CDF621C"/>
    <w:rsid w:val="2CE9341F"/>
    <w:rsid w:val="2D03199A"/>
    <w:rsid w:val="2D0D48D4"/>
    <w:rsid w:val="2D214A86"/>
    <w:rsid w:val="2D2D4401"/>
    <w:rsid w:val="2D5C5ABE"/>
    <w:rsid w:val="2D6F04C2"/>
    <w:rsid w:val="2D8518F4"/>
    <w:rsid w:val="2DB30890"/>
    <w:rsid w:val="2DCF2B51"/>
    <w:rsid w:val="2DD91A0E"/>
    <w:rsid w:val="2DE071B6"/>
    <w:rsid w:val="2E007A6F"/>
    <w:rsid w:val="2E090714"/>
    <w:rsid w:val="2E2744B0"/>
    <w:rsid w:val="2E666BF4"/>
    <w:rsid w:val="2E6E3CFB"/>
    <w:rsid w:val="2E8669AA"/>
    <w:rsid w:val="2EA90867"/>
    <w:rsid w:val="2EBF4557"/>
    <w:rsid w:val="2ED753FC"/>
    <w:rsid w:val="2EF266DA"/>
    <w:rsid w:val="2EF73CF0"/>
    <w:rsid w:val="2F250807"/>
    <w:rsid w:val="2F4A3E20"/>
    <w:rsid w:val="2F62392B"/>
    <w:rsid w:val="2F82488D"/>
    <w:rsid w:val="3018109B"/>
    <w:rsid w:val="30235A50"/>
    <w:rsid w:val="303E5A10"/>
    <w:rsid w:val="30403475"/>
    <w:rsid w:val="304D6F7E"/>
    <w:rsid w:val="30665DDF"/>
    <w:rsid w:val="307008BB"/>
    <w:rsid w:val="30873FAB"/>
    <w:rsid w:val="30977539"/>
    <w:rsid w:val="30AC4667"/>
    <w:rsid w:val="30C145B6"/>
    <w:rsid w:val="30F06C49"/>
    <w:rsid w:val="31114F97"/>
    <w:rsid w:val="312471E7"/>
    <w:rsid w:val="316322AE"/>
    <w:rsid w:val="31782CAF"/>
    <w:rsid w:val="318654E0"/>
    <w:rsid w:val="31E8012D"/>
    <w:rsid w:val="3200110E"/>
    <w:rsid w:val="3207269E"/>
    <w:rsid w:val="32620335"/>
    <w:rsid w:val="326A259E"/>
    <w:rsid w:val="32805DAB"/>
    <w:rsid w:val="32933712"/>
    <w:rsid w:val="32C13380"/>
    <w:rsid w:val="32E77493"/>
    <w:rsid w:val="3320617E"/>
    <w:rsid w:val="332924F5"/>
    <w:rsid w:val="33401C0F"/>
    <w:rsid w:val="33501C21"/>
    <w:rsid w:val="335E5CD2"/>
    <w:rsid w:val="338D4C23"/>
    <w:rsid w:val="339A7D0A"/>
    <w:rsid w:val="33DF4510"/>
    <w:rsid w:val="33E32A95"/>
    <w:rsid w:val="3401164F"/>
    <w:rsid w:val="340F5638"/>
    <w:rsid w:val="342015F4"/>
    <w:rsid w:val="343C732F"/>
    <w:rsid w:val="34777188"/>
    <w:rsid w:val="34827ADC"/>
    <w:rsid w:val="34856DB9"/>
    <w:rsid w:val="34B369DC"/>
    <w:rsid w:val="34E03C50"/>
    <w:rsid w:val="353B029B"/>
    <w:rsid w:val="35410549"/>
    <w:rsid w:val="3554290A"/>
    <w:rsid w:val="356A099A"/>
    <w:rsid w:val="357E6FD1"/>
    <w:rsid w:val="358D5123"/>
    <w:rsid w:val="35F40F8A"/>
    <w:rsid w:val="35F74768"/>
    <w:rsid w:val="360E412D"/>
    <w:rsid w:val="362E16E4"/>
    <w:rsid w:val="368A57DF"/>
    <w:rsid w:val="36B936D8"/>
    <w:rsid w:val="370666B6"/>
    <w:rsid w:val="377C2FE5"/>
    <w:rsid w:val="37862E84"/>
    <w:rsid w:val="37F07439"/>
    <w:rsid w:val="380B2BA2"/>
    <w:rsid w:val="384B399F"/>
    <w:rsid w:val="386A72E1"/>
    <w:rsid w:val="38F1355F"/>
    <w:rsid w:val="39162FC5"/>
    <w:rsid w:val="391A2AB5"/>
    <w:rsid w:val="39225E0E"/>
    <w:rsid w:val="392F3EDF"/>
    <w:rsid w:val="39447B32"/>
    <w:rsid w:val="3986639D"/>
    <w:rsid w:val="399177DC"/>
    <w:rsid w:val="39A105E9"/>
    <w:rsid w:val="39A57F00"/>
    <w:rsid w:val="39AD2622"/>
    <w:rsid w:val="39C656D7"/>
    <w:rsid w:val="39E43EB9"/>
    <w:rsid w:val="3A061A3B"/>
    <w:rsid w:val="3A0636E9"/>
    <w:rsid w:val="3A0B7871"/>
    <w:rsid w:val="3A2C3E02"/>
    <w:rsid w:val="3A686A7E"/>
    <w:rsid w:val="3AA351FB"/>
    <w:rsid w:val="3AAD7671"/>
    <w:rsid w:val="3AD60D98"/>
    <w:rsid w:val="3AEA4709"/>
    <w:rsid w:val="3AFD0385"/>
    <w:rsid w:val="3B0911E6"/>
    <w:rsid w:val="3B103C34"/>
    <w:rsid w:val="3B305869"/>
    <w:rsid w:val="3B3B1C9B"/>
    <w:rsid w:val="3B7A25F7"/>
    <w:rsid w:val="3B7D37CF"/>
    <w:rsid w:val="3BC66196"/>
    <w:rsid w:val="3BD92149"/>
    <w:rsid w:val="3BF1547D"/>
    <w:rsid w:val="3BFD046C"/>
    <w:rsid w:val="3C1E0393"/>
    <w:rsid w:val="3C382CB1"/>
    <w:rsid w:val="3C395948"/>
    <w:rsid w:val="3CC12485"/>
    <w:rsid w:val="3D000214"/>
    <w:rsid w:val="3D4B5F1A"/>
    <w:rsid w:val="3D5D315C"/>
    <w:rsid w:val="3DD0408A"/>
    <w:rsid w:val="3DE87CC5"/>
    <w:rsid w:val="3E047890"/>
    <w:rsid w:val="3E083824"/>
    <w:rsid w:val="3E143A42"/>
    <w:rsid w:val="3E292D05"/>
    <w:rsid w:val="3E2E4EC5"/>
    <w:rsid w:val="3E3363C7"/>
    <w:rsid w:val="3E483BB4"/>
    <w:rsid w:val="3E500D27"/>
    <w:rsid w:val="3E603030"/>
    <w:rsid w:val="3E8E35FE"/>
    <w:rsid w:val="3E974BA8"/>
    <w:rsid w:val="3E9D1661"/>
    <w:rsid w:val="3EA57E41"/>
    <w:rsid w:val="3EA86A70"/>
    <w:rsid w:val="3EC7742B"/>
    <w:rsid w:val="3EDF43A1"/>
    <w:rsid w:val="3EF34430"/>
    <w:rsid w:val="3F2C3542"/>
    <w:rsid w:val="3F450FCE"/>
    <w:rsid w:val="3F7A2BB9"/>
    <w:rsid w:val="3F9115F7"/>
    <w:rsid w:val="3FAB1399"/>
    <w:rsid w:val="3FB0267D"/>
    <w:rsid w:val="3FEA1609"/>
    <w:rsid w:val="3FF664DD"/>
    <w:rsid w:val="400637DB"/>
    <w:rsid w:val="400C6ED0"/>
    <w:rsid w:val="40551718"/>
    <w:rsid w:val="4061546E"/>
    <w:rsid w:val="407A02DD"/>
    <w:rsid w:val="407B3D6A"/>
    <w:rsid w:val="40833636"/>
    <w:rsid w:val="408666BF"/>
    <w:rsid w:val="40991474"/>
    <w:rsid w:val="409A272E"/>
    <w:rsid w:val="409F70BC"/>
    <w:rsid w:val="40BF4E05"/>
    <w:rsid w:val="40FA63F5"/>
    <w:rsid w:val="41105967"/>
    <w:rsid w:val="41517290"/>
    <w:rsid w:val="41524DB6"/>
    <w:rsid w:val="417116FB"/>
    <w:rsid w:val="418043C2"/>
    <w:rsid w:val="41A27AEC"/>
    <w:rsid w:val="41D3417C"/>
    <w:rsid w:val="421D54DF"/>
    <w:rsid w:val="422229DB"/>
    <w:rsid w:val="425F59DD"/>
    <w:rsid w:val="42B74E2F"/>
    <w:rsid w:val="42B809A5"/>
    <w:rsid w:val="42C20897"/>
    <w:rsid w:val="42C2516F"/>
    <w:rsid w:val="42C47DB1"/>
    <w:rsid w:val="43432ECC"/>
    <w:rsid w:val="437020DC"/>
    <w:rsid w:val="437C019B"/>
    <w:rsid w:val="43DE2931"/>
    <w:rsid w:val="43FF71E6"/>
    <w:rsid w:val="44495A5D"/>
    <w:rsid w:val="44944E80"/>
    <w:rsid w:val="44D51E4A"/>
    <w:rsid w:val="44DF4BB3"/>
    <w:rsid w:val="44EF0953"/>
    <w:rsid w:val="44F608DF"/>
    <w:rsid w:val="450960EF"/>
    <w:rsid w:val="45320E4E"/>
    <w:rsid w:val="454F78C2"/>
    <w:rsid w:val="45647639"/>
    <w:rsid w:val="45854404"/>
    <w:rsid w:val="459F0EDF"/>
    <w:rsid w:val="45A75D52"/>
    <w:rsid w:val="45C949EF"/>
    <w:rsid w:val="46190610"/>
    <w:rsid w:val="46207231"/>
    <w:rsid w:val="462E0A6D"/>
    <w:rsid w:val="46535859"/>
    <w:rsid w:val="465810C1"/>
    <w:rsid w:val="4666290D"/>
    <w:rsid w:val="466D2592"/>
    <w:rsid w:val="46C71DA3"/>
    <w:rsid w:val="46F6477A"/>
    <w:rsid w:val="46FE6849"/>
    <w:rsid w:val="472D26D6"/>
    <w:rsid w:val="473B56EE"/>
    <w:rsid w:val="4742580A"/>
    <w:rsid w:val="475C14A6"/>
    <w:rsid w:val="476A59FF"/>
    <w:rsid w:val="47785046"/>
    <w:rsid w:val="47AB0DF7"/>
    <w:rsid w:val="47BB36B5"/>
    <w:rsid w:val="47DA2491"/>
    <w:rsid w:val="481276E8"/>
    <w:rsid w:val="481B3258"/>
    <w:rsid w:val="4834526C"/>
    <w:rsid w:val="4871662B"/>
    <w:rsid w:val="48802209"/>
    <w:rsid w:val="48AC1250"/>
    <w:rsid w:val="48F84495"/>
    <w:rsid w:val="490C714C"/>
    <w:rsid w:val="492611B0"/>
    <w:rsid w:val="49710197"/>
    <w:rsid w:val="497F0086"/>
    <w:rsid w:val="49975C79"/>
    <w:rsid w:val="49BD0AEA"/>
    <w:rsid w:val="49C35B92"/>
    <w:rsid w:val="49E50EBD"/>
    <w:rsid w:val="49FB02FC"/>
    <w:rsid w:val="4A0324B3"/>
    <w:rsid w:val="4A5D0EC6"/>
    <w:rsid w:val="4A873352"/>
    <w:rsid w:val="4AC6364F"/>
    <w:rsid w:val="4AD25863"/>
    <w:rsid w:val="4ADB406F"/>
    <w:rsid w:val="4B0A6E5A"/>
    <w:rsid w:val="4B460B9A"/>
    <w:rsid w:val="4B4C0AC8"/>
    <w:rsid w:val="4B6E3E83"/>
    <w:rsid w:val="4B7047B7"/>
    <w:rsid w:val="4B96350F"/>
    <w:rsid w:val="4B9A6686"/>
    <w:rsid w:val="4BFC52F4"/>
    <w:rsid w:val="4BFD56FB"/>
    <w:rsid w:val="4C0D09E6"/>
    <w:rsid w:val="4C2C4B82"/>
    <w:rsid w:val="4C87000A"/>
    <w:rsid w:val="4CA42BB5"/>
    <w:rsid w:val="4CAF36BC"/>
    <w:rsid w:val="4CCE3E8B"/>
    <w:rsid w:val="4CEC603F"/>
    <w:rsid w:val="4D147203"/>
    <w:rsid w:val="4D2E60E3"/>
    <w:rsid w:val="4D3857A8"/>
    <w:rsid w:val="4D5D520F"/>
    <w:rsid w:val="4D6C1AA7"/>
    <w:rsid w:val="4D9E2C43"/>
    <w:rsid w:val="4DB12E65"/>
    <w:rsid w:val="4DB8213F"/>
    <w:rsid w:val="4DDB3621"/>
    <w:rsid w:val="4DED6593"/>
    <w:rsid w:val="4E0D31B4"/>
    <w:rsid w:val="4E3F773E"/>
    <w:rsid w:val="4F0040A4"/>
    <w:rsid w:val="4F133DD7"/>
    <w:rsid w:val="4F433A65"/>
    <w:rsid w:val="4F534A42"/>
    <w:rsid w:val="4F552641"/>
    <w:rsid w:val="4F6B03BF"/>
    <w:rsid w:val="4F6B40C7"/>
    <w:rsid w:val="4F973FC4"/>
    <w:rsid w:val="4FB21842"/>
    <w:rsid w:val="4FB530E0"/>
    <w:rsid w:val="4FCC508E"/>
    <w:rsid w:val="4FF31BBA"/>
    <w:rsid w:val="501176CE"/>
    <w:rsid w:val="50250266"/>
    <w:rsid w:val="504F7268"/>
    <w:rsid w:val="5058707D"/>
    <w:rsid w:val="505B3C87"/>
    <w:rsid w:val="50BE4216"/>
    <w:rsid w:val="50DB0924"/>
    <w:rsid w:val="50DE7320"/>
    <w:rsid w:val="51196930"/>
    <w:rsid w:val="51237D2E"/>
    <w:rsid w:val="51320DBA"/>
    <w:rsid w:val="51935A63"/>
    <w:rsid w:val="51937DEA"/>
    <w:rsid w:val="519531C9"/>
    <w:rsid w:val="519E1B03"/>
    <w:rsid w:val="51BA2C30"/>
    <w:rsid w:val="51CD01CB"/>
    <w:rsid w:val="51E23031"/>
    <w:rsid w:val="51E657D3"/>
    <w:rsid w:val="520410A5"/>
    <w:rsid w:val="523A5B3F"/>
    <w:rsid w:val="52495D62"/>
    <w:rsid w:val="525E649B"/>
    <w:rsid w:val="5279675E"/>
    <w:rsid w:val="529A3CEF"/>
    <w:rsid w:val="52CA29FF"/>
    <w:rsid w:val="531E4C24"/>
    <w:rsid w:val="53447A24"/>
    <w:rsid w:val="539443E3"/>
    <w:rsid w:val="539D5092"/>
    <w:rsid w:val="53AC0356"/>
    <w:rsid w:val="53F3657F"/>
    <w:rsid w:val="54103BF9"/>
    <w:rsid w:val="54225175"/>
    <w:rsid w:val="54574766"/>
    <w:rsid w:val="545F186C"/>
    <w:rsid w:val="54776BB6"/>
    <w:rsid w:val="547C5F7A"/>
    <w:rsid w:val="548B6C5C"/>
    <w:rsid w:val="54CB6F02"/>
    <w:rsid w:val="54D413B8"/>
    <w:rsid w:val="54FF40EE"/>
    <w:rsid w:val="551602BA"/>
    <w:rsid w:val="554747DA"/>
    <w:rsid w:val="55634A48"/>
    <w:rsid w:val="558A3F41"/>
    <w:rsid w:val="55D1587F"/>
    <w:rsid w:val="55D54221"/>
    <w:rsid w:val="55F47291"/>
    <w:rsid w:val="56091739"/>
    <w:rsid w:val="563A60ED"/>
    <w:rsid w:val="563B606E"/>
    <w:rsid w:val="56686B67"/>
    <w:rsid w:val="5689104A"/>
    <w:rsid w:val="568C6A5B"/>
    <w:rsid w:val="56C37E91"/>
    <w:rsid w:val="56D0725B"/>
    <w:rsid w:val="56FD2E0F"/>
    <w:rsid w:val="573E3DB0"/>
    <w:rsid w:val="574127B6"/>
    <w:rsid w:val="574F6831"/>
    <w:rsid w:val="57517B92"/>
    <w:rsid w:val="577A22DD"/>
    <w:rsid w:val="57874D27"/>
    <w:rsid w:val="57D0245B"/>
    <w:rsid w:val="57DC6531"/>
    <w:rsid w:val="580E5A83"/>
    <w:rsid w:val="58154293"/>
    <w:rsid w:val="581D7A74"/>
    <w:rsid w:val="582505BD"/>
    <w:rsid w:val="585374C7"/>
    <w:rsid w:val="585F66A5"/>
    <w:rsid w:val="58982D68"/>
    <w:rsid w:val="58A43CF2"/>
    <w:rsid w:val="5924690F"/>
    <w:rsid w:val="594076DC"/>
    <w:rsid w:val="59653481"/>
    <w:rsid w:val="598451C7"/>
    <w:rsid w:val="599F73C0"/>
    <w:rsid w:val="59A6736A"/>
    <w:rsid w:val="59AF2530"/>
    <w:rsid w:val="59C33118"/>
    <w:rsid w:val="59C81783"/>
    <w:rsid w:val="59CA6081"/>
    <w:rsid w:val="59DF7D2A"/>
    <w:rsid w:val="59E720E8"/>
    <w:rsid w:val="5A09239E"/>
    <w:rsid w:val="5A21156A"/>
    <w:rsid w:val="5A2C4568"/>
    <w:rsid w:val="5A721036"/>
    <w:rsid w:val="5ACF5FD5"/>
    <w:rsid w:val="5B0311A3"/>
    <w:rsid w:val="5B863B83"/>
    <w:rsid w:val="5B9B13DC"/>
    <w:rsid w:val="5BA15428"/>
    <w:rsid w:val="5BB23B5A"/>
    <w:rsid w:val="5BDB5BEC"/>
    <w:rsid w:val="5C08720C"/>
    <w:rsid w:val="5C363E3A"/>
    <w:rsid w:val="5C381321"/>
    <w:rsid w:val="5C602C23"/>
    <w:rsid w:val="5C82091C"/>
    <w:rsid w:val="5C8735BF"/>
    <w:rsid w:val="5C8E34A7"/>
    <w:rsid w:val="5CC00312"/>
    <w:rsid w:val="5CD417C8"/>
    <w:rsid w:val="5CD526CC"/>
    <w:rsid w:val="5CD87D14"/>
    <w:rsid w:val="5D2148DF"/>
    <w:rsid w:val="5D5019CB"/>
    <w:rsid w:val="5D50269A"/>
    <w:rsid w:val="5D6278A3"/>
    <w:rsid w:val="5DFC25F6"/>
    <w:rsid w:val="5E3C4585"/>
    <w:rsid w:val="5E447BE3"/>
    <w:rsid w:val="5E452295"/>
    <w:rsid w:val="5E84423D"/>
    <w:rsid w:val="5EE16635"/>
    <w:rsid w:val="5EE71659"/>
    <w:rsid w:val="5EEF7822"/>
    <w:rsid w:val="5EF80BA4"/>
    <w:rsid w:val="5EFD23AE"/>
    <w:rsid w:val="5F117C07"/>
    <w:rsid w:val="5F162ACA"/>
    <w:rsid w:val="5F2343D1"/>
    <w:rsid w:val="5F2D226A"/>
    <w:rsid w:val="5F5A335C"/>
    <w:rsid w:val="5FDC6467"/>
    <w:rsid w:val="5FF24FD6"/>
    <w:rsid w:val="602B0BD5"/>
    <w:rsid w:val="602F7576"/>
    <w:rsid w:val="60317DF6"/>
    <w:rsid w:val="606306D7"/>
    <w:rsid w:val="60865C34"/>
    <w:rsid w:val="60A027A4"/>
    <w:rsid w:val="60A9153E"/>
    <w:rsid w:val="60B91430"/>
    <w:rsid w:val="60BD2BEB"/>
    <w:rsid w:val="60F85351"/>
    <w:rsid w:val="6122434D"/>
    <w:rsid w:val="612D1A7D"/>
    <w:rsid w:val="616A76ED"/>
    <w:rsid w:val="617701F5"/>
    <w:rsid w:val="620F67EC"/>
    <w:rsid w:val="62265778"/>
    <w:rsid w:val="626D5A4E"/>
    <w:rsid w:val="626F590C"/>
    <w:rsid w:val="62944DD7"/>
    <w:rsid w:val="629923ED"/>
    <w:rsid w:val="62B40FD5"/>
    <w:rsid w:val="62B7079F"/>
    <w:rsid w:val="62C0797A"/>
    <w:rsid w:val="62C31218"/>
    <w:rsid w:val="62D80F58"/>
    <w:rsid w:val="62F6339C"/>
    <w:rsid w:val="633D2BA7"/>
    <w:rsid w:val="63485C21"/>
    <w:rsid w:val="63495BC1"/>
    <w:rsid w:val="63D964CB"/>
    <w:rsid w:val="63E16C2B"/>
    <w:rsid w:val="63F975E8"/>
    <w:rsid w:val="6407617A"/>
    <w:rsid w:val="640B10C9"/>
    <w:rsid w:val="64104931"/>
    <w:rsid w:val="641E13AB"/>
    <w:rsid w:val="64460FA7"/>
    <w:rsid w:val="646C5D5E"/>
    <w:rsid w:val="646D0843"/>
    <w:rsid w:val="647B2C03"/>
    <w:rsid w:val="64AE3C3D"/>
    <w:rsid w:val="64E61BEE"/>
    <w:rsid w:val="65094CA5"/>
    <w:rsid w:val="652E0907"/>
    <w:rsid w:val="656D720C"/>
    <w:rsid w:val="65921AA2"/>
    <w:rsid w:val="659510F2"/>
    <w:rsid w:val="65B456E9"/>
    <w:rsid w:val="65DC5124"/>
    <w:rsid w:val="65F86CC8"/>
    <w:rsid w:val="66063E6E"/>
    <w:rsid w:val="661E50E3"/>
    <w:rsid w:val="66666A8A"/>
    <w:rsid w:val="66827D25"/>
    <w:rsid w:val="6683763C"/>
    <w:rsid w:val="66A7352E"/>
    <w:rsid w:val="66A76785"/>
    <w:rsid w:val="66D9246B"/>
    <w:rsid w:val="66E05BD7"/>
    <w:rsid w:val="66F66060"/>
    <w:rsid w:val="670F7F24"/>
    <w:rsid w:val="678D1A58"/>
    <w:rsid w:val="67A55390"/>
    <w:rsid w:val="67AC0AC0"/>
    <w:rsid w:val="67B2268A"/>
    <w:rsid w:val="67D20654"/>
    <w:rsid w:val="67E97973"/>
    <w:rsid w:val="67ED44E4"/>
    <w:rsid w:val="680B4E12"/>
    <w:rsid w:val="682560DB"/>
    <w:rsid w:val="683D4813"/>
    <w:rsid w:val="686F7E78"/>
    <w:rsid w:val="689A0C6D"/>
    <w:rsid w:val="68AA326C"/>
    <w:rsid w:val="68C31F72"/>
    <w:rsid w:val="690B60DA"/>
    <w:rsid w:val="691E2698"/>
    <w:rsid w:val="692C3FBB"/>
    <w:rsid w:val="69344C1E"/>
    <w:rsid w:val="693862AF"/>
    <w:rsid w:val="6949403B"/>
    <w:rsid w:val="694F3806"/>
    <w:rsid w:val="69513F80"/>
    <w:rsid w:val="698F6CBE"/>
    <w:rsid w:val="69A00868"/>
    <w:rsid w:val="69AB2D6B"/>
    <w:rsid w:val="69F36887"/>
    <w:rsid w:val="6A385E52"/>
    <w:rsid w:val="6A6965E4"/>
    <w:rsid w:val="6A6B3213"/>
    <w:rsid w:val="6AC7350B"/>
    <w:rsid w:val="6AC771D0"/>
    <w:rsid w:val="6AEE4AB1"/>
    <w:rsid w:val="6AEF4F14"/>
    <w:rsid w:val="6B002DB9"/>
    <w:rsid w:val="6B431148"/>
    <w:rsid w:val="6B47209E"/>
    <w:rsid w:val="6B4828A5"/>
    <w:rsid w:val="6B76151E"/>
    <w:rsid w:val="6B7A5565"/>
    <w:rsid w:val="6BC333DB"/>
    <w:rsid w:val="6BE31711"/>
    <w:rsid w:val="6BEF1FF7"/>
    <w:rsid w:val="6C225864"/>
    <w:rsid w:val="6C302273"/>
    <w:rsid w:val="6C3513D9"/>
    <w:rsid w:val="6C687BEB"/>
    <w:rsid w:val="6C81017A"/>
    <w:rsid w:val="6CA72E84"/>
    <w:rsid w:val="6CDE0015"/>
    <w:rsid w:val="6D392803"/>
    <w:rsid w:val="6D73577F"/>
    <w:rsid w:val="6D8A12B0"/>
    <w:rsid w:val="6D9D5488"/>
    <w:rsid w:val="6DAC56CB"/>
    <w:rsid w:val="6DC30630"/>
    <w:rsid w:val="6DD64A3D"/>
    <w:rsid w:val="6DD726CA"/>
    <w:rsid w:val="6E1D2124"/>
    <w:rsid w:val="6E405E13"/>
    <w:rsid w:val="6E4D50B9"/>
    <w:rsid w:val="6E4F0506"/>
    <w:rsid w:val="6E5967B9"/>
    <w:rsid w:val="6EA16692"/>
    <w:rsid w:val="6EB26C3D"/>
    <w:rsid w:val="6EC407F2"/>
    <w:rsid w:val="6EDA6267"/>
    <w:rsid w:val="6EE92007"/>
    <w:rsid w:val="6F611A51"/>
    <w:rsid w:val="6F8011C4"/>
    <w:rsid w:val="6FA757A7"/>
    <w:rsid w:val="6FCF6002"/>
    <w:rsid w:val="6FE00C06"/>
    <w:rsid w:val="700E2DED"/>
    <w:rsid w:val="700F3CEF"/>
    <w:rsid w:val="701D640C"/>
    <w:rsid w:val="703932EA"/>
    <w:rsid w:val="704476BC"/>
    <w:rsid w:val="70483B44"/>
    <w:rsid w:val="704D5DCD"/>
    <w:rsid w:val="70577F08"/>
    <w:rsid w:val="706332AE"/>
    <w:rsid w:val="70970C45"/>
    <w:rsid w:val="70E57245"/>
    <w:rsid w:val="70F518BA"/>
    <w:rsid w:val="719368AE"/>
    <w:rsid w:val="71B45234"/>
    <w:rsid w:val="720930EC"/>
    <w:rsid w:val="721675B7"/>
    <w:rsid w:val="721D26F3"/>
    <w:rsid w:val="726500DD"/>
    <w:rsid w:val="72A050D2"/>
    <w:rsid w:val="72AC4AF6"/>
    <w:rsid w:val="72C41603"/>
    <w:rsid w:val="72C54B39"/>
    <w:rsid w:val="72E5585D"/>
    <w:rsid w:val="72F11B8E"/>
    <w:rsid w:val="730A32F6"/>
    <w:rsid w:val="732D4BB8"/>
    <w:rsid w:val="73534607"/>
    <w:rsid w:val="735D1848"/>
    <w:rsid w:val="73640229"/>
    <w:rsid w:val="73A3477D"/>
    <w:rsid w:val="73DD1CA1"/>
    <w:rsid w:val="7404143B"/>
    <w:rsid w:val="74063750"/>
    <w:rsid w:val="741F658D"/>
    <w:rsid w:val="74212243"/>
    <w:rsid w:val="744E6366"/>
    <w:rsid w:val="747169C8"/>
    <w:rsid w:val="747E21A4"/>
    <w:rsid w:val="748527D2"/>
    <w:rsid w:val="748C1DB2"/>
    <w:rsid w:val="74936C9D"/>
    <w:rsid w:val="74964153"/>
    <w:rsid w:val="74C45759"/>
    <w:rsid w:val="74CB6BAB"/>
    <w:rsid w:val="74CE4179"/>
    <w:rsid w:val="74CF2AEB"/>
    <w:rsid w:val="74F86EA3"/>
    <w:rsid w:val="750061C9"/>
    <w:rsid w:val="751E6F30"/>
    <w:rsid w:val="752F3ED9"/>
    <w:rsid w:val="75510906"/>
    <w:rsid w:val="7566482B"/>
    <w:rsid w:val="75703482"/>
    <w:rsid w:val="757C2D2F"/>
    <w:rsid w:val="75890323"/>
    <w:rsid w:val="75B312CC"/>
    <w:rsid w:val="75EC0074"/>
    <w:rsid w:val="762A506B"/>
    <w:rsid w:val="764D4710"/>
    <w:rsid w:val="76592DDA"/>
    <w:rsid w:val="7662726E"/>
    <w:rsid w:val="766E5C13"/>
    <w:rsid w:val="767013F3"/>
    <w:rsid w:val="76A22A13"/>
    <w:rsid w:val="770411E7"/>
    <w:rsid w:val="770A2A28"/>
    <w:rsid w:val="770E7A7F"/>
    <w:rsid w:val="771D33C8"/>
    <w:rsid w:val="77597671"/>
    <w:rsid w:val="77707769"/>
    <w:rsid w:val="77AF0DED"/>
    <w:rsid w:val="77BA09E4"/>
    <w:rsid w:val="77D45F4A"/>
    <w:rsid w:val="77F42148"/>
    <w:rsid w:val="78054355"/>
    <w:rsid w:val="784D7AAA"/>
    <w:rsid w:val="78753C71"/>
    <w:rsid w:val="78830343"/>
    <w:rsid w:val="788E4559"/>
    <w:rsid w:val="78A501F4"/>
    <w:rsid w:val="78B26191"/>
    <w:rsid w:val="78C5495A"/>
    <w:rsid w:val="78C63AB1"/>
    <w:rsid w:val="78F22F1D"/>
    <w:rsid w:val="7903144C"/>
    <w:rsid w:val="79110144"/>
    <w:rsid w:val="79165D8E"/>
    <w:rsid w:val="7941716A"/>
    <w:rsid w:val="79561DC8"/>
    <w:rsid w:val="79621333"/>
    <w:rsid w:val="796B11C3"/>
    <w:rsid w:val="79752E15"/>
    <w:rsid w:val="79B56370"/>
    <w:rsid w:val="79BB270F"/>
    <w:rsid w:val="7A255FC5"/>
    <w:rsid w:val="7A3727C0"/>
    <w:rsid w:val="7A426386"/>
    <w:rsid w:val="7A440A39"/>
    <w:rsid w:val="7A4F4E61"/>
    <w:rsid w:val="7A636281"/>
    <w:rsid w:val="7AD36766"/>
    <w:rsid w:val="7AD50CD0"/>
    <w:rsid w:val="7AFB04C4"/>
    <w:rsid w:val="7B2E79FD"/>
    <w:rsid w:val="7B6334FC"/>
    <w:rsid w:val="7B763128"/>
    <w:rsid w:val="7B763940"/>
    <w:rsid w:val="7B8008AE"/>
    <w:rsid w:val="7B9D48A5"/>
    <w:rsid w:val="7BD52323"/>
    <w:rsid w:val="7BD65BC5"/>
    <w:rsid w:val="7C014E34"/>
    <w:rsid w:val="7C072C71"/>
    <w:rsid w:val="7C141DD7"/>
    <w:rsid w:val="7C331CAB"/>
    <w:rsid w:val="7C4C347A"/>
    <w:rsid w:val="7C6440FF"/>
    <w:rsid w:val="7CDA1DE4"/>
    <w:rsid w:val="7D08374B"/>
    <w:rsid w:val="7D360B0D"/>
    <w:rsid w:val="7D7635FF"/>
    <w:rsid w:val="7DC46119"/>
    <w:rsid w:val="7DD72A26"/>
    <w:rsid w:val="7E0F43DF"/>
    <w:rsid w:val="7E4D5DC2"/>
    <w:rsid w:val="7E6D684F"/>
    <w:rsid w:val="7E7044F2"/>
    <w:rsid w:val="7EB2722A"/>
    <w:rsid w:val="7EB476E6"/>
    <w:rsid w:val="7EB73ECF"/>
    <w:rsid w:val="7EC37706"/>
    <w:rsid w:val="7ED026CE"/>
    <w:rsid w:val="7EE211B7"/>
    <w:rsid w:val="7F1D6B1B"/>
    <w:rsid w:val="7F314BCF"/>
    <w:rsid w:val="7F605361"/>
    <w:rsid w:val="7F6234C8"/>
    <w:rsid w:val="7F7052A0"/>
    <w:rsid w:val="7F8C3920"/>
    <w:rsid w:val="7F945FBF"/>
    <w:rsid w:val="7FB47D79"/>
    <w:rsid w:val="7FEC7BA9"/>
    <w:rsid w:val="7FF37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7">
    <w:name w:val="heading 4"/>
    <w:basedOn w:val="1"/>
    <w:next w:val="1"/>
    <w:link w:val="43"/>
    <w:qFormat/>
    <w:uiPriority w:val="0"/>
    <w:pPr>
      <w:keepNext/>
      <w:keepLines/>
      <w:spacing w:before="280" w:beforeLines="0" w:after="290" w:afterLines="0" w:line="376" w:lineRule="auto"/>
      <w:outlineLvl w:val="3"/>
    </w:pPr>
    <w:rPr>
      <w:rFonts w:ascii="Cambria" w:hAnsi="Cambria"/>
      <w:b/>
      <w:bCs/>
      <w:sz w:val="28"/>
      <w:szCs w:val="28"/>
      <w:lang w:eastAsia="en-US"/>
    </w:rPr>
  </w:style>
  <w:style w:type="paragraph" w:styleId="8">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2">
    <w:name w:val="Default Paragraph Font"/>
    <w:qFormat/>
    <w:uiPriority w:val="0"/>
    <w:rPr>
      <w:rFonts w:ascii="Arial" w:hAnsi="Arial" w:eastAsia="Times New Roman" w:cs="Verdana"/>
      <w:b/>
      <w:kern w:val="0"/>
      <w:sz w:val="24"/>
      <w:szCs w:val="24"/>
      <w:lang w:eastAsia="en-US"/>
    </w:rPr>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5">
    <w:name w:val="Normal Indent"/>
    <w:basedOn w:val="1"/>
    <w:unhideWhenUsed/>
    <w:qFormat/>
    <w:uiPriority w:val="99"/>
    <w:pPr>
      <w:spacing w:line="300" w:lineRule="auto"/>
      <w:ind w:firstLine="420" w:firstLineChars="200"/>
    </w:pPr>
    <w:rPr>
      <w:rFonts w:ascii="Times New Roman"/>
      <w:kern w:val="2"/>
      <w:sz w:val="21"/>
      <w:szCs w:val="24"/>
    </w:rPr>
  </w:style>
  <w:style w:type="paragraph" w:styleId="9">
    <w:name w:val="Document Map"/>
    <w:basedOn w:val="1"/>
    <w:qFormat/>
    <w:uiPriority w:val="0"/>
    <w:pPr>
      <w:shd w:val="clear" w:color="auto" w:fill="000080"/>
    </w:pPr>
  </w:style>
  <w:style w:type="paragraph" w:styleId="10">
    <w:name w:val="annotation text"/>
    <w:basedOn w:val="1"/>
    <w:link w:val="44"/>
    <w:unhideWhenUsed/>
    <w:qFormat/>
    <w:uiPriority w:val="99"/>
    <w:pPr>
      <w:jc w:val="left"/>
    </w:pPr>
    <w:rPr>
      <w:rFonts w:ascii="Arial" w:hAnsi="Arial" w:eastAsia="Times New Roman"/>
      <w:b/>
      <w:szCs w:val="24"/>
      <w:lang w:eastAsia="en-US"/>
    </w:rPr>
  </w:style>
  <w:style w:type="paragraph" w:styleId="11">
    <w:name w:val="Body Text"/>
    <w:basedOn w:val="1"/>
    <w:next w:val="1"/>
    <w:qFormat/>
    <w:uiPriority w:val="0"/>
    <w:pPr>
      <w:spacing w:after="120" w:afterLines="0"/>
    </w:pPr>
    <w:rPr>
      <w:rFonts w:ascii="Times New Roman"/>
      <w:kern w:val="2"/>
      <w:sz w:val="21"/>
    </w:rPr>
  </w:style>
  <w:style w:type="paragraph" w:styleId="12">
    <w:name w:val="Body Text Indent"/>
    <w:basedOn w:val="1"/>
    <w:qFormat/>
    <w:uiPriority w:val="0"/>
    <w:pPr>
      <w:ind w:firstLine="552"/>
    </w:pPr>
    <w:rPr>
      <w:rFonts w:ascii="宋体"/>
      <w:sz w:val="28"/>
    </w:rPr>
  </w:style>
  <w:style w:type="paragraph" w:styleId="13">
    <w:name w:val="Block Text"/>
    <w:basedOn w:val="1"/>
    <w:qFormat/>
    <w:uiPriority w:val="99"/>
    <w:pPr>
      <w:spacing w:after="120"/>
      <w:ind w:left="1440" w:leftChars="700" w:right="700" w:rightChars="700"/>
    </w:pPr>
  </w:style>
  <w:style w:type="paragraph" w:styleId="14">
    <w:name w:val="toc 3"/>
    <w:basedOn w:val="1"/>
    <w:next w:val="1"/>
    <w:qFormat/>
    <w:uiPriority w:val="39"/>
    <w:pPr>
      <w:ind w:left="840" w:leftChars="400"/>
    </w:pPr>
  </w:style>
  <w:style w:type="paragraph" w:styleId="15">
    <w:name w:val="Plain Text"/>
    <w:basedOn w:val="1"/>
    <w:link w:val="45"/>
    <w:qFormat/>
    <w:uiPriority w:val="0"/>
    <w:rPr>
      <w:rFonts w:ascii="宋体" w:hAnsi="Courier New"/>
      <w:szCs w:val="21"/>
    </w:rPr>
  </w:style>
  <w:style w:type="paragraph" w:styleId="16">
    <w:name w:val="Date"/>
    <w:basedOn w:val="1"/>
    <w:next w:val="1"/>
    <w:link w:val="46"/>
    <w:qFormat/>
    <w:uiPriority w:val="0"/>
    <w:rPr>
      <w:rFonts w:ascii="宋体" w:hAnsi="Arial" w:eastAsia="Times New Roman"/>
      <w:b/>
      <w:sz w:val="24"/>
      <w:szCs w:val="24"/>
      <w:lang w:eastAsia="en-US"/>
    </w:rPr>
  </w:style>
  <w:style w:type="paragraph" w:styleId="17">
    <w:name w:val="Body Text Indent 2"/>
    <w:basedOn w:val="1"/>
    <w:link w:val="47"/>
    <w:qFormat/>
    <w:uiPriority w:val="0"/>
    <w:pPr>
      <w:spacing w:after="120" w:afterLines="0" w:line="480" w:lineRule="auto"/>
      <w:ind w:left="420" w:leftChars="200"/>
    </w:pPr>
    <w:rPr>
      <w:rFonts w:ascii="Arial" w:hAnsi="Arial" w:eastAsia="Times New Roman"/>
      <w:b/>
      <w:szCs w:val="24"/>
      <w:lang w:eastAsia="en-US"/>
    </w:rPr>
  </w:style>
  <w:style w:type="paragraph" w:styleId="18">
    <w:name w:val="Balloon Text"/>
    <w:basedOn w:val="1"/>
    <w:qFormat/>
    <w:uiPriority w:val="0"/>
    <w:rPr>
      <w:sz w:val="18"/>
      <w:szCs w:val="18"/>
    </w:rPr>
  </w:style>
  <w:style w:type="paragraph" w:styleId="19">
    <w:name w:val="footer"/>
    <w:basedOn w:val="1"/>
    <w:link w:val="48"/>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20">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Body Text Indent 3"/>
    <w:basedOn w:val="1"/>
    <w:link w:val="50"/>
    <w:unhideWhenUsed/>
    <w:qFormat/>
    <w:uiPriority w:val="99"/>
    <w:pPr>
      <w:spacing w:after="120"/>
      <w:ind w:left="420" w:leftChars="200"/>
    </w:pPr>
    <w:rPr>
      <w:rFonts w:ascii="Arial" w:hAnsi="Arial" w:eastAsia="Times New Roman"/>
      <w:b/>
      <w:sz w:val="16"/>
      <w:szCs w:val="16"/>
      <w:lang w:eastAsia="en-US"/>
    </w:rPr>
  </w:style>
  <w:style w:type="paragraph" w:styleId="23">
    <w:name w:val="toc 2"/>
    <w:basedOn w:val="1"/>
    <w:next w:val="1"/>
    <w:unhideWhenUsed/>
    <w:qFormat/>
    <w:uiPriority w:val="39"/>
    <w:pPr>
      <w:ind w:left="420" w:leftChars="200"/>
    </w:pPr>
  </w:style>
  <w:style w:type="paragraph" w:styleId="24">
    <w:name w:val="Body Text 2"/>
    <w:basedOn w:val="1"/>
    <w:unhideWhenUsed/>
    <w:qFormat/>
    <w:uiPriority w:val="99"/>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7">
    <w:name w:val="Title"/>
    <w:basedOn w:val="1"/>
    <w:next w:val="1"/>
    <w:link w:val="51"/>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8">
    <w:name w:val="annotation subject"/>
    <w:basedOn w:val="10"/>
    <w:next w:val="10"/>
    <w:link w:val="52"/>
    <w:unhideWhenUsed/>
    <w:qFormat/>
    <w:uiPriority w:val="99"/>
    <w:rPr>
      <w:bCs/>
    </w:rPr>
  </w:style>
  <w:style w:type="paragraph" w:styleId="29">
    <w:name w:val="Body Text First Indent"/>
    <w:basedOn w:val="11"/>
    <w:next w:val="1"/>
    <w:qFormat/>
    <w:uiPriority w:val="99"/>
    <w:pPr>
      <w:ind w:firstLine="420" w:firstLineChars="100"/>
    </w:pPr>
    <w:rPr>
      <w:rFonts w:ascii="宋体"/>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Cs/>
    </w:rPr>
  </w:style>
  <w:style w:type="character" w:styleId="34">
    <w:name w:val="page number"/>
    <w:basedOn w:val="32"/>
    <w:qFormat/>
    <w:uiPriority w:val="0"/>
  </w:style>
  <w:style w:type="character" w:styleId="35">
    <w:name w:val="FollowedHyperlink"/>
    <w:unhideWhenUsed/>
    <w:qFormat/>
    <w:uiPriority w:val="99"/>
    <w:rPr>
      <w:rFonts w:ascii="Arial" w:hAnsi="Arial" w:eastAsia="Times New Roman" w:cs="Verdana"/>
      <w:b/>
      <w:color w:val="3D3D3D"/>
      <w:kern w:val="0"/>
      <w:sz w:val="24"/>
      <w:szCs w:val="24"/>
      <w:u w:val="none"/>
      <w:lang w:eastAsia="en-US"/>
    </w:rPr>
  </w:style>
  <w:style w:type="character" w:styleId="36">
    <w:name w:val="Emphasis"/>
    <w:basedOn w:val="32"/>
    <w:qFormat/>
    <w:uiPriority w:val="20"/>
  </w:style>
  <w:style w:type="character" w:styleId="37">
    <w:name w:val="HTML Definition"/>
    <w:basedOn w:val="32"/>
    <w:semiHidden/>
    <w:unhideWhenUsed/>
    <w:qFormat/>
    <w:uiPriority w:val="99"/>
    <w:rPr>
      <w:i/>
      <w:iCs/>
    </w:rPr>
  </w:style>
  <w:style w:type="character" w:styleId="38">
    <w:name w:val="Hyperlink"/>
    <w:basedOn w:val="32"/>
    <w:qFormat/>
    <w:uiPriority w:val="99"/>
    <w:rPr>
      <w:rFonts w:ascii="Arial" w:hAnsi="Arial" w:eastAsia="Times New Roman" w:cs="Verdana"/>
      <w:b w:val="0"/>
      <w:color w:val="0000FF"/>
      <w:kern w:val="0"/>
      <w:sz w:val="24"/>
      <w:szCs w:val="24"/>
      <w:u w:val="single"/>
      <w:lang w:eastAsia="en-US"/>
    </w:rPr>
  </w:style>
  <w:style w:type="character" w:styleId="39">
    <w:name w:val="HTML Code"/>
    <w:basedOn w:val="32"/>
    <w:semiHidden/>
    <w:unhideWhenUsed/>
    <w:qFormat/>
    <w:uiPriority w:val="99"/>
    <w:rPr>
      <w:rFonts w:hint="default" w:ascii="Consolas" w:hAnsi="Consolas" w:eastAsia="Consolas" w:cs="Consolas"/>
      <w:color w:val="C7254E"/>
      <w:sz w:val="21"/>
      <w:szCs w:val="21"/>
      <w:shd w:val="clear" w:fill="F9F2F4"/>
    </w:rPr>
  </w:style>
  <w:style w:type="character" w:styleId="40">
    <w:name w:val="annotation reference"/>
    <w:unhideWhenUsed/>
    <w:qFormat/>
    <w:uiPriority w:val="99"/>
    <w:rPr>
      <w:rFonts w:ascii="Arial" w:hAnsi="Arial" w:eastAsia="Times New Roman" w:cs="Verdana"/>
      <w:b/>
      <w:kern w:val="0"/>
      <w:sz w:val="21"/>
      <w:szCs w:val="21"/>
      <w:lang w:eastAsia="en-US"/>
    </w:rPr>
  </w:style>
  <w:style w:type="character" w:styleId="41">
    <w:name w:val="HTML Keyboard"/>
    <w:basedOn w:val="32"/>
    <w:semiHidden/>
    <w:unhideWhenUsed/>
    <w:qFormat/>
    <w:uiPriority w:val="99"/>
    <w:rPr>
      <w:rFonts w:ascii="Consolas" w:hAnsi="Consolas" w:eastAsia="Consolas" w:cs="Consolas"/>
      <w:color w:val="FFFFFF"/>
      <w:sz w:val="21"/>
      <w:szCs w:val="21"/>
      <w:shd w:val="clear" w:fill="333333"/>
    </w:rPr>
  </w:style>
  <w:style w:type="character" w:styleId="42">
    <w:name w:val="HTML Sample"/>
    <w:basedOn w:val="32"/>
    <w:semiHidden/>
    <w:unhideWhenUsed/>
    <w:qFormat/>
    <w:uiPriority w:val="99"/>
    <w:rPr>
      <w:rFonts w:hint="default" w:ascii="Consolas" w:hAnsi="Consolas" w:eastAsia="Consolas" w:cs="Consolas"/>
      <w:sz w:val="21"/>
      <w:szCs w:val="21"/>
    </w:rPr>
  </w:style>
  <w:style w:type="character" w:customStyle="1" w:styleId="43">
    <w:name w:val="标题 4 Char"/>
    <w:link w:val="7"/>
    <w:qFormat/>
    <w:uiPriority w:val="0"/>
    <w:rPr>
      <w:rFonts w:ascii="Cambria" w:hAnsi="Cambria" w:eastAsia="宋体" w:cs="Times New Roman"/>
      <w:b/>
      <w:bCs/>
      <w:kern w:val="2"/>
      <w:sz w:val="28"/>
      <w:szCs w:val="28"/>
      <w:lang w:eastAsia="en-US"/>
    </w:rPr>
  </w:style>
  <w:style w:type="character" w:customStyle="1" w:styleId="44">
    <w:name w:val="批注文字 Char"/>
    <w:link w:val="10"/>
    <w:qFormat/>
    <w:uiPriority w:val="99"/>
    <w:rPr>
      <w:rFonts w:ascii="Arial" w:hAnsi="Arial" w:eastAsia="Times New Roman" w:cs="Verdana"/>
      <w:b/>
      <w:kern w:val="2"/>
      <w:sz w:val="21"/>
      <w:szCs w:val="24"/>
      <w:lang w:eastAsia="en-US"/>
    </w:rPr>
  </w:style>
  <w:style w:type="character" w:customStyle="1" w:styleId="45">
    <w:name w:val="纯文本 Char"/>
    <w:link w:val="15"/>
    <w:qFormat/>
    <w:uiPriority w:val="0"/>
    <w:rPr>
      <w:rFonts w:ascii="宋体" w:hAnsi="Courier New" w:cs="Courier New"/>
      <w:kern w:val="2"/>
      <w:sz w:val="21"/>
      <w:szCs w:val="21"/>
    </w:rPr>
  </w:style>
  <w:style w:type="character" w:customStyle="1" w:styleId="46">
    <w:name w:val="日期 Char"/>
    <w:link w:val="16"/>
    <w:qFormat/>
    <w:uiPriority w:val="0"/>
    <w:rPr>
      <w:rFonts w:ascii="宋体" w:hAnsi="Arial" w:eastAsia="Times New Roman" w:cs="Verdana"/>
      <w:b/>
      <w:kern w:val="2"/>
      <w:sz w:val="24"/>
      <w:szCs w:val="24"/>
      <w:lang w:eastAsia="en-US"/>
    </w:rPr>
  </w:style>
  <w:style w:type="character" w:customStyle="1" w:styleId="47">
    <w:name w:val="正文文本缩进 2 Char"/>
    <w:link w:val="17"/>
    <w:qFormat/>
    <w:uiPriority w:val="0"/>
    <w:rPr>
      <w:rFonts w:ascii="Arial" w:hAnsi="Arial" w:eastAsia="Times New Roman" w:cs="Verdana"/>
      <w:b/>
      <w:kern w:val="2"/>
      <w:sz w:val="21"/>
      <w:szCs w:val="24"/>
      <w:lang w:eastAsia="en-US"/>
    </w:rPr>
  </w:style>
  <w:style w:type="character" w:customStyle="1" w:styleId="48">
    <w:name w:val="页脚 Char"/>
    <w:link w:val="19"/>
    <w:qFormat/>
    <w:uiPriority w:val="99"/>
    <w:rPr>
      <w:rFonts w:ascii="Arial" w:hAnsi="Arial" w:eastAsia="Times New Roman" w:cs="Verdana"/>
      <w:b/>
      <w:kern w:val="0"/>
      <w:sz w:val="18"/>
      <w:szCs w:val="24"/>
      <w:lang w:eastAsia="en-US"/>
    </w:rPr>
  </w:style>
  <w:style w:type="character" w:customStyle="1" w:styleId="49">
    <w:name w:val="页眉 Char"/>
    <w:link w:val="20"/>
    <w:qFormat/>
    <w:uiPriority w:val="0"/>
    <w:rPr>
      <w:kern w:val="2"/>
      <w:sz w:val="18"/>
      <w:szCs w:val="18"/>
    </w:rPr>
  </w:style>
  <w:style w:type="character" w:customStyle="1" w:styleId="50">
    <w:name w:val="正文文本缩进 3 Char"/>
    <w:link w:val="22"/>
    <w:semiHidden/>
    <w:qFormat/>
    <w:uiPriority w:val="99"/>
    <w:rPr>
      <w:rFonts w:ascii="Arial" w:hAnsi="Arial" w:eastAsia="Times New Roman" w:cs="Verdana"/>
      <w:b/>
      <w:kern w:val="2"/>
      <w:sz w:val="16"/>
      <w:szCs w:val="16"/>
      <w:lang w:eastAsia="en-US"/>
    </w:rPr>
  </w:style>
  <w:style w:type="character" w:customStyle="1" w:styleId="51">
    <w:name w:val="标题 Char"/>
    <w:link w:val="27"/>
    <w:qFormat/>
    <w:uiPriority w:val="0"/>
    <w:rPr>
      <w:rFonts w:ascii="Cambria" w:hAnsi="Cambria" w:eastAsia="Times New Roman" w:cs="Verdana"/>
      <w:b/>
      <w:bCs/>
      <w:kern w:val="2"/>
      <w:sz w:val="32"/>
      <w:szCs w:val="32"/>
      <w:lang w:eastAsia="en-US"/>
    </w:rPr>
  </w:style>
  <w:style w:type="character" w:customStyle="1" w:styleId="52">
    <w:name w:val="批注主题 Char"/>
    <w:link w:val="28"/>
    <w:semiHidden/>
    <w:qFormat/>
    <w:uiPriority w:val="99"/>
    <w:rPr>
      <w:rFonts w:ascii="Arial" w:hAnsi="Arial" w:eastAsia="Times New Roman" w:cs="Verdana"/>
      <w:b/>
      <w:bCs/>
      <w:kern w:val="2"/>
      <w:sz w:val="21"/>
      <w:szCs w:val="24"/>
      <w:lang w:eastAsia="en-US"/>
    </w:rPr>
  </w:style>
  <w:style w:type="character" w:customStyle="1" w:styleId="53">
    <w:name w:val="style5 style5"/>
    <w:basedOn w:val="32"/>
    <w:qFormat/>
    <w:uiPriority w:val="0"/>
  </w:style>
  <w:style w:type="character" w:customStyle="1" w:styleId="54">
    <w:name w:val="普通文字1 Char2"/>
    <w:qFormat/>
    <w:uiPriority w:val="0"/>
    <w:rPr>
      <w:rFonts w:ascii="宋体" w:hAnsi="Courier New" w:eastAsia="宋体"/>
      <w:kern w:val="2"/>
      <w:sz w:val="21"/>
      <w:lang w:val="en-US" w:eastAsia="zh-CN" w:bidi="ar-SA"/>
    </w:rPr>
  </w:style>
  <w:style w:type="character" w:customStyle="1" w:styleId="55">
    <w:name w:val="gpa"/>
    <w:basedOn w:val="32"/>
    <w:qFormat/>
    <w:uiPriority w:val="0"/>
    <w:rPr>
      <w:rFonts w:ascii="Arial" w:hAnsi="Arial" w:cs="Arial"/>
      <w:sz w:val="15"/>
      <w:szCs w:val="15"/>
    </w:rPr>
  </w:style>
  <w:style w:type="character" w:customStyle="1" w:styleId="56">
    <w:name w:val="displayarti"/>
    <w:basedOn w:val="32"/>
    <w:qFormat/>
    <w:uiPriority w:val="0"/>
    <w:rPr>
      <w:color w:val="FFFFFF"/>
      <w:shd w:val="clear" w:color="auto" w:fill="A00000"/>
    </w:rPr>
  </w:style>
  <w:style w:type="character" w:customStyle="1" w:styleId="57">
    <w:name w:val="【正文】 Char"/>
    <w:link w:val="58"/>
    <w:qFormat/>
    <w:uiPriority w:val="0"/>
    <w:rPr>
      <w:rFonts w:ascii="仿宋" w:hAnsi="仿宋" w:eastAsia="仿宋" w:cs="仿宋_GB2312"/>
      <w:kern w:val="2"/>
      <w:sz w:val="24"/>
      <w:szCs w:val="28"/>
    </w:rPr>
  </w:style>
  <w:style w:type="paragraph" w:customStyle="1" w:styleId="58">
    <w:name w:val="【正文】"/>
    <w:basedOn w:val="24"/>
    <w:link w:val="57"/>
    <w:qFormat/>
    <w:uiPriority w:val="0"/>
    <w:pPr>
      <w:spacing w:after="0" w:line="360" w:lineRule="auto"/>
      <w:ind w:firstLine="200" w:firstLineChars="200"/>
    </w:pPr>
    <w:rPr>
      <w:rFonts w:ascii="仿宋" w:hAnsi="仿宋" w:eastAsia="仿宋"/>
      <w:sz w:val="24"/>
      <w:szCs w:val="28"/>
    </w:rPr>
  </w:style>
  <w:style w:type="character" w:customStyle="1" w:styleId="59">
    <w:name w:val="selected"/>
    <w:basedOn w:val="32"/>
    <w:qFormat/>
    <w:uiPriority w:val="0"/>
    <w:rPr>
      <w:shd w:val="clear" w:color="auto" w:fill="B00006"/>
    </w:rPr>
  </w:style>
  <w:style w:type="character" w:customStyle="1" w:styleId="60">
    <w:name w:val="段 Char Char"/>
    <w:link w:val="61"/>
    <w:qFormat/>
    <w:locked/>
    <w:uiPriority w:val="0"/>
    <w:rPr>
      <w:rFonts w:ascii="宋体" w:eastAsia="Times New Roman"/>
      <w:kern w:val="2"/>
      <w:sz w:val="21"/>
      <w:szCs w:val="22"/>
      <w:lang w:val="en-US" w:eastAsia="zh-CN" w:bidi="ar-SA"/>
    </w:rPr>
  </w:style>
  <w:style w:type="paragraph" w:customStyle="1" w:styleId="61">
    <w:name w:val="段"/>
    <w:link w:val="60"/>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2">
    <w:name w:val="纯文本 Char1"/>
    <w:qFormat/>
    <w:uiPriority w:val="0"/>
    <w:rPr>
      <w:rFonts w:ascii="宋体" w:hAnsi="Courier New" w:eastAsia="Times New Roman" w:cs="Courier New"/>
      <w:b/>
      <w:kern w:val="2"/>
      <w:sz w:val="21"/>
      <w:szCs w:val="21"/>
      <w:lang w:eastAsia="en-US"/>
    </w:rPr>
  </w:style>
  <w:style w:type="character" w:customStyle="1" w:styleId="63">
    <w:name w:val="page number"/>
    <w:basedOn w:val="32"/>
    <w:qFormat/>
    <w:uiPriority w:val="0"/>
  </w:style>
  <w:style w:type="character" w:customStyle="1" w:styleId="64">
    <w:name w:val="apple-style-span"/>
    <w:basedOn w:val="32"/>
    <w:qFormat/>
    <w:uiPriority w:val="0"/>
  </w:style>
  <w:style w:type="paragraph" w:customStyle="1" w:styleId="65">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6">
    <w:name w:val="表格文字中"/>
    <w:basedOn w:val="1"/>
    <w:qFormat/>
    <w:uiPriority w:val="0"/>
    <w:pPr>
      <w:adjustRightInd w:val="0"/>
      <w:snapToGrid w:val="0"/>
      <w:ind w:left="22" w:leftChars="8"/>
      <w:jc w:val="center"/>
    </w:pPr>
    <w:rPr>
      <w:kern w:val="0"/>
      <w:szCs w:val="24"/>
    </w:rPr>
  </w:style>
  <w:style w:type="paragraph" w:customStyle="1" w:styleId="67">
    <w:name w:val="Char1"/>
    <w:basedOn w:val="1"/>
    <w:qFormat/>
    <w:uiPriority w:val="0"/>
    <w:pPr>
      <w:tabs>
        <w:tab w:val="left" w:pos="360"/>
      </w:tabs>
      <w:ind w:left="360" w:hanging="360" w:hangingChars="200"/>
    </w:pPr>
    <w:rPr>
      <w:sz w:val="24"/>
      <w:szCs w:val="24"/>
    </w:rPr>
  </w:style>
  <w:style w:type="paragraph" w:customStyle="1" w:styleId="68">
    <w:name w:val="Body Text Indent"/>
    <w:basedOn w:val="1"/>
    <w:qFormat/>
    <w:uiPriority w:val="0"/>
    <w:pPr>
      <w:widowControl/>
      <w:ind w:firstLine="652" w:firstLineChars="233"/>
    </w:pPr>
    <w:rPr>
      <w:kern w:val="0"/>
      <w:sz w:val="28"/>
    </w:rPr>
  </w:style>
  <w:style w:type="paragraph" w:customStyle="1" w:styleId="69">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70">
    <w:name w:val="(a)正文"/>
    <w:basedOn w:val="1"/>
    <w:qFormat/>
    <w:uiPriority w:val="0"/>
    <w:pPr>
      <w:widowControl/>
      <w:tabs>
        <w:tab w:val="left" w:pos="1871"/>
        <w:tab w:val="left" w:pos="2081"/>
      </w:tabs>
      <w:spacing w:line="360" w:lineRule="exact"/>
      <w:ind w:left="1871" w:hanging="510"/>
    </w:pPr>
    <w:rPr>
      <w:sz w:val="24"/>
    </w:rPr>
  </w:style>
  <w:style w:type="paragraph" w:customStyle="1" w:styleId="7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3">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4">
    <w:name w:val="List Paragraph"/>
    <w:basedOn w:val="1"/>
    <w:qFormat/>
    <w:uiPriority w:val="34"/>
    <w:pPr>
      <w:ind w:firstLine="420" w:firstLineChars="200"/>
    </w:pPr>
    <w:rPr>
      <w:rFonts w:ascii="Calibri" w:hAnsi="Calibri"/>
      <w:sz w:val="28"/>
      <w:szCs w:val="28"/>
    </w:rPr>
  </w:style>
  <w:style w:type="paragraph" w:customStyle="1" w:styleId="75">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76">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7">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8">
    <w:name w:val="列出段落1"/>
    <w:basedOn w:val="1"/>
    <w:qFormat/>
    <w:uiPriority w:val="34"/>
    <w:pPr>
      <w:ind w:firstLine="420" w:firstLineChars="200"/>
    </w:pPr>
    <w:rPr>
      <w:rFonts w:ascii="Calibri" w:hAnsi="Calibri"/>
      <w:szCs w:val="22"/>
    </w:rPr>
  </w:style>
  <w:style w:type="paragraph" w:customStyle="1" w:styleId="79">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80">
    <w:name w:val="List Paragraph1"/>
    <w:basedOn w:val="1"/>
    <w:qFormat/>
    <w:uiPriority w:val="34"/>
    <w:pPr>
      <w:ind w:firstLine="420" w:firstLineChars="200"/>
    </w:pPr>
  </w:style>
  <w:style w:type="paragraph" w:customStyle="1" w:styleId="81">
    <w:name w:val=" Char1"/>
    <w:basedOn w:val="1"/>
    <w:qFormat/>
    <w:uiPriority w:val="0"/>
    <w:pPr>
      <w:tabs>
        <w:tab w:val="left" w:pos="360"/>
      </w:tabs>
      <w:ind w:left="360" w:hanging="360" w:hangingChars="200"/>
    </w:pPr>
    <w:rPr>
      <w:sz w:val="24"/>
      <w:szCs w:val="24"/>
    </w:rPr>
  </w:style>
  <w:style w:type="paragraph" w:customStyle="1" w:styleId="82">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83">
    <w:name w:val="_Style 74"/>
    <w:basedOn w:val="3"/>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84">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5">
    <w:name w:val="button"/>
    <w:basedOn w:val="32"/>
    <w:qFormat/>
    <w:uiPriority w:val="0"/>
    <w:rPr>
      <w:u w:val="single"/>
    </w:rPr>
  </w:style>
  <w:style w:type="character" w:customStyle="1" w:styleId="86">
    <w:name w:val="indent"/>
    <w:basedOn w:val="32"/>
    <w:qFormat/>
    <w:uiPriority w:val="0"/>
  </w:style>
  <w:style w:type="paragraph" w:customStyle="1" w:styleId="87">
    <w:name w:val="title11"/>
    <w:basedOn w:val="1"/>
    <w:qFormat/>
    <w:uiPriority w:val="0"/>
    <w:pPr>
      <w:pBdr>
        <w:left w:val="none" w:color="auto" w:sz="0" w:space="0"/>
        <w:right w:val="none" w:color="auto" w:sz="0" w:space="0"/>
      </w:pBdr>
      <w:spacing w:before="150" w:beforeAutospacing="0" w:after="0" w:afterAutospacing="0" w:line="450" w:lineRule="atLeast"/>
      <w:ind w:left="0" w:right="0"/>
      <w:jc w:val="left"/>
    </w:pPr>
    <w:rPr>
      <w:b/>
      <w:bCs/>
      <w:kern w:val="0"/>
      <w:sz w:val="24"/>
      <w:szCs w:val="24"/>
      <w:lang w:val="en-US" w:eastAsia="zh-CN" w:bidi="ar"/>
    </w:rPr>
  </w:style>
  <w:style w:type="character" w:customStyle="1" w:styleId="88">
    <w:name w:val="old"/>
    <w:basedOn w:val="32"/>
    <w:qFormat/>
    <w:uiPriority w:val="0"/>
    <w:rPr>
      <w:color w:val="999999"/>
    </w:rPr>
  </w:style>
  <w:style w:type="character" w:customStyle="1" w:styleId="89">
    <w:name w:val="glyphicon4"/>
    <w:basedOn w:val="32"/>
    <w:qFormat/>
    <w:uiPriority w:val="0"/>
  </w:style>
  <w:style w:type="character" w:customStyle="1" w:styleId="90">
    <w:name w:val="hour_pm"/>
    <w:basedOn w:val="32"/>
    <w:qFormat/>
    <w:uiPriority w:val="0"/>
  </w:style>
  <w:style w:type="character" w:customStyle="1" w:styleId="91">
    <w:name w:val="hover2"/>
    <w:basedOn w:val="32"/>
    <w:qFormat/>
    <w:uiPriority w:val="0"/>
    <w:rPr>
      <w:shd w:val="clear" w:fill="EEEEEE"/>
    </w:rPr>
  </w:style>
  <w:style w:type="character" w:customStyle="1" w:styleId="92">
    <w:name w:val="hour_am"/>
    <w:basedOn w:val="32"/>
    <w:qFormat/>
    <w:uiPriority w:val="0"/>
  </w:style>
  <w:style w:type="character" w:customStyle="1" w:styleId="93">
    <w:name w:val="tmpztreemove_arrow"/>
    <w:basedOn w:val="32"/>
    <w:qFormat/>
    <w:uiPriority w:val="0"/>
    <w:rPr>
      <w:shd w:val="clear" w:fill="FFFFFF"/>
    </w:rPr>
  </w:style>
  <w:style w:type="character" w:customStyle="1" w:styleId="94">
    <w:name w:val="hover3"/>
    <w:basedOn w:val="32"/>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55</Pages>
  <Words>23849</Words>
  <Characters>25310</Characters>
  <Lines>215</Lines>
  <Paragraphs>60</Paragraphs>
  <TotalTime>13</TotalTime>
  <ScaleCrop>false</ScaleCrop>
  <LinksUpToDate>false</LinksUpToDate>
  <CharactersWithSpaces>26851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liufeng</cp:lastModifiedBy>
  <cp:lastPrinted>2023-05-11T01:07:00Z</cp:lastPrinted>
  <dcterms:modified xsi:type="dcterms:W3CDTF">2023-06-25T02:38:40Z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DF494F525AAD43539CDF1CC10B8DF263_13</vt:lpwstr>
  </property>
</Properties>
</file>