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FF0000"/>
          <w:sz w:val="32"/>
          <w:szCs w:val="32"/>
          <w:lang w:eastAsia="zh-CN"/>
        </w:rPr>
      </w:pPr>
      <w:r>
        <w:rPr>
          <w:rFonts w:hint="eastAsia" w:ascii="宋体" w:hAnsi="宋体" w:eastAsia="宋体" w:cs="宋体"/>
          <w:b/>
          <w:bCs/>
          <w:sz w:val="32"/>
          <w:szCs w:val="32"/>
        </w:rPr>
        <w:t>项目编号：</w:t>
      </w:r>
      <w:r>
        <w:rPr>
          <w:rFonts w:hint="eastAsia" w:ascii="宋体" w:hAnsi="宋体" w:cs="宋体"/>
          <w:b/>
          <w:bCs/>
          <w:sz w:val="32"/>
          <w:szCs w:val="32"/>
          <w:lang w:eastAsia="zh-CN"/>
        </w:rPr>
        <w:t>ZHGJ-2022-192</w:t>
      </w:r>
    </w:p>
    <w:p>
      <w:pPr>
        <w:jc w:val="left"/>
        <w:rPr>
          <w:rFonts w:hint="eastAsia" w:ascii="宋体" w:hAnsi="宋体" w:eastAsia="宋体" w:cs="宋体"/>
          <w:b/>
          <w:bCs/>
          <w:color w:val="FF0000"/>
          <w:sz w:val="32"/>
          <w:szCs w:val="32"/>
        </w:rPr>
      </w:pPr>
    </w:p>
    <w:p>
      <w:pPr>
        <w:jc w:val="left"/>
        <w:rPr>
          <w:rFonts w:hint="eastAsia" w:ascii="宋体" w:hAnsi="宋体" w:eastAsia="宋体" w:cs="宋体"/>
          <w:b/>
          <w:bCs/>
          <w:color w:val="FF0000"/>
          <w:sz w:val="32"/>
          <w:szCs w:val="32"/>
        </w:rPr>
      </w:pPr>
    </w:p>
    <w:p>
      <w:pPr>
        <w:jc w:val="left"/>
        <w:rPr>
          <w:rFonts w:hint="eastAsia" w:ascii="宋体" w:hAnsi="宋体" w:eastAsia="宋体" w:cs="宋体"/>
          <w:b/>
          <w:bCs/>
          <w:color w:val="FF0000"/>
          <w:sz w:val="32"/>
          <w:szCs w:val="32"/>
        </w:rPr>
      </w:pPr>
    </w:p>
    <w:p>
      <w:pPr>
        <w:jc w:val="center"/>
        <w:rPr>
          <w:rFonts w:hint="eastAsia" w:ascii="宋体" w:hAnsi="宋体" w:eastAsia="宋体" w:cs="宋体"/>
          <w:b/>
          <w:color w:val="FF0000"/>
          <w:sz w:val="52"/>
          <w:szCs w:val="52"/>
        </w:rPr>
      </w:pPr>
      <w:bookmarkStart w:id="0" w:name="OLE_LINK4"/>
      <w:r>
        <w:rPr>
          <w:rFonts w:hint="eastAsia" w:ascii="宋体" w:hAnsi="宋体" w:cs="宋体"/>
          <w:b/>
          <w:bCs/>
          <w:spacing w:val="-20"/>
          <w:sz w:val="72"/>
          <w:szCs w:val="72"/>
          <w:lang w:eastAsia="zh-CN"/>
        </w:rPr>
        <w:t>黄陵县城城乡生活垃圾收运处置体系规划</w:t>
      </w:r>
    </w:p>
    <w:p>
      <w:pPr>
        <w:jc w:val="center"/>
        <w:rPr>
          <w:rFonts w:hint="eastAsia" w:ascii="宋体" w:hAnsi="宋体" w:eastAsia="宋体" w:cs="宋体"/>
          <w:b/>
          <w:color w:val="FF0000"/>
          <w:sz w:val="52"/>
          <w:szCs w:val="52"/>
        </w:rPr>
      </w:pPr>
    </w:p>
    <w:p>
      <w:pPr>
        <w:jc w:val="center"/>
        <w:rPr>
          <w:rFonts w:hint="eastAsia" w:ascii="宋体" w:hAnsi="宋体" w:eastAsia="宋体" w:cs="宋体"/>
          <w:b/>
          <w:color w:val="FF0000"/>
          <w:sz w:val="52"/>
          <w:szCs w:val="52"/>
        </w:rPr>
      </w:pPr>
    </w:p>
    <w:p>
      <w:pPr>
        <w:pStyle w:val="7"/>
        <w:rPr>
          <w:rFonts w:hint="eastAsia" w:ascii="宋体" w:hAnsi="宋体" w:eastAsia="宋体" w:cs="宋体"/>
          <w:lang w:eastAsia="zh-CN"/>
        </w:rPr>
      </w:pPr>
    </w:p>
    <w:p>
      <w:pPr>
        <w:rPr>
          <w:rFonts w:hint="eastAsia" w:ascii="宋体" w:hAnsi="宋体" w:eastAsia="宋体" w:cs="宋体"/>
          <w:lang w:eastAsia="zh-CN"/>
        </w:rPr>
      </w:pPr>
    </w:p>
    <w:p>
      <w:pPr>
        <w:pStyle w:val="12"/>
        <w:rPr>
          <w:rFonts w:hint="eastAsia" w:ascii="宋体" w:hAnsi="宋体" w:eastAsia="宋体" w:cs="宋体"/>
        </w:rPr>
      </w:pPr>
    </w:p>
    <w:bookmarkEnd w:id="0"/>
    <w:p>
      <w:pPr>
        <w:jc w:val="center"/>
        <w:rPr>
          <w:rFonts w:hint="eastAsia" w:ascii="宋体" w:hAnsi="宋体" w:eastAsia="宋体" w:cs="宋体"/>
          <w:b/>
          <w:sz w:val="72"/>
          <w:szCs w:val="72"/>
        </w:rPr>
      </w:pPr>
      <w:r>
        <w:rPr>
          <w:rFonts w:hint="eastAsia" w:ascii="宋体" w:hAnsi="宋体" w:eastAsia="宋体" w:cs="宋体"/>
          <w:b/>
          <w:sz w:val="72"/>
          <w:szCs w:val="72"/>
        </w:rPr>
        <w:t>竞争性谈判文件</w:t>
      </w:r>
    </w:p>
    <w:p>
      <w:pPr>
        <w:spacing w:line="480" w:lineRule="auto"/>
        <w:rPr>
          <w:rFonts w:hint="eastAsia" w:ascii="宋体" w:hAnsi="宋体" w:eastAsia="宋体" w:cs="宋体"/>
          <w:sz w:val="32"/>
        </w:rPr>
      </w:pPr>
    </w:p>
    <w:p>
      <w:pPr>
        <w:spacing w:line="480" w:lineRule="auto"/>
        <w:rPr>
          <w:rFonts w:hint="eastAsia" w:ascii="宋体" w:hAnsi="宋体" w:eastAsia="宋体" w:cs="宋体"/>
          <w:sz w:val="44"/>
          <w:szCs w:val="44"/>
        </w:rPr>
      </w:pPr>
    </w:p>
    <w:p>
      <w:pPr>
        <w:pStyle w:val="12"/>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spacing w:line="480" w:lineRule="auto"/>
        <w:rPr>
          <w:rFonts w:hint="eastAsia" w:ascii="宋体" w:hAnsi="宋体" w:eastAsia="宋体" w:cs="宋体"/>
          <w:sz w:val="44"/>
          <w:szCs w:val="44"/>
        </w:rPr>
      </w:pPr>
    </w:p>
    <w:p>
      <w:pPr>
        <w:pStyle w:val="12"/>
        <w:rPr>
          <w:rFonts w:hint="eastAsia" w:ascii="宋体" w:hAnsi="宋体" w:eastAsia="宋体" w:cs="宋体"/>
        </w:rPr>
      </w:pPr>
    </w:p>
    <w:p>
      <w:pPr>
        <w:ind w:firstLine="321" w:firstLineChars="100"/>
        <w:jc w:val="center"/>
        <w:rPr>
          <w:rFonts w:hint="eastAsia" w:ascii="宋体" w:hAnsi="宋体" w:eastAsia="宋体" w:cs="宋体"/>
          <w:b/>
          <w:bCs/>
          <w:sz w:val="32"/>
          <w:szCs w:val="32"/>
        </w:rPr>
      </w:pPr>
      <w:r>
        <w:rPr>
          <w:rFonts w:hint="eastAsia" w:ascii="宋体" w:hAnsi="宋体" w:eastAsia="宋体" w:cs="宋体"/>
          <w:b/>
          <w:bCs/>
          <w:sz w:val="32"/>
          <w:szCs w:val="32"/>
        </w:rPr>
        <w:t>采购代理机构：陕西中桓国际项目管理有限公司</w:t>
      </w:r>
    </w:p>
    <w:p>
      <w:pPr>
        <w:tabs>
          <w:tab w:val="left" w:pos="525"/>
        </w:tabs>
        <w:ind w:left="-2" w:leftChars="-1" w:firstLine="1"/>
        <w:jc w:val="center"/>
        <w:rPr>
          <w:rFonts w:hint="eastAsia" w:ascii="宋体" w:hAnsi="宋体" w:eastAsia="宋体" w:cs="宋体"/>
          <w:b/>
          <w:bCs/>
          <w:color w:val="FF0000"/>
          <w:sz w:val="32"/>
          <w:szCs w:val="32"/>
        </w:rPr>
      </w:pPr>
    </w:p>
    <w:p>
      <w:pPr>
        <w:tabs>
          <w:tab w:val="left" w:pos="525"/>
        </w:tabs>
        <w:ind w:left="-2" w:leftChars="-1" w:firstLine="1"/>
        <w:jc w:val="center"/>
        <w:rPr>
          <w:rFonts w:hint="eastAsia" w:ascii="宋体" w:hAnsi="宋体" w:eastAsia="宋体" w:cs="宋体"/>
          <w:b/>
          <w:bCs/>
          <w:sz w:val="32"/>
          <w:szCs w:val="32"/>
        </w:rPr>
      </w:pPr>
      <w:r>
        <w:rPr>
          <w:rFonts w:hint="eastAsia" w:ascii="宋体" w:hAnsi="宋体" w:eastAsia="宋体" w:cs="宋体"/>
          <w:b/>
          <w:bCs/>
          <w:sz w:val="32"/>
          <w:szCs w:val="32"/>
        </w:rPr>
        <w:t>二〇二二年</w:t>
      </w:r>
      <w:r>
        <w:rPr>
          <w:rFonts w:hint="eastAsia" w:ascii="宋体" w:hAnsi="宋体" w:eastAsia="宋体" w:cs="宋体"/>
          <w:b/>
          <w:bCs/>
          <w:sz w:val="32"/>
          <w:szCs w:val="32"/>
          <w:lang w:eastAsia="zh-CN"/>
        </w:rPr>
        <w:t>十一</w:t>
      </w:r>
      <w:r>
        <w:rPr>
          <w:rFonts w:hint="eastAsia" w:ascii="宋体" w:hAnsi="宋体" w:eastAsia="宋体" w:cs="宋体"/>
          <w:b/>
          <w:bCs/>
          <w:sz w:val="32"/>
          <w:szCs w:val="32"/>
        </w:rPr>
        <w:t>月</w:t>
      </w:r>
    </w:p>
    <w:p>
      <w:pPr>
        <w:tabs>
          <w:tab w:val="left" w:pos="525"/>
        </w:tabs>
        <w:spacing w:after="100" w:afterAutospacing="1"/>
        <w:rPr>
          <w:rFonts w:hint="eastAsia" w:ascii="宋体" w:hAnsi="宋体" w:eastAsia="宋体" w:cs="宋体"/>
          <w:b/>
          <w:bCs/>
          <w:sz w:val="30"/>
          <w:szCs w:val="30"/>
        </w:rPr>
      </w:pPr>
      <w:bookmarkStart w:id="1" w:name="_Toc20666"/>
    </w:p>
    <w:p>
      <w:pPr>
        <w:tabs>
          <w:tab w:val="left" w:pos="525"/>
        </w:tabs>
        <w:spacing w:after="100" w:afterAutospacing="1"/>
        <w:ind w:left="-2" w:leftChars="-1"/>
        <w:jc w:val="center"/>
        <w:rPr>
          <w:rFonts w:hint="eastAsia" w:ascii="宋体" w:hAnsi="宋体" w:eastAsia="宋体" w:cs="宋体"/>
          <w:b/>
          <w:bCs/>
          <w:sz w:val="30"/>
          <w:szCs w:val="30"/>
        </w:rPr>
        <w:sectPr>
          <w:footerReference r:id="rId5" w:type="first"/>
          <w:pgSz w:w="11907" w:h="16840"/>
          <w:pgMar w:top="1418" w:right="1806" w:bottom="1418" w:left="1701" w:header="1134" w:footer="851" w:gutter="0"/>
          <w:pgNumType w:start="2"/>
          <w:cols w:space="720" w:num="1"/>
          <w:docGrid w:linePitch="286" w:charSpace="0"/>
        </w:sectPr>
      </w:pPr>
    </w:p>
    <w:p>
      <w:pPr>
        <w:jc w:val="center"/>
        <w:rPr>
          <w:rFonts w:hint="eastAsia" w:ascii="宋体" w:hAnsi="宋体" w:eastAsia="宋体" w:cs="宋体"/>
          <w:b/>
          <w:bCs/>
          <w:sz w:val="36"/>
          <w:szCs w:val="36"/>
        </w:rPr>
      </w:pPr>
      <w:r>
        <w:rPr>
          <w:rFonts w:hint="eastAsia" w:ascii="宋体" w:hAnsi="宋体" w:eastAsia="宋体" w:cs="宋体"/>
          <w:b/>
          <w:bCs/>
          <w:sz w:val="36"/>
          <w:szCs w:val="36"/>
        </w:rPr>
        <w:t>特别提示</w:t>
      </w:r>
    </w:p>
    <w:p>
      <w:pPr>
        <w:spacing w:line="460" w:lineRule="atLeast"/>
        <w:rPr>
          <w:rFonts w:hint="eastAsia" w:ascii="宋体" w:hAnsi="宋体" w:eastAsia="宋体" w:cs="宋体"/>
          <w:sz w:val="24"/>
          <w:szCs w:val="24"/>
        </w:rPr>
      </w:pPr>
      <w:r>
        <w:rPr>
          <w:rFonts w:hint="eastAsia" w:ascii="宋体" w:hAnsi="宋体" w:eastAsia="宋体" w:cs="宋体"/>
          <w:sz w:val="24"/>
          <w:szCs w:val="24"/>
        </w:rPr>
        <w:t>各供应商，在此我们特别提醒您注意以下事项：</w:t>
      </w:r>
    </w:p>
    <w:p>
      <w:pPr>
        <w:spacing w:line="460" w:lineRule="atLeast"/>
        <w:rPr>
          <w:rFonts w:hint="eastAsia" w:ascii="宋体" w:hAnsi="宋体" w:eastAsia="宋体" w:cs="宋体"/>
          <w:b/>
          <w:bCs/>
          <w:sz w:val="24"/>
          <w:szCs w:val="24"/>
        </w:rPr>
      </w:pPr>
      <w:r>
        <w:rPr>
          <w:rFonts w:hint="eastAsia" w:ascii="宋体" w:hAnsi="宋体" w:eastAsia="宋体" w:cs="宋体"/>
          <w:b/>
          <w:bCs/>
          <w:sz w:val="24"/>
          <w:szCs w:val="24"/>
        </w:rPr>
        <w:t>一、有关谈判文件</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1、请仔细阅读谈判文件并正确理解谈判文件中各项具体要求。如您对谈判文件有疑问，请在谈判文件规定的时间内以书面形式提出，逾期将被拒绝受理。</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2、请严格按照谈判文件载明的谈判响应标文件的格式要求编制谈判响应文件，谈判响应文件须胶装成册。</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3、请仔细核对谈判响应文件是否已按照谈判文件的要求签字、签章和加盖单位公章，实质性条款是否满足谈判文件要求，谈判响应文件中所附资格证明等资料是否齐全、有效且是否满足谈判文件要求。</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4、请按照谈判文件要求密封谈判响应文件，并正确标记。</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提示：谈判响应文件若不满足以上条件将有被否决的风险。</w:t>
      </w:r>
    </w:p>
    <w:p>
      <w:pPr>
        <w:spacing w:line="460" w:lineRule="atLeast"/>
        <w:rPr>
          <w:rFonts w:hint="eastAsia" w:ascii="宋体" w:hAnsi="宋体" w:eastAsia="宋体" w:cs="宋体"/>
          <w:b/>
          <w:bCs/>
          <w:sz w:val="24"/>
          <w:szCs w:val="24"/>
        </w:rPr>
      </w:pPr>
      <w:r>
        <w:rPr>
          <w:rFonts w:hint="eastAsia" w:ascii="宋体" w:hAnsi="宋体" w:eastAsia="宋体" w:cs="宋体"/>
          <w:b/>
          <w:bCs/>
          <w:sz w:val="24"/>
          <w:szCs w:val="24"/>
        </w:rPr>
        <w:t>二、有关开标</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1、请务必考虑天气情况、交通情况以及您对开标地址的路线熟悉等情况于谈判公告规定的时间及地点递交谈判响应文件，谈判响应文件逾期到达，将被拒绝接收。</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2、请到达文件递交地点后及时到谈判响应文件接收处签字登记。</w:t>
      </w:r>
    </w:p>
    <w:p>
      <w:pPr>
        <w:spacing w:line="460" w:lineRule="atLeast"/>
        <w:rPr>
          <w:rFonts w:hint="eastAsia" w:ascii="宋体" w:hAnsi="宋体" w:eastAsia="宋体" w:cs="宋体"/>
          <w:b/>
          <w:bCs/>
          <w:sz w:val="24"/>
          <w:szCs w:val="24"/>
        </w:rPr>
      </w:pPr>
      <w:r>
        <w:rPr>
          <w:rFonts w:hint="eastAsia" w:ascii="宋体" w:hAnsi="宋体" w:eastAsia="宋体" w:cs="宋体"/>
          <w:b/>
          <w:bCs/>
          <w:sz w:val="24"/>
          <w:szCs w:val="24"/>
        </w:rPr>
        <w:t>三、关于弃标的说明</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若您因为一些特殊原因不能参加本次竞争性谈判活动，请务必以书面形式告知我们，以便我们正常开展后期工作，同时也避免再次打扰您，感谢您的配合。</w:t>
      </w:r>
    </w:p>
    <w:p>
      <w:pPr>
        <w:spacing w:line="460" w:lineRule="atLeast"/>
        <w:rPr>
          <w:rFonts w:hint="eastAsia" w:ascii="宋体" w:hAnsi="宋体" w:eastAsia="宋体" w:cs="宋体"/>
          <w:b/>
          <w:bCs/>
          <w:sz w:val="24"/>
          <w:szCs w:val="24"/>
        </w:rPr>
      </w:pPr>
      <w:r>
        <w:rPr>
          <w:rFonts w:hint="eastAsia" w:ascii="宋体" w:hAnsi="宋体" w:eastAsia="宋体" w:cs="宋体"/>
          <w:b/>
          <w:bCs/>
          <w:sz w:val="24"/>
          <w:szCs w:val="24"/>
        </w:rPr>
        <w:t>四、关于供应商注册登记提醒</w:t>
      </w:r>
    </w:p>
    <w:p>
      <w:pPr>
        <w:spacing w:line="46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根据陕西省财政厅关于政府采购供应商注册登记有关事项的通知，如所投本项目的投标人未在陕西省政府采购网</w:t>
      </w:r>
      <w:r>
        <w:rPr>
          <w:rFonts w:hint="eastAsia" w:ascii="宋体" w:hAnsi="宋体" w:eastAsia="宋体" w:cs="宋体"/>
          <w:b/>
          <w:bCs/>
          <w:szCs w:val="21"/>
        </w:rPr>
        <w:t>（http://www.ccgp-shaanxi.gov.cn/）</w:t>
      </w:r>
      <w:r>
        <w:rPr>
          <w:rFonts w:hint="eastAsia" w:ascii="宋体" w:hAnsi="宋体" w:eastAsia="宋体" w:cs="宋体"/>
          <w:b/>
          <w:bCs/>
          <w:sz w:val="24"/>
          <w:szCs w:val="24"/>
        </w:rPr>
        <w:t>注册登记加入陕西省政府采购供应商库的，应按要求及时办理注册登记，并接受财政部门监督管理。</w:t>
      </w:r>
    </w:p>
    <w:p>
      <w:pPr>
        <w:spacing w:line="46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请各投标单位仔细阅读上述提示。如需帮助，请您与我们的工作人员联系，我们将非常高兴地为您服务。</w:t>
      </w:r>
    </w:p>
    <w:p>
      <w:pPr>
        <w:spacing w:line="360" w:lineRule="auto"/>
        <w:jc w:val="center"/>
        <w:rPr>
          <w:rFonts w:hint="eastAsia" w:ascii="宋体" w:hAnsi="宋体" w:eastAsia="宋体" w:cs="宋体"/>
          <w:b/>
          <w:bCs/>
          <w:sz w:val="32"/>
          <w:szCs w:val="32"/>
        </w:rPr>
        <w:sectPr>
          <w:footerReference r:id="rId6" w:type="default"/>
          <w:pgSz w:w="11906" w:h="16838"/>
          <w:pgMar w:top="1417" w:right="1417" w:bottom="1417" w:left="1701" w:header="851" w:footer="992" w:gutter="0"/>
          <w:pgNumType w:start="1"/>
          <w:cols w:space="720" w:num="1"/>
          <w:docGrid w:type="lines" w:linePitch="312" w:charSpace="0"/>
        </w:sectPr>
      </w:pPr>
    </w:p>
    <w:p>
      <w:pPr>
        <w:pStyle w:val="12"/>
        <w:rPr>
          <w:rFonts w:hint="eastAsia" w:ascii="宋体" w:hAnsi="宋体" w:eastAsia="宋体" w:cs="宋体"/>
        </w:rPr>
      </w:pPr>
    </w:p>
    <w:p>
      <w:pPr>
        <w:pStyle w:val="12"/>
        <w:rPr>
          <w:rFonts w:hint="eastAsia" w:ascii="宋体" w:hAnsi="宋体" w:eastAsia="宋体" w:cs="宋体"/>
          <w:lang w:val="zh-CN"/>
        </w:rPr>
      </w:pPr>
    </w:p>
    <w:p>
      <w:pPr>
        <w:tabs>
          <w:tab w:val="left" w:pos="525"/>
        </w:tabs>
        <w:spacing w:after="100" w:afterAutospacing="1"/>
        <w:ind w:left="-2" w:leftChars="-1"/>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目  录</w:t>
      </w:r>
      <w:bookmarkEnd w:id="1"/>
    </w:p>
    <w:p>
      <w:pPr>
        <w:rPr>
          <w:rFonts w:hint="eastAsia" w:ascii="宋体" w:hAnsi="宋体" w:eastAsia="宋体" w:cs="宋体"/>
          <w:lang w:val="zh-CN"/>
        </w:rPr>
      </w:pPr>
    </w:p>
    <w:p>
      <w:pPr>
        <w:pStyle w:val="20"/>
        <w:tabs>
          <w:tab w:val="right" w:leader="dot" w:pos="8788"/>
        </w:tabs>
        <w:spacing w:line="900" w:lineRule="exact"/>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"1-3" \h \u </w:instrText>
      </w:r>
      <w:r>
        <w:rPr>
          <w:rFonts w:hint="eastAsia" w:ascii="宋体" w:hAnsi="宋体" w:eastAsia="宋体" w:cs="宋体"/>
          <w:sz w:val="30"/>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"_Toc29766" </w:instrText>
      </w:r>
      <w:r>
        <w:rPr>
          <w:rFonts w:hint="eastAsia" w:ascii="宋体" w:hAnsi="宋体" w:eastAsia="宋体" w:cs="宋体"/>
        </w:rPr>
        <w:fldChar w:fldCharType="separate"/>
      </w:r>
      <w:r>
        <w:rPr>
          <w:rFonts w:hint="eastAsia" w:ascii="宋体" w:hAnsi="宋体" w:eastAsia="宋体" w:cs="宋体"/>
          <w:bCs/>
          <w:sz w:val="30"/>
          <w:szCs w:val="30"/>
        </w:rPr>
        <w:t>第一章 竞争性谈判公告</w:t>
      </w:r>
      <w:r>
        <w:rPr>
          <w:rFonts w:hint="eastAsia" w:ascii="宋体" w:hAnsi="宋体" w:eastAsia="宋体" w:cs="宋体"/>
          <w:sz w:val="30"/>
          <w:szCs w:val="30"/>
        </w:rPr>
        <w:tab/>
      </w:r>
      <w:r>
        <w:rPr>
          <w:rFonts w:hint="eastAsia" w:ascii="宋体" w:hAnsi="宋体" w:eastAsia="宋体" w:cs="宋体"/>
          <w:sz w:val="30"/>
          <w:szCs w:val="30"/>
          <w:lang w:val="en-US" w:eastAsia="zh-CN"/>
        </w:rPr>
        <w:t>1</w:t>
      </w:r>
      <w:r>
        <w:rPr>
          <w:rFonts w:hint="eastAsia" w:ascii="宋体" w:hAnsi="宋体" w:eastAsia="宋体" w:cs="宋体"/>
          <w:sz w:val="30"/>
          <w:szCs w:val="30"/>
        </w:rPr>
        <w:fldChar w:fldCharType="end"/>
      </w:r>
    </w:p>
    <w:p>
      <w:pPr>
        <w:pStyle w:val="20"/>
        <w:tabs>
          <w:tab w:val="right" w:leader="dot" w:pos="8788"/>
        </w:tabs>
        <w:spacing w:line="900" w:lineRule="exact"/>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"_Toc21911" </w:instrText>
      </w:r>
      <w:r>
        <w:rPr>
          <w:rFonts w:hint="eastAsia" w:ascii="宋体" w:hAnsi="宋体" w:eastAsia="宋体" w:cs="宋体"/>
        </w:rPr>
        <w:fldChar w:fldCharType="separate"/>
      </w:r>
      <w:r>
        <w:rPr>
          <w:rFonts w:hint="eastAsia" w:ascii="宋体" w:hAnsi="宋体" w:eastAsia="宋体" w:cs="宋体"/>
          <w:bCs/>
          <w:sz w:val="30"/>
          <w:szCs w:val="30"/>
        </w:rPr>
        <w:t>第二章 供应商须知</w:t>
      </w:r>
      <w:r>
        <w:rPr>
          <w:rFonts w:hint="eastAsia" w:ascii="宋体" w:hAnsi="宋体" w:eastAsia="宋体" w:cs="宋体"/>
          <w:sz w:val="30"/>
          <w:szCs w:val="30"/>
        </w:rPr>
        <w:tab/>
      </w:r>
      <w:r>
        <w:rPr>
          <w:rFonts w:hint="eastAsia" w:ascii="宋体" w:hAnsi="宋体" w:eastAsia="宋体" w:cs="宋体"/>
          <w:sz w:val="30"/>
          <w:szCs w:val="30"/>
          <w:lang w:val="en-US" w:eastAsia="zh-CN"/>
        </w:rPr>
        <w:t>4</w:t>
      </w:r>
      <w:r>
        <w:rPr>
          <w:rFonts w:hint="eastAsia" w:ascii="宋体" w:hAnsi="宋体" w:eastAsia="宋体" w:cs="宋体"/>
          <w:sz w:val="30"/>
          <w:szCs w:val="30"/>
        </w:rPr>
        <w:fldChar w:fldCharType="end"/>
      </w:r>
    </w:p>
    <w:p>
      <w:pPr>
        <w:pStyle w:val="20"/>
        <w:tabs>
          <w:tab w:val="right" w:leader="dot" w:pos="8788"/>
        </w:tabs>
        <w:spacing w:line="900" w:lineRule="exact"/>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"_Toc8912" </w:instrText>
      </w:r>
      <w:r>
        <w:rPr>
          <w:rFonts w:hint="eastAsia" w:ascii="宋体" w:hAnsi="宋体" w:eastAsia="宋体" w:cs="宋体"/>
        </w:rPr>
        <w:fldChar w:fldCharType="separate"/>
      </w:r>
      <w:r>
        <w:rPr>
          <w:rFonts w:hint="eastAsia" w:ascii="宋体" w:hAnsi="宋体" w:eastAsia="宋体" w:cs="宋体"/>
          <w:bCs/>
          <w:sz w:val="30"/>
          <w:szCs w:val="30"/>
        </w:rPr>
        <w:t>第三章 合同条款及格式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_Toc8912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lang w:val="en-US" w:eastAsia="zh-CN"/>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0"/>
        <w:tabs>
          <w:tab w:val="right" w:leader="dot" w:pos="8788"/>
        </w:tabs>
        <w:spacing w:line="900" w:lineRule="exact"/>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"_Toc32341" </w:instrText>
      </w:r>
      <w:r>
        <w:rPr>
          <w:rFonts w:hint="eastAsia" w:ascii="宋体" w:hAnsi="宋体" w:eastAsia="宋体" w:cs="宋体"/>
        </w:rPr>
        <w:fldChar w:fldCharType="separate"/>
      </w:r>
      <w:r>
        <w:rPr>
          <w:rFonts w:hint="eastAsia" w:ascii="宋体" w:hAnsi="宋体" w:eastAsia="宋体" w:cs="宋体"/>
          <w:bCs/>
          <w:sz w:val="30"/>
          <w:szCs w:val="30"/>
        </w:rPr>
        <w:t>第四章</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竞争性谈判内容及服务要求</w:t>
      </w:r>
      <w:r>
        <w:rPr>
          <w:rFonts w:hint="eastAsia" w:ascii="宋体" w:hAnsi="宋体" w:eastAsia="宋体" w:cs="宋体"/>
          <w:sz w:val="30"/>
          <w:szCs w:val="30"/>
        </w:rPr>
        <w:tab/>
      </w:r>
      <w:r>
        <w:rPr>
          <w:rFonts w:hint="eastAsia" w:ascii="宋体" w:hAnsi="宋体" w:eastAsia="宋体" w:cs="宋体"/>
          <w:sz w:val="30"/>
          <w:szCs w:val="30"/>
          <w:lang w:val="en-US" w:eastAsia="zh-CN"/>
        </w:rPr>
        <w:t>2</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7</w:t>
      </w:r>
    </w:p>
    <w:p>
      <w:pPr>
        <w:pStyle w:val="20"/>
        <w:tabs>
          <w:tab w:val="right" w:leader="dot" w:pos="8788"/>
        </w:tabs>
        <w:spacing w:line="900" w:lineRule="exact"/>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"_Toc22294" </w:instrText>
      </w:r>
      <w:r>
        <w:rPr>
          <w:rFonts w:hint="eastAsia" w:ascii="宋体" w:hAnsi="宋体" w:eastAsia="宋体" w:cs="宋体"/>
        </w:rPr>
        <w:fldChar w:fldCharType="separate"/>
      </w:r>
      <w:r>
        <w:rPr>
          <w:rFonts w:hint="eastAsia" w:ascii="宋体" w:hAnsi="宋体" w:eastAsia="宋体" w:cs="宋体"/>
          <w:bCs/>
          <w:sz w:val="30"/>
          <w:szCs w:val="30"/>
        </w:rPr>
        <w:t>第五章 评审方法</w:t>
      </w:r>
      <w:r>
        <w:rPr>
          <w:rFonts w:hint="eastAsia" w:ascii="宋体" w:hAnsi="宋体" w:eastAsia="宋体" w:cs="宋体"/>
          <w:sz w:val="30"/>
          <w:szCs w:val="30"/>
        </w:rPr>
        <w:tab/>
      </w:r>
      <w:r>
        <w:rPr>
          <w:rFonts w:hint="eastAsia" w:ascii="宋体" w:hAnsi="宋体" w:eastAsia="宋体" w:cs="宋体"/>
          <w:sz w:val="30"/>
          <w:szCs w:val="30"/>
          <w:lang w:val="en-US" w:eastAsia="zh-CN"/>
        </w:rPr>
        <w:t>2</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8</w:t>
      </w:r>
    </w:p>
    <w:p>
      <w:pPr>
        <w:pStyle w:val="20"/>
        <w:tabs>
          <w:tab w:val="right" w:leader="dot" w:pos="8788"/>
        </w:tabs>
        <w:spacing w:line="900" w:lineRule="exact"/>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"_Toc20805" </w:instrText>
      </w:r>
      <w:r>
        <w:rPr>
          <w:rFonts w:hint="eastAsia" w:ascii="宋体" w:hAnsi="宋体" w:eastAsia="宋体" w:cs="宋体"/>
        </w:rPr>
        <w:fldChar w:fldCharType="separate"/>
      </w:r>
      <w:r>
        <w:rPr>
          <w:rFonts w:hint="eastAsia" w:ascii="宋体" w:hAnsi="宋体" w:eastAsia="宋体" w:cs="宋体"/>
          <w:bCs/>
          <w:sz w:val="30"/>
          <w:szCs w:val="30"/>
        </w:rPr>
        <w:t>第六章 竞争性谈判响应文件格式及构成</w:t>
      </w:r>
      <w:r>
        <w:rPr>
          <w:rFonts w:hint="eastAsia" w:ascii="宋体" w:hAnsi="宋体" w:eastAsia="宋体" w:cs="宋体"/>
          <w:sz w:val="30"/>
          <w:szCs w:val="30"/>
        </w:rPr>
        <w:tab/>
      </w:r>
      <w:r>
        <w:rPr>
          <w:rFonts w:hint="eastAsia" w:ascii="宋体" w:hAnsi="宋体" w:eastAsia="宋体" w:cs="宋体"/>
          <w:sz w:val="30"/>
          <w:szCs w:val="30"/>
          <w:lang w:val="en-US" w:eastAsia="zh-CN"/>
        </w:rPr>
        <w:t>3</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5</w:t>
      </w:r>
    </w:p>
    <w:p>
      <w:pPr>
        <w:spacing w:line="900" w:lineRule="exact"/>
        <w:rPr>
          <w:rFonts w:hint="eastAsia" w:ascii="宋体" w:hAnsi="宋体" w:eastAsia="宋体" w:cs="宋体"/>
          <w:sz w:val="30"/>
          <w:szCs w:val="30"/>
        </w:rPr>
      </w:pPr>
      <w:r>
        <w:rPr>
          <w:rFonts w:hint="eastAsia" w:ascii="宋体" w:hAnsi="宋体" w:eastAsia="宋体" w:cs="宋体"/>
          <w:sz w:val="30"/>
          <w:szCs w:val="30"/>
        </w:rPr>
        <w:fldChar w:fldCharType="end"/>
      </w:r>
    </w:p>
    <w:p>
      <w:pPr>
        <w:rPr>
          <w:rFonts w:hint="eastAsia" w:ascii="宋体" w:hAnsi="宋体" w:eastAsia="宋体" w:cs="宋体"/>
          <w:sz w:val="36"/>
          <w:szCs w:val="36"/>
        </w:rPr>
      </w:pPr>
    </w:p>
    <w:p>
      <w:pPr>
        <w:tabs>
          <w:tab w:val="left" w:pos="525"/>
        </w:tabs>
        <w:ind w:left="-2" w:leftChars="-1" w:firstLine="1"/>
        <w:jc w:val="center"/>
        <w:rPr>
          <w:rFonts w:hint="eastAsia" w:ascii="宋体" w:hAnsi="宋体" w:eastAsia="宋体" w:cs="宋体"/>
          <w:b/>
          <w:bCs/>
          <w:sz w:val="30"/>
          <w:szCs w:val="30"/>
        </w:rPr>
      </w:pPr>
    </w:p>
    <w:p>
      <w:pPr>
        <w:spacing w:line="360" w:lineRule="auto"/>
        <w:ind w:right="240"/>
        <w:jc w:val="center"/>
        <w:rPr>
          <w:rFonts w:hint="eastAsia" w:ascii="宋体" w:hAnsi="宋体" w:eastAsia="宋体" w:cs="宋体"/>
          <w:sz w:val="24"/>
          <w:szCs w:val="24"/>
        </w:rPr>
      </w:pPr>
      <w:bookmarkStart w:id="2" w:name="_Toc393284672"/>
      <w:bookmarkStart w:id="3" w:name="_Toc389836551"/>
      <w:bookmarkStart w:id="4" w:name="_Toc393284379"/>
    </w:p>
    <w:p>
      <w:pPr>
        <w:spacing w:line="360" w:lineRule="auto"/>
        <w:jc w:val="center"/>
        <w:rPr>
          <w:rFonts w:hint="eastAsia" w:ascii="宋体" w:hAnsi="宋体" w:eastAsia="宋体" w:cs="宋体"/>
          <w:b/>
          <w:sz w:val="36"/>
        </w:rPr>
      </w:pPr>
    </w:p>
    <w:p>
      <w:pPr>
        <w:spacing w:line="360" w:lineRule="auto"/>
        <w:rPr>
          <w:rFonts w:hint="eastAsia" w:ascii="宋体" w:hAnsi="宋体" w:eastAsia="宋体" w:cs="宋体"/>
          <w:b/>
          <w:sz w:val="36"/>
        </w:rPr>
      </w:pPr>
    </w:p>
    <w:p>
      <w:pPr>
        <w:keepLines/>
        <w:pageBreakBefore/>
        <w:tabs>
          <w:tab w:val="left" w:pos="525"/>
        </w:tabs>
        <w:spacing w:afterLines="50" w:line="360" w:lineRule="auto"/>
        <w:jc w:val="center"/>
        <w:outlineLvl w:val="0"/>
        <w:rPr>
          <w:rFonts w:hint="eastAsia" w:ascii="宋体" w:hAnsi="宋体" w:eastAsia="宋体" w:cs="宋体"/>
          <w:b/>
          <w:sz w:val="36"/>
          <w:szCs w:val="36"/>
        </w:rPr>
        <w:sectPr>
          <w:headerReference r:id="rId7" w:type="default"/>
          <w:footerReference r:id="rId8" w:type="default"/>
          <w:pgSz w:w="11907" w:h="16840"/>
          <w:pgMar w:top="1418" w:right="1386" w:bottom="1418" w:left="1701" w:header="1134" w:footer="851" w:gutter="0"/>
          <w:pgNumType w:start="2"/>
          <w:cols w:space="720" w:num="1"/>
          <w:docGrid w:linePitch="286" w:charSpace="0"/>
        </w:sectPr>
      </w:pPr>
      <w:bookmarkStart w:id="5" w:name="_Toc425781306"/>
      <w:bookmarkStart w:id="6" w:name="_Toc409690875"/>
      <w:bookmarkStart w:id="7" w:name="_Toc405358614"/>
    </w:p>
    <w:bookmarkEnd w:id="5"/>
    <w:p>
      <w:pPr>
        <w:widowControl/>
        <w:spacing w:line="360" w:lineRule="auto"/>
        <w:ind w:firstLine="482" w:firstLineChars="150"/>
        <w:jc w:val="center"/>
        <w:outlineLvl w:val="0"/>
        <w:rPr>
          <w:rFonts w:hint="eastAsia" w:ascii="宋体" w:hAnsi="宋体" w:eastAsia="宋体" w:cs="宋体"/>
          <w:b/>
          <w:bCs/>
          <w:sz w:val="32"/>
          <w:szCs w:val="32"/>
        </w:rPr>
      </w:pPr>
      <w:bookmarkStart w:id="8" w:name="_Toc452384741"/>
      <w:bookmarkStart w:id="9" w:name="_Toc2360"/>
      <w:bookmarkStart w:id="10" w:name="_Toc1988"/>
      <w:bookmarkStart w:id="11" w:name="_Toc27034"/>
      <w:bookmarkStart w:id="12" w:name="_Toc21911"/>
      <w:bookmarkStart w:id="13" w:name="_Toc425781307"/>
      <w:r>
        <w:rPr>
          <w:rFonts w:hint="eastAsia" w:ascii="宋体" w:hAnsi="宋体" w:eastAsia="宋体" w:cs="宋体"/>
          <w:b/>
          <w:bCs/>
          <w:sz w:val="32"/>
          <w:szCs w:val="32"/>
        </w:rPr>
        <w:t>第一章</w:t>
      </w:r>
      <w:bookmarkEnd w:id="8"/>
      <w:bookmarkEnd w:id="9"/>
      <w:r>
        <w:rPr>
          <w:rFonts w:hint="eastAsia" w:ascii="宋体" w:hAnsi="宋体" w:eastAsia="宋体" w:cs="宋体"/>
          <w:b/>
          <w:bCs/>
          <w:sz w:val="32"/>
          <w:szCs w:val="32"/>
        </w:rPr>
        <w:t xml:space="preserve">  竞争性谈判公告</w:t>
      </w:r>
      <w:bookmarkEnd w:id="10"/>
      <w:bookmarkEnd w:id="11"/>
    </w:p>
    <w:p>
      <w:pPr>
        <w:keepNext w:val="0"/>
        <w:keepLines w:val="0"/>
        <w:pageBreakBefore w:val="0"/>
        <w:kinsoku/>
        <w:overflowPunct/>
        <w:topLinePunct w:val="0"/>
        <w:autoSpaceDE/>
        <w:autoSpaceDN/>
        <w:bidi w:val="0"/>
        <w:adjustRightInd/>
        <w:snapToGrid/>
        <w:spacing w:line="460" w:lineRule="exact"/>
        <w:rPr>
          <w:rFonts w:hint="eastAsia" w:ascii="宋体" w:hAnsi="宋体" w:eastAsia="宋体" w:cs="宋体"/>
          <w:b/>
          <w:bCs/>
          <w:sz w:val="24"/>
          <w:szCs w:val="24"/>
        </w:rPr>
      </w:pPr>
      <w:r>
        <w:rPr>
          <w:rFonts w:hint="eastAsia" w:ascii="宋体" w:hAnsi="宋体" w:eastAsia="宋体" w:cs="宋体"/>
          <w:b/>
          <w:bCs/>
          <w:sz w:val="24"/>
          <w:szCs w:val="24"/>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bookmarkStart w:id="109" w:name="_GoBack"/>
      <w:bookmarkEnd w:id="109"/>
      <w:r>
        <w:rPr>
          <w:rFonts w:hint="eastAsia" w:ascii="宋体" w:hAnsi="宋体" w:cs="宋体"/>
          <w:i w:val="0"/>
          <w:iCs w:val="0"/>
          <w:caps w:val="0"/>
          <w:color w:val="333333"/>
          <w:spacing w:val="0"/>
          <w:sz w:val="24"/>
          <w:szCs w:val="24"/>
          <w:shd w:val="clear" w:fill="FFFFFF"/>
          <w:vertAlign w:val="baseline"/>
          <w:lang w:eastAsia="zh-CN"/>
        </w:rPr>
        <w:t>黄陵县城城乡生活垃圾收运处置体系规划采购项目</w:t>
      </w:r>
      <w:r>
        <w:rPr>
          <w:rFonts w:hint="eastAsia" w:ascii="宋体" w:hAnsi="宋体" w:eastAsia="宋体" w:cs="宋体"/>
          <w:i w:val="0"/>
          <w:iCs w:val="0"/>
          <w:caps w:val="0"/>
          <w:color w:val="333333"/>
          <w:spacing w:val="0"/>
          <w:sz w:val="24"/>
          <w:szCs w:val="24"/>
          <w:shd w:val="clear" w:fill="FFFFFF"/>
          <w:vertAlign w:val="baseline"/>
        </w:rPr>
        <w:t>的潜在供应商应在黄陵县轩辕大道原石油公司办公楼二楼获取采购文件，并于</w:t>
      </w:r>
      <w:r>
        <w:rPr>
          <w:rFonts w:hint="eastAsia" w:ascii="宋体" w:hAnsi="宋体" w:cs="宋体"/>
          <w:i w:val="0"/>
          <w:iCs w:val="0"/>
          <w:caps w:val="0"/>
          <w:color w:val="333333"/>
          <w:spacing w:val="0"/>
          <w:sz w:val="24"/>
          <w:szCs w:val="24"/>
          <w:shd w:val="clear" w:fill="FFFFFF"/>
          <w:vertAlign w:val="baseline"/>
          <w:lang w:eastAsia="zh-CN"/>
        </w:rPr>
        <w:t>2022年11月30日 09时30分</w:t>
      </w:r>
      <w:r>
        <w:rPr>
          <w:rFonts w:hint="eastAsia" w:ascii="宋体" w:hAnsi="宋体" w:eastAsia="宋体" w:cs="宋体"/>
          <w:i w:val="0"/>
          <w:iCs w:val="0"/>
          <w:caps w:val="0"/>
          <w:color w:val="333333"/>
          <w:spacing w:val="0"/>
          <w:sz w:val="24"/>
          <w:szCs w:val="24"/>
          <w:shd w:val="clear" w:fill="FFFFFF"/>
          <w:vertAlign w:val="baseline"/>
        </w:rPr>
        <w:t>（北京时间）前提交响应文件。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60" w:lineRule="exact"/>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cs="宋体"/>
          <w:i w:val="0"/>
          <w:iCs w:val="0"/>
          <w:caps w:val="0"/>
          <w:color w:val="333333"/>
          <w:spacing w:val="0"/>
          <w:sz w:val="24"/>
          <w:szCs w:val="24"/>
          <w:shd w:val="clear" w:fill="FFFFFF"/>
          <w:vertAlign w:val="baseline"/>
          <w:lang w:eastAsia="zh-CN"/>
        </w:rPr>
        <w:t>ZHGJ-2022-192</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cs="宋体"/>
          <w:i w:val="0"/>
          <w:iCs w:val="0"/>
          <w:caps w:val="0"/>
          <w:color w:val="333333"/>
          <w:spacing w:val="0"/>
          <w:sz w:val="24"/>
          <w:szCs w:val="24"/>
          <w:shd w:val="clear" w:fill="FFFFFF"/>
          <w:vertAlign w:val="baseline"/>
          <w:lang w:eastAsia="zh-CN"/>
        </w:rPr>
        <w:t>黄陵县城城乡生活垃圾收运处置体系规划</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cs="宋体"/>
          <w:i w:val="0"/>
          <w:iCs w:val="0"/>
          <w:caps w:val="0"/>
          <w:color w:val="333333"/>
          <w:spacing w:val="0"/>
          <w:sz w:val="24"/>
          <w:szCs w:val="24"/>
          <w:shd w:val="clear" w:fill="FFFFFF"/>
          <w:vertAlign w:val="baseline"/>
          <w:lang w:eastAsia="zh-CN"/>
        </w:rPr>
        <w:t>500,000.00</w:t>
      </w:r>
      <w:r>
        <w:rPr>
          <w:rFonts w:hint="eastAsia" w:ascii="宋体" w:hAnsi="宋体" w:eastAsia="宋体" w:cs="宋体"/>
          <w:i w:val="0"/>
          <w:iCs w:val="0"/>
          <w:caps w:val="0"/>
          <w:color w:val="333333"/>
          <w:spacing w:val="0"/>
          <w:sz w:val="24"/>
          <w:szCs w:val="24"/>
          <w:shd w:val="clear" w:fill="FFFFFF"/>
          <w:vertAlign w:val="baseline"/>
        </w:rPr>
        <w:t>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黄陵县城城乡生活垃圾收运处置体系规划</w:t>
      </w:r>
      <w:r>
        <w:rPr>
          <w:rFonts w:hint="eastAsia" w:ascii="宋体" w:hAnsi="宋体" w:eastAsia="宋体" w:cs="宋体"/>
          <w:i w:val="0"/>
          <w:iCs w:val="0"/>
          <w:caps w:val="0"/>
          <w:color w:val="333333"/>
          <w:spacing w:val="0"/>
          <w:sz w:val="24"/>
          <w:szCs w:val="24"/>
          <w:shd w:val="clear" w:fill="FFFFFF"/>
          <w:vertAlign w:val="baseline"/>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cs="宋体"/>
          <w:i w:val="0"/>
          <w:iCs w:val="0"/>
          <w:caps w:val="0"/>
          <w:color w:val="333333"/>
          <w:spacing w:val="0"/>
          <w:sz w:val="24"/>
          <w:szCs w:val="24"/>
          <w:shd w:val="clear" w:fill="FFFFFF"/>
          <w:vertAlign w:val="baseline"/>
          <w:lang w:eastAsia="zh-CN"/>
        </w:rPr>
        <w:t>500,000.00</w:t>
      </w:r>
      <w:r>
        <w:rPr>
          <w:rFonts w:hint="eastAsia" w:ascii="宋体" w:hAnsi="宋体" w:eastAsia="宋体" w:cs="宋体"/>
          <w:i w:val="0"/>
          <w:iCs w:val="0"/>
          <w:caps w:val="0"/>
          <w:color w:val="333333"/>
          <w:spacing w:val="0"/>
          <w:sz w:val="24"/>
          <w:szCs w:val="24"/>
          <w:shd w:val="clear" w:fill="FFFFFF"/>
          <w:vertAlign w:val="baseline"/>
        </w:rPr>
        <w:t>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cs="宋体"/>
          <w:i w:val="0"/>
          <w:iCs w:val="0"/>
          <w:caps w:val="0"/>
          <w:color w:val="333333"/>
          <w:spacing w:val="0"/>
          <w:sz w:val="24"/>
          <w:szCs w:val="24"/>
          <w:shd w:val="clear" w:fill="FFFFFF"/>
          <w:vertAlign w:val="baseline"/>
          <w:lang w:eastAsia="zh-CN"/>
        </w:rPr>
        <w:t>500,000.00</w:t>
      </w:r>
      <w:r>
        <w:rPr>
          <w:rFonts w:hint="eastAsia" w:ascii="宋体" w:hAnsi="宋体" w:eastAsia="宋体" w:cs="宋体"/>
          <w:i w:val="0"/>
          <w:iCs w:val="0"/>
          <w:caps w:val="0"/>
          <w:color w:val="333333"/>
          <w:spacing w:val="0"/>
          <w:sz w:val="24"/>
          <w:szCs w:val="24"/>
          <w:shd w:val="clear" w:fill="FFFFFF"/>
          <w:vertAlign w:val="baseline"/>
        </w:rPr>
        <w:t>元</w:t>
      </w:r>
    </w:p>
    <w:tbl>
      <w:tblPr>
        <w:tblStyle w:val="29"/>
        <w:tblW w:w="9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2"/>
        <w:gridCol w:w="1578"/>
        <w:gridCol w:w="2812"/>
        <w:gridCol w:w="805"/>
        <w:gridCol w:w="1269"/>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2" w:hRule="atLeast"/>
          <w:tblHeader/>
        </w:trPr>
        <w:tc>
          <w:tcPr>
            <w:tcW w:w="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2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城市规划和设计服务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lang w:eastAsia="zh-CN"/>
              </w:rPr>
            </w:pPr>
            <w:r>
              <w:rPr>
                <w:rFonts w:hint="eastAsia" w:ascii="宋体" w:hAnsi="宋体" w:cs="宋体"/>
                <w:sz w:val="24"/>
                <w:szCs w:val="24"/>
                <w:lang w:eastAsia="zh-CN"/>
              </w:rPr>
              <w:t>黄陵县城城乡生活垃圾收运处置体系规划</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center"/>
              <w:rPr>
                <w:rFonts w:hint="eastAsia" w:ascii="宋体" w:hAnsi="宋体" w:eastAsia="宋体" w:cs="宋体"/>
                <w:sz w:val="24"/>
                <w:szCs w:val="24"/>
              </w:rPr>
            </w:pPr>
            <w:r>
              <w:rPr>
                <w:rFonts w:hint="eastAsia" w:ascii="宋体" w:hAnsi="宋体" w:cs="宋体"/>
                <w:kern w:val="0"/>
                <w:sz w:val="24"/>
                <w:szCs w:val="24"/>
                <w:vertAlign w:val="baseline"/>
                <w:lang w:val="en-US" w:eastAsia="zh-CN" w:bidi="ar"/>
              </w:rPr>
              <w:t>500,000.00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center"/>
              <w:rPr>
                <w:rFonts w:hint="eastAsia" w:ascii="宋体" w:hAnsi="宋体" w:eastAsia="宋体" w:cs="宋体"/>
                <w:sz w:val="24"/>
                <w:szCs w:val="24"/>
              </w:rPr>
            </w:pPr>
            <w:r>
              <w:rPr>
                <w:rFonts w:hint="eastAsia" w:ascii="宋体" w:hAnsi="宋体" w:cs="宋体"/>
                <w:kern w:val="0"/>
                <w:sz w:val="24"/>
                <w:szCs w:val="24"/>
                <w:vertAlign w:val="baseline"/>
                <w:lang w:val="en-US" w:eastAsia="zh-CN" w:bidi="ar"/>
              </w:rPr>
              <w:t>500,000.00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cs="宋体"/>
          <w:i w:val="0"/>
          <w:iCs w:val="0"/>
          <w:caps w:val="0"/>
          <w:color w:val="333333"/>
          <w:spacing w:val="0"/>
          <w:sz w:val="24"/>
          <w:szCs w:val="24"/>
          <w:shd w:val="clear" w:fill="FFFFFF"/>
          <w:vertAlign w:val="baseline"/>
          <w:lang w:val="en-US" w:eastAsia="zh-CN"/>
        </w:rPr>
        <w:t>90</w:t>
      </w:r>
      <w:r>
        <w:rPr>
          <w:rFonts w:hint="eastAsia" w:ascii="宋体" w:hAnsi="宋体" w:eastAsia="宋体" w:cs="宋体"/>
          <w:i w:val="0"/>
          <w:iCs w:val="0"/>
          <w:caps w:val="0"/>
          <w:color w:val="333333"/>
          <w:spacing w:val="0"/>
          <w:sz w:val="24"/>
          <w:szCs w:val="24"/>
          <w:shd w:val="clear" w:fill="FFFFFF"/>
          <w:vertAlign w:val="baseline"/>
        </w:rPr>
        <w:t>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2"/>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黄陵县城城乡生活垃圾收运处置体系规划</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本项目为专门面向中小企业采购的采购项目。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（6）《关于促进残疾人就业政府采购政策的通知》（财库[2017]141号）；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（8）《财政部农业农村部 国家乡村振兴局关于运用政府采购政策支持乡村产业振兴的通知》（财库〔2021〕19 号）、《财政部农业农村部 国家乡村振兴局中华全国供销合作总社关于印发&lt;关于深入开展政府采购脱贫地区农副产品工作推进乡村产业振兴的实施意见&gt;的通知》（财库〔2021〕20号）；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（9）《关于进一步加大政府采购支持中小企业力度的通知》（财库〔2022〕19号）；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（10）《陕西省财政厅关于印发&lt;陕西省中小企业政府采购信用融资办法&gt;的通知》（陕财办采〔2018〕23号）。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（11）其他需要落实的政府采购政策。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黄陵县城城乡生活垃圾收运处置体系规划</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SA"/>
        </w:rPr>
      </w:pPr>
      <w:r>
        <w:rPr>
          <w:rFonts w:hint="eastAsia" w:ascii="宋体" w:hAnsi="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SA"/>
        </w:rPr>
        <w:t>、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供应商须具备工程设计综合资质甲级或市政行业工程设计乙级及以上资质或市政行业（燃气、轨道交通除外）乙级及以上资质，项目负责人须具备相关专业工程师及以上职称，且在本单位任职；（4）、提供谈判响应文件递交截止日前一年内已缴纳的至少一个月的纳税证明或完税证明，依法免税的单位应提供相关证明材料；（5）、提供谈判响应文件递交截止日前一年内已缴存的至少一个月的社会保障资金缴存单据或社保机构开具的社会保险参保缴费情况证明，依法不需要缴纳社会保障资金的单位应提供相关证明材料；（6）、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7）、参加政府活动近三年内，在经营活动中无重大违法记录的书面声明；（8）、供应商不得为中国执行信息公开网（http://zxgk.court.gov.cn/shixin/）失信被执行人及“信用中国”网站（www.creditchina.gov.cn）重大税收违法失信主体；不得为中国政府采购网（www.ccgp.gov.cn）政府采购严重违法失信行为记录名单中的供应商。（9）、单位负责人为同一人或者存在直接控股、管理关系的不同供应商，不得参加同一合同项下的政府采购活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32"/>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时间：2022年11月</w:t>
      </w:r>
      <w:r>
        <w:rPr>
          <w:rFonts w:hint="eastAsia" w:ascii="宋体" w:hAnsi="宋体" w:cs="宋体"/>
          <w:i w:val="0"/>
          <w:iCs w:val="0"/>
          <w:caps w:val="0"/>
          <w:color w:val="333333"/>
          <w:spacing w:val="0"/>
          <w:sz w:val="24"/>
          <w:szCs w:val="24"/>
          <w:shd w:val="clear" w:fill="FFFFFF"/>
          <w:vertAlign w:val="baseline"/>
          <w:lang w:val="en-US" w:eastAsia="zh-CN"/>
        </w:rPr>
        <w:t>23</w:t>
      </w:r>
      <w:r>
        <w:rPr>
          <w:rFonts w:hint="eastAsia" w:ascii="宋体" w:hAnsi="宋体" w:eastAsia="宋体" w:cs="宋体"/>
          <w:i w:val="0"/>
          <w:iCs w:val="0"/>
          <w:caps w:val="0"/>
          <w:color w:val="333333"/>
          <w:spacing w:val="0"/>
          <w:sz w:val="24"/>
          <w:szCs w:val="24"/>
          <w:shd w:val="clear" w:fill="FFFFFF"/>
          <w:vertAlign w:val="baseline"/>
        </w:rPr>
        <w:t>日至2022年11月</w:t>
      </w:r>
      <w:r>
        <w:rPr>
          <w:rFonts w:hint="eastAsia" w:ascii="宋体" w:hAnsi="宋体" w:cs="宋体"/>
          <w:i w:val="0"/>
          <w:iCs w:val="0"/>
          <w:caps w:val="0"/>
          <w:color w:val="333333"/>
          <w:spacing w:val="0"/>
          <w:sz w:val="24"/>
          <w:szCs w:val="24"/>
          <w:shd w:val="clear" w:fill="FFFFFF"/>
          <w:vertAlign w:val="baseline"/>
          <w:lang w:val="en-US" w:eastAsia="zh-CN"/>
        </w:rPr>
        <w:t>25</w:t>
      </w:r>
      <w:r>
        <w:rPr>
          <w:rFonts w:hint="eastAsia" w:ascii="宋体" w:hAnsi="宋体" w:eastAsia="宋体" w:cs="宋体"/>
          <w:i w:val="0"/>
          <w:iCs w:val="0"/>
          <w:caps w:val="0"/>
          <w:color w:val="333333"/>
          <w:spacing w:val="0"/>
          <w:sz w:val="24"/>
          <w:szCs w:val="24"/>
          <w:shd w:val="clear" w:fill="FFFFFF"/>
          <w:vertAlign w:val="baseline"/>
        </w:rPr>
        <w:t>日，每天上午08:00:00至12:00:00，下午14:00:00至17:30:00（北京时间）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途径：黄陵县轩辕大道原石油公司办公楼二楼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2"/>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cs="宋体"/>
          <w:i w:val="0"/>
          <w:iCs w:val="0"/>
          <w:caps w:val="0"/>
          <w:color w:val="333333"/>
          <w:spacing w:val="0"/>
          <w:sz w:val="24"/>
          <w:szCs w:val="24"/>
          <w:shd w:val="clear" w:fill="FFFFFF"/>
          <w:vertAlign w:val="baseline"/>
          <w:lang w:eastAsia="zh-CN"/>
        </w:rPr>
        <w:t>2022年11月30日 09时30分</w:t>
      </w:r>
      <w:r>
        <w:rPr>
          <w:rFonts w:hint="eastAsia" w:ascii="宋体" w:hAnsi="宋体" w:eastAsia="宋体" w:cs="宋体"/>
          <w:i w:val="0"/>
          <w:iCs w:val="0"/>
          <w:caps w:val="0"/>
          <w:color w:val="333333"/>
          <w:spacing w:val="0"/>
          <w:sz w:val="24"/>
          <w:szCs w:val="24"/>
          <w:shd w:val="clear" w:fill="FFFFFF"/>
          <w:vertAlign w:val="baseline"/>
        </w:rPr>
        <w:t>00秒（北京时间）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开标地点：黄陵县轩辕大道原石油公司办公楼二楼会议室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2"/>
          <w:rFonts w:hint="eastAsia" w:ascii="宋体" w:hAnsi="宋体" w:eastAsia="宋体" w:cs="宋体"/>
          <w:b/>
          <w:bCs/>
          <w:i w:val="0"/>
          <w:iCs w:val="0"/>
          <w:caps w:val="0"/>
          <w:color w:val="333333"/>
          <w:spacing w:val="0"/>
          <w:sz w:val="24"/>
          <w:szCs w:val="24"/>
          <w:shd w:val="clear" w:fill="FFFFFF"/>
          <w:vertAlign w:val="baseline"/>
        </w:rPr>
        <w:t>五、公告期限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2"/>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注：购买竞争性谈判文件请携带单位介绍信原件,经办人身份证原件及加盖供应商公章的复印件。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2"/>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cs="宋体"/>
          <w:i w:val="0"/>
          <w:iCs w:val="0"/>
          <w:caps w:val="0"/>
          <w:color w:val="333333"/>
          <w:spacing w:val="0"/>
          <w:sz w:val="24"/>
          <w:szCs w:val="24"/>
          <w:shd w:val="clear" w:fill="FFFFFF"/>
          <w:vertAlign w:val="baseline"/>
          <w:lang w:eastAsia="zh-CN"/>
        </w:rPr>
        <w:t>黄陵县住房和城乡建设局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地址：黄陵县中心广场</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cs="宋体"/>
          <w:i w:val="0"/>
          <w:iCs w:val="0"/>
          <w:caps w:val="0"/>
          <w:color w:val="333333"/>
          <w:spacing w:val="0"/>
          <w:sz w:val="24"/>
          <w:szCs w:val="24"/>
          <w:shd w:val="clear" w:fill="FFFFFF"/>
          <w:vertAlign w:val="baseline"/>
          <w:lang w:eastAsia="zh-CN"/>
        </w:rPr>
        <w:t>18992166639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名称：陕西中桓国际项目管理有限公司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地址：陕西省西安市未央区凤城七路长和国际A座25层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联系方式：0911-5508077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cs="宋体"/>
          <w:i w:val="0"/>
          <w:iCs w:val="0"/>
          <w:caps w:val="0"/>
          <w:color w:val="333333"/>
          <w:spacing w:val="0"/>
          <w:sz w:val="24"/>
          <w:szCs w:val="24"/>
          <w:shd w:val="clear" w:fill="FFFFFF"/>
          <w:vertAlign w:val="baseline"/>
          <w:lang w:eastAsia="zh-CN"/>
        </w:rPr>
        <w:t>田甜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cs="宋体"/>
          <w:i w:val="0"/>
          <w:iCs w:val="0"/>
          <w:caps w:val="0"/>
          <w:color w:val="333333"/>
          <w:spacing w:val="0"/>
          <w:sz w:val="24"/>
          <w:szCs w:val="24"/>
          <w:shd w:val="clear" w:fill="FFFFFF"/>
          <w:vertAlign w:val="baseline"/>
          <w:lang w:val="en-US" w:eastAsia="zh-CN"/>
        </w:rPr>
        <w:t>13892190023</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陕西中桓国际项目管理有限公司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2022年11月</w:t>
      </w:r>
      <w:r>
        <w:rPr>
          <w:rFonts w:hint="eastAsia" w:ascii="宋体" w:hAnsi="宋体" w:cs="宋体"/>
          <w:i w:val="0"/>
          <w:iCs w:val="0"/>
          <w:caps w:val="0"/>
          <w:color w:val="333333"/>
          <w:spacing w:val="0"/>
          <w:sz w:val="24"/>
          <w:szCs w:val="24"/>
          <w:shd w:val="clear" w:fill="FFFFFF"/>
          <w:vertAlign w:val="baseline"/>
          <w:lang w:val="en-US" w:eastAsia="zh-CN"/>
        </w:rPr>
        <w:t>22</w:t>
      </w:r>
      <w:r>
        <w:rPr>
          <w:rFonts w:hint="eastAsia" w:ascii="宋体" w:hAnsi="宋体" w:eastAsia="宋体" w:cs="宋体"/>
          <w:i w:val="0"/>
          <w:iCs w:val="0"/>
          <w:caps w:val="0"/>
          <w:color w:val="333333"/>
          <w:spacing w:val="0"/>
          <w:sz w:val="24"/>
          <w:szCs w:val="24"/>
          <w:shd w:val="clear" w:fill="FFFFFF"/>
          <w:vertAlign w:val="baseline"/>
        </w:rPr>
        <w:t>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pPr>
        <w:rPr>
          <w:rFonts w:hint="eastAsia" w:ascii="宋体" w:hAnsi="宋体" w:eastAsia="宋体" w:cs="宋体"/>
        </w:rPr>
      </w:pPr>
    </w:p>
    <w:p>
      <w:pPr>
        <w:rPr>
          <w:rFonts w:hint="eastAsia" w:ascii="宋体" w:hAnsi="宋体" w:eastAsia="宋体" w:cs="宋体"/>
          <w:b/>
          <w:bCs/>
          <w:sz w:val="36"/>
          <w:szCs w:val="36"/>
        </w:rPr>
      </w:pPr>
    </w:p>
    <w:p>
      <w:pPr>
        <w:pStyle w:val="3"/>
        <w:jc w:val="center"/>
        <w:rPr>
          <w:rFonts w:hint="eastAsia" w:ascii="宋体" w:hAnsi="宋体" w:eastAsia="宋体" w:cs="宋体"/>
          <w:b/>
          <w:bCs/>
          <w:sz w:val="36"/>
          <w:szCs w:val="36"/>
        </w:rPr>
      </w:pPr>
    </w:p>
    <w:p>
      <w:pPr>
        <w:rPr>
          <w:rFonts w:hint="eastAsia" w:ascii="宋体" w:hAnsi="宋体" w:eastAsia="宋体" w:cs="宋体"/>
          <w:b/>
          <w:bCs/>
          <w:sz w:val="36"/>
          <w:szCs w:val="36"/>
        </w:rPr>
      </w:pPr>
    </w:p>
    <w:p>
      <w:pPr>
        <w:pStyle w:val="10"/>
        <w:rPr>
          <w:rFonts w:hint="eastAsia"/>
        </w:rPr>
      </w:pPr>
    </w:p>
    <w:p>
      <w:pPr>
        <w:pStyle w:val="3"/>
        <w:jc w:val="center"/>
        <w:rPr>
          <w:rFonts w:hint="eastAsia" w:ascii="宋体" w:hAnsi="宋体" w:eastAsia="宋体" w:cs="宋体"/>
          <w:b/>
          <w:bCs/>
          <w:sz w:val="36"/>
          <w:szCs w:val="36"/>
        </w:rPr>
      </w:pPr>
      <w:r>
        <w:rPr>
          <w:rFonts w:hint="eastAsia" w:ascii="宋体" w:hAnsi="宋体" w:eastAsia="宋体" w:cs="宋体"/>
          <w:b/>
          <w:bCs/>
          <w:sz w:val="36"/>
          <w:szCs w:val="36"/>
        </w:rPr>
        <w:t>第二章 供应商须知</w:t>
      </w:r>
      <w:bookmarkEnd w:id="6"/>
      <w:bookmarkEnd w:id="12"/>
      <w:bookmarkEnd w:id="13"/>
    </w:p>
    <w:p>
      <w:pPr>
        <w:spacing w:afterLines="50" w:line="360" w:lineRule="auto"/>
        <w:jc w:val="center"/>
        <w:outlineLvl w:val="1"/>
        <w:rPr>
          <w:rFonts w:hint="eastAsia" w:ascii="宋体" w:hAnsi="宋体" w:eastAsia="宋体" w:cs="宋体"/>
          <w:b/>
          <w:kern w:val="0"/>
          <w:sz w:val="32"/>
          <w:szCs w:val="32"/>
        </w:rPr>
      </w:pPr>
      <w:bookmarkStart w:id="14" w:name="_Toc425781308"/>
      <w:bookmarkStart w:id="15" w:name="_Toc5265"/>
      <w:r>
        <w:rPr>
          <w:rFonts w:hint="eastAsia" w:ascii="宋体" w:hAnsi="宋体" w:eastAsia="宋体" w:cs="宋体"/>
          <w:b/>
          <w:kern w:val="0"/>
          <w:sz w:val="32"/>
          <w:szCs w:val="32"/>
        </w:rPr>
        <w:t>供应商须知前附表</w:t>
      </w:r>
      <w:bookmarkEnd w:id="2"/>
      <w:bookmarkEnd w:id="3"/>
      <w:bookmarkEnd w:id="4"/>
      <w:bookmarkEnd w:id="7"/>
      <w:bookmarkEnd w:id="14"/>
      <w:bookmarkEnd w:id="15"/>
    </w:p>
    <w:p>
      <w:pPr>
        <w:spacing w:line="360" w:lineRule="auto"/>
        <w:ind w:firstLine="120" w:firstLineChars="50"/>
        <w:rPr>
          <w:rFonts w:hint="eastAsia" w:ascii="宋体" w:hAnsi="宋体" w:eastAsia="宋体" w:cs="宋体"/>
          <w:sz w:val="24"/>
        </w:rPr>
      </w:pPr>
      <w:r>
        <w:rPr>
          <w:rFonts w:hint="eastAsia" w:ascii="宋体" w:hAnsi="宋体" w:eastAsia="宋体" w:cs="宋体"/>
          <w:sz w:val="24"/>
        </w:rPr>
        <w:t>本表是对供应商须知的具体补充和修改，如有矛盾，应以本资料表为准。</w:t>
      </w:r>
    </w:p>
    <w:tbl>
      <w:tblPr>
        <w:tblStyle w:val="2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62"/>
        <w:gridCol w:w="1755"/>
        <w:gridCol w:w="62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723" w:type="pct"/>
            <w:noWrap/>
            <w:vAlign w:val="center"/>
          </w:tcPr>
          <w:p>
            <w:pPr>
              <w:spacing w:before="156"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932" w:type="pct"/>
            <w:noWrap/>
            <w:vAlign w:val="center"/>
          </w:tcPr>
          <w:p>
            <w:pPr>
              <w:spacing w:before="156" w:line="360" w:lineRule="auto"/>
              <w:jc w:val="center"/>
              <w:rPr>
                <w:rFonts w:hint="eastAsia" w:ascii="宋体" w:hAnsi="宋体" w:eastAsia="宋体" w:cs="宋体"/>
                <w:b/>
                <w:sz w:val="24"/>
                <w:szCs w:val="24"/>
              </w:rPr>
            </w:pPr>
            <w:r>
              <w:rPr>
                <w:rFonts w:hint="eastAsia" w:ascii="宋体" w:hAnsi="宋体" w:eastAsia="宋体" w:cs="宋体"/>
                <w:b/>
                <w:sz w:val="24"/>
                <w:szCs w:val="24"/>
              </w:rPr>
              <w:t>条款内容提示</w:t>
            </w:r>
          </w:p>
        </w:tc>
        <w:tc>
          <w:tcPr>
            <w:tcW w:w="3343" w:type="pct"/>
            <w:noWrap/>
            <w:vAlign w:val="center"/>
          </w:tcPr>
          <w:p>
            <w:pPr>
              <w:spacing w:before="156"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723" w:type="pct"/>
            <w:noWrap/>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Cs/>
                <w:sz w:val="24"/>
                <w:szCs w:val="24"/>
              </w:rPr>
              <w:t>2.1</w:t>
            </w:r>
          </w:p>
        </w:tc>
        <w:tc>
          <w:tcPr>
            <w:tcW w:w="932" w:type="pct"/>
            <w:noWrap/>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Cs/>
                <w:sz w:val="24"/>
                <w:szCs w:val="24"/>
              </w:rPr>
              <w:t>采购人</w:t>
            </w:r>
          </w:p>
        </w:tc>
        <w:tc>
          <w:tcPr>
            <w:tcW w:w="3343" w:type="pct"/>
            <w:noWrap/>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黄陵县住房和城乡建设局</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地址：黄陵县中心广场</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寇付斌</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18992166639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名称：陕西中桓国际项目管理有限公司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地址：西安市经开区凤城七路长和国际A座25层</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电话：</w:t>
            </w:r>
            <w:r>
              <w:rPr>
                <w:rFonts w:hint="eastAsia" w:ascii="微软雅黑" w:hAnsi="微软雅黑" w:eastAsia="微软雅黑" w:cs="微软雅黑"/>
                <w:i w:val="0"/>
                <w:iCs w:val="0"/>
                <w:caps w:val="0"/>
                <w:color w:val="333333"/>
                <w:spacing w:val="0"/>
                <w:sz w:val="21"/>
                <w:szCs w:val="21"/>
                <w:shd w:val="clear" w:fill="FFFFFF"/>
                <w:lang w:val="en-US" w:eastAsia="zh-CN"/>
              </w:rPr>
              <w:t>13892190023</w:t>
            </w:r>
          </w:p>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联合体谈判</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6.2</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谈判内容的实质性响应要求</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谈判文件第三章“合同条款及格式”和第四章“竞争性谈判内容及服务要求”为不允许偏离的技术和商务的实质性要求和条件，不满足实质性要求和条件的投标为无效响应文件。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10.2</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是否允许备选方案</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3"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10.3</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本次谈判的最小单元</w:t>
            </w:r>
          </w:p>
        </w:tc>
        <w:tc>
          <w:tcPr>
            <w:tcW w:w="3343" w:type="pct"/>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本次谈判的最小单元为“项目全部内容”。任何不完全的响应将按照无效文件处理。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22" w:hRule="atLeast"/>
          <w:jc w:val="center"/>
        </w:trPr>
        <w:tc>
          <w:tcPr>
            <w:tcW w:w="723" w:type="pct"/>
            <w:tcBorders>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932" w:type="pct"/>
            <w:tcBorders>
              <w:bottom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szCs w:val="24"/>
              </w:rPr>
              <w:t>谈判报价</w:t>
            </w:r>
          </w:p>
        </w:tc>
        <w:tc>
          <w:tcPr>
            <w:tcW w:w="3343" w:type="pct"/>
            <w:tcBorders>
              <w:bottom w:val="single" w:color="auto" w:sz="4" w:space="0"/>
            </w:tcBorders>
            <w:noWrap/>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谈判报价是供应商为完成本项目要求的全部谈判内容最终价格的体现。供应商所报的价格应考虑到可能发生的所有与完成本项目相关服务及履行合同义务有关的一切费用。任何有选择的报价将不予接受，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23" w:type="pct"/>
            <w:tcBorders>
              <w:top w:val="single" w:color="auto" w:sz="4" w:space="0"/>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932" w:type="pct"/>
            <w:tcBorders>
              <w:top w:val="single" w:color="auto" w:sz="4" w:space="0"/>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供应商资格证明文件</w:t>
            </w:r>
          </w:p>
        </w:tc>
        <w:tc>
          <w:tcPr>
            <w:tcW w:w="3343" w:type="pct"/>
            <w:tcBorders>
              <w:top w:val="single" w:color="auto" w:sz="4" w:space="0"/>
              <w:bottom w:val="single" w:color="auto" w:sz="4" w:space="0"/>
            </w:tcBorders>
            <w:noWrap/>
          </w:tcPr>
          <w:p>
            <w:pPr>
              <w:pStyle w:val="12"/>
              <w:numPr>
                <w:ilvl w:val="0"/>
                <w:numId w:val="1"/>
              </w:numPr>
              <w:spacing w:line="360" w:lineRule="auto"/>
              <w:rPr>
                <w:rFonts w:hint="eastAsia" w:ascii="宋体" w:hAnsi="宋体" w:eastAsia="宋体" w:cs="宋体"/>
                <w:sz w:val="24"/>
                <w:szCs w:val="24"/>
              </w:rPr>
            </w:pPr>
            <w:r>
              <w:rPr>
                <w:rFonts w:hint="eastAsia" w:ascii="宋体" w:hAnsi="宋体" w:eastAsia="宋体" w:cs="宋体"/>
                <w:b/>
                <w:bCs/>
                <w:sz w:val="24"/>
                <w:szCs w:val="24"/>
              </w:rPr>
              <w:t>基本资格条件：</w:t>
            </w:r>
            <w:r>
              <w:rPr>
                <w:rFonts w:hint="eastAsia" w:ascii="宋体" w:hAnsi="宋体" w:eastAsia="宋体" w:cs="宋体"/>
                <w:sz w:val="24"/>
                <w:szCs w:val="24"/>
              </w:rPr>
              <w:t>满足《中华人民共和国政府采购法》第二十二条规定。</w:t>
            </w:r>
          </w:p>
          <w:p>
            <w:pPr>
              <w:pStyle w:val="12"/>
              <w:spacing w:line="360" w:lineRule="auto"/>
              <w:rPr>
                <w:rFonts w:hint="eastAsia" w:ascii="宋体" w:hAnsi="宋体" w:eastAsia="宋体" w:cs="宋体"/>
                <w:b/>
                <w:bCs/>
              </w:rPr>
            </w:pPr>
            <w:r>
              <w:rPr>
                <w:rFonts w:hint="eastAsia" w:ascii="宋体" w:hAnsi="宋体" w:eastAsia="宋体" w:cs="宋体"/>
                <w:b/>
                <w:bCs/>
                <w:sz w:val="24"/>
                <w:szCs w:val="24"/>
              </w:rPr>
              <w:t>（2）特定资格条件：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供应商须具备工程设计综合资质甲级或市政行业工程设计乙级及以上资质或市政行业（燃气、轨道交通除外）乙级及以上资质，项目负责人须具备相关专业工程师及以上职称，且在本单位任职；（4）、提供谈判响应文件递交截止日前一年内已缴纳的至少一个月的纳税证明或完税证明，依法免税的单位应提供相关证明材料；（5）、提供谈判响应文件递交截止日前一年内已缴存的至少一个月的社会保障资金缴存单据或社保机构开具的社会保险参保缴费情况证明，依法不需要缴纳社会保障资金的单位应提供相关证明材料；（6）、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7）、参加政府活动近三年内，在经营活动中无重大违法记录的书面声明；（8）、供应商不得为中国执行信息公开网（http://zxgk.court.gov.cn/shixin/）失信被执行人及“信用中国”网站（www.creditchina.gov.cn）重大税收违法失信主体；不得为中国政府采购网（www.ccgp.gov.cn）政府采购严重违法失信行为记录名单中的供应商。（9）、单位负责人为同一人或者存在直接控股、管理关系的不同供应商，不得参加同一合同项下的政府采购活动。</w:t>
            </w:r>
            <w:r>
              <w:rPr>
                <w:rFonts w:hint="eastAsia" w:ascii="宋体" w:hAnsi="宋体" w:eastAsia="宋体" w:cs="宋体"/>
                <w:b/>
                <w:sz w:val="24"/>
                <w:szCs w:val="24"/>
              </w:rPr>
              <w:t>以上为必备资格要求，缺一项或某项达不到要求，按无效谈判处理。除法定代表人授权书需将原件装订在响应文件正本中外，其他所有资质证件的复印件必须加盖单位公章附在响应文件中</w:t>
            </w: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723" w:type="pct"/>
            <w:tcBorders>
              <w:top w:val="single" w:color="auto" w:sz="4" w:space="0"/>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15.1</w:t>
            </w:r>
          </w:p>
        </w:tc>
        <w:tc>
          <w:tcPr>
            <w:tcW w:w="932" w:type="pct"/>
            <w:tcBorders>
              <w:top w:val="single" w:color="auto" w:sz="4" w:space="0"/>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谈判保证金</w:t>
            </w:r>
          </w:p>
        </w:tc>
        <w:tc>
          <w:tcPr>
            <w:tcW w:w="3343" w:type="pct"/>
            <w:tcBorders>
              <w:top w:val="single" w:color="auto" w:sz="4" w:space="0"/>
              <w:bottom w:val="single" w:color="auto" w:sz="4" w:space="0"/>
            </w:tcBorders>
            <w:noWrap/>
          </w:tcPr>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本次谈判活动供应商需交纳的谈判保证金为:</w:t>
            </w:r>
          </w:p>
          <w:p>
            <w:pPr>
              <w:spacing w:line="360" w:lineRule="auto"/>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人民币</w:t>
            </w:r>
            <w:r>
              <w:rPr>
                <w:rFonts w:hint="eastAsia" w:ascii="宋体" w:hAnsi="宋体" w:cs="宋体"/>
                <w:b/>
                <w:color w:val="000000" w:themeColor="text1"/>
                <w:sz w:val="24"/>
                <w:szCs w:val="24"/>
                <w:lang w:eastAsia="zh-CN"/>
              </w:rPr>
              <w:t>伍仟元整</w:t>
            </w:r>
            <w:r>
              <w:rPr>
                <w:rFonts w:hint="eastAsia" w:ascii="宋体" w:hAnsi="宋体" w:eastAsia="宋体" w:cs="宋体"/>
                <w:b/>
                <w:color w:val="000000" w:themeColor="text1"/>
                <w:sz w:val="24"/>
                <w:szCs w:val="24"/>
              </w:rPr>
              <w:t>￥</w:t>
            </w:r>
            <w:r>
              <w:rPr>
                <w:rFonts w:hint="eastAsia" w:ascii="宋体" w:hAnsi="宋体" w:cs="宋体"/>
                <w:b/>
                <w:color w:val="000000" w:themeColor="text1"/>
                <w:sz w:val="24"/>
                <w:szCs w:val="24"/>
                <w:lang w:val="en-US" w:eastAsia="zh-CN"/>
              </w:rPr>
              <w:t>5000.00</w:t>
            </w:r>
            <w:r>
              <w:rPr>
                <w:rFonts w:hint="eastAsia" w:ascii="宋体" w:hAnsi="宋体" w:eastAsia="宋体" w:cs="宋体"/>
                <w:b/>
                <w:color w:val="000000" w:themeColor="text1"/>
                <w:sz w:val="24"/>
                <w:szCs w:val="24"/>
              </w:rPr>
              <w:t xml:space="preserve">元)  </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1、谈判保证金的有效期与谈判有效期一致。担保机构出具的保函的有效期为谈判有效期延长一个月。</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2、谈判保证金的缴纳形式：转账、电汇、担保机构保函。</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3、供应商以银行转账、电汇形式缴纳谈判保证金的，须从基本账户转出，并且在谈判响应文件递交截止前</w:t>
            </w:r>
            <w:r>
              <w:rPr>
                <w:rFonts w:hint="eastAsia" w:ascii="宋体" w:hAnsi="宋体" w:eastAsia="宋体" w:cs="宋体"/>
                <w:b/>
                <w:bCs/>
                <w:color w:val="000000" w:themeColor="text1"/>
                <w:sz w:val="24"/>
                <w:szCs w:val="24"/>
              </w:rPr>
              <w:t>到达</w:t>
            </w:r>
            <w:r>
              <w:rPr>
                <w:rFonts w:hint="eastAsia" w:ascii="宋体" w:hAnsi="宋体" w:eastAsia="宋体" w:cs="宋体"/>
                <w:color w:val="000000" w:themeColor="text1"/>
                <w:sz w:val="24"/>
                <w:szCs w:val="24"/>
              </w:rPr>
              <w:t>采购代理机构指定账户(转账时请注明项目编号</w:t>
            </w:r>
            <w:r>
              <w:rPr>
                <w:rFonts w:hint="eastAsia" w:ascii="宋体" w:hAnsi="宋体" w:eastAsia="宋体" w:cs="宋体"/>
                <w:b/>
                <w:bCs/>
                <w:color w:val="000000" w:themeColor="text1"/>
                <w:sz w:val="24"/>
                <w:szCs w:val="24"/>
              </w:rPr>
              <w:t>：</w:t>
            </w:r>
            <w:r>
              <w:rPr>
                <w:rFonts w:hint="eastAsia" w:ascii="宋体" w:hAnsi="宋体" w:cs="宋体"/>
                <w:b/>
                <w:bCs/>
                <w:color w:val="000000" w:themeColor="text1"/>
                <w:spacing w:val="-6"/>
                <w:sz w:val="24"/>
                <w:lang w:eastAsia="zh-CN"/>
              </w:rPr>
              <w:t>ZHGJ-2022-192</w:t>
            </w:r>
            <w:r>
              <w:rPr>
                <w:rFonts w:hint="eastAsia" w:ascii="宋体" w:hAnsi="宋体" w:eastAsia="宋体" w:cs="宋体"/>
                <w:color w:val="000000" w:themeColor="text1"/>
                <w:sz w:val="24"/>
                <w:szCs w:val="24"/>
              </w:rPr>
              <w:t>)。</w:t>
            </w:r>
            <w:r>
              <w:rPr>
                <w:rFonts w:hint="eastAsia" w:ascii="宋体" w:hAnsi="宋体" w:eastAsia="宋体" w:cs="宋体"/>
                <w:color w:val="000000" w:themeColor="text1"/>
                <w:kern w:val="0"/>
                <w:sz w:val="24"/>
                <w:szCs w:val="24"/>
              </w:rPr>
              <w:t>谈判保证金到达采购代理机构指定账户后，供应商须与陕西中桓国际项目管理有限公司项目负责人联系确认到账后，将谈判保证金缴纳凭证复印件粘贴于</w:t>
            </w:r>
            <w:r>
              <w:rPr>
                <w:rFonts w:hint="eastAsia" w:ascii="宋体" w:hAnsi="宋体" w:eastAsia="宋体" w:cs="宋体"/>
                <w:color w:val="000000" w:themeColor="text1"/>
                <w:sz w:val="24"/>
                <w:szCs w:val="24"/>
              </w:rPr>
              <w:t>谈判响应</w:t>
            </w:r>
            <w:r>
              <w:rPr>
                <w:rFonts w:hint="eastAsia" w:ascii="宋体" w:hAnsi="宋体" w:eastAsia="宋体" w:cs="宋体"/>
                <w:color w:val="000000" w:themeColor="text1"/>
                <w:kern w:val="0"/>
                <w:sz w:val="24"/>
                <w:szCs w:val="24"/>
              </w:rPr>
              <w:t>文件规定处。</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4、供应商以保函形式缴纳谈判保证金的，须在谈判响应文件递交截止时间前将担保机构保函</w:t>
            </w:r>
            <w:r>
              <w:rPr>
                <w:rFonts w:hint="eastAsia" w:ascii="宋体" w:hAnsi="宋体" w:eastAsia="宋体" w:cs="宋体"/>
                <w:b/>
                <w:bCs/>
                <w:color w:val="000000" w:themeColor="text1"/>
                <w:sz w:val="24"/>
                <w:szCs w:val="24"/>
              </w:rPr>
              <w:t>正本原件</w:t>
            </w:r>
            <w:r>
              <w:rPr>
                <w:rFonts w:hint="eastAsia" w:ascii="宋体" w:hAnsi="宋体" w:eastAsia="宋体" w:cs="宋体"/>
                <w:color w:val="000000" w:themeColor="text1"/>
                <w:sz w:val="24"/>
                <w:szCs w:val="24"/>
              </w:rPr>
              <w:t>提交至采购代理机构备案，并将保函正本复印件附在谈判响应文件规定处。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723" w:type="pct"/>
            <w:tcBorders>
              <w:top w:val="single" w:color="auto" w:sz="4" w:space="0"/>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16.1</w:t>
            </w:r>
          </w:p>
        </w:tc>
        <w:tc>
          <w:tcPr>
            <w:tcW w:w="932" w:type="pct"/>
            <w:tcBorders>
              <w:top w:val="single" w:color="auto" w:sz="4" w:space="0"/>
              <w:bottom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谈判有效期</w:t>
            </w:r>
          </w:p>
        </w:tc>
        <w:tc>
          <w:tcPr>
            <w:tcW w:w="3343" w:type="pct"/>
            <w:tcBorders>
              <w:top w:val="single" w:color="auto" w:sz="4" w:space="0"/>
              <w:bottom w:val="single" w:color="auto" w:sz="4" w:space="0"/>
            </w:tcBorders>
            <w:noWrap/>
            <w:vAlign w:val="center"/>
          </w:tcPr>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谈判响应文件的递交截止之日起90天。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17.1</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谈判响应文件的份数及要求</w:t>
            </w:r>
          </w:p>
        </w:tc>
        <w:tc>
          <w:tcPr>
            <w:tcW w:w="3343" w:type="pct"/>
            <w:noWrap/>
            <w:vAlign w:val="center"/>
          </w:tcPr>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正本的份数：壹份；</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副本的份数：贰份；</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报价一览表：壹份；</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电子版（U盘）：贰份（需在盘面上标注供应商全称）。</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谈判响应文件的密封和标记</w:t>
            </w:r>
          </w:p>
        </w:tc>
        <w:tc>
          <w:tcPr>
            <w:tcW w:w="3343" w:type="pct"/>
            <w:noWrap/>
            <w:vAlign w:val="center"/>
          </w:tcPr>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1、密封包装方式：</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供应商应将谈判响应文件正本、所有副本、电子版本、报价一览表分别单独密封在封袋中（封袋不得有破损），封袋应加贴封条，并在封线处加盖供应商公章。</w:t>
            </w:r>
          </w:p>
          <w:p>
            <w:pPr>
              <w:pStyle w:val="12"/>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2、外层包装请按以下要求标记：</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（1）供应商名称；</w:t>
            </w:r>
          </w:p>
          <w:p>
            <w:pPr>
              <w:pStyle w:val="12"/>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（2）采购项目名称、采购项目编号；</w:t>
            </w:r>
          </w:p>
          <w:p>
            <w:pPr>
              <w:pStyle w:val="12"/>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（3）“正本”、“副本”、“电子版本”、“报价一览表”字样，密封处应加盖供应商公章。“请勿在＿＿＿＿(谈判时间)之前启封”字样。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谈判响应文件的递交</w:t>
            </w:r>
          </w:p>
        </w:tc>
        <w:tc>
          <w:tcPr>
            <w:tcW w:w="3343" w:type="pct"/>
            <w:noWrap/>
            <w:vAlign w:val="center"/>
          </w:tcPr>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谈判响应文件递交截止时间：详见竞争性谈判公告。</w:t>
            </w:r>
          </w:p>
          <w:p>
            <w:pPr>
              <w:spacing w:line="360" w:lineRule="auto"/>
              <w:rPr>
                <w:rFonts w:hint="eastAsia" w:ascii="宋体" w:hAnsi="宋体" w:eastAsia="宋体" w:cs="宋体"/>
                <w:color w:val="000000" w:themeColor="text1"/>
                <w:spacing w:val="-6"/>
                <w:sz w:val="24"/>
                <w:szCs w:val="24"/>
              </w:rPr>
            </w:pPr>
            <w:r>
              <w:rPr>
                <w:rFonts w:hint="eastAsia" w:ascii="宋体" w:hAnsi="宋体" w:eastAsia="宋体" w:cs="宋体"/>
                <w:color w:val="000000" w:themeColor="text1"/>
                <w:sz w:val="24"/>
                <w:szCs w:val="24"/>
              </w:rPr>
              <w:t>谈判响应文件递交地址：详见竞争性谈判公告。</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谈判响应文件接收人：陕西中桓国际项目管理有限公司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谈判时间和地点</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谈判时间：详见竞争性谈判公告。</w:t>
            </w:r>
          </w:p>
          <w:p>
            <w:pPr>
              <w:spacing w:line="360" w:lineRule="auto"/>
              <w:rPr>
                <w:rFonts w:hint="eastAsia" w:ascii="宋体" w:hAnsi="宋体" w:eastAsia="宋体" w:cs="宋体"/>
                <w:sz w:val="24"/>
                <w:szCs w:val="24"/>
              </w:rPr>
            </w:pPr>
            <w:r>
              <w:rPr>
                <w:rFonts w:hint="eastAsia" w:ascii="宋体" w:hAnsi="宋体" w:eastAsia="宋体" w:cs="宋体"/>
                <w:sz w:val="24"/>
                <w:szCs w:val="24"/>
              </w:rPr>
              <w:t>谈判地点：详见竞争性谈判公告。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25.1</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评审方法</w:t>
            </w:r>
          </w:p>
        </w:tc>
        <w:tc>
          <w:tcPr>
            <w:tcW w:w="3343" w:type="pct"/>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招标代理服务费</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rPr>
                <w:rFonts w:hint="eastAsia" w:ascii="宋体" w:hAnsi="宋体" w:eastAsia="宋体" w:cs="宋体"/>
                <w:color w:val="000000"/>
                <w:spacing w:val="-20"/>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在采购工作结束后3日内，须向采购代理机构一次性支付招标代理服务费。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98"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保证金账户</w:t>
            </w:r>
          </w:p>
        </w:tc>
        <w:tc>
          <w:tcPr>
            <w:tcW w:w="3343" w:type="pct"/>
            <w:noWrap/>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户名：</w:t>
            </w:r>
            <w:r>
              <w:rPr>
                <w:rFonts w:hint="eastAsia" w:ascii="宋体" w:hAnsi="宋体" w:eastAsia="宋体" w:cs="宋体"/>
                <w:b/>
                <w:bCs/>
                <w:color w:val="auto"/>
                <w:sz w:val="24"/>
                <w:szCs w:val="24"/>
              </w:rPr>
              <w:t>陕西中桓国际项目管理有限公司</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b/>
                <w:bCs/>
                <w:color w:val="auto"/>
                <w:sz w:val="24"/>
              </w:rPr>
              <w:t>上海浦东发展银行股份有限公司西安唐延路支行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b/>
                <w:bCs/>
                <w:color w:val="auto"/>
                <w:sz w:val="24"/>
              </w:rPr>
              <w:t>72120078801100001757</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rPr>
              <w:t>请各供应商按照要求将保证金汇入以上指定账户，如因自身原因发生错误，产生的不利后果均由供应商自行承担。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932" w:type="pct"/>
            <w:noWrap/>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招标代理服务费账户</w:t>
            </w:r>
          </w:p>
        </w:tc>
        <w:tc>
          <w:tcPr>
            <w:tcW w:w="3343"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b/>
                <w:bCs/>
                <w:sz w:val="24"/>
                <w:szCs w:val="24"/>
              </w:rPr>
              <w:t>陕西中桓国际项目管理有限公司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b/>
                <w:bCs/>
                <w:sz w:val="24"/>
              </w:rPr>
              <w:t>上海浦东发展银行股份有限公司西安唐延路支行</w:t>
            </w:r>
          </w:p>
          <w:p>
            <w:pPr>
              <w:spacing w:line="360" w:lineRule="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b/>
                <w:bCs/>
                <w:sz w:val="24"/>
              </w:rPr>
              <w:t>72120078801100001757</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请采购人或供应商按照要求将服务费汇入以上指定账户。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w:t>
            </w:r>
          </w:p>
          <w:p>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担保</w:t>
            </w:r>
          </w:p>
        </w:tc>
        <w:tc>
          <w:tcPr>
            <w:tcW w:w="3343" w:type="pct"/>
            <w:noWrap/>
            <w:vAlign w:val="center"/>
          </w:tcPr>
          <w:p>
            <w:pPr>
              <w:pStyle w:val="15"/>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☑不要求提供</w:t>
            </w:r>
          </w:p>
          <w:p>
            <w:pPr>
              <w:spacing w:line="360" w:lineRule="auto"/>
              <w:rPr>
                <w:rFonts w:hint="eastAsia" w:ascii="宋体" w:hAnsi="宋体" w:eastAsia="宋体" w:cs="宋体"/>
                <w:b/>
                <w:bCs/>
                <w:sz w:val="24"/>
                <w:szCs w:val="24"/>
              </w:rPr>
            </w:pPr>
            <w:r>
              <w:rPr>
                <w:rFonts w:hint="eastAsia" w:ascii="宋体" w:hAnsi="宋体" w:eastAsia="宋体" w:cs="宋体"/>
                <w:kern w:val="0"/>
                <w:sz w:val="24"/>
                <w:szCs w:val="24"/>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现场</w:t>
            </w:r>
          </w:p>
        </w:tc>
        <w:tc>
          <w:tcPr>
            <w:tcW w:w="3343" w:type="pct"/>
            <w:noWrap/>
            <w:vAlign w:val="center"/>
          </w:tcPr>
          <w:p>
            <w:pPr>
              <w:pStyle w:val="12"/>
              <w:spacing w:line="360" w:lineRule="auto"/>
              <w:ind w:left="42" w:leftChars="20"/>
              <w:rPr>
                <w:rFonts w:hint="eastAsia"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不踏勘</w:t>
            </w:r>
          </w:p>
          <w:p>
            <w:pPr>
              <w:pStyle w:val="12"/>
              <w:spacing w:line="360" w:lineRule="auto"/>
              <w:ind w:left="42" w:leftChars="20"/>
              <w:rPr>
                <w:rFonts w:hint="eastAsia" w:ascii="宋体" w:hAnsi="宋体" w:eastAsia="宋体" w:cs="宋体"/>
                <w:szCs w:val="21"/>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723"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932" w:type="pct"/>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一致性</w:t>
            </w:r>
          </w:p>
        </w:tc>
        <w:tc>
          <w:tcPr>
            <w:tcW w:w="3343" w:type="pct"/>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供应商须知前附表和供应商须知不一致的地方，以供应商须知前附表为准</w:t>
            </w:r>
          </w:p>
        </w:tc>
      </w:tr>
    </w:tbl>
    <w:p>
      <w:pPr>
        <w:spacing w:line="336" w:lineRule="auto"/>
        <w:jc w:val="left"/>
        <w:rPr>
          <w:rFonts w:hint="eastAsia" w:ascii="宋体" w:hAnsi="宋体" w:eastAsia="宋体" w:cs="宋体"/>
          <w:b/>
          <w:kern w:val="0"/>
          <w:szCs w:val="21"/>
        </w:rPr>
      </w:pPr>
      <w:bookmarkStart w:id="16" w:name="_Toc370906267"/>
      <w:bookmarkStart w:id="17" w:name="_Toc393284673"/>
      <w:bookmarkStart w:id="18" w:name="_Toc389836556"/>
      <w:bookmarkStart w:id="19" w:name="_Toc393281138"/>
      <w:bookmarkStart w:id="20" w:name="_Toc393284380"/>
    </w:p>
    <w:p>
      <w:pPr>
        <w:spacing w:beforeLines="50" w:line="36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一.总  则</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1.资金来源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1.1本次竞争性谈判采购所签合同使用自筹资金支付，资金已落实到位。</w:t>
      </w:r>
    </w:p>
    <w:p>
      <w:pPr>
        <w:numPr>
          <w:ilvl w:val="0"/>
          <w:numId w:val="2"/>
        </w:num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名词解释</w:t>
      </w:r>
    </w:p>
    <w:p>
      <w:pPr>
        <w:tabs>
          <w:tab w:val="left" w:pos="7665"/>
        </w:tabs>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2.1采购人：见供应商须知前附表</w:t>
      </w:r>
    </w:p>
    <w:p>
      <w:pPr>
        <w:tabs>
          <w:tab w:val="left" w:pos="7665"/>
        </w:tabs>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2.2采购代理机构：陕西中桓国际项目管理有限公司</w:t>
      </w:r>
    </w:p>
    <w:p>
      <w:pPr>
        <w:tabs>
          <w:tab w:val="left" w:pos="7665"/>
        </w:tabs>
        <w:spacing w:line="500" w:lineRule="exact"/>
        <w:ind w:firstLine="480" w:firstLineChars="200"/>
        <w:rPr>
          <w:rFonts w:hint="eastAsia" w:ascii="宋体" w:hAnsi="宋体" w:eastAsia="宋体" w:cs="宋体"/>
        </w:rPr>
      </w:pPr>
      <w:r>
        <w:rPr>
          <w:rFonts w:hint="eastAsia" w:ascii="宋体" w:hAnsi="宋体" w:eastAsia="宋体" w:cs="宋体"/>
          <w:color w:val="000000"/>
          <w:sz w:val="24"/>
        </w:rPr>
        <w:t>2.3监督机构：同级人民政府财政部门及有关部门</w:t>
      </w:r>
    </w:p>
    <w:p>
      <w:pPr>
        <w:tabs>
          <w:tab w:val="left" w:pos="7665"/>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rPr>
        <w:t>2.4供应商：是指响应和符合谈判</w:t>
      </w:r>
      <w:r>
        <w:rPr>
          <w:rFonts w:hint="eastAsia" w:ascii="宋体" w:hAnsi="宋体" w:eastAsia="宋体" w:cs="宋体"/>
          <w:color w:val="000000"/>
          <w:sz w:val="24"/>
          <w:szCs w:val="24"/>
        </w:rPr>
        <w:t>文件规定资格条件且参与谈判竞争的法人、</w:t>
      </w:r>
      <w:r>
        <w:rPr>
          <w:rFonts w:hint="eastAsia" w:ascii="宋体" w:hAnsi="宋体" w:eastAsia="宋体" w:cs="宋体"/>
          <w:sz w:val="24"/>
          <w:szCs w:val="24"/>
        </w:rPr>
        <w:t>其他组织或者自然人。</w:t>
      </w:r>
    </w:p>
    <w:p>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rPr>
        <w:t>2.5产品是指本竞争性谈判文件中第四</w:t>
      </w:r>
      <w:r>
        <w:rPr>
          <w:rFonts w:hint="eastAsia" w:ascii="宋体" w:hAnsi="宋体" w:eastAsia="宋体" w:cs="宋体"/>
          <w:color w:val="000000"/>
          <w:sz w:val="24"/>
        </w:rPr>
        <w:t>章所述所有产品。</w:t>
      </w:r>
    </w:p>
    <w:p>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2.6服务是指供应商为满足竞争性谈判文件文件要求而提供的服务。</w:t>
      </w:r>
    </w:p>
    <w:p>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2.7节能产品或者环保产品是指依据国家确定的认证机构出具的、处于有效期之内的具有节能产品、环境标志产品认证证书的产品。</w:t>
      </w: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2.9</w:t>
      </w:r>
      <w:r>
        <w:rPr>
          <w:rFonts w:hint="eastAsia" w:ascii="宋体" w:hAnsi="宋体" w:eastAsia="宋体" w:cs="宋体"/>
          <w:color w:val="000000"/>
          <w:sz w:val="24"/>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int="eastAsia" w:ascii="宋体" w:hAnsi="宋体" w:eastAsia="宋体" w:cs="宋体"/>
          <w:b/>
          <w:sz w:val="24"/>
          <w:szCs w:val="24"/>
        </w:rPr>
      </w:pPr>
      <w:r>
        <w:rPr>
          <w:rFonts w:hint="eastAsia" w:ascii="宋体" w:hAnsi="宋体" w:eastAsia="宋体" w:cs="宋体"/>
          <w:color w:val="000000"/>
          <w:sz w:val="24"/>
        </w:rPr>
        <w:t>2.11残疾人福利性单位是指符合《三部门联合发布关于促进残疾人就业政府采购政策的通知》财库〔2017〕141号规定的对残疾人福利性单位划分标准的单位。</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3.合格的谈判供应商</w:t>
      </w:r>
    </w:p>
    <w:p>
      <w:pPr>
        <w:spacing w:line="50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3.1《政府采购法》第二十二条第一款规定的供应商基本资格条件: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（3）具有履行合同所必需的产品和专业技术能力；</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3.2根据本次采购项目的特殊要求，规定的供应商特殊条件（见供应商须知前附表）。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单位负责人为同一人或者存在直接控股、管理关系的不同供应商，不得参加同一合同项下的政府采购活动。供应商须按照格式要求填写企业关系关联承诺书除单一来源采购项目外，为采购项目提供整体设计、规范编制或者项目管理、监理、检测等服务的供应商，不得再参加该采购项目的其他采购活动，否则均为无效谈判。</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3.4谈判供应商必须在陕西中桓国际项目管理有限公司购买竞争性谈判文件，方可参加竞争性谈判。竞争性谈判文件售后不退。</w:t>
      </w:r>
    </w:p>
    <w:p>
      <w:pPr>
        <w:tabs>
          <w:tab w:val="left" w:pos="747"/>
        </w:tabs>
        <w:snapToGrid w:val="0"/>
        <w:spacing w:line="500" w:lineRule="exact"/>
        <w:outlineLvl w:val="2"/>
        <w:rPr>
          <w:rFonts w:hint="eastAsia" w:ascii="宋体" w:hAnsi="宋体" w:eastAsia="宋体" w:cs="宋体"/>
          <w:b/>
          <w:bCs/>
          <w:color w:val="000000"/>
          <w:sz w:val="24"/>
        </w:rPr>
      </w:pPr>
      <w:r>
        <w:rPr>
          <w:rFonts w:hint="eastAsia" w:ascii="宋体" w:hAnsi="宋体" w:eastAsia="宋体" w:cs="宋体"/>
          <w:b/>
          <w:bCs/>
          <w:color w:val="000000"/>
          <w:sz w:val="24"/>
        </w:rPr>
        <w:t>4.合格的服务</w:t>
      </w:r>
    </w:p>
    <w:p>
      <w:pPr>
        <w:tabs>
          <w:tab w:val="left" w:pos="747"/>
        </w:tabs>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供应商提供的服务（包含为完成服务所提供的产品），必须是合法生产、合法来源，符合国家有关标准要求，并满足竞争性谈判文件规定的规格、参数、质量、价格、有效期、售后服务及供应商须承担的运输、安装、技术支持、培训和竞争性谈判文件规定的其它伴随服务等要求。</w:t>
      </w:r>
    </w:p>
    <w:p>
      <w:pPr>
        <w:tabs>
          <w:tab w:val="left" w:pos="747"/>
        </w:tabs>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4.2采购人有权拒绝接受任何不合格的产品和服务，由此产生的费用及相关后果均由供应商自行承担。</w:t>
      </w:r>
    </w:p>
    <w:p>
      <w:pPr>
        <w:pStyle w:val="12"/>
        <w:spacing w:line="360" w:lineRule="auto"/>
        <w:outlineLvl w:val="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5.供应商信用记录查询及使用</w:t>
      </w:r>
    </w:p>
    <w:p>
      <w:pPr>
        <w:pStyle w:val="12"/>
        <w:spacing w:line="360" w:lineRule="auto"/>
        <w:ind w:firstLine="480" w:firstLineChars="200"/>
        <w:rPr>
          <w:rFonts w:hint="eastAsia" w:ascii="宋体" w:hAnsi="宋体" w:eastAsia="宋体" w:cs="宋体"/>
        </w:rPr>
      </w:pPr>
      <w:r>
        <w:rPr>
          <w:rFonts w:hint="eastAsia" w:ascii="宋体" w:hAnsi="宋体" w:eastAsia="宋体" w:cs="宋体"/>
          <w:color w:val="000000"/>
          <w:sz w:val="24"/>
          <w:szCs w:val="22"/>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6.竞争性谈判响应文件内容的真实性和谈判内容的实质性要求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谈判供应商应保证其竞争性谈判响应文件中所提供的所有有关谈判的资料、信息是真实的、并且来源于合法的渠道。因竞争性谈判响应文件中所提供的有关谈判的资料、信息不真实、或者其来源不合法而导致的所有法律责任，由谈判供应商自行承担。</w:t>
      </w:r>
    </w:p>
    <w:p>
      <w:pPr>
        <w:pStyle w:val="12"/>
        <w:spacing w:line="360" w:lineRule="auto"/>
        <w:ind w:firstLine="480" w:firstLineChars="200"/>
        <w:rPr>
          <w:rFonts w:hint="eastAsia" w:ascii="宋体" w:hAnsi="宋体" w:eastAsia="宋体" w:cs="宋体"/>
        </w:rPr>
      </w:pPr>
      <w:r>
        <w:rPr>
          <w:rFonts w:hint="eastAsia" w:ascii="宋体" w:hAnsi="宋体" w:eastAsia="宋体" w:cs="宋体"/>
          <w:sz w:val="24"/>
          <w:szCs w:val="24"/>
        </w:rPr>
        <w:t>6.2谈判内容的实质性响应要求：谈判文件第三章“合同条款及格式”和第四章“竞争性谈判内容及服务要求”为不允许偏离的技术和商务的实质性要求和条件，不满足实质性要求和条件的为无效响应文件。</w:t>
      </w:r>
    </w:p>
    <w:p>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二.竞争性谈判文件</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7.竞争性谈判文件构成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 竞争性谈判文件规定了要求提供的货物和服务，竞争性谈判程序和合同条件在竞争性谈判文件中均有说明。竞争性谈判文件共六章，内容如下：</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第一章 竞争性谈判公告</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第二章 供应商须知</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第三章 合同条款及格式</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第四章 竞争性谈判内容及服务要求 </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第五章 评审方法</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第六章 竞争性谈判响应文件格式及构成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谈判供应商应认真阅读竞争性谈判文件中所有的事项、格式、条款和规范等要求。如果谈判供应商没有按照竞争性谈判文件要求提交全部资料，或者竞争性谈判响应文件没有对竞争性谈判文件在各方面都做出实质性响应，由此带来的不利于谈判供应商的谈判结果，其风险由谈判供应商承担。</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7.3本竞争性谈判文件的解释权归陕西中桓国际项目管理有限公司，如发现谈判文件内容与现行法律法规不相符的情况，以现行法律法规为准。</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8.竞争性谈判文件的修改和澄清</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在谈判响应文件递交截止时间前，采购代理机构可以视采购具体情况，延长谈判响应文件递交截止时间和谈判时间并在谈判公告的发布媒体上发布变更公告，同时将变更时间书面通知所有获取竞争性谈判文件的供应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8.3已经购买竞争性谈判文件的供应商对竞争性谈判文件有疑问的，均应在谈判截止日期2日前以书面形式向采购代理机构提出。采购代理机构视情况必要时将书面答复传送给所有获取竞争性谈判文件的供应商。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8.4供应商在收到上述通知后，应立即向采购代理机构回函确认。</w:t>
      </w:r>
    </w:p>
    <w:p>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三.竞争性谈判响应文件的编制</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9. 谈判语言和谈判货币</w:t>
      </w:r>
    </w:p>
    <w:p>
      <w:pPr>
        <w:spacing w:line="5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9.1供应商提交的竞争性谈判响应文件以及供应商与采购代理机构就有关谈判的所有来往函电均应使用中文。</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9.2谈判应以人民币报价。任何包含非人民币报价的谈判将被作无效响应处理。</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10.竞争性谈判响应文件的构成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 供应商提交的竞争性谈判响应文件应包括下列部分的内容：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按照供应商须知的要求和竞争性谈判文件规定格式填写的谈判响应函、谈判报价表、法定代表人授权书。</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（2）按照竞争性谈判文件的要求编制的谈判方案说明书，内容应包括组织实施计划和服务的详细说明，服务应答表，人员配备和售后服务承诺等。</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（3）按照竞争性谈判文件供应商须知前附表的要求提交的资格证明文件；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（4）按照本须知第15条要求提交的谈判保证金。</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（5）竞争性谈判文件中要求的其他证明文件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 如果在竞争性谈判文件中没有允许提供备选方案，则每个谈判供应商只允许提交一个谈判方案，否则，其谈判将被作谈判无效处理。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本次谈判的最小单元：见供应商须知前附表，供应商可根据自身的资质情况和经营范围对本次项目进行响应，不得将其子目再行分解或只对本次项目中的品目进行不完全响应，任何不完全的响应将按无效响应处理。</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11.竞争性谈判响应文件格式</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供应商应按照竞争性谈判文件中“竞争性谈判响应文件格式及构成”所提供的格式和要求制作竞争性谈判响应文件，明确表达谈判意愿，详细说明谈判方案、承诺及价格。</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11.2供应商应完整地提供谈判文件要求的所有数据和资料。</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12.谈判报价</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12.1谈判报价：见供应商须知前附表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12.2谈判报价表成交明的价格应为履行合同的固定价格，不得以任何理由予以变更。以可调整的价格提交的竞争性谈判响应文件按无效响应处理。</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13.证明供应商合格和资格的文件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13.1供应商应按照竞争性谈判文件“供应商须知前附表”的要求，在竞争性谈判响应文件中提交合格的资格证明文件。如果资格证明文件不全或不合格的，其谈判按无效响应处理。</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14.证明服务符合竞争性谈判文件规定的文件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14.1供应商应在竞争性谈判响应文件中提交产品和服务满足竞争性谈判文件要求并符合国家法律法规、行业管理部门要求的其他强制性标准的证明文件。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14.2上述证明文件包括：</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服务主要技术指标和性能的详细说明；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逐条对竞争性谈判文件提出的技术要求和商务要求进行应答，说明所提供的产品和服务对竞争性谈判的技术和商务要求是否做出了实质性响应并提供支持文件；</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 服务内容、服务实施方案等的详细说明。</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15.谈判保证金</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15.1供应商在谈判时应向陕西中桓国际项目管理有限公司提交“供应商须知前附表”规定数额的谈判保证金,并作为其谈判的一部分。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15.2谈判保证金是为了保护采购人和采购代理机构免遭因供应商的行为而蒙受损失。采购单位在因供应商的行为受到损害时可根据本须知15.8的规定没收供应商的谈判保证金。</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15.3谈判保证金可采取“供应商须知前附表”规定的任何一种形式。</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15.4谈判保证金必须按照竞争性谈判文件 “供应商须知前附表”中规定的缴纳金额及方式办理。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15.5谈判开始后经审查，未提交谈判保证金、未按竞争性谈判文件规定时间提交谈判保证金、谈判保证金金额不足或谈判保证金转款凭证复印件/担保机构出具的保函复印件未附在竞争性谈判文件内</w:t>
      </w:r>
      <w:r>
        <w:rPr>
          <w:rFonts w:hint="eastAsia" w:ascii="宋体" w:hAnsi="宋体" w:eastAsia="宋体" w:cs="宋体"/>
          <w:color w:val="000000"/>
          <w:sz w:val="24"/>
          <w:szCs w:val="24"/>
        </w:rPr>
        <w:t>的</w:t>
      </w:r>
      <w:r>
        <w:rPr>
          <w:rFonts w:hint="eastAsia" w:ascii="宋体" w:hAnsi="宋体" w:eastAsia="宋体" w:cs="宋体"/>
          <w:sz w:val="24"/>
          <w:szCs w:val="24"/>
        </w:rPr>
        <w:t>谈判将按无效响应处理。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15.6未成交人的谈判保证金，将在成交通知书发出后五个工作日内按原账户退还；成交人的谈判保证金，在采购合同签订后五个工作日内退还（</w:t>
      </w:r>
      <w:r>
        <w:rPr>
          <w:rFonts w:hint="eastAsia" w:ascii="宋体" w:hAnsi="宋体" w:eastAsia="宋体" w:cs="宋体"/>
          <w:b/>
          <w:bCs/>
          <w:sz w:val="24"/>
          <w:szCs w:val="24"/>
        </w:rPr>
        <w:t>退还时，须</w:t>
      </w:r>
      <w:r>
        <w:rPr>
          <w:rFonts w:hint="eastAsia" w:ascii="宋体" w:hAnsi="宋体" w:eastAsia="宋体" w:cs="宋体"/>
          <w:b/>
          <w:sz w:val="24"/>
          <w:szCs w:val="24"/>
        </w:rPr>
        <w:t>向采购代理机构提供采购合同</w:t>
      </w:r>
      <w:r>
        <w:rPr>
          <w:rFonts w:hint="eastAsia" w:ascii="宋体" w:hAnsi="宋体" w:eastAsia="宋体" w:cs="宋体"/>
          <w:b/>
          <w:bCs/>
          <w:sz w:val="24"/>
          <w:szCs w:val="24"/>
        </w:rPr>
        <w:t>及保证金缴纳凭证复印件各壹份）。</w:t>
      </w:r>
    </w:p>
    <w:p>
      <w:pPr>
        <w:spacing w:line="500" w:lineRule="exact"/>
        <w:rPr>
          <w:rFonts w:hint="eastAsia" w:ascii="宋体" w:hAnsi="宋体" w:eastAsia="宋体" w:cs="宋体"/>
          <w:sz w:val="24"/>
          <w:szCs w:val="24"/>
        </w:rPr>
      </w:pPr>
      <w:r>
        <w:rPr>
          <w:rFonts w:hint="eastAsia" w:ascii="宋体" w:hAnsi="宋体" w:eastAsia="宋体" w:cs="宋体"/>
          <w:sz w:val="24"/>
          <w:szCs w:val="24"/>
        </w:rPr>
        <w:t>15.7供应商以担保机构保函形式缴纳谈判保证金的，谈判结束之后将担保机构保函正本原件退回（退还时间参照15.6条款）。供应商领取担保机构保函正本原件时需携带法定代表人授权委托书原件。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15.8 下列任何情况发生时，视为供应商违约，其谈判保证金将被没收：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供应商在谈判有效期内撤回其谈判；</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供应商成交后放弃成交或未能按规定签订合同；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（3）供应商事先未通告无故不参加谈判活动的；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（4）供应商在谈判响应文件中提供伪造、套改、虚假资料参加谈判的；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（5）供应商不按法定程序进行质疑和投诉,捏造事实，查无实据，造成恶劣影响，导致采购活动无法正常进行的。</w:t>
      </w:r>
    </w:p>
    <w:p>
      <w:pPr>
        <w:tabs>
          <w:tab w:val="right" w:pos="8788"/>
        </w:tabs>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16.谈判有效期</w:t>
      </w:r>
      <w:r>
        <w:rPr>
          <w:rFonts w:hint="eastAsia" w:ascii="宋体" w:hAnsi="宋体" w:eastAsia="宋体" w:cs="宋体"/>
          <w:b/>
          <w:sz w:val="24"/>
          <w:szCs w:val="24"/>
        </w:rPr>
        <w:tab/>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16.1谈判有效期：见供应商须知前附表。谈判有效期不满足规定有效期的谈判</w:t>
      </w:r>
      <w:r>
        <w:rPr>
          <w:rFonts w:hint="eastAsia" w:ascii="宋体" w:hAnsi="宋体" w:eastAsia="宋体" w:cs="宋体"/>
          <w:sz w:val="24"/>
        </w:rPr>
        <w:t>将被视为非响应性谈判而予以拒绝</w:t>
      </w:r>
      <w:r>
        <w:rPr>
          <w:rFonts w:hint="eastAsia" w:ascii="宋体" w:hAnsi="宋体" w:eastAsia="宋体" w:cs="宋体"/>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在特殊情况下，在原谈判有效期期满之前，采购代理机构可向供应商提出延长谈判有效期的要求。这种要求与答复均应以书面的形式。供应商可以拒绝采购代理机构的这种要求,其谈判保证金也不被没收。同意延长的供应商既不能要求也不允许修改其竞争性谈判响应文件，但要相应延长其谈判保证金的有效期。</w:t>
      </w:r>
      <w:r>
        <w:rPr>
          <w:rFonts w:hint="eastAsia" w:ascii="宋体" w:hAnsi="宋体" w:eastAsia="宋体" w:cs="宋体"/>
          <w:sz w:val="24"/>
        </w:rPr>
        <w:t>在这种情况下，本须知第15条有关谈判保证金的退还和没收的规定将在延长了的有效期内继续有效。</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17.竞争性谈判响应文件的式样和签署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17.1谈判响应文件正本、副本、电子版、报价一览表份数及要求详见“供应商须知前附表”。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竞争性谈判响应文件正本均需打印或用不褪色、不变质的墨水书写，由供应商的法定代表人或被授权人按谈判文件的规定签署（谈判文件要求谈判响应文件中签章的统一为签字或盖章）。竞争性谈判响应文件副本可采用正本的复印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17.3任何行间插字、涂改和增删，必须由供应商的法定代表人或其授权代表在旁边签字才有效。</w:t>
      </w:r>
    </w:p>
    <w:p>
      <w:pPr>
        <w:spacing w:line="500" w:lineRule="exact"/>
        <w:ind w:firstLine="480" w:firstLineChars="200"/>
        <w:rPr>
          <w:rFonts w:hint="eastAsia" w:ascii="宋体" w:hAnsi="宋体" w:eastAsia="宋体" w:cs="宋体"/>
        </w:rPr>
      </w:pPr>
      <w:r>
        <w:rPr>
          <w:rFonts w:hint="eastAsia" w:ascii="宋体" w:hAnsi="宋体" w:eastAsia="宋体" w:cs="宋体"/>
          <w:sz w:val="24"/>
          <w:szCs w:val="24"/>
        </w:rPr>
        <w:t>17.4竞争性谈判响应文件正本和副本按照竞争性谈判文件第六章规定的顺序编排、并应</w:t>
      </w:r>
      <w:r>
        <w:rPr>
          <w:rFonts w:hint="eastAsia" w:ascii="宋体" w:hAnsi="宋体" w:eastAsia="宋体" w:cs="宋体"/>
          <w:sz w:val="24"/>
          <w:szCs w:val="24"/>
          <w:lang w:val="zh-CN"/>
        </w:rPr>
        <w:t>编制目录，</w:t>
      </w:r>
      <w:r>
        <w:rPr>
          <w:rFonts w:hint="eastAsia" w:ascii="宋体" w:hAnsi="宋体" w:eastAsia="宋体" w:cs="宋体"/>
          <w:sz w:val="24"/>
          <w:szCs w:val="24"/>
        </w:rPr>
        <w:t>逐页标注连续页码，并分别</w:t>
      </w:r>
      <w:r>
        <w:rPr>
          <w:rFonts w:hint="eastAsia" w:ascii="宋体" w:hAnsi="宋体" w:eastAsia="宋体" w:cs="宋体"/>
          <w:sz w:val="24"/>
          <w:szCs w:val="24"/>
          <w:lang w:val="zh-CN"/>
        </w:rPr>
        <w:t>胶装成册</w:t>
      </w:r>
      <w:r>
        <w:rPr>
          <w:rFonts w:hint="eastAsia" w:ascii="宋体" w:hAnsi="宋体" w:eastAsia="宋体" w:cs="宋体"/>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17.5因字迹潦草、表述不清或不按竞争性谈判文件格式编制的竞争性谈判响应文件，所引起的对供应商不利的后果，由供应商自行负责。</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17.6谈判响应文件的副本、电子版须和正本保持一致。若正本、副本和电子版有不一致的内容，以正本为准。</w:t>
      </w:r>
    </w:p>
    <w:p>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四.竞争性谈判响应文件的递交</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18.竞争性谈判响应文件的密封和标记</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szCs w:val="24"/>
        </w:rPr>
        <w:t>18.1</w:t>
      </w:r>
      <w:r>
        <w:rPr>
          <w:rFonts w:hint="eastAsia" w:ascii="宋体" w:hAnsi="宋体" w:eastAsia="宋体" w:cs="宋体"/>
          <w:sz w:val="24"/>
        </w:rPr>
        <w:t>报价一览表除在竞争性谈判响应文件内装订外，再单独制作一份单独密封在封袋中。封线处加贴封条并加盖谈判供应商公章，封袋正面要粘贴标识，单独递交（该单独密封报价一览表的谈判报价必须与竞争性谈判响应文件正本中的报价一览表谈判报价一致，若不一致，则按单独密封的报价一览表为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18.2谈判响应文件的密封和标记：详见“供应商须知前附表”。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18.3如果谈判供应商未对竞争性谈判响应文件按上述要求进行完好密封，由此产生的不利后果由供应商自行承担。</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19.竞争性谈判响应文件的递交</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19.1供应商应按照竞争性谈判公告中规定的时间、地点，在规定的竞争性谈判响应文件递交截止时间前将全部竞争性谈判响应文件和谈判资料递交至采购代理机构接收人处。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19.2采购代理机构在竞争性谈判文件规定的竞争性谈判响应文件递交截止时间前，只负责竞争性谈判响应文件的接收、清点、造册登记工作，并请递交人签字确认，对其有效性不负任何责任；</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19.3无论供应商成交与否，其竞争性谈判响应文件概不退还。</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20.迟交的竞争性谈判响应文件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20.1按照供应商须知的规定，在递交谈判响应文件截止时间后送达的竞争性谈判响应文件，为无效响应文件，采购代理机构将拒绝接受。</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21.谈判的修改与撤回</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在谈判响应文件递交截止时间前，供应商可以修改或撤回其已递交的谈判响应文件，也可以提出价格变动声明，但供应商必须在规定的谈判截止时间之前将修改或撤回或变动价格的书面通知文件递交到采购代理机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供应商的修改或撤回或变动价格的通知应按本须知第18条的规定编制、密封、标记和递交。</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在谈判响应文件递交截止时间之后，供应商不得对其谈判做任何修改或撤回。</w:t>
      </w:r>
    </w:p>
    <w:p>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五.谈判与评审</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22.谈判大会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采购代理机构在规定的时间和地点组织竞争性谈判。谈判时所有供应商代表自愿参加，参加谈判的代表应签名报到以证明其出席。</w:t>
      </w:r>
    </w:p>
    <w:p>
      <w:pPr>
        <w:spacing w:line="500" w:lineRule="exact"/>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22.2在谈判时没有启封的竞争性谈判响应文件将原封退回给供应商。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22.3采购代理机构将做谈判记录，存档备查。</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23．评审组织及评审原则</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按照《中华人民共和国政府采购法》及实施条例和中华人民共和国财政部令第74号--《政府采购非招标采购方式管理办法》的规定，依法组建谈判小组。谈判小组由采购人代表和有关技术、经济等方面的专家组成。谈判小组按照竞争性谈判文件规定的评审方法独立进行评审工作。</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23.2竞争性谈判文件和竞争性谈判响应文件是评审的依据。在评审中，不得改变竞争性谈判文件中规定的评审标准、方法和成交条件。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23.3在谈判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23.4如果供应商在澄清规定期限内，未能答复或拒绝答复谈判小组提出的澄清要求，将由谈判小组根据其竞争性谈判响应文件按最大风险进行评审。</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24．评审过程的保密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谈判小组成员和与评审活动有关的工作人员不得泄露有关竞争性谈判响应文件的评审和比较、成交候选人的推荐以及与评审有关的其他情况。</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25．评审方法</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按照《中华人民共和国政府采购法》及实施条例、中华人民共和国财政部令第74号--《政府采购非招标采购方式管理办法》的规定，本次评审采用最低评标价法。</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最低评标价法，即在全部满足竞争性谈判文件实质性要求前提下，依据统一的价格要素评定最低报价，以提出最低报价的谈判供应商作为成交候选供应商并依次排序。</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26．评审程序</w:t>
      </w:r>
    </w:p>
    <w:p>
      <w:pPr>
        <w:spacing w:line="5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按照竞争性谈判响应文件初审、澄清有关问题、分别谈判、二次报价、推荐成交候选供应商名单的工作程序进行评审。在上一步评审中被认定无效文件者，不进入下一步的评审。</w:t>
      </w:r>
    </w:p>
    <w:p>
      <w:pPr>
        <w:pStyle w:val="12"/>
        <w:rPr>
          <w:rFonts w:hint="eastAsia" w:ascii="宋体" w:hAnsi="宋体" w:eastAsia="宋体" w:cs="宋体"/>
        </w:rPr>
      </w:pPr>
    </w:p>
    <w:p>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六.成交、通知与签约</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27．成交程序</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27.1谈判小组根据评审方法的规定对谈判供应商进行评审排序，推荐3名成交候选人，作为评审结果。评审结果由全体评委签字确认。</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27.2采购人根据谈判报告中推荐的成交候选人排列顺序，确定排名第一的为成交人。采购人也可以授权谈判小组评审后直接确定成交人。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27.3</w:t>
      </w:r>
      <w:r>
        <w:rPr>
          <w:rFonts w:hint="eastAsia" w:ascii="宋体" w:hAnsi="宋体" w:eastAsia="宋体" w:cs="宋体"/>
          <w:sz w:val="24"/>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27.4成交人确定之后，成交结果将在财政部门指定的政府采购信息发布媒体上公告。</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27.5供应商或者其他利害关系人对评审结果有异议的，应当在法律规定的时间内提出。</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28．成交通知</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28.1 采购代理机构向成交人发出《成交通知书》。 </w:t>
      </w:r>
      <w:r>
        <w:rPr>
          <w:rFonts w:hint="eastAsia" w:ascii="宋体" w:hAnsi="宋体" w:eastAsia="宋体" w:cs="宋体"/>
          <w:b/>
          <w:bCs/>
          <w:sz w:val="24"/>
          <w:szCs w:val="24"/>
        </w:rPr>
        <w:t>成交人领取成交通知书时须携带法定代表人授权书及加盖单位公章的被授权人身份证复印件。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28.2成交通知书对采购人和成交人具有同等法律效力。成交通知书发出之后，采购人改变成交结果，或者成交人放弃成交，应当承担相应的法律责任。</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29. 采购合同的签订</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29.2采购人自政府采购合同签订之日起2个工作日内，将政府采购合同在省级以上人民政府财政部门指定的媒体上公告，但政府采购合同中涉及国家秘密、商业秘密的内容除外。</w:t>
      </w:r>
    </w:p>
    <w:p>
      <w:pPr>
        <w:spacing w:line="500" w:lineRule="exact"/>
        <w:outlineLvl w:val="2"/>
        <w:rPr>
          <w:rFonts w:hint="eastAsia" w:ascii="宋体" w:hAnsi="宋体" w:eastAsia="宋体" w:cs="宋体"/>
          <w:sz w:val="24"/>
          <w:szCs w:val="24"/>
        </w:rPr>
      </w:pPr>
      <w:r>
        <w:rPr>
          <w:rFonts w:hint="eastAsia" w:ascii="宋体" w:hAnsi="宋体" w:eastAsia="宋体" w:cs="宋体"/>
          <w:b/>
          <w:sz w:val="24"/>
          <w:szCs w:val="24"/>
        </w:rPr>
        <w:t>30．招标代理服务费：详见“供应商须知前附表”。</w:t>
      </w:r>
    </w:p>
    <w:p>
      <w:pPr>
        <w:spacing w:line="500" w:lineRule="exact"/>
        <w:outlineLvl w:val="2"/>
        <w:rPr>
          <w:rFonts w:hint="eastAsia" w:ascii="宋体" w:hAnsi="宋体" w:eastAsia="宋体" w:cs="宋体"/>
          <w:b/>
          <w:bCs/>
          <w:sz w:val="24"/>
          <w:szCs w:val="24"/>
        </w:rPr>
      </w:pPr>
      <w:r>
        <w:rPr>
          <w:rFonts w:hint="eastAsia" w:ascii="宋体" w:hAnsi="宋体" w:eastAsia="宋体" w:cs="宋体"/>
          <w:b/>
          <w:bCs/>
          <w:sz w:val="24"/>
          <w:szCs w:val="24"/>
        </w:rPr>
        <w:t>31.合同鉴证费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31.1委托人和成交供应商签订的合同需经受托人审核并加盖鉴证方业务专用章。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31.2成交金额在500万元以下的项目，合同鉴证费收费标准为成交金额的万分之一，按规定计算低于300元的按300元收取；成交金额在500万元及以上的项目，合同鉴证费收费标准为成交金额的万分之一点五。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31.3合同鉴证费由成交供应商支付。</w:t>
      </w:r>
    </w:p>
    <w:p>
      <w:pPr>
        <w:spacing w:line="600" w:lineRule="exact"/>
        <w:outlineLvl w:val="2"/>
        <w:rPr>
          <w:rFonts w:hint="eastAsia" w:ascii="宋体" w:hAnsi="宋体" w:eastAsia="宋体" w:cs="宋体"/>
          <w:b/>
          <w:bCs/>
          <w:sz w:val="24"/>
          <w:szCs w:val="24"/>
        </w:rPr>
      </w:pPr>
      <w:r>
        <w:rPr>
          <w:rFonts w:hint="eastAsia" w:ascii="宋体" w:hAnsi="宋体" w:eastAsia="宋体" w:cs="宋体"/>
          <w:b/>
          <w:bCs/>
          <w:sz w:val="24"/>
          <w:szCs w:val="24"/>
        </w:rPr>
        <w:t>32.履约验收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32.2履约验收的费用及要求详见“供应商须知前附表”。</w:t>
      </w:r>
    </w:p>
    <w:p>
      <w:pPr>
        <w:spacing w:line="600" w:lineRule="exact"/>
        <w:outlineLvl w:val="2"/>
        <w:rPr>
          <w:rFonts w:hint="eastAsia" w:ascii="宋体" w:hAnsi="宋体" w:eastAsia="宋体" w:cs="宋体"/>
          <w:b/>
          <w:bCs/>
          <w:sz w:val="24"/>
          <w:szCs w:val="24"/>
        </w:rPr>
      </w:pPr>
      <w:r>
        <w:rPr>
          <w:rFonts w:hint="eastAsia" w:ascii="宋体" w:hAnsi="宋体" w:eastAsia="宋体" w:cs="宋体"/>
          <w:b/>
          <w:bCs/>
          <w:sz w:val="24"/>
          <w:szCs w:val="24"/>
        </w:rPr>
        <w:t>33.质疑</w:t>
      </w:r>
    </w:p>
    <w:p>
      <w:pPr>
        <w:spacing w:line="500" w:lineRule="exact"/>
        <w:ind w:right="12" w:firstLine="480"/>
        <w:rPr>
          <w:rFonts w:hint="eastAsia" w:ascii="宋体" w:hAnsi="宋体" w:eastAsia="宋体" w:cs="宋体"/>
          <w:sz w:val="24"/>
          <w:szCs w:val="24"/>
        </w:rPr>
      </w:pPr>
      <w:r>
        <w:rPr>
          <w:rFonts w:hint="eastAsia" w:ascii="宋体" w:hAnsi="宋体" w:eastAsia="宋体" w:cs="宋体"/>
          <w:sz w:val="24"/>
          <w:szCs w:val="24"/>
        </w:rPr>
        <w:t>33.1供应商认为谈判文件、采购过程、成交结果使自己的权益受到损害的，可以在知道或者应知其权益受到损害之日起7个工作日内，以书面形式向采购人、采购代理机构提出质疑。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32"/>
          <w:rFonts w:hint="eastAsia" w:ascii="宋体" w:hAnsi="宋体" w:eastAsia="宋体" w:cs="宋体"/>
          <w:b/>
          <w:bCs w:val="0"/>
          <w:color w:val="0000FF"/>
          <w:sz w:val="24"/>
          <w:szCs w:val="24"/>
          <w:shd w:val="clear" w:color="auto" w:fill="FFFFFF"/>
        </w:rPr>
      </w:pPr>
      <w:r>
        <w:rPr>
          <w:rFonts w:hint="eastAsia" w:ascii="宋体" w:hAnsi="宋体" w:eastAsia="宋体" w:cs="宋体"/>
          <w:sz w:val="24"/>
          <w:szCs w:val="24"/>
        </w:rPr>
        <w:t>33.2供应商必须在法定质疑期内一次性提出针对同一采购程序环节的质疑。</w:t>
      </w:r>
    </w:p>
    <w:p>
      <w:pPr>
        <w:spacing w:line="500" w:lineRule="exact"/>
        <w:ind w:left="3" w:firstLine="518" w:firstLineChars="216"/>
        <w:rPr>
          <w:rStyle w:val="32"/>
          <w:rFonts w:hint="eastAsia" w:ascii="宋体" w:hAnsi="宋体" w:eastAsia="宋体" w:cs="宋体"/>
          <w:color w:val="000000"/>
          <w:sz w:val="24"/>
          <w:szCs w:val="24"/>
          <w:shd w:val="clear" w:color="auto" w:fill="FFFFFF"/>
        </w:rPr>
      </w:pPr>
      <w:r>
        <w:rPr>
          <w:rStyle w:val="32"/>
          <w:rFonts w:hint="eastAsia" w:ascii="宋体" w:hAnsi="宋体" w:eastAsia="宋体" w:cs="宋体"/>
          <w:color w:val="000000"/>
          <w:sz w:val="24"/>
          <w:szCs w:val="24"/>
          <w:shd w:val="clear" w:color="auto" w:fill="FFFFFF"/>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32"/>
          <w:rFonts w:hint="eastAsia" w:ascii="宋体" w:hAnsi="宋体" w:eastAsia="宋体" w:cs="宋体"/>
          <w:color w:val="000000"/>
          <w:sz w:val="24"/>
          <w:szCs w:val="24"/>
          <w:shd w:val="clear" w:color="auto" w:fill="FFFFFF"/>
        </w:rPr>
      </w:pPr>
      <w:r>
        <w:rPr>
          <w:rStyle w:val="32"/>
          <w:rFonts w:hint="eastAsia" w:ascii="宋体" w:hAnsi="宋体" w:eastAsia="宋体" w:cs="宋体"/>
          <w:color w:val="000000"/>
          <w:sz w:val="24"/>
          <w:szCs w:val="24"/>
          <w:shd w:val="clear" w:color="auto" w:fill="FFFFFF"/>
        </w:rPr>
        <w:t>33.4以联合体形式参加政府采购活动的，其质疑应当由组成联合体的所有供应商共同提出。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33.5供应商提出质疑应当提交质疑函和必要的证明材料。质疑函应当包括下列内容：</w:t>
      </w:r>
    </w:p>
    <w:p>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33.5.1供应商的姓名或者名称、地址、邮编、联系人及联系电话；</w:t>
      </w:r>
    </w:p>
    <w:p>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33.5.2质疑项目的名称、编号；</w:t>
      </w:r>
    </w:p>
    <w:p>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33.5.3具体、明确的质疑事项和与质疑事项相关的请求；</w:t>
      </w:r>
    </w:p>
    <w:p>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33.5.4事实依据；</w:t>
      </w:r>
    </w:p>
    <w:p>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33.5.5必要的法律依据；</w:t>
      </w:r>
    </w:p>
    <w:p>
      <w:pPr>
        <w:spacing w:line="500" w:lineRule="exact"/>
        <w:ind w:right="12" w:firstLine="480" w:firstLineChars="200"/>
        <w:rPr>
          <w:rStyle w:val="32"/>
          <w:rFonts w:hint="eastAsia" w:ascii="宋体" w:hAnsi="宋体" w:eastAsia="宋体" w:cs="宋体"/>
          <w:color w:val="000000"/>
          <w:sz w:val="24"/>
          <w:szCs w:val="24"/>
          <w:shd w:val="clear" w:color="auto" w:fill="FFFFFF"/>
        </w:rPr>
      </w:pPr>
      <w:r>
        <w:rPr>
          <w:rFonts w:hint="eastAsia" w:ascii="宋体" w:hAnsi="宋体" w:eastAsia="宋体" w:cs="宋体"/>
          <w:sz w:val="24"/>
          <w:szCs w:val="24"/>
        </w:rPr>
        <w:t>33.5.6提出质疑的日期。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33.6有下列情形之一的，属于无效质疑，采购代理机构和采购人不予受理：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33.6.1质疑供应商不是参与本次政府采购项目的供应商；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33.6.2质疑供应商与质疑事项不存在利害关系的；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33.6.3未在法定期限内提出质疑的；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33.6.4质疑未以书面形式提出，或质疑函主要内容构成不完整的；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33.6.5应当提交授权书而未提交的；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33.6.6以非法手段取得证据、材料的；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33.6.7质疑答复后，同一质疑人就同一事项或同一采购程序环节再次提出质疑的；</w:t>
      </w:r>
    </w:p>
    <w:p>
      <w:pPr>
        <w:widowControl/>
        <w:spacing w:line="360" w:lineRule="auto"/>
        <w:ind w:firstLine="480" w:firstLineChars="200"/>
        <w:rPr>
          <w:rStyle w:val="32"/>
          <w:rFonts w:hint="eastAsia" w:ascii="宋体" w:hAnsi="宋体" w:eastAsia="宋体" w:cs="宋体"/>
          <w:sz w:val="24"/>
          <w:szCs w:val="24"/>
          <w:shd w:val="clear" w:color="auto" w:fill="FFFFFF"/>
        </w:rPr>
      </w:pPr>
      <w:r>
        <w:rPr>
          <w:rFonts w:hint="eastAsia" w:ascii="宋体" w:hAnsi="宋体" w:eastAsia="宋体" w:cs="宋体"/>
          <w:sz w:val="24"/>
        </w:rPr>
        <w:t>33.6.8不符合法律、法规、规章和政府采购监管机构规定的其他条件的。</w:t>
      </w:r>
    </w:p>
    <w:p>
      <w:pPr>
        <w:spacing w:line="500" w:lineRule="exact"/>
        <w:ind w:right="12"/>
        <w:rPr>
          <w:rFonts w:hint="eastAsia" w:ascii="宋体" w:hAnsi="宋体" w:eastAsia="宋体" w:cs="宋体"/>
          <w:sz w:val="24"/>
          <w:szCs w:val="24"/>
        </w:rPr>
      </w:pPr>
      <w:r>
        <w:rPr>
          <w:rFonts w:hint="eastAsia" w:ascii="宋体" w:hAnsi="宋体" w:eastAsia="宋体" w:cs="宋体"/>
          <w:sz w:val="24"/>
          <w:szCs w:val="24"/>
        </w:rPr>
        <w:t xml:space="preserve">    33.7质疑答复</w:t>
      </w:r>
    </w:p>
    <w:p>
      <w:pPr>
        <w:pStyle w:val="79"/>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33.7.1采购人或采购代理机构在收到质疑函后7个工作日内作出答复，并以书面形式通知质疑供应商和其他有关供应商。</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33.7.2质疑供应商对采购人、采购代理机构的答复不满意，或者采购人、采购代理机构未在规定时间内作出答复的，可以在答复期满后15个工作日内向同级人民政府财政部门提起投诉。</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33.8其他需要说明的事项</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http://gks.mof.gov.cn/zhengfucaigouguanli/201802/t20180201_2804589.html</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33.8.2接收质疑函的方式：书面形式</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33.8.3联系部门：陕西中桓国际项目管理有限公司项目部</w:t>
      </w:r>
    </w:p>
    <w:p>
      <w:pPr>
        <w:pStyle w:val="79"/>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33.8.4联系电话：见供应商须知前附表</w:t>
      </w:r>
    </w:p>
    <w:p>
      <w:pPr>
        <w:pStyle w:val="79"/>
        <w:spacing w:line="500" w:lineRule="exact"/>
        <w:ind w:firstLine="480" w:firstLineChars="0"/>
        <w:jc w:val="left"/>
        <w:rPr>
          <w:rFonts w:hint="eastAsia" w:ascii="宋体" w:hAnsi="宋体" w:eastAsia="宋体" w:cs="宋体"/>
          <w:szCs w:val="24"/>
        </w:rPr>
      </w:pPr>
      <w:r>
        <w:rPr>
          <w:rFonts w:hint="eastAsia" w:ascii="宋体" w:hAnsi="宋体" w:eastAsia="宋体" w:cs="宋体"/>
          <w:sz w:val="24"/>
          <w:szCs w:val="24"/>
        </w:rPr>
        <w:t>33.8.5通讯地址：</w:t>
      </w:r>
      <w:r>
        <w:rPr>
          <w:rFonts w:hint="eastAsia" w:ascii="宋体" w:hAnsi="宋体" w:eastAsia="宋体" w:cs="宋体"/>
          <w:color w:val="000000"/>
          <w:sz w:val="24"/>
          <w:szCs w:val="24"/>
        </w:rPr>
        <w:t>黄陵县轩辕大道原石油公司办公楼二楼</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34.其他</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34.1谈判步骤为：第一次报价---分别谈判---第二次报价---评审推荐成交人。（注：谈判响应文件拆封时的价格为第一次报价，无效谈判供应商将不得进入第二次报价）。</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rPr>
        <w:t>34.2当第二次报价全部超过谈判文件规定的采购预算（或最高限价）或均低于公认的制作成本时，谈判小组有权决定是否谈判失败或进行第三次报价。当第三次报价若超出财政预算，且采购人又无力支付，谈判小组有权决定谈判失败。</w:t>
      </w:r>
    </w:p>
    <w:p>
      <w:pPr>
        <w:spacing w:line="500" w:lineRule="exact"/>
        <w:ind w:firstLine="480" w:firstLineChars="200"/>
        <w:rPr>
          <w:rFonts w:hint="eastAsia" w:ascii="宋体" w:hAnsi="宋体" w:eastAsia="宋体" w:cs="宋体"/>
          <w:spacing w:val="5"/>
          <w:sz w:val="24"/>
        </w:rPr>
      </w:pPr>
      <w:r>
        <w:rPr>
          <w:rFonts w:hint="eastAsia" w:ascii="宋体" w:hAnsi="宋体" w:eastAsia="宋体" w:cs="宋体"/>
          <w:sz w:val="24"/>
        </w:rPr>
        <w:t>34.3</w:t>
      </w:r>
      <w:r>
        <w:rPr>
          <w:rFonts w:hint="eastAsia" w:ascii="宋体" w:hAnsi="宋体" w:eastAsia="宋体" w:cs="宋体"/>
          <w:spacing w:val="5"/>
          <w:sz w:val="24"/>
        </w:rPr>
        <w:t>在采购过程中符合竞争要求的供应商不足3家的，且采购单位或谈判小组不推荐的，须终止谈判采购活动，发布项目终止公告并说明原因，重新开展采购活动。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35.</w:t>
      </w:r>
      <w:r>
        <w:rPr>
          <w:rFonts w:hint="eastAsia" w:ascii="宋体" w:hAnsi="宋体" w:eastAsia="宋体" w:cs="宋体"/>
          <w:b/>
          <w:bCs/>
          <w:sz w:val="24"/>
          <w:szCs w:val="24"/>
        </w:rPr>
        <w:t>需要补充的其他内容：</w:t>
      </w:r>
      <w:bookmarkStart w:id="21" w:name="_Toc356305901"/>
      <w:r>
        <w:rPr>
          <w:rFonts w:hint="eastAsia" w:ascii="宋体" w:hAnsi="宋体" w:eastAsia="宋体" w:cs="宋体"/>
          <w:b/>
          <w:bCs/>
          <w:sz w:val="24"/>
          <w:szCs w:val="24"/>
        </w:rPr>
        <w:t>详见供应商须知前附表</w:t>
      </w:r>
      <w:bookmarkEnd w:id="21"/>
      <w:r>
        <w:rPr>
          <w:rFonts w:hint="eastAsia" w:ascii="宋体" w:hAnsi="宋体" w:eastAsia="宋体" w:cs="宋体"/>
          <w:b/>
          <w:bCs/>
          <w:sz w:val="24"/>
          <w:szCs w:val="24"/>
        </w:rPr>
        <w:t>。</w:t>
      </w:r>
    </w:p>
    <w:p>
      <w:pPr>
        <w:spacing w:line="360" w:lineRule="auto"/>
        <w:rPr>
          <w:rFonts w:hint="eastAsia" w:ascii="宋体" w:hAnsi="宋体" w:eastAsia="宋体" w:cs="宋体"/>
          <w:b/>
          <w:kern w:val="0"/>
          <w:sz w:val="24"/>
          <w:szCs w:val="24"/>
        </w:rPr>
      </w:pPr>
    </w:p>
    <w:p>
      <w:pPr>
        <w:rPr>
          <w:rFonts w:hint="eastAsia" w:ascii="宋体" w:hAnsi="宋体" w:eastAsia="宋体" w:cs="宋体"/>
          <w:b/>
          <w:kern w:val="0"/>
          <w:sz w:val="24"/>
          <w:szCs w:val="24"/>
        </w:rPr>
      </w:pPr>
    </w:p>
    <w:p>
      <w:pPr>
        <w:pStyle w:val="3"/>
        <w:rPr>
          <w:rFonts w:hint="eastAsia" w:ascii="宋体" w:hAnsi="宋体" w:eastAsia="宋体" w:cs="宋体"/>
          <w:b/>
          <w:bCs/>
          <w:sz w:val="36"/>
          <w:szCs w:val="36"/>
        </w:rPr>
      </w:pPr>
      <w:r>
        <w:rPr>
          <w:rFonts w:hint="eastAsia" w:ascii="宋体" w:hAnsi="宋体" w:eastAsia="宋体" w:cs="宋体"/>
          <w:b/>
          <w:kern w:val="0"/>
          <w:sz w:val="24"/>
          <w:szCs w:val="24"/>
        </w:rPr>
        <w:br w:type="page"/>
      </w:r>
      <w:bookmarkStart w:id="22" w:name="_Toc409690876"/>
      <w:bookmarkStart w:id="23" w:name="_Toc31299"/>
      <w:bookmarkStart w:id="24" w:name="_Toc20645"/>
      <w:bookmarkStart w:id="25" w:name="_Toc425781309"/>
      <w:bookmarkStart w:id="26" w:name="_Toc8912"/>
      <w:bookmarkStart w:id="27" w:name="_Toc405358615"/>
      <w:bookmarkStart w:id="28" w:name="_Toc7665"/>
      <w:bookmarkStart w:id="29" w:name="_Toc409690877"/>
      <w:bookmarkStart w:id="30" w:name="_Toc25472"/>
      <w:bookmarkStart w:id="31" w:name="_Toc75232033"/>
      <w:bookmarkStart w:id="32" w:name="_Toc19921"/>
      <w:r>
        <w:rPr>
          <w:rFonts w:hint="eastAsia" w:ascii="宋体" w:hAnsi="宋体" w:eastAsia="宋体" w:cs="宋体"/>
          <w:b/>
          <w:bCs/>
          <w:sz w:val="36"/>
          <w:szCs w:val="36"/>
        </w:rPr>
        <w:t>第三章 合同条款</w:t>
      </w:r>
      <w:bookmarkEnd w:id="22"/>
      <w:bookmarkEnd w:id="23"/>
      <w:bookmarkEnd w:id="24"/>
      <w:r>
        <w:rPr>
          <w:rFonts w:hint="eastAsia" w:ascii="宋体" w:hAnsi="宋体" w:eastAsia="宋体" w:cs="宋体"/>
          <w:b/>
          <w:bCs/>
          <w:sz w:val="36"/>
          <w:szCs w:val="36"/>
        </w:rPr>
        <w:t>及格式</w:t>
      </w:r>
      <w:bookmarkEnd w:id="25"/>
      <w:bookmarkEnd w:id="26"/>
    </w:p>
    <w:p>
      <w:pPr>
        <w:pStyle w:val="4"/>
        <w:jc w:val="center"/>
        <w:rPr>
          <w:rFonts w:hint="eastAsia" w:ascii="宋体" w:hAnsi="宋体" w:eastAsia="宋体" w:cs="宋体"/>
        </w:rPr>
      </w:pPr>
      <w:bookmarkStart w:id="33" w:name="_Toc425781310"/>
      <w:bookmarkStart w:id="34" w:name="_Toc31424"/>
      <w:r>
        <w:rPr>
          <w:rFonts w:hint="eastAsia" w:ascii="宋体" w:hAnsi="宋体" w:eastAsia="宋体" w:cs="宋体"/>
        </w:rPr>
        <w:t>合同</w:t>
      </w:r>
      <w:bookmarkEnd w:id="27"/>
      <w:r>
        <w:rPr>
          <w:rFonts w:hint="eastAsia" w:ascii="宋体" w:hAnsi="宋体" w:eastAsia="宋体" w:cs="宋体"/>
        </w:rPr>
        <w:t>前附表</w:t>
      </w:r>
      <w:bookmarkEnd w:id="33"/>
      <w:bookmarkEnd w:id="34"/>
    </w:p>
    <w:p>
      <w:pPr>
        <w:jc w:val="center"/>
        <w:rPr>
          <w:rFonts w:hint="eastAsia" w:ascii="宋体" w:hAnsi="宋体" w:eastAsia="宋体" w:cs="宋体"/>
          <w:sz w:val="24"/>
          <w:szCs w:val="24"/>
        </w:rPr>
      </w:pPr>
      <w:r>
        <w:rPr>
          <w:rFonts w:hint="eastAsia" w:ascii="宋体" w:hAnsi="宋体" w:eastAsia="宋体" w:cs="宋体"/>
          <w:sz w:val="24"/>
          <w:szCs w:val="24"/>
        </w:rPr>
        <w:t>本表是对合同条款的具体补充和修改，如有矛盾，应以本资料表为准。</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828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1" w:hRule="exac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281" w:type="dxa"/>
            <w:noWrap/>
            <w:vAlign w:val="center"/>
          </w:tcPr>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cs="宋体"/>
                <w:sz w:val="24"/>
                <w:szCs w:val="24"/>
                <w:lang w:eastAsia="zh-CN"/>
              </w:rPr>
              <w:t>黄陵县住房和城乡建设局</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地址：黄陵县中心广场</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黄陵县城城乡生活垃圾收运处置体系规划</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highlight w:val="none"/>
              </w:rPr>
              <w:t>资金来源：自筹资金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281" w:type="dxa"/>
            <w:noWrap/>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项目实施地点：</w:t>
            </w:r>
            <w:r>
              <w:rPr>
                <w:rFonts w:hint="eastAsia" w:ascii="宋体" w:hAnsi="宋体" w:cs="宋体"/>
                <w:sz w:val="24"/>
                <w:szCs w:val="24"/>
                <w:lang w:eastAsia="zh-CN"/>
              </w:rPr>
              <w:t>黄陵县住房和城乡建设局</w:t>
            </w:r>
            <w:r>
              <w:rPr>
                <w:rFonts w:hint="eastAsia" w:ascii="宋体" w:hAnsi="宋体" w:eastAsia="宋体" w:cs="宋体"/>
                <w:sz w:val="24"/>
                <w:szCs w:val="24"/>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8281" w:type="dxa"/>
            <w:noWrap/>
            <w:vAlign w:val="center"/>
          </w:tcPr>
          <w:p>
            <w:pPr>
              <w:spacing w:line="360" w:lineRule="auto"/>
              <w:rPr>
                <w:rFonts w:hint="default" w:ascii="宋体" w:hAnsi="宋体" w:eastAsia="宋体" w:cs="宋体"/>
                <w:lang w:val="en-US" w:eastAsia="zh-CN"/>
              </w:rPr>
            </w:pPr>
            <w:r>
              <w:rPr>
                <w:rFonts w:hint="eastAsia" w:ascii="宋体" w:hAnsi="宋体" w:eastAsia="宋体" w:cs="宋体"/>
                <w:sz w:val="24"/>
                <w:szCs w:val="24"/>
              </w:rPr>
              <w:t>服务期限：</w:t>
            </w:r>
            <w:r>
              <w:rPr>
                <w:rFonts w:hint="eastAsia" w:ascii="宋体" w:hAnsi="宋体" w:cs="宋体"/>
                <w:sz w:val="24"/>
                <w:szCs w:val="24"/>
                <w:lang w:val="en-US" w:eastAsia="zh-CN"/>
              </w:rPr>
              <w:t>90</w:t>
            </w:r>
            <w:r>
              <w:rPr>
                <w:rFonts w:hint="eastAsia" w:ascii="宋体" w:hAnsi="宋体" w:eastAsia="宋体" w:cs="宋体"/>
                <w:sz w:val="24"/>
                <w:szCs w:val="24"/>
                <w:lang w:val="en-US" w:eastAsia="zh-CN"/>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8281" w:type="dxa"/>
            <w:noWrap/>
            <w:vAlign w:val="center"/>
          </w:tcPr>
          <w:p>
            <w:pPr>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合同总价即成交价，谈判供应商应在谈判报价表成交明完成本次谈判所要求的货物、服务并验收至合格的所有费用。</w:t>
            </w:r>
          </w:p>
          <w:p>
            <w:pPr>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合同总价一次包死，不受市场价变化或实际工作量变化的影响。</w:t>
            </w:r>
          </w:p>
          <w:p>
            <w:pPr>
              <w:spacing w:line="360" w:lineRule="auto"/>
              <w:rPr>
                <w:rFonts w:hint="eastAsia" w:ascii="宋体" w:hAnsi="宋体" w:eastAsia="宋体" w:cs="宋体"/>
                <w:sz w:val="24"/>
                <w:szCs w:val="24"/>
              </w:rPr>
            </w:pPr>
            <w:r>
              <w:rPr>
                <w:rFonts w:hint="eastAsia" w:ascii="宋体" w:hAnsi="宋体" w:eastAsia="宋体" w:cs="宋体"/>
                <w:sz w:val="24"/>
                <w:szCs w:val="24"/>
              </w:rPr>
              <w:t>3.付款方式和程序：</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（1）由采购人负责结算，在付款前，供应商必须开具全额发票给采购人。 </w:t>
            </w:r>
          </w:p>
          <w:p>
            <w:pPr>
              <w:spacing w:line="360" w:lineRule="auto"/>
              <w:rPr>
                <w:rFonts w:hint="eastAsia" w:ascii="宋体" w:hAnsi="宋体" w:eastAsia="宋体" w:cs="宋体"/>
              </w:rPr>
            </w:pPr>
            <w:r>
              <w:rPr>
                <w:rFonts w:hint="eastAsia" w:ascii="宋体" w:hAnsi="宋体" w:eastAsia="宋体" w:cs="宋体"/>
                <w:sz w:val="24"/>
                <w:szCs w:val="24"/>
              </w:rPr>
              <w:t>（2）付款方式：</w:t>
            </w:r>
            <w:bookmarkStart w:id="35" w:name="OLE_LINK17"/>
            <w:r>
              <w:rPr>
                <w:rFonts w:hint="eastAsia" w:ascii="宋体" w:hAnsi="宋体" w:eastAsia="宋体" w:cs="宋体"/>
                <w:sz w:val="24"/>
                <w:szCs w:val="24"/>
              </w:rPr>
              <w:t>服务项目整体验收合格,一次付清。</w:t>
            </w:r>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8281" w:type="dxa"/>
            <w:noWrap/>
            <w:vAlign w:val="center"/>
          </w:tcPr>
          <w:p>
            <w:pPr>
              <w:pStyle w:val="15"/>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质量保证：</w:t>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供应商提供的服务，应全面满足谈判文件的要求，谈判文件未明确要求的内容，供应商须按采购人的补充要求为准。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8281" w:type="dxa"/>
            <w:noWrap/>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验收：</w:t>
            </w:r>
          </w:p>
          <w:p>
            <w:pPr>
              <w:spacing w:line="520" w:lineRule="exact"/>
              <w:rPr>
                <w:rFonts w:hint="eastAsia" w:ascii="宋体" w:hAnsi="宋体" w:eastAsia="宋体" w:cs="宋体"/>
                <w:sz w:val="24"/>
                <w:szCs w:val="24"/>
              </w:rPr>
            </w:pPr>
            <w:r>
              <w:rPr>
                <w:rFonts w:hint="eastAsia" w:ascii="宋体" w:hAnsi="宋体" w:eastAsia="宋体" w:cs="宋体"/>
                <w:sz w:val="24"/>
                <w:szCs w:val="24"/>
              </w:rPr>
              <w:t>1、本项目由采购人相关部门定期对项目进行阶段性验收。</w:t>
            </w:r>
          </w:p>
          <w:p>
            <w:pPr>
              <w:spacing w:line="480" w:lineRule="exact"/>
              <w:rPr>
                <w:rFonts w:hint="eastAsia" w:ascii="宋体" w:hAnsi="宋体" w:eastAsia="宋体" w:cs="宋体"/>
                <w:sz w:val="24"/>
                <w:szCs w:val="24"/>
              </w:rPr>
            </w:pPr>
            <w:r>
              <w:rPr>
                <w:rFonts w:hint="eastAsia" w:ascii="宋体" w:hAnsi="宋体" w:eastAsia="宋体" w:cs="宋体"/>
                <w:sz w:val="24"/>
                <w:szCs w:val="24"/>
              </w:rPr>
              <w:t>2.验收标准：按谈判文件、谈判响应文件及澄清函、项目检查情况等综合指标进行验收。各项指标均应符合验收标准及要求。</w:t>
            </w:r>
          </w:p>
          <w:p>
            <w:pPr>
              <w:spacing w:line="480" w:lineRule="exact"/>
              <w:rPr>
                <w:rFonts w:hint="eastAsia" w:ascii="宋体" w:hAnsi="宋体" w:eastAsia="宋体" w:cs="宋体"/>
                <w:sz w:val="24"/>
                <w:szCs w:val="24"/>
              </w:rPr>
            </w:pPr>
            <w:r>
              <w:rPr>
                <w:rFonts w:hint="eastAsia" w:ascii="宋体" w:hAnsi="宋体" w:eastAsia="宋体" w:cs="宋体"/>
                <w:sz w:val="24"/>
                <w:szCs w:val="24"/>
              </w:rPr>
              <w:t>3.验收合格后，填写验收单，双方签字生效。</w:t>
            </w:r>
          </w:p>
          <w:p>
            <w:pPr>
              <w:spacing w:line="480" w:lineRule="exact"/>
              <w:rPr>
                <w:rFonts w:hint="eastAsia" w:ascii="宋体" w:hAnsi="宋体" w:eastAsia="宋体" w:cs="宋体"/>
                <w:sz w:val="24"/>
                <w:szCs w:val="24"/>
              </w:rPr>
            </w:pPr>
            <w:r>
              <w:rPr>
                <w:rFonts w:hint="eastAsia" w:ascii="宋体" w:hAnsi="宋体" w:eastAsia="宋体" w:cs="宋体"/>
                <w:sz w:val="24"/>
                <w:szCs w:val="24"/>
              </w:rPr>
              <w:t>4.验收依据：</w:t>
            </w:r>
          </w:p>
          <w:p>
            <w:pPr>
              <w:numPr>
                <w:ilvl w:val="0"/>
                <w:numId w:val="4"/>
              </w:numPr>
              <w:tabs>
                <w:tab w:val="left" w:pos="498"/>
                <w:tab w:val="clear" w:pos="840"/>
              </w:tabs>
              <w:spacing w:line="480" w:lineRule="exact"/>
              <w:ind w:hanging="625"/>
              <w:rPr>
                <w:rFonts w:hint="eastAsia" w:ascii="宋体" w:hAnsi="宋体" w:eastAsia="宋体" w:cs="宋体"/>
                <w:sz w:val="24"/>
                <w:szCs w:val="24"/>
              </w:rPr>
            </w:pPr>
            <w:r>
              <w:rPr>
                <w:rFonts w:hint="eastAsia" w:ascii="宋体" w:hAnsi="宋体" w:eastAsia="宋体" w:cs="宋体"/>
                <w:sz w:val="24"/>
                <w:szCs w:val="24"/>
              </w:rPr>
              <w:t>合同文本；</w:t>
            </w:r>
          </w:p>
          <w:p>
            <w:pPr>
              <w:numPr>
                <w:ilvl w:val="0"/>
                <w:numId w:val="4"/>
              </w:numPr>
              <w:tabs>
                <w:tab w:val="left" w:pos="498"/>
                <w:tab w:val="clear" w:pos="840"/>
              </w:tabs>
              <w:spacing w:line="480" w:lineRule="exact"/>
              <w:ind w:hanging="625"/>
              <w:rPr>
                <w:rFonts w:hint="eastAsia" w:ascii="宋体" w:hAnsi="宋体" w:eastAsia="宋体" w:cs="宋体"/>
                <w:sz w:val="24"/>
                <w:szCs w:val="24"/>
              </w:rPr>
            </w:pPr>
            <w:r>
              <w:rPr>
                <w:rFonts w:hint="eastAsia" w:ascii="宋体" w:hAnsi="宋体" w:eastAsia="宋体" w:cs="宋体"/>
                <w:sz w:val="24"/>
                <w:szCs w:val="24"/>
              </w:rPr>
              <w:t>谈判文件及澄清函、谈判响应文件；</w:t>
            </w:r>
          </w:p>
          <w:p>
            <w:pPr>
              <w:numPr>
                <w:ilvl w:val="0"/>
                <w:numId w:val="4"/>
              </w:numPr>
              <w:tabs>
                <w:tab w:val="left" w:pos="498"/>
                <w:tab w:val="clear" w:pos="840"/>
              </w:tabs>
              <w:spacing w:line="480" w:lineRule="exact"/>
              <w:ind w:hanging="625"/>
              <w:rPr>
                <w:rFonts w:hint="eastAsia" w:ascii="宋体" w:hAnsi="宋体" w:eastAsia="宋体" w:cs="宋体"/>
                <w:sz w:val="24"/>
                <w:szCs w:val="24"/>
              </w:rPr>
            </w:pPr>
            <w:r>
              <w:rPr>
                <w:rFonts w:hint="eastAsia" w:ascii="宋体" w:hAnsi="宋体" w:eastAsia="宋体" w:cs="宋体"/>
                <w:sz w:val="24"/>
                <w:szCs w:val="24"/>
              </w:rPr>
              <w:t>国家和行业制定的相应的标准和规范；</w:t>
            </w:r>
          </w:p>
          <w:p>
            <w:pPr>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8281" w:type="dxa"/>
            <w:noWrap/>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违约责任：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按按《中华人民共和国政府采购法》、《中华人民共和国民法典》中的相关条款执行。</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未按合同或谈判文件要求提供的产品或者服务，质量不能满足采购人技术要求，采购单位有权终止合同，甚至对供应商违约行为进行追究。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8281" w:type="dxa"/>
            <w:noWrap/>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其它：</w:t>
            </w:r>
          </w:p>
          <w:p>
            <w:pPr>
              <w:spacing w:line="360" w:lineRule="auto"/>
              <w:rPr>
                <w:rFonts w:hint="eastAsia" w:ascii="宋体" w:hAnsi="宋体" w:eastAsia="宋体" w:cs="宋体"/>
                <w:sz w:val="24"/>
                <w:szCs w:val="24"/>
              </w:rPr>
            </w:pPr>
            <w:r>
              <w:rPr>
                <w:rFonts w:hint="eastAsia" w:ascii="宋体" w:hAnsi="宋体" w:eastAsia="宋体" w:cs="宋体"/>
                <w:sz w:val="24"/>
                <w:szCs w:val="24"/>
              </w:rPr>
              <w:t>1.供应商须按报价一览表（统一格式）和谈判分项报价表（统一格式）的内容填写单价、总价及其他事项。</w:t>
            </w:r>
          </w:p>
          <w:p>
            <w:pPr>
              <w:pStyle w:val="15"/>
              <w:spacing w:line="360" w:lineRule="auto"/>
              <w:rPr>
                <w:rFonts w:hint="eastAsia" w:ascii="宋体" w:hAnsi="宋体" w:eastAsia="宋体" w:cs="宋体"/>
                <w:b/>
                <w:kern w:val="0"/>
                <w:sz w:val="24"/>
                <w:szCs w:val="24"/>
              </w:rPr>
            </w:pPr>
            <w:r>
              <w:rPr>
                <w:rFonts w:hint="eastAsia" w:ascii="宋体" w:hAnsi="宋体" w:eastAsia="宋体" w:cs="宋体"/>
                <w:kern w:val="0"/>
                <w:sz w:val="24"/>
                <w:szCs w:val="24"/>
              </w:rPr>
              <w:t>2.供应商所报的谈判价在合同执行过程中是固定不变的，不得以任何理由予以变更。</w:t>
            </w:r>
          </w:p>
        </w:tc>
      </w:tr>
    </w:tbl>
    <w:p>
      <w:pPr>
        <w:jc w:val="center"/>
        <w:rPr>
          <w:rFonts w:hint="eastAsia" w:ascii="宋体" w:hAnsi="宋体" w:eastAsia="宋体" w:cs="宋体"/>
          <w:b/>
          <w:bCs/>
          <w:sz w:val="48"/>
          <w:szCs w:val="48"/>
        </w:rPr>
      </w:pPr>
      <w:r>
        <w:rPr>
          <w:rFonts w:hint="eastAsia" w:ascii="宋体" w:hAnsi="宋体" w:eastAsia="宋体" w:cs="宋体"/>
          <w:b/>
          <w:bCs/>
          <w:sz w:val="48"/>
          <w:szCs w:val="48"/>
        </w:rPr>
        <w:br w:type="page"/>
      </w:r>
    </w:p>
    <w:p>
      <w:pPr>
        <w:jc w:val="center"/>
        <w:rPr>
          <w:rFonts w:hint="eastAsia" w:ascii="宋体" w:hAnsi="宋体" w:eastAsia="宋体" w:cs="宋体"/>
          <w:b/>
          <w:bCs/>
          <w:sz w:val="48"/>
          <w:szCs w:val="48"/>
        </w:rPr>
      </w:pPr>
    </w:p>
    <w:p>
      <w:pPr>
        <w:jc w:val="center"/>
        <w:rPr>
          <w:rFonts w:hint="eastAsia" w:ascii="宋体" w:hAnsi="宋体" w:eastAsia="宋体" w:cs="宋体"/>
          <w:b/>
          <w:sz w:val="52"/>
          <w:szCs w:val="52"/>
          <w:lang w:eastAsia="zh-CN"/>
        </w:rPr>
      </w:pPr>
      <w:r>
        <w:rPr>
          <w:rFonts w:hint="eastAsia" w:ascii="宋体" w:hAnsi="宋体" w:cs="宋体"/>
          <w:b/>
          <w:spacing w:val="-23"/>
          <w:sz w:val="52"/>
          <w:szCs w:val="52"/>
          <w:lang w:eastAsia="zh-CN"/>
        </w:rPr>
        <w:t>黄陵县城城乡生活垃圾收运处置体系规划</w:t>
      </w:r>
    </w:p>
    <w:p>
      <w:pPr>
        <w:jc w:val="center"/>
        <w:rPr>
          <w:rFonts w:hint="eastAsia" w:ascii="宋体" w:hAnsi="宋体" w:eastAsia="宋体" w:cs="宋体"/>
          <w:b/>
          <w:sz w:val="52"/>
          <w:szCs w:val="52"/>
        </w:rPr>
      </w:pPr>
      <w:r>
        <w:rPr>
          <w:rFonts w:hint="eastAsia" w:ascii="宋体" w:hAnsi="宋体" w:eastAsia="宋体" w:cs="宋体"/>
          <w:b/>
          <w:sz w:val="52"/>
          <w:szCs w:val="52"/>
        </w:rPr>
        <w:t>采购合同</w:t>
      </w:r>
    </w:p>
    <w:p>
      <w:pPr>
        <w:jc w:val="center"/>
        <w:rPr>
          <w:rFonts w:hint="eastAsia" w:ascii="宋体" w:hAnsi="宋体" w:eastAsia="宋体" w:cs="宋体"/>
          <w:sz w:val="28"/>
          <w:szCs w:val="24"/>
        </w:rPr>
      </w:pPr>
    </w:p>
    <w:p>
      <w:pPr>
        <w:jc w:val="center"/>
        <w:rPr>
          <w:rFonts w:hint="eastAsia" w:ascii="宋体" w:hAnsi="宋体" w:eastAsia="宋体" w:cs="宋体"/>
          <w:b/>
          <w:bCs/>
          <w:sz w:val="2"/>
          <w:szCs w:val="24"/>
        </w:rPr>
      </w:pPr>
      <w:r>
        <w:rPr>
          <w:rFonts w:hint="eastAsia" w:ascii="宋体" w:hAnsi="宋体" w:eastAsia="宋体" w:cs="宋体"/>
          <w:b/>
          <w:bCs/>
          <w:sz w:val="28"/>
          <w:szCs w:val="24"/>
        </w:rPr>
        <w:t>（示范文本）</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2811" w:firstLineChars="1000"/>
        <w:rPr>
          <w:rFonts w:hint="eastAsia" w:ascii="宋体" w:hAnsi="宋体" w:eastAsia="宋体" w:cs="宋体"/>
          <w:b/>
          <w:sz w:val="24"/>
          <w:highlight w:val="none"/>
          <w:u w:val="single"/>
        </w:rPr>
      </w:pPr>
      <w:r>
        <w:rPr>
          <w:rFonts w:hint="eastAsia" w:ascii="宋体" w:hAnsi="宋体" w:eastAsia="宋体" w:cs="宋体"/>
          <w:b/>
          <w:bCs/>
          <w:sz w:val="28"/>
          <w:szCs w:val="28"/>
        </w:rPr>
        <w:t>签订日期：</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br w:type="page"/>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r>
        <w:rPr>
          <w:rFonts w:hint="eastAsia" w:ascii="宋体" w:hAnsi="宋体" w:cs="宋体"/>
          <w:b/>
          <w:sz w:val="24"/>
          <w:highlight w:val="none"/>
          <w:u w:val="single"/>
          <w:lang w:val="en-US" w:eastAsia="zh-CN"/>
        </w:rPr>
        <w:t>黄陵县住房和城乡建设局</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 xml:space="preserve">  </w:t>
      </w:r>
      <w:r>
        <w:rPr>
          <w:rFonts w:hint="eastAsia" w:ascii="宋体" w:hAnsi="宋体" w:eastAsia="宋体" w:cs="宋体"/>
          <w:b/>
          <w:sz w:val="24"/>
          <w:highlight w:val="none"/>
          <w:u w:val="single"/>
        </w:rPr>
        <w:t xml:space="preserve"> </w:t>
      </w:r>
    </w:p>
    <w:p>
      <w:pPr>
        <w:adjustRightInd w:val="0"/>
        <w:snapToGrid w:val="0"/>
        <w:spacing w:line="580" w:lineRule="exact"/>
        <w:rPr>
          <w:rFonts w:hint="eastAsia" w:ascii="宋体" w:hAnsi="宋体" w:eastAsia="宋体" w:cs="宋体"/>
          <w:sz w:val="24"/>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根据《中华人民共和国民法典》及其他有关法律、法规，遵循平等、自愿、公平和诚信的原则，双方就下述项目范围与相关服务事项协商一致，订立本合同。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rPr>
      </w:pPr>
      <w:r>
        <w:rPr>
          <w:rFonts w:hint="eastAsia" w:ascii="宋体" w:hAnsi="宋体" w:eastAsia="宋体" w:cs="宋体"/>
          <w:b/>
          <w:sz w:val="24"/>
        </w:rPr>
        <w:t>一、项目概况</w:t>
      </w:r>
    </w:p>
    <w:p>
      <w:pPr>
        <w:adjustRightInd w:val="0"/>
        <w:snapToGrid w:val="0"/>
        <w:spacing w:line="360" w:lineRule="auto"/>
        <w:ind w:firstLine="475" w:firstLineChars="198"/>
        <w:rPr>
          <w:rFonts w:hint="eastAsia" w:ascii="宋体" w:hAnsi="宋体" w:cs="宋体"/>
          <w:sz w:val="24"/>
          <w:u w:val="single"/>
          <w:lang w:eastAsia="zh-CN"/>
        </w:rPr>
      </w:pPr>
      <w:r>
        <w:rPr>
          <w:rFonts w:hint="eastAsia" w:ascii="宋体" w:hAnsi="宋体" w:eastAsia="宋体" w:cs="宋体"/>
          <w:sz w:val="24"/>
        </w:rPr>
        <w:t>1. 项目名称：</w:t>
      </w:r>
      <w:r>
        <w:rPr>
          <w:rFonts w:hint="eastAsia" w:ascii="宋体" w:hAnsi="宋体" w:cs="宋体"/>
          <w:sz w:val="24"/>
          <w:u w:val="single"/>
          <w:lang w:eastAsia="zh-CN"/>
        </w:rPr>
        <w:t>黄陵县城城乡生活垃圾收运处置体系规划</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 项目地点：</w:t>
      </w:r>
      <w:r>
        <w:rPr>
          <w:rFonts w:hint="eastAsia" w:ascii="宋体" w:hAnsi="宋体" w:cs="宋体"/>
          <w:sz w:val="24"/>
          <w:szCs w:val="24"/>
          <w:u w:val="single"/>
          <w:lang w:eastAsia="zh-CN"/>
        </w:rPr>
        <w:t>黄陵县住房和城乡建设局</w:t>
      </w:r>
      <w:r>
        <w:rPr>
          <w:rFonts w:hint="eastAsia" w:ascii="宋体" w:hAnsi="宋体" w:eastAsia="宋体" w:cs="宋体"/>
          <w:sz w:val="24"/>
          <w:u w:val="single"/>
        </w:rPr>
        <w:t>指定地点</w:t>
      </w:r>
    </w:p>
    <w:p>
      <w:pPr>
        <w:adjustRightInd w:val="0"/>
        <w:snapToGrid w:val="0"/>
        <w:spacing w:line="360" w:lineRule="auto"/>
        <w:ind w:firstLine="475" w:firstLineChars="198"/>
        <w:rPr>
          <w:rFonts w:hint="eastAsia" w:ascii="宋体" w:hAnsi="宋体" w:eastAsia="宋体" w:cs="宋体"/>
          <w:sz w:val="24"/>
          <w:u w:val="single"/>
          <w:lang w:eastAsia="zh-CN"/>
        </w:rPr>
      </w:pPr>
      <w:r>
        <w:rPr>
          <w:rFonts w:hint="eastAsia" w:ascii="宋体" w:hAnsi="宋体" w:eastAsia="宋体" w:cs="宋体"/>
          <w:sz w:val="24"/>
        </w:rPr>
        <w:t>3. 项目</w:t>
      </w:r>
      <w:r>
        <w:rPr>
          <w:rFonts w:hint="eastAsia" w:ascii="宋体" w:hAnsi="宋体" w:eastAsia="宋体" w:cs="宋体"/>
          <w:kern w:val="0"/>
          <w:sz w:val="24"/>
        </w:rPr>
        <w:t>内容</w:t>
      </w:r>
      <w:r>
        <w:rPr>
          <w:rFonts w:hint="eastAsia" w:ascii="宋体" w:hAnsi="宋体" w:eastAsia="宋体" w:cs="宋体"/>
          <w:sz w:val="24"/>
        </w:rPr>
        <w:t>：</w:t>
      </w:r>
      <w:r>
        <w:rPr>
          <w:rFonts w:hint="eastAsia" w:ascii="宋体" w:hAnsi="宋体" w:eastAsia="宋体" w:cs="宋体"/>
          <w:sz w:val="24"/>
          <w:u w:val="single"/>
          <w:lang w:eastAsia="zh-CN"/>
        </w:rPr>
        <w:t>主要是摸清农村生活垃圾产生现状和发展趋势，研究农村生活垃圾治理的方式方法以及农村生活垃圾分类投放、收集、转运、处理、资源化利用，合理确定设施类型、数量和规模，统筹衔接城乡生活垃圾收运处置、再生资源回收利用、有害垃圾收运处置等体系的建设和运行管理。</w:t>
      </w:r>
    </w:p>
    <w:p>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1. 协议书；</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 成交通知书、谈判响应文件、谈判文件、澄清、谈判补充文件（或委托书）；</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相关服务建议书；</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附录，即：附表内相关服务的范围和内容；</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本合同签订后，双方依法签订的补充协议也是本合同文件的组成部分。</w:t>
      </w:r>
    </w:p>
    <w:p>
      <w:pPr>
        <w:spacing w:line="360" w:lineRule="auto"/>
        <w:rPr>
          <w:rFonts w:hint="eastAsia" w:ascii="宋体" w:hAnsi="宋体" w:eastAsia="宋体" w:cs="宋体"/>
          <w:b/>
          <w:sz w:val="24"/>
        </w:rPr>
      </w:pPr>
      <w:r>
        <w:rPr>
          <w:rFonts w:hint="eastAsia" w:ascii="宋体" w:hAnsi="宋体" w:eastAsia="宋体" w:cs="宋体"/>
          <w:b/>
          <w:sz w:val="24"/>
        </w:rPr>
        <w:t>三、合同价款</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合同总价（大写）：（¥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合同总价即成交价，合同总价一次包死，不受市场价变化或实际工作量变化的影响，合同价格为含税价，供应商（成交人）提供产品所发生的一切税（包括增值税）费等都已包含于合同价款中。</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（1）结算单位：由采购人以人民币负责结算，在付款前，供应商必须开具全额发票给采购人。</w:t>
      </w:r>
    </w:p>
    <w:p>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付款方式：详见竞争性谈判文件合同条款及格式前附表。</w:t>
      </w:r>
    </w:p>
    <w:p>
      <w:pPr>
        <w:spacing w:line="360" w:lineRule="auto"/>
        <w:rPr>
          <w:rFonts w:hint="eastAsia" w:ascii="宋体" w:hAnsi="宋体" w:eastAsia="宋体" w:cs="宋体"/>
          <w:b/>
          <w:sz w:val="24"/>
        </w:rPr>
      </w:pPr>
      <w:r>
        <w:rPr>
          <w:rFonts w:hint="eastAsia" w:ascii="宋体" w:hAnsi="宋体" w:eastAsia="宋体" w:cs="宋体"/>
          <w:b/>
          <w:sz w:val="24"/>
        </w:rPr>
        <w:t>五、内容及要求：详见第四章竞争性谈判内容及服务要求</w:t>
      </w:r>
    </w:p>
    <w:p>
      <w:pPr>
        <w:spacing w:line="520" w:lineRule="exact"/>
        <w:rPr>
          <w:rFonts w:hint="eastAsia" w:ascii="宋体" w:hAnsi="宋体" w:eastAsia="宋体" w:cs="宋体"/>
          <w:b/>
          <w:sz w:val="24"/>
          <w:szCs w:val="24"/>
        </w:rPr>
      </w:pPr>
      <w:r>
        <w:rPr>
          <w:rFonts w:hint="eastAsia" w:ascii="宋体" w:hAnsi="宋体" w:eastAsia="宋体" w:cs="宋体"/>
          <w:b/>
          <w:sz w:val="24"/>
          <w:szCs w:val="24"/>
        </w:rPr>
        <w:t>六、验收</w:t>
      </w:r>
    </w:p>
    <w:p>
      <w:pPr>
        <w:spacing w:line="52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详见谈判文件及成交供应商的谈判响应文件及相关的澄清资料。</w:t>
      </w:r>
    </w:p>
    <w:p>
      <w:pPr>
        <w:spacing w:line="520" w:lineRule="exact"/>
        <w:rPr>
          <w:rFonts w:hint="eastAsia" w:ascii="宋体" w:hAnsi="宋体" w:eastAsia="宋体" w:cs="宋体"/>
          <w:b/>
          <w:sz w:val="24"/>
          <w:szCs w:val="24"/>
        </w:rPr>
      </w:pPr>
      <w:r>
        <w:rPr>
          <w:rFonts w:hint="eastAsia" w:ascii="宋体" w:hAnsi="宋体" w:eastAsia="宋体" w:cs="宋体"/>
          <w:b/>
          <w:sz w:val="24"/>
          <w:szCs w:val="24"/>
        </w:rPr>
        <w:t>七、违约责任、保密</w:t>
      </w:r>
    </w:p>
    <w:p>
      <w:pPr>
        <w:tabs>
          <w:tab w:val="left" w:pos="1080"/>
        </w:tabs>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对工作中了解到的采购人的技术、机密等进行严格保密，不得向他人泄漏。本合同的解除或终止不免除供应商应承担的保密义务。</w:t>
      </w:r>
    </w:p>
    <w:p>
      <w:pPr>
        <w:spacing w:line="520" w:lineRule="exact"/>
        <w:rPr>
          <w:rFonts w:hint="eastAsia" w:ascii="宋体" w:hAnsi="宋体" w:eastAsia="宋体" w:cs="宋体"/>
          <w:b/>
          <w:sz w:val="24"/>
          <w:szCs w:val="24"/>
        </w:rPr>
      </w:pPr>
      <w:r>
        <w:rPr>
          <w:rFonts w:hint="eastAsia" w:ascii="宋体" w:hAnsi="宋体" w:eastAsia="宋体" w:cs="宋体"/>
          <w:b/>
          <w:sz w:val="24"/>
          <w:szCs w:val="24"/>
        </w:rPr>
        <w:t>八、合同争议的解决</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合同执行中发生争议的，当事人双方应协商解决。协商达不成一致时，可向当地行政仲裁机关申请仲裁。</w:t>
      </w:r>
    </w:p>
    <w:p>
      <w:pPr>
        <w:spacing w:line="520" w:lineRule="exact"/>
        <w:jc w:val="left"/>
        <w:rPr>
          <w:rFonts w:hint="eastAsia" w:ascii="宋体" w:hAnsi="宋体" w:eastAsia="宋体" w:cs="宋体"/>
          <w:b/>
          <w:bCs/>
          <w:sz w:val="24"/>
          <w:szCs w:val="24"/>
        </w:rPr>
      </w:pPr>
      <w:r>
        <w:rPr>
          <w:rFonts w:hint="eastAsia" w:ascii="宋体" w:hAnsi="宋体" w:eastAsia="宋体" w:cs="宋体"/>
          <w:b/>
          <w:bCs/>
          <w:sz w:val="24"/>
          <w:szCs w:val="24"/>
        </w:rPr>
        <w:t>九、不可抗力情况下的免责约定</w:t>
      </w:r>
    </w:p>
    <w:p>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双方约定不可抗力情况指：双方不可预见、不可避免、不可克服的客观情况，但不包括双方的违约或疏忽。这些事件包括但不限于：战争、严重火灾、洪水、台风、地震等。</w:t>
      </w:r>
    </w:p>
    <w:p>
      <w:pPr>
        <w:spacing w:line="520" w:lineRule="exact"/>
        <w:rPr>
          <w:rFonts w:hint="eastAsia" w:ascii="宋体" w:hAnsi="宋体" w:eastAsia="宋体" w:cs="宋体"/>
          <w:b/>
          <w:sz w:val="24"/>
          <w:szCs w:val="24"/>
        </w:rPr>
      </w:pPr>
      <w:r>
        <w:rPr>
          <w:rFonts w:hint="eastAsia" w:ascii="宋体" w:hAnsi="宋体" w:eastAsia="宋体" w:cs="宋体"/>
          <w:b/>
          <w:sz w:val="24"/>
          <w:szCs w:val="24"/>
        </w:rPr>
        <w:t>十、违约责任</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依据《中华人民共和国民法典》、《中华人民共和国政府采购法》、《中华人民共和国政府采购法实施条例》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pacing w:line="520" w:lineRule="exact"/>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pPr>
        <w:spacing w:line="580" w:lineRule="exact"/>
        <w:rPr>
          <w:rFonts w:hint="eastAsia" w:ascii="宋体" w:hAnsi="宋体" w:eastAsia="宋体" w:cs="宋体"/>
          <w:b/>
          <w:sz w:val="24"/>
          <w:szCs w:val="24"/>
        </w:rPr>
      </w:pPr>
      <w:r>
        <w:rPr>
          <w:rFonts w:hint="eastAsia" w:ascii="宋体" w:hAnsi="宋体" w:eastAsia="宋体" w:cs="宋体"/>
          <w:b/>
          <w:sz w:val="24"/>
          <w:szCs w:val="24"/>
        </w:rPr>
        <w:t>十二、合同订立</w:t>
      </w:r>
    </w:p>
    <w:p>
      <w:pPr>
        <w:adjustRightInd w:val="0"/>
        <w:snapToGrid w:val="0"/>
        <w:spacing w:line="58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订立时间：年月日。</w:t>
      </w:r>
    </w:p>
    <w:p>
      <w:pPr>
        <w:adjustRightInd w:val="0"/>
        <w:snapToGrid w:val="0"/>
        <w:spacing w:line="58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订立地点：。</w:t>
      </w:r>
    </w:p>
    <w:p>
      <w:pPr>
        <w:tabs>
          <w:tab w:val="left" w:pos="980"/>
        </w:tabs>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伍</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贰</w:t>
      </w:r>
      <w:r>
        <w:rPr>
          <w:rFonts w:hint="eastAsia" w:ascii="宋体" w:hAnsi="宋体" w:eastAsia="宋体" w:cs="宋体"/>
          <w:sz w:val="24"/>
          <w:szCs w:val="24"/>
        </w:rPr>
        <w:t xml:space="preserve">份，监管部门备案 </w:t>
      </w:r>
      <w:r>
        <w:rPr>
          <w:rFonts w:hint="eastAsia" w:ascii="宋体" w:hAnsi="宋体" w:eastAsia="宋体" w:cs="宋体"/>
          <w:sz w:val="24"/>
          <w:szCs w:val="24"/>
          <w:u w:val="single"/>
        </w:rPr>
        <w:t xml:space="preserve">壹 </w:t>
      </w:r>
      <w:r>
        <w:rPr>
          <w:rFonts w:hint="eastAsia" w:ascii="宋体" w:hAnsi="宋体" w:eastAsia="宋体" w:cs="宋体"/>
          <w:sz w:val="24"/>
          <w:szCs w:val="24"/>
        </w:rPr>
        <w:t>份。各方签字盖章后生效，合同执行完毕自动失效。（合同的服务承诺则长期有效）。</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地址： </w:t>
      </w:r>
      <w:r>
        <w:rPr>
          <w:rFonts w:hint="eastAsia" w:ascii="宋体" w:hAnsi="宋体" w:eastAsia="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rPr>
      </w:pPr>
    </w:p>
    <w:p>
      <w:pPr>
        <w:adjustRightInd w:val="0"/>
        <w:snapToGrid w:val="0"/>
        <w:spacing w:line="360" w:lineRule="auto"/>
        <w:ind w:firstLine="415" w:firstLineChars="198"/>
        <w:rPr>
          <w:rFonts w:hint="eastAsia" w:ascii="宋体" w:hAnsi="宋体" w:eastAsia="宋体" w:cs="宋体"/>
        </w:rPr>
      </w:pPr>
    </w:p>
    <w:p>
      <w:pPr>
        <w:adjustRightInd w:val="0"/>
        <w:snapToGrid w:val="0"/>
        <w:spacing w:line="360" w:lineRule="auto"/>
        <w:ind w:firstLine="415" w:firstLineChars="198"/>
        <w:rPr>
          <w:rFonts w:hint="eastAsia" w:ascii="宋体" w:hAnsi="宋体" w:eastAsia="宋体" w:cs="宋体"/>
          <w:u w:val="single"/>
        </w:rPr>
        <w:sectPr>
          <w:headerReference r:id="rId9" w:type="default"/>
          <w:footerReference r:id="rId10" w:type="default"/>
          <w:pgSz w:w="11906" w:h="16838"/>
          <w:pgMar w:top="1417" w:right="1134" w:bottom="1417" w:left="1417" w:header="851" w:footer="992" w:gutter="0"/>
          <w:pgNumType w:fmt="decimal" w:start="1"/>
          <w:cols w:space="720" w:num="1"/>
          <w:docGrid w:type="lines" w:linePitch="312" w:charSpace="0"/>
        </w:sectPr>
      </w:pPr>
    </w:p>
    <w:bookmarkEnd w:id="28"/>
    <w:bookmarkEnd w:id="29"/>
    <w:bookmarkEnd w:id="30"/>
    <w:bookmarkEnd w:id="31"/>
    <w:p>
      <w:pPr>
        <w:rPr>
          <w:rFonts w:hint="eastAsia" w:ascii="宋体" w:hAnsi="宋体" w:eastAsia="宋体" w:cs="宋体"/>
        </w:rPr>
      </w:pPr>
      <w:bookmarkStart w:id="36" w:name="_Toc32341"/>
      <w:bookmarkStart w:id="37" w:name="_Toc405358616"/>
      <w:bookmarkStart w:id="38" w:name="_Toc425781311"/>
    </w:p>
    <w:p>
      <w:pPr>
        <w:pStyle w:val="3"/>
        <w:rPr>
          <w:rFonts w:hint="eastAsia" w:ascii="宋体" w:hAnsi="宋体" w:eastAsia="宋体" w:cs="宋体"/>
          <w:b/>
          <w:bCs/>
          <w:sz w:val="36"/>
          <w:szCs w:val="36"/>
        </w:rPr>
      </w:pPr>
      <w:r>
        <w:rPr>
          <w:rFonts w:hint="eastAsia" w:ascii="宋体" w:hAnsi="宋体" w:eastAsia="宋体" w:cs="宋体"/>
          <w:b/>
          <w:bCs/>
          <w:sz w:val="36"/>
          <w:szCs w:val="36"/>
        </w:rPr>
        <w:t>第四章竞争性谈判内容及服务要求</w:t>
      </w:r>
      <w:bookmarkEnd w:id="32"/>
      <w:bookmarkEnd w:id="36"/>
      <w:bookmarkEnd w:id="37"/>
      <w:bookmarkEnd w:id="38"/>
      <w:bookmarkStart w:id="39" w:name="_Toc405191192"/>
      <w:bookmarkStart w:id="40" w:name="_Toc405358632"/>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32"/>
          <w:szCs w:val="32"/>
          <w:lang w:eastAsia="zh-CN"/>
        </w:rPr>
      </w:pPr>
      <w:r>
        <w:rPr>
          <w:rFonts w:hint="eastAsia" w:ascii="宋体" w:hAnsi="宋体" w:eastAsia="宋体" w:cs="宋体"/>
          <w:b/>
          <w:bCs/>
          <w:sz w:val="32"/>
          <w:szCs w:val="32"/>
        </w:rPr>
        <w:t>一、项目</w:t>
      </w:r>
      <w:r>
        <w:rPr>
          <w:rFonts w:hint="eastAsia" w:ascii="宋体" w:hAnsi="宋体" w:eastAsia="宋体" w:cs="宋体"/>
          <w:b/>
          <w:bCs/>
          <w:sz w:val="32"/>
          <w:szCs w:val="32"/>
          <w:lang w:eastAsia="zh-CN"/>
        </w:rPr>
        <w:t>名称</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黄陵县城城乡生活垃圾收运处置体系规划。</w:t>
      </w:r>
    </w:p>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二、服务内容及要求</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主要是摸清农村生活垃圾产生现状和发展趋势，研究农村生活垃圾治理的方式方法以及农村生活垃圾分类投放、收集、转运、处理、资源化利用，合理确定设施类型、数量和规模，统筹衔接城乡生活垃圾收运处置、再生资源回收利用、有害垃圾收运处置等体系的建设和运行管理。</w:t>
      </w:r>
    </w:p>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三、商务条款及要求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1、项目实施地点：</w:t>
      </w:r>
      <w:r>
        <w:rPr>
          <w:rFonts w:hint="eastAsia" w:ascii="宋体" w:hAnsi="宋体" w:cs="宋体"/>
          <w:sz w:val="24"/>
          <w:szCs w:val="24"/>
          <w:lang w:eastAsia="zh-CN"/>
        </w:rPr>
        <w:t>黄陵县住房和城乡建设局</w:t>
      </w:r>
      <w:r>
        <w:rPr>
          <w:rFonts w:hint="eastAsia" w:ascii="宋体" w:hAnsi="宋体" w:eastAsia="宋体" w:cs="宋体"/>
          <w:sz w:val="24"/>
          <w:szCs w:val="24"/>
        </w:rPr>
        <w:t>指定地点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2、服务期限：</w:t>
      </w:r>
      <w:r>
        <w:rPr>
          <w:rFonts w:hint="eastAsia" w:ascii="宋体" w:hAnsi="宋体" w:cs="宋体"/>
          <w:sz w:val="24"/>
          <w:szCs w:val="24"/>
          <w:lang w:val="en-US" w:eastAsia="zh-CN"/>
        </w:rPr>
        <w:t>90</w:t>
      </w:r>
      <w:r>
        <w:rPr>
          <w:rFonts w:hint="eastAsia" w:ascii="宋体" w:hAnsi="宋体" w:eastAsia="宋体" w:cs="宋体"/>
          <w:sz w:val="24"/>
          <w:szCs w:val="24"/>
          <w:lang w:val="en-US" w:eastAsia="zh-CN"/>
        </w:rPr>
        <w:t>日历天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3、合同总价即成交价，谈判供应商应在谈判报价表成交明完成本次谈判所要求的货物、服务并验收至合格的所有费用。</w:t>
      </w:r>
    </w:p>
    <w:p>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rPr>
        <w:t>4.合同总价一次包死，不受市场价变化或实际工作量变化的影响。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5.付款方式和程序：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（1）由采购人负责结算，在付款前，供应商必须开具全额发票给采购人。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（2）付款方式：服务项目整体验收合格,一次付清。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6、质量保证：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供应商提供的服务，应全面满足谈判文件的要求，谈判文件未明确要求的内容，供应商须按采购人的补充要求为准。</w:t>
      </w:r>
    </w:p>
    <w:p>
      <w:pPr>
        <w:pStyle w:val="3"/>
        <w:numPr>
          <w:ilvl w:val="0"/>
          <w:numId w:val="5"/>
        </w:numPr>
        <w:rPr>
          <w:rFonts w:hint="eastAsia" w:ascii="宋体" w:hAnsi="宋体" w:eastAsia="宋体" w:cs="宋体"/>
          <w:b/>
          <w:bCs/>
          <w:sz w:val="36"/>
          <w:szCs w:val="36"/>
        </w:rPr>
      </w:pPr>
      <w:r>
        <w:rPr>
          <w:rFonts w:hint="eastAsia" w:ascii="宋体" w:hAnsi="宋体" w:eastAsia="宋体" w:cs="宋体"/>
          <w:sz w:val="24"/>
          <w:szCs w:val="24"/>
        </w:rPr>
        <w:br w:type="page"/>
      </w:r>
      <w:bookmarkEnd w:id="39"/>
      <w:bookmarkStart w:id="41" w:name="_Toc393284381"/>
      <w:bookmarkStart w:id="42" w:name="_Toc389568492"/>
      <w:bookmarkStart w:id="43" w:name="_Toc393281139"/>
      <w:bookmarkStart w:id="44" w:name="_Toc393284674"/>
      <w:bookmarkStart w:id="45" w:name="_Toc405191193"/>
      <w:bookmarkStart w:id="46" w:name="_Toc26400"/>
      <w:bookmarkStart w:id="47" w:name="_Toc370906268"/>
      <w:bookmarkStart w:id="48" w:name="_Toc425781312"/>
      <w:bookmarkStart w:id="49" w:name="_Toc389836557"/>
      <w:bookmarkStart w:id="50" w:name="_Toc22294"/>
      <w:bookmarkStart w:id="51" w:name="_Toc389836558"/>
      <w:bookmarkStart w:id="52" w:name="_Toc393284382"/>
      <w:bookmarkStart w:id="53" w:name="_Toc389568493"/>
      <w:bookmarkStart w:id="54" w:name="_Toc393284675"/>
      <w:bookmarkStart w:id="55" w:name="_Toc393281140"/>
      <w:bookmarkStart w:id="56" w:name="_Toc393371572"/>
      <w:bookmarkStart w:id="57" w:name="_Toc393285042"/>
      <w:bookmarkStart w:id="58" w:name="_Toc370906269"/>
      <w:r>
        <w:rPr>
          <w:rFonts w:hint="eastAsia" w:ascii="宋体" w:hAnsi="宋体" w:eastAsia="宋体" w:cs="宋体"/>
          <w:b/>
          <w:bCs/>
          <w:sz w:val="36"/>
          <w:szCs w:val="36"/>
        </w:rPr>
        <w:t>评审方法</w:t>
      </w:r>
      <w:bookmarkEnd w:id="40"/>
      <w:bookmarkEnd w:id="41"/>
      <w:bookmarkEnd w:id="42"/>
      <w:bookmarkEnd w:id="43"/>
      <w:bookmarkEnd w:id="44"/>
      <w:bookmarkEnd w:id="45"/>
      <w:bookmarkEnd w:id="46"/>
      <w:bookmarkEnd w:id="47"/>
      <w:bookmarkEnd w:id="48"/>
      <w:bookmarkEnd w:id="49"/>
      <w:bookmarkEnd w:id="50"/>
    </w:p>
    <w:p>
      <w:pPr>
        <w:spacing w:line="360" w:lineRule="auto"/>
        <w:rPr>
          <w:rFonts w:hint="eastAsia" w:ascii="宋体" w:hAnsi="宋体" w:eastAsia="宋体" w:cs="宋体"/>
        </w:rPr>
      </w:pPr>
    </w:p>
    <w:bookmarkEnd w:id="51"/>
    <w:bookmarkEnd w:id="52"/>
    <w:bookmarkEnd w:id="53"/>
    <w:bookmarkEnd w:id="54"/>
    <w:bookmarkEnd w:id="55"/>
    <w:bookmarkEnd w:id="56"/>
    <w:bookmarkEnd w:id="57"/>
    <w:bookmarkEnd w:id="58"/>
    <w:p>
      <w:pPr>
        <w:spacing w:line="360" w:lineRule="auto"/>
        <w:outlineLvl w:val="1"/>
        <w:rPr>
          <w:rFonts w:hint="eastAsia" w:ascii="宋体" w:hAnsi="宋体" w:eastAsia="宋体" w:cs="宋体"/>
          <w:b/>
          <w:kern w:val="0"/>
          <w:sz w:val="24"/>
          <w:szCs w:val="24"/>
        </w:rPr>
      </w:pPr>
      <w:r>
        <w:rPr>
          <w:rFonts w:hint="eastAsia" w:ascii="宋体" w:hAnsi="宋体" w:eastAsia="宋体" w:cs="宋体"/>
          <w:b/>
          <w:kern w:val="0"/>
          <w:sz w:val="24"/>
          <w:szCs w:val="24"/>
        </w:rPr>
        <w:t>一．评审方法</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rPr>
        <w:t>按照《中华人民共和国政府采购法》及实施条例、</w:t>
      </w:r>
      <w:r>
        <w:rPr>
          <w:rFonts w:hint="eastAsia" w:ascii="宋体" w:hAnsi="宋体" w:eastAsia="宋体" w:cs="宋体"/>
          <w:sz w:val="24"/>
          <w:szCs w:val="24"/>
        </w:rPr>
        <w:t>中华人民共和国财政部令第74号--《政府采购非招标采购方式管理办法》</w:t>
      </w:r>
      <w:r>
        <w:rPr>
          <w:rFonts w:hint="eastAsia" w:ascii="宋体" w:hAnsi="宋体" w:eastAsia="宋体" w:cs="宋体"/>
          <w:spacing w:val="4"/>
          <w:sz w:val="24"/>
          <w:szCs w:val="24"/>
        </w:rPr>
        <w:t>的规定，本次评审采用最低评标价法，</w:t>
      </w:r>
      <w:r>
        <w:rPr>
          <w:rFonts w:hint="eastAsia" w:ascii="宋体" w:hAnsi="宋体" w:eastAsia="宋体" w:cs="宋体"/>
          <w:sz w:val="24"/>
          <w:szCs w:val="24"/>
        </w:rPr>
        <w:t>即质量和服务均能满足谈判文件要求的供应商中，按照最后报价由低到高的顺序依次排序，推荐3名成交候选人。</w:t>
      </w:r>
    </w:p>
    <w:p>
      <w:p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二、评审标准</w:t>
      </w:r>
    </w:p>
    <w:p>
      <w:pPr>
        <w:tabs>
          <w:tab w:val="left" w:pos="0"/>
        </w:tabs>
        <w:adjustRightInd w:val="0"/>
        <w:snapToGrid w:val="0"/>
        <w:spacing w:line="360" w:lineRule="auto"/>
        <w:ind w:firstLine="472" w:firstLineChars="196"/>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2.1初步评审标准</w:t>
      </w:r>
    </w:p>
    <w:p>
      <w:pPr>
        <w:tabs>
          <w:tab w:val="left" w:pos="0"/>
        </w:tabs>
        <w:adjustRightInd w:val="0"/>
        <w:snapToGrid w:val="0"/>
        <w:spacing w:line="360" w:lineRule="auto"/>
        <w:ind w:firstLine="470" w:firstLineChars="196"/>
        <w:rPr>
          <w:rFonts w:hint="eastAsia" w:ascii="宋体" w:hAnsi="宋体" w:eastAsia="宋体" w:cs="宋体"/>
          <w:color w:val="000000"/>
          <w:kern w:val="0"/>
          <w:sz w:val="24"/>
          <w:szCs w:val="24"/>
        </w:rPr>
      </w:pPr>
      <w:r>
        <w:rPr>
          <w:rFonts w:hint="eastAsia" w:ascii="宋体" w:hAnsi="宋体" w:eastAsia="宋体" w:cs="宋体"/>
          <w:color w:val="000000"/>
          <w:sz w:val="24"/>
          <w:szCs w:val="24"/>
        </w:rPr>
        <w:t>2.1.1资格性审查标准：见附件1初步审查要素表</w:t>
      </w:r>
    </w:p>
    <w:p>
      <w:pPr>
        <w:tabs>
          <w:tab w:val="left" w:pos="0"/>
        </w:tabs>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2.1.2符合性审查标准：见附件1初步审查要素表</w:t>
      </w:r>
    </w:p>
    <w:p>
      <w:pPr>
        <w:tabs>
          <w:tab w:val="left" w:pos="0"/>
        </w:tabs>
        <w:adjustRightInd w:val="0"/>
        <w:snapToGrid w:val="0"/>
        <w:spacing w:line="360" w:lineRule="auto"/>
        <w:ind w:firstLine="472" w:firstLineChars="196"/>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2.2成交标准</w:t>
      </w:r>
    </w:p>
    <w:p>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根据质量和服务均能满足采购文件实质性响应要求且最后报价最低的原则确定成交供应商。</w:t>
      </w:r>
    </w:p>
    <w:p>
      <w:pPr>
        <w:spacing w:line="360" w:lineRule="auto"/>
        <w:outlineLvl w:val="1"/>
        <w:rPr>
          <w:rFonts w:hint="eastAsia" w:ascii="宋体" w:hAnsi="宋体" w:eastAsia="宋体" w:cs="宋体"/>
          <w:b/>
          <w:kern w:val="0"/>
          <w:sz w:val="24"/>
          <w:szCs w:val="24"/>
        </w:rPr>
      </w:pPr>
      <w:r>
        <w:rPr>
          <w:rFonts w:hint="eastAsia" w:ascii="宋体" w:hAnsi="宋体" w:eastAsia="宋体" w:cs="宋体"/>
          <w:b/>
          <w:kern w:val="0"/>
          <w:sz w:val="24"/>
          <w:szCs w:val="24"/>
        </w:rPr>
        <w:t>三、评审程序</w:t>
      </w:r>
    </w:p>
    <w:p>
      <w:pPr>
        <w:pStyle w:val="21"/>
        <w:spacing w:after="0" w:line="360" w:lineRule="auto"/>
        <w:ind w:left="0" w:leftChars="0" w:firstLine="444"/>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按照初审、澄清有关问题、分别谈判、推荐成交候选人名单。在上一步评审中被作无效响应处理者，不得进入下一步的评审。</w:t>
      </w:r>
    </w:p>
    <w:p>
      <w:pPr>
        <w:spacing w:line="360" w:lineRule="auto"/>
        <w:ind w:left="420" w:leftChars="200"/>
        <w:outlineLvl w:val="2"/>
        <w:rPr>
          <w:rFonts w:hint="eastAsia" w:ascii="宋体" w:hAnsi="宋体" w:eastAsia="宋体" w:cs="宋体"/>
          <w:b/>
          <w:bCs/>
          <w:spacing w:val="4"/>
          <w:sz w:val="24"/>
          <w:szCs w:val="24"/>
        </w:rPr>
      </w:pPr>
      <w:r>
        <w:rPr>
          <w:rFonts w:hint="eastAsia" w:ascii="宋体" w:hAnsi="宋体" w:eastAsia="宋体" w:cs="宋体"/>
          <w:b/>
          <w:bCs/>
          <w:spacing w:val="4"/>
          <w:sz w:val="24"/>
          <w:szCs w:val="24"/>
        </w:rPr>
        <w:t>1、对谈判响应文件的初审</w:t>
      </w:r>
    </w:p>
    <w:p>
      <w:pPr>
        <w:tabs>
          <w:tab w:val="left" w:pos="0"/>
        </w:tabs>
        <w:adjustRightInd w:val="0"/>
        <w:snapToGrid w:val="0"/>
        <w:spacing w:line="360" w:lineRule="auto"/>
        <w:ind w:firstLine="472" w:firstLineChars="196"/>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1.1资格性审查：谈判小组将依据本章第 2.1.1 项规定的评审标准对谈判响应文件进行资格性审查。有一项不符合评审标准的，</w:t>
      </w:r>
      <w:r>
        <w:rPr>
          <w:rFonts w:hint="eastAsia" w:ascii="宋体" w:hAnsi="宋体" w:eastAsia="宋体" w:cs="宋体"/>
          <w:b/>
          <w:bCs/>
          <w:color w:val="000000"/>
          <w:kern w:val="0"/>
          <w:sz w:val="24"/>
          <w:szCs w:val="24"/>
        </w:rPr>
        <w:t>将被视为未实质性响应谈判文件，其谈判响应文件将按无效文件处理。</w:t>
      </w:r>
    </w:p>
    <w:p>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1.2符合性审查：谈判小组根据本章第 2.1.2 项规定的评审标准对谈判响应文件进行符合性评审。有一项不符合评审标准的，将被视为未实质性响应谈判文件，其谈判响应文件将按无效文件处理。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color w:val="000000"/>
          <w:sz w:val="24"/>
          <w:szCs w:val="24"/>
        </w:rPr>
        <w:t>在资格性审查阶段，不符合谈判文件要求的，不得进入符合性审查，在符合性审查时未通过的，不得进入后续评审环节。</w:t>
      </w:r>
    </w:p>
    <w:p>
      <w:pPr>
        <w:spacing w:line="360" w:lineRule="auto"/>
        <w:ind w:firstLine="482" w:firstLineChars="200"/>
        <w:outlineLvl w:val="2"/>
        <w:rPr>
          <w:rFonts w:hint="eastAsia" w:ascii="宋体" w:hAnsi="宋体" w:eastAsia="宋体" w:cs="宋体"/>
          <w:b/>
          <w:color w:val="000000"/>
          <w:sz w:val="24"/>
        </w:rPr>
      </w:pPr>
      <w:r>
        <w:rPr>
          <w:rFonts w:hint="eastAsia" w:ascii="宋体" w:hAnsi="宋体" w:eastAsia="宋体" w:cs="宋体"/>
          <w:b/>
          <w:color w:val="000000"/>
          <w:sz w:val="24"/>
        </w:rPr>
        <w:t>2、谈判响应文件的澄清</w:t>
      </w:r>
    </w:p>
    <w:p>
      <w:pPr>
        <w:spacing w:line="360" w:lineRule="auto"/>
        <w:ind w:firstLine="496"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2.1谈判小组发现供应商的报价明显低于其他通过符合性审查的供应商的报价，有可能影响产品质量或者不能诚信履约的，应当要求其在谈判现场合理的时间内做出书面说明，必要时提交相关证明材料。供应商不能证明其报价合理性的，谈判小组应当将其作为无效响应处理。</w:t>
      </w:r>
    </w:p>
    <w:p>
      <w:pPr>
        <w:spacing w:line="360" w:lineRule="auto"/>
        <w:ind w:firstLine="480" w:firstLineChars="200"/>
        <w:rPr>
          <w:rFonts w:hint="eastAsia" w:ascii="宋体" w:hAnsi="宋体" w:eastAsia="宋体" w:cs="宋体"/>
        </w:rPr>
      </w:pPr>
      <w:r>
        <w:rPr>
          <w:rFonts w:hint="eastAsia" w:ascii="宋体" w:hAnsi="宋体" w:eastAsia="宋体" w:cs="宋体"/>
          <w:color w:val="000000"/>
          <w:sz w:val="24"/>
          <w:szCs w:val="24"/>
        </w:rPr>
        <w:t>2.2有效的书面澄清材料，是谈判响应文件的补充材料，成为谈判响应文件的组成部分。</w:t>
      </w:r>
    </w:p>
    <w:p>
      <w:pPr>
        <w:pStyle w:val="13"/>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3、谈判</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谈判小组所有成员集中与单一供应商分别进行谈判，并要求供应商在规定的时间内提交最后报价。</w:t>
      </w:r>
    </w:p>
    <w:p>
      <w:pPr>
        <w:pStyle w:val="13"/>
        <w:spacing w:line="360" w:lineRule="auto"/>
        <w:ind w:firstLine="498" w:firstLineChars="200"/>
        <w:outlineLvl w:val="2"/>
        <w:rPr>
          <w:rFonts w:hint="eastAsia" w:ascii="宋体" w:hAnsi="宋体" w:eastAsia="宋体" w:cs="宋体"/>
          <w:b/>
          <w:bCs/>
          <w:spacing w:val="4"/>
          <w:sz w:val="24"/>
          <w:szCs w:val="24"/>
        </w:rPr>
      </w:pPr>
      <w:r>
        <w:rPr>
          <w:rFonts w:hint="eastAsia" w:ascii="宋体" w:hAnsi="宋体" w:eastAsia="宋体" w:cs="宋体"/>
          <w:b/>
          <w:bCs/>
          <w:spacing w:val="4"/>
          <w:sz w:val="24"/>
          <w:szCs w:val="24"/>
        </w:rPr>
        <w:t>4、谈判过程中的实质性变动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4.2对竞争性谈判文件做出的实质性变动是谈判文件的有效组成部分，谈判小组应当及时以书面形式通知所有参加谈判的供应商。</w:t>
      </w:r>
    </w:p>
    <w:p>
      <w:pPr>
        <w:pStyle w:val="13"/>
        <w:spacing w:line="360" w:lineRule="auto"/>
        <w:ind w:firstLine="498" w:firstLineChars="200"/>
        <w:outlineLvl w:val="2"/>
        <w:rPr>
          <w:rFonts w:hint="eastAsia" w:ascii="宋体" w:hAnsi="宋体" w:eastAsia="宋体" w:cs="宋体"/>
          <w:b/>
          <w:bCs/>
          <w:spacing w:val="4"/>
          <w:sz w:val="24"/>
          <w:szCs w:val="24"/>
        </w:rPr>
      </w:pPr>
      <w:r>
        <w:rPr>
          <w:rFonts w:hint="eastAsia" w:ascii="宋体" w:hAnsi="宋体" w:eastAsia="宋体" w:cs="宋体"/>
          <w:b/>
          <w:bCs/>
          <w:spacing w:val="4"/>
          <w:sz w:val="24"/>
          <w:szCs w:val="24"/>
        </w:rPr>
        <w:t>5、推荐成交候选人</w:t>
      </w:r>
    </w:p>
    <w:p>
      <w:pPr>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由谈判小组依据谈判响应文件，从质量和服务均能满足谈判文件要求的供应商中，按照最后报价由低到高的顺序依次排序，推荐3名成交候选人，并标明顺序。谈判报价相同的，按照技术指标优劣顺序排序或由全体谈判小组成员无记名投票，得票高者排序在前。</w:t>
      </w:r>
    </w:p>
    <w:p>
      <w:p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四、谈判小组当履行下列义务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1、遵纪守法，客观、公正、廉洁地履行职责；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2、根据采购文件的规定独立进行评审，对个人的评审意见承担法律责任；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3、参与评审报告的起草；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4、配合采购人、采购代理机构答复供应商提出的质疑；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5、配合财政部门的投诉处理和监督检查工作。</w:t>
      </w:r>
    </w:p>
    <w:p>
      <w:pPr>
        <w:pStyle w:val="13"/>
        <w:spacing w:line="360" w:lineRule="auto"/>
        <w:ind w:firstLine="0"/>
        <w:outlineLvl w:val="1"/>
        <w:rPr>
          <w:rFonts w:hint="eastAsia" w:ascii="宋体" w:hAnsi="宋体" w:eastAsia="宋体" w:cs="宋体"/>
          <w:b/>
          <w:bCs/>
          <w:spacing w:val="4"/>
          <w:sz w:val="24"/>
          <w:szCs w:val="24"/>
        </w:rPr>
      </w:pPr>
      <w:r>
        <w:rPr>
          <w:rFonts w:hint="eastAsia" w:ascii="宋体" w:hAnsi="宋体" w:eastAsia="宋体" w:cs="宋体"/>
          <w:b/>
          <w:sz w:val="24"/>
          <w:szCs w:val="24"/>
        </w:rPr>
        <w:t>五、</w:t>
      </w:r>
      <w:r>
        <w:rPr>
          <w:rFonts w:hint="eastAsia" w:ascii="宋体" w:hAnsi="宋体" w:eastAsia="宋体" w:cs="宋体"/>
          <w:b/>
          <w:bCs/>
          <w:spacing w:val="4"/>
          <w:sz w:val="24"/>
          <w:szCs w:val="24"/>
        </w:rPr>
        <w:t>无效响应文件</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出现下列情形之一的，谈判响应文件无效：</w:t>
      </w:r>
    </w:p>
    <w:p>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竞争性谈判响应文件未按竞争性谈判文件要求密封、签署、盖章的；</w:t>
      </w:r>
    </w:p>
    <w:p>
      <w:pPr>
        <w:tabs>
          <w:tab w:val="left" w:pos="1260"/>
        </w:tabs>
        <w:spacing w:line="360" w:lineRule="auto"/>
        <w:ind w:firstLine="480" w:firstLineChars="200"/>
        <w:rPr>
          <w:rFonts w:hint="eastAsia" w:ascii="宋体" w:hAnsi="宋体" w:eastAsia="宋体" w:cs="宋体"/>
          <w:spacing w:val="-6"/>
          <w:sz w:val="24"/>
        </w:rPr>
      </w:pPr>
      <w:r>
        <w:rPr>
          <w:rFonts w:hint="eastAsia" w:ascii="宋体" w:hAnsi="宋体" w:eastAsia="宋体" w:cs="宋体"/>
          <w:sz w:val="24"/>
        </w:rPr>
        <w:t>2、</w:t>
      </w:r>
      <w:r>
        <w:rPr>
          <w:rFonts w:hint="eastAsia" w:ascii="宋体" w:hAnsi="宋体" w:eastAsia="宋体" w:cs="宋体"/>
          <w:sz w:val="24"/>
          <w:szCs w:val="24"/>
        </w:rPr>
        <w:t>供应商未按竞争性谈判文件要求提交谈判保证金或保函的；</w:t>
      </w:r>
    </w:p>
    <w:p>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3、不具备谈判文件中规定的资格要求或资格证明文件不全的或无效的；</w:t>
      </w:r>
    </w:p>
    <w:p>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6"/>
          <w:sz w:val="24"/>
        </w:rPr>
        <w:t>无谈判有效期或有效期达不到竞争性谈判文件要求的</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5、谈判总报价超过竞争性谈判文件公布的采购预算的；</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6、</w:t>
      </w:r>
      <w:r>
        <w:rPr>
          <w:rFonts w:hint="eastAsia" w:ascii="宋体" w:hAnsi="宋体" w:eastAsia="宋体" w:cs="宋体"/>
          <w:spacing w:val="4"/>
          <w:sz w:val="24"/>
          <w:szCs w:val="24"/>
        </w:rPr>
        <w:t>响应文件含有采购人不能接受的附加条件的；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7、单位负责人为同一人或者存在直接控股、管理关系的不同供应商，参加本项目同一合同项下的谈判的；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8、为本采购项目提供整体设计、规范编制或者项目管理、监理、检测等服务的供应商，参加本采购项目谈判的；</w:t>
      </w:r>
    </w:p>
    <w:p>
      <w:pPr>
        <w:tabs>
          <w:tab w:val="left" w:pos="1260"/>
        </w:tabs>
        <w:spacing w:line="360" w:lineRule="auto"/>
        <w:ind w:firstLine="480" w:firstLineChars="200"/>
        <w:rPr>
          <w:rFonts w:hint="eastAsia" w:ascii="宋体" w:hAnsi="宋体" w:eastAsia="宋体" w:cs="宋体"/>
        </w:rPr>
      </w:pPr>
      <w:r>
        <w:rPr>
          <w:rFonts w:hint="eastAsia" w:ascii="宋体" w:hAnsi="宋体" w:eastAsia="宋体" w:cs="宋体"/>
          <w:sz w:val="24"/>
          <w:szCs w:val="24"/>
        </w:rPr>
        <w:t>9、</w:t>
      </w:r>
      <w:r>
        <w:rPr>
          <w:rFonts w:hint="eastAsia" w:ascii="宋体" w:hAnsi="宋体" w:eastAsia="宋体" w:cs="宋体"/>
          <w:sz w:val="24"/>
        </w:rPr>
        <w:t>提供虚假文件和资料的；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10、法律、法规规定的其他无效情形。</w:t>
      </w:r>
    </w:p>
    <w:p>
      <w:p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六、政策性扣减</w:t>
      </w:r>
    </w:p>
    <w:p>
      <w:pPr>
        <w:spacing w:line="4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1、政策性扣减范围</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1.1供应商符合小型、微型企业或监狱企业、残疾人福利性单位条件的，其谈判报价价格评审时将按相应比例进行扣减。</w:t>
      </w:r>
    </w:p>
    <w:p>
      <w:pPr>
        <w:spacing w:line="360" w:lineRule="auto"/>
        <w:ind w:firstLine="496"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1.2依照&lt;关于印发《政府采购促进中小企业发展管理办法》的通知&gt;（财库〔2020〕46号）的规定，小型、微型企业应当同时符合以下条件：</w:t>
      </w:r>
    </w:p>
    <w:p>
      <w:pPr>
        <w:spacing w:line="460" w:lineRule="exact"/>
        <w:ind w:firstLine="496" w:firstLineChars="200"/>
        <w:jc w:val="left"/>
        <w:rPr>
          <w:rFonts w:hint="eastAsia" w:ascii="宋体" w:hAnsi="宋体" w:eastAsia="宋体" w:cs="宋体"/>
          <w:sz w:val="24"/>
          <w:szCs w:val="24"/>
        </w:rPr>
      </w:pPr>
      <w:r>
        <w:rPr>
          <w:rFonts w:hint="eastAsia" w:ascii="宋体" w:hAnsi="宋体" w:eastAsia="宋体" w:cs="宋体"/>
          <w:bCs/>
          <w:spacing w:val="4"/>
          <w:sz w:val="24"/>
          <w:szCs w:val="24"/>
        </w:rPr>
        <w:t>1.2.1符合中小企业划分标准（中小企业划分标准是指国务院有关部门根据企业从业人员、营业收入、资产总额等指标制定的中小企业划型标准（工信部联企业〔2011〕300号））。</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1.2.2提供本企业制造的货物、承担的工程或者服务，或者提供其他中小企业制造的货物，不包括提供或使用大型企业注册商标的货物。</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1.2.3小型、微型企业提供中型企业制造的货物的，视同为中型企业；小型、微型、中型企业提供大型企业制造的货物的，视同为大型企业。</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1.3采购人拟采购产品属于优先采购节能、环境标志产品范围的，应当优先采购节能、环境标志产品；拟采购产品符合政府采购强制采购政策的，实行强制采购。</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1.3.1采购人依据节能产品、环境标志产品品目清单和节能、环境标志产品认证证书实施政府优先采购和强制采购。</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right="-166" w:rightChars="-79" w:firstLine="480" w:firstLineChars="200"/>
        <w:rPr>
          <w:rFonts w:hint="eastAsia" w:ascii="宋体" w:hAnsi="宋体" w:eastAsia="宋体" w:cs="宋体"/>
          <w:spacing w:val="4"/>
          <w:sz w:val="24"/>
          <w:szCs w:val="24"/>
        </w:rPr>
      </w:pPr>
      <w:r>
        <w:rPr>
          <w:rFonts w:hint="eastAsia" w:ascii="宋体" w:hAnsi="宋体" w:eastAsia="宋体" w:cs="宋体"/>
          <w:sz w:val="24"/>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360" w:lineRule="auto"/>
        <w:ind w:firstLine="498" w:firstLineChars="200"/>
        <w:outlineLvl w:val="2"/>
        <w:rPr>
          <w:rFonts w:hint="eastAsia" w:ascii="宋体" w:hAnsi="宋体" w:eastAsia="宋体" w:cs="宋体"/>
          <w:b/>
          <w:spacing w:val="4"/>
          <w:sz w:val="24"/>
          <w:szCs w:val="24"/>
        </w:rPr>
      </w:pPr>
      <w:r>
        <w:rPr>
          <w:rFonts w:hint="eastAsia" w:ascii="宋体" w:hAnsi="宋体" w:eastAsia="宋体" w:cs="宋体"/>
          <w:b/>
          <w:spacing w:val="4"/>
          <w:sz w:val="24"/>
          <w:szCs w:val="24"/>
        </w:rPr>
        <w:t>2、政策性扣减方式</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2.1供应商为非联合体参与谈判的情况：</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在谈判最终报价的基础上，对小微企业、监狱企业、残疾人福利性单位，按“投标报价×6%”进行扣减；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2.2供应商为联合体参与谈判，且联合协议中约定小型或微型企业的协议合同金额占到联合体协议合同总金额30％以上的，按“投标报价×2%”进行扣减；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2.3小微企业、监狱企业、残疾人福利性单位不重复享受优惠政策；</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2.4谈判产品属于优先采购的节能、环境标志产品范围的，须按照本章“四、政策性扣减 1、政策性扣减范围第1.3.2条规定提供相应的证明材料；</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2.5、在报价相同的前提下，应优先采购“两个清单”内的产品；对于同时列入“两个清单”的产品，应当优先于只获得其中一项认证的产品。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2.6供应商享受支持中小型企业发展政策优惠的，可以同时享受节能、环境标志产品优先采购政策。</w:t>
      </w:r>
    </w:p>
    <w:p>
      <w:pPr>
        <w:spacing w:line="360" w:lineRule="auto"/>
        <w:ind w:firstLine="482" w:firstLineChars="200"/>
        <w:jc w:val="left"/>
        <w:outlineLvl w:val="2"/>
        <w:rPr>
          <w:rFonts w:hint="eastAsia" w:ascii="宋体" w:hAnsi="宋体" w:eastAsia="宋体" w:cs="宋体"/>
          <w:b/>
          <w:bCs/>
          <w:sz w:val="24"/>
          <w:szCs w:val="24"/>
        </w:rPr>
      </w:pPr>
      <w:r>
        <w:rPr>
          <w:rFonts w:hint="eastAsia" w:ascii="宋体" w:hAnsi="宋体" w:eastAsia="宋体" w:cs="宋体"/>
          <w:b/>
          <w:bCs/>
          <w:sz w:val="24"/>
          <w:szCs w:val="24"/>
        </w:rPr>
        <w:t>3、成交价格=成交供应商的有效谈判报价。</w:t>
      </w:r>
    </w:p>
    <w:p>
      <w:pPr>
        <w:spacing w:line="360" w:lineRule="auto"/>
        <w:outlineLvl w:val="1"/>
        <w:rPr>
          <w:rFonts w:hint="eastAsia" w:ascii="宋体" w:hAnsi="宋体" w:eastAsia="宋体" w:cs="宋体"/>
          <w:b/>
          <w:color w:val="FF0000"/>
          <w:kern w:val="0"/>
          <w:sz w:val="24"/>
          <w:szCs w:val="24"/>
        </w:rPr>
      </w:pPr>
      <w:bookmarkStart w:id="59" w:name="_Toc24123"/>
      <w:bookmarkStart w:id="60" w:name="_Toc409690878"/>
      <w:bookmarkStart w:id="61" w:name="_Toc1474"/>
      <w:bookmarkStart w:id="62" w:name="_Toc425781313"/>
      <w:r>
        <w:rPr>
          <w:rFonts w:hint="eastAsia" w:ascii="宋体" w:hAnsi="宋体" w:eastAsia="宋体" w:cs="宋体"/>
          <w:b/>
          <w:kern w:val="0"/>
          <w:sz w:val="24"/>
          <w:szCs w:val="24"/>
        </w:rPr>
        <w:t>七、成交</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1、谈判结果报告由谈判小组签字确认。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2、采购人根据谈判结果报告中推荐的成交候选人排列顺序确定成交人，以复函通知采购代理机构。</w:t>
      </w:r>
    </w:p>
    <w:p>
      <w:pPr>
        <w:spacing w:line="360" w:lineRule="auto"/>
        <w:outlineLvl w:val="1"/>
        <w:rPr>
          <w:rFonts w:hint="eastAsia" w:ascii="宋体" w:hAnsi="宋体" w:eastAsia="宋体" w:cs="宋体"/>
          <w:b/>
          <w:bCs/>
          <w:spacing w:val="4"/>
          <w:sz w:val="24"/>
          <w:szCs w:val="24"/>
        </w:rPr>
      </w:pPr>
      <w:r>
        <w:rPr>
          <w:rFonts w:hint="eastAsia" w:ascii="宋体" w:hAnsi="宋体" w:eastAsia="宋体" w:cs="宋体"/>
          <w:b/>
          <w:bCs/>
          <w:spacing w:val="4"/>
          <w:sz w:val="24"/>
          <w:szCs w:val="24"/>
        </w:rPr>
        <w:t>八、特殊情况的处理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1、计算错误将按以下方法更正：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谈判响应文件中报价一览表(报价表)内容与谈判响应文件中相应内容总金额不一致的，以报价一览表(报价表)为准；如果单独密封的报价一览表与谈判响应文件正本的报价一览表(报价表)不一致，以单独密封的报价一览表(报价表)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（2）谈判响应文件的大写金额和小写金额不一致的，以大写金额为准；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（3）单价金额小数点或者百分比有明显错位的，以单独密封的报价一览表的总价为准，并修改单价；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2、对于竞争性谈判响应文件中明显的标点符号错误或不构成实质性偏差的不正规、不一致或不规则，采购人可以接受。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3、出现下列情形之一的，采购人或者采购代理机构应当终止竞争性谈判采购活动，发布项目终止公告并说明原因，重新开展采购活动：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（一）因情况变化，不再符合规定的竞争性谈判采购方式适用情形的；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（三）在采购过程中符合竞争要求的供应商或者报价未超过采购预算的供应商不足3家的，但《政府采购非招标采购方式管理办法》（财政部74号令）第二十七条第二款规定的情形除外。</w:t>
      </w:r>
    </w:p>
    <w:p>
      <w:pPr>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4、谈判过程中，若出现本评审方法以外的特殊情况时，将暂停评审，待谈判小组商榷后，再进行评定。</w:t>
      </w: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rPr>
          <w:rFonts w:hint="eastAsia" w:ascii="宋体" w:hAnsi="宋体" w:eastAsia="宋体" w:cs="宋体"/>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pStyle w:val="12"/>
        <w:spacing w:line="360" w:lineRule="auto"/>
        <w:rPr>
          <w:rFonts w:hint="eastAsia" w:ascii="宋体" w:hAnsi="宋体" w:eastAsia="宋体" w:cs="宋体"/>
          <w:spacing w:val="4"/>
          <w:sz w:val="24"/>
          <w:szCs w:val="24"/>
        </w:rPr>
      </w:pPr>
    </w:p>
    <w:p>
      <w:pPr>
        <w:rPr>
          <w:rFonts w:hint="eastAsia" w:ascii="宋体" w:hAnsi="宋体" w:eastAsia="宋体" w:cs="宋体"/>
        </w:rPr>
      </w:pPr>
    </w:p>
    <w:p>
      <w:pPr>
        <w:pStyle w:val="12"/>
        <w:rPr>
          <w:rFonts w:hint="eastAsia" w:ascii="宋体" w:hAnsi="宋体" w:eastAsia="宋体" w:cs="宋体"/>
          <w:spacing w:val="4"/>
          <w:sz w:val="24"/>
          <w:szCs w:val="24"/>
        </w:rPr>
      </w:pPr>
    </w:p>
    <w:p>
      <w:pPr>
        <w:pStyle w:val="12"/>
        <w:outlineLvl w:val="2"/>
        <w:rPr>
          <w:rFonts w:hint="eastAsia" w:ascii="宋体" w:hAnsi="宋体" w:eastAsia="宋体" w:cs="宋体"/>
          <w:szCs w:val="24"/>
        </w:rPr>
      </w:pPr>
      <w:r>
        <w:rPr>
          <w:rFonts w:hint="eastAsia" w:ascii="宋体" w:hAnsi="宋体" w:eastAsia="宋体" w:cs="宋体"/>
          <w:b/>
          <w:bCs/>
          <w:sz w:val="24"/>
          <w:szCs w:val="24"/>
        </w:rPr>
        <w:t>附件1：</w:t>
      </w:r>
    </w:p>
    <w:p>
      <w:pPr>
        <w:pStyle w:val="12"/>
        <w:jc w:val="center"/>
        <w:outlineLvl w:val="2"/>
        <w:rPr>
          <w:rFonts w:hint="eastAsia" w:ascii="宋体" w:hAnsi="宋体" w:eastAsia="宋体" w:cs="宋体"/>
          <w:b/>
          <w:bCs/>
          <w:sz w:val="24"/>
          <w:szCs w:val="24"/>
        </w:rPr>
      </w:pPr>
      <w:r>
        <w:rPr>
          <w:rFonts w:hint="eastAsia" w:ascii="宋体" w:hAnsi="宋体" w:eastAsia="宋体" w:cs="宋体"/>
          <w:b/>
          <w:bCs/>
          <w:sz w:val="24"/>
          <w:szCs w:val="24"/>
        </w:rPr>
        <w:t>初步审查要素表</w:t>
      </w:r>
    </w:p>
    <w:tbl>
      <w:tblPr>
        <w:tblStyle w:val="29"/>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ign w:val="center"/>
          </w:tcPr>
          <w:p>
            <w:pPr>
              <w:tabs>
                <w:tab w:val="left" w:pos="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823" w:type="dxa"/>
            <w:gridSpan w:val="2"/>
            <w:noWrap/>
            <w:vAlign w:val="center"/>
          </w:tcPr>
          <w:p>
            <w:pPr>
              <w:tabs>
                <w:tab w:val="left" w:pos="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6280" w:type="dxa"/>
            <w:noWrap/>
            <w:vAlign w:val="center"/>
          </w:tcPr>
          <w:p>
            <w:pPr>
              <w:tabs>
                <w:tab w:val="left" w:pos="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2.1.1</w:t>
            </w:r>
          </w:p>
        </w:tc>
        <w:tc>
          <w:tcPr>
            <w:tcW w:w="596" w:type="dxa"/>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资格评审</w:t>
            </w:r>
          </w:p>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标准</w:t>
            </w:r>
          </w:p>
        </w:tc>
        <w:tc>
          <w:tcPr>
            <w:tcW w:w="1823" w:type="dxa"/>
            <w:gridSpan w:val="2"/>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基本资格条件</w:t>
            </w:r>
          </w:p>
        </w:tc>
        <w:tc>
          <w:tcPr>
            <w:tcW w:w="6280" w:type="dxa"/>
            <w:noWrap/>
            <w:vAlign w:val="center"/>
          </w:tcPr>
          <w:p>
            <w:pPr>
              <w:pStyle w:val="12"/>
              <w:rPr>
                <w:rFonts w:hint="eastAsia" w:ascii="宋体" w:hAnsi="宋体" w:eastAsia="宋体" w:cs="宋体"/>
                <w:bCs/>
                <w:sz w:val="24"/>
                <w:szCs w:val="24"/>
                <w:highlight w:val="yellow"/>
              </w:rPr>
            </w:pPr>
            <w:r>
              <w:rPr>
                <w:rFonts w:hint="eastAsia" w:ascii="宋体" w:hAnsi="宋体" w:eastAsia="宋体" w:cs="宋体"/>
                <w:bCs/>
                <w:sz w:val="24"/>
                <w:szCs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restart"/>
            <w:tcBorders>
              <w:top w:val="nil"/>
            </w:tcBorders>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特定资格条件</w:t>
            </w:r>
          </w:p>
        </w:tc>
        <w:tc>
          <w:tcPr>
            <w:tcW w:w="6280" w:type="dxa"/>
            <w:noWrap/>
            <w:vAlign w:val="center"/>
          </w:tcPr>
          <w:p>
            <w:pPr>
              <w:tabs>
                <w:tab w:val="left" w:pos="0"/>
              </w:tabs>
              <w:adjustRightInd w:val="0"/>
              <w:snapToGrid w:val="0"/>
              <w:ind w:left="-69" w:leftChars="-33" w:firstLine="91" w:firstLineChars="38"/>
              <w:jc w:val="left"/>
              <w:rPr>
                <w:rFonts w:hint="eastAsia" w:ascii="宋体" w:hAnsi="宋体" w:eastAsia="宋体" w:cs="宋体"/>
                <w:bCs/>
                <w:sz w:val="24"/>
                <w:szCs w:val="24"/>
              </w:rPr>
            </w:pPr>
            <w:r>
              <w:rPr>
                <w:rFonts w:hint="eastAsia" w:ascii="宋体" w:hAnsi="宋体" w:eastAsia="宋体" w:cs="宋体"/>
                <w:bCs/>
                <w:sz w:val="24"/>
                <w:szCs w:val="24"/>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noWrap/>
            <w:vAlign w:val="center"/>
          </w:tcPr>
          <w:p>
            <w:pPr>
              <w:tabs>
                <w:tab w:val="left" w:pos="0"/>
              </w:tabs>
              <w:adjustRightInd w:val="0"/>
              <w:snapToGrid w:val="0"/>
              <w:ind w:left="-69" w:leftChars="-33" w:firstLine="91" w:firstLineChars="38"/>
              <w:jc w:val="left"/>
              <w:rPr>
                <w:rFonts w:hint="eastAsia" w:ascii="宋体" w:hAnsi="宋体" w:eastAsia="宋体" w:cs="宋体"/>
                <w:bCs/>
                <w:sz w:val="24"/>
                <w:szCs w:val="24"/>
              </w:rPr>
            </w:pPr>
            <w:r>
              <w:rPr>
                <w:rFonts w:hint="eastAsia" w:ascii="宋体" w:hAnsi="宋体" w:eastAsia="宋体" w:cs="宋体"/>
                <w:bCs/>
                <w:sz w:val="24"/>
                <w:szCs w:val="24"/>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（3）、供应商须具备工程设计综合资质甲级或市政行业工程设计乙级及以上资质或市政行业（燃气、轨道交通除外）乙级及以上资质，项目负责人须具备相关专业工程师及以上职称，且在本单位任职；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（（4）、提供谈判响应文件递交截止日前一年内已缴纳的至少一个月的纳税证明或完税证明，依法免税的单位应提供相关证明材料；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（5）、提供谈判响应文件递交截止日前一年内已缴存的至少一个月的社会保障资金缴存单据或社保机构开具的社会保险参保缴费情况证明，依法不需要缴纳社会保障资金的单位应提供相关证明材料；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6）、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（7）、参加政府活动近三年内，在经营活动中无重大违法记录的书面声明；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8）供应商不得为中国执行信息公开网（http://zxgk.court.gov.cn/shixin/）失信被执行人及“信用中国”网站（www.creditchina.gov.cn）重大税收违法失信主体；不得为中国政府采购网（www.ccgp.gov.cn）政府采购严重违法失信行为记录名单中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（9）、谈判保证金缴纳凭证或担保机构出具的保函；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1823" w:type="dxa"/>
            <w:gridSpan w:val="2"/>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6280" w:type="dxa"/>
            <w:tcBorders>
              <w:left w:val="nil"/>
            </w:tcBorders>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（10）、单位负责人为同一人或者存在直接控股、管理关系的不同供应商，不得参加同一合同项下的政府采购活动。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ign w:val="center"/>
          </w:tcPr>
          <w:p>
            <w:pPr>
              <w:tabs>
                <w:tab w:val="left" w:pos="0"/>
              </w:tabs>
              <w:adjustRightInd w:val="0"/>
              <w:snapToGrid w:val="0"/>
              <w:jc w:val="left"/>
              <w:rPr>
                <w:rFonts w:hint="eastAsia" w:ascii="宋体" w:hAnsi="宋体" w:eastAsia="宋体" w:cs="宋体"/>
                <w:bCs/>
                <w:sz w:val="24"/>
                <w:szCs w:val="24"/>
              </w:rPr>
            </w:pPr>
            <w:r>
              <w:rPr>
                <w:rFonts w:hint="eastAsia" w:ascii="宋体" w:hAnsi="宋体" w:eastAsia="宋体" w:cs="宋体"/>
                <w:b/>
                <w:sz w:val="24"/>
                <w:szCs w:val="24"/>
              </w:rPr>
              <w:t>注：以上为必备资格条件，缺一项或某项达不到要求，按无效文件处理。资格审查时以谈判响应文件中所附证明材料（信用中国和中国政府采购网信用记录可不提供，由代理机构查询并留存）为准。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ign w:val="center"/>
          </w:tcPr>
          <w:p>
            <w:pPr>
              <w:tabs>
                <w:tab w:val="left" w:pos="0"/>
              </w:tabs>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2.1.2</w:t>
            </w:r>
          </w:p>
        </w:tc>
        <w:tc>
          <w:tcPr>
            <w:tcW w:w="596" w:type="dxa"/>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符合性评审标准</w:t>
            </w:r>
          </w:p>
        </w:tc>
        <w:tc>
          <w:tcPr>
            <w:tcW w:w="563" w:type="dxa"/>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有效性审查</w:t>
            </w: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谈判响应文件的签署盖章</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谈判响应文件上法定代表人或其授权代表人的签字齐全并加盖公章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96"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63"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谈判响应文件格式</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应符合“谈判响应文件格式”要求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96"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63"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报价唯一</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只能有一个有效报价，不得提交选择性报价，按要求提交二次或多次报价，且每轮报价不超过采购预算金额或最高限价。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pPr>
              <w:tabs>
                <w:tab w:val="left" w:pos="0"/>
              </w:tabs>
              <w:adjustRightInd w:val="0"/>
              <w:snapToGrid w:val="0"/>
              <w:spacing w:line="360" w:lineRule="auto"/>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63" w:type="dxa"/>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完整性审查</w:t>
            </w: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谈判响应文件份数</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96"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63"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谈判响应文件内容</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谈判响应文件内容齐全、无遗漏，符合谈判文件要求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ign w:val="center"/>
          </w:tcPr>
          <w:p>
            <w:pPr>
              <w:tabs>
                <w:tab w:val="left" w:pos="0"/>
              </w:tabs>
              <w:adjustRightInd w:val="0"/>
              <w:snapToGrid w:val="0"/>
              <w:spacing w:line="360" w:lineRule="auto"/>
              <w:jc w:val="center"/>
              <w:rPr>
                <w:rFonts w:hint="eastAsia" w:ascii="宋体" w:hAnsi="宋体" w:eastAsia="宋体" w:cs="宋体"/>
                <w:bCs/>
                <w:sz w:val="24"/>
                <w:szCs w:val="24"/>
              </w:rPr>
            </w:pPr>
          </w:p>
        </w:tc>
        <w:tc>
          <w:tcPr>
            <w:tcW w:w="596" w:type="dxa"/>
            <w:vMerge w:val="continue"/>
            <w:noWrap/>
            <w:vAlign w:val="center"/>
          </w:tcPr>
          <w:p>
            <w:pPr>
              <w:tabs>
                <w:tab w:val="left" w:pos="0"/>
              </w:tabs>
              <w:adjustRightInd w:val="0"/>
              <w:snapToGrid w:val="0"/>
              <w:jc w:val="center"/>
              <w:rPr>
                <w:rFonts w:hint="eastAsia" w:ascii="宋体" w:hAnsi="宋体" w:eastAsia="宋体" w:cs="宋体"/>
                <w:bCs/>
                <w:sz w:val="24"/>
                <w:szCs w:val="24"/>
              </w:rPr>
            </w:pPr>
          </w:p>
        </w:tc>
        <w:tc>
          <w:tcPr>
            <w:tcW w:w="563" w:type="dxa"/>
            <w:vMerge w:val="restart"/>
            <w:noWrap/>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响应性审查</w:t>
            </w: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对谈判文件响应程度</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96"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63"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服务期</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应满足谈判文件中要求的服务期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96"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63"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实施地点</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应满足谈判文件中要求的实施地点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96"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563" w:type="dxa"/>
            <w:vMerge w:val="continue"/>
            <w:noWrap/>
          </w:tcPr>
          <w:p>
            <w:pPr>
              <w:tabs>
                <w:tab w:val="left" w:pos="0"/>
              </w:tabs>
              <w:adjustRightInd w:val="0"/>
              <w:snapToGrid w:val="0"/>
              <w:spacing w:line="360" w:lineRule="auto"/>
              <w:rPr>
                <w:rFonts w:hint="eastAsia" w:ascii="宋体" w:hAnsi="宋体" w:eastAsia="宋体" w:cs="宋体"/>
                <w:bCs/>
                <w:sz w:val="24"/>
                <w:szCs w:val="24"/>
              </w:rPr>
            </w:pPr>
          </w:p>
        </w:tc>
        <w:tc>
          <w:tcPr>
            <w:tcW w:w="126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投标有效期</w:t>
            </w:r>
          </w:p>
        </w:tc>
        <w:tc>
          <w:tcPr>
            <w:tcW w:w="6280" w:type="dxa"/>
            <w:noWrap/>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应满足谈判文件中的规定</w:t>
            </w:r>
          </w:p>
        </w:tc>
      </w:tr>
    </w:tbl>
    <w:p>
      <w:pPr>
        <w:pStyle w:val="12"/>
        <w:jc w:val="center"/>
        <w:rPr>
          <w:rFonts w:hint="eastAsia" w:ascii="宋体" w:hAnsi="宋体" w:eastAsia="宋体" w:cs="宋体"/>
          <w:b/>
          <w:bCs/>
          <w:sz w:val="24"/>
          <w:szCs w:val="24"/>
        </w:rPr>
      </w:pPr>
    </w:p>
    <w:p>
      <w:pPr>
        <w:pStyle w:val="12"/>
        <w:rPr>
          <w:rFonts w:hint="eastAsia" w:ascii="宋体" w:hAnsi="宋体" w:eastAsia="宋体" w:cs="宋体"/>
          <w:color w:val="FF0000"/>
          <w:spacing w:val="4"/>
          <w:sz w:val="24"/>
          <w:szCs w:val="24"/>
        </w:rPr>
        <w:sectPr>
          <w:pgSz w:w="11907" w:h="16840"/>
          <w:pgMar w:top="1417" w:right="1250" w:bottom="1417" w:left="1417" w:header="851" w:footer="850" w:gutter="0"/>
          <w:pgNumType w:fmt="decimal"/>
          <w:cols w:space="720" w:num="1"/>
          <w:docGrid w:linePitch="286" w:charSpace="0"/>
        </w:sectPr>
      </w:pPr>
    </w:p>
    <w:bookmarkEnd w:id="59"/>
    <w:bookmarkEnd w:id="60"/>
    <w:bookmarkEnd w:id="61"/>
    <w:p>
      <w:pPr>
        <w:pStyle w:val="3"/>
        <w:numPr>
          <w:ilvl w:val="0"/>
          <w:numId w:val="5"/>
        </w:numPr>
        <w:rPr>
          <w:rFonts w:hint="eastAsia" w:ascii="宋体" w:hAnsi="宋体" w:eastAsia="宋体" w:cs="宋体"/>
          <w:b/>
          <w:bCs/>
          <w:sz w:val="36"/>
          <w:szCs w:val="36"/>
        </w:rPr>
      </w:pPr>
      <w:bookmarkStart w:id="63" w:name="_Toc20805"/>
      <w:bookmarkStart w:id="64" w:name="_Toc404670157"/>
      <w:r>
        <w:rPr>
          <w:rFonts w:hint="eastAsia" w:ascii="宋体" w:hAnsi="宋体" w:eastAsia="宋体" w:cs="宋体"/>
          <w:b/>
          <w:bCs/>
          <w:sz w:val="36"/>
          <w:szCs w:val="36"/>
        </w:rPr>
        <w:t>竞争性谈判响应文件格式及构成</w:t>
      </w:r>
      <w:bookmarkEnd w:id="62"/>
      <w:bookmarkEnd w:id="63"/>
      <w:bookmarkEnd w:id="64"/>
    </w:p>
    <w:p>
      <w:pPr>
        <w:rPr>
          <w:rFonts w:hint="eastAsia" w:ascii="宋体" w:hAnsi="宋体" w:eastAsia="宋体" w:cs="宋体"/>
          <w:b/>
          <w:sz w:val="36"/>
          <w:szCs w:val="36"/>
        </w:rPr>
      </w:pPr>
    </w:p>
    <w:p>
      <w:pPr>
        <w:rPr>
          <w:rFonts w:hint="eastAsia" w:ascii="宋体" w:hAnsi="宋体" w:eastAsia="宋体" w:cs="宋体"/>
          <w:b/>
          <w:sz w:val="32"/>
          <w:szCs w:val="32"/>
        </w:rPr>
      </w:pPr>
    </w:p>
    <w:p>
      <w:pPr>
        <w:rPr>
          <w:rFonts w:hint="default" w:ascii="宋体" w:hAnsi="宋体" w:eastAsia="宋体" w:cs="宋体"/>
          <w:b/>
          <w:color w:val="FF0000"/>
          <w:sz w:val="32"/>
          <w:szCs w:val="32"/>
          <w:lang w:val="en-US" w:eastAsia="zh-CN"/>
        </w:rPr>
      </w:pPr>
      <w:r>
        <w:rPr>
          <w:rFonts w:hint="eastAsia" w:ascii="宋体" w:hAnsi="宋体" w:eastAsia="宋体" w:cs="宋体"/>
          <w:b/>
          <w:sz w:val="32"/>
          <w:szCs w:val="32"/>
        </w:rPr>
        <w:t>项目编号：</w:t>
      </w:r>
      <w:r>
        <w:rPr>
          <w:rFonts w:hint="eastAsia" w:ascii="宋体" w:hAnsi="宋体" w:cs="宋体"/>
          <w:b/>
          <w:sz w:val="32"/>
          <w:szCs w:val="32"/>
          <w:lang w:eastAsia="zh-CN"/>
        </w:rPr>
        <w:t>ZHGJ-2022-192</w:t>
      </w:r>
    </w:p>
    <w:p>
      <w:pPr>
        <w:ind w:firstLine="5405" w:firstLineChars="1923"/>
        <w:rPr>
          <w:rFonts w:hint="eastAsia" w:ascii="宋体" w:hAnsi="宋体" w:eastAsia="宋体" w:cs="宋体"/>
          <w:b/>
          <w:sz w:val="36"/>
          <w:szCs w:val="36"/>
        </w:rPr>
      </w:pPr>
      <w:r>
        <w:rPr>
          <w:rFonts w:hint="eastAsia" w:ascii="宋体" w:hAnsi="宋体" w:eastAsia="宋体" w:cs="宋体"/>
          <w:b/>
          <w:sz w:val="28"/>
          <w:szCs w:val="28"/>
        </w:rPr>
        <w:t>（正本或副本）</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44"/>
          <w:szCs w:val="44"/>
        </w:rPr>
      </w:pPr>
      <w:r>
        <w:rPr>
          <w:rFonts w:hint="eastAsia" w:ascii="宋体" w:hAnsi="宋体" w:cs="宋体"/>
          <w:b/>
          <w:spacing w:val="-20"/>
          <w:sz w:val="52"/>
          <w:szCs w:val="52"/>
          <w:lang w:eastAsia="zh-CN"/>
        </w:rPr>
        <w:t>黄陵县城城乡生活垃圾收运处置体系规划</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jc w:val="center"/>
        <w:rPr>
          <w:rFonts w:hint="eastAsia" w:ascii="宋体" w:hAnsi="宋体" w:eastAsia="宋体" w:cs="宋体"/>
          <w:b/>
          <w:sz w:val="52"/>
          <w:szCs w:val="52"/>
        </w:rPr>
      </w:pPr>
      <w:r>
        <w:rPr>
          <w:rFonts w:hint="eastAsia" w:ascii="宋体" w:hAnsi="宋体" w:eastAsia="宋体" w:cs="宋体"/>
          <w:b/>
          <w:sz w:val="52"/>
          <w:szCs w:val="52"/>
        </w:rPr>
        <w:t>竞争性谈判响应文件</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pStyle w:val="7"/>
        <w:rPr>
          <w:rFonts w:hint="eastAsia" w:ascii="宋体" w:hAnsi="宋体" w:eastAsia="宋体" w:cs="宋体"/>
          <w:lang w:eastAsia="zh-CN"/>
        </w:rPr>
      </w:pPr>
    </w:p>
    <w:p>
      <w:pPr>
        <w:tabs>
          <w:tab w:val="center" w:pos="5346"/>
        </w:tabs>
        <w:spacing w:line="420" w:lineRule="auto"/>
        <w:jc w:val="center"/>
        <w:rPr>
          <w:rFonts w:hint="eastAsia" w:ascii="宋体" w:hAnsi="宋体" w:eastAsia="宋体" w:cs="宋体"/>
          <w:b/>
          <w:sz w:val="32"/>
          <w:szCs w:val="32"/>
        </w:rPr>
      </w:pPr>
      <w:r>
        <w:rPr>
          <w:rFonts w:hint="eastAsia" w:ascii="宋体" w:hAnsi="宋体" w:eastAsia="宋体" w:cs="宋体"/>
          <w:b/>
          <w:sz w:val="32"/>
          <w:szCs w:val="32"/>
        </w:rPr>
        <w:t>谈判供应商名称（盖章）</w:t>
      </w:r>
    </w:p>
    <w:p>
      <w:pPr>
        <w:jc w:val="center"/>
        <w:rPr>
          <w:rFonts w:hint="eastAsia" w:ascii="宋体" w:hAnsi="宋体" w:eastAsia="宋体" w:cs="宋体"/>
          <w:b/>
          <w:sz w:val="36"/>
          <w:szCs w:val="36"/>
        </w:rPr>
      </w:pPr>
      <w:r>
        <w:rPr>
          <w:rFonts w:hint="eastAsia" w:ascii="宋体" w:hAnsi="宋体" w:eastAsia="宋体" w:cs="宋体"/>
          <w:b/>
          <w:sz w:val="32"/>
          <w:szCs w:val="32"/>
        </w:rPr>
        <w:t>年   月   日</w:t>
      </w:r>
    </w:p>
    <w:p>
      <w:pPr>
        <w:rPr>
          <w:rFonts w:hint="eastAsia" w:ascii="宋体" w:hAnsi="宋体" w:eastAsia="宋体" w:cs="宋体"/>
          <w:b/>
          <w:sz w:val="36"/>
          <w:szCs w:val="36"/>
        </w:rPr>
      </w:pPr>
    </w:p>
    <w:p>
      <w:pPr>
        <w:rPr>
          <w:rFonts w:hint="eastAsia" w:ascii="宋体" w:hAnsi="宋体" w:eastAsia="宋体" w:cs="宋体"/>
          <w:b/>
          <w:bCs/>
          <w:spacing w:val="4"/>
          <w:sz w:val="44"/>
          <w:szCs w:val="44"/>
        </w:rPr>
      </w:pPr>
      <w:r>
        <w:rPr>
          <w:rFonts w:hint="eastAsia" w:ascii="宋体" w:hAnsi="宋体" w:eastAsia="宋体" w:cs="宋体"/>
          <w:b/>
          <w:bCs/>
          <w:spacing w:val="4"/>
          <w:sz w:val="44"/>
          <w:szCs w:val="44"/>
        </w:rPr>
        <w:br w:type="page"/>
      </w:r>
    </w:p>
    <w:p>
      <w:pPr>
        <w:jc w:val="center"/>
        <w:rPr>
          <w:rFonts w:hint="eastAsia" w:ascii="宋体" w:hAnsi="宋体" w:eastAsia="宋体" w:cs="宋体"/>
          <w:b/>
          <w:bCs/>
          <w:spacing w:val="4"/>
          <w:sz w:val="44"/>
          <w:szCs w:val="44"/>
        </w:rPr>
      </w:pPr>
      <w:r>
        <w:rPr>
          <w:rFonts w:hint="eastAsia" w:ascii="宋体" w:hAnsi="宋体" w:eastAsia="宋体" w:cs="宋体"/>
          <w:b/>
          <w:bCs/>
          <w:spacing w:val="4"/>
          <w:sz w:val="44"/>
          <w:szCs w:val="44"/>
        </w:rPr>
        <w:t>目 录</w:t>
      </w:r>
    </w:p>
    <w:p>
      <w:pPr>
        <w:spacing w:line="480" w:lineRule="auto"/>
        <w:rPr>
          <w:rFonts w:hint="eastAsia" w:ascii="宋体" w:hAnsi="宋体" w:eastAsia="宋体" w:cs="宋体"/>
          <w:b/>
          <w:bCs/>
          <w:spacing w:val="4"/>
          <w:sz w:val="30"/>
          <w:szCs w:val="30"/>
        </w:rPr>
      </w:pPr>
    </w:p>
    <w:p>
      <w:pPr>
        <w:spacing w:line="800" w:lineRule="exact"/>
        <w:ind w:left="1612"/>
        <w:rPr>
          <w:rFonts w:hint="eastAsia" w:ascii="宋体" w:hAnsi="宋体" w:eastAsia="宋体" w:cs="宋体"/>
          <w:spacing w:val="4"/>
          <w:sz w:val="24"/>
          <w:szCs w:val="24"/>
        </w:rPr>
      </w:pPr>
      <w:r>
        <w:rPr>
          <w:rFonts w:hint="eastAsia" w:ascii="宋体" w:hAnsi="宋体" w:eastAsia="宋体" w:cs="宋体"/>
          <w:spacing w:val="4"/>
          <w:sz w:val="24"/>
          <w:szCs w:val="24"/>
        </w:rPr>
        <w:t>一、谈判响应函</w:t>
      </w:r>
    </w:p>
    <w:p>
      <w:pPr>
        <w:spacing w:line="800" w:lineRule="exact"/>
        <w:ind w:left="1612"/>
        <w:rPr>
          <w:rFonts w:hint="eastAsia" w:ascii="宋体" w:hAnsi="宋体" w:eastAsia="宋体" w:cs="宋体"/>
          <w:spacing w:val="4"/>
          <w:sz w:val="24"/>
          <w:szCs w:val="24"/>
        </w:rPr>
      </w:pPr>
      <w:r>
        <w:rPr>
          <w:rFonts w:hint="eastAsia" w:ascii="宋体" w:hAnsi="宋体" w:eastAsia="宋体" w:cs="宋体"/>
          <w:spacing w:val="4"/>
          <w:sz w:val="24"/>
          <w:szCs w:val="24"/>
        </w:rPr>
        <w:t>二、谈判报价表</w:t>
      </w:r>
    </w:p>
    <w:p>
      <w:pPr>
        <w:spacing w:line="800" w:lineRule="exact"/>
        <w:ind w:left="1612"/>
        <w:rPr>
          <w:rFonts w:hint="eastAsia" w:ascii="宋体" w:hAnsi="宋体" w:eastAsia="宋体" w:cs="宋体"/>
          <w:spacing w:val="4"/>
          <w:sz w:val="24"/>
          <w:szCs w:val="24"/>
        </w:rPr>
      </w:pPr>
      <w:r>
        <w:rPr>
          <w:rFonts w:hint="eastAsia" w:ascii="宋体" w:hAnsi="宋体" w:eastAsia="宋体" w:cs="宋体"/>
          <w:spacing w:val="4"/>
          <w:sz w:val="24"/>
          <w:szCs w:val="24"/>
        </w:rPr>
        <w:t>三、</w:t>
      </w:r>
      <w:r>
        <w:rPr>
          <w:rFonts w:hint="eastAsia" w:ascii="宋体" w:hAnsi="宋体" w:eastAsia="宋体" w:cs="宋体"/>
          <w:sz w:val="24"/>
          <w:szCs w:val="24"/>
        </w:rPr>
        <w:t>谈判方案说明书</w:t>
      </w:r>
    </w:p>
    <w:p>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四、商务条款偏离表</w:t>
      </w:r>
    </w:p>
    <w:p>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五、供应商承诺书</w:t>
      </w:r>
    </w:p>
    <w:p>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六、资格证明文件</w:t>
      </w:r>
    </w:p>
    <w:p>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七、其它资料</w:t>
      </w:r>
    </w:p>
    <w:p>
      <w:pPr>
        <w:spacing w:line="800" w:lineRule="exact"/>
        <w:ind w:left="1612"/>
        <w:rPr>
          <w:rFonts w:hint="eastAsia" w:ascii="宋体" w:hAnsi="宋体" w:eastAsia="宋体" w:cs="宋体"/>
          <w:sz w:val="24"/>
          <w:szCs w:val="24"/>
        </w:rPr>
      </w:pPr>
    </w:p>
    <w:p>
      <w:pPr>
        <w:spacing w:line="480" w:lineRule="auto"/>
        <w:ind w:firstLine="1574" w:firstLineChars="635"/>
        <w:rPr>
          <w:rFonts w:hint="eastAsia" w:ascii="宋体" w:hAnsi="宋体" w:eastAsia="宋体" w:cs="宋体"/>
          <w:spacing w:val="4"/>
          <w:sz w:val="24"/>
          <w:szCs w:val="24"/>
        </w:rPr>
      </w:pPr>
    </w:p>
    <w:p>
      <w:pPr>
        <w:spacing w:line="480" w:lineRule="auto"/>
        <w:ind w:left="105"/>
        <w:rPr>
          <w:rFonts w:hint="eastAsia" w:ascii="宋体" w:hAnsi="宋体" w:eastAsia="宋体" w:cs="宋体"/>
          <w:spacing w:val="4"/>
          <w:sz w:val="24"/>
          <w:szCs w:val="24"/>
        </w:rPr>
      </w:pPr>
    </w:p>
    <w:p>
      <w:pPr>
        <w:spacing w:line="440" w:lineRule="exact"/>
        <w:jc w:val="center"/>
        <w:rPr>
          <w:rFonts w:hint="eastAsia" w:ascii="宋体" w:hAnsi="宋体" w:eastAsia="宋体" w:cs="宋体"/>
          <w:b/>
          <w:spacing w:val="4"/>
          <w:sz w:val="32"/>
          <w:szCs w:val="32"/>
        </w:rPr>
      </w:pPr>
    </w:p>
    <w:p>
      <w:pPr>
        <w:spacing w:line="440" w:lineRule="exact"/>
        <w:jc w:val="center"/>
        <w:rPr>
          <w:rFonts w:hint="eastAsia" w:ascii="宋体" w:hAnsi="宋体" w:eastAsia="宋体" w:cs="宋体"/>
          <w:b/>
          <w:spacing w:val="4"/>
          <w:sz w:val="32"/>
          <w:szCs w:val="32"/>
        </w:rPr>
      </w:pPr>
    </w:p>
    <w:p>
      <w:pPr>
        <w:spacing w:line="440" w:lineRule="exact"/>
        <w:jc w:val="center"/>
        <w:rPr>
          <w:rFonts w:hint="eastAsia" w:ascii="宋体" w:hAnsi="宋体" w:eastAsia="宋体" w:cs="宋体"/>
          <w:b/>
          <w:spacing w:val="4"/>
          <w:sz w:val="32"/>
          <w:szCs w:val="32"/>
        </w:rPr>
      </w:pPr>
    </w:p>
    <w:p>
      <w:pPr>
        <w:spacing w:line="440" w:lineRule="exact"/>
        <w:jc w:val="center"/>
        <w:rPr>
          <w:rFonts w:hint="eastAsia" w:ascii="宋体" w:hAnsi="宋体" w:eastAsia="宋体" w:cs="宋体"/>
          <w:b/>
          <w:spacing w:val="4"/>
          <w:sz w:val="32"/>
          <w:szCs w:val="32"/>
        </w:rPr>
      </w:pPr>
    </w:p>
    <w:p>
      <w:pPr>
        <w:spacing w:line="440" w:lineRule="exact"/>
        <w:jc w:val="center"/>
        <w:rPr>
          <w:rFonts w:hint="eastAsia" w:ascii="宋体" w:hAnsi="宋体" w:eastAsia="宋体" w:cs="宋体"/>
          <w:b/>
          <w:spacing w:val="4"/>
          <w:sz w:val="32"/>
          <w:szCs w:val="32"/>
        </w:rPr>
      </w:pPr>
    </w:p>
    <w:p>
      <w:pPr>
        <w:pStyle w:val="7"/>
        <w:rPr>
          <w:rFonts w:hint="eastAsia" w:ascii="宋体" w:hAnsi="宋体" w:eastAsia="宋体" w:cs="宋体"/>
          <w:b/>
          <w:spacing w:val="4"/>
          <w:sz w:val="32"/>
          <w:szCs w:val="32"/>
        </w:rPr>
      </w:pPr>
    </w:p>
    <w:p>
      <w:pPr>
        <w:rPr>
          <w:rFonts w:hint="eastAsia" w:ascii="宋体" w:hAnsi="宋体" w:eastAsia="宋体" w:cs="宋体"/>
          <w:b/>
          <w:spacing w:val="4"/>
          <w:sz w:val="32"/>
          <w:szCs w:val="32"/>
        </w:rPr>
      </w:pPr>
    </w:p>
    <w:p>
      <w:pPr>
        <w:pStyle w:val="7"/>
        <w:rPr>
          <w:rFonts w:hint="eastAsia" w:ascii="宋体" w:hAnsi="宋体" w:eastAsia="宋体" w:cs="宋体"/>
          <w:b/>
          <w:spacing w:val="4"/>
          <w:sz w:val="32"/>
          <w:szCs w:val="32"/>
        </w:rPr>
      </w:pPr>
    </w:p>
    <w:p>
      <w:pPr>
        <w:rPr>
          <w:rFonts w:hint="eastAsia" w:ascii="宋体" w:hAnsi="宋体" w:eastAsia="宋体" w:cs="宋体"/>
        </w:rPr>
      </w:pPr>
    </w:p>
    <w:p>
      <w:pPr>
        <w:spacing w:line="440" w:lineRule="exact"/>
        <w:jc w:val="center"/>
        <w:rPr>
          <w:rFonts w:hint="eastAsia" w:ascii="宋体" w:hAnsi="宋体" w:eastAsia="宋体" w:cs="宋体"/>
          <w:b/>
          <w:spacing w:val="4"/>
          <w:sz w:val="32"/>
          <w:szCs w:val="32"/>
        </w:rPr>
      </w:pPr>
    </w:p>
    <w:p>
      <w:pPr>
        <w:pStyle w:val="12"/>
        <w:rPr>
          <w:rFonts w:hint="eastAsia" w:ascii="宋体" w:hAnsi="宋体" w:eastAsia="宋体" w:cs="宋体"/>
        </w:rPr>
      </w:pPr>
    </w:p>
    <w:p>
      <w:pPr>
        <w:spacing w:line="440" w:lineRule="exact"/>
        <w:jc w:val="center"/>
        <w:outlineLvl w:val="1"/>
        <w:rPr>
          <w:rFonts w:hint="eastAsia" w:ascii="宋体" w:hAnsi="宋体" w:eastAsia="宋体" w:cs="宋体"/>
          <w:b/>
          <w:spacing w:val="4"/>
          <w:sz w:val="32"/>
          <w:szCs w:val="32"/>
        </w:rPr>
      </w:pPr>
    </w:p>
    <w:p>
      <w:pPr>
        <w:spacing w:line="440" w:lineRule="exact"/>
        <w:jc w:val="center"/>
        <w:outlineLvl w:val="1"/>
        <w:rPr>
          <w:rFonts w:hint="eastAsia" w:ascii="宋体" w:hAnsi="宋体" w:eastAsia="宋体" w:cs="宋体"/>
          <w:b/>
          <w:spacing w:val="4"/>
          <w:sz w:val="32"/>
          <w:szCs w:val="32"/>
        </w:rPr>
      </w:pPr>
      <w:r>
        <w:rPr>
          <w:rFonts w:hint="eastAsia" w:ascii="宋体" w:hAnsi="宋体" w:eastAsia="宋体" w:cs="宋体"/>
          <w:b/>
          <w:spacing w:val="4"/>
          <w:sz w:val="32"/>
          <w:szCs w:val="32"/>
        </w:rPr>
        <w:t>一、谈判响应函</w:t>
      </w:r>
    </w:p>
    <w:p>
      <w:pPr>
        <w:spacing w:line="440" w:lineRule="exact"/>
        <w:jc w:val="left"/>
        <w:rPr>
          <w:rFonts w:hint="eastAsia" w:ascii="宋体" w:hAnsi="宋体" w:eastAsia="宋体" w:cs="宋体"/>
          <w:spacing w:val="4"/>
          <w:sz w:val="24"/>
        </w:rPr>
      </w:pPr>
    </w:p>
    <w:p>
      <w:pPr>
        <w:spacing w:line="440" w:lineRule="exact"/>
        <w:jc w:val="left"/>
        <w:rPr>
          <w:rFonts w:hint="eastAsia" w:ascii="宋体" w:hAnsi="宋体" w:eastAsia="宋体" w:cs="宋体"/>
          <w:spacing w:val="4"/>
          <w:sz w:val="24"/>
          <w:u w:val="single"/>
          <w:lang w:eastAsia="zh-CN"/>
        </w:rPr>
      </w:pPr>
      <w:r>
        <w:rPr>
          <w:rFonts w:hint="eastAsia" w:ascii="宋体" w:hAnsi="宋体" w:eastAsia="宋体" w:cs="宋体"/>
          <w:spacing w:val="4"/>
          <w:sz w:val="24"/>
        </w:rPr>
        <w:t>致：</w:t>
      </w:r>
      <w:r>
        <w:rPr>
          <w:rFonts w:hint="eastAsia" w:ascii="宋体" w:hAnsi="宋体" w:cs="宋体"/>
          <w:spacing w:val="4"/>
          <w:sz w:val="24"/>
          <w:u w:val="single"/>
          <w:lang w:eastAsia="zh-CN"/>
        </w:rPr>
        <w:t>黄陵县住房和城乡建设局</w:t>
      </w:r>
    </w:p>
    <w:p>
      <w:pPr>
        <w:spacing w:line="440" w:lineRule="exact"/>
        <w:jc w:val="left"/>
        <w:rPr>
          <w:rFonts w:hint="eastAsia" w:ascii="宋体" w:hAnsi="宋体" w:eastAsia="宋体" w:cs="宋体"/>
          <w:spacing w:val="4"/>
          <w:sz w:val="24"/>
          <w:u w:val="single"/>
        </w:rPr>
      </w:pPr>
    </w:p>
    <w:p>
      <w:pPr>
        <w:spacing w:line="440" w:lineRule="exact"/>
        <w:ind w:firstLine="496" w:firstLineChars="200"/>
        <w:rPr>
          <w:rFonts w:hint="eastAsia" w:ascii="宋体" w:hAnsi="宋体" w:eastAsia="宋体" w:cs="宋体"/>
          <w:spacing w:val="4"/>
          <w:sz w:val="24"/>
        </w:rPr>
      </w:pPr>
      <w:r>
        <w:rPr>
          <w:rFonts w:hint="eastAsia" w:ascii="宋体" w:hAnsi="宋体" w:eastAsia="宋体" w:cs="宋体"/>
          <w:spacing w:val="4"/>
          <w:sz w:val="24"/>
        </w:rPr>
        <w:t>根据贵方“</w:t>
      </w:r>
      <w:r>
        <w:rPr>
          <w:rFonts w:hint="eastAsia" w:ascii="宋体" w:hAnsi="宋体" w:eastAsia="宋体" w:cs="宋体"/>
          <w:spacing w:val="4"/>
          <w:sz w:val="24"/>
          <w:u w:val="single"/>
          <w:lang w:val="en-US" w:eastAsia="zh-CN"/>
        </w:rPr>
        <w:t xml:space="preserve">       </w:t>
      </w:r>
      <w:r>
        <w:rPr>
          <w:rFonts w:hint="eastAsia" w:ascii="宋体" w:hAnsi="宋体" w:eastAsia="宋体" w:cs="宋体"/>
          <w:spacing w:val="4"/>
          <w:sz w:val="24"/>
          <w:u w:val="single"/>
        </w:rPr>
        <w:t xml:space="preserve"> </w:t>
      </w:r>
      <w:r>
        <w:rPr>
          <w:rFonts w:hint="eastAsia" w:ascii="宋体" w:hAnsi="宋体" w:eastAsia="宋体" w:cs="宋体"/>
          <w:spacing w:val="4"/>
          <w:sz w:val="24"/>
        </w:rPr>
        <w:t>”项目的谈判邀请</w:t>
      </w:r>
      <w:r>
        <w:rPr>
          <w:rFonts w:hint="eastAsia" w:ascii="宋体" w:hAnsi="宋体" w:eastAsia="宋体" w:cs="宋体"/>
          <w:spacing w:val="4"/>
          <w:sz w:val="24"/>
          <w:u w:val="single"/>
        </w:rPr>
        <w:t>(项目编号：            )</w:t>
      </w:r>
      <w:r>
        <w:rPr>
          <w:rFonts w:hint="eastAsia" w:ascii="宋体" w:hAnsi="宋体" w:eastAsia="宋体" w:cs="宋体"/>
          <w:spacing w:val="4"/>
          <w:sz w:val="24"/>
        </w:rPr>
        <w:t>，签字代表</w:t>
      </w:r>
      <w:r>
        <w:rPr>
          <w:rFonts w:hint="eastAsia" w:ascii="宋体" w:hAnsi="宋体" w:eastAsia="宋体" w:cs="宋体"/>
          <w:spacing w:val="4"/>
          <w:sz w:val="24"/>
          <w:u w:val="single"/>
        </w:rPr>
        <w:t>（全名、职务）</w:t>
      </w:r>
      <w:r>
        <w:rPr>
          <w:rFonts w:hint="eastAsia" w:ascii="宋体" w:hAnsi="宋体" w:eastAsia="宋体" w:cs="宋体"/>
          <w:spacing w:val="4"/>
          <w:sz w:val="24"/>
        </w:rPr>
        <w:t>经正式授权并代表谈判供应商</w:t>
      </w:r>
      <w:r>
        <w:rPr>
          <w:rFonts w:hint="eastAsia" w:ascii="宋体" w:hAnsi="宋体" w:eastAsia="宋体" w:cs="宋体"/>
          <w:spacing w:val="4"/>
          <w:sz w:val="24"/>
          <w:u w:val="single"/>
        </w:rPr>
        <w:t>(谈判供应商名称、地址)</w:t>
      </w:r>
      <w:r>
        <w:rPr>
          <w:rFonts w:hint="eastAsia" w:ascii="宋体" w:hAnsi="宋体" w:eastAsia="宋体" w:cs="宋体"/>
          <w:spacing w:val="4"/>
          <w:sz w:val="24"/>
        </w:rPr>
        <w:t xml:space="preserve"> 提交竞争性谈判响应文件正本一份、副本一式份，电子版份，报价一览表份。并提交谈判保证金，金额为</w:t>
      </w:r>
      <w:r>
        <w:rPr>
          <w:rFonts w:hint="eastAsia" w:ascii="宋体" w:hAnsi="宋体" w:eastAsia="宋体" w:cs="宋体"/>
          <w:spacing w:val="4"/>
          <w:sz w:val="24"/>
          <w:u w:val="single"/>
          <w:lang w:val="en-US" w:eastAsia="zh-CN"/>
        </w:rPr>
        <w:t xml:space="preserve">       </w:t>
      </w:r>
      <w:r>
        <w:rPr>
          <w:rFonts w:hint="eastAsia" w:ascii="宋体" w:hAnsi="宋体" w:eastAsia="宋体" w:cs="宋体"/>
          <w:spacing w:val="4"/>
          <w:sz w:val="24"/>
          <w:u w:val="single"/>
        </w:rPr>
        <w:t xml:space="preserve"> </w:t>
      </w:r>
      <w:r>
        <w:rPr>
          <w:rFonts w:hint="eastAsia" w:ascii="宋体" w:hAnsi="宋体" w:eastAsia="宋体" w:cs="宋体"/>
          <w:spacing w:val="4"/>
          <w:sz w:val="24"/>
        </w:rPr>
        <w:t>。</w:t>
      </w:r>
    </w:p>
    <w:p>
      <w:pPr>
        <w:spacing w:line="440" w:lineRule="exact"/>
        <w:ind w:left="549" w:leftChars="251" w:hanging="22" w:hangingChars="9"/>
        <w:jc w:val="left"/>
        <w:rPr>
          <w:rFonts w:hint="eastAsia" w:ascii="宋体" w:hAnsi="宋体" w:eastAsia="宋体" w:cs="宋体"/>
          <w:spacing w:val="4"/>
          <w:sz w:val="24"/>
        </w:rPr>
      </w:pPr>
      <w:r>
        <w:rPr>
          <w:rFonts w:hint="eastAsia" w:ascii="宋体" w:hAnsi="宋体" w:eastAsia="宋体" w:cs="宋体"/>
          <w:spacing w:val="4"/>
          <w:sz w:val="24"/>
        </w:rPr>
        <w:t>我方承诺如下：</w:t>
      </w:r>
    </w:p>
    <w:p>
      <w:pPr>
        <w:numPr>
          <w:ilvl w:val="0"/>
          <w:numId w:val="6"/>
        </w:numPr>
        <w:tabs>
          <w:tab w:val="left" w:pos="2160"/>
        </w:tabs>
        <w:spacing w:line="440" w:lineRule="exact"/>
        <w:ind w:left="0" w:firstLine="0"/>
        <w:jc w:val="left"/>
        <w:rPr>
          <w:rFonts w:hint="eastAsia" w:ascii="宋体" w:hAnsi="宋体" w:eastAsia="宋体" w:cs="宋体"/>
          <w:spacing w:val="4"/>
          <w:sz w:val="24"/>
          <w:szCs w:val="24"/>
        </w:rPr>
      </w:pPr>
      <w:r>
        <w:rPr>
          <w:rFonts w:hint="eastAsia" w:ascii="宋体" w:hAnsi="宋体" w:eastAsia="宋体" w:cs="宋体"/>
          <w:spacing w:val="4"/>
          <w:sz w:val="24"/>
        </w:rPr>
        <w:t>谈判</w:t>
      </w:r>
      <w:r>
        <w:rPr>
          <w:rFonts w:hint="eastAsia" w:ascii="宋体" w:hAnsi="宋体" w:eastAsia="宋体" w:cs="宋体"/>
          <w:spacing w:val="4"/>
          <w:sz w:val="24"/>
          <w:szCs w:val="24"/>
        </w:rPr>
        <w:t>报价为小写：（大写：）。</w:t>
      </w:r>
    </w:p>
    <w:p>
      <w:pPr>
        <w:numPr>
          <w:ilvl w:val="0"/>
          <w:numId w:val="6"/>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szCs w:val="24"/>
        </w:rPr>
        <w:t>如果成交，我们根据竞争性谈判文件的规定，履行合同的责任和义务</w:t>
      </w:r>
      <w:r>
        <w:rPr>
          <w:rFonts w:hint="eastAsia" w:ascii="宋体" w:hAnsi="宋体" w:eastAsia="宋体" w:cs="宋体"/>
          <w:spacing w:val="4"/>
          <w:sz w:val="24"/>
        </w:rPr>
        <w:t>。</w:t>
      </w:r>
    </w:p>
    <w:p>
      <w:pPr>
        <w:numPr>
          <w:ilvl w:val="0"/>
          <w:numId w:val="6"/>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我们已详细阅读和审核全部竞争性谈判文件（含修改部分，如有的话），及有关附件，我们知道必须放弃提出含糊不清或误解的问题的权利。</w:t>
      </w:r>
    </w:p>
    <w:p>
      <w:pPr>
        <w:numPr>
          <w:ilvl w:val="0"/>
          <w:numId w:val="6"/>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我们同意在谈判有效期内（自谈判之日起天），本谈判响应函对我方具有约束力。</w:t>
      </w:r>
    </w:p>
    <w:p>
      <w:pPr>
        <w:numPr>
          <w:ilvl w:val="0"/>
          <w:numId w:val="6"/>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如果在谈判后规定的谈判有效期内撤回谈判，我们的谈判保证金可被贵方没收。</w:t>
      </w:r>
    </w:p>
    <w:p>
      <w:pPr>
        <w:numPr>
          <w:ilvl w:val="0"/>
          <w:numId w:val="6"/>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 xml:space="preserve">同意提供贵方可能另外要求的与本谈判有关的任何证据和资料。 </w:t>
      </w:r>
    </w:p>
    <w:p>
      <w:pPr>
        <w:numPr>
          <w:ilvl w:val="0"/>
          <w:numId w:val="6"/>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与本谈判有关的一切正式往来通讯为：</w:t>
      </w:r>
    </w:p>
    <w:p>
      <w:pPr>
        <w:spacing w:line="440" w:lineRule="exact"/>
        <w:jc w:val="left"/>
        <w:rPr>
          <w:rFonts w:hint="eastAsia" w:ascii="宋体" w:hAnsi="宋体" w:eastAsia="宋体" w:cs="宋体"/>
          <w:spacing w:val="4"/>
          <w:sz w:val="24"/>
        </w:rPr>
      </w:pPr>
    </w:p>
    <w:p>
      <w:pPr>
        <w:spacing w:line="440" w:lineRule="exact"/>
        <w:ind w:firstLine="1240" w:firstLineChars="500"/>
        <w:jc w:val="left"/>
        <w:rPr>
          <w:rFonts w:hint="eastAsia" w:ascii="宋体" w:hAnsi="宋体" w:eastAsia="宋体" w:cs="宋体"/>
          <w:spacing w:val="4"/>
          <w:sz w:val="24"/>
        </w:rPr>
      </w:pP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联系地址：</w:t>
      </w: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邮政编码：</w:t>
      </w: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电    话：</w:t>
      </w: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传    真：</w:t>
      </w: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谈判供应商名称（盖章）：</w:t>
      </w: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法定代表人或被授权人：（签字或盖章）</w:t>
      </w:r>
    </w:p>
    <w:p>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日    期：</w:t>
      </w:r>
    </w:p>
    <w:p>
      <w:pPr>
        <w:spacing w:line="440" w:lineRule="exact"/>
        <w:rPr>
          <w:rFonts w:hint="eastAsia" w:ascii="宋体" w:hAnsi="宋体" w:eastAsia="宋体" w:cs="宋体"/>
          <w:sz w:val="28"/>
        </w:rPr>
      </w:pPr>
    </w:p>
    <w:p>
      <w:pPr>
        <w:rPr>
          <w:rFonts w:hint="eastAsia" w:ascii="宋体" w:hAnsi="宋体" w:eastAsia="宋体" w:cs="宋体"/>
          <w:sz w:val="44"/>
        </w:rPr>
      </w:pPr>
    </w:p>
    <w:p>
      <w:pPr>
        <w:ind w:left="-199" w:leftChars="-95" w:right="-250" w:rightChars="-119" w:firstLine="199" w:firstLineChars="62"/>
        <w:outlineLvl w:val="1"/>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二、谈判报价表</w:t>
      </w:r>
    </w:p>
    <w:p>
      <w:pPr>
        <w:jc w:val="center"/>
        <w:rPr>
          <w:rFonts w:hint="eastAsia" w:ascii="宋体" w:hAnsi="宋体" w:eastAsia="宋体" w:cs="宋体"/>
          <w:b/>
          <w:sz w:val="36"/>
          <w:szCs w:val="36"/>
        </w:rPr>
      </w:pPr>
    </w:p>
    <w:p>
      <w:pPr>
        <w:jc w:val="center"/>
        <w:outlineLvl w:val="2"/>
        <w:rPr>
          <w:rFonts w:hint="eastAsia" w:ascii="宋体" w:hAnsi="宋体" w:eastAsia="宋体" w:cs="宋体"/>
          <w:b/>
          <w:bCs/>
          <w:sz w:val="30"/>
          <w:szCs w:val="30"/>
        </w:rPr>
      </w:pPr>
      <w:r>
        <w:rPr>
          <w:rFonts w:hint="eastAsia" w:ascii="宋体" w:hAnsi="宋体" w:eastAsia="宋体" w:cs="宋体"/>
          <w:b/>
          <w:bCs/>
          <w:sz w:val="30"/>
          <w:szCs w:val="30"/>
        </w:rPr>
        <w:t>2.1报价一览表</w:t>
      </w:r>
    </w:p>
    <w:p>
      <w:pPr>
        <w:jc w:val="left"/>
        <w:rPr>
          <w:rFonts w:hint="eastAsia" w:ascii="宋体" w:hAnsi="宋体" w:eastAsia="宋体" w:cs="宋体"/>
          <w:sz w:val="24"/>
        </w:rPr>
      </w:pPr>
    </w:p>
    <w:p>
      <w:pPr>
        <w:ind w:firstLine="7149" w:firstLineChars="2967"/>
        <w:rPr>
          <w:rFonts w:hint="eastAsia" w:ascii="宋体" w:hAnsi="宋体"/>
          <w:b/>
          <w:color w:val="000000"/>
          <w:sz w:val="28"/>
          <w:szCs w:val="28"/>
        </w:rPr>
      </w:pPr>
      <w:r>
        <w:rPr>
          <w:rFonts w:hint="eastAsia" w:ascii="宋体" w:hAnsi="宋体"/>
          <w:b/>
          <w:color w:val="000000"/>
          <w:sz w:val="24"/>
          <w:szCs w:val="24"/>
        </w:rPr>
        <w:t>价格单位：人民币</w:t>
      </w:r>
      <w:r>
        <w:rPr>
          <w:rFonts w:hint="eastAsia" w:ascii="宋体" w:hAnsi="宋体"/>
          <w:b/>
          <w:color w:val="000000"/>
          <w:sz w:val="24"/>
          <w:szCs w:val="24"/>
          <w:lang w:val="en-US" w:eastAsia="zh-CN"/>
        </w:rPr>
        <w:t>/</w:t>
      </w:r>
      <w:r>
        <w:rPr>
          <w:rFonts w:hint="eastAsia" w:ascii="宋体" w:hAnsi="宋体"/>
          <w:b/>
          <w:color w:val="000000"/>
          <w:sz w:val="24"/>
          <w:szCs w:val="24"/>
        </w:rPr>
        <w:t>元</w:t>
      </w:r>
    </w:p>
    <w:p>
      <w:pPr>
        <w:spacing w:line="120" w:lineRule="exact"/>
        <w:rPr>
          <w:rFonts w:hint="eastAsia" w:ascii="宋体" w:hAnsi="宋体" w:eastAsia="宋体" w:cs="宋体"/>
          <w:sz w:val="24"/>
        </w:rPr>
      </w:pPr>
    </w:p>
    <w:tbl>
      <w:tblPr>
        <w:tblStyle w:val="29"/>
        <w:tblW w:w="9243" w:type="dxa"/>
        <w:jc w:val="center"/>
        <w:tblLayout w:type="fixed"/>
        <w:tblCellMar>
          <w:top w:w="0" w:type="dxa"/>
          <w:left w:w="108" w:type="dxa"/>
          <w:bottom w:w="0" w:type="dxa"/>
          <w:right w:w="108" w:type="dxa"/>
        </w:tblCellMar>
      </w:tblPr>
      <w:tblGrid>
        <w:gridCol w:w="1892"/>
        <w:gridCol w:w="7351"/>
      </w:tblGrid>
      <w:tr>
        <w:tblPrEx>
          <w:tblCellMar>
            <w:top w:w="0" w:type="dxa"/>
            <w:left w:w="108" w:type="dxa"/>
            <w:bottom w:w="0" w:type="dxa"/>
            <w:right w:w="108" w:type="dxa"/>
          </w:tblCellMar>
        </w:tblPrEx>
        <w:trPr>
          <w:trHeight w:val="608"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color w:val="000000"/>
                <w:sz w:val="24"/>
                <w:szCs w:val="24"/>
              </w:rPr>
            </w:pPr>
            <w:r>
              <w:rPr>
                <w:rFonts w:hint="eastAsia" w:hAnsi="宋体"/>
                <w:color w:val="000000"/>
                <w:sz w:val="24"/>
                <w:szCs w:val="24"/>
              </w:rPr>
              <w:t>谈判供应商</w:t>
            </w:r>
          </w:p>
        </w:tc>
        <w:tc>
          <w:tcPr>
            <w:tcW w:w="7351"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eastAsia="宋体"/>
                <w:color w:val="000000"/>
                <w:sz w:val="24"/>
                <w:szCs w:val="24"/>
                <w:lang w:eastAsia="zh-CN"/>
              </w:rPr>
            </w:pPr>
          </w:p>
        </w:tc>
      </w:tr>
      <w:tr>
        <w:tblPrEx>
          <w:tblCellMar>
            <w:top w:w="0" w:type="dxa"/>
            <w:left w:w="108" w:type="dxa"/>
            <w:bottom w:w="0" w:type="dxa"/>
            <w:right w:w="108" w:type="dxa"/>
          </w:tblCellMar>
        </w:tblPrEx>
        <w:trPr>
          <w:trHeight w:val="616"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color w:val="000000"/>
                <w:sz w:val="24"/>
                <w:szCs w:val="24"/>
              </w:rPr>
            </w:pPr>
            <w:r>
              <w:rPr>
                <w:rFonts w:hint="eastAsia" w:hAnsi="宋体"/>
                <w:color w:val="000000"/>
                <w:sz w:val="24"/>
                <w:szCs w:val="24"/>
              </w:rPr>
              <w:t>项目名称</w:t>
            </w:r>
          </w:p>
        </w:tc>
        <w:tc>
          <w:tcPr>
            <w:tcW w:w="7351"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color w:val="000000"/>
                <w:sz w:val="24"/>
                <w:szCs w:val="24"/>
              </w:rPr>
            </w:pPr>
          </w:p>
        </w:tc>
      </w:tr>
      <w:tr>
        <w:tblPrEx>
          <w:tblCellMar>
            <w:top w:w="0" w:type="dxa"/>
            <w:left w:w="108" w:type="dxa"/>
            <w:bottom w:w="0" w:type="dxa"/>
            <w:right w:w="108" w:type="dxa"/>
          </w:tblCellMar>
        </w:tblPrEx>
        <w:trPr>
          <w:trHeight w:val="766" w:hRule="atLeast"/>
          <w:jc w:val="center"/>
        </w:trPr>
        <w:tc>
          <w:tcPr>
            <w:tcW w:w="1892" w:type="dxa"/>
            <w:tcBorders>
              <w:top w:val="single" w:color="auto" w:sz="4" w:space="0"/>
              <w:left w:val="single" w:color="auto" w:sz="4" w:space="0"/>
              <w:right w:val="single" w:color="auto" w:sz="4" w:space="0"/>
            </w:tcBorders>
            <w:noWrap w:val="0"/>
            <w:vAlign w:val="center"/>
          </w:tcPr>
          <w:p>
            <w:pPr>
              <w:pStyle w:val="15"/>
              <w:jc w:val="center"/>
              <w:rPr>
                <w:rFonts w:hint="eastAsia" w:hAnsi="宋体"/>
                <w:color w:val="000000"/>
                <w:sz w:val="24"/>
                <w:szCs w:val="24"/>
              </w:rPr>
            </w:pPr>
            <w:r>
              <w:rPr>
                <w:rFonts w:hint="eastAsia" w:hAnsi="宋体"/>
                <w:color w:val="000000"/>
                <w:sz w:val="24"/>
                <w:szCs w:val="24"/>
              </w:rPr>
              <w:t>文件编号</w:t>
            </w:r>
          </w:p>
        </w:tc>
        <w:tc>
          <w:tcPr>
            <w:tcW w:w="7351" w:type="dxa"/>
            <w:tcBorders>
              <w:top w:val="single" w:color="auto" w:sz="4" w:space="0"/>
              <w:left w:val="single" w:color="auto" w:sz="4" w:space="0"/>
              <w:right w:val="single" w:color="auto" w:sz="4" w:space="0"/>
            </w:tcBorders>
            <w:noWrap w:val="0"/>
            <w:vAlign w:val="center"/>
          </w:tcPr>
          <w:p>
            <w:pPr>
              <w:pStyle w:val="18"/>
              <w:jc w:val="both"/>
              <w:rPr>
                <w:rFonts w:hint="eastAsia" w:ascii="宋体" w:hAnsi="宋体"/>
                <w:color w:val="000000"/>
                <w:sz w:val="24"/>
                <w:szCs w:val="24"/>
                <w:u w:val="single"/>
                <w:lang w:eastAsia="zh-CN"/>
              </w:rPr>
            </w:pPr>
          </w:p>
        </w:tc>
      </w:tr>
      <w:tr>
        <w:tblPrEx>
          <w:tblCellMar>
            <w:top w:w="0" w:type="dxa"/>
            <w:left w:w="108" w:type="dxa"/>
            <w:bottom w:w="0" w:type="dxa"/>
            <w:right w:w="108" w:type="dxa"/>
          </w:tblCellMar>
        </w:tblPrEx>
        <w:trPr>
          <w:cantSplit/>
          <w:trHeight w:val="1712"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8"/>
              <w:jc w:val="center"/>
              <w:rPr>
                <w:rFonts w:hint="eastAsia" w:ascii="宋体" w:hAnsi="宋体"/>
                <w:color w:val="000000"/>
                <w:sz w:val="24"/>
                <w:szCs w:val="24"/>
                <w:lang w:eastAsia="zh-CN"/>
              </w:rPr>
            </w:pPr>
            <w:r>
              <w:rPr>
                <w:rFonts w:hint="eastAsia" w:ascii="宋体" w:hAnsi="宋体"/>
                <w:color w:val="000000"/>
                <w:sz w:val="24"/>
                <w:szCs w:val="24"/>
              </w:rPr>
              <w:t>总报价</w:t>
            </w:r>
          </w:p>
        </w:tc>
        <w:tc>
          <w:tcPr>
            <w:tcW w:w="7351" w:type="dxa"/>
            <w:tcBorders>
              <w:top w:val="single" w:color="auto" w:sz="4" w:space="0"/>
              <w:left w:val="single" w:color="auto" w:sz="4" w:space="0"/>
              <w:bottom w:val="single" w:color="auto" w:sz="4" w:space="0"/>
              <w:right w:val="single" w:color="auto" w:sz="4" w:space="0"/>
            </w:tcBorders>
            <w:noWrap w:val="0"/>
            <w:vAlign w:val="center"/>
          </w:tcPr>
          <w:p>
            <w:pPr>
              <w:widowControl/>
              <w:ind w:firstLine="560"/>
              <w:jc w:val="left"/>
              <w:rPr>
                <w:rFonts w:hint="eastAsia" w:ascii="宋体" w:hAnsi="宋体"/>
                <w:color w:val="000000"/>
                <w:sz w:val="24"/>
                <w:u w:val="single"/>
              </w:rPr>
            </w:pPr>
            <w:r>
              <w:rPr>
                <w:rFonts w:hint="eastAsia" w:ascii="宋体" w:hAnsi="宋体"/>
                <w:color w:val="000000"/>
                <w:sz w:val="24"/>
                <w:u w:val="single"/>
              </w:rPr>
              <w:t xml:space="preserve">小写：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widowControl/>
              <w:ind w:firstLine="560"/>
              <w:jc w:val="left"/>
              <w:rPr>
                <w:rFonts w:hint="eastAsia" w:ascii="宋体" w:hAnsi="宋体"/>
                <w:color w:val="000000"/>
                <w:sz w:val="24"/>
                <w:u w:val="single"/>
              </w:rPr>
            </w:pPr>
          </w:p>
          <w:p>
            <w:pPr>
              <w:widowControl/>
              <w:ind w:firstLine="560"/>
              <w:jc w:val="left"/>
              <w:rPr>
                <w:rFonts w:hint="default" w:ascii="宋体" w:hAnsi="宋体" w:eastAsia="宋体"/>
                <w:color w:val="000000"/>
                <w:sz w:val="24"/>
                <w:u w:val="single"/>
                <w:lang w:val="en-US" w:eastAsia="zh-CN"/>
              </w:rPr>
            </w:pPr>
            <w:r>
              <w:rPr>
                <w:rFonts w:hint="eastAsia" w:ascii="宋体" w:hAnsi="宋体"/>
                <w:color w:val="000000"/>
                <w:sz w:val="24"/>
                <w:u w:val="single"/>
              </w:rPr>
              <w:t>大写：</w:t>
            </w:r>
            <w:r>
              <w:rPr>
                <w:rFonts w:hint="eastAsia" w:ascii="宋体" w:hAnsi="宋体"/>
                <w:color w:val="000000"/>
                <w:sz w:val="24"/>
                <w:u w:val="single"/>
                <w:lang w:val="en-US" w:eastAsia="zh-CN"/>
              </w:rPr>
              <w:t xml:space="preserve">                 </w:t>
            </w:r>
          </w:p>
        </w:tc>
      </w:tr>
      <w:tr>
        <w:tblPrEx>
          <w:tblCellMar>
            <w:top w:w="0" w:type="dxa"/>
            <w:left w:w="108" w:type="dxa"/>
            <w:bottom w:w="0" w:type="dxa"/>
            <w:right w:w="108" w:type="dxa"/>
          </w:tblCellMar>
        </w:tblPrEx>
        <w:trPr>
          <w:cantSplit/>
          <w:trHeight w:val="616"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8"/>
              <w:jc w:val="center"/>
              <w:rPr>
                <w:rFonts w:hint="eastAsia" w:ascii="宋体" w:hAnsi="宋体"/>
                <w:color w:val="000000"/>
                <w:sz w:val="24"/>
                <w:szCs w:val="24"/>
              </w:rPr>
            </w:pPr>
            <w:r>
              <w:rPr>
                <w:rFonts w:hint="eastAsia" w:ascii="宋体" w:hAnsi="宋体"/>
                <w:color w:val="000000"/>
                <w:sz w:val="24"/>
                <w:szCs w:val="24"/>
                <w:lang w:val="en-US" w:eastAsia="zh-CN"/>
              </w:rPr>
              <w:t>服务</w:t>
            </w:r>
            <w:r>
              <w:rPr>
                <w:rFonts w:hint="eastAsia" w:ascii="宋体" w:hAnsi="宋体"/>
                <w:color w:val="000000"/>
                <w:sz w:val="24"/>
                <w:szCs w:val="24"/>
              </w:rPr>
              <w:t>期</w:t>
            </w:r>
          </w:p>
        </w:tc>
        <w:tc>
          <w:tcPr>
            <w:tcW w:w="7351" w:type="dxa"/>
            <w:tcBorders>
              <w:top w:val="single" w:color="auto" w:sz="4" w:space="0"/>
              <w:left w:val="single" w:color="auto" w:sz="4" w:space="0"/>
              <w:bottom w:val="single" w:color="auto" w:sz="4" w:space="0"/>
              <w:right w:val="single" w:color="auto" w:sz="4" w:space="0"/>
            </w:tcBorders>
            <w:noWrap w:val="0"/>
            <w:vAlign w:val="center"/>
          </w:tcPr>
          <w:p>
            <w:pPr>
              <w:widowControl/>
              <w:ind w:firstLine="560"/>
              <w:jc w:val="left"/>
              <w:rPr>
                <w:rFonts w:hint="default" w:ascii="宋体" w:hAnsi="宋体" w:eastAsia="宋体"/>
                <w:color w:val="000000"/>
                <w:sz w:val="24"/>
                <w:u w:val="single"/>
                <w:lang w:val="en-US" w:eastAsia="zh-CN"/>
              </w:rPr>
            </w:pPr>
          </w:p>
        </w:tc>
      </w:tr>
      <w:tr>
        <w:tblPrEx>
          <w:tblCellMar>
            <w:top w:w="0" w:type="dxa"/>
            <w:left w:w="108" w:type="dxa"/>
            <w:bottom w:w="0" w:type="dxa"/>
            <w:right w:w="108" w:type="dxa"/>
          </w:tblCellMar>
        </w:tblPrEx>
        <w:trPr>
          <w:cantSplit/>
          <w:trHeight w:val="610"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8"/>
              <w:jc w:val="center"/>
              <w:rPr>
                <w:rFonts w:hint="eastAsia" w:ascii="宋体" w:hAnsi="宋体"/>
                <w:color w:val="000000"/>
                <w:sz w:val="24"/>
                <w:szCs w:val="24"/>
              </w:rPr>
            </w:pPr>
            <w:r>
              <w:rPr>
                <w:rFonts w:hint="eastAsia" w:ascii="宋体" w:hAnsi="宋体"/>
                <w:color w:val="000000"/>
                <w:sz w:val="24"/>
                <w:szCs w:val="24"/>
              </w:rPr>
              <w:t>备 注</w:t>
            </w:r>
          </w:p>
        </w:tc>
        <w:tc>
          <w:tcPr>
            <w:tcW w:w="7351" w:type="dxa"/>
            <w:tcBorders>
              <w:top w:val="single" w:color="auto" w:sz="4" w:space="0"/>
              <w:left w:val="single" w:color="auto" w:sz="4" w:space="0"/>
              <w:bottom w:val="single" w:color="auto" w:sz="4" w:space="0"/>
              <w:right w:val="single" w:color="auto" w:sz="4" w:space="0"/>
            </w:tcBorders>
            <w:noWrap w:val="0"/>
            <w:vAlign w:val="center"/>
          </w:tcPr>
          <w:p>
            <w:pPr>
              <w:widowControl/>
              <w:ind w:firstLine="560"/>
              <w:jc w:val="left"/>
              <w:rPr>
                <w:rFonts w:hint="eastAsia" w:ascii="宋体" w:hAnsi="宋体"/>
                <w:color w:val="000000"/>
                <w:sz w:val="24"/>
                <w:u w:val="single"/>
              </w:rPr>
            </w:pPr>
          </w:p>
        </w:tc>
      </w:tr>
    </w:tbl>
    <w:p>
      <w:pPr>
        <w:pStyle w:val="15"/>
        <w:spacing w:line="380" w:lineRule="exact"/>
        <w:ind w:firstLine="420" w:firstLineChars="200"/>
        <w:rPr>
          <w:rFonts w:hint="eastAsia" w:hAnsi="宋体"/>
          <w:color w:val="000000"/>
          <w:szCs w:val="21"/>
        </w:rPr>
      </w:pPr>
      <w:r>
        <w:rPr>
          <w:rFonts w:hint="eastAsia" w:hAnsi="宋体"/>
          <w:color w:val="000000"/>
          <w:szCs w:val="21"/>
        </w:rPr>
        <w:t>备注：</w:t>
      </w:r>
    </w:p>
    <w:p>
      <w:pPr>
        <w:pStyle w:val="15"/>
        <w:spacing w:line="380" w:lineRule="exact"/>
        <w:ind w:firstLine="420" w:firstLineChars="200"/>
        <w:rPr>
          <w:rFonts w:hint="eastAsia" w:hAnsi="宋体"/>
          <w:color w:val="000000"/>
          <w:szCs w:val="21"/>
        </w:rPr>
      </w:pPr>
      <w:r>
        <w:rPr>
          <w:rFonts w:hint="eastAsia" w:hAnsi="宋体"/>
          <w:color w:val="000000"/>
          <w:szCs w:val="21"/>
        </w:rPr>
        <w:t>1、第一次报价表随响应性文件一起递交，以便谈判时使用，其内容应与谈判文件中的第一次报价表一致。</w:t>
      </w:r>
    </w:p>
    <w:p>
      <w:pPr>
        <w:pStyle w:val="15"/>
        <w:spacing w:line="380" w:lineRule="exact"/>
        <w:ind w:firstLine="420" w:firstLineChars="200"/>
        <w:rPr>
          <w:rFonts w:hint="eastAsia" w:hAnsi="宋体"/>
          <w:color w:val="000000"/>
          <w:szCs w:val="21"/>
        </w:rPr>
      </w:pPr>
      <w:r>
        <w:rPr>
          <w:rFonts w:hint="eastAsia" w:hAnsi="宋体"/>
          <w:color w:val="000000"/>
          <w:szCs w:val="21"/>
        </w:rPr>
        <w:t>2、</w:t>
      </w:r>
      <w:r>
        <w:rPr>
          <w:rFonts w:hint="eastAsia" w:hAnsi="宋体"/>
          <w:b/>
          <w:bCs/>
          <w:color w:val="000000"/>
          <w:szCs w:val="21"/>
        </w:rPr>
        <w:t>报价依据详表另附</w:t>
      </w:r>
      <w:r>
        <w:rPr>
          <w:rFonts w:hint="eastAsia" w:hAnsi="宋体"/>
          <w:color w:val="000000"/>
          <w:szCs w:val="21"/>
        </w:rPr>
        <w:t>。</w:t>
      </w:r>
    </w:p>
    <w:p>
      <w:pPr>
        <w:pStyle w:val="15"/>
        <w:spacing w:line="380" w:lineRule="exact"/>
        <w:ind w:firstLine="420" w:firstLineChars="200"/>
        <w:rPr>
          <w:rFonts w:hint="eastAsia" w:ascii="宋体" w:hAnsi="宋体" w:eastAsia="宋体" w:cs="宋体"/>
          <w:sz w:val="24"/>
        </w:rPr>
      </w:pPr>
      <w:r>
        <w:rPr>
          <w:rFonts w:hint="eastAsia" w:hAnsi="宋体"/>
          <w:color w:val="000000"/>
          <w:szCs w:val="21"/>
        </w:rPr>
        <w:t>3、报价不得超出项目</w:t>
      </w:r>
      <w:r>
        <w:rPr>
          <w:rFonts w:hint="eastAsia" w:hAnsi="宋体"/>
          <w:color w:val="000000"/>
          <w:szCs w:val="21"/>
          <w:lang w:val="en-US" w:eastAsia="zh-CN"/>
        </w:rPr>
        <w:t>采购限价</w:t>
      </w:r>
      <w:r>
        <w:rPr>
          <w:rFonts w:hint="eastAsia" w:hAnsi="宋体"/>
          <w:color w:val="000000"/>
          <w:szCs w:val="21"/>
        </w:rPr>
        <w:t>。</w:t>
      </w:r>
    </w:p>
    <w:p>
      <w:pPr>
        <w:rPr>
          <w:rFonts w:hint="eastAsia" w:ascii="宋体" w:hAnsi="宋体" w:eastAsia="宋体" w:cs="宋体"/>
          <w:sz w:val="24"/>
        </w:rPr>
      </w:pPr>
    </w:p>
    <w:p>
      <w:pPr>
        <w:pStyle w:val="7"/>
        <w:rPr>
          <w:rFonts w:hint="eastAsia" w:ascii="宋体" w:hAnsi="宋体" w:eastAsia="宋体" w:cs="宋体"/>
        </w:rPr>
      </w:pPr>
    </w:p>
    <w:p>
      <w:pPr>
        <w:ind w:right="540" w:rightChars="257" w:firstLine="3360" w:firstLineChars="14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none"/>
        </w:rPr>
        <w:t>（加盖单位公章）</w:t>
      </w:r>
    </w:p>
    <w:p>
      <w:pPr>
        <w:ind w:right="540" w:rightChars="257"/>
        <w:jc w:val="left"/>
        <w:rPr>
          <w:rFonts w:hint="eastAsia" w:ascii="宋体" w:hAnsi="宋体" w:eastAsia="宋体" w:cs="宋体"/>
          <w:sz w:val="24"/>
        </w:rPr>
      </w:pPr>
    </w:p>
    <w:p>
      <w:pPr>
        <w:ind w:right="540" w:rightChars="257" w:firstLine="3360" w:firstLineChars="1400"/>
        <w:jc w:val="left"/>
        <w:rPr>
          <w:rFonts w:hint="eastAsia" w:ascii="宋体" w:hAnsi="宋体" w:eastAsia="宋体" w:cs="宋体"/>
          <w:sz w:val="24"/>
        </w:rPr>
      </w:pPr>
      <w:r>
        <w:rPr>
          <w:rFonts w:hint="eastAsia" w:ascii="宋体" w:hAnsi="宋体" w:eastAsia="宋体" w:cs="宋体"/>
          <w:sz w:val="24"/>
        </w:rPr>
        <w:t>法定代表人或被授权人：  （签字或盖章）</w:t>
      </w:r>
    </w:p>
    <w:p>
      <w:pPr>
        <w:ind w:right="540" w:rightChars="257"/>
        <w:jc w:val="left"/>
        <w:rPr>
          <w:rFonts w:hint="eastAsia" w:ascii="宋体" w:hAnsi="宋体" w:eastAsia="宋体" w:cs="宋体"/>
          <w:sz w:val="24"/>
        </w:rPr>
      </w:pPr>
    </w:p>
    <w:p>
      <w:pPr>
        <w:ind w:right="540" w:rightChars="257" w:firstLine="3360" w:firstLineChars="1400"/>
        <w:rPr>
          <w:rFonts w:hint="eastAsia" w:ascii="宋体" w:hAnsi="宋体" w:eastAsia="宋体" w:cs="宋体"/>
          <w:sz w:val="24"/>
        </w:rPr>
      </w:pPr>
      <w:r>
        <w:rPr>
          <w:rFonts w:hint="eastAsia" w:ascii="宋体" w:hAnsi="宋体" w:eastAsia="宋体" w:cs="宋体"/>
          <w:sz w:val="24"/>
        </w:rPr>
        <w:t>日    期：</w:t>
      </w:r>
    </w:p>
    <w:p>
      <w:pPr>
        <w:jc w:val="center"/>
        <w:rPr>
          <w:rFonts w:hint="eastAsia" w:ascii="宋体" w:hAnsi="宋体" w:eastAsia="宋体" w:cs="宋体"/>
          <w:sz w:val="30"/>
          <w:szCs w:val="30"/>
        </w:rPr>
      </w:pPr>
    </w:p>
    <w:p>
      <w:pPr>
        <w:spacing w:beforeLines="50" w:afterLines="50" w:line="400" w:lineRule="atLeast"/>
        <w:rPr>
          <w:rFonts w:hint="eastAsia" w:ascii="宋体" w:hAnsi="宋体" w:eastAsia="宋体" w:cs="宋体"/>
          <w:szCs w:val="21"/>
          <w:u w:val="single"/>
        </w:rPr>
      </w:pPr>
      <w:r>
        <w:rPr>
          <w:rFonts w:hint="eastAsia" w:ascii="宋体" w:hAnsi="宋体" w:eastAsia="宋体" w:cs="宋体"/>
          <w:sz w:val="24"/>
        </w:rPr>
        <w:t>注：本表应按“供应商须知”的规定密封单独提交。</w:t>
      </w:r>
    </w:p>
    <w:p>
      <w:pPr>
        <w:jc w:val="center"/>
        <w:rPr>
          <w:rFonts w:hint="eastAsia" w:ascii="宋体" w:hAnsi="宋体" w:eastAsia="宋体" w:cs="宋体"/>
          <w:sz w:val="30"/>
          <w:szCs w:val="30"/>
        </w:rPr>
      </w:pPr>
    </w:p>
    <w:p>
      <w:pPr>
        <w:jc w:val="center"/>
        <w:outlineLvl w:val="1"/>
        <w:rPr>
          <w:rFonts w:hint="eastAsia" w:ascii="宋体" w:hAnsi="宋体" w:eastAsia="宋体" w:cs="宋体"/>
          <w:sz w:val="30"/>
          <w:szCs w:val="30"/>
        </w:rPr>
      </w:pPr>
      <w:r>
        <w:rPr>
          <w:rFonts w:hint="eastAsia" w:ascii="宋体" w:hAnsi="宋体" w:eastAsia="宋体" w:cs="宋体"/>
          <w:sz w:val="30"/>
          <w:szCs w:val="30"/>
        </w:rPr>
        <w:br w:type="page"/>
      </w:r>
      <w:bookmarkStart w:id="65" w:name="_Toc112177215"/>
      <w:r>
        <w:rPr>
          <w:rFonts w:hint="eastAsia" w:ascii="宋体" w:hAnsi="宋体" w:eastAsia="宋体" w:cs="宋体"/>
          <w:b/>
          <w:bCs/>
          <w:sz w:val="30"/>
          <w:szCs w:val="30"/>
        </w:rPr>
        <w:t>2.2谈判分项报价表</w:t>
      </w:r>
      <w:bookmarkEnd w:id="65"/>
    </w:p>
    <w:p>
      <w:pPr>
        <w:jc w:val="center"/>
        <w:rPr>
          <w:rFonts w:hint="eastAsia" w:ascii="宋体" w:hAnsi="宋体" w:eastAsia="宋体" w:cs="宋体"/>
          <w:color w:val="FF0000"/>
          <w:sz w:val="30"/>
          <w:szCs w:val="30"/>
        </w:rPr>
      </w:pPr>
    </w:p>
    <w:p>
      <w:pPr>
        <w:jc w:val="left"/>
        <w:rPr>
          <w:rFonts w:hint="eastAsia" w:ascii="宋体" w:hAnsi="宋体" w:eastAsia="宋体" w:cs="宋体"/>
          <w:sz w:val="24"/>
          <w:szCs w:val="24"/>
        </w:rPr>
      </w:pPr>
      <w:r>
        <w:rPr>
          <w:rFonts w:hint="eastAsia" w:ascii="宋体" w:hAnsi="宋体" w:eastAsia="宋体" w:cs="宋体"/>
          <w:sz w:val="24"/>
        </w:rPr>
        <w:t>项目名称：</w:t>
      </w:r>
      <w:r>
        <w:rPr>
          <w:rFonts w:hint="eastAsia" w:ascii="宋体" w:hAnsi="宋体" w:eastAsia="宋体" w:cs="宋体"/>
          <w:sz w:val="24"/>
          <w:szCs w:val="24"/>
        </w:rPr>
        <w:t xml:space="preserve"> </w:t>
      </w:r>
    </w:p>
    <w:p>
      <w:pPr>
        <w:jc w:val="left"/>
        <w:rPr>
          <w:rFonts w:hint="eastAsia" w:ascii="宋体" w:hAnsi="宋体" w:eastAsia="宋体" w:cs="宋体"/>
          <w:sz w:val="24"/>
        </w:rPr>
      </w:pPr>
      <w:r>
        <w:rPr>
          <w:rFonts w:hint="eastAsia" w:ascii="宋体" w:hAnsi="宋体" w:eastAsia="宋体" w:cs="宋体"/>
          <w:sz w:val="24"/>
          <w:szCs w:val="32"/>
        </w:rPr>
        <w:t xml:space="preserve">    </w:t>
      </w:r>
    </w:p>
    <w:p>
      <w:pPr>
        <w:rPr>
          <w:rFonts w:hint="eastAsia" w:ascii="宋体" w:hAnsi="宋体" w:eastAsia="宋体" w:cs="宋体"/>
          <w:sz w:val="24"/>
        </w:rPr>
      </w:pPr>
      <w:r>
        <w:rPr>
          <w:rFonts w:hint="eastAsia" w:ascii="宋体" w:hAnsi="宋体" w:eastAsia="宋体" w:cs="宋体"/>
          <w:sz w:val="24"/>
        </w:rPr>
        <w:t>项目编号：</w:t>
      </w:r>
    </w:p>
    <w:p>
      <w:pPr>
        <w:jc w:val="right"/>
        <w:rPr>
          <w:rFonts w:hint="eastAsia" w:ascii="宋体" w:hAnsi="宋体" w:eastAsia="宋体" w:cs="宋体"/>
          <w:sz w:val="24"/>
        </w:rPr>
      </w:pPr>
      <w:r>
        <w:rPr>
          <w:rFonts w:hint="eastAsia" w:ascii="宋体" w:hAnsi="宋体" w:eastAsia="宋体" w:cs="宋体"/>
          <w:sz w:val="24"/>
        </w:rPr>
        <w:t>单位：元</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2717"/>
        <w:gridCol w:w="451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704" w:type="pct"/>
            <w:noWrap/>
            <w:vAlign w:val="center"/>
          </w:tcPr>
          <w:p>
            <w:pPr>
              <w:jc w:val="center"/>
              <w:rPr>
                <w:rFonts w:hint="eastAsia" w:ascii="宋体" w:hAnsi="宋体" w:eastAsia="宋体" w:cs="宋体"/>
                <w:kern w:val="0"/>
                <w:sz w:val="24"/>
                <w:szCs w:val="24"/>
              </w:rPr>
            </w:pPr>
            <w:bookmarkStart w:id="66" w:name="_Toc13040"/>
            <w:bookmarkStart w:id="67" w:name="_Toc106994057"/>
            <w:r>
              <w:rPr>
                <w:rFonts w:hint="eastAsia" w:ascii="宋体" w:hAnsi="宋体" w:eastAsia="宋体" w:cs="宋体"/>
                <w:kern w:val="0"/>
                <w:sz w:val="24"/>
                <w:szCs w:val="24"/>
              </w:rPr>
              <w:t>序号</w:t>
            </w:r>
            <w:bookmarkEnd w:id="66"/>
            <w:bookmarkEnd w:id="67"/>
          </w:p>
        </w:tc>
        <w:tc>
          <w:tcPr>
            <w:tcW w:w="1376" w:type="pct"/>
            <w:noWrap/>
            <w:vAlign w:val="center"/>
          </w:tcPr>
          <w:p>
            <w:pPr>
              <w:jc w:val="center"/>
              <w:rPr>
                <w:rFonts w:hint="eastAsia" w:ascii="宋体" w:hAnsi="宋体" w:eastAsia="宋体" w:cs="宋体"/>
                <w:kern w:val="0"/>
                <w:sz w:val="24"/>
                <w:szCs w:val="24"/>
              </w:rPr>
            </w:pPr>
            <w:bookmarkStart w:id="68" w:name="_Toc106994058"/>
            <w:r>
              <w:rPr>
                <w:rFonts w:hint="eastAsia" w:ascii="宋体" w:hAnsi="宋体" w:eastAsia="宋体" w:cs="宋体"/>
                <w:kern w:val="0"/>
                <w:sz w:val="24"/>
                <w:szCs w:val="24"/>
              </w:rPr>
              <w:t>内容</w:t>
            </w:r>
            <w:bookmarkEnd w:id="68"/>
          </w:p>
        </w:tc>
        <w:tc>
          <w:tcPr>
            <w:tcW w:w="2288" w:type="pct"/>
            <w:noWrap/>
            <w:vAlign w:val="center"/>
          </w:tcPr>
          <w:p>
            <w:pPr>
              <w:jc w:val="center"/>
              <w:rPr>
                <w:rFonts w:hint="eastAsia" w:ascii="宋体" w:hAnsi="宋体" w:eastAsia="宋体" w:cs="宋体"/>
                <w:kern w:val="0"/>
                <w:sz w:val="24"/>
                <w:szCs w:val="24"/>
              </w:rPr>
            </w:pPr>
            <w:bookmarkStart w:id="69" w:name="_Toc106994059"/>
            <w:r>
              <w:rPr>
                <w:rFonts w:hint="eastAsia" w:ascii="宋体" w:hAnsi="宋体" w:eastAsia="宋体" w:cs="宋体"/>
                <w:kern w:val="0"/>
                <w:sz w:val="24"/>
                <w:szCs w:val="24"/>
              </w:rPr>
              <w:t>报价（单位：元）</w:t>
            </w:r>
            <w:bookmarkEnd w:id="69"/>
          </w:p>
        </w:tc>
        <w:tc>
          <w:tcPr>
            <w:tcW w:w="631" w:type="pct"/>
            <w:noWrap/>
            <w:vAlign w:val="center"/>
          </w:tcPr>
          <w:p>
            <w:pPr>
              <w:jc w:val="center"/>
              <w:rPr>
                <w:rFonts w:hint="eastAsia" w:ascii="宋体" w:hAnsi="宋体" w:eastAsia="宋体" w:cs="宋体"/>
                <w:kern w:val="0"/>
                <w:sz w:val="24"/>
                <w:szCs w:val="24"/>
              </w:rPr>
            </w:pPr>
            <w:bookmarkStart w:id="70" w:name="_Toc10155"/>
            <w:bookmarkStart w:id="71" w:name="_Toc106994060"/>
            <w:r>
              <w:rPr>
                <w:rFonts w:hint="eastAsia" w:ascii="宋体" w:hAnsi="宋体" w:eastAsia="宋体" w:cs="宋体"/>
                <w:kern w:val="0"/>
                <w:sz w:val="24"/>
                <w:szCs w:val="24"/>
              </w:rPr>
              <w:t>备注</w:t>
            </w:r>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4" w:type="pc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76" w:type="pct"/>
            <w:noWrap/>
            <w:vAlign w:val="top"/>
          </w:tcPr>
          <w:p>
            <w:pPr>
              <w:pStyle w:val="18"/>
              <w:rPr>
                <w:rFonts w:hint="eastAsia" w:ascii="宋体" w:hAnsi="宋体" w:eastAsia="宋体" w:cs="宋体"/>
                <w:kern w:val="0"/>
                <w:sz w:val="24"/>
                <w:szCs w:val="24"/>
              </w:rPr>
            </w:pPr>
          </w:p>
        </w:tc>
        <w:tc>
          <w:tcPr>
            <w:tcW w:w="2288" w:type="pct"/>
            <w:noWrap/>
            <w:vAlign w:val="center"/>
          </w:tcPr>
          <w:p>
            <w:pPr>
              <w:jc w:val="center"/>
              <w:rPr>
                <w:rFonts w:hint="eastAsia" w:ascii="宋体" w:hAnsi="宋体" w:eastAsia="宋体" w:cs="宋体"/>
                <w:kern w:val="0"/>
                <w:sz w:val="24"/>
                <w:szCs w:val="24"/>
              </w:rPr>
            </w:pPr>
          </w:p>
        </w:tc>
        <w:tc>
          <w:tcPr>
            <w:tcW w:w="631" w:type="pct"/>
            <w:noWrap/>
            <w:vAlign w:val="center"/>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4" w:type="pc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76" w:type="pct"/>
            <w:noWrap/>
            <w:vAlign w:val="top"/>
          </w:tcPr>
          <w:p>
            <w:pPr>
              <w:pStyle w:val="18"/>
              <w:rPr>
                <w:rFonts w:hint="eastAsia" w:ascii="宋体" w:hAnsi="宋体" w:eastAsia="宋体" w:cs="宋体"/>
                <w:kern w:val="0"/>
                <w:sz w:val="24"/>
                <w:szCs w:val="24"/>
              </w:rPr>
            </w:pPr>
          </w:p>
        </w:tc>
        <w:tc>
          <w:tcPr>
            <w:tcW w:w="2288" w:type="pct"/>
            <w:noWrap/>
            <w:vAlign w:val="center"/>
          </w:tcPr>
          <w:p>
            <w:pPr>
              <w:jc w:val="center"/>
              <w:rPr>
                <w:rFonts w:hint="eastAsia" w:ascii="宋体" w:hAnsi="宋体" w:eastAsia="宋体" w:cs="宋体"/>
                <w:kern w:val="0"/>
                <w:sz w:val="24"/>
                <w:szCs w:val="24"/>
              </w:rPr>
            </w:pPr>
          </w:p>
        </w:tc>
        <w:tc>
          <w:tcPr>
            <w:tcW w:w="631" w:type="pct"/>
            <w:noWrap/>
            <w:vAlign w:val="center"/>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4" w:type="pc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76" w:type="pct"/>
            <w:noWrap/>
            <w:vAlign w:val="top"/>
          </w:tcPr>
          <w:p>
            <w:pPr>
              <w:pStyle w:val="18"/>
              <w:rPr>
                <w:rFonts w:hint="eastAsia" w:ascii="宋体" w:hAnsi="宋体" w:eastAsia="宋体" w:cs="宋体"/>
                <w:kern w:val="0"/>
                <w:sz w:val="24"/>
                <w:szCs w:val="24"/>
              </w:rPr>
            </w:pPr>
          </w:p>
        </w:tc>
        <w:tc>
          <w:tcPr>
            <w:tcW w:w="2288" w:type="pct"/>
            <w:noWrap/>
            <w:vAlign w:val="center"/>
          </w:tcPr>
          <w:p>
            <w:pPr>
              <w:jc w:val="center"/>
              <w:rPr>
                <w:rFonts w:hint="eastAsia" w:ascii="宋体" w:hAnsi="宋体" w:eastAsia="宋体" w:cs="宋体"/>
                <w:kern w:val="0"/>
                <w:sz w:val="24"/>
                <w:szCs w:val="24"/>
              </w:rPr>
            </w:pPr>
          </w:p>
        </w:tc>
        <w:tc>
          <w:tcPr>
            <w:tcW w:w="631" w:type="pct"/>
            <w:noWrap/>
            <w:vAlign w:val="center"/>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04" w:type="pct"/>
            <w:noWrap/>
            <w:vAlign w:val="center"/>
          </w:tcPr>
          <w:p>
            <w:pPr>
              <w:jc w:val="center"/>
              <w:rPr>
                <w:rFonts w:hint="eastAsia" w:ascii="宋体" w:hAnsi="宋体" w:eastAsia="宋体" w:cs="宋体"/>
                <w:kern w:val="0"/>
                <w:sz w:val="28"/>
                <w:szCs w:val="28"/>
              </w:rPr>
            </w:pPr>
            <w:bookmarkStart w:id="72" w:name="_Toc106994061"/>
            <w:bookmarkStart w:id="73" w:name="_Toc13698"/>
            <w:r>
              <w:rPr>
                <w:rFonts w:hint="eastAsia" w:ascii="宋体" w:hAnsi="宋体" w:eastAsia="宋体" w:cs="宋体"/>
                <w:kern w:val="0"/>
                <w:sz w:val="28"/>
                <w:szCs w:val="28"/>
              </w:rPr>
              <w:t>合计</w:t>
            </w:r>
            <w:bookmarkEnd w:id="72"/>
            <w:bookmarkEnd w:id="73"/>
          </w:p>
        </w:tc>
        <w:tc>
          <w:tcPr>
            <w:tcW w:w="4295" w:type="pct"/>
            <w:gridSpan w:val="3"/>
            <w:noWrap/>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大写：</w:t>
            </w:r>
          </w:p>
          <w:p>
            <w:pPr>
              <w:rPr>
                <w:rFonts w:hint="eastAsia" w:ascii="宋体" w:hAnsi="宋体" w:eastAsia="宋体" w:cs="宋体"/>
                <w:kern w:val="0"/>
                <w:sz w:val="28"/>
                <w:szCs w:val="28"/>
              </w:rPr>
            </w:pPr>
            <w:r>
              <w:rPr>
                <w:rFonts w:hint="eastAsia" w:ascii="宋体" w:hAnsi="宋体" w:eastAsia="宋体" w:cs="宋体"/>
                <w:kern w:val="0"/>
                <w:sz w:val="24"/>
                <w:szCs w:val="24"/>
              </w:rPr>
              <w:t xml:space="preserve">小写： </w:t>
            </w:r>
          </w:p>
        </w:tc>
      </w:tr>
    </w:tbl>
    <w:p>
      <w:pPr>
        <w:rPr>
          <w:rFonts w:hint="eastAsia" w:ascii="宋体" w:hAnsi="宋体" w:eastAsia="宋体" w:cs="宋体"/>
        </w:rPr>
      </w:pPr>
    </w:p>
    <w:p>
      <w:pPr>
        <w:rPr>
          <w:rFonts w:hint="eastAsia" w:ascii="宋体" w:hAnsi="宋体" w:eastAsia="宋体" w:cs="宋体"/>
          <w:highlight w:val="yellow"/>
        </w:rPr>
      </w:pPr>
    </w:p>
    <w:p>
      <w:pPr>
        <w:rPr>
          <w:rFonts w:hint="eastAsia" w:ascii="宋体" w:hAnsi="宋体" w:eastAsia="宋体" w:cs="宋体"/>
          <w:sz w:val="24"/>
          <w:highlight w:val="yellow"/>
        </w:rPr>
      </w:pPr>
    </w:p>
    <w:p>
      <w:pPr>
        <w:spacing w:line="280" w:lineRule="exact"/>
        <w:ind w:right="540" w:rightChars="257"/>
        <w:jc w:val="left"/>
        <w:rPr>
          <w:rFonts w:hint="eastAsia" w:ascii="宋体" w:hAnsi="宋体" w:eastAsia="宋体" w:cs="宋体"/>
          <w:sz w:val="24"/>
          <w:highlight w:val="yellow"/>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法定代表人或被授权人：          （签字或盖章）</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pPr>
        <w:spacing w:line="440" w:lineRule="exact"/>
        <w:rPr>
          <w:rFonts w:hint="eastAsia" w:ascii="宋体" w:hAnsi="宋体" w:eastAsia="宋体" w:cs="宋体"/>
          <w:sz w:val="36"/>
          <w:highlight w:val="none"/>
        </w:rPr>
      </w:pPr>
    </w:p>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注：1. 如果按单价计算的结果与总价不一致，以单价为准修正总价。</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2．如果不提供详细分项报价将视为没有实质性响应竞争性谈判文件。</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3．供应商可适当调整该表格式，但不得减少信息内容。</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yellow"/>
        </w:rPr>
      </w:pPr>
    </w:p>
    <w:p>
      <w:pPr>
        <w:spacing w:line="360" w:lineRule="auto"/>
        <w:jc w:val="center"/>
        <w:outlineLvl w:val="1"/>
        <w:rPr>
          <w:rFonts w:hint="eastAsia" w:ascii="宋体" w:hAnsi="宋体" w:eastAsia="宋体" w:cs="宋体"/>
          <w:b/>
          <w:sz w:val="32"/>
          <w:szCs w:val="32"/>
          <w:highlight w:val="yellow"/>
        </w:rPr>
      </w:pPr>
    </w:p>
    <w:p>
      <w:pPr>
        <w:spacing w:line="360" w:lineRule="auto"/>
        <w:jc w:val="center"/>
        <w:outlineLvl w:val="1"/>
        <w:rPr>
          <w:rFonts w:hint="eastAsia" w:ascii="宋体" w:hAnsi="宋体" w:eastAsia="宋体" w:cs="宋体"/>
          <w:b/>
          <w:sz w:val="32"/>
          <w:szCs w:val="32"/>
          <w:highlight w:val="yellow"/>
        </w:rPr>
      </w:pPr>
    </w:p>
    <w:p>
      <w:pPr>
        <w:spacing w:line="360" w:lineRule="auto"/>
        <w:jc w:val="center"/>
        <w:outlineLvl w:val="1"/>
        <w:rPr>
          <w:rFonts w:hint="eastAsia" w:ascii="宋体" w:hAnsi="宋体" w:eastAsia="宋体" w:cs="宋体"/>
          <w:b/>
          <w:sz w:val="32"/>
          <w:szCs w:val="32"/>
        </w:rPr>
      </w:pPr>
    </w:p>
    <w:p>
      <w:pPr>
        <w:spacing w:line="360" w:lineRule="auto"/>
        <w:jc w:val="center"/>
        <w:outlineLvl w:val="1"/>
        <w:rPr>
          <w:rFonts w:hint="eastAsia" w:ascii="宋体" w:hAnsi="宋体" w:eastAsia="宋体" w:cs="宋体"/>
          <w:b/>
          <w:sz w:val="32"/>
          <w:szCs w:val="32"/>
        </w:rPr>
      </w:pPr>
    </w:p>
    <w:p>
      <w:pPr>
        <w:spacing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三、谈判方案说明书</w:t>
      </w:r>
    </w:p>
    <w:p>
      <w:pPr>
        <w:rPr>
          <w:rFonts w:hint="eastAsia" w:ascii="宋体" w:hAnsi="宋体" w:eastAsia="宋体" w:cs="宋体"/>
        </w:rPr>
      </w:pP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按照谈判文件的要求编制的谈判方案说明书，</w:t>
      </w:r>
      <w:r>
        <w:rPr>
          <w:rFonts w:hint="eastAsia" w:ascii="宋体" w:hAnsi="宋体" w:eastAsia="宋体" w:cs="宋体"/>
          <w:b/>
          <w:bCs/>
          <w:sz w:val="24"/>
          <w:szCs w:val="24"/>
        </w:rPr>
        <w:t>内容</w:t>
      </w:r>
      <w:r>
        <w:rPr>
          <w:rFonts w:hint="eastAsia" w:ascii="宋体" w:hAnsi="宋体" w:eastAsia="宋体" w:cs="宋体"/>
          <w:b/>
          <w:sz w:val="24"/>
          <w:szCs w:val="24"/>
        </w:rPr>
        <w:t>包括如下</w:t>
      </w:r>
      <w:r>
        <w:rPr>
          <w:rFonts w:hint="eastAsia" w:ascii="宋体" w:hAnsi="宋体" w:eastAsia="宋体" w:cs="宋体"/>
          <w:sz w:val="24"/>
          <w:szCs w:val="24"/>
        </w:rPr>
        <w:t>：</w:t>
      </w:r>
    </w:p>
    <w:p>
      <w:pPr>
        <w:spacing w:line="580" w:lineRule="exact"/>
        <w:jc w:val="left"/>
        <w:rPr>
          <w:rFonts w:hint="eastAsia" w:ascii="宋体" w:hAnsi="宋体" w:eastAsia="宋体" w:cs="宋体"/>
          <w:sz w:val="24"/>
          <w:szCs w:val="24"/>
        </w:rPr>
      </w:pPr>
      <w:r>
        <w:rPr>
          <w:rFonts w:hint="eastAsia" w:ascii="宋体" w:hAnsi="宋体" w:eastAsia="宋体" w:cs="宋体"/>
          <w:sz w:val="24"/>
          <w:szCs w:val="24"/>
        </w:rPr>
        <w:t>1、 完成项目的服务和技术方案，要求供应商针对本项目的需求提出全面、完整的服务和技术方案；</w:t>
      </w: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2、填写服务应答表（见附表1）并提供支持文件，详细、据实说明优于或偏离谈判要求的指标（如有）；</w:t>
      </w:r>
    </w:p>
    <w:p>
      <w:pPr>
        <w:kinsoku w:val="0"/>
        <w:spacing w:line="5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3、整体组织部署计划及针对本项目的进度计划；</w:t>
      </w:r>
    </w:p>
    <w:p>
      <w:pPr>
        <w:kinsoku w:val="0"/>
        <w:spacing w:line="580" w:lineRule="exact"/>
        <w:rPr>
          <w:rFonts w:hint="eastAsia" w:ascii="宋体" w:hAnsi="宋体" w:eastAsia="宋体" w:cs="宋体"/>
          <w:sz w:val="24"/>
          <w:szCs w:val="24"/>
        </w:rPr>
      </w:pPr>
      <w:r>
        <w:rPr>
          <w:rFonts w:hint="eastAsia" w:ascii="宋体" w:hAnsi="宋体" w:eastAsia="宋体" w:cs="宋体"/>
          <w:sz w:val="24"/>
          <w:szCs w:val="24"/>
        </w:rPr>
        <w:t>4、拟为本项目配备的人员（见附表2）；</w:t>
      </w:r>
    </w:p>
    <w:p>
      <w:pPr>
        <w:kinsoku w:val="0"/>
        <w:spacing w:line="580" w:lineRule="exact"/>
        <w:rPr>
          <w:rFonts w:hint="eastAsia" w:ascii="宋体" w:hAnsi="宋体" w:eastAsia="宋体" w:cs="宋体"/>
          <w:sz w:val="24"/>
          <w:szCs w:val="24"/>
        </w:rPr>
      </w:pPr>
      <w:r>
        <w:rPr>
          <w:rFonts w:hint="eastAsia" w:ascii="宋体" w:hAnsi="宋体" w:eastAsia="宋体" w:cs="宋体"/>
          <w:sz w:val="24"/>
          <w:szCs w:val="24"/>
        </w:rPr>
        <w:t>5、供应商质量保证和服务承诺；</w:t>
      </w:r>
    </w:p>
    <w:p>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6、供应商认为有必要说明的问题。</w:t>
      </w:r>
    </w:p>
    <w:p>
      <w:pPr>
        <w:spacing w:line="480" w:lineRule="exact"/>
        <w:ind w:left="3259" w:leftChars="1552"/>
        <w:rPr>
          <w:rFonts w:hint="eastAsia" w:ascii="宋体" w:hAnsi="宋体" w:eastAsia="宋体" w:cs="宋体"/>
          <w:sz w:val="24"/>
          <w:szCs w:val="24"/>
        </w:rPr>
      </w:pPr>
    </w:p>
    <w:p>
      <w:pPr>
        <w:spacing w:line="480" w:lineRule="exact"/>
        <w:ind w:left="3259" w:leftChars="1552"/>
        <w:rPr>
          <w:rFonts w:hint="eastAsia" w:ascii="宋体" w:hAnsi="宋体" w:eastAsia="宋体" w:cs="宋体"/>
          <w:sz w:val="24"/>
          <w:szCs w:val="24"/>
        </w:rPr>
      </w:pPr>
    </w:p>
    <w:p>
      <w:pPr>
        <w:spacing w:line="280" w:lineRule="exact"/>
        <w:ind w:right="540" w:rightChars="257" w:firstLine="3360" w:firstLineChars="1400"/>
        <w:jc w:val="lef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（加盖单位公章）      </w:t>
      </w:r>
    </w:p>
    <w:p>
      <w:pPr>
        <w:spacing w:line="280" w:lineRule="exact"/>
        <w:ind w:right="540" w:rightChars="257"/>
        <w:jc w:val="left"/>
        <w:rPr>
          <w:rFonts w:hint="eastAsia" w:ascii="宋体" w:hAnsi="宋体" w:eastAsia="宋体" w:cs="宋体"/>
          <w:sz w:val="24"/>
        </w:rPr>
      </w:pPr>
    </w:p>
    <w:p>
      <w:pPr>
        <w:spacing w:line="280" w:lineRule="exact"/>
        <w:ind w:right="540" w:rightChars="257" w:firstLine="3360" w:firstLineChars="1400"/>
        <w:jc w:val="left"/>
        <w:rPr>
          <w:rFonts w:hint="eastAsia" w:ascii="宋体" w:hAnsi="宋体" w:eastAsia="宋体" w:cs="宋体"/>
          <w:sz w:val="24"/>
        </w:rPr>
      </w:pPr>
      <w:r>
        <w:rPr>
          <w:rFonts w:hint="eastAsia" w:ascii="宋体" w:hAnsi="宋体" w:eastAsia="宋体" w:cs="宋体"/>
          <w:sz w:val="24"/>
        </w:rPr>
        <w:t>法定代表人或被授权人：（签字或盖章）</w:t>
      </w:r>
    </w:p>
    <w:p>
      <w:pPr>
        <w:spacing w:line="280" w:lineRule="exact"/>
        <w:ind w:right="540" w:rightChars="257"/>
        <w:jc w:val="left"/>
        <w:rPr>
          <w:rFonts w:hint="eastAsia" w:ascii="宋体" w:hAnsi="宋体" w:eastAsia="宋体" w:cs="宋体"/>
          <w:sz w:val="24"/>
        </w:rPr>
      </w:pPr>
    </w:p>
    <w:p>
      <w:pPr>
        <w:spacing w:line="480" w:lineRule="exact"/>
        <w:ind w:left="3259" w:leftChars="1552" w:firstLine="240" w:firstLineChars="100"/>
        <w:rPr>
          <w:rFonts w:hint="eastAsia" w:ascii="宋体" w:hAnsi="宋体" w:eastAsia="宋体" w:cs="宋体"/>
          <w:sz w:val="24"/>
          <w:szCs w:val="24"/>
        </w:rPr>
      </w:pPr>
      <w:r>
        <w:rPr>
          <w:rFonts w:hint="eastAsia" w:ascii="宋体" w:hAnsi="宋体" w:eastAsia="宋体" w:cs="宋体"/>
          <w:sz w:val="24"/>
        </w:rPr>
        <w:t>日    期：</w:t>
      </w:r>
    </w:p>
    <w:p>
      <w:pPr>
        <w:spacing w:after="120"/>
        <w:outlineLvl w:val="2"/>
        <w:rPr>
          <w:rFonts w:hint="eastAsia" w:ascii="宋体" w:hAnsi="宋体" w:eastAsia="宋体" w:cs="宋体"/>
          <w:b/>
          <w:sz w:val="24"/>
          <w:szCs w:val="24"/>
        </w:rPr>
      </w:pPr>
      <w:r>
        <w:rPr>
          <w:rFonts w:hint="eastAsia" w:ascii="宋体" w:hAnsi="宋体" w:eastAsia="宋体" w:cs="宋体"/>
          <w:b/>
          <w:sz w:val="36"/>
        </w:rPr>
        <w:br w:type="page"/>
      </w:r>
      <w:r>
        <w:rPr>
          <w:rFonts w:hint="eastAsia" w:ascii="宋体" w:hAnsi="宋体" w:eastAsia="宋体" w:cs="宋体"/>
          <w:b/>
          <w:sz w:val="24"/>
          <w:szCs w:val="24"/>
        </w:rPr>
        <w:t>附表1：</w:t>
      </w:r>
    </w:p>
    <w:p>
      <w:pPr>
        <w:spacing w:after="120"/>
        <w:jc w:val="center"/>
        <w:outlineLvl w:val="2"/>
        <w:rPr>
          <w:rFonts w:hint="eastAsia" w:ascii="宋体" w:hAnsi="宋体" w:eastAsia="宋体" w:cs="宋体"/>
          <w:b/>
          <w:sz w:val="32"/>
          <w:szCs w:val="32"/>
        </w:rPr>
      </w:pPr>
      <w:r>
        <w:rPr>
          <w:rFonts w:hint="eastAsia" w:ascii="宋体" w:hAnsi="宋体" w:eastAsia="宋体" w:cs="宋体"/>
          <w:b/>
          <w:sz w:val="32"/>
          <w:szCs w:val="32"/>
        </w:rPr>
        <w:t>服务应答表</w:t>
      </w:r>
    </w:p>
    <w:p>
      <w:pPr>
        <w:spacing w:after="120"/>
        <w:ind w:firstLine="120" w:firstLineChars="50"/>
        <w:rPr>
          <w:rFonts w:hint="eastAsia" w:ascii="宋体" w:hAnsi="宋体" w:eastAsia="宋体" w:cs="宋体"/>
          <w:sz w:val="24"/>
          <w:szCs w:val="24"/>
        </w:rPr>
      </w:pPr>
      <w:r>
        <w:rPr>
          <w:rFonts w:hint="eastAsia" w:ascii="宋体" w:hAnsi="宋体" w:eastAsia="宋体" w:cs="宋体"/>
          <w:sz w:val="24"/>
          <w:szCs w:val="24"/>
        </w:rPr>
        <w:t>项目名称：</w:t>
      </w:r>
    </w:p>
    <w:p>
      <w:pPr>
        <w:spacing w:after="120"/>
        <w:ind w:firstLine="120" w:firstLineChars="50"/>
        <w:rPr>
          <w:rFonts w:hint="eastAsia" w:ascii="宋体" w:hAnsi="宋体" w:eastAsia="宋体" w:cs="宋体"/>
          <w:b/>
          <w:bCs/>
          <w:sz w:val="24"/>
          <w:szCs w:val="24"/>
        </w:rPr>
      </w:pPr>
      <w:r>
        <w:rPr>
          <w:rFonts w:hint="eastAsia" w:ascii="宋体" w:hAnsi="宋体" w:eastAsia="宋体" w:cs="宋体"/>
          <w:sz w:val="24"/>
          <w:szCs w:val="24"/>
        </w:rPr>
        <w:t>项目编号：</w:t>
      </w:r>
    </w:p>
    <w:tbl>
      <w:tblPr>
        <w:tblStyle w:val="29"/>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ign w:val="center"/>
          </w:tcPr>
          <w:p>
            <w:pPr>
              <w:pStyle w:val="5"/>
              <w:tabs>
                <w:tab w:val="left" w:pos="6880"/>
              </w:tabs>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序号</w:t>
            </w:r>
          </w:p>
        </w:tc>
        <w:tc>
          <w:tcPr>
            <w:tcW w:w="2519" w:type="dxa"/>
            <w:noWrap/>
            <w:vAlign w:val="center"/>
          </w:tcPr>
          <w:p>
            <w:pPr>
              <w:pStyle w:val="5"/>
              <w:tabs>
                <w:tab w:val="left" w:pos="6880"/>
              </w:tabs>
              <w:spacing w:line="360" w:lineRule="auto"/>
              <w:ind w:firstLine="0" w:firstLineChars="0"/>
              <w:jc w:val="center"/>
              <w:rPr>
                <w:rFonts w:hint="eastAsia" w:ascii="宋体" w:hAnsi="宋体" w:eastAsia="宋体" w:cs="宋体"/>
                <w:kern w:val="0"/>
                <w:sz w:val="24"/>
              </w:rPr>
            </w:pPr>
            <w:r>
              <w:rPr>
                <w:rFonts w:hint="eastAsia" w:ascii="宋体" w:hAnsi="宋体" w:eastAsia="宋体" w:cs="宋体"/>
                <w:kern w:val="0"/>
                <w:sz w:val="24"/>
              </w:rPr>
              <w:t>谈判文件要求</w:t>
            </w:r>
          </w:p>
        </w:tc>
        <w:tc>
          <w:tcPr>
            <w:tcW w:w="2393" w:type="dxa"/>
            <w:noWrap/>
            <w:vAlign w:val="center"/>
          </w:tcPr>
          <w:p>
            <w:pPr>
              <w:pStyle w:val="5"/>
              <w:tabs>
                <w:tab w:val="left" w:pos="6880"/>
              </w:tabs>
              <w:spacing w:line="360" w:lineRule="auto"/>
              <w:ind w:firstLine="120" w:firstLineChars="50"/>
              <w:jc w:val="center"/>
              <w:rPr>
                <w:rFonts w:hint="eastAsia" w:ascii="宋体" w:hAnsi="宋体" w:eastAsia="宋体" w:cs="宋体"/>
                <w:kern w:val="0"/>
                <w:sz w:val="24"/>
              </w:rPr>
            </w:pPr>
            <w:r>
              <w:rPr>
                <w:rFonts w:hint="eastAsia" w:ascii="宋体" w:hAnsi="宋体" w:eastAsia="宋体" w:cs="宋体"/>
                <w:kern w:val="0"/>
                <w:sz w:val="24"/>
              </w:rPr>
              <w:t>谈判响应文件</w:t>
            </w:r>
          </w:p>
          <w:p>
            <w:pPr>
              <w:pStyle w:val="5"/>
              <w:tabs>
                <w:tab w:val="left" w:pos="6880"/>
              </w:tabs>
              <w:spacing w:line="360" w:lineRule="auto"/>
              <w:ind w:firstLine="120" w:firstLineChars="50"/>
              <w:jc w:val="center"/>
              <w:rPr>
                <w:rFonts w:hint="eastAsia" w:ascii="宋体" w:hAnsi="宋体" w:eastAsia="宋体" w:cs="宋体"/>
                <w:kern w:val="0"/>
                <w:sz w:val="24"/>
              </w:rPr>
            </w:pPr>
            <w:r>
              <w:rPr>
                <w:rFonts w:hint="eastAsia" w:ascii="宋体" w:hAnsi="宋体" w:eastAsia="宋体" w:cs="宋体"/>
                <w:kern w:val="0"/>
                <w:sz w:val="24"/>
              </w:rPr>
              <w:t>的应答</w:t>
            </w:r>
          </w:p>
        </w:tc>
        <w:tc>
          <w:tcPr>
            <w:tcW w:w="1815" w:type="dxa"/>
            <w:noWrap/>
            <w:vAlign w:val="center"/>
          </w:tcPr>
          <w:p>
            <w:pPr>
              <w:pStyle w:val="5"/>
              <w:tabs>
                <w:tab w:val="left" w:pos="6880"/>
              </w:tabs>
              <w:spacing w:line="360" w:lineRule="auto"/>
              <w:ind w:firstLine="0" w:firstLineChars="0"/>
              <w:jc w:val="center"/>
              <w:rPr>
                <w:rFonts w:hint="eastAsia" w:ascii="宋体" w:hAnsi="宋体" w:eastAsia="宋体" w:cs="宋体"/>
                <w:kern w:val="0"/>
                <w:sz w:val="24"/>
              </w:rPr>
            </w:pPr>
            <w:r>
              <w:rPr>
                <w:rFonts w:hint="eastAsia" w:ascii="宋体" w:hAnsi="宋体" w:eastAsia="宋体" w:cs="宋体"/>
                <w:kern w:val="0"/>
                <w:sz w:val="24"/>
              </w:rPr>
              <w:t>响应/偏离</w:t>
            </w:r>
          </w:p>
        </w:tc>
        <w:tc>
          <w:tcPr>
            <w:tcW w:w="1238" w:type="dxa"/>
            <w:noWrap/>
            <w:vAlign w:val="center"/>
          </w:tcPr>
          <w:p>
            <w:pPr>
              <w:pStyle w:val="5"/>
              <w:tabs>
                <w:tab w:val="left" w:pos="6880"/>
              </w:tabs>
              <w:spacing w:line="360" w:lineRule="auto"/>
              <w:ind w:firstLine="0" w:firstLineChars="0"/>
              <w:jc w:val="center"/>
              <w:rPr>
                <w:rFonts w:hint="eastAsia" w:ascii="宋体" w:hAnsi="宋体" w:eastAsia="宋体" w:cs="宋体"/>
                <w:kern w:val="0"/>
                <w:sz w:val="24"/>
              </w:rPr>
            </w:pPr>
            <w:r>
              <w:rPr>
                <w:rFonts w:hint="eastAsia" w:ascii="宋体" w:hAnsi="宋体" w:eastAsia="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firstLine="120" w:firstLineChars="50"/>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firstLine="120" w:firstLineChars="50"/>
              <w:rPr>
                <w:rFonts w:hint="eastAsia" w:ascii="宋体" w:hAnsi="宋体" w:eastAsia="宋体" w:cs="宋体"/>
                <w:kern w:val="0"/>
                <w:sz w:val="24"/>
              </w:rPr>
            </w:pPr>
          </w:p>
        </w:tc>
        <w:tc>
          <w:tcPr>
            <w:tcW w:w="2519"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2393"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815" w:type="dxa"/>
            <w:noWrap/>
            <w:vAlign w:val="center"/>
          </w:tcPr>
          <w:p>
            <w:pPr>
              <w:pStyle w:val="5"/>
              <w:tabs>
                <w:tab w:val="left" w:pos="6880"/>
              </w:tabs>
              <w:spacing w:line="360" w:lineRule="auto"/>
              <w:ind w:firstLine="480"/>
              <w:rPr>
                <w:rFonts w:hint="eastAsia" w:ascii="宋体" w:hAnsi="宋体" w:eastAsia="宋体" w:cs="宋体"/>
                <w:kern w:val="0"/>
                <w:sz w:val="24"/>
              </w:rPr>
            </w:pPr>
          </w:p>
        </w:tc>
        <w:tc>
          <w:tcPr>
            <w:tcW w:w="1238" w:type="dxa"/>
            <w:noWrap/>
            <w:vAlign w:val="center"/>
          </w:tcPr>
          <w:p>
            <w:pPr>
              <w:pStyle w:val="5"/>
              <w:tabs>
                <w:tab w:val="left" w:pos="6880"/>
              </w:tabs>
              <w:spacing w:line="360" w:lineRule="auto"/>
              <w:ind w:firstLine="480"/>
              <w:rPr>
                <w:rFonts w:hint="eastAsia" w:ascii="宋体" w:hAnsi="宋体" w:eastAsia="宋体" w:cs="宋体"/>
                <w:kern w:val="0"/>
                <w:sz w:val="24"/>
              </w:rPr>
            </w:pPr>
          </w:p>
        </w:tc>
      </w:tr>
    </w:tbl>
    <w:p>
      <w:pPr>
        <w:spacing w:after="120"/>
        <w:ind w:firstLine="120" w:firstLineChars="50"/>
        <w:rPr>
          <w:rFonts w:hint="eastAsia" w:ascii="宋体" w:hAnsi="宋体" w:eastAsia="宋体" w:cs="宋体"/>
          <w:sz w:val="24"/>
          <w:szCs w:val="24"/>
        </w:rPr>
      </w:pPr>
    </w:p>
    <w:p>
      <w:pPr>
        <w:rPr>
          <w:rFonts w:hint="eastAsia" w:ascii="宋体" w:hAnsi="宋体" w:eastAsia="宋体" w:cs="宋体"/>
          <w:sz w:val="24"/>
          <w:szCs w:val="24"/>
        </w:rPr>
      </w:pPr>
    </w:p>
    <w:p>
      <w:pPr>
        <w:spacing w:line="280" w:lineRule="exact"/>
        <w:ind w:right="540" w:rightChars="257"/>
        <w:jc w:val="left"/>
        <w:rPr>
          <w:rFonts w:hint="eastAsia" w:ascii="宋体" w:hAnsi="宋体" w:eastAsia="宋体" w:cs="宋体"/>
          <w:sz w:val="24"/>
          <w:szCs w:val="24"/>
        </w:rPr>
      </w:pPr>
    </w:p>
    <w:p>
      <w:pPr>
        <w:spacing w:line="280" w:lineRule="exact"/>
        <w:ind w:right="540" w:rightChars="257"/>
        <w:jc w:val="lef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（加盖单位公章）      </w:t>
      </w:r>
    </w:p>
    <w:p>
      <w:pPr>
        <w:spacing w:line="280" w:lineRule="exact"/>
        <w:ind w:right="540" w:rightChars="257"/>
        <w:jc w:val="left"/>
        <w:rPr>
          <w:rFonts w:hint="eastAsia" w:ascii="宋体" w:hAnsi="宋体" w:eastAsia="宋体" w:cs="宋体"/>
          <w:sz w:val="24"/>
          <w:szCs w:val="24"/>
        </w:rPr>
      </w:pPr>
    </w:p>
    <w:p>
      <w:pPr>
        <w:spacing w:line="280" w:lineRule="exact"/>
        <w:ind w:right="540" w:rightChars="257"/>
        <w:jc w:val="left"/>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pPr>
        <w:spacing w:line="280" w:lineRule="exact"/>
        <w:ind w:right="540" w:rightChars="257"/>
        <w:jc w:val="left"/>
        <w:rPr>
          <w:rFonts w:hint="eastAsia" w:ascii="宋体" w:hAnsi="宋体" w:eastAsia="宋体" w:cs="宋体"/>
          <w:sz w:val="24"/>
          <w:szCs w:val="24"/>
        </w:rPr>
      </w:pPr>
    </w:p>
    <w:p>
      <w:pPr>
        <w:spacing w:line="280" w:lineRule="exact"/>
        <w:ind w:right="540" w:rightChars="257"/>
        <w:rPr>
          <w:rFonts w:hint="eastAsia" w:ascii="宋体" w:hAnsi="宋体" w:eastAsia="宋体" w:cs="宋体"/>
          <w:sz w:val="24"/>
          <w:szCs w:val="24"/>
        </w:rPr>
      </w:pPr>
      <w:r>
        <w:rPr>
          <w:rFonts w:hint="eastAsia" w:ascii="宋体" w:hAnsi="宋体" w:eastAsia="宋体" w:cs="宋体"/>
          <w:sz w:val="24"/>
          <w:szCs w:val="24"/>
        </w:rPr>
        <w:t>日    期：</w:t>
      </w:r>
    </w:p>
    <w:p>
      <w:pPr>
        <w:spacing w:line="400" w:lineRule="exact"/>
        <w:rPr>
          <w:rFonts w:hint="eastAsia" w:ascii="宋体" w:hAnsi="宋体" w:eastAsia="宋体" w:cs="宋体"/>
          <w:sz w:val="24"/>
          <w:szCs w:val="24"/>
        </w:rPr>
      </w:pPr>
    </w:p>
    <w:p>
      <w:pPr>
        <w:spacing w:line="500" w:lineRule="exact"/>
        <w:ind w:left="600" w:leftChars="57" w:hanging="480" w:hangingChars="200"/>
        <w:rPr>
          <w:rFonts w:hint="eastAsia" w:ascii="宋体" w:hAnsi="宋体" w:eastAsia="宋体" w:cs="宋体"/>
          <w:sz w:val="24"/>
          <w:szCs w:val="24"/>
        </w:rPr>
      </w:pPr>
      <w:r>
        <w:rPr>
          <w:rFonts w:hint="eastAsia" w:ascii="宋体" w:hAnsi="宋体" w:eastAsia="宋体" w:cs="宋体"/>
          <w:sz w:val="24"/>
          <w:szCs w:val="24"/>
        </w:rPr>
        <w:t>注：1.供应商必须将</w:t>
      </w:r>
      <w:r>
        <w:rPr>
          <w:rFonts w:hint="eastAsia" w:ascii="宋体" w:hAnsi="宋体" w:eastAsia="宋体" w:cs="宋体"/>
          <w:b/>
          <w:bCs/>
          <w:sz w:val="24"/>
          <w:szCs w:val="24"/>
        </w:rPr>
        <w:t>谈判文件中第四章谈判内容及服务要求</w:t>
      </w:r>
      <w:r>
        <w:rPr>
          <w:rFonts w:hint="eastAsia" w:ascii="宋体" w:hAnsi="宋体" w:eastAsia="宋体" w:cs="宋体"/>
          <w:sz w:val="24"/>
          <w:szCs w:val="24"/>
        </w:rPr>
        <w:t>的全部内容和标准要求事项列入此表。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2．按照服务要求的顺序对应填写。</w:t>
      </w:r>
    </w:p>
    <w:p>
      <w:pPr>
        <w:tabs>
          <w:tab w:val="left" w:pos="668"/>
        </w:tabs>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3．供应商必须据实填写，不得虚假填写，否则将取消其谈判或成交资格。</w:t>
      </w:r>
    </w:p>
    <w:p>
      <w:pPr>
        <w:jc w:val="left"/>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p>
    <w:p>
      <w:pPr>
        <w:spacing w:after="120"/>
        <w:rPr>
          <w:rFonts w:hint="eastAsia" w:ascii="宋体" w:hAnsi="宋体" w:eastAsia="宋体" w:cs="宋体"/>
          <w:b/>
          <w:sz w:val="24"/>
          <w:szCs w:val="24"/>
        </w:rPr>
      </w:pPr>
      <w:bookmarkStart w:id="74" w:name="_Toc225410181"/>
      <w:bookmarkStart w:id="75" w:name="_Toc225415860"/>
      <w:bookmarkStart w:id="76" w:name="_Toc225566701"/>
      <w:bookmarkStart w:id="77" w:name="_Toc341541375"/>
      <w:bookmarkStart w:id="78" w:name="_Toc225416061"/>
      <w:bookmarkStart w:id="79" w:name="_Toc225412171"/>
      <w:bookmarkStart w:id="80" w:name="_Toc396304713"/>
      <w:bookmarkStart w:id="81" w:name="_Toc225415659"/>
      <w:bookmarkStart w:id="82" w:name="_Toc225412373"/>
      <w:bookmarkStart w:id="83" w:name="_Toc225567481"/>
      <w:bookmarkStart w:id="84" w:name="_Toc225410807"/>
      <w:bookmarkStart w:id="85" w:name="_Toc225566882"/>
      <w:bookmarkStart w:id="86" w:name="_Toc225409965"/>
    </w:p>
    <w:p>
      <w:pPr>
        <w:spacing w:after="120"/>
        <w:outlineLvl w:val="2"/>
        <w:rPr>
          <w:rFonts w:hint="eastAsia" w:ascii="宋体" w:hAnsi="宋体" w:eastAsia="宋体" w:cs="宋体"/>
          <w:b/>
          <w:sz w:val="24"/>
          <w:szCs w:val="24"/>
        </w:rPr>
      </w:pPr>
      <w:r>
        <w:rPr>
          <w:rFonts w:hint="eastAsia" w:ascii="宋体" w:hAnsi="宋体" w:eastAsia="宋体" w:cs="宋体"/>
          <w:b/>
          <w:sz w:val="24"/>
          <w:szCs w:val="24"/>
        </w:rPr>
        <w:t>附表2 :</w:t>
      </w:r>
    </w:p>
    <w:p>
      <w:pPr>
        <w:spacing w:after="120"/>
        <w:jc w:val="center"/>
        <w:outlineLvl w:val="2"/>
        <w:rPr>
          <w:rFonts w:hint="eastAsia" w:ascii="宋体" w:hAnsi="宋体" w:eastAsia="宋体" w:cs="宋体"/>
          <w:b/>
          <w:sz w:val="32"/>
          <w:szCs w:val="32"/>
        </w:rPr>
      </w:pPr>
      <w:r>
        <w:rPr>
          <w:rFonts w:hint="eastAsia" w:ascii="宋体" w:hAnsi="宋体" w:eastAsia="宋体" w:cs="宋体"/>
          <w:b/>
          <w:sz w:val="32"/>
          <w:szCs w:val="32"/>
        </w:rPr>
        <w:t>本项目拟投入人员汇总表</w:t>
      </w:r>
      <w:bookmarkEnd w:id="74"/>
      <w:bookmarkEnd w:id="75"/>
      <w:bookmarkEnd w:id="76"/>
      <w:bookmarkEnd w:id="77"/>
      <w:bookmarkEnd w:id="78"/>
      <w:bookmarkEnd w:id="79"/>
      <w:bookmarkEnd w:id="80"/>
      <w:bookmarkEnd w:id="81"/>
      <w:bookmarkEnd w:id="82"/>
      <w:bookmarkEnd w:id="83"/>
      <w:bookmarkEnd w:id="84"/>
      <w:bookmarkEnd w:id="85"/>
      <w:bookmarkEnd w:id="86"/>
    </w:p>
    <w:p>
      <w:pPr>
        <w:rPr>
          <w:rFonts w:hint="eastAsia" w:ascii="宋体" w:hAnsi="宋体" w:eastAsia="宋体" w:cs="宋体"/>
        </w:rPr>
      </w:pPr>
    </w:p>
    <w:p>
      <w:pPr>
        <w:pStyle w:val="72"/>
        <w:ind w:firstLine="0" w:firstLineChars="0"/>
        <w:jc w:val="center"/>
        <w:outlineLvl w:val="9"/>
        <w:rPr>
          <w:rFonts w:hint="eastAsia" w:ascii="宋体" w:hAnsi="宋体" w:eastAsia="宋体" w:cs="宋体"/>
          <w:color w:val="auto"/>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序号</w:t>
            </w:r>
          </w:p>
        </w:tc>
        <w:tc>
          <w:tcPr>
            <w:tcW w:w="1525"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姓  名</w:t>
            </w:r>
          </w:p>
        </w:tc>
        <w:tc>
          <w:tcPr>
            <w:tcW w:w="701"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性别</w:t>
            </w:r>
          </w:p>
        </w:tc>
        <w:tc>
          <w:tcPr>
            <w:tcW w:w="701"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年龄</w:t>
            </w:r>
          </w:p>
        </w:tc>
        <w:tc>
          <w:tcPr>
            <w:tcW w:w="701"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学历</w:t>
            </w:r>
          </w:p>
        </w:tc>
        <w:tc>
          <w:tcPr>
            <w:tcW w:w="920"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工作</w:t>
            </w:r>
          </w:p>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年限</w:t>
            </w:r>
          </w:p>
        </w:tc>
        <w:tc>
          <w:tcPr>
            <w:tcW w:w="2309"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拟担任的职务</w:t>
            </w:r>
          </w:p>
        </w:tc>
        <w:tc>
          <w:tcPr>
            <w:tcW w:w="836" w:type="dxa"/>
            <w:noWrap/>
            <w:tcMar>
              <w:top w:w="15" w:type="dxa"/>
              <w:left w:w="15" w:type="dxa"/>
              <w:bottom w:w="0" w:type="dxa"/>
              <w:right w:w="15" w:type="dxa"/>
            </w:tcMar>
            <w:vAlign w:val="center"/>
          </w:tcPr>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岗位</w:t>
            </w:r>
          </w:p>
          <w:p>
            <w:pPr>
              <w:pStyle w:val="65"/>
              <w:spacing w:line="400" w:lineRule="exact"/>
              <w:ind w:left="0" w:leftChars="0"/>
              <w:rPr>
                <w:rFonts w:hint="eastAsia" w:ascii="宋体" w:hAnsi="宋体" w:eastAsia="宋体" w:cs="宋体"/>
                <w:b/>
                <w:sz w:val="24"/>
              </w:rPr>
            </w:pPr>
            <w:r>
              <w:rPr>
                <w:rFonts w:hint="eastAsia" w:ascii="宋体" w:hAnsi="宋体" w:eastAsia="宋体" w:cs="宋体"/>
                <w:b/>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hint="eastAsia" w:ascii="宋体" w:hAnsi="宋体" w:eastAsia="宋体" w:cs="宋体"/>
                <w:sz w:val="24"/>
              </w:rPr>
            </w:pPr>
          </w:p>
        </w:tc>
      </w:tr>
    </w:tbl>
    <w:p>
      <w:pPr>
        <w:pStyle w:val="70"/>
        <w:tabs>
          <w:tab w:val="left" w:pos="2040"/>
        </w:tabs>
        <w:spacing w:beforeLines="0" w:line="5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注：1.“岗位情况”须注明该人在本单位是在岗、返聘还是外聘。</w:t>
      </w:r>
    </w:p>
    <w:p>
      <w:pPr>
        <w:pStyle w:val="70"/>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2.供应商可适当调整该表格式，但不得减少信息内容。</w:t>
      </w:r>
    </w:p>
    <w:p>
      <w:pPr>
        <w:pStyle w:val="70"/>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3.供应商应书面承诺谈判响应文件中人员的真实性。</w:t>
      </w:r>
    </w:p>
    <w:p>
      <w:pPr>
        <w:pStyle w:val="70"/>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4、未书面承诺谈判响应文件中人员真实性的材料视为无效材料。</w:t>
      </w:r>
    </w:p>
    <w:p>
      <w:pPr>
        <w:pStyle w:val="72"/>
        <w:spacing w:line="400" w:lineRule="exact"/>
        <w:ind w:firstLine="0" w:firstLineChars="0"/>
        <w:jc w:val="center"/>
        <w:outlineLvl w:val="9"/>
        <w:rPr>
          <w:rFonts w:hint="eastAsia" w:ascii="宋体" w:hAnsi="宋体" w:eastAsia="宋体" w:cs="宋体"/>
          <w:color w:val="auto"/>
          <w:szCs w:val="24"/>
        </w:rPr>
      </w:pPr>
      <w:bookmarkStart w:id="87" w:name="_Toc225566702"/>
      <w:bookmarkStart w:id="88" w:name="_Toc225412374"/>
      <w:bookmarkStart w:id="89" w:name="_Toc225416062"/>
      <w:bookmarkStart w:id="90" w:name="_Toc225409966"/>
      <w:bookmarkStart w:id="91" w:name="_Toc403077653"/>
      <w:bookmarkStart w:id="92" w:name="_Toc396304715"/>
      <w:bookmarkStart w:id="93" w:name="_Toc225567482"/>
      <w:bookmarkStart w:id="94" w:name="_Toc225415861"/>
      <w:bookmarkStart w:id="95" w:name="_Toc225410182"/>
      <w:bookmarkStart w:id="96" w:name="_Toc225410808"/>
      <w:bookmarkStart w:id="97" w:name="_Toc225412172"/>
      <w:bookmarkStart w:id="98" w:name="_Toc341541376"/>
      <w:bookmarkStart w:id="99" w:name="_Toc225415660"/>
      <w:bookmarkStart w:id="100" w:name="_Toc426457711"/>
      <w:bookmarkStart w:id="101" w:name="_Toc225566883"/>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Pr>
        <w:pStyle w:val="4"/>
        <w:spacing w:beforeLines="150"/>
        <w:jc w:val="center"/>
        <w:rPr>
          <w:rFonts w:hint="eastAsia" w:ascii="宋体" w:hAnsi="宋体" w:eastAsia="宋体" w:cs="宋体"/>
        </w:rPr>
      </w:pPr>
      <w:bookmarkStart w:id="102" w:name="_Toc21284"/>
      <w:bookmarkStart w:id="103" w:name="_Toc9218"/>
      <w:bookmarkStart w:id="104" w:name="_Toc1379"/>
      <w:bookmarkStart w:id="105" w:name="_Toc23455"/>
      <w:bookmarkStart w:id="106" w:name="_Toc2621"/>
      <w:r>
        <w:rPr>
          <w:rFonts w:hint="eastAsia" w:ascii="宋体" w:hAnsi="宋体" w:eastAsia="宋体" w:cs="宋体"/>
        </w:rPr>
        <w:t>四、</w:t>
      </w:r>
      <w:bookmarkEnd w:id="102"/>
      <w:bookmarkEnd w:id="103"/>
      <w:bookmarkEnd w:id="104"/>
      <w:bookmarkEnd w:id="105"/>
      <w:bookmarkEnd w:id="106"/>
      <w:r>
        <w:rPr>
          <w:rFonts w:hint="eastAsia" w:ascii="宋体" w:hAnsi="宋体" w:eastAsia="宋体" w:cs="宋体"/>
        </w:rPr>
        <w:t>商务条款偏离表</w:t>
      </w:r>
    </w:p>
    <w:p>
      <w:pPr>
        <w:pStyle w:val="25"/>
        <w:jc w:val="both"/>
        <w:rPr>
          <w:rFonts w:hint="eastAsia" w:ascii="宋体" w:hAnsi="宋体" w:eastAsia="宋体" w:cs="宋体"/>
        </w:rPr>
      </w:pPr>
    </w:p>
    <w:p>
      <w:pPr>
        <w:pStyle w:val="25"/>
        <w:spacing w:beforeLines="50" w:afterLines="50"/>
        <w:rPr>
          <w:rFonts w:hint="eastAsia" w:ascii="宋体" w:hAnsi="宋体" w:eastAsia="宋体" w:cs="宋体"/>
        </w:rPr>
      </w:pPr>
      <w:r>
        <w:rPr>
          <w:rFonts w:hint="eastAsia" w:ascii="宋体" w:hAnsi="宋体" w:eastAsia="宋体" w:cs="宋体"/>
        </w:rPr>
        <w:t>项目编号：</w:t>
      </w:r>
    </w:p>
    <w:p>
      <w:pPr>
        <w:pStyle w:val="25"/>
        <w:spacing w:beforeLines="50" w:afterLines="50"/>
        <w:rPr>
          <w:rFonts w:hint="eastAsia" w:ascii="宋体" w:hAnsi="宋体" w:eastAsia="宋体" w:cs="宋体"/>
          <w:u w:val="single"/>
        </w:rPr>
      </w:pPr>
      <w:r>
        <w:rPr>
          <w:rFonts w:hint="eastAsia" w:ascii="宋体" w:hAnsi="宋体" w:eastAsia="宋体" w:cs="宋体"/>
        </w:rPr>
        <w:t>项目名称：</w:t>
      </w:r>
    </w:p>
    <w:p>
      <w:pPr>
        <w:pStyle w:val="25"/>
        <w:ind w:firstLine="480" w:firstLineChars="200"/>
        <w:jc w:val="center"/>
        <w:rPr>
          <w:rFonts w:hint="eastAsia" w:ascii="宋体" w:hAnsi="宋体" w:eastAsia="宋体" w:cs="宋体"/>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hint="eastAsia" w:ascii="宋体" w:hAnsi="宋体" w:eastAsia="宋体" w:cs="宋体"/>
              </w:rPr>
            </w:pPr>
            <w:r>
              <w:rPr>
                <w:rFonts w:hint="eastAsia" w:ascii="宋体" w:hAnsi="宋体" w:eastAsia="宋体" w:cs="宋体"/>
              </w:rPr>
              <w:t>序号</w:t>
            </w: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hint="eastAsia" w:ascii="宋体" w:hAnsi="宋体" w:eastAsia="宋体" w:cs="宋体"/>
              </w:rPr>
            </w:pPr>
            <w:r>
              <w:rPr>
                <w:rFonts w:hint="eastAsia" w:ascii="宋体" w:hAnsi="宋体" w:eastAsia="宋体" w:cs="宋体"/>
              </w:rPr>
              <w:t>谈判文件的商务条款</w:t>
            </w: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hint="eastAsia" w:ascii="宋体" w:hAnsi="宋体" w:eastAsia="宋体" w:cs="宋体"/>
              </w:rPr>
            </w:pPr>
            <w:r>
              <w:rPr>
                <w:rFonts w:hint="eastAsia" w:ascii="宋体" w:hAnsi="宋体" w:eastAsia="宋体" w:cs="宋体"/>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hint="eastAsia" w:ascii="宋体" w:hAnsi="宋体" w:eastAsia="宋体" w:cs="宋体"/>
              </w:rPr>
            </w:pPr>
            <w:r>
              <w:rPr>
                <w:rFonts w:hint="eastAsia" w:ascii="宋体" w:hAnsi="宋体" w:eastAsia="宋体" w:cs="宋体"/>
              </w:rPr>
              <w:t>偏离</w:t>
            </w: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hint="eastAsia" w:ascii="宋体" w:hAnsi="宋体" w:eastAsia="宋体" w:cs="宋体"/>
              </w:rPr>
            </w:pPr>
            <w:r>
              <w:rPr>
                <w:rFonts w:hint="eastAsia" w:ascii="宋体" w:hAnsi="宋体" w:eastAsia="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hint="eastAsia" w:ascii="宋体" w:hAnsi="宋体" w:eastAsia="宋体" w:cs="宋体"/>
              </w:rPr>
            </w:pPr>
          </w:p>
        </w:tc>
      </w:tr>
    </w:tbl>
    <w:p>
      <w:pPr>
        <w:pStyle w:val="25"/>
        <w:rPr>
          <w:rFonts w:hint="eastAsia" w:ascii="宋体" w:hAnsi="宋体" w:eastAsia="宋体" w:cs="宋体"/>
        </w:rPr>
      </w:pPr>
      <w:r>
        <w:rPr>
          <w:rFonts w:hint="eastAsia" w:ascii="宋体" w:hAnsi="宋体" w:eastAsia="宋体" w:cs="宋体"/>
        </w:rPr>
        <w:t>说明：</w:t>
      </w:r>
    </w:p>
    <w:p>
      <w:pPr>
        <w:pStyle w:val="25"/>
        <w:ind w:firstLine="480" w:firstLineChars="200"/>
        <w:jc w:val="both"/>
        <w:rPr>
          <w:rFonts w:hint="eastAsia" w:ascii="宋体" w:hAnsi="宋体" w:eastAsia="宋体" w:cs="宋体"/>
        </w:rPr>
      </w:pPr>
      <w:r>
        <w:rPr>
          <w:rFonts w:hint="eastAsia" w:ascii="宋体" w:hAnsi="宋体" w:eastAsia="宋体" w:cs="宋体"/>
        </w:rPr>
        <w:t>1.本表只填写谈判响应文件中与谈判文件有偏离（包括正偏离和负偏离）的内容，谈判响应文件中</w:t>
      </w:r>
      <w:r>
        <w:rPr>
          <w:rFonts w:hint="eastAsia" w:ascii="宋体" w:hAnsi="宋体" w:eastAsia="宋体" w:cs="宋体"/>
          <w:b/>
          <w:bCs/>
        </w:rPr>
        <w:t>商务响应</w:t>
      </w:r>
      <w:r>
        <w:rPr>
          <w:rFonts w:hint="eastAsia" w:ascii="宋体" w:hAnsi="宋体" w:eastAsia="宋体" w:cs="宋体"/>
          <w:b/>
          <w:bCs/>
          <w:color w:val="auto"/>
          <w:szCs w:val="24"/>
        </w:rPr>
        <w:t>及谈判文件中第三章合同前附表</w:t>
      </w:r>
      <w:r>
        <w:rPr>
          <w:rFonts w:hint="eastAsia" w:ascii="宋体" w:hAnsi="宋体" w:eastAsia="宋体" w:cs="宋体"/>
        </w:rPr>
        <w:t>与谈判文件要求完全一致的，不用在此表中列出，但必须提交空白表。</w:t>
      </w:r>
    </w:p>
    <w:p>
      <w:pPr>
        <w:pStyle w:val="25"/>
        <w:ind w:firstLine="480" w:firstLineChars="200"/>
        <w:rPr>
          <w:rFonts w:hint="eastAsia" w:ascii="宋体" w:hAnsi="宋体" w:eastAsia="宋体" w:cs="宋体"/>
        </w:rPr>
      </w:pPr>
      <w:r>
        <w:rPr>
          <w:rFonts w:hint="eastAsia" w:ascii="宋体" w:hAnsi="宋体" w:eastAsia="宋体" w:cs="宋体"/>
        </w:rPr>
        <w:t>2.供应商必须据实填写，不得虚假响应，否则将取消其谈判或成交资格，并按有关规定进处罚。</w:t>
      </w:r>
    </w:p>
    <w:p>
      <w:pPr>
        <w:pStyle w:val="25"/>
        <w:ind w:firstLine="480" w:firstLineChars="200"/>
        <w:jc w:val="center"/>
        <w:rPr>
          <w:rFonts w:hint="eastAsia" w:ascii="宋体" w:hAnsi="宋体" w:eastAsia="宋体" w:cs="宋体"/>
        </w:rPr>
      </w:pPr>
    </w:p>
    <w:p>
      <w:pPr>
        <w:pStyle w:val="25"/>
        <w:ind w:firstLine="480" w:firstLineChars="200"/>
        <w:rPr>
          <w:rFonts w:hint="eastAsia" w:ascii="宋体" w:hAnsi="宋体" w:eastAsia="宋体" w:cs="宋体"/>
          <w:szCs w:val="24"/>
        </w:rPr>
      </w:pPr>
      <w:r>
        <w:rPr>
          <w:rFonts w:hint="eastAsia" w:ascii="宋体" w:hAnsi="宋体" w:eastAsia="宋体" w:cs="宋体"/>
          <w:szCs w:val="24"/>
        </w:rPr>
        <w:t>供应商名称：                     （单位公章）</w:t>
      </w:r>
    </w:p>
    <w:p>
      <w:pPr>
        <w:pStyle w:val="25"/>
        <w:ind w:firstLine="480" w:firstLineChars="200"/>
        <w:jc w:val="center"/>
        <w:rPr>
          <w:rFonts w:hint="eastAsia" w:ascii="宋体" w:hAnsi="宋体" w:eastAsia="宋体" w:cs="宋体"/>
          <w:szCs w:val="24"/>
        </w:rPr>
      </w:pPr>
    </w:p>
    <w:p>
      <w:pPr>
        <w:tabs>
          <w:tab w:val="left" w:pos="3045"/>
        </w:tabs>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pPr>
        <w:spacing w:line="400" w:lineRule="exact"/>
        <w:ind w:firstLine="480" w:firstLineChars="200"/>
        <w:jc w:val="center"/>
        <w:rPr>
          <w:rFonts w:hint="eastAsia" w:ascii="宋体" w:hAnsi="宋体" w:eastAsia="宋体" w:cs="宋体"/>
          <w:sz w:val="24"/>
          <w:szCs w:val="24"/>
        </w:rPr>
      </w:pPr>
    </w:p>
    <w:p>
      <w:pPr>
        <w:spacing w:line="360" w:lineRule="auto"/>
        <w:ind w:left="525" w:leftChars="250"/>
        <w:rPr>
          <w:rFonts w:hint="eastAsia" w:ascii="宋体" w:hAnsi="宋体" w:eastAsia="宋体" w:cs="宋体"/>
          <w:b/>
          <w:bCs/>
          <w:sz w:val="28"/>
          <w:szCs w:val="28"/>
        </w:rPr>
      </w:pPr>
    </w:p>
    <w:p>
      <w:pPr>
        <w:spacing w:line="400" w:lineRule="exact"/>
        <w:ind w:firstLine="480" w:firstLineChars="200"/>
        <w:rPr>
          <w:rFonts w:hint="eastAsia" w:ascii="宋体" w:hAnsi="宋体" w:eastAsia="宋体" w:cs="宋体"/>
          <w:sz w:val="24"/>
          <w:szCs w:val="24"/>
        </w:rPr>
      </w:pPr>
    </w:p>
    <w:p>
      <w:pPr>
        <w:numPr>
          <w:ilvl w:val="0"/>
          <w:numId w:val="7"/>
        </w:numPr>
        <w:jc w:val="center"/>
        <w:outlineLvl w:val="1"/>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供应商承诺书</w:t>
      </w:r>
    </w:p>
    <w:p>
      <w:pPr>
        <w:jc w:val="center"/>
        <w:rPr>
          <w:rFonts w:hint="eastAsia" w:ascii="宋体" w:hAnsi="宋体" w:eastAsia="宋体" w:cs="宋体"/>
          <w:b/>
          <w:sz w:val="28"/>
          <w:szCs w:val="28"/>
        </w:rPr>
      </w:pPr>
    </w:p>
    <w:p>
      <w:pPr>
        <w:jc w:val="center"/>
        <w:outlineLvl w:val="2"/>
        <w:rPr>
          <w:rFonts w:hint="eastAsia" w:ascii="宋体" w:hAnsi="宋体" w:eastAsia="宋体" w:cs="宋体"/>
          <w:b/>
          <w:sz w:val="28"/>
          <w:szCs w:val="28"/>
        </w:rPr>
      </w:pP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承诺单位：（盖章）</w:t>
      </w:r>
    </w:p>
    <w:p>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法定代表人或被授权人：      （签字或盖章）</w:t>
      </w:r>
    </w:p>
    <w:p>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地  址：        </w:t>
      </w:r>
    </w:p>
    <w:p>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邮  编：</w:t>
      </w:r>
    </w:p>
    <w:p>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电  话：                        </w:t>
      </w:r>
    </w:p>
    <w:p>
      <w:pPr>
        <w:widowControl/>
        <w:spacing w:line="408" w:lineRule="auto"/>
        <w:ind w:left="239" w:leftChars="114"/>
        <w:jc w:val="right"/>
        <w:rPr>
          <w:rFonts w:hint="eastAsia" w:ascii="宋体" w:hAnsi="宋体" w:eastAsia="宋体" w:cs="宋体"/>
          <w:kern w:val="0"/>
          <w:sz w:val="24"/>
        </w:rPr>
      </w:pPr>
      <w:r>
        <w:rPr>
          <w:rFonts w:hint="eastAsia" w:ascii="宋体" w:hAnsi="宋体" w:eastAsia="宋体" w:cs="宋体"/>
          <w:kern w:val="0"/>
          <w:sz w:val="24"/>
        </w:rPr>
        <w:t>                           年  月  日</w:t>
      </w:r>
    </w:p>
    <w:p>
      <w:pPr>
        <w:spacing w:before="240" w:line="360" w:lineRule="auto"/>
        <w:ind w:left="1"/>
        <w:jc w:val="center"/>
        <w:outlineLvl w:val="1"/>
        <w:rPr>
          <w:rFonts w:hint="eastAsia" w:ascii="宋体" w:hAnsi="宋体" w:eastAsia="宋体" w:cs="宋体"/>
          <w:b/>
          <w:sz w:val="32"/>
          <w:szCs w:val="32"/>
        </w:rPr>
      </w:pPr>
      <w:r>
        <w:rPr>
          <w:rFonts w:hint="eastAsia" w:ascii="宋体" w:hAnsi="宋体" w:eastAsia="宋体" w:cs="宋体"/>
          <w:b/>
          <w:sz w:val="36"/>
          <w:szCs w:val="36"/>
        </w:rPr>
        <w:br w:type="page"/>
      </w:r>
      <w:r>
        <w:rPr>
          <w:rFonts w:hint="eastAsia" w:ascii="宋体" w:hAnsi="宋体" w:eastAsia="宋体" w:cs="宋体"/>
          <w:b/>
          <w:sz w:val="32"/>
          <w:szCs w:val="32"/>
        </w:rPr>
        <w:t xml:space="preserve">六、资格证明文件 </w:t>
      </w:r>
    </w:p>
    <w:p>
      <w:pPr>
        <w:spacing w:line="360" w:lineRule="auto"/>
        <w:ind w:firstLine="482" w:firstLineChars="200"/>
        <w:rPr>
          <w:rFonts w:hint="eastAsia" w:ascii="宋体" w:hAnsi="宋体" w:eastAsia="宋体" w:cs="宋体"/>
          <w:sz w:val="24"/>
          <w:szCs w:val="24"/>
          <w:highlight w:val="yellow"/>
        </w:rPr>
      </w:pPr>
      <w:r>
        <w:rPr>
          <w:rFonts w:hint="eastAsia" w:ascii="宋体" w:hAnsi="宋体" w:eastAsia="宋体" w:cs="宋体"/>
          <w:b/>
          <w:bCs/>
          <w:sz w:val="24"/>
          <w:szCs w:val="24"/>
        </w:rPr>
        <w:t>（一）基本资格条件：</w:t>
      </w:r>
      <w:r>
        <w:rPr>
          <w:rFonts w:hint="eastAsia" w:ascii="宋体" w:hAnsi="宋体" w:eastAsia="宋体" w:cs="宋体"/>
          <w:sz w:val="24"/>
          <w:szCs w:val="24"/>
        </w:rPr>
        <w:t>符合《中华人民共和国政府采购法》第二十二条的规定；</w:t>
      </w:r>
    </w:p>
    <w:p>
      <w:pPr>
        <w:pStyle w:val="12"/>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（二）特定资格条件：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供应商须具备工程设计综合资质甲级或市政行业工程设计乙级及以上资质或市政行业（燃气、轨道交通除外）乙级及以上资质，项目负责人须具备相关专业工程师及以上职称，且在本单位任职；（4）、提供谈判响应文件递交截止日前一年内已缴纳的至少一个月的纳税证明或完税证明，依法免税的单位应提供相关证明材料；（5）、提供谈判响应文件递交截止日前一年内已缴存的至少一个月的社会保障资金缴存单据或社保机构开具的社会保险参保缴费情况证明，依法不需要缴纳社会保障资金的单位应提供相关证明材料；（6）、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7）、参加政府活动近三年内，在经营活动中无重大违法记录的书面声明；（8）供应商不得为中国执行信息公开网（http://zxgk.court.gov.cn/shixin/）失信被执行人及“信用中国”网站（www.creditchina.gov.cn）重大税收违法失信主体；不得为中国政府采购网（www.ccgp.gov.cn）政府采购严重违法失信行为记录名单中的供应商。（9）、谈判保证金缴纳凭证或担保机构出具的保函；（10）、单位负责人为同一人或者存在直接控股、管理关系的不同供应商，不得参加同一合同项下的政府采购活动。</w:t>
      </w:r>
    </w:p>
    <w:p>
      <w:pPr>
        <w:spacing w:line="560" w:lineRule="exact"/>
        <w:jc w:val="center"/>
        <w:outlineLvl w:val="2"/>
        <w:rPr>
          <w:rFonts w:hint="eastAsia" w:ascii="宋体" w:hAnsi="宋体" w:eastAsia="宋体" w:cs="宋体"/>
          <w:b/>
          <w:bCs/>
          <w:sz w:val="28"/>
          <w:szCs w:val="28"/>
        </w:rPr>
      </w:pPr>
    </w:p>
    <w:p>
      <w:pPr>
        <w:spacing w:line="560" w:lineRule="exact"/>
        <w:jc w:val="center"/>
        <w:outlineLvl w:val="2"/>
        <w:rPr>
          <w:rFonts w:hint="eastAsia" w:ascii="宋体" w:hAnsi="宋体" w:eastAsia="宋体" w:cs="宋体"/>
          <w:b/>
          <w:bCs/>
          <w:sz w:val="28"/>
          <w:szCs w:val="28"/>
        </w:rPr>
      </w:pPr>
    </w:p>
    <w:p>
      <w:pPr>
        <w:spacing w:line="560" w:lineRule="exact"/>
        <w:jc w:val="center"/>
        <w:outlineLvl w:val="2"/>
        <w:rPr>
          <w:rFonts w:hint="eastAsia" w:ascii="宋体" w:hAnsi="宋体" w:eastAsia="宋体" w:cs="宋体"/>
          <w:b/>
          <w:bCs/>
          <w:sz w:val="28"/>
          <w:szCs w:val="28"/>
        </w:rPr>
      </w:pPr>
    </w:p>
    <w:p>
      <w:pPr>
        <w:spacing w:line="560" w:lineRule="exact"/>
        <w:jc w:val="center"/>
        <w:outlineLvl w:val="2"/>
        <w:rPr>
          <w:rFonts w:hint="eastAsia" w:ascii="宋体" w:hAnsi="宋体" w:eastAsia="宋体" w:cs="宋体"/>
          <w:b/>
          <w:bCs/>
          <w:sz w:val="28"/>
          <w:szCs w:val="28"/>
        </w:rPr>
      </w:pPr>
    </w:p>
    <w:p>
      <w:pPr>
        <w:spacing w:line="560" w:lineRule="exact"/>
        <w:jc w:val="center"/>
        <w:outlineLvl w:val="2"/>
        <w:rPr>
          <w:rFonts w:hint="eastAsia" w:ascii="宋体" w:hAnsi="宋体" w:eastAsia="宋体" w:cs="宋体"/>
          <w:b/>
          <w:bCs/>
          <w:sz w:val="28"/>
          <w:szCs w:val="28"/>
        </w:rPr>
      </w:pPr>
    </w:p>
    <w:p>
      <w:pPr>
        <w:spacing w:line="560" w:lineRule="exact"/>
        <w:jc w:val="center"/>
        <w:outlineLvl w:val="2"/>
        <w:rPr>
          <w:rFonts w:hint="eastAsia" w:ascii="宋体" w:hAnsi="宋体" w:eastAsia="宋体" w:cs="宋体"/>
          <w:b/>
          <w:bCs/>
          <w:sz w:val="28"/>
          <w:szCs w:val="28"/>
        </w:rPr>
      </w:pPr>
    </w:p>
    <w:p>
      <w:pPr>
        <w:spacing w:line="560" w:lineRule="exact"/>
        <w:jc w:val="center"/>
        <w:outlineLvl w:val="2"/>
        <w:rPr>
          <w:rFonts w:hint="eastAsia" w:ascii="宋体" w:hAnsi="宋体" w:eastAsia="宋体" w:cs="宋体"/>
          <w:b/>
          <w:bCs/>
          <w:sz w:val="30"/>
          <w:szCs w:val="30"/>
        </w:rPr>
      </w:pPr>
      <w:r>
        <w:rPr>
          <w:rFonts w:hint="eastAsia" w:ascii="宋体" w:hAnsi="宋体" w:eastAsia="宋体" w:cs="宋体"/>
          <w:b/>
          <w:bCs/>
          <w:sz w:val="28"/>
          <w:szCs w:val="28"/>
        </w:rPr>
        <w:t>（1）</w:t>
      </w:r>
      <w:r>
        <w:rPr>
          <w:rFonts w:hint="eastAsia" w:ascii="宋体" w:hAnsi="宋体" w:eastAsia="宋体" w:cs="宋体"/>
          <w:b/>
          <w:bCs/>
          <w:sz w:val="30"/>
          <w:szCs w:val="30"/>
        </w:rPr>
        <w:t>法定代表人身份证明/法定代表人授权书</w:t>
      </w:r>
    </w:p>
    <w:p>
      <w:pPr>
        <w:spacing w:line="440" w:lineRule="exact"/>
        <w:ind w:left="-359" w:leftChars="-171" w:firstLine="496" w:firstLineChars="200"/>
        <w:jc w:val="center"/>
        <w:rPr>
          <w:rFonts w:hint="eastAsia" w:ascii="宋体" w:hAnsi="宋体" w:eastAsia="宋体" w:cs="宋体"/>
          <w:spacing w:val="4"/>
          <w:sz w:val="24"/>
          <w:szCs w:val="32"/>
        </w:rPr>
      </w:pPr>
    </w:p>
    <w:p>
      <w:pPr>
        <w:spacing w:line="440" w:lineRule="exact"/>
        <w:ind w:left="-359" w:leftChars="-171"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pPr>
        <w:autoSpaceDE w:val="0"/>
        <w:autoSpaceDN w:val="0"/>
        <w:adjustRightInd w:val="0"/>
        <w:snapToGrid w:val="0"/>
        <w:spacing w:beforeLines="50" w:line="360" w:lineRule="auto"/>
        <w:jc w:val="left"/>
        <w:rPr>
          <w:rFonts w:hint="eastAsia" w:ascii="宋体" w:hAnsi="宋体" w:eastAsia="宋体" w:cs="宋体"/>
          <w:sz w:val="24"/>
        </w:rPr>
      </w:pPr>
    </w:p>
    <w:p>
      <w:pPr>
        <w:autoSpaceDE w:val="0"/>
        <w:autoSpaceDN w:val="0"/>
        <w:adjustRightInd w:val="0"/>
        <w:snapToGrid w:val="0"/>
        <w:spacing w:beforeLines="50" w:line="360" w:lineRule="auto"/>
        <w:jc w:val="left"/>
        <w:rPr>
          <w:rFonts w:hint="eastAsia" w:ascii="宋体" w:hAnsi="宋体" w:eastAsia="宋体" w:cs="宋体"/>
          <w:kern w:val="0"/>
          <w:sz w:val="24"/>
        </w:rPr>
      </w:pPr>
      <w:r>
        <w:rPr>
          <w:rFonts w:hint="eastAsia" w:ascii="宋体" w:hAnsi="宋体" w:eastAsia="宋体" w:cs="宋体"/>
          <w:sz w:val="24"/>
        </w:rPr>
        <w:t>供应商</w:t>
      </w:r>
      <w:r>
        <w:rPr>
          <w:rFonts w:hint="eastAsia" w:ascii="宋体" w:hAnsi="宋体" w:eastAsia="宋体" w:cs="宋体"/>
          <w:kern w:val="0"/>
          <w:sz w:val="24"/>
        </w:rPr>
        <w:t>名称：</w:t>
      </w:r>
    </w:p>
    <w:p>
      <w:pPr>
        <w:autoSpaceDE w:val="0"/>
        <w:autoSpaceDN w:val="0"/>
        <w:adjustRightInd w:val="0"/>
        <w:snapToGrid w:val="0"/>
        <w:spacing w:beforeLines="50" w:line="360" w:lineRule="auto"/>
        <w:jc w:val="left"/>
        <w:rPr>
          <w:rFonts w:hint="eastAsia" w:ascii="宋体" w:hAnsi="宋体" w:eastAsia="宋体" w:cs="宋体"/>
          <w:kern w:val="0"/>
          <w:sz w:val="24"/>
        </w:rPr>
      </w:pPr>
      <w:r>
        <w:rPr>
          <w:rFonts w:hint="eastAsia" w:ascii="宋体" w:hAnsi="宋体" w:eastAsia="宋体" w:cs="宋体"/>
          <w:kern w:val="0"/>
          <w:sz w:val="24"/>
        </w:rPr>
        <w:t>统一社会信用代码：</w:t>
      </w:r>
    </w:p>
    <w:p>
      <w:pPr>
        <w:autoSpaceDE w:val="0"/>
        <w:autoSpaceDN w:val="0"/>
        <w:adjustRightInd w:val="0"/>
        <w:snapToGrid w:val="0"/>
        <w:spacing w:beforeLines="50" w:line="360" w:lineRule="auto"/>
        <w:jc w:val="left"/>
        <w:rPr>
          <w:rFonts w:hint="eastAsia" w:ascii="宋体" w:hAnsi="宋体" w:eastAsia="宋体" w:cs="宋体"/>
          <w:kern w:val="0"/>
          <w:sz w:val="24"/>
        </w:rPr>
      </w:pPr>
      <w:r>
        <w:rPr>
          <w:rFonts w:hint="eastAsia" w:ascii="宋体" w:hAnsi="宋体" w:eastAsia="宋体" w:cs="宋体"/>
          <w:kern w:val="0"/>
          <w:sz w:val="24"/>
        </w:rPr>
        <w:t>注册地址：</w:t>
      </w:r>
    </w:p>
    <w:p>
      <w:pPr>
        <w:autoSpaceDE w:val="0"/>
        <w:autoSpaceDN w:val="0"/>
        <w:adjustRightInd w:val="0"/>
        <w:snapToGrid w:val="0"/>
        <w:spacing w:beforeLines="50" w:line="360" w:lineRule="auto"/>
        <w:jc w:val="left"/>
        <w:rPr>
          <w:rFonts w:hint="eastAsia" w:ascii="宋体" w:hAnsi="宋体" w:eastAsia="宋体" w:cs="宋体"/>
          <w:kern w:val="0"/>
          <w:sz w:val="24"/>
        </w:rPr>
      </w:pPr>
      <w:r>
        <w:rPr>
          <w:rFonts w:hint="eastAsia" w:ascii="宋体" w:hAnsi="宋体" w:eastAsia="宋体" w:cs="宋体"/>
          <w:kern w:val="0"/>
          <w:sz w:val="24"/>
        </w:rPr>
        <w:t>成立时间：年 月日</w:t>
      </w:r>
    </w:p>
    <w:p>
      <w:pPr>
        <w:autoSpaceDE w:val="0"/>
        <w:autoSpaceDN w:val="0"/>
        <w:adjustRightInd w:val="0"/>
        <w:snapToGrid w:val="0"/>
        <w:spacing w:beforeLines="50" w:line="360" w:lineRule="auto"/>
        <w:jc w:val="left"/>
        <w:rPr>
          <w:rFonts w:hint="eastAsia" w:ascii="宋体" w:hAnsi="宋体" w:eastAsia="宋体" w:cs="宋体"/>
          <w:kern w:val="0"/>
          <w:sz w:val="24"/>
          <w:u w:val="single"/>
        </w:rPr>
      </w:pPr>
      <w:r>
        <w:rPr>
          <w:rFonts w:hint="eastAsia" w:ascii="宋体" w:hAnsi="宋体" w:eastAsia="宋体" w:cs="宋体"/>
          <w:kern w:val="0"/>
          <w:sz w:val="24"/>
        </w:rPr>
        <w:t>经营期限：</w:t>
      </w:r>
    </w:p>
    <w:p>
      <w:pPr>
        <w:autoSpaceDE w:val="0"/>
        <w:autoSpaceDN w:val="0"/>
        <w:adjustRightInd w:val="0"/>
        <w:snapToGrid w:val="0"/>
        <w:spacing w:beforeLines="50" w:line="360" w:lineRule="auto"/>
        <w:jc w:val="left"/>
        <w:rPr>
          <w:rFonts w:hint="eastAsia" w:ascii="宋体" w:hAnsi="宋体" w:eastAsia="宋体" w:cs="宋体"/>
          <w:kern w:val="0"/>
          <w:sz w:val="24"/>
        </w:rPr>
      </w:pPr>
      <w:r>
        <w:rPr>
          <w:rFonts w:hint="eastAsia" w:ascii="宋体" w:hAnsi="宋体" w:eastAsia="宋体" w:cs="宋体"/>
          <w:kern w:val="0"/>
          <w:sz w:val="24"/>
        </w:rPr>
        <w:t>姓名： 性别： 年龄： 系（供应商名称）的法定代表人。</w:t>
      </w:r>
    </w:p>
    <w:p>
      <w:pPr>
        <w:autoSpaceDE w:val="0"/>
        <w:autoSpaceDN w:val="0"/>
        <w:adjustRightInd w:val="0"/>
        <w:snapToGrid w:val="0"/>
        <w:spacing w:beforeLines="50" w:line="360" w:lineRule="auto"/>
        <w:jc w:val="left"/>
        <w:rPr>
          <w:rFonts w:hint="eastAsia" w:ascii="宋体" w:hAnsi="宋体" w:eastAsia="宋体" w:cs="宋体"/>
          <w:kern w:val="0"/>
          <w:sz w:val="24"/>
        </w:rPr>
      </w:pPr>
      <w:r>
        <w:rPr>
          <w:rFonts w:hint="eastAsia" w:ascii="宋体" w:hAnsi="宋体" w:eastAsia="宋体" w:cs="宋体"/>
          <w:kern w:val="0"/>
          <w:sz w:val="24"/>
        </w:rPr>
        <w:t>特此证明。</w:t>
      </w:r>
    </w:p>
    <w:p>
      <w:pPr>
        <w:autoSpaceDE w:val="0"/>
        <w:autoSpaceDN w:val="0"/>
        <w:adjustRightInd w:val="0"/>
        <w:snapToGrid w:val="0"/>
        <w:spacing w:beforeLines="50" w:line="360" w:lineRule="auto"/>
        <w:jc w:val="left"/>
        <w:rPr>
          <w:rFonts w:hint="eastAsia" w:ascii="宋体" w:hAnsi="宋体" w:eastAsia="宋体" w:cs="宋体"/>
          <w:kern w:val="0"/>
          <w:szCs w:val="21"/>
        </w:rPr>
      </w:pPr>
      <w:r>
        <w:rPr>
          <w:rFonts w:hint="eastAsia" w:ascii="宋体" w:hAnsi="宋体" w:eastAsia="宋体" w:cs="宋体"/>
          <w:szCs w:val="21"/>
        </w:rPr>
        <w:t>附：法定代表人身份证复印件（正反面）</w:t>
      </w:r>
    </w:p>
    <w:p>
      <w:pPr>
        <w:snapToGrid w:val="0"/>
        <w:spacing w:line="480" w:lineRule="auto"/>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adjustRightInd w:val="0"/>
        <w:snapToGrid w:val="0"/>
        <w:spacing w:line="360" w:lineRule="auto"/>
        <w:rPr>
          <w:rFonts w:hint="eastAsia" w:ascii="宋体" w:hAnsi="宋体" w:eastAsia="宋体" w:cs="宋体"/>
          <w:sz w:val="24"/>
        </w:rPr>
      </w:pPr>
    </w:p>
    <w:p>
      <w:pPr>
        <w:adjustRightInd w:val="0"/>
        <w:snapToGrid w:val="0"/>
        <w:spacing w:line="360" w:lineRule="auto"/>
        <w:ind w:right="420"/>
        <w:rPr>
          <w:rFonts w:hint="eastAsia" w:ascii="宋体" w:hAnsi="宋体" w:eastAsia="宋体" w:cs="宋体"/>
          <w:sz w:val="24"/>
        </w:rPr>
      </w:pPr>
    </w:p>
    <w:p>
      <w:pPr>
        <w:adjustRightInd w:val="0"/>
        <w:snapToGrid w:val="0"/>
        <w:spacing w:line="360" w:lineRule="auto"/>
        <w:ind w:right="420"/>
        <w:rPr>
          <w:rFonts w:hint="eastAsia" w:ascii="宋体" w:hAnsi="宋体" w:eastAsia="宋体" w:cs="宋体"/>
          <w:sz w:val="24"/>
        </w:rPr>
      </w:pPr>
    </w:p>
    <w:p>
      <w:pPr>
        <w:adjustRightInd w:val="0"/>
        <w:snapToGrid w:val="0"/>
        <w:spacing w:line="360" w:lineRule="auto"/>
        <w:ind w:right="420"/>
        <w:rPr>
          <w:rFonts w:hint="eastAsia" w:ascii="宋体" w:hAnsi="宋体" w:eastAsia="宋体" w:cs="宋体"/>
          <w:sz w:val="24"/>
        </w:rPr>
      </w:pPr>
    </w:p>
    <w:p>
      <w:pPr>
        <w:adjustRightInd w:val="0"/>
        <w:snapToGrid w:val="0"/>
        <w:spacing w:line="360" w:lineRule="auto"/>
        <w:ind w:right="420"/>
        <w:rPr>
          <w:rFonts w:hint="eastAsia" w:ascii="宋体" w:hAnsi="宋体" w:eastAsia="宋体" w:cs="宋体"/>
          <w:sz w:val="24"/>
        </w:rPr>
      </w:pPr>
    </w:p>
    <w:p>
      <w:pPr>
        <w:adjustRightInd w:val="0"/>
        <w:snapToGrid w:val="0"/>
        <w:spacing w:line="360" w:lineRule="auto"/>
        <w:ind w:right="420"/>
        <w:rPr>
          <w:rFonts w:hint="eastAsia" w:ascii="宋体" w:hAnsi="宋体" w:eastAsia="宋体" w:cs="宋体"/>
          <w:sz w:val="24"/>
        </w:rPr>
      </w:pPr>
      <w:r>
        <w:rPr>
          <w:rFonts w:hint="eastAsia" w:ascii="宋体" w:hAnsi="宋体" w:eastAsia="宋体" w:cs="宋体"/>
          <w:sz w:val="24"/>
        </w:rPr>
        <w:t>供应商名称（公章）：</w:t>
      </w:r>
    </w:p>
    <w:p>
      <w:pPr>
        <w:adjustRightInd w:val="0"/>
        <w:snapToGrid w:val="0"/>
        <w:spacing w:line="360" w:lineRule="auto"/>
        <w:ind w:right="420"/>
        <w:rPr>
          <w:rFonts w:hint="eastAsia" w:ascii="宋体" w:hAnsi="宋体" w:eastAsia="宋体" w:cs="宋体"/>
          <w:sz w:val="24"/>
        </w:rPr>
      </w:pPr>
      <w:r>
        <w:rPr>
          <w:rFonts w:hint="eastAsia" w:ascii="宋体" w:hAnsi="宋体" w:eastAsia="宋体" w:cs="宋体"/>
          <w:sz w:val="24"/>
        </w:rPr>
        <w:t>日期：    年  月  日</w:t>
      </w:r>
    </w:p>
    <w:p>
      <w:pPr>
        <w:pStyle w:val="12"/>
        <w:rPr>
          <w:rFonts w:hint="eastAsia" w:ascii="宋体" w:hAnsi="宋体" w:eastAsia="宋体" w:cs="宋体"/>
        </w:rPr>
      </w:pPr>
    </w:p>
    <w:p>
      <w:pPr>
        <w:spacing w:line="500" w:lineRule="exact"/>
        <w:ind w:firstLine="482" w:firstLineChars="200"/>
        <w:rPr>
          <w:rFonts w:hint="eastAsia" w:ascii="宋体" w:hAnsi="宋体" w:eastAsia="宋体" w:cs="宋体"/>
          <w:b/>
          <w:bCs/>
          <w:sz w:val="24"/>
          <w:szCs w:val="24"/>
        </w:rPr>
      </w:pPr>
    </w:p>
    <w:p>
      <w:pPr>
        <w:pStyle w:val="12"/>
        <w:rPr>
          <w:rFonts w:hint="eastAsia" w:ascii="宋体" w:hAnsi="宋体" w:eastAsia="宋体" w:cs="宋体"/>
        </w:rPr>
      </w:pPr>
    </w:p>
    <w:p>
      <w:pPr>
        <w:pStyle w:val="12"/>
        <w:rPr>
          <w:rFonts w:hint="eastAsia" w:ascii="宋体" w:hAnsi="宋体" w:eastAsia="宋体" w:cs="宋体"/>
          <w:b/>
          <w:bCs/>
          <w:sz w:val="24"/>
          <w:szCs w:val="24"/>
        </w:rPr>
      </w:pPr>
    </w:p>
    <w:p>
      <w:pPr>
        <w:rPr>
          <w:rFonts w:hint="eastAsia" w:ascii="宋体" w:hAnsi="宋体" w:eastAsia="宋体" w:cs="宋体"/>
          <w:b/>
          <w:bCs/>
          <w:sz w:val="24"/>
          <w:szCs w:val="24"/>
        </w:rPr>
      </w:pPr>
    </w:p>
    <w:p>
      <w:pPr>
        <w:spacing w:beforeLines="100"/>
        <w:jc w:val="center"/>
        <w:rPr>
          <w:rFonts w:hint="eastAsia" w:ascii="宋体" w:hAnsi="宋体" w:eastAsia="宋体" w:cs="宋体"/>
          <w:b/>
          <w:bCs/>
          <w:sz w:val="32"/>
          <w:szCs w:val="32"/>
        </w:rPr>
      </w:pPr>
    </w:p>
    <w:p>
      <w:pPr>
        <w:spacing w:beforeLines="100"/>
        <w:jc w:val="center"/>
        <w:rPr>
          <w:rFonts w:hint="eastAsia" w:ascii="宋体" w:hAnsi="宋体" w:eastAsia="宋体" w:cs="宋体"/>
          <w:b/>
          <w:bCs/>
          <w:spacing w:val="4"/>
          <w:sz w:val="24"/>
          <w:szCs w:val="30"/>
        </w:rPr>
      </w:pPr>
      <w:r>
        <w:rPr>
          <w:rFonts w:hint="eastAsia" w:ascii="宋体" w:hAnsi="宋体" w:eastAsia="宋体" w:cs="宋体"/>
          <w:b/>
          <w:bCs/>
          <w:sz w:val="32"/>
          <w:szCs w:val="32"/>
        </w:rPr>
        <w:t>法定代表人授权书</w:t>
      </w:r>
    </w:p>
    <w:p>
      <w:pPr>
        <w:spacing w:line="500" w:lineRule="exact"/>
        <w:ind w:firstLine="744" w:firstLineChars="300"/>
        <w:jc w:val="left"/>
        <w:rPr>
          <w:rFonts w:hint="eastAsia" w:ascii="宋体" w:hAnsi="宋体" w:eastAsia="宋体" w:cs="宋体"/>
          <w:spacing w:val="4"/>
          <w:sz w:val="24"/>
          <w:szCs w:val="30"/>
          <w:u w:val="single"/>
        </w:rPr>
      </w:pPr>
    </w:p>
    <w:p>
      <w:pPr>
        <w:spacing w:line="500" w:lineRule="exact"/>
        <w:ind w:firstLine="744" w:firstLineChars="300"/>
        <w:jc w:val="left"/>
        <w:rPr>
          <w:rFonts w:hint="eastAsia" w:ascii="宋体" w:hAnsi="宋体" w:eastAsia="宋体" w:cs="宋体"/>
          <w:spacing w:val="4"/>
          <w:sz w:val="24"/>
          <w:szCs w:val="30"/>
        </w:rPr>
      </w:pPr>
      <w:r>
        <w:rPr>
          <w:rFonts w:hint="eastAsia" w:ascii="宋体" w:hAnsi="宋体" w:eastAsia="宋体" w:cs="宋体"/>
          <w:spacing w:val="4"/>
          <w:sz w:val="24"/>
          <w:szCs w:val="30"/>
          <w:u w:val="single"/>
        </w:rPr>
        <w:t xml:space="preserve">(供应商名称)      </w:t>
      </w:r>
      <w:r>
        <w:rPr>
          <w:rFonts w:hint="eastAsia" w:ascii="宋体" w:hAnsi="宋体" w:eastAsia="宋体" w:cs="宋体"/>
          <w:spacing w:val="4"/>
          <w:sz w:val="24"/>
          <w:szCs w:val="30"/>
        </w:rPr>
        <w:t>按中华人民共和国法律于</w:t>
      </w:r>
      <w:r>
        <w:rPr>
          <w:rFonts w:hint="eastAsia" w:ascii="宋体" w:hAnsi="宋体" w:eastAsia="宋体" w:cs="宋体"/>
          <w:spacing w:val="4"/>
          <w:sz w:val="24"/>
          <w:szCs w:val="30"/>
          <w:u w:val="single"/>
        </w:rPr>
        <w:t>（  年  月  日 ）</w:t>
      </w:r>
      <w:r>
        <w:rPr>
          <w:rFonts w:hint="eastAsia" w:ascii="宋体" w:hAnsi="宋体" w:eastAsia="宋体" w:cs="宋体"/>
          <w:spacing w:val="4"/>
          <w:sz w:val="24"/>
          <w:szCs w:val="30"/>
        </w:rPr>
        <w:t>成立。      法定代表人</w:t>
      </w:r>
      <w:r>
        <w:rPr>
          <w:rFonts w:hint="eastAsia" w:ascii="宋体" w:hAnsi="宋体" w:eastAsia="宋体" w:cs="宋体"/>
          <w:spacing w:val="4"/>
          <w:sz w:val="24"/>
          <w:szCs w:val="30"/>
          <w:u w:val="single"/>
        </w:rPr>
        <w:t>姓名</w:t>
      </w:r>
      <w:r>
        <w:rPr>
          <w:rFonts w:hint="eastAsia" w:ascii="宋体" w:hAnsi="宋体" w:eastAsia="宋体" w:cs="宋体"/>
          <w:spacing w:val="4"/>
          <w:sz w:val="24"/>
          <w:szCs w:val="30"/>
        </w:rPr>
        <w:t>特授权</w:t>
      </w:r>
      <w:r>
        <w:rPr>
          <w:rFonts w:hint="eastAsia" w:ascii="宋体" w:hAnsi="宋体" w:eastAsia="宋体" w:cs="宋体"/>
          <w:spacing w:val="4"/>
          <w:sz w:val="24"/>
          <w:szCs w:val="30"/>
          <w:u w:val="single"/>
        </w:rPr>
        <w:t>被授权人姓名</w:t>
      </w:r>
      <w:r>
        <w:rPr>
          <w:rFonts w:hint="eastAsia" w:ascii="宋体" w:hAnsi="宋体" w:eastAsia="宋体" w:cs="宋体"/>
          <w:spacing w:val="4"/>
          <w:sz w:val="24"/>
          <w:szCs w:val="30"/>
        </w:rPr>
        <w:t>代表我公司全权办理针对本次</w:t>
      </w:r>
      <w:r>
        <w:rPr>
          <w:rFonts w:hint="eastAsia" w:ascii="宋体" w:hAnsi="宋体" w:eastAsia="宋体" w:cs="宋体"/>
          <w:spacing w:val="4"/>
          <w:sz w:val="24"/>
          <w:szCs w:val="30"/>
          <w:u w:val="single"/>
        </w:rPr>
        <w:t xml:space="preserve">项目名称、项目编号   </w:t>
      </w:r>
      <w:r>
        <w:rPr>
          <w:rFonts w:hint="eastAsia" w:ascii="宋体" w:hAnsi="宋体" w:eastAsia="宋体" w:cs="宋体"/>
          <w:spacing w:val="4"/>
          <w:sz w:val="24"/>
          <w:szCs w:val="30"/>
        </w:rPr>
        <w:t>项目的谈判、签约等具体工作，并签署全部有关的文件、协议及合同。</w:t>
      </w:r>
    </w:p>
    <w:p>
      <w:pPr>
        <w:spacing w:line="500" w:lineRule="exact"/>
        <w:ind w:firstLine="496" w:firstLineChars="200"/>
        <w:jc w:val="left"/>
        <w:rPr>
          <w:rFonts w:hint="eastAsia" w:ascii="宋体" w:hAnsi="宋体" w:eastAsia="宋体" w:cs="宋体"/>
          <w:spacing w:val="4"/>
          <w:sz w:val="24"/>
          <w:szCs w:val="30"/>
        </w:rPr>
      </w:pPr>
      <w:r>
        <w:rPr>
          <w:rFonts w:hint="eastAsia" w:ascii="宋体" w:hAnsi="宋体" w:eastAsia="宋体" w:cs="宋体"/>
          <w:spacing w:val="4"/>
          <w:sz w:val="24"/>
          <w:szCs w:val="30"/>
        </w:rPr>
        <w:t>我公司对被授权人的签名负全部责任。</w:t>
      </w:r>
    </w:p>
    <w:p>
      <w:pPr>
        <w:spacing w:line="500" w:lineRule="exact"/>
        <w:ind w:firstLine="496" w:firstLineChars="200"/>
        <w:jc w:val="left"/>
        <w:rPr>
          <w:rFonts w:hint="eastAsia" w:ascii="宋体" w:hAnsi="宋体" w:eastAsia="宋体" w:cs="宋体"/>
          <w:spacing w:val="4"/>
          <w:sz w:val="24"/>
          <w:szCs w:val="30"/>
        </w:rPr>
      </w:pPr>
      <w:r>
        <w:rPr>
          <w:rFonts w:hint="eastAsia" w:ascii="宋体" w:hAnsi="宋体" w:eastAsia="宋体" w:cs="宋体"/>
          <w:spacing w:val="4"/>
          <w:sz w:val="24"/>
          <w:szCs w:val="30"/>
        </w:rPr>
        <w:t>本授权有效期与谈判有效期一致。</w:t>
      </w:r>
    </w:p>
    <w:tbl>
      <w:tblPr>
        <w:tblStyle w:val="29"/>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tcPr>
          <w:p>
            <w:pPr>
              <w:spacing w:line="500" w:lineRule="exact"/>
              <w:jc w:val="left"/>
              <w:rPr>
                <w:rFonts w:hint="eastAsia" w:ascii="宋体" w:hAnsi="宋体" w:eastAsia="宋体" w:cs="宋体"/>
                <w:spacing w:val="4"/>
                <w:sz w:val="24"/>
              </w:rPr>
            </w:pPr>
            <w:r>
              <w:rPr>
                <w:rFonts w:hint="eastAsia" w:ascii="宋体" w:hAnsi="宋体" w:eastAsia="宋体" w:cs="宋体"/>
                <w:spacing w:val="4"/>
                <w:sz w:val="24"/>
              </w:rPr>
              <w:t>被授权人签字或盖章：</w:t>
            </w:r>
          </w:p>
        </w:tc>
        <w:tc>
          <w:tcPr>
            <w:tcW w:w="3990" w:type="dxa"/>
            <w:noWrap/>
          </w:tcPr>
          <w:p>
            <w:pPr>
              <w:spacing w:line="500" w:lineRule="exact"/>
              <w:jc w:val="left"/>
              <w:rPr>
                <w:rFonts w:hint="eastAsia" w:ascii="宋体" w:hAnsi="宋体" w:eastAsia="宋体" w:cs="宋体"/>
                <w:spacing w:val="4"/>
                <w:sz w:val="24"/>
              </w:rPr>
            </w:pPr>
            <w:r>
              <w:rPr>
                <w:rFonts w:hint="eastAsia" w:ascii="宋体" w:hAnsi="宋体" w:eastAsia="宋体" w:cs="宋体"/>
                <w:spacing w:val="4"/>
                <w:sz w:val="24"/>
              </w:rPr>
              <w:t>法定代表人签字或盖章：</w:t>
            </w:r>
          </w:p>
        </w:tc>
      </w:tr>
      <w:tr>
        <w:tblPrEx>
          <w:tblCellMar>
            <w:top w:w="0" w:type="dxa"/>
            <w:left w:w="108" w:type="dxa"/>
            <w:bottom w:w="0" w:type="dxa"/>
            <w:right w:w="108" w:type="dxa"/>
          </w:tblCellMar>
        </w:tblPrEx>
        <w:trPr>
          <w:trHeight w:val="600" w:hRule="atLeast"/>
        </w:trPr>
        <w:tc>
          <w:tcPr>
            <w:tcW w:w="4200" w:type="dxa"/>
            <w:noWrap/>
          </w:tcPr>
          <w:p>
            <w:pPr>
              <w:spacing w:line="500" w:lineRule="exact"/>
              <w:jc w:val="left"/>
              <w:rPr>
                <w:rFonts w:hint="eastAsia" w:ascii="宋体" w:hAnsi="宋体" w:eastAsia="宋体" w:cs="宋体"/>
                <w:spacing w:val="4"/>
                <w:sz w:val="24"/>
              </w:rPr>
            </w:pPr>
            <w:r>
              <w:rPr>
                <w:rFonts w:hint="eastAsia" w:ascii="宋体" w:hAnsi="宋体" w:eastAsia="宋体" w:cs="宋体"/>
                <w:spacing w:val="4"/>
                <w:sz w:val="24"/>
              </w:rPr>
              <w:t>职务：</w:t>
            </w:r>
          </w:p>
        </w:tc>
        <w:tc>
          <w:tcPr>
            <w:tcW w:w="3990" w:type="dxa"/>
            <w:noWrap/>
          </w:tcPr>
          <w:p>
            <w:pPr>
              <w:spacing w:line="500" w:lineRule="exact"/>
              <w:jc w:val="left"/>
              <w:rPr>
                <w:rFonts w:hint="eastAsia" w:ascii="宋体" w:hAnsi="宋体" w:eastAsia="宋体" w:cs="宋体"/>
                <w:spacing w:val="4"/>
                <w:sz w:val="24"/>
              </w:rPr>
            </w:pPr>
            <w:r>
              <w:rPr>
                <w:rFonts w:hint="eastAsia" w:ascii="宋体" w:hAnsi="宋体" w:eastAsia="宋体" w:cs="宋体"/>
                <w:spacing w:val="4"/>
                <w:sz w:val="24"/>
              </w:rPr>
              <w:t>职务：</w:t>
            </w:r>
          </w:p>
        </w:tc>
      </w:tr>
      <w:tr>
        <w:tblPrEx>
          <w:tblCellMar>
            <w:top w:w="0" w:type="dxa"/>
            <w:left w:w="108" w:type="dxa"/>
            <w:bottom w:w="0" w:type="dxa"/>
            <w:right w:w="108" w:type="dxa"/>
          </w:tblCellMar>
        </w:tblPrEx>
        <w:trPr>
          <w:trHeight w:val="600" w:hRule="atLeast"/>
        </w:trPr>
        <w:tc>
          <w:tcPr>
            <w:tcW w:w="4200" w:type="dxa"/>
            <w:noWrap/>
          </w:tcPr>
          <w:p>
            <w:pPr>
              <w:spacing w:line="500" w:lineRule="exact"/>
              <w:jc w:val="left"/>
              <w:rPr>
                <w:rFonts w:hint="eastAsia" w:ascii="宋体" w:hAnsi="宋体" w:eastAsia="宋体" w:cs="宋体"/>
                <w:spacing w:val="4"/>
                <w:sz w:val="24"/>
              </w:rPr>
            </w:pPr>
            <w:r>
              <w:rPr>
                <w:rFonts w:hint="eastAsia" w:ascii="宋体" w:hAnsi="宋体" w:eastAsia="宋体" w:cs="宋体"/>
                <w:spacing w:val="4"/>
                <w:sz w:val="24"/>
              </w:rPr>
              <w:t>身份证号：</w:t>
            </w:r>
          </w:p>
        </w:tc>
        <w:tc>
          <w:tcPr>
            <w:tcW w:w="3990" w:type="dxa"/>
            <w:noWrap/>
          </w:tcPr>
          <w:p>
            <w:pPr>
              <w:spacing w:line="500" w:lineRule="exact"/>
              <w:jc w:val="left"/>
              <w:rPr>
                <w:rFonts w:hint="eastAsia" w:ascii="宋体" w:hAnsi="宋体" w:eastAsia="宋体" w:cs="宋体"/>
                <w:spacing w:val="4"/>
                <w:sz w:val="24"/>
              </w:rPr>
            </w:pPr>
            <w:r>
              <w:rPr>
                <w:rFonts w:hint="eastAsia" w:ascii="宋体" w:hAnsi="宋体" w:eastAsia="宋体" w:cs="宋体"/>
                <w:spacing w:val="4"/>
                <w:sz w:val="24"/>
              </w:rPr>
              <w:t>身份证号：</w:t>
            </w:r>
          </w:p>
        </w:tc>
      </w:tr>
    </w:tbl>
    <w:p>
      <w:pPr>
        <w:spacing w:line="500" w:lineRule="exact"/>
        <w:ind w:firstLine="496" w:firstLineChars="200"/>
        <w:jc w:val="left"/>
        <w:rPr>
          <w:rFonts w:hint="eastAsia" w:ascii="宋体" w:hAnsi="宋体" w:eastAsia="宋体" w:cs="宋体"/>
          <w:spacing w:val="4"/>
          <w:sz w:val="24"/>
        </w:rPr>
      </w:pPr>
    </w:p>
    <w:p>
      <w:pPr>
        <w:spacing w:line="440" w:lineRule="exact"/>
        <w:ind w:firstLine="505" w:firstLineChars="204"/>
        <w:rPr>
          <w:rFonts w:hint="eastAsia" w:ascii="宋体" w:hAnsi="宋体" w:eastAsia="宋体" w:cs="宋体"/>
          <w:spacing w:val="4"/>
          <w:sz w:val="24"/>
          <w:szCs w:val="30"/>
        </w:rPr>
      </w:pPr>
      <w:r>
        <w:rPr>
          <w:rFonts w:hint="eastAsia" w:ascii="宋体" w:hAnsi="宋体" w:eastAsia="宋体" w:cs="宋体"/>
          <w:spacing w:val="4"/>
          <w:sz w:val="24"/>
          <w:szCs w:val="30"/>
        </w:rPr>
        <w:t>附：法定代表人、</w:t>
      </w:r>
      <w:r>
        <w:rPr>
          <w:rFonts w:hint="eastAsia" w:ascii="宋体" w:hAnsi="宋体" w:eastAsia="宋体" w:cs="宋体"/>
          <w:spacing w:val="4"/>
          <w:sz w:val="24"/>
        </w:rPr>
        <w:t>被授权人</w:t>
      </w:r>
      <w:r>
        <w:rPr>
          <w:rFonts w:hint="eastAsia" w:ascii="宋体" w:hAnsi="宋体" w:eastAsia="宋体" w:cs="宋体"/>
          <w:spacing w:val="4"/>
          <w:sz w:val="24"/>
          <w:szCs w:val="30"/>
        </w:rPr>
        <w:t>身份证复印件（正反面）</w:t>
      </w:r>
    </w:p>
    <w:p>
      <w:pPr>
        <w:spacing w:line="440" w:lineRule="exact"/>
        <w:rPr>
          <w:rFonts w:hint="eastAsia" w:ascii="宋体" w:hAnsi="宋体" w:eastAsia="宋体" w:cs="宋体"/>
          <w:spacing w:val="4"/>
          <w:sz w:val="24"/>
          <w:szCs w:val="30"/>
        </w:rPr>
      </w:pPr>
    </w:p>
    <w:p>
      <w:pPr>
        <w:pStyle w:val="12"/>
        <w:rPr>
          <w:rFonts w:hint="eastAsia" w:ascii="宋体" w:hAnsi="宋体" w:eastAsia="宋体" w:cs="宋体"/>
          <w:spacing w:val="4"/>
          <w:sz w:val="24"/>
          <w:szCs w:val="30"/>
        </w:rPr>
      </w:pPr>
    </w:p>
    <w:p>
      <w:pPr>
        <w:pStyle w:val="12"/>
        <w:rPr>
          <w:rFonts w:hint="eastAsia" w:ascii="宋体" w:hAnsi="宋体" w:eastAsia="宋体" w:cs="宋体"/>
          <w:spacing w:val="4"/>
          <w:sz w:val="24"/>
          <w:szCs w:val="30"/>
        </w:rPr>
      </w:pPr>
    </w:p>
    <w:p>
      <w:pPr>
        <w:pStyle w:val="12"/>
        <w:rPr>
          <w:rFonts w:hint="eastAsia" w:ascii="宋体" w:hAnsi="宋体" w:eastAsia="宋体" w:cs="宋体"/>
          <w:spacing w:val="4"/>
          <w:sz w:val="24"/>
          <w:szCs w:val="30"/>
        </w:rPr>
      </w:pPr>
    </w:p>
    <w:p>
      <w:pPr>
        <w:pStyle w:val="12"/>
        <w:rPr>
          <w:rFonts w:hint="eastAsia" w:ascii="宋体" w:hAnsi="宋体" w:eastAsia="宋体" w:cs="宋体"/>
          <w:spacing w:val="4"/>
          <w:sz w:val="24"/>
          <w:szCs w:val="30"/>
        </w:rPr>
      </w:pPr>
    </w:p>
    <w:p>
      <w:pPr>
        <w:spacing w:line="440" w:lineRule="exact"/>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供应商名称（盖章）：</w:t>
      </w:r>
    </w:p>
    <w:p>
      <w:pPr>
        <w:spacing w:line="440" w:lineRule="exact"/>
        <w:ind w:firstLine="496" w:firstLineChars="200"/>
        <w:rPr>
          <w:rFonts w:hint="eastAsia" w:ascii="宋体" w:hAnsi="宋体" w:eastAsia="宋体" w:cs="宋体"/>
          <w:spacing w:val="4"/>
          <w:sz w:val="24"/>
          <w:szCs w:val="24"/>
        </w:rPr>
      </w:pPr>
    </w:p>
    <w:p>
      <w:pPr>
        <w:spacing w:line="440" w:lineRule="exact"/>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日期：</w:t>
      </w:r>
    </w:p>
    <w:p>
      <w:pPr>
        <w:pStyle w:val="12"/>
        <w:rPr>
          <w:rFonts w:hint="eastAsia" w:ascii="宋体" w:hAnsi="宋体" w:eastAsia="宋体" w:cs="宋体"/>
        </w:rPr>
      </w:pPr>
    </w:p>
    <w:p>
      <w:pPr>
        <w:spacing w:line="44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说明：法定代表人参加谈判时无需提供。</w:t>
      </w:r>
    </w:p>
    <w:p>
      <w:pPr>
        <w:pStyle w:val="12"/>
        <w:rPr>
          <w:rFonts w:hint="eastAsia" w:ascii="宋体" w:hAnsi="宋体" w:eastAsia="宋体" w:cs="宋体"/>
          <w:b/>
          <w:bCs/>
          <w:sz w:val="24"/>
          <w:szCs w:val="24"/>
          <w:lang w:val="zh-CN"/>
        </w:rPr>
      </w:pPr>
    </w:p>
    <w:p>
      <w:pPr>
        <w:pStyle w:val="12"/>
        <w:rPr>
          <w:rFonts w:hint="eastAsia" w:ascii="宋体" w:hAnsi="宋体" w:eastAsia="宋体" w:cs="宋体"/>
          <w:b/>
          <w:bCs/>
          <w:sz w:val="24"/>
          <w:szCs w:val="24"/>
          <w:lang w:val="zh-CN"/>
        </w:rPr>
      </w:pPr>
    </w:p>
    <w:p>
      <w:pPr>
        <w:rPr>
          <w:rFonts w:hint="eastAsia" w:ascii="宋体" w:hAnsi="宋体" w:eastAsia="宋体" w:cs="宋体"/>
          <w:lang w:val="zh-CN"/>
        </w:rPr>
      </w:pPr>
    </w:p>
    <w:p>
      <w:pPr>
        <w:pStyle w:val="7"/>
        <w:rPr>
          <w:rFonts w:hint="eastAsia" w:ascii="宋体" w:hAnsi="宋体" w:eastAsia="宋体" w:cs="宋体"/>
          <w:lang w:val="zh-CN" w:eastAsia="zh-CN"/>
        </w:rPr>
      </w:pPr>
    </w:p>
    <w:p>
      <w:pPr>
        <w:rPr>
          <w:rFonts w:hint="eastAsia" w:ascii="宋体" w:hAnsi="宋体" w:eastAsia="宋体" w:cs="宋体"/>
          <w:lang w:val="zh-CN" w:eastAsia="zh-CN"/>
        </w:rPr>
      </w:pPr>
    </w:p>
    <w:p>
      <w:pPr>
        <w:pStyle w:val="7"/>
        <w:rPr>
          <w:rFonts w:hint="eastAsia" w:ascii="宋体" w:hAnsi="宋体" w:eastAsia="宋体" w:cs="宋体"/>
          <w:lang w:val="zh-CN" w:eastAsia="zh-CN"/>
        </w:rPr>
      </w:pPr>
    </w:p>
    <w:p>
      <w:pPr>
        <w:rPr>
          <w:rFonts w:hint="eastAsia" w:ascii="宋体" w:hAnsi="宋体" w:eastAsia="宋体" w:cs="宋体"/>
          <w:lang w:val="zh-CN" w:eastAsia="zh-CN"/>
        </w:rPr>
      </w:pPr>
    </w:p>
    <w:p>
      <w:pPr>
        <w:pStyle w:val="7"/>
        <w:rPr>
          <w:rFonts w:hint="eastAsia" w:ascii="宋体" w:hAnsi="宋体" w:eastAsia="宋体" w:cs="宋体"/>
          <w:lang w:val="zh-CN" w:eastAsia="zh-CN"/>
        </w:rPr>
      </w:pPr>
    </w:p>
    <w:p>
      <w:pPr>
        <w:rPr>
          <w:rFonts w:hint="eastAsia" w:ascii="宋体" w:hAnsi="宋体" w:eastAsia="宋体" w:cs="宋体"/>
          <w:lang w:val="zh-CN"/>
        </w:rPr>
      </w:pPr>
    </w:p>
    <w:p>
      <w:pPr>
        <w:pStyle w:val="12"/>
        <w:rPr>
          <w:rFonts w:hint="eastAsia" w:ascii="宋体" w:hAnsi="宋体" w:eastAsia="宋体" w:cs="宋体"/>
        </w:rPr>
      </w:pPr>
    </w:p>
    <w:p>
      <w:pPr>
        <w:jc w:val="center"/>
        <w:outlineLvl w:val="2"/>
        <w:rPr>
          <w:rFonts w:hint="eastAsia" w:ascii="宋体" w:hAnsi="宋体" w:eastAsia="宋体" w:cs="宋体"/>
          <w:b/>
          <w:bCs/>
          <w:sz w:val="28"/>
          <w:szCs w:val="28"/>
        </w:rPr>
      </w:pPr>
    </w:p>
    <w:p>
      <w:pPr>
        <w:jc w:val="center"/>
        <w:outlineLvl w:val="2"/>
        <w:rPr>
          <w:rFonts w:hint="eastAsia" w:ascii="宋体" w:hAnsi="宋体" w:eastAsia="宋体" w:cs="宋体"/>
          <w:b/>
          <w:bCs/>
          <w:sz w:val="28"/>
          <w:szCs w:val="28"/>
        </w:rPr>
      </w:pPr>
    </w:p>
    <w:p>
      <w:pPr>
        <w:jc w:val="center"/>
        <w:outlineLvl w:val="2"/>
        <w:rPr>
          <w:rFonts w:hint="eastAsia" w:ascii="宋体" w:hAnsi="宋体" w:eastAsia="宋体" w:cs="宋体"/>
          <w:b/>
          <w:bCs/>
          <w:sz w:val="28"/>
          <w:szCs w:val="28"/>
        </w:rPr>
      </w:pPr>
      <w:r>
        <w:rPr>
          <w:rFonts w:hint="eastAsia" w:ascii="宋体" w:hAnsi="宋体" w:eastAsia="宋体" w:cs="宋体"/>
          <w:b/>
          <w:bCs/>
          <w:sz w:val="28"/>
          <w:szCs w:val="28"/>
        </w:rPr>
        <w:t>（2）谈判保证金缴纳凭证或担保机构出具的保函</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jc w:val="center"/>
        <w:rPr>
          <w:rFonts w:hint="eastAsia" w:ascii="宋体" w:hAnsi="宋体" w:eastAsia="宋体" w:cs="宋体"/>
        </w:rPr>
      </w:pPr>
      <w:r>
        <w:rPr>
          <w:rFonts w:hint="eastAsia" w:ascii="宋体" w:hAnsi="宋体" w:eastAsia="宋体" w:cs="宋体"/>
          <w:b/>
          <w:sz w:val="24"/>
          <w:szCs w:val="24"/>
        </w:rPr>
        <w:t>本页附谈判保证金缴纳凭证复印件或担保函正本复印件</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lang w:eastAsia="zh-CN"/>
        </w:rPr>
      </w:pPr>
    </w:p>
    <w:p>
      <w:pPr>
        <w:pStyle w:val="12"/>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lang w:eastAsia="zh-CN"/>
        </w:rPr>
      </w:pPr>
    </w:p>
    <w:p>
      <w:pPr>
        <w:rPr>
          <w:rFonts w:hint="eastAsia" w:ascii="宋体" w:hAnsi="宋体" w:eastAsia="宋体" w:cs="宋体"/>
        </w:rPr>
      </w:pPr>
    </w:p>
    <w:p>
      <w:pPr>
        <w:jc w:val="center"/>
        <w:outlineLvl w:val="2"/>
        <w:rPr>
          <w:rFonts w:hint="eastAsia" w:ascii="宋体" w:hAnsi="宋体" w:eastAsia="宋体" w:cs="宋体"/>
          <w:b/>
          <w:sz w:val="28"/>
          <w:szCs w:val="28"/>
          <w:lang w:val="zh-CN"/>
        </w:rPr>
      </w:pPr>
    </w:p>
    <w:p>
      <w:pPr>
        <w:jc w:val="center"/>
        <w:outlineLvl w:val="2"/>
        <w:rPr>
          <w:rFonts w:hint="eastAsia" w:ascii="宋体" w:hAnsi="宋体" w:eastAsia="宋体" w:cs="宋体"/>
          <w:b/>
          <w:sz w:val="28"/>
          <w:szCs w:val="28"/>
          <w:lang w:val="zh-CN"/>
        </w:rPr>
      </w:pPr>
      <w:r>
        <w:rPr>
          <w:rFonts w:hint="eastAsia" w:ascii="宋体" w:hAnsi="宋体" w:eastAsia="宋体" w:cs="宋体"/>
          <w:b/>
          <w:sz w:val="28"/>
          <w:szCs w:val="28"/>
          <w:lang w:val="zh-CN"/>
        </w:rPr>
        <w:t>（</w:t>
      </w:r>
      <w:r>
        <w:rPr>
          <w:rFonts w:hint="eastAsia" w:ascii="宋体" w:hAnsi="宋体" w:eastAsia="宋体" w:cs="宋体"/>
          <w:b/>
          <w:sz w:val="28"/>
          <w:szCs w:val="28"/>
        </w:rPr>
        <w:t>3</w:t>
      </w:r>
      <w:r>
        <w:rPr>
          <w:rFonts w:hint="eastAsia" w:ascii="宋体" w:hAnsi="宋体" w:eastAsia="宋体" w:cs="宋体"/>
          <w:b/>
          <w:sz w:val="28"/>
          <w:szCs w:val="28"/>
          <w:lang w:val="zh-CN"/>
        </w:rPr>
        <w:t>）企业关系关联承诺书</w:t>
      </w:r>
    </w:p>
    <w:p>
      <w:pPr>
        <w:pStyle w:val="12"/>
        <w:rPr>
          <w:rFonts w:hint="eastAsia" w:ascii="宋体" w:hAnsi="宋体" w:eastAsia="宋体" w:cs="宋体"/>
        </w:rPr>
      </w:pP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1、供应商股东及股权证明。（提供国家企业信用信息公示系统http://www.gsxt.gov.cn/index.html网页截图并加盖供应商红章）</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2、供应商在本项目谈判中，不存在与其它供应商负责人为同一人，有控股、管理等关联关系承诺：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2.1管理关系说明：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我单位的上级管理单位有。</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2.2股权关系说明：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我单位控股的单位有。</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我单位被单位控股。</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2.3、单位负责人：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3、（是或否） 为采购项目提供整体设计、规范编制或者项目管理、监理、检测等服务的供应商。</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4、其他与本项目有关的利害关系说明：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spacing w:line="500" w:lineRule="exact"/>
        <w:ind w:firstLine="240" w:firstLineChars="100"/>
        <w:rPr>
          <w:rFonts w:hint="eastAsia" w:ascii="宋体" w:hAnsi="宋体" w:eastAsia="宋体" w:cs="宋体"/>
          <w:sz w:val="24"/>
          <w:szCs w:val="24"/>
        </w:rPr>
      </w:pPr>
    </w:p>
    <w:p>
      <w:pPr>
        <w:pStyle w:val="12"/>
        <w:rPr>
          <w:rFonts w:hint="eastAsia" w:ascii="宋体" w:hAnsi="宋体" w:eastAsia="宋体" w:cs="宋体"/>
        </w:rPr>
      </w:pPr>
    </w:p>
    <w:p>
      <w:pPr>
        <w:spacing w:line="500" w:lineRule="exact"/>
        <w:ind w:firstLine="2400" w:firstLineChars="10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500" w:lineRule="exact"/>
        <w:ind w:firstLine="240" w:firstLineChars="100"/>
        <w:rPr>
          <w:rFonts w:hint="eastAsia" w:ascii="宋体" w:hAnsi="宋体" w:eastAsia="宋体" w:cs="宋体"/>
          <w:sz w:val="24"/>
          <w:szCs w:val="24"/>
        </w:rPr>
      </w:pPr>
    </w:p>
    <w:p>
      <w:pPr>
        <w:spacing w:line="500" w:lineRule="exact"/>
        <w:ind w:firstLine="2400" w:firstLineChars="1000"/>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numPr>
          <w:ilvl w:val="0"/>
          <w:numId w:val="8"/>
        </w:numPr>
        <w:jc w:val="center"/>
        <w:outlineLvl w:val="1"/>
        <w:rPr>
          <w:rFonts w:hint="eastAsia" w:ascii="宋体" w:hAnsi="宋体" w:eastAsia="宋体" w:cs="宋体"/>
          <w:b/>
          <w:sz w:val="32"/>
          <w:szCs w:val="32"/>
        </w:rPr>
      </w:pPr>
      <w:r>
        <w:rPr>
          <w:rFonts w:hint="eastAsia" w:ascii="宋体" w:hAnsi="宋体" w:eastAsia="宋体" w:cs="宋体"/>
          <w:b/>
          <w:sz w:val="32"/>
          <w:szCs w:val="32"/>
        </w:rPr>
        <w:t>其他资料</w:t>
      </w:r>
    </w:p>
    <w:p>
      <w:pPr>
        <w:pStyle w:val="12"/>
        <w:rPr>
          <w:rFonts w:hint="eastAsia" w:ascii="宋体" w:hAnsi="宋体" w:eastAsia="宋体" w:cs="宋体"/>
        </w:rPr>
      </w:pPr>
    </w:p>
    <w:p>
      <w:pPr>
        <w:pStyle w:val="12"/>
        <w:rPr>
          <w:rFonts w:hint="eastAsia" w:ascii="宋体" w:hAnsi="宋体" w:eastAsia="宋体" w:cs="宋体"/>
        </w:rPr>
      </w:pPr>
    </w:p>
    <w:p>
      <w:pPr>
        <w:pStyle w:val="12"/>
        <w:spacing w:line="480" w:lineRule="auto"/>
        <w:rPr>
          <w:rFonts w:hint="eastAsia" w:ascii="宋体" w:hAnsi="宋体" w:eastAsia="宋体" w:cs="宋体"/>
          <w:sz w:val="24"/>
          <w:szCs w:val="24"/>
        </w:rPr>
      </w:pPr>
      <w:r>
        <w:rPr>
          <w:rFonts w:hint="eastAsia" w:ascii="宋体" w:hAnsi="宋体" w:eastAsia="宋体" w:cs="宋体"/>
          <w:sz w:val="24"/>
          <w:szCs w:val="24"/>
        </w:rPr>
        <w:t>1、依据竞争性谈判文件要求，供应商认为有必要说明的其他内容。</w:t>
      </w:r>
    </w:p>
    <w:p>
      <w:pPr>
        <w:pStyle w:val="12"/>
        <w:spacing w:line="480" w:lineRule="auto"/>
        <w:rPr>
          <w:rFonts w:hint="eastAsia" w:ascii="宋体" w:hAnsi="宋体" w:eastAsia="宋体" w:cs="宋体"/>
          <w:sz w:val="24"/>
          <w:szCs w:val="24"/>
        </w:rPr>
      </w:pPr>
      <w:r>
        <w:rPr>
          <w:rFonts w:hint="eastAsia" w:ascii="宋体" w:hAnsi="宋体" w:eastAsia="宋体" w:cs="宋体"/>
          <w:sz w:val="24"/>
          <w:szCs w:val="24"/>
        </w:rPr>
        <w:t>2、其他可以证明供应商实力的文件。</w:t>
      </w: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pStyle w:val="12"/>
        <w:rPr>
          <w:rFonts w:hint="eastAsia" w:ascii="宋体" w:hAnsi="宋体" w:eastAsia="宋体" w:cs="宋体"/>
          <w:b/>
          <w:sz w:val="28"/>
          <w:szCs w:val="28"/>
        </w:rPr>
      </w:pPr>
    </w:p>
    <w:p>
      <w:pPr>
        <w:rPr>
          <w:rFonts w:hint="eastAsia" w:ascii="宋体" w:hAnsi="宋体" w:eastAsia="宋体" w:cs="宋体"/>
          <w:b/>
          <w:sz w:val="28"/>
          <w:szCs w:val="28"/>
        </w:rPr>
      </w:pPr>
    </w:p>
    <w:bookmarkEnd w:id="16"/>
    <w:bookmarkEnd w:id="17"/>
    <w:bookmarkEnd w:id="18"/>
    <w:bookmarkEnd w:id="19"/>
    <w:bookmarkEnd w:id="20"/>
    <w:p>
      <w:pPr>
        <w:keepLines/>
        <w:pageBreakBefore/>
        <w:spacing w:before="100" w:beforeAutospacing="1" w:afterLines="50" w:line="360" w:lineRule="auto"/>
        <w:rPr>
          <w:rFonts w:hint="eastAsia" w:ascii="宋体" w:hAnsi="宋体" w:eastAsia="宋体" w:cs="宋体"/>
          <w:b/>
          <w:sz w:val="28"/>
          <w:szCs w:val="28"/>
        </w:rPr>
      </w:pPr>
      <w:r>
        <w:rPr>
          <w:rFonts w:hint="eastAsia" w:ascii="宋体" w:hAnsi="宋体" w:eastAsia="宋体" w:cs="宋体"/>
          <w:b/>
          <w:sz w:val="28"/>
          <w:szCs w:val="28"/>
        </w:rPr>
        <w:t>附件1：（如有）</w:t>
      </w:r>
    </w:p>
    <w:p>
      <w:pPr>
        <w:spacing w:before="100" w:beforeAutospacing="1" w:afterLines="50" w:line="360" w:lineRule="auto"/>
        <w:jc w:val="center"/>
        <w:rPr>
          <w:rFonts w:hint="eastAsia" w:ascii="宋体" w:hAnsi="宋体" w:eastAsia="宋体" w:cs="宋体"/>
          <w:b/>
          <w:sz w:val="28"/>
          <w:szCs w:val="28"/>
        </w:rPr>
      </w:pPr>
      <w:r>
        <w:rPr>
          <w:rFonts w:hint="eastAsia" w:ascii="宋体" w:hAnsi="宋体" w:eastAsia="宋体" w:cs="宋体"/>
          <w:b/>
          <w:sz w:val="28"/>
          <w:szCs w:val="28"/>
        </w:rPr>
        <w:t>中小企业声明函</w:t>
      </w:r>
    </w:p>
    <w:p>
      <w:pPr>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，属于（采购文件中明确的所属行业）；承建（承接）企业为（企业名称），从业人员人，营业收入为万元，资产总额为万元，属于（中型企业、小型企业、微型企业）； </w:t>
      </w:r>
    </w:p>
    <w:p>
      <w:pPr>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 xml:space="preserve"> ，属于（采购文件中明确的所属行业）；承建（承接）企业为（企业名称），从业人员人，营业收入为万元，资产总额为万元，属于（中型企业、小型企业、微型企业）； </w:t>
      </w:r>
    </w:p>
    <w:p>
      <w:pPr>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w:t>
      </w:r>
    </w:p>
    <w:p>
      <w:pPr>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本企业对上述声明内容的真实性负责。如有虚假，将依法承担相应责任。 </w:t>
      </w:r>
    </w:p>
    <w:p>
      <w:pPr>
        <w:spacing w:line="500" w:lineRule="exact"/>
        <w:ind w:firstLine="360" w:firstLineChars="150"/>
        <w:jc w:val="center"/>
        <w:rPr>
          <w:rFonts w:hint="eastAsia" w:ascii="宋体" w:hAnsi="宋体" w:eastAsia="宋体" w:cs="宋体"/>
          <w:sz w:val="24"/>
          <w:szCs w:val="24"/>
        </w:rPr>
      </w:pPr>
    </w:p>
    <w:p>
      <w:pPr>
        <w:spacing w:line="500" w:lineRule="exact"/>
        <w:ind w:firstLine="360" w:firstLineChars="150"/>
        <w:jc w:val="center"/>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spacing w:line="500" w:lineRule="exact"/>
        <w:ind w:firstLine="360" w:firstLineChars="15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pPr>
        <w:spacing w:line="500" w:lineRule="exact"/>
        <w:ind w:firstLine="315" w:firstLineChars="150"/>
        <w:jc w:val="left"/>
        <w:rPr>
          <w:rFonts w:hint="eastAsia" w:ascii="宋体" w:hAnsi="宋体" w:eastAsia="宋体" w:cs="宋体"/>
          <w:szCs w:val="21"/>
        </w:rPr>
      </w:pPr>
      <w:r>
        <w:rPr>
          <w:rFonts w:hint="eastAsia" w:ascii="宋体" w:hAnsi="宋体" w:eastAsia="宋体" w:cs="宋体"/>
          <w:szCs w:val="21"/>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tabs>
          <w:tab w:val="left" w:pos="1620"/>
          <w:tab w:val="left" w:pos="1800"/>
        </w:tabs>
        <w:spacing w:line="500" w:lineRule="exact"/>
        <w:ind w:firstLine="420" w:firstLineChars="200"/>
        <w:rPr>
          <w:rFonts w:hint="eastAsia" w:ascii="宋体" w:hAnsi="宋体" w:eastAsia="宋体" w:cs="宋体"/>
          <w:sz w:val="24"/>
          <w:szCs w:val="24"/>
        </w:rPr>
      </w:pPr>
      <w:r>
        <w:rPr>
          <w:rFonts w:hint="eastAsia" w:ascii="宋体" w:hAnsi="宋体" w:eastAsia="宋体" w:cs="宋体"/>
          <w:szCs w:val="21"/>
        </w:rPr>
        <w:t>供应商认为其为小型或微型企业的应提交本函，并明确企业类型，否则评审时不能享受相应的价格扣除。（从业人员、营业收入、资产总额填报上一年度数据，无上一年度数据的新成立企业可不填报。）</w:t>
      </w:r>
    </w:p>
    <w:p>
      <w:pPr>
        <w:keepLines/>
        <w:pageBreakBefore/>
        <w:spacing w:before="100" w:beforeAutospacing="1" w:afterLines="50" w:line="360" w:lineRule="auto"/>
        <w:rPr>
          <w:rFonts w:hint="eastAsia" w:ascii="宋体" w:hAnsi="宋体" w:eastAsia="宋体" w:cs="宋体"/>
          <w:b/>
          <w:sz w:val="28"/>
          <w:szCs w:val="28"/>
        </w:rPr>
      </w:pPr>
      <w:r>
        <w:rPr>
          <w:rFonts w:hint="eastAsia" w:ascii="宋体" w:hAnsi="宋体" w:eastAsia="宋体" w:cs="宋体"/>
          <w:b/>
          <w:sz w:val="28"/>
          <w:szCs w:val="28"/>
        </w:rPr>
        <w:t>附件2：（如有）</w:t>
      </w:r>
    </w:p>
    <w:p>
      <w:pPr>
        <w:spacing w:before="100" w:beforeAutospacing="1" w:afterLines="50" w:line="360" w:lineRule="auto"/>
        <w:jc w:val="center"/>
        <w:rPr>
          <w:rFonts w:hint="eastAsia" w:ascii="宋体" w:hAnsi="宋体" w:eastAsia="宋体" w:cs="宋体"/>
          <w:b/>
          <w:sz w:val="32"/>
          <w:szCs w:val="32"/>
        </w:rPr>
      </w:pPr>
      <w:r>
        <w:rPr>
          <w:rFonts w:hint="eastAsia" w:ascii="宋体" w:hAnsi="宋体" w:eastAsia="宋体" w:cs="宋体"/>
          <w:b/>
          <w:sz w:val="32"/>
          <w:szCs w:val="32"/>
        </w:rPr>
        <w:t>谈判担保函</w:t>
      </w:r>
    </w:p>
    <w:p>
      <w:pPr>
        <w:rPr>
          <w:rFonts w:hint="eastAsia" w:ascii="宋体" w:hAnsi="宋体" w:eastAsia="宋体" w:cs="宋体"/>
          <w:sz w:val="22"/>
          <w:szCs w:val="36"/>
        </w:rPr>
      </w:pPr>
    </w:p>
    <w:p>
      <w:pPr>
        <w:jc w:val="center"/>
        <w:rPr>
          <w:rFonts w:hint="eastAsia" w:ascii="宋体" w:hAnsi="宋体" w:eastAsia="宋体" w:cs="宋体"/>
          <w:sz w:val="24"/>
          <w:szCs w:val="24"/>
        </w:rPr>
      </w:pPr>
      <w:r>
        <w:rPr>
          <w:rFonts w:hint="eastAsia" w:ascii="宋体" w:hAnsi="宋体" w:eastAsia="宋体" w:cs="宋体"/>
          <w:sz w:val="24"/>
          <w:szCs w:val="24"/>
        </w:rPr>
        <w:t xml:space="preserve"> 编号： </w:t>
      </w:r>
    </w:p>
    <w:p>
      <w:pPr>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___________________（采购人或采购代理机构）：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鉴于_______________（以下简称“供应商”）拟参加编号为___________的_______项目（以下简称“本项目”）谈判，根据本项目竞争性谈判文件，供应商参加谈判时应向你方交纳谈判保证金，且可以谈判担保函的形式交纳谈判保证金。应供应商的申请，我方以保证的方式向你方提供如下谈判保证金担保：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一、保证责任的情形及保证金额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（一）在供应商出现下列情形之一时，我方承担保证责任：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1．成交后供应商无正当理由不与采购人或者采购代理机构签订《政府采购合同》；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2．竞争性谈判文件规定的供应商应当缴纳保证金的其他情形。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（二）我方承担保证责任的最高金额为人民币______元（大写_________________），即本项目的谈判保证金金额。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二、保证的方式及保证期间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我方保证的方式为：连带责任保证。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我方的保证期间为：自本保函生效之日起______个月止。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三、承担保证责任的程序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2．我方在收到索赔通知及相关证明材料后，在_____个工作日内进行审查，符合应承担保证责任情形的，我方应按照你方的要求代供应商向你方支付谈判保证金。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四、保证责任的终止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3．按照法律法规的规定或出现我方保证责任终止的其它情形的，我方在本保函项下的保证责任亦终止。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五、免责条款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1．依照法律规定或你方与供应商的另行约定，全部或者部分免除供应商谈判保证金义务时，我方亦免除相应的保证责任。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2．因你方原因致使供应商发生本保函第一条第（一）款约定情形的，我方不承担保证责任。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3．因不可抗力造成供应商发生本保函第一条约定情形的，我方不承担保证责任。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4．你方或其他有权机关对竞争性谈判文件进行任何澄清或修改，加重我方保证责任的，我方对加重部分不承担保证责任，但该澄清或修改经我方事先书面同意的除外。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六、争议的解决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因本保函发生的纠纷，由你我双方协商解决，协商不成的，通过诉讼程序解决，诉讼管辖地法院为________________法院。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七、保函的生效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本保函自我方加盖公章之日起生效。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right="640" w:firstLine="3840" w:firstLineChars="1600"/>
        <w:rPr>
          <w:rFonts w:hint="eastAsia" w:ascii="宋体" w:hAnsi="宋体" w:eastAsia="宋体" w:cs="宋体"/>
          <w:sz w:val="24"/>
          <w:szCs w:val="24"/>
        </w:rPr>
      </w:pPr>
      <w:r>
        <w:rPr>
          <w:rFonts w:hint="eastAsia" w:ascii="宋体" w:hAnsi="宋体" w:eastAsia="宋体" w:cs="宋体"/>
          <w:sz w:val="24"/>
          <w:szCs w:val="24"/>
        </w:rPr>
        <w:t>保证人：（公章）</w:t>
      </w:r>
    </w:p>
    <w:p>
      <w:pPr>
        <w:spacing w:line="360" w:lineRule="auto"/>
        <w:ind w:right="640"/>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ind w:right="640"/>
        <w:rPr>
          <w:rFonts w:hint="eastAsia" w:ascii="宋体" w:hAnsi="宋体" w:eastAsia="宋体" w:cs="宋体"/>
          <w:sz w:val="24"/>
          <w:szCs w:val="24"/>
        </w:rPr>
      </w:pPr>
    </w:p>
    <w:p>
      <w:pPr>
        <w:spacing w:line="360" w:lineRule="auto"/>
        <w:ind w:right="640"/>
        <w:rPr>
          <w:rFonts w:hint="eastAsia" w:ascii="宋体" w:hAnsi="宋体" w:eastAsia="宋体" w:cs="宋体"/>
          <w:sz w:val="24"/>
          <w:szCs w:val="24"/>
        </w:rPr>
      </w:pPr>
    </w:p>
    <w:p>
      <w:pPr>
        <w:spacing w:line="360" w:lineRule="auto"/>
        <w:ind w:right="640"/>
        <w:rPr>
          <w:rFonts w:hint="eastAsia" w:ascii="宋体" w:hAnsi="宋体" w:eastAsia="宋体" w:cs="宋体"/>
          <w:sz w:val="24"/>
          <w:szCs w:val="24"/>
        </w:rPr>
      </w:pPr>
    </w:p>
    <w:p>
      <w:pPr>
        <w:pStyle w:val="7"/>
        <w:rPr>
          <w:rFonts w:hint="eastAsia" w:ascii="宋体" w:hAnsi="宋体" w:eastAsia="宋体" w:cs="宋体"/>
          <w:lang w:eastAsia="zh-CN"/>
        </w:rPr>
      </w:pPr>
    </w:p>
    <w:p>
      <w:pPr>
        <w:spacing w:line="360" w:lineRule="auto"/>
        <w:ind w:right="640"/>
        <w:rPr>
          <w:rFonts w:hint="eastAsia" w:ascii="宋体" w:hAnsi="宋体" w:eastAsia="宋体" w:cs="宋体"/>
          <w:sz w:val="24"/>
          <w:szCs w:val="24"/>
        </w:rPr>
      </w:pPr>
    </w:p>
    <w:p>
      <w:pPr>
        <w:spacing w:line="360" w:lineRule="auto"/>
        <w:ind w:right="640"/>
        <w:rPr>
          <w:rFonts w:hint="eastAsia" w:ascii="宋体" w:hAnsi="宋体" w:eastAsia="宋体" w:cs="宋体"/>
          <w:sz w:val="24"/>
          <w:szCs w:val="24"/>
        </w:rPr>
      </w:pPr>
    </w:p>
    <w:p>
      <w:pPr>
        <w:spacing w:line="360" w:lineRule="auto"/>
        <w:ind w:right="640"/>
        <w:rPr>
          <w:rFonts w:hint="eastAsia" w:ascii="宋体" w:hAnsi="宋体" w:eastAsia="宋体" w:cs="宋体"/>
          <w:sz w:val="24"/>
          <w:szCs w:val="24"/>
        </w:rPr>
      </w:pPr>
    </w:p>
    <w:p>
      <w:pPr>
        <w:spacing w:before="100" w:beforeAutospacing="1" w:afterLines="50" w:line="360" w:lineRule="auto"/>
        <w:rPr>
          <w:rFonts w:hint="eastAsia" w:ascii="宋体" w:hAnsi="宋体" w:eastAsia="宋体" w:cs="宋体"/>
          <w:b/>
          <w:bCs/>
          <w:spacing w:val="6"/>
          <w:sz w:val="30"/>
          <w:szCs w:val="30"/>
        </w:rPr>
      </w:pPr>
      <w:r>
        <w:rPr>
          <w:rFonts w:hint="eastAsia" w:ascii="宋体" w:hAnsi="宋体" w:eastAsia="宋体" w:cs="宋体"/>
          <w:b/>
          <w:bCs/>
          <w:spacing w:val="6"/>
          <w:sz w:val="30"/>
          <w:szCs w:val="30"/>
        </w:rPr>
        <w:t>附件3：</w:t>
      </w:r>
      <w:r>
        <w:rPr>
          <w:rFonts w:hint="eastAsia" w:ascii="宋体" w:hAnsi="宋体" w:eastAsia="宋体" w:cs="宋体"/>
          <w:b/>
          <w:sz w:val="28"/>
          <w:szCs w:val="28"/>
        </w:rPr>
        <w:t>（如有）</w:t>
      </w:r>
    </w:p>
    <w:p>
      <w:pPr>
        <w:spacing w:line="588" w:lineRule="exact"/>
        <w:jc w:val="center"/>
        <w:rPr>
          <w:rFonts w:hint="eastAsia" w:ascii="宋体" w:hAnsi="宋体" w:eastAsia="宋体" w:cs="宋体"/>
          <w:b/>
          <w:spacing w:val="6"/>
          <w:sz w:val="32"/>
          <w:szCs w:val="32"/>
        </w:rPr>
      </w:pPr>
      <w:bookmarkStart w:id="107" w:name="OLE_LINK13"/>
      <w:bookmarkStart w:id="108" w:name="OLE_LINK14"/>
      <w:r>
        <w:rPr>
          <w:rFonts w:hint="eastAsia" w:ascii="宋体" w:hAnsi="宋体" w:eastAsia="宋体" w:cs="宋体"/>
          <w:b/>
          <w:spacing w:val="6"/>
          <w:sz w:val="32"/>
          <w:szCs w:val="32"/>
        </w:rPr>
        <w:t>残疾人福利性单位声明函</w:t>
      </w:r>
    </w:p>
    <w:bookmarkEnd w:id="107"/>
    <w:bookmarkEnd w:id="108"/>
    <w:p>
      <w:pPr>
        <w:spacing w:line="588" w:lineRule="exact"/>
        <w:rPr>
          <w:rFonts w:hint="eastAsia" w:ascii="宋体" w:hAnsi="宋体" w:eastAsia="宋体" w:cs="宋体"/>
          <w:b/>
          <w:spacing w:val="6"/>
          <w:sz w:val="30"/>
          <w:szCs w:val="30"/>
        </w:rPr>
      </w:pP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88" w:lineRule="exact"/>
        <w:ind w:firstLine="444" w:firstLineChars="200"/>
        <w:rPr>
          <w:rFonts w:hint="eastAsia" w:ascii="宋体" w:hAnsi="宋体" w:eastAsia="宋体" w:cs="宋体"/>
          <w:spacing w:val="6"/>
          <w:szCs w:val="24"/>
        </w:rPr>
      </w:pPr>
    </w:p>
    <w:p>
      <w:pPr>
        <w:spacing w:line="588" w:lineRule="exact"/>
        <w:ind w:firstLine="444" w:firstLineChars="200"/>
        <w:rPr>
          <w:rFonts w:hint="eastAsia" w:ascii="宋体" w:hAnsi="宋体" w:eastAsia="宋体" w:cs="宋体"/>
          <w:spacing w:val="6"/>
          <w:szCs w:val="24"/>
        </w:rPr>
      </w:pPr>
    </w:p>
    <w:p>
      <w:pPr>
        <w:spacing w:line="588" w:lineRule="exact"/>
        <w:ind w:firstLine="504" w:firstLineChars="200"/>
        <w:rPr>
          <w:rFonts w:hint="eastAsia" w:ascii="宋体" w:hAnsi="宋体" w:eastAsia="宋体" w:cs="宋体"/>
          <w:spacing w:val="6"/>
          <w:sz w:val="24"/>
          <w:szCs w:val="24"/>
        </w:rPr>
      </w:pPr>
    </w:p>
    <w:p>
      <w:pPr>
        <w:spacing w:line="588" w:lineRule="exact"/>
        <w:ind w:firstLine="504" w:firstLineChars="200"/>
        <w:rPr>
          <w:rFonts w:hint="eastAsia" w:ascii="宋体" w:hAnsi="宋体" w:eastAsia="宋体" w:cs="宋体"/>
          <w:spacing w:val="6"/>
          <w:sz w:val="24"/>
          <w:szCs w:val="24"/>
        </w:rPr>
      </w:pPr>
    </w:p>
    <w:p>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单位名称（盖章）：</w:t>
      </w:r>
    </w:p>
    <w:p>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pPr>
        <w:tabs>
          <w:tab w:val="left" w:pos="1620"/>
          <w:tab w:val="left" w:pos="1800"/>
        </w:tabs>
        <w:spacing w:line="440" w:lineRule="exact"/>
        <w:ind w:right="540" w:rightChars="257"/>
        <w:rPr>
          <w:rFonts w:hint="eastAsia" w:ascii="宋体" w:hAnsi="宋体" w:eastAsia="宋体" w:cs="宋体"/>
          <w:sz w:val="24"/>
          <w:szCs w:val="24"/>
        </w:rPr>
      </w:pPr>
    </w:p>
    <w:p>
      <w:pPr>
        <w:spacing w:line="360" w:lineRule="auto"/>
        <w:ind w:right="640"/>
        <w:rPr>
          <w:rFonts w:hint="eastAsia" w:ascii="宋体" w:hAnsi="宋体" w:eastAsia="宋体" w:cs="宋体"/>
          <w:sz w:val="24"/>
          <w:szCs w:val="24"/>
        </w:rPr>
      </w:pPr>
    </w:p>
    <w:p>
      <w:pPr>
        <w:spacing w:line="360" w:lineRule="auto"/>
        <w:ind w:right="640"/>
        <w:rPr>
          <w:rFonts w:hint="eastAsia" w:ascii="宋体" w:hAnsi="宋体" w:eastAsia="宋体" w:cs="宋体"/>
          <w:sz w:val="24"/>
          <w:szCs w:val="24"/>
        </w:rPr>
      </w:pPr>
    </w:p>
    <w:p>
      <w:pPr>
        <w:spacing w:line="550" w:lineRule="exact"/>
        <w:ind w:right="640"/>
        <w:rPr>
          <w:rFonts w:hint="eastAsia" w:ascii="宋体" w:hAnsi="宋体" w:eastAsia="宋体" w:cs="宋体"/>
          <w:sz w:val="24"/>
          <w:szCs w:val="24"/>
        </w:rPr>
      </w:pPr>
    </w:p>
    <w:p>
      <w:pPr>
        <w:pStyle w:val="7"/>
        <w:rPr>
          <w:rFonts w:hint="eastAsia" w:ascii="宋体" w:hAnsi="宋体" w:eastAsia="宋体" w:cs="宋体"/>
          <w:lang w:eastAsia="zh-CN"/>
        </w:rPr>
      </w:pPr>
    </w:p>
    <w:p>
      <w:pPr>
        <w:pStyle w:val="7"/>
        <w:rPr>
          <w:rFonts w:hint="eastAsia" w:ascii="宋体" w:hAnsi="宋体" w:eastAsia="宋体" w:cs="宋体"/>
          <w:sz w:val="24"/>
          <w:szCs w:val="24"/>
          <w:lang w:eastAsia="zh-CN"/>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rPr>
      </w:pPr>
    </w:p>
    <w:p>
      <w:pPr>
        <w:pStyle w:val="12"/>
        <w:jc w:val="left"/>
        <w:rPr>
          <w:rFonts w:hint="eastAsia" w:ascii="宋体" w:hAnsi="宋体" w:eastAsia="宋体" w:cs="宋体"/>
          <w:b/>
          <w:bCs/>
          <w:spacing w:val="6"/>
          <w:kern w:val="0"/>
          <w:sz w:val="30"/>
          <w:szCs w:val="30"/>
        </w:rPr>
      </w:pPr>
    </w:p>
    <w:p>
      <w:pPr>
        <w:pStyle w:val="12"/>
        <w:jc w:val="left"/>
        <w:rPr>
          <w:rFonts w:hint="eastAsia" w:ascii="宋体" w:hAnsi="宋体" w:eastAsia="宋体" w:cs="宋体"/>
          <w:b/>
          <w:bCs/>
          <w:spacing w:val="6"/>
          <w:kern w:val="0"/>
          <w:sz w:val="30"/>
          <w:szCs w:val="30"/>
        </w:rPr>
      </w:pPr>
    </w:p>
    <w:p>
      <w:pPr>
        <w:pStyle w:val="12"/>
        <w:jc w:val="left"/>
        <w:rPr>
          <w:rFonts w:hint="eastAsia" w:ascii="宋体" w:hAnsi="宋体" w:eastAsia="宋体" w:cs="宋体"/>
          <w:b/>
          <w:bCs/>
          <w:spacing w:val="6"/>
          <w:sz w:val="30"/>
          <w:szCs w:val="30"/>
        </w:rPr>
      </w:pPr>
      <w:r>
        <w:rPr>
          <w:rFonts w:hint="eastAsia" w:ascii="宋体" w:hAnsi="宋体" w:eastAsia="宋体" w:cs="宋体"/>
          <w:b/>
          <w:bCs/>
          <w:spacing w:val="6"/>
          <w:kern w:val="0"/>
          <w:sz w:val="30"/>
          <w:szCs w:val="30"/>
        </w:rPr>
        <w:t>附件4</w:t>
      </w:r>
      <w:r>
        <w:rPr>
          <w:rFonts w:hint="eastAsia" w:ascii="宋体" w:hAnsi="宋体" w:eastAsia="宋体" w:cs="宋体"/>
          <w:b/>
          <w:bCs/>
          <w:spacing w:val="6"/>
          <w:sz w:val="30"/>
          <w:szCs w:val="30"/>
        </w:rPr>
        <w:t>（如有）</w:t>
      </w:r>
    </w:p>
    <w:p>
      <w:pPr>
        <w:pStyle w:val="12"/>
        <w:jc w:val="center"/>
        <w:rPr>
          <w:rFonts w:hint="eastAsia" w:ascii="宋体" w:hAnsi="宋体" w:eastAsia="宋体" w:cs="宋体"/>
          <w:b/>
          <w:bCs/>
          <w:sz w:val="32"/>
          <w:szCs w:val="32"/>
        </w:rPr>
      </w:pPr>
      <w:r>
        <w:rPr>
          <w:rFonts w:hint="eastAsia" w:ascii="宋体" w:hAnsi="宋体" w:eastAsia="宋体" w:cs="宋体"/>
          <w:b/>
          <w:bCs/>
          <w:sz w:val="32"/>
          <w:szCs w:val="32"/>
        </w:rPr>
        <w:t>监狱企业证明文件</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监狱企业参加政府采购活动时，应当提供由省级以上监狱管理局、戒毒管理局（含新疆生产建设兵团）出具的属于监狱企业的证明文件。</w:t>
      </w:r>
    </w:p>
    <w:p>
      <w:pPr>
        <w:pStyle w:val="12"/>
        <w:rPr>
          <w:rFonts w:hint="eastAsia" w:ascii="宋体" w:hAnsi="宋体" w:eastAsia="宋体" w:cs="宋体"/>
        </w:rPr>
      </w:pPr>
    </w:p>
    <w:p>
      <w:pPr>
        <w:spacing w:line="360" w:lineRule="auto"/>
        <w:ind w:right="640"/>
        <w:rPr>
          <w:rFonts w:hint="eastAsia" w:ascii="宋体" w:hAnsi="宋体" w:eastAsia="宋体" w:cs="宋体"/>
          <w:sz w:val="24"/>
          <w:szCs w:val="24"/>
        </w:rPr>
      </w:pPr>
    </w:p>
    <w:sectPr>
      <w:headerReference r:id="rId11" w:type="default"/>
      <w:pgSz w:w="11907" w:h="16840"/>
      <w:pgMar w:top="1418" w:right="94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028"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94"/>
        <w:tab w:val="clear" w:pos="4153"/>
      </w:tabs>
      <w:rPr>
        <w:rFonts w:eastAsia="宋体"/>
        <w:lang w:eastAsia="zh-CN"/>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w:r>
    <w:r>
      <w:rPr>
        <w:rFonts w:hint="eastAsia"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pPr>
    <w:r>
      <w:rPr>
        <w:sz w:val="18"/>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8"/>
                  <w:rPr>
                    <w:rFonts w:ascii="Times New Roman" w:hAnsi="Times New Roman" w:eastAsia="宋体"/>
                    <w:b w:val="0"/>
                    <w:kern w:val="2"/>
                    <w:szCs w:val="18"/>
                    <w:lang w:eastAsia="zh-CN"/>
                  </w:rPr>
                </w:pPr>
                <w:r>
                  <w:rPr>
                    <w:rFonts w:hint="eastAsia" w:ascii="Times New Roman" w:hAnsi="Times New Roman" w:eastAsia="宋体"/>
                    <w:b w:val="0"/>
                    <w:kern w:val="2"/>
                    <w:szCs w:val="18"/>
                    <w:lang w:eastAsia="zh-CN"/>
                  </w:rPr>
                  <w:t xml:space="preserve">第 </w:t>
                </w:r>
                <w:r>
                  <w:rPr>
                    <w:rFonts w:hint="eastAsia" w:ascii="Times New Roman" w:hAnsi="Times New Roman" w:eastAsia="宋体"/>
                    <w:b w:val="0"/>
                    <w:kern w:val="2"/>
                    <w:szCs w:val="18"/>
                    <w:lang w:eastAsia="zh-CN"/>
                  </w:rPr>
                  <w:fldChar w:fldCharType="begin"/>
                </w:r>
                <w:r>
                  <w:rPr>
                    <w:rFonts w:hint="eastAsia" w:ascii="Times New Roman" w:hAnsi="Times New Roman" w:eastAsia="宋体"/>
                    <w:b w:val="0"/>
                    <w:kern w:val="2"/>
                    <w:szCs w:val="18"/>
                    <w:lang w:eastAsia="zh-CN"/>
                  </w:rPr>
                  <w:instrText xml:space="preserve"> PAGE  \* MERGEFORMAT </w:instrText>
                </w:r>
                <w:r>
                  <w:rPr>
                    <w:rFonts w:hint="eastAsia" w:ascii="Times New Roman" w:hAnsi="Times New Roman" w:eastAsia="宋体"/>
                    <w:b w:val="0"/>
                    <w:kern w:val="2"/>
                    <w:szCs w:val="18"/>
                    <w:lang w:eastAsia="zh-CN"/>
                  </w:rPr>
                  <w:fldChar w:fldCharType="separate"/>
                </w:r>
                <w:r>
                  <w:rPr>
                    <w:rFonts w:ascii="Times New Roman" w:hAnsi="Times New Roman" w:eastAsia="宋体"/>
                    <w:b w:val="0"/>
                    <w:kern w:val="2"/>
                    <w:szCs w:val="18"/>
                    <w:lang w:eastAsia="zh-CN"/>
                  </w:rPr>
                  <w:t>2</w:t>
                </w:r>
                <w:r>
                  <w:rPr>
                    <w:rFonts w:hint="eastAsia" w:ascii="Times New Roman" w:hAnsi="Times New Roman" w:eastAsia="宋体"/>
                    <w:b w:val="0"/>
                    <w:kern w:val="2"/>
                    <w:szCs w:val="18"/>
                    <w:lang w:eastAsia="zh-CN"/>
                  </w:rPr>
                  <w:fldChar w:fldCharType="end"/>
                </w:r>
                <w:r>
                  <w:rPr>
                    <w:rFonts w:hint="eastAsia" w:ascii="Times New Roman" w:hAnsi="Times New Roman" w:eastAsia="宋体"/>
                    <w:b w:val="0"/>
                    <w:kern w:val="2"/>
                    <w:szCs w:val="18"/>
                    <w:lang w:eastAsia="zh-CN"/>
                  </w:rPr>
                  <w:t xml:space="preserve"> 页 共 </w:t>
                </w:r>
                <w:r>
                  <w:fldChar w:fldCharType="begin"/>
                </w:r>
                <w:r>
                  <w:instrText xml:space="preserve"> NUMPAGES  \* MERGEFORMAT </w:instrText>
                </w:r>
                <w:r>
                  <w:fldChar w:fldCharType="separate"/>
                </w:r>
                <w:r>
                  <w:rPr>
                    <w:rFonts w:ascii="Times New Roman" w:hAnsi="Times New Roman" w:eastAsia="宋体"/>
                    <w:b w:val="0"/>
                    <w:kern w:val="2"/>
                    <w:szCs w:val="18"/>
                    <w:lang w:eastAsia="zh-CN"/>
                  </w:rPr>
                  <w:t>58</w:t>
                </w:r>
                <w:r>
                  <w:rPr>
                    <w:rFonts w:ascii="Times New Roman" w:hAnsi="Times New Roman" w:eastAsia="宋体"/>
                    <w:b w:val="0"/>
                    <w:kern w:val="2"/>
                    <w:szCs w:val="18"/>
                    <w:lang w:eastAsia="zh-CN"/>
                  </w:rPr>
                  <w:fldChar w:fldCharType="end"/>
                </w:r>
                <w:r>
                  <w:rPr>
                    <w:rFonts w:hint="eastAsia" w:ascii="Times New Roman" w:hAnsi="Times New Roman" w:eastAsia="宋体"/>
                    <w:b w:val="0"/>
                    <w:kern w:val="2"/>
                    <w:szCs w:val="18"/>
                    <w:lang w:eastAsia="zh-CN"/>
                  </w:rPr>
                  <w:t xml:space="preserve"> 页</w:t>
                </w:r>
              </w:p>
            </w:txbxContent>
          </v:textbox>
        </v:shape>
      </w:pict>
    </w:r>
    <w:r>
      <w:rPr>
        <w:rFonts w:hint="eastAsia"/>
        <w:sz w:val="18"/>
        <w:szCs w:val="18"/>
      </w:rPr>
      <w:t>陕西中桓国际项目管理有限公司</w:t>
    </w:r>
    <w:r>
      <w:rPr>
        <w:rFonts w:hint="eastAsia"/>
        <w:sz w:val="18"/>
        <w:szCs w:val="18"/>
        <w:lang w:val="en-US" w:eastAsia="zh-CN"/>
      </w:rPr>
      <w:t xml:space="preserve">                              </w:t>
    </w:r>
    <w:r>
      <w:rPr>
        <w:rFonts w:hint="eastAsia"/>
        <w:sz w:val="18"/>
        <w:szCs w:val="18"/>
      </w:rPr>
      <w:t>地址：黄陵县轩辕大道原石油公司办公楼二楼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rPr>
    </w:pPr>
    <w:r>
      <w:rPr>
        <w:sz w:val="18"/>
      </w:rP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3</w:t>
                </w:r>
                <w:r>
                  <w:rPr>
                    <w:b w:val="0"/>
                    <w:bCs/>
                  </w:rPr>
                  <w:fldChar w:fldCharType="end"/>
                </w:r>
                <w:r>
                  <w:rPr>
                    <w:b w:val="0"/>
                    <w:bCs/>
                  </w:rPr>
                  <w:t xml:space="preserve"> 页</w:t>
                </w:r>
              </w:p>
            </w:txbxContent>
          </v:textbox>
        </v:shape>
      </w:pict>
    </w:r>
    <w:r>
      <w:rPr>
        <w:rFonts w:hint="eastAsia"/>
        <w:sz w:val="18"/>
        <w:szCs w:val="1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right" w:pos="8820"/>
        <w:tab w:val="clear" w:pos="8306"/>
      </w:tabs>
      <w:ind w:right="619" w:rightChars="29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9E576"/>
    <w:multiLevelType w:val="singleLevel"/>
    <w:tmpl w:val="D959E576"/>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124BB631"/>
    <w:multiLevelType w:val="singleLevel"/>
    <w:tmpl w:val="124BB631"/>
    <w:lvl w:ilvl="0" w:tentative="0">
      <w:start w:val="7"/>
      <w:numFmt w:val="chineseCounting"/>
      <w:suff w:val="nothing"/>
      <w:lvlText w:val="%1、"/>
      <w:lvlJc w:val="left"/>
      <w:rPr>
        <w:rFonts w:hint="eastAsia"/>
      </w:rPr>
    </w:lvl>
  </w:abstractNum>
  <w:abstractNum w:abstractNumId="4">
    <w:nsid w:val="3D0E1543"/>
    <w:multiLevelType w:val="singleLevel"/>
    <w:tmpl w:val="3D0E1543"/>
    <w:lvl w:ilvl="0" w:tentative="0">
      <w:start w:val="1"/>
      <w:numFmt w:val="decimal"/>
      <w:lvlText w:val="%1."/>
      <w:lvlJc w:val="left"/>
      <w:pPr>
        <w:tabs>
          <w:tab w:val="left" w:pos="312"/>
        </w:tabs>
      </w:pPr>
    </w:lvl>
  </w:abstractNum>
  <w:abstractNum w:abstractNumId="5">
    <w:nsid w:val="3D39144C"/>
    <w:multiLevelType w:val="singleLevel"/>
    <w:tmpl w:val="3D39144C"/>
    <w:lvl w:ilvl="0" w:tentative="0">
      <w:start w:val="5"/>
      <w:numFmt w:val="chineseCounting"/>
      <w:suff w:val="nothing"/>
      <w:lvlText w:val="%1、"/>
      <w:lvlJc w:val="left"/>
      <w:rPr>
        <w:rFonts w:hint="eastAsia"/>
      </w:rPr>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C62DA"/>
    <w:multiLevelType w:val="singleLevel"/>
    <w:tmpl w:val="59CC62DA"/>
    <w:lvl w:ilvl="0" w:tentative="0">
      <w:start w:val="5"/>
      <w:numFmt w:val="chineseCounting"/>
      <w:suff w:val="space"/>
      <w:lvlText w:val="第%1章"/>
      <w:lvlJc w:val="left"/>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M5MTMwNDVkYTA2MTU3NGM2MjUzNmNiNTg1MjE0Mjc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2A27"/>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E760C"/>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2B0E"/>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C4CA9"/>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546F"/>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142"/>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E514F"/>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B735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77A8C"/>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24B788D"/>
    <w:rsid w:val="02514FAA"/>
    <w:rsid w:val="027D062B"/>
    <w:rsid w:val="029370C7"/>
    <w:rsid w:val="029E0CDB"/>
    <w:rsid w:val="02A5798A"/>
    <w:rsid w:val="02E505EF"/>
    <w:rsid w:val="02E876A7"/>
    <w:rsid w:val="0314419D"/>
    <w:rsid w:val="03324F93"/>
    <w:rsid w:val="03406F5E"/>
    <w:rsid w:val="0342363C"/>
    <w:rsid w:val="038D72DF"/>
    <w:rsid w:val="03A27284"/>
    <w:rsid w:val="03B5557A"/>
    <w:rsid w:val="03CE35CB"/>
    <w:rsid w:val="03FE52CF"/>
    <w:rsid w:val="041026CE"/>
    <w:rsid w:val="04204165"/>
    <w:rsid w:val="042133C7"/>
    <w:rsid w:val="04716658"/>
    <w:rsid w:val="048552F8"/>
    <w:rsid w:val="056B3C24"/>
    <w:rsid w:val="0583116F"/>
    <w:rsid w:val="05A71363"/>
    <w:rsid w:val="05AC72D7"/>
    <w:rsid w:val="05F4066D"/>
    <w:rsid w:val="062B640B"/>
    <w:rsid w:val="066E4CAE"/>
    <w:rsid w:val="06894CA3"/>
    <w:rsid w:val="068B5F77"/>
    <w:rsid w:val="06925B6D"/>
    <w:rsid w:val="0696660B"/>
    <w:rsid w:val="06C26EFB"/>
    <w:rsid w:val="06D864CC"/>
    <w:rsid w:val="06FA1444"/>
    <w:rsid w:val="06FC6897"/>
    <w:rsid w:val="0713629D"/>
    <w:rsid w:val="0747745C"/>
    <w:rsid w:val="078157D1"/>
    <w:rsid w:val="07CF65FF"/>
    <w:rsid w:val="08315D7E"/>
    <w:rsid w:val="08712944"/>
    <w:rsid w:val="08FB19A4"/>
    <w:rsid w:val="08FB3435"/>
    <w:rsid w:val="09015CED"/>
    <w:rsid w:val="09183C9B"/>
    <w:rsid w:val="09362AAF"/>
    <w:rsid w:val="09564F7B"/>
    <w:rsid w:val="098B402E"/>
    <w:rsid w:val="099224C2"/>
    <w:rsid w:val="09993138"/>
    <w:rsid w:val="09D92C37"/>
    <w:rsid w:val="0A1F33AB"/>
    <w:rsid w:val="0A1F5B28"/>
    <w:rsid w:val="0A31212A"/>
    <w:rsid w:val="0A3D4F01"/>
    <w:rsid w:val="0A552B46"/>
    <w:rsid w:val="0A7950D7"/>
    <w:rsid w:val="0A912549"/>
    <w:rsid w:val="0AA15EAB"/>
    <w:rsid w:val="0AAE27CA"/>
    <w:rsid w:val="0AF1320B"/>
    <w:rsid w:val="0AF17010"/>
    <w:rsid w:val="0B973E91"/>
    <w:rsid w:val="0BB0283D"/>
    <w:rsid w:val="0C46506D"/>
    <w:rsid w:val="0C6D40AD"/>
    <w:rsid w:val="0D2B0CC3"/>
    <w:rsid w:val="0D523EEC"/>
    <w:rsid w:val="0D631E83"/>
    <w:rsid w:val="0DC12C53"/>
    <w:rsid w:val="0DD451C6"/>
    <w:rsid w:val="0DE46F59"/>
    <w:rsid w:val="0E580E17"/>
    <w:rsid w:val="0E6E1FAD"/>
    <w:rsid w:val="0E7A3FA8"/>
    <w:rsid w:val="0E9E01A5"/>
    <w:rsid w:val="0EC11AEA"/>
    <w:rsid w:val="0F192865"/>
    <w:rsid w:val="0F360424"/>
    <w:rsid w:val="0F4155C6"/>
    <w:rsid w:val="0F7F0EF9"/>
    <w:rsid w:val="0F970C16"/>
    <w:rsid w:val="0FD6660F"/>
    <w:rsid w:val="0FDB7A2F"/>
    <w:rsid w:val="0FE9742C"/>
    <w:rsid w:val="0FF7696F"/>
    <w:rsid w:val="100D0BAA"/>
    <w:rsid w:val="10BE76B9"/>
    <w:rsid w:val="11233F97"/>
    <w:rsid w:val="1137099C"/>
    <w:rsid w:val="11452DE3"/>
    <w:rsid w:val="116E43FC"/>
    <w:rsid w:val="11714C98"/>
    <w:rsid w:val="11B5219D"/>
    <w:rsid w:val="11D543EE"/>
    <w:rsid w:val="12271C6A"/>
    <w:rsid w:val="12301BDC"/>
    <w:rsid w:val="123F6E4A"/>
    <w:rsid w:val="12423403"/>
    <w:rsid w:val="12592048"/>
    <w:rsid w:val="12922A85"/>
    <w:rsid w:val="12A13F4A"/>
    <w:rsid w:val="12D9642F"/>
    <w:rsid w:val="12E73A02"/>
    <w:rsid w:val="12E94609"/>
    <w:rsid w:val="12EE73D0"/>
    <w:rsid w:val="130D65BB"/>
    <w:rsid w:val="132A7A92"/>
    <w:rsid w:val="135037EB"/>
    <w:rsid w:val="135E29E4"/>
    <w:rsid w:val="137F4E4D"/>
    <w:rsid w:val="13BE14CF"/>
    <w:rsid w:val="14995A19"/>
    <w:rsid w:val="14F11BE1"/>
    <w:rsid w:val="150A61A4"/>
    <w:rsid w:val="151762C4"/>
    <w:rsid w:val="15365590"/>
    <w:rsid w:val="154F3A6C"/>
    <w:rsid w:val="158540DD"/>
    <w:rsid w:val="159077EE"/>
    <w:rsid w:val="16166263"/>
    <w:rsid w:val="164B0DF0"/>
    <w:rsid w:val="167A6EE1"/>
    <w:rsid w:val="167B4B5C"/>
    <w:rsid w:val="168F788A"/>
    <w:rsid w:val="16937499"/>
    <w:rsid w:val="16E21383"/>
    <w:rsid w:val="16EE4D8D"/>
    <w:rsid w:val="16F7073B"/>
    <w:rsid w:val="172E4372"/>
    <w:rsid w:val="17332505"/>
    <w:rsid w:val="17EC6088"/>
    <w:rsid w:val="187301E8"/>
    <w:rsid w:val="187F72BD"/>
    <w:rsid w:val="18B12C39"/>
    <w:rsid w:val="18E616BD"/>
    <w:rsid w:val="198A0A74"/>
    <w:rsid w:val="19A741F4"/>
    <w:rsid w:val="19C740EA"/>
    <w:rsid w:val="19CE0D96"/>
    <w:rsid w:val="1A3801B5"/>
    <w:rsid w:val="1A667B51"/>
    <w:rsid w:val="1A846B3C"/>
    <w:rsid w:val="1B1425D4"/>
    <w:rsid w:val="1B155FFD"/>
    <w:rsid w:val="1B1970DF"/>
    <w:rsid w:val="1B6712A8"/>
    <w:rsid w:val="1B8E43E1"/>
    <w:rsid w:val="1B9B7CA7"/>
    <w:rsid w:val="1BB905CA"/>
    <w:rsid w:val="1BB97074"/>
    <w:rsid w:val="1BD2289D"/>
    <w:rsid w:val="1C11403B"/>
    <w:rsid w:val="1C46561A"/>
    <w:rsid w:val="1C583D58"/>
    <w:rsid w:val="1C6A440F"/>
    <w:rsid w:val="1CB42226"/>
    <w:rsid w:val="1CFF7226"/>
    <w:rsid w:val="1D1636D0"/>
    <w:rsid w:val="1D270BA6"/>
    <w:rsid w:val="1DBC198B"/>
    <w:rsid w:val="1DCE386D"/>
    <w:rsid w:val="1E625FC7"/>
    <w:rsid w:val="1E79088D"/>
    <w:rsid w:val="1EA02CCB"/>
    <w:rsid w:val="1EB452E3"/>
    <w:rsid w:val="1F2532ED"/>
    <w:rsid w:val="1F9D516C"/>
    <w:rsid w:val="1FF41D4F"/>
    <w:rsid w:val="20046DF4"/>
    <w:rsid w:val="208F4B9E"/>
    <w:rsid w:val="20906190"/>
    <w:rsid w:val="20CC7A2F"/>
    <w:rsid w:val="20F40FA1"/>
    <w:rsid w:val="20FE1478"/>
    <w:rsid w:val="21025613"/>
    <w:rsid w:val="21180122"/>
    <w:rsid w:val="218E342C"/>
    <w:rsid w:val="21B06551"/>
    <w:rsid w:val="21B462BD"/>
    <w:rsid w:val="21C56604"/>
    <w:rsid w:val="21CF79E5"/>
    <w:rsid w:val="21DF2183"/>
    <w:rsid w:val="21EB3EFE"/>
    <w:rsid w:val="220940AD"/>
    <w:rsid w:val="221148DD"/>
    <w:rsid w:val="221F6142"/>
    <w:rsid w:val="222C02AA"/>
    <w:rsid w:val="22580736"/>
    <w:rsid w:val="227E362E"/>
    <w:rsid w:val="22BC6BBD"/>
    <w:rsid w:val="22C12F8A"/>
    <w:rsid w:val="22D01E29"/>
    <w:rsid w:val="23007D7C"/>
    <w:rsid w:val="23186C79"/>
    <w:rsid w:val="2395645F"/>
    <w:rsid w:val="23B95696"/>
    <w:rsid w:val="23EA7CFA"/>
    <w:rsid w:val="240750AB"/>
    <w:rsid w:val="24395BDE"/>
    <w:rsid w:val="243C0FB3"/>
    <w:rsid w:val="24466E5F"/>
    <w:rsid w:val="244F54A0"/>
    <w:rsid w:val="249B5864"/>
    <w:rsid w:val="24A50A2E"/>
    <w:rsid w:val="254C7941"/>
    <w:rsid w:val="256E4ED7"/>
    <w:rsid w:val="259C1015"/>
    <w:rsid w:val="25EE7FBB"/>
    <w:rsid w:val="26202593"/>
    <w:rsid w:val="26E4095C"/>
    <w:rsid w:val="273B6ADE"/>
    <w:rsid w:val="279D398E"/>
    <w:rsid w:val="27CD66DB"/>
    <w:rsid w:val="285331FC"/>
    <w:rsid w:val="28676D94"/>
    <w:rsid w:val="289C400E"/>
    <w:rsid w:val="28C7409B"/>
    <w:rsid w:val="291C4FEB"/>
    <w:rsid w:val="29322093"/>
    <w:rsid w:val="293B36DC"/>
    <w:rsid w:val="29423CBE"/>
    <w:rsid w:val="297476BF"/>
    <w:rsid w:val="29E04A1D"/>
    <w:rsid w:val="29F81E1C"/>
    <w:rsid w:val="2A4A569F"/>
    <w:rsid w:val="2A846F27"/>
    <w:rsid w:val="2AD872B4"/>
    <w:rsid w:val="2AFE7725"/>
    <w:rsid w:val="2B1A72C1"/>
    <w:rsid w:val="2B32082B"/>
    <w:rsid w:val="2B4B2633"/>
    <w:rsid w:val="2BAA3A0A"/>
    <w:rsid w:val="2BB71DD4"/>
    <w:rsid w:val="2C07741C"/>
    <w:rsid w:val="2CA87275"/>
    <w:rsid w:val="2CC44B48"/>
    <w:rsid w:val="2CDD4A0E"/>
    <w:rsid w:val="2CE9341F"/>
    <w:rsid w:val="2D03199A"/>
    <w:rsid w:val="2D0D48D4"/>
    <w:rsid w:val="2D8518F4"/>
    <w:rsid w:val="2DB30890"/>
    <w:rsid w:val="2E090714"/>
    <w:rsid w:val="2E2744B0"/>
    <w:rsid w:val="2E8669AA"/>
    <w:rsid w:val="2F62392B"/>
    <w:rsid w:val="2F82488D"/>
    <w:rsid w:val="3018109B"/>
    <w:rsid w:val="30235A50"/>
    <w:rsid w:val="303E5A10"/>
    <w:rsid w:val="304D6F7E"/>
    <w:rsid w:val="307008BB"/>
    <w:rsid w:val="30873FAB"/>
    <w:rsid w:val="309541E4"/>
    <w:rsid w:val="31114F97"/>
    <w:rsid w:val="312471E7"/>
    <w:rsid w:val="316322AE"/>
    <w:rsid w:val="31782CAF"/>
    <w:rsid w:val="318654E0"/>
    <w:rsid w:val="3207269E"/>
    <w:rsid w:val="326A259E"/>
    <w:rsid w:val="32905559"/>
    <w:rsid w:val="32933712"/>
    <w:rsid w:val="32C13380"/>
    <w:rsid w:val="32E77493"/>
    <w:rsid w:val="3320617E"/>
    <w:rsid w:val="332924F5"/>
    <w:rsid w:val="33401C0F"/>
    <w:rsid w:val="335E5CD2"/>
    <w:rsid w:val="339A7D0A"/>
    <w:rsid w:val="33DF4510"/>
    <w:rsid w:val="3401164F"/>
    <w:rsid w:val="343C732F"/>
    <w:rsid w:val="346210A4"/>
    <w:rsid w:val="34777188"/>
    <w:rsid w:val="34827ADC"/>
    <w:rsid w:val="34856DB9"/>
    <w:rsid w:val="34E03C50"/>
    <w:rsid w:val="353B029B"/>
    <w:rsid w:val="35410549"/>
    <w:rsid w:val="3554290A"/>
    <w:rsid w:val="356A099A"/>
    <w:rsid w:val="357E6FD1"/>
    <w:rsid w:val="358D5123"/>
    <w:rsid w:val="35F74768"/>
    <w:rsid w:val="360E412D"/>
    <w:rsid w:val="368A57DF"/>
    <w:rsid w:val="36B936D8"/>
    <w:rsid w:val="370666B6"/>
    <w:rsid w:val="37422EB7"/>
    <w:rsid w:val="37862E84"/>
    <w:rsid w:val="37F07439"/>
    <w:rsid w:val="380B2BA2"/>
    <w:rsid w:val="392F3EDF"/>
    <w:rsid w:val="39650899"/>
    <w:rsid w:val="399177DC"/>
    <w:rsid w:val="39A105E9"/>
    <w:rsid w:val="39AD2622"/>
    <w:rsid w:val="39C656D7"/>
    <w:rsid w:val="39E43EB9"/>
    <w:rsid w:val="3A061A3B"/>
    <w:rsid w:val="3A0636E9"/>
    <w:rsid w:val="3A0B7871"/>
    <w:rsid w:val="3A2C3E02"/>
    <w:rsid w:val="3AA351FB"/>
    <w:rsid w:val="3AAD7671"/>
    <w:rsid w:val="3AD60D98"/>
    <w:rsid w:val="3AEB1F09"/>
    <w:rsid w:val="3AFD0385"/>
    <w:rsid w:val="3B0911E6"/>
    <w:rsid w:val="3B305869"/>
    <w:rsid w:val="3B3B1C9B"/>
    <w:rsid w:val="3BC66196"/>
    <w:rsid w:val="3BD92149"/>
    <w:rsid w:val="3BF1547D"/>
    <w:rsid w:val="3C1E0393"/>
    <w:rsid w:val="3D4B5F1A"/>
    <w:rsid w:val="3D5D315C"/>
    <w:rsid w:val="3E292D05"/>
    <w:rsid w:val="3E2E4EC5"/>
    <w:rsid w:val="3E603030"/>
    <w:rsid w:val="3E9D1661"/>
    <w:rsid w:val="3EA57E41"/>
    <w:rsid w:val="3EC7742B"/>
    <w:rsid w:val="3EDF43A1"/>
    <w:rsid w:val="3EF34430"/>
    <w:rsid w:val="3F7A2BB9"/>
    <w:rsid w:val="3FAB1399"/>
    <w:rsid w:val="3FEA1609"/>
    <w:rsid w:val="3FF664DD"/>
    <w:rsid w:val="400637DB"/>
    <w:rsid w:val="400640E5"/>
    <w:rsid w:val="40551718"/>
    <w:rsid w:val="407B3D6A"/>
    <w:rsid w:val="40991474"/>
    <w:rsid w:val="40BF4E05"/>
    <w:rsid w:val="41D3417C"/>
    <w:rsid w:val="421D54DF"/>
    <w:rsid w:val="42B31FFC"/>
    <w:rsid w:val="42B809A5"/>
    <w:rsid w:val="42C20897"/>
    <w:rsid w:val="42C2516F"/>
    <w:rsid w:val="42C47DB1"/>
    <w:rsid w:val="43432ECC"/>
    <w:rsid w:val="437020DC"/>
    <w:rsid w:val="437C019B"/>
    <w:rsid w:val="438967D5"/>
    <w:rsid w:val="43FF71E6"/>
    <w:rsid w:val="44325EE6"/>
    <w:rsid w:val="44495A5D"/>
    <w:rsid w:val="44944E80"/>
    <w:rsid w:val="44D51E4A"/>
    <w:rsid w:val="44EF0953"/>
    <w:rsid w:val="44F608DF"/>
    <w:rsid w:val="450960EF"/>
    <w:rsid w:val="45320E4E"/>
    <w:rsid w:val="454C5DC7"/>
    <w:rsid w:val="454F78C2"/>
    <w:rsid w:val="45854404"/>
    <w:rsid w:val="459F0EDF"/>
    <w:rsid w:val="45A75D52"/>
    <w:rsid w:val="45C949EF"/>
    <w:rsid w:val="46190610"/>
    <w:rsid w:val="4666290D"/>
    <w:rsid w:val="466D2592"/>
    <w:rsid w:val="46F6477A"/>
    <w:rsid w:val="46FE6849"/>
    <w:rsid w:val="472D26D6"/>
    <w:rsid w:val="473B56EE"/>
    <w:rsid w:val="4742580A"/>
    <w:rsid w:val="475C14A6"/>
    <w:rsid w:val="476A59FF"/>
    <w:rsid w:val="47785046"/>
    <w:rsid w:val="47AB0DF7"/>
    <w:rsid w:val="481276E8"/>
    <w:rsid w:val="481B3258"/>
    <w:rsid w:val="4871662B"/>
    <w:rsid w:val="490C714C"/>
    <w:rsid w:val="49710197"/>
    <w:rsid w:val="497F0086"/>
    <w:rsid w:val="49975C79"/>
    <w:rsid w:val="49BD0AEA"/>
    <w:rsid w:val="49C35B92"/>
    <w:rsid w:val="49FB02FC"/>
    <w:rsid w:val="4A0324B3"/>
    <w:rsid w:val="4A58381C"/>
    <w:rsid w:val="4A873352"/>
    <w:rsid w:val="4A90672C"/>
    <w:rsid w:val="4AC6364F"/>
    <w:rsid w:val="4AD25863"/>
    <w:rsid w:val="4B6E3E83"/>
    <w:rsid w:val="4B96350F"/>
    <w:rsid w:val="4B9A6686"/>
    <w:rsid w:val="4BFC52F4"/>
    <w:rsid w:val="4BFD56FB"/>
    <w:rsid w:val="4C0D09E6"/>
    <w:rsid w:val="4CA42BB5"/>
    <w:rsid w:val="4CAF36BC"/>
    <w:rsid w:val="4CEC603F"/>
    <w:rsid w:val="4D147203"/>
    <w:rsid w:val="4D2E60E3"/>
    <w:rsid w:val="4D6C1AA7"/>
    <w:rsid w:val="4D9E2C43"/>
    <w:rsid w:val="4DB8213F"/>
    <w:rsid w:val="4DDB3621"/>
    <w:rsid w:val="4E0D31B4"/>
    <w:rsid w:val="4E3F773E"/>
    <w:rsid w:val="4F433A65"/>
    <w:rsid w:val="4F6B03BF"/>
    <w:rsid w:val="4F6B40C7"/>
    <w:rsid w:val="4FCC508E"/>
    <w:rsid w:val="4FF31BBA"/>
    <w:rsid w:val="5029018E"/>
    <w:rsid w:val="50DE7320"/>
    <w:rsid w:val="51196930"/>
    <w:rsid w:val="51237D2E"/>
    <w:rsid w:val="51320DBA"/>
    <w:rsid w:val="51935A63"/>
    <w:rsid w:val="51937DEA"/>
    <w:rsid w:val="519E1B03"/>
    <w:rsid w:val="51CD01CB"/>
    <w:rsid w:val="51E23031"/>
    <w:rsid w:val="520410A5"/>
    <w:rsid w:val="525E649B"/>
    <w:rsid w:val="5279675E"/>
    <w:rsid w:val="531E4C24"/>
    <w:rsid w:val="539443E3"/>
    <w:rsid w:val="53F3657F"/>
    <w:rsid w:val="54103BF9"/>
    <w:rsid w:val="548B6C5C"/>
    <w:rsid w:val="54D413B8"/>
    <w:rsid w:val="55107147"/>
    <w:rsid w:val="551602BA"/>
    <w:rsid w:val="55634A48"/>
    <w:rsid w:val="55D1587F"/>
    <w:rsid w:val="55D54221"/>
    <w:rsid w:val="55F47291"/>
    <w:rsid w:val="56091739"/>
    <w:rsid w:val="563B606E"/>
    <w:rsid w:val="56686B67"/>
    <w:rsid w:val="5689104A"/>
    <w:rsid w:val="568C6A5B"/>
    <w:rsid w:val="573E3DB0"/>
    <w:rsid w:val="574127B6"/>
    <w:rsid w:val="574F6831"/>
    <w:rsid w:val="577A22DD"/>
    <w:rsid w:val="57874D27"/>
    <w:rsid w:val="57D0245B"/>
    <w:rsid w:val="57DC6531"/>
    <w:rsid w:val="58154293"/>
    <w:rsid w:val="582505BD"/>
    <w:rsid w:val="585374C7"/>
    <w:rsid w:val="585F66A5"/>
    <w:rsid w:val="58982D68"/>
    <w:rsid w:val="594076DC"/>
    <w:rsid w:val="598451C7"/>
    <w:rsid w:val="59A6736A"/>
    <w:rsid w:val="59AF2530"/>
    <w:rsid w:val="59C81783"/>
    <w:rsid w:val="59CA6081"/>
    <w:rsid w:val="59DF7D2A"/>
    <w:rsid w:val="5A09239E"/>
    <w:rsid w:val="5A193854"/>
    <w:rsid w:val="5A21156A"/>
    <w:rsid w:val="5A2C4568"/>
    <w:rsid w:val="5A721036"/>
    <w:rsid w:val="5ACF5FD5"/>
    <w:rsid w:val="5BA15428"/>
    <w:rsid w:val="5BB23B5A"/>
    <w:rsid w:val="5BDB5BEC"/>
    <w:rsid w:val="5C08720C"/>
    <w:rsid w:val="5C363E3A"/>
    <w:rsid w:val="5C602C23"/>
    <w:rsid w:val="5C82091C"/>
    <w:rsid w:val="5C8735BF"/>
    <w:rsid w:val="5C8953D3"/>
    <w:rsid w:val="5C8E34A7"/>
    <w:rsid w:val="5C9E5B62"/>
    <w:rsid w:val="5CD87D14"/>
    <w:rsid w:val="5D6278A3"/>
    <w:rsid w:val="5DA07B96"/>
    <w:rsid w:val="5DFC25F6"/>
    <w:rsid w:val="5E3C4585"/>
    <w:rsid w:val="5EE16635"/>
    <w:rsid w:val="5EE71659"/>
    <w:rsid w:val="5EEF7822"/>
    <w:rsid w:val="5EF80BA4"/>
    <w:rsid w:val="5F2343D1"/>
    <w:rsid w:val="5FF24FD6"/>
    <w:rsid w:val="602B0BD5"/>
    <w:rsid w:val="602F7576"/>
    <w:rsid w:val="60317DF6"/>
    <w:rsid w:val="60865C34"/>
    <w:rsid w:val="608C3FF4"/>
    <w:rsid w:val="60A027A4"/>
    <w:rsid w:val="60A9153E"/>
    <w:rsid w:val="60B91430"/>
    <w:rsid w:val="60BD2BEB"/>
    <w:rsid w:val="60F85351"/>
    <w:rsid w:val="612D1A7D"/>
    <w:rsid w:val="616A76ED"/>
    <w:rsid w:val="620F67EC"/>
    <w:rsid w:val="626D5A4E"/>
    <w:rsid w:val="626F590C"/>
    <w:rsid w:val="62947454"/>
    <w:rsid w:val="62D80F58"/>
    <w:rsid w:val="633D2BA7"/>
    <w:rsid w:val="63485C21"/>
    <w:rsid w:val="63D964CB"/>
    <w:rsid w:val="63E16C2B"/>
    <w:rsid w:val="6407617A"/>
    <w:rsid w:val="641E13AB"/>
    <w:rsid w:val="64460FA7"/>
    <w:rsid w:val="646C5D5E"/>
    <w:rsid w:val="646D0843"/>
    <w:rsid w:val="647B2C03"/>
    <w:rsid w:val="6486646D"/>
    <w:rsid w:val="64AE3C3D"/>
    <w:rsid w:val="64E61BEE"/>
    <w:rsid w:val="65094CA5"/>
    <w:rsid w:val="656D720C"/>
    <w:rsid w:val="659510F2"/>
    <w:rsid w:val="65B456E9"/>
    <w:rsid w:val="65F86CC8"/>
    <w:rsid w:val="66063E6E"/>
    <w:rsid w:val="66827D25"/>
    <w:rsid w:val="66A7352E"/>
    <w:rsid w:val="66A76785"/>
    <w:rsid w:val="66D9246B"/>
    <w:rsid w:val="66E05BD7"/>
    <w:rsid w:val="670F7F24"/>
    <w:rsid w:val="678D1A58"/>
    <w:rsid w:val="67AC0AC0"/>
    <w:rsid w:val="67D20654"/>
    <w:rsid w:val="67ED44E4"/>
    <w:rsid w:val="680B4E12"/>
    <w:rsid w:val="682560DB"/>
    <w:rsid w:val="683D4813"/>
    <w:rsid w:val="68AA326C"/>
    <w:rsid w:val="690B60DA"/>
    <w:rsid w:val="691E2698"/>
    <w:rsid w:val="693862AF"/>
    <w:rsid w:val="6949403B"/>
    <w:rsid w:val="69513F80"/>
    <w:rsid w:val="698F6CBE"/>
    <w:rsid w:val="69AB2D6B"/>
    <w:rsid w:val="6A385E52"/>
    <w:rsid w:val="6A6B3213"/>
    <w:rsid w:val="6AC7350B"/>
    <w:rsid w:val="6AC771D0"/>
    <w:rsid w:val="6AEE4AB1"/>
    <w:rsid w:val="6AEF4F14"/>
    <w:rsid w:val="6B002DB9"/>
    <w:rsid w:val="6B4828A5"/>
    <w:rsid w:val="6B7A5565"/>
    <w:rsid w:val="6BC333DB"/>
    <w:rsid w:val="6BE31711"/>
    <w:rsid w:val="6BEF1FF7"/>
    <w:rsid w:val="6C302273"/>
    <w:rsid w:val="6C687BEB"/>
    <w:rsid w:val="6D73577F"/>
    <w:rsid w:val="6D9D6AE0"/>
    <w:rsid w:val="6DC30630"/>
    <w:rsid w:val="6DD64A3D"/>
    <w:rsid w:val="6DD726CA"/>
    <w:rsid w:val="6E4D50B9"/>
    <w:rsid w:val="6E4F0506"/>
    <w:rsid w:val="6E5967B9"/>
    <w:rsid w:val="6EA16692"/>
    <w:rsid w:val="6EB26C3D"/>
    <w:rsid w:val="6F8011C4"/>
    <w:rsid w:val="6FA757A7"/>
    <w:rsid w:val="6FCF6002"/>
    <w:rsid w:val="6FE00C06"/>
    <w:rsid w:val="700E2DED"/>
    <w:rsid w:val="704476BC"/>
    <w:rsid w:val="70483B44"/>
    <w:rsid w:val="704D5DCD"/>
    <w:rsid w:val="70577F08"/>
    <w:rsid w:val="706332AE"/>
    <w:rsid w:val="70970C45"/>
    <w:rsid w:val="70E57245"/>
    <w:rsid w:val="70F518BA"/>
    <w:rsid w:val="726500DD"/>
    <w:rsid w:val="72E5585D"/>
    <w:rsid w:val="72F11B8E"/>
    <w:rsid w:val="73534607"/>
    <w:rsid w:val="735D1848"/>
    <w:rsid w:val="73A3477D"/>
    <w:rsid w:val="73B82C70"/>
    <w:rsid w:val="73DD1CA1"/>
    <w:rsid w:val="7404143B"/>
    <w:rsid w:val="744E6366"/>
    <w:rsid w:val="746D0674"/>
    <w:rsid w:val="747169C8"/>
    <w:rsid w:val="747E21A4"/>
    <w:rsid w:val="748742BE"/>
    <w:rsid w:val="74964153"/>
    <w:rsid w:val="74C45759"/>
    <w:rsid w:val="74CB6BAB"/>
    <w:rsid w:val="74F86EA3"/>
    <w:rsid w:val="750061C9"/>
    <w:rsid w:val="751E6F30"/>
    <w:rsid w:val="752F3ED9"/>
    <w:rsid w:val="7566482B"/>
    <w:rsid w:val="757C2D2F"/>
    <w:rsid w:val="75890323"/>
    <w:rsid w:val="75B312CC"/>
    <w:rsid w:val="75D2490A"/>
    <w:rsid w:val="75EC0074"/>
    <w:rsid w:val="762A506B"/>
    <w:rsid w:val="764D4710"/>
    <w:rsid w:val="76592DDA"/>
    <w:rsid w:val="766427CF"/>
    <w:rsid w:val="76A22A13"/>
    <w:rsid w:val="76FF3498"/>
    <w:rsid w:val="770411E7"/>
    <w:rsid w:val="770E7A7F"/>
    <w:rsid w:val="771D33C8"/>
    <w:rsid w:val="77597671"/>
    <w:rsid w:val="77AF0DED"/>
    <w:rsid w:val="78753C71"/>
    <w:rsid w:val="78830343"/>
    <w:rsid w:val="788E4559"/>
    <w:rsid w:val="78A501F4"/>
    <w:rsid w:val="78B26191"/>
    <w:rsid w:val="78C5495A"/>
    <w:rsid w:val="78C63AB1"/>
    <w:rsid w:val="78F22F1D"/>
    <w:rsid w:val="79110144"/>
    <w:rsid w:val="79165D8E"/>
    <w:rsid w:val="7941716A"/>
    <w:rsid w:val="796B11C3"/>
    <w:rsid w:val="79BB270F"/>
    <w:rsid w:val="7A313C9B"/>
    <w:rsid w:val="7A426386"/>
    <w:rsid w:val="7A636281"/>
    <w:rsid w:val="7AD36766"/>
    <w:rsid w:val="7AD50CD0"/>
    <w:rsid w:val="7AFB04C4"/>
    <w:rsid w:val="7B2E79FD"/>
    <w:rsid w:val="7B6334FC"/>
    <w:rsid w:val="7B763128"/>
    <w:rsid w:val="7B763940"/>
    <w:rsid w:val="7B8008AE"/>
    <w:rsid w:val="7BD52323"/>
    <w:rsid w:val="7C072C71"/>
    <w:rsid w:val="7C141DD7"/>
    <w:rsid w:val="7C331CAB"/>
    <w:rsid w:val="7C4C347A"/>
    <w:rsid w:val="7CDA1DE4"/>
    <w:rsid w:val="7D08374B"/>
    <w:rsid w:val="7DD72A26"/>
    <w:rsid w:val="7E0F43DF"/>
    <w:rsid w:val="7E4D5DC2"/>
    <w:rsid w:val="7E6D684F"/>
    <w:rsid w:val="7EB2722A"/>
    <w:rsid w:val="7EB476E6"/>
    <w:rsid w:val="7EC37706"/>
    <w:rsid w:val="7EC8053F"/>
    <w:rsid w:val="7ED026CE"/>
    <w:rsid w:val="7F1D6B1B"/>
    <w:rsid w:val="7F605361"/>
    <w:rsid w:val="7F6234C8"/>
    <w:rsid w:val="7F7052A0"/>
    <w:rsid w:val="7F8C3920"/>
    <w:rsid w:val="7FA426A6"/>
    <w:rsid w:val="7FB47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6" w:lineRule="auto"/>
      <w:outlineLvl w:val="2"/>
    </w:pPr>
    <w:rPr>
      <w:b/>
      <w:bCs/>
      <w:sz w:val="32"/>
      <w:szCs w:val="32"/>
    </w:rPr>
  </w:style>
  <w:style w:type="paragraph" w:styleId="7">
    <w:name w:val="heading 4"/>
    <w:basedOn w:val="1"/>
    <w:next w:val="1"/>
    <w:link w:val="42"/>
    <w:qFormat/>
    <w:uiPriority w:val="0"/>
    <w:pPr>
      <w:keepNext/>
      <w:keepLines/>
      <w:spacing w:line="376" w:lineRule="auto"/>
      <w:outlineLvl w:val="3"/>
    </w:pPr>
    <w:rPr>
      <w:rFonts w:ascii="Cambria" w:hAnsi="Cambria"/>
      <w:b/>
      <w:bCs/>
      <w:sz w:val="28"/>
      <w:szCs w:val="28"/>
      <w:lang w:eastAsia="en-US"/>
    </w:rPr>
  </w:style>
  <w:style w:type="paragraph" w:styleId="8">
    <w:name w:val="heading 6"/>
    <w:basedOn w:val="1"/>
    <w:next w:val="1"/>
    <w:semiHidden/>
    <w:unhideWhenUsed/>
    <w:qFormat/>
    <w:uiPriority w:val="9"/>
    <w:pPr>
      <w:spacing w:beforeAutospacing="1" w:afterAutospacing="1"/>
      <w:jc w:val="left"/>
      <w:outlineLvl w:val="5"/>
    </w:pPr>
    <w:rPr>
      <w:rFonts w:hint="eastAsia" w:ascii="宋体" w:hAnsi="宋体"/>
      <w:b/>
      <w:bCs/>
      <w:kern w:val="0"/>
      <w:sz w:val="15"/>
      <w:szCs w:val="15"/>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6"/>
    <w:qFormat/>
    <w:uiPriority w:val="0"/>
    <w:pPr>
      <w:spacing w:line="480" w:lineRule="auto"/>
      <w:ind w:left="420" w:leftChars="200"/>
    </w:pPr>
    <w:rPr>
      <w:rFonts w:ascii="Arial" w:hAnsi="Arial" w:eastAsia="Times New Roman"/>
      <w:b/>
      <w:szCs w:val="24"/>
      <w:lang w:eastAsia="en-US"/>
    </w:rPr>
  </w:style>
  <w:style w:type="paragraph" w:styleId="5">
    <w:name w:val="Normal Indent"/>
    <w:basedOn w:val="1"/>
    <w:unhideWhenUsed/>
    <w:qFormat/>
    <w:uiPriority w:val="99"/>
    <w:pPr>
      <w:spacing w:line="300" w:lineRule="auto"/>
      <w:ind w:firstLine="420" w:firstLineChars="200"/>
    </w:pPr>
    <w:rPr>
      <w:szCs w:val="24"/>
    </w:rPr>
  </w:style>
  <w:style w:type="paragraph" w:styleId="9">
    <w:name w:val="Document Map"/>
    <w:basedOn w:val="1"/>
    <w:qFormat/>
    <w:uiPriority w:val="0"/>
    <w:pPr>
      <w:shd w:val="clear" w:color="auto" w:fill="000080"/>
    </w:pPr>
  </w:style>
  <w:style w:type="paragraph" w:styleId="10">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11">
    <w:name w:val="annotation text"/>
    <w:basedOn w:val="1"/>
    <w:link w:val="43"/>
    <w:unhideWhenUsed/>
    <w:qFormat/>
    <w:uiPriority w:val="99"/>
    <w:pPr>
      <w:jc w:val="left"/>
    </w:pPr>
    <w:rPr>
      <w:rFonts w:ascii="Arial" w:hAnsi="Arial" w:eastAsia="Times New Roman"/>
      <w:b/>
      <w:szCs w:val="24"/>
      <w:lang w:eastAsia="en-US"/>
    </w:rPr>
  </w:style>
  <w:style w:type="paragraph" w:styleId="12">
    <w:name w:val="Body Text"/>
    <w:basedOn w:val="1"/>
    <w:next w:val="1"/>
    <w:qFormat/>
    <w:uiPriority w:val="0"/>
  </w:style>
  <w:style w:type="paragraph" w:styleId="13">
    <w:name w:val="Body Text Indent"/>
    <w:basedOn w:val="1"/>
    <w:qFormat/>
    <w:uiPriority w:val="0"/>
    <w:pPr>
      <w:ind w:firstLine="552"/>
    </w:pPr>
    <w:rPr>
      <w:rFonts w:ascii="宋体"/>
      <w:sz w:val="28"/>
    </w:rPr>
  </w:style>
  <w:style w:type="paragraph" w:styleId="14">
    <w:name w:val="toc 3"/>
    <w:basedOn w:val="1"/>
    <w:next w:val="1"/>
    <w:qFormat/>
    <w:uiPriority w:val="39"/>
    <w:pPr>
      <w:ind w:left="840" w:leftChars="400"/>
    </w:pPr>
  </w:style>
  <w:style w:type="paragraph" w:styleId="15">
    <w:name w:val="Plain Text"/>
    <w:basedOn w:val="1"/>
    <w:link w:val="44"/>
    <w:qFormat/>
    <w:uiPriority w:val="0"/>
    <w:rPr>
      <w:rFonts w:ascii="宋体" w:hAnsi="Courier New"/>
      <w:szCs w:val="21"/>
    </w:rPr>
  </w:style>
  <w:style w:type="paragraph" w:styleId="16">
    <w:name w:val="Date"/>
    <w:basedOn w:val="1"/>
    <w:next w:val="1"/>
    <w:link w:val="45"/>
    <w:qFormat/>
    <w:uiPriority w:val="0"/>
    <w:rPr>
      <w:rFonts w:ascii="宋体" w:hAnsi="Arial" w:eastAsia="Times New Roman"/>
      <w:b/>
      <w:sz w:val="24"/>
      <w:szCs w:val="24"/>
      <w:lang w:eastAsia="en-US"/>
    </w:rPr>
  </w:style>
  <w:style w:type="paragraph" w:styleId="17">
    <w:name w:val="Balloon Text"/>
    <w:basedOn w:val="1"/>
    <w:qFormat/>
    <w:uiPriority w:val="0"/>
    <w:rPr>
      <w:sz w:val="18"/>
      <w:szCs w:val="18"/>
    </w:rPr>
  </w:style>
  <w:style w:type="paragraph" w:styleId="18">
    <w:name w:val="footer"/>
    <w:basedOn w:val="1"/>
    <w:link w:val="47"/>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link w:val="49"/>
    <w:unhideWhenUsed/>
    <w:qFormat/>
    <w:uiPriority w:val="99"/>
    <w:pPr>
      <w:spacing w:after="120"/>
      <w:ind w:left="420" w:leftChars="200"/>
    </w:pPr>
    <w:rPr>
      <w:rFonts w:ascii="Arial" w:hAnsi="Arial" w:eastAsia="Times New Roman"/>
      <w:b/>
      <w:sz w:val="16"/>
      <w:szCs w:val="16"/>
      <w:lang w:eastAsia="en-US"/>
    </w:rPr>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5">
    <w:name w:val="Normal (Web)"/>
    <w:basedOn w:val="1"/>
    <w:unhideWhenUsed/>
    <w:qFormat/>
    <w:uiPriority w:val="99"/>
    <w:pPr>
      <w:jc w:val="left"/>
    </w:pPr>
    <w:rPr>
      <w:color w:val="3D3D3D"/>
      <w:kern w:val="0"/>
      <w:sz w:val="24"/>
    </w:rPr>
  </w:style>
  <w:style w:type="paragraph" w:styleId="26">
    <w:name w:val="Title"/>
    <w:basedOn w:val="1"/>
    <w:next w:val="1"/>
    <w:link w:val="50"/>
    <w:qFormat/>
    <w:uiPriority w:val="0"/>
    <w:pPr>
      <w:jc w:val="center"/>
      <w:outlineLvl w:val="0"/>
    </w:pPr>
    <w:rPr>
      <w:rFonts w:ascii="Cambria" w:hAnsi="Cambria" w:eastAsia="Times New Roman"/>
      <w:b/>
      <w:bCs/>
      <w:sz w:val="32"/>
      <w:szCs w:val="32"/>
      <w:lang w:eastAsia="en-US"/>
    </w:rPr>
  </w:style>
  <w:style w:type="paragraph" w:styleId="27">
    <w:name w:val="annotation subject"/>
    <w:basedOn w:val="11"/>
    <w:next w:val="11"/>
    <w:link w:val="51"/>
    <w:unhideWhenUsed/>
    <w:qFormat/>
    <w:uiPriority w:val="99"/>
    <w:rPr>
      <w:bCs/>
    </w:rPr>
  </w:style>
  <w:style w:type="paragraph" w:styleId="28">
    <w:name w:val="Body Text First Indent"/>
    <w:basedOn w:val="12"/>
    <w:qFormat/>
    <w:uiPriority w:val="99"/>
    <w:pPr>
      <w:ind w:firstLine="420" w:firstLineChars="100"/>
    </w:pPr>
    <w:rPr>
      <w:rFonts w:ascii="宋体"/>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Cs/>
    </w:rPr>
  </w:style>
  <w:style w:type="character" w:styleId="33">
    <w:name w:val="page number"/>
    <w:basedOn w:val="31"/>
    <w:qFormat/>
    <w:uiPriority w:val="0"/>
  </w:style>
  <w:style w:type="character" w:styleId="34">
    <w:name w:val="FollowedHyperlink"/>
    <w:unhideWhenUsed/>
    <w:qFormat/>
    <w:uiPriority w:val="99"/>
    <w:rPr>
      <w:rFonts w:ascii="Arial" w:hAnsi="Arial" w:eastAsia="Times New Roman" w:cs="Verdana"/>
      <w:b/>
      <w:color w:val="3D3D3D"/>
      <w:kern w:val="0"/>
      <w:sz w:val="24"/>
      <w:szCs w:val="24"/>
      <w:u w:val="none"/>
      <w:lang w:eastAsia="en-US"/>
    </w:rPr>
  </w:style>
  <w:style w:type="character" w:styleId="35">
    <w:name w:val="Emphasis"/>
    <w:basedOn w:val="31"/>
    <w:qFormat/>
    <w:uiPriority w:val="20"/>
  </w:style>
  <w:style w:type="character" w:styleId="36">
    <w:name w:val="HTML Definition"/>
    <w:basedOn w:val="31"/>
    <w:semiHidden/>
    <w:unhideWhenUsed/>
    <w:qFormat/>
    <w:uiPriority w:val="99"/>
    <w:rPr>
      <w:i/>
      <w:iCs/>
    </w:rPr>
  </w:style>
  <w:style w:type="character" w:styleId="37">
    <w:name w:val="Hyperlink"/>
    <w:basedOn w:val="31"/>
    <w:qFormat/>
    <w:uiPriority w:val="99"/>
    <w:rPr>
      <w:rFonts w:ascii="Arial" w:hAnsi="Arial" w:eastAsia="Times New Roman" w:cs="Verdana"/>
      <w:color w:val="0000FF"/>
      <w:kern w:val="0"/>
      <w:sz w:val="24"/>
      <w:szCs w:val="24"/>
      <w:u w:val="single"/>
      <w:lang w:eastAsia="en-US"/>
    </w:rPr>
  </w:style>
  <w:style w:type="character" w:styleId="38">
    <w:name w:val="HTML Code"/>
    <w:basedOn w:val="31"/>
    <w:semiHidden/>
    <w:unhideWhenUsed/>
    <w:qFormat/>
    <w:uiPriority w:val="99"/>
    <w:rPr>
      <w:rFonts w:hint="default" w:ascii="Consolas" w:hAnsi="Consolas" w:eastAsia="Consolas" w:cs="Consolas"/>
      <w:color w:val="C7254E"/>
      <w:sz w:val="21"/>
      <w:szCs w:val="21"/>
      <w:shd w:val="clear" w:color="auto" w:fill="F9F2F4"/>
    </w:rPr>
  </w:style>
  <w:style w:type="character" w:styleId="39">
    <w:name w:val="annotation reference"/>
    <w:unhideWhenUsed/>
    <w:qFormat/>
    <w:uiPriority w:val="99"/>
    <w:rPr>
      <w:rFonts w:ascii="Arial" w:hAnsi="Arial" w:eastAsia="Times New Roman" w:cs="Verdana"/>
      <w:b/>
      <w:kern w:val="0"/>
      <w:sz w:val="21"/>
      <w:szCs w:val="21"/>
      <w:lang w:eastAsia="en-US"/>
    </w:rPr>
  </w:style>
  <w:style w:type="character" w:styleId="40">
    <w:name w:val="HTML Keyboard"/>
    <w:basedOn w:val="31"/>
    <w:semiHidden/>
    <w:unhideWhenUsed/>
    <w:qFormat/>
    <w:uiPriority w:val="99"/>
    <w:rPr>
      <w:rFonts w:ascii="Consolas" w:hAnsi="Consolas" w:eastAsia="Consolas" w:cs="Consolas"/>
      <w:color w:val="FFFFFF"/>
      <w:sz w:val="21"/>
      <w:szCs w:val="21"/>
      <w:shd w:val="clear" w:color="auto" w:fill="333333"/>
    </w:rPr>
  </w:style>
  <w:style w:type="character" w:styleId="41">
    <w:name w:val="HTML Sample"/>
    <w:basedOn w:val="31"/>
    <w:semiHidden/>
    <w:unhideWhenUsed/>
    <w:qFormat/>
    <w:uiPriority w:val="99"/>
    <w:rPr>
      <w:rFonts w:hint="default" w:ascii="Consolas" w:hAnsi="Consolas" w:eastAsia="Consolas" w:cs="Consolas"/>
      <w:sz w:val="21"/>
      <w:szCs w:val="21"/>
    </w:rPr>
  </w:style>
  <w:style w:type="character" w:customStyle="1" w:styleId="42">
    <w:name w:val="标题 4 Char"/>
    <w:link w:val="7"/>
    <w:qFormat/>
    <w:uiPriority w:val="0"/>
    <w:rPr>
      <w:rFonts w:ascii="Cambria" w:hAnsi="Cambria" w:eastAsia="宋体" w:cs="Times New Roman"/>
      <w:b/>
      <w:bCs/>
      <w:kern w:val="2"/>
      <w:sz w:val="28"/>
      <w:szCs w:val="28"/>
      <w:lang w:eastAsia="en-US"/>
    </w:rPr>
  </w:style>
  <w:style w:type="character" w:customStyle="1" w:styleId="43">
    <w:name w:val="批注文字 Char"/>
    <w:link w:val="11"/>
    <w:qFormat/>
    <w:uiPriority w:val="99"/>
    <w:rPr>
      <w:rFonts w:ascii="Arial" w:hAnsi="Arial" w:eastAsia="Times New Roman" w:cs="Verdana"/>
      <w:b/>
      <w:kern w:val="2"/>
      <w:sz w:val="21"/>
      <w:szCs w:val="24"/>
      <w:lang w:eastAsia="en-US"/>
    </w:rPr>
  </w:style>
  <w:style w:type="character" w:customStyle="1" w:styleId="44">
    <w:name w:val="纯文本 Char"/>
    <w:link w:val="15"/>
    <w:qFormat/>
    <w:uiPriority w:val="0"/>
    <w:rPr>
      <w:rFonts w:ascii="宋体" w:hAnsi="Courier New" w:cs="Courier New"/>
      <w:kern w:val="2"/>
      <w:sz w:val="21"/>
      <w:szCs w:val="21"/>
    </w:rPr>
  </w:style>
  <w:style w:type="character" w:customStyle="1" w:styleId="45">
    <w:name w:val="日期 Char"/>
    <w:link w:val="16"/>
    <w:qFormat/>
    <w:uiPriority w:val="0"/>
    <w:rPr>
      <w:rFonts w:ascii="宋体" w:hAnsi="Arial" w:eastAsia="Times New Roman" w:cs="Verdana"/>
      <w:b/>
      <w:kern w:val="2"/>
      <w:sz w:val="24"/>
      <w:szCs w:val="24"/>
      <w:lang w:eastAsia="en-US"/>
    </w:rPr>
  </w:style>
  <w:style w:type="character" w:customStyle="1" w:styleId="46">
    <w:name w:val="正文文本缩进 2 Char"/>
    <w:link w:val="2"/>
    <w:qFormat/>
    <w:uiPriority w:val="0"/>
    <w:rPr>
      <w:rFonts w:ascii="Arial" w:hAnsi="Arial" w:eastAsia="Times New Roman" w:cs="Verdana"/>
      <w:b/>
      <w:kern w:val="2"/>
      <w:sz w:val="21"/>
      <w:szCs w:val="24"/>
      <w:lang w:eastAsia="en-US"/>
    </w:rPr>
  </w:style>
  <w:style w:type="character" w:customStyle="1" w:styleId="47">
    <w:name w:val="页脚 Char"/>
    <w:link w:val="18"/>
    <w:qFormat/>
    <w:uiPriority w:val="99"/>
    <w:rPr>
      <w:rFonts w:ascii="Arial" w:hAnsi="Arial" w:eastAsia="Times New Roman" w:cs="Verdana"/>
      <w:b/>
      <w:kern w:val="0"/>
      <w:sz w:val="18"/>
      <w:szCs w:val="24"/>
      <w:lang w:eastAsia="en-US"/>
    </w:rPr>
  </w:style>
  <w:style w:type="character" w:customStyle="1" w:styleId="48">
    <w:name w:val="页眉 Char"/>
    <w:link w:val="19"/>
    <w:qFormat/>
    <w:uiPriority w:val="0"/>
    <w:rPr>
      <w:kern w:val="2"/>
      <w:sz w:val="18"/>
      <w:szCs w:val="18"/>
    </w:rPr>
  </w:style>
  <w:style w:type="character" w:customStyle="1" w:styleId="49">
    <w:name w:val="正文文本缩进 3 Char"/>
    <w:link w:val="21"/>
    <w:semiHidden/>
    <w:qFormat/>
    <w:uiPriority w:val="99"/>
    <w:rPr>
      <w:rFonts w:ascii="Arial" w:hAnsi="Arial" w:eastAsia="Times New Roman" w:cs="Verdana"/>
      <w:b/>
      <w:kern w:val="2"/>
      <w:sz w:val="16"/>
      <w:szCs w:val="16"/>
      <w:lang w:eastAsia="en-US"/>
    </w:rPr>
  </w:style>
  <w:style w:type="character" w:customStyle="1" w:styleId="50">
    <w:name w:val="标题 Char"/>
    <w:link w:val="26"/>
    <w:qFormat/>
    <w:uiPriority w:val="0"/>
    <w:rPr>
      <w:rFonts w:ascii="Cambria" w:hAnsi="Cambria" w:eastAsia="Times New Roman" w:cs="Verdana"/>
      <w:b/>
      <w:bCs/>
      <w:kern w:val="2"/>
      <w:sz w:val="32"/>
      <w:szCs w:val="32"/>
      <w:lang w:eastAsia="en-US"/>
    </w:rPr>
  </w:style>
  <w:style w:type="character" w:customStyle="1" w:styleId="51">
    <w:name w:val="批注主题 Char"/>
    <w:link w:val="27"/>
    <w:semiHidden/>
    <w:qFormat/>
    <w:uiPriority w:val="99"/>
    <w:rPr>
      <w:rFonts w:ascii="Arial" w:hAnsi="Arial" w:eastAsia="Times New Roman" w:cs="Verdana"/>
      <w:b/>
      <w:bCs/>
      <w:kern w:val="2"/>
      <w:sz w:val="21"/>
      <w:szCs w:val="24"/>
      <w:lang w:eastAsia="en-US"/>
    </w:rPr>
  </w:style>
  <w:style w:type="character" w:customStyle="1" w:styleId="52">
    <w:name w:val="style5 style5"/>
    <w:basedOn w:val="31"/>
    <w:qFormat/>
    <w:uiPriority w:val="0"/>
  </w:style>
  <w:style w:type="character" w:customStyle="1" w:styleId="53">
    <w:name w:val="普通文字1 Char2"/>
    <w:qFormat/>
    <w:uiPriority w:val="0"/>
    <w:rPr>
      <w:rFonts w:ascii="宋体" w:hAnsi="Courier New" w:eastAsia="宋体"/>
      <w:kern w:val="2"/>
      <w:sz w:val="21"/>
      <w:lang w:val="en-US" w:eastAsia="zh-CN" w:bidi="ar-SA"/>
    </w:rPr>
  </w:style>
  <w:style w:type="character" w:customStyle="1" w:styleId="54">
    <w:name w:val="gpa"/>
    <w:basedOn w:val="31"/>
    <w:qFormat/>
    <w:uiPriority w:val="0"/>
    <w:rPr>
      <w:rFonts w:ascii="Arial" w:hAnsi="Arial" w:cs="Arial"/>
      <w:sz w:val="15"/>
      <w:szCs w:val="15"/>
    </w:rPr>
  </w:style>
  <w:style w:type="character" w:customStyle="1" w:styleId="55">
    <w:name w:val="displayarti"/>
    <w:basedOn w:val="31"/>
    <w:qFormat/>
    <w:uiPriority w:val="0"/>
    <w:rPr>
      <w:color w:val="FFFFFF"/>
      <w:shd w:val="clear" w:color="auto" w:fill="A00000"/>
    </w:rPr>
  </w:style>
  <w:style w:type="character" w:customStyle="1" w:styleId="56">
    <w:name w:val="【正文】 Char"/>
    <w:link w:val="57"/>
    <w:qFormat/>
    <w:uiPriority w:val="0"/>
    <w:rPr>
      <w:rFonts w:ascii="仿宋" w:hAnsi="仿宋" w:eastAsia="仿宋" w:cs="仿宋_GB2312"/>
      <w:kern w:val="2"/>
      <w:sz w:val="24"/>
      <w:szCs w:val="28"/>
    </w:rPr>
  </w:style>
  <w:style w:type="paragraph" w:customStyle="1" w:styleId="57">
    <w:name w:val="【正文】"/>
    <w:basedOn w:val="23"/>
    <w:link w:val="56"/>
    <w:qFormat/>
    <w:uiPriority w:val="0"/>
    <w:pPr>
      <w:spacing w:after="0" w:line="360" w:lineRule="auto"/>
      <w:ind w:firstLine="200" w:firstLineChars="200"/>
    </w:pPr>
    <w:rPr>
      <w:rFonts w:ascii="仿宋" w:hAnsi="仿宋" w:eastAsia="仿宋"/>
      <w:sz w:val="24"/>
      <w:szCs w:val="28"/>
    </w:rPr>
  </w:style>
  <w:style w:type="character" w:customStyle="1" w:styleId="58">
    <w:name w:val="selected"/>
    <w:basedOn w:val="31"/>
    <w:qFormat/>
    <w:uiPriority w:val="0"/>
    <w:rPr>
      <w:shd w:val="clear" w:color="auto" w:fill="B00006"/>
    </w:rPr>
  </w:style>
  <w:style w:type="character" w:customStyle="1" w:styleId="59">
    <w:name w:val="段 Char Char"/>
    <w:link w:val="60"/>
    <w:qFormat/>
    <w:locked/>
    <w:uiPriority w:val="0"/>
    <w:rPr>
      <w:rFonts w:ascii="宋体" w:eastAsia="Times New Roman"/>
      <w:kern w:val="2"/>
      <w:sz w:val="21"/>
      <w:szCs w:val="22"/>
      <w:lang w:val="en-US" w:eastAsia="zh-CN" w:bidi="ar-SA"/>
    </w:rPr>
  </w:style>
  <w:style w:type="paragraph" w:customStyle="1" w:styleId="60">
    <w:name w:val="段"/>
    <w:link w:val="59"/>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1">
    <w:name w:val="纯文本 Char1"/>
    <w:qFormat/>
    <w:uiPriority w:val="0"/>
    <w:rPr>
      <w:rFonts w:ascii="宋体" w:hAnsi="Courier New" w:eastAsia="Times New Roman" w:cs="Courier New"/>
      <w:b/>
      <w:kern w:val="2"/>
      <w:sz w:val="21"/>
      <w:szCs w:val="21"/>
      <w:lang w:eastAsia="en-US"/>
    </w:rPr>
  </w:style>
  <w:style w:type="character" w:customStyle="1" w:styleId="62">
    <w:name w:val="页码1"/>
    <w:basedOn w:val="31"/>
    <w:qFormat/>
    <w:uiPriority w:val="0"/>
  </w:style>
  <w:style w:type="character" w:customStyle="1" w:styleId="63">
    <w:name w:val="apple-style-span"/>
    <w:basedOn w:val="31"/>
    <w:qFormat/>
    <w:uiPriority w:val="0"/>
  </w:style>
  <w:style w:type="paragraph" w:customStyle="1" w:styleId="64">
    <w:name w:val="正文文本缩进 31"/>
    <w:basedOn w:val="1"/>
    <w:qFormat/>
    <w:uiPriority w:val="0"/>
    <w:pPr>
      <w:spacing w:line="410" w:lineRule="exact"/>
      <w:ind w:left="619" w:leftChars="295" w:firstLine="390" w:firstLineChars="179"/>
    </w:pPr>
    <w:rPr>
      <w:rFonts w:ascii="宋体" w:hAnsi="宋体"/>
      <w:spacing w:val="4"/>
    </w:rPr>
  </w:style>
  <w:style w:type="paragraph" w:customStyle="1" w:styleId="65">
    <w:name w:val="表格文字中"/>
    <w:basedOn w:val="1"/>
    <w:qFormat/>
    <w:uiPriority w:val="0"/>
    <w:pPr>
      <w:adjustRightInd w:val="0"/>
      <w:snapToGrid w:val="0"/>
      <w:ind w:left="22" w:leftChars="8"/>
      <w:jc w:val="center"/>
    </w:pPr>
    <w:rPr>
      <w:kern w:val="0"/>
      <w:szCs w:val="24"/>
    </w:rPr>
  </w:style>
  <w:style w:type="paragraph" w:customStyle="1" w:styleId="66">
    <w:name w:val="Char1"/>
    <w:basedOn w:val="1"/>
    <w:qFormat/>
    <w:uiPriority w:val="0"/>
    <w:pPr>
      <w:tabs>
        <w:tab w:val="left" w:pos="360"/>
      </w:tabs>
      <w:ind w:left="360" w:hanging="360" w:hangingChars="200"/>
    </w:pPr>
    <w:rPr>
      <w:sz w:val="24"/>
      <w:szCs w:val="24"/>
    </w:rPr>
  </w:style>
  <w:style w:type="paragraph" w:customStyle="1" w:styleId="67">
    <w:name w:val="正文文本缩进1"/>
    <w:basedOn w:val="1"/>
    <w:qFormat/>
    <w:uiPriority w:val="0"/>
    <w:pPr>
      <w:widowControl/>
      <w:ind w:firstLine="652" w:firstLineChars="233"/>
    </w:pPr>
    <w:rPr>
      <w:kern w:val="0"/>
      <w:sz w:val="28"/>
    </w:rPr>
  </w:style>
  <w:style w:type="paragraph" w:customStyle="1" w:styleId="68">
    <w:name w:val="正文1"/>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69">
    <w:name w:val="(a)正文"/>
    <w:basedOn w:val="1"/>
    <w:qFormat/>
    <w:uiPriority w:val="0"/>
    <w:pPr>
      <w:widowControl/>
      <w:tabs>
        <w:tab w:val="left" w:pos="1871"/>
        <w:tab w:val="left" w:pos="2081"/>
      </w:tabs>
      <w:spacing w:line="360" w:lineRule="exact"/>
      <w:ind w:left="1871" w:hanging="510"/>
    </w:pPr>
    <w:rPr>
      <w:sz w:val="24"/>
    </w:rPr>
  </w:style>
  <w:style w:type="paragraph" w:customStyle="1" w:styleId="70">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3">
    <w:name w:val="List Paragraph"/>
    <w:basedOn w:val="1"/>
    <w:qFormat/>
    <w:uiPriority w:val="34"/>
    <w:pPr>
      <w:ind w:firstLine="420" w:firstLineChars="200"/>
    </w:pPr>
    <w:rPr>
      <w:rFonts w:ascii="Calibri" w:hAnsi="Calibri"/>
      <w:sz w:val="28"/>
      <w:szCs w:val="28"/>
    </w:rPr>
  </w:style>
  <w:style w:type="paragraph" w:customStyle="1" w:styleId="7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75">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6">
    <w:name w:val="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7">
    <w:name w:val="列出段落1"/>
    <w:basedOn w:val="1"/>
    <w:qFormat/>
    <w:uiPriority w:val="34"/>
    <w:pPr>
      <w:ind w:firstLine="420" w:firstLineChars="200"/>
    </w:pPr>
    <w:rPr>
      <w:rFonts w:ascii="Calibri" w:hAnsi="Calibri"/>
      <w:szCs w:val="22"/>
    </w:rPr>
  </w:style>
  <w:style w:type="paragraph" w:customStyle="1" w:styleId="78">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79">
    <w:name w:val="List Paragraph1"/>
    <w:basedOn w:val="1"/>
    <w:qFormat/>
    <w:uiPriority w:val="34"/>
    <w:pPr>
      <w:ind w:firstLine="420" w:firstLineChars="200"/>
    </w:pPr>
  </w:style>
  <w:style w:type="paragraph" w:customStyle="1" w:styleId="80">
    <w:name w:val="Char11"/>
    <w:basedOn w:val="1"/>
    <w:qFormat/>
    <w:uiPriority w:val="0"/>
    <w:pPr>
      <w:tabs>
        <w:tab w:val="left" w:pos="360"/>
      </w:tabs>
      <w:ind w:left="360" w:hanging="360" w:hangingChars="200"/>
    </w:pPr>
    <w:rPr>
      <w:sz w:val="24"/>
      <w:szCs w:val="24"/>
    </w:rPr>
  </w:style>
  <w:style w:type="paragraph" w:customStyle="1" w:styleId="81">
    <w:name w:val="Char Char Char Char"/>
    <w:basedOn w:val="1"/>
    <w:qFormat/>
    <w:uiPriority w:val="0"/>
    <w:pPr>
      <w:widowControl/>
      <w:spacing w:line="240" w:lineRule="exact"/>
      <w:jc w:val="center"/>
    </w:pPr>
    <w:rPr>
      <w:rFonts w:ascii="宋体" w:hAnsi="宋体"/>
      <w:b/>
      <w:kern w:val="0"/>
      <w:sz w:val="28"/>
      <w:szCs w:val="28"/>
      <w:lang w:eastAsia="en-US"/>
    </w:rPr>
  </w:style>
  <w:style w:type="paragraph" w:customStyle="1" w:styleId="82">
    <w:name w:val="_Style 74"/>
    <w:basedOn w:val="3"/>
    <w:next w:val="1"/>
    <w:qFormat/>
    <w:uiPriority w:val="0"/>
    <w:pPr>
      <w:keepLines/>
      <w:widowControl/>
      <w:spacing w:line="276" w:lineRule="auto"/>
      <w:jc w:val="left"/>
      <w:outlineLvl w:val="9"/>
    </w:pPr>
    <w:rPr>
      <w:rFonts w:ascii="Cambria" w:hAnsi="Cambria"/>
      <w:b/>
      <w:bCs/>
      <w:color w:val="365F91"/>
      <w:kern w:val="0"/>
      <w:szCs w:val="28"/>
    </w:rPr>
  </w:style>
  <w:style w:type="paragraph" w:customStyle="1" w:styleId="83">
    <w:name w:val="title12"/>
    <w:basedOn w:val="1"/>
    <w:qFormat/>
    <w:uiPriority w:val="0"/>
    <w:pPr>
      <w:spacing w:before="150"/>
      <w:jc w:val="left"/>
    </w:pPr>
    <w:rPr>
      <w:b/>
      <w:kern w:val="0"/>
      <w:sz w:val="22"/>
      <w:szCs w:val="22"/>
    </w:rPr>
  </w:style>
  <w:style w:type="character" w:customStyle="1" w:styleId="84">
    <w:name w:val="button"/>
    <w:basedOn w:val="31"/>
    <w:qFormat/>
    <w:uiPriority w:val="0"/>
    <w:rPr>
      <w:u w:val="single"/>
    </w:rPr>
  </w:style>
  <w:style w:type="character" w:customStyle="1" w:styleId="85">
    <w:name w:val="indent"/>
    <w:basedOn w:val="31"/>
    <w:qFormat/>
    <w:uiPriority w:val="0"/>
  </w:style>
  <w:style w:type="paragraph" w:customStyle="1" w:styleId="86">
    <w:name w:val="title11"/>
    <w:basedOn w:val="1"/>
    <w:qFormat/>
    <w:uiPriority w:val="0"/>
    <w:pPr>
      <w:spacing w:before="150" w:line="450" w:lineRule="atLeast"/>
      <w:jc w:val="left"/>
    </w:pPr>
    <w:rPr>
      <w:b/>
      <w:bCs/>
      <w:kern w:val="0"/>
      <w:sz w:val="24"/>
      <w:szCs w:val="24"/>
    </w:rPr>
  </w:style>
  <w:style w:type="character" w:customStyle="1" w:styleId="87">
    <w:name w:val="old"/>
    <w:basedOn w:val="31"/>
    <w:qFormat/>
    <w:uiPriority w:val="0"/>
    <w:rPr>
      <w:color w:val="999999"/>
    </w:rPr>
  </w:style>
  <w:style w:type="character" w:customStyle="1" w:styleId="88">
    <w:name w:val="glyphicon4"/>
    <w:basedOn w:val="31"/>
    <w:qFormat/>
    <w:uiPriority w:val="0"/>
  </w:style>
  <w:style w:type="character" w:customStyle="1" w:styleId="89">
    <w:name w:val="hour_pm"/>
    <w:basedOn w:val="31"/>
    <w:qFormat/>
    <w:uiPriority w:val="0"/>
  </w:style>
  <w:style w:type="character" w:customStyle="1" w:styleId="90">
    <w:name w:val="hover2"/>
    <w:basedOn w:val="31"/>
    <w:qFormat/>
    <w:uiPriority w:val="0"/>
    <w:rPr>
      <w:shd w:val="clear" w:color="auto" w:fill="EEEEEE"/>
    </w:rPr>
  </w:style>
  <w:style w:type="character" w:customStyle="1" w:styleId="91">
    <w:name w:val="hour_am"/>
    <w:basedOn w:val="31"/>
    <w:qFormat/>
    <w:uiPriority w:val="0"/>
  </w:style>
  <w:style w:type="character" w:customStyle="1" w:styleId="92">
    <w:name w:val="tmpztreemove_arrow"/>
    <w:basedOn w:val="31"/>
    <w:qFormat/>
    <w:uiPriority w:val="0"/>
    <w:rPr>
      <w:shd w:val="clear" w:color="auto" w:fill="FFFFFF"/>
    </w:rPr>
  </w:style>
  <w:style w:type="character" w:customStyle="1" w:styleId="93">
    <w:name w:val="hover3"/>
    <w:basedOn w:val="31"/>
    <w:qFormat/>
    <w:uiPriority w:val="0"/>
    <w:rPr>
      <w:shd w:val="clear" w:color="auto" w:fill="EEEEE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59</Pages>
  <Words>26030</Words>
  <Characters>27627</Characters>
  <Lines>213</Lines>
  <Paragraphs>60</Paragraphs>
  <TotalTime>29</TotalTime>
  <ScaleCrop>false</ScaleCrop>
  <LinksUpToDate>false</LinksUpToDate>
  <CharactersWithSpaces>28857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2022-05-12T04:02:00Z</dcterms:created>
  <dc:creator>HXZB</dc:creator>
  <cp:keywords>Birthday</cp:keywords>
  <cp:lastModifiedBy>Administrator</cp:lastModifiedBy>
  <cp:lastPrinted>2016-04-20T09:46:00Z</cp:lastPrinted>
  <dcterms:modified xsi:type="dcterms:W3CDTF">2022-11-23T03:20:37Z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673424686D8C49DC8220809271653468</vt:lpwstr>
  </property>
</Properties>
</file>