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b/>
          <w:bCs/>
          <w:sz w:val="28"/>
          <w:szCs w:val="28"/>
          <w:highlight w:val="none"/>
        </w:rPr>
      </w:pPr>
      <w:r>
        <w:rPr>
          <w:rFonts w:hint="eastAsia" w:ascii="宋体" w:hAnsi="宋体" w:eastAsia="宋体" w:cs="宋体"/>
          <w:b/>
          <w:bCs/>
          <w:sz w:val="28"/>
          <w:szCs w:val="28"/>
          <w:highlight w:val="none"/>
        </w:rPr>
        <w:t>政府采购项目</w:t>
      </w:r>
    </w:p>
    <w:p>
      <w:pPr>
        <w:spacing w:line="360" w:lineRule="auto"/>
        <w:rPr>
          <w:rFonts w:ascii="宋体" w:hAnsi="宋体" w:eastAsia="宋体" w:cs="宋体"/>
          <w:b/>
          <w:bCs/>
          <w:sz w:val="28"/>
          <w:szCs w:val="28"/>
          <w:highlight w:val="none"/>
        </w:rPr>
      </w:pPr>
      <w:r>
        <w:rPr>
          <w:rFonts w:hint="eastAsia" w:ascii="宋体" w:hAnsi="宋体" w:eastAsia="宋体" w:cs="宋体"/>
          <w:b/>
          <w:bCs/>
          <w:sz w:val="28"/>
          <w:szCs w:val="28"/>
          <w:highlight w:val="none"/>
        </w:rPr>
        <w:t>项目编号：HTXMZB2022-049</w:t>
      </w:r>
    </w:p>
    <w:p>
      <w:pPr>
        <w:jc w:val="center"/>
        <w:rPr>
          <w:rFonts w:ascii="宋体" w:hAnsi="宋体" w:eastAsia="宋体" w:cs="宋体"/>
          <w:b/>
          <w:bCs/>
          <w:sz w:val="48"/>
          <w:szCs w:val="48"/>
          <w:highlight w:val="none"/>
        </w:rPr>
      </w:pPr>
      <w:bookmarkStart w:id="218" w:name="_GoBack"/>
      <w:bookmarkEnd w:id="218"/>
    </w:p>
    <w:p>
      <w:pPr>
        <w:jc w:val="center"/>
        <w:rPr>
          <w:rFonts w:ascii="宋体" w:hAnsi="宋体" w:eastAsia="宋体" w:cs="宋体"/>
          <w:b/>
          <w:bCs/>
          <w:sz w:val="48"/>
          <w:szCs w:val="48"/>
          <w:highlight w:val="none"/>
        </w:rPr>
      </w:pPr>
    </w:p>
    <w:p>
      <w:pPr>
        <w:jc w:val="center"/>
        <w:rPr>
          <w:rFonts w:ascii="宋体" w:hAnsi="宋体" w:eastAsia="宋体" w:cs="宋体"/>
          <w:b/>
          <w:bCs/>
          <w:spacing w:val="-11"/>
          <w:szCs w:val="48"/>
          <w:highlight w:val="none"/>
        </w:rPr>
      </w:pPr>
      <w:r>
        <w:rPr>
          <w:rFonts w:hint="eastAsia" w:ascii="宋体" w:hAnsi="宋体" w:eastAsia="宋体" w:cs="宋体"/>
          <w:b/>
          <w:bCs/>
          <w:sz w:val="48"/>
          <w:szCs w:val="48"/>
          <w:highlight w:val="none"/>
        </w:rPr>
        <w:t>汉中市国资在线监管系统建设（一期）</w:t>
      </w:r>
    </w:p>
    <w:p>
      <w:pPr>
        <w:jc w:val="center"/>
        <w:rPr>
          <w:rFonts w:ascii="宋体" w:hAnsi="宋体" w:eastAsia="宋体" w:cs="宋体"/>
          <w:b/>
          <w:bCs/>
          <w:sz w:val="48"/>
          <w:szCs w:val="48"/>
          <w:highlight w:val="none"/>
        </w:rPr>
      </w:pPr>
    </w:p>
    <w:p>
      <w:pPr>
        <w:rPr>
          <w:highlight w:val="none"/>
        </w:rPr>
      </w:pPr>
    </w:p>
    <w:p>
      <w:pPr>
        <w:pStyle w:val="2"/>
        <w:rPr>
          <w:highlight w:val="none"/>
        </w:rPr>
      </w:pPr>
    </w:p>
    <w:p>
      <w:pPr>
        <w:jc w:val="center"/>
        <w:rPr>
          <w:rFonts w:ascii="宋体" w:hAnsi="宋体" w:eastAsia="宋体" w:cs="宋体"/>
          <w:b/>
          <w:bCs/>
          <w:sz w:val="48"/>
          <w:szCs w:val="48"/>
          <w:highlight w:val="none"/>
        </w:rPr>
      </w:pPr>
    </w:p>
    <w:p>
      <w:pPr>
        <w:jc w:val="center"/>
        <w:rPr>
          <w:rFonts w:ascii="宋体" w:hAnsi="宋体" w:eastAsia="宋体" w:cs="宋体"/>
          <w:b/>
          <w:bCs/>
          <w:sz w:val="48"/>
          <w:szCs w:val="48"/>
          <w:highlight w:val="none"/>
        </w:rPr>
      </w:pPr>
    </w:p>
    <w:p>
      <w:pPr>
        <w:jc w:val="center"/>
        <w:rPr>
          <w:rFonts w:ascii="宋体" w:hAnsi="宋体" w:eastAsia="宋体" w:cs="宋体"/>
          <w:b/>
          <w:bCs/>
          <w:sz w:val="48"/>
          <w:szCs w:val="48"/>
          <w:highlight w:val="none"/>
        </w:rPr>
      </w:pPr>
    </w:p>
    <w:p>
      <w:pPr>
        <w:jc w:val="center"/>
        <w:rPr>
          <w:rFonts w:ascii="宋体" w:hAnsi="宋体" w:eastAsia="宋体" w:cs="宋体"/>
          <w:b/>
          <w:bCs/>
          <w:sz w:val="48"/>
          <w:szCs w:val="48"/>
          <w:highlight w:val="none"/>
        </w:rPr>
      </w:pPr>
      <w:r>
        <w:rPr>
          <w:rFonts w:hint="eastAsia" w:ascii="宋体" w:hAnsi="宋体" w:eastAsia="宋体" w:cs="宋体"/>
          <w:spacing w:val="6"/>
          <w:sz w:val="84"/>
          <w:szCs w:val="84"/>
          <w:highlight w:val="none"/>
          <w14:textOutline w14:w="10147" w14:cap="sq" w14:cmpd="sng" w14:algn="ctr">
            <w14:solidFill>
              <w14:srgbClr w14:val="000000"/>
            </w14:solidFill>
            <w14:prstDash w14:val="solid"/>
            <w14:bevel/>
          </w14:textOutline>
        </w:rPr>
        <w:t>招标文件</w:t>
      </w:r>
    </w:p>
    <w:p>
      <w:pPr>
        <w:spacing w:line="360" w:lineRule="auto"/>
        <w:ind w:firstLine="723" w:firstLineChars="200"/>
        <w:rPr>
          <w:rFonts w:ascii="宋体" w:hAnsi="宋体" w:eastAsia="宋体" w:cs="宋体"/>
          <w:b/>
          <w:bCs/>
          <w:sz w:val="36"/>
          <w:szCs w:val="36"/>
          <w:highlight w:val="none"/>
        </w:rPr>
      </w:pPr>
    </w:p>
    <w:p>
      <w:pPr>
        <w:spacing w:line="360" w:lineRule="auto"/>
        <w:ind w:firstLine="723" w:firstLineChars="200"/>
        <w:rPr>
          <w:rFonts w:ascii="宋体" w:hAnsi="宋体" w:eastAsia="宋体" w:cs="宋体"/>
          <w:b/>
          <w:bCs/>
          <w:sz w:val="36"/>
          <w:szCs w:val="36"/>
          <w:highlight w:val="none"/>
        </w:rPr>
      </w:pPr>
    </w:p>
    <w:p>
      <w:pPr>
        <w:spacing w:line="360" w:lineRule="auto"/>
        <w:ind w:firstLine="723" w:firstLineChars="200"/>
        <w:rPr>
          <w:rFonts w:ascii="宋体" w:hAnsi="宋体" w:eastAsia="宋体" w:cs="宋体"/>
          <w:b/>
          <w:bCs/>
          <w:sz w:val="36"/>
          <w:szCs w:val="36"/>
          <w:highlight w:val="none"/>
        </w:rPr>
      </w:pPr>
    </w:p>
    <w:p>
      <w:pPr>
        <w:spacing w:line="360" w:lineRule="auto"/>
        <w:ind w:firstLine="723" w:firstLineChars="200"/>
        <w:rPr>
          <w:rFonts w:ascii="宋体" w:hAnsi="宋体" w:eastAsia="宋体" w:cs="宋体"/>
          <w:b/>
          <w:bCs/>
          <w:sz w:val="36"/>
          <w:szCs w:val="36"/>
          <w:highlight w:val="none"/>
        </w:rPr>
      </w:pPr>
    </w:p>
    <w:p>
      <w:pPr>
        <w:pStyle w:val="2"/>
        <w:rPr>
          <w:rFonts w:ascii="宋体" w:hAnsi="宋体" w:eastAsia="宋体" w:cs="宋体"/>
          <w:b/>
          <w:bCs/>
          <w:sz w:val="36"/>
          <w:szCs w:val="36"/>
          <w:highlight w:val="none"/>
        </w:rPr>
      </w:pPr>
    </w:p>
    <w:p>
      <w:pPr>
        <w:rPr>
          <w:rFonts w:ascii="宋体" w:hAnsi="宋体" w:eastAsia="宋体" w:cs="宋体"/>
          <w:b/>
          <w:bCs/>
          <w:sz w:val="36"/>
          <w:szCs w:val="36"/>
          <w:highlight w:val="none"/>
        </w:rPr>
      </w:pPr>
    </w:p>
    <w:p>
      <w:pPr>
        <w:pStyle w:val="2"/>
        <w:rPr>
          <w:highlight w:val="none"/>
        </w:rPr>
      </w:pPr>
    </w:p>
    <w:p>
      <w:pPr>
        <w:spacing w:line="480" w:lineRule="auto"/>
        <w:ind w:firstLine="643" w:firstLineChars="200"/>
        <w:rPr>
          <w:rFonts w:ascii="宋体" w:hAnsi="宋体" w:eastAsia="宋体" w:cs="宋体"/>
          <w:b/>
          <w:bCs/>
          <w:sz w:val="32"/>
          <w:szCs w:val="32"/>
          <w:highlight w:val="none"/>
        </w:rPr>
      </w:pPr>
      <w:r>
        <w:rPr>
          <w:rFonts w:hint="eastAsia" w:ascii="宋体" w:hAnsi="宋体" w:eastAsia="宋体" w:cs="宋体"/>
          <w:b/>
          <w:bCs/>
          <w:sz w:val="32"/>
          <w:szCs w:val="32"/>
          <w:highlight w:val="none"/>
        </w:rPr>
        <w:t>采 购 人：汉中市政府国有资产监督管理委员会</w:t>
      </w:r>
    </w:p>
    <w:p>
      <w:pPr>
        <w:spacing w:line="480" w:lineRule="auto"/>
        <w:ind w:firstLine="643" w:firstLineChars="200"/>
        <w:rPr>
          <w:rFonts w:ascii="宋体" w:hAnsi="宋体" w:eastAsia="宋体" w:cs="宋体"/>
          <w:b/>
          <w:bCs/>
          <w:sz w:val="32"/>
          <w:szCs w:val="32"/>
          <w:highlight w:val="none"/>
        </w:rPr>
      </w:pPr>
      <w:r>
        <w:rPr>
          <w:rFonts w:hint="eastAsia" w:ascii="宋体" w:hAnsi="宋体" w:eastAsia="宋体" w:cs="宋体"/>
          <w:b/>
          <w:bCs/>
          <w:sz w:val="32"/>
          <w:szCs w:val="32"/>
          <w:highlight w:val="none"/>
        </w:rPr>
        <w:t>代理机构：陕西华泰工程项目管理有限公司</w:t>
      </w:r>
    </w:p>
    <w:p>
      <w:pPr>
        <w:spacing w:line="480" w:lineRule="auto"/>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二〇二二 年 十一 月</w:t>
      </w:r>
    </w:p>
    <w:p>
      <w:pPr>
        <w:jc w:val="center"/>
        <w:rPr>
          <w:rFonts w:ascii="宋体" w:hAnsi="宋体" w:eastAsia="宋体" w:cs="宋体"/>
          <w:spacing w:val="-17"/>
          <w:sz w:val="44"/>
          <w:szCs w:val="44"/>
          <w:highlight w:val="none"/>
          <w14:textOutline w14:w="8712" w14:cap="sq" w14:cmpd="sng" w14:algn="ctr">
            <w14:solidFill>
              <w14:srgbClr w14:val="000000"/>
            </w14:solidFill>
            <w14:prstDash w14:val="solid"/>
            <w14:bevel/>
          </w14:textOutline>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spacing w:line="720" w:lineRule="exact"/>
        <w:jc w:val="center"/>
        <w:rPr>
          <w:rFonts w:ascii="宋体" w:hAnsi="宋体" w:eastAsia="宋体" w:cs="宋体"/>
          <w:spacing w:val="-17"/>
          <w:sz w:val="44"/>
          <w:szCs w:val="44"/>
          <w:highlight w:val="none"/>
          <w14:textOutline w14:w="8712" w14:cap="sq" w14:cmpd="sng" w14:algn="ctr">
            <w14:solidFill>
              <w14:srgbClr w14:val="000000"/>
            </w14:solidFill>
            <w14:prstDash w14:val="solid"/>
            <w14:bevel/>
          </w14:textOutline>
        </w:rPr>
      </w:pPr>
      <w:r>
        <w:rPr>
          <w:rFonts w:ascii="宋体" w:hAnsi="宋体" w:eastAsia="宋体" w:cs="宋体"/>
          <w:spacing w:val="-17"/>
          <w:sz w:val="44"/>
          <w:szCs w:val="44"/>
          <w:highlight w:val="none"/>
          <w14:textOutline w14:w="8712" w14:cap="sq" w14:cmpd="sng" w14:algn="ctr">
            <w14:solidFill>
              <w14:srgbClr w14:val="000000"/>
            </w14:solidFill>
            <w14:prstDash w14:val="solid"/>
            <w14:bevel/>
          </w14:textOutline>
        </w:rPr>
        <w:t>目</w:t>
      </w:r>
      <w:r>
        <w:rPr>
          <w:rFonts w:ascii="宋体" w:hAnsi="宋体" w:eastAsia="宋体" w:cs="宋体"/>
          <w:spacing w:val="-17"/>
          <w:sz w:val="44"/>
          <w:szCs w:val="44"/>
          <w:highlight w:val="none"/>
        </w:rPr>
        <w:t xml:space="preserve">  </w:t>
      </w:r>
      <w:r>
        <w:rPr>
          <w:rFonts w:ascii="宋体" w:hAnsi="宋体" w:eastAsia="宋体" w:cs="宋体"/>
          <w:spacing w:val="-17"/>
          <w:sz w:val="44"/>
          <w:szCs w:val="44"/>
          <w:highlight w:val="none"/>
          <w14:textOutline w14:w="8712" w14:cap="sq" w14:cmpd="sng" w14:algn="ctr">
            <w14:solidFill>
              <w14:srgbClr w14:val="000000"/>
            </w14:solidFill>
            <w14:prstDash w14:val="solid"/>
            <w14:bevel/>
          </w14:textOutline>
        </w:rPr>
        <w:t>录</w:t>
      </w:r>
    </w:p>
    <w:p>
      <w:pPr>
        <w:spacing w:line="720" w:lineRule="exac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第一部分 招标公告</w:t>
      </w:r>
      <w:r>
        <w:rPr>
          <w:rFonts w:hint="eastAsia" w:ascii="宋体" w:hAnsi="宋体" w:eastAsia="宋体" w:cs="宋体"/>
          <w:b/>
          <w:bCs/>
          <w:sz w:val="28"/>
          <w:szCs w:val="28"/>
          <w:highlight w:val="none"/>
          <w:lang w:val="en-US" w:eastAsia="zh-CN"/>
        </w:rPr>
        <w:t>......................................002</w:t>
      </w:r>
    </w:p>
    <w:p>
      <w:pPr>
        <w:spacing w:line="720" w:lineRule="exac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第二部分 投标供应商须知</w:t>
      </w:r>
      <w:r>
        <w:rPr>
          <w:rFonts w:hint="eastAsia" w:ascii="宋体" w:hAnsi="宋体" w:eastAsia="宋体" w:cs="宋体"/>
          <w:b/>
          <w:bCs/>
          <w:sz w:val="28"/>
          <w:szCs w:val="28"/>
          <w:highlight w:val="none"/>
          <w:lang w:val="en-US" w:eastAsia="zh-CN"/>
        </w:rPr>
        <w:t>................................006</w:t>
      </w:r>
    </w:p>
    <w:p>
      <w:pPr>
        <w:spacing w:line="720" w:lineRule="exac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第三部分 采购需求</w:t>
      </w:r>
      <w:r>
        <w:rPr>
          <w:rFonts w:hint="eastAsia" w:ascii="宋体" w:hAnsi="宋体" w:eastAsia="宋体" w:cs="宋体"/>
          <w:b/>
          <w:bCs/>
          <w:sz w:val="28"/>
          <w:szCs w:val="28"/>
          <w:highlight w:val="none"/>
          <w:lang w:val="en-US" w:eastAsia="zh-CN"/>
        </w:rPr>
        <w:t>......................................025</w:t>
      </w:r>
    </w:p>
    <w:p>
      <w:pPr>
        <w:spacing w:line="720" w:lineRule="exac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第四部分 评标办法</w:t>
      </w:r>
      <w:r>
        <w:rPr>
          <w:rFonts w:hint="eastAsia" w:ascii="宋体" w:hAnsi="宋体" w:eastAsia="宋体" w:cs="宋体"/>
          <w:b/>
          <w:bCs/>
          <w:sz w:val="28"/>
          <w:szCs w:val="28"/>
          <w:highlight w:val="none"/>
          <w:lang w:val="en-US" w:eastAsia="zh-CN"/>
        </w:rPr>
        <w:t>......................................046</w:t>
      </w:r>
    </w:p>
    <w:p>
      <w:pPr>
        <w:spacing w:line="720" w:lineRule="exac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第五部分 采购合同</w:t>
      </w:r>
      <w:r>
        <w:rPr>
          <w:rFonts w:hint="eastAsia" w:ascii="宋体" w:hAnsi="宋体" w:eastAsia="宋体" w:cs="宋体"/>
          <w:b/>
          <w:bCs/>
          <w:sz w:val="28"/>
          <w:szCs w:val="28"/>
          <w:highlight w:val="none"/>
          <w:lang w:val="en-US" w:eastAsia="zh-CN"/>
        </w:rPr>
        <w:t>......................................054</w:t>
      </w:r>
    </w:p>
    <w:p>
      <w:pPr>
        <w:spacing w:line="720" w:lineRule="exac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第六部分 投标文件格式</w:t>
      </w:r>
      <w:r>
        <w:rPr>
          <w:rFonts w:hint="eastAsia" w:ascii="宋体" w:hAnsi="宋体" w:eastAsia="宋体" w:cs="宋体"/>
          <w:b/>
          <w:bCs/>
          <w:sz w:val="28"/>
          <w:szCs w:val="28"/>
          <w:highlight w:val="none"/>
          <w:lang w:val="en-US" w:eastAsia="zh-CN"/>
        </w:rPr>
        <w:t>..................................060</w:t>
      </w:r>
    </w:p>
    <w:p>
      <w:pPr>
        <w:spacing w:line="480" w:lineRule="auto"/>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before="94" w:line="229" w:lineRule="auto"/>
        <w:jc w:val="center"/>
        <w:outlineLvl w:val="0"/>
        <w:rPr>
          <w:rFonts w:ascii="宋体" w:hAnsi="宋体" w:eastAsia="宋体" w:cs="宋体"/>
          <w:sz w:val="28"/>
          <w:szCs w:val="28"/>
          <w:highlight w:val="none"/>
        </w:rPr>
      </w:pPr>
      <w: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t>第</w:t>
      </w:r>
      <w:r>
        <w:rPr>
          <w:rFonts w:hint="eastAsia" w:ascii="宋体" w:hAnsi="宋体" w:eastAsia="宋体" w:cs="宋体"/>
          <w:spacing w:val="8"/>
          <w:sz w:val="28"/>
          <w:szCs w:val="28"/>
          <w:highlight w:val="none"/>
          <w14:textOutline w14:w="5448" w14:cap="sq" w14:cmpd="sng" w14:algn="ctr">
            <w14:solidFill>
              <w14:srgbClr w14:val="000000"/>
            </w14:solidFill>
            <w14:prstDash w14:val="solid"/>
            <w14:bevel/>
          </w14:textOutline>
        </w:rPr>
        <w:t>一部分 招标公告</w:t>
      </w:r>
    </w:p>
    <w:tbl>
      <w:tblPr>
        <w:tblStyle w:val="20"/>
        <w:tblW w:w="846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6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52" w:hRule="atLeast"/>
        </w:trPr>
        <w:tc>
          <w:tcPr>
            <w:tcW w:w="8460" w:type="dxa"/>
          </w:tcPr>
          <w:p>
            <w:pPr>
              <w:spacing w:line="240" w:lineRule="exact"/>
              <w:rPr>
                <w:rFonts w:ascii="宋体" w:hAnsi="宋体" w:eastAsia="宋体" w:cs="宋体"/>
                <w:b/>
                <w:bCs/>
                <w:sz w:val="24"/>
                <w:szCs w:val="24"/>
                <w:highlight w:val="none"/>
              </w:rPr>
            </w:pP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spacing w:line="360" w:lineRule="auto"/>
              <w:ind w:firstLine="480" w:firstLineChars="200"/>
              <w:rPr>
                <w:rFonts w:ascii="仿宋" w:hAnsi="仿宋" w:eastAsia="仿宋" w:cs="仿宋"/>
                <w:szCs w:val="22"/>
                <w:highlight w:val="none"/>
              </w:rPr>
            </w:pPr>
            <w:r>
              <w:rPr>
                <w:rFonts w:hint="eastAsia" w:ascii="宋体" w:hAnsi="宋体" w:eastAsia="宋体" w:cs="宋体"/>
                <w:sz w:val="24"/>
                <w:szCs w:val="24"/>
                <w:highlight w:val="none"/>
              </w:rPr>
              <w:t>汉中市国资在线监管系统建设（一期）的潜在投标供应商应在西安市未央区凤城五路世融嘉轩5号楼27层获取招标文件，并于2022年11月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 (北京时间) 前提交投标文件。</w:t>
            </w:r>
          </w:p>
        </w:tc>
      </w:tr>
    </w:tbl>
    <w:p>
      <w:pPr>
        <w:spacing w:line="240" w:lineRule="exact"/>
        <w:rPr>
          <w:rFonts w:ascii="宋体" w:hAnsi="宋体" w:eastAsia="宋体" w:cs="宋体"/>
          <w:b/>
          <w:bCs/>
          <w:sz w:val="24"/>
          <w:szCs w:val="24"/>
          <w:highlight w:val="none"/>
        </w:rPr>
      </w:pP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1.项目编号：HTXMZB2022-049</w:t>
      </w:r>
    </w:p>
    <w:p>
      <w:pPr>
        <w:spacing w:line="360" w:lineRule="auto"/>
        <w:ind w:left="1440" w:hanging="1440" w:hangingChars="600"/>
        <w:rPr>
          <w:rFonts w:ascii="宋体" w:hAnsi="宋体" w:eastAsia="宋体" w:cs="宋体"/>
          <w:sz w:val="24"/>
          <w:szCs w:val="24"/>
          <w:highlight w:val="none"/>
        </w:rPr>
      </w:pPr>
      <w:r>
        <w:rPr>
          <w:rFonts w:hint="eastAsia" w:ascii="宋体" w:hAnsi="宋体" w:eastAsia="宋体" w:cs="宋体"/>
          <w:sz w:val="24"/>
          <w:szCs w:val="24"/>
          <w:highlight w:val="none"/>
        </w:rPr>
        <w:t>2.项目名称：汉中市国资在线监管系统建设（一期）</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3.采购方式：公开招标</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4.预算金额：2000000.00元</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5.采购需求：</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合同包 1(汉中市国资在线监管系统建设（一期）):</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合同包预算金额：2000000.00元</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合同包最高限价：2000000.00元</w:t>
      </w:r>
    </w:p>
    <w:tbl>
      <w:tblPr>
        <w:tblStyle w:val="20"/>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1142"/>
        <w:gridCol w:w="1186"/>
        <w:gridCol w:w="749"/>
        <w:gridCol w:w="1573"/>
        <w:gridCol w:w="1461"/>
        <w:gridCol w:w="15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881" w:type="dxa"/>
            <w:vAlign w:val="center"/>
          </w:tcPr>
          <w:p>
            <w:pPr>
              <w:jc w:val="center"/>
              <w:rPr>
                <w:rFonts w:ascii="宋体" w:hAnsi="宋体" w:eastAsia="宋体" w:cs="宋体"/>
                <w:b/>
                <w:bCs/>
                <w:highlight w:val="none"/>
              </w:rPr>
            </w:pPr>
            <w:r>
              <w:rPr>
                <w:rFonts w:hint="eastAsia" w:ascii="宋体" w:hAnsi="宋体" w:eastAsia="宋体" w:cs="宋体"/>
                <w:b/>
                <w:bCs/>
                <w:highlight w:val="none"/>
              </w:rPr>
              <w:t>品目号</w:t>
            </w:r>
          </w:p>
        </w:tc>
        <w:tc>
          <w:tcPr>
            <w:tcW w:w="1142" w:type="dxa"/>
            <w:vAlign w:val="center"/>
          </w:tcPr>
          <w:p>
            <w:pPr>
              <w:jc w:val="center"/>
              <w:rPr>
                <w:rFonts w:ascii="宋体" w:hAnsi="宋体" w:eastAsia="宋体" w:cs="宋体"/>
                <w:b/>
                <w:bCs/>
                <w:highlight w:val="none"/>
              </w:rPr>
            </w:pPr>
            <w:r>
              <w:rPr>
                <w:rFonts w:hint="eastAsia" w:ascii="宋体" w:hAnsi="宋体" w:eastAsia="宋体" w:cs="宋体"/>
                <w:b/>
                <w:bCs/>
                <w:highlight w:val="none"/>
              </w:rPr>
              <w:t>品目名称</w:t>
            </w:r>
          </w:p>
        </w:tc>
        <w:tc>
          <w:tcPr>
            <w:tcW w:w="1186" w:type="dxa"/>
            <w:vAlign w:val="center"/>
          </w:tcPr>
          <w:p>
            <w:pPr>
              <w:jc w:val="center"/>
              <w:rPr>
                <w:rFonts w:ascii="宋体" w:hAnsi="宋体" w:eastAsia="宋体" w:cs="宋体"/>
                <w:b/>
                <w:bCs/>
                <w:highlight w:val="none"/>
              </w:rPr>
            </w:pPr>
            <w:r>
              <w:rPr>
                <w:rFonts w:hint="eastAsia" w:ascii="宋体" w:hAnsi="宋体" w:eastAsia="宋体" w:cs="宋体"/>
                <w:b/>
                <w:bCs/>
                <w:highlight w:val="none"/>
              </w:rPr>
              <w:t>采购标的</w:t>
            </w:r>
          </w:p>
        </w:tc>
        <w:tc>
          <w:tcPr>
            <w:tcW w:w="749" w:type="dxa"/>
            <w:vAlign w:val="center"/>
          </w:tcPr>
          <w:p>
            <w:pPr>
              <w:jc w:val="center"/>
              <w:rPr>
                <w:rFonts w:ascii="宋体" w:hAnsi="宋体" w:eastAsia="宋体" w:cs="宋体"/>
                <w:b/>
                <w:bCs/>
                <w:highlight w:val="none"/>
              </w:rPr>
            </w:pPr>
            <w:r>
              <w:rPr>
                <w:rFonts w:hint="eastAsia" w:ascii="宋体" w:hAnsi="宋体" w:eastAsia="宋体" w:cs="宋体"/>
                <w:b/>
                <w:bCs/>
                <w:highlight w:val="none"/>
              </w:rPr>
              <w:t>数量</w:t>
            </w:r>
          </w:p>
          <w:p>
            <w:pPr>
              <w:jc w:val="center"/>
              <w:rPr>
                <w:rFonts w:ascii="宋体" w:hAnsi="宋体" w:eastAsia="宋体" w:cs="宋体"/>
                <w:b/>
                <w:bCs/>
                <w:highlight w:val="none"/>
              </w:rPr>
            </w:pPr>
            <w:r>
              <w:rPr>
                <w:rFonts w:hint="eastAsia" w:ascii="宋体" w:hAnsi="宋体" w:eastAsia="宋体" w:cs="宋体"/>
                <w:b/>
                <w:bCs/>
                <w:highlight w:val="none"/>
              </w:rPr>
              <w:t>(单位)</w:t>
            </w:r>
          </w:p>
        </w:tc>
        <w:tc>
          <w:tcPr>
            <w:tcW w:w="1573" w:type="dxa"/>
            <w:vAlign w:val="center"/>
          </w:tcPr>
          <w:p>
            <w:pPr>
              <w:jc w:val="center"/>
              <w:rPr>
                <w:rFonts w:ascii="宋体" w:hAnsi="宋体" w:eastAsia="宋体" w:cs="宋体"/>
                <w:b/>
                <w:bCs/>
                <w:highlight w:val="none"/>
              </w:rPr>
            </w:pPr>
            <w:r>
              <w:rPr>
                <w:rFonts w:hint="eastAsia" w:ascii="宋体" w:hAnsi="宋体" w:eastAsia="宋体" w:cs="宋体"/>
                <w:b/>
                <w:bCs/>
                <w:highlight w:val="none"/>
              </w:rPr>
              <w:t>技术规格、参数</w:t>
            </w:r>
          </w:p>
          <w:p>
            <w:pPr>
              <w:jc w:val="center"/>
              <w:rPr>
                <w:rFonts w:ascii="宋体" w:hAnsi="宋体" w:eastAsia="宋体" w:cs="宋体"/>
                <w:b/>
                <w:bCs/>
                <w:highlight w:val="none"/>
              </w:rPr>
            </w:pPr>
            <w:r>
              <w:rPr>
                <w:rFonts w:hint="eastAsia" w:ascii="宋体" w:hAnsi="宋体" w:eastAsia="宋体" w:cs="宋体"/>
                <w:b/>
                <w:bCs/>
                <w:highlight w:val="none"/>
              </w:rPr>
              <w:t>及要求</w:t>
            </w:r>
          </w:p>
        </w:tc>
        <w:tc>
          <w:tcPr>
            <w:tcW w:w="1461" w:type="dxa"/>
            <w:vAlign w:val="center"/>
          </w:tcPr>
          <w:p>
            <w:pPr>
              <w:jc w:val="center"/>
              <w:rPr>
                <w:rFonts w:ascii="宋体" w:hAnsi="宋体" w:eastAsia="宋体" w:cs="宋体"/>
                <w:b/>
                <w:bCs/>
                <w:highlight w:val="none"/>
              </w:rPr>
            </w:pPr>
            <w:r>
              <w:rPr>
                <w:rFonts w:hint="eastAsia" w:ascii="宋体" w:hAnsi="宋体" w:eastAsia="宋体" w:cs="宋体"/>
                <w:b/>
                <w:bCs/>
                <w:highlight w:val="none"/>
              </w:rPr>
              <w:t>品目预算(元)</w:t>
            </w:r>
          </w:p>
        </w:tc>
        <w:tc>
          <w:tcPr>
            <w:tcW w:w="1540" w:type="dxa"/>
            <w:vAlign w:val="center"/>
          </w:tcPr>
          <w:p>
            <w:pPr>
              <w:jc w:val="center"/>
              <w:rPr>
                <w:rFonts w:ascii="宋体" w:hAnsi="宋体" w:eastAsia="宋体" w:cs="宋体"/>
                <w:b/>
                <w:bCs/>
                <w:highlight w:val="none"/>
              </w:rPr>
            </w:pPr>
            <w:r>
              <w:rPr>
                <w:rFonts w:hint="eastAsia" w:ascii="宋体" w:hAnsi="宋体" w:eastAsia="宋体" w:cs="宋体"/>
                <w:b/>
                <w:bCs/>
                <w:highlight w:val="none"/>
              </w:rPr>
              <w:t>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881" w:type="dxa"/>
            <w:vAlign w:val="center"/>
          </w:tcPr>
          <w:p>
            <w:pPr>
              <w:jc w:val="center"/>
              <w:rPr>
                <w:rFonts w:ascii="宋体" w:hAnsi="宋体" w:eastAsia="宋体" w:cs="宋体"/>
                <w:highlight w:val="none"/>
              </w:rPr>
            </w:pPr>
            <w:r>
              <w:rPr>
                <w:rFonts w:hint="eastAsia" w:ascii="宋体" w:hAnsi="宋体" w:eastAsia="宋体" w:cs="宋体"/>
                <w:highlight w:val="none"/>
              </w:rPr>
              <w:t>1-1</w:t>
            </w:r>
          </w:p>
        </w:tc>
        <w:tc>
          <w:tcPr>
            <w:tcW w:w="1142" w:type="dxa"/>
            <w:vAlign w:val="center"/>
          </w:tcPr>
          <w:p>
            <w:pPr>
              <w:jc w:val="center"/>
              <w:rPr>
                <w:rFonts w:ascii="宋体" w:hAnsi="宋体" w:eastAsia="宋体" w:cs="宋体"/>
                <w:highlight w:val="none"/>
              </w:rPr>
            </w:pPr>
            <w:r>
              <w:rPr>
                <w:rFonts w:hint="eastAsia" w:ascii="宋体" w:hAnsi="宋体" w:eastAsia="宋体" w:cs="宋体"/>
                <w:highlight w:val="none"/>
              </w:rPr>
              <w:t>其他专业技术服务</w:t>
            </w:r>
          </w:p>
        </w:tc>
        <w:tc>
          <w:tcPr>
            <w:tcW w:w="1186" w:type="dxa"/>
            <w:vAlign w:val="center"/>
          </w:tcPr>
          <w:p>
            <w:pPr>
              <w:jc w:val="center"/>
              <w:rPr>
                <w:rFonts w:ascii="宋体" w:hAnsi="宋体" w:eastAsia="宋体" w:cs="宋体"/>
                <w:highlight w:val="none"/>
              </w:rPr>
            </w:pPr>
            <w:r>
              <w:rPr>
                <w:rFonts w:hint="eastAsia" w:ascii="宋体" w:hAnsi="宋体" w:eastAsia="宋体" w:cs="宋体"/>
                <w:highlight w:val="none"/>
              </w:rPr>
              <w:t>汉中市国资在线监管系统建设</w:t>
            </w:r>
          </w:p>
        </w:tc>
        <w:tc>
          <w:tcPr>
            <w:tcW w:w="749" w:type="dxa"/>
            <w:vAlign w:val="center"/>
          </w:tcPr>
          <w:p>
            <w:pPr>
              <w:jc w:val="center"/>
              <w:rPr>
                <w:rFonts w:ascii="宋体" w:hAnsi="宋体" w:eastAsia="宋体" w:cs="宋体"/>
                <w:highlight w:val="none"/>
              </w:rPr>
            </w:pPr>
            <w:r>
              <w:rPr>
                <w:rFonts w:hint="eastAsia" w:ascii="宋体" w:hAnsi="宋体" w:eastAsia="宋体" w:cs="宋体"/>
                <w:highlight w:val="none"/>
              </w:rPr>
              <w:t>1 (项)</w:t>
            </w:r>
          </w:p>
        </w:tc>
        <w:tc>
          <w:tcPr>
            <w:tcW w:w="1573" w:type="dxa"/>
            <w:vAlign w:val="center"/>
          </w:tcPr>
          <w:p>
            <w:pPr>
              <w:jc w:val="center"/>
              <w:rPr>
                <w:rFonts w:ascii="宋体" w:hAnsi="宋体" w:eastAsia="宋体" w:cs="宋体"/>
                <w:highlight w:val="none"/>
              </w:rPr>
            </w:pPr>
            <w:r>
              <w:rPr>
                <w:rFonts w:hint="eastAsia" w:ascii="宋体" w:hAnsi="宋体" w:eastAsia="宋体" w:cs="宋体"/>
                <w:highlight w:val="none"/>
              </w:rPr>
              <w:t>详见采购文件</w:t>
            </w:r>
          </w:p>
        </w:tc>
        <w:tc>
          <w:tcPr>
            <w:tcW w:w="1461" w:type="dxa"/>
            <w:vAlign w:val="center"/>
          </w:tcPr>
          <w:p>
            <w:pPr>
              <w:jc w:val="center"/>
              <w:rPr>
                <w:rFonts w:ascii="宋体" w:hAnsi="宋体" w:eastAsia="宋体" w:cs="宋体"/>
                <w:highlight w:val="none"/>
              </w:rPr>
            </w:pPr>
            <w:r>
              <w:rPr>
                <w:rFonts w:hint="eastAsia" w:ascii="宋体" w:hAnsi="宋体" w:eastAsia="宋体" w:cs="宋体"/>
                <w:highlight w:val="none"/>
              </w:rPr>
              <w:t>2000000.00</w:t>
            </w:r>
          </w:p>
        </w:tc>
        <w:tc>
          <w:tcPr>
            <w:tcW w:w="1540" w:type="dxa"/>
            <w:vAlign w:val="center"/>
          </w:tcPr>
          <w:p>
            <w:pPr>
              <w:jc w:val="center"/>
              <w:rPr>
                <w:rFonts w:ascii="宋体" w:hAnsi="宋体" w:eastAsia="宋体" w:cs="宋体"/>
                <w:highlight w:val="none"/>
              </w:rPr>
            </w:pPr>
            <w:r>
              <w:rPr>
                <w:rFonts w:hint="eastAsia" w:ascii="宋体" w:hAnsi="宋体" w:eastAsia="宋体" w:cs="宋体"/>
                <w:highlight w:val="none"/>
              </w:rPr>
              <w:t>2000000.00</w:t>
            </w:r>
          </w:p>
        </w:tc>
      </w:tr>
    </w:tbl>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本合同包不接受联合体投标</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合同履行期限：建设期</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日历天，服务期验收</w:t>
      </w:r>
      <w:r>
        <w:rPr>
          <w:rFonts w:hint="eastAsia" w:ascii="宋体" w:hAnsi="宋体" w:eastAsia="宋体" w:cs="宋体"/>
          <w:sz w:val="24"/>
          <w:szCs w:val="24"/>
          <w:highlight w:val="none"/>
          <w:lang w:val="en-US" w:eastAsia="zh-CN"/>
        </w:rPr>
        <w:t>合格之日期</w:t>
      </w:r>
      <w:r>
        <w:rPr>
          <w:rFonts w:hint="eastAsia" w:ascii="宋体" w:hAnsi="宋体" w:eastAsia="宋体" w:cs="宋体"/>
          <w:sz w:val="24"/>
          <w:szCs w:val="24"/>
          <w:highlight w:val="none"/>
        </w:rPr>
        <w:t>1年。</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二、 投标供应商的资格要求：</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（1）《政府采购促进中小企业发展管理办法》(财库〔2020〕46号)；</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（2）《关于进一步加大政府采购支持中小企业力度的通知》(财库〔2022〕19号）； </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（3）《财政部司法部关于政府采购支持监狱企业发展有关问题的通知》(财库〔2014〕68号)；</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（4）《关于调整优化节能产品、环境标志产品政府采购执行机制的通知》（财库〔2019〕9号）、《国务院办公厅关于建立政府强制采购节能产品制度的通知》 (国办发〔2007〕51号)；</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（5）《节能产品政府采购实施意见》(财库[2004]185 号)；</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（6）《环境标志产品政府采购实施的意见》(财库[2006]90 号)；</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（7）《关于促进残疾人就业政府采购政策的通知》(财库〔2017〕141号)；</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（8）《陕西省中小企业政府采购信用融资办法》(陕财办采〔2018〕23号)；</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（9）《关于运用政府采购政策支持乡村产业振兴的通知》（财库〔2021〕19号；</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（10）其他需要落实的政府采购政策。</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（1）具有独立承担民事责任的法人、其他组织或自然人，提供有效的营业执照等相应证明文件，非法人单位参照执行；</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提供2021年度审计报告(至少包括有资产负债表、利润表、现金流量表)，成立时间至提交响应文件截止时间不足一年的可提供成立后任意时段的资产负债表，或提供响应文件递交截止前三个月内基本存款账户开户银行出具的资信证明(以上两种形式的资料提供任何一种即可)；</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（3）具有履行合同所必需的设备和专业技术能力，提供承诺书；</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（4）税收缴纳证明：提供投标文件递交截止时间前六个月内任意三月已缴纳的纳税证明或完税证明(包含增值税、企业所得税至少一种)，依法免税的供应商应提供相关证明文件；</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（5）社会保障资金缴纳证明：提供投标文件递交截止时间前六个月内任意三月已缴存的社会保障资金缴费证明或参保证明，依法不需要缴纳社会保障资金的供应商应提供相关证明文件；</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（6）参加政府采购活动前三年内，在经营活动中没有重大违法记录，提供书面声明；</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（7）未被信用中国网站列入失信被执行人和重大税收违法案件当事人名单、未被中国政府采购网列入政府采购严重违法失信行为记录名单，参加本次政府采购活动前三年内在经营活动中没有重大违法记录 (处罚期满除外)；</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（8）法定代表人直接参加投标的须提供法定代表人证明书，法定代表人授权代表参加投标的须提供法定代表人证明书和法定代表人授权书。</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三、获取招标文件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时间： 2022年 11月 </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 xml:space="preserve">日至 2022年 11月 </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日，每天上午 09:00:00 至 12:00:00，下午 14:00:00 至 17:00:00 (北京时间,法定节假日除外)</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地点：陕西省西安市经开区凤城五路世融嘉轩5号楼27层招标部</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方式：现场获取。</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售价：每套500元（人民币），售后不退。</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四、投标文件提交</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截止时间：2022年11月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分（北京时间）</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地点：陕西省西安市经开区凤城五路世融嘉轩5号楼27层第三会议室</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五、开启</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时间：2022年11月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分(北京时间)</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地点：陕西省西安市经开区凤城五路世融嘉轩5号楼27层第三会议室</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六、公告期限</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七、其他补充事宜</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1.获取招标文件请携带有效期内的单位介绍信原件、经办人身份证原件及身份证复印件加盖公章，或将盖章资料扫描发送至QQ邮箱（361263013@qq.com），代理机构确认完毕后方可获取招标文件。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2.投标供应商需按照陕西省财政厅关于政府采购供应商注册登记有关事项的通知中的要求，通过陕西省政府采购网（http://www.ccgp-shaanxi.gov.cn/）注册登记加入陕西省政府采购供应商库。</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3.本项目为非专门面向中小微型企业采购项目。</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八、对本次招标提出询问，请按以下方式联系</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1、采购人信息：</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名称：汉中市政府国有资产监督管理委员会</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地址：汉中市汉台区民主街65号市政府大院</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联系方式：18591604386</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2、采购代理机构信息</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名称：陕西华泰工程项目管理有限公司</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地址：陕西省西安市经开区凤城五路世融嘉轩5号楼27层</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联系方式：029-86250354</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3、项目联系方式</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项目联系人：纪工</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电 话：13709298734</w:t>
      </w:r>
    </w:p>
    <w:p>
      <w:pPr>
        <w:pStyle w:val="2"/>
        <w:rPr>
          <w:highlight w:val="none"/>
        </w:rPr>
      </w:pPr>
      <w:r>
        <w:rPr>
          <w:rFonts w:hint="eastAsia" w:ascii="宋体" w:hAnsi="宋体" w:eastAsia="宋体" w:cs="宋体"/>
          <w:szCs w:val="24"/>
          <w:highlight w:val="none"/>
        </w:rPr>
        <w:t xml:space="preserve">    邮 箱：361263013@qq.com</w:t>
      </w:r>
    </w:p>
    <w:p>
      <w:pPr>
        <w:pStyle w:val="2"/>
        <w:rPr>
          <w:highlight w:val="none"/>
        </w:rPr>
      </w:pPr>
    </w:p>
    <w:p>
      <w:pPr>
        <w:pStyle w:val="15"/>
        <w:kinsoku/>
        <w:autoSpaceDE/>
        <w:autoSpaceDN/>
        <w:adjustRightInd/>
        <w:snapToGrid/>
        <w:spacing w:beforeAutospacing="0" w:afterAutospacing="0" w:line="420" w:lineRule="exact"/>
        <w:ind w:firstLine="420"/>
        <w:jc w:val="center"/>
        <w:rPr>
          <w:rFonts w:cs="宋体"/>
          <w:color w:val="auto"/>
          <w:szCs w:val="24"/>
          <w:highlight w:val="none"/>
        </w:rPr>
      </w:pPr>
      <w:r>
        <w:rPr>
          <w:rFonts w:hint="eastAsia" w:cs="宋体"/>
          <w:color w:val="auto"/>
          <w:szCs w:val="24"/>
          <w:highlight w:val="none"/>
        </w:rPr>
        <w:t xml:space="preserve">       </w:t>
      </w:r>
    </w:p>
    <w:p>
      <w:pPr>
        <w:pStyle w:val="15"/>
        <w:kinsoku/>
        <w:autoSpaceDE/>
        <w:autoSpaceDN/>
        <w:adjustRightInd/>
        <w:snapToGrid/>
        <w:spacing w:beforeAutospacing="0" w:afterAutospacing="0" w:line="420" w:lineRule="exact"/>
        <w:ind w:firstLine="420"/>
        <w:jc w:val="center"/>
        <w:rPr>
          <w:rFonts w:cs="宋体"/>
          <w:color w:val="auto"/>
          <w:szCs w:val="24"/>
          <w:highlight w:val="none"/>
          <w:lang w:val="zh-CN"/>
        </w:rPr>
      </w:pPr>
      <w:r>
        <w:rPr>
          <w:rFonts w:hint="eastAsia" w:cs="宋体"/>
          <w:color w:val="auto"/>
          <w:szCs w:val="24"/>
          <w:highlight w:val="none"/>
        </w:rPr>
        <w:t xml:space="preserve">                       </w:t>
      </w:r>
      <w:r>
        <w:rPr>
          <w:rFonts w:hint="eastAsia" w:cs="宋体"/>
          <w:color w:val="auto"/>
          <w:szCs w:val="24"/>
          <w:highlight w:val="none"/>
          <w:lang w:val="zh-CN"/>
        </w:rPr>
        <w:t>陕西华泰工程项目管理有限公司</w:t>
      </w:r>
    </w:p>
    <w:p>
      <w:pPr>
        <w:rPr>
          <w:rFonts w:ascii="宋体" w:hAnsi="宋体" w:eastAsia="宋体" w:cs="宋体"/>
          <w:sz w:val="24"/>
          <w:szCs w:val="24"/>
          <w:highlight w:val="none"/>
          <w:lang w:val="zh-CN"/>
        </w:rPr>
      </w:pPr>
      <w:r>
        <w:rPr>
          <w:rFonts w:hint="eastAsia" w:cs="宋体"/>
          <w:color w:val="auto"/>
          <w:szCs w:val="24"/>
          <w:highlight w:val="non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2022年</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lang w:val="zh-CN"/>
        </w:rPr>
        <w:t>日</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spacing w:before="94" w:line="229" w:lineRule="auto"/>
        <w:jc w:val="center"/>
        <w:outlineLvl w:val="0"/>
        <w:rPr>
          <w:rFonts w:ascii="宋体" w:hAnsi="宋体" w:eastAsia="宋体" w:cs="宋体"/>
          <w:spacing w:val="9"/>
          <w:sz w:val="28"/>
          <w:szCs w:val="28"/>
          <w:highlight w:val="none"/>
          <w14:textOutline w14:w="5448" w14:cap="sq" w14:cmpd="sng" w14:algn="ctr">
            <w14:solidFill>
              <w14:srgbClr w14:val="000000"/>
            </w14:solidFill>
            <w14:prstDash w14:val="solid"/>
            <w14:bevel/>
          </w14:textOutline>
        </w:rPr>
      </w:pPr>
      <w:bookmarkStart w:id="0" w:name="_Toc618"/>
      <w: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t>第二部分 投标供应商须知</w:t>
      </w:r>
      <w:bookmarkEnd w:id="0"/>
    </w:p>
    <w:p>
      <w:pPr>
        <w:jc w:val="center"/>
        <w:rPr>
          <w:rFonts w:ascii="宋体" w:hAnsi="宋体" w:eastAsia="宋体" w:cs="宋体"/>
          <w:highlight w:val="none"/>
        </w:rPr>
      </w:pPr>
      <w:r>
        <w:rPr>
          <w:rFonts w:hint="eastAsia" w:ascii="宋体" w:hAnsi="宋体" w:eastAsia="宋体" w:cs="宋体"/>
          <w:b/>
          <w:color w:val="auto"/>
          <w:sz w:val="24"/>
          <w:szCs w:val="24"/>
          <w:highlight w:val="none"/>
        </w:rPr>
        <w:t>须知前附表</w:t>
      </w:r>
    </w:p>
    <w:tbl>
      <w:tblPr>
        <w:tblStyle w:val="18"/>
        <w:tblW w:w="98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201"/>
        <w:gridCol w:w="6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201" w:type="dxa"/>
            <w:vAlign w:val="center"/>
          </w:tcPr>
          <w:p>
            <w:pPr>
              <w:kinsoku/>
              <w:autoSpaceDE/>
              <w:autoSpaceDN/>
              <w:adjustRightInd/>
              <w:snapToGrid/>
              <w:spacing w:line="320" w:lineRule="exact"/>
              <w:jc w:val="center"/>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 款 名 称</w:t>
            </w:r>
          </w:p>
        </w:tc>
        <w:tc>
          <w:tcPr>
            <w:tcW w:w="6723" w:type="dxa"/>
            <w:vAlign w:val="center"/>
          </w:tcPr>
          <w:p>
            <w:pPr>
              <w:kinsoku/>
              <w:autoSpaceDE/>
              <w:autoSpaceDN/>
              <w:adjustRightInd/>
              <w:snapToGrid/>
              <w:spacing w:line="320" w:lineRule="exact"/>
              <w:jc w:val="center"/>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  购  人</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汉中市政府国有资产监督管理委员会</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sz w:val="24"/>
                <w:szCs w:val="24"/>
                <w:highlight w:val="none"/>
              </w:rPr>
              <w:t>汉中市汉台区民主街65号市政府大院</w:t>
            </w:r>
          </w:p>
          <w:p>
            <w:pPr>
              <w:kinsoku/>
              <w:autoSpaceDE/>
              <w:autoSpaceDN/>
              <w:adjustRightInd/>
              <w:snapToGrid/>
              <w:spacing w:line="3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联系人：王工</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sz w:val="24"/>
                <w:szCs w:val="24"/>
                <w:highlight w:val="none"/>
              </w:rPr>
              <w:t>联系电话：18591604386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称：陕西华泰工程项目管理有限公司</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rPr>
              <w:t>陕西省西安市经开区凤城五路世融嘉轩5号楼</w:t>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zh-CN"/>
              </w:rPr>
              <w:t>层</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联系人：纪工</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话：13709298734、029-86250354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3</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招标项目名称</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sz w:val="24"/>
                <w:szCs w:val="24"/>
                <w:highlight w:val="none"/>
              </w:rPr>
              <w:t>汉中市国资在线监管系统建设（一期）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4</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资金来源及比例</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财政资金100%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5</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6723" w:type="dxa"/>
            <w:vAlign w:val="center"/>
          </w:tcPr>
          <w:p>
            <w:pPr>
              <w:shd w:val="clear" w:color="auto" w:fill="FFFFFF"/>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6</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6723" w:type="dxa"/>
            <w:vAlign w:val="center"/>
          </w:tcPr>
          <w:p>
            <w:pPr>
              <w:shd w:val="clear" w:color="auto" w:fill="FFFFFF"/>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sz w:val="24"/>
                <w:szCs w:val="24"/>
                <w:highlight w:val="none"/>
              </w:rPr>
              <w:t>根据国务院、省、市国资委及其他信息技术标准的要求，制定一套国资监管系统和服务规范，包括数据资源管理标准规范、数据运营规范、数据安全标准。各类规范须符合满足国资监管各项业务的实际需求，确保当前以及将来能够支撑监管企业接入、监管业务和分析决策应用。</w:t>
            </w:r>
            <w:r>
              <w:rPr>
                <w:rFonts w:hint="eastAsia" w:ascii="宋体" w:hAnsi="宋体" w:eastAsia="宋体" w:cs="宋体"/>
                <w:color w:val="auto"/>
                <w:sz w:val="24"/>
                <w:szCs w:val="24"/>
                <w:highlight w:val="none"/>
              </w:rPr>
              <w:t>国资监管系统运用大数据、云计算、人工智能、互联网+等技术为核心，要求建设：1套数据标准规范体系、1个国资监管数据采集汇聚平台、1个监管业务中心（</w:t>
            </w:r>
            <w:r>
              <w:rPr>
                <w:rFonts w:hint="eastAsia" w:ascii="宋体" w:hAnsi="宋体" w:eastAsia="宋体" w:cs="宋体"/>
                <w:sz w:val="24"/>
                <w:szCs w:val="24"/>
                <w:highlight w:val="none"/>
              </w:rPr>
              <w:t>企业基本信息、财务监管、投资布局、科技创新、公司治理、企干管理、人事管理、产权管理、党建管理、三重一大</w:t>
            </w:r>
            <w:r>
              <w:rPr>
                <w:rFonts w:hint="eastAsia" w:ascii="宋体" w:hAnsi="宋体" w:eastAsia="宋体" w:cs="宋体"/>
                <w:color w:val="auto"/>
                <w:sz w:val="24"/>
                <w:szCs w:val="24"/>
                <w:highlight w:val="none"/>
              </w:rPr>
              <w:t>）、1个生态资源云脑平台、1个应用门户。系统建设完成稳定运行后，逐步与企业等进行对接采集，构建市国资监管大格局，形成市国资监管一盘棋。详见招标文件采购需求。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7</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建设期</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验收</w:t>
            </w:r>
            <w:r>
              <w:rPr>
                <w:rFonts w:hint="eastAsia" w:ascii="宋体" w:hAnsi="宋体" w:eastAsia="宋体" w:cs="宋体"/>
                <w:color w:val="auto"/>
                <w:sz w:val="24"/>
                <w:szCs w:val="24"/>
                <w:highlight w:val="none"/>
                <w:lang w:val="en-US" w:eastAsia="zh-CN"/>
              </w:rPr>
              <w:t>合格之日起</w:t>
            </w:r>
            <w:r>
              <w:rPr>
                <w:rFonts w:hint="eastAsia" w:ascii="宋体" w:hAnsi="宋体" w:eastAsia="宋体" w:cs="宋体"/>
                <w:color w:val="auto"/>
                <w:sz w:val="24"/>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9</w:t>
            </w:r>
          </w:p>
        </w:tc>
        <w:tc>
          <w:tcPr>
            <w:tcW w:w="2201" w:type="dxa"/>
            <w:vAlign w:val="center"/>
          </w:tcPr>
          <w:p>
            <w:pPr>
              <w:shd w:val="clear" w:color="auto" w:fill="FFFFFF"/>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723" w:type="dxa"/>
            <w:vAlign w:val="center"/>
          </w:tcPr>
          <w:p>
            <w:pPr>
              <w:shd w:val="clear" w:color="auto" w:fill="FFFFFF"/>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合格，符合国家相关技术规范要求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01" w:type="dxa"/>
            <w:vAlign w:val="center"/>
          </w:tcPr>
          <w:p>
            <w:pPr>
              <w:shd w:val="clear" w:color="auto" w:fill="FFFFFF"/>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c>
          <w:tcPr>
            <w:tcW w:w="6723" w:type="dxa"/>
            <w:vAlign w:val="center"/>
          </w:tcPr>
          <w:p>
            <w:pPr>
              <w:shd w:val="clear" w:color="auto" w:fill="FFFFFF"/>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（1）《政府采购促进中小企业发展管理办法》(财库〔2020〕46号)；</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（2）《关于进一步加大政府采购支持中小企业力度的通知》(财库〔2022〕19号）； </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（3）《财政部司法部关于政府采购支持监狱企业发展有关问题的通知》(财库〔2014〕68号)；</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（4）《关于调整优化节能产品、环境标志产品政府采购执行机制的通知》（财库〔2019〕9号）、《国务院办公厅关于建立政府强制采购节能产品制度的通知》(国办发〔2007〕51号)；</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（5）《节能产品政府采购实施意见》(财库[2004]185 号)；</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（6）《环境标志产品政府采购实施的意见》(财库[2006]90 号)；</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（7）《关于促进残疾人就业政府采购政策的通知》(财库〔2017〕141号)；</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（8）《陕西省中小企业政府采购信用融资办法》(陕财办采〔2018〕23号)；</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（9）《关于运用政府采购政策支持乡村产业振兴的通知》（财库〔2021〕19号；</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（10）其他需要落实的政府采购政策。</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（1）具有独立承担民事责任的法人、其他组织或自然人，提供有效的营业执照等相应证明文件，非法人单位参照执行；</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2021年度审计报告(至少包括有资产负债表、利润表、现金流量表)，成立时间至提交响应文件截止时间不足一年的可提供成立后任意时段的资产负债表，或提供响应文件递交截止前三个月内基本存款账户开户银行出具的资信证明(以上两种形式的资料提供任何一种即可)；</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（3）具有履行合同所必需的设备和专业技术能力，提供承诺书；</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（4）税收缴纳证明：提供投标文件递交截止时间前六个月内任意三月已缴纳的纳税证明或完税证明(包含增值税、企业所得税至少一种)，依法免税的供应商应提供相关证明文件；</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（5）社会保障资金缴纳证明：提供投标文件递交截止时间前六个月内任意三月已缴存的社会保障资金缴费证明或参保证明，依法不需要缴纳社会保障资金的供应商应提供相关证明文件；</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（6）参加政府采购活动前三年内，在经营活动中没有重大违法记录，提供书面声明；</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（7）未被信用中国网站列入失信被执行人和重大税收违法案件当事人名单、未被中国政府采购网列入政府采购严重违法失信行为记录名单，参加本次政府采购活动前三年内在经营活动中没有重大违法记录 (处罚期满除外)；</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（8）法定代表人直接参加投标的须提供法定代表人证明书，法定代表人授权代表参加投标的须提供法定代表人证明书和法定代表人授权书。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w:t>
            </w:r>
          </w:p>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现场勘查、标前</w:t>
            </w:r>
          </w:p>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不组织。投标供应商认为有必要可自行勘查，并承担所有费用及风险。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5" w:type="dxa"/>
            <w:vMerge w:val="restart"/>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201" w:type="dxa"/>
            <w:vMerge w:val="restart"/>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投标供应商对招标文件提出质疑的时间</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时间：投标供应商认为招标文件使自己的权益受到损害的，可以对该文件提出质疑。应当在获取招标文件或者招标文件公告期限届满之日起7个工作日内提出。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45" w:type="dxa"/>
            <w:vMerge w:val="continue"/>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p>
        </w:tc>
        <w:tc>
          <w:tcPr>
            <w:tcW w:w="2201" w:type="dxa"/>
            <w:vMerge w:val="continue"/>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形式：书面形式向采购代理机构提出质疑，逾期提出的无效，因此带来的一切不利后果由投标供应商自负。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澄清或修改</w:t>
            </w:r>
          </w:p>
        </w:tc>
        <w:tc>
          <w:tcPr>
            <w:tcW w:w="6723" w:type="dxa"/>
            <w:vAlign w:val="center"/>
          </w:tcPr>
          <w:p>
            <w:pPr>
              <w:pStyle w:val="2"/>
              <w:kinsoku/>
              <w:autoSpaceDE/>
              <w:autoSpaceDN/>
              <w:adjustRightInd/>
              <w:snapToGrid/>
              <w:spacing w:line="320" w:lineRule="exac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（1）对已发出的招标文件进行必要澄清或者修改的，在原发布招标公告的媒体上发布澄清或修改，并以书面形式通知所有招标文件收受人。</w:t>
            </w:r>
          </w:p>
          <w:p>
            <w:pPr>
              <w:pStyle w:val="2"/>
              <w:kinsoku/>
              <w:autoSpaceDE/>
              <w:autoSpaceDN/>
              <w:adjustRightInd/>
              <w:snapToGrid/>
              <w:spacing w:line="320" w:lineRule="exac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（2）如果澄清或者修改时间距本章投标须知前附表规定的投标截止时间不足15日，将相应顺延提交投标文件的截止时间。</w:t>
            </w:r>
          </w:p>
          <w:p>
            <w:pPr>
              <w:pStyle w:val="2"/>
              <w:kinsoku/>
              <w:autoSpaceDE/>
              <w:autoSpaceDN/>
              <w:adjustRightInd/>
              <w:snapToGrid/>
              <w:spacing w:line="320" w:lineRule="exac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（3）澄清或者修改内容为招标文件的组成部分，对所有领取了招标文件的投标单位均具有约束力。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723" w:type="dxa"/>
            <w:vAlign w:val="center"/>
          </w:tcPr>
          <w:p>
            <w:pPr>
              <w:pStyle w:val="2"/>
              <w:kinsoku/>
              <w:autoSpaceDE/>
              <w:autoSpaceDN/>
              <w:adjustRightInd/>
              <w:snapToGrid/>
              <w:spacing w:line="320" w:lineRule="exac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投标报价包含：包含了交付使用前的全部费用，包括硬件设备购置费、软件购置费、软件开发费、系统集成费、安装调试费、人员培训费、验收费、售后服务期内的运行维护费、软件永久升级费、税金、其他费用等一切费用。付款方式及条件：具体付款方式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8"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保证金金额：人民币贰万元整（¥：20000.00元）</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投标供应商自主选择以支票、汇票、本票、保函等非现金形式缴纳或提交保证金。</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保证金递交截止时间：投标截止时间前。</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对于未能按要求提交保证金的投标供应商，其投标文件将被拒绝。</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保证金收取说明</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①保证金</w:t>
            </w:r>
            <w:r>
              <w:rPr>
                <w:rFonts w:hint="eastAsia" w:ascii="宋体" w:hAnsi="宋体" w:eastAsia="宋体" w:cs="宋体"/>
                <w:color w:val="auto"/>
                <w:sz w:val="24"/>
                <w:szCs w:val="24"/>
                <w:highlight w:val="none"/>
                <w:lang w:val="en-US" w:eastAsia="zh-CN"/>
              </w:rPr>
              <w:t>交</w:t>
            </w:r>
            <w:r>
              <w:rPr>
                <w:rFonts w:hint="eastAsia" w:ascii="宋体" w:hAnsi="宋体" w:eastAsia="宋体" w:cs="宋体"/>
                <w:color w:val="auto"/>
                <w:sz w:val="24"/>
                <w:szCs w:val="24"/>
                <w:highlight w:val="none"/>
              </w:rPr>
              <w:t>纳证明上应明确项目名称，以便核对查实；</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②保证金缴纳人必须与报名供应商名称一致；</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③投标截止时间后收到的磋商保证金为无效磋商保证金。</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供应商须将保证金</w:t>
            </w:r>
            <w:r>
              <w:rPr>
                <w:rFonts w:hint="eastAsia" w:ascii="宋体" w:hAnsi="宋体" w:eastAsia="宋体" w:cs="宋体"/>
                <w:color w:val="auto"/>
                <w:sz w:val="24"/>
                <w:szCs w:val="24"/>
                <w:highlight w:val="none"/>
                <w:lang w:val="en-US" w:eastAsia="zh-CN"/>
              </w:rPr>
              <w:t>交</w:t>
            </w:r>
            <w:r>
              <w:rPr>
                <w:rFonts w:hint="eastAsia" w:ascii="宋体" w:hAnsi="宋体" w:eastAsia="宋体" w:cs="宋体"/>
                <w:color w:val="auto"/>
                <w:sz w:val="24"/>
                <w:szCs w:val="24"/>
                <w:highlight w:val="none"/>
              </w:rPr>
              <w:t>纳凭证粘贴在投标文件中，并加盖公章。</w:t>
            </w:r>
          </w:p>
          <w:p>
            <w:pPr>
              <w:pStyle w:val="2"/>
              <w:kinsoku/>
              <w:autoSpaceDE/>
              <w:autoSpaceDN/>
              <w:adjustRightInd/>
              <w:snapToGrid/>
              <w:spacing w:line="320" w:lineRule="exac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7</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保证金汇款账户</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开户名称：陕西华泰工程项目管理有限公司</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开户行名称：浙商银行西安未央路支行</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账号：7910000610120100005935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4"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政府采购信用担保和信用融资</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中标单位缴纳履约保证金时可自愿选择通过政府采购信用担保合作的担保机构出具的保函形式缴纳。</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中小企业政府采购信用融资办法》陕财办采〔2018〕23号规定，供应商如果需要进行政府采购信用融资贷款服务的，可凭中标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是否专门面向中小企业或小微型企业采购</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201" w:type="dxa"/>
            <w:vAlign w:val="center"/>
          </w:tcPr>
          <w:p>
            <w:pPr>
              <w:pStyle w:val="10"/>
              <w:kinsoku/>
              <w:autoSpaceDE/>
              <w:autoSpaceDN/>
              <w:adjustRightInd/>
              <w:snapToGrid/>
              <w:spacing w:line="320" w:lineRule="exact"/>
              <w:jc w:val="center"/>
              <w:textAlignment w:val="auto"/>
              <w:rPr>
                <w:rFonts w:hAnsi="宋体" w:eastAsia="宋体" w:cs="宋体"/>
                <w:color w:val="auto"/>
                <w:kern w:val="2"/>
                <w:sz w:val="24"/>
                <w:szCs w:val="24"/>
                <w:highlight w:val="none"/>
              </w:rPr>
            </w:pPr>
            <w:r>
              <w:rPr>
                <w:rFonts w:hint="eastAsia" w:hAnsi="宋体" w:eastAsia="宋体" w:cs="宋体"/>
                <w:color w:val="auto"/>
                <w:kern w:val="2"/>
                <w:sz w:val="24"/>
                <w:szCs w:val="24"/>
                <w:highlight w:val="none"/>
              </w:rPr>
              <w:t>支持监狱企业</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非专门面向监狱采购项目(价格扣除)：监狱企业可在价格评审时给予10%-20%的扣除，用扣除后的价格参与评审。本项目的扣除比例为：扣除10%。</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《财政部司法部关于政府采购支持监狱企业发展有关问题的通知》（财库〔2014〕68号），提供《监狱企业声明函》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201" w:type="dxa"/>
            <w:vAlign w:val="center"/>
          </w:tcPr>
          <w:p>
            <w:pPr>
              <w:pStyle w:val="10"/>
              <w:kinsoku/>
              <w:autoSpaceDE/>
              <w:autoSpaceDN/>
              <w:adjustRightInd/>
              <w:snapToGrid/>
              <w:spacing w:line="320" w:lineRule="exact"/>
              <w:jc w:val="center"/>
              <w:textAlignment w:val="auto"/>
              <w:rPr>
                <w:rFonts w:hAnsi="宋体" w:eastAsia="宋体" w:cs="宋体"/>
                <w:color w:val="auto"/>
                <w:kern w:val="2"/>
                <w:sz w:val="24"/>
                <w:szCs w:val="24"/>
                <w:highlight w:val="none"/>
              </w:rPr>
            </w:pPr>
            <w:r>
              <w:rPr>
                <w:rFonts w:hint="eastAsia" w:hAnsi="宋体" w:eastAsia="宋体" w:cs="宋体"/>
                <w:color w:val="auto"/>
                <w:kern w:val="2"/>
                <w:sz w:val="24"/>
                <w:szCs w:val="24"/>
                <w:highlight w:val="none"/>
              </w:rPr>
              <w:t>其他法律法规强制性规定或扶持政策</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残疾人福利性单位可在价格评审时给予10%-20%的扣除，用扣除后的价格参与评审。</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本项目的扣除比例为：扣除10%；但应满足下列条件：</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残疾人福利性单位应符合《财政部、民政部、中国残疾人联合会关于促进残疾人就业政府采购政策的通知》（财库[2017]141号）文件规定，并提供《残疾人福利性单位声明函》。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和报价</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盖章签字</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投标供应商必须按照招标文件的规定和要求在投标文件中指定的页面落款处加盖公章，并由法定代表人或被授权人签字（或盖章）。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投标文件份数及装订要求</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投标文件份数：一份正本，三份副本，电子版1份（U盘）。</w:t>
            </w:r>
          </w:p>
          <w:p>
            <w:pPr>
              <w:kinsoku/>
              <w:autoSpaceDE/>
              <w:autoSpaceDN/>
              <w:adjustRightInd/>
              <w:snapToGrid/>
              <w:spacing w:line="320" w:lineRule="exact"/>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投标文件装订：采用胶装方式装订，装订应牢固、不易拆散和换页，不得采用活页装订。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投标截止时间及地点</w:t>
            </w:r>
          </w:p>
        </w:tc>
        <w:tc>
          <w:tcPr>
            <w:tcW w:w="6723" w:type="dxa"/>
            <w:vAlign w:val="center"/>
          </w:tcPr>
          <w:p>
            <w:pPr>
              <w:kinsoku/>
              <w:autoSpaceDE/>
              <w:autoSpaceDN/>
              <w:adjustRightInd/>
              <w:snapToGrid/>
              <w:spacing w:line="320" w:lineRule="exact"/>
              <w:ind w:right="-197"/>
              <w:textAlignment w:val="auto"/>
              <w:rPr>
                <w:rFonts w:ascii="宋体" w:hAnsi="宋体" w:eastAsia="宋体" w:cs="宋体"/>
                <w:sz w:val="24"/>
                <w:szCs w:val="24"/>
                <w:highlight w:val="none"/>
              </w:rPr>
            </w:pPr>
            <w:r>
              <w:rPr>
                <w:rFonts w:hint="eastAsia" w:ascii="宋体" w:hAnsi="宋体" w:eastAsia="宋体" w:cs="宋体"/>
                <w:sz w:val="24"/>
                <w:szCs w:val="24"/>
                <w:highlight w:val="none"/>
              </w:rPr>
              <w:t>截止时间：2022年11月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秒（北京时间）</w:t>
            </w:r>
          </w:p>
          <w:p>
            <w:pPr>
              <w:pStyle w:val="2"/>
              <w:kinsoku/>
              <w:autoSpaceDE/>
              <w:autoSpaceDN/>
              <w:adjustRightInd/>
              <w:snapToGrid/>
              <w:spacing w:line="320" w:lineRule="exact"/>
              <w:textAlignment w:val="auto"/>
              <w:rPr>
                <w:rFonts w:ascii="宋体" w:hAnsi="宋体" w:eastAsia="宋体" w:cs="宋体"/>
                <w:szCs w:val="24"/>
                <w:highlight w:val="none"/>
              </w:rPr>
            </w:pPr>
            <w:r>
              <w:rPr>
                <w:rFonts w:hint="eastAsia" w:ascii="宋体" w:hAnsi="宋体" w:eastAsia="宋体" w:cs="宋体"/>
                <w:color w:val="auto"/>
                <w:szCs w:val="24"/>
                <w:highlight w:val="none"/>
              </w:rPr>
              <w:t>递交地点：陕西省西安市经开区凤城五路世融嘉轩5号楼27层第三会议室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6723" w:type="dxa"/>
            <w:vAlign w:val="center"/>
          </w:tcPr>
          <w:p>
            <w:pPr>
              <w:kinsoku/>
              <w:autoSpaceDE/>
              <w:autoSpaceDN/>
              <w:adjustRightInd/>
              <w:snapToGrid/>
              <w:spacing w:line="320" w:lineRule="exact"/>
              <w:ind w:right="-197"/>
              <w:textAlignment w:val="auto"/>
              <w:rPr>
                <w:rFonts w:ascii="宋体" w:hAnsi="宋体" w:eastAsia="宋体" w:cs="宋体"/>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sz w:val="24"/>
                <w:szCs w:val="24"/>
                <w:highlight w:val="none"/>
              </w:rPr>
              <w:t>2022年11月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秒（北京时间）</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开标地点：陕西省西安市经开区凤城五路世融嘉轩5号楼27层第三会议室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其中采购人代表</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人。</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评标专家确定方式：按《中华人民共和国政府采购法》相关规定，在政府采购专家库中随机抽取。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201"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评标委员会推荐中标候选人的人数</w:t>
            </w:r>
          </w:p>
        </w:tc>
        <w:tc>
          <w:tcPr>
            <w:tcW w:w="6723" w:type="dxa"/>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45" w:type="dxa"/>
            <w:vAlign w:val="center"/>
          </w:tcPr>
          <w:p>
            <w:pPr>
              <w:kinsoku/>
              <w:autoSpaceDE/>
              <w:autoSpaceDN/>
              <w:adjustRightInd/>
              <w:snapToGrid/>
              <w:spacing w:line="32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201" w:type="dxa"/>
            <w:vAlign w:val="center"/>
          </w:tcPr>
          <w:p>
            <w:pPr>
              <w:kinsoku/>
              <w:autoSpaceDE/>
              <w:autoSpaceDN/>
              <w:adjustRightInd/>
              <w:snapToGrid/>
              <w:spacing w:line="32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6723" w:type="dxa"/>
            <w:vAlign w:val="center"/>
          </w:tcPr>
          <w:p>
            <w:pPr>
              <w:kinsoku/>
              <w:autoSpaceDE/>
              <w:autoSpaceDN/>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1.合同签订后10个工作日内，甲方向乙方支付合同价款的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0%作为项目预付款。</w:t>
            </w:r>
          </w:p>
          <w:p>
            <w:pPr>
              <w:kinsoku/>
              <w:autoSpaceDE/>
              <w:autoSpaceDN/>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2.乙方一次性交付系统，甲方验收合格后5个工作日内，甲方向乙方支付合同价款的</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0%。如遇特殊原因，顺延付款期限。</w:t>
            </w:r>
          </w:p>
          <w:p>
            <w:pPr>
              <w:kinsoku/>
              <w:autoSpaceDE/>
              <w:autoSpaceDN/>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3.支付方式：银行转账。</w:t>
            </w:r>
          </w:p>
          <w:p>
            <w:pPr>
              <w:kinsoku/>
              <w:autoSpaceDE/>
              <w:autoSpaceDN/>
              <w:adjustRightInd/>
              <w:snapToGrid/>
              <w:spacing w:line="32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4.结算方式：付款前乙方根据甲方要求开具相应金额的发票。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45" w:type="dxa"/>
            <w:vAlign w:val="center"/>
          </w:tcPr>
          <w:p>
            <w:pPr>
              <w:kinsoku/>
              <w:autoSpaceDE/>
              <w:autoSpaceDN/>
              <w:adjustRightInd/>
              <w:snapToGrid/>
              <w:spacing w:line="32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8924" w:type="dxa"/>
            <w:gridSpan w:val="2"/>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8924" w:type="dxa"/>
            <w:gridSpan w:val="2"/>
            <w:vAlign w:val="center"/>
          </w:tcPr>
          <w:p>
            <w:pPr>
              <w:kinsoku/>
              <w:autoSpaceDE/>
              <w:autoSpaceDN/>
              <w:adjustRightInd/>
              <w:snapToGrid/>
              <w:spacing w:line="320" w:lineRule="exact"/>
              <w:textAlignment w:val="auto"/>
              <w:rPr>
                <w:rFonts w:ascii="宋体" w:hAnsi="宋体" w:eastAsia="宋体" w:cs="宋体"/>
                <w:color w:val="auto"/>
                <w:kern w:val="2"/>
                <w:sz w:val="24"/>
                <w:szCs w:val="24"/>
                <w:highlight w:val="none"/>
              </w:rPr>
            </w:pPr>
            <w:r>
              <w:rPr>
                <w:rFonts w:hint="eastAsia" w:ascii="宋体" w:hAnsi="宋体" w:eastAsia="宋体" w:cs="宋体"/>
                <w:b/>
                <w:bCs/>
                <w:color w:val="auto"/>
                <w:sz w:val="24"/>
                <w:szCs w:val="24"/>
                <w:highlight w:val="none"/>
              </w:rPr>
              <w:t>代理服务费：</w:t>
            </w:r>
            <w:r>
              <w:rPr>
                <w:rFonts w:hint="eastAsia" w:ascii="宋体" w:hAnsi="宋体" w:eastAsia="宋体" w:cs="宋体"/>
                <w:color w:val="auto"/>
                <w:sz w:val="24"/>
                <w:szCs w:val="24"/>
                <w:highlight w:val="none"/>
                <w:lang w:val="zh-TW"/>
              </w:rPr>
              <w:t>由中标</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TW"/>
              </w:rPr>
              <w:t>支付代理服务费，代理服务费参照《国家计委关于印发&lt;招标代理服务收费管理暂行办法&gt;的通知》（计价格〔2002〕1980号）和发改办价格〔2003〕857号以及发改价格〔2011〕534号文中规定的标准执行，按差额定率累进法收取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p>
        </w:tc>
        <w:tc>
          <w:tcPr>
            <w:tcW w:w="8924" w:type="dxa"/>
            <w:gridSpan w:val="2"/>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投标报价、评审和合同授予均以项目为单位，投标供应商必须就一个完整项目进行响应。中标人与采购人在中标通知书发出30天内签订合同，不及时签订视为自动放弃。非经采购人同意，本项目不允许中标后另行转包或者分包。中标人无正当理由不得放弃中标。因自身原因拒绝签订政府采购合同的或者未按合同约定进行履约的，中标人不得参加对该项目重新开展的招标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w:t>
            </w:r>
          </w:p>
        </w:tc>
        <w:tc>
          <w:tcPr>
            <w:tcW w:w="8924" w:type="dxa"/>
            <w:gridSpan w:val="2"/>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开标现场携带的原件：</w:t>
            </w:r>
            <w:r>
              <w:rPr>
                <w:rFonts w:hint="eastAsia" w:ascii="宋体" w:hAnsi="宋体" w:eastAsia="宋体" w:cs="宋体"/>
                <w:color w:val="auto"/>
                <w:sz w:val="24"/>
                <w:szCs w:val="24"/>
                <w:highlight w:val="none"/>
              </w:rPr>
              <w:t>法定代表人代表授权书（原件）和被授权人身份证（原件）；</w:t>
            </w:r>
          </w:p>
          <w:p>
            <w:pPr>
              <w:kinsoku/>
              <w:autoSpaceDE/>
              <w:autoSpaceDN/>
              <w:adjustRightInd/>
              <w:snapToGrid/>
              <w:spacing w:line="320" w:lineRule="exact"/>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（法定代表人参加开标时,须提供法定代表人身份证明书（原件）和法定代表人身份证原件）。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45" w:type="dxa"/>
            <w:vAlign w:val="center"/>
          </w:tcPr>
          <w:p>
            <w:pPr>
              <w:kinsoku/>
              <w:autoSpaceDE/>
              <w:autoSpaceDN/>
              <w:adjustRightInd/>
              <w:snapToGrid/>
              <w:spacing w:line="32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w:t>
            </w:r>
          </w:p>
        </w:tc>
        <w:tc>
          <w:tcPr>
            <w:tcW w:w="8924" w:type="dxa"/>
            <w:gridSpan w:val="2"/>
            <w:vAlign w:val="center"/>
          </w:tcPr>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（1）2022年新成立的企业（2021年度财务审计报告）只需提供企业成立后的证明材料；</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（2）单位负责人为同一人或者存在控股、管理关系的不同单位，不得参加同一项目的投标；</w:t>
            </w:r>
          </w:p>
          <w:p>
            <w:pPr>
              <w:kinsoku/>
              <w:autoSpaceDE/>
              <w:autoSpaceDN/>
              <w:adjustRightInd/>
              <w:snapToGrid/>
              <w:spacing w:line="3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参加本项目的相关企业和人员，必须严格执行汉中市新型冠状病毒感染的肺炎疫情联防联控工作领导小组相关文件规定。进场的所有人员须持有24小时核酸阴性证明，并全程佩戴口罩、行程码接种码检查、体温测量等疫情防控措施，每个投标单位参会人员不得超过1人。如有违反，所有责任自负。</w:t>
            </w:r>
          </w:p>
        </w:tc>
      </w:tr>
    </w:tbl>
    <w:p>
      <w:pPr>
        <w:rPr>
          <w:rFonts w:ascii="宋体" w:hAnsi="宋体" w:eastAsia="宋体" w:cs="宋体"/>
          <w:highlight w:val="none"/>
        </w:rPr>
      </w:pPr>
    </w:p>
    <w:p>
      <w:pPr>
        <w:spacing w:line="46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一、总则</w:t>
      </w:r>
    </w:p>
    <w:p>
      <w:pPr>
        <w:spacing w:line="460" w:lineRule="exact"/>
        <w:rPr>
          <w:rFonts w:ascii="宋体" w:hAnsi="宋体" w:eastAsia="宋体" w:cs="宋体"/>
          <w:b/>
          <w:bCs/>
          <w:sz w:val="24"/>
          <w:szCs w:val="24"/>
          <w:highlight w:val="none"/>
        </w:rPr>
      </w:pPr>
      <w:bookmarkStart w:id="1" w:name="_Toc24606"/>
      <w:bookmarkStart w:id="2" w:name="_Toc6642"/>
      <w:bookmarkStart w:id="3" w:name="_Toc347478675"/>
      <w:r>
        <w:rPr>
          <w:rFonts w:hint="eastAsia" w:ascii="宋体" w:hAnsi="宋体" w:eastAsia="宋体" w:cs="宋体"/>
          <w:b/>
          <w:bCs/>
          <w:sz w:val="24"/>
          <w:szCs w:val="24"/>
          <w:highlight w:val="none"/>
        </w:rPr>
        <w:t>1.适用范围</w:t>
      </w:r>
      <w:bookmarkEnd w:id="1"/>
      <w:bookmarkEnd w:id="2"/>
      <w:bookmarkEnd w:id="3"/>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根据《中华人民共和国政府采购法》、《中华人民共和国政府采购法实施条例》等有关法律、法规和规章的规定，本项目已具备招标条件，现进行招标。</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本招标文件仅适用于本次招标公告中所列项目的货物及服务采购。</w:t>
      </w:r>
    </w:p>
    <w:p>
      <w:pPr>
        <w:spacing w:line="460" w:lineRule="exact"/>
        <w:rPr>
          <w:rFonts w:ascii="宋体" w:hAnsi="宋体" w:eastAsia="宋体" w:cs="宋体"/>
          <w:sz w:val="24"/>
          <w:szCs w:val="24"/>
          <w:highlight w:val="none"/>
        </w:rPr>
      </w:pPr>
      <w:bookmarkStart w:id="4" w:name="_Toc31563"/>
      <w:r>
        <w:rPr>
          <w:rFonts w:hint="eastAsia" w:ascii="宋体" w:hAnsi="宋体" w:eastAsia="宋体" w:cs="宋体"/>
          <w:b/>
          <w:bCs/>
          <w:sz w:val="24"/>
          <w:szCs w:val="24"/>
          <w:highlight w:val="none"/>
        </w:rPr>
        <w:t>2.定义</w:t>
      </w:r>
      <w:bookmarkEnd w:id="4"/>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2.1采购人：汉中市政府国有资产监督管理委员会；</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2.2采购代理机构：陕西华泰工程项目管理有限公司；</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2.3供应商：响应采购人要求，向采购人提交投标文件的投标人；</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2.4“货物”系指卖方按合同要求，须向买方提供的一切货物、仪器、备品、手册及其他技术资料及材料。</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2.5“服务”系指合同规定卖方须承担的运输、装卸、仓储、人员培训和交付使用后保修期内应履行的义务及售后服务等其他类似的伴随服务。</w:t>
      </w:r>
    </w:p>
    <w:p>
      <w:pPr>
        <w:pStyle w:val="5"/>
        <w:spacing w:line="460" w:lineRule="exact"/>
        <w:ind w:left="0" w:leftChars="0"/>
        <w:rPr>
          <w:rFonts w:ascii="宋体" w:hAnsi="宋体" w:eastAsia="宋体" w:cs="宋体"/>
          <w:bCs/>
          <w:szCs w:val="24"/>
          <w:highlight w:val="none"/>
        </w:rPr>
      </w:pPr>
      <w:bookmarkStart w:id="5" w:name="_Toc25783"/>
      <w:bookmarkStart w:id="6" w:name="_Toc32103"/>
      <w:bookmarkStart w:id="7" w:name="_Toc347478677"/>
      <w:r>
        <w:rPr>
          <w:rFonts w:hint="eastAsia" w:ascii="宋体" w:hAnsi="宋体" w:eastAsia="宋体" w:cs="宋体"/>
          <w:bCs/>
          <w:szCs w:val="24"/>
          <w:highlight w:val="none"/>
        </w:rPr>
        <w:t>3.合格的供应商</w:t>
      </w:r>
      <w:bookmarkEnd w:id="5"/>
      <w:bookmarkEnd w:id="6"/>
      <w:bookmarkEnd w:id="7"/>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3.1凡在中华人民共和国注册的、具备招标公告资格要求且有能力提供所采购服务的投标供应商；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3.2供应商必须在招标公告载明的地点购买招标文件并登记，未经购买招标文件并登记的潜在供应商均无资格参加本次投标；</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3.3供应商应满足《中华人民共和国政府采购法》及其它有关的中国法律和法规。</w:t>
      </w:r>
    </w:p>
    <w:p>
      <w:pPr>
        <w:pStyle w:val="5"/>
        <w:spacing w:line="460" w:lineRule="exact"/>
        <w:ind w:left="0" w:leftChars="0"/>
        <w:rPr>
          <w:rFonts w:ascii="宋体" w:hAnsi="宋体" w:eastAsia="宋体" w:cs="宋体"/>
          <w:bCs/>
          <w:szCs w:val="24"/>
          <w:highlight w:val="none"/>
        </w:rPr>
      </w:pPr>
      <w:bookmarkStart w:id="8" w:name="_Toc14283"/>
      <w:r>
        <w:rPr>
          <w:rFonts w:hint="eastAsia" w:ascii="宋体" w:hAnsi="宋体" w:eastAsia="宋体" w:cs="宋体"/>
          <w:bCs/>
          <w:szCs w:val="24"/>
          <w:highlight w:val="none"/>
        </w:rPr>
        <w:t>4.费用</w:t>
      </w:r>
      <w:bookmarkEnd w:id="8"/>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供应商应承担所有与编写和提交投标文件有关的费用，无论投标过程中的做法和结果如何，采购人在任何情况下均无义务和责任承担这些费用。</w:t>
      </w:r>
    </w:p>
    <w:p>
      <w:pPr>
        <w:spacing w:line="46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二、招标文件</w:t>
      </w:r>
      <w:bookmarkStart w:id="9" w:name="_Toc347478680"/>
      <w:bookmarkStart w:id="10" w:name="_Toc15431"/>
      <w:bookmarkStart w:id="11" w:name="_Toc21755"/>
    </w:p>
    <w:p>
      <w:pPr>
        <w:spacing w:line="46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5.招标文件的构成</w:t>
      </w:r>
      <w:bookmarkEnd w:id="9"/>
      <w:bookmarkEnd w:id="10"/>
      <w:bookmarkEnd w:id="11"/>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5.1招标文件用以阐明所需提供的服务和合同条件。招标文件包括：</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第一部分 招标公告</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第二部分 供应商须知</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第三部分 采购需求</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第四部分 评标办法</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第五部分 合同主要条款</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第六部分 投标文件格式</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5.2供应商应认真阅读招标文件中所有的事项、格式条款和规范要求等。供应商没有对招标文件全面做出实质性响应是供应商自身的风险。采购人有权拒绝没有对招标文件要求做出实质性响应的投标。</w:t>
      </w:r>
    </w:p>
    <w:p>
      <w:pPr>
        <w:pStyle w:val="5"/>
        <w:spacing w:line="460" w:lineRule="exact"/>
        <w:ind w:left="0" w:leftChars="0"/>
        <w:rPr>
          <w:rFonts w:ascii="宋体" w:hAnsi="宋体" w:eastAsia="宋体" w:cs="宋体"/>
          <w:color w:val="auto"/>
          <w:szCs w:val="24"/>
          <w:highlight w:val="none"/>
        </w:rPr>
      </w:pPr>
      <w:bookmarkStart w:id="12" w:name="_Toc7474"/>
      <w:bookmarkStart w:id="13" w:name="_Toc6225"/>
      <w:bookmarkStart w:id="14" w:name="_Toc347478681"/>
      <w:r>
        <w:rPr>
          <w:rFonts w:hint="eastAsia" w:ascii="宋体" w:hAnsi="宋体" w:eastAsia="宋体" w:cs="宋体"/>
          <w:color w:val="auto"/>
          <w:szCs w:val="24"/>
          <w:highlight w:val="none"/>
        </w:rPr>
        <w:t>6.招标文件的澄清</w:t>
      </w:r>
      <w:bookmarkEnd w:id="12"/>
      <w:bookmarkEnd w:id="13"/>
      <w:bookmarkEnd w:id="14"/>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任何要求对招标文件澄清的供应商，均应于投标截止日期15日前以书面形式（包括电报、电传、传真）通知采购代理机构。采购代理机构将视情况确定采用适当方式予以澄清或以书面形式予以答复，并在其认为必要时，将不标明来源的书面答复通知到每个购买招标文件的供应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在规定的时间内供应商对招标文件无异议的，视为供应商完全响应招标文件并接受招标文件中约定的主要条款。在规定时间后提出的质疑，采购人或采购代理机构不予答复。</w:t>
      </w:r>
    </w:p>
    <w:p>
      <w:pPr>
        <w:pStyle w:val="5"/>
        <w:spacing w:line="460" w:lineRule="exact"/>
        <w:ind w:left="0" w:leftChars="0"/>
        <w:rPr>
          <w:rFonts w:ascii="宋体" w:hAnsi="宋体" w:eastAsia="宋体" w:cs="宋体"/>
          <w:color w:val="auto"/>
          <w:szCs w:val="24"/>
          <w:highlight w:val="none"/>
        </w:rPr>
      </w:pPr>
      <w:bookmarkStart w:id="15" w:name="_Toc26176"/>
      <w:r>
        <w:rPr>
          <w:rFonts w:hint="eastAsia" w:ascii="宋体" w:hAnsi="宋体" w:eastAsia="宋体" w:cs="宋体"/>
          <w:color w:val="auto"/>
          <w:szCs w:val="24"/>
          <w:highlight w:val="none"/>
        </w:rPr>
        <w:t>7.招标文件的修改</w:t>
      </w:r>
      <w:bookmarkEnd w:id="15"/>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7.1在投标截止期15日前，无论出于何种原因，采购人可主动地或在解答供应商要求澄清的问题时对招标文件进行修改。</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7.2招标文件的修改将以书面形式（包括电子邮件）通知所有招标文件的收受人；供应商在收到该通知后应立即以传真、电子邮件等有效形式予以确认。</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7.3为使供应商在准备投标文件时，有充分的时间对招标文件的修改进行研究考虑，采购人可自行决定，酌情推迟投标截止日期，并以书面形式通知所有已购买招标文件的供应商。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7.4招标文件的修改内容将构成招标文件的一部分，对采购人和供应商都具有约束力。</w:t>
      </w:r>
    </w:p>
    <w:p>
      <w:pPr>
        <w:spacing w:line="46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三、投标文件的编制</w:t>
      </w:r>
    </w:p>
    <w:p>
      <w:pPr>
        <w:spacing w:line="460" w:lineRule="exact"/>
        <w:rPr>
          <w:rFonts w:ascii="宋体" w:hAnsi="宋体" w:eastAsia="宋体" w:cs="宋体"/>
          <w:sz w:val="24"/>
          <w:szCs w:val="24"/>
          <w:highlight w:val="none"/>
        </w:rPr>
      </w:pPr>
      <w:bookmarkStart w:id="16" w:name="_Toc347478684"/>
      <w:bookmarkStart w:id="17" w:name="_Toc19847"/>
      <w:bookmarkStart w:id="18" w:name="_Toc643"/>
      <w:r>
        <w:rPr>
          <w:rFonts w:hint="eastAsia" w:ascii="宋体" w:hAnsi="宋体" w:eastAsia="宋体" w:cs="宋体"/>
          <w:b/>
          <w:bCs/>
          <w:sz w:val="24"/>
          <w:szCs w:val="24"/>
          <w:highlight w:val="none"/>
        </w:rPr>
        <w:t>8.投标语言</w:t>
      </w:r>
      <w:bookmarkEnd w:id="16"/>
      <w:bookmarkEnd w:id="17"/>
      <w:bookmarkEnd w:id="18"/>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供应商编写的投标文件和往来信件应以中文书写。</w:t>
      </w:r>
    </w:p>
    <w:p>
      <w:pPr>
        <w:spacing w:line="460" w:lineRule="exact"/>
        <w:rPr>
          <w:rFonts w:ascii="宋体" w:hAnsi="宋体" w:eastAsia="宋体" w:cs="宋体"/>
          <w:b/>
          <w:bCs/>
          <w:sz w:val="24"/>
          <w:szCs w:val="24"/>
          <w:highlight w:val="none"/>
        </w:rPr>
      </w:pPr>
      <w:bookmarkStart w:id="19" w:name="_Toc347478685"/>
      <w:bookmarkStart w:id="20" w:name="_Toc25959"/>
      <w:bookmarkStart w:id="21" w:name="_Toc15450"/>
      <w:r>
        <w:rPr>
          <w:rFonts w:hint="eastAsia" w:ascii="宋体" w:hAnsi="宋体" w:eastAsia="宋体" w:cs="宋体"/>
          <w:b/>
          <w:bCs/>
          <w:sz w:val="24"/>
          <w:szCs w:val="24"/>
          <w:highlight w:val="none"/>
        </w:rPr>
        <w:t>9.计量单位</w:t>
      </w:r>
      <w:bookmarkEnd w:id="19"/>
      <w:bookmarkEnd w:id="20"/>
      <w:bookmarkEnd w:id="21"/>
    </w:p>
    <w:p>
      <w:pPr>
        <w:spacing w:line="460" w:lineRule="exact"/>
        <w:ind w:firstLine="480" w:firstLineChars="200"/>
        <w:rPr>
          <w:rFonts w:ascii="宋体" w:hAnsi="宋体" w:eastAsia="宋体" w:cs="宋体"/>
          <w:sz w:val="24"/>
          <w:szCs w:val="24"/>
          <w:highlight w:val="none"/>
        </w:rPr>
      </w:pPr>
      <w:bookmarkStart w:id="22" w:name="_Toc15760"/>
      <w:bookmarkStart w:id="23" w:name="_Toc347478686"/>
      <w:r>
        <w:rPr>
          <w:rFonts w:hint="eastAsia" w:ascii="宋体" w:hAnsi="宋体" w:eastAsia="宋体" w:cs="宋体"/>
          <w:sz w:val="24"/>
          <w:szCs w:val="24"/>
          <w:highlight w:val="none"/>
        </w:rPr>
        <w:t>除在招标文件的技术规格中另有规定外，计量单位应使用中华人民共和国法定计量单位。</w:t>
      </w:r>
    </w:p>
    <w:p>
      <w:pPr>
        <w:spacing w:line="460" w:lineRule="exact"/>
        <w:rPr>
          <w:rFonts w:ascii="宋体" w:hAnsi="宋体" w:eastAsia="宋体" w:cs="宋体"/>
          <w:b/>
          <w:bCs/>
          <w:sz w:val="24"/>
          <w:szCs w:val="24"/>
          <w:highlight w:val="none"/>
        </w:rPr>
      </w:pPr>
      <w:bookmarkStart w:id="24" w:name="_Toc27150"/>
      <w:r>
        <w:rPr>
          <w:rFonts w:hint="eastAsia" w:ascii="宋体" w:hAnsi="宋体" w:eastAsia="宋体" w:cs="宋体"/>
          <w:b/>
          <w:bCs/>
          <w:sz w:val="24"/>
          <w:szCs w:val="24"/>
          <w:highlight w:val="none"/>
        </w:rPr>
        <w:t>10.投标文件的组成</w:t>
      </w:r>
      <w:bookmarkEnd w:id="22"/>
      <w:bookmarkEnd w:id="23"/>
      <w:bookmarkEnd w:id="24"/>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10.1供应商编写的投标文件应包括下列部分：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10.1.1投标函、开标一览表、分项报价表等投标文件要求的所有内容；</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10.1.2按照供应商须知要求出具的供应商资格证明文件；</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10.1.3按照供应商须知要求出具的投标货物和服务符合招标文件规定的证明文件及供应商认为需加以说明的其他内容；</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10.1.4招标文件要求供应商提供的其他内容。</w:t>
      </w:r>
    </w:p>
    <w:p>
      <w:pPr>
        <w:spacing w:line="460" w:lineRule="exact"/>
        <w:rPr>
          <w:rFonts w:ascii="宋体" w:hAnsi="宋体" w:eastAsia="宋体" w:cs="宋体"/>
          <w:b/>
          <w:bCs/>
          <w:sz w:val="24"/>
          <w:szCs w:val="24"/>
          <w:highlight w:val="none"/>
        </w:rPr>
      </w:pPr>
      <w:bookmarkStart w:id="25" w:name="_Toc6896"/>
      <w:bookmarkStart w:id="26" w:name="_Toc3253"/>
      <w:bookmarkStart w:id="27" w:name="_Toc347478687"/>
      <w:r>
        <w:rPr>
          <w:rFonts w:hint="eastAsia" w:ascii="宋体" w:hAnsi="宋体" w:eastAsia="宋体" w:cs="宋体"/>
          <w:b/>
          <w:bCs/>
          <w:sz w:val="24"/>
          <w:szCs w:val="24"/>
          <w:highlight w:val="none"/>
        </w:rPr>
        <w:t>11.投标文件格式</w:t>
      </w:r>
      <w:bookmarkEnd w:id="25"/>
      <w:bookmarkEnd w:id="26"/>
      <w:bookmarkEnd w:id="27"/>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供应商应按招标文件中提供的投标文件格式填写“投标函”、“开标一览表”、“商务偏离表”以及其他相关文件等。</w:t>
      </w:r>
    </w:p>
    <w:p>
      <w:pPr>
        <w:spacing w:line="460" w:lineRule="exact"/>
        <w:rPr>
          <w:rFonts w:ascii="宋体" w:hAnsi="宋体" w:eastAsia="宋体" w:cs="宋体"/>
          <w:b/>
          <w:bCs/>
          <w:sz w:val="24"/>
          <w:szCs w:val="24"/>
          <w:highlight w:val="none"/>
        </w:rPr>
      </w:pPr>
      <w:bookmarkStart w:id="28" w:name="_Toc4765"/>
      <w:bookmarkStart w:id="29" w:name="_Toc22581"/>
      <w:bookmarkStart w:id="30" w:name="_Toc347478688"/>
      <w:r>
        <w:rPr>
          <w:rFonts w:hint="eastAsia" w:ascii="宋体" w:hAnsi="宋体" w:eastAsia="宋体" w:cs="宋体"/>
          <w:b/>
          <w:bCs/>
          <w:sz w:val="24"/>
          <w:szCs w:val="24"/>
          <w:highlight w:val="none"/>
        </w:rPr>
        <w:t>12.报价</w:t>
      </w:r>
      <w:bookmarkEnd w:id="28"/>
      <w:bookmarkEnd w:id="29"/>
      <w:bookmarkEnd w:id="30"/>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12.1供应商应对此项目所列的所有内容进行报价，不得将其中所列内容拆开报价；</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12.1.1供应商所报投标报价包含项目完成所含的一切费用；</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12.2凡本招标文件要求（或允许）及供应商认为需要进行报价的各项费用项目（不论是否要求进入报价），若报价时未报或未在“开标一览表”中予以说明，采购人将认为这些费用供应商已计取，并包含在总报价中（项目采购内容、项目数量调整除外）。</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12.3采购人只接受供应商提供的唯一投标方案，不接受备选方案。</w:t>
      </w:r>
    </w:p>
    <w:p>
      <w:pPr>
        <w:spacing w:line="460" w:lineRule="exact"/>
        <w:rPr>
          <w:rFonts w:ascii="宋体" w:hAnsi="宋体" w:eastAsia="宋体" w:cs="宋体"/>
          <w:b/>
          <w:bCs/>
          <w:sz w:val="24"/>
          <w:szCs w:val="24"/>
          <w:highlight w:val="none"/>
        </w:rPr>
      </w:pPr>
      <w:bookmarkStart w:id="31" w:name="_Toc347478689"/>
      <w:bookmarkStart w:id="32" w:name="_Toc30786"/>
      <w:bookmarkStart w:id="33" w:name="_Toc30437"/>
      <w:r>
        <w:rPr>
          <w:rFonts w:hint="eastAsia" w:ascii="宋体" w:hAnsi="宋体" w:eastAsia="宋体" w:cs="宋体"/>
          <w:b/>
          <w:bCs/>
          <w:sz w:val="24"/>
          <w:szCs w:val="24"/>
          <w:highlight w:val="none"/>
        </w:rPr>
        <w:t>13.投标货币</w:t>
      </w:r>
      <w:bookmarkEnd w:id="31"/>
      <w:bookmarkEnd w:id="32"/>
      <w:bookmarkEnd w:id="33"/>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采购人只接受人民币作为唯一投标货币。</w:t>
      </w:r>
    </w:p>
    <w:p>
      <w:pPr>
        <w:spacing w:line="460" w:lineRule="exact"/>
        <w:rPr>
          <w:rFonts w:ascii="宋体" w:hAnsi="宋体" w:eastAsia="宋体" w:cs="宋体"/>
          <w:b/>
          <w:bCs/>
          <w:sz w:val="24"/>
          <w:szCs w:val="24"/>
          <w:highlight w:val="none"/>
        </w:rPr>
      </w:pPr>
      <w:bookmarkStart w:id="34" w:name="_Toc24171"/>
      <w:bookmarkStart w:id="35" w:name="_Toc21322"/>
      <w:bookmarkStart w:id="36" w:name="_Toc347478690"/>
      <w:r>
        <w:rPr>
          <w:rFonts w:hint="eastAsia" w:ascii="宋体" w:hAnsi="宋体" w:eastAsia="宋体" w:cs="宋体"/>
          <w:b/>
          <w:bCs/>
          <w:sz w:val="24"/>
          <w:szCs w:val="24"/>
          <w:highlight w:val="none"/>
        </w:rPr>
        <w:t>14.供应商资格证明文件</w:t>
      </w:r>
      <w:bookmarkEnd w:id="34"/>
      <w:bookmarkEnd w:id="35"/>
      <w:bookmarkEnd w:id="36"/>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14.1供应商必须按供应商资质要求提交证明文件，以证明其有资格参加投标和入选后有履行合同的能力，并作为其投标文件的一部分。</w:t>
      </w:r>
    </w:p>
    <w:p>
      <w:pPr>
        <w:spacing w:line="460" w:lineRule="exact"/>
        <w:rPr>
          <w:rFonts w:ascii="宋体" w:hAnsi="宋体" w:eastAsia="宋体" w:cs="宋体"/>
          <w:b/>
          <w:bCs/>
          <w:sz w:val="24"/>
          <w:szCs w:val="24"/>
          <w:highlight w:val="none"/>
        </w:rPr>
      </w:pPr>
      <w:bookmarkStart w:id="37" w:name="_Toc8428"/>
      <w:bookmarkStart w:id="38" w:name="_Toc12057"/>
      <w:bookmarkStart w:id="39" w:name="_Toc347478691"/>
      <w:r>
        <w:rPr>
          <w:rFonts w:hint="eastAsia" w:ascii="宋体" w:hAnsi="宋体" w:eastAsia="宋体" w:cs="宋体"/>
          <w:b/>
          <w:bCs/>
          <w:sz w:val="24"/>
          <w:szCs w:val="24"/>
          <w:highlight w:val="none"/>
        </w:rPr>
        <w:t>15.符合招标文件规定的文件</w:t>
      </w:r>
      <w:bookmarkEnd w:id="37"/>
      <w:bookmarkEnd w:id="38"/>
      <w:bookmarkEnd w:id="39"/>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15.1提交文件可以是文字资料也可以是图纸、图片等资料，须提供：</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15.1.1服务相关的证明及技术资料；</w:t>
      </w:r>
    </w:p>
    <w:p>
      <w:pPr>
        <w:spacing w:line="460" w:lineRule="exact"/>
        <w:rPr>
          <w:rFonts w:ascii="宋体" w:hAnsi="宋体" w:eastAsia="宋体" w:cs="宋体"/>
          <w:b/>
          <w:bCs/>
          <w:sz w:val="24"/>
          <w:szCs w:val="24"/>
          <w:highlight w:val="none"/>
        </w:rPr>
      </w:pPr>
      <w:bookmarkStart w:id="40" w:name="_Toc6719"/>
      <w:bookmarkStart w:id="41" w:name="_Toc347478692"/>
      <w:bookmarkStart w:id="42" w:name="_Toc11015"/>
      <w:r>
        <w:rPr>
          <w:rFonts w:hint="eastAsia" w:ascii="宋体" w:hAnsi="宋体" w:eastAsia="宋体" w:cs="宋体"/>
          <w:b/>
          <w:bCs/>
          <w:sz w:val="24"/>
          <w:szCs w:val="24"/>
          <w:highlight w:val="none"/>
        </w:rPr>
        <w:t>16.投标保证金</w:t>
      </w:r>
      <w:bookmarkEnd w:id="40"/>
      <w:bookmarkEnd w:id="41"/>
      <w:bookmarkEnd w:id="42"/>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16.1投标保证金递交时间详见供应商须知前附表；</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16.2未中标供应商的投标保证金将于中标通知书发出后五个工作日内予以退还；</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16.3中标供应商的投标保证金，在中标供应商与采购人签订采购合同后5个工作日内退还；</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16.4如发生下列情况之一时，投标保证金将被没收：</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16.4.1供应商在投标截止至投标有效期满之前撤回投标文件；</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16.4.2中标供应商放弃中标的；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16.4.3不按规定提交履约保证金的；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16.4.4中标供应商拒绝签订合同协议；</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16.4.5投标人采用不正当的手段骗取中标；</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16.4.6中标供应商不按本须知规定交纳代理服务费。</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16.5投标保证金用于保护采购人及采购代理机构免受因供应商行为而蒙受的损失，采购人有权拒绝接受未按规定提交投标保证金的投标。</w:t>
      </w:r>
    </w:p>
    <w:p>
      <w:pPr>
        <w:spacing w:line="460" w:lineRule="exact"/>
        <w:rPr>
          <w:rFonts w:ascii="宋体" w:hAnsi="宋体" w:eastAsia="宋体" w:cs="宋体"/>
          <w:b/>
          <w:bCs/>
          <w:sz w:val="24"/>
          <w:szCs w:val="24"/>
          <w:highlight w:val="none"/>
        </w:rPr>
      </w:pPr>
      <w:bookmarkStart w:id="43" w:name="_Toc8550"/>
      <w:bookmarkStart w:id="44" w:name="_Toc347478693"/>
      <w:bookmarkStart w:id="45" w:name="_Toc19751"/>
      <w:r>
        <w:rPr>
          <w:rFonts w:hint="eastAsia" w:ascii="宋体" w:hAnsi="宋体" w:eastAsia="宋体" w:cs="宋体"/>
          <w:b/>
          <w:bCs/>
          <w:sz w:val="24"/>
          <w:szCs w:val="24"/>
          <w:highlight w:val="none"/>
        </w:rPr>
        <w:t>17.投标有效期</w:t>
      </w:r>
      <w:bookmarkEnd w:id="43"/>
      <w:bookmarkEnd w:id="44"/>
      <w:bookmarkEnd w:id="45"/>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17.1投标文件从投标之日起，投标有效期为90天。投标文件的有效期比本须知规定的有效期短的，将被视为非响应投标，采购人有权拒绝；</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17.2特殊情况下，采购人可于投标有效期满之前要求供应商同意延长有效期，要求与答复均应为书面形式。供应商可以拒绝上述要求，其投标保证金不被没收。对于同意该要求的供应商，既不要求也不允许其修改投标文件，但将要求其相应延长投标保证金的有效期，有关退还和没收投标保证金的规定在投标有效期的延长期内继续有效。</w:t>
      </w:r>
    </w:p>
    <w:p>
      <w:pPr>
        <w:spacing w:line="460" w:lineRule="exact"/>
        <w:rPr>
          <w:rFonts w:ascii="宋体" w:hAnsi="宋体" w:eastAsia="宋体" w:cs="宋体"/>
          <w:b/>
          <w:bCs/>
          <w:sz w:val="24"/>
          <w:szCs w:val="24"/>
          <w:highlight w:val="none"/>
        </w:rPr>
      </w:pPr>
      <w:bookmarkStart w:id="46" w:name="_Toc30501"/>
      <w:bookmarkStart w:id="47" w:name="_Toc29588"/>
      <w:bookmarkStart w:id="48" w:name="_Toc347478694"/>
      <w:r>
        <w:rPr>
          <w:rFonts w:hint="eastAsia" w:ascii="宋体" w:hAnsi="宋体" w:eastAsia="宋体" w:cs="宋体"/>
          <w:b/>
          <w:bCs/>
          <w:sz w:val="24"/>
          <w:szCs w:val="24"/>
          <w:highlight w:val="none"/>
        </w:rPr>
        <w:t>18.投标文件的签署及格式</w:t>
      </w:r>
      <w:bookmarkEnd w:id="46"/>
      <w:bookmarkEnd w:id="47"/>
      <w:bookmarkEnd w:id="48"/>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18.1投标文件的正本和所有副本均须打印或用不褪色蓝（黑）墨水（汁）书写，必须编写页码和目录，统一装订、标码。投标文件中，每一页均应由供应商加盖公章，不允许用骑缝章代替逐页盖章，其中规定格式的文件应当按要求签名和加盖供应商公章。一旦正本和副本有差异，以正本为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18.2除供应商对错处作必要修改外，投标文件中不许有加行、涂抹或改写；若有修改须由授权代表或法定代表人在修改处签字；</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18.3采购人拒绝接受以电报、电话、传真、电子邮件形式的投标。</w:t>
      </w:r>
    </w:p>
    <w:p>
      <w:pPr>
        <w:spacing w:line="46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四、投标文件的递交</w:t>
      </w:r>
    </w:p>
    <w:p>
      <w:pPr>
        <w:spacing w:line="460" w:lineRule="exact"/>
        <w:rPr>
          <w:rFonts w:ascii="宋体" w:hAnsi="宋体" w:eastAsia="宋体" w:cs="宋体"/>
          <w:b/>
          <w:bCs/>
          <w:sz w:val="24"/>
          <w:szCs w:val="24"/>
          <w:highlight w:val="none"/>
        </w:rPr>
      </w:pPr>
      <w:bookmarkStart w:id="49" w:name="_Toc13582"/>
      <w:bookmarkStart w:id="50" w:name="_Toc29116"/>
      <w:bookmarkStart w:id="51" w:name="_Toc347478696"/>
      <w:r>
        <w:rPr>
          <w:rFonts w:hint="eastAsia" w:ascii="宋体" w:hAnsi="宋体" w:eastAsia="宋体" w:cs="宋体"/>
          <w:b/>
          <w:bCs/>
          <w:sz w:val="24"/>
          <w:szCs w:val="24"/>
          <w:highlight w:val="none"/>
        </w:rPr>
        <w:t>19.投标文件的份数、包装和标记</w:t>
      </w:r>
      <w:bookmarkEnd w:id="49"/>
      <w:bookmarkEnd w:id="50"/>
      <w:bookmarkEnd w:id="51"/>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19.1投标文件份数见供应商须知前附表；</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19.1.1供应商应将所有投标文件的正本和所有副本分别装订，每套“投标文件”封面的应标明“正本”或“副本”。一旦正本与副本不符，以正本为主；</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19.2供应商应将投标文件正本一份、副本三份分别密封，电子版一份（U盘），放于正本中，同正本一起密封；</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19.2.1投标文件正本、副本应分别用投标文件袋密封，并在正面标明采购项目编号、采购项目名称、供应商名称及“正本”、“副本”字样。为方便开标唱标，供应商应将</w:t>
      </w:r>
      <w:r>
        <w:rPr>
          <w:rFonts w:hint="eastAsia" w:ascii="宋体" w:hAnsi="宋体" w:eastAsia="宋体" w:cs="宋体"/>
          <w:b/>
          <w:bCs/>
          <w:sz w:val="24"/>
          <w:szCs w:val="24"/>
          <w:highlight w:val="none"/>
        </w:rPr>
        <w:t>开标一览表单独密封</w:t>
      </w:r>
      <w:r>
        <w:rPr>
          <w:rFonts w:hint="eastAsia" w:ascii="宋体" w:hAnsi="宋体" w:eastAsia="宋体" w:cs="宋体"/>
          <w:sz w:val="24"/>
          <w:szCs w:val="24"/>
          <w:highlight w:val="none"/>
        </w:rPr>
        <w:t>提交，并在密封袋上标明“开标一览表”字样；</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19.2.2投标文件密封必须用封条在投标文件袋的上方开口处密封，并填写密封日期。封条上加盖供应商公章和法定代表人或其授权人签字或印鉴，投标文件袋正面按照规定加盖供应商公章。</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19.3如果未按上述规定进行密封和标记，采购人有权拒绝供应商的投标文件。</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供应商出现以下情况，采购人（代理机构）将拒收其递交的响应文件。</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（1）逾期送达响应文件的。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（2）未按招标文件要求密封投标文件的。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（3）未按规定交纳保证金的。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（4）供应商出席开标会议时，法定代表人不能出具法人代表证明材料的或授权代表不能出具授权委托书原件的。</w:t>
      </w:r>
    </w:p>
    <w:p>
      <w:pPr>
        <w:spacing w:line="460" w:lineRule="exact"/>
        <w:rPr>
          <w:rFonts w:ascii="宋体" w:hAnsi="宋体" w:eastAsia="宋体" w:cs="宋体"/>
          <w:b/>
          <w:bCs/>
          <w:sz w:val="24"/>
          <w:szCs w:val="24"/>
          <w:highlight w:val="none"/>
        </w:rPr>
      </w:pPr>
      <w:bookmarkStart w:id="52" w:name="_Toc26669"/>
      <w:bookmarkStart w:id="53" w:name="_Toc4991"/>
      <w:bookmarkStart w:id="54" w:name="_Toc347478697"/>
      <w:r>
        <w:rPr>
          <w:rFonts w:hint="eastAsia" w:ascii="宋体" w:hAnsi="宋体" w:eastAsia="宋体" w:cs="宋体"/>
          <w:b/>
          <w:bCs/>
          <w:sz w:val="24"/>
          <w:szCs w:val="24"/>
          <w:highlight w:val="none"/>
        </w:rPr>
        <w:t>20.投标截止时间</w:t>
      </w:r>
      <w:bookmarkEnd w:id="52"/>
      <w:bookmarkEnd w:id="53"/>
      <w:bookmarkEnd w:id="54"/>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20.1所有投标文件都必须按招标文件中规定的统一递交投标文件时间送达招标文件规定的递交地址；</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20.2出现第7.3款因招标文件的修改推迟投标截止日期时，则按采购人修改通知规定的时间递交；</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20.3采购人将拒绝接收在投标文件递交时间之后收到的任何投标文件。</w:t>
      </w:r>
    </w:p>
    <w:p>
      <w:pPr>
        <w:spacing w:line="46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五、开标及评审</w:t>
      </w:r>
    </w:p>
    <w:p>
      <w:pPr>
        <w:spacing w:line="460" w:lineRule="exact"/>
        <w:rPr>
          <w:rFonts w:ascii="宋体" w:hAnsi="宋体" w:eastAsia="宋体" w:cs="宋体"/>
          <w:b/>
          <w:bCs/>
          <w:sz w:val="24"/>
          <w:szCs w:val="24"/>
          <w:highlight w:val="none"/>
        </w:rPr>
      </w:pPr>
      <w:bookmarkStart w:id="55" w:name="_Toc347478699"/>
      <w:bookmarkStart w:id="56" w:name="_Toc6303"/>
      <w:bookmarkStart w:id="57" w:name="_Toc22692"/>
      <w:r>
        <w:rPr>
          <w:rFonts w:hint="eastAsia" w:ascii="宋体" w:hAnsi="宋体" w:eastAsia="宋体" w:cs="宋体"/>
          <w:b/>
          <w:bCs/>
          <w:sz w:val="24"/>
          <w:szCs w:val="24"/>
          <w:highlight w:val="none"/>
        </w:rPr>
        <w:t>21.开标</w:t>
      </w:r>
      <w:bookmarkEnd w:id="55"/>
      <w:bookmarkEnd w:id="56"/>
      <w:bookmarkEnd w:id="57"/>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21.1采购代理机构按“供应商须知前附表”所规定的时间和地点公开开标，开标仪式由采购代理机构主持，供应商、采购人代表及有关工作人员参加；</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21.2开标程序：</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21.2.1开标由采购代理机构主持；</w:t>
      </w:r>
    </w:p>
    <w:p>
      <w:pPr>
        <w:spacing w:line="46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21.2.2投标供应商不足3家的，不得开标；</w:t>
      </w:r>
      <w:r>
        <w:rPr>
          <w:rFonts w:hint="eastAsia" w:ascii="宋体" w:hAnsi="宋体" w:eastAsia="宋体" w:cs="宋体"/>
          <w:sz w:val="24"/>
          <w:szCs w:val="24"/>
          <w:highlight w:val="none"/>
          <w:u w:val="single"/>
        </w:rPr>
        <w:t>投标供应商代表必须持本人身份证参加开标会，如投标供应商代表非法定代表人，还应持法定代表人授权书(该投标供应商代表与投标文件中的授权代表为同一人)，否则不接受其投标文件。</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21.2.3由供应商授权代表和监标人共同检查投标文件的密封情况；</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21.2.4经确认无误后，由采购代理机构工作人员当众拆封，宣布投标供应商名称、投标价格和招标文件规定的需要宣布的其他内容。</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21.2.5开标过程应当由采购人或者采购代理机构负责记录，由参加开标的各投标供应商代表和相关工作人员签字确认后随采购文件一并存档；</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21.2.6投标供应商未参加开标的，视同认可开标结果；</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21.3公开招标数额标准以上的采购项目，投标截止后投标供应商不足3家或者通过资格审查或符合性审查的投标供应商不足3家的，除采购任务取消情形外，按照以下方式处理：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21.3.1招标文件存在不合理条款或者招标程序不符合规定的，采购人、采购代理机构改正后依法重新招标；</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21.3.2招标文件没有不合理条款、招标程序符合规定，需要采用其他采购方式采购的，采购人应当依法报财政部门批准；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21.4公开招标采购项目开标结束后，采购人或者采购代理机构应当依法对投标供应商的资格进行审查。合格投标供应商不足3家的，不得评标。</w:t>
      </w:r>
    </w:p>
    <w:p>
      <w:pPr>
        <w:spacing w:line="460" w:lineRule="exact"/>
        <w:rPr>
          <w:rFonts w:ascii="宋体" w:hAnsi="宋体" w:eastAsia="宋体" w:cs="宋体"/>
          <w:b/>
          <w:bCs/>
          <w:sz w:val="24"/>
          <w:szCs w:val="24"/>
          <w:highlight w:val="none"/>
        </w:rPr>
      </w:pPr>
      <w:bookmarkStart w:id="58" w:name="_Toc8782"/>
      <w:bookmarkStart w:id="59" w:name="_Toc347478700"/>
      <w:bookmarkStart w:id="60" w:name="_Toc30943"/>
      <w:r>
        <w:rPr>
          <w:rFonts w:hint="eastAsia" w:ascii="宋体" w:hAnsi="宋体" w:eastAsia="宋体" w:cs="宋体"/>
          <w:b/>
          <w:bCs/>
          <w:sz w:val="24"/>
          <w:szCs w:val="24"/>
          <w:highlight w:val="none"/>
        </w:rPr>
        <w:t>22.评标委员会</w:t>
      </w:r>
      <w:bookmarkEnd w:id="58"/>
      <w:bookmarkEnd w:id="59"/>
      <w:r>
        <w:rPr>
          <w:rFonts w:hint="eastAsia" w:ascii="宋体" w:hAnsi="宋体" w:eastAsia="宋体" w:cs="宋体"/>
          <w:b/>
          <w:bCs/>
          <w:sz w:val="24"/>
          <w:szCs w:val="24"/>
          <w:highlight w:val="none"/>
        </w:rPr>
        <w:t>与评审</w:t>
      </w:r>
      <w:bookmarkEnd w:id="60"/>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22.1采购人和采购代理机构依法组建评标委员会。评标委员会由采购人和有关技术、经济专家组成，其中技术、经济专家人数不少于评标委员会总人数的2/3；</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22.2采购代理机构负责组织评标工作：</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22.2.1核对评审专家身份和采购人代表授权函，对评审专家在政府采购活动中的职责履行情况予以记录，并及时将有关违法违规行为向财政部门报告；</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22.2.2宣布评标纪律；</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22.2.3公布投标供应商名单，告知评审专家应当回避的情形；</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22.2.4组织评标委员会推选评标组长，采购人代表不得担任组长；</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22.2.5在评标期间采取必要的通讯管理措施，保证评标活动不受外界干扰；</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22.2.6维护评标秩序，监督评标委员会依照招标文件规定的评标程序、方法和标准进行独立评审，及时制止和纠正采购人代表、评审专家的倾向性言论或者违法违规行为；</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22.2.7核对评标结果，有《政府采购货物和服务招标投标管理办法》（财政部第87号令）第六十四条规定情形的，要求评标委员会复核或者书面说明理由，评标委员会拒绝的，应予记录并向本级财政部门报告；</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22.3评标委员会负责具体评标事务：</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22.3.1审查、评价投标文件是否符合招标文件的商务、技术等实质性要求；</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22.3.2要求投标供应商对投标文件有关事项作出澄清或者说明；</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22.3.3对投标文件进行比较和评价；</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22.3.4确定中标候选人名单，以及根据采购人委托直接确定中标人；</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22.4评标委员会按照以下程序进行评审，未通过上一程序审查的不能进入下一程序：</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22.4.1投标文件资格性审查；</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22.4.2投标文件符合性审查；</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22.4.3投标文件详细评审。</w:t>
      </w:r>
    </w:p>
    <w:p>
      <w:pPr>
        <w:spacing w:line="460" w:lineRule="exact"/>
        <w:rPr>
          <w:rFonts w:ascii="宋体" w:hAnsi="宋体" w:eastAsia="宋体" w:cs="宋体"/>
          <w:b/>
          <w:bCs/>
          <w:sz w:val="24"/>
          <w:szCs w:val="24"/>
          <w:highlight w:val="none"/>
        </w:rPr>
      </w:pPr>
      <w:bookmarkStart w:id="61" w:name="_Toc19509"/>
      <w:r>
        <w:rPr>
          <w:rFonts w:hint="eastAsia" w:ascii="宋体" w:hAnsi="宋体" w:eastAsia="宋体" w:cs="宋体"/>
          <w:b/>
          <w:bCs/>
          <w:sz w:val="24"/>
          <w:szCs w:val="24"/>
          <w:highlight w:val="none"/>
        </w:rPr>
        <w:t>23.投标及投标文件的有效性</w:t>
      </w:r>
      <w:bookmarkEnd w:id="61"/>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经过对供应商及投标文件的资格性和符合性审查，出现下列情况者（但不限于），按无效投标处理：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23.1投标文件没有法定代表人授权书（法人直接投标除外）或授权书的合法性或有效性不符合招标文件规定；</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23.2供应商资质的有效性或符合性不符合要求的；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23.3供应商未按招标文件要求提供投标保证金的；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23.4投标文件的格式不符合招标文件要求、关键内容字迹模糊、无法辨认、前后矛盾的；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23.5投标文件未按招标文件规定有效签字和盖章的；由供应商授权代表签字的,但未随投标文件一起提交有效的“授权委托书”原件的；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23.6投标有效期不足的；</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sz w:val="24"/>
          <w:szCs w:val="24"/>
          <w:highlight w:val="none"/>
        </w:rPr>
        <w:t>23.7投标内容出现漏项或与要求不符，出现重大负偏差；</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23.8投标文件的合同主要条款响应与招标文件要求不一致（建设期、服务期、质保及售后服务等项），附加了采购人难以接受的条件；</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23.9规定不接受选择方案和选择报价（包括交叉折扣）的，供应商提供了选择方案和/或选择报价（包括交叉折扣）；</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23.10投标报价超过招标文件中规定的预算金额或者最高限价；</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23.11评标委员会认为投标供应商的报价明显低于其他通过符合性审查投标供应商的报价，有可能影响产品质量或者不能诚信履约的，可要求该供应商在规定期限内，提供必要的书面文件予以解释和说明并附带相关证明材料，证明其报价合理性的；否则，评标委员会认定该供应商以低于成本价竞价，其响应文件作无效投标文件处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23.11提供虚假资质，开具虚假证明，出现虚假应答；</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23.12供应商有违法违规行为的；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23.13其他法律法规规定的无效投标情形。</w:t>
      </w:r>
    </w:p>
    <w:p>
      <w:pPr>
        <w:spacing w:line="460" w:lineRule="exact"/>
        <w:rPr>
          <w:rFonts w:ascii="宋体" w:hAnsi="宋体" w:eastAsia="宋体" w:cs="宋体"/>
          <w:b/>
          <w:bCs/>
          <w:sz w:val="24"/>
          <w:szCs w:val="24"/>
          <w:highlight w:val="none"/>
        </w:rPr>
      </w:pPr>
      <w:bookmarkStart w:id="62" w:name="_Toc24612"/>
      <w:r>
        <w:rPr>
          <w:rFonts w:hint="eastAsia" w:ascii="宋体" w:hAnsi="宋体" w:eastAsia="宋体" w:cs="宋体"/>
          <w:b/>
          <w:bCs/>
          <w:sz w:val="24"/>
          <w:szCs w:val="24"/>
          <w:highlight w:val="none"/>
        </w:rPr>
        <w:t>24.对投标文件的审查和响应性的确定</w:t>
      </w:r>
      <w:bookmarkEnd w:id="62"/>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24.1评标委员会将组织审查投标文件是否完整，规定的技术方案是否提交，要求的投标保证金是否已有效提供，文件是否按招标文件规定签署。</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24.2评标委员会将确定每一投标供应商是否对招标文件的要求作出了实质性的响应，而没有重大偏离。实质性响应的投标是指投标符合招标文件的所有条款、条件和规定且没有重大偏离或保留。</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24.3评标委员会有权拒绝被确定为非实质性响应的投标，投标供应商不能通过修正或撤回不符合之处而使其投标成为实质性响应的投标。</w:t>
      </w:r>
    </w:p>
    <w:p>
      <w:pPr>
        <w:spacing w:line="460" w:lineRule="exact"/>
        <w:rPr>
          <w:rFonts w:ascii="宋体" w:hAnsi="宋体" w:eastAsia="宋体" w:cs="宋体"/>
          <w:b/>
          <w:bCs/>
          <w:sz w:val="24"/>
          <w:szCs w:val="24"/>
          <w:highlight w:val="none"/>
        </w:rPr>
      </w:pPr>
      <w:bookmarkStart w:id="63" w:name="_Toc31730"/>
      <w:r>
        <w:rPr>
          <w:rFonts w:hint="eastAsia" w:ascii="宋体" w:hAnsi="宋体" w:eastAsia="宋体" w:cs="宋体"/>
          <w:b/>
          <w:bCs/>
          <w:sz w:val="24"/>
          <w:szCs w:val="24"/>
          <w:highlight w:val="none"/>
        </w:rPr>
        <w:t>25.投标文件的澄清</w:t>
      </w:r>
      <w:bookmarkEnd w:id="63"/>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25.1对于投标文件中含义不明确、同类问题表述不一致或者有明显文字和计算错误的内容，评标委员会应当要求投标供应商作出必要的澄清、说明或者补正。</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25.2投标供应商的澄清、说明或者补正应当采用书面形式加盖公章，并由法定代表人或其授权的代表签字。投标供应商的澄清、说明或者补正不得超出投标文件的范围或者改变投标文件的实质性内容。</w:t>
      </w:r>
    </w:p>
    <w:p>
      <w:pPr>
        <w:spacing w:line="460" w:lineRule="exact"/>
        <w:rPr>
          <w:rFonts w:ascii="宋体" w:hAnsi="宋体" w:eastAsia="宋体" w:cs="宋体"/>
          <w:b/>
          <w:bCs/>
          <w:sz w:val="24"/>
          <w:szCs w:val="24"/>
          <w:highlight w:val="none"/>
        </w:rPr>
      </w:pPr>
      <w:bookmarkStart w:id="64" w:name="_Toc23910"/>
      <w:r>
        <w:rPr>
          <w:rFonts w:hint="eastAsia" w:ascii="宋体" w:hAnsi="宋体" w:eastAsia="宋体" w:cs="宋体"/>
          <w:b/>
          <w:bCs/>
          <w:sz w:val="24"/>
          <w:szCs w:val="24"/>
          <w:highlight w:val="none"/>
        </w:rPr>
        <w:t>26.投标文件的评估和比较</w:t>
      </w:r>
      <w:bookmarkEnd w:id="64"/>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26.1对所有实质性响应招标文件要求的投标文件，评标委员会将采用相同的程序和标准，遵循公平、公正、科学和择优的原则，按综合评分法进行评审，确定供应商的排名；</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26.2评标标准和方法详见本招标文件第四部分“评标办法”；</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26.3投标文件报价出现前后不一致的，除招标文件另有规定外，按照下列规定修正：</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26.3.1投标文件中开标一览表（报价表）内容与投标文件中相应内容不一致的，以开标一览表（报价表）为准；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26.3.2大写金额和小写金额不一致的，以大写金额为准；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26.3.3单价金额小数点或者百分比有明显错位的，以开标一览表的总价为准，并修改单价；</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26.3.4总价金额与按单价汇总金额不一致的，以单价金额计算结果为准。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26.3.5同时出现两种以上不一致的，按照上述规定的顺序修正。修正后的报价按照《政府采购货物和服务招标投标管理办法》（财政部第87号令）第五十一条第二款的规定经投标供应商确认后产生约束力，投标供应商不确认的，其投标无效。</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26.4评标结果按评审后得分由高到低顺序排列。得分相同的，按投标报价由低到高顺序排列。得分且投标报价相同的并列。投标文件满足招标文件全部实质性要求，且按照评审因素的量化指标评审得分最高的投标供应商为排名第一的中标候选人；</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26.4评标委员会根据全体评标成员签字的原始评标记录和评标结果编写评标报告。</w:t>
      </w:r>
    </w:p>
    <w:p>
      <w:pPr>
        <w:spacing w:line="460" w:lineRule="exact"/>
        <w:rPr>
          <w:rFonts w:ascii="宋体" w:hAnsi="宋体" w:eastAsia="宋体" w:cs="宋体"/>
          <w:b/>
          <w:bCs/>
          <w:sz w:val="24"/>
          <w:szCs w:val="24"/>
          <w:highlight w:val="none"/>
        </w:rPr>
      </w:pPr>
      <w:bookmarkStart w:id="65" w:name="_Toc10080"/>
      <w:r>
        <w:rPr>
          <w:rFonts w:hint="eastAsia" w:ascii="宋体" w:hAnsi="宋体" w:eastAsia="宋体" w:cs="宋体"/>
          <w:b/>
          <w:bCs/>
          <w:sz w:val="24"/>
          <w:szCs w:val="24"/>
          <w:highlight w:val="none"/>
        </w:rPr>
        <w:t>27.评标过程的保密</w:t>
      </w:r>
      <w:bookmarkEnd w:id="65"/>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27.1采购人、采购代理机构应当采取必要措施，保证评标在严格保密的情况下进行。除采购人代表、评标现场组织人员外，采购人的其他工作人员以及与评标工作无关的人员不得进入评标现场。</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27.2开标后直至授予中标供应商合同为止，评标委员会成员和与评标工作有关的工作人员不得透露对投标文件的评审和比较、中标候选人的推荐情况以及与评标有关的其他情况；</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27.3在投标文件的评审和比较、中标候选人推荐以及授予合同的过程中，供应商向采购人、采购代理机构和评标委员会施加影响的任何行为，都将会导致其投标被拒绝；</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27.4中标供应商确定后，采购人不对未中标供应商就评标过程以及未能中标原因作出任何解释。未中标供应商不得向评标委员会组成人员或其他有关人员询问评审过程的情况。</w:t>
      </w:r>
    </w:p>
    <w:p>
      <w:pPr>
        <w:spacing w:line="460" w:lineRule="exact"/>
        <w:rPr>
          <w:rFonts w:ascii="宋体" w:hAnsi="宋体" w:eastAsia="宋体" w:cs="宋体"/>
          <w:sz w:val="24"/>
          <w:szCs w:val="24"/>
          <w:highlight w:val="none"/>
        </w:rPr>
      </w:pPr>
      <w:r>
        <w:rPr>
          <w:rFonts w:hint="eastAsia" w:ascii="宋体" w:hAnsi="宋体" w:eastAsia="宋体" w:cs="宋体"/>
          <w:b/>
          <w:bCs/>
          <w:sz w:val="24"/>
          <w:szCs w:val="24"/>
          <w:highlight w:val="none"/>
        </w:rPr>
        <w:t>五、中标及合同授予</w:t>
      </w:r>
    </w:p>
    <w:p>
      <w:pPr>
        <w:spacing w:line="460" w:lineRule="exact"/>
        <w:rPr>
          <w:rFonts w:ascii="宋体" w:hAnsi="宋体" w:eastAsia="宋体" w:cs="宋体"/>
          <w:b/>
          <w:bCs/>
          <w:sz w:val="24"/>
          <w:szCs w:val="24"/>
          <w:highlight w:val="none"/>
        </w:rPr>
      </w:pPr>
      <w:bookmarkStart w:id="66" w:name="_Toc389620200"/>
      <w:bookmarkStart w:id="67" w:name="_Toc347478704"/>
      <w:bookmarkStart w:id="68" w:name="_Toc12161"/>
      <w:bookmarkStart w:id="69" w:name="_Toc20655"/>
      <w:bookmarkStart w:id="70" w:name="_Toc385992361"/>
      <w:r>
        <w:rPr>
          <w:rFonts w:hint="eastAsia" w:ascii="宋体" w:hAnsi="宋体" w:eastAsia="宋体" w:cs="宋体"/>
          <w:b/>
          <w:bCs/>
          <w:sz w:val="24"/>
          <w:szCs w:val="24"/>
          <w:highlight w:val="none"/>
        </w:rPr>
        <w:t>28.中标准则</w:t>
      </w:r>
      <w:bookmarkEnd w:id="66"/>
      <w:bookmarkEnd w:id="67"/>
      <w:bookmarkEnd w:id="68"/>
      <w:bookmarkEnd w:id="69"/>
      <w:bookmarkEnd w:id="70"/>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28.1采购人可以委托评标委员会直接确定排名第一的供应商为中标人；采购人未委托的，采购代理机构应当在评标结束后2个工作日内将评标报告送采购人。采购人应当自收到评标报告之日起５个工作日内，在评标报告确定的中标候选人名单中按顺序确定中标人。</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28.2排名第一的中标候选人放弃中标、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中标供应商，依次确定其他中标候选人与采购人预期差距较大，或者对采购人明显不利的，采购人可以重新招标；</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28.3本项目不保证最低价中标</w:t>
      </w:r>
      <w:bookmarkStart w:id="71" w:name="_Toc389620201"/>
      <w:bookmarkStart w:id="72" w:name="_Toc385992362"/>
      <w:r>
        <w:rPr>
          <w:rFonts w:hint="eastAsia" w:ascii="宋体" w:hAnsi="宋体" w:eastAsia="宋体" w:cs="宋体"/>
          <w:sz w:val="24"/>
          <w:szCs w:val="24"/>
          <w:highlight w:val="none"/>
        </w:rPr>
        <w:t>；</w:t>
      </w:r>
      <w:r>
        <w:rPr>
          <w:rFonts w:hint="eastAsia" w:ascii="宋体" w:hAnsi="宋体" w:eastAsia="宋体" w:cs="宋体"/>
          <w:sz w:val="24"/>
          <w:szCs w:val="24"/>
          <w:highlight w:val="none"/>
        </w:rPr>
        <w:tab/>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28.4采购代理机构自中标人确定之日起2个工作日内，在省级以上财政部门指定的媒体上公告中标结果，同时，发出中标通知书。中标公告期限为1个工作日；</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28.4中标通知书发出30天内，中标供应商不能按投标文件，包括补充文件（如澄清、承诺等）中承诺的条件履行签约行为，采购人有权废标，并扣除其投标保证金。</w:t>
      </w:r>
      <w:bookmarkEnd w:id="71"/>
      <w:bookmarkEnd w:id="72"/>
    </w:p>
    <w:p>
      <w:pPr>
        <w:spacing w:line="460" w:lineRule="exact"/>
        <w:rPr>
          <w:rFonts w:ascii="宋体" w:hAnsi="宋体" w:eastAsia="宋体" w:cs="宋体"/>
          <w:b/>
          <w:bCs/>
          <w:sz w:val="24"/>
          <w:szCs w:val="24"/>
          <w:highlight w:val="none"/>
        </w:rPr>
      </w:pPr>
      <w:bookmarkStart w:id="73" w:name="_Toc347478705"/>
      <w:bookmarkStart w:id="74" w:name="_Toc27317"/>
      <w:bookmarkStart w:id="75" w:name="_Toc889"/>
      <w:r>
        <w:rPr>
          <w:rFonts w:hint="eastAsia" w:ascii="宋体" w:hAnsi="宋体" w:eastAsia="宋体" w:cs="宋体"/>
          <w:b/>
          <w:bCs/>
          <w:sz w:val="24"/>
          <w:szCs w:val="24"/>
          <w:highlight w:val="none"/>
        </w:rPr>
        <w:t>29.中标通知</w:t>
      </w:r>
      <w:bookmarkEnd w:id="73"/>
      <w:bookmarkEnd w:id="74"/>
      <w:bookmarkEnd w:id="75"/>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29.1采购代理机构向中标供应商发出中标通知书，其他供应商的投标保证金，将按16.2条款规定退还；</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29.2中标通知书作为签订合同的依据，并成为合同的一个组成部分。</w:t>
      </w:r>
    </w:p>
    <w:p>
      <w:pPr>
        <w:spacing w:line="460" w:lineRule="exact"/>
        <w:rPr>
          <w:rFonts w:ascii="宋体" w:hAnsi="宋体" w:eastAsia="宋体" w:cs="宋体"/>
          <w:b/>
          <w:bCs/>
          <w:sz w:val="24"/>
          <w:szCs w:val="24"/>
          <w:highlight w:val="none"/>
        </w:rPr>
      </w:pPr>
      <w:bookmarkStart w:id="76" w:name="_Toc347478706"/>
      <w:bookmarkStart w:id="77" w:name="_Toc25890"/>
      <w:bookmarkStart w:id="78" w:name="_Toc7982"/>
      <w:bookmarkStart w:id="79" w:name="_Toc389620205"/>
      <w:bookmarkStart w:id="80" w:name="_Toc385992366"/>
      <w:r>
        <w:rPr>
          <w:rFonts w:hint="eastAsia" w:ascii="宋体" w:hAnsi="宋体" w:eastAsia="宋体" w:cs="宋体"/>
          <w:b/>
          <w:bCs/>
          <w:sz w:val="24"/>
          <w:szCs w:val="24"/>
          <w:highlight w:val="none"/>
        </w:rPr>
        <w:t>30.签订合同</w:t>
      </w:r>
      <w:bookmarkEnd w:id="76"/>
      <w:bookmarkEnd w:id="77"/>
      <w:bookmarkEnd w:id="78"/>
      <w:bookmarkEnd w:id="79"/>
      <w:bookmarkEnd w:id="80"/>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30.1中标供应商应在规定时间内与采购人签订合同，否则按违约处理，其投标保证金不予退还。</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30.2招标文件、中标供应商的投标文件和补充文件（如澄清、承诺等）等，均为有法律约束力的合同组成部分。</w:t>
      </w:r>
      <w:bookmarkStart w:id="81" w:name="_Toc11154"/>
      <w:bookmarkEnd w:id="81"/>
    </w:p>
    <w:p>
      <w:pPr>
        <w:spacing w:line="46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六、落实政府采购政策</w:t>
      </w:r>
    </w:p>
    <w:p>
      <w:pPr>
        <w:pStyle w:val="2"/>
        <w:spacing w:line="460" w:lineRule="exact"/>
        <w:rPr>
          <w:rFonts w:ascii="宋体" w:hAnsi="宋体" w:eastAsia="宋体" w:cs="宋体"/>
          <w:b/>
          <w:bCs/>
          <w:szCs w:val="24"/>
          <w:highlight w:val="none"/>
        </w:rPr>
      </w:pPr>
      <w:r>
        <w:rPr>
          <w:rFonts w:hint="eastAsia" w:ascii="宋体" w:hAnsi="宋体" w:eastAsia="宋体" w:cs="宋体"/>
          <w:b/>
          <w:bCs/>
          <w:szCs w:val="24"/>
          <w:highlight w:val="none"/>
        </w:rPr>
        <w:t>31.落实政府采购政策</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31.1 根据《政府采购促进中小企业发展管理办法》（财库〔2020〕46 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货物和服务项目对小型和微型企业产品的价格给予10%-20%的价格扣除，用扣除后的价格参与评审。</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在货物采购项目中，供应商提供的货物既有小微企业制造货物，也有大型、中型企业制造货物的，不享受政府采购价格扣除优惠政策。</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4%-6%的扣除，用扣除后的价格参与评审。联合体各方均为小型、微型企业的，联合体视同为小型、微型企业。组成联合体或者接受分包的小微企业与联合体内其他企业、分包企业之间存在直接控股、管理关系的，不享受价格扣除优惠政策。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参加政府采购活动的中小企业应提供《中小企业声明函》原件。未提供上述声明函原件的，不能享受招标文件规定的价格扣除，但不影响投标文件的有效性。实际价格扣除比例以本章组织评标中的约定为准。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31.2 监狱企业应符合《财政部司法部关于政府采购支持监狱企业发展有关问题的通知》（财库〔2014〕68号）文件规定，并提供由省级以上监狱管理局、戒毒管理局(含新疆生产建设兵团)出具的属于监狱企业的证明文件。未提相关属于监狱企业的证明文件的，不能享受招标文件规定的价格扣除，但不影响投标文件的有效性。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在政府采购活动中，监狱企业视同小型、微型企业，享受预留份额、评审中价格扣除等政府采购促进中小企业发展的政府采购政策。向监狱企业采购的金额，计入面向中小企业采购的统计数据。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31.3 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参加政府采购活动的残疾人单位应提供《残疾人福利性单位声明函》原件。未提供上述声明函原件，不能享受招标文件规定的价格扣除，但不影响投标文件的有效性。</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31.4 根据国务院办公厅《关于建立政府强制采购节能产品制度的通知》（国办发〔2007〕51号）的有关规定，采购人需购买的产品属于政府强制采购节能产品范围应当在清单之内采购。节能清单中无对应细化分类且节能清单中的产品确实无法满足工作需要的，允许在节能清单之外采购。</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31.5 根据财政部、国家发展改革委《关于印发〈节能产品政府采购实施意见〉的通知》（财库〔2004〕185号）规定“政府采购属于节能产品品目清单的，在技术、服务等指标同等条件下，应当优先采购节能品目清单的节能产品。”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31.6 根据财政部、国家环保总局联合印发《关于环境标志产品政府采购实施的意见》（财库〔2006〕90号）规定“采购人采购的产品属于环境标志产品政府采购清单中品目的，在性能、技术、服务等指标同等条件下，应当优先采购清单中的产品”。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31.7 根据财政部、国家发改委、生态环境部、市场监管总局联合印发《关于调整优化节能产品、环境标志产品政府采购执行机制的通知》（财库〔2019〕9 号）的有关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31.8 根据财政部农业农村部国家乡村振兴局《关于运用政府采购政策支持乡村产业振兴的通知》（财库〔2021〕19号）的有关规定，自2021年起，各级预算单位应当按照不低于10%的比例预留年度食堂食材采购份额，通过脱贫地区农副产品网络销售平台（原贫困地区农副产品网络销售平台）采购脱贫地区农副产品。脱贫地区农副产品是指在832个脱贫县域内注册的企业、农民专业合作社、家庭农场等出产的农副产品。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31.9 根据财政部农业农村部国家乡村振兴局中华全国供销合作总社《关于印发&lt;关于深入开展政府采购脱贫地区农副产品工作推进乡村产业振兴的实施意见&gt;的通知》（财库〔2021〕20号）的有关规定，各级预算单位要按照不低于10%的预留比例在“832平台”填报预留份额。鼓励各级预算单位工会组织通过“832平台”采购工会福利、慰问品等，有关采购金额计入本单位年度采购总额。</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31.10 根据陕西省财政厅关于印发《陕西省中小企业政府采购信用融资办法》（陕财办采〔2018〕23号）的有关规定，银行为参与政府采购融资的中小企业提供的产品，应以信用贷款为主，贷款利率应当优于一般中小企业的贷款利率水平，并将产品信息（包 括贷款发放条件、利率优惠、贷款金额）等在陕西政府采购网予以展示。</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31.11 根据陕西省财政厅《关于加快推进我省中小企业政府采购信用融资工作的通知》（陕财办采〔2020〕15 号）的规定，有融资需求的供应商可根据自身情况，在陕西省政府采购信用融资平台（含各市分平台）自主选择金融机构及其融资产品，凭政府采购中标（成交）通知书或政府采购合同向金融机构提出融资申请。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zh-CN"/>
        </w:rPr>
        <w:t>具体规定可登陆陕西省政府采购网</w:t>
      </w:r>
      <w:r>
        <w:rPr>
          <w:rFonts w:hint="eastAsia" w:ascii="宋体" w:hAnsi="宋体" w:eastAsia="宋体" w:cs="宋体"/>
          <w:sz w:val="24"/>
          <w:szCs w:val="24"/>
          <w:highlight w:val="none"/>
        </w:rPr>
        <w:t>(www.ccgp-shaanxi.gov.cn)</w:t>
      </w:r>
      <w:r>
        <w:rPr>
          <w:rFonts w:hint="eastAsia" w:ascii="宋体" w:hAnsi="宋体" w:eastAsia="宋体" w:cs="宋体"/>
          <w:sz w:val="24"/>
          <w:szCs w:val="24"/>
          <w:highlight w:val="none"/>
          <w:lang w:val="zh-CN"/>
        </w:rPr>
        <w:t>重要通知专栏中查询了解</w:t>
      </w:r>
      <w:r>
        <w:rPr>
          <w:rFonts w:hint="eastAsia" w:ascii="宋体" w:hAnsi="宋体" w:eastAsia="宋体" w:cs="宋体"/>
          <w:sz w:val="24"/>
          <w:szCs w:val="24"/>
          <w:highlight w:val="none"/>
        </w:rPr>
        <w:t>。</w:t>
      </w:r>
    </w:p>
    <w:p>
      <w:pPr>
        <w:spacing w:line="460" w:lineRule="exact"/>
        <w:rPr>
          <w:rFonts w:ascii="宋体" w:hAnsi="宋体" w:eastAsia="宋体" w:cs="宋体"/>
          <w:highlight w:val="none"/>
        </w:rPr>
      </w:pPr>
      <w:r>
        <w:rPr>
          <w:rFonts w:hint="eastAsia" w:ascii="宋体" w:hAnsi="宋体" w:eastAsia="宋体" w:cs="宋体"/>
          <w:b/>
          <w:bCs/>
          <w:sz w:val="24"/>
          <w:szCs w:val="24"/>
          <w:highlight w:val="none"/>
        </w:rPr>
        <w:t>七、质疑和投诉</w:t>
      </w:r>
    </w:p>
    <w:p>
      <w:pPr>
        <w:spacing w:line="46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32.质疑和投诉</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32.1 质疑、投诉的接收和处理严格按照《中华人共和国政府采购法》、《政府采购质疑和投诉办法》财政部令第94号、《财政部关于加强政府采购供应商投诉受理审查工作的通知》等的相关规定办理。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32.1.1投标人认为招标文件、采购过程和中标和成交结果使自己的权益受到损害的，可以在知道或者应知其权益受到损害之日起七个工作日内，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投标人应知其权益受到损害之日是指：</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1）对招标文件提出质疑的，为收到招标文件之日；</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2）对采购过程提出质疑的，为各采购程序环节结束之日；</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3）对中标和成交结果提出质疑的，为中标和成交结果公告发布之日。</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32.1.2 质疑文件应当包括下列主要内容：</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1）质疑投标人和相关投标人的名称、地址、联系人及联系电话等；</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2）质疑项目及编号、质疑事项；</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3）认为招标文件、采购过程、中标和成交结果使自己的合法权益受到损害的法律依据、事实依据、相关证明材料及证据来源；</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4）提出质疑的日期。</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32.1.3 质疑函应当署名。质疑投标人为自然人的，应当由本人签字；质疑投标人为法人或者其他组织的，应当由法定代表人或者主要负责人签字并加盖公章。</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32.1.4 投标人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32.1.5 质疑文件提交方式：由自然人本人或法定代表人或者其委托代理人携带书面原件及身份证明原件到现场提交，否则不予受理。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32.1.6 投标人在法定质疑期内一次性提出针对同一采购程序环节的质疑。</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32.1.7 潜在投标人已依法获取其可质疑的招标文件的（必须为从合法渠道购买招标文件的投标人），可以对该文件提出质疑。</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32.1.8 质疑投标人对采购代理机构的质疑答复不满意，或者采购代理机构未在规定期限内作出答复的，可以在答复期满后15个工作日内向采购人的同级政府采购监督管理部门提起投诉。</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32.1.9 本次采购活动中，采购代理机构对质疑回复等文件的送达方式为现场取件。</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32.1.10 质疑函应当使用中文。质疑函范本详见财政部制定的范本即文件格式附件5。</w:t>
      </w:r>
    </w:p>
    <w:p>
      <w:pPr>
        <w:widowControl w:val="0"/>
        <w:kinsoku/>
        <w:autoSpaceDE/>
        <w:autoSpaceDN/>
        <w:adjustRightInd/>
        <w:snapToGrid/>
        <w:spacing w:line="460" w:lineRule="exact"/>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23.1.11 </w:t>
      </w:r>
      <w:r>
        <w:rPr>
          <w:rFonts w:hint="eastAsia" w:ascii="宋体" w:hAnsi="宋体" w:eastAsia="宋体" w:cs="宋体"/>
          <w:color w:val="auto"/>
          <w:kern w:val="2"/>
          <w:sz w:val="24"/>
          <w:szCs w:val="24"/>
          <w:highlight w:val="none"/>
        </w:rPr>
        <w:t xml:space="preserve">接收质疑函的方式：书面形式 </w:t>
      </w:r>
    </w:p>
    <w:p>
      <w:pPr>
        <w:widowControl w:val="0"/>
        <w:kinsoku/>
        <w:autoSpaceDE/>
        <w:autoSpaceDN/>
        <w:adjustRightInd/>
        <w:snapToGrid/>
        <w:spacing w:line="460" w:lineRule="exact"/>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23.1.12联系部门：陕西华泰工程项目管理有限公司</w:t>
      </w:r>
    </w:p>
    <w:p>
      <w:pPr>
        <w:widowControl w:val="0"/>
        <w:kinsoku/>
        <w:autoSpaceDE/>
        <w:autoSpaceDN/>
        <w:adjustRightInd/>
        <w:snapToGrid/>
        <w:spacing w:line="460" w:lineRule="exact"/>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23.1.13 联系电话：029-86250354 </w:t>
      </w:r>
    </w:p>
    <w:p>
      <w:pPr>
        <w:widowControl w:val="0"/>
        <w:kinsoku/>
        <w:autoSpaceDE/>
        <w:autoSpaceDN/>
        <w:adjustRightInd/>
        <w:snapToGrid/>
        <w:spacing w:line="460" w:lineRule="exact"/>
        <w:ind w:firstLine="480" w:firstLineChars="200"/>
        <w:jc w:val="both"/>
        <w:textAlignment w:val="auto"/>
        <w:rPr>
          <w:rFonts w:ascii="宋体" w:hAnsi="宋体" w:eastAsia="宋体" w:cs="宋体"/>
          <w:sz w:val="24"/>
          <w:szCs w:val="24"/>
          <w:highlight w:val="none"/>
        </w:rPr>
      </w:pPr>
      <w:r>
        <w:rPr>
          <w:rFonts w:hint="eastAsia" w:ascii="宋体" w:hAnsi="宋体" w:eastAsia="宋体" w:cs="宋体"/>
          <w:color w:val="auto"/>
          <w:kern w:val="2"/>
          <w:sz w:val="24"/>
          <w:szCs w:val="24"/>
          <w:highlight w:val="none"/>
        </w:rPr>
        <w:t>23.1.14 通讯地址：西安市经开区凤城五路世融嘉轩5号楼27层招标部</w:t>
      </w:r>
    </w:p>
    <w:p>
      <w:pPr>
        <w:spacing w:line="460" w:lineRule="exact"/>
        <w:rPr>
          <w:rFonts w:ascii="宋体" w:hAnsi="宋体" w:eastAsia="宋体" w:cs="宋体"/>
          <w:sz w:val="24"/>
          <w:szCs w:val="24"/>
          <w:highlight w:val="none"/>
        </w:rPr>
      </w:pPr>
      <w:r>
        <w:rPr>
          <w:rFonts w:hint="eastAsia" w:ascii="宋体" w:hAnsi="宋体" w:eastAsia="宋体" w:cs="宋体"/>
          <w:b/>
          <w:bCs/>
          <w:sz w:val="24"/>
          <w:szCs w:val="24"/>
          <w:highlight w:val="none"/>
        </w:rPr>
        <w:t>八、其他事项</w:t>
      </w:r>
    </w:p>
    <w:p>
      <w:pPr>
        <w:spacing w:line="46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33.代理服务费</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33.1本项目采购代理服务费按《招标代理服务收费管理暂行办法》（计价格〔2002〕1980号）、发改价格〔2011〕534号标准计算，由中标供应商在领取中标通知书时向采购代理机构一次性支付。</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33.2采购代理服务费的交纳方式：中标供应商在领取中标通知书时按上述收费标准，以转账或现金形式向采购代理机构直接交纳。</w:t>
      </w:r>
    </w:p>
    <w:p>
      <w:pPr>
        <w:spacing w:line="460" w:lineRule="exact"/>
        <w:rPr>
          <w:rFonts w:ascii="宋体" w:hAnsi="宋体" w:eastAsia="宋体" w:cs="宋体"/>
          <w:sz w:val="24"/>
          <w:szCs w:val="24"/>
          <w:highlight w:val="none"/>
        </w:rPr>
      </w:pPr>
      <w:r>
        <w:rPr>
          <w:rFonts w:hint="eastAsia" w:ascii="宋体" w:hAnsi="宋体" w:eastAsia="宋体" w:cs="宋体"/>
          <w:b/>
          <w:bCs/>
          <w:sz w:val="24"/>
          <w:szCs w:val="24"/>
          <w:highlight w:val="none"/>
        </w:rPr>
        <w:t>34.</w:t>
      </w:r>
      <w:r>
        <w:rPr>
          <w:rFonts w:hint="eastAsia" w:ascii="宋体" w:hAnsi="宋体" w:eastAsia="宋体" w:cs="宋体"/>
          <w:sz w:val="24"/>
          <w:szCs w:val="24"/>
          <w:highlight w:val="none"/>
        </w:rPr>
        <w:t>未尽事宜，参照政府采购法律法规、规章及规范性文件的相关规定。</w:t>
      </w:r>
    </w:p>
    <w:p>
      <w:pPr>
        <w:spacing w:line="460" w:lineRule="exact"/>
        <w:rPr>
          <w:rFonts w:ascii="宋体" w:hAnsi="宋体" w:eastAsia="宋体" w:cs="宋体"/>
          <w:sz w:val="24"/>
          <w:szCs w:val="24"/>
          <w:highlight w:val="none"/>
        </w:rPr>
      </w:pPr>
      <w:r>
        <w:rPr>
          <w:rFonts w:hint="eastAsia" w:ascii="宋体" w:hAnsi="宋体" w:eastAsia="宋体" w:cs="宋体"/>
          <w:b/>
          <w:bCs/>
          <w:sz w:val="24"/>
          <w:szCs w:val="24"/>
          <w:highlight w:val="none"/>
        </w:rPr>
        <w:t>35.</w:t>
      </w:r>
      <w:r>
        <w:rPr>
          <w:rFonts w:hint="eastAsia" w:ascii="宋体" w:hAnsi="宋体" w:eastAsia="宋体" w:cs="宋体"/>
          <w:sz w:val="24"/>
          <w:szCs w:val="24"/>
          <w:highlight w:val="none"/>
        </w:rPr>
        <w:t>招标文件解释权：本招标文件由采购人和采购代理机构解释。</w:t>
      </w:r>
    </w:p>
    <w:p>
      <w:pPr>
        <w:jc w:val="cente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jc w:val="cente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jc w:val="center"/>
        <w:rPr>
          <w:highlight w:val="none"/>
        </w:rPr>
      </w:pPr>
      <w: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t>第</w:t>
      </w:r>
      <w:r>
        <w:rPr>
          <w:rFonts w:hint="eastAsia" w:ascii="宋体" w:hAnsi="宋体" w:eastAsia="宋体" w:cs="宋体"/>
          <w:spacing w:val="8"/>
          <w:sz w:val="28"/>
          <w:szCs w:val="28"/>
          <w:highlight w:val="none"/>
          <w14:textOutline w14:w="5448" w14:cap="sq" w14:cmpd="sng" w14:algn="ctr">
            <w14:solidFill>
              <w14:srgbClr w14:val="000000"/>
            </w14:solidFill>
            <w14:prstDash w14:val="solid"/>
            <w14:bevel/>
          </w14:textOutline>
        </w:rPr>
        <w:t>三部分 采购需求</w:t>
      </w:r>
    </w:p>
    <w:p>
      <w:pPr>
        <w:spacing w:line="360" w:lineRule="auto"/>
        <w:rPr>
          <w:rFonts w:ascii="宋体" w:hAnsi="宋体" w:eastAsia="宋体" w:cs="宋体"/>
          <w:b/>
          <w:bCs/>
          <w:sz w:val="24"/>
          <w:szCs w:val="24"/>
          <w:highlight w:val="none"/>
        </w:rPr>
      </w:pPr>
      <w:bookmarkStart w:id="82" w:name="_Toc116574525"/>
      <w:bookmarkStart w:id="83" w:name="_Toc45213723"/>
      <w:bookmarkStart w:id="84" w:name="_Toc22431"/>
      <w:bookmarkStart w:id="85" w:name="_Toc35341458"/>
      <w:bookmarkStart w:id="86" w:name="_Toc28505"/>
      <w:r>
        <w:rPr>
          <w:rFonts w:hint="eastAsia" w:ascii="宋体" w:hAnsi="宋体" w:eastAsia="宋体" w:cs="宋体"/>
          <w:b/>
          <w:bCs/>
          <w:sz w:val="24"/>
          <w:szCs w:val="24"/>
          <w:highlight w:val="none"/>
        </w:rPr>
        <w:t>1.项目概述</w:t>
      </w:r>
      <w:bookmarkEnd w:id="82"/>
      <w:bookmarkEnd w:id="83"/>
      <w:bookmarkEnd w:id="84"/>
      <w:bookmarkEnd w:id="85"/>
      <w:bookmarkEnd w:id="86"/>
    </w:p>
    <w:p>
      <w:pPr>
        <w:spacing w:line="360" w:lineRule="auto"/>
        <w:ind w:firstLine="48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近年来，国务院国资委领导在多次场合提出建设国资国企在线监管系统的重要性，党委书记、主任郝鹏强调，建好用好国资国企在线监管系统， 是认真贯彻落实习近平总书记关于国资国企改革发展和党的建设的系列重要指示精神，坚决扛起党中央、国务院赋予的使命责任，深入实施国资监管信息化建设“三年行动计划”的需要。建好用好在线监管系统，有利于实时动态掌握中央企业生产经营情况，有利于推动中央企业加强企业管理和内控体系建设，有利于更好促进国有资本做强做优做大。</w:t>
      </w:r>
    </w:p>
    <w:p>
      <w:pPr>
        <w:spacing w:line="360" w:lineRule="auto"/>
        <w:ind w:firstLine="48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2021年7月陕西省国资委下发《全省性国资国企在线监管系统建设工作方案》，指出以习近平新时代中国特色社会主义思想为指导，贯彻落实党中央、国务院和省委省政府关于“互联网+监管”系列决策部署以及陕西省国资国企改革三年行动方案，紧密结合陕西省国资国企改革发展实际，建成用好实时在线的全省性国资国企监管系统，助力国资监管方式转变和履职能力提升，更好地担当国资国企改革发展的职责和使命。</w:t>
      </w:r>
    </w:p>
    <w:p>
      <w:pPr>
        <w:spacing w:line="360" w:lineRule="auto"/>
        <w:rPr>
          <w:rFonts w:ascii="宋体" w:hAnsi="宋体" w:eastAsia="宋体" w:cs="宋体"/>
          <w:b/>
          <w:bCs/>
          <w:sz w:val="24"/>
          <w:szCs w:val="24"/>
          <w:highlight w:val="none"/>
        </w:rPr>
      </w:pPr>
      <w:bookmarkStart w:id="87" w:name="_Toc116574526"/>
      <w:r>
        <w:rPr>
          <w:rFonts w:hint="eastAsia" w:ascii="宋体" w:hAnsi="宋体" w:eastAsia="宋体" w:cs="宋体"/>
          <w:b/>
          <w:bCs/>
          <w:sz w:val="24"/>
          <w:szCs w:val="24"/>
          <w:highlight w:val="none"/>
        </w:rPr>
        <w:t>2.项目目标</w:t>
      </w:r>
      <w:bookmarkEnd w:id="87"/>
    </w:p>
    <w:p>
      <w:pPr>
        <w:spacing w:line="360" w:lineRule="auto"/>
        <w:ind w:firstLine="48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汉中市国资委国资监管系统建设项目（一期）是响应习总书记关于国资国企改革发展的指示精神，是市国资委落实国务院国资委国资监管信息化建设“国企改革三年行动计划”和陕西省国资委以管资本为主推进职能转变方案的通知的重要项目。</w:t>
      </w:r>
    </w:p>
    <w:p>
      <w:pPr>
        <w:spacing w:line="360" w:lineRule="auto"/>
        <w:ind w:firstLine="48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项目基于出资人职责的监管要求，突出管资本职能，通过信息化手段，突出基础信息监管、立体协同监管、动态全程监管、智慧智能监管，建立覆盖所辖财务快报、人事管理、三重一大等涉及国资监管各类业务，充分共享各类资源数据，通过网络化、电子化、数字化手段，实现全方位、全层级、全过程、全天候监管，实现从管人管事管资产向管资本布局、管资本规范运作、管提高资本回报、管维护资本安全转变。</w:t>
      </w:r>
    </w:p>
    <w:p>
      <w:pPr>
        <w:spacing w:line="360" w:lineRule="auto"/>
        <w:ind w:firstLine="48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（一）建立国资监管数据汇聚体系</w:t>
      </w:r>
    </w:p>
    <w:p>
      <w:pPr>
        <w:spacing w:line="360" w:lineRule="auto"/>
        <w:ind w:firstLine="48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梳理并整合国资监管数据资源，建立标准统一、体系完整的国资监管数据资源体系，打破国资数据孤岛，形成统一的国资数据中心，为国资监管可视化展示提供数据支撑，为后续数据资产价值挖掘提供原始材料。</w:t>
      </w:r>
    </w:p>
    <w:p>
      <w:pPr>
        <w:spacing w:line="360" w:lineRule="auto"/>
        <w:ind w:firstLine="48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（二）建立国资监管业务协同体系</w:t>
      </w:r>
    </w:p>
    <w:p>
      <w:pPr>
        <w:spacing w:line="360" w:lineRule="auto"/>
        <w:ind w:firstLine="482"/>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优化完善国资监管体系、提升国资监管效率效能、增强快速反应与应急能力，建立覆盖监管企业、国资委的数据集成共享与业务协同机制，打通国资监管业务及数据链条，确保国有资产保值增值。</w:t>
      </w:r>
    </w:p>
    <w:p>
      <w:pPr>
        <w:spacing w:line="360" w:lineRule="auto"/>
        <w:ind w:firstLine="482"/>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（三）提升国资监管分析决策能力</w:t>
      </w:r>
    </w:p>
    <w:p>
      <w:pPr>
        <w:spacing w:line="360" w:lineRule="auto"/>
        <w:ind w:firstLine="482"/>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以国资监管数据资源为基础，建设国资可视化分析展示，以多维报表呈现财务、人事、三重一大相关业务数据，增强国资监管宏观调控的前瞻性、协同性、有效性，逐步打造“用数据说话、用数据决策、用数据管理、用数据创新”的管理机制。</w:t>
      </w:r>
    </w:p>
    <w:p>
      <w:pPr>
        <w:spacing w:line="360" w:lineRule="auto"/>
        <w:ind w:firstLine="482"/>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（四）建立国资监管持续集成及扩展应用机制</w:t>
      </w:r>
    </w:p>
    <w:p>
      <w:pPr>
        <w:spacing w:line="360" w:lineRule="auto"/>
        <w:ind w:firstLine="482"/>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本期项目是汉中市国资委搭建信息化架构、夯实信息化基础的关键环节。平台采用开放式体系架构，利用先进技术进行国资监管数据采集、存储、管理、分析及应用，揭示数据价值、释放数据潜能，提升国资监管决策能力和洞察力，同时具备支持国资监管大数据分析应用、国资监管信息化系统建设与业务的持续接入与集成能力，支持国企国资可持续发展。</w:t>
      </w:r>
    </w:p>
    <w:p>
      <w:pPr>
        <w:spacing w:line="360" w:lineRule="auto"/>
        <w:ind w:firstLine="482"/>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（五）建立国资监管生态资源价值转化机制</w:t>
      </w:r>
    </w:p>
    <w:p>
      <w:pPr>
        <w:spacing w:line="360" w:lineRule="auto"/>
        <w:ind w:firstLine="482"/>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依托信息化技术优化闲置和低效资源的配置，盘活资源，将分散零碎、闲置沉睡的生态资源进行有序的收储流转、整合提升，引进社会资源进行适度开发和盘活经营。通过与各县区两山平台的数据对接，完成全市区域内的生态资源调查摸底，形成以汉中市各县区基础资源库、登记清单、项目清单等为基础的数据资源中心。建立健全汉中市生态资源保护、交易、开发、监管全过程的工作机制，积极探索具有区域特色的“两山”转化路径通道。为加快探索生态产品价值提供有效的实现机制，打造新时代践行“两山”理念的汉中样本。</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3.项目原则</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（1）标准化原则：以国家、省统一制定的规范和标准为基础，结合实际情况制定标准和规范，实现异构系统之间的互联互通。</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（2）实用性原则：坚持以需求为导向，在界面和功能设计等方面，结合目前先进的互联网思维，贴近用户的需求，顺应国企深化改革以及国资监管业务的需求。</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（3）先进性原则：采用先进技术，构建先进应用，要求所用技术领先，系统着眼点要高，不仅能够满足当前国资监管系统既定的技术要求，而且要符合未来国资管理的长远规划发展需求。</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（4）高集成性原则：强调所建设的平台与现有待接入、待集成IT系统实现规范化的、有效的衔接，实现信息的共享和集成。</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（5）可扩展性原则：平台设计应充分考虑扩展的长远发展目标，采用先进的设计思想和开发手段，全面支持各种应用功能的扩展，为整个软件系统功能的完善和更新提供条件。</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（6）开放性原则：在设备选择及联网方案上一定要坚持开放性原则，在软件上支持跨平台和开放数据接口，便于与其它系统软件集成在一起。</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（7）稳定性原则：系统应选择成熟、稳定、先进的操作系统、数据库、网络协议、 中间件等，采用高可用性技术，保证系统具备长期稳定工作的能力，当出现失误操作或异常情况时，有良好的系统纠错和恢复能力。</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8）可管理性原则：系统的使用及管理以简便、易于操作、方便实用为准则，保证系统具有高可管理性，降低系统管理和维护成本。系统中各功能模块的设计就注重业务逻辑的细化，采用模块化、组件化和开放性设计，方便实现应用模块的增加和删除。</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9）系统安全性原则：在网络系统、应用软件系统层次上的平台建设应分别考虑安全控制，细致全面地考虑各种可能遇到的情况，规划出合理的解决方案，为整个平台的安全、可靠运行提供保障。另外，平台运行时要有严格的管理机制，从技术、制度上充分保证系统具有稳定、快速、可靠、连续的运行性能。</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4.项目建设内容</w:t>
      </w:r>
    </w:p>
    <w:p>
      <w:pPr>
        <w:pStyle w:val="21"/>
        <w:rPr>
          <w:rFonts w:hint="default"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本次建设的软件均部署在汉中市政务云上。</w:t>
      </w:r>
    </w:p>
    <w:p>
      <w:pPr>
        <w:pStyle w:val="21"/>
        <w:rPr>
          <w:rFonts w:ascii="宋体" w:hAnsi="宋体" w:eastAsia="宋体" w:cs="宋体"/>
          <w:sz w:val="24"/>
          <w:szCs w:val="24"/>
          <w:highlight w:val="none"/>
        </w:rPr>
      </w:pPr>
      <w:r>
        <w:rPr>
          <w:rFonts w:hint="eastAsia" w:ascii="宋体" w:hAnsi="宋体" w:eastAsia="宋体" w:cs="宋体"/>
          <w:sz w:val="24"/>
          <w:szCs w:val="24"/>
          <w:highlight w:val="none"/>
        </w:rPr>
        <w:t>国资监管系统是一个组织健全、制度配套、业务协同的综合管理信息系统，系统建设服务于国资监管全部职能。国资监管系统运用大数据、云计算、人工智能、互联网+等技术为核心，要求建设：1套数据标准规范体系、1个国资监管数据采集汇聚平台、1个监管业务中心（企业基本信息、财务监管、投资布局、科技创新、公司治理、企干管理、人事管理、产权管理、党建管理、三重一大）、1个生态资源云脑平台、1个应用门户。系统建设完成稳定运行后，逐步与企业等进行对接采集，构建市国资监管大格局，形成市国资监管一盘棋。</w:t>
      </w:r>
    </w:p>
    <w:p>
      <w:pPr>
        <w:spacing w:line="360" w:lineRule="auto"/>
        <w:rPr>
          <w:rFonts w:ascii="宋体" w:hAnsi="宋体" w:eastAsia="宋体" w:cs="宋体"/>
          <w:b/>
          <w:bCs/>
          <w:sz w:val="24"/>
          <w:szCs w:val="24"/>
          <w:highlight w:val="none"/>
        </w:rPr>
      </w:pPr>
    </w:p>
    <w:p>
      <w:pPr>
        <w:spacing w:line="360" w:lineRule="auto"/>
        <w:rPr>
          <w:rFonts w:ascii="宋体" w:hAnsi="宋体" w:eastAsia="宋体" w:cs="宋体"/>
          <w:b/>
          <w:bCs/>
          <w:sz w:val="24"/>
          <w:szCs w:val="24"/>
          <w:highlight w:val="none"/>
        </w:rPr>
      </w:pP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4.1</w:t>
      </w:r>
      <w:bookmarkStart w:id="88" w:name="_Toc116574529"/>
      <w:r>
        <w:rPr>
          <w:rFonts w:hint="eastAsia" w:ascii="宋体" w:hAnsi="宋体" w:eastAsia="宋体" w:cs="宋体"/>
          <w:b/>
          <w:bCs/>
          <w:sz w:val="24"/>
          <w:szCs w:val="24"/>
          <w:highlight w:val="none"/>
        </w:rPr>
        <w:t xml:space="preserve"> 数据标准规范</w:t>
      </w:r>
      <w:bookmarkEnd w:id="88"/>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根据国务院、省、市国资委及其他信息技术标准的要求，制定一套国资监管系统和服务规范，包括数据资源管理标准规范、数据运营规范、数据安全标准。各类规范须符合满足国资监管各项业务的实际需求，确保当前以及将来能够支撑监管企业接入、监管业务和分析决策应用。</w:t>
      </w:r>
    </w:p>
    <w:p>
      <w:pPr>
        <w:spacing w:line="360" w:lineRule="auto"/>
        <w:rPr>
          <w:rFonts w:ascii="宋体" w:hAnsi="宋体" w:eastAsia="宋体" w:cs="宋体"/>
          <w:b/>
          <w:bCs/>
          <w:sz w:val="24"/>
          <w:szCs w:val="24"/>
          <w:highlight w:val="none"/>
        </w:rPr>
      </w:pPr>
      <w:bookmarkStart w:id="89" w:name="_Toc15285"/>
      <w:bookmarkStart w:id="90" w:name="_Hlk73560498"/>
      <w:bookmarkStart w:id="91" w:name="_Toc79616503"/>
      <w:bookmarkStart w:id="92" w:name="_Toc80363007"/>
      <w:bookmarkStart w:id="93" w:name="_Toc116574530"/>
      <w:bookmarkStart w:id="94" w:name="_Toc11693"/>
      <w:bookmarkStart w:id="95" w:name="_Toc73581067"/>
      <w:r>
        <w:rPr>
          <w:rFonts w:hint="eastAsia" w:ascii="宋体" w:hAnsi="宋体" w:eastAsia="宋体" w:cs="宋体"/>
          <w:b/>
          <w:bCs/>
          <w:sz w:val="24"/>
          <w:szCs w:val="24"/>
          <w:highlight w:val="none"/>
        </w:rPr>
        <w:t>4.2 数据采集汇聚平台</w:t>
      </w:r>
      <w:bookmarkEnd w:id="89"/>
      <w:bookmarkEnd w:id="90"/>
      <w:bookmarkEnd w:id="91"/>
      <w:bookmarkEnd w:id="92"/>
      <w:bookmarkEnd w:id="93"/>
      <w:bookmarkEnd w:id="94"/>
      <w:bookmarkEnd w:id="95"/>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4.4.1 大数据基础平台</w:t>
      </w:r>
    </w:p>
    <w:p>
      <w:pPr>
        <w:pStyle w:val="21"/>
        <w:rPr>
          <w:rFonts w:ascii="宋体" w:hAnsi="宋体" w:eastAsia="宋体" w:cs="宋体"/>
          <w:sz w:val="24"/>
          <w:szCs w:val="24"/>
          <w:highlight w:val="none"/>
        </w:rPr>
      </w:pPr>
      <w:r>
        <w:rPr>
          <w:rFonts w:hint="eastAsia" w:ascii="宋体" w:hAnsi="宋体" w:eastAsia="宋体" w:cs="宋体"/>
          <w:sz w:val="24"/>
          <w:szCs w:val="24"/>
          <w:highlight w:val="none"/>
        </w:rPr>
        <w:t>大数据基础能力平台提供大数据的存储和计算能力，包括大数据存储、计算资源管理、大数据分析、数据应用集成等功能。</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4.4.2 数据采集平台</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数据采集中心构建统一数据采集机制，具备高质量、自动化、高效灵活、安全可靠的数据采集能力，按照统一技术规范和要求实现数据采集。数据采集中心要具备以下功能：数据源管理、数据采集、数据采集任务管理、数据采集任务监控。</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（1）数据源管理</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支持数据源的配置与查询。</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数据源配置：支持创建数据源，支持IP主机名、端口配置；支持编辑数据源，选择需要修改的数据源，对数据源进行修改；支持删除数据源，根据业务需求，对不需要的数据源进行删除。</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查询数据源：通过数据源配置界面，进行数据源检索和查询。</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（2）数据采集</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支持MySQL、Hive、SQL Server、Oracle等主流数据库采集；支持CSV、xls、txt等多种文件格式数据的采集；支持以接口方式进行数据采集。</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（3）数据采集任务管理</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数据采集任务管理支持以下功能：支持采集任务工作流定义，可以创建工作流、导入工作流；支持工作流实例编辑、重跑、恢复失败、停止、暂停和删除；支持任务实例内容和日志查看；支持任务定义、查看、编辑和删除任务等功能。</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（4）数据采集任务监控</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支持调度任务的全方位监控，包括调度作业监控、调度作业运维、告警管理。</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1.调度作业监控：用于任务日志监控；</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2.调度作业运维：提供采集任务的运维操作，包括：重跑、强制通过、停止、暂停、删除；</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3.告警管理：失败告警、超时告警等。</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4.4.3 用户中心</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用户中心支持用户管理、团队管理、角色管理、菜单管理、审计日志、待办等功能。管理员可以对用户进行增删改和角色赋权，可以查看用户角色，支持对角色进行增删改和菜单赋权。</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用户管理：支持用户信息查询、新增、修改、删除以及分配角色等操作；</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团队管理：支持团队信息查询、新增、修改、删除以及团队成员的管理功能；</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角色管理：支持角色新增、查询、禁用、修改等功能点。用户在平台上的操作权限由对应的角色划分；</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菜单管理：支持菜单新增、修改、删除等功能；</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审计日志：支持用户访问菜单日志和用户登录日志记录和查询能力；</w:t>
      </w:r>
    </w:p>
    <w:p>
      <w:pPr>
        <w:spacing w:line="360" w:lineRule="auto"/>
        <w:ind w:firstLine="480" w:firstLineChars="200"/>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待办：支持管理员审批用户提交的操作。</w:t>
      </w:r>
    </w:p>
    <w:p>
      <w:pPr>
        <w:spacing w:line="360" w:lineRule="auto"/>
        <w:rPr>
          <w:rFonts w:ascii="宋体" w:hAnsi="宋体" w:eastAsia="宋体" w:cs="宋体"/>
          <w:b/>
          <w:bCs/>
          <w:sz w:val="24"/>
          <w:szCs w:val="24"/>
          <w:highlight w:val="none"/>
        </w:rPr>
      </w:pPr>
      <w:bookmarkStart w:id="96" w:name="_Toc23346"/>
      <w:bookmarkStart w:id="97" w:name="_Toc9779"/>
      <w:bookmarkStart w:id="98" w:name="_Toc116574531"/>
      <w:bookmarkStart w:id="99" w:name="_Toc79616504"/>
      <w:bookmarkStart w:id="100" w:name="_Hlk73560510"/>
      <w:bookmarkStart w:id="101" w:name="_Toc73581068"/>
      <w:bookmarkStart w:id="102" w:name="_Toc80363008"/>
      <w:r>
        <w:rPr>
          <w:rFonts w:hint="eastAsia" w:ascii="宋体" w:hAnsi="宋体" w:eastAsia="宋体" w:cs="宋体"/>
          <w:b/>
          <w:bCs/>
          <w:sz w:val="24"/>
          <w:szCs w:val="24"/>
          <w:highlight w:val="none"/>
        </w:rPr>
        <w:t>4.3 监管业务中心</w:t>
      </w:r>
      <w:bookmarkEnd w:id="96"/>
      <w:bookmarkEnd w:id="97"/>
      <w:bookmarkEnd w:id="98"/>
      <w:bookmarkEnd w:id="99"/>
      <w:bookmarkEnd w:id="100"/>
      <w:bookmarkEnd w:id="101"/>
      <w:bookmarkEnd w:id="102"/>
    </w:p>
    <w:p>
      <w:pPr>
        <w:pStyle w:val="21"/>
        <w:rPr>
          <w:rFonts w:ascii="宋体" w:hAnsi="宋体"/>
          <w:sz w:val="24"/>
          <w:szCs w:val="24"/>
          <w:highlight w:val="none"/>
        </w:rPr>
      </w:pPr>
      <w:r>
        <w:rPr>
          <w:rFonts w:hint="eastAsia" w:ascii="宋体" w:hAnsi="宋体" w:eastAsia="宋体" w:cs="宋体"/>
          <w:sz w:val="24"/>
          <w:szCs w:val="24"/>
          <w:highlight w:val="none"/>
        </w:rPr>
        <w:t>监管业务中心构建基础应用支撑体系，从统一应用、统一管理等视角进行技术与业务的融合，形成应用支撑能力，可提供流程管理、通用组件管理等框架能力，可适应未来业务扩展的持续集成。同时监管业务中心实现国资监管的业务管理，建设内容包括企业基本信息、财务监管、投资布局、科技创新、公司治理、企干管理、人事管理、产权管理、党建管理、三重一大共十个功能模块。</w:t>
      </w:r>
    </w:p>
    <w:p>
      <w:pPr>
        <w:pStyle w:val="5"/>
        <w:widowControl w:val="0"/>
        <w:numPr>
          <w:ilvl w:val="2"/>
          <w:numId w:val="3"/>
        </w:numPr>
        <w:tabs>
          <w:tab w:val="left" w:pos="560"/>
        </w:tabs>
        <w:kinsoku/>
        <w:autoSpaceDE/>
        <w:autoSpaceDN/>
        <w:adjustRightInd/>
        <w:snapToGrid/>
        <w:spacing w:before="240" w:after="120" w:line="360" w:lineRule="auto"/>
        <w:ind w:left="420" w:leftChars="0"/>
        <w:jc w:val="both"/>
        <w:textAlignment w:val="auto"/>
        <w:rPr>
          <w:rFonts w:hint="eastAsia" w:ascii="宋体" w:hAnsi="宋体" w:eastAsia="宋体"/>
          <w:szCs w:val="16"/>
          <w:highlight w:val="none"/>
        </w:rPr>
      </w:pPr>
      <w:r>
        <w:rPr>
          <w:rFonts w:hint="eastAsia" w:ascii="宋体" w:hAnsi="宋体" w:eastAsia="宋体"/>
          <w:szCs w:val="16"/>
          <w:highlight w:val="none"/>
        </w:rPr>
        <w:t>企业基本信息</w:t>
      </w:r>
    </w:p>
    <w:p>
      <w:pPr>
        <w:pStyle w:val="21"/>
        <w:rPr>
          <w:rFonts w:hint="eastAsia" w:ascii="宋体" w:hAnsi="宋体"/>
          <w:sz w:val="24"/>
          <w:szCs w:val="24"/>
          <w:highlight w:val="none"/>
        </w:rPr>
      </w:pPr>
      <w:r>
        <w:rPr>
          <w:rFonts w:hint="eastAsia" w:ascii="宋体" w:hAnsi="宋体" w:eastAsia="宋体" w:cs="宋体"/>
          <w:sz w:val="24"/>
          <w:szCs w:val="24"/>
          <w:highlight w:val="none"/>
        </w:rPr>
        <w:t>实现对监管企业多层次、多维度信息进行管理，构建国资监管业务体系中企业的统一性信息，建立全方位、集中式的维护和管理机制，在业务应用运行过程中提供统一资源数据，主要包括基本信息、工商登记信息、股权信息等。</w:t>
      </w:r>
    </w:p>
    <w:p>
      <w:pPr>
        <w:pStyle w:val="5"/>
        <w:widowControl w:val="0"/>
        <w:numPr>
          <w:ilvl w:val="2"/>
          <w:numId w:val="3"/>
        </w:numPr>
        <w:tabs>
          <w:tab w:val="left" w:pos="560"/>
        </w:tabs>
        <w:kinsoku/>
        <w:autoSpaceDE/>
        <w:autoSpaceDN/>
        <w:adjustRightInd/>
        <w:snapToGrid/>
        <w:spacing w:before="240" w:after="120" w:line="360" w:lineRule="auto"/>
        <w:ind w:left="420" w:leftChars="0"/>
        <w:jc w:val="both"/>
        <w:textAlignment w:val="auto"/>
        <w:rPr>
          <w:rFonts w:ascii="宋体" w:hAnsi="宋体" w:eastAsia="宋体"/>
          <w:szCs w:val="16"/>
          <w:highlight w:val="none"/>
        </w:rPr>
      </w:pPr>
      <w:r>
        <w:rPr>
          <w:rFonts w:hint="eastAsia" w:ascii="宋体" w:hAnsi="宋体" w:eastAsia="宋体"/>
          <w:szCs w:val="16"/>
          <w:highlight w:val="none"/>
        </w:rPr>
        <w:t>财务监管</w:t>
      </w:r>
    </w:p>
    <w:p>
      <w:pPr>
        <w:pStyle w:val="21"/>
        <w:rPr>
          <w:rFonts w:hint="eastAsia" w:ascii="宋体" w:hAnsi="宋体"/>
          <w:sz w:val="24"/>
          <w:szCs w:val="24"/>
          <w:highlight w:val="none"/>
        </w:rPr>
      </w:pPr>
      <w:bookmarkStart w:id="103" w:name="_Hlk80087842"/>
      <w:r>
        <w:rPr>
          <w:rFonts w:hint="eastAsia" w:ascii="宋体" w:hAnsi="宋体"/>
          <w:sz w:val="24"/>
          <w:szCs w:val="24"/>
          <w:highlight w:val="none"/>
        </w:rPr>
        <w:t>财务监管以企财务数据为核心，根据市国资委下发的务要求，通过分类、分周期、分阶段、分科目的定期数据管理(填报、审核、汇总等)，建立企业财务数据全级次、全指标采集机制，实现对企业生产经营状况、资产状况、财务运行状况多方位的财务监督管理。系统支持根据市国资委的财务监督要求进行内容定制化设计，如资产情况、国资监管专项情况等。主要功能要求如下：</w:t>
      </w:r>
    </w:p>
    <w:p>
      <w:pPr>
        <w:pStyle w:val="21"/>
        <w:rPr>
          <w:rFonts w:hint="eastAsia" w:ascii="宋体" w:hAnsi="宋体"/>
          <w:sz w:val="24"/>
          <w:szCs w:val="24"/>
          <w:highlight w:val="none"/>
        </w:rPr>
      </w:pPr>
      <w:r>
        <w:rPr>
          <w:rFonts w:hint="eastAsia" w:asciiTheme="minorEastAsia" w:hAnsiTheme="minorEastAsia" w:eastAsiaTheme="minorEastAsia"/>
          <w:sz w:val="24"/>
          <w:szCs w:val="24"/>
          <w:highlight w:val="none"/>
        </w:rPr>
        <w:t>（一）</w:t>
      </w:r>
      <w:r>
        <w:rPr>
          <w:rFonts w:hint="eastAsia" w:ascii="宋体" w:hAnsi="宋体"/>
          <w:sz w:val="24"/>
          <w:szCs w:val="24"/>
          <w:highlight w:val="none"/>
        </w:rPr>
        <w:t>财务快报</w:t>
      </w:r>
    </w:p>
    <w:p>
      <w:pPr>
        <w:pStyle w:val="21"/>
        <w:rPr>
          <w:rFonts w:ascii="宋体" w:hAnsi="宋体"/>
          <w:sz w:val="24"/>
          <w:szCs w:val="24"/>
          <w:highlight w:val="none"/>
        </w:rPr>
      </w:pPr>
      <w:r>
        <w:rPr>
          <w:rFonts w:hint="eastAsia" w:ascii="宋体" w:hAnsi="宋体"/>
          <w:sz w:val="24"/>
          <w:szCs w:val="24"/>
          <w:highlight w:val="none"/>
        </w:rPr>
        <w:t>财务快报管理监管企业根据国资委下达的通知每月定期上报财务快报数据或主要财务报表财务，资本收益与财务监管处对快报数据进行审核并提交国务院国资委进行备案。利用财务快报数据，编制月度企业财务统计快报，以及利用三张报表信息与预算月度分解表进行对比分析，形成相关统计报表。</w:t>
      </w:r>
    </w:p>
    <w:p>
      <w:pPr>
        <w:pStyle w:val="21"/>
        <w:rPr>
          <w:rFonts w:ascii="宋体" w:hAnsi="宋体"/>
          <w:sz w:val="24"/>
          <w:szCs w:val="24"/>
          <w:highlight w:val="none"/>
        </w:rPr>
      </w:pPr>
      <w:r>
        <w:rPr>
          <w:rFonts w:hint="eastAsia" w:ascii="宋体" w:hAnsi="宋体"/>
          <w:sz w:val="24"/>
          <w:szCs w:val="24"/>
          <w:highlight w:val="none"/>
        </w:rPr>
        <w:t>快报管理主要是对国家出资企业的企业经营、投资情况进行月度跟踪管理。业务功能主要包括数据录入、数据运算、数据审核、数据汇总、审核反馈、数据导出、查询分析、分析报告以及对外报送等功能。</w:t>
      </w:r>
    </w:p>
    <w:p>
      <w:pPr>
        <w:pStyle w:val="21"/>
        <w:rPr>
          <w:rFonts w:ascii="宋体" w:hAnsi="宋体"/>
          <w:sz w:val="24"/>
          <w:szCs w:val="24"/>
          <w:highlight w:val="none"/>
        </w:rPr>
      </w:pPr>
      <w:r>
        <w:rPr>
          <w:rFonts w:hint="eastAsia" w:ascii="宋体" w:hAnsi="宋体"/>
          <w:sz w:val="24"/>
          <w:szCs w:val="24"/>
          <w:highlight w:val="none"/>
        </w:rPr>
        <w:t>该模块主要对企业财务快报模板的报表格式、采集指标、采集规则、计算公式、校验公式等进行设计和修改。此模块功能由统一的数据采集系统提供。提供如下功能：</w:t>
      </w:r>
    </w:p>
    <w:p>
      <w:pPr>
        <w:pStyle w:val="21"/>
        <w:rPr>
          <w:rFonts w:ascii="宋体" w:hAnsi="宋体"/>
          <w:sz w:val="24"/>
          <w:szCs w:val="24"/>
          <w:highlight w:val="none"/>
        </w:rPr>
      </w:pPr>
      <w:r>
        <w:rPr>
          <w:rFonts w:hint="eastAsia" w:ascii="宋体" w:hAnsi="宋体"/>
          <w:sz w:val="24"/>
          <w:szCs w:val="24"/>
          <w:highlight w:val="none"/>
        </w:rPr>
        <w:t>1、 企业快报模板设计</w:t>
      </w:r>
    </w:p>
    <w:p>
      <w:pPr>
        <w:pStyle w:val="21"/>
        <w:rPr>
          <w:rFonts w:ascii="宋体" w:hAnsi="宋体"/>
          <w:sz w:val="24"/>
          <w:szCs w:val="24"/>
          <w:highlight w:val="none"/>
        </w:rPr>
      </w:pPr>
      <w:r>
        <w:rPr>
          <w:rFonts w:hint="eastAsia" w:ascii="宋体" w:hAnsi="宋体"/>
          <w:sz w:val="24"/>
          <w:szCs w:val="24"/>
          <w:highlight w:val="none"/>
        </w:rPr>
        <w:t>对提供企业财务快报的模板进行定制设计，该模块是提供对设计工具的开发，包括所见即所得的功能界面，通用工具箱的设计开发。</w:t>
      </w:r>
    </w:p>
    <w:p>
      <w:pPr>
        <w:pStyle w:val="21"/>
        <w:rPr>
          <w:rFonts w:ascii="宋体" w:hAnsi="宋体"/>
          <w:sz w:val="24"/>
          <w:szCs w:val="24"/>
          <w:highlight w:val="none"/>
        </w:rPr>
      </w:pPr>
      <w:r>
        <w:rPr>
          <w:rFonts w:hint="eastAsia" w:ascii="宋体" w:hAnsi="宋体"/>
          <w:sz w:val="24"/>
          <w:szCs w:val="24"/>
          <w:highlight w:val="none"/>
        </w:rPr>
        <w:t>（1）数据录入、导出</w:t>
      </w:r>
    </w:p>
    <w:p>
      <w:pPr>
        <w:pStyle w:val="21"/>
        <w:rPr>
          <w:rFonts w:ascii="宋体" w:hAnsi="宋体"/>
          <w:sz w:val="24"/>
          <w:szCs w:val="24"/>
          <w:highlight w:val="none"/>
        </w:rPr>
      </w:pPr>
      <w:r>
        <w:rPr>
          <w:rFonts w:hint="eastAsia" w:ascii="宋体" w:hAnsi="宋体"/>
          <w:sz w:val="24"/>
          <w:szCs w:val="24"/>
          <w:highlight w:val="none"/>
        </w:rPr>
        <w:t>通过系统的上传接口，企业可表格上传、批量上传的方式；也可以对文件进行批量导出和单个导出；</w:t>
      </w:r>
    </w:p>
    <w:p>
      <w:pPr>
        <w:pStyle w:val="21"/>
        <w:rPr>
          <w:rFonts w:ascii="宋体" w:hAnsi="宋体"/>
          <w:sz w:val="24"/>
          <w:szCs w:val="24"/>
          <w:highlight w:val="none"/>
        </w:rPr>
      </w:pPr>
      <w:r>
        <w:rPr>
          <w:rFonts w:hint="eastAsia" w:ascii="宋体" w:hAnsi="宋体"/>
          <w:sz w:val="24"/>
          <w:szCs w:val="24"/>
          <w:highlight w:val="none"/>
        </w:rPr>
        <w:t>企业可以在需要填报的企业财务快报报表中填写数据，填写后可以保存，系统可以通过预定义的规则进行自动校验；系统提供在线填报或离线填报方式可供选择；企业在填报快报报表的同时，还可以添加企业经营状况分析和重大事项说明等附报文档；对于没有按时填报的企业，系统可以自动催报提醒。</w:t>
      </w:r>
    </w:p>
    <w:p>
      <w:pPr>
        <w:pStyle w:val="21"/>
        <w:rPr>
          <w:rFonts w:ascii="宋体" w:hAnsi="宋体"/>
          <w:sz w:val="24"/>
          <w:szCs w:val="24"/>
          <w:highlight w:val="none"/>
        </w:rPr>
      </w:pPr>
      <w:r>
        <w:rPr>
          <w:rFonts w:hint="eastAsia" w:ascii="宋体" w:hAnsi="宋体"/>
          <w:sz w:val="24"/>
          <w:szCs w:val="24"/>
          <w:highlight w:val="none"/>
        </w:rPr>
        <w:t>（2）数据运算、汇总</w:t>
      </w:r>
    </w:p>
    <w:p>
      <w:pPr>
        <w:pStyle w:val="21"/>
        <w:rPr>
          <w:rFonts w:ascii="宋体" w:hAnsi="宋体"/>
          <w:sz w:val="24"/>
          <w:szCs w:val="24"/>
          <w:highlight w:val="none"/>
        </w:rPr>
      </w:pPr>
      <w:r>
        <w:rPr>
          <w:rFonts w:hint="eastAsia" w:ascii="宋体" w:hAnsi="宋体"/>
          <w:sz w:val="24"/>
          <w:szCs w:val="24"/>
          <w:highlight w:val="none"/>
        </w:rPr>
        <w:t>系统内集合了多种财务标准算法，通过基础数据的收集完善，系统对数据进行高速准确的运算，并汇总生成报表；</w:t>
      </w:r>
    </w:p>
    <w:p>
      <w:pPr>
        <w:pStyle w:val="21"/>
        <w:rPr>
          <w:rFonts w:ascii="宋体" w:hAnsi="宋体"/>
          <w:sz w:val="24"/>
          <w:szCs w:val="24"/>
          <w:highlight w:val="none"/>
        </w:rPr>
      </w:pPr>
      <w:r>
        <w:rPr>
          <w:rFonts w:hint="eastAsia" w:ascii="宋体" w:hAnsi="宋体"/>
          <w:sz w:val="24"/>
          <w:szCs w:val="24"/>
          <w:highlight w:val="none"/>
        </w:rPr>
        <w:t>（3）数据报送</w:t>
      </w:r>
    </w:p>
    <w:p>
      <w:pPr>
        <w:pStyle w:val="21"/>
        <w:rPr>
          <w:rFonts w:ascii="宋体" w:hAnsi="宋体"/>
          <w:sz w:val="24"/>
          <w:szCs w:val="24"/>
          <w:highlight w:val="none"/>
        </w:rPr>
      </w:pPr>
      <w:r>
        <w:rPr>
          <w:rFonts w:hint="eastAsia" w:ascii="宋体" w:hAnsi="宋体"/>
          <w:sz w:val="24"/>
          <w:szCs w:val="24"/>
          <w:highlight w:val="none"/>
        </w:rPr>
        <w:t>企业所属下级企业可以将填写完成的企业财务快报提交给企业，国有企业可以将填写完成的企业财务快报提交给市国资委，企业、国资委可以浏览、接收当期需要接收的上报报表；系统还可以自动统计报送情况，生成企业财务快报报送情况统计报告，以便于企业财务状况监督人员快速实时地掌握报送情况。</w:t>
      </w:r>
    </w:p>
    <w:p>
      <w:pPr>
        <w:pStyle w:val="21"/>
        <w:rPr>
          <w:rFonts w:ascii="宋体" w:hAnsi="宋体"/>
          <w:sz w:val="24"/>
          <w:szCs w:val="24"/>
          <w:highlight w:val="none"/>
        </w:rPr>
      </w:pPr>
      <w:r>
        <w:rPr>
          <w:rFonts w:hint="eastAsia" w:ascii="宋体" w:hAnsi="宋体"/>
          <w:sz w:val="24"/>
          <w:szCs w:val="24"/>
          <w:highlight w:val="none"/>
        </w:rPr>
        <w:t>该模块主要包含的功能有财务快报上报类型管理、快报上报周期管理、上报指标维护模块、快报上报节点管理。</w:t>
      </w:r>
    </w:p>
    <w:p>
      <w:pPr>
        <w:pStyle w:val="21"/>
        <w:rPr>
          <w:rFonts w:ascii="宋体" w:hAnsi="宋体"/>
          <w:sz w:val="24"/>
          <w:szCs w:val="24"/>
          <w:highlight w:val="none"/>
        </w:rPr>
      </w:pPr>
      <w:r>
        <w:rPr>
          <w:rFonts w:hint="eastAsia" w:ascii="宋体" w:hAnsi="宋体"/>
          <w:sz w:val="24"/>
          <w:szCs w:val="24"/>
          <w:highlight w:val="none"/>
        </w:rPr>
        <w:t>（4）查询分析及报告</w:t>
      </w:r>
    </w:p>
    <w:p>
      <w:pPr>
        <w:pStyle w:val="21"/>
        <w:rPr>
          <w:rFonts w:ascii="宋体" w:hAnsi="宋体"/>
          <w:sz w:val="24"/>
          <w:szCs w:val="24"/>
          <w:highlight w:val="none"/>
        </w:rPr>
      </w:pPr>
      <w:r>
        <w:rPr>
          <w:rFonts w:hint="eastAsia" w:ascii="宋体" w:hAnsi="宋体"/>
          <w:sz w:val="24"/>
          <w:szCs w:val="24"/>
          <w:highlight w:val="none"/>
        </w:rPr>
        <w:t>系统根据企业的特性支持多维度的查询，同时支持自动生PDF、DOC等多种报告格式，提供报告下载功能；</w:t>
      </w:r>
    </w:p>
    <w:p>
      <w:pPr>
        <w:pStyle w:val="21"/>
        <w:rPr>
          <w:rFonts w:ascii="宋体" w:hAnsi="宋体"/>
          <w:sz w:val="24"/>
          <w:szCs w:val="24"/>
          <w:highlight w:val="none"/>
        </w:rPr>
      </w:pPr>
      <w:r>
        <w:rPr>
          <w:rFonts w:hint="eastAsia" w:ascii="宋体" w:hAnsi="宋体"/>
          <w:sz w:val="24"/>
          <w:szCs w:val="24"/>
          <w:highlight w:val="none"/>
        </w:rPr>
        <w:t>（5）快报类别管理</w:t>
      </w:r>
    </w:p>
    <w:p>
      <w:pPr>
        <w:pStyle w:val="21"/>
        <w:rPr>
          <w:rFonts w:ascii="宋体" w:hAnsi="宋体"/>
          <w:sz w:val="24"/>
          <w:szCs w:val="24"/>
          <w:highlight w:val="none"/>
        </w:rPr>
      </w:pPr>
      <w:r>
        <w:rPr>
          <w:rFonts w:hint="eastAsia" w:ascii="宋体" w:hAnsi="宋体"/>
          <w:sz w:val="24"/>
          <w:szCs w:val="24"/>
          <w:highlight w:val="none"/>
        </w:rPr>
        <w:t>完成快报报表类别的管理，按照需要的类别层级对快报报表进行定义，关联快报对应的报表以及换算关系，为快报的分类提供指标依据。</w:t>
      </w:r>
    </w:p>
    <w:p>
      <w:pPr>
        <w:pStyle w:val="21"/>
        <w:rPr>
          <w:rFonts w:ascii="宋体" w:hAnsi="宋体"/>
          <w:sz w:val="24"/>
          <w:szCs w:val="24"/>
          <w:highlight w:val="none"/>
        </w:rPr>
      </w:pPr>
      <w:r>
        <w:rPr>
          <w:rFonts w:hint="eastAsia" w:ascii="宋体" w:hAnsi="宋体"/>
          <w:sz w:val="24"/>
          <w:szCs w:val="24"/>
          <w:highlight w:val="none"/>
        </w:rPr>
        <w:t>（6）快报关联管理</w:t>
      </w:r>
    </w:p>
    <w:p>
      <w:pPr>
        <w:pStyle w:val="21"/>
        <w:rPr>
          <w:rFonts w:ascii="宋体" w:hAnsi="宋体"/>
          <w:sz w:val="24"/>
          <w:szCs w:val="24"/>
          <w:highlight w:val="none"/>
        </w:rPr>
      </w:pPr>
      <w:r>
        <w:rPr>
          <w:rFonts w:hint="eastAsia" w:ascii="宋体" w:hAnsi="宋体"/>
          <w:sz w:val="24"/>
          <w:szCs w:val="24"/>
          <w:highlight w:val="none"/>
        </w:rPr>
        <w:t>对应设计完成各快报之间的关联关系，各报表数据项的对应需要进行指定，完成个数据项之间的通用计算关联关系。</w:t>
      </w:r>
    </w:p>
    <w:p>
      <w:pPr>
        <w:pStyle w:val="21"/>
        <w:rPr>
          <w:rFonts w:ascii="宋体" w:hAnsi="宋体"/>
          <w:sz w:val="24"/>
          <w:szCs w:val="24"/>
          <w:highlight w:val="none"/>
        </w:rPr>
      </w:pPr>
      <w:r>
        <w:rPr>
          <w:rFonts w:hint="eastAsia" w:ascii="宋体" w:hAnsi="宋体"/>
          <w:sz w:val="24"/>
          <w:szCs w:val="24"/>
          <w:highlight w:val="none"/>
        </w:rPr>
        <w:t>2、企业财务快报任务制定管理模块</w:t>
      </w:r>
    </w:p>
    <w:p>
      <w:pPr>
        <w:pStyle w:val="21"/>
        <w:rPr>
          <w:rFonts w:ascii="宋体" w:hAnsi="宋体"/>
          <w:sz w:val="24"/>
          <w:szCs w:val="24"/>
          <w:highlight w:val="none"/>
        </w:rPr>
      </w:pPr>
      <w:r>
        <w:rPr>
          <w:rFonts w:hint="eastAsia" w:ascii="宋体" w:hAnsi="宋体"/>
          <w:sz w:val="24"/>
          <w:szCs w:val="24"/>
          <w:highlight w:val="none"/>
        </w:rPr>
        <w:t>提供按期制定企业财务快报编制任务的功能。通过选取已设计好的企业财务快报模板的组合，确定本次编制任务使用哪些报表，设置数据填报的起止时间，不同行业的差异设置等，从而制定每月企业财务快报的编制任务。该功能模块主要包含如下功能：</w:t>
      </w:r>
    </w:p>
    <w:p>
      <w:pPr>
        <w:pStyle w:val="21"/>
        <w:rPr>
          <w:rFonts w:ascii="宋体" w:hAnsi="宋体"/>
          <w:sz w:val="24"/>
          <w:szCs w:val="24"/>
          <w:highlight w:val="none"/>
        </w:rPr>
      </w:pPr>
      <w:r>
        <w:rPr>
          <w:rFonts w:hint="eastAsia" w:ascii="宋体" w:hAnsi="宋体"/>
          <w:sz w:val="24"/>
          <w:szCs w:val="24"/>
          <w:highlight w:val="none"/>
        </w:rPr>
        <w:t>（1）快报任务类别管理：完成对快报任务的类别层级定义，可以定义多级别的快报任务类别，辅助快报任务的归类和统一管理。</w:t>
      </w:r>
    </w:p>
    <w:p>
      <w:pPr>
        <w:pStyle w:val="21"/>
        <w:rPr>
          <w:rFonts w:ascii="宋体" w:hAnsi="宋体"/>
          <w:sz w:val="24"/>
          <w:szCs w:val="24"/>
          <w:highlight w:val="none"/>
        </w:rPr>
      </w:pPr>
      <w:r>
        <w:rPr>
          <w:rFonts w:hint="eastAsia" w:ascii="宋体" w:hAnsi="宋体"/>
          <w:sz w:val="24"/>
          <w:szCs w:val="24"/>
          <w:highlight w:val="none"/>
        </w:rPr>
        <w:t>（2）快报任务模板设计：对快报任务模板的报表界面进行设计和开发，借助统一的设计工具完成对各自不同任务快报的模板定制，为任务的下发和上报提供基础。</w:t>
      </w:r>
    </w:p>
    <w:p>
      <w:pPr>
        <w:pStyle w:val="21"/>
        <w:rPr>
          <w:rFonts w:ascii="宋体" w:hAnsi="宋体"/>
          <w:sz w:val="24"/>
          <w:szCs w:val="24"/>
          <w:highlight w:val="none"/>
        </w:rPr>
      </w:pPr>
      <w:r>
        <w:rPr>
          <w:rFonts w:hint="eastAsia" w:ascii="宋体" w:hAnsi="宋体"/>
          <w:sz w:val="24"/>
          <w:szCs w:val="24"/>
          <w:highlight w:val="none"/>
        </w:rPr>
        <w:t>（3）快报任务指标管理：通过对快报任务指标的统一维护与管理来完成对制定的任务报表的规划和定制。</w:t>
      </w:r>
    </w:p>
    <w:p>
      <w:pPr>
        <w:pStyle w:val="21"/>
        <w:rPr>
          <w:rFonts w:ascii="宋体" w:hAnsi="宋体"/>
          <w:sz w:val="24"/>
          <w:szCs w:val="24"/>
          <w:highlight w:val="none"/>
        </w:rPr>
      </w:pPr>
      <w:r>
        <w:rPr>
          <w:rFonts w:hint="eastAsia" w:ascii="宋体" w:hAnsi="宋体"/>
          <w:sz w:val="24"/>
          <w:szCs w:val="24"/>
          <w:highlight w:val="none"/>
        </w:rPr>
        <w:t>（4）快报任务用户管理：统一制定规划使用快报任务模块的用户权限和角色。</w:t>
      </w:r>
    </w:p>
    <w:p>
      <w:pPr>
        <w:pStyle w:val="21"/>
        <w:rPr>
          <w:rFonts w:ascii="宋体" w:hAnsi="宋体"/>
          <w:sz w:val="24"/>
          <w:szCs w:val="24"/>
          <w:highlight w:val="none"/>
        </w:rPr>
      </w:pPr>
      <w:r>
        <w:rPr>
          <w:rFonts w:hint="eastAsia" w:ascii="宋体" w:hAnsi="宋体"/>
          <w:sz w:val="24"/>
          <w:szCs w:val="24"/>
          <w:highlight w:val="none"/>
        </w:rPr>
        <w:t>3、企业财务快报任务下发管理模块</w:t>
      </w:r>
    </w:p>
    <w:p>
      <w:pPr>
        <w:pStyle w:val="21"/>
        <w:rPr>
          <w:rFonts w:ascii="宋体" w:hAnsi="宋体"/>
          <w:sz w:val="24"/>
          <w:szCs w:val="24"/>
          <w:highlight w:val="none"/>
        </w:rPr>
      </w:pPr>
      <w:r>
        <w:rPr>
          <w:rFonts w:hint="eastAsia" w:ascii="宋体" w:hAnsi="宋体"/>
          <w:sz w:val="24"/>
          <w:szCs w:val="24"/>
          <w:highlight w:val="none"/>
        </w:rPr>
        <w:t>将企业财务快报编制任务分配到各级国有企业，系统自动提示企业当前需要填写的报表，实现任务的上下级贯通，确保任务信息能够及时被获取。国资委可以向企业下发财务快报编制任务，企业接收任务后可以向下级企业逐级下发；</w:t>
      </w:r>
    </w:p>
    <w:p>
      <w:pPr>
        <w:pStyle w:val="21"/>
        <w:rPr>
          <w:rFonts w:ascii="宋体" w:hAnsi="宋体"/>
          <w:sz w:val="24"/>
          <w:szCs w:val="24"/>
          <w:highlight w:val="none"/>
        </w:rPr>
      </w:pPr>
      <w:r>
        <w:rPr>
          <w:rFonts w:hint="eastAsia" w:ascii="宋体" w:hAnsi="宋体"/>
          <w:sz w:val="24"/>
          <w:szCs w:val="24"/>
          <w:highlight w:val="none"/>
        </w:rPr>
        <w:t>该功能模块主要包含的功能有任务下发角色管理、下发角色配置管理、快报下发机制管理、快报任务流程管理。</w:t>
      </w:r>
    </w:p>
    <w:p>
      <w:pPr>
        <w:pStyle w:val="21"/>
        <w:rPr>
          <w:rFonts w:ascii="宋体" w:hAnsi="宋体"/>
          <w:sz w:val="24"/>
          <w:szCs w:val="24"/>
          <w:highlight w:val="none"/>
        </w:rPr>
      </w:pPr>
      <w:r>
        <w:rPr>
          <w:rFonts w:hint="eastAsia" w:ascii="宋体" w:hAnsi="宋体"/>
          <w:sz w:val="24"/>
          <w:szCs w:val="24"/>
          <w:highlight w:val="none"/>
        </w:rPr>
        <w:t>4、企业财务快报录入管理模块</w:t>
      </w:r>
    </w:p>
    <w:p>
      <w:pPr>
        <w:pStyle w:val="21"/>
        <w:rPr>
          <w:rFonts w:ascii="宋体" w:hAnsi="宋体"/>
          <w:sz w:val="24"/>
          <w:szCs w:val="24"/>
          <w:highlight w:val="none"/>
        </w:rPr>
      </w:pPr>
      <w:r>
        <w:rPr>
          <w:rFonts w:hint="eastAsia" w:ascii="宋体" w:hAnsi="宋体"/>
          <w:sz w:val="24"/>
          <w:szCs w:val="24"/>
          <w:highlight w:val="none"/>
        </w:rPr>
        <w:t>企业可以在需要填报的企业财务快报报表中填写数据，填写后可以保存，系统可以通过预定义的规则进行自动校验；系统提供在线填报或离线填报方式可供选择；企业在填报快报报表的同时，还可以添加企业经营状况分析和重大事项说明等附报文档；对于没有按时填报的企业，系统可以自动催报提醒。</w:t>
      </w:r>
    </w:p>
    <w:p>
      <w:pPr>
        <w:pStyle w:val="21"/>
        <w:rPr>
          <w:rFonts w:ascii="宋体" w:hAnsi="宋体"/>
          <w:sz w:val="24"/>
          <w:szCs w:val="24"/>
          <w:highlight w:val="none"/>
        </w:rPr>
      </w:pPr>
      <w:r>
        <w:rPr>
          <w:rFonts w:hint="eastAsia" w:ascii="宋体" w:hAnsi="宋体"/>
          <w:sz w:val="24"/>
          <w:szCs w:val="24"/>
          <w:highlight w:val="none"/>
        </w:rPr>
        <w:t>该功能模块主要由数据采集系统功能复用提供，主要包含如下功能：财务快报离线填报模块、财务快报在线填报模块、财务快报联网填报模块、快报填报数据指标管理。</w:t>
      </w:r>
    </w:p>
    <w:p>
      <w:pPr>
        <w:pStyle w:val="21"/>
        <w:rPr>
          <w:rFonts w:ascii="宋体" w:hAnsi="宋体"/>
          <w:sz w:val="24"/>
          <w:szCs w:val="24"/>
          <w:highlight w:val="none"/>
        </w:rPr>
      </w:pPr>
      <w:r>
        <w:rPr>
          <w:rFonts w:hint="eastAsia" w:ascii="宋体" w:hAnsi="宋体"/>
          <w:sz w:val="24"/>
          <w:szCs w:val="24"/>
          <w:highlight w:val="none"/>
        </w:rPr>
        <w:t>5、企业财务快报数据审核管理模块</w:t>
      </w:r>
    </w:p>
    <w:p>
      <w:pPr>
        <w:pStyle w:val="21"/>
        <w:rPr>
          <w:rFonts w:ascii="宋体" w:hAnsi="宋体"/>
          <w:sz w:val="24"/>
          <w:szCs w:val="24"/>
          <w:highlight w:val="none"/>
        </w:rPr>
      </w:pPr>
      <w:r>
        <w:rPr>
          <w:rFonts w:hint="eastAsia" w:ascii="宋体" w:hAnsi="宋体"/>
          <w:sz w:val="24"/>
          <w:szCs w:val="24"/>
          <w:highlight w:val="none"/>
        </w:rPr>
        <w:t>审核上报的企业财务快报数据。系统可以根据预定义公式自动审核，还提供在人工审核后填写审核意见的功能，对于审核不通过的财务快报可以返回企业重新填报。主要包含如下功能：</w:t>
      </w:r>
    </w:p>
    <w:p>
      <w:pPr>
        <w:pStyle w:val="21"/>
        <w:rPr>
          <w:rFonts w:ascii="宋体" w:hAnsi="宋体"/>
          <w:sz w:val="24"/>
          <w:szCs w:val="24"/>
          <w:highlight w:val="none"/>
        </w:rPr>
      </w:pPr>
      <w:r>
        <w:rPr>
          <w:rFonts w:hint="eastAsia" w:ascii="宋体" w:hAnsi="宋体"/>
          <w:sz w:val="24"/>
          <w:szCs w:val="24"/>
          <w:highlight w:val="none"/>
        </w:rPr>
        <w:t>（1）快报数据审核周期管理：对数据审核的周期进行管理和维护，按照进行定义的周期来定期审核企业财务快报数据。</w:t>
      </w:r>
    </w:p>
    <w:p>
      <w:pPr>
        <w:pStyle w:val="21"/>
        <w:rPr>
          <w:rFonts w:ascii="宋体" w:hAnsi="宋体"/>
          <w:sz w:val="24"/>
          <w:szCs w:val="24"/>
          <w:highlight w:val="none"/>
        </w:rPr>
      </w:pPr>
      <w:r>
        <w:rPr>
          <w:rFonts w:hint="eastAsia" w:ascii="宋体" w:hAnsi="宋体"/>
          <w:sz w:val="24"/>
          <w:szCs w:val="24"/>
          <w:highlight w:val="none"/>
        </w:rPr>
        <w:t>（2）快报审核权限管理：对快报审核用户的权限进行规划和定义，对于不同的人员有不同的访问、审核、控制权限来对快报数据进行审核，按照快报审核流程中的顺序完成整个审核的过程。</w:t>
      </w:r>
    </w:p>
    <w:p>
      <w:pPr>
        <w:pStyle w:val="21"/>
        <w:rPr>
          <w:rFonts w:ascii="宋体" w:hAnsi="宋体"/>
          <w:sz w:val="24"/>
          <w:szCs w:val="24"/>
          <w:highlight w:val="none"/>
        </w:rPr>
      </w:pPr>
      <w:r>
        <w:rPr>
          <w:rFonts w:hint="eastAsia" w:ascii="宋体" w:hAnsi="宋体"/>
          <w:sz w:val="24"/>
          <w:szCs w:val="24"/>
          <w:highlight w:val="none"/>
        </w:rPr>
        <w:t>（3）快报审核流程管理：对于不同类别的快报数据定义相适应的审核流程，审核流程可以是单独针对一类快报，也可以是针对一组报表，并且在流程的控制中可以有多个节点的多条件流程判断，做到完全满足各种快报审核流程的差异性。</w:t>
      </w:r>
    </w:p>
    <w:p>
      <w:pPr>
        <w:pStyle w:val="21"/>
        <w:rPr>
          <w:rFonts w:ascii="宋体" w:hAnsi="宋体"/>
          <w:sz w:val="24"/>
          <w:szCs w:val="24"/>
          <w:highlight w:val="none"/>
        </w:rPr>
      </w:pPr>
      <w:r>
        <w:rPr>
          <w:rFonts w:hint="eastAsia" w:ascii="宋体" w:hAnsi="宋体"/>
          <w:sz w:val="24"/>
          <w:szCs w:val="24"/>
          <w:highlight w:val="none"/>
        </w:rPr>
        <w:t>（4）审核快报项管理维护模块：对快报审核过程中单独的审核项进行管理，可以把快报审核数据与审核结果数据分解存储，将来进行定制类开发能够方便的利用其资源。</w:t>
      </w:r>
    </w:p>
    <w:p>
      <w:pPr>
        <w:pStyle w:val="21"/>
        <w:rPr>
          <w:rFonts w:ascii="宋体" w:hAnsi="宋体"/>
          <w:sz w:val="24"/>
          <w:szCs w:val="24"/>
          <w:highlight w:val="none"/>
        </w:rPr>
      </w:pPr>
      <w:r>
        <w:rPr>
          <w:rFonts w:hint="eastAsia" w:ascii="宋体" w:hAnsi="宋体"/>
          <w:sz w:val="24"/>
          <w:szCs w:val="24"/>
          <w:highlight w:val="none"/>
        </w:rPr>
        <w:t>6、企业财务快报数据汇总管理模块</w:t>
      </w:r>
    </w:p>
    <w:p>
      <w:pPr>
        <w:pStyle w:val="21"/>
        <w:rPr>
          <w:rFonts w:ascii="宋体" w:hAnsi="宋体"/>
          <w:sz w:val="24"/>
          <w:szCs w:val="24"/>
          <w:highlight w:val="none"/>
        </w:rPr>
      </w:pPr>
      <w:r>
        <w:rPr>
          <w:rFonts w:hint="eastAsia" w:ascii="宋体" w:hAnsi="宋体"/>
          <w:sz w:val="24"/>
          <w:szCs w:val="24"/>
          <w:highlight w:val="none"/>
        </w:rPr>
        <w:t>可以对企业财务快报数据进行分表式、分级次、分企业、分行业、分时间的汇总，也可以按照用户设定的条件汇总，可追溯查询汇总数据的来源。具体包括如下功能：</w:t>
      </w:r>
    </w:p>
    <w:p>
      <w:pPr>
        <w:pStyle w:val="21"/>
        <w:rPr>
          <w:rFonts w:ascii="宋体" w:hAnsi="宋体"/>
          <w:sz w:val="24"/>
          <w:szCs w:val="24"/>
          <w:highlight w:val="none"/>
        </w:rPr>
      </w:pPr>
      <w:r>
        <w:rPr>
          <w:rFonts w:hint="eastAsia" w:ascii="宋体" w:hAnsi="宋体"/>
          <w:sz w:val="24"/>
          <w:szCs w:val="24"/>
          <w:highlight w:val="none"/>
        </w:rPr>
        <w:t>（1）汇总快报数据类别管理：首先对于汇总的快报数据进行类别管理，方便对数据进行汇总时可以归类和提取使用。其中包含类别的增删改查，相关维护的类别属性有名称、关联项、说明等字段。</w:t>
      </w:r>
    </w:p>
    <w:p>
      <w:pPr>
        <w:pStyle w:val="21"/>
        <w:rPr>
          <w:rFonts w:ascii="宋体" w:hAnsi="宋体"/>
          <w:sz w:val="24"/>
          <w:szCs w:val="24"/>
          <w:highlight w:val="none"/>
        </w:rPr>
      </w:pPr>
      <w:r>
        <w:rPr>
          <w:rFonts w:hint="eastAsia" w:ascii="宋体" w:hAnsi="宋体"/>
          <w:sz w:val="24"/>
          <w:szCs w:val="24"/>
          <w:highlight w:val="none"/>
        </w:rPr>
        <w:t>（2）快报数据抽取管理：根据快报数据的分类完成快报的数据抽取，抽取需要制定源快报数据地址、目的快报数据地址，抽取方式定义等项，把不同的快报数据项抽取汇总到一张中间表中，然后利用汇总定义的公式来完成数据项的自动计算和汇总功能。</w:t>
      </w:r>
    </w:p>
    <w:p>
      <w:pPr>
        <w:pStyle w:val="21"/>
        <w:rPr>
          <w:rFonts w:ascii="宋体" w:hAnsi="宋体"/>
          <w:sz w:val="24"/>
          <w:szCs w:val="24"/>
          <w:highlight w:val="none"/>
        </w:rPr>
      </w:pPr>
      <w:r>
        <w:rPr>
          <w:rFonts w:hint="eastAsia" w:ascii="宋体" w:hAnsi="宋体"/>
          <w:sz w:val="24"/>
          <w:szCs w:val="24"/>
          <w:highlight w:val="none"/>
        </w:rPr>
        <w:t>（3）快报数据中间表维护管理：在数据抽取过程中，需要对快报数据临时指定和定义中间表记录，方便最终的统计汇总，这就需要对中间表进行维护管理，把不同分类的中间表汇总统一管理需要使用时进行关联定义。</w:t>
      </w:r>
    </w:p>
    <w:p>
      <w:pPr>
        <w:pStyle w:val="21"/>
        <w:rPr>
          <w:rFonts w:ascii="宋体" w:hAnsi="宋体"/>
          <w:sz w:val="24"/>
          <w:szCs w:val="24"/>
          <w:highlight w:val="none"/>
        </w:rPr>
      </w:pPr>
      <w:r>
        <w:rPr>
          <w:rFonts w:hint="eastAsia" w:ascii="宋体" w:hAnsi="宋体"/>
          <w:sz w:val="24"/>
          <w:szCs w:val="24"/>
          <w:highlight w:val="none"/>
        </w:rPr>
        <w:t>（4）快报数据汇总公式管理：对于汇总的快报数据需要定义模型和方法，该功能主要是对于模型和的方法的公式进行统一分类管理，分别定义不同的计算公式，方便汇总快报数据时使用。</w:t>
      </w:r>
    </w:p>
    <w:p>
      <w:pPr>
        <w:pStyle w:val="21"/>
        <w:rPr>
          <w:rFonts w:ascii="宋体" w:hAnsi="宋体"/>
          <w:sz w:val="24"/>
          <w:szCs w:val="24"/>
          <w:highlight w:val="none"/>
        </w:rPr>
      </w:pPr>
      <w:r>
        <w:rPr>
          <w:rFonts w:hint="eastAsia" w:ascii="宋体" w:hAnsi="宋体"/>
          <w:sz w:val="24"/>
          <w:szCs w:val="24"/>
          <w:highlight w:val="none"/>
        </w:rPr>
        <w:t>7. 企业财务快报数据查询管理模块</w:t>
      </w:r>
    </w:p>
    <w:p>
      <w:pPr>
        <w:pStyle w:val="21"/>
        <w:rPr>
          <w:rFonts w:hint="eastAsia" w:ascii="宋体" w:hAnsi="宋体" w:eastAsiaTheme="minorEastAsia"/>
          <w:sz w:val="24"/>
          <w:szCs w:val="24"/>
          <w:highlight w:val="none"/>
        </w:rPr>
      </w:pPr>
      <w:r>
        <w:rPr>
          <w:rFonts w:hint="eastAsia" w:ascii="宋体" w:hAnsi="宋体"/>
          <w:sz w:val="24"/>
          <w:szCs w:val="24"/>
          <w:highlight w:val="none"/>
        </w:rPr>
        <w:t>提供对企业财务快报数据的简单条件查询、复杂组合查询、自定义查询、基于查询结果集的二次查询等功能。可以选取企业代码、集团总部代码、所在地区、所属行业、经营规模、组织形式、填报年月等字段查询各期企业财务快报数据，通过关键字段对财务快报进行检索，能够准确、快速地定位需要查找的内容，有效提高工作效率；还可以根据报表类型分别查询分户数据和合并数据。</w:t>
      </w:r>
    </w:p>
    <w:p>
      <w:pPr>
        <w:pStyle w:val="21"/>
        <w:rPr>
          <w:rFonts w:ascii="宋体" w:hAnsi="宋体" w:eastAsiaTheme="minorEastAsia"/>
          <w:sz w:val="24"/>
          <w:szCs w:val="24"/>
          <w:highlight w:val="none"/>
        </w:rPr>
      </w:pPr>
      <w:r>
        <w:rPr>
          <w:rFonts w:hint="eastAsia" w:ascii="宋体" w:hAnsi="宋体" w:cs="宋体" w:eastAsiaTheme="minorEastAsia"/>
          <w:sz w:val="24"/>
          <w:szCs w:val="24"/>
          <w:highlight w:val="none"/>
        </w:rPr>
        <w:t>（二）资产情况</w:t>
      </w:r>
    </w:p>
    <w:p>
      <w:pPr>
        <w:pStyle w:val="21"/>
        <w:rPr>
          <w:rFonts w:ascii="宋体" w:hAnsi="宋体" w:eastAsiaTheme="minorEastAsia"/>
          <w:sz w:val="24"/>
          <w:szCs w:val="24"/>
          <w:highlight w:val="none"/>
        </w:rPr>
      </w:pPr>
      <w:r>
        <w:rPr>
          <w:rFonts w:hint="eastAsia" w:ascii="宋体" w:hAnsi="宋体" w:cs="宋体" w:eastAsiaTheme="minorEastAsia"/>
          <w:sz w:val="24"/>
          <w:szCs w:val="24"/>
          <w:highlight w:val="none"/>
        </w:rPr>
        <w:t>可对监管企业的固定资产与无形资产存量情况、土地情况、房屋情况、在建工程情况、资产出借情况进行在线数据管理，不同的资产可按照资产状态、资产分类情况进行管理。</w:t>
      </w:r>
    </w:p>
    <w:p>
      <w:pPr>
        <w:pStyle w:val="21"/>
        <w:rPr>
          <w:rFonts w:ascii="宋体" w:hAnsi="宋体" w:eastAsiaTheme="minorEastAsia"/>
          <w:sz w:val="24"/>
          <w:szCs w:val="24"/>
          <w:highlight w:val="none"/>
        </w:rPr>
      </w:pPr>
      <w:r>
        <w:rPr>
          <w:rFonts w:hint="eastAsia" w:ascii="宋体" w:hAnsi="宋体" w:cs="宋体" w:eastAsiaTheme="minorEastAsia"/>
          <w:sz w:val="24"/>
          <w:szCs w:val="24"/>
          <w:highlight w:val="none"/>
        </w:rPr>
        <w:t>（三）国资监管专项情况</w:t>
      </w:r>
    </w:p>
    <w:p>
      <w:pPr>
        <w:pStyle w:val="21"/>
        <w:rPr>
          <w:rFonts w:ascii="宋体" w:hAnsi="宋体" w:eastAsiaTheme="minorEastAsia"/>
          <w:sz w:val="24"/>
          <w:szCs w:val="24"/>
          <w:highlight w:val="none"/>
        </w:rPr>
      </w:pPr>
      <w:r>
        <w:rPr>
          <w:rFonts w:hint="eastAsia" w:ascii="宋体" w:hAnsi="宋体" w:cs="宋体" w:eastAsiaTheme="minorEastAsia"/>
          <w:sz w:val="24"/>
          <w:szCs w:val="24"/>
          <w:highlight w:val="none"/>
        </w:rPr>
        <w:t>可对监管企业的资产负债、利润、企业股权、对外投资、提供抵押担保等情况进行专项数据管理，为国资监管业务过程提供关键数据支撑。</w:t>
      </w:r>
    </w:p>
    <w:bookmarkEnd w:id="103"/>
    <w:p>
      <w:pPr>
        <w:pStyle w:val="5"/>
        <w:widowControl w:val="0"/>
        <w:numPr>
          <w:ilvl w:val="2"/>
          <w:numId w:val="3"/>
        </w:numPr>
        <w:tabs>
          <w:tab w:val="left" w:pos="560"/>
        </w:tabs>
        <w:kinsoku/>
        <w:autoSpaceDE/>
        <w:autoSpaceDN/>
        <w:adjustRightInd/>
        <w:snapToGrid/>
        <w:spacing w:before="240" w:after="120" w:line="360" w:lineRule="auto"/>
        <w:ind w:left="420" w:leftChars="0"/>
        <w:jc w:val="both"/>
        <w:textAlignment w:val="auto"/>
        <w:rPr>
          <w:rFonts w:hint="eastAsia" w:ascii="宋体" w:hAnsi="宋体" w:eastAsia="宋体"/>
          <w:szCs w:val="16"/>
          <w:highlight w:val="none"/>
        </w:rPr>
      </w:pPr>
      <w:bookmarkStart w:id="104" w:name="_Toc9185"/>
      <w:bookmarkStart w:id="105" w:name="_Hlk80087557"/>
      <w:r>
        <w:rPr>
          <w:rFonts w:hint="eastAsia" w:ascii="宋体" w:hAnsi="宋体" w:eastAsia="宋体"/>
          <w:szCs w:val="16"/>
          <w:highlight w:val="none"/>
        </w:rPr>
        <w:t>投资布局</w:t>
      </w:r>
    </w:p>
    <w:p>
      <w:pPr>
        <w:pStyle w:val="21"/>
        <w:rPr>
          <w:rFonts w:hint="eastAsia" w:ascii="宋体" w:hAnsi="宋体" w:eastAsia="宋体"/>
          <w:sz w:val="24"/>
          <w:szCs w:val="16"/>
          <w:highlight w:val="none"/>
        </w:rPr>
      </w:pPr>
      <w:r>
        <w:rPr>
          <w:rFonts w:hint="eastAsia" w:ascii="宋体" w:hAnsi="宋体"/>
          <w:sz w:val="24"/>
          <w:szCs w:val="24"/>
          <w:highlight w:val="none"/>
        </w:rPr>
        <w:t>实现对监管企业的投资布局情况管理，从年度投资计划、月度完成情况等方面进行业务数据管理与分析，实现对监管企业所有投资项目综合情况的统一管理和业务监管。主要功能包括年度投资计划、月度完成情况、投资分析、综合查询与统计等。</w:t>
      </w:r>
    </w:p>
    <w:p>
      <w:pPr>
        <w:pStyle w:val="5"/>
        <w:keepNext/>
        <w:keepLines/>
        <w:pageBreakBefore w:val="0"/>
        <w:widowControl w:val="0"/>
        <w:numPr>
          <w:ilvl w:val="2"/>
          <w:numId w:val="3"/>
        </w:numPr>
        <w:tabs>
          <w:tab w:val="left" w:pos="560"/>
        </w:tabs>
        <w:kinsoku/>
        <w:wordWrap/>
        <w:overflowPunct/>
        <w:topLinePunct w:val="0"/>
        <w:autoSpaceDE/>
        <w:autoSpaceDN/>
        <w:bidi w:val="0"/>
        <w:adjustRightInd/>
        <w:snapToGrid/>
        <w:spacing w:before="240" w:after="120" w:line="240" w:lineRule="auto"/>
        <w:ind w:left="420" w:leftChars="0" w:hanging="709"/>
        <w:jc w:val="both"/>
        <w:textAlignment w:val="auto"/>
        <w:rPr>
          <w:rFonts w:hint="eastAsia" w:ascii="宋体" w:hAnsi="宋体" w:eastAsia="宋体" w:cs="Times New Roman"/>
          <w:szCs w:val="16"/>
          <w:highlight w:val="none"/>
        </w:rPr>
      </w:pPr>
      <w:r>
        <w:rPr>
          <w:rFonts w:hint="eastAsia" w:ascii="宋体" w:hAnsi="宋体" w:eastAsia="宋体" w:cs="Times New Roman"/>
          <w:szCs w:val="16"/>
          <w:highlight w:val="none"/>
        </w:rPr>
        <w:t>科技创新</w:t>
      </w:r>
    </w:p>
    <w:p>
      <w:pPr>
        <w:pStyle w:val="21"/>
        <w:rPr>
          <w:rFonts w:hint="eastAsia" w:ascii="宋体" w:hAnsi="宋体"/>
          <w:sz w:val="24"/>
          <w:szCs w:val="24"/>
          <w:highlight w:val="none"/>
        </w:rPr>
      </w:pPr>
      <w:r>
        <w:rPr>
          <w:rFonts w:hint="eastAsia" w:ascii="宋体" w:hAnsi="宋体"/>
          <w:sz w:val="24"/>
          <w:szCs w:val="24"/>
          <w:highlight w:val="none"/>
        </w:rPr>
        <w:t>科技创新实现监管企业科技创新情况的管理，包括高新技术企业情况、安全环保情况、创新成果情况等。系统设计应符合陕西省国资委下发的监管指标要求。企业创新的基本情况包括科技活动经费支出、科技人才数量、申请专利数量(项)</w:t>
      </w:r>
      <w:r>
        <w:rPr>
          <w:rFonts w:hint="eastAsia" w:ascii="宋体" w:hAnsi="宋体" w:eastAsia="宋体"/>
          <w:sz w:val="24"/>
          <w:szCs w:val="24"/>
          <w:highlight w:val="none"/>
          <w:lang w:eastAsia="zh-CN"/>
        </w:rPr>
        <w:t>、</w:t>
      </w:r>
      <w:r>
        <w:rPr>
          <w:rFonts w:hint="eastAsia" w:ascii="宋体" w:hAnsi="宋体"/>
          <w:sz w:val="24"/>
          <w:szCs w:val="24"/>
          <w:highlight w:val="none"/>
        </w:rPr>
        <w:t>取得发明专利数量、取得实用新型专利数量等。高新技术企业登记情况包括资产总额、净资产、营业收入、净利润、科技活动经费支出、研发投入费用等。安全环保信息包括事故发生时间、事故发生地点、受伤人数、事故类型、事故原因、事故概况、直接经济损失等。</w:t>
      </w:r>
    </w:p>
    <w:p>
      <w:pPr>
        <w:pStyle w:val="5"/>
        <w:keepNext/>
        <w:keepLines/>
        <w:pageBreakBefore w:val="0"/>
        <w:widowControl w:val="0"/>
        <w:numPr>
          <w:ilvl w:val="2"/>
          <w:numId w:val="3"/>
        </w:numPr>
        <w:tabs>
          <w:tab w:val="left" w:pos="560"/>
        </w:tabs>
        <w:kinsoku/>
        <w:wordWrap/>
        <w:overflowPunct/>
        <w:topLinePunct w:val="0"/>
        <w:autoSpaceDE/>
        <w:autoSpaceDN/>
        <w:bidi w:val="0"/>
        <w:adjustRightInd/>
        <w:snapToGrid/>
        <w:spacing w:before="240" w:after="120" w:line="240" w:lineRule="auto"/>
        <w:ind w:left="420" w:leftChars="0" w:hanging="709"/>
        <w:jc w:val="both"/>
        <w:textAlignment w:val="auto"/>
        <w:rPr>
          <w:rFonts w:hint="eastAsia" w:ascii="宋体" w:hAnsi="宋体" w:eastAsia="宋体"/>
          <w:szCs w:val="16"/>
          <w:highlight w:val="none"/>
        </w:rPr>
      </w:pPr>
      <w:r>
        <w:rPr>
          <w:rFonts w:hint="eastAsia" w:ascii="宋体" w:hAnsi="宋体" w:eastAsia="宋体"/>
          <w:szCs w:val="16"/>
          <w:highlight w:val="none"/>
        </w:rPr>
        <w:t>公司治理</w:t>
      </w:r>
    </w:p>
    <w:p>
      <w:pPr>
        <w:pStyle w:val="21"/>
        <w:rPr>
          <w:rFonts w:hint="eastAsia" w:ascii="宋体" w:hAnsi="宋体"/>
          <w:sz w:val="24"/>
          <w:szCs w:val="24"/>
          <w:highlight w:val="none"/>
        </w:rPr>
      </w:pPr>
      <w:r>
        <w:rPr>
          <w:rFonts w:hint="eastAsia" w:ascii="宋体" w:hAnsi="宋体"/>
          <w:sz w:val="24"/>
          <w:szCs w:val="24"/>
          <w:highlight w:val="none"/>
        </w:rPr>
        <w:t>实现监管企业董事会设立情况、监事会设立情况的数据管理，包括一级、二级企业董事会设立情况，一级、二级企业监事会设立情况。</w:t>
      </w:r>
    </w:p>
    <w:p>
      <w:pPr>
        <w:pStyle w:val="5"/>
        <w:keepNext/>
        <w:keepLines/>
        <w:pageBreakBefore w:val="0"/>
        <w:widowControl w:val="0"/>
        <w:numPr>
          <w:ilvl w:val="2"/>
          <w:numId w:val="3"/>
        </w:numPr>
        <w:tabs>
          <w:tab w:val="left" w:pos="560"/>
        </w:tabs>
        <w:kinsoku/>
        <w:wordWrap/>
        <w:overflowPunct/>
        <w:topLinePunct w:val="0"/>
        <w:autoSpaceDE/>
        <w:autoSpaceDN/>
        <w:bidi w:val="0"/>
        <w:adjustRightInd/>
        <w:snapToGrid/>
        <w:spacing w:before="240" w:after="120" w:line="240" w:lineRule="auto"/>
        <w:ind w:left="420" w:leftChars="0" w:hanging="709"/>
        <w:jc w:val="both"/>
        <w:textAlignment w:val="auto"/>
        <w:rPr>
          <w:rFonts w:hint="eastAsia" w:ascii="宋体" w:hAnsi="宋体" w:eastAsia="宋体"/>
          <w:szCs w:val="16"/>
          <w:highlight w:val="none"/>
        </w:rPr>
      </w:pPr>
      <w:r>
        <w:rPr>
          <w:rFonts w:hint="eastAsia" w:ascii="宋体" w:hAnsi="宋体" w:eastAsia="宋体"/>
          <w:szCs w:val="16"/>
          <w:highlight w:val="none"/>
        </w:rPr>
        <w:t>企干管理</w:t>
      </w:r>
    </w:p>
    <w:p>
      <w:pPr>
        <w:pStyle w:val="21"/>
        <w:rPr>
          <w:rFonts w:hint="eastAsia" w:ascii="宋体" w:hAnsi="宋体" w:eastAsia="宋体"/>
          <w:sz w:val="24"/>
          <w:szCs w:val="24"/>
          <w:highlight w:val="none"/>
        </w:rPr>
      </w:pPr>
      <w:r>
        <w:rPr>
          <w:rFonts w:hint="eastAsia" w:ascii="宋体" w:hAnsi="宋体"/>
          <w:sz w:val="24"/>
          <w:szCs w:val="24"/>
          <w:highlight w:val="none"/>
        </w:rPr>
        <w:t>实现监管企业用工情况的数据管理，包括学历、年龄、薪酬水平、用工形式等多类汇总数据。系统设计应符合陕西省国资委下发的监管指标要求。</w:t>
      </w:r>
    </w:p>
    <w:p>
      <w:pPr>
        <w:pStyle w:val="5"/>
        <w:keepNext/>
        <w:keepLines/>
        <w:pageBreakBefore w:val="0"/>
        <w:widowControl w:val="0"/>
        <w:numPr>
          <w:ilvl w:val="2"/>
          <w:numId w:val="3"/>
        </w:numPr>
        <w:tabs>
          <w:tab w:val="left" w:pos="560"/>
        </w:tabs>
        <w:kinsoku/>
        <w:wordWrap/>
        <w:overflowPunct/>
        <w:topLinePunct w:val="0"/>
        <w:autoSpaceDE/>
        <w:autoSpaceDN/>
        <w:bidi w:val="0"/>
        <w:adjustRightInd/>
        <w:snapToGrid/>
        <w:spacing w:before="240" w:after="120" w:line="240" w:lineRule="auto"/>
        <w:ind w:left="420" w:leftChars="0" w:hanging="709"/>
        <w:jc w:val="both"/>
        <w:textAlignment w:val="auto"/>
        <w:rPr>
          <w:rFonts w:hint="eastAsia" w:ascii="宋体" w:hAnsi="宋体" w:eastAsia="宋体"/>
          <w:szCs w:val="16"/>
          <w:highlight w:val="none"/>
        </w:rPr>
      </w:pPr>
      <w:r>
        <w:rPr>
          <w:rFonts w:hint="eastAsia" w:ascii="宋体" w:hAnsi="宋体" w:eastAsia="宋体"/>
          <w:szCs w:val="16"/>
          <w:highlight w:val="none"/>
        </w:rPr>
        <w:t>人事管理</w:t>
      </w:r>
    </w:p>
    <w:p>
      <w:pPr>
        <w:pStyle w:val="21"/>
        <w:rPr>
          <w:rFonts w:hint="eastAsia" w:ascii="宋体" w:hAnsi="宋体"/>
          <w:sz w:val="24"/>
          <w:szCs w:val="24"/>
          <w:highlight w:val="none"/>
        </w:rPr>
      </w:pPr>
      <w:r>
        <w:rPr>
          <w:rFonts w:hint="eastAsia" w:ascii="宋体" w:hAnsi="宋体"/>
          <w:sz w:val="24"/>
          <w:szCs w:val="24"/>
          <w:highlight w:val="none"/>
        </w:rPr>
        <w:t>实现监管企业人员情况、人工成本情况的数据管理。企业人员基本信息包括合同制职工、劳务派遣人员、事业身份人员、其他人员等分布情况，企业人工成本统计信息包括基本工资、绩效工资、工资性津贴和补贴、其他工资等统计情况。系统设计应符合陕西省国资委下发的监管指标要求。</w:t>
      </w:r>
    </w:p>
    <w:p>
      <w:pPr>
        <w:pStyle w:val="21"/>
        <w:rPr>
          <w:rFonts w:hint="eastAsia" w:ascii="宋体" w:hAnsi="宋体"/>
          <w:sz w:val="24"/>
          <w:szCs w:val="24"/>
          <w:highlight w:val="none"/>
        </w:rPr>
      </w:pPr>
      <w:r>
        <w:rPr>
          <w:rFonts w:hint="eastAsia" w:ascii="宋体" w:hAnsi="宋体"/>
          <w:sz w:val="24"/>
          <w:szCs w:val="24"/>
          <w:highlight w:val="none"/>
        </w:rPr>
        <w:t>人事管理实现对国有企业领导人员管理、领导人绩效与薪酬管理、企业工资总额管理。</w:t>
      </w:r>
    </w:p>
    <w:p>
      <w:pPr>
        <w:pStyle w:val="21"/>
        <w:rPr>
          <w:rFonts w:hint="eastAsia" w:ascii="宋体" w:hAnsi="宋体"/>
          <w:sz w:val="24"/>
          <w:szCs w:val="24"/>
          <w:highlight w:val="none"/>
        </w:rPr>
      </w:pPr>
      <w:r>
        <w:rPr>
          <w:rFonts w:hint="eastAsia" w:ascii="宋体" w:hAnsi="宋体"/>
          <w:sz w:val="24"/>
          <w:szCs w:val="24"/>
          <w:highlight w:val="none"/>
        </w:rPr>
        <w:t>企业人事管理主要包括人员信息管理、干部任免管理、考核评价管理、薪酬及履职待遇管理、中长期激励管理、工资总额管理、出国（境）管理、退役军人安置管理、劳动用工和就业管理、拖欠农民工工资管理、专项审计信息管理等业务。</w:t>
      </w:r>
    </w:p>
    <w:p>
      <w:pPr>
        <w:pStyle w:val="21"/>
        <w:rPr>
          <w:rFonts w:hint="eastAsia" w:ascii="宋体" w:hAnsi="宋体"/>
          <w:sz w:val="24"/>
          <w:szCs w:val="24"/>
          <w:highlight w:val="none"/>
        </w:rPr>
      </w:pPr>
      <w:r>
        <w:rPr>
          <w:rFonts w:hint="eastAsia" w:ascii="宋体" w:hAnsi="宋体"/>
          <w:sz w:val="24"/>
          <w:szCs w:val="24"/>
          <w:highlight w:val="none"/>
        </w:rPr>
        <w:t>（一）人员信息管理</w:t>
      </w:r>
    </w:p>
    <w:p>
      <w:pPr>
        <w:pStyle w:val="21"/>
        <w:rPr>
          <w:rFonts w:hint="eastAsia" w:ascii="宋体" w:hAnsi="宋体"/>
          <w:sz w:val="24"/>
          <w:szCs w:val="24"/>
          <w:highlight w:val="none"/>
        </w:rPr>
      </w:pPr>
      <w:r>
        <w:rPr>
          <w:rFonts w:hint="eastAsia" w:ascii="宋体" w:hAnsi="宋体"/>
          <w:sz w:val="24"/>
          <w:szCs w:val="24"/>
          <w:highlight w:val="none"/>
        </w:rPr>
        <w:t>实现企干处对出资人代表、经营管理人员、党务人员、专业技术人员等人员信息进行维护管理，提供人员基础信息的维护功能；提供与主数据管理系统的数据同步功能；提供对人才信息库的多维度的统计分析功能，包括学历结构、年龄结构等维度。</w:t>
      </w:r>
    </w:p>
    <w:p>
      <w:pPr>
        <w:pStyle w:val="21"/>
        <w:rPr>
          <w:rFonts w:hint="eastAsia" w:ascii="宋体" w:hAnsi="宋体"/>
          <w:sz w:val="24"/>
          <w:szCs w:val="24"/>
          <w:highlight w:val="none"/>
        </w:rPr>
      </w:pPr>
      <w:r>
        <w:rPr>
          <w:rFonts w:hint="eastAsia" w:ascii="宋体" w:hAnsi="宋体"/>
          <w:sz w:val="24"/>
          <w:szCs w:val="24"/>
          <w:highlight w:val="none"/>
        </w:rPr>
        <w:t>（二）干部任免管理</w:t>
      </w:r>
    </w:p>
    <w:p>
      <w:pPr>
        <w:pStyle w:val="21"/>
        <w:rPr>
          <w:rFonts w:hint="eastAsia" w:ascii="宋体" w:hAnsi="宋体"/>
          <w:sz w:val="24"/>
          <w:szCs w:val="24"/>
          <w:highlight w:val="none"/>
        </w:rPr>
      </w:pPr>
      <w:r>
        <w:rPr>
          <w:rFonts w:hint="eastAsia" w:ascii="宋体" w:hAnsi="宋体"/>
          <w:sz w:val="24"/>
          <w:szCs w:val="24"/>
          <w:highlight w:val="none"/>
        </w:rPr>
        <w:t>维护企业干部任免基本信息，提供与任免文件的上传在线阅读功能，与人员信息管理的数据同步；对干部任免信息进行统计分析，包括对性别结构、学历结构、年龄结构等维度进行统计分析；</w:t>
      </w:r>
    </w:p>
    <w:p>
      <w:pPr>
        <w:pStyle w:val="21"/>
        <w:rPr>
          <w:rFonts w:hint="eastAsia" w:ascii="宋体" w:hAnsi="宋体"/>
          <w:sz w:val="24"/>
          <w:szCs w:val="24"/>
          <w:highlight w:val="none"/>
        </w:rPr>
      </w:pPr>
      <w:r>
        <w:rPr>
          <w:rFonts w:hint="eastAsia" w:ascii="宋体" w:hAnsi="宋体"/>
          <w:sz w:val="24"/>
          <w:szCs w:val="24"/>
          <w:highlight w:val="none"/>
        </w:rPr>
        <w:t>（三）考核评价管理</w:t>
      </w:r>
    </w:p>
    <w:p>
      <w:pPr>
        <w:pStyle w:val="21"/>
        <w:rPr>
          <w:rFonts w:hint="eastAsia" w:ascii="宋体" w:hAnsi="宋体"/>
          <w:sz w:val="24"/>
          <w:szCs w:val="24"/>
          <w:highlight w:val="none"/>
        </w:rPr>
      </w:pPr>
      <w:r>
        <w:rPr>
          <w:rFonts w:hint="eastAsia" w:ascii="宋体" w:hAnsi="宋体"/>
          <w:sz w:val="24"/>
          <w:szCs w:val="24"/>
          <w:highlight w:val="none"/>
        </w:rPr>
        <w:t>考核评价管理包括企业负责人年度考核管理、企业负责人任期考核管理、干部履职评价管理三部分。其中企业负责人年度考核管理分为考核目标制定、考核目标调整、考核过程跟踪、考核结果评定等4个流程；干部履职评价管理是国资委对委管企业领导班子、领导人员、外部董事、派出监事等企业领导干部的年度考核管理。</w:t>
      </w:r>
    </w:p>
    <w:p>
      <w:pPr>
        <w:pStyle w:val="21"/>
        <w:rPr>
          <w:rFonts w:hint="eastAsia" w:ascii="宋体" w:hAnsi="宋体"/>
          <w:sz w:val="24"/>
          <w:szCs w:val="24"/>
          <w:highlight w:val="none"/>
        </w:rPr>
      </w:pPr>
      <w:r>
        <w:rPr>
          <w:rFonts w:hint="eastAsia" w:ascii="宋体" w:hAnsi="宋体"/>
          <w:sz w:val="24"/>
          <w:szCs w:val="24"/>
          <w:highlight w:val="none"/>
        </w:rPr>
        <w:t>（四）薪酬及履职待遇</w:t>
      </w:r>
    </w:p>
    <w:p>
      <w:pPr>
        <w:pStyle w:val="21"/>
        <w:rPr>
          <w:rFonts w:hint="eastAsia" w:ascii="宋体" w:hAnsi="宋体"/>
          <w:sz w:val="24"/>
          <w:szCs w:val="24"/>
          <w:highlight w:val="none"/>
        </w:rPr>
      </w:pPr>
      <w:r>
        <w:rPr>
          <w:rFonts w:hint="eastAsia" w:ascii="宋体" w:hAnsi="宋体"/>
          <w:sz w:val="24"/>
          <w:szCs w:val="24"/>
          <w:highlight w:val="none"/>
        </w:rPr>
        <w:t>薪酬及履职待遇包括企业负责人薪酬管理、企业负责人公务用车管理、企业负责人办公用房、企业年金、企业补充医疗保险等部分。</w:t>
      </w:r>
    </w:p>
    <w:p>
      <w:pPr>
        <w:pStyle w:val="21"/>
        <w:rPr>
          <w:rFonts w:hint="eastAsia" w:ascii="宋体" w:hAnsi="宋体"/>
          <w:sz w:val="24"/>
          <w:szCs w:val="24"/>
          <w:highlight w:val="none"/>
        </w:rPr>
      </w:pPr>
      <w:r>
        <w:rPr>
          <w:rFonts w:hint="eastAsia" w:ascii="宋体" w:hAnsi="宋体"/>
          <w:sz w:val="24"/>
          <w:szCs w:val="24"/>
          <w:highlight w:val="none"/>
        </w:rPr>
        <w:t>（五）中长期激励管理</w:t>
      </w:r>
    </w:p>
    <w:p>
      <w:pPr>
        <w:pStyle w:val="21"/>
        <w:rPr>
          <w:rFonts w:hint="eastAsia" w:ascii="宋体" w:hAnsi="宋体"/>
          <w:sz w:val="24"/>
          <w:szCs w:val="24"/>
          <w:highlight w:val="none"/>
        </w:rPr>
      </w:pPr>
      <w:r>
        <w:rPr>
          <w:rFonts w:hint="eastAsia" w:ascii="宋体" w:hAnsi="宋体"/>
          <w:sz w:val="24"/>
          <w:szCs w:val="24"/>
          <w:highlight w:val="none"/>
        </w:rPr>
        <w:t>中长期激励管理包括国有控股上市公司股权激励管理、科技新企业股权激励和分红管理、其他中长期激励管理。</w:t>
      </w:r>
    </w:p>
    <w:p>
      <w:pPr>
        <w:pStyle w:val="21"/>
        <w:rPr>
          <w:rFonts w:hint="eastAsia" w:ascii="宋体" w:hAnsi="宋体"/>
          <w:sz w:val="24"/>
          <w:szCs w:val="24"/>
          <w:highlight w:val="none"/>
        </w:rPr>
      </w:pPr>
      <w:r>
        <w:rPr>
          <w:rFonts w:hint="eastAsia" w:ascii="宋体" w:hAnsi="宋体"/>
          <w:sz w:val="24"/>
          <w:szCs w:val="24"/>
          <w:highlight w:val="none"/>
        </w:rPr>
        <w:t>（六）工资总额管理</w:t>
      </w:r>
    </w:p>
    <w:p>
      <w:pPr>
        <w:pStyle w:val="21"/>
        <w:rPr>
          <w:rFonts w:hint="eastAsia" w:ascii="宋体" w:hAnsi="宋体"/>
          <w:sz w:val="24"/>
          <w:szCs w:val="24"/>
          <w:highlight w:val="none"/>
        </w:rPr>
      </w:pPr>
      <w:r>
        <w:rPr>
          <w:rFonts w:hint="eastAsia" w:ascii="宋体" w:hAnsi="宋体"/>
          <w:sz w:val="24"/>
          <w:szCs w:val="24"/>
          <w:highlight w:val="none"/>
        </w:rPr>
        <w:t>工资总额管理整体上包括工资总额预算编制、工资总额预算调整、工资总额执行过程监督、工资总额清算等4个环节。</w:t>
      </w:r>
    </w:p>
    <w:p>
      <w:pPr>
        <w:pStyle w:val="21"/>
        <w:rPr>
          <w:rFonts w:hint="eastAsia" w:ascii="宋体" w:hAnsi="宋体"/>
          <w:sz w:val="24"/>
          <w:szCs w:val="24"/>
          <w:highlight w:val="none"/>
        </w:rPr>
      </w:pPr>
      <w:r>
        <w:rPr>
          <w:rFonts w:hint="eastAsia" w:ascii="宋体" w:hAnsi="宋体"/>
          <w:sz w:val="24"/>
          <w:szCs w:val="24"/>
          <w:highlight w:val="none"/>
        </w:rPr>
        <w:t>（七）、劳动用工和就业管理</w:t>
      </w:r>
    </w:p>
    <w:p>
      <w:pPr>
        <w:pStyle w:val="21"/>
        <w:rPr>
          <w:rFonts w:hint="eastAsia" w:ascii="宋体" w:hAnsi="宋体"/>
          <w:sz w:val="24"/>
          <w:szCs w:val="24"/>
          <w:highlight w:val="none"/>
        </w:rPr>
      </w:pPr>
      <w:r>
        <w:rPr>
          <w:rFonts w:hint="eastAsia" w:ascii="宋体" w:hAnsi="宋体"/>
          <w:sz w:val="24"/>
          <w:szCs w:val="24"/>
          <w:highlight w:val="none"/>
        </w:rPr>
        <w:t>监管企业通过系统上报劳动用工和就业信息，国资委对企业填报的信息进行统计、汇总和分析。</w:t>
      </w:r>
    </w:p>
    <w:p>
      <w:pPr>
        <w:pStyle w:val="21"/>
        <w:rPr>
          <w:rFonts w:hint="eastAsia" w:ascii="宋体" w:hAnsi="宋体"/>
          <w:sz w:val="24"/>
          <w:szCs w:val="24"/>
          <w:highlight w:val="none"/>
        </w:rPr>
      </w:pPr>
      <w:r>
        <w:rPr>
          <w:rFonts w:hint="eastAsia" w:ascii="宋体" w:hAnsi="宋体"/>
          <w:sz w:val="24"/>
          <w:szCs w:val="24"/>
          <w:highlight w:val="none"/>
        </w:rPr>
        <w:t>（八）拖欠农民工工资管理</w:t>
      </w:r>
    </w:p>
    <w:p>
      <w:pPr>
        <w:pStyle w:val="21"/>
        <w:rPr>
          <w:rFonts w:hint="eastAsia" w:ascii="宋体" w:hAnsi="宋体"/>
          <w:sz w:val="24"/>
          <w:szCs w:val="24"/>
          <w:highlight w:val="none"/>
        </w:rPr>
      </w:pPr>
      <w:r>
        <w:rPr>
          <w:rFonts w:hint="eastAsia" w:ascii="宋体" w:hAnsi="宋体"/>
          <w:sz w:val="24"/>
          <w:szCs w:val="24"/>
          <w:highlight w:val="none"/>
        </w:rPr>
        <w:t>对监管企业拖欠农民工工资情况进行管理。</w:t>
      </w:r>
    </w:p>
    <w:p>
      <w:pPr>
        <w:pStyle w:val="21"/>
        <w:rPr>
          <w:rFonts w:hint="eastAsia" w:ascii="宋体" w:hAnsi="宋体"/>
          <w:sz w:val="24"/>
          <w:szCs w:val="24"/>
          <w:highlight w:val="none"/>
        </w:rPr>
      </w:pPr>
      <w:r>
        <w:rPr>
          <w:rFonts w:hint="eastAsia" w:ascii="宋体" w:hAnsi="宋体"/>
          <w:sz w:val="24"/>
          <w:szCs w:val="24"/>
          <w:highlight w:val="none"/>
        </w:rPr>
        <w:t>（九）企业领导人出国（境）管理</w:t>
      </w:r>
    </w:p>
    <w:p>
      <w:pPr>
        <w:pStyle w:val="21"/>
        <w:rPr>
          <w:rFonts w:hint="eastAsia" w:ascii="宋体" w:hAnsi="宋体"/>
          <w:sz w:val="24"/>
          <w:szCs w:val="24"/>
          <w:highlight w:val="none"/>
        </w:rPr>
      </w:pPr>
      <w:r>
        <w:rPr>
          <w:rFonts w:hint="eastAsia" w:ascii="宋体" w:hAnsi="宋体"/>
          <w:sz w:val="24"/>
          <w:szCs w:val="24"/>
          <w:highlight w:val="none"/>
        </w:rPr>
        <w:t>对监管企业的经理层因公、因私出国（境）进行登记、审批管理。</w:t>
      </w:r>
    </w:p>
    <w:p>
      <w:pPr>
        <w:pStyle w:val="5"/>
        <w:keepNext/>
        <w:keepLines/>
        <w:pageBreakBefore w:val="0"/>
        <w:widowControl w:val="0"/>
        <w:numPr>
          <w:ilvl w:val="2"/>
          <w:numId w:val="3"/>
        </w:numPr>
        <w:tabs>
          <w:tab w:val="left" w:pos="560"/>
        </w:tabs>
        <w:kinsoku/>
        <w:wordWrap/>
        <w:overflowPunct/>
        <w:topLinePunct w:val="0"/>
        <w:autoSpaceDE/>
        <w:autoSpaceDN/>
        <w:bidi w:val="0"/>
        <w:adjustRightInd/>
        <w:snapToGrid/>
        <w:spacing w:before="240" w:after="120" w:line="240" w:lineRule="auto"/>
        <w:ind w:left="420" w:leftChars="0" w:hanging="709"/>
        <w:jc w:val="both"/>
        <w:textAlignment w:val="auto"/>
        <w:rPr>
          <w:rFonts w:hint="eastAsia" w:ascii="宋体" w:hAnsi="宋体" w:eastAsia="宋体"/>
          <w:szCs w:val="16"/>
          <w:highlight w:val="none"/>
        </w:rPr>
      </w:pPr>
      <w:r>
        <w:rPr>
          <w:rFonts w:hint="eastAsia" w:ascii="宋体" w:hAnsi="宋体" w:eastAsia="宋体"/>
          <w:szCs w:val="16"/>
          <w:highlight w:val="none"/>
        </w:rPr>
        <w:t>产权管理</w:t>
      </w:r>
    </w:p>
    <w:p>
      <w:pPr>
        <w:pStyle w:val="21"/>
        <w:rPr>
          <w:rFonts w:hint="eastAsia" w:ascii="宋体" w:hAnsi="宋体"/>
          <w:sz w:val="24"/>
          <w:szCs w:val="24"/>
          <w:highlight w:val="none"/>
        </w:rPr>
      </w:pPr>
      <w:r>
        <w:rPr>
          <w:rFonts w:hint="eastAsia" w:ascii="宋体" w:hAnsi="宋体"/>
          <w:sz w:val="24"/>
          <w:szCs w:val="24"/>
          <w:highlight w:val="none"/>
        </w:rPr>
        <w:t>实现以《国家出资企业产权登记管理暂行办法》等制度法规为依据，以产权登记为务核心，对监管企主要的经济行为进行了统一流程性管理，主要信息范围包含企业基础信息、经济行为信息、合规性资料目录等。主要功能包括产权登记与变更、注销，产权管理树，综合查询与分析等。</w:t>
      </w:r>
    </w:p>
    <w:p>
      <w:pPr>
        <w:pStyle w:val="21"/>
        <w:rPr>
          <w:rFonts w:hint="eastAsia" w:ascii="宋体" w:hAnsi="宋体"/>
          <w:sz w:val="24"/>
          <w:szCs w:val="24"/>
          <w:highlight w:val="none"/>
        </w:rPr>
      </w:pPr>
      <w:r>
        <w:rPr>
          <w:rFonts w:hint="eastAsia" w:ascii="宋体" w:hAnsi="宋体"/>
          <w:sz w:val="24"/>
          <w:szCs w:val="24"/>
          <w:highlight w:val="none"/>
        </w:rPr>
        <w:t>产权登记必须支持企的主要经济行为，如投资新设、收购、减资、注销等。</w:t>
      </w:r>
    </w:p>
    <w:p>
      <w:pPr>
        <w:pStyle w:val="21"/>
        <w:rPr>
          <w:rFonts w:hint="eastAsia" w:ascii="宋体" w:hAnsi="宋体"/>
          <w:sz w:val="24"/>
          <w:szCs w:val="24"/>
          <w:highlight w:val="none"/>
        </w:rPr>
      </w:pPr>
      <w:r>
        <w:rPr>
          <w:rFonts w:hint="eastAsia" w:ascii="宋体" w:hAnsi="宋体"/>
          <w:sz w:val="24"/>
          <w:szCs w:val="24"/>
          <w:highlight w:val="none"/>
        </w:rPr>
        <w:t>系统具备产权交易数据管理功能，支持与产权交易中心进行数据对接。</w:t>
      </w:r>
    </w:p>
    <w:p>
      <w:pPr>
        <w:pStyle w:val="21"/>
        <w:rPr>
          <w:rFonts w:hint="eastAsia" w:ascii="宋体" w:hAnsi="宋体"/>
          <w:sz w:val="24"/>
          <w:szCs w:val="24"/>
          <w:highlight w:val="none"/>
        </w:rPr>
      </w:pPr>
      <w:r>
        <w:rPr>
          <w:rFonts w:hint="eastAsia" w:ascii="宋体" w:hAnsi="宋体"/>
          <w:sz w:val="24"/>
          <w:szCs w:val="24"/>
          <w:highlight w:val="none"/>
        </w:rPr>
        <w:t>系统审批基于事项流程进行设计实现产权信息的流程审批与确认，包括发起事项、待办事项、在办事项、已办事项等。可配置和定义事项流程，支持不同的经济行为采用不同的审批流程。</w:t>
      </w:r>
    </w:p>
    <w:p>
      <w:pPr>
        <w:pStyle w:val="21"/>
        <w:rPr>
          <w:rFonts w:hint="eastAsia" w:ascii="宋体" w:hAnsi="宋体"/>
          <w:sz w:val="24"/>
          <w:szCs w:val="24"/>
          <w:highlight w:val="none"/>
        </w:rPr>
      </w:pPr>
      <w:r>
        <w:rPr>
          <w:rFonts w:hint="eastAsia" w:ascii="宋体" w:hAnsi="宋体"/>
          <w:sz w:val="24"/>
          <w:szCs w:val="24"/>
          <w:highlight w:val="none"/>
        </w:rPr>
        <w:t>系统可以产权关系树的形式动态呈现企业产权归属、占比及管理状况，每个节点可以体现企基础信息。</w:t>
      </w:r>
    </w:p>
    <w:p>
      <w:pPr>
        <w:pStyle w:val="21"/>
        <w:rPr>
          <w:rFonts w:hint="eastAsia" w:ascii="宋体" w:hAnsi="宋体"/>
          <w:sz w:val="24"/>
          <w:szCs w:val="24"/>
          <w:highlight w:val="none"/>
        </w:rPr>
      </w:pPr>
      <w:r>
        <w:rPr>
          <w:rFonts w:hint="eastAsia" w:ascii="宋体" w:hAnsi="宋体"/>
          <w:sz w:val="24"/>
          <w:szCs w:val="24"/>
          <w:highlight w:val="none"/>
        </w:rPr>
        <w:t>系统支持附件上传与下载，表证打印等常用功能。</w:t>
      </w:r>
    </w:p>
    <w:p>
      <w:pPr>
        <w:pStyle w:val="5"/>
        <w:keepNext/>
        <w:keepLines/>
        <w:pageBreakBefore w:val="0"/>
        <w:widowControl w:val="0"/>
        <w:numPr>
          <w:ilvl w:val="2"/>
          <w:numId w:val="3"/>
        </w:numPr>
        <w:tabs>
          <w:tab w:val="left" w:pos="560"/>
        </w:tabs>
        <w:kinsoku/>
        <w:wordWrap/>
        <w:overflowPunct/>
        <w:topLinePunct w:val="0"/>
        <w:autoSpaceDE/>
        <w:autoSpaceDN/>
        <w:bidi w:val="0"/>
        <w:adjustRightInd/>
        <w:snapToGrid/>
        <w:spacing w:before="240" w:after="120" w:line="240" w:lineRule="auto"/>
        <w:ind w:left="420" w:leftChars="0" w:hanging="709"/>
        <w:jc w:val="both"/>
        <w:textAlignment w:val="auto"/>
        <w:rPr>
          <w:rFonts w:hint="eastAsia" w:ascii="宋体" w:hAnsi="宋体" w:eastAsia="宋体"/>
          <w:szCs w:val="16"/>
          <w:highlight w:val="none"/>
        </w:rPr>
      </w:pPr>
      <w:r>
        <w:rPr>
          <w:rFonts w:hint="eastAsia" w:ascii="宋体" w:hAnsi="宋体" w:eastAsia="宋体"/>
          <w:szCs w:val="16"/>
          <w:highlight w:val="none"/>
        </w:rPr>
        <w:t>党建管理</w:t>
      </w:r>
    </w:p>
    <w:p>
      <w:pPr>
        <w:pStyle w:val="21"/>
        <w:rPr>
          <w:rFonts w:hint="eastAsia" w:ascii="宋体" w:hAnsi="宋体" w:eastAsia="Arial" w:cs="Arial"/>
          <w:sz w:val="24"/>
          <w:szCs w:val="24"/>
          <w:highlight w:val="none"/>
        </w:rPr>
      </w:pPr>
      <w:r>
        <w:rPr>
          <w:rFonts w:hint="eastAsia" w:ascii="宋体" w:hAnsi="宋体" w:eastAsia="Arial" w:cs="Arial"/>
          <w:sz w:val="24"/>
          <w:szCs w:val="24"/>
          <w:highlight w:val="none"/>
        </w:rPr>
        <w:t>实现监管企业党委、党组织、党委工作部门、党员信息以及党员发展情况的数据管理。系统设计应符合陕西省国资委下发的监管指标要求，包括党委基本信息、党组织基本信息、党委工作部门设置情况、党员基本信息、党员发展情况等，为党建体系工作的开展提供高效、便捷的应用。</w:t>
      </w:r>
    </w:p>
    <w:p>
      <w:pPr>
        <w:pStyle w:val="5"/>
        <w:keepNext/>
        <w:keepLines/>
        <w:pageBreakBefore w:val="0"/>
        <w:widowControl w:val="0"/>
        <w:numPr>
          <w:ilvl w:val="2"/>
          <w:numId w:val="3"/>
        </w:numPr>
        <w:tabs>
          <w:tab w:val="left" w:pos="560"/>
        </w:tabs>
        <w:kinsoku/>
        <w:wordWrap/>
        <w:overflowPunct/>
        <w:topLinePunct w:val="0"/>
        <w:autoSpaceDE/>
        <w:autoSpaceDN/>
        <w:bidi w:val="0"/>
        <w:adjustRightInd/>
        <w:snapToGrid/>
        <w:spacing w:before="240" w:after="120" w:line="240" w:lineRule="auto"/>
        <w:ind w:left="420" w:leftChars="0" w:hanging="709"/>
        <w:jc w:val="both"/>
        <w:textAlignment w:val="auto"/>
        <w:rPr>
          <w:rFonts w:hint="eastAsia" w:ascii="宋体" w:hAnsi="宋体" w:eastAsia="宋体"/>
          <w:szCs w:val="16"/>
          <w:highlight w:val="none"/>
        </w:rPr>
      </w:pPr>
      <w:r>
        <w:rPr>
          <w:rFonts w:hint="eastAsia" w:ascii="宋体" w:hAnsi="宋体" w:eastAsia="宋体"/>
          <w:szCs w:val="16"/>
          <w:highlight w:val="none"/>
          <w:lang w:val="en-US" w:eastAsia="zh-CN"/>
        </w:rPr>
        <w:t>三重一大</w:t>
      </w:r>
    </w:p>
    <w:p>
      <w:pPr>
        <w:pStyle w:val="21"/>
        <w:rPr>
          <w:rFonts w:hint="eastAsia" w:ascii="宋体" w:hAnsi="宋体"/>
          <w:sz w:val="24"/>
          <w:szCs w:val="24"/>
          <w:highlight w:val="none"/>
        </w:rPr>
      </w:pPr>
      <w:r>
        <w:rPr>
          <w:rFonts w:hint="eastAsia" w:ascii="宋体" w:hAnsi="宋体"/>
          <w:sz w:val="24"/>
          <w:szCs w:val="24"/>
          <w:highlight w:val="none"/>
        </w:rPr>
        <w:t>根据市国资委监管要求，结合监管企业填报需求，需建设三重一大填报系统，实现对涉及三重一大相关的监管数据指标进行在线填报。功能为监管概况、信息管理、决策制度管理、事项清单管理、决策会议管理、数据上报。</w:t>
      </w:r>
    </w:p>
    <w:p>
      <w:pPr>
        <w:pStyle w:val="21"/>
        <w:rPr>
          <w:rFonts w:hint="eastAsia" w:ascii="宋体" w:hAnsi="宋体"/>
          <w:sz w:val="24"/>
          <w:szCs w:val="24"/>
          <w:highlight w:val="none"/>
        </w:rPr>
      </w:pPr>
      <w:r>
        <w:rPr>
          <w:rFonts w:hint="eastAsia" w:ascii="宋体" w:hAnsi="宋体"/>
          <w:sz w:val="24"/>
          <w:szCs w:val="24"/>
          <w:highlight w:val="none"/>
        </w:rPr>
        <w:t>1、“三重一大”监管概况</w:t>
      </w:r>
    </w:p>
    <w:p>
      <w:pPr>
        <w:pStyle w:val="21"/>
        <w:rPr>
          <w:rFonts w:hint="eastAsia" w:ascii="宋体" w:hAnsi="宋体"/>
          <w:sz w:val="24"/>
          <w:szCs w:val="24"/>
          <w:highlight w:val="none"/>
        </w:rPr>
      </w:pPr>
      <w:r>
        <w:rPr>
          <w:rFonts w:hint="eastAsia" w:ascii="宋体" w:hAnsi="宋体"/>
          <w:sz w:val="24"/>
          <w:szCs w:val="24"/>
          <w:highlight w:val="none"/>
        </w:rPr>
        <w:t>实现国资委及监管企业查看“三重一大”监管指标体系，其中包括企业类型、决策制度、事项清单、议题及会议等重要监管指标，支持实时、本年度、上年度的指标统计分析，支持全量及目标监管对象的数量统计、占比分析等。</w:t>
      </w:r>
    </w:p>
    <w:p>
      <w:pPr>
        <w:pStyle w:val="21"/>
        <w:rPr>
          <w:rFonts w:hint="eastAsia" w:ascii="宋体" w:hAnsi="宋体"/>
          <w:sz w:val="24"/>
          <w:szCs w:val="24"/>
          <w:highlight w:val="none"/>
        </w:rPr>
      </w:pPr>
      <w:r>
        <w:rPr>
          <w:rFonts w:hint="eastAsia" w:ascii="宋体" w:hAnsi="宋体"/>
          <w:sz w:val="24"/>
          <w:szCs w:val="24"/>
          <w:highlight w:val="none"/>
        </w:rPr>
        <w:t>2、监管企业信息管理</w:t>
      </w:r>
    </w:p>
    <w:p>
      <w:pPr>
        <w:pStyle w:val="21"/>
        <w:rPr>
          <w:rFonts w:hint="eastAsia" w:ascii="宋体" w:hAnsi="宋体"/>
          <w:sz w:val="24"/>
          <w:szCs w:val="24"/>
          <w:highlight w:val="none"/>
        </w:rPr>
      </w:pPr>
      <w:r>
        <w:rPr>
          <w:rFonts w:hint="eastAsia" w:ascii="宋体" w:hAnsi="宋体"/>
          <w:sz w:val="24"/>
          <w:szCs w:val="24"/>
          <w:highlight w:val="none"/>
        </w:rPr>
        <w:t>实现国资委查看监管企业列表及详情，实现监管企业维护企业基本信息。</w:t>
      </w:r>
    </w:p>
    <w:p>
      <w:pPr>
        <w:pStyle w:val="21"/>
        <w:rPr>
          <w:rFonts w:hint="eastAsia" w:ascii="宋体" w:hAnsi="宋体"/>
          <w:sz w:val="24"/>
          <w:szCs w:val="24"/>
          <w:highlight w:val="none"/>
        </w:rPr>
      </w:pPr>
      <w:r>
        <w:rPr>
          <w:rFonts w:hint="eastAsia" w:ascii="宋体" w:hAnsi="宋体"/>
          <w:sz w:val="24"/>
          <w:szCs w:val="24"/>
          <w:highlight w:val="none"/>
        </w:rPr>
        <w:t>3、“三重一大”决策制度管理</w:t>
      </w:r>
    </w:p>
    <w:p>
      <w:pPr>
        <w:pStyle w:val="21"/>
        <w:rPr>
          <w:rFonts w:hint="eastAsia" w:ascii="宋体" w:hAnsi="宋体"/>
          <w:sz w:val="24"/>
          <w:szCs w:val="24"/>
          <w:highlight w:val="none"/>
        </w:rPr>
      </w:pPr>
      <w:r>
        <w:rPr>
          <w:rFonts w:hint="eastAsia" w:ascii="宋体" w:hAnsi="宋体"/>
          <w:sz w:val="24"/>
          <w:szCs w:val="24"/>
          <w:highlight w:val="none"/>
        </w:rPr>
        <w:t>实现监管企业填报或批量导入 “三重一大”决策制度，包括制度名称、制度类型、生效日期、失效日期、文件等；提供监管企业内部查看、审批确认等功能。</w:t>
      </w:r>
    </w:p>
    <w:p>
      <w:pPr>
        <w:pStyle w:val="21"/>
        <w:rPr>
          <w:rFonts w:hint="eastAsia" w:ascii="宋体" w:hAnsi="宋体"/>
          <w:sz w:val="24"/>
          <w:szCs w:val="24"/>
          <w:highlight w:val="none"/>
        </w:rPr>
      </w:pPr>
      <w:r>
        <w:rPr>
          <w:rFonts w:hint="eastAsia" w:ascii="宋体" w:hAnsi="宋体"/>
          <w:sz w:val="24"/>
          <w:szCs w:val="24"/>
          <w:highlight w:val="none"/>
        </w:rPr>
        <w:t>4、“三重一大”事项清单管理</w:t>
      </w:r>
    </w:p>
    <w:p>
      <w:pPr>
        <w:pStyle w:val="21"/>
        <w:rPr>
          <w:rFonts w:hint="eastAsia" w:ascii="宋体" w:hAnsi="宋体"/>
          <w:sz w:val="24"/>
          <w:szCs w:val="24"/>
          <w:highlight w:val="none"/>
        </w:rPr>
      </w:pPr>
      <w:r>
        <w:rPr>
          <w:rFonts w:hint="eastAsia" w:ascii="宋体" w:hAnsi="宋体"/>
          <w:sz w:val="24"/>
          <w:szCs w:val="24"/>
          <w:highlight w:val="none"/>
        </w:rPr>
        <w:t>实现监管企业填报或批量导入 “三重一大”事项清单，包括事项清单名称、版本号、生效日期、失效日期、事项名称及编码、决策会议及顺序、是否经法律审核等，提供监管企业内部查看、审批确认等功能。</w:t>
      </w:r>
    </w:p>
    <w:p>
      <w:pPr>
        <w:pStyle w:val="21"/>
        <w:rPr>
          <w:rFonts w:hint="eastAsia" w:ascii="宋体" w:hAnsi="宋体"/>
          <w:sz w:val="24"/>
          <w:szCs w:val="24"/>
          <w:highlight w:val="none"/>
        </w:rPr>
      </w:pPr>
      <w:r>
        <w:rPr>
          <w:rFonts w:hint="eastAsia" w:ascii="宋体" w:hAnsi="宋体"/>
          <w:sz w:val="24"/>
          <w:szCs w:val="24"/>
          <w:highlight w:val="none"/>
        </w:rPr>
        <w:t>5、“三重一大”决策会议管理</w:t>
      </w:r>
    </w:p>
    <w:p>
      <w:pPr>
        <w:pStyle w:val="21"/>
        <w:rPr>
          <w:rFonts w:hint="eastAsia" w:ascii="宋体" w:hAnsi="宋体"/>
          <w:sz w:val="24"/>
          <w:szCs w:val="24"/>
          <w:highlight w:val="none"/>
        </w:rPr>
      </w:pPr>
      <w:r>
        <w:rPr>
          <w:rFonts w:hint="eastAsia" w:ascii="宋体" w:hAnsi="宋体"/>
          <w:sz w:val="24"/>
          <w:szCs w:val="24"/>
          <w:highlight w:val="none"/>
        </w:rPr>
        <w:t>实现监管企业填报或批量导入 “三重一大”决策会议，包括会议名称、会议类型、会议时间、主持人、参会人、议题名称、事项编码、列席人、是否通过等，提供监管企业内部查看、审批确认等功能。</w:t>
      </w:r>
    </w:p>
    <w:p>
      <w:pPr>
        <w:pStyle w:val="21"/>
        <w:rPr>
          <w:rFonts w:hint="eastAsia" w:ascii="宋体" w:hAnsi="宋体"/>
          <w:sz w:val="24"/>
          <w:szCs w:val="24"/>
          <w:highlight w:val="none"/>
        </w:rPr>
      </w:pPr>
      <w:r>
        <w:rPr>
          <w:rFonts w:hint="eastAsia" w:ascii="宋体" w:hAnsi="宋体"/>
          <w:sz w:val="24"/>
          <w:szCs w:val="24"/>
          <w:highlight w:val="none"/>
        </w:rPr>
        <w:t>6、“三重一大”数据上报</w:t>
      </w:r>
    </w:p>
    <w:p>
      <w:pPr>
        <w:pStyle w:val="21"/>
        <w:ind w:firstLine="0" w:firstLineChars="0"/>
        <w:rPr>
          <w:rFonts w:ascii="宋体" w:hAnsi="宋体" w:eastAsia="宋体" w:cs="宋体"/>
          <w:sz w:val="24"/>
          <w:szCs w:val="24"/>
          <w:highlight w:val="none"/>
        </w:rPr>
      </w:pPr>
      <w:r>
        <w:rPr>
          <w:rFonts w:hint="eastAsia" w:ascii="宋体" w:hAnsi="宋体"/>
          <w:sz w:val="24"/>
          <w:szCs w:val="24"/>
          <w:highlight w:val="none"/>
        </w:rPr>
        <w:t>实现监管企业将审批确认的“三重一大”监管数据上报至国资委，国资委可分类查询监管企业上报内容，实现国资指标监管。</w:t>
      </w:r>
      <w:bookmarkEnd w:id="104"/>
      <w:bookmarkEnd w:id="105"/>
    </w:p>
    <w:p>
      <w:pPr>
        <w:spacing w:line="360" w:lineRule="auto"/>
        <w:rPr>
          <w:rFonts w:ascii="宋体" w:hAnsi="宋体" w:eastAsia="宋体" w:cs="宋体"/>
          <w:b/>
          <w:bCs/>
          <w:sz w:val="24"/>
          <w:szCs w:val="24"/>
          <w:highlight w:val="none"/>
        </w:rPr>
      </w:pPr>
      <w:bookmarkStart w:id="106" w:name="_Toc116574532"/>
      <w:r>
        <w:rPr>
          <w:rFonts w:hint="eastAsia" w:ascii="宋体" w:hAnsi="宋体" w:eastAsia="宋体" w:cs="宋体"/>
          <w:b/>
          <w:bCs/>
          <w:sz w:val="24"/>
          <w:szCs w:val="24"/>
          <w:highlight w:val="none"/>
        </w:rPr>
        <w:t>4.4 两山生态资源云脑平台</w:t>
      </w:r>
      <w:bookmarkEnd w:id="106"/>
    </w:p>
    <w:p>
      <w:pPr>
        <w:pStyle w:val="21"/>
        <w:rPr>
          <w:rFonts w:ascii="宋体" w:hAnsi="宋体"/>
          <w:sz w:val="24"/>
          <w:szCs w:val="24"/>
          <w:highlight w:val="none"/>
        </w:rPr>
      </w:pPr>
      <w:r>
        <w:rPr>
          <w:rFonts w:hint="eastAsia" w:ascii="宋体" w:hAnsi="宋体"/>
          <w:sz w:val="24"/>
          <w:szCs w:val="24"/>
          <w:highlight w:val="none"/>
        </w:rPr>
        <w:t>两山生态资源云脑项目的建设，旨在将汉中市全县区内的山、水、林、田、矿、房、旅、文等碎片化资源资产进行全面的摸底、整合、确权、评估，并进行市场化交易的监督管理。围绕“低效闲置的困惑”、“支农无奈的困惑”、“增收乏力的困惑”和“招商开发的困惑”四大问题导向，从解决好资源闲置和经济发展之间的矛盾出发，优化资源配置，合理分配开发资源，提升资源收益，造福百姓，响应“为人民服务”的宗旨。</w:t>
      </w:r>
    </w:p>
    <w:p>
      <w:pPr>
        <w:pStyle w:val="21"/>
        <w:rPr>
          <w:rFonts w:ascii="宋体" w:hAnsi="宋体"/>
          <w:sz w:val="24"/>
          <w:szCs w:val="24"/>
          <w:highlight w:val="none"/>
        </w:rPr>
      </w:pPr>
      <w:r>
        <w:rPr>
          <w:rFonts w:hint="eastAsia" w:ascii="宋体" w:hAnsi="宋体"/>
          <w:sz w:val="24"/>
          <w:szCs w:val="24"/>
          <w:highlight w:val="none"/>
        </w:rPr>
        <w:t>汉中市两山生态资源云脑项目主要建设“一库、一平台、一舱、一微”，即：一个两山生态资源云脑基础数据库、一个两山生态资源业务管理平台、一个两山生态资源微信小程序和一个生态资源数字驾驶舱。</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两山生态资源云脑基础数据库</w:t>
      </w:r>
    </w:p>
    <w:p>
      <w:pPr>
        <w:pStyle w:val="21"/>
        <w:rPr>
          <w:rFonts w:ascii="宋体" w:hAnsi="宋体"/>
          <w:sz w:val="24"/>
          <w:szCs w:val="24"/>
          <w:highlight w:val="none"/>
        </w:rPr>
      </w:pPr>
      <w:r>
        <w:rPr>
          <w:rFonts w:hint="eastAsia" w:ascii="宋体" w:hAnsi="宋体"/>
          <w:sz w:val="24"/>
          <w:szCs w:val="24"/>
          <w:highlight w:val="none"/>
        </w:rPr>
        <w:t>两山生态资源云脑基础数据库的建设，整合全市9县2区两山生态资源基础数据以及相关部门的共享公共数据资源，各县区负责本地区生态资源基础数据的采集工作，各部门负责本部门公共资源数据的采集工作，通过统一的数据交换汇聚方式，将本单位数据统一汇聚到中间数据仓，供汉中市两山云脑基础数据库抓取、使用，提供数据的各单位需要对数据的完整性、准确性、时效性负责。</w:t>
      </w:r>
    </w:p>
    <w:p>
      <w:pPr>
        <w:pStyle w:val="21"/>
        <w:rPr>
          <w:rFonts w:ascii="宋体" w:hAnsi="宋体"/>
          <w:sz w:val="24"/>
          <w:szCs w:val="24"/>
          <w:highlight w:val="none"/>
        </w:rPr>
      </w:pPr>
      <w:r>
        <w:rPr>
          <w:rFonts w:hint="eastAsia" w:ascii="宋体" w:hAnsi="宋体"/>
          <w:sz w:val="24"/>
          <w:szCs w:val="24"/>
          <w:highlight w:val="none"/>
        </w:rPr>
        <w:t>归集和梳理各类资源信息、信贷信息、投资项目信息和碳汇需求信息等，搭建基础数据库，为领导层决策、数据分析、预警处理等提供更多的数据支撑。根据汉中市资源资产等基础数据分类和归集，从相关渠道归集的数据进行清洗、比对、分析后，按数据仓库标准建设两山生态资源云脑基础数据库，为数据共享使用提供基础数据保障。依托海量数据，同时利用数据分析算法模型，对数据进行深度的挖掘分析，为领导的科学决策提供数据支撑。</w:t>
      </w:r>
    </w:p>
    <w:p>
      <w:pPr>
        <w:pStyle w:val="21"/>
        <w:ind w:firstLine="482"/>
        <w:rPr>
          <w:rFonts w:ascii="宋体" w:hAnsi="宋体"/>
          <w:b/>
          <w:sz w:val="24"/>
          <w:szCs w:val="24"/>
          <w:highlight w:val="none"/>
        </w:rPr>
      </w:pPr>
      <w:r>
        <w:rPr>
          <w:rFonts w:hint="eastAsia" w:ascii="宋体" w:hAnsi="宋体"/>
          <w:b/>
          <w:sz w:val="24"/>
          <w:szCs w:val="24"/>
          <w:highlight w:val="none"/>
        </w:rPr>
        <w:t xml:space="preserve"> 两山生态资源云脑业务管理平台</w:t>
      </w:r>
    </w:p>
    <w:p>
      <w:pPr>
        <w:pStyle w:val="21"/>
        <w:rPr>
          <w:rFonts w:ascii="宋体" w:hAnsi="宋体"/>
          <w:sz w:val="24"/>
          <w:szCs w:val="24"/>
          <w:highlight w:val="none"/>
        </w:rPr>
      </w:pPr>
      <w:r>
        <w:rPr>
          <w:rFonts w:hint="eastAsia" w:ascii="宋体" w:hAnsi="宋体"/>
          <w:bCs/>
          <w:sz w:val="24"/>
          <w:szCs w:val="24"/>
          <w:highlight w:val="none"/>
        </w:rPr>
        <w:t xml:space="preserve"> 两山生态资源云脑</w:t>
      </w:r>
      <w:r>
        <w:rPr>
          <w:rFonts w:hint="eastAsia" w:ascii="宋体" w:hAnsi="宋体"/>
          <w:sz w:val="24"/>
          <w:szCs w:val="24"/>
          <w:highlight w:val="none"/>
        </w:rPr>
        <w:t>业务管理平台通过资源管理中心、资源交易中心、绿色金融中心、小程序中心和系统管理实现对生态资源的盘点、登记、存储，提高对于资源资产、招商、信贷的管理能力。平台提供从资源登记、存储、收储到资源打包、项目招商、信贷申请等多方面全流程的高效管理。</w:t>
      </w:r>
    </w:p>
    <w:p>
      <w:pPr>
        <w:pStyle w:val="21"/>
        <w:rPr>
          <w:rFonts w:ascii="宋体" w:hAnsi="宋体"/>
          <w:sz w:val="24"/>
          <w:szCs w:val="24"/>
          <w:highlight w:val="none"/>
        </w:rPr>
      </w:pPr>
      <w:r>
        <w:rPr>
          <w:rFonts w:hint="eastAsia" w:ascii="宋体" w:hAnsi="宋体"/>
          <w:sz w:val="24"/>
          <w:szCs w:val="24"/>
          <w:highlight w:val="none"/>
        </w:rPr>
        <w:t>依托业务管理平台的全流程管理，为不同角色分工，实现多角色的操作管理。并且业务平台通过GIS地理信息技术，将汉中市资源资产、项目等数据实现可视化管理，进一步提高管理人员在业务操作中的便捷性。</w:t>
      </w:r>
    </w:p>
    <w:p>
      <w:pPr>
        <w:pStyle w:val="21"/>
        <w:ind w:firstLine="482"/>
        <w:rPr>
          <w:rFonts w:ascii="宋体" w:hAnsi="宋体"/>
          <w:b/>
          <w:sz w:val="24"/>
          <w:szCs w:val="24"/>
          <w:highlight w:val="none"/>
        </w:rPr>
      </w:pPr>
      <w:r>
        <w:rPr>
          <w:rFonts w:hint="eastAsia" w:ascii="宋体" w:hAnsi="宋体"/>
          <w:b/>
          <w:sz w:val="24"/>
          <w:szCs w:val="24"/>
          <w:highlight w:val="none"/>
        </w:rPr>
        <w:t>两山生态资源云脑微信小程序</w:t>
      </w:r>
    </w:p>
    <w:p>
      <w:pPr>
        <w:pStyle w:val="21"/>
        <w:rPr>
          <w:rFonts w:ascii="宋体" w:hAnsi="宋体"/>
          <w:sz w:val="24"/>
          <w:szCs w:val="24"/>
          <w:highlight w:val="none"/>
        </w:rPr>
      </w:pPr>
      <w:r>
        <w:rPr>
          <w:rFonts w:hint="eastAsia" w:ascii="宋体" w:hAnsi="宋体"/>
          <w:sz w:val="24"/>
          <w:szCs w:val="24"/>
          <w:highlight w:val="none"/>
        </w:rPr>
        <w:t>建设</w:t>
      </w:r>
      <w:r>
        <w:rPr>
          <w:rFonts w:hint="eastAsia" w:ascii="宋体" w:hAnsi="宋体"/>
          <w:bCs/>
          <w:sz w:val="24"/>
          <w:szCs w:val="24"/>
          <w:highlight w:val="none"/>
        </w:rPr>
        <w:t>两山生态资源云脑</w:t>
      </w:r>
      <w:r>
        <w:rPr>
          <w:rFonts w:hint="eastAsia" w:ascii="宋体" w:hAnsi="宋体"/>
          <w:sz w:val="24"/>
          <w:szCs w:val="24"/>
          <w:highlight w:val="none"/>
        </w:rPr>
        <w:t xml:space="preserve">微信小程序，通过微信小程序串联资源主体（投资主体）、两山生态公司及闲置资源资产，建设资源中心、交易中心、个人中心板块。为资源主体提供资源储蓄的便捷通道，通过资源的储蓄，资源主体可以将闲置的资源资产登记到两山公司，公司通过资源资产的有效组合，以项目的形式进行管理运营，并同步展示到微信小程序；投资主体可以通过微信小程序进行不同资源项目的查看、筛选，查看项目的具体信息，对感兴趣的项目进行意向登记；对于有资金需求的资源主体，也可以通过微信小程序登记自己的贷款需求，通过金融服务业务，帮助主体提高授信额度，解决主体的资金需求问题。 </w:t>
      </w:r>
    </w:p>
    <w:p>
      <w:pPr>
        <w:pStyle w:val="21"/>
        <w:ind w:firstLine="482"/>
        <w:rPr>
          <w:rFonts w:ascii="宋体" w:hAnsi="宋体"/>
          <w:b/>
          <w:sz w:val="24"/>
          <w:szCs w:val="24"/>
          <w:highlight w:val="none"/>
        </w:rPr>
      </w:pPr>
      <w:r>
        <w:rPr>
          <w:rFonts w:hint="eastAsia" w:ascii="宋体" w:hAnsi="宋体"/>
          <w:b/>
          <w:sz w:val="24"/>
          <w:szCs w:val="24"/>
          <w:highlight w:val="none"/>
        </w:rPr>
        <w:t>汉中市生态资源数字驾驶舱</w:t>
      </w:r>
    </w:p>
    <w:p>
      <w:pPr>
        <w:pStyle w:val="21"/>
        <w:rPr>
          <w:rFonts w:ascii="宋体" w:hAnsi="宋体"/>
          <w:sz w:val="24"/>
          <w:szCs w:val="24"/>
          <w:highlight w:val="none"/>
        </w:rPr>
      </w:pPr>
      <w:r>
        <w:rPr>
          <w:rFonts w:hint="eastAsia" w:ascii="宋体" w:hAnsi="宋体"/>
          <w:sz w:val="24"/>
          <w:szCs w:val="24"/>
          <w:highlight w:val="none"/>
        </w:rPr>
        <w:t>汉中市生态资源数字驾驶舱实现挂图作业，为业务决策、管理提供“一站式”支持，综合采用数据仓库、数据挖掘、元数据管理、决策分析等技术，将汉中市资源资产管理、资源交易情况、绿色金融情况及基础资源资产信息进行可视化展示。</w:t>
      </w:r>
    </w:p>
    <w:p>
      <w:pPr>
        <w:spacing w:line="360" w:lineRule="auto"/>
        <w:rPr>
          <w:highlight w:val="none"/>
        </w:rPr>
      </w:pPr>
      <w:bookmarkStart w:id="107" w:name="_Toc22596"/>
      <w:bookmarkStart w:id="108" w:name="_Toc116574533"/>
      <w:bookmarkStart w:id="109" w:name="_Toc80363010"/>
      <w:bookmarkStart w:id="110" w:name="_Toc79616506"/>
      <w:bookmarkStart w:id="111" w:name="_Toc16452"/>
      <w:r>
        <w:rPr>
          <w:rFonts w:hint="eastAsia" w:ascii="宋体" w:hAnsi="宋体" w:eastAsia="宋体" w:cs="宋体"/>
          <w:b/>
          <w:bCs/>
          <w:sz w:val="24"/>
          <w:szCs w:val="24"/>
          <w:highlight w:val="none"/>
        </w:rPr>
        <w:t>4.5 数据</w:t>
      </w:r>
      <w:bookmarkStart w:id="112" w:name="_Toc73581070"/>
      <w:bookmarkStart w:id="113" w:name="_Hlk73560592"/>
      <w:r>
        <w:rPr>
          <w:rFonts w:hint="eastAsia" w:ascii="宋体" w:hAnsi="宋体" w:eastAsia="宋体" w:cs="宋体"/>
          <w:b/>
          <w:bCs/>
          <w:sz w:val="24"/>
          <w:szCs w:val="24"/>
          <w:highlight w:val="none"/>
        </w:rPr>
        <w:t>应用门户</w:t>
      </w:r>
      <w:bookmarkEnd w:id="107"/>
      <w:bookmarkEnd w:id="108"/>
      <w:bookmarkEnd w:id="109"/>
      <w:bookmarkEnd w:id="110"/>
      <w:bookmarkEnd w:id="111"/>
      <w:bookmarkEnd w:id="112"/>
      <w:bookmarkEnd w:id="113"/>
    </w:p>
    <w:p>
      <w:pPr>
        <w:pStyle w:val="21"/>
        <w:rPr>
          <w:rFonts w:ascii="宋体" w:hAnsi="宋体"/>
          <w:sz w:val="24"/>
          <w:szCs w:val="24"/>
          <w:highlight w:val="none"/>
        </w:rPr>
      </w:pPr>
      <w:r>
        <w:rPr>
          <w:rFonts w:hint="eastAsia" w:ascii="宋体" w:hAnsi="宋体"/>
          <w:sz w:val="24"/>
          <w:szCs w:val="24"/>
          <w:highlight w:val="none"/>
        </w:rPr>
        <w:t>面向委内各业务监管处室和中心领导、监管企业和省市级上级领导部门，应用门户支持个性化定制，统一应用接入管理，统一认证管理，统一服务提供。</w:t>
      </w:r>
    </w:p>
    <w:p>
      <w:pPr>
        <w:pStyle w:val="21"/>
        <w:rPr>
          <w:rFonts w:ascii="宋体" w:hAnsi="宋体"/>
          <w:sz w:val="24"/>
          <w:szCs w:val="24"/>
          <w:highlight w:val="none"/>
        </w:rPr>
      </w:pPr>
      <w:r>
        <w:rPr>
          <w:rFonts w:hint="eastAsia" w:ascii="宋体" w:hAnsi="宋体" w:eastAsia="宋体"/>
          <w:sz w:val="24"/>
          <w:szCs w:val="24"/>
          <w:highlight w:val="none"/>
        </w:rPr>
        <w:t>（1）</w:t>
      </w:r>
      <w:r>
        <w:rPr>
          <w:rFonts w:hint="eastAsia" w:ascii="宋体" w:hAnsi="宋体"/>
          <w:sz w:val="24"/>
          <w:szCs w:val="24"/>
          <w:highlight w:val="none"/>
        </w:rPr>
        <w:t>工作台</w:t>
      </w:r>
    </w:p>
    <w:p>
      <w:pPr>
        <w:pStyle w:val="21"/>
        <w:rPr>
          <w:rFonts w:ascii="宋体" w:hAnsi="宋体"/>
          <w:sz w:val="24"/>
          <w:szCs w:val="24"/>
          <w:highlight w:val="none"/>
        </w:rPr>
      </w:pPr>
      <w:r>
        <w:rPr>
          <w:rFonts w:hint="eastAsia" w:ascii="宋体" w:hAnsi="宋体"/>
          <w:sz w:val="24"/>
          <w:szCs w:val="24"/>
          <w:highlight w:val="none"/>
        </w:rPr>
        <w:t>按照系统使用对象提供关注、代办和个性化信息推荐的工作台，实现快速和直观操作。通过综合看板的个性化定制功能，用户可以基于指标方便组装个人定制看板。</w:t>
      </w:r>
    </w:p>
    <w:p>
      <w:pPr>
        <w:pStyle w:val="21"/>
        <w:rPr>
          <w:rFonts w:ascii="宋体" w:hAnsi="宋体"/>
          <w:sz w:val="24"/>
          <w:szCs w:val="24"/>
          <w:highlight w:val="none"/>
        </w:rPr>
      </w:pPr>
      <w:bookmarkStart w:id="114" w:name="_Toc11458"/>
      <w:r>
        <w:rPr>
          <w:rFonts w:hint="eastAsia" w:ascii="宋体" w:hAnsi="宋体" w:eastAsia="宋体"/>
          <w:sz w:val="24"/>
          <w:szCs w:val="24"/>
          <w:highlight w:val="none"/>
        </w:rPr>
        <w:t>（2）</w:t>
      </w:r>
      <w:r>
        <w:rPr>
          <w:rFonts w:hint="eastAsia" w:ascii="宋体" w:hAnsi="宋体"/>
          <w:sz w:val="24"/>
          <w:szCs w:val="24"/>
          <w:highlight w:val="none"/>
        </w:rPr>
        <w:t>统一身份认证</w:t>
      </w:r>
      <w:bookmarkEnd w:id="114"/>
    </w:p>
    <w:p>
      <w:pPr>
        <w:pStyle w:val="21"/>
        <w:rPr>
          <w:rFonts w:ascii="宋体" w:hAnsi="宋体"/>
          <w:sz w:val="24"/>
          <w:szCs w:val="24"/>
          <w:highlight w:val="none"/>
        </w:rPr>
      </w:pPr>
      <w:r>
        <w:rPr>
          <w:rFonts w:hint="eastAsia" w:ascii="宋体" w:hAnsi="宋体"/>
          <w:sz w:val="24"/>
          <w:szCs w:val="24"/>
          <w:highlight w:val="none"/>
        </w:rPr>
        <w:t>门户提供统一身份认证，多应用接入，通过统一身份认证、统一权限管理、统一用户安全管理等技术，确保各类应用系统、业务数据安全可靠地集成和共享。</w:t>
      </w:r>
    </w:p>
    <w:p>
      <w:pPr>
        <w:pStyle w:val="21"/>
        <w:rPr>
          <w:rFonts w:ascii="宋体" w:hAnsi="宋体"/>
          <w:sz w:val="24"/>
          <w:szCs w:val="24"/>
          <w:highlight w:val="none"/>
        </w:rPr>
      </w:pPr>
      <w:bookmarkStart w:id="115" w:name="_Toc18354"/>
      <w:r>
        <w:rPr>
          <w:rFonts w:hint="eastAsia" w:ascii="宋体" w:hAnsi="宋体" w:eastAsia="宋体"/>
          <w:sz w:val="24"/>
          <w:szCs w:val="24"/>
          <w:highlight w:val="none"/>
        </w:rPr>
        <w:t>（3）</w:t>
      </w:r>
      <w:r>
        <w:rPr>
          <w:rFonts w:hint="eastAsia" w:ascii="宋体" w:hAnsi="宋体"/>
          <w:sz w:val="24"/>
          <w:szCs w:val="24"/>
          <w:highlight w:val="none"/>
        </w:rPr>
        <w:t>组织机构管理</w:t>
      </w:r>
      <w:bookmarkEnd w:id="115"/>
    </w:p>
    <w:p>
      <w:pPr>
        <w:pStyle w:val="21"/>
        <w:rPr>
          <w:rFonts w:ascii="宋体" w:hAnsi="宋体"/>
          <w:sz w:val="24"/>
          <w:szCs w:val="24"/>
          <w:highlight w:val="none"/>
        </w:rPr>
      </w:pPr>
      <w:r>
        <w:rPr>
          <w:rFonts w:hint="eastAsia" w:ascii="宋体" w:hAnsi="宋体"/>
          <w:sz w:val="24"/>
          <w:szCs w:val="24"/>
          <w:highlight w:val="none"/>
        </w:rPr>
        <w:t>构建统一用户数据源和统一组织信息存储和管理，准确表示组织结构关系，能灵活增减用户属性，多样化的用户和用户组管理。</w:t>
      </w:r>
    </w:p>
    <w:p>
      <w:pPr>
        <w:pStyle w:val="21"/>
        <w:rPr>
          <w:rFonts w:ascii="宋体" w:hAnsi="宋体"/>
          <w:sz w:val="24"/>
          <w:szCs w:val="24"/>
          <w:highlight w:val="none"/>
        </w:rPr>
      </w:pPr>
      <w:bookmarkStart w:id="116" w:name="_Toc5741"/>
      <w:r>
        <w:rPr>
          <w:rFonts w:hint="eastAsia" w:ascii="宋体" w:hAnsi="宋体" w:eastAsia="宋体"/>
          <w:sz w:val="24"/>
          <w:szCs w:val="24"/>
          <w:highlight w:val="none"/>
        </w:rPr>
        <w:t>（4）</w:t>
      </w:r>
      <w:r>
        <w:rPr>
          <w:rFonts w:hint="eastAsia" w:ascii="宋体" w:hAnsi="宋体"/>
          <w:sz w:val="24"/>
          <w:szCs w:val="24"/>
          <w:highlight w:val="none"/>
        </w:rPr>
        <w:t>应用管理</w:t>
      </w:r>
      <w:bookmarkEnd w:id="116"/>
    </w:p>
    <w:p>
      <w:pPr>
        <w:pStyle w:val="21"/>
        <w:rPr>
          <w:rFonts w:ascii="宋体" w:hAnsi="宋体"/>
          <w:sz w:val="24"/>
          <w:szCs w:val="24"/>
          <w:highlight w:val="none"/>
        </w:rPr>
      </w:pPr>
      <w:r>
        <w:rPr>
          <w:rFonts w:hint="eastAsia" w:ascii="宋体" w:hAnsi="宋体"/>
          <w:sz w:val="24"/>
          <w:szCs w:val="24"/>
          <w:highlight w:val="none"/>
        </w:rPr>
        <w:t>管理通过门户链接操作的内外部应用组件或系统，分配组织和用户权限。</w:t>
      </w:r>
    </w:p>
    <w:p>
      <w:pPr>
        <w:pStyle w:val="21"/>
        <w:rPr>
          <w:rFonts w:ascii="宋体" w:hAnsi="宋体"/>
          <w:sz w:val="24"/>
          <w:szCs w:val="24"/>
          <w:highlight w:val="none"/>
        </w:rPr>
      </w:pPr>
      <w:r>
        <w:rPr>
          <w:rFonts w:hint="eastAsia" w:ascii="宋体" w:hAnsi="宋体" w:eastAsia="宋体"/>
          <w:sz w:val="24"/>
          <w:szCs w:val="24"/>
          <w:highlight w:val="none"/>
        </w:rPr>
        <w:t>（5）</w:t>
      </w:r>
      <w:r>
        <w:rPr>
          <w:rFonts w:hint="eastAsia" w:ascii="宋体" w:hAnsi="宋体"/>
          <w:sz w:val="24"/>
          <w:szCs w:val="24"/>
          <w:highlight w:val="none"/>
        </w:rPr>
        <w:t>可视化展示</w:t>
      </w:r>
    </w:p>
    <w:p>
      <w:pPr>
        <w:spacing w:line="360" w:lineRule="auto"/>
        <w:ind w:firstLine="480" w:firstLineChars="200"/>
        <w:rPr>
          <w:highlight w:val="none"/>
        </w:rPr>
      </w:pPr>
      <w:r>
        <w:rPr>
          <w:rFonts w:hint="eastAsia" w:ascii="宋体" w:hAnsi="宋体"/>
          <w:sz w:val="24"/>
          <w:szCs w:val="24"/>
          <w:highlight w:val="none"/>
        </w:rPr>
        <w:t>以国资监管业务数据为基础，旨在打造敏捷开放的大数据探索、可视化分析与展现能力，提供一个集数据源配置、自助取数、报表分析、可视化展现为一体的可视化展示工作台，为国资监管系统业务人员提供自助式、可视化、实时化、可协作的数据探索与分析能力，通过动态、联动的可视化效果展现财务快报、人事管理、三重一大相关国资数据指标。</w:t>
      </w:r>
    </w:p>
    <w:p>
      <w:pPr>
        <w:spacing w:line="360" w:lineRule="auto"/>
        <w:rPr>
          <w:rFonts w:ascii="宋体" w:hAnsi="宋体" w:eastAsia="宋体" w:cs="宋体"/>
          <w:b/>
          <w:bCs/>
          <w:sz w:val="24"/>
          <w:szCs w:val="24"/>
          <w:highlight w:val="none"/>
        </w:rPr>
      </w:pPr>
      <w:bookmarkStart w:id="117" w:name="_Toc116574534"/>
      <w:r>
        <w:rPr>
          <w:rFonts w:hint="eastAsia" w:ascii="宋体" w:hAnsi="宋体" w:eastAsia="宋体" w:cs="宋体"/>
          <w:b/>
          <w:bCs/>
          <w:sz w:val="24"/>
          <w:szCs w:val="24"/>
          <w:highlight w:val="none"/>
        </w:rPr>
        <w:t>5.项目对接要求</w:t>
      </w:r>
      <w:bookmarkEnd w:id="117"/>
    </w:p>
    <w:p>
      <w:pPr>
        <w:pStyle w:val="21"/>
        <w:rPr>
          <w:rFonts w:ascii="宋体" w:hAnsi="宋体"/>
          <w:sz w:val="24"/>
          <w:szCs w:val="24"/>
          <w:highlight w:val="none"/>
        </w:rPr>
      </w:pPr>
      <w:r>
        <w:rPr>
          <w:rFonts w:ascii="宋体" w:hAnsi="宋体"/>
          <w:sz w:val="24"/>
          <w:szCs w:val="24"/>
          <w:highlight w:val="none"/>
        </w:rPr>
        <w:t>中标供应商需协助采购人与省国资委监管系统进行数据对接，根据采购人要求，实现数据传输及数据指标对接工作</w:t>
      </w:r>
      <w:r>
        <w:rPr>
          <w:rFonts w:hint="eastAsia" w:ascii="宋体" w:hAnsi="宋体"/>
          <w:sz w:val="24"/>
          <w:szCs w:val="24"/>
          <w:highlight w:val="none"/>
        </w:rPr>
        <w:t>，</w:t>
      </w:r>
      <w:r>
        <w:rPr>
          <w:rFonts w:ascii="宋体" w:hAnsi="宋体"/>
          <w:sz w:val="24"/>
          <w:szCs w:val="24"/>
          <w:highlight w:val="none"/>
        </w:rPr>
        <w:t>满足省国资委监管系统的数据要求。</w:t>
      </w:r>
    </w:p>
    <w:p>
      <w:pPr>
        <w:pStyle w:val="21"/>
        <w:rPr>
          <w:highlight w:val="none"/>
        </w:rPr>
      </w:pPr>
      <w:r>
        <w:rPr>
          <w:rFonts w:hint="eastAsia" w:ascii="宋体" w:hAnsi="宋体"/>
          <w:sz w:val="24"/>
          <w:szCs w:val="24"/>
          <w:highlight w:val="none"/>
        </w:rPr>
        <w:t>汉中市</w:t>
      </w:r>
      <w:r>
        <w:rPr>
          <w:rFonts w:ascii="宋体" w:hAnsi="宋体"/>
          <w:sz w:val="24"/>
          <w:szCs w:val="24"/>
          <w:highlight w:val="none"/>
        </w:rPr>
        <w:t>国资委</w:t>
      </w:r>
      <w:r>
        <w:rPr>
          <w:rFonts w:hint="eastAsia" w:ascii="宋体" w:hAnsi="宋体"/>
          <w:sz w:val="24"/>
          <w:szCs w:val="24"/>
          <w:highlight w:val="none"/>
        </w:rPr>
        <w:t>国资监管</w:t>
      </w:r>
      <w:r>
        <w:rPr>
          <w:rFonts w:ascii="宋体" w:hAnsi="宋体"/>
          <w:sz w:val="24"/>
          <w:szCs w:val="24"/>
          <w:highlight w:val="none"/>
        </w:rPr>
        <w:t>平台</w:t>
      </w:r>
      <w:r>
        <w:rPr>
          <w:rFonts w:hint="eastAsia" w:ascii="宋体" w:hAnsi="宋体"/>
          <w:sz w:val="24"/>
          <w:szCs w:val="24"/>
          <w:highlight w:val="none"/>
        </w:rPr>
        <w:t>需</w:t>
      </w:r>
      <w:r>
        <w:rPr>
          <w:rFonts w:ascii="宋体" w:hAnsi="宋体"/>
          <w:sz w:val="24"/>
          <w:szCs w:val="24"/>
          <w:highlight w:val="none"/>
        </w:rPr>
        <w:t>遵循国务院</w:t>
      </w:r>
      <w:r>
        <w:rPr>
          <w:rFonts w:hint="eastAsia" w:ascii="宋体" w:hAnsi="宋体"/>
          <w:sz w:val="24"/>
          <w:szCs w:val="24"/>
          <w:highlight w:val="none"/>
        </w:rPr>
        <w:t>、陕西省下发的《国资国企在线监管系统数据指标目录》进行开发建设。</w:t>
      </w:r>
      <w:r>
        <w:rPr>
          <w:rFonts w:ascii="宋体" w:hAnsi="宋体"/>
          <w:sz w:val="24"/>
          <w:szCs w:val="24"/>
          <w:highlight w:val="none"/>
        </w:rPr>
        <w:t>市国资委和省国资委</w:t>
      </w:r>
      <w:r>
        <w:rPr>
          <w:rFonts w:hint="eastAsia" w:ascii="宋体" w:hAnsi="宋体"/>
          <w:sz w:val="24"/>
          <w:szCs w:val="24"/>
          <w:highlight w:val="none"/>
        </w:rPr>
        <w:t>基于专线链路，</w:t>
      </w:r>
      <w:r>
        <w:rPr>
          <w:rFonts w:ascii="宋体" w:hAnsi="宋体"/>
          <w:sz w:val="24"/>
          <w:szCs w:val="24"/>
          <w:highlight w:val="none"/>
        </w:rPr>
        <w:t>建立专属数据交换通道，在</w:t>
      </w:r>
      <w:r>
        <w:rPr>
          <w:rFonts w:hint="eastAsia" w:ascii="宋体" w:hAnsi="宋体"/>
          <w:sz w:val="24"/>
          <w:szCs w:val="24"/>
          <w:highlight w:val="none"/>
        </w:rPr>
        <w:t>汉中</w:t>
      </w:r>
      <w:r>
        <w:rPr>
          <w:rFonts w:ascii="宋体" w:hAnsi="宋体"/>
          <w:sz w:val="24"/>
          <w:szCs w:val="24"/>
          <w:highlight w:val="none"/>
        </w:rPr>
        <w:t>市国资委</w:t>
      </w:r>
      <w:r>
        <w:rPr>
          <w:rFonts w:hint="eastAsia" w:ascii="宋体" w:hAnsi="宋体"/>
          <w:sz w:val="24"/>
          <w:szCs w:val="24"/>
          <w:highlight w:val="none"/>
        </w:rPr>
        <w:t>前置机上</w:t>
      </w:r>
      <w:r>
        <w:rPr>
          <w:rFonts w:ascii="宋体" w:hAnsi="宋体"/>
          <w:sz w:val="24"/>
          <w:szCs w:val="24"/>
          <w:highlight w:val="none"/>
        </w:rPr>
        <w:t>部署</w:t>
      </w:r>
      <w:r>
        <w:rPr>
          <w:rFonts w:hint="eastAsia" w:ascii="宋体" w:hAnsi="宋体"/>
          <w:sz w:val="24"/>
          <w:szCs w:val="24"/>
          <w:highlight w:val="none"/>
        </w:rPr>
        <w:t>省国资委的</w:t>
      </w:r>
      <w:r>
        <w:rPr>
          <w:rFonts w:ascii="宋体" w:hAnsi="宋体"/>
          <w:sz w:val="24"/>
          <w:szCs w:val="24"/>
          <w:highlight w:val="none"/>
        </w:rPr>
        <w:t>数据采集</w:t>
      </w:r>
      <w:r>
        <w:rPr>
          <w:rFonts w:hint="eastAsia" w:ascii="宋体" w:hAnsi="宋体"/>
          <w:sz w:val="24"/>
          <w:szCs w:val="24"/>
          <w:highlight w:val="none"/>
        </w:rPr>
        <w:t>汇聚</w:t>
      </w:r>
      <w:r>
        <w:rPr>
          <w:rFonts w:ascii="宋体" w:hAnsi="宋体"/>
          <w:sz w:val="24"/>
          <w:szCs w:val="24"/>
          <w:highlight w:val="none"/>
        </w:rPr>
        <w:t>平台，以接口方式实现与省国资委端的数据采集。</w:t>
      </w:r>
    </w:p>
    <w:p>
      <w:pPr>
        <w:pStyle w:val="22"/>
        <w:numPr>
          <w:ilvl w:val="0"/>
          <w:numId w:val="0"/>
        </w:numPr>
        <w:tabs>
          <w:tab w:val="left" w:pos="525"/>
          <w:tab w:val="left" w:pos="993"/>
          <w:tab w:val="clear" w:pos="1206"/>
        </w:tabs>
        <w:spacing w:before="0" w:beforeLines="0" w:after="0" w:afterLines="0" w:line="360" w:lineRule="auto"/>
        <w:outlineLvl w:val="1"/>
        <w:rPr>
          <w:rFonts w:ascii="宋体" w:hAnsi="宋体" w:eastAsia="宋体" w:cs="宋体"/>
          <w:b/>
          <w:bCs/>
          <w:sz w:val="24"/>
          <w:szCs w:val="24"/>
          <w:highlight w:val="none"/>
        </w:rPr>
      </w:pPr>
      <w:bookmarkStart w:id="118" w:name="_Toc116574535"/>
      <w:r>
        <w:rPr>
          <w:rFonts w:hint="eastAsia" w:ascii="宋体" w:hAnsi="宋体" w:eastAsia="宋体" w:cs="宋体"/>
          <w:b/>
          <w:bCs/>
          <w:sz w:val="24"/>
          <w:szCs w:val="24"/>
          <w:highlight w:val="none"/>
        </w:rPr>
        <w:t>6.项目部署要求</w:t>
      </w:r>
      <w:bookmarkEnd w:id="118"/>
    </w:p>
    <w:p>
      <w:pPr>
        <w:pStyle w:val="21"/>
        <w:rPr>
          <w:rFonts w:ascii="宋体" w:hAnsi="宋体"/>
          <w:sz w:val="24"/>
          <w:szCs w:val="24"/>
          <w:highlight w:val="none"/>
        </w:rPr>
      </w:pPr>
      <w:r>
        <w:rPr>
          <w:rFonts w:ascii="宋体" w:hAnsi="宋体"/>
          <w:sz w:val="24"/>
          <w:szCs w:val="24"/>
          <w:highlight w:val="none"/>
        </w:rPr>
        <w:t>本期项目整体运行环境采用</w:t>
      </w:r>
      <w:r>
        <w:rPr>
          <w:rFonts w:hint="eastAsia" w:ascii="宋体" w:hAnsi="宋体"/>
          <w:sz w:val="24"/>
          <w:szCs w:val="24"/>
          <w:highlight w:val="none"/>
        </w:rPr>
        <w:t>汉中</w:t>
      </w:r>
      <w:r>
        <w:rPr>
          <w:rFonts w:ascii="宋体" w:hAnsi="宋体"/>
          <w:sz w:val="24"/>
          <w:szCs w:val="24"/>
          <w:highlight w:val="none"/>
        </w:rPr>
        <w:t>政务云平台体系进行构建，需提供详细云平台部署资源清单说明，在资源合理利用的基础上，保证当前及未来业务扩展能力需求。系统部署符合信息安全等级保护三级认证要求。</w:t>
      </w:r>
    </w:p>
    <w:p>
      <w:pPr>
        <w:pStyle w:val="22"/>
        <w:numPr>
          <w:ilvl w:val="0"/>
          <w:numId w:val="0"/>
        </w:numPr>
        <w:tabs>
          <w:tab w:val="left" w:pos="525"/>
          <w:tab w:val="left" w:pos="993"/>
          <w:tab w:val="clear" w:pos="1206"/>
        </w:tabs>
        <w:spacing w:before="0" w:beforeLines="0" w:after="0" w:afterLines="0" w:line="360" w:lineRule="auto"/>
        <w:outlineLvl w:val="1"/>
        <w:rPr>
          <w:rFonts w:ascii="宋体" w:hAnsi="宋体" w:eastAsia="宋体" w:cs="宋体"/>
          <w:b/>
          <w:bCs/>
          <w:sz w:val="24"/>
          <w:szCs w:val="24"/>
          <w:highlight w:val="none"/>
        </w:rPr>
      </w:pPr>
      <w:bookmarkStart w:id="119" w:name="_Toc116574536"/>
      <w:r>
        <w:rPr>
          <w:rFonts w:hint="eastAsia" w:ascii="宋体" w:hAnsi="宋体" w:eastAsia="宋体" w:cs="宋体"/>
          <w:b/>
          <w:bCs/>
          <w:sz w:val="24"/>
          <w:szCs w:val="24"/>
          <w:highlight w:val="none"/>
        </w:rPr>
        <w:t>7.项目非功能要求</w:t>
      </w:r>
      <w:bookmarkEnd w:id="119"/>
    </w:p>
    <w:p>
      <w:pPr>
        <w:pStyle w:val="23"/>
        <w:numPr>
          <w:ilvl w:val="1"/>
          <w:numId w:val="0"/>
        </w:numPr>
        <w:spacing w:before="0" w:beforeLines="0" w:after="0" w:afterLines="0" w:line="360" w:lineRule="auto"/>
        <w:outlineLvl w:val="2"/>
        <w:rPr>
          <w:rFonts w:ascii="宋体" w:hAnsi="宋体" w:cs="宋体"/>
          <w:b/>
          <w:bCs/>
          <w:sz w:val="24"/>
          <w:szCs w:val="24"/>
          <w:highlight w:val="none"/>
        </w:rPr>
      </w:pPr>
      <w:r>
        <w:rPr>
          <w:rFonts w:hint="eastAsia" w:ascii="宋体" w:hAnsi="宋体" w:cs="宋体"/>
          <w:b/>
          <w:bCs/>
          <w:sz w:val="24"/>
          <w:szCs w:val="24"/>
          <w:highlight w:val="none"/>
        </w:rPr>
        <w:t xml:space="preserve">7.1 </w:t>
      </w:r>
      <w:bookmarkStart w:id="120" w:name="_Toc116574537"/>
      <w:r>
        <w:rPr>
          <w:rFonts w:hint="eastAsia" w:ascii="宋体" w:hAnsi="宋体" w:cs="宋体"/>
          <w:b/>
          <w:bCs/>
          <w:sz w:val="24"/>
          <w:szCs w:val="24"/>
          <w:highlight w:val="none"/>
        </w:rPr>
        <w:t>用户数需求</w:t>
      </w:r>
      <w:bookmarkEnd w:id="120"/>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系统用户数400，最大并发量80。</w:t>
      </w:r>
    </w:p>
    <w:p>
      <w:pPr>
        <w:pStyle w:val="23"/>
        <w:numPr>
          <w:ilvl w:val="1"/>
          <w:numId w:val="0"/>
        </w:numPr>
        <w:spacing w:before="0" w:beforeLines="0" w:after="0" w:afterLines="0" w:line="360" w:lineRule="auto"/>
        <w:outlineLvl w:val="2"/>
        <w:rPr>
          <w:rFonts w:ascii="宋体" w:hAnsi="宋体" w:cs="宋体"/>
          <w:b/>
          <w:bCs/>
          <w:sz w:val="24"/>
          <w:szCs w:val="24"/>
          <w:highlight w:val="none"/>
        </w:rPr>
      </w:pPr>
      <w:r>
        <w:rPr>
          <w:rFonts w:hint="eastAsia" w:ascii="宋体" w:hAnsi="宋体" w:cs="宋体"/>
          <w:b/>
          <w:bCs/>
          <w:sz w:val="24"/>
          <w:szCs w:val="24"/>
          <w:highlight w:val="none"/>
        </w:rPr>
        <w:t xml:space="preserve">7.2 </w:t>
      </w:r>
      <w:bookmarkStart w:id="121" w:name="_Toc116574538"/>
      <w:r>
        <w:rPr>
          <w:rFonts w:hint="eastAsia" w:ascii="宋体" w:hAnsi="宋体" w:cs="宋体"/>
          <w:b/>
          <w:bCs/>
          <w:sz w:val="24"/>
          <w:szCs w:val="24"/>
          <w:highlight w:val="none"/>
        </w:rPr>
        <w:t>数据处理能力需求</w:t>
      </w:r>
      <w:bookmarkEnd w:id="121"/>
    </w:p>
    <w:p>
      <w:pPr>
        <w:pStyle w:val="23"/>
        <w:numPr>
          <w:ilvl w:val="1"/>
          <w:numId w:val="0"/>
        </w:numPr>
        <w:spacing w:before="0" w:beforeLines="0" w:after="0" w:afterLines="0" w:line="360" w:lineRule="auto"/>
        <w:ind w:firstLine="480" w:firstLineChars="200"/>
        <w:outlineLvl w:val="2"/>
        <w:rPr>
          <w:rFonts w:ascii="宋体" w:hAnsi="宋体" w:eastAsia="Arial"/>
          <w:sz w:val="24"/>
          <w:szCs w:val="24"/>
          <w:highlight w:val="none"/>
        </w:rPr>
      </w:pPr>
      <w:r>
        <w:rPr>
          <w:rFonts w:hint="eastAsia" w:ascii="宋体" w:hAnsi="宋体" w:eastAsia="Arial"/>
          <w:sz w:val="24"/>
          <w:szCs w:val="24"/>
          <w:highlight w:val="none"/>
        </w:rPr>
        <w:t>系统应保证平台快速响应客户请求，对于普通事务类操作，页面响应时间不能超过1秒，对于复杂的分析类请求，页面响应时间不能超过3秒。</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7.3 </w:t>
      </w:r>
      <w:bookmarkStart w:id="122" w:name="_Hlk46599400"/>
      <w:bookmarkStart w:id="123" w:name="_Toc116574539"/>
      <w:r>
        <w:rPr>
          <w:rFonts w:hint="eastAsia" w:ascii="宋体" w:hAnsi="宋体" w:eastAsia="宋体" w:cs="宋体"/>
          <w:b/>
          <w:bCs/>
          <w:sz w:val="24"/>
          <w:szCs w:val="24"/>
          <w:highlight w:val="none"/>
        </w:rPr>
        <w:t>系统可维护性</w:t>
      </w:r>
      <w:bookmarkEnd w:id="122"/>
      <w:r>
        <w:rPr>
          <w:rFonts w:hint="eastAsia" w:ascii="宋体" w:hAnsi="宋体" w:eastAsia="宋体" w:cs="宋体"/>
          <w:b/>
          <w:bCs/>
          <w:sz w:val="24"/>
          <w:szCs w:val="24"/>
          <w:highlight w:val="none"/>
        </w:rPr>
        <w:t>需求</w:t>
      </w:r>
      <w:bookmarkEnd w:id="123"/>
      <w:bookmarkStart w:id="124" w:name="_Hlk46599455"/>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系统设计应充分考虑系统的可维护性，便于对系统的统一管理和升级，管理界面友好，易操作，便于对系统的设置、调整和升级维护等。</w:t>
      </w:r>
      <w:bookmarkEnd w:id="124"/>
    </w:p>
    <w:p>
      <w:pPr>
        <w:pStyle w:val="23"/>
        <w:numPr>
          <w:ilvl w:val="1"/>
          <w:numId w:val="0"/>
        </w:numPr>
        <w:spacing w:before="0" w:beforeLines="0" w:after="0" w:afterLines="0" w:line="360" w:lineRule="auto"/>
        <w:outlineLvl w:val="2"/>
        <w:rPr>
          <w:rFonts w:ascii="宋体" w:hAnsi="宋体" w:cs="宋体"/>
          <w:b/>
          <w:bCs/>
          <w:sz w:val="24"/>
          <w:szCs w:val="24"/>
          <w:highlight w:val="none"/>
        </w:rPr>
      </w:pPr>
      <w:bookmarkStart w:id="125" w:name="_Hlk46599740"/>
      <w:bookmarkStart w:id="126" w:name="_Toc14634"/>
      <w:bookmarkStart w:id="127" w:name="_Toc5286"/>
      <w:bookmarkStart w:id="128" w:name="_Toc21533"/>
      <w:bookmarkStart w:id="129" w:name="_Toc32055"/>
      <w:bookmarkStart w:id="130" w:name="_Toc12672"/>
      <w:bookmarkStart w:id="131" w:name="_Toc116574540"/>
      <w:bookmarkStart w:id="132" w:name="_Toc5883"/>
      <w:bookmarkStart w:id="133" w:name="_Toc20195"/>
      <w:bookmarkStart w:id="134" w:name="_Toc18729"/>
      <w:bookmarkStart w:id="135" w:name="_Toc15333"/>
      <w:bookmarkStart w:id="136" w:name="_Toc30699"/>
      <w:bookmarkStart w:id="137" w:name="_Toc459301230"/>
      <w:r>
        <w:rPr>
          <w:rFonts w:hint="eastAsia" w:ascii="宋体" w:hAnsi="宋体" w:cs="宋体"/>
          <w:b/>
          <w:bCs/>
          <w:sz w:val="24"/>
          <w:szCs w:val="24"/>
          <w:highlight w:val="none"/>
        </w:rPr>
        <w:t>7.4 系统可用性</w:t>
      </w:r>
      <w:bookmarkEnd w:id="125"/>
      <w:r>
        <w:rPr>
          <w:rFonts w:hint="eastAsia" w:ascii="宋体" w:hAnsi="宋体" w:cs="宋体"/>
          <w:b/>
          <w:bCs/>
          <w:sz w:val="24"/>
          <w:szCs w:val="24"/>
          <w:highlight w:val="none"/>
        </w:rPr>
        <w:t>需求</w:t>
      </w:r>
      <w:bookmarkEnd w:id="126"/>
      <w:bookmarkEnd w:id="127"/>
      <w:bookmarkEnd w:id="128"/>
      <w:bookmarkEnd w:id="129"/>
      <w:bookmarkEnd w:id="130"/>
      <w:bookmarkEnd w:id="131"/>
      <w:bookmarkEnd w:id="132"/>
      <w:bookmarkEnd w:id="133"/>
      <w:bookmarkEnd w:id="134"/>
      <w:bookmarkEnd w:id="135"/>
      <w:bookmarkEnd w:id="136"/>
      <w:bookmarkEnd w:id="137"/>
    </w:p>
    <w:p>
      <w:pPr>
        <w:pStyle w:val="24"/>
        <w:rPr>
          <w:rFonts w:cs="宋体"/>
          <w:highlight w:val="none"/>
        </w:rPr>
      </w:pPr>
      <w:bookmarkStart w:id="138" w:name="_Hlk46599763"/>
      <w:r>
        <w:rPr>
          <w:rFonts w:hint="eastAsia" w:cs="宋体"/>
          <w:highlight w:val="none"/>
        </w:rPr>
        <w:t>提供友好、方便的功能操作界面。提供完善的系统操作日志以及异常日志方便故障后进行分析提供依据。</w:t>
      </w:r>
    </w:p>
    <w:bookmarkEnd w:id="138"/>
    <w:p>
      <w:pPr>
        <w:pStyle w:val="23"/>
        <w:numPr>
          <w:ilvl w:val="1"/>
          <w:numId w:val="0"/>
        </w:numPr>
        <w:spacing w:before="0" w:beforeLines="0" w:after="0" w:afterLines="0" w:line="360" w:lineRule="auto"/>
        <w:outlineLvl w:val="2"/>
        <w:rPr>
          <w:b/>
          <w:bCs/>
          <w:sz w:val="24"/>
          <w:szCs w:val="24"/>
          <w:highlight w:val="none"/>
        </w:rPr>
      </w:pPr>
      <w:bookmarkStart w:id="139" w:name="_Hlk46599810"/>
      <w:bookmarkStart w:id="140" w:name="_Toc32743"/>
      <w:bookmarkStart w:id="141" w:name="_Toc116574541"/>
      <w:bookmarkStart w:id="142" w:name="_Toc1248"/>
      <w:bookmarkStart w:id="143" w:name="_Toc23150"/>
      <w:bookmarkStart w:id="144" w:name="_Toc13359"/>
      <w:bookmarkStart w:id="145" w:name="_Toc459301231"/>
      <w:bookmarkStart w:id="146" w:name="_Toc10724"/>
      <w:bookmarkStart w:id="147" w:name="_Toc23882"/>
      <w:bookmarkStart w:id="148" w:name="_Toc28896"/>
      <w:bookmarkStart w:id="149" w:name="_Toc20944"/>
      <w:bookmarkStart w:id="150" w:name="_Toc17099"/>
      <w:bookmarkStart w:id="151" w:name="_Toc7175"/>
      <w:r>
        <w:rPr>
          <w:rFonts w:hint="eastAsia" w:ascii="宋体" w:hAnsi="宋体" w:cs="宋体"/>
          <w:b/>
          <w:bCs/>
          <w:sz w:val="24"/>
          <w:szCs w:val="24"/>
          <w:highlight w:val="none"/>
        </w:rPr>
        <w:t>7.5 系统可</w:t>
      </w:r>
      <w:r>
        <w:rPr>
          <w:rFonts w:hint="eastAsia"/>
          <w:b/>
          <w:bCs/>
          <w:sz w:val="24"/>
          <w:szCs w:val="24"/>
          <w:highlight w:val="none"/>
        </w:rPr>
        <w:t>靠性</w:t>
      </w:r>
      <w:bookmarkEnd w:id="139"/>
      <w:r>
        <w:rPr>
          <w:rFonts w:hint="eastAsia"/>
          <w:b/>
          <w:bCs/>
          <w:sz w:val="24"/>
          <w:szCs w:val="24"/>
          <w:highlight w:val="none"/>
        </w:rPr>
        <w:t>需求</w:t>
      </w:r>
      <w:bookmarkEnd w:id="140"/>
      <w:bookmarkEnd w:id="141"/>
      <w:bookmarkEnd w:id="142"/>
      <w:bookmarkEnd w:id="143"/>
      <w:bookmarkEnd w:id="144"/>
      <w:bookmarkEnd w:id="145"/>
      <w:bookmarkEnd w:id="146"/>
      <w:bookmarkEnd w:id="147"/>
      <w:bookmarkEnd w:id="148"/>
      <w:bookmarkEnd w:id="149"/>
      <w:bookmarkEnd w:id="150"/>
      <w:bookmarkEnd w:id="151"/>
      <w:bookmarkStart w:id="152" w:name="_Hlk46599831"/>
    </w:p>
    <w:p>
      <w:pPr>
        <w:pStyle w:val="24"/>
        <w:rPr>
          <w:rFonts w:cs="宋体"/>
          <w:highlight w:val="none"/>
        </w:rPr>
      </w:pPr>
      <w:r>
        <w:rPr>
          <w:rFonts w:hint="eastAsia" w:cs="宋体"/>
          <w:highlight w:val="none"/>
        </w:rPr>
        <w:t>系统保证不间断工作。系统无单点故障。系统应有的容错能力，对于单一功能的故障不影响系统其他功能的正常使用。</w:t>
      </w:r>
      <w:bookmarkEnd w:id="152"/>
    </w:p>
    <w:p>
      <w:pPr>
        <w:pStyle w:val="23"/>
        <w:numPr>
          <w:ilvl w:val="1"/>
          <w:numId w:val="0"/>
        </w:numPr>
        <w:spacing w:before="0" w:beforeLines="0" w:after="0" w:afterLines="0" w:line="360" w:lineRule="auto"/>
        <w:outlineLvl w:val="2"/>
        <w:rPr>
          <w:rFonts w:ascii="宋体" w:hAnsi="宋体" w:cs="宋体"/>
          <w:b/>
          <w:bCs/>
          <w:sz w:val="24"/>
          <w:szCs w:val="24"/>
          <w:highlight w:val="none"/>
        </w:rPr>
      </w:pPr>
      <w:bookmarkStart w:id="153" w:name="_Hlk46599920"/>
      <w:bookmarkStart w:id="154" w:name="_Toc26928"/>
      <w:bookmarkStart w:id="155" w:name="_Toc19754"/>
      <w:bookmarkStart w:id="156" w:name="_Toc7558"/>
      <w:bookmarkStart w:id="157" w:name="_Toc116574542"/>
      <w:bookmarkStart w:id="158" w:name="_Toc2678"/>
      <w:bookmarkStart w:id="159" w:name="_Toc7408"/>
      <w:bookmarkStart w:id="160" w:name="_Toc28489"/>
      <w:bookmarkStart w:id="161" w:name="_Toc4762"/>
      <w:bookmarkStart w:id="162" w:name="_Toc20790"/>
      <w:r>
        <w:rPr>
          <w:rFonts w:hint="eastAsia" w:ascii="宋体" w:hAnsi="宋体" w:cs="宋体"/>
          <w:b/>
          <w:bCs/>
          <w:sz w:val="24"/>
          <w:szCs w:val="24"/>
          <w:highlight w:val="none"/>
        </w:rPr>
        <w:t>7.6 系统安全性</w:t>
      </w:r>
      <w:bookmarkEnd w:id="153"/>
      <w:r>
        <w:rPr>
          <w:rFonts w:hint="eastAsia" w:ascii="宋体" w:hAnsi="宋体" w:cs="宋体"/>
          <w:b/>
          <w:bCs/>
          <w:sz w:val="24"/>
          <w:szCs w:val="24"/>
          <w:highlight w:val="none"/>
        </w:rPr>
        <w:t>需求</w:t>
      </w:r>
      <w:bookmarkEnd w:id="154"/>
      <w:bookmarkEnd w:id="155"/>
      <w:bookmarkEnd w:id="156"/>
      <w:bookmarkEnd w:id="157"/>
      <w:bookmarkEnd w:id="158"/>
      <w:bookmarkEnd w:id="159"/>
      <w:bookmarkEnd w:id="160"/>
      <w:bookmarkEnd w:id="161"/>
      <w:bookmarkEnd w:id="162"/>
    </w:p>
    <w:p>
      <w:pPr>
        <w:pStyle w:val="2"/>
        <w:spacing w:line="360" w:lineRule="auto"/>
        <w:ind w:firstLine="480" w:firstLineChars="200"/>
        <w:rPr>
          <w:rFonts w:ascii="宋体" w:hAnsi="宋体" w:cs="宋体"/>
          <w:szCs w:val="24"/>
          <w:highlight w:val="none"/>
        </w:rPr>
      </w:pPr>
      <w:r>
        <w:rPr>
          <w:rFonts w:hint="eastAsia" w:ascii="宋体" w:hAnsi="宋体" w:cs="宋体"/>
          <w:szCs w:val="24"/>
          <w:highlight w:val="none"/>
        </w:rPr>
        <w:t>本项目的</w:t>
      </w:r>
      <w:bookmarkStart w:id="163" w:name="_Hlk46599943"/>
      <w:r>
        <w:rPr>
          <w:rFonts w:hint="eastAsia" w:ascii="宋体" w:hAnsi="宋体" w:cs="宋体"/>
          <w:szCs w:val="24"/>
          <w:highlight w:val="none"/>
        </w:rPr>
        <w:t>安全性应满足等保3级的保护要求</w:t>
      </w:r>
      <w:bookmarkEnd w:id="163"/>
      <w:r>
        <w:rPr>
          <w:rFonts w:hint="eastAsia" w:ascii="宋体" w:hAnsi="宋体" w:cs="宋体"/>
          <w:szCs w:val="24"/>
          <w:highlight w:val="none"/>
        </w:rPr>
        <w:t>。</w:t>
      </w:r>
    </w:p>
    <w:p>
      <w:pPr>
        <w:pStyle w:val="22"/>
        <w:numPr>
          <w:ilvl w:val="0"/>
          <w:numId w:val="0"/>
        </w:numPr>
        <w:tabs>
          <w:tab w:val="left" w:pos="525"/>
          <w:tab w:val="left" w:pos="993"/>
          <w:tab w:val="clear" w:pos="1206"/>
        </w:tabs>
        <w:spacing w:before="0" w:beforeLines="0" w:after="0" w:afterLines="0" w:line="360" w:lineRule="auto"/>
        <w:outlineLvl w:val="1"/>
        <w:rPr>
          <w:rFonts w:ascii="宋体" w:hAnsi="宋体" w:eastAsia="宋体" w:cs="宋体"/>
          <w:b/>
          <w:bCs/>
          <w:sz w:val="24"/>
          <w:szCs w:val="24"/>
          <w:highlight w:val="none"/>
        </w:rPr>
      </w:pPr>
      <w:bookmarkStart w:id="164" w:name="_Toc116574543"/>
      <w:r>
        <w:rPr>
          <w:rFonts w:hint="eastAsia" w:ascii="宋体" w:hAnsi="宋体" w:eastAsia="宋体" w:cs="宋体"/>
          <w:b/>
          <w:bCs/>
          <w:sz w:val="24"/>
          <w:szCs w:val="24"/>
          <w:highlight w:val="none"/>
        </w:rPr>
        <w:t>8.项目实施要求</w:t>
      </w:r>
      <w:bookmarkEnd w:id="164"/>
    </w:p>
    <w:p>
      <w:pPr>
        <w:pStyle w:val="24"/>
        <w:rPr>
          <w:rFonts w:cs="宋体"/>
          <w:highlight w:val="none"/>
        </w:rPr>
      </w:pPr>
      <w:r>
        <w:rPr>
          <w:rFonts w:hint="eastAsia" w:cs="宋体"/>
          <w:highlight w:val="none"/>
        </w:rPr>
        <w:t>本项目建设内容包括但不限于要求本项目中标供应商为完成本工程所需的主要工作，具体工作内容包括：软件开发、测试、培训和验收；与其他相关系统，相关专业的配合；全部调试、系统集成、联调、系统测试、用户培训等。</w:t>
      </w:r>
    </w:p>
    <w:p>
      <w:pPr>
        <w:pStyle w:val="23"/>
        <w:numPr>
          <w:ilvl w:val="1"/>
          <w:numId w:val="0"/>
        </w:numPr>
        <w:spacing w:before="0" w:beforeLines="0" w:after="0" w:afterLines="0" w:line="360" w:lineRule="auto"/>
        <w:outlineLvl w:val="2"/>
        <w:rPr>
          <w:rFonts w:ascii="宋体" w:hAnsi="宋体" w:cs="宋体"/>
          <w:b/>
          <w:bCs/>
          <w:sz w:val="24"/>
          <w:szCs w:val="24"/>
          <w:highlight w:val="none"/>
        </w:rPr>
      </w:pPr>
      <w:bookmarkStart w:id="165" w:name="_Toc116574544"/>
      <w:r>
        <w:rPr>
          <w:rFonts w:hint="eastAsia" w:ascii="宋体" w:hAnsi="宋体" w:cs="宋体"/>
          <w:b/>
          <w:bCs/>
          <w:sz w:val="24"/>
          <w:szCs w:val="24"/>
          <w:highlight w:val="none"/>
        </w:rPr>
        <w:t>8.1 实施组织</w:t>
      </w:r>
      <w:bookmarkEnd w:id="165"/>
    </w:p>
    <w:p>
      <w:pPr>
        <w:pStyle w:val="24"/>
        <w:rPr>
          <w:rFonts w:cs="宋体"/>
          <w:highlight w:val="none"/>
        </w:rPr>
      </w:pPr>
      <w:r>
        <w:rPr>
          <w:rFonts w:hint="eastAsia" w:cs="宋体"/>
          <w:highlight w:val="none"/>
        </w:rPr>
        <w:t>中标供应商</w:t>
      </w:r>
      <w:r>
        <w:rPr>
          <w:rFonts w:hint="eastAsia" w:cs="宋体"/>
          <w:highlight w:val="none"/>
          <w:lang w:bidi="ar"/>
        </w:rPr>
        <w:t>必须成立项目实施组、明确责任、严格按照信息化项目管理的有关规定进行项目管理，保证项目质量、确保项目如期完成。项目实施组</w:t>
      </w:r>
      <w:r>
        <w:rPr>
          <w:rFonts w:hint="eastAsia" w:cs="宋体"/>
          <w:highlight w:val="none"/>
        </w:rPr>
        <w:t>负责工程全过程的各项工作，如项目计划编制、系统开发、系统部署、现场培训、系统测试、系统验收等。</w:t>
      </w:r>
    </w:p>
    <w:p>
      <w:pPr>
        <w:pStyle w:val="24"/>
        <w:rPr>
          <w:rFonts w:cs="宋体"/>
          <w:highlight w:val="none"/>
        </w:rPr>
      </w:pPr>
      <w:r>
        <w:rPr>
          <w:rFonts w:hint="eastAsia" w:cs="宋体"/>
          <w:highlight w:val="none"/>
        </w:rPr>
        <w:t>中标供应商项目经理需要由具有较强的相关专业知识和丰富工作经验的人员担任，要求了解国资监管系统架构，具有国资监管平台类项目管理业绩，具有相关专业和项目管理类资格证书。</w:t>
      </w:r>
    </w:p>
    <w:p>
      <w:pPr>
        <w:pStyle w:val="24"/>
        <w:rPr>
          <w:rFonts w:cs="宋体"/>
          <w:highlight w:val="none"/>
        </w:rPr>
      </w:pPr>
      <w:r>
        <w:rPr>
          <w:rFonts w:hint="eastAsia" w:cs="宋体"/>
          <w:highlight w:val="none"/>
        </w:rPr>
        <w:t>中标供应商项目技术负责人需要由具有较强的相关专业知识和丰富工作经验的人员担任，要求了解国资监管系统架构，具有国资监管平台类项目设计业绩，有相关专业资格证书。</w:t>
      </w:r>
    </w:p>
    <w:p>
      <w:pPr>
        <w:pStyle w:val="24"/>
        <w:rPr>
          <w:rFonts w:cs="宋体"/>
          <w:highlight w:val="none"/>
        </w:rPr>
      </w:pPr>
      <w:r>
        <w:rPr>
          <w:rFonts w:hint="eastAsia" w:cs="宋体"/>
          <w:highlight w:val="none"/>
        </w:rPr>
        <w:t>中标供应商项目成员须具有同类项目经验，在现场工作期间还应遵守现场工作的规定。</w:t>
      </w:r>
    </w:p>
    <w:p>
      <w:pPr>
        <w:pStyle w:val="24"/>
        <w:rPr>
          <w:rFonts w:cs="宋体"/>
          <w:highlight w:val="none"/>
        </w:rPr>
      </w:pPr>
      <w:r>
        <w:rPr>
          <w:rFonts w:hint="eastAsia" w:cs="宋体"/>
          <w:highlight w:val="none"/>
        </w:rPr>
        <w:t>中标供应商应自行支付所需交通、生活和其它各项费用，采购单位应为其提供便利。</w:t>
      </w:r>
    </w:p>
    <w:p>
      <w:pPr>
        <w:pStyle w:val="23"/>
        <w:numPr>
          <w:ilvl w:val="1"/>
          <w:numId w:val="0"/>
        </w:numPr>
        <w:spacing w:before="0" w:beforeLines="0" w:after="0" w:afterLines="0" w:line="360" w:lineRule="auto"/>
        <w:outlineLvl w:val="2"/>
        <w:rPr>
          <w:rFonts w:ascii="宋体" w:hAnsi="宋体" w:cs="宋体"/>
          <w:b/>
          <w:bCs/>
          <w:sz w:val="24"/>
          <w:szCs w:val="24"/>
          <w:highlight w:val="none"/>
        </w:rPr>
      </w:pPr>
      <w:bookmarkStart w:id="166" w:name="_Toc116574545"/>
      <w:r>
        <w:rPr>
          <w:rFonts w:hint="eastAsia" w:ascii="宋体" w:hAnsi="宋体" w:cs="宋体"/>
          <w:b/>
          <w:bCs/>
          <w:sz w:val="24"/>
          <w:szCs w:val="24"/>
          <w:highlight w:val="none"/>
        </w:rPr>
        <w:t>8.2 实施进度要求</w:t>
      </w:r>
      <w:bookmarkEnd w:id="166"/>
    </w:p>
    <w:p>
      <w:pPr>
        <w:pStyle w:val="24"/>
        <w:rPr>
          <w:rFonts w:cs="宋体"/>
          <w:highlight w:val="none"/>
        </w:rPr>
      </w:pPr>
      <w:r>
        <w:rPr>
          <w:rFonts w:hint="eastAsia" w:cs="宋体"/>
          <w:highlight w:val="none"/>
        </w:rPr>
        <w:t>交付期：自合同签订之日起</w:t>
      </w:r>
      <w:r>
        <w:rPr>
          <w:rFonts w:hint="eastAsia" w:eastAsia="宋体" w:cs="宋体"/>
          <w:highlight w:val="none"/>
          <w:lang w:val="en-US" w:eastAsia="zh-CN"/>
        </w:rPr>
        <w:t>3</w:t>
      </w:r>
      <w:r>
        <w:rPr>
          <w:rFonts w:cs="宋体"/>
          <w:highlight w:val="none"/>
        </w:rPr>
        <w:t>0</w:t>
      </w:r>
      <w:r>
        <w:rPr>
          <w:rFonts w:hint="eastAsia" w:cs="宋体"/>
          <w:highlight w:val="none"/>
        </w:rPr>
        <w:t>日历日内完成项目需求分析、设计、开发、测试、培训、验收等工作；须提供项目进度风险因素分析及控制措施。</w:t>
      </w:r>
    </w:p>
    <w:p>
      <w:pPr>
        <w:pStyle w:val="23"/>
        <w:numPr>
          <w:ilvl w:val="1"/>
          <w:numId w:val="0"/>
        </w:numPr>
        <w:spacing w:before="0" w:beforeLines="0" w:after="0" w:afterLines="0" w:line="360" w:lineRule="auto"/>
        <w:outlineLvl w:val="2"/>
        <w:rPr>
          <w:rFonts w:ascii="宋体" w:hAnsi="宋体" w:cs="宋体"/>
          <w:b/>
          <w:bCs/>
          <w:sz w:val="24"/>
          <w:szCs w:val="24"/>
          <w:highlight w:val="none"/>
        </w:rPr>
      </w:pPr>
      <w:bookmarkStart w:id="167" w:name="_Toc116574546"/>
      <w:r>
        <w:rPr>
          <w:rFonts w:hint="eastAsia" w:ascii="宋体" w:hAnsi="宋体" w:cs="宋体"/>
          <w:b/>
          <w:bCs/>
          <w:sz w:val="24"/>
          <w:szCs w:val="24"/>
          <w:highlight w:val="none"/>
        </w:rPr>
        <w:t>8.3 质量保证</w:t>
      </w:r>
      <w:bookmarkEnd w:id="167"/>
    </w:p>
    <w:p>
      <w:pPr>
        <w:pStyle w:val="24"/>
        <w:rPr>
          <w:rFonts w:cs="宋体"/>
          <w:highlight w:val="none"/>
        </w:rPr>
      </w:pPr>
      <w:r>
        <w:rPr>
          <w:rFonts w:hint="eastAsia" w:cs="宋体"/>
          <w:highlight w:val="none"/>
        </w:rPr>
        <w:t>项目实施期间，中标供应商、采购单位共同成立项目质量控制小组（SQC），负责对实施质量进行全程管理，文档审核，阶段考核，归档等工作。项目</w:t>
      </w:r>
      <w:r>
        <w:rPr>
          <w:rFonts w:hint="eastAsia" w:eastAsia="宋体" w:cs="宋体"/>
          <w:highlight w:val="none"/>
          <w:lang w:val="en-US" w:eastAsia="zh-CN"/>
        </w:rPr>
        <w:t>服务</w:t>
      </w:r>
      <w:r>
        <w:rPr>
          <w:rFonts w:hint="eastAsia" w:cs="宋体"/>
          <w:highlight w:val="none"/>
        </w:rPr>
        <w:t>期内，在试验、检查和演示过程中，如发现任何不符合本技术部分要求的硬件</w:t>
      </w:r>
      <w:r>
        <w:rPr>
          <w:rFonts w:hint="eastAsia" w:eastAsia="宋体" w:cs="宋体"/>
          <w:highlight w:val="none"/>
          <w:lang w:eastAsia="zh-CN"/>
        </w:rPr>
        <w:t>（</w:t>
      </w:r>
      <w:r>
        <w:rPr>
          <w:rFonts w:hint="eastAsia" w:eastAsia="宋体" w:cs="宋体"/>
          <w:highlight w:val="none"/>
          <w:lang w:val="en-US" w:eastAsia="zh-CN"/>
        </w:rPr>
        <w:t>供应商提供的</w:t>
      </w:r>
      <w:r>
        <w:rPr>
          <w:rFonts w:hint="eastAsia" w:eastAsia="宋体" w:cs="宋体"/>
          <w:highlight w:val="none"/>
          <w:lang w:eastAsia="zh-CN"/>
        </w:rPr>
        <w:t>）</w:t>
      </w:r>
      <w:r>
        <w:rPr>
          <w:rFonts w:hint="eastAsia" w:cs="宋体"/>
          <w:highlight w:val="none"/>
        </w:rPr>
        <w:t>或软件，中标供应商都必须及时更换。由此而引起的任何费用都应由中标供应商承担。更换后的硬件或软件还必须通过本技术部分规定的要求。</w:t>
      </w:r>
    </w:p>
    <w:p>
      <w:pPr>
        <w:pStyle w:val="23"/>
        <w:numPr>
          <w:ilvl w:val="1"/>
          <w:numId w:val="0"/>
        </w:numPr>
        <w:spacing w:before="0" w:beforeLines="0" w:after="0" w:afterLines="0" w:line="360" w:lineRule="auto"/>
        <w:outlineLvl w:val="2"/>
        <w:rPr>
          <w:rFonts w:ascii="宋体" w:hAnsi="宋体" w:cs="宋体"/>
          <w:b/>
          <w:bCs/>
          <w:sz w:val="24"/>
          <w:szCs w:val="24"/>
          <w:highlight w:val="none"/>
        </w:rPr>
      </w:pPr>
      <w:bookmarkStart w:id="168" w:name="_Toc116574547"/>
      <w:r>
        <w:rPr>
          <w:rFonts w:hint="eastAsia" w:ascii="宋体" w:hAnsi="宋体" w:cs="宋体"/>
          <w:b/>
          <w:bCs/>
          <w:sz w:val="24"/>
          <w:szCs w:val="24"/>
          <w:highlight w:val="none"/>
        </w:rPr>
        <w:t>8.4 技术文档要求</w:t>
      </w:r>
      <w:bookmarkEnd w:id="168"/>
    </w:p>
    <w:p>
      <w:pPr>
        <w:pStyle w:val="24"/>
        <w:rPr>
          <w:rFonts w:cs="宋体"/>
          <w:highlight w:val="none"/>
        </w:rPr>
      </w:pPr>
      <w:r>
        <w:rPr>
          <w:rFonts w:hint="eastAsia" w:cs="宋体"/>
          <w:highlight w:val="none"/>
        </w:rPr>
        <w:t>本项目的技术文档包括：需求规格说明书、数据库详细设计说明书、软件详细设计说明书、软件接口设计说明书、系统测试大纲、系统测试用例、系统测试报告、系统用户使用手册、操作规程等。</w:t>
      </w:r>
    </w:p>
    <w:p>
      <w:pPr>
        <w:pStyle w:val="23"/>
        <w:numPr>
          <w:ilvl w:val="1"/>
          <w:numId w:val="0"/>
        </w:numPr>
        <w:spacing w:before="0" w:beforeLines="0" w:after="0" w:afterLines="0" w:line="360" w:lineRule="auto"/>
        <w:outlineLvl w:val="2"/>
        <w:rPr>
          <w:rFonts w:ascii="宋体" w:hAnsi="宋体" w:cs="宋体"/>
          <w:b/>
          <w:bCs/>
          <w:sz w:val="24"/>
          <w:szCs w:val="24"/>
          <w:highlight w:val="none"/>
        </w:rPr>
      </w:pPr>
      <w:bookmarkStart w:id="169" w:name="_Toc116574548"/>
      <w:r>
        <w:rPr>
          <w:rFonts w:hint="eastAsia" w:ascii="宋体" w:hAnsi="宋体" w:cs="宋体"/>
          <w:b/>
          <w:bCs/>
          <w:sz w:val="24"/>
          <w:szCs w:val="24"/>
          <w:highlight w:val="none"/>
        </w:rPr>
        <w:t>8.5 知识产权归属</w:t>
      </w:r>
      <w:bookmarkEnd w:id="169"/>
    </w:p>
    <w:p>
      <w:pPr>
        <w:pStyle w:val="24"/>
        <w:rPr>
          <w:rFonts w:cs="宋体"/>
          <w:highlight w:val="none"/>
        </w:rPr>
      </w:pPr>
      <w:r>
        <w:rPr>
          <w:rFonts w:hint="eastAsia" w:cs="宋体"/>
          <w:highlight w:val="none"/>
        </w:rPr>
        <w:t>本项目所采购的软件系统所有权归汉中市人民政府国有资产监督管理委员会所有，知识产权归中标供应商所有。</w:t>
      </w:r>
    </w:p>
    <w:p>
      <w:pPr>
        <w:pStyle w:val="23"/>
        <w:numPr>
          <w:ilvl w:val="1"/>
          <w:numId w:val="0"/>
        </w:numPr>
        <w:spacing w:before="0" w:beforeLines="0" w:after="0" w:afterLines="0" w:line="360" w:lineRule="auto"/>
        <w:outlineLvl w:val="2"/>
        <w:rPr>
          <w:rFonts w:ascii="宋体" w:hAnsi="宋体" w:cs="宋体"/>
          <w:b/>
          <w:bCs/>
          <w:sz w:val="24"/>
          <w:szCs w:val="24"/>
          <w:highlight w:val="none"/>
        </w:rPr>
      </w:pPr>
      <w:bookmarkStart w:id="170" w:name="_Toc116574549"/>
      <w:r>
        <w:rPr>
          <w:rFonts w:hint="eastAsia" w:ascii="宋体" w:hAnsi="宋体" w:cs="宋体"/>
          <w:b/>
          <w:bCs/>
          <w:sz w:val="24"/>
          <w:szCs w:val="24"/>
          <w:highlight w:val="none"/>
        </w:rPr>
        <w:t>8.6 培训</w:t>
      </w:r>
      <w:bookmarkEnd w:id="170"/>
    </w:p>
    <w:p>
      <w:pPr>
        <w:pStyle w:val="24"/>
        <w:rPr>
          <w:rFonts w:cs="宋体"/>
          <w:highlight w:val="none"/>
        </w:rPr>
      </w:pPr>
      <w:r>
        <w:rPr>
          <w:rFonts w:hint="eastAsia" w:cs="宋体"/>
          <w:highlight w:val="none"/>
        </w:rPr>
        <w:t>中标供应商应对采购人有关人员进行系统的培训，根据人员职责划分及业务分工，进行分类培训；培训对象包括：系统管理员、系统维护支撑人员、国资委具体业务操作人员、监管企业具体业务操作人员；培训方式应包括集中培训和现场培训。</w:t>
      </w:r>
    </w:p>
    <w:p>
      <w:pPr>
        <w:pStyle w:val="24"/>
        <w:rPr>
          <w:rFonts w:cs="宋体"/>
          <w:highlight w:val="none"/>
        </w:rPr>
      </w:pPr>
      <w:r>
        <w:rPr>
          <w:rFonts w:hint="eastAsia" w:cs="宋体"/>
          <w:highlight w:val="none"/>
        </w:rPr>
        <w:t>培训设计应包括培训内容、培训材料、培训时间、地点、培训范围、课程计划、要求等；中标供应商应提供培训手册，包括《系统操作手册》、《系统设计说明书》、《系统数据结构》、《操作维护指南》，确保用户能正常使用与简单维护。</w:t>
      </w:r>
    </w:p>
    <w:p>
      <w:pPr>
        <w:pStyle w:val="23"/>
        <w:numPr>
          <w:ilvl w:val="1"/>
          <w:numId w:val="0"/>
        </w:numPr>
        <w:spacing w:before="0" w:beforeLines="0" w:after="0" w:afterLines="0" w:line="360" w:lineRule="auto"/>
        <w:outlineLvl w:val="2"/>
        <w:rPr>
          <w:rFonts w:ascii="宋体" w:hAnsi="宋体" w:cs="宋体"/>
          <w:b/>
          <w:bCs/>
          <w:sz w:val="24"/>
          <w:szCs w:val="24"/>
          <w:highlight w:val="none"/>
        </w:rPr>
      </w:pPr>
      <w:bookmarkStart w:id="171" w:name="_Toc116574550"/>
      <w:r>
        <w:rPr>
          <w:rFonts w:hint="eastAsia" w:ascii="宋体" w:hAnsi="宋体" w:cs="宋体"/>
          <w:b/>
          <w:bCs/>
          <w:sz w:val="24"/>
          <w:szCs w:val="24"/>
          <w:highlight w:val="none"/>
        </w:rPr>
        <w:t>8.7 售后服务</w:t>
      </w:r>
      <w:bookmarkEnd w:id="171"/>
    </w:p>
    <w:p>
      <w:pPr>
        <w:pStyle w:val="24"/>
        <w:rPr>
          <w:rFonts w:cs="宋体"/>
          <w:highlight w:val="none"/>
        </w:rPr>
      </w:pPr>
      <w:r>
        <w:rPr>
          <w:rFonts w:hint="eastAsia" w:cs="宋体"/>
          <w:highlight w:val="none"/>
        </w:rPr>
        <w:t>项目</w:t>
      </w:r>
      <w:r>
        <w:rPr>
          <w:rFonts w:hint="eastAsia" w:eastAsia="宋体" w:cs="宋体"/>
          <w:highlight w:val="none"/>
          <w:lang w:val="en-US" w:eastAsia="zh-CN"/>
        </w:rPr>
        <w:t>服务</w:t>
      </w:r>
      <w:r>
        <w:rPr>
          <w:rFonts w:hint="eastAsia" w:cs="宋体"/>
          <w:highlight w:val="none"/>
        </w:rPr>
        <w:t>期1年，提供本地化售后服务，同时提供完整的售后服务方案。在质保期内，提供全年 7*24 小时远程咨询支持，包括热线支持、邮件支持以及通过远程软件支持；并提供免人工费、免服务费的现场排故服务。</w:t>
      </w:r>
    </w:p>
    <w:p>
      <w:pPr>
        <w:pStyle w:val="24"/>
        <w:rPr>
          <w:rFonts w:cs="宋体"/>
          <w:highlight w:val="none"/>
        </w:rPr>
      </w:pPr>
      <w:r>
        <w:rPr>
          <w:rFonts w:hint="eastAsia" w:cs="宋体"/>
          <w:highlight w:val="none"/>
        </w:rPr>
        <w:t>在质保期内，一旦系统出现故障，中标供应商应确保 1 小时内响应，4 小时内到达现场，24 小时内排除故障。</w:t>
      </w:r>
    </w:p>
    <w:p>
      <w:pPr>
        <w:pStyle w:val="24"/>
        <w:rPr>
          <w:rFonts w:cs="宋体"/>
          <w:highlight w:val="none"/>
        </w:rPr>
      </w:pPr>
      <w:r>
        <w:rPr>
          <w:rFonts w:hint="eastAsia" w:cs="宋体"/>
          <w:highlight w:val="none"/>
        </w:rPr>
        <w:t>售后服务团队成员至少包括：运维项目经理、软件工程师、云计算工程师、网络工程师、信息安全工程师。</w:t>
      </w:r>
    </w:p>
    <w:p>
      <w:pPr>
        <w:pStyle w:val="24"/>
        <w:rPr>
          <w:rFonts w:cs="宋体"/>
          <w:highlight w:val="none"/>
        </w:rPr>
      </w:pPr>
      <w:r>
        <w:rPr>
          <w:rFonts w:hint="eastAsia" w:cs="宋体"/>
          <w:highlight w:val="none"/>
        </w:rPr>
        <w:t>售后服务保密要求：系统中的数据、资料等相关信息，参与运维的全体人员非经授权不得在任何时候向任何人透露。</w:t>
      </w:r>
    </w:p>
    <w:p>
      <w:pPr>
        <w:pStyle w:val="24"/>
        <w:rPr>
          <w:rFonts w:hint="eastAsia" w:eastAsia="宋体" w:cs="宋体"/>
          <w:highlight w:val="none"/>
        </w:rPr>
      </w:pPr>
    </w:p>
    <w:p>
      <w:pPr>
        <w:pStyle w:val="24"/>
        <w:rPr>
          <w:rFonts w:hint="eastAsia" w:eastAsia="宋体" w:cs="宋体"/>
          <w:highlight w:val="none"/>
        </w:rPr>
      </w:pPr>
    </w:p>
    <w:p>
      <w:pPr>
        <w:pStyle w:val="24"/>
        <w:rPr>
          <w:rFonts w:hint="eastAsia" w:eastAsia="宋体" w:cs="宋体"/>
          <w:highlight w:val="none"/>
        </w:rPr>
      </w:pPr>
    </w:p>
    <w:p>
      <w:pPr>
        <w:pStyle w:val="24"/>
        <w:rPr>
          <w:rFonts w:hint="eastAsia" w:eastAsia="宋体" w:cs="宋体"/>
          <w:highlight w:val="none"/>
        </w:rPr>
      </w:pPr>
    </w:p>
    <w:p>
      <w:pPr>
        <w:pStyle w:val="22"/>
        <w:numPr>
          <w:ilvl w:val="0"/>
          <w:numId w:val="0"/>
        </w:numPr>
        <w:tabs>
          <w:tab w:val="left" w:pos="525"/>
          <w:tab w:val="left" w:pos="993"/>
          <w:tab w:val="clear" w:pos="1206"/>
        </w:tabs>
        <w:spacing w:before="0" w:beforeLines="0" w:after="0" w:afterLines="0" w:line="360" w:lineRule="auto"/>
        <w:outlineLvl w:val="1"/>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9.</w:t>
      </w:r>
      <w:bookmarkStart w:id="172" w:name="_Toc116574551"/>
      <w:r>
        <w:rPr>
          <w:rFonts w:hint="eastAsia" w:ascii="宋体" w:hAnsi="宋体" w:eastAsia="宋体" w:cs="宋体"/>
          <w:b/>
          <w:bCs/>
          <w:sz w:val="24"/>
          <w:szCs w:val="24"/>
          <w:highlight w:val="none"/>
        </w:rPr>
        <w:t>项目采购清单</w:t>
      </w:r>
      <w:bookmarkEnd w:id="172"/>
    </w:p>
    <w:tbl>
      <w:tblPr>
        <w:tblStyle w:val="18"/>
        <w:tblW w:w="5745" w:type="pct"/>
        <w:tblInd w:w="-556" w:type="dxa"/>
        <w:tblLayout w:type="fixed"/>
        <w:tblCellMar>
          <w:top w:w="0" w:type="dxa"/>
          <w:left w:w="108" w:type="dxa"/>
          <w:bottom w:w="0" w:type="dxa"/>
          <w:right w:w="108" w:type="dxa"/>
        </w:tblCellMar>
      </w:tblPr>
      <w:tblGrid>
        <w:gridCol w:w="780"/>
        <w:gridCol w:w="1200"/>
        <w:gridCol w:w="1704"/>
        <w:gridCol w:w="4607"/>
        <w:gridCol w:w="768"/>
        <w:gridCol w:w="733"/>
      </w:tblGrid>
      <w:tr>
        <w:tblPrEx>
          <w:tblCellMar>
            <w:top w:w="0" w:type="dxa"/>
            <w:left w:w="108" w:type="dxa"/>
            <w:bottom w:w="0" w:type="dxa"/>
            <w:right w:w="108" w:type="dxa"/>
          </w:tblCellMar>
        </w:tblPrEx>
        <w:trPr>
          <w:trHeight w:val="629" w:hRule="atLeast"/>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482" w:type="pct"/>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235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b/>
                <w:bCs/>
                <w:sz w:val="24"/>
                <w:szCs w:val="24"/>
                <w:highlight w:val="none"/>
              </w:rPr>
            </w:pPr>
            <w:r>
              <w:rPr>
                <w:rFonts w:hint="eastAsia" w:ascii="宋体" w:hAnsi="宋体" w:eastAsia="宋体" w:cs="宋体"/>
                <w:b/>
                <w:bCs/>
                <w:sz w:val="24"/>
                <w:szCs w:val="24"/>
                <w:highlight w:val="none"/>
              </w:rPr>
              <w:t>规格要求</w:t>
            </w:r>
          </w:p>
        </w:tc>
        <w:tc>
          <w:tcPr>
            <w:tcW w:w="39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p>
        </w:tc>
      </w:tr>
      <w:tr>
        <w:tblPrEx>
          <w:tblCellMar>
            <w:top w:w="0" w:type="dxa"/>
            <w:left w:w="108" w:type="dxa"/>
            <w:bottom w:w="0" w:type="dxa"/>
            <w:right w:w="108" w:type="dxa"/>
          </w:tblCellMar>
        </w:tblPrEx>
        <w:trPr>
          <w:trHeight w:val="28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482" w:type="pct"/>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标准规范体系</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数据资源管理标准规范、数据运营规范、数据安全标准。</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28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612" w:type="pct"/>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数据中台</w:t>
            </w: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大数据基础</w:t>
            </w:r>
          </w:p>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平台</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大数据存储、计算资源管理、大数据分析、数据应用集成等功能。</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28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61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数据采集平台</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数据源管理、数据采集、数据采集任务管理、数据采集任务监控</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28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61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用户中心</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用户管理、团队管理、角色管理、菜单管理、审计日志、待办。</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52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612" w:type="pct"/>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监管业务中心</w:t>
            </w: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企业基本信息</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实现对监管企业多层次、多维度信息进行管理，构建国资监管业务体系中企业的统一性信息，建立全方位、集中式的维护和管理机制，在业务应用运行过程中提供统一资源数据，主要包括基本信息、工商登记信息、股权信息等。</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52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612" w:type="pct"/>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财务监管</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企业财务快报的数据录入、数据运算、数据审核、数据汇总、审核反馈、数据导出、查询分析、分析报告以及对外报送等功能。</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52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612" w:type="pct"/>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投资布局</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现对监管企业的投资布局情况管理，从年度投资计划、月度完成情况等方面进行业务数据管理与分析，实现对监管企业所有投资项目综合情况的统一管理和业务监管。主要功能包括年度投资计划、月度完成情况、投资分析、综合查询与统计等。</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52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612" w:type="pct"/>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科技创新</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sz w:val="24"/>
                <w:szCs w:val="24"/>
                <w:highlight w:val="none"/>
              </w:rPr>
              <w:t>高新技术企业情况、安全环保情况、创新成果情况等。</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1512"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612" w:type="pct"/>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公司治理</w:t>
            </w:r>
          </w:p>
        </w:tc>
        <w:tc>
          <w:tcPr>
            <w:tcW w:w="235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实现监管企业董事会设立情况、监事会设立情况的数据管理，包括一级、二级企业董事会设立情况，一级、二级企业监事会设立情况。</w:t>
            </w:r>
          </w:p>
        </w:tc>
        <w:tc>
          <w:tcPr>
            <w:tcW w:w="39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套</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149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612" w:type="pct"/>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企干管理</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实现监管企业用工情况的数据管理，包括学历、年龄、薪酬水平、用工形式等多类汇总数据。系统设计应符合陕西省国资委下发的监管指标要求。</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1502"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612" w:type="pct"/>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人事管理</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人事管理是登记企业所有人员信息，并形成人员库、专业技术人员信息库等信息供企业、国资委查看。包括企业领导人信息、人才库、人员基本信息等功能。</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2497"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612" w:type="pct"/>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产权管理</w:t>
            </w:r>
          </w:p>
        </w:tc>
        <w:tc>
          <w:tcPr>
            <w:tcW w:w="2352" w:type="pct"/>
            <w:tcBorders>
              <w:top w:val="nil"/>
              <w:left w:val="nil"/>
              <w:bottom w:val="single" w:color="auto" w:sz="4" w:space="0"/>
              <w:right w:val="single" w:color="auto" w:sz="4" w:space="0"/>
            </w:tcBorders>
            <w:shd w:val="clear" w:color="auto" w:fill="auto"/>
            <w:vAlign w:val="center"/>
          </w:tcPr>
          <w:p>
            <w:pPr>
              <w:pStyle w:val="21"/>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sz w:val="24"/>
                <w:szCs w:val="24"/>
                <w:highlight w:val="none"/>
                <w:lang w:val="en-US" w:eastAsia="zh-CN" w:bidi="ar-SA"/>
              </w:rPr>
              <w:t>实现以《国家出资企业产权登记管理暂行办法》等制度法规为依据，以产权登记为务核心，对监管企主要的经济行为进行了统一流程性管理，主要信息范围包含企业基础信息、经济行为信息、合规性资料目录等。主要功能包括产权登记与变更、注销，产权管理树，综合查询与分析等。</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2522"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612" w:type="pct"/>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党建管理</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实现监管企业党委、党组织、党委工作部门、党员信息以及党员发展情况的数据管理。系统设计应符合陕西省国资委下发的监管指标要求，包括党委基本信息、党组织基本信息、党委工作部门设置情况、党员基本信息、党员发展情况等，为党建体系工作的开展提供高效、便捷的应用。</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52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61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三重一大</w:t>
            </w:r>
          </w:p>
        </w:tc>
        <w:tc>
          <w:tcPr>
            <w:tcW w:w="235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对涉及三重一大相关的监管数据指标进行在线填报。功能为监管概况、信息管理、决策制度管理、事项清单管理、决策会议管理、数据上报</w:t>
            </w:r>
          </w:p>
        </w:tc>
        <w:tc>
          <w:tcPr>
            <w:tcW w:w="39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52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612" w:type="pct"/>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生态资源云脑</w:t>
            </w: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数字驾驶舱</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统一展示生态资源资产情况、资源交易情况、信贷情况、地图板块等数据，进行统计分析与展示。</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52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612"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业务管理平台</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建设资源管理中心、资源交易中心、绿色金融中心、小程序中心和系统管理。</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52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612"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微信小程序</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建设资源中心、签约交易以及个人生态账户。</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1207"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612"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p>
        </w:tc>
        <w:tc>
          <w:tcPr>
            <w:tcW w:w="87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数据库</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对生态资源管理、资源交易、绿色金融等数据进行数据归集、数据清洗和数据治理工作，并建设两山生态资源云脑数据库。</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1507"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1482" w:type="pct"/>
            <w:gridSpan w:val="2"/>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数据监管门户</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1、统一应用接入管理，统一认证管理，统一服务，工作台。</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2、可视化展示分析（财务快报分析数据、人力资源分析数据、三重一大分析数据）</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套</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706"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20</w:t>
            </w:r>
          </w:p>
        </w:tc>
        <w:tc>
          <w:tcPr>
            <w:tcW w:w="1482" w:type="pct"/>
            <w:gridSpan w:val="2"/>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专线电路</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10M专线</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条</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w:t>
            </w:r>
          </w:p>
        </w:tc>
      </w:tr>
      <w:tr>
        <w:tblPrEx>
          <w:tblCellMar>
            <w:top w:w="0" w:type="dxa"/>
            <w:left w:w="108" w:type="dxa"/>
            <w:bottom w:w="0" w:type="dxa"/>
            <w:right w:w="108" w:type="dxa"/>
          </w:tblCellMar>
        </w:tblPrEx>
        <w:trPr>
          <w:trHeight w:val="4271" w:hRule="atLeast"/>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148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台式电脑</w:t>
            </w:r>
          </w:p>
        </w:tc>
        <w:tc>
          <w:tcPr>
            <w:tcW w:w="235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系统：Windows11家庭中文版</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CPU：英特尔“酷睿”i5-12400处理器</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内存：16GB DDR4 3200MHz内存</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硬盘：512GB NVMe高速固态硬盘</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显卡：集成显卡</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网卡：802.11ax Wi-Fi6+蓝牙无线网卡/千兆有线网卡</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键鼠：标配有线键鼠套装</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软件：预装正版Office家庭和学生版</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显示器：23英寸、1920*1080分辨率、72%NTSC高色域、T</w:t>
            </w:r>
            <w:r>
              <w:rPr>
                <w:rFonts w:hint="eastAsia" w:ascii="宋体" w:hAnsi="宋体" w:eastAsia="宋体" w:cs="宋体"/>
                <w:i w:val="0"/>
                <w:iCs w:val="0"/>
                <w:caps w:val="0"/>
                <w:color w:val="333333"/>
                <w:spacing w:val="0"/>
                <w:sz w:val="24"/>
                <w:szCs w:val="24"/>
                <w:highlight w:val="none"/>
                <w:shd w:val="clear" w:fill="FFFFFF"/>
              </w:rPr>
              <w:t>ü</w:t>
            </w:r>
            <w:r>
              <w:rPr>
                <w:rFonts w:hint="eastAsia" w:ascii="宋体" w:hAnsi="宋体" w:eastAsia="宋体" w:cs="宋体"/>
                <w:i w:val="0"/>
                <w:iCs w:val="0"/>
                <w:caps w:val="0"/>
                <w:color w:val="333333"/>
                <w:spacing w:val="0"/>
                <w:sz w:val="24"/>
                <w:szCs w:val="24"/>
                <w:highlight w:val="none"/>
                <w:shd w:val="clear" w:fill="FFFFFF"/>
                <w:lang w:val="en-US" w:eastAsia="zh-CN"/>
              </w:rPr>
              <w:t>V低蓝光无频闪认证、VGA+DVI输入、</w:t>
            </w:r>
            <w:r>
              <w:rPr>
                <w:rFonts w:hint="eastAsia" w:ascii="宋体" w:hAnsi="宋体" w:eastAsia="宋体" w:cs="宋体"/>
                <w:sz w:val="24"/>
                <w:szCs w:val="24"/>
                <w:highlight w:val="none"/>
                <w:lang w:val="en-US" w:eastAsia="zh-CN"/>
              </w:rPr>
              <w:t>-5°—20°可调节角度</w:t>
            </w:r>
          </w:p>
        </w:tc>
        <w:tc>
          <w:tcPr>
            <w:tcW w:w="39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r>
        <w:tblPrEx>
          <w:tblCellMar>
            <w:top w:w="0" w:type="dxa"/>
            <w:left w:w="108" w:type="dxa"/>
            <w:bottom w:w="0" w:type="dxa"/>
            <w:right w:w="108" w:type="dxa"/>
          </w:tblCellMar>
        </w:tblPrEx>
        <w:trPr>
          <w:trHeight w:val="4000" w:hRule="atLeast"/>
        </w:trPr>
        <w:tc>
          <w:tcPr>
            <w:tcW w:w="39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1482" w:type="pct"/>
            <w:gridSpan w:val="2"/>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笔记本电脑</w:t>
            </w:r>
          </w:p>
        </w:tc>
        <w:tc>
          <w:tcPr>
            <w:tcW w:w="23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屏幕尺寸：15.6英寸、物理分辨1920×1080、屏幕类型全高清IPS屏幕</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内存容量：16GB</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内存类型：DDR5</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硬盘容量：512GB</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硬盘类型：SSD固态硬盘</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显卡类型：独立显卡、显示芯片NVIDIA GeForce RTX3050、显示容量4GB</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显存类型：GDDR6</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无线网卡、Wifi6、蓝牙、有电池、80Whr</w:t>
            </w:r>
          </w:p>
          <w:p>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default"/>
                <w:highlight w:val="none"/>
                <w:lang w:val="en-US" w:eastAsia="zh-CN"/>
              </w:rPr>
            </w:pPr>
            <w:r>
              <w:rPr>
                <w:rFonts w:hint="eastAsia" w:ascii="宋体" w:hAnsi="宋体" w:eastAsia="宋体" w:cs="宋体"/>
                <w:sz w:val="24"/>
                <w:szCs w:val="24"/>
                <w:highlight w:val="none"/>
                <w:lang w:val="en-US" w:eastAsia="zh-CN"/>
              </w:rPr>
              <w:t>软件：预装正版Office家庭和学生版</w:t>
            </w:r>
          </w:p>
        </w:tc>
        <w:tc>
          <w:tcPr>
            <w:tcW w:w="39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37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rPr>
              <w:t>2</w:t>
            </w:r>
          </w:p>
        </w:tc>
      </w:tr>
    </w:tbl>
    <w:p>
      <w:pPr>
        <w:spacing w:line="360" w:lineRule="auto"/>
        <w:jc w:val="cente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spacing w:line="360" w:lineRule="auto"/>
        <w:jc w:val="cente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pStyle w:val="2"/>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pStyle w:val="2"/>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pStyle w:val="2"/>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pStyle w:val="2"/>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pStyle w:val="2"/>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pStyle w:val="2"/>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pPr>
    </w:p>
    <w:p>
      <w:pPr>
        <w:spacing w:line="360" w:lineRule="auto"/>
        <w:jc w:val="center"/>
        <w:rPr>
          <w:highlight w:val="none"/>
        </w:rPr>
      </w:pPr>
      <w: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t>第</w:t>
      </w:r>
      <w:r>
        <w:rPr>
          <w:rFonts w:hint="eastAsia" w:ascii="宋体" w:hAnsi="宋体" w:eastAsia="宋体" w:cs="宋体"/>
          <w:spacing w:val="8"/>
          <w:sz w:val="28"/>
          <w:szCs w:val="28"/>
          <w:highlight w:val="none"/>
          <w14:textOutline w14:w="5448" w14:cap="sq" w14:cmpd="sng" w14:algn="ctr">
            <w14:solidFill>
              <w14:srgbClr w14:val="000000"/>
            </w14:solidFill>
            <w14:prstDash w14:val="solid"/>
            <w14:bevel/>
          </w14:textOutline>
        </w:rPr>
        <w:t>四部分 评标办法</w:t>
      </w:r>
    </w:p>
    <w:p>
      <w:pPr>
        <w:spacing w:line="360" w:lineRule="auto"/>
        <w:ind w:firstLine="480" w:firstLineChars="200"/>
        <w:rPr>
          <w:rFonts w:ascii="宋体" w:hAnsi="宋体" w:eastAsia="宋体" w:cs="宋体"/>
          <w:color w:val="auto"/>
          <w:kern w:val="2"/>
          <w:szCs w:val="24"/>
          <w:highlight w:val="none"/>
        </w:rPr>
      </w:pPr>
      <w:bookmarkStart w:id="173" w:name="_Toc6962_WPSOffice_Level2"/>
      <w:bookmarkStart w:id="174" w:name="_Toc16917_WPSOffice_Level2"/>
      <w:bookmarkStart w:id="175" w:name="_Toc32549_WPSOffice_Level2"/>
      <w:bookmarkStart w:id="176" w:name="_Toc25101_WPSOffice_Level2"/>
      <w:bookmarkStart w:id="177" w:name="_Toc11067_WPSOffice_Level2"/>
      <w:r>
        <w:rPr>
          <w:rFonts w:hint="eastAsia" w:ascii="宋体" w:hAnsi="宋体" w:eastAsia="宋体" w:cs="宋体"/>
          <w:sz w:val="24"/>
          <w:szCs w:val="24"/>
          <w:highlight w:val="none"/>
        </w:rPr>
        <w:t>根据《中华人民共和国政府采购法》、《中华人民共和国政府采购法实施条例》及</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政府采购货物和服务招标投标管理办法</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（财政部 87 号令）的规定，本次评标采用综合评分法。即在投标文件满足招标文件全部实质性要求前提，按照招标文件中规定的各项因素和相应的权重分值进行综合评审后，以综合得分由高至低依次排序，并推荐前3名为中标候选人。</w:t>
      </w:r>
    </w:p>
    <w:bookmarkEnd w:id="173"/>
    <w:bookmarkEnd w:id="174"/>
    <w:bookmarkEnd w:id="175"/>
    <w:bookmarkEnd w:id="176"/>
    <w:bookmarkEnd w:id="177"/>
    <w:p>
      <w:pPr>
        <w:spacing w:line="360" w:lineRule="auto"/>
        <w:rPr>
          <w:rFonts w:ascii="宋体" w:hAnsi="宋体" w:eastAsia="宋体" w:cs="宋体"/>
          <w:b/>
          <w:bCs/>
          <w:sz w:val="24"/>
          <w:szCs w:val="24"/>
          <w:highlight w:val="none"/>
        </w:rPr>
      </w:pPr>
      <w:bookmarkStart w:id="178" w:name="_Toc460"/>
      <w:r>
        <w:rPr>
          <w:rFonts w:hint="eastAsia" w:ascii="宋体" w:hAnsi="宋体" w:eastAsia="宋体" w:cs="宋体"/>
          <w:b/>
          <w:bCs/>
          <w:sz w:val="24"/>
          <w:szCs w:val="24"/>
          <w:highlight w:val="none"/>
        </w:rPr>
        <w:t>1.投标文件初审</w:t>
      </w:r>
      <w:bookmarkEnd w:id="178"/>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（1）资格性审查内容和标准：</w:t>
      </w:r>
    </w:p>
    <w:tbl>
      <w:tblPr>
        <w:tblStyle w:val="18"/>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047"/>
        <w:gridCol w:w="6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8" w:type="dxa"/>
            <w:vAlign w:val="center"/>
          </w:tcPr>
          <w:p>
            <w:pPr>
              <w:kinsoku/>
              <w:autoSpaceDE/>
              <w:autoSpaceDN/>
              <w:adjustRightInd/>
              <w:snapToGrid/>
              <w:spacing w:line="36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47" w:type="dxa"/>
            <w:vAlign w:val="center"/>
          </w:tcPr>
          <w:p>
            <w:pPr>
              <w:kinsoku/>
              <w:autoSpaceDE/>
              <w:autoSpaceDN/>
              <w:adjustRightInd/>
              <w:snapToGrid/>
              <w:spacing w:line="36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资格审查项</w:t>
            </w:r>
          </w:p>
        </w:tc>
        <w:tc>
          <w:tcPr>
            <w:tcW w:w="6686" w:type="dxa"/>
            <w:vAlign w:val="center"/>
          </w:tcPr>
          <w:p>
            <w:pPr>
              <w:kinsoku/>
              <w:autoSpaceDE/>
              <w:autoSpaceDN/>
              <w:adjustRightInd/>
              <w:snapToGrid/>
              <w:spacing w:line="36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58"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47"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营业执照等主体资格证明文件</w:t>
            </w:r>
          </w:p>
        </w:tc>
        <w:tc>
          <w:tcPr>
            <w:tcW w:w="6686" w:type="dxa"/>
            <w:vAlign w:val="center"/>
          </w:tcPr>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评审依据：证明材料复印件加盖投标供应商公章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2" w:hRule="atLeast"/>
          <w:jc w:val="center"/>
        </w:trPr>
        <w:tc>
          <w:tcPr>
            <w:tcW w:w="758"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47"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w:t>
            </w:r>
          </w:p>
        </w:tc>
        <w:tc>
          <w:tcPr>
            <w:tcW w:w="6686" w:type="dxa"/>
            <w:vAlign w:val="center"/>
          </w:tcPr>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提供2021年</w:t>
            </w:r>
            <w:r>
              <w:rPr>
                <w:rFonts w:hint="eastAsia" w:ascii="宋体" w:hAnsi="宋体" w:eastAsia="宋体" w:cs="宋体"/>
                <w:color w:val="auto"/>
                <w:sz w:val="24"/>
                <w:szCs w:val="24"/>
                <w:highlight w:val="none"/>
              </w:rPr>
              <w:t>度</w:t>
            </w:r>
            <w:r>
              <w:rPr>
                <w:rFonts w:ascii="宋体" w:hAnsi="宋体" w:eastAsia="宋体" w:cs="宋体"/>
                <w:color w:val="auto"/>
                <w:sz w:val="24"/>
                <w:szCs w:val="24"/>
                <w:highlight w:val="none"/>
              </w:rPr>
              <w:t>财务审计报告</w:t>
            </w:r>
            <w:r>
              <w:rPr>
                <w:rFonts w:hint="eastAsia" w:ascii="宋体" w:hAnsi="宋体" w:eastAsia="宋体" w:cs="宋体"/>
                <w:color w:val="auto"/>
                <w:sz w:val="24"/>
                <w:szCs w:val="24"/>
                <w:highlight w:val="none"/>
              </w:rPr>
              <w:t>（包括四表一注，即资产负债表、利润表、现金流量表、所有者权益变动表及其附注），</w:t>
            </w:r>
            <w:r>
              <w:rPr>
                <w:rFonts w:ascii="宋体" w:hAnsi="宋体" w:eastAsia="宋体" w:cs="宋体"/>
                <w:color w:val="auto"/>
                <w:sz w:val="24"/>
                <w:szCs w:val="24"/>
                <w:highlight w:val="none"/>
              </w:rPr>
              <w:t>成立时间至提交投标文件截止时间不足1年的可提供成立后任意时段的资产负债表或其基本存款账户开户银行出具的资信证</w:t>
            </w:r>
            <w:r>
              <w:rPr>
                <w:rFonts w:hint="eastAsia" w:ascii="宋体" w:hAnsi="宋体" w:eastAsia="宋体" w:cs="宋体"/>
                <w:color w:val="auto"/>
                <w:sz w:val="24"/>
                <w:szCs w:val="24"/>
                <w:highlight w:val="none"/>
              </w:rPr>
              <w:t>；</w:t>
            </w:r>
          </w:p>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评审依据：证明材料复印件加盖投标供应商公章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58"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47"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社会保障资金缴纳证明</w:t>
            </w:r>
          </w:p>
        </w:tc>
        <w:tc>
          <w:tcPr>
            <w:tcW w:w="6686" w:type="dxa"/>
            <w:vAlign w:val="center"/>
          </w:tcPr>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提供投标文件递交截止时间前六个月内任意三月已缴存的社会保障资金缴费证明或参保证明，依法不需要缴纳社会保障资金的投标供应商应提供相关证明文件；</w:t>
            </w:r>
          </w:p>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评审依据：证明材料复印件加盖投标供应商公章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758"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47"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税收缴纳证明</w:t>
            </w:r>
          </w:p>
        </w:tc>
        <w:tc>
          <w:tcPr>
            <w:tcW w:w="6686" w:type="dxa"/>
            <w:vAlign w:val="center"/>
          </w:tcPr>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提供投标文件递交截止时间前六个月内任意三月已缴纳的纳税证明或完税证明(包含增值税、企业所得税至少一种)，依法免税的供应商应提供相关证明文件；</w:t>
            </w:r>
          </w:p>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评审依据：证明材料复印件加盖投标供应商公章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8"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47"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履行合同承诺函</w:t>
            </w:r>
          </w:p>
        </w:tc>
        <w:tc>
          <w:tcPr>
            <w:tcW w:w="6686" w:type="dxa"/>
            <w:vAlign w:val="center"/>
          </w:tcPr>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具有履行合同所必需的设备和专业技术能力的声明</w:t>
            </w:r>
            <w:r>
              <w:rPr>
                <w:rFonts w:hint="eastAsia" w:ascii="宋体" w:hAnsi="宋体" w:eastAsia="宋体" w:cs="宋体"/>
                <w:color w:val="auto"/>
                <w:sz w:val="24"/>
                <w:szCs w:val="24"/>
                <w:highlight w:val="none"/>
              </w:rPr>
              <w:t>；</w:t>
            </w:r>
          </w:p>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评审依据：提供书面声明加盖投标供应商公章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58" w:type="dxa"/>
            <w:vAlign w:val="center"/>
          </w:tcPr>
          <w:p>
            <w:pPr>
              <w:kinsoku/>
              <w:autoSpaceDE/>
              <w:autoSpaceDN/>
              <w:adjustRightInd/>
              <w:snapToGrid/>
              <w:spacing w:line="36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w:t>
            </w:r>
          </w:p>
        </w:tc>
        <w:tc>
          <w:tcPr>
            <w:tcW w:w="2047"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无重大违法记录书面声明</w:t>
            </w:r>
          </w:p>
        </w:tc>
        <w:tc>
          <w:tcPr>
            <w:tcW w:w="6686" w:type="dxa"/>
            <w:vAlign w:val="center"/>
          </w:tcPr>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参加政府采购活动前三年内在经营活动中没有重大违法记录的书面声明；</w:t>
            </w:r>
          </w:p>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评审依据：提供书面声明加盖投标供应商公章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jc w:val="center"/>
        </w:trPr>
        <w:tc>
          <w:tcPr>
            <w:tcW w:w="758"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047"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法定代表人身份证明/法定代表人授权委托书</w:t>
            </w:r>
          </w:p>
        </w:tc>
        <w:tc>
          <w:tcPr>
            <w:tcW w:w="6686" w:type="dxa"/>
            <w:vAlign w:val="center"/>
          </w:tcPr>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法定代表人授权委托书（附法定代表人、被授权委托人身份证复印件）及被授权委托人身份证；法定代表人参加投标须提供法定代表人身份证明及法定代表人身份</w:t>
            </w:r>
          </w:p>
          <w:p>
            <w:pPr>
              <w:kinsoku/>
              <w:autoSpaceDE/>
              <w:autoSpaceDN/>
              <w:adjustRightInd/>
              <w:snapToGrid/>
              <w:spacing w:line="360" w:lineRule="exact"/>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评审依据：提供证明材料盖投标供应商公章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58"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047" w:type="dxa"/>
            <w:vAlign w:val="center"/>
          </w:tcPr>
          <w:p>
            <w:pPr>
              <w:kinsoku/>
              <w:autoSpaceDE/>
              <w:autoSpaceDN/>
              <w:adjustRightInd/>
              <w:snapToGrid/>
              <w:spacing w:line="360" w:lineRule="exact"/>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信用记录</w:t>
            </w:r>
          </w:p>
        </w:tc>
        <w:tc>
          <w:tcPr>
            <w:tcW w:w="6686" w:type="dxa"/>
            <w:vAlign w:val="center"/>
          </w:tcPr>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通过中国政府采购网和“信用中国”查询相关主体无失信记录，对列入失信被执行人、</w:t>
            </w:r>
            <w:r>
              <w:rPr>
                <w:rFonts w:hint="eastAsia" w:ascii="宋体" w:hAnsi="宋体" w:eastAsia="宋体" w:cs="宋体"/>
                <w:color w:val="auto"/>
                <w:sz w:val="24"/>
                <w:szCs w:val="24"/>
                <w:highlight w:val="none"/>
              </w:rPr>
              <w:t>重大税收违法失信主体</w:t>
            </w:r>
            <w:r>
              <w:rPr>
                <w:rFonts w:ascii="宋体" w:hAnsi="宋体" w:eastAsia="宋体" w:cs="宋体"/>
                <w:color w:val="auto"/>
                <w:sz w:val="24"/>
                <w:szCs w:val="24"/>
                <w:highlight w:val="none"/>
              </w:rPr>
              <w:t>、政府采购严重违法失信行为记录名单的供应商，将拒绝其参与政府采购活动（提供查询结果网页截图并加盖供应商公章，查询日期为从招标文件发售之日起至投标截止日前)</w:t>
            </w:r>
            <w:r>
              <w:rPr>
                <w:rFonts w:hint="eastAsia" w:ascii="宋体" w:hAnsi="宋体" w:eastAsia="宋体" w:cs="宋体"/>
                <w:color w:val="auto"/>
                <w:sz w:val="24"/>
                <w:szCs w:val="24"/>
                <w:highlight w:val="none"/>
              </w:rPr>
              <w:t>。</w:t>
            </w:r>
          </w:p>
          <w:p>
            <w:pPr>
              <w:kinsoku/>
              <w:autoSpaceDE/>
              <w:autoSpaceDN/>
              <w:adjustRightInd/>
              <w:snapToGrid/>
              <w:spacing w:line="360" w:lineRule="exact"/>
              <w:textAlignment w:val="auto"/>
              <w:rPr>
                <w:rFonts w:ascii="宋体" w:hAnsi="宋体" w:eastAsia="宋体" w:cs="宋体"/>
                <w:color w:val="auto"/>
                <w:kern w:val="2"/>
                <w:sz w:val="24"/>
                <w:szCs w:val="24"/>
                <w:highlight w:val="none"/>
              </w:rPr>
            </w:pPr>
            <w:r>
              <w:rPr>
                <w:rFonts w:hint="eastAsia" w:ascii="宋体" w:hAnsi="宋体" w:eastAsia="宋体" w:cs="宋体"/>
                <w:b/>
                <w:bCs/>
                <w:color w:val="auto"/>
                <w:sz w:val="24"/>
                <w:szCs w:val="24"/>
                <w:highlight w:val="none"/>
              </w:rPr>
              <w:t>评审依据：投标文件中所附网页截图材料及网查信息为准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58"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047" w:type="dxa"/>
            <w:vAlign w:val="center"/>
          </w:tcPr>
          <w:p>
            <w:pPr>
              <w:kinsoku/>
              <w:autoSpaceDE/>
              <w:autoSpaceDN/>
              <w:adjustRightInd/>
              <w:snapToGrid/>
              <w:spacing w:line="36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686" w:type="dxa"/>
            <w:vAlign w:val="center"/>
          </w:tcPr>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投标保证金交纳凭证或担保机构出具的保函</w:t>
            </w:r>
          </w:p>
          <w:p>
            <w:pPr>
              <w:pStyle w:val="2"/>
              <w:rPr>
                <w:highlight w:val="none"/>
              </w:rPr>
            </w:pPr>
            <w:r>
              <w:rPr>
                <w:rFonts w:hint="eastAsia" w:ascii="宋体" w:hAnsi="宋体" w:eastAsia="宋体" w:cs="宋体"/>
                <w:b/>
                <w:bCs/>
                <w:color w:val="auto"/>
                <w:szCs w:val="24"/>
                <w:highlight w:val="none"/>
              </w:rPr>
              <w:t>评审依据：证明材料复印件加盖投标供应商公章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1" w:type="dxa"/>
            <w:gridSpan w:val="3"/>
            <w:vAlign w:val="center"/>
          </w:tcPr>
          <w:p>
            <w:pPr>
              <w:kinsoku/>
              <w:autoSpaceDE/>
              <w:autoSpaceDN/>
              <w:adjustRightInd/>
              <w:snapToGrid/>
              <w:spacing w:line="360" w:lineRule="exact"/>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说明：采购人对投标供应商进行资格</w:t>
            </w:r>
            <w:r>
              <w:rPr>
                <w:rFonts w:hint="eastAsia" w:ascii="宋体" w:hAnsi="宋体" w:cs="宋体"/>
                <w:b/>
                <w:bCs/>
                <w:color w:val="auto"/>
                <w:sz w:val="24"/>
                <w:szCs w:val="24"/>
                <w:highlight w:val="none"/>
              </w:rPr>
              <w:t>评审</w:t>
            </w:r>
            <w:r>
              <w:rPr>
                <w:rFonts w:hint="eastAsia" w:ascii="宋体" w:hAnsi="宋体" w:eastAsia="宋体" w:cs="宋体"/>
                <w:b/>
                <w:bCs/>
                <w:color w:val="auto"/>
                <w:sz w:val="24"/>
                <w:szCs w:val="24"/>
                <w:highlight w:val="none"/>
              </w:rPr>
              <w:t>，即合格/不合格。以上资格证明材料需提供合格有效的证明材料，证明材料提供不全或签字盖章不符合要求的，均属于未按招标文件要求提供证明文件，有任意一项不符合要求的，不得通过资格审查。</w:t>
            </w:r>
          </w:p>
        </w:tc>
      </w:tr>
    </w:tbl>
    <w:p>
      <w:pPr>
        <w:spacing w:line="360" w:lineRule="auto"/>
        <w:rPr>
          <w:rFonts w:ascii="宋体" w:hAnsi="宋体" w:eastAsia="宋体" w:cs="宋体"/>
          <w:b/>
          <w:bCs/>
          <w:sz w:val="24"/>
          <w:szCs w:val="24"/>
          <w:highlight w:val="none"/>
        </w:rPr>
      </w:pP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（2）符合性审查内容和标准：</w:t>
      </w:r>
    </w:p>
    <w:tbl>
      <w:tblPr>
        <w:tblStyle w:val="18"/>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64"/>
        <w:gridCol w:w="2880"/>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1" w:type="dxa"/>
            <w:vAlign w:val="center"/>
          </w:tcPr>
          <w:p>
            <w:pPr>
              <w:kinsoku/>
              <w:autoSpaceDE/>
              <w:autoSpaceDN/>
              <w:adjustRightInd/>
              <w:snapToGrid/>
              <w:spacing w:line="36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744" w:type="dxa"/>
            <w:gridSpan w:val="2"/>
            <w:vAlign w:val="center"/>
          </w:tcPr>
          <w:p>
            <w:pPr>
              <w:kinsoku/>
              <w:autoSpaceDE/>
              <w:autoSpaceDN/>
              <w:adjustRightInd/>
              <w:snapToGrid/>
              <w:spacing w:line="36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022" w:type="dxa"/>
            <w:vAlign w:val="center"/>
          </w:tcPr>
          <w:p>
            <w:pPr>
              <w:kinsoku/>
              <w:autoSpaceDE/>
              <w:autoSpaceDN/>
              <w:adjustRightInd/>
              <w:snapToGrid/>
              <w:spacing w:line="360" w:lineRule="exact"/>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1" w:type="dxa"/>
            <w:vMerge w:val="restart"/>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864" w:type="dxa"/>
            <w:vMerge w:val="restart"/>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有效性审查</w:t>
            </w: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(1)投标文件的签署盖章</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投标文件上法定代表人或其授权代表人的签字齐全并加盖公章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71" w:type="dxa"/>
            <w:vMerge w:val="continue"/>
          </w:tcPr>
          <w:p>
            <w:pPr>
              <w:jc w:val="center"/>
              <w:rPr>
                <w:rFonts w:ascii="宋体" w:hAnsi="宋体" w:eastAsia="宋体" w:cs="宋体"/>
                <w:sz w:val="24"/>
                <w:szCs w:val="24"/>
                <w:highlight w:val="none"/>
              </w:rPr>
            </w:pPr>
          </w:p>
        </w:tc>
        <w:tc>
          <w:tcPr>
            <w:tcW w:w="864" w:type="dxa"/>
            <w:vMerge w:val="continue"/>
          </w:tcPr>
          <w:p>
            <w:pPr>
              <w:jc w:val="center"/>
              <w:rPr>
                <w:rFonts w:ascii="宋体" w:hAnsi="宋体" w:eastAsia="宋体" w:cs="宋体"/>
                <w:sz w:val="24"/>
                <w:szCs w:val="24"/>
                <w:highlight w:val="none"/>
              </w:rPr>
            </w:pP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(2)投标文件格式</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应符合“投标文件格式”要求，可以扩充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1" w:type="dxa"/>
            <w:vMerge w:val="continue"/>
          </w:tcPr>
          <w:p>
            <w:pPr>
              <w:jc w:val="center"/>
              <w:rPr>
                <w:rFonts w:ascii="宋体" w:hAnsi="宋体" w:eastAsia="宋体" w:cs="宋体"/>
                <w:sz w:val="24"/>
                <w:szCs w:val="24"/>
                <w:highlight w:val="none"/>
              </w:rPr>
            </w:pPr>
          </w:p>
        </w:tc>
        <w:tc>
          <w:tcPr>
            <w:tcW w:w="864" w:type="dxa"/>
            <w:vMerge w:val="continue"/>
          </w:tcPr>
          <w:p>
            <w:pPr>
              <w:jc w:val="center"/>
              <w:rPr>
                <w:rFonts w:ascii="宋体" w:hAnsi="宋体" w:eastAsia="宋体" w:cs="宋体"/>
                <w:sz w:val="24"/>
                <w:szCs w:val="24"/>
                <w:highlight w:val="none"/>
              </w:rPr>
            </w:pP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(3)投标文件递交</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71" w:type="dxa"/>
            <w:vMerge w:val="continue"/>
          </w:tcPr>
          <w:p>
            <w:pPr>
              <w:jc w:val="center"/>
              <w:rPr>
                <w:rFonts w:ascii="宋体" w:hAnsi="宋体" w:eastAsia="宋体" w:cs="宋体"/>
                <w:sz w:val="24"/>
                <w:szCs w:val="24"/>
                <w:highlight w:val="none"/>
              </w:rPr>
            </w:pPr>
          </w:p>
        </w:tc>
        <w:tc>
          <w:tcPr>
            <w:tcW w:w="864" w:type="dxa"/>
            <w:vMerge w:val="continue"/>
          </w:tcPr>
          <w:p>
            <w:pPr>
              <w:jc w:val="center"/>
              <w:rPr>
                <w:rFonts w:ascii="宋体" w:hAnsi="宋体" w:eastAsia="宋体" w:cs="宋体"/>
                <w:sz w:val="24"/>
                <w:szCs w:val="24"/>
                <w:highlight w:val="none"/>
              </w:rPr>
            </w:pP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(4)报价唯一</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1" w:type="dxa"/>
            <w:vMerge w:val="continue"/>
          </w:tcPr>
          <w:p>
            <w:pPr>
              <w:jc w:val="center"/>
              <w:rPr>
                <w:rFonts w:ascii="宋体" w:hAnsi="宋体" w:eastAsia="宋体" w:cs="宋体"/>
                <w:sz w:val="24"/>
                <w:szCs w:val="24"/>
                <w:highlight w:val="none"/>
              </w:rPr>
            </w:pPr>
          </w:p>
        </w:tc>
        <w:tc>
          <w:tcPr>
            <w:tcW w:w="864" w:type="dxa"/>
            <w:vMerge w:val="continue"/>
          </w:tcPr>
          <w:p>
            <w:pPr>
              <w:jc w:val="center"/>
              <w:rPr>
                <w:rFonts w:ascii="宋体" w:hAnsi="宋体" w:eastAsia="宋体" w:cs="宋体"/>
                <w:sz w:val="24"/>
                <w:szCs w:val="24"/>
                <w:highlight w:val="none"/>
              </w:rPr>
            </w:pP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(5)投标报价</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投标报价不超过采购预算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1" w:type="dxa"/>
            <w:vMerge w:val="restart"/>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864" w:type="dxa"/>
            <w:vMerge w:val="restart"/>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完整性审查</w:t>
            </w: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(6)投标文件份数</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应符合“须知前列表”规定的正本、副本、电子版数量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1" w:type="dxa"/>
            <w:vMerge w:val="continue"/>
          </w:tcPr>
          <w:p>
            <w:pPr>
              <w:jc w:val="center"/>
              <w:rPr>
                <w:rFonts w:ascii="宋体" w:hAnsi="宋体" w:eastAsia="宋体" w:cs="宋体"/>
                <w:sz w:val="24"/>
                <w:szCs w:val="24"/>
                <w:highlight w:val="none"/>
              </w:rPr>
            </w:pPr>
          </w:p>
        </w:tc>
        <w:tc>
          <w:tcPr>
            <w:tcW w:w="864" w:type="dxa"/>
            <w:vMerge w:val="continue"/>
          </w:tcPr>
          <w:p>
            <w:pPr>
              <w:jc w:val="center"/>
              <w:rPr>
                <w:rFonts w:ascii="宋体" w:hAnsi="宋体" w:eastAsia="宋体" w:cs="宋体"/>
                <w:sz w:val="24"/>
                <w:szCs w:val="24"/>
                <w:highlight w:val="none"/>
              </w:rPr>
            </w:pP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(7)投标文件内容</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1" w:type="dxa"/>
            <w:vMerge w:val="restart"/>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864" w:type="dxa"/>
            <w:vMerge w:val="restart"/>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响应程度审查</w:t>
            </w: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(8)服务要求</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应符合招标文件的要求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1" w:type="dxa"/>
            <w:vMerge w:val="continue"/>
          </w:tcPr>
          <w:p>
            <w:pPr>
              <w:rPr>
                <w:rFonts w:ascii="宋体" w:hAnsi="宋体" w:eastAsia="宋体" w:cs="宋体"/>
                <w:sz w:val="24"/>
                <w:szCs w:val="24"/>
                <w:highlight w:val="none"/>
              </w:rPr>
            </w:pPr>
          </w:p>
        </w:tc>
        <w:tc>
          <w:tcPr>
            <w:tcW w:w="864" w:type="dxa"/>
            <w:vMerge w:val="continue"/>
          </w:tcPr>
          <w:p>
            <w:pPr>
              <w:rPr>
                <w:rFonts w:ascii="宋体" w:hAnsi="宋体" w:eastAsia="宋体" w:cs="宋体"/>
                <w:sz w:val="24"/>
                <w:szCs w:val="24"/>
                <w:highlight w:val="none"/>
              </w:rPr>
            </w:pP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(9)合同履行期限（建设期及服务期）</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应符合招标文件的要求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1" w:type="dxa"/>
            <w:vMerge w:val="continue"/>
          </w:tcPr>
          <w:p>
            <w:pPr>
              <w:rPr>
                <w:rFonts w:ascii="宋体" w:hAnsi="宋体" w:eastAsia="宋体" w:cs="宋体"/>
                <w:sz w:val="24"/>
                <w:szCs w:val="24"/>
                <w:highlight w:val="none"/>
              </w:rPr>
            </w:pPr>
          </w:p>
        </w:tc>
        <w:tc>
          <w:tcPr>
            <w:tcW w:w="864" w:type="dxa"/>
            <w:vMerge w:val="continue"/>
          </w:tcPr>
          <w:p>
            <w:pPr>
              <w:rPr>
                <w:rFonts w:ascii="宋体" w:hAnsi="宋体" w:eastAsia="宋体" w:cs="宋体"/>
                <w:sz w:val="24"/>
                <w:szCs w:val="24"/>
                <w:highlight w:val="none"/>
              </w:rPr>
            </w:pP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(10)投标有效期</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应符合招标文件的规定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71" w:type="dxa"/>
            <w:vMerge w:val="continue"/>
          </w:tcPr>
          <w:p>
            <w:pPr>
              <w:rPr>
                <w:rFonts w:ascii="宋体" w:hAnsi="宋体" w:eastAsia="宋体" w:cs="宋体"/>
                <w:sz w:val="24"/>
                <w:szCs w:val="24"/>
                <w:highlight w:val="none"/>
              </w:rPr>
            </w:pPr>
          </w:p>
        </w:tc>
        <w:tc>
          <w:tcPr>
            <w:tcW w:w="864" w:type="dxa"/>
            <w:vMerge w:val="continue"/>
          </w:tcPr>
          <w:p>
            <w:pPr>
              <w:rPr>
                <w:rFonts w:ascii="宋体" w:hAnsi="宋体" w:eastAsia="宋体" w:cs="宋体"/>
                <w:sz w:val="24"/>
                <w:szCs w:val="24"/>
                <w:highlight w:val="none"/>
              </w:rPr>
            </w:pPr>
          </w:p>
        </w:tc>
        <w:tc>
          <w:tcPr>
            <w:tcW w:w="2880"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(11)其他响应</w:t>
            </w:r>
          </w:p>
        </w:tc>
        <w:tc>
          <w:tcPr>
            <w:tcW w:w="5022" w:type="dxa"/>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537" w:type="dxa"/>
            <w:gridSpan w:val="4"/>
            <w:vAlign w:val="center"/>
          </w:tcPr>
          <w:p>
            <w:pPr>
              <w:jc w:val="both"/>
              <w:rPr>
                <w:rFonts w:ascii="宋体" w:hAnsi="宋体" w:eastAsia="宋体" w:cs="宋体"/>
                <w:sz w:val="24"/>
                <w:szCs w:val="24"/>
                <w:highlight w:val="none"/>
              </w:rPr>
            </w:pPr>
            <w:r>
              <w:rPr>
                <w:rFonts w:hint="eastAsia" w:ascii="宋体" w:hAnsi="宋体" w:eastAsia="宋体" w:cs="宋体"/>
                <w:color w:val="auto"/>
                <w:sz w:val="24"/>
                <w:szCs w:val="24"/>
                <w:highlight w:val="none"/>
              </w:rPr>
              <w:t>说明：以上要求，有一项不符合评审标准的，评标委员会应当否决其投标。</w:t>
            </w:r>
          </w:p>
        </w:tc>
      </w:tr>
    </w:tbl>
    <w:p>
      <w:pPr>
        <w:spacing w:line="360" w:lineRule="auto"/>
        <w:rPr>
          <w:rFonts w:ascii="宋体" w:hAnsi="宋体" w:eastAsia="宋体" w:cs="宋体"/>
          <w:b/>
          <w:bCs/>
          <w:sz w:val="24"/>
          <w:szCs w:val="24"/>
          <w:highlight w:val="none"/>
        </w:rPr>
      </w:pPr>
      <w:bookmarkStart w:id="179" w:name="_Toc15823"/>
      <w:r>
        <w:rPr>
          <w:rFonts w:hint="eastAsia" w:ascii="宋体" w:hAnsi="宋体" w:eastAsia="宋体" w:cs="宋体"/>
          <w:b/>
          <w:bCs/>
          <w:sz w:val="24"/>
          <w:szCs w:val="24"/>
          <w:highlight w:val="none"/>
        </w:rPr>
        <w:t>2.投标文件详细评审</w:t>
      </w:r>
      <w:bookmarkEnd w:id="179"/>
    </w:p>
    <w:p>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（1）本项目采用综合评分法进行评审，总分为100分。</w:t>
      </w:r>
    </w:p>
    <w:p>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（2）评标委员会将对通过资格性、符合性审查，实质上响应招标文件要求的投标文件，按照招标文件中规定的各项因素进行综合评审，根据评审总得分由高到低的顺序推荐前3名候选供应商。</w:t>
      </w:r>
    </w:p>
    <w:p>
      <w:pPr>
        <w:spacing w:line="360" w:lineRule="auto"/>
        <w:ind w:firstLine="480" w:firstLineChars="200"/>
        <w:rPr>
          <w:highlight w:val="none"/>
        </w:rPr>
      </w:pPr>
      <w:r>
        <w:rPr>
          <w:rFonts w:hint="eastAsia" w:ascii="宋体" w:hAnsi="宋体" w:eastAsia="宋体" w:cs="宋体"/>
          <w:color w:val="auto"/>
          <w:kern w:val="2"/>
          <w:sz w:val="24"/>
          <w:szCs w:val="24"/>
          <w:highlight w:val="none"/>
        </w:rPr>
        <w:t>（3）评审内容和标准：</w:t>
      </w:r>
    </w:p>
    <w:tbl>
      <w:tblPr>
        <w:tblStyle w:val="18"/>
        <w:tblW w:w="5597" w:type="pct"/>
        <w:tblInd w:w="-508" w:type="dxa"/>
        <w:tblLayout w:type="autofit"/>
        <w:tblCellMar>
          <w:top w:w="0" w:type="dxa"/>
          <w:left w:w="108" w:type="dxa"/>
          <w:bottom w:w="0" w:type="dxa"/>
          <w:right w:w="108" w:type="dxa"/>
        </w:tblCellMar>
      </w:tblPr>
      <w:tblGrid>
        <w:gridCol w:w="1187"/>
        <w:gridCol w:w="960"/>
        <w:gridCol w:w="7393"/>
      </w:tblGrid>
      <w:tr>
        <w:tblPrEx>
          <w:tblCellMar>
            <w:top w:w="0" w:type="dxa"/>
            <w:left w:w="108" w:type="dxa"/>
            <w:bottom w:w="0" w:type="dxa"/>
            <w:right w:w="108" w:type="dxa"/>
          </w:tblCellMar>
        </w:tblPrEx>
        <w:trPr>
          <w:trHeight w:val="636" w:hRule="atLeast"/>
        </w:trPr>
        <w:tc>
          <w:tcPr>
            <w:tcW w:w="622" w:type="pct"/>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387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评标原则与标准</w:t>
            </w:r>
          </w:p>
        </w:tc>
      </w:tr>
      <w:tr>
        <w:tblPrEx>
          <w:tblCellMar>
            <w:top w:w="0" w:type="dxa"/>
            <w:left w:w="108" w:type="dxa"/>
            <w:bottom w:w="0" w:type="dxa"/>
            <w:right w:w="108" w:type="dxa"/>
          </w:tblCellMar>
        </w:tblPrEx>
        <w:trPr>
          <w:trHeight w:val="1560" w:hRule="atLeast"/>
        </w:trPr>
        <w:tc>
          <w:tcPr>
            <w:tcW w:w="622" w:type="pct"/>
            <w:tcBorders>
              <w:top w:val="nil"/>
              <w:left w:val="single" w:color="auto" w:sz="4" w:space="0"/>
              <w:bottom w:val="single" w:color="auto" w:sz="4" w:space="0"/>
              <w:right w:val="nil"/>
            </w:tcBorders>
            <w:shd w:val="clear" w:color="auto" w:fill="auto"/>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（20）</w:t>
            </w:r>
          </w:p>
        </w:tc>
        <w:tc>
          <w:tcPr>
            <w:tcW w:w="50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874"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的价格分统一采用低价优先法计算，即满足招标文件要求且投标价格最低的投标报价为评标基准价，其价格分为满分。其他投标人的价格分统一按照下列公式计算：投标报价得分=（评标基准价/投标报价）×价格权值×100。</w:t>
            </w:r>
          </w:p>
        </w:tc>
      </w:tr>
      <w:tr>
        <w:tblPrEx>
          <w:tblCellMar>
            <w:top w:w="0" w:type="dxa"/>
            <w:left w:w="108" w:type="dxa"/>
            <w:bottom w:w="0" w:type="dxa"/>
            <w:right w:w="108" w:type="dxa"/>
          </w:tblCellMar>
        </w:tblPrEx>
        <w:trPr>
          <w:trHeight w:val="2254" w:hRule="atLeast"/>
        </w:trPr>
        <w:tc>
          <w:tcPr>
            <w:tcW w:w="62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（50）</w:t>
            </w:r>
          </w:p>
        </w:tc>
        <w:tc>
          <w:tcPr>
            <w:tcW w:w="5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8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对项目需求理解准确，整体服务方案描述详细、合理，架构清晰，功能模块全面覆盖本期项目建设内容，安全体系设计合理，且充分考虑用户实际需求，确保平台稳定运行，能够实现项目整体建设目标及要求。方案</w:t>
            </w:r>
            <w:r>
              <w:rPr>
                <w:rFonts w:hint="eastAsia" w:ascii="宋体" w:hAnsi="宋体" w:eastAsia="宋体" w:cs="宋体"/>
                <w:sz w:val="24"/>
                <w:szCs w:val="24"/>
                <w:highlight w:val="none"/>
                <w:lang w:val="en-US" w:eastAsia="zh-CN"/>
              </w:rPr>
              <w:t>科学、</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可行，能完全满足项目需求得</w:t>
            </w:r>
            <w:r>
              <w:rPr>
                <w:rFonts w:hint="eastAsia" w:ascii="宋体" w:hAnsi="宋体" w:eastAsia="宋体" w:cs="宋体"/>
                <w:sz w:val="24"/>
                <w:szCs w:val="24"/>
                <w:highlight w:val="none"/>
              </w:rPr>
              <w:t>8-10分；方案</w:t>
            </w:r>
            <w:r>
              <w:rPr>
                <w:rFonts w:hint="eastAsia" w:ascii="宋体" w:hAnsi="宋体" w:eastAsia="宋体" w:cs="宋体"/>
                <w:sz w:val="24"/>
                <w:szCs w:val="24"/>
                <w:highlight w:val="none"/>
                <w:lang w:val="en-US" w:eastAsia="zh-CN"/>
              </w:rPr>
              <w:t>比</w:t>
            </w:r>
            <w:r>
              <w:rPr>
                <w:rFonts w:hint="eastAsia" w:ascii="宋体" w:hAnsi="宋体" w:eastAsia="宋体" w:cs="宋体"/>
                <w:sz w:val="24"/>
                <w:szCs w:val="24"/>
                <w:highlight w:val="none"/>
              </w:rPr>
              <w:t>较全面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能基本满足项目需求得</w:t>
            </w:r>
            <w:r>
              <w:rPr>
                <w:rFonts w:hint="eastAsia" w:ascii="宋体" w:hAnsi="宋体" w:eastAsia="宋体" w:cs="宋体"/>
                <w:sz w:val="24"/>
                <w:szCs w:val="24"/>
                <w:highlight w:val="none"/>
              </w:rPr>
              <w:t>5-7分；方案不全面，可操作性</w:t>
            </w:r>
            <w:r>
              <w:rPr>
                <w:rFonts w:hint="eastAsia" w:ascii="宋体" w:hAnsi="宋体" w:eastAsia="宋体" w:cs="宋体"/>
                <w:sz w:val="24"/>
                <w:szCs w:val="24"/>
                <w:highlight w:val="none"/>
                <w:lang w:val="en-US" w:eastAsia="zh-CN"/>
              </w:rPr>
              <w:t>差得</w:t>
            </w:r>
            <w:r>
              <w:rPr>
                <w:rFonts w:hint="eastAsia" w:ascii="宋体" w:hAnsi="宋体" w:eastAsia="宋体" w:cs="宋体"/>
                <w:sz w:val="24"/>
                <w:szCs w:val="24"/>
                <w:highlight w:val="none"/>
              </w:rPr>
              <w:t>0-4分。</w:t>
            </w:r>
          </w:p>
        </w:tc>
      </w:tr>
      <w:tr>
        <w:tblPrEx>
          <w:tblCellMar>
            <w:top w:w="0" w:type="dxa"/>
            <w:left w:w="108" w:type="dxa"/>
            <w:bottom w:w="0" w:type="dxa"/>
            <w:right w:w="108" w:type="dxa"/>
          </w:tblCellMar>
        </w:tblPrEx>
        <w:trPr>
          <w:trHeight w:val="933" w:hRule="atLeast"/>
        </w:trPr>
        <w:tc>
          <w:tcPr>
            <w:tcW w:w="62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p>
        </w:tc>
        <w:tc>
          <w:tcPr>
            <w:tcW w:w="5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8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所投产品的技术、规格、性能等完全满足或优于招标文件要求，根据响应程度计0-7分。</w:t>
            </w:r>
          </w:p>
        </w:tc>
      </w:tr>
      <w:tr>
        <w:tblPrEx>
          <w:tblCellMar>
            <w:top w:w="0" w:type="dxa"/>
            <w:left w:w="108" w:type="dxa"/>
            <w:bottom w:w="0" w:type="dxa"/>
            <w:right w:w="108" w:type="dxa"/>
          </w:tblCellMar>
        </w:tblPrEx>
        <w:trPr>
          <w:trHeight w:val="1546" w:hRule="atLeast"/>
        </w:trPr>
        <w:tc>
          <w:tcPr>
            <w:tcW w:w="62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p>
        </w:tc>
        <w:tc>
          <w:tcPr>
            <w:tcW w:w="5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8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针对本项目有具体的项目组织实施方案，方案措施得力，并具有针对性，能够保证本项目的顺利实施。项目进度控制关键环节准确、清晰、合理。软硬件产品配置、到货、运行计划详实。根据响应程度计0-8分。</w:t>
            </w:r>
          </w:p>
        </w:tc>
      </w:tr>
      <w:tr>
        <w:tblPrEx>
          <w:tblCellMar>
            <w:top w:w="0" w:type="dxa"/>
            <w:left w:w="108" w:type="dxa"/>
            <w:bottom w:w="0" w:type="dxa"/>
            <w:right w:w="108" w:type="dxa"/>
          </w:tblCellMar>
        </w:tblPrEx>
        <w:trPr>
          <w:trHeight w:val="374" w:hRule="atLeast"/>
        </w:trPr>
        <w:tc>
          <w:tcPr>
            <w:tcW w:w="62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p>
        </w:tc>
        <w:tc>
          <w:tcPr>
            <w:tcW w:w="5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8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1、投标人应根据项目具体情况提供拟承担本项目的人员名单, 项目实施人员不得少于15人，投标人需在方案中明确主要参与人员的简历证书等材料，提供技术负责人和项目经理的社保缴纳证明，根据响应程度计0-2分。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2、项目经理须</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rPr>
              <w:t>从事信息化项目管理</w:t>
            </w:r>
            <w:r>
              <w:rPr>
                <w:rFonts w:hint="eastAsia" w:ascii="宋体" w:hAnsi="宋体" w:eastAsia="宋体" w:cs="宋体"/>
                <w:sz w:val="24"/>
                <w:szCs w:val="24"/>
                <w:highlight w:val="none"/>
                <w:lang w:val="en-US" w:eastAsia="zh-CN"/>
              </w:rPr>
              <w:t>经验</w:t>
            </w:r>
            <w:r>
              <w:rPr>
                <w:rFonts w:hint="eastAsia" w:ascii="宋体" w:hAnsi="宋体" w:eastAsia="宋体" w:cs="宋体"/>
                <w:sz w:val="24"/>
                <w:szCs w:val="24"/>
                <w:highlight w:val="none"/>
              </w:rPr>
              <w:t>，具有IT服务管理证书（ITIL Foundation)、数据库认证专家OCP证书、项目管理专业人士资格认证（PMP)证书和注册信息安全专业人员（CISP)证书，</w:t>
            </w:r>
            <w:r>
              <w:rPr>
                <w:rFonts w:hint="eastAsia" w:ascii="宋体" w:hAnsi="宋体" w:eastAsia="宋体" w:cs="宋体"/>
                <w:sz w:val="24"/>
                <w:szCs w:val="24"/>
                <w:highlight w:val="none"/>
                <w:lang w:val="en-US" w:eastAsia="zh-CN"/>
              </w:rPr>
              <w:t>每提供一项证书得0.5分，满分2分。（</w:t>
            </w:r>
            <w:r>
              <w:rPr>
                <w:rFonts w:hint="eastAsia" w:ascii="宋体" w:hAnsi="宋体" w:eastAsia="宋体" w:cs="宋体"/>
                <w:sz w:val="24"/>
                <w:szCs w:val="24"/>
                <w:highlight w:val="none"/>
              </w:rPr>
              <w:t>须提供社保证明及相关证书材料</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投标人拟派实施团队人员配置齐全，组织架构完备，设置专业工作小组，工作职责明确，根据拟投入人员的专业、数量、职称、工作经验及组织架构的完备性、与项目的匹配性、合理性等方面进行综合评审，评委酌情赋0-6分。（需提供团队人员相关证书复印件并加盖投标人公章，提供2021年7月至开标前至少六个月的社保证明，依法不需要缴纳社会保障资金的应提供相关证明材料）。</w:t>
            </w:r>
          </w:p>
        </w:tc>
      </w:tr>
      <w:tr>
        <w:tblPrEx>
          <w:tblCellMar>
            <w:top w:w="0" w:type="dxa"/>
            <w:left w:w="108" w:type="dxa"/>
            <w:bottom w:w="0" w:type="dxa"/>
            <w:right w:w="108" w:type="dxa"/>
          </w:tblCellMar>
        </w:tblPrEx>
        <w:trPr>
          <w:trHeight w:val="2388" w:hRule="atLeast"/>
        </w:trPr>
        <w:tc>
          <w:tcPr>
            <w:tcW w:w="62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p>
        </w:tc>
        <w:tc>
          <w:tcPr>
            <w:tcW w:w="5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387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系统演示：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系统演示必须是真实系统，演示时间不超过20分钟。</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按所演示产品内容与招标要求符合度进行综合评定，演示内容包括：财务快报、人事管理，根据演示响应情况，最高得15分。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仅用 demo、PPT、动画、静态页面等非真实系统方式演示的，评委根据演示情况得 1-5 分；无演示的不得分。</w:t>
            </w:r>
          </w:p>
        </w:tc>
      </w:tr>
      <w:tr>
        <w:tblPrEx>
          <w:tblCellMar>
            <w:top w:w="0" w:type="dxa"/>
            <w:left w:w="108" w:type="dxa"/>
            <w:bottom w:w="0" w:type="dxa"/>
            <w:right w:w="108" w:type="dxa"/>
          </w:tblCellMar>
        </w:tblPrEx>
        <w:trPr>
          <w:trHeight w:val="1272" w:hRule="atLeast"/>
        </w:trPr>
        <w:tc>
          <w:tcPr>
            <w:tcW w:w="622" w:type="pct"/>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（30）</w:t>
            </w:r>
          </w:p>
        </w:tc>
        <w:tc>
          <w:tcPr>
            <w:tcW w:w="5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12</w:t>
            </w:r>
          </w:p>
        </w:tc>
        <w:tc>
          <w:tcPr>
            <w:tcW w:w="3874" w:type="pct"/>
            <w:tcBorders>
              <w:top w:val="nil"/>
              <w:left w:val="nil"/>
              <w:bottom w:val="single" w:color="auto" w:sz="4" w:space="0"/>
              <w:right w:val="single" w:color="auto" w:sz="4" w:space="0"/>
            </w:tcBorders>
            <w:shd w:val="clear" w:color="auto" w:fill="auto"/>
            <w:vAlign w:val="top"/>
          </w:tcPr>
          <w:p>
            <w:pPr>
              <w:keepNext w:val="0"/>
              <w:keepLines w:val="0"/>
              <w:pageBreakBefore w:val="0"/>
              <w:widowControl/>
              <w:wordWrap/>
              <w:overflowPunct/>
              <w:topLinePunct w:val="0"/>
              <w:bidi w:val="0"/>
              <w:spacing w:line="360" w:lineRule="exact"/>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企业信息服务能力</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（1）投标</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具有CMMI5级证书认证得2分，5级以下计1分，没有不得分；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（2）投标</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 xml:space="preserve">具有 ISO9001、ISO20000、ISO27001、ISO27701、ISO22301 </w:t>
            </w:r>
            <w:r>
              <w:rPr>
                <w:rFonts w:hint="eastAsia" w:ascii="宋体" w:hAnsi="宋体" w:eastAsia="宋体" w:cs="宋体"/>
                <w:sz w:val="24"/>
                <w:szCs w:val="24"/>
                <w:highlight w:val="none"/>
                <w:lang w:val="en-US" w:eastAsia="zh-CN"/>
              </w:rPr>
              <w:t>相关管理体系认证书</w:t>
            </w:r>
            <w:r>
              <w:rPr>
                <w:rFonts w:hint="eastAsia" w:ascii="宋体" w:hAnsi="宋体" w:eastAsia="宋体" w:cs="宋体"/>
                <w:sz w:val="24"/>
                <w:szCs w:val="24"/>
                <w:highlight w:val="none"/>
              </w:rPr>
              <w:t>，以上五个同时具有得 2 分，缺一项扣1分，扣完为止；</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（3）投标</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具有信息安全服务资质认证（CCRC）：信息安全风险评估一级、信息安全应急处理一级、信息系统安全集成一级、信息系统灾难备份与恢复一级，</w:t>
            </w:r>
            <w:r>
              <w:rPr>
                <w:rFonts w:hint="eastAsia" w:ascii="宋体" w:hAnsi="宋体" w:eastAsia="宋体" w:cs="宋体"/>
                <w:sz w:val="24"/>
                <w:szCs w:val="24"/>
                <w:highlight w:val="none"/>
                <w:lang w:val="en-US" w:eastAsia="zh-CN"/>
              </w:rPr>
              <w:t>每提供一项的1分，满分4分。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（4）投标人具有国资监管相关软件著作权证书，提供1个得1分，最高得4分。</w:t>
            </w:r>
          </w:p>
        </w:tc>
      </w:tr>
      <w:tr>
        <w:tblPrEx>
          <w:tblCellMar>
            <w:top w:w="0" w:type="dxa"/>
            <w:left w:w="108" w:type="dxa"/>
            <w:bottom w:w="0" w:type="dxa"/>
            <w:right w:w="108" w:type="dxa"/>
          </w:tblCellMar>
        </w:tblPrEx>
        <w:trPr>
          <w:trHeight w:val="876" w:hRule="atLeast"/>
        </w:trPr>
        <w:tc>
          <w:tcPr>
            <w:tcW w:w="622" w:type="pct"/>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p>
        </w:tc>
        <w:tc>
          <w:tcPr>
            <w:tcW w:w="5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38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业绩：具有2019年1月1日至今类似项目案例，每个计1分，最高得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(提供中标通知书或业绩合同）</w:t>
            </w:r>
          </w:p>
        </w:tc>
      </w:tr>
      <w:tr>
        <w:tblPrEx>
          <w:tblCellMar>
            <w:top w:w="0" w:type="dxa"/>
            <w:left w:w="108" w:type="dxa"/>
            <w:bottom w:w="0" w:type="dxa"/>
            <w:right w:w="108" w:type="dxa"/>
          </w:tblCellMar>
        </w:tblPrEx>
        <w:trPr>
          <w:trHeight w:val="1584" w:hRule="atLeast"/>
        </w:trPr>
        <w:tc>
          <w:tcPr>
            <w:tcW w:w="622" w:type="pct"/>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p>
        </w:tc>
        <w:tc>
          <w:tcPr>
            <w:tcW w:w="5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3874"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培训：</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培训方案完整可行，能够提供相对应详细的时间、人员、内容等实施计划、培训内容有层次，培训方式适用，能够保障使用单位能熟练操作维护和正常使用。根据其响应程度计0-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tblPrEx>
          <w:tblCellMar>
            <w:top w:w="0" w:type="dxa"/>
            <w:left w:w="108" w:type="dxa"/>
            <w:bottom w:w="0" w:type="dxa"/>
            <w:right w:w="108" w:type="dxa"/>
          </w:tblCellMar>
        </w:tblPrEx>
        <w:trPr>
          <w:trHeight w:val="373" w:hRule="atLeast"/>
        </w:trPr>
        <w:tc>
          <w:tcPr>
            <w:tcW w:w="622" w:type="pct"/>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p>
        </w:tc>
        <w:tc>
          <w:tcPr>
            <w:tcW w:w="5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wordWrap/>
              <w:overflowPunct/>
              <w:topLinePunct w:val="0"/>
              <w:bidi w:val="0"/>
              <w:spacing w:line="3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38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售后服务：</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售后服务方案和应急预案。方案应详细、具体、可行，成立本项目售后服务团队，提供24小时服务热线，售后服务方案和应急预案（响应时间、电话支持、远程服务、现场服务、定期巡查、应急解决方案、服务监督管理机制、质量保障的具体措施等）完善全面。根据其响应程度计0-3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供应商在省内具有售后服务机构或常驻售后服务人员，提供营业执照、人员社保证明等证明材料得3分，或供应商承诺中标后在省内具有售后服务机构或常驻售后服务人员，提供承诺函得1分。</w:t>
            </w:r>
          </w:p>
          <w:p>
            <w:pPr>
              <w:pStyle w:val="17"/>
              <w:keepNext w:val="0"/>
              <w:keepLines w:val="0"/>
              <w:pageBreakBefore w:val="0"/>
              <w:widowControl/>
              <w:wordWrap/>
              <w:overflowPunct/>
              <w:topLinePunct w:val="0"/>
              <w:bidi w:val="0"/>
              <w:spacing w:line="360" w:lineRule="exact"/>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3.服务期每增加一年的1分，满分2分。</w:t>
            </w:r>
          </w:p>
        </w:tc>
      </w:tr>
    </w:tbl>
    <w:p>
      <w:pPr>
        <w:spacing w:line="360" w:lineRule="auto"/>
        <w:rPr>
          <w:rFonts w:ascii="宋体" w:hAnsi="宋体" w:eastAsia="宋体" w:cs="宋体"/>
          <w:color w:val="auto"/>
          <w:kern w:val="2"/>
          <w:sz w:val="24"/>
          <w:szCs w:val="24"/>
          <w:highlight w:val="none"/>
        </w:rPr>
      </w:pPr>
    </w:p>
    <w:p>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（4）特殊情况：</w:t>
      </w:r>
    </w:p>
    <w:p>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①评标委员会三分之二以上人员认为某投标报价有低于成本价嫌疑的， 有可能影响产品质量或者不能诚信履约的，可要求该供应商在规定期限内，提供必要的书面文件予以解释和说明并附带相关证明材料，证明其报价合理性的；否则，评标委员会认定该供应商以低于成本价竞价，其响应文件作无效响应文件处理。</w:t>
      </w:r>
    </w:p>
    <w:p>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②得分相同的，按投标报价由低到高顺序排列。得分且投标报价相同的，比较技术得分，技术得分高者排在前。</w:t>
      </w:r>
    </w:p>
    <w:p>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③评委评分超过得分界限或未按照本办法规定时，该评委的该项评分作废，不计入汇总。</w:t>
      </w:r>
    </w:p>
    <w:p>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（5）数字均保留二位小数，第三位“四舍五入”。</w:t>
      </w:r>
    </w:p>
    <w:p>
      <w:pPr>
        <w:spacing w:line="360" w:lineRule="auto"/>
        <w:ind w:firstLine="482" w:firstLineChars="200"/>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rPr>
        <w:t>（6）</w:t>
      </w:r>
      <w:r>
        <w:rPr>
          <w:rFonts w:hint="eastAsia" w:ascii="宋体" w:hAnsi="宋体" w:eastAsia="宋体" w:cs="宋体"/>
          <w:b/>
          <w:bCs/>
          <w:color w:val="auto"/>
          <w:kern w:val="2"/>
          <w:sz w:val="24"/>
          <w:szCs w:val="24"/>
          <w:highlight w:val="none"/>
          <w:lang w:val="en-US" w:eastAsia="zh-CN"/>
        </w:rPr>
        <w:t>落实的政府采购政策</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z w:val="24"/>
          <w:szCs w:val="24"/>
          <w:highlight w:val="none"/>
        </w:rPr>
        <w:t>根据《政府采购促进中小企业发展管理办法》（财库〔2020〕46 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货物和服务项目对小型和微型企业产品的价格给予10%的价格扣除，用扣除后的价格参与评审。</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sz w:val="24"/>
          <w:szCs w:val="24"/>
          <w:highlight w:val="none"/>
        </w:rPr>
        <w:t>在货物采购项目中，供应商提供的货物既有小微企业制造货物，也有大型、中型企业制造货物的，不享受政府采购价格扣除优惠政策。</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6%的扣除，用扣除后的价格参与评审。联合体各方均为小型、微型企业的，联合体视同为小型、微型企业。组成联合体或者接受分包的小微企业与联合体内其他企业、分包企业之间存在直接控股、管理关系的，不享受价格扣除优惠政策。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参加政府采购活动的中小企业应提供《中小企业声明函》原件。未提供上述声明函原件的，不能享受招标文件规定的价格扣除，但不影响投标文件的有效性。实际价格扣除比例以本章组织评标中的约定为准。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财政部、司法部关于政府采购支持监狱企业发展有关问题的通知》（财库[2014]68号）文件规定，在政府采购活动中，监狱企业视同小型、微型企业，享受预留份额、评审中价格扣除等政府采购促进中小企业发展的政府采购政策。对监狱企业产品价格扣除，用扣除后的价格参与评审。</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监狱企业参加政府采购活动时，应当提供由省级以上监狱管理局、戒毒管理局（含新疆生产建设兵团）出具的属于监狱企业的证明文件原件，且须在投标文件中详细列明监狱企业产品价格明细，否则不给予价格扣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民政部、中国残疾人联合会《三部门联合发布关于促进残疾人就业政府采购政策的通知》（财库〔2017〕141号）文件规定，在政府采购活动中，残疾人福利性单位视同小型、微型企业，享受预留份额、评审中价格扣除等促进中小企业发展的政府采购政策。对残疾人福利性单位产品价格扣除，用扣除后的价格参与评审。</w:t>
      </w:r>
    </w:p>
    <w:p>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注：1、残疾人福利性单位在参加政府采购活动时，应当提供《残疾人福利性单位声明函》（见附件），且须在投标文件中详细列明残疾人福利性单位产品价格明细，否则不给予价格扣除；2、残疾人福利性单位属于小型、微型企业的，不重复享受政策；3、供应商提供的《残疾人福利性单位声明函》与事实不符的，依照《中华人民共和国政府采购法》第七十七条第一款的规定追究法律责任。</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3.投标文件的澄清</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3.1下述情形为无效投标且不得澄清：</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（1）未按招标文件要求签字或盖章；</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（2）委托代理人没有合法、有效的授权委托；</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（3）未响应交付时限、付款方式；</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（4）未提供“符合性检查材料”和“资格性检查材料”；</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（5）单位负责人为同一人或者存在控股、管理关系的不同单位，同时参加投标。</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除实质性响应和不得澄清内容外，评标委员会对含义不明确、同类问题表述不一致或者有明显文字和计算错误等内容，可以书面形式要求供应商作出书面澄清答复。澄清答复应由其法定代表人或委托代理人签字确认，并作为响应文件的一部分。</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3.3如有必要，评标委员会可要求供应商限时提供资格证明文件的原件。供应商拒不提供或不能在规定时限内提供的，响应无效。</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4.开标程序与评价比较</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（1）采购代理机构组织招标、开标、评标工作，整个过程受政府采购监管机构的监督、管理。</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为了确保评标工作的公平、公正，依据政府采购法和政府采购相关法规、规章，成立评标委员会，评标委员会由采购人代表和有关技术、经济等方面的专家组成，成员人数为五人以上单数。其中，技术、经济等方面的专家不少于成员总数的三分之二。</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（3）采购代理机构在规定的时间和地点组织公开招标，服务商必须派法定代表人或被授权人参加，并签名报到。</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（4）开标时，采购代理机构对经检查的有效投标文件，依据投标顺序，以公开唱标的形式，将投标报价一览表的内容公布。</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（5）采购人与中标服务商正式签订政府采购合同前，凡与审查、投标、澄清、评标过程中有关的所有资料和内容，评标委员会成员及集中采购机构工作人员均负有保密责任，不得向外透露。</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3.2在投标文件资格性、有效性和完整性检查时，出现下列情况之一的，投标文件视为无效：</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（1）未按照招标文件规定要求装订、签署、盖章的；</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招标文件中规定的资格要求的。如果评标委员会认为服务商的资格证明文件复印件存在疑点，可以要求其现场提供原件进行核查，两者出现不同或在规定的时间内未能及时提供原件的，投标文件视为无效；</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（3）投标文件中无投标有效期或有效期达不到招标文件要求的；</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（4）投标文件的构成缺少其中一项或某项达不到招标文件要求的；</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（5）服务商单位负责人为同一人或者存在直接控股、管理关系的不同服务商，参加同一合同项下的政府采购活动的；</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（6）扰乱评标秩序，澄清时与评委、甲方代表争吵的；</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（7）政府采购法律法规规定的其他情形。</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3.3在技术、服务及商务响应程度评审中，出现下列情况之一的，投标文件视为无效：</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（1）投标报价与市场价偏离较大，低于成本，形成不正当竞争的；</w:t>
      </w:r>
      <w:r>
        <w:rPr>
          <w:rFonts w:hint="eastAsia" w:ascii="宋体" w:hAnsi="宋体" w:eastAsia="宋体" w:cs="宋体"/>
          <w:b/>
          <w:bCs/>
          <w:color w:val="auto"/>
          <w:sz w:val="24"/>
          <w:szCs w:val="24"/>
          <w:highlight w:val="none"/>
        </w:rPr>
        <w:t>评标委员会认为供应商报价存在明显不合理的低于成本的报价，有可能影响服务质量或者不能诚信履约的，可要求该供应商在规定期限内，提供必要的书面文件予以解释和说明并附带相关证明材料，证明其报价合理性的；否则，评标委员会认定该供应商以低于成本价竞价，其响应文件作无效响应文件处理</w:t>
      </w:r>
      <w:r>
        <w:rPr>
          <w:rFonts w:hint="eastAsia" w:ascii="宋体" w:hAnsi="宋体" w:eastAsia="宋体" w:cs="宋体"/>
          <w:color w:val="auto"/>
          <w:sz w:val="24"/>
          <w:szCs w:val="24"/>
          <w:highlight w:val="none"/>
        </w:rPr>
        <w:t>；</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（2）投标内容与招标文件要求的采购标的、规格型号、采购数量、技术和服务要求等实质性内容出现重大负偏差的；</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（3）提供虚假技术性能指标的（出现技术指标前后矛盾的，以国家职能部门认定的指标为准）；</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（4）投标文件在款项结算、质量保证、验收条件等方面的响应与招标文件要求不一致或附加了采购人和评标委员会难以接受的条件的；</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（5）未响应招标文件合同主要条款的；</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（6）扰乱评标秩序，澄清时与评委、采购人代表争吵的；</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color w:val="auto"/>
          <w:sz w:val="24"/>
          <w:szCs w:val="24"/>
          <w:highlight w:val="none"/>
        </w:rPr>
        <w:t>（7）政府采购法律法规规定的其他情形。</w:t>
      </w:r>
    </w:p>
    <w:p>
      <w:pPr>
        <w:rPr>
          <w:highlight w:val="none"/>
        </w:rPr>
      </w:pPr>
    </w:p>
    <w:p>
      <w:pPr>
        <w:rPr>
          <w:highlight w:val="none"/>
        </w:rPr>
      </w:pPr>
    </w:p>
    <w:p>
      <w:pPr>
        <w:rPr>
          <w:highlight w:val="none"/>
        </w:rPr>
      </w:pPr>
    </w:p>
    <w:p>
      <w:pPr>
        <w:rPr>
          <w:highlight w:val="none"/>
        </w:rPr>
      </w:pPr>
    </w:p>
    <w:p>
      <w:pPr>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spacing w:line="360" w:lineRule="auto"/>
        <w:jc w:val="center"/>
        <w:rPr>
          <w:highlight w:val="none"/>
        </w:rPr>
      </w:pPr>
      <w: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t>第五</w:t>
      </w:r>
      <w:r>
        <w:rPr>
          <w:rFonts w:hint="eastAsia" w:ascii="宋体" w:hAnsi="宋体" w:eastAsia="宋体" w:cs="宋体"/>
          <w:spacing w:val="8"/>
          <w:sz w:val="28"/>
          <w:szCs w:val="28"/>
          <w:highlight w:val="none"/>
          <w14:textOutline w14:w="5448" w14:cap="sq" w14:cmpd="sng" w14:algn="ctr">
            <w14:solidFill>
              <w14:srgbClr w14:val="000000"/>
            </w14:solidFill>
            <w14:prstDash w14:val="solid"/>
            <w14:bevel/>
          </w14:textOutline>
        </w:rPr>
        <w:t>部分 采购合同</w:t>
      </w:r>
    </w:p>
    <w:p>
      <w:pPr>
        <w:widowControl w:val="0"/>
        <w:autoSpaceDE/>
        <w:autoSpaceDN/>
        <w:spacing w:line="470" w:lineRule="exact"/>
        <w:ind w:firstLine="480" w:firstLineChars="200"/>
        <w:textAlignment w:val="auto"/>
        <w:rPr>
          <w:rFonts w:ascii="宋体" w:hAnsi="宋体" w:cs="宋体"/>
          <w:b/>
          <w:sz w:val="24"/>
          <w:szCs w:val="24"/>
          <w:highlight w:val="none"/>
        </w:rPr>
      </w:pPr>
      <w:r>
        <w:rPr>
          <w:rFonts w:hint="eastAsia" w:ascii="宋体" w:hAnsi="宋体" w:cs="宋体"/>
          <w:b/>
          <w:sz w:val="24"/>
          <w:szCs w:val="24"/>
          <w:highlight w:val="none"/>
        </w:rPr>
        <w:t>采购人（全称，以下简称甲方）：</w:t>
      </w:r>
      <w:r>
        <w:rPr>
          <w:rFonts w:hint="eastAsia" w:ascii="宋体" w:hAnsi="宋体" w:cs="宋体"/>
          <w:b/>
          <w:sz w:val="24"/>
          <w:szCs w:val="24"/>
          <w:highlight w:val="none"/>
          <w:u w:val="single"/>
        </w:rPr>
        <w:t xml:space="preserve"> 汉中市政府国有资产监督管理委员会 </w:t>
      </w:r>
    </w:p>
    <w:p>
      <w:pPr>
        <w:widowControl w:val="0"/>
        <w:autoSpaceDE/>
        <w:autoSpaceDN/>
        <w:spacing w:line="470" w:lineRule="exact"/>
        <w:ind w:firstLine="480" w:firstLineChars="200"/>
        <w:textAlignment w:val="auto"/>
        <w:rPr>
          <w:rFonts w:ascii="宋体" w:hAnsi="宋体" w:eastAsia="宋体" w:cs="宋体"/>
          <w:sz w:val="24"/>
          <w:szCs w:val="24"/>
          <w:highlight w:val="none"/>
        </w:rPr>
      </w:pPr>
      <w:r>
        <w:rPr>
          <w:rFonts w:hint="eastAsia" w:ascii="宋体" w:hAnsi="宋体" w:cs="宋体"/>
          <w:b/>
          <w:sz w:val="24"/>
          <w:szCs w:val="24"/>
          <w:highlight w:val="none"/>
        </w:rPr>
        <w:t>供应商（全称，以下简称</w:t>
      </w:r>
      <w:r>
        <w:rPr>
          <w:rFonts w:hint="eastAsia" w:ascii="宋体" w:hAnsi="宋体" w:eastAsia="宋体" w:cs="宋体"/>
          <w:b/>
          <w:sz w:val="24"/>
          <w:szCs w:val="24"/>
          <w:highlight w:val="none"/>
        </w:rPr>
        <w:t>乙</w:t>
      </w:r>
      <w:r>
        <w:rPr>
          <w:rFonts w:hint="eastAsia" w:ascii="宋体" w:hAnsi="宋体" w:cs="宋体"/>
          <w:b/>
          <w:sz w:val="24"/>
          <w:szCs w:val="24"/>
          <w:highlight w:val="none"/>
        </w:rPr>
        <w:t>方）：</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eastAsia="宋体" w:cs="宋体"/>
          <w:sz w:val="24"/>
          <w:szCs w:val="24"/>
          <w:highlight w:val="none"/>
          <w:u w:val="single"/>
        </w:rPr>
        <w:t xml:space="preserve">       </w:t>
      </w:r>
    </w:p>
    <w:p>
      <w:pPr>
        <w:widowControl w:val="0"/>
        <w:autoSpaceDE/>
        <w:autoSpaceDN/>
        <w:spacing w:line="470" w:lineRule="exact"/>
        <w:ind w:firstLine="480" w:firstLineChars="200"/>
        <w:textAlignment w:val="auto"/>
        <w:rPr>
          <w:rFonts w:ascii="宋体" w:hAnsi="宋体" w:cs="宋体"/>
          <w:sz w:val="24"/>
          <w:szCs w:val="24"/>
          <w:highlight w:val="none"/>
          <w:u w:val="single"/>
        </w:rPr>
      </w:pPr>
      <w:r>
        <w:rPr>
          <w:rFonts w:hint="eastAsia" w:ascii="宋体" w:hAnsi="宋体" w:cs="宋体"/>
          <w:sz w:val="24"/>
          <w:szCs w:val="24"/>
          <w:highlight w:val="none"/>
        </w:rPr>
        <w:t>根据《中华人民共和国民法典》及其他有关法律、法规，遵循平等、自愿、公平和诚信的原则，双方就下述项目范围与相关服务事项协商一致，订立本合同。</w:t>
      </w:r>
    </w:p>
    <w:p>
      <w:pPr>
        <w:widowControl w:val="0"/>
        <w:autoSpaceDE/>
        <w:autoSpaceDN/>
        <w:spacing w:line="470" w:lineRule="exact"/>
        <w:textAlignment w:val="auto"/>
        <w:rPr>
          <w:rFonts w:ascii="宋体" w:hAnsi="宋体" w:cs="宋体"/>
          <w:b/>
          <w:sz w:val="24"/>
          <w:szCs w:val="24"/>
          <w:highlight w:val="none"/>
        </w:rPr>
      </w:pPr>
      <w:r>
        <w:rPr>
          <w:rFonts w:hint="eastAsia" w:ascii="宋体" w:hAnsi="宋体" w:cs="宋体"/>
          <w:b/>
          <w:sz w:val="24"/>
          <w:szCs w:val="24"/>
          <w:highlight w:val="none"/>
        </w:rPr>
        <w:t>一、项目概况</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1.项目名称：</w:t>
      </w:r>
      <w:r>
        <w:rPr>
          <w:rFonts w:hint="eastAsia" w:ascii="宋体" w:hAnsi="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2.项目地点：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3.项目内容：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widowControl w:val="0"/>
        <w:autoSpaceDE/>
        <w:autoSpaceDN/>
        <w:spacing w:line="470" w:lineRule="exact"/>
        <w:textAlignment w:val="auto"/>
        <w:rPr>
          <w:rFonts w:ascii="宋体" w:hAnsi="宋体" w:cs="宋体"/>
          <w:b/>
          <w:sz w:val="24"/>
          <w:szCs w:val="24"/>
          <w:highlight w:val="none"/>
        </w:rPr>
      </w:pPr>
      <w:r>
        <w:rPr>
          <w:rFonts w:hint="eastAsia" w:ascii="宋体" w:hAnsi="宋体" w:cs="宋体"/>
          <w:b/>
          <w:sz w:val="24"/>
          <w:szCs w:val="24"/>
          <w:highlight w:val="none"/>
        </w:rPr>
        <w:t>二、组成本合同的文件</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1.协议书；</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eastAsia="宋体" w:cs="宋体"/>
          <w:sz w:val="24"/>
          <w:szCs w:val="24"/>
          <w:highlight w:val="none"/>
        </w:rPr>
        <w:t>中标</w:t>
      </w:r>
      <w:r>
        <w:rPr>
          <w:rFonts w:hint="eastAsia" w:ascii="宋体" w:hAnsi="宋体" w:cs="宋体"/>
          <w:sz w:val="24"/>
          <w:szCs w:val="24"/>
          <w:highlight w:val="none"/>
        </w:rPr>
        <w:t>通知书、</w:t>
      </w:r>
      <w:r>
        <w:rPr>
          <w:rFonts w:hint="eastAsia" w:ascii="宋体" w:hAnsi="宋体" w:eastAsia="宋体" w:cs="宋体"/>
          <w:sz w:val="24"/>
          <w:szCs w:val="24"/>
          <w:highlight w:val="none"/>
        </w:rPr>
        <w:t>投标</w:t>
      </w:r>
      <w:r>
        <w:rPr>
          <w:rFonts w:hint="eastAsia" w:ascii="宋体" w:hAnsi="宋体" w:cs="宋体"/>
          <w:sz w:val="24"/>
          <w:szCs w:val="24"/>
          <w:highlight w:val="none"/>
        </w:rPr>
        <w:t>文件、</w:t>
      </w:r>
      <w:r>
        <w:rPr>
          <w:rFonts w:hint="eastAsia" w:ascii="宋体" w:hAnsi="宋体" w:eastAsia="宋体" w:cs="宋体"/>
          <w:sz w:val="24"/>
          <w:szCs w:val="24"/>
          <w:highlight w:val="none"/>
        </w:rPr>
        <w:t>招标</w:t>
      </w:r>
      <w:r>
        <w:rPr>
          <w:rFonts w:hint="eastAsia" w:ascii="宋体" w:hAnsi="宋体" w:cs="宋体"/>
          <w:sz w:val="24"/>
          <w:szCs w:val="24"/>
          <w:highlight w:val="none"/>
        </w:rPr>
        <w:t>文件、澄清、</w:t>
      </w:r>
      <w:r>
        <w:rPr>
          <w:rFonts w:hint="eastAsia" w:ascii="宋体" w:hAnsi="宋体" w:eastAsia="宋体" w:cs="宋体"/>
          <w:sz w:val="24"/>
          <w:szCs w:val="24"/>
          <w:highlight w:val="none"/>
        </w:rPr>
        <w:t>招标</w:t>
      </w:r>
      <w:r>
        <w:rPr>
          <w:rFonts w:hint="eastAsia" w:ascii="宋体" w:hAnsi="宋体" w:cs="宋体"/>
          <w:sz w:val="24"/>
          <w:szCs w:val="24"/>
          <w:highlight w:val="none"/>
        </w:rPr>
        <w:t>补充文件；</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3.相关服务建议书；</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4.附录，即：附表内相关服务的范围和内容；</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本合同签订后，双方依法签订的补充协议也是本合同文件的组成部分。</w:t>
      </w:r>
    </w:p>
    <w:p>
      <w:pPr>
        <w:spacing w:before="156" w:beforeLines="50"/>
        <w:rPr>
          <w:b/>
          <w:highlight w:val="none"/>
        </w:rPr>
      </w:pPr>
      <w:r>
        <w:rPr>
          <w:rFonts w:hint="eastAsia" w:ascii="宋体" w:hAnsi="宋体" w:cs="宋体"/>
          <w:b/>
          <w:sz w:val="24"/>
          <w:szCs w:val="24"/>
          <w:highlight w:val="none"/>
        </w:rPr>
        <w:t>三、</w:t>
      </w:r>
      <w:r>
        <w:rPr>
          <w:rFonts w:hint="eastAsia"/>
          <w:b/>
          <w:highlight w:val="none"/>
        </w:rPr>
        <w:t>交付条件</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rPr>
        <w:t>交付地点：采购人指定地点。</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rPr>
        <w:t>交付期：自合同签订之日起</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rPr>
        <w:t>个月内完成项目全部</w:t>
      </w:r>
      <w:r>
        <w:rPr>
          <w:rFonts w:hint="eastAsia" w:ascii="宋体" w:hAnsi="宋体" w:eastAsia="宋体" w:cs="宋体"/>
          <w:sz w:val="24"/>
          <w:szCs w:val="24"/>
          <w:highlight w:val="none"/>
        </w:rPr>
        <w:t>建设</w:t>
      </w:r>
      <w:r>
        <w:rPr>
          <w:rFonts w:hint="eastAsia" w:ascii="宋体" w:hAnsi="宋体" w:cs="宋体"/>
          <w:sz w:val="24"/>
          <w:szCs w:val="24"/>
          <w:highlight w:val="none"/>
        </w:rPr>
        <w:t>内容，并交付采购人验收合格。</w:t>
      </w:r>
      <w:r>
        <w:rPr>
          <w:rFonts w:hint="eastAsia" w:ascii="宋体" w:hAnsi="宋体" w:eastAsia="宋体" w:cs="宋体"/>
          <w:sz w:val="24"/>
          <w:szCs w:val="24"/>
          <w:highlight w:val="none"/>
        </w:rPr>
        <w:t>服务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p>
    <w:p>
      <w:pPr>
        <w:spacing w:before="156" w:beforeLines="50"/>
        <w:rPr>
          <w:rFonts w:ascii="宋体" w:hAnsi="宋体" w:cs="宋体"/>
          <w:b/>
          <w:sz w:val="24"/>
          <w:szCs w:val="24"/>
          <w:highlight w:val="none"/>
        </w:rPr>
      </w:pPr>
      <w:r>
        <w:rPr>
          <w:rFonts w:hint="eastAsia" w:ascii="宋体" w:hAnsi="宋体" w:cs="宋体"/>
          <w:b/>
          <w:sz w:val="24"/>
          <w:szCs w:val="24"/>
          <w:highlight w:val="none"/>
        </w:rPr>
        <w:t>四、合同价款</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1.合同</w:t>
      </w:r>
      <w:r>
        <w:rPr>
          <w:rFonts w:hint="eastAsia" w:ascii="宋体" w:hAnsi="宋体" w:eastAsia="宋体" w:cs="宋体"/>
          <w:sz w:val="24"/>
          <w:szCs w:val="24"/>
          <w:highlight w:val="none"/>
        </w:rPr>
        <w:t>总</w:t>
      </w:r>
      <w:r>
        <w:rPr>
          <w:rFonts w:hint="eastAsia" w:ascii="宋体" w:hAnsi="宋体" w:cs="宋体"/>
          <w:sz w:val="24"/>
          <w:szCs w:val="24"/>
          <w:highlight w:val="none"/>
        </w:rPr>
        <w:t>金额（大写）：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rPr>
        <w:t>合同总价包括：</w:t>
      </w:r>
      <w:r>
        <w:rPr>
          <w:rFonts w:hint="eastAsia" w:ascii="宋体" w:hAnsi="宋体" w:eastAsia="宋体" w:cs="宋体"/>
          <w:color w:val="auto"/>
          <w:sz w:val="24"/>
          <w:szCs w:val="24"/>
          <w:highlight w:val="none"/>
        </w:rPr>
        <w:t>交付使用前的全部费用，含硬件设备购置费、软件购置费、软件开发费、系统集成费、安装调试费、人员培训费、验收费、售后服务期内的运行维护费、软件永久升级费、税金、其他费用等一切费用。</w:t>
      </w:r>
    </w:p>
    <w:p>
      <w:pPr>
        <w:widowControl w:val="0"/>
        <w:autoSpaceDE/>
        <w:autoSpaceDN/>
        <w:spacing w:line="470" w:lineRule="exact"/>
        <w:textAlignment w:val="auto"/>
        <w:rPr>
          <w:rFonts w:ascii="宋体" w:hAnsi="宋体" w:cs="宋体"/>
          <w:b/>
          <w:sz w:val="24"/>
          <w:szCs w:val="24"/>
          <w:highlight w:val="none"/>
        </w:rPr>
      </w:pPr>
      <w:r>
        <w:rPr>
          <w:rFonts w:hint="eastAsia" w:ascii="宋体" w:hAnsi="宋体" w:eastAsia="宋体" w:cs="宋体"/>
          <w:b/>
          <w:sz w:val="24"/>
          <w:szCs w:val="24"/>
          <w:highlight w:val="none"/>
        </w:rPr>
        <w:t>五</w:t>
      </w:r>
      <w:r>
        <w:rPr>
          <w:rFonts w:hint="eastAsia" w:ascii="宋体" w:hAnsi="宋体" w:cs="宋体"/>
          <w:b/>
          <w:sz w:val="24"/>
          <w:szCs w:val="24"/>
          <w:highlight w:val="none"/>
        </w:rPr>
        <w:t>、付款方式</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cs="宋体"/>
          <w:sz w:val="24"/>
          <w:szCs w:val="24"/>
          <w:highlight w:val="none"/>
        </w:rPr>
        <w:t>1.</w:t>
      </w:r>
      <w:r>
        <w:rPr>
          <w:rFonts w:hint="eastAsia" w:ascii="宋体" w:hAnsi="宋体" w:eastAsia="宋体" w:cs="宋体"/>
          <w:sz w:val="24"/>
          <w:szCs w:val="24"/>
          <w:highlight w:val="none"/>
        </w:rPr>
        <w:t>合同签订后</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个工作日内，甲方向乙方支付合同价款的30%作为项目预付款。</w:t>
      </w:r>
    </w:p>
    <w:p>
      <w:pPr>
        <w:pStyle w:val="17"/>
        <w:ind w:firstLine="48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2.乙方一次性交付系统，甲方验收合格后</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个工作日内，甲方向乙方支付合同价款的</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如遇特殊原因，顺延付款期限。</w:t>
      </w:r>
    </w:p>
    <w:p>
      <w:pPr>
        <w:pStyle w:val="17"/>
        <w:ind w:firstLine="480"/>
        <w:rPr>
          <w:rFonts w:ascii="宋体" w:hAnsi="宋体" w:eastAsia="宋体" w:cs="宋体"/>
          <w:sz w:val="24"/>
          <w:szCs w:val="24"/>
          <w:highlight w:val="none"/>
        </w:rPr>
      </w:pPr>
      <w:r>
        <w:rPr>
          <w:rFonts w:hint="eastAsia" w:ascii="宋体" w:hAnsi="宋体" w:eastAsia="宋体" w:cs="宋体"/>
          <w:sz w:val="24"/>
          <w:szCs w:val="24"/>
          <w:highlight w:val="none"/>
        </w:rPr>
        <w:t>3.支付方式：银行转账。</w:t>
      </w:r>
    </w:p>
    <w:p>
      <w:pPr>
        <w:pStyle w:val="17"/>
        <w:ind w:firstLine="480"/>
        <w:rPr>
          <w:b/>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.结算方式：付款前乙方根据甲方要求开具相应金额的发票。</w:t>
      </w:r>
    </w:p>
    <w:p>
      <w:pPr>
        <w:spacing w:before="156" w:beforeLines="50"/>
        <w:rPr>
          <w:rFonts w:ascii="宋体" w:hAnsi="宋体" w:cs="宋体"/>
          <w:b/>
          <w:sz w:val="24"/>
          <w:szCs w:val="24"/>
          <w:highlight w:val="none"/>
        </w:rPr>
      </w:pPr>
      <w:r>
        <w:rPr>
          <w:rFonts w:hint="eastAsia" w:ascii="宋体" w:hAnsi="宋体" w:cs="宋体"/>
          <w:b/>
          <w:sz w:val="24"/>
          <w:szCs w:val="24"/>
          <w:highlight w:val="none"/>
        </w:rPr>
        <w:t>六、质量保证</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rPr>
        <w:t>保证技术指标先进、质量性能可靠、功能齐全、配置合理，全面满足招标要求。采购人根据检验标准发现系统功能、业务、流程等与合同不符；或者在质量保证期内，系统应用存在缺陷，包括潜在的缺陷或使用不符合实际业务需要等，买方可采取必要的补救措施并有权追究中标供应商责任，由此引发的风险、损失和费用将由中标供应商承担。</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rPr>
        <w:t>符合国家有关规范要求，确保达到最佳运行状态。</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rPr>
        <w:t>中标供应商所开发的系统和提供的硬件设备，若发生侵权而产生的一切后果，由中标供应商负责，采购人保留索赔权力。</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rPr>
        <w:t>有各类突发事件的应急预案，且具有可操作性。</w:t>
      </w:r>
    </w:p>
    <w:p>
      <w:pPr>
        <w:spacing w:before="156" w:beforeLines="50"/>
        <w:rPr>
          <w:rFonts w:ascii="宋体" w:hAnsi="宋体" w:cs="宋体"/>
          <w:b/>
          <w:sz w:val="24"/>
          <w:szCs w:val="24"/>
          <w:highlight w:val="none"/>
        </w:rPr>
      </w:pPr>
      <w:bookmarkStart w:id="180" w:name="_Toc3964"/>
      <w:bookmarkStart w:id="181" w:name="_Toc31284"/>
      <w:bookmarkStart w:id="182" w:name="_Toc75444500"/>
      <w:bookmarkStart w:id="183" w:name="_Toc12199"/>
      <w:bookmarkStart w:id="184" w:name="_Toc15798"/>
      <w:r>
        <w:rPr>
          <w:rFonts w:hint="eastAsia" w:ascii="宋体" w:hAnsi="宋体" w:cs="宋体"/>
          <w:b/>
          <w:sz w:val="24"/>
          <w:szCs w:val="24"/>
          <w:highlight w:val="none"/>
        </w:rPr>
        <w:t>七、验收</w:t>
      </w:r>
      <w:bookmarkEnd w:id="180"/>
      <w:bookmarkEnd w:id="181"/>
      <w:bookmarkEnd w:id="182"/>
      <w:bookmarkEnd w:id="183"/>
      <w:bookmarkEnd w:id="184"/>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一）初验：系统上线前，应对系统的各项功能进行详细验证，确保系统功能符合需求，并完成系统压力测试，买卖双方对系统功能、业务流程确认无误，中标供应商向采购人交付需求确认书、系统设计方案、系统数据库设计规范、系统操作手册、使用说明等相关资料。双方共同签署系统检验确认书，确认书将作为申请付款单据的一部分，但有关功能、业务、流程、性能等的检验不应视为最终检验。</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（二）验收：</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1、通过初验后，系统上线试运行，试运行结束后，能够实现招标技术要求，中标供应商准备验收文件并书面通知采购人。</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2、中标供应商在正式验收前应提交符合网络安全法所规定的系统安全等级保护三级证书。</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3、采购人确认中标供应商的自检初验合格后，组织中标供应商（必要时请有关专家）进行系统验收，验收合格后，填写项目验收单作为对项目的最终认可。</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（三）服务商向采购人提供服务过程中的所有资料,以便采购人日后管理和维护。</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（四）验收依据</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1、招标文件、投标文件、澄清表（函）；</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2、本合同及附件文本；</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3、合同签订时国家及行业现行的标准和技术规范。</w:t>
      </w:r>
    </w:p>
    <w:p>
      <w:pPr>
        <w:spacing w:before="156" w:beforeLines="50"/>
        <w:rPr>
          <w:rFonts w:ascii="宋体" w:hAnsi="宋体" w:cs="宋体"/>
          <w:b/>
          <w:sz w:val="24"/>
          <w:szCs w:val="24"/>
          <w:highlight w:val="none"/>
        </w:rPr>
      </w:pPr>
      <w:bookmarkStart w:id="185" w:name="_Toc3410"/>
      <w:bookmarkStart w:id="186" w:name="_Toc3686"/>
      <w:bookmarkStart w:id="187" w:name="_Toc8357"/>
      <w:bookmarkStart w:id="188" w:name="_Toc75444501"/>
      <w:bookmarkStart w:id="189" w:name="_Toc7601"/>
      <w:r>
        <w:rPr>
          <w:rFonts w:hint="eastAsia" w:ascii="宋体" w:hAnsi="宋体" w:cs="宋体"/>
          <w:b/>
          <w:sz w:val="24"/>
          <w:szCs w:val="24"/>
          <w:highlight w:val="none"/>
        </w:rPr>
        <w:t>八、售后服务</w:t>
      </w:r>
      <w:bookmarkEnd w:id="185"/>
      <w:bookmarkEnd w:id="186"/>
      <w:bookmarkEnd w:id="187"/>
      <w:bookmarkEnd w:id="188"/>
      <w:bookmarkEnd w:id="189"/>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质量保证期：项目建设完成且由采购人验收合格之日起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年（硬件设备质保期自供货之日起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年），若该质量保证期小于国家标准，则以国家标准为准。</w:t>
      </w:r>
    </w:p>
    <w:p>
      <w:pPr>
        <w:pStyle w:val="30"/>
        <w:ind w:firstLine="480" w:firstLineChars="200"/>
        <w:rPr>
          <w:rFonts w:ascii="宋体" w:hAnsi="宋体" w:cs="宋体"/>
          <w:b/>
          <w:sz w:val="24"/>
          <w:szCs w:val="24"/>
          <w:highlight w:val="none"/>
        </w:rPr>
      </w:pPr>
      <w:bookmarkStart w:id="190" w:name="_Toc23622"/>
      <w:bookmarkStart w:id="191" w:name="_Toc32287"/>
      <w:r>
        <w:rPr>
          <w:rFonts w:hint="eastAsia" w:ascii="宋体" w:hAnsi="宋体" w:cs="宋体"/>
          <w:b/>
          <w:sz w:val="24"/>
          <w:szCs w:val="24"/>
          <w:highlight w:val="none"/>
        </w:rPr>
        <w:t>（一）质保期内</w:t>
      </w:r>
      <w:bookmarkEnd w:id="190"/>
      <w:bookmarkEnd w:id="191"/>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供应商应提供详细且易于执行的售后服务保障措施，至少满足如下要求：</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1.售后服务响应</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7*24小时的售后服务响应，同时提供至少两名服务人员长期驻场，服务范围主要包含但不限于故障处理，人员培训，系统维护升级，协调公司内部资源到达现场处理等，要求供应商确保1小时内响应，2小时内必须现场响应，一般故障要在8小时内解决，系统宕机或硬件故障24小时内解决。必要时供应商应提供备件使系统能正常工作，硬件故障维修时应当详细记录故障原因及排除方法，维修完毕将其移交最终用户。</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2.热线服务</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应提供热线电话或E-mail、传真等途径随时回答与工程有关的技术问题并在24小时内提出解决方案。</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3.定期跟踪</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系统验收完毕后，应定期跟踪和回访使用情况（每季度至少一次）。及时了解存在的问题，并随时给予解决。</w:t>
      </w:r>
    </w:p>
    <w:p>
      <w:pPr>
        <w:widowControl w:val="0"/>
        <w:autoSpaceDE/>
        <w:autoSpaceDN/>
        <w:spacing w:line="470" w:lineRule="exact"/>
        <w:ind w:left="481" w:leftChars="228" w:hanging="2" w:hangingChars="1"/>
        <w:textAlignment w:val="auto"/>
        <w:rPr>
          <w:rFonts w:ascii="宋体" w:hAnsi="宋体" w:cs="宋体"/>
          <w:b/>
          <w:sz w:val="24"/>
          <w:szCs w:val="24"/>
          <w:highlight w:val="none"/>
        </w:rPr>
      </w:pPr>
      <w:r>
        <w:rPr>
          <w:rFonts w:hint="eastAsia" w:ascii="宋体" w:hAnsi="宋体" w:eastAsia="宋体" w:cs="宋体"/>
          <w:sz w:val="24"/>
          <w:szCs w:val="24"/>
          <w:highlight w:val="none"/>
        </w:rPr>
        <w:t>4.根据系统需要，中标供应商提供免费软件升级服务以满足系统良好运行。</w:t>
      </w:r>
      <w:bookmarkStart w:id="192" w:name="_Toc28742"/>
      <w:bookmarkStart w:id="193" w:name="_Toc25622"/>
      <w:r>
        <w:rPr>
          <w:rFonts w:hint="eastAsia" w:ascii="宋体" w:hAnsi="宋体" w:cs="宋体"/>
          <w:b/>
          <w:sz w:val="24"/>
          <w:szCs w:val="24"/>
          <w:highlight w:val="none"/>
        </w:rPr>
        <w:t>（二）质保期满后</w:t>
      </w:r>
      <w:bookmarkEnd w:id="192"/>
      <w:bookmarkEnd w:id="193"/>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中标供应商应保证以合理的价格提供维护和保养服务，当发生故障时，中标供应商应按质保期内相同的服务标准进行维护处理。</w:t>
      </w:r>
      <w:bookmarkStart w:id="194" w:name="_Toc17515"/>
      <w:bookmarkStart w:id="195" w:name="_Toc25036"/>
    </w:p>
    <w:p>
      <w:pPr>
        <w:widowControl w:val="0"/>
        <w:autoSpaceDE/>
        <w:autoSpaceDN/>
        <w:spacing w:line="470" w:lineRule="exact"/>
        <w:ind w:firstLine="475" w:firstLineChars="198"/>
        <w:textAlignment w:val="auto"/>
        <w:rPr>
          <w:rFonts w:ascii="宋体" w:hAnsi="宋体" w:cs="宋体"/>
          <w:b/>
          <w:sz w:val="24"/>
          <w:szCs w:val="24"/>
          <w:highlight w:val="none"/>
        </w:rPr>
      </w:pPr>
      <w:r>
        <w:rPr>
          <w:rFonts w:hint="eastAsia" w:ascii="宋体" w:hAnsi="宋体" w:cs="宋体"/>
          <w:b/>
          <w:sz w:val="24"/>
          <w:szCs w:val="24"/>
          <w:highlight w:val="none"/>
        </w:rPr>
        <w:t>（三）人员培训</w:t>
      </w:r>
      <w:bookmarkEnd w:id="194"/>
      <w:bookmarkEnd w:id="195"/>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供应商应根据项目实施的计划、进度和需要与采购人的合理要求，及时安排相关人员进行培训。供应商应提供免费培训及培训手册、系统操作手册等培训资料，培训目标为使受训者能够独立、熟练地完成操作，实现依据本合同所规定的系统的目标和功能。</w:t>
      </w:r>
    </w:p>
    <w:p>
      <w:pPr>
        <w:spacing w:before="156" w:beforeLines="50"/>
        <w:rPr>
          <w:rFonts w:ascii="宋体" w:hAnsi="宋体" w:cs="宋体"/>
          <w:b/>
          <w:sz w:val="24"/>
          <w:szCs w:val="24"/>
          <w:highlight w:val="none"/>
        </w:rPr>
      </w:pPr>
      <w:bookmarkStart w:id="196" w:name="_Toc4797"/>
      <w:bookmarkStart w:id="197" w:name="_Toc20860"/>
      <w:bookmarkStart w:id="198" w:name="_Toc25225"/>
      <w:bookmarkStart w:id="199" w:name="_Toc75444502"/>
      <w:bookmarkStart w:id="200" w:name="_Toc13513"/>
      <w:r>
        <w:rPr>
          <w:rFonts w:hint="eastAsia" w:ascii="宋体" w:hAnsi="宋体" w:cs="宋体"/>
          <w:b/>
          <w:sz w:val="24"/>
          <w:szCs w:val="24"/>
          <w:highlight w:val="none"/>
        </w:rPr>
        <w:t>九、知识产权</w:t>
      </w:r>
      <w:bookmarkEnd w:id="196"/>
      <w:bookmarkEnd w:id="197"/>
      <w:bookmarkEnd w:id="198"/>
      <w:bookmarkEnd w:id="199"/>
      <w:bookmarkEnd w:id="200"/>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（一）版权、使用权和转让权</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本项目开发的应用软件的知识产权和著作权归采购方和供应商双方所有，使用权归采购方所有；未经一方同意，另一方不得进行技术秘密的转让。</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（二）专利权</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在履行本项目完成的研究开发成果的专利权（包括专利申请权）归双方共有。一方不同意申请专利的，另一方不得申请专利。一方放弃专利申请权的，由另一方单独享有；专利授予以后，放弃专利申请权的一方可免费取得该项专利的普通实施许可；一方转让共有专利权的，另一方享有优先受让权。</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（三）其他权利由采购方享有。</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（四）中标供应商应保证采购人在使用服务内容时，不承担任何涉及知识产权法律诉讼的责任。</w:t>
      </w:r>
    </w:p>
    <w:p>
      <w:pPr>
        <w:spacing w:before="156" w:beforeLines="50"/>
        <w:rPr>
          <w:rFonts w:ascii="宋体" w:hAnsi="宋体" w:cs="宋体"/>
          <w:b/>
          <w:sz w:val="24"/>
          <w:szCs w:val="24"/>
          <w:highlight w:val="none"/>
        </w:rPr>
      </w:pPr>
      <w:bookmarkStart w:id="201" w:name="_Toc1417"/>
      <w:bookmarkStart w:id="202" w:name="_Toc75444503"/>
      <w:bookmarkStart w:id="203" w:name="_Toc20328"/>
      <w:bookmarkStart w:id="204" w:name="_Toc8464"/>
      <w:bookmarkStart w:id="205" w:name="_Toc23202"/>
      <w:r>
        <w:rPr>
          <w:rFonts w:hint="eastAsia" w:ascii="宋体" w:hAnsi="宋体" w:cs="宋体"/>
          <w:b/>
          <w:sz w:val="24"/>
          <w:szCs w:val="24"/>
          <w:highlight w:val="none"/>
        </w:rPr>
        <w:t>十、技术与服务</w:t>
      </w:r>
      <w:bookmarkEnd w:id="201"/>
      <w:bookmarkEnd w:id="202"/>
      <w:bookmarkEnd w:id="203"/>
      <w:bookmarkEnd w:id="204"/>
      <w:bookmarkEnd w:id="205"/>
    </w:p>
    <w:p>
      <w:pPr>
        <w:widowControl w:val="0"/>
        <w:autoSpaceDE/>
        <w:autoSpaceDN/>
        <w:spacing w:line="470" w:lineRule="exact"/>
        <w:ind w:firstLine="475" w:firstLineChars="198"/>
        <w:textAlignment w:val="auto"/>
        <w:rPr>
          <w:rFonts w:ascii="宋体" w:hAnsi="宋体" w:eastAsia="宋体" w:cs="宋体"/>
          <w:sz w:val="24"/>
          <w:szCs w:val="24"/>
          <w:highlight w:val="none"/>
        </w:rPr>
      </w:pPr>
      <w:bookmarkStart w:id="206" w:name="_Toc27630"/>
      <w:bookmarkStart w:id="207" w:name="_Toc21531"/>
      <w:r>
        <w:rPr>
          <w:rFonts w:hint="eastAsia" w:ascii="宋体" w:hAnsi="宋体" w:eastAsia="宋体" w:cs="宋体"/>
          <w:sz w:val="24"/>
          <w:szCs w:val="24"/>
          <w:highlight w:val="none"/>
        </w:rPr>
        <w:t>（一）技术资料</w:t>
      </w:r>
      <w:bookmarkEnd w:id="206"/>
      <w:bookmarkEnd w:id="207"/>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1.文档成果，文档形式提交：包括项目需求调研报告、项目实施方案、系统数据库设计规范、系统操作手册、使用说明、维护手册、服务指南、测试报告、技术总结报告、验收报告以及项目管理中涉及的相关文字材料，需提交相关文档，具体数量项目验收前和采购人协商决定。</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2.软件成果，以电子光盘形式提交。软件及数据成果包括：数据整理、建库各阶段的成果及辅助文件，各系统软件开发的程序源码及辅助文件，还包括各类技术文档、可执行程序、安装程序、有关图件等。</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除数据建库的各阶段成果、源码及备注、可执行程序、安装程序、培训材料为电子文件外，其它所有内容都必须同时提供电子和纸质成果。</w:t>
      </w:r>
    </w:p>
    <w:p>
      <w:pPr>
        <w:widowControl w:val="0"/>
        <w:autoSpaceDE/>
        <w:autoSpaceDN/>
        <w:spacing w:line="470" w:lineRule="exact"/>
        <w:ind w:firstLine="475" w:firstLineChars="198"/>
        <w:textAlignment w:val="auto"/>
        <w:rPr>
          <w:rFonts w:ascii="宋体" w:hAnsi="宋体" w:eastAsia="宋体" w:cs="宋体"/>
          <w:sz w:val="24"/>
          <w:szCs w:val="24"/>
          <w:highlight w:val="none"/>
        </w:rPr>
      </w:pPr>
      <w:bookmarkStart w:id="208" w:name="_Toc13383"/>
      <w:bookmarkStart w:id="209" w:name="_Toc7323"/>
      <w:r>
        <w:rPr>
          <w:rFonts w:hint="eastAsia" w:ascii="宋体" w:hAnsi="宋体" w:eastAsia="宋体" w:cs="宋体"/>
          <w:sz w:val="24"/>
          <w:szCs w:val="24"/>
          <w:highlight w:val="none"/>
        </w:rPr>
        <w:t>（二）服务承诺</w:t>
      </w:r>
      <w:bookmarkEnd w:id="208"/>
      <w:bookmarkEnd w:id="209"/>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以投标文件、澄清表（函）、合同和随系统的相关文件为准。</w:t>
      </w:r>
    </w:p>
    <w:p>
      <w:pPr>
        <w:widowControl w:val="0"/>
        <w:autoSpaceDE/>
        <w:autoSpaceDN/>
        <w:spacing w:line="470" w:lineRule="exact"/>
        <w:ind w:firstLine="475" w:firstLineChars="198"/>
        <w:textAlignment w:val="auto"/>
        <w:rPr>
          <w:rFonts w:ascii="宋体" w:hAnsi="宋体" w:eastAsia="宋体" w:cs="宋体"/>
          <w:sz w:val="24"/>
          <w:szCs w:val="24"/>
          <w:highlight w:val="none"/>
        </w:rPr>
      </w:pPr>
      <w:bookmarkStart w:id="210" w:name="_Toc2407"/>
      <w:bookmarkStart w:id="211" w:name="_Toc6227"/>
      <w:r>
        <w:rPr>
          <w:rFonts w:hint="eastAsia" w:ascii="宋体" w:hAnsi="宋体" w:eastAsia="宋体" w:cs="宋体"/>
          <w:sz w:val="24"/>
          <w:szCs w:val="24"/>
          <w:highlight w:val="none"/>
        </w:rPr>
        <w:t>（三）团队保障</w:t>
      </w:r>
      <w:bookmarkEnd w:id="210"/>
      <w:bookmarkEnd w:id="211"/>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中标供应商应按招标要求为本合同下项目设立专门项目实施团队，并以文件形式向采购人提交团队成员情况表及驻场人员情况表。</w:t>
      </w:r>
    </w:p>
    <w:p>
      <w:pPr>
        <w:widowControl w:val="0"/>
        <w:autoSpaceDE/>
        <w:autoSpaceDN/>
        <w:spacing w:line="470" w:lineRule="exact"/>
        <w:ind w:firstLine="475" w:firstLineChars="198"/>
        <w:textAlignment w:val="auto"/>
        <w:rPr>
          <w:rFonts w:ascii="宋体" w:hAnsi="宋体" w:eastAsia="宋体" w:cs="宋体"/>
          <w:sz w:val="24"/>
          <w:szCs w:val="24"/>
          <w:highlight w:val="none"/>
        </w:rPr>
      </w:pPr>
      <w:bookmarkStart w:id="212" w:name="_Toc26072"/>
      <w:bookmarkStart w:id="213" w:name="_Toc28299"/>
      <w:r>
        <w:rPr>
          <w:rFonts w:hint="eastAsia" w:ascii="宋体" w:hAnsi="宋体" w:eastAsia="宋体" w:cs="宋体"/>
          <w:sz w:val="24"/>
          <w:szCs w:val="24"/>
          <w:highlight w:val="none"/>
        </w:rPr>
        <w:t>（四）设计变更</w:t>
      </w:r>
      <w:bookmarkEnd w:id="212"/>
      <w:bookmarkEnd w:id="213"/>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采购项目执行中，采购人需调整设计内容时，可对相应的原采购内容进行调整，并协商确定价格差额计算方法和负担办法。中标供应商对软件系统的设计、性能需要变更、调整时，应征得采购人同意后，办理相应的变更、调整审批手续，并协商确定设计变更、性能调整后的价款计算方法和工期顺延等事宜。</w:t>
      </w:r>
    </w:p>
    <w:p>
      <w:pPr>
        <w:spacing w:before="156" w:beforeLines="50"/>
        <w:rPr>
          <w:rFonts w:ascii="宋体" w:hAnsi="宋体" w:cs="宋体"/>
          <w:b/>
          <w:sz w:val="24"/>
          <w:szCs w:val="24"/>
          <w:highlight w:val="none"/>
        </w:rPr>
      </w:pPr>
      <w:r>
        <w:rPr>
          <w:rFonts w:hint="eastAsia" w:ascii="宋体" w:hAnsi="宋体" w:cs="宋体"/>
          <w:b/>
          <w:sz w:val="24"/>
          <w:szCs w:val="24"/>
          <w:highlight w:val="none"/>
        </w:rPr>
        <w:t>十一、权利和义务</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（一）甲方权利及义务</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1.甲方根据招标文件的要求对系统进行验收。</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2.甲方应按合同约定及时结付合同费用。</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（二）乙方权利及义务</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1.乙方根据招标要求，确保系统如期保质保量交付。</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2.乙方确保所供系统技术先进，硬件产品供货渠道正规、产地及制造商明确，产品销售记录可追溯，生产厂家授权及售后服务承诺函完整。</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3.乙方应承担系统开发至交付过程中产生的所有风险，并自行承担由此导致的所有法律责任。</w:t>
      </w:r>
    </w:p>
    <w:p>
      <w:pPr>
        <w:spacing w:before="156" w:beforeLines="50"/>
        <w:rPr>
          <w:rFonts w:ascii="宋体" w:hAnsi="宋体" w:cs="宋体"/>
          <w:b/>
          <w:sz w:val="24"/>
          <w:szCs w:val="24"/>
          <w:highlight w:val="none"/>
        </w:rPr>
      </w:pPr>
      <w:r>
        <w:rPr>
          <w:rFonts w:hint="eastAsia" w:ascii="宋体" w:hAnsi="宋体" w:cs="宋体"/>
          <w:b/>
          <w:sz w:val="24"/>
          <w:szCs w:val="24"/>
          <w:highlight w:val="none"/>
        </w:rPr>
        <w:t>十二、违约责任</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1.按《</w:t>
      </w:r>
      <w:r>
        <w:rPr>
          <w:rFonts w:hint="eastAsia" w:ascii="宋体" w:hAnsi="宋体" w:cs="宋体"/>
          <w:sz w:val="24"/>
          <w:szCs w:val="24"/>
          <w:highlight w:val="none"/>
        </w:rPr>
        <w:t>中华人民共和国民法典</w:t>
      </w:r>
      <w:r>
        <w:rPr>
          <w:rFonts w:hint="eastAsia" w:ascii="宋体" w:hAnsi="宋体" w:eastAsia="宋体" w:cs="宋体"/>
          <w:sz w:val="24"/>
          <w:szCs w:val="24"/>
          <w:highlight w:val="none"/>
        </w:rPr>
        <w:t>》中的相关条款执行。</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2.未按合同要求提供服务或服务质量不能满足合同要求，采购人应当将服务商违约的情况以及拟采取的措施以书面形式报政府采购监管部门，根据政府采购监管部门的处理意见，采购人有权依据《</w:t>
      </w:r>
      <w:r>
        <w:rPr>
          <w:rFonts w:hint="eastAsia" w:ascii="宋体" w:hAnsi="宋体" w:cs="宋体"/>
          <w:sz w:val="24"/>
          <w:szCs w:val="24"/>
          <w:highlight w:val="none"/>
        </w:rPr>
        <w:t>中华人民共和国民法典</w:t>
      </w:r>
      <w:r>
        <w:rPr>
          <w:rFonts w:hint="eastAsia" w:ascii="宋体" w:hAnsi="宋体" w:eastAsia="宋体" w:cs="宋体"/>
          <w:sz w:val="24"/>
          <w:szCs w:val="24"/>
          <w:highlight w:val="none"/>
        </w:rPr>
        <w:t>》有关条款及合同约定终止合同，并要求服务商承担违约责任。同时，政府采购监管部门有权依据《</w:t>
      </w:r>
      <w:r>
        <w:rPr>
          <w:rFonts w:hint="eastAsia" w:ascii="宋体" w:hAnsi="宋体" w:cs="宋体"/>
          <w:sz w:val="24"/>
          <w:szCs w:val="24"/>
          <w:highlight w:val="none"/>
        </w:rPr>
        <w:t>中华人民共和国</w:t>
      </w:r>
      <w:r>
        <w:rPr>
          <w:rFonts w:hint="eastAsia" w:ascii="宋体" w:hAnsi="宋体" w:eastAsia="宋体" w:cs="宋体"/>
          <w:sz w:val="24"/>
          <w:szCs w:val="24"/>
          <w:highlight w:val="none"/>
        </w:rPr>
        <w:t>政府采购法》及相关法律法规对服务商的违法行为进行相应的处罚。</w:t>
      </w:r>
    </w:p>
    <w:p>
      <w:pPr>
        <w:widowControl w:val="0"/>
        <w:autoSpaceDE/>
        <w:autoSpaceDN/>
        <w:spacing w:line="470" w:lineRule="exact"/>
        <w:textAlignment w:val="auto"/>
        <w:rPr>
          <w:rFonts w:hint="default" w:ascii="宋体" w:hAnsi="宋体" w:eastAsia="宋体" w:cs="宋体"/>
          <w:b/>
          <w:sz w:val="24"/>
          <w:szCs w:val="24"/>
          <w:highlight w:val="none"/>
          <w:lang w:val="en-US" w:eastAsia="zh-CN"/>
        </w:rPr>
      </w:pPr>
      <w:r>
        <w:rPr>
          <w:rFonts w:hint="eastAsia" w:ascii="宋体" w:hAnsi="宋体" w:cs="宋体"/>
          <w:b/>
          <w:sz w:val="24"/>
          <w:szCs w:val="24"/>
          <w:highlight w:val="none"/>
        </w:rPr>
        <w:t>十三、</w:t>
      </w:r>
      <w:r>
        <w:rPr>
          <w:rFonts w:hint="eastAsia" w:ascii="宋体" w:hAnsi="宋体" w:eastAsia="宋体" w:cs="宋体"/>
          <w:b/>
          <w:sz w:val="24"/>
          <w:szCs w:val="24"/>
          <w:highlight w:val="none"/>
          <w:lang w:val="en-US" w:eastAsia="zh-CN"/>
        </w:rPr>
        <w:t>保密</w:t>
      </w:r>
    </w:p>
    <w:p>
      <w:pPr>
        <w:keepNext w:val="0"/>
        <w:keepLines w:val="0"/>
        <w:pageBreakBefore w:val="0"/>
        <w:widowControl w:val="0"/>
        <w:tabs>
          <w:tab w:val="left" w:pos="1080"/>
        </w:tabs>
        <w:wordWrap/>
        <w:overflowPunct/>
        <w:topLinePunct w:val="0"/>
        <w:autoSpaceDE/>
        <w:autoSpaceDN/>
        <w:bidi w:val="0"/>
        <w:spacing w:line="470" w:lineRule="exact"/>
        <w:ind w:left="0" w:leftChars="0" w:right="0" w:rightChars="0" w:firstLine="360" w:firstLineChars="150"/>
        <w:textAlignment w:val="auto"/>
        <w:outlineLvl w:val="9"/>
        <w:rPr>
          <w:rFonts w:hint="default" w:ascii="宋体" w:hAnsi="宋体" w:eastAsia="宋体" w:cs="宋体"/>
          <w:b/>
          <w:sz w:val="24"/>
          <w:szCs w:val="24"/>
          <w:highlight w:val="none"/>
          <w:lang w:val="en-US" w:eastAsia="zh-CN"/>
        </w:rPr>
      </w:pPr>
      <w:r>
        <w:rPr>
          <w:rFonts w:hint="eastAsia" w:ascii="宋体" w:hAnsi="宋体" w:cs="宋体"/>
          <w:sz w:val="24"/>
          <w:szCs w:val="24"/>
          <w:highlight w:val="none"/>
        </w:rPr>
        <w:t xml:space="preserve"> </w:t>
      </w:r>
      <w:r>
        <w:rPr>
          <w:rFonts w:hint="eastAsia" w:ascii="宋体" w:hAnsi="宋体" w:eastAsia="宋体" w:cs="宋体"/>
          <w:sz w:val="24"/>
          <w:szCs w:val="24"/>
          <w:highlight w:val="none"/>
        </w:rPr>
        <w:t>除甲乙双方另有约定外，保密义务是指在未经对方书面同意前，一方不得将保密信息用于任何与履行本合同无关的情况；或以任何形式向任何第三方泄漏。双方均有义务尽其一切努力防止任何第三方窃取秘密信息</w:t>
      </w:r>
      <w:r>
        <w:rPr>
          <w:rFonts w:hint="eastAsia" w:ascii="宋体" w:hAnsi="宋体" w:eastAsia="宋体" w:cs="宋体"/>
          <w:sz w:val="24"/>
          <w:szCs w:val="24"/>
          <w:highlight w:val="none"/>
          <w:lang w:eastAsia="zh-CN"/>
        </w:rPr>
        <w:t>，乙方的保密义务不因本合同终止而免除</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由于任何一方违反以上保密义务给对方造成损失，违约方对受损失方负有停止侵害、消除影响、赔偿损失的责任。</w:t>
      </w:r>
      <w:r>
        <w:rPr>
          <w:rFonts w:hint="eastAsia" w:ascii="宋体" w:hAnsi="宋体" w:eastAsia="宋体" w:cs="宋体"/>
          <w:sz w:val="24"/>
          <w:szCs w:val="24"/>
          <w:highlight w:val="none"/>
          <w:lang w:val="en-US" w:eastAsia="zh-CN"/>
        </w:rPr>
        <w:t>签订采购合同时双方签订保密协议。</w:t>
      </w:r>
    </w:p>
    <w:p>
      <w:pPr>
        <w:widowControl w:val="0"/>
        <w:autoSpaceDE/>
        <w:autoSpaceDN/>
        <w:spacing w:line="470" w:lineRule="exact"/>
        <w:textAlignment w:val="auto"/>
        <w:rPr>
          <w:rFonts w:ascii="宋体" w:hAnsi="宋体" w:cs="宋体"/>
          <w:b/>
          <w:bCs/>
          <w:sz w:val="24"/>
          <w:szCs w:val="24"/>
          <w:highlight w:val="none"/>
        </w:rPr>
      </w:pPr>
      <w:r>
        <w:rPr>
          <w:rFonts w:hint="eastAsia" w:ascii="宋体" w:hAnsi="宋体" w:eastAsia="宋体" w:cs="宋体"/>
          <w:b/>
          <w:sz w:val="24"/>
          <w:szCs w:val="24"/>
          <w:highlight w:val="none"/>
          <w:lang w:val="en-US" w:eastAsia="zh-CN"/>
        </w:rPr>
        <w:t>十四、</w:t>
      </w:r>
      <w:r>
        <w:rPr>
          <w:rFonts w:hint="eastAsia" w:ascii="宋体" w:hAnsi="宋体" w:cs="宋体"/>
          <w:b/>
          <w:bCs/>
          <w:sz w:val="24"/>
          <w:szCs w:val="24"/>
          <w:highlight w:val="none"/>
        </w:rPr>
        <w:t>不可抗力情况下的免责约定</w:t>
      </w:r>
    </w:p>
    <w:p>
      <w:pPr>
        <w:widowControl w:val="0"/>
        <w:autoSpaceDE/>
        <w:autoSpaceDN/>
        <w:spacing w:line="470" w:lineRule="exact"/>
        <w:textAlignment w:val="auto"/>
        <w:rPr>
          <w:rFonts w:ascii="宋体" w:hAnsi="宋体" w:cs="宋体"/>
          <w:sz w:val="24"/>
          <w:szCs w:val="24"/>
          <w:highlight w:val="none"/>
        </w:rPr>
      </w:pPr>
      <w:r>
        <w:rPr>
          <w:rFonts w:hint="eastAsia" w:ascii="宋体" w:hAnsi="宋体" w:cs="宋体"/>
          <w:sz w:val="24"/>
          <w:szCs w:val="24"/>
          <w:highlight w:val="none"/>
        </w:rPr>
        <w:t xml:space="preserve">    双方约定不可抗力情况指：双方不可预见、不可避免、不可克服的客观情况，但不包括双方的违约或疏忽。这些事件包括但不限于：战争、严重火灾、50年一遇洪水、6级以上地震等。</w:t>
      </w:r>
    </w:p>
    <w:p>
      <w:pPr>
        <w:widowControl w:val="0"/>
        <w:autoSpaceDE/>
        <w:autoSpaceDN/>
        <w:spacing w:line="470" w:lineRule="exact"/>
        <w:textAlignment w:val="auto"/>
        <w:rPr>
          <w:rFonts w:ascii="宋体" w:hAnsi="宋体" w:cs="宋体"/>
          <w:b/>
          <w:sz w:val="24"/>
          <w:szCs w:val="24"/>
          <w:highlight w:val="none"/>
        </w:rPr>
      </w:pPr>
      <w:r>
        <w:rPr>
          <w:rFonts w:hint="eastAsia" w:ascii="宋体" w:hAnsi="宋体" w:cs="宋体"/>
          <w:b/>
          <w:sz w:val="24"/>
          <w:szCs w:val="24"/>
          <w:highlight w:val="none"/>
        </w:rPr>
        <w:t>十</w:t>
      </w:r>
      <w:r>
        <w:rPr>
          <w:rFonts w:hint="eastAsia" w:ascii="宋体" w:hAnsi="宋体" w:eastAsia="宋体" w:cs="宋体"/>
          <w:b/>
          <w:sz w:val="24"/>
          <w:szCs w:val="24"/>
          <w:highlight w:val="none"/>
          <w:lang w:val="en-US" w:eastAsia="zh-CN"/>
        </w:rPr>
        <w:t>五</w:t>
      </w:r>
      <w:r>
        <w:rPr>
          <w:rFonts w:hint="eastAsia" w:ascii="宋体" w:hAnsi="宋体" w:cs="宋体"/>
          <w:b/>
          <w:sz w:val="24"/>
          <w:szCs w:val="24"/>
          <w:highlight w:val="none"/>
        </w:rPr>
        <w:t>、合同争议的解决</w:t>
      </w:r>
    </w:p>
    <w:p>
      <w:pPr>
        <w:widowControl w:val="0"/>
        <w:autoSpaceDE/>
        <w:autoSpaceDN/>
        <w:spacing w:line="47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合同执行中发生争议的，当事人双方应协商解决。协商达不成一致时，双方均可提请</w:t>
      </w:r>
      <w:r>
        <w:rPr>
          <w:rFonts w:hint="eastAsia" w:ascii="宋体" w:hAnsi="宋体" w:cs="宋体"/>
          <w:sz w:val="24"/>
          <w:szCs w:val="24"/>
          <w:highlight w:val="none"/>
          <w:lang w:val="en-US" w:eastAsia="zh-CN"/>
        </w:rPr>
        <w:t>项目所在地</w:t>
      </w:r>
      <w:r>
        <w:rPr>
          <w:rFonts w:hint="eastAsia" w:ascii="宋体" w:hAnsi="宋体" w:cs="宋体"/>
          <w:sz w:val="24"/>
          <w:szCs w:val="24"/>
          <w:highlight w:val="none"/>
        </w:rPr>
        <w:t>仲裁委员会按照该会仲裁规则进行仲裁</w:t>
      </w:r>
      <w:r>
        <w:rPr>
          <w:rFonts w:hint="eastAsia" w:ascii="宋体" w:hAnsi="宋体" w:eastAsia="宋体" w:cs="宋体"/>
          <w:sz w:val="24"/>
          <w:szCs w:val="24"/>
          <w:highlight w:val="none"/>
          <w:lang w:val="en-US" w:eastAsia="zh-CN"/>
        </w:rPr>
        <w:t>或</w:t>
      </w:r>
      <w:r>
        <w:rPr>
          <w:rFonts w:hint="eastAsia" w:ascii="宋体" w:hAnsi="宋体" w:cs="宋体"/>
          <w:sz w:val="24"/>
          <w:szCs w:val="24"/>
          <w:highlight w:val="none"/>
        </w:rPr>
        <w:t>项目所在地人民法院诉讼解决。</w:t>
      </w:r>
    </w:p>
    <w:p>
      <w:pPr>
        <w:spacing w:before="156" w:beforeLines="50"/>
        <w:rPr>
          <w:rFonts w:ascii="宋体" w:hAnsi="宋体" w:cs="宋体"/>
          <w:b/>
          <w:sz w:val="24"/>
          <w:szCs w:val="24"/>
          <w:highlight w:val="none"/>
        </w:rPr>
      </w:pPr>
      <w:r>
        <w:rPr>
          <w:rFonts w:hint="eastAsia" w:ascii="宋体" w:hAnsi="宋体" w:cs="宋体"/>
          <w:b/>
          <w:sz w:val="24"/>
          <w:szCs w:val="24"/>
          <w:highlight w:val="none"/>
        </w:rPr>
        <w:t>十</w:t>
      </w:r>
      <w:r>
        <w:rPr>
          <w:rFonts w:hint="eastAsia" w:ascii="宋体" w:hAnsi="宋体" w:eastAsia="宋体" w:cs="宋体"/>
          <w:b/>
          <w:sz w:val="24"/>
          <w:szCs w:val="24"/>
          <w:highlight w:val="none"/>
          <w:lang w:val="en-US" w:eastAsia="zh-CN"/>
        </w:rPr>
        <w:t>六</w:t>
      </w:r>
      <w:r>
        <w:rPr>
          <w:rFonts w:hint="eastAsia" w:ascii="宋体" w:hAnsi="宋体" w:cs="宋体"/>
          <w:b/>
          <w:sz w:val="24"/>
          <w:szCs w:val="24"/>
          <w:highlight w:val="none"/>
        </w:rPr>
        <w:t>、合同生效及其他</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1.本合同自签订之日起生效。</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rPr>
        <w:t>订立时间：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rPr>
        <w:t>订立地点：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rPr>
        <w:t>本合同一式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份，具有同等法律效力，双方各执</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份。各方签字盖章后生效。</w:t>
      </w:r>
    </w:p>
    <w:p>
      <w:pPr>
        <w:widowControl w:val="0"/>
        <w:autoSpaceDE/>
        <w:autoSpaceDN/>
        <w:spacing w:line="470" w:lineRule="exact"/>
        <w:ind w:firstLine="475" w:firstLineChars="198"/>
        <w:textAlignment w:val="auto"/>
        <w:rPr>
          <w:rFonts w:ascii="宋体" w:hAnsi="宋体" w:eastAsia="宋体" w:cs="宋体"/>
          <w:sz w:val="24"/>
          <w:szCs w:val="24"/>
          <w:highlight w:val="none"/>
        </w:rPr>
      </w:pPr>
      <w:r>
        <w:rPr>
          <w:rFonts w:hint="eastAsia" w:ascii="宋体" w:hAnsi="宋体" w:eastAsia="宋体" w:cs="宋体"/>
          <w:sz w:val="24"/>
          <w:szCs w:val="24"/>
          <w:highlight w:val="none"/>
        </w:rPr>
        <w:t>5.如本合同有未尽事宜，以招标文件为准，招标文件未做要求的，由双方依法订立补充合同。</w:t>
      </w:r>
    </w:p>
    <w:p>
      <w:pPr>
        <w:widowControl w:val="0"/>
        <w:tabs>
          <w:tab w:val="left" w:pos="980"/>
        </w:tabs>
        <w:autoSpaceDE/>
        <w:autoSpaceDN/>
        <w:spacing w:line="470" w:lineRule="exact"/>
        <w:ind w:firstLine="480" w:firstLineChars="200"/>
        <w:textAlignment w:val="auto"/>
        <w:rPr>
          <w:rFonts w:ascii="宋体" w:hAnsi="宋体" w:cs="宋体"/>
          <w:sz w:val="24"/>
          <w:szCs w:val="24"/>
          <w:highlight w:val="none"/>
        </w:rPr>
      </w:pP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甲方：</w:t>
      </w:r>
      <w:r>
        <w:rPr>
          <w:rFonts w:hint="eastAsia" w:ascii="宋体" w:hAnsi="宋体" w:cs="宋体"/>
          <w:sz w:val="24"/>
          <w:szCs w:val="24"/>
          <w:highlight w:val="none"/>
          <w:u w:val="single"/>
        </w:rPr>
        <w:t xml:space="preserve">   （盖章）      </w:t>
      </w:r>
      <w:r>
        <w:rPr>
          <w:rFonts w:hint="eastAsia" w:ascii="宋体" w:hAnsi="宋体" w:cs="宋体"/>
          <w:sz w:val="24"/>
          <w:szCs w:val="24"/>
          <w:highlight w:val="none"/>
        </w:rPr>
        <w:t xml:space="preserve">              乙方：</w:t>
      </w:r>
      <w:r>
        <w:rPr>
          <w:rFonts w:hint="eastAsia" w:ascii="宋体" w:hAnsi="宋体" w:cs="宋体"/>
          <w:sz w:val="24"/>
          <w:szCs w:val="24"/>
          <w:highlight w:val="none"/>
          <w:u w:val="single"/>
        </w:rPr>
        <w:t xml:space="preserve">   （盖章）         </w:t>
      </w:r>
    </w:p>
    <w:p>
      <w:pPr>
        <w:widowControl w:val="0"/>
        <w:autoSpaceDE/>
        <w:autoSpaceDN/>
        <w:spacing w:line="470" w:lineRule="exact"/>
        <w:ind w:firstLine="475" w:firstLineChars="198"/>
        <w:textAlignment w:val="auto"/>
        <w:rPr>
          <w:rFonts w:ascii="宋体" w:hAnsi="宋体" w:cs="宋体"/>
          <w:sz w:val="24"/>
          <w:szCs w:val="24"/>
          <w:highlight w:val="none"/>
          <w:u w:val="single"/>
        </w:rPr>
      </w:pPr>
      <w:r>
        <w:rPr>
          <w:rFonts w:hint="eastAsia" w:ascii="宋体" w:hAnsi="宋体" w:cs="宋体"/>
          <w:sz w:val="24"/>
          <w:szCs w:val="24"/>
          <w:highlight w:val="none"/>
        </w:rPr>
        <w:t xml:space="preserve">地 址：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地  址：</w:t>
      </w:r>
      <w:r>
        <w:rPr>
          <w:rFonts w:hint="eastAsia" w:ascii="宋体" w:hAnsi="宋体" w:cs="宋体"/>
          <w:sz w:val="24"/>
          <w:szCs w:val="24"/>
          <w:highlight w:val="none"/>
          <w:u w:val="single"/>
        </w:rPr>
        <w:t xml:space="preserve">                    </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法定代表人或其授权                   法定代表人或其授权</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的代理人：</w:t>
      </w:r>
      <w:r>
        <w:rPr>
          <w:rFonts w:hint="eastAsia" w:ascii="宋体" w:hAnsi="宋体" w:cs="宋体"/>
          <w:sz w:val="24"/>
          <w:szCs w:val="24"/>
          <w:highlight w:val="none"/>
          <w:u w:val="single"/>
        </w:rPr>
        <w:t xml:space="preserve">（签字）      </w:t>
      </w:r>
      <w:r>
        <w:rPr>
          <w:rFonts w:hint="eastAsia" w:ascii="宋体" w:hAnsi="宋体" w:cs="宋体"/>
          <w:sz w:val="24"/>
          <w:szCs w:val="24"/>
          <w:highlight w:val="none"/>
        </w:rPr>
        <w:t xml:space="preserve">             的代理人：</w:t>
      </w:r>
      <w:r>
        <w:rPr>
          <w:rFonts w:hint="eastAsia" w:ascii="宋体" w:hAnsi="宋体" w:cs="宋体"/>
          <w:sz w:val="24"/>
          <w:szCs w:val="24"/>
          <w:highlight w:val="none"/>
          <w:u w:val="single"/>
        </w:rPr>
        <w:t xml:space="preserve">（签字）          </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开户银行：</w:t>
      </w:r>
      <w:r>
        <w:rPr>
          <w:rFonts w:hint="eastAsia" w:ascii="宋体" w:hAnsi="宋体" w:cs="宋体"/>
          <w:sz w:val="24"/>
          <w:szCs w:val="24"/>
          <w:highlight w:val="none"/>
          <w:u w:val="single"/>
        </w:rPr>
        <w:t xml:space="preserve">                  </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账号：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账号：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widowControl w:val="0"/>
        <w:autoSpaceDE/>
        <w:autoSpaceDN/>
        <w:spacing w:line="470" w:lineRule="exact"/>
        <w:ind w:firstLine="475" w:firstLineChars="198"/>
        <w:textAlignment w:val="auto"/>
        <w:rPr>
          <w:rFonts w:ascii="宋体" w:hAnsi="宋体" w:cs="宋体"/>
          <w:sz w:val="24"/>
          <w:szCs w:val="24"/>
          <w:highlight w:val="none"/>
        </w:rPr>
      </w:pPr>
      <w:r>
        <w:rPr>
          <w:rFonts w:hint="eastAsia" w:ascii="宋体" w:hAnsi="宋体" w:cs="宋体"/>
          <w:sz w:val="24"/>
          <w:szCs w:val="24"/>
          <w:highlight w:val="none"/>
        </w:rPr>
        <w:t>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电话：</w:t>
      </w:r>
      <w:r>
        <w:rPr>
          <w:rFonts w:hint="eastAsia" w:ascii="宋体" w:hAnsi="宋体" w:cs="宋体"/>
          <w:sz w:val="24"/>
          <w:szCs w:val="24"/>
          <w:highlight w:val="none"/>
          <w:u w:val="single"/>
        </w:rPr>
        <w:t xml:space="preserve">                       </w:t>
      </w:r>
    </w:p>
    <w:p>
      <w:pPr>
        <w:widowControl w:val="0"/>
        <w:autoSpaceDE/>
        <w:autoSpaceDN/>
        <w:spacing w:line="470" w:lineRule="exact"/>
        <w:ind w:firstLine="475" w:firstLineChars="198"/>
        <w:textAlignment w:val="auto"/>
        <w:rPr>
          <w:rFonts w:ascii="宋体" w:hAnsi="宋体" w:cs="宋体"/>
          <w:b/>
          <w:bCs/>
          <w:sz w:val="24"/>
          <w:szCs w:val="24"/>
          <w:highlight w:val="none"/>
        </w:rPr>
      </w:pPr>
      <w:r>
        <w:rPr>
          <w:rFonts w:hint="eastAsia" w:ascii="宋体" w:hAnsi="宋体" w:cs="宋体"/>
          <w:sz w:val="24"/>
          <w:szCs w:val="24"/>
          <w:highlight w:val="none"/>
        </w:rPr>
        <w:t>电子邮箱：</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电子邮箱：</w:t>
      </w:r>
      <w:r>
        <w:rPr>
          <w:rFonts w:hint="eastAsia" w:ascii="宋体" w:hAnsi="宋体" w:cs="宋体"/>
          <w:sz w:val="24"/>
          <w:szCs w:val="24"/>
          <w:highlight w:val="none"/>
          <w:u w:val="single"/>
        </w:rPr>
        <w:t xml:space="preserve">                  </w:t>
      </w:r>
    </w:p>
    <w:p>
      <w:pPr>
        <w:widowControl w:val="0"/>
        <w:autoSpaceDE/>
        <w:autoSpaceDN/>
        <w:spacing w:line="470" w:lineRule="exact"/>
        <w:ind w:firstLine="480" w:firstLineChars="200"/>
        <w:textAlignment w:val="auto"/>
        <w:rPr>
          <w:rFonts w:ascii="宋体" w:hAnsi="宋体" w:cs="宋体"/>
          <w:b/>
          <w:bCs/>
          <w:sz w:val="24"/>
          <w:szCs w:val="24"/>
          <w:highlight w:val="none"/>
        </w:rPr>
      </w:pPr>
    </w:p>
    <w:p>
      <w:pPr>
        <w:widowControl w:val="0"/>
        <w:autoSpaceDE/>
        <w:autoSpaceDN/>
        <w:spacing w:line="470" w:lineRule="exact"/>
        <w:ind w:firstLine="480" w:firstLineChars="200"/>
        <w:textAlignment w:val="auto"/>
        <w:rPr>
          <w:rFonts w:ascii="宋体" w:hAnsi="宋体" w:cs="宋体"/>
          <w:b/>
          <w:bCs/>
          <w:sz w:val="24"/>
          <w:szCs w:val="24"/>
          <w:highlight w:val="none"/>
        </w:rPr>
      </w:pPr>
      <w:r>
        <w:rPr>
          <w:rFonts w:hint="eastAsia" w:ascii="宋体" w:hAnsi="宋体" w:cs="宋体"/>
          <w:b/>
          <w:bCs/>
          <w:sz w:val="24"/>
          <w:szCs w:val="24"/>
          <w:highlight w:val="none"/>
        </w:rPr>
        <w:t>说明：最终合同效力以双方实际签署为准，对此处合同文本理解不一致的，以甲方解释为准。</w:t>
      </w:r>
    </w:p>
    <w:p>
      <w:pPr>
        <w:rPr>
          <w:rFonts w:ascii="宋体" w:hAnsi="宋体" w:eastAsia="宋体" w:cs="宋体"/>
          <w:highlight w:val="none"/>
        </w:rPr>
      </w:pPr>
    </w:p>
    <w:p>
      <w:pPr>
        <w:spacing w:line="360" w:lineRule="auto"/>
        <w:jc w:val="center"/>
        <w:rPr>
          <w:rFonts w:ascii="宋体" w:hAnsi="宋体" w:eastAsia="宋体" w:cs="宋体"/>
          <w:highlight w:val="none"/>
        </w:rPr>
      </w:pPr>
      <w:r>
        <w:rPr>
          <w:rFonts w:hint="eastAsia" w:ascii="宋体" w:hAnsi="宋体" w:eastAsia="宋体" w:cs="宋体"/>
          <w:spacing w:val="9"/>
          <w:sz w:val="28"/>
          <w:szCs w:val="28"/>
          <w:highlight w:val="none"/>
          <w14:textOutline w14:w="5448" w14:cap="sq" w14:cmpd="sng" w14:algn="ctr">
            <w14:solidFill>
              <w14:srgbClr w14:val="000000"/>
            </w14:solidFill>
            <w14:prstDash w14:val="solid"/>
            <w14:bevel/>
          </w14:textOutline>
        </w:rPr>
        <w:t>第六</w:t>
      </w:r>
      <w:r>
        <w:rPr>
          <w:rFonts w:hint="eastAsia" w:ascii="宋体" w:hAnsi="宋体" w:eastAsia="宋体" w:cs="宋体"/>
          <w:spacing w:val="8"/>
          <w:sz w:val="28"/>
          <w:szCs w:val="28"/>
          <w:highlight w:val="none"/>
          <w14:textOutline w14:w="5448" w14:cap="sq" w14:cmpd="sng" w14:algn="ctr">
            <w14:solidFill>
              <w14:srgbClr w14:val="000000"/>
            </w14:solidFill>
            <w14:prstDash w14:val="solid"/>
            <w14:bevel/>
          </w14:textOutline>
        </w:rPr>
        <w:t>部分 投标文件格式</w:t>
      </w:r>
    </w:p>
    <w:p>
      <w:pPr>
        <w:spacing w:line="360" w:lineRule="auto"/>
        <w:rPr>
          <w:rFonts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采购项目编号：</w:t>
      </w:r>
      <w:r>
        <w:rPr>
          <w:rFonts w:hint="eastAsia" w:ascii="宋体" w:hAnsi="宋体" w:eastAsia="宋体" w:cs="宋体"/>
          <w:b/>
          <w:bCs/>
          <w:color w:val="auto"/>
          <w:sz w:val="28"/>
          <w:szCs w:val="28"/>
          <w:highlight w:val="none"/>
          <w:lang w:val="zh-CN"/>
        </w:rPr>
        <w:t>HTXMZB2022-0</w:t>
      </w:r>
      <w:r>
        <w:rPr>
          <w:rFonts w:hint="eastAsia" w:ascii="宋体" w:hAnsi="宋体" w:eastAsia="宋体" w:cs="宋体"/>
          <w:b/>
          <w:bCs/>
          <w:color w:val="auto"/>
          <w:sz w:val="28"/>
          <w:szCs w:val="28"/>
          <w:highlight w:val="none"/>
        </w:rPr>
        <w:t>49</w:t>
      </w:r>
    </w:p>
    <w:p>
      <w:pPr>
        <w:spacing w:line="360" w:lineRule="auto"/>
        <w:jc w:val="center"/>
        <w:rPr>
          <w:rFonts w:ascii="宋体" w:hAnsi="宋体" w:eastAsia="宋体" w:cs="宋体"/>
          <w:b/>
          <w:bCs/>
          <w:sz w:val="48"/>
          <w:szCs w:val="48"/>
          <w:highlight w:val="none"/>
        </w:rPr>
      </w:pPr>
    </w:p>
    <w:p>
      <w:pPr>
        <w:spacing w:line="360" w:lineRule="auto"/>
        <w:jc w:val="center"/>
        <w:rPr>
          <w:b/>
          <w:bCs/>
          <w:color w:val="auto"/>
          <w:sz w:val="44"/>
          <w:szCs w:val="44"/>
          <w:highlight w:val="none"/>
        </w:rPr>
      </w:pPr>
      <w:r>
        <w:rPr>
          <w:rFonts w:hint="eastAsia" w:ascii="宋体" w:hAnsi="宋体" w:eastAsia="宋体" w:cs="宋体"/>
          <w:b/>
          <w:bCs/>
          <w:sz w:val="48"/>
          <w:szCs w:val="48"/>
          <w:highlight w:val="none"/>
        </w:rPr>
        <w:t>汉中市国资在线监管系统建设（一期）</w:t>
      </w:r>
    </w:p>
    <w:p>
      <w:pPr>
        <w:pStyle w:val="2"/>
        <w:rPr>
          <w:rFonts w:ascii="宋体" w:hAnsi="宋体" w:cs="宋体"/>
          <w:color w:val="auto"/>
          <w:highlight w:val="none"/>
        </w:rPr>
      </w:pPr>
    </w:p>
    <w:p>
      <w:pPr>
        <w:rPr>
          <w:color w:val="auto"/>
          <w:highlight w:val="none"/>
        </w:rPr>
      </w:pPr>
    </w:p>
    <w:p>
      <w:pPr>
        <w:pStyle w:val="2"/>
        <w:rPr>
          <w:color w:val="auto"/>
          <w:highlight w:val="none"/>
        </w:rPr>
      </w:pPr>
    </w:p>
    <w:p>
      <w:pPr>
        <w:rPr>
          <w:color w:val="auto"/>
          <w:highlight w:val="none"/>
        </w:rPr>
      </w:pPr>
    </w:p>
    <w:p>
      <w:pPr>
        <w:pStyle w:val="2"/>
        <w:rPr>
          <w:highlight w:val="none"/>
        </w:rPr>
      </w:pPr>
    </w:p>
    <w:p>
      <w:pPr>
        <w:rPr>
          <w:highlight w:val="none"/>
        </w:rPr>
      </w:pPr>
    </w:p>
    <w:p>
      <w:pPr>
        <w:rPr>
          <w:highlight w:val="none"/>
        </w:rPr>
      </w:pPr>
    </w:p>
    <w:p>
      <w:pPr>
        <w:rPr>
          <w:color w:val="auto"/>
          <w:highlight w:val="none"/>
        </w:rPr>
      </w:pPr>
    </w:p>
    <w:p>
      <w:pPr>
        <w:rPr>
          <w:rFonts w:ascii="宋体" w:hAnsi="宋体" w:cs="宋体"/>
          <w:color w:val="auto"/>
          <w:highlight w:val="none"/>
        </w:rPr>
      </w:pPr>
    </w:p>
    <w:p>
      <w:pPr>
        <w:pStyle w:val="2"/>
        <w:rPr>
          <w:color w:val="auto"/>
          <w:highlight w:val="none"/>
        </w:rPr>
      </w:pPr>
    </w:p>
    <w:p>
      <w:pPr>
        <w:jc w:val="center"/>
        <w:rPr>
          <w:rFonts w:ascii="宋体" w:hAnsi="宋体" w:cs="宋体"/>
          <w:color w:val="auto"/>
          <w:sz w:val="84"/>
          <w:szCs w:val="84"/>
          <w:highlight w:val="none"/>
        </w:rPr>
      </w:pPr>
      <w:r>
        <w:rPr>
          <w:rFonts w:hint="eastAsia" w:ascii="宋体" w:hAnsi="宋体" w:cs="宋体"/>
          <w:b/>
          <w:bCs/>
          <w:color w:val="auto"/>
          <w:sz w:val="84"/>
          <w:szCs w:val="84"/>
          <w:highlight w:val="none"/>
        </w:rPr>
        <w:t>投 标 文 件</w:t>
      </w:r>
    </w:p>
    <w:p>
      <w:pPr>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（正/副本）</w:t>
      </w:r>
    </w:p>
    <w:p>
      <w:pPr>
        <w:pStyle w:val="6"/>
        <w:spacing w:before="156" w:beforeLines="50"/>
        <w:ind w:firstLine="1625" w:firstLineChars="580"/>
        <w:rPr>
          <w:rFonts w:ascii="宋体" w:hAnsi="宋体" w:cs="宋体"/>
          <w:b/>
          <w:color w:val="auto"/>
          <w:sz w:val="28"/>
          <w:szCs w:val="28"/>
          <w:highlight w:val="none"/>
        </w:rPr>
      </w:pPr>
    </w:p>
    <w:p>
      <w:pPr>
        <w:pStyle w:val="6"/>
        <w:spacing w:before="156" w:beforeLines="50"/>
        <w:ind w:firstLine="1625" w:firstLineChars="580"/>
        <w:rPr>
          <w:rFonts w:ascii="宋体" w:hAnsi="宋体" w:cs="宋体"/>
          <w:b/>
          <w:color w:val="auto"/>
          <w:sz w:val="28"/>
          <w:szCs w:val="28"/>
          <w:highlight w:val="none"/>
        </w:rPr>
      </w:pPr>
    </w:p>
    <w:p>
      <w:pPr>
        <w:pStyle w:val="6"/>
        <w:spacing w:before="156" w:beforeLines="50"/>
        <w:ind w:firstLine="1625" w:firstLineChars="580"/>
        <w:rPr>
          <w:rFonts w:ascii="宋体" w:hAnsi="宋体" w:cs="宋体"/>
          <w:b/>
          <w:color w:val="auto"/>
          <w:sz w:val="28"/>
          <w:szCs w:val="28"/>
          <w:highlight w:val="none"/>
        </w:rPr>
      </w:pPr>
    </w:p>
    <w:p>
      <w:pPr>
        <w:pStyle w:val="6"/>
        <w:spacing w:before="156" w:beforeLines="50"/>
        <w:ind w:firstLine="1625" w:firstLineChars="580"/>
        <w:rPr>
          <w:rFonts w:ascii="宋体" w:hAnsi="宋体" w:cs="宋体"/>
          <w:b/>
          <w:color w:val="auto"/>
          <w:sz w:val="28"/>
          <w:szCs w:val="28"/>
          <w:highlight w:val="none"/>
        </w:rPr>
      </w:pPr>
    </w:p>
    <w:p>
      <w:pPr>
        <w:pStyle w:val="6"/>
        <w:spacing w:before="156" w:beforeLines="50"/>
        <w:ind w:firstLine="1625" w:firstLineChars="580"/>
        <w:rPr>
          <w:rFonts w:ascii="宋体" w:hAnsi="宋体" w:cs="宋体"/>
          <w:b/>
          <w:color w:val="auto"/>
          <w:sz w:val="28"/>
          <w:szCs w:val="28"/>
          <w:highlight w:val="none"/>
        </w:rPr>
      </w:pPr>
    </w:p>
    <w:p>
      <w:pPr>
        <w:pStyle w:val="6"/>
        <w:spacing w:before="156" w:beforeLines="50"/>
        <w:ind w:firstLine="1625" w:firstLineChars="580"/>
        <w:rPr>
          <w:rFonts w:ascii="宋体" w:hAnsi="宋体" w:cs="宋体"/>
          <w:b/>
          <w:color w:val="auto"/>
          <w:sz w:val="28"/>
          <w:szCs w:val="28"/>
          <w:highlight w:val="none"/>
        </w:rPr>
      </w:pPr>
    </w:p>
    <w:p>
      <w:pPr>
        <w:pStyle w:val="6"/>
        <w:spacing w:before="156" w:beforeLines="50"/>
        <w:ind w:firstLine="1625" w:firstLineChars="580"/>
        <w:rPr>
          <w:rFonts w:ascii="宋体" w:hAnsi="宋体" w:cs="宋体"/>
          <w:b/>
          <w:color w:val="auto"/>
          <w:sz w:val="28"/>
          <w:szCs w:val="28"/>
          <w:highlight w:val="none"/>
        </w:rPr>
      </w:pPr>
    </w:p>
    <w:p>
      <w:pPr>
        <w:pStyle w:val="6"/>
        <w:spacing w:before="156" w:beforeLines="50"/>
        <w:ind w:firstLine="1625" w:firstLineChars="580"/>
        <w:rPr>
          <w:rFonts w:ascii="宋体" w:hAnsi="宋体" w:cs="宋体"/>
          <w:b/>
          <w:color w:val="auto"/>
          <w:sz w:val="28"/>
          <w:szCs w:val="28"/>
          <w:highlight w:val="none"/>
        </w:rPr>
      </w:pPr>
    </w:p>
    <w:p>
      <w:pPr>
        <w:pStyle w:val="6"/>
        <w:spacing w:before="156" w:beforeLines="50" w:line="360" w:lineRule="auto"/>
        <w:ind w:firstLine="843" w:firstLineChars="3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（单位盖章）</w:t>
      </w:r>
    </w:p>
    <w:p>
      <w:pPr>
        <w:pStyle w:val="6"/>
        <w:spacing w:before="156" w:beforeLines="50" w:line="360" w:lineRule="auto"/>
        <w:ind w:firstLine="843" w:firstLineChars="300"/>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法定代表人或其授权代表：</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（签名或盖章）</w:t>
      </w:r>
    </w:p>
    <w:p>
      <w:pPr>
        <w:pStyle w:val="6"/>
        <w:spacing w:before="156" w:beforeLines="50" w:line="360" w:lineRule="auto"/>
        <w:ind w:firstLine="843" w:firstLineChars="3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     年    月   日</w:t>
      </w:r>
    </w:p>
    <w:p>
      <w:pPr>
        <w:spacing w:line="360" w:lineRule="auto"/>
        <w:rPr>
          <w:rFonts w:ascii="宋体" w:hAnsi="宋体" w:eastAsia="宋体" w:cs="宋体"/>
          <w:highlight w:val="none"/>
        </w:rPr>
      </w:pPr>
    </w:p>
    <w:p>
      <w:pPr>
        <w:jc w:val="center"/>
        <w:rPr>
          <w:rFonts w:ascii="宋体" w:hAnsi="宋体" w:eastAsia="宋体" w:cs="宋体"/>
          <w:spacing w:val="-17"/>
          <w:sz w:val="44"/>
          <w:szCs w:val="44"/>
          <w:highlight w:val="none"/>
          <w14:textOutline w14:w="8712" w14:cap="sq" w14:cmpd="sng" w14:algn="ctr">
            <w14:solidFill>
              <w14:srgbClr w14:val="000000"/>
            </w14:solidFill>
            <w14:prstDash w14:val="solid"/>
            <w14:bevel/>
          </w14:textOutline>
        </w:rPr>
      </w:pPr>
      <w:r>
        <w:rPr>
          <w:rFonts w:ascii="宋体" w:hAnsi="宋体" w:eastAsia="宋体" w:cs="宋体"/>
          <w:spacing w:val="-17"/>
          <w:sz w:val="44"/>
          <w:szCs w:val="44"/>
          <w:highlight w:val="none"/>
          <w14:textOutline w14:w="8712" w14:cap="sq" w14:cmpd="sng" w14:algn="ctr">
            <w14:solidFill>
              <w14:srgbClr w14:val="000000"/>
            </w14:solidFill>
            <w14:prstDash w14:val="solid"/>
            <w14:bevel/>
          </w14:textOutline>
        </w:rPr>
        <w:t>目</w:t>
      </w:r>
      <w:r>
        <w:rPr>
          <w:rFonts w:ascii="宋体" w:hAnsi="宋体" w:eastAsia="宋体" w:cs="宋体"/>
          <w:spacing w:val="-17"/>
          <w:sz w:val="44"/>
          <w:szCs w:val="44"/>
          <w:highlight w:val="none"/>
        </w:rPr>
        <w:t xml:space="preserve">  </w:t>
      </w:r>
      <w:r>
        <w:rPr>
          <w:rFonts w:ascii="宋体" w:hAnsi="宋体" w:eastAsia="宋体" w:cs="宋体"/>
          <w:spacing w:val="-17"/>
          <w:sz w:val="44"/>
          <w:szCs w:val="44"/>
          <w:highlight w:val="none"/>
          <w14:textOutline w14:w="8712" w14:cap="sq" w14:cmpd="sng" w14:algn="ctr">
            <w14:solidFill>
              <w14:srgbClr w14:val="000000"/>
            </w14:solidFill>
            <w14:prstDash w14:val="solid"/>
            <w14:bevel/>
          </w14:textOutline>
        </w:rPr>
        <w:t>录</w:t>
      </w:r>
    </w:p>
    <w:p>
      <w:pPr>
        <w:spacing w:line="7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一、投标函</w:t>
      </w:r>
    </w:p>
    <w:p>
      <w:pPr>
        <w:spacing w:line="7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二、报价一览表</w:t>
      </w:r>
    </w:p>
    <w:p>
      <w:pPr>
        <w:spacing w:line="7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三、商务/技术偏离表</w:t>
      </w:r>
    </w:p>
    <w:p>
      <w:pPr>
        <w:spacing w:line="7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四、法定代表人身份证明书及授权委托书</w:t>
      </w:r>
    </w:p>
    <w:p>
      <w:pPr>
        <w:spacing w:line="7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五、资格证明文件</w:t>
      </w:r>
    </w:p>
    <w:p>
      <w:pPr>
        <w:spacing w:line="7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六、投标保证金缴纳凭证</w:t>
      </w:r>
    </w:p>
    <w:p>
      <w:pPr>
        <w:spacing w:line="7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七、投标方案</w:t>
      </w:r>
    </w:p>
    <w:p>
      <w:pPr>
        <w:spacing w:line="7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八、投标供应商承诺书</w:t>
      </w:r>
    </w:p>
    <w:p>
      <w:pPr>
        <w:spacing w:line="7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九、附件</w:t>
      </w:r>
    </w:p>
    <w:p>
      <w:pPr>
        <w:spacing w:line="7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十、其他资料</w:t>
      </w:r>
    </w:p>
    <w:p>
      <w:pPr>
        <w:spacing w:line="720" w:lineRule="exact"/>
        <w:rPr>
          <w:rFonts w:ascii="宋体" w:hAnsi="宋体" w:eastAsia="宋体" w:cs="宋体"/>
          <w:b/>
          <w:bCs/>
          <w:sz w:val="28"/>
          <w:szCs w:val="28"/>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pStyle w:val="3"/>
        <w:numPr>
          <w:ilvl w:val="0"/>
          <w:numId w:val="0"/>
        </w:numPr>
        <w:rPr>
          <w:rFonts w:ascii="宋体" w:hAnsi="宋体" w:eastAsia="宋体" w:cs="宋体"/>
          <w:b/>
          <w:bCs/>
          <w:color w:val="auto"/>
          <w:highlight w:val="none"/>
        </w:rPr>
      </w:pPr>
      <w:bookmarkStart w:id="214" w:name="_Toc70"/>
      <w:bookmarkStart w:id="215" w:name="_Toc23593"/>
      <w:r>
        <w:rPr>
          <w:rFonts w:hint="eastAsia" w:ascii="宋体" w:hAnsi="宋体" w:eastAsia="宋体" w:cs="宋体"/>
          <w:b/>
          <w:bCs/>
          <w:color w:val="auto"/>
          <w:highlight w:val="none"/>
        </w:rPr>
        <w:t>一、投标</w:t>
      </w:r>
      <w:bookmarkEnd w:id="214"/>
      <w:r>
        <w:rPr>
          <w:rFonts w:hint="eastAsia" w:ascii="宋体" w:hAnsi="宋体" w:eastAsia="宋体" w:cs="宋体"/>
          <w:b/>
          <w:bCs/>
          <w:color w:val="auto"/>
          <w:highlight w:val="none"/>
        </w:rPr>
        <w:t>函</w:t>
      </w:r>
      <w:bookmarkEnd w:id="215"/>
    </w:p>
    <w:p>
      <w:pPr>
        <w:rPr>
          <w:highlight w:val="none"/>
        </w:rPr>
      </w:pPr>
    </w:p>
    <w:tbl>
      <w:tblPr>
        <w:tblStyle w:val="18"/>
        <w:tblW w:w="8816" w:type="dxa"/>
        <w:jc w:val="center"/>
        <w:tblLayout w:type="fixed"/>
        <w:tblCellMar>
          <w:top w:w="0" w:type="dxa"/>
          <w:left w:w="108" w:type="dxa"/>
          <w:bottom w:w="0" w:type="dxa"/>
          <w:right w:w="108" w:type="dxa"/>
        </w:tblCellMar>
      </w:tblPr>
      <w:tblGrid>
        <w:gridCol w:w="779"/>
        <w:gridCol w:w="577"/>
        <w:gridCol w:w="1385"/>
        <w:gridCol w:w="411"/>
        <w:gridCol w:w="1580"/>
        <w:gridCol w:w="381"/>
        <w:gridCol w:w="925"/>
        <w:gridCol w:w="214"/>
        <w:gridCol w:w="2564"/>
      </w:tblGrid>
      <w:tr>
        <w:tblPrEx>
          <w:tblCellMar>
            <w:top w:w="0" w:type="dxa"/>
            <w:left w:w="108" w:type="dxa"/>
            <w:bottom w:w="0" w:type="dxa"/>
            <w:right w:w="108" w:type="dxa"/>
          </w:tblCellMar>
        </w:tblPrEx>
        <w:trPr>
          <w:trHeight w:val="340" w:hRule="atLeast"/>
          <w:jc w:val="center"/>
        </w:trPr>
        <w:tc>
          <w:tcPr>
            <w:tcW w:w="8816" w:type="dxa"/>
            <w:gridSpan w:val="9"/>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致：汉中市政府国有资产监督管理委员会</w:t>
            </w:r>
          </w:p>
        </w:tc>
      </w:tr>
      <w:tr>
        <w:tblPrEx>
          <w:tblCellMar>
            <w:top w:w="0" w:type="dxa"/>
            <w:left w:w="108" w:type="dxa"/>
            <w:bottom w:w="0" w:type="dxa"/>
            <w:right w:w="108" w:type="dxa"/>
          </w:tblCellMar>
        </w:tblPrEx>
        <w:trPr>
          <w:trHeight w:val="510" w:hRule="atLeast"/>
          <w:jc w:val="center"/>
        </w:trPr>
        <w:tc>
          <w:tcPr>
            <w:tcW w:w="779" w:type="dxa"/>
            <w:vMerge w:val="restart"/>
            <w:tcBorders>
              <w:top w:val="single" w:color="auto" w:sz="4" w:space="0"/>
              <w:left w:val="single" w:color="auto" w:sz="4" w:space="0"/>
              <w:bottom w:val="single" w:color="auto" w:sz="4" w:space="0"/>
              <w:right w:val="single" w:color="auto" w:sz="4" w:space="0"/>
            </w:tcBorders>
            <w:vAlign w:val="center"/>
          </w:tcPr>
          <w:p>
            <w:pPr>
              <w:tabs>
                <w:tab w:val="left" w:pos="1260"/>
              </w:tabs>
              <w:spacing w:line="3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企业法人</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p>
        </w:tc>
        <w:tc>
          <w:tcPr>
            <w:tcW w:w="6075" w:type="dxa"/>
            <w:gridSpan w:val="6"/>
            <w:tcBorders>
              <w:top w:val="single" w:color="auto" w:sz="4" w:space="0"/>
              <w:left w:val="single" w:color="auto" w:sz="4" w:space="0"/>
              <w:bottom w:val="single" w:color="auto" w:sz="4" w:space="0"/>
              <w:right w:val="single" w:color="auto" w:sz="4" w:space="0"/>
            </w:tcBorders>
          </w:tcPr>
          <w:p>
            <w:pPr>
              <w:tabs>
                <w:tab w:val="left" w:pos="1260"/>
              </w:tabs>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法定地址</w:t>
            </w:r>
          </w:p>
        </w:tc>
        <w:tc>
          <w:tcPr>
            <w:tcW w:w="6075" w:type="dxa"/>
            <w:gridSpan w:val="6"/>
            <w:tcBorders>
              <w:top w:val="single" w:color="auto" w:sz="4" w:space="0"/>
              <w:left w:val="single" w:color="auto" w:sz="4" w:space="0"/>
              <w:bottom w:val="single" w:color="auto" w:sz="4" w:space="0"/>
              <w:right w:val="single" w:color="auto" w:sz="4" w:space="0"/>
            </w:tcBorders>
          </w:tcPr>
          <w:p>
            <w:pPr>
              <w:tabs>
                <w:tab w:val="left" w:pos="1260"/>
              </w:tabs>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372" w:type="dxa"/>
            <w:gridSpan w:val="3"/>
            <w:tcBorders>
              <w:top w:val="single" w:color="auto" w:sz="4" w:space="0"/>
              <w:left w:val="single" w:color="auto" w:sz="4" w:space="0"/>
              <w:bottom w:val="single" w:color="auto" w:sz="4" w:space="0"/>
              <w:right w:val="single" w:color="auto" w:sz="4" w:space="0"/>
            </w:tcBorders>
          </w:tcPr>
          <w:p>
            <w:pPr>
              <w:tabs>
                <w:tab w:val="left" w:pos="1260"/>
              </w:tabs>
              <w:rPr>
                <w:rFonts w:ascii="宋体" w:hAnsi="宋体" w:eastAsia="宋体" w:cs="宋体"/>
                <w:color w:val="auto"/>
                <w:sz w:val="24"/>
                <w:szCs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778" w:type="dxa"/>
            <w:gridSpan w:val="2"/>
            <w:tcBorders>
              <w:top w:val="single" w:color="auto" w:sz="4" w:space="0"/>
              <w:left w:val="single" w:color="auto" w:sz="4" w:space="0"/>
              <w:bottom w:val="single" w:color="auto" w:sz="4" w:space="0"/>
              <w:right w:val="single" w:color="auto" w:sz="4" w:space="0"/>
            </w:tcBorders>
          </w:tcPr>
          <w:p>
            <w:pPr>
              <w:tabs>
                <w:tab w:val="left" w:pos="1260"/>
              </w:tabs>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779" w:type="dxa"/>
            <w:vMerge w:val="restart"/>
            <w:tcBorders>
              <w:top w:val="single" w:color="auto" w:sz="4" w:space="0"/>
              <w:left w:val="single" w:color="auto" w:sz="4" w:space="0"/>
              <w:bottom w:val="single" w:color="auto" w:sz="4" w:space="0"/>
              <w:right w:val="single" w:color="auto" w:sz="4" w:space="0"/>
            </w:tcBorders>
            <w:vAlign w:val="center"/>
          </w:tcPr>
          <w:p>
            <w:pPr>
              <w:tabs>
                <w:tab w:val="left" w:pos="1260"/>
              </w:tabs>
              <w:spacing w:line="360" w:lineRule="exact"/>
              <w:jc w:val="center"/>
              <w:rPr>
                <w:rFonts w:ascii="宋体" w:hAnsi="宋体" w:eastAsia="宋体" w:cs="宋体"/>
                <w:color w:val="auto"/>
                <w:sz w:val="24"/>
                <w:szCs w:val="24"/>
                <w:highlight w:val="none"/>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75" w:type="dxa"/>
            <w:gridSpan w:val="6"/>
            <w:tcBorders>
              <w:top w:val="single" w:color="auto" w:sz="4" w:space="0"/>
              <w:left w:val="single" w:color="auto" w:sz="4" w:space="0"/>
              <w:bottom w:val="single" w:color="auto" w:sz="4" w:space="0"/>
              <w:right w:val="single" w:color="auto" w:sz="4" w:space="0"/>
            </w:tcBorders>
          </w:tcPr>
          <w:p>
            <w:pPr>
              <w:tabs>
                <w:tab w:val="left" w:pos="1260"/>
              </w:tabs>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文件编号</w:t>
            </w:r>
          </w:p>
        </w:tc>
        <w:tc>
          <w:tcPr>
            <w:tcW w:w="6075" w:type="dxa"/>
            <w:gridSpan w:val="6"/>
            <w:tcBorders>
              <w:top w:val="single" w:color="auto" w:sz="4" w:space="0"/>
              <w:left w:val="single" w:color="auto" w:sz="4" w:space="0"/>
              <w:bottom w:val="single" w:color="auto" w:sz="4" w:space="0"/>
              <w:right w:val="single" w:color="auto" w:sz="4" w:space="0"/>
            </w:tcBorders>
          </w:tcPr>
          <w:p>
            <w:pPr>
              <w:tabs>
                <w:tab w:val="left" w:pos="1260"/>
              </w:tabs>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w:t>
            </w:r>
          </w:p>
        </w:tc>
        <w:tc>
          <w:tcPr>
            <w:tcW w:w="2372" w:type="dxa"/>
            <w:gridSpan w:val="3"/>
            <w:tcBorders>
              <w:top w:val="single" w:color="auto" w:sz="4" w:space="0"/>
              <w:left w:val="single" w:color="auto" w:sz="4" w:space="0"/>
              <w:bottom w:val="single" w:color="auto" w:sz="4" w:space="0"/>
              <w:right w:val="single" w:color="auto" w:sz="4" w:space="0"/>
            </w:tcBorders>
          </w:tcPr>
          <w:p>
            <w:pPr>
              <w:tabs>
                <w:tab w:val="left" w:pos="1260"/>
              </w:tabs>
              <w:rPr>
                <w:rFonts w:ascii="宋体" w:hAnsi="宋体" w:eastAsia="宋体" w:cs="宋体"/>
                <w:color w:val="auto"/>
                <w:sz w:val="24"/>
                <w:szCs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778" w:type="dxa"/>
            <w:gridSpan w:val="2"/>
            <w:tcBorders>
              <w:top w:val="single" w:color="auto" w:sz="4" w:space="0"/>
              <w:left w:val="single" w:color="auto" w:sz="4" w:space="0"/>
              <w:bottom w:val="single" w:color="auto" w:sz="4" w:space="0"/>
              <w:right w:val="single" w:color="auto" w:sz="4" w:space="0"/>
            </w:tcBorders>
          </w:tcPr>
          <w:p>
            <w:pPr>
              <w:tabs>
                <w:tab w:val="left" w:pos="1260"/>
              </w:tabs>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w:t>
            </w:r>
          </w:p>
        </w:tc>
        <w:tc>
          <w:tcPr>
            <w:tcW w:w="6075" w:type="dxa"/>
            <w:gridSpan w:val="6"/>
            <w:tcBorders>
              <w:top w:val="single" w:color="auto" w:sz="4" w:space="0"/>
              <w:left w:val="single" w:color="auto" w:sz="4" w:space="0"/>
              <w:bottom w:val="single" w:color="auto" w:sz="4" w:space="0"/>
              <w:right w:val="single" w:color="auto" w:sz="4" w:space="0"/>
            </w:tcBorders>
            <w:vAlign w:val="center"/>
          </w:tcPr>
          <w:p>
            <w:pPr>
              <w:tabs>
                <w:tab w:val="left" w:pos="1260"/>
              </w:tabs>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正本  份、副本  份、电子版   份。</w:t>
            </w:r>
          </w:p>
        </w:tc>
      </w:tr>
      <w:tr>
        <w:tblPrEx>
          <w:tblCellMar>
            <w:top w:w="0" w:type="dxa"/>
            <w:left w:w="108" w:type="dxa"/>
            <w:bottom w:w="0" w:type="dxa"/>
            <w:right w:w="108" w:type="dxa"/>
          </w:tblCellMar>
        </w:tblPrEx>
        <w:trPr>
          <w:trHeight w:val="510"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line="3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交纳保证金</w:t>
            </w:r>
          </w:p>
        </w:tc>
        <w:tc>
          <w:tcPr>
            <w:tcW w:w="6075"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人民币：（大写金额）</w:t>
            </w:r>
          </w:p>
        </w:tc>
      </w:tr>
      <w:tr>
        <w:tblPrEx>
          <w:tblCellMar>
            <w:top w:w="0" w:type="dxa"/>
            <w:left w:w="108" w:type="dxa"/>
            <w:bottom w:w="0" w:type="dxa"/>
            <w:right w:w="108" w:type="dxa"/>
          </w:tblCellMar>
        </w:tblPrEx>
        <w:trPr>
          <w:trHeight w:val="340"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8037" w:type="dxa"/>
            <w:gridSpan w:val="8"/>
            <w:tcBorders>
              <w:top w:val="single" w:color="auto" w:sz="4" w:space="0"/>
              <w:left w:val="single" w:color="auto" w:sz="4" w:space="0"/>
              <w:bottom w:val="single" w:color="auto" w:sz="4" w:space="0"/>
              <w:right w:val="single" w:color="auto" w:sz="4" w:space="0"/>
            </w:tcBorders>
            <w:vAlign w:val="center"/>
          </w:tcPr>
          <w:p>
            <w:pPr>
              <w:tabs>
                <w:tab w:val="left" w:pos="1260"/>
              </w:tabs>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作为投标人郑重声明：</w:t>
            </w:r>
          </w:p>
        </w:tc>
      </w:tr>
      <w:tr>
        <w:tblPrEx>
          <w:tblCellMar>
            <w:top w:w="0" w:type="dxa"/>
            <w:left w:w="108" w:type="dxa"/>
            <w:bottom w:w="0" w:type="dxa"/>
            <w:right w:w="108" w:type="dxa"/>
          </w:tblCellMar>
        </w:tblPrEx>
        <w:trPr>
          <w:trHeight w:val="257"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577" w:type="dxa"/>
            <w:tcBorders>
              <w:top w:val="single" w:color="auto" w:sz="4" w:space="0"/>
              <w:left w:val="single" w:color="auto" w:sz="4" w:space="0"/>
              <w:bottom w:val="single" w:color="auto" w:sz="4" w:space="0"/>
              <w:right w:val="single" w:color="auto" w:sz="4" w:space="0"/>
            </w:tcBorders>
            <w:vAlign w:val="center"/>
          </w:tcPr>
          <w:p>
            <w:pPr>
              <w:tabs>
                <w:tab w:val="left" w:pos="1260"/>
              </w:tabs>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p>
        </w:tc>
        <w:tc>
          <w:tcPr>
            <w:tcW w:w="7460" w:type="dxa"/>
            <w:gridSpan w:val="7"/>
            <w:tcBorders>
              <w:top w:val="single" w:color="auto" w:sz="4" w:space="0"/>
              <w:left w:val="single" w:color="auto" w:sz="4" w:space="0"/>
              <w:bottom w:val="single" w:color="auto" w:sz="4" w:space="0"/>
              <w:right w:val="single" w:color="auto" w:sz="4" w:space="0"/>
            </w:tcBorders>
            <w:vAlign w:val="center"/>
          </w:tcPr>
          <w:p>
            <w:pPr>
              <w:tabs>
                <w:tab w:val="left" w:pos="1260"/>
              </w:tabs>
              <w:spacing w:line="3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依据招标文件的内容要求，提供完全满足采购需求的合格产品和全面技术、售后服务保障。</w:t>
            </w:r>
          </w:p>
        </w:tc>
      </w:tr>
      <w:tr>
        <w:tblPrEx>
          <w:tblCellMar>
            <w:top w:w="0" w:type="dxa"/>
            <w:left w:w="108" w:type="dxa"/>
            <w:bottom w:w="0" w:type="dxa"/>
            <w:right w:w="108" w:type="dxa"/>
          </w:tblCellMar>
        </w:tblPrEx>
        <w:trPr>
          <w:trHeight w:val="257"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577" w:type="dxa"/>
            <w:tcBorders>
              <w:top w:val="single" w:color="auto" w:sz="4" w:space="0"/>
              <w:left w:val="single" w:color="auto" w:sz="4" w:space="0"/>
              <w:bottom w:val="single" w:color="auto" w:sz="4" w:space="0"/>
              <w:right w:val="single" w:color="auto" w:sz="4" w:space="0"/>
            </w:tcBorders>
            <w:vAlign w:val="center"/>
          </w:tcPr>
          <w:p>
            <w:pPr>
              <w:tabs>
                <w:tab w:val="left" w:pos="1260"/>
              </w:tabs>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p>
        </w:tc>
        <w:tc>
          <w:tcPr>
            <w:tcW w:w="7460" w:type="dxa"/>
            <w:gridSpan w:val="7"/>
            <w:tcBorders>
              <w:top w:val="single" w:color="auto" w:sz="4" w:space="0"/>
              <w:left w:val="single" w:color="auto" w:sz="4" w:space="0"/>
              <w:bottom w:val="single" w:color="auto" w:sz="4" w:space="0"/>
              <w:right w:val="single" w:color="auto" w:sz="4" w:space="0"/>
            </w:tcBorders>
            <w:vAlign w:val="center"/>
          </w:tcPr>
          <w:p>
            <w:pPr>
              <w:tabs>
                <w:tab w:val="left" w:pos="1260"/>
              </w:tabs>
              <w:spacing w:line="3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已详细审查全部招标文件包括修改文件（如有）以及全部参考资料和有关附件，我们完全理解并同意放弃对这方面有不明及误解的权利。</w:t>
            </w:r>
          </w:p>
        </w:tc>
      </w:tr>
      <w:tr>
        <w:tblPrEx>
          <w:tblCellMar>
            <w:top w:w="0" w:type="dxa"/>
            <w:left w:w="108" w:type="dxa"/>
            <w:bottom w:w="0" w:type="dxa"/>
            <w:right w:w="108" w:type="dxa"/>
          </w:tblCellMar>
        </w:tblPrEx>
        <w:trPr>
          <w:trHeight w:val="257"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577" w:type="dxa"/>
            <w:tcBorders>
              <w:top w:val="single" w:color="auto" w:sz="4" w:space="0"/>
              <w:left w:val="single" w:color="auto" w:sz="4" w:space="0"/>
              <w:bottom w:val="single" w:color="auto" w:sz="4" w:space="0"/>
              <w:right w:val="single" w:color="auto" w:sz="4" w:space="0"/>
            </w:tcBorders>
            <w:vAlign w:val="center"/>
          </w:tcPr>
          <w:p>
            <w:pPr>
              <w:tabs>
                <w:tab w:val="left" w:pos="1260"/>
              </w:tabs>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p>
        </w:tc>
        <w:tc>
          <w:tcPr>
            <w:tcW w:w="7460" w:type="dxa"/>
            <w:gridSpan w:val="7"/>
            <w:tcBorders>
              <w:top w:val="single" w:color="auto" w:sz="4" w:space="0"/>
              <w:left w:val="single" w:color="auto" w:sz="4" w:space="0"/>
              <w:bottom w:val="single" w:color="auto" w:sz="4" w:space="0"/>
              <w:right w:val="single" w:color="auto" w:sz="4" w:space="0"/>
            </w:tcBorders>
            <w:vAlign w:val="center"/>
          </w:tcPr>
          <w:p>
            <w:pPr>
              <w:tabs>
                <w:tab w:val="left" w:pos="1260"/>
              </w:tabs>
              <w:spacing w:line="3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同意提供与本次招标采购活动相关的其他任何证据和资料。</w:t>
            </w:r>
          </w:p>
        </w:tc>
      </w:tr>
      <w:tr>
        <w:tblPrEx>
          <w:tblCellMar>
            <w:top w:w="0" w:type="dxa"/>
            <w:left w:w="108" w:type="dxa"/>
            <w:bottom w:w="0" w:type="dxa"/>
            <w:right w:w="108" w:type="dxa"/>
          </w:tblCellMar>
        </w:tblPrEx>
        <w:trPr>
          <w:trHeight w:val="257"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577" w:type="dxa"/>
            <w:tcBorders>
              <w:top w:val="single" w:color="auto" w:sz="4" w:space="0"/>
              <w:left w:val="single" w:color="auto" w:sz="4" w:space="0"/>
              <w:bottom w:val="single" w:color="auto" w:sz="4" w:space="0"/>
              <w:right w:val="single" w:color="auto" w:sz="4" w:space="0"/>
            </w:tcBorders>
            <w:vAlign w:val="center"/>
          </w:tcPr>
          <w:p>
            <w:pPr>
              <w:tabs>
                <w:tab w:val="left" w:pos="1260"/>
              </w:tabs>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p>
        </w:tc>
        <w:tc>
          <w:tcPr>
            <w:tcW w:w="7460" w:type="dxa"/>
            <w:gridSpan w:val="7"/>
            <w:tcBorders>
              <w:top w:val="single" w:color="auto" w:sz="4" w:space="0"/>
              <w:left w:val="single" w:color="auto" w:sz="4" w:space="0"/>
              <w:bottom w:val="single" w:color="auto" w:sz="4" w:space="0"/>
              <w:right w:val="single" w:color="auto" w:sz="4" w:space="0"/>
            </w:tcBorders>
            <w:vAlign w:val="center"/>
          </w:tcPr>
          <w:p>
            <w:pPr>
              <w:tabs>
                <w:tab w:val="left" w:pos="1260"/>
              </w:tabs>
              <w:spacing w:line="3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完全理解最低投标报价不作为中标的唯一条件，且尊重评标委员会的评审结论及中标结果。</w:t>
            </w:r>
          </w:p>
        </w:tc>
      </w:tr>
      <w:tr>
        <w:tblPrEx>
          <w:tblCellMar>
            <w:top w:w="0" w:type="dxa"/>
            <w:left w:w="108" w:type="dxa"/>
            <w:bottom w:w="0" w:type="dxa"/>
            <w:right w:w="108" w:type="dxa"/>
          </w:tblCellMar>
        </w:tblPrEx>
        <w:trPr>
          <w:trHeight w:val="257"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577" w:type="dxa"/>
            <w:tcBorders>
              <w:top w:val="single" w:color="auto" w:sz="4" w:space="0"/>
              <w:left w:val="single" w:color="auto" w:sz="4" w:space="0"/>
              <w:bottom w:val="single" w:color="auto" w:sz="4" w:space="0"/>
              <w:right w:val="single" w:color="auto" w:sz="4" w:space="0"/>
            </w:tcBorders>
            <w:vAlign w:val="center"/>
          </w:tcPr>
          <w:p>
            <w:pPr>
              <w:tabs>
                <w:tab w:val="left" w:pos="1260"/>
              </w:tabs>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w:t>
            </w:r>
          </w:p>
        </w:tc>
        <w:tc>
          <w:tcPr>
            <w:tcW w:w="7460" w:type="dxa"/>
            <w:gridSpan w:val="7"/>
            <w:tcBorders>
              <w:top w:val="single" w:color="auto" w:sz="4" w:space="0"/>
              <w:left w:val="single" w:color="auto" w:sz="4" w:space="0"/>
              <w:bottom w:val="single" w:color="auto" w:sz="4" w:space="0"/>
              <w:right w:val="single" w:color="auto" w:sz="4" w:space="0"/>
            </w:tcBorders>
            <w:vAlign w:val="center"/>
          </w:tcPr>
          <w:p>
            <w:pPr>
              <w:tabs>
                <w:tab w:val="left" w:pos="1260"/>
              </w:tabs>
              <w:spacing w:line="300" w:lineRule="exac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如果在规定的宣读报价时间后，供应商在投标有效期内撤回投标，其投标保证金将被贵方没收。</w:t>
            </w:r>
          </w:p>
        </w:tc>
      </w:tr>
      <w:tr>
        <w:tblPrEx>
          <w:tblCellMar>
            <w:top w:w="0" w:type="dxa"/>
            <w:left w:w="108" w:type="dxa"/>
            <w:bottom w:w="0" w:type="dxa"/>
            <w:right w:w="108" w:type="dxa"/>
          </w:tblCellMar>
        </w:tblPrEx>
        <w:trPr>
          <w:trHeight w:val="506" w:hRule="atLeast"/>
          <w:jc w:val="center"/>
        </w:trPr>
        <w:tc>
          <w:tcPr>
            <w:tcW w:w="7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577" w:type="dxa"/>
            <w:tcBorders>
              <w:top w:val="single" w:color="auto" w:sz="4" w:space="0"/>
              <w:left w:val="single" w:color="auto" w:sz="4" w:space="0"/>
              <w:bottom w:val="single" w:color="auto" w:sz="4" w:space="0"/>
              <w:right w:val="single" w:color="auto" w:sz="4" w:space="0"/>
            </w:tcBorders>
            <w:vAlign w:val="center"/>
          </w:tcPr>
          <w:p>
            <w:pPr>
              <w:tabs>
                <w:tab w:val="left" w:pos="1260"/>
              </w:tabs>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p>
        </w:tc>
        <w:tc>
          <w:tcPr>
            <w:tcW w:w="7460" w:type="dxa"/>
            <w:gridSpan w:val="7"/>
            <w:tcBorders>
              <w:top w:val="single" w:color="auto" w:sz="4" w:space="0"/>
              <w:left w:val="single" w:color="auto" w:sz="4" w:space="0"/>
              <w:bottom w:val="single" w:color="auto" w:sz="4" w:space="0"/>
              <w:right w:val="single" w:color="auto" w:sz="4" w:space="0"/>
            </w:tcBorders>
            <w:vAlign w:val="center"/>
          </w:tcPr>
          <w:p>
            <w:pPr>
              <w:tabs>
                <w:tab w:val="left" w:pos="1260"/>
              </w:tabs>
              <w:spacing w:line="300" w:lineRule="exact"/>
              <w:rPr>
                <w:rFonts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本投标函有效期：</w:t>
            </w:r>
            <w:r>
              <w:rPr>
                <w:rFonts w:hint="eastAsia" w:ascii="宋体" w:hAnsi="宋体" w:eastAsia="宋体" w:cs="宋体"/>
                <w:bCs/>
                <w:color w:val="auto"/>
                <w:sz w:val="24"/>
                <w:szCs w:val="24"/>
                <w:highlight w:val="none"/>
                <w:u w:val="single"/>
              </w:rPr>
              <w:t>自投标截止之日起90日历天</w:t>
            </w:r>
          </w:p>
        </w:tc>
      </w:tr>
      <w:tr>
        <w:tblPrEx>
          <w:tblCellMar>
            <w:top w:w="0" w:type="dxa"/>
            <w:left w:w="108" w:type="dxa"/>
            <w:bottom w:w="0" w:type="dxa"/>
            <w:right w:w="108" w:type="dxa"/>
          </w:tblCellMar>
        </w:tblPrEx>
        <w:trPr>
          <w:trHeight w:val="358" w:hRule="atLeast"/>
          <w:jc w:val="center"/>
        </w:trPr>
        <w:tc>
          <w:tcPr>
            <w:tcW w:w="8816" w:type="dxa"/>
            <w:gridSpan w:val="9"/>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有关本次招标的所有联络函电，请按下列方式联系：</w:t>
            </w:r>
          </w:p>
        </w:tc>
      </w:tr>
      <w:tr>
        <w:tblPrEx>
          <w:tblCellMar>
            <w:top w:w="0" w:type="dxa"/>
            <w:left w:w="108" w:type="dxa"/>
            <w:bottom w:w="0" w:type="dxa"/>
            <w:right w:w="108" w:type="dxa"/>
          </w:tblCellMar>
        </w:tblPrEx>
        <w:trPr>
          <w:trHeight w:val="510" w:hRule="atLeast"/>
          <w:jc w:val="center"/>
        </w:trPr>
        <w:tc>
          <w:tcPr>
            <w:tcW w:w="1356"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3376" w:type="dxa"/>
            <w:gridSpan w:val="3"/>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p>
        </w:tc>
        <w:tc>
          <w:tcPr>
            <w:tcW w:w="1520" w:type="dxa"/>
            <w:gridSpan w:val="3"/>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564"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1356"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p>
        </w:tc>
        <w:tc>
          <w:tcPr>
            <w:tcW w:w="3376" w:type="dxa"/>
            <w:gridSpan w:val="3"/>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p>
        </w:tc>
        <w:tc>
          <w:tcPr>
            <w:tcW w:w="1520" w:type="dxa"/>
            <w:gridSpan w:val="3"/>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p>
        </w:tc>
        <w:tc>
          <w:tcPr>
            <w:tcW w:w="2564"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1356"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3376" w:type="dxa"/>
            <w:gridSpan w:val="3"/>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p>
        </w:tc>
        <w:tc>
          <w:tcPr>
            <w:tcW w:w="1520" w:type="dxa"/>
            <w:gridSpan w:val="3"/>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p>
        </w:tc>
        <w:tc>
          <w:tcPr>
            <w:tcW w:w="2564" w:type="dxa"/>
            <w:tcBorders>
              <w:top w:val="single" w:color="auto" w:sz="4" w:space="0"/>
              <w:left w:val="single" w:color="auto" w:sz="4" w:space="0"/>
              <w:bottom w:val="single" w:color="auto" w:sz="4" w:space="0"/>
              <w:right w:val="single" w:color="auto" w:sz="4" w:space="0"/>
            </w:tcBorders>
            <w:vAlign w:val="center"/>
          </w:tcPr>
          <w:p>
            <w:pPr>
              <w:tabs>
                <w:tab w:val="left" w:pos="1260"/>
              </w:tabs>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40" w:hRule="atLeast"/>
          <w:jc w:val="center"/>
        </w:trPr>
        <w:tc>
          <w:tcPr>
            <w:tcW w:w="3152" w:type="dxa"/>
            <w:gridSpan w:val="4"/>
            <w:tcBorders>
              <w:top w:val="single" w:color="auto" w:sz="4" w:space="0"/>
              <w:left w:val="single" w:color="auto" w:sz="4" w:space="0"/>
              <w:bottom w:val="single" w:color="auto" w:sz="4" w:space="0"/>
              <w:right w:val="nil"/>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w:t>
            </w:r>
          </w:p>
        </w:tc>
        <w:tc>
          <w:tcPr>
            <w:tcW w:w="3100" w:type="dxa"/>
            <w:gridSpan w:val="4"/>
            <w:tcBorders>
              <w:top w:val="single" w:color="auto" w:sz="4" w:space="0"/>
              <w:left w:val="single" w:color="auto" w:sz="4" w:space="0"/>
              <w:bottom w:val="single" w:color="auto" w:sz="4" w:space="0"/>
              <w:right w:val="nil"/>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p>
        </w:tc>
        <w:tc>
          <w:tcPr>
            <w:tcW w:w="2564" w:type="dxa"/>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p>
        </w:tc>
      </w:tr>
      <w:tr>
        <w:tblPrEx>
          <w:tblCellMar>
            <w:top w:w="0" w:type="dxa"/>
            <w:left w:w="108" w:type="dxa"/>
            <w:bottom w:w="0" w:type="dxa"/>
            <w:right w:w="108" w:type="dxa"/>
          </w:tblCellMar>
        </w:tblPrEx>
        <w:trPr>
          <w:trHeight w:val="2244" w:hRule="atLeast"/>
          <w:jc w:val="center"/>
        </w:trPr>
        <w:tc>
          <w:tcPr>
            <w:tcW w:w="3152" w:type="dxa"/>
            <w:gridSpan w:val="4"/>
            <w:tcBorders>
              <w:top w:val="single" w:color="auto" w:sz="4" w:space="0"/>
              <w:left w:val="single" w:color="auto" w:sz="4" w:space="0"/>
              <w:bottom w:val="single" w:color="auto" w:sz="4" w:space="0"/>
              <w:right w:val="nil"/>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tc>
        <w:tc>
          <w:tcPr>
            <w:tcW w:w="3100" w:type="dxa"/>
            <w:gridSpan w:val="4"/>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w:t>
            </w:r>
          </w:p>
        </w:tc>
        <w:tc>
          <w:tcPr>
            <w:tcW w:w="2564" w:type="dxa"/>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年  月  日</w:t>
            </w:r>
          </w:p>
        </w:tc>
      </w:tr>
    </w:tbl>
    <w:p>
      <w:pPr>
        <w:rPr>
          <w:rFonts w:ascii="宋体" w:hAnsi="宋体" w:eastAsia="宋体" w:cs="宋体"/>
          <w:highlight w:val="none"/>
        </w:rPr>
      </w:pPr>
    </w:p>
    <w:p>
      <w:pPr>
        <w:pStyle w:val="3"/>
        <w:numPr>
          <w:ilvl w:val="0"/>
          <w:numId w:val="0"/>
        </w:numPr>
        <w:rPr>
          <w:rFonts w:ascii="宋体" w:hAnsi="宋体" w:eastAsia="宋体" w:cs="宋体"/>
          <w:b/>
          <w:bCs/>
          <w:color w:val="auto"/>
          <w:szCs w:val="30"/>
          <w:highlight w:val="none"/>
        </w:rPr>
      </w:pPr>
      <w:bookmarkStart w:id="216" w:name="_Toc22959"/>
      <w:r>
        <w:rPr>
          <w:rFonts w:hint="eastAsia" w:ascii="宋体" w:hAnsi="宋体" w:eastAsia="宋体" w:cs="宋体"/>
          <w:b/>
          <w:bCs/>
          <w:color w:val="auto"/>
          <w:szCs w:val="30"/>
          <w:highlight w:val="none"/>
        </w:rPr>
        <w:t>二、报价一览表</w:t>
      </w:r>
      <w:bookmarkEnd w:id="216"/>
    </w:p>
    <w:p>
      <w:pPr>
        <w:rPr>
          <w:highlight w:val="none"/>
        </w:rPr>
      </w:pPr>
    </w:p>
    <w:tbl>
      <w:tblPr>
        <w:tblStyle w:val="18"/>
        <w:tblW w:w="9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65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08" w:hRule="atLeast"/>
          <w:jc w:val="center"/>
        </w:trPr>
        <w:tc>
          <w:tcPr>
            <w:tcW w:w="2466"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tc>
        <w:tc>
          <w:tcPr>
            <w:tcW w:w="657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04" w:hRule="atLeast"/>
          <w:jc w:val="center"/>
        </w:trPr>
        <w:tc>
          <w:tcPr>
            <w:tcW w:w="2466"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57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42" w:hRule="atLeast"/>
          <w:jc w:val="center"/>
        </w:trPr>
        <w:tc>
          <w:tcPr>
            <w:tcW w:w="2466"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57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04" w:hRule="atLeast"/>
          <w:jc w:val="center"/>
        </w:trPr>
        <w:tc>
          <w:tcPr>
            <w:tcW w:w="2466" w:type="dxa"/>
            <w:vAlign w:val="center"/>
          </w:tcPr>
          <w:p>
            <w:pPr>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（含税价）</w:t>
            </w:r>
          </w:p>
          <w:p>
            <w:pPr>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p>
          <w:p>
            <w:pPr>
              <w:ind w:firstLine="480" w:firstLineChars="200"/>
              <w:jc w:val="center"/>
              <w:rPr>
                <w:rFonts w:ascii="宋体" w:hAnsi="宋体" w:eastAsia="宋体" w:cs="宋体"/>
                <w:color w:val="auto"/>
                <w:sz w:val="24"/>
                <w:szCs w:val="24"/>
                <w:highlight w:val="none"/>
              </w:rPr>
            </w:pPr>
          </w:p>
        </w:tc>
        <w:tc>
          <w:tcPr>
            <w:tcW w:w="6573" w:type="dxa"/>
            <w:vAlign w:val="center"/>
          </w:tcPr>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pPr>
              <w:pStyle w:val="11"/>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65" w:hRule="atLeast"/>
          <w:jc w:val="center"/>
        </w:trPr>
        <w:tc>
          <w:tcPr>
            <w:tcW w:w="2466"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建设期</w:t>
            </w:r>
          </w:p>
        </w:tc>
        <w:tc>
          <w:tcPr>
            <w:tcW w:w="6573" w:type="dxa"/>
            <w:vAlign w:val="center"/>
          </w:tcPr>
          <w:p>
            <w:pPr>
              <w:spacing w:line="480" w:lineRule="exact"/>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65" w:hRule="atLeast"/>
          <w:jc w:val="center"/>
        </w:trPr>
        <w:tc>
          <w:tcPr>
            <w:tcW w:w="2466"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6573" w:type="dxa"/>
            <w:vAlign w:val="center"/>
          </w:tcPr>
          <w:p>
            <w:pPr>
              <w:spacing w:line="480" w:lineRule="exact"/>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32" w:hRule="atLeast"/>
          <w:jc w:val="center"/>
        </w:trPr>
        <w:tc>
          <w:tcPr>
            <w:tcW w:w="2466"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w:t>
            </w:r>
          </w:p>
        </w:tc>
        <w:tc>
          <w:tcPr>
            <w:tcW w:w="6573" w:type="dxa"/>
            <w:vAlign w:val="center"/>
          </w:tcPr>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承诺：我单位承诺本项目投标提供的所有证明材料全部真实有效，如查实出现虚假材料的，自动退出投标或取消我单位中标资格。</w:t>
            </w:r>
          </w:p>
        </w:tc>
      </w:tr>
    </w:tbl>
    <w:p>
      <w:pPr>
        <w:spacing w:line="480" w:lineRule="exact"/>
        <w:ind w:right="-161"/>
        <w:rPr>
          <w:rFonts w:ascii="宋体" w:hAnsi="宋体" w:eastAsia="宋体" w:cs="宋体"/>
          <w:color w:val="auto"/>
          <w:sz w:val="24"/>
          <w:szCs w:val="24"/>
          <w:highlight w:val="none"/>
        </w:rPr>
      </w:pPr>
    </w:p>
    <w:p>
      <w:pPr>
        <w:spacing w:line="560" w:lineRule="exact"/>
        <w:rPr>
          <w:rFonts w:ascii="宋体" w:hAnsi="宋体" w:cs="宋体"/>
          <w:sz w:val="24"/>
          <w:szCs w:val="24"/>
          <w:highlight w:val="none"/>
        </w:rPr>
      </w:pPr>
      <w:r>
        <w:rPr>
          <w:rFonts w:hint="eastAsia" w:ascii="宋体" w:hAnsi="宋体" w:eastAsia="宋体" w:cs="宋体"/>
          <w:sz w:val="24"/>
          <w:szCs w:val="24"/>
          <w:highlight w:val="none"/>
        </w:rPr>
        <w:t>投标</w:t>
      </w:r>
      <w:r>
        <w:rPr>
          <w:rFonts w:hint="eastAsia" w:ascii="宋体" w:hAnsi="宋体" w:cs="宋体"/>
          <w:sz w:val="24"/>
          <w:szCs w:val="24"/>
          <w:highlight w:val="none"/>
        </w:rPr>
        <w:t>供应商（盖章）：</w:t>
      </w:r>
      <w:r>
        <w:rPr>
          <w:rFonts w:hint="eastAsia" w:ascii="宋体" w:hAnsi="宋体" w:cs="宋体"/>
          <w:sz w:val="24"/>
          <w:szCs w:val="24"/>
          <w:highlight w:val="none"/>
          <w:u w:val="single"/>
        </w:rPr>
        <w:t xml:space="preserve">                      </w:t>
      </w:r>
    </w:p>
    <w:p>
      <w:pPr>
        <w:spacing w:line="560" w:lineRule="exact"/>
        <w:rPr>
          <w:rFonts w:ascii="宋体" w:hAnsi="宋体" w:cs="宋体"/>
          <w:sz w:val="24"/>
          <w:szCs w:val="24"/>
          <w:highlight w:val="none"/>
          <w:u w:val="single"/>
        </w:rPr>
      </w:pPr>
      <w:r>
        <w:rPr>
          <w:rFonts w:hint="eastAsia" w:ascii="宋体" w:hAnsi="宋体" w:cs="宋体"/>
          <w:sz w:val="24"/>
          <w:szCs w:val="24"/>
          <w:highlight w:val="none"/>
        </w:rPr>
        <w:t>法定代表人或授权代表（签字）：</w:t>
      </w:r>
      <w:r>
        <w:rPr>
          <w:rFonts w:hint="eastAsia" w:ascii="宋体" w:hAnsi="宋体" w:cs="宋体"/>
          <w:sz w:val="24"/>
          <w:szCs w:val="24"/>
          <w:highlight w:val="none"/>
          <w:u w:val="single"/>
        </w:rPr>
        <w:t xml:space="preserve">            </w:t>
      </w:r>
    </w:p>
    <w:p>
      <w:pPr>
        <w:spacing w:line="560" w:lineRule="exact"/>
        <w:rPr>
          <w:rFonts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pPr>
        <w:spacing w:line="480" w:lineRule="exact"/>
        <w:rPr>
          <w:color w:val="auto"/>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pStyle w:val="2"/>
        <w:rPr>
          <w:highlight w:val="none"/>
        </w:rPr>
      </w:pPr>
    </w:p>
    <w:p>
      <w:pPr>
        <w:pStyle w:val="14"/>
        <w:ind w:firstLine="602" w:firstLineChars="20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分项报价表</w:t>
      </w:r>
    </w:p>
    <w:p>
      <w:pPr>
        <w:pStyle w:val="14"/>
        <w:ind w:firstLine="361" w:firstLineChars="200"/>
        <w:rPr>
          <w:b/>
          <w:bCs/>
          <w:color w:val="auto"/>
          <w:sz w:val="18"/>
          <w:szCs w:val="18"/>
          <w:highlight w:val="none"/>
        </w:rPr>
      </w:pPr>
    </w:p>
    <w:p>
      <w:pPr>
        <w:pStyle w:val="14"/>
        <w:ind w:firstLine="361" w:firstLineChars="200"/>
        <w:rPr>
          <w:b/>
          <w:bCs/>
          <w:color w:val="auto"/>
          <w:sz w:val="18"/>
          <w:szCs w:val="18"/>
          <w:highlight w:val="none"/>
        </w:rPr>
      </w:pPr>
    </w:p>
    <w:p>
      <w:pPr>
        <w:rPr>
          <w:rFonts w:ascii="宋体" w:hAnsi="宋体" w:eastAsia="宋体" w:cs="宋体"/>
          <w:highlight w:val="none"/>
        </w:rPr>
      </w:pPr>
      <w:r>
        <w:rPr>
          <w:rFonts w:hint="eastAsia"/>
          <w:b/>
          <w:bCs/>
          <w:color w:val="auto"/>
          <w:szCs w:val="24"/>
          <w:highlight w:val="none"/>
        </w:rPr>
        <w:t>注：</w:t>
      </w:r>
      <w:r>
        <w:rPr>
          <w:rFonts w:hint="eastAsia" w:eastAsia="宋体"/>
          <w:b/>
          <w:bCs/>
          <w:color w:val="auto"/>
          <w:szCs w:val="24"/>
          <w:highlight w:val="none"/>
        </w:rPr>
        <w:t>投标</w:t>
      </w:r>
      <w:r>
        <w:rPr>
          <w:rFonts w:hint="eastAsia"/>
          <w:b/>
          <w:bCs/>
          <w:color w:val="auto"/>
          <w:szCs w:val="24"/>
          <w:highlight w:val="none"/>
        </w:rPr>
        <w:t>供应商根据采购清单进行分项报价格式自拟</w:t>
      </w: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pStyle w:val="3"/>
        <w:numPr>
          <w:ilvl w:val="0"/>
          <w:numId w:val="0"/>
        </w:numPr>
        <w:rPr>
          <w:rFonts w:ascii="宋体" w:hAnsi="宋体" w:eastAsia="宋体" w:cs="宋体"/>
          <w:b/>
          <w:bCs/>
          <w:color w:val="auto"/>
          <w:szCs w:val="30"/>
          <w:highlight w:val="none"/>
        </w:rPr>
      </w:pPr>
      <w:r>
        <w:rPr>
          <w:rFonts w:hint="eastAsia" w:ascii="宋体" w:hAnsi="宋体" w:eastAsia="宋体" w:cs="宋体"/>
          <w:b/>
          <w:bCs/>
          <w:color w:val="auto"/>
          <w:szCs w:val="30"/>
          <w:highlight w:val="none"/>
        </w:rPr>
        <w:t>三、商务/技术偏离表</w:t>
      </w:r>
    </w:p>
    <w:p>
      <w:pPr>
        <w:spacing w:line="480" w:lineRule="exact"/>
        <w:jc w:val="center"/>
        <w:rPr>
          <w:rFonts w:hint="default"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商务偏离表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p>
      <w:pPr>
        <w:pStyle w:val="2"/>
        <w:rPr>
          <w:highlight w:val="none"/>
        </w:rPr>
      </w:pPr>
    </w:p>
    <w:tbl>
      <w:tblPr>
        <w:tblStyle w:val="18"/>
        <w:tblW w:w="83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0"/>
        <w:gridCol w:w="2847"/>
        <w:gridCol w:w="2056"/>
        <w:gridCol w:w="1204"/>
        <w:gridCol w:w="16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47"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2056"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p>
        </w:tc>
        <w:tc>
          <w:tcPr>
            <w:tcW w:w="1204"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603"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bl>
    <w:p>
      <w:pPr>
        <w:spacing w:line="48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投标供应商对建设期、投标有效期、付款方式等实质性条款进行响应。</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负偏离填写“负偏离”；正偏离填写“正偏离”；若不偏离，则填写“无。</w:t>
      </w:r>
    </w:p>
    <w:p>
      <w:pPr>
        <w:spacing w:line="480" w:lineRule="exact"/>
        <w:ind w:right="-161"/>
        <w:rPr>
          <w:rFonts w:ascii="宋体" w:hAnsi="宋体" w:eastAsia="宋体" w:cs="宋体"/>
          <w:color w:val="auto"/>
          <w:sz w:val="24"/>
          <w:szCs w:val="24"/>
          <w:highlight w:val="none"/>
        </w:rPr>
      </w:pPr>
    </w:p>
    <w:p>
      <w:pPr>
        <w:spacing w:line="560" w:lineRule="exact"/>
        <w:rPr>
          <w:rFonts w:ascii="宋体" w:hAnsi="宋体" w:cs="宋体"/>
          <w:sz w:val="24"/>
          <w:szCs w:val="24"/>
          <w:highlight w:val="none"/>
        </w:rPr>
      </w:pPr>
      <w:r>
        <w:rPr>
          <w:rFonts w:hint="eastAsia" w:ascii="宋体" w:hAnsi="宋体" w:eastAsia="宋体" w:cs="宋体"/>
          <w:sz w:val="24"/>
          <w:szCs w:val="24"/>
          <w:highlight w:val="none"/>
        </w:rPr>
        <w:t>投标</w:t>
      </w:r>
      <w:r>
        <w:rPr>
          <w:rFonts w:hint="eastAsia" w:ascii="宋体" w:hAnsi="宋体" w:cs="宋体"/>
          <w:sz w:val="24"/>
          <w:szCs w:val="24"/>
          <w:highlight w:val="none"/>
        </w:rPr>
        <w:t>供应商（盖章）：</w:t>
      </w:r>
      <w:r>
        <w:rPr>
          <w:rFonts w:hint="eastAsia" w:ascii="宋体" w:hAnsi="宋体" w:cs="宋体"/>
          <w:sz w:val="24"/>
          <w:szCs w:val="24"/>
          <w:highlight w:val="none"/>
          <w:u w:val="single"/>
        </w:rPr>
        <w:t xml:space="preserve">                      </w:t>
      </w:r>
    </w:p>
    <w:p>
      <w:pPr>
        <w:spacing w:line="560" w:lineRule="exact"/>
        <w:rPr>
          <w:rFonts w:ascii="宋体" w:hAnsi="宋体" w:cs="宋体"/>
          <w:sz w:val="24"/>
          <w:szCs w:val="24"/>
          <w:highlight w:val="none"/>
          <w:u w:val="single"/>
        </w:rPr>
      </w:pPr>
      <w:r>
        <w:rPr>
          <w:rFonts w:hint="eastAsia" w:ascii="宋体" w:hAnsi="宋体" w:cs="宋体"/>
          <w:sz w:val="24"/>
          <w:szCs w:val="24"/>
          <w:highlight w:val="none"/>
        </w:rPr>
        <w:t>法定代表人或授权代表（签字）：</w:t>
      </w:r>
      <w:r>
        <w:rPr>
          <w:rFonts w:hint="eastAsia" w:ascii="宋体" w:hAnsi="宋体" w:cs="宋体"/>
          <w:sz w:val="24"/>
          <w:szCs w:val="24"/>
          <w:highlight w:val="none"/>
          <w:u w:val="single"/>
        </w:rPr>
        <w:t xml:space="preserve">            </w:t>
      </w:r>
    </w:p>
    <w:p>
      <w:pPr>
        <w:spacing w:line="560" w:lineRule="exact"/>
        <w:rPr>
          <w:rFonts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spacing w:line="480" w:lineRule="exact"/>
        <w:jc w:val="center"/>
        <w:rPr>
          <w:rFonts w:hint="default"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技术偏离表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p>
      <w:pPr>
        <w:pStyle w:val="2"/>
        <w:rPr>
          <w:highlight w:val="none"/>
        </w:rPr>
      </w:pPr>
    </w:p>
    <w:tbl>
      <w:tblPr>
        <w:tblStyle w:val="18"/>
        <w:tblW w:w="83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0"/>
        <w:gridCol w:w="2847"/>
        <w:gridCol w:w="2056"/>
        <w:gridCol w:w="1204"/>
        <w:gridCol w:w="16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47"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2056"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p>
        </w:tc>
        <w:tc>
          <w:tcPr>
            <w:tcW w:w="1204"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603" w:type="dxa"/>
            <w:vAlign w:val="center"/>
          </w:tcPr>
          <w:p>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80" w:type="dxa"/>
            <w:vAlign w:val="center"/>
          </w:tcPr>
          <w:p>
            <w:pPr>
              <w:spacing w:line="480" w:lineRule="exact"/>
              <w:jc w:val="center"/>
              <w:rPr>
                <w:rFonts w:ascii="宋体" w:hAnsi="宋体" w:eastAsia="宋体" w:cs="宋体"/>
                <w:color w:val="auto"/>
                <w:sz w:val="24"/>
                <w:szCs w:val="24"/>
                <w:highlight w:val="none"/>
              </w:rPr>
            </w:pPr>
          </w:p>
        </w:tc>
        <w:tc>
          <w:tcPr>
            <w:tcW w:w="2847" w:type="dxa"/>
            <w:vAlign w:val="center"/>
          </w:tcPr>
          <w:p>
            <w:pPr>
              <w:spacing w:line="480" w:lineRule="exact"/>
              <w:jc w:val="center"/>
              <w:rPr>
                <w:rFonts w:ascii="宋体" w:hAnsi="宋体" w:eastAsia="宋体" w:cs="宋体"/>
                <w:color w:val="auto"/>
                <w:sz w:val="24"/>
                <w:szCs w:val="24"/>
                <w:highlight w:val="none"/>
              </w:rPr>
            </w:pPr>
          </w:p>
        </w:tc>
        <w:tc>
          <w:tcPr>
            <w:tcW w:w="2056" w:type="dxa"/>
            <w:vAlign w:val="center"/>
          </w:tcPr>
          <w:p>
            <w:pPr>
              <w:spacing w:line="480" w:lineRule="exact"/>
              <w:jc w:val="center"/>
              <w:rPr>
                <w:rFonts w:ascii="宋体" w:hAnsi="宋体" w:eastAsia="宋体" w:cs="宋体"/>
                <w:color w:val="auto"/>
                <w:sz w:val="24"/>
                <w:szCs w:val="24"/>
                <w:highlight w:val="none"/>
              </w:rPr>
            </w:pPr>
          </w:p>
        </w:tc>
        <w:tc>
          <w:tcPr>
            <w:tcW w:w="1204" w:type="dxa"/>
            <w:vAlign w:val="center"/>
          </w:tcPr>
          <w:p>
            <w:pPr>
              <w:spacing w:line="480" w:lineRule="exact"/>
              <w:jc w:val="center"/>
              <w:rPr>
                <w:rFonts w:ascii="宋体" w:hAnsi="宋体" w:eastAsia="宋体" w:cs="宋体"/>
                <w:color w:val="auto"/>
                <w:sz w:val="24"/>
                <w:szCs w:val="24"/>
                <w:highlight w:val="none"/>
              </w:rPr>
            </w:pPr>
          </w:p>
        </w:tc>
        <w:tc>
          <w:tcPr>
            <w:tcW w:w="1603" w:type="dxa"/>
            <w:vAlign w:val="center"/>
          </w:tcPr>
          <w:p>
            <w:pPr>
              <w:spacing w:line="480" w:lineRule="exact"/>
              <w:jc w:val="center"/>
              <w:rPr>
                <w:rFonts w:ascii="宋体" w:hAnsi="宋体" w:eastAsia="宋体" w:cs="宋体"/>
                <w:color w:val="auto"/>
                <w:sz w:val="24"/>
                <w:szCs w:val="24"/>
                <w:highlight w:val="none"/>
              </w:rPr>
            </w:pPr>
          </w:p>
        </w:tc>
      </w:tr>
    </w:tbl>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注：负偏离填写“负偏离”；正偏离填写“正偏离”；若不偏离，则填写“无。</w:t>
      </w:r>
    </w:p>
    <w:p>
      <w:pPr>
        <w:spacing w:line="480" w:lineRule="exact"/>
        <w:ind w:right="-161"/>
        <w:rPr>
          <w:rFonts w:ascii="宋体" w:hAnsi="宋体" w:eastAsia="宋体" w:cs="宋体"/>
          <w:color w:val="auto"/>
          <w:sz w:val="24"/>
          <w:szCs w:val="24"/>
          <w:highlight w:val="none"/>
        </w:rPr>
      </w:pPr>
    </w:p>
    <w:p>
      <w:pPr>
        <w:spacing w:line="560" w:lineRule="exact"/>
        <w:rPr>
          <w:rFonts w:ascii="宋体" w:hAnsi="宋体" w:cs="宋体"/>
          <w:sz w:val="24"/>
          <w:szCs w:val="24"/>
          <w:highlight w:val="none"/>
        </w:rPr>
      </w:pPr>
      <w:r>
        <w:rPr>
          <w:rFonts w:hint="eastAsia" w:ascii="宋体" w:hAnsi="宋体" w:eastAsia="宋体" w:cs="宋体"/>
          <w:sz w:val="24"/>
          <w:szCs w:val="24"/>
          <w:highlight w:val="none"/>
        </w:rPr>
        <w:t>投标</w:t>
      </w:r>
      <w:r>
        <w:rPr>
          <w:rFonts w:hint="eastAsia" w:ascii="宋体" w:hAnsi="宋体" w:cs="宋体"/>
          <w:sz w:val="24"/>
          <w:szCs w:val="24"/>
          <w:highlight w:val="none"/>
        </w:rPr>
        <w:t>供应商（盖章）：</w:t>
      </w:r>
      <w:r>
        <w:rPr>
          <w:rFonts w:hint="eastAsia" w:ascii="宋体" w:hAnsi="宋体" w:cs="宋体"/>
          <w:sz w:val="24"/>
          <w:szCs w:val="24"/>
          <w:highlight w:val="none"/>
          <w:u w:val="single"/>
        </w:rPr>
        <w:t xml:space="preserve">                      </w:t>
      </w:r>
    </w:p>
    <w:p>
      <w:pPr>
        <w:spacing w:line="560" w:lineRule="exact"/>
        <w:rPr>
          <w:rFonts w:ascii="宋体" w:hAnsi="宋体" w:cs="宋体"/>
          <w:sz w:val="24"/>
          <w:szCs w:val="24"/>
          <w:highlight w:val="none"/>
          <w:u w:val="single"/>
        </w:rPr>
      </w:pPr>
      <w:r>
        <w:rPr>
          <w:rFonts w:hint="eastAsia" w:ascii="宋体" w:hAnsi="宋体" w:cs="宋体"/>
          <w:sz w:val="24"/>
          <w:szCs w:val="24"/>
          <w:highlight w:val="none"/>
        </w:rPr>
        <w:t>法定代表人或授权代表（签字）：</w:t>
      </w:r>
      <w:r>
        <w:rPr>
          <w:rFonts w:hint="eastAsia" w:ascii="宋体" w:hAnsi="宋体" w:cs="宋体"/>
          <w:sz w:val="24"/>
          <w:szCs w:val="24"/>
          <w:highlight w:val="none"/>
          <w:u w:val="single"/>
        </w:rPr>
        <w:t xml:space="preserve">            </w:t>
      </w:r>
    </w:p>
    <w:p>
      <w:pPr>
        <w:spacing w:line="560" w:lineRule="exact"/>
        <w:rPr>
          <w:rFonts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pPr>
        <w:rPr>
          <w:rFonts w:ascii="宋体" w:hAnsi="宋体" w:eastAsia="宋体" w:cs="宋体"/>
          <w:sz w:val="24"/>
          <w:szCs w:val="24"/>
          <w:highlight w:val="none"/>
        </w:rPr>
      </w:pPr>
    </w:p>
    <w:p>
      <w:pPr>
        <w:pStyle w:val="17"/>
        <w:rPr>
          <w:rFonts w:ascii="宋体" w:hAnsi="宋体" w:eastAsia="宋体" w:cs="宋体"/>
          <w:sz w:val="24"/>
          <w:szCs w:val="24"/>
          <w:highlight w:val="none"/>
        </w:rPr>
      </w:pPr>
    </w:p>
    <w:p>
      <w:pPr>
        <w:pStyle w:val="17"/>
        <w:rPr>
          <w:rFonts w:ascii="宋体" w:hAnsi="宋体" w:eastAsia="宋体" w:cs="宋体"/>
          <w:sz w:val="24"/>
          <w:szCs w:val="24"/>
          <w:highlight w:val="none"/>
        </w:rPr>
      </w:pPr>
    </w:p>
    <w:p>
      <w:pPr>
        <w:spacing w:line="600" w:lineRule="exact"/>
        <w:jc w:val="center"/>
        <w:rPr>
          <w:rFonts w:ascii="宋体" w:hAnsi="宋体" w:eastAsia="宋体" w:cs="宋体"/>
          <w:b/>
          <w:bCs/>
          <w:color w:val="auto"/>
          <w:sz w:val="28"/>
          <w:szCs w:val="30"/>
          <w:highlight w:val="none"/>
        </w:rPr>
      </w:pPr>
      <w:r>
        <w:rPr>
          <w:rFonts w:hint="eastAsia" w:ascii="宋体" w:hAnsi="宋体" w:eastAsia="宋体" w:cs="宋体"/>
          <w:b/>
          <w:bCs/>
          <w:color w:val="auto"/>
          <w:sz w:val="28"/>
          <w:szCs w:val="30"/>
          <w:highlight w:val="none"/>
        </w:rPr>
        <w:t>四、法定代表人身份证明书及授权委托书</w:t>
      </w:r>
    </w:p>
    <w:p>
      <w:pPr>
        <w:spacing w:line="600" w:lineRule="exact"/>
        <w:jc w:val="center"/>
        <w:rPr>
          <w:rFonts w:ascii="宋体" w:hAnsi="宋体" w:eastAsia="宋体" w:cs="宋体"/>
          <w:sz w:val="24"/>
          <w:szCs w:val="24"/>
        </w:rPr>
      </w:pPr>
      <w:r>
        <w:rPr>
          <w:rFonts w:hint="eastAsia" w:ascii="宋体" w:hAnsi="宋体" w:eastAsia="宋体" w:cs="宋体"/>
          <w:b/>
          <w:color w:val="auto"/>
          <w:sz w:val="28"/>
          <w:szCs w:val="28"/>
        </w:rPr>
        <w:t>（一）法定代表人身份证明书</w:t>
      </w: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p>
    <w:p>
      <w:pPr>
        <w:spacing w:line="600" w:lineRule="exact"/>
        <w:rPr>
          <w:rFonts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    别：</w:t>
      </w:r>
      <w:r>
        <w:rPr>
          <w:rFonts w:hint="eastAsia" w:ascii="宋体" w:hAnsi="宋体" w:eastAsia="宋体" w:cs="宋体"/>
          <w:color w:val="auto"/>
          <w:sz w:val="24"/>
          <w:szCs w:val="24"/>
          <w:u w:val="single"/>
        </w:rPr>
        <w:t xml:space="preserve">               </w:t>
      </w: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年    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（投标人名称）的法定代表人。</w:t>
      </w: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特此证明。</w:t>
      </w:r>
    </w:p>
    <w:p>
      <w:pPr>
        <w:spacing w:line="600" w:lineRule="exact"/>
        <w:rPr>
          <w:rFonts w:ascii="宋体" w:hAnsi="宋体" w:eastAsia="宋体" w:cs="宋体"/>
          <w:color w:val="auto"/>
          <w:sz w:val="24"/>
          <w:szCs w:val="24"/>
        </w:rPr>
      </w:pPr>
      <w:r>
        <w:rPr>
          <w:rFonts w:hint="eastAsia" w:ascii="宋体" w:hAnsi="宋体" w:eastAsia="宋体" w:cs="宋体"/>
          <w:color w:val="auto"/>
          <w:sz w:val="24"/>
          <w:szCs w:val="24"/>
        </w:rPr>
        <w:t>（附法定代表人身份证）</w:t>
      </w:r>
    </w:p>
    <w:p>
      <w:pPr>
        <w:spacing w:line="600" w:lineRule="exact"/>
        <w:rPr>
          <w:rFonts w:ascii="宋体"/>
          <w:color w:val="auto"/>
        </w:rPr>
      </w:pPr>
    </w:p>
    <w:p>
      <w:pPr>
        <w:spacing w:line="600" w:lineRule="exact"/>
        <w:jc w:val="right"/>
        <w:rPr>
          <w:rFonts w:ascii="宋体" w:hAnsi="宋体" w:eastAsia="宋体" w:cs="宋体"/>
          <w:color w:val="auto"/>
          <w:sz w:val="24"/>
          <w:szCs w:val="24"/>
        </w:rPr>
      </w:pPr>
      <w:r>
        <w:rPr>
          <w:rFonts w:hint="eastAsia" w:ascii="宋体" w:hAnsi="宋体" w:eastAsia="宋体" w:cs="宋体"/>
          <w:color w:val="auto"/>
          <w:sz w:val="24"/>
          <w:szCs w:val="24"/>
        </w:rPr>
        <w:t>投标供应商：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spacing w:line="600" w:lineRule="exact"/>
        <w:rPr>
          <w:rFonts w:ascii="宋体" w:hAnsi="宋体" w:eastAsia="宋体" w:cs="宋体"/>
          <w:sz w:val="24"/>
          <w:szCs w:val="24"/>
        </w:rPr>
      </w:pPr>
      <w:r>
        <w:rPr>
          <w:rFonts w:hint="eastAsia" w:ascii="宋体" w:hAnsi="宋体" w:eastAsia="宋体" w:cs="宋体"/>
          <w:color w:val="auto"/>
          <w:sz w:val="24"/>
          <w:szCs w:val="24"/>
        </w:rPr>
        <w:t xml:space="preserve">                        日   期：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600" w:lineRule="exact"/>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pStyle w:val="25"/>
        <w:spacing w:before="0" w:after="0" w:line="360" w:lineRule="auto"/>
        <w:jc w:val="center"/>
        <w:rPr>
          <w:b/>
          <w:sz w:val="28"/>
          <w:szCs w:val="28"/>
          <w:lang w:eastAsia="zh-CN"/>
        </w:rPr>
      </w:pPr>
      <w:r>
        <w:rPr>
          <w:rFonts w:hint="eastAsia"/>
          <w:b/>
          <w:sz w:val="28"/>
          <w:szCs w:val="28"/>
          <w:lang w:eastAsia="zh-CN"/>
        </w:rPr>
        <w:t>（二）法定代表人授权委托书</w:t>
      </w:r>
    </w:p>
    <w:p>
      <w:pPr>
        <w:spacing w:line="480" w:lineRule="exact"/>
        <w:ind w:firstLine="720" w:firstLineChars="300"/>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 xml:space="preserve">的法定代表人（单位负责人），现委托 </w:t>
      </w:r>
      <w:r>
        <w:rPr>
          <w:rFonts w:hint="eastAsia" w:ascii="宋体" w:hAnsi="宋体" w:eastAsia="宋体" w:cs="宋体"/>
          <w:sz w:val="24"/>
          <w:szCs w:val="24"/>
          <w:u w:val="single"/>
        </w:rPr>
        <w:t>（姓名）</w:t>
      </w:r>
      <w:r>
        <w:rPr>
          <w:rFonts w:hint="eastAsia" w:ascii="宋体" w:hAnsi="宋体" w:eastAsia="宋体" w:cs="宋体"/>
          <w:sz w:val="24"/>
          <w:szCs w:val="24"/>
        </w:rPr>
        <w:t>为我方代理人。代理人根据授权，以我方名义签署、澄清确认、递交、撤回、修改</w:t>
      </w:r>
      <w:r>
        <w:rPr>
          <w:rFonts w:hint="eastAsia" w:ascii="宋体" w:hAnsi="宋体" w:eastAsia="宋体" w:cs="宋体"/>
          <w:sz w:val="24"/>
          <w:szCs w:val="24"/>
          <w:u w:val="single"/>
        </w:rPr>
        <w:t xml:space="preserve">       （项目名称、项目编号）    </w:t>
      </w:r>
      <w:r>
        <w:rPr>
          <w:rFonts w:hint="eastAsia" w:ascii="宋体" w:hAnsi="宋体" w:eastAsia="宋体" w:cs="宋体"/>
          <w:sz w:val="24"/>
          <w:szCs w:val="24"/>
        </w:rPr>
        <w:t>投标文件、签订合同和处理有关事宜，其法律后果由我方承担。</w:t>
      </w:r>
    </w:p>
    <w:p>
      <w:pPr>
        <w:spacing w:line="480" w:lineRule="exact"/>
        <w:ind w:firstLine="720" w:firstLineChars="300"/>
        <w:rPr>
          <w:rFonts w:ascii="宋体" w:hAnsi="宋体" w:eastAsia="宋体" w:cs="宋体"/>
          <w:sz w:val="24"/>
          <w:szCs w:val="24"/>
        </w:rPr>
      </w:pPr>
      <w:r>
        <w:rPr>
          <w:rFonts w:hint="eastAsia" w:ascii="宋体" w:hAnsi="宋体" w:eastAsia="宋体" w:cs="宋体"/>
          <w:sz w:val="24"/>
          <w:szCs w:val="24"/>
        </w:rPr>
        <w:t>该代理人无转委托权，本授权书自提交投标文件截止之日起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天。特此声明。</w:t>
      </w:r>
    </w:p>
    <w:p>
      <w:pPr>
        <w:rPr>
          <w:rFonts w:ascii="宋体" w:hAnsi="宋体" w:eastAsia="宋体" w:cs="宋体"/>
          <w:sz w:val="24"/>
          <w:szCs w:val="24"/>
        </w:rPr>
      </w:pPr>
    </w:p>
    <w:p>
      <w:pPr>
        <w:rPr>
          <w:rFonts w:ascii="宋体" w:hAnsi="宋体" w:eastAsia="宋体" w:cs="宋体"/>
          <w:sz w:val="24"/>
          <w:szCs w:val="24"/>
        </w:rPr>
      </w:pPr>
    </w:p>
    <w:p>
      <w:pPr>
        <w:ind w:firstLine="480" w:firstLineChars="200"/>
        <w:rPr>
          <w:rFonts w:ascii="宋体" w:hAnsi="宋体" w:eastAsia="宋体" w:cs="宋体"/>
          <w:sz w:val="24"/>
          <w:szCs w:val="24"/>
        </w:rPr>
      </w:pPr>
      <w:r>
        <w:rPr>
          <w:rFonts w:hint="eastAsia" w:ascii="宋体" w:hAnsi="宋体" w:eastAsia="宋体" w:cs="宋体"/>
          <w:sz w:val="24"/>
          <w:szCs w:val="24"/>
        </w:rPr>
        <w:t>附：法定代表人（单位负责人）身份证复印件及委托代理人身份证复印件</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ind w:firstLine="480" w:firstLineChars="200"/>
        <w:rPr>
          <w:rFonts w:ascii="宋体" w:hAnsi="宋体" w:eastAsia="宋体" w:cs="宋体"/>
          <w:sz w:val="24"/>
          <w:szCs w:val="24"/>
        </w:rPr>
      </w:pPr>
      <w:r>
        <w:rPr>
          <w:rFonts w:hint="eastAsia" w:ascii="宋体" w:hAnsi="宋体" w:eastAsia="宋体" w:cs="宋体"/>
          <w:sz w:val="24"/>
          <w:szCs w:val="24"/>
        </w:rPr>
        <w:t>说明：如法定代表人参加投标，法定代表人授权委托书无需提供。</w:t>
      </w:r>
    </w:p>
    <w:p>
      <w:pPr>
        <w:spacing w:line="600" w:lineRule="exact"/>
        <w:rPr>
          <w:rFonts w:ascii="宋体" w:hAnsi="宋体" w:eastAsia="宋体" w:cs="宋体"/>
          <w:color w:val="auto"/>
          <w:sz w:val="24"/>
          <w:szCs w:val="24"/>
        </w:rPr>
      </w:pPr>
    </w:p>
    <w:p>
      <w:pPr>
        <w:pStyle w:val="2"/>
        <w:spacing w:line="600" w:lineRule="exact"/>
        <w:rPr>
          <w:rFonts w:ascii="宋体" w:hAnsi="宋体" w:eastAsia="宋体" w:cs="宋体"/>
          <w:color w:val="auto"/>
          <w:szCs w:val="24"/>
        </w:rPr>
      </w:pPr>
    </w:p>
    <w:p>
      <w:pPr>
        <w:spacing w:line="600" w:lineRule="exact"/>
        <w:rPr>
          <w:rFonts w:ascii="宋体" w:hAnsi="宋体" w:eastAsia="宋体" w:cs="宋体"/>
          <w:color w:val="auto"/>
          <w:sz w:val="24"/>
          <w:szCs w:val="24"/>
        </w:rPr>
      </w:pPr>
    </w:p>
    <w:p>
      <w:pPr>
        <w:pStyle w:val="2"/>
        <w:rPr>
          <w:rFonts w:ascii="宋体" w:hAnsi="宋体" w:eastAsia="宋体" w:cs="宋体"/>
          <w:color w:val="auto"/>
          <w:szCs w:val="24"/>
        </w:rPr>
      </w:pPr>
    </w:p>
    <w:p>
      <w:pPr>
        <w:rPr>
          <w:rFonts w:ascii="宋体" w:hAnsi="宋体" w:eastAsia="宋体" w:cs="宋体"/>
          <w:color w:val="auto"/>
          <w:sz w:val="24"/>
          <w:szCs w:val="24"/>
        </w:rPr>
      </w:pPr>
    </w:p>
    <w:p>
      <w:pPr>
        <w:pStyle w:val="2"/>
        <w:rPr>
          <w:rFonts w:ascii="宋体" w:hAnsi="宋体" w:eastAsia="宋体" w:cs="宋体"/>
          <w:color w:val="auto"/>
          <w:szCs w:val="24"/>
        </w:rPr>
      </w:pPr>
    </w:p>
    <w:p>
      <w:pPr>
        <w:rPr>
          <w:rFonts w:ascii="宋体" w:hAnsi="宋体" w:eastAsia="宋体" w:cs="宋体"/>
          <w:color w:val="auto"/>
          <w:sz w:val="24"/>
          <w:szCs w:val="24"/>
        </w:rPr>
      </w:pPr>
    </w:p>
    <w:p>
      <w:pPr>
        <w:pStyle w:val="2"/>
      </w:pPr>
    </w:p>
    <w:p>
      <w:pPr>
        <w:spacing w:line="600" w:lineRule="exact"/>
        <w:ind w:firstLine="1920" w:firstLineChars="800"/>
        <w:rPr>
          <w:rFonts w:ascii="宋体" w:hAnsi="宋体" w:eastAsia="宋体" w:cs="宋体"/>
          <w:color w:val="auto"/>
          <w:sz w:val="24"/>
          <w:szCs w:val="24"/>
        </w:rPr>
      </w:pPr>
      <w:r>
        <w:rPr>
          <w:rFonts w:hint="eastAsia" w:ascii="宋体" w:hAnsi="宋体" w:eastAsia="宋体" w:cs="宋体"/>
          <w:color w:val="auto"/>
          <w:sz w:val="24"/>
          <w:szCs w:val="24"/>
        </w:rPr>
        <w:t>投标供应商：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pStyle w:val="26"/>
        <w:spacing w:before="0" w:after="0" w:line="600" w:lineRule="exact"/>
        <w:ind w:firstLine="1920" w:firstLineChars="800"/>
        <w:jc w:val="left"/>
        <w:rPr>
          <w:rFonts w:ascii="宋体" w:hAnsi="宋体" w:cs="宋体"/>
          <w:sz w:val="24"/>
          <w:szCs w:val="24"/>
          <w:lang w:eastAsia="zh-CN"/>
        </w:rPr>
      </w:pPr>
      <w:r>
        <w:rPr>
          <w:rFonts w:hint="eastAsia" w:ascii="宋体" w:hAnsi="宋体" w:cs="宋体"/>
          <w:sz w:val="24"/>
          <w:szCs w:val="24"/>
          <w:lang w:eastAsia="zh-CN"/>
        </w:rPr>
        <w:t>法定代表人（单位负责人）：</w:t>
      </w:r>
      <w:r>
        <w:rPr>
          <w:rFonts w:hint="eastAsia" w:ascii="宋体" w:hAnsi="宋体" w:cs="宋体"/>
          <w:sz w:val="24"/>
          <w:szCs w:val="24"/>
          <w:u w:val="single"/>
          <w:lang w:eastAsia="zh-CN"/>
        </w:rPr>
        <w:t xml:space="preserve">           </w:t>
      </w:r>
      <w:r>
        <w:rPr>
          <w:rFonts w:hint="eastAsia" w:ascii="宋体" w:hAnsi="宋体" w:cs="宋体"/>
          <w:sz w:val="24"/>
          <w:szCs w:val="24"/>
          <w:lang w:eastAsia="zh-CN"/>
        </w:rPr>
        <w:t>（签字或盖章）</w:t>
      </w:r>
    </w:p>
    <w:p>
      <w:pPr>
        <w:pStyle w:val="26"/>
        <w:spacing w:before="0" w:after="0" w:line="600" w:lineRule="exact"/>
        <w:ind w:firstLine="1920" w:firstLineChars="800"/>
        <w:jc w:val="left"/>
        <w:rPr>
          <w:rFonts w:ascii="宋体" w:hAnsi="宋体" w:cs="宋体"/>
          <w:sz w:val="24"/>
          <w:szCs w:val="24"/>
          <w:lang w:eastAsia="zh-CN"/>
        </w:rPr>
      </w:pPr>
      <w:r>
        <w:rPr>
          <w:rFonts w:hint="eastAsia" w:ascii="宋体" w:hAnsi="宋体" w:cs="宋体"/>
          <w:snapToGrid w:val="0"/>
          <w:sz w:val="24"/>
          <w:szCs w:val="24"/>
          <w:lang w:eastAsia="zh-CN"/>
        </w:rPr>
        <w:t xml:space="preserve">被授权人： </w:t>
      </w:r>
      <w:r>
        <w:rPr>
          <w:rFonts w:hint="eastAsia" w:ascii="宋体" w:hAnsi="宋体" w:cs="宋体"/>
          <w:sz w:val="24"/>
          <w:szCs w:val="24"/>
          <w:u w:val="single"/>
          <w:lang w:eastAsia="zh-CN"/>
        </w:rPr>
        <w:t xml:space="preserve">                     </w:t>
      </w:r>
      <w:r>
        <w:rPr>
          <w:rFonts w:hint="eastAsia" w:ascii="宋体" w:hAnsi="宋体" w:cs="宋体"/>
          <w:sz w:val="24"/>
          <w:szCs w:val="24"/>
          <w:lang w:eastAsia="zh-CN"/>
        </w:rPr>
        <w:t>（签字）</w:t>
      </w:r>
    </w:p>
    <w:p>
      <w:pPr>
        <w:pStyle w:val="25"/>
        <w:spacing w:before="0" w:after="0" w:line="600" w:lineRule="exact"/>
        <w:ind w:firstLine="1920" w:firstLineChars="800"/>
        <w:rPr>
          <w:rFonts w:ascii="宋体" w:hAnsi="宋体" w:cs="宋体"/>
          <w:sz w:val="24"/>
          <w:szCs w:val="24"/>
          <w:lang w:eastAsia="zh-CN"/>
        </w:rPr>
      </w:pPr>
      <w:r>
        <w:rPr>
          <w:rFonts w:hint="eastAsia" w:ascii="宋体" w:hAnsi="宋体" w:cs="宋体"/>
          <w:sz w:val="24"/>
          <w:szCs w:val="24"/>
          <w:lang w:eastAsia="zh-CN"/>
        </w:rPr>
        <w:t>日   期：</w:t>
      </w:r>
      <w:r>
        <w:rPr>
          <w:rFonts w:hint="eastAsia" w:ascii="宋体" w:hAnsi="宋体" w:cs="宋体"/>
          <w:sz w:val="24"/>
          <w:szCs w:val="24"/>
          <w:u w:val="single"/>
          <w:lang w:eastAsia="zh-CN"/>
        </w:rPr>
        <w:t xml:space="preserve">      </w:t>
      </w:r>
      <w:r>
        <w:rPr>
          <w:rFonts w:hint="eastAsia" w:ascii="宋体" w:hAnsi="宋体" w:cs="宋体"/>
          <w:sz w:val="24"/>
          <w:szCs w:val="24"/>
          <w:lang w:eastAsia="zh-CN"/>
        </w:rPr>
        <w:t>年</w:t>
      </w:r>
      <w:r>
        <w:rPr>
          <w:rFonts w:hint="eastAsia" w:ascii="宋体" w:hAnsi="宋体" w:cs="宋体"/>
          <w:sz w:val="24"/>
          <w:szCs w:val="24"/>
          <w:u w:val="single"/>
          <w:lang w:eastAsia="zh-CN"/>
        </w:rPr>
        <w:t xml:space="preserve">     </w:t>
      </w:r>
      <w:r>
        <w:rPr>
          <w:rFonts w:hint="eastAsia" w:ascii="宋体" w:hAnsi="宋体" w:cs="宋体"/>
          <w:sz w:val="24"/>
          <w:szCs w:val="24"/>
          <w:lang w:eastAsia="zh-CN"/>
        </w:rPr>
        <w:t>月</w:t>
      </w:r>
      <w:r>
        <w:rPr>
          <w:rFonts w:hint="eastAsia" w:ascii="宋体" w:hAnsi="宋体" w:cs="宋体"/>
          <w:sz w:val="24"/>
          <w:szCs w:val="24"/>
          <w:u w:val="single"/>
          <w:lang w:eastAsia="zh-CN"/>
        </w:rPr>
        <w:t xml:space="preserve">     </w:t>
      </w:r>
      <w:r>
        <w:rPr>
          <w:rFonts w:hint="eastAsia" w:ascii="宋体" w:hAnsi="宋体" w:cs="宋体"/>
          <w:sz w:val="24"/>
          <w:szCs w:val="24"/>
          <w:lang w:eastAsia="zh-CN"/>
        </w:rPr>
        <w:t>日</w:t>
      </w:r>
    </w:p>
    <w:p>
      <w:pPr>
        <w:pStyle w:val="25"/>
        <w:spacing w:before="0" w:after="0" w:line="600" w:lineRule="exact"/>
        <w:rPr>
          <w:rFonts w:ascii="宋体" w:hAnsi="宋体" w:cs="宋体"/>
          <w:sz w:val="24"/>
          <w:szCs w:val="24"/>
          <w:lang w:eastAsia="zh-CN"/>
        </w:rPr>
      </w:pPr>
    </w:p>
    <w:p>
      <w:pPr>
        <w:rPr>
          <w:rFonts w:ascii="宋体" w:hAnsi="宋体" w:eastAsia="宋体" w:cs="宋体"/>
          <w:b/>
          <w:bCs/>
          <w:sz w:val="28"/>
          <w:szCs w:val="28"/>
        </w:rPr>
      </w:pP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五、资格证明文件</w:t>
      </w:r>
    </w:p>
    <w:p>
      <w:pPr>
        <w:widowControl w:val="0"/>
        <w:kinsoku/>
        <w:autoSpaceDE/>
        <w:autoSpaceDN/>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符合《中华人民共和国政府采购法》第二十二条的规定，并提供下列材料：</w:t>
      </w:r>
    </w:p>
    <w:p>
      <w:pPr>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lang w:val="zh-CN"/>
        </w:rPr>
        <w:t>（1）</w:t>
      </w:r>
      <w:r>
        <w:rPr>
          <w:rFonts w:hint="eastAsia" w:ascii="宋体" w:hAnsi="宋体" w:eastAsia="宋体" w:cs="宋体"/>
          <w:sz w:val="24"/>
          <w:szCs w:val="24"/>
        </w:rPr>
        <w:t>具有独立承担民事责任的法人、其他组织或自然人，提供有效的营业执照等相应证明文件，非法人单位参照执行；</w:t>
      </w:r>
    </w:p>
    <w:p>
      <w:pPr>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lang w:val="zh-CN"/>
        </w:rPr>
        <w:t>（2）财务状况报告：</w:t>
      </w:r>
      <w:r>
        <w:rPr>
          <w:rFonts w:hint="eastAsia" w:ascii="宋体" w:hAnsi="宋体" w:eastAsia="宋体" w:cs="宋体"/>
          <w:sz w:val="24"/>
          <w:szCs w:val="24"/>
        </w:rPr>
        <w:t>提供2021年度审计报告(至少包括有资产负债表、利润表、现金流量表)，成立时间至提交响应文件截止时间不足一年的可提供成立后任意时段的资产负债表，或提供响应文件递交截止前三个月内基本存款账户开户银行出具的资信证明(以上两种形式的资料提供任何一种即可)；</w:t>
      </w:r>
    </w:p>
    <w:p>
      <w:pPr>
        <w:pStyle w:val="15"/>
        <w:widowControl w:val="0"/>
        <w:kinsoku/>
        <w:autoSpaceDE/>
        <w:autoSpaceDN/>
        <w:spacing w:before="0" w:beforeAutospacing="0" w:after="0" w:afterAutospacing="0" w:line="360" w:lineRule="auto"/>
        <w:ind w:firstLine="480" w:firstLineChars="200"/>
        <w:textAlignment w:val="auto"/>
        <w:rPr>
          <w:rFonts w:eastAsia="宋体" w:cs="宋体"/>
          <w:szCs w:val="24"/>
        </w:rPr>
      </w:pPr>
      <w:r>
        <w:rPr>
          <w:rFonts w:hint="eastAsia" w:eastAsia="宋体" w:cs="宋体"/>
          <w:color w:val="auto"/>
          <w:szCs w:val="24"/>
          <w:lang w:val="zh-CN"/>
        </w:rPr>
        <w:t>（3）</w:t>
      </w:r>
      <w:r>
        <w:rPr>
          <w:rFonts w:hint="eastAsia" w:eastAsia="宋体" w:cs="宋体"/>
          <w:szCs w:val="24"/>
        </w:rPr>
        <w:t>具有履行合同所必需的设备和专业技术能力，提供承诺书；</w:t>
      </w:r>
    </w:p>
    <w:p>
      <w:pPr>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lang w:val="zh-CN"/>
        </w:rPr>
        <w:t>（4）税收缴纳证明：</w:t>
      </w:r>
      <w:r>
        <w:rPr>
          <w:rFonts w:hint="eastAsia" w:ascii="宋体" w:hAnsi="宋体" w:eastAsia="宋体" w:cs="宋体"/>
          <w:sz w:val="24"/>
          <w:szCs w:val="24"/>
        </w:rPr>
        <w:t>提供投标文件递交截止时间前六个月内任意三月已缴纳的纳税证明或完税证明(包含增值税、企业所得税至少一种)，依法免税的供应商应提供相关证明文件；</w:t>
      </w:r>
    </w:p>
    <w:p>
      <w:pPr>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lang w:val="zh-CN"/>
        </w:rPr>
        <w:t>（5）社会保障资金</w:t>
      </w:r>
      <w:r>
        <w:rPr>
          <w:rFonts w:hint="eastAsia" w:ascii="宋体" w:hAnsi="宋体" w:eastAsia="宋体" w:cs="宋体"/>
          <w:color w:val="auto"/>
          <w:sz w:val="24"/>
          <w:szCs w:val="24"/>
        </w:rPr>
        <w:t>缴纳</w:t>
      </w:r>
      <w:r>
        <w:rPr>
          <w:rFonts w:hint="eastAsia" w:ascii="宋体" w:hAnsi="宋体" w:eastAsia="宋体" w:cs="宋体"/>
          <w:color w:val="auto"/>
          <w:sz w:val="24"/>
          <w:szCs w:val="24"/>
          <w:lang w:val="zh-CN"/>
        </w:rPr>
        <w:t>证明：</w:t>
      </w:r>
      <w:r>
        <w:rPr>
          <w:rFonts w:hint="eastAsia" w:ascii="宋体" w:hAnsi="宋体" w:eastAsia="宋体" w:cs="宋体"/>
          <w:sz w:val="24"/>
          <w:szCs w:val="24"/>
        </w:rPr>
        <w:t>提供投标文件递交截止时间前六个月内任意三月已缴存的社会保障资金缴费证明或参保证明，依法不需要缴纳社会保障资金的供应商应提供相关证明文件；</w:t>
      </w:r>
    </w:p>
    <w:p>
      <w:pPr>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lang w:val="zh-CN"/>
        </w:rPr>
        <w:t>（6）</w:t>
      </w:r>
      <w:r>
        <w:rPr>
          <w:rFonts w:hint="eastAsia" w:ascii="宋体" w:hAnsi="宋体" w:eastAsia="宋体" w:cs="宋体"/>
          <w:sz w:val="24"/>
          <w:szCs w:val="24"/>
        </w:rPr>
        <w:t>参加政府采购活动前三年内，在经营活动中没有重大违法记录，提供书面声明；</w:t>
      </w:r>
    </w:p>
    <w:p>
      <w:pPr>
        <w:pStyle w:val="15"/>
        <w:widowControl w:val="0"/>
        <w:kinsoku/>
        <w:autoSpaceDE/>
        <w:autoSpaceDN/>
        <w:spacing w:before="0" w:beforeAutospacing="0" w:after="0" w:afterAutospacing="0" w:line="360" w:lineRule="auto"/>
        <w:ind w:firstLine="480" w:firstLineChars="200"/>
        <w:textAlignment w:val="auto"/>
        <w:rPr>
          <w:rFonts w:eastAsia="宋体" w:cs="宋体"/>
          <w:color w:val="auto"/>
          <w:szCs w:val="24"/>
          <w:lang w:val="zh-CN"/>
        </w:rPr>
      </w:pPr>
      <w:r>
        <w:rPr>
          <w:rFonts w:hint="eastAsia" w:eastAsia="宋体" w:cs="宋体"/>
          <w:color w:val="auto"/>
          <w:szCs w:val="24"/>
          <w:lang w:val="zh-CN"/>
        </w:rPr>
        <w:t>（</w:t>
      </w:r>
      <w:r>
        <w:rPr>
          <w:rFonts w:hint="eastAsia" w:eastAsia="宋体" w:cs="宋体"/>
          <w:color w:val="auto"/>
          <w:szCs w:val="24"/>
        </w:rPr>
        <w:t>7</w:t>
      </w:r>
      <w:r>
        <w:rPr>
          <w:rFonts w:hint="eastAsia" w:eastAsia="宋体" w:cs="宋体"/>
          <w:color w:val="auto"/>
          <w:szCs w:val="24"/>
          <w:lang w:val="zh-CN"/>
        </w:rPr>
        <w:t>）通过中国政府采购网 和“信用中国”查询相关主体无失信记录，对列入失信被执行人、重大税收违法失信主体、政府采购严重违法失信行为记录名单的供应商，将拒绝其参与政府采购活动（提供查询结果网页截图并加盖供应商公章，查询日期为从招标文件发售之日起至投标截止日前)。</w:t>
      </w:r>
    </w:p>
    <w:p>
      <w:pPr>
        <w:pStyle w:val="15"/>
        <w:widowControl w:val="0"/>
        <w:kinsoku/>
        <w:autoSpaceDE/>
        <w:autoSpaceDN/>
        <w:spacing w:before="0" w:beforeAutospacing="0" w:after="0" w:afterAutospacing="0" w:line="360" w:lineRule="auto"/>
        <w:ind w:firstLine="480" w:firstLineChars="200"/>
        <w:textAlignment w:val="auto"/>
        <w:rPr>
          <w:rFonts w:eastAsia="宋体" w:cs="宋体"/>
          <w:color w:val="auto"/>
          <w:szCs w:val="24"/>
          <w:lang w:val="zh-CN"/>
        </w:rPr>
      </w:pPr>
      <w:r>
        <w:rPr>
          <w:rFonts w:hint="eastAsia" w:eastAsia="宋体" w:cs="宋体"/>
          <w:color w:val="auto"/>
          <w:szCs w:val="24"/>
          <w:lang w:val="zh-CN"/>
        </w:rPr>
        <w:t>（</w:t>
      </w:r>
      <w:r>
        <w:rPr>
          <w:rFonts w:hint="eastAsia" w:eastAsia="宋体" w:cs="宋体"/>
          <w:color w:val="auto"/>
          <w:szCs w:val="24"/>
        </w:rPr>
        <w:t>8</w:t>
      </w:r>
      <w:r>
        <w:rPr>
          <w:rFonts w:hint="eastAsia" w:eastAsia="宋体" w:cs="宋体"/>
          <w:color w:val="auto"/>
          <w:szCs w:val="24"/>
          <w:lang w:val="zh-CN"/>
        </w:rPr>
        <w:t>）法定代表人授权委托书（附法定代表人、被授权委托人身份证复印件）及被授权委托人身份证；法定代表人参加投标须提供法定代表人身份证明及法定代表人身份证；</w:t>
      </w:r>
    </w:p>
    <w:p>
      <w:pPr>
        <w:pStyle w:val="15"/>
        <w:widowControl w:val="0"/>
        <w:kinsoku/>
        <w:autoSpaceDE/>
        <w:autoSpaceDN/>
        <w:spacing w:before="0" w:beforeAutospacing="0" w:after="0" w:afterAutospacing="0" w:line="360" w:lineRule="auto"/>
        <w:ind w:firstLine="480" w:firstLineChars="200"/>
        <w:textAlignment w:val="auto"/>
        <w:rPr>
          <w:rFonts w:eastAsia="宋体" w:cs="宋体"/>
          <w:szCs w:val="24"/>
        </w:rPr>
      </w:pPr>
    </w:p>
    <w:p>
      <w:pPr>
        <w:widowControl w:val="0"/>
        <w:kinsoku/>
        <w:autoSpaceDE/>
        <w:autoSpaceDN/>
        <w:spacing w:line="360" w:lineRule="auto"/>
        <w:jc w:val="both"/>
        <w:textAlignment w:val="auto"/>
        <w:rPr>
          <w:rFonts w:ascii="宋体" w:hAnsi="宋体" w:cs="宋体"/>
          <w:b/>
          <w:bCs/>
          <w:color w:val="auto"/>
        </w:rPr>
      </w:pPr>
      <w:r>
        <w:rPr>
          <w:rFonts w:hint="eastAsia" w:ascii="宋体" w:hAnsi="宋体" w:eastAsia="宋体" w:cs="宋体"/>
          <w:b/>
          <w:bCs/>
          <w:color w:val="auto"/>
          <w:sz w:val="22"/>
          <w:szCs w:val="22"/>
        </w:rPr>
        <w:t>注：</w:t>
      </w:r>
      <w:r>
        <w:rPr>
          <w:rFonts w:hint="eastAsia" w:ascii="宋体" w:hAnsi="宋体" w:cs="宋体"/>
          <w:b/>
          <w:bCs/>
          <w:color w:val="auto"/>
        </w:rPr>
        <w:t>以上资料，复印件或扫描件加盖公章。</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rPr>
          <w:rFonts w:ascii="宋体" w:hAnsi="宋体" w:eastAsia="宋体" w:cs="宋体"/>
          <w:sz w:val="24"/>
          <w:szCs w:val="24"/>
        </w:rPr>
      </w:pPr>
    </w:p>
    <w:p>
      <w:pPr>
        <w:spacing w:line="560" w:lineRule="exact"/>
        <w:jc w:val="center"/>
        <w:rPr>
          <w:rFonts w:ascii="宋体" w:hAnsi="宋体" w:eastAsia="宋体" w:cs="宋体"/>
          <w:b/>
          <w:sz w:val="28"/>
          <w:szCs w:val="28"/>
        </w:rPr>
      </w:pPr>
      <w:bookmarkStart w:id="217" w:name="_Toc16356"/>
      <w:r>
        <w:rPr>
          <w:rFonts w:hint="eastAsia" w:ascii="宋体" w:hAnsi="宋体" w:eastAsia="宋体" w:cs="宋体"/>
          <w:b/>
          <w:sz w:val="28"/>
          <w:szCs w:val="28"/>
        </w:rPr>
        <w:t>履行合同所必需的设备和专业技术能力的书面声明</w:t>
      </w:r>
    </w:p>
    <w:p>
      <w:pPr>
        <w:spacing w:line="560" w:lineRule="exact"/>
        <w:rPr>
          <w:rFonts w:ascii="宋体" w:hAnsi="宋体" w:cs="宋体"/>
          <w:spacing w:val="4"/>
          <w:u w:val="single"/>
        </w:rPr>
      </w:pPr>
    </w:p>
    <w:p>
      <w:pPr>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（采购人名称）：</w:t>
      </w:r>
    </w:p>
    <w:p>
      <w:pPr>
        <w:spacing w:line="56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eastAsia="宋体" w:cs="宋体"/>
          <w:sz w:val="24"/>
          <w:szCs w:val="24"/>
          <w:u w:val="single"/>
        </w:rPr>
        <w:t>投标</w:t>
      </w:r>
      <w:r>
        <w:rPr>
          <w:rFonts w:hint="eastAsia" w:ascii="宋体" w:hAnsi="宋体" w:cs="宋体"/>
          <w:sz w:val="24"/>
          <w:szCs w:val="24"/>
          <w:u w:val="single"/>
        </w:rPr>
        <w:t xml:space="preserve">供应商名称）  </w:t>
      </w:r>
      <w:r>
        <w:rPr>
          <w:rFonts w:hint="eastAsia" w:ascii="宋体" w:hAnsi="宋体" w:cs="宋体"/>
          <w:sz w:val="24"/>
          <w:szCs w:val="24"/>
        </w:rPr>
        <w:t>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日在中华人民共和国境内</w:t>
      </w:r>
      <w:r>
        <w:rPr>
          <w:rFonts w:hint="eastAsia" w:ascii="宋体" w:hAnsi="宋体" w:cs="宋体"/>
          <w:sz w:val="24"/>
          <w:szCs w:val="24"/>
          <w:u w:val="single"/>
        </w:rPr>
        <w:t xml:space="preserve">    （详细注册地址） </w:t>
      </w:r>
      <w:r>
        <w:rPr>
          <w:rFonts w:hint="eastAsia" w:ascii="宋体" w:hAnsi="宋体" w:cs="宋体"/>
          <w:sz w:val="24"/>
          <w:szCs w:val="24"/>
        </w:rPr>
        <w:t>合法注册并经营，公司主营业务为</w:t>
      </w:r>
      <w:r>
        <w:rPr>
          <w:rFonts w:hint="eastAsia" w:ascii="宋体" w:hAnsi="宋体" w:cs="宋体"/>
          <w:sz w:val="24"/>
          <w:szCs w:val="24"/>
          <w:u w:val="single"/>
        </w:rPr>
        <w:t xml:space="preserve">           </w:t>
      </w:r>
      <w:r>
        <w:rPr>
          <w:rFonts w:hint="eastAsia" w:ascii="宋体" w:hAnsi="宋体" w:cs="宋体"/>
          <w:sz w:val="24"/>
          <w:szCs w:val="24"/>
        </w:rPr>
        <w:t>，营业（生产经营）面积为</w:t>
      </w:r>
      <w:r>
        <w:rPr>
          <w:rFonts w:hint="eastAsia" w:ascii="宋体" w:hAnsi="宋体" w:cs="宋体"/>
          <w:sz w:val="24"/>
          <w:szCs w:val="24"/>
          <w:u w:val="single"/>
        </w:rPr>
        <w:t xml:space="preserve">       </w:t>
      </w:r>
      <w:r>
        <w:rPr>
          <w:rFonts w:hint="eastAsia" w:ascii="宋体" w:hAnsi="宋体" w:cs="宋体"/>
          <w:sz w:val="24"/>
          <w:szCs w:val="24"/>
        </w:rPr>
        <w:t>，现有员工数量为</w:t>
      </w:r>
      <w:r>
        <w:rPr>
          <w:rFonts w:hint="eastAsia" w:ascii="宋体" w:hAnsi="宋体" w:cs="宋体"/>
          <w:sz w:val="24"/>
          <w:szCs w:val="24"/>
          <w:u w:val="single"/>
        </w:rPr>
        <w:t xml:space="preserve">         </w:t>
      </w:r>
      <w:r>
        <w:rPr>
          <w:rFonts w:hint="eastAsia" w:ascii="宋体" w:hAnsi="宋体" w:cs="宋体"/>
          <w:sz w:val="24"/>
          <w:szCs w:val="24"/>
        </w:rPr>
        <w:t>，本公司郑重承诺，具有履行本合同所必需的设备和专业技术能力。如有不实，我方将无条件地退出本项目的采购活动，并遵照《中华人民共和国政府采购法》有关"提供虚假材料的规定"接受处罚。</w:t>
      </w:r>
      <w:r>
        <w:rPr>
          <w:rFonts w:hint="eastAsia" w:ascii="宋体" w:hAnsi="宋体" w:cs="宋体"/>
          <w:sz w:val="24"/>
          <w:szCs w:val="24"/>
        </w:rPr>
        <w:br w:type="textWrapping"/>
      </w:r>
    </w:p>
    <w:p>
      <w:pPr>
        <w:pStyle w:val="2"/>
        <w:rPr>
          <w:szCs w:val="22"/>
        </w:rPr>
      </w:pPr>
    </w:p>
    <w:p>
      <w:pPr>
        <w:spacing w:line="560" w:lineRule="exact"/>
        <w:ind w:firstLine="480" w:firstLineChars="200"/>
        <w:rPr>
          <w:rFonts w:ascii="宋体" w:hAnsi="宋体" w:cs="宋体"/>
          <w:sz w:val="24"/>
          <w:szCs w:val="24"/>
        </w:rPr>
      </w:pPr>
      <w:r>
        <w:rPr>
          <w:rFonts w:hint="eastAsia" w:ascii="宋体" w:hAnsi="宋体" w:eastAsia="宋体" w:cs="宋体"/>
          <w:sz w:val="24"/>
          <w:szCs w:val="24"/>
        </w:rPr>
        <w:t>投标</w:t>
      </w:r>
      <w:r>
        <w:rPr>
          <w:rFonts w:hint="eastAsia" w:ascii="宋体" w:hAnsi="宋体" w:cs="宋体"/>
          <w:sz w:val="24"/>
          <w:szCs w:val="24"/>
        </w:rPr>
        <w:t>供应商（盖章）：</w:t>
      </w:r>
      <w:r>
        <w:rPr>
          <w:rFonts w:hint="eastAsia" w:ascii="宋体" w:hAnsi="宋体" w:cs="宋体"/>
          <w:sz w:val="24"/>
          <w:szCs w:val="24"/>
          <w:u w:val="single"/>
        </w:rPr>
        <w:t xml:space="preserve">                      </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法定代表人或授权代表（签字）：</w:t>
      </w:r>
      <w:r>
        <w:rPr>
          <w:rFonts w:hint="eastAsia" w:ascii="宋体" w:hAnsi="宋体" w:cs="宋体"/>
          <w:sz w:val="24"/>
          <w:szCs w:val="24"/>
          <w:u w:val="single"/>
        </w:rPr>
        <w:t xml:space="preserve">            </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spacing w:line="560" w:lineRule="exact"/>
        <w:jc w:val="center"/>
        <w:rPr>
          <w:rFonts w:ascii="宋体" w:hAnsi="宋体" w:cs="宋体"/>
          <w:b/>
        </w:rPr>
      </w:pPr>
      <w:r>
        <w:rPr>
          <w:rFonts w:hint="eastAsia" w:ascii="宋体" w:hAnsi="宋体" w:cs="宋体"/>
          <w:sz w:val="24"/>
          <w:szCs w:val="24"/>
          <w:u w:val="single"/>
        </w:rPr>
        <w:br w:type="page"/>
      </w:r>
      <w:r>
        <w:rPr>
          <w:rFonts w:hint="eastAsia" w:ascii="宋体" w:hAnsi="宋体" w:cs="宋体"/>
          <w:b/>
          <w:spacing w:val="-6"/>
          <w:sz w:val="28"/>
          <w:szCs w:val="28"/>
        </w:rPr>
        <w:t>参加政府采购活动前3年内无重大违法记录的书面声明</w:t>
      </w:r>
    </w:p>
    <w:p>
      <w:pPr>
        <w:spacing w:line="560" w:lineRule="exact"/>
        <w:ind w:firstLine="420" w:firstLineChars="200"/>
        <w:rPr>
          <w:rFonts w:ascii="宋体" w:hAnsi="宋体" w:cs="宋体"/>
        </w:rPr>
      </w:pPr>
    </w:p>
    <w:p>
      <w:pPr>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     （采购人名称）    ：</w:t>
      </w:r>
    </w:p>
    <w:p>
      <w:pPr>
        <w:spacing w:line="560" w:lineRule="exact"/>
        <w:ind w:firstLine="480" w:firstLineChars="200"/>
        <w:rPr>
          <w:rFonts w:ascii="宋体" w:hAnsi="宋体" w:cs="宋体"/>
          <w:sz w:val="24"/>
          <w:szCs w:val="24"/>
        </w:rPr>
      </w:pPr>
      <w:r>
        <w:rPr>
          <w:rFonts w:hint="eastAsia" w:ascii="宋体" w:hAnsi="宋体" w:cs="宋体"/>
          <w:sz w:val="24"/>
          <w:szCs w:val="24"/>
        </w:rPr>
        <w:t xml:space="preserve"> 我方_______________（</w:t>
      </w:r>
      <w:r>
        <w:rPr>
          <w:rFonts w:hint="eastAsia" w:ascii="宋体" w:hAnsi="宋体" w:eastAsia="宋体" w:cs="宋体"/>
          <w:sz w:val="24"/>
          <w:szCs w:val="24"/>
        </w:rPr>
        <w:t>投标</w:t>
      </w:r>
      <w:r>
        <w:rPr>
          <w:rFonts w:hint="eastAsia" w:ascii="宋体" w:hAnsi="宋体" w:cs="宋体"/>
          <w:sz w:val="24"/>
          <w:szCs w:val="24"/>
        </w:rPr>
        <w:t>供应商名称）郑重声明在参加本次政府采购活动前3年内的经营活动没有重大违法记录。如有不实，我方将无条件地退出本项目的采购活动，并遵照《中华人民共和国政府采购法》有关"提供虚假材料的规定"接受处罚。</w:t>
      </w:r>
      <w:r>
        <w:rPr>
          <w:rFonts w:hint="eastAsia" w:ascii="宋体" w:hAnsi="宋体" w:cs="宋体"/>
          <w:sz w:val="24"/>
          <w:szCs w:val="24"/>
        </w:rPr>
        <w:br w:type="textWrapping"/>
      </w:r>
      <w:r>
        <w:rPr>
          <w:rFonts w:hint="eastAsia" w:ascii="宋体" w:hAnsi="宋体" w:cs="宋体"/>
          <w:sz w:val="24"/>
          <w:szCs w:val="24"/>
        </w:rPr>
        <w:t xml:space="preserve">     特此声明。</w:t>
      </w:r>
    </w:p>
    <w:p>
      <w:pPr>
        <w:pStyle w:val="2"/>
        <w:spacing w:line="560" w:lineRule="exact"/>
        <w:rPr>
          <w:rFonts w:ascii="宋体" w:hAnsi="宋体" w:cs="宋体"/>
          <w:szCs w:val="24"/>
        </w:rPr>
      </w:pPr>
    </w:p>
    <w:p>
      <w:pPr>
        <w:pStyle w:val="2"/>
        <w:spacing w:line="560" w:lineRule="exact"/>
        <w:rPr>
          <w:rFonts w:ascii="宋体" w:hAnsi="宋体" w:cs="宋体"/>
          <w:szCs w:val="24"/>
        </w:rPr>
      </w:pPr>
    </w:p>
    <w:p>
      <w:pPr>
        <w:spacing w:line="560" w:lineRule="exact"/>
        <w:rPr>
          <w:rFonts w:ascii="宋体" w:hAnsi="宋体" w:cs="宋体"/>
          <w:sz w:val="24"/>
          <w:szCs w:val="24"/>
        </w:rPr>
      </w:pPr>
    </w:p>
    <w:p>
      <w:pPr>
        <w:spacing w:line="560" w:lineRule="exact"/>
        <w:ind w:firstLine="480" w:firstLineChars="200"/>
        <w:rPr>
          <w:rFonts w:ascii="宋体" w:hAnsi="宋体" w:cs="宋体"/>
          <w:sz w:val="24"/>
          <w:szCs w:val="24"/>
        </w:rPr>
      </w:pPr>
    </w:p>
    <w:p>
      <w:pPr>
        <w:spacing w:line="560" w:lineRule="exact"/>
        <w:ind w:firstLine="480" w:firstLineChars="200"/>
        <w:rPr>
          <w:rFonts w:ascii="宋体" w:hAnsi="宋体" w:cs="宋体"/>
          <w:sz w:val="24"/>
          <w:szCs w:val="24"/>
        </w:rPr>
      </w:pPr>
      <w:r>
        <w:rPr>
          <w:rFonts w:hint="eastAsia" w:ascii="宋体" w:hAnsi="宋体" w:eastAsia="宋体" w:cs="宋体"/>
          <w:sz w:val="24"/>
          <w:szCs w:val="24"/>
        </w:rPr>
        <w:t>投标</w:t>
      </w:r>
      <w:r>
        <w:rPr>
          <w:rFonts w:hint="eastAsia" w:ascii="宋体" w:hAnsi="宋体" w:cs="宋体"/>
          <w:sz w:val="24"/>
          <w:szCs w:val="24"/>
        </w:rPr>
        <w:t>供应商（盖章）：</w:t>
      </w:r>
      <w:r>
        <w:rPr>
          <w:rFonts w:hint="eastAsia" w:ascii="宋体" w:hAnsi="宋体" w:cs="宋体"/>
          <w:sz w:val="24"/>
          <w:szCs w:val="24"/>
          <w:u w:val="single"/>
        </w:rPr>
        <w:t xml:space="preserve">                   </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法定代表人或授权代表（签字）：</w:t>
      </w:r>
      <w:r>
        <w:rPr>
          <w:rFonts w:hint="eastAsia" w:ascii="宋体" w:hAnsi="宋体" w:cs="宋体"/>
          <w:sz w:val="24"/>
          <w:szCs w:val="24"/>
          <w:u w:val="single"/>
        </w:rPr>
        <w:t xml:space="preserve">         </w:t>
      </w:r>
    </w:p>
    <w:p>
      <w:pPr>
        <w:spacing w:line="560" w:lineRule="exact"/>
        <w:ind w:firstLine="480" w:firstLineChars="200"/>
        <w:rPr>
          <w:rFonts w:ascii="宋体" w:hAnsi="宋体" w:cs="宋体"/>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widowControl w:val="0"/>
        <w:kinsoku/>
        <w:snapToGrid/>
        <w:spacing w:line="380" w:lineRule="exact"/>
        <w:jc w:val="center"/>
        <w:textAlignment w:val="auto"/>
        <w:rPr>
          <w:rFonts w:ascii="宋体" w:hAnsi="宋体" w:eastAsia="宋体" w:cs="宋体"/>
          <w:sz w:val="24"/>
          <w:szCs w:val="24"/>
        </w:rPr>
      </w:pPr>
      <w:r>
        <w:rPr>
          <w:rFonts w:hint="eastAsia" w:ascii="宋体" w:hAnsi="宋体" w:eastAsia="宋体" w:cs="宋体"/>
          <w:sz w:val="24"/>
          <w:szCs w:val="24"/>
        </w:rPr>
        <w:t xml:space="preserve">  </w:t>
      </w:r>
    </w:p>
    <w:p>
      <w:pPr>
        <w:spacing w:line="360" w:lineRule="auto"/>
        <w:jc w:val="center"/>
        <w:rPr>
          <w:rFonts w:ascii="宋体" w:hAnsi="宋体" w:eastAsia="宋体" w:cs="宋体"/>
          <w:b/>
          <w:bCs/>
          <w:sz w:val="28"/>
          <w:szCs w:val="28"/>
        </w:rPr>
      </w:pPr>
      <w:r>
        <w:rPr>
          <w:rFonts w:hint="eastAsia" w:ascii="宋体" w:hAnsi="宋体" w:eastAsia="宋体" w:cs="宋体"/>
          <w:sz w:val="24"/>
          <w:szCs w:val="24"/>
        </w:rPr>
        <w:br w:type="page"/>
      </w:r>
      <w:r>
        <w:rPr>
          <w:rFonts w:hint="eastAsia" w:ascii="宋体" w:hAnsi="宋体" w:eastAsia="宋体" w:cs="宋体"/>
          <w:b/>
          <w:bCs/>
          <w:sz w:val="28"/>
          <w:szCs w:val="28"/>
        </w:rPr>
        <w:t>六、投标保证金缴纳凭证</w:t>
      </w:r>
      <w:bookmarkEnd w:id="217"/>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注：需附开户许可证或基本户开户信息、保证金交纳凭证</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pStyle w:val="3"/>
        <w:numPr>
          <w:ilvl w:val="0"/>
          <w:numId w:val="0"/>
        </w:numPr>
        <w:spacing w:line="360" w:lineRule="auto"/>
        <w:rPr>
          <w:rFonts w:ascii="宋体" w:hAnsi="宋体" w:eastAsia="宋体" w:cs="宋体"/>
          <w:b/>
          <w:bCs/>
          <w:szCs w:val="28"/>
        </w:rPr>
      </w:pPr>
      <w:r>
        <w:rPr>
          <w:rFonts w:hint="eastAsia" w:ascii="宋体" w:hAnsi="宋体" w:eastAsia="宋体" w:cs="宋体"/>
          <w:b/>
          <w:bCs/>
          <w:szCs w:val="28"/>
        </w:rPr>
        <w:t>七、投标方案</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格式自拟，各投标供应商根据《第四部分 评标办法》详细评审及《第三部分 采购需求》进行编制投标方案且提供相应证明材料。</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pStyle w:val="3"/>
        <w:numPr>
          <w:ilvl w:val="0"/>
          <w:numId w:val="0"/>
        </w:numPr>
        <w:spacing w:line="360" w:lineRule="auto"/>
        <w:rPr>
          <w:rFonts w:ascii="宋体" w:hAnsi="宋体" w:eastAsia="宋体" w:cs="宋体"/>
          <w:b/>
          <w:bCs/>
          <w:szCs w:val="28"/>
        </w:rPr>
      </w:pPr>
      <w:r>
        <w:rPr>
          <w:rFonts w:hint="eastAsia" w:ascii="宋体" w:hAnsi="宋体" w:eastAsia="宋体" w:cs="宋体"/>
          <w:b/>
          <w:bCs/>
          <w:szCs w:val="28"/>
        </w:rPr>
        <w:t>八、投标供应商承诺书</w:t>
      </w:r>
    </w:p>
    <w:p>
      <w:pPr>
        <w:spacing w:line="560" w:lineRule="exact"/>
        <w:jc w:val="center"/>
        <w:rPr>
          <w:rFonts w:ascii="宋体" w:hAnsi="宋体" w:eastAsia="宋体" w:cs="宋体"/>
          <w:b/>
          <w:bCs/>
          <w:color w:val="auto"/>
          <w:sz w:val="28"/>
          <w:szCs w:val="28"/>
        </w:rPr>
      </w:pPr>
      <w:r>
        <w:rPr>
          <w:rFonts w:hint="eastAsia" w:ascii="宋体" w:hAnsi="宋体" w:eastAsia="宋体" w:cs="宋体"/>
          <w:b/>
          <w:bCs/>
          <w:color w:val="auto"/>
          <w:sz w:val="28"/>
          <w:szCs w:val="28"/>
        </w:rPr>
        <w:t>供应商企业关系关联承诺书</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一、我单位本项目投标中</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填“存在”或“不存在”）与其它供应商负责人为同一人，或有控股、管理等关联关系。</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（一）管理关系说明：</w:t>
      </w:r>
    </w:p>
    <w:p>
      <w:pPr>
        <w:spacing w:line="56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我单位管理的具有独立法人的下属单位：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(没有填“无”)。</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我单位的上级管理单位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(没有填“无”)。</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（二）股权关系说明：</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我单位控股的单位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(没有填“无”) 。</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(填“有”或“没有”)被</w:t>
      </w:r>
      <w:r>
        <w:rPr>
          <w:rFonts w:hint="eastAsia" w:ascii="宋体" w:hAnsi="宋体" w:eastAsia="宋体" w:cs="宋体"/>
          <w:color w:val="auto"/>
          <w:sz w:val="24"/>
          <w:szCs w:val="24"/>
          <w:u w:val="single"/>
        </w:rPr>
        <w:t xml:space="preserve">   （有填写控股单位全称，没有填“/”）  </w:t>
      </w:r>
      <w:r>
        <w:rPr>
          <w:rFonts w:hint="eastAsia" w:ascii="宋体" w:hAnsi="宋体" w:eastAsia="宋体" w:cs="宋体"/>
          <w:color w:val="auto"/>
          <w:sz w:val="24"/>
          <w:szCs w:val="24"/>
        </w:rPr>
        <w:t>单位控股。</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（填“有”或“没有”） 为本采购项目提供过整体设计、规范编制或者项目管理、监理、检测等服务的供应商。</w:t>
      </w:r>
    </w:p>
    <w:p>
      <w:pPr>
        <w:spacing w:line="5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三、其他与本项目有关的利害关系说明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(没有填“无”) 。</w:t>
      </w:r>
    </w:p>
    <w:p>
      <w:pPr>
        <w:spacing w:line="560" w:lineRule="exact"/>
        <w:ind w:firstLine="480" w:firstLineChars="200"/>
        <w:rPr>
          <w:rFonts w:ascii="宋体" w:hAnsi="宋体" w:eastAsia="宋体" w:cs="宋体"/>
          <w:b/>
          <w:color w:val="auto"/>
          <w:sz w:val="24"/>
          <w:szCs w:val="24"/>
        </w:rPr>
      </w:pPr>
      <w:r>
        <w:rPr>
          <w:rFonts w:hint="eastAsia" w:ascii="宋体" w:hAnsi="宋体" w:eastAsia="宋体" w:cs="宋体"/>
          <w:color w:val="auto"/>
          <w:sz w:val="24"/>
          <w:szCs w:val="24"/>
        </w:rPr>
        <w:t>我单位承诺以上说明真实有效，无虚假内容或隐瞒。</w:t>
      </w:r>
    </w:p>
    <w:p>
      <w:pPr>
        <w:spacing w:line="560" w:lineRule="exact"/>
        <w:ind w:firstLine="1920" w:firstLineChars="800"/>
        <w:rPr>
          <w:rFonts w:ascii="宋体" w:hAnsi="宋体" w:eastAsia="宋体" w:cs="宋体"/>
          <w:color w:val="auto"/>
          <w:sz w:val="24"/>
          <w:szCs w:val="24"/>
        </w:rPr>
      </w:pPr>
    </w:p>
    <w:p>
      <w:pPr>
        <w:spacing w:line="560" w:lineRule="exact"/>
        <w:ind w:firstLine="1920" w:firstLineChars="800"/>
        <w:rPr>
          <w:rFonts w:ascii="宋体" w:hAnsi="宋体" w:eastAsia="宋体" w:cs="宋体"/>
          <w:color w:val="auto"/>
          <w:sz w:val="24"/>
          <w:szCs w:val="24"/>
        </w:rPr>
      </w:pPr>
      <w:r>
        <w:rPr>
          <w:rFonts w:hint="eastAsia" w:ascii="宋体" w:hAnsi="宋体" w:eastAsia="宋体" w:cs="宋体"/>
          <w:color w:val="auto"/>
          <w:sz w:val="24"/>
          <w:szCs w:val="24"/>
        </w:rPr>
        <w:t>投标供应商（盖章）：</w:t>
      </w:r>
      <w:r>
        <w:rPr>
          <w:rFonts w:hint="eastAsia" w:ascii="宋体" w:hAnsi="宋体" w:eastAsia="宋体" w:cs="宋体"/>
          <w:color w:val="auto"/>
          <w:sz w:val="24"/>
          <w:szCs w:val="24"/>
          <w:u w:val="single"/>
        </w:rPr>
        <w:t xml:space="preserve">                   </w:t>
      </w:r>
    </w:p>
    <w:p>
      <w:pPr>
        <w:spacing w:line="560" w:lineRule="exact"/>
        <w:ind w:firstLine="1920" w:firstLineChars="800"/>
        <w:rPr>
          <w:rFonts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w:t>
      </w:r>
      <w:r>
        <w:rPr>
          <w:rFonts w:hint="eastAsia" w:ascii="宋体" w:hAnsi="宋体" w:eastAsia="宋体" w:cs="宋体"/>
          <w:color w:val="auto"/>
          <w:sz w:val="24"/>
          <w:szCs w:val="24"/>
          <w:u w:val="single"/>
        </w:rPr>
        <w:t xml:space="preserve">         </w:t>
      </w:r>
    </w:p>
    <w:p>
      <w:pPr>
        <w:spacing w:line="560" w:lineRule="exact"/>
        <w:ind w:firstLine="1920" w:firstLineChars="800"/>
        <w:rPr>
          <w:rFonts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8"/>
          <w:szCs w:val="28"/>
        </w:rPr>
        <w:t>陕西省政府采购供应商拒绝政府采购领域商业贿赂承诺书</w:t>
      </w:r>
    </w:p>
    <w:p>
      <w:pPr>
        <w:spacing w:line="360" w:lineRule="auto"/>
        <w:ind w:firstLine="480" w:firstLineChars="200"/>
        <w:rPr>
          <w:rFonts w:ascii="宋体" w:hAnsi="宋体" w:eastAsia="宋体" w:cs="宋体"/>
          <w:color w:val="auto"/>
          <w:sz w:val="24"/>
          <w:szCs w:val="24"/>
        </w:rPr>
      </w:pP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为响应党中央、国务院关于治理政府采购领域商业贿赂行为的号召，我公司在此庄严承诺：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1.在参与政府采购活动中遵纪守法、诚信经营、公平竞标。</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2.不向政府采购人、招标代理机构和政府采购评审专家进行任何形式的商业贿赂以谋取交易机会。</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3.不向政府招标代理机构和采购人提供虚假资格文件或采用虚假应标方式参与政府采购市场竞争并谋取中标、成交。</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4.不采取“围标、陪标”等商业欺诈手段获得政府采购定单。</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5.不采取不正当手段诋毁、排挤其他供应商。</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6.不在提供商品和服务时“偷梁换柱、以次充好”损害采购人的合法权益。</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7.不与采购人、招标代理机构政府采购评审专家或其它供应商恶意串通，进行质疑和投诉，维护政府采购市场秩序。</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8.尊重和接受政府采购监督管理部门的监督和政府招标代理机构招标采购要求，承担因违约行为给采购人造成的损失。</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9.不发生其他有悖于政府采购公开、公平、公正和诚信原则的行为。</w:t>
      </w:r>
      <w:r>
        <w:rPr>
          <w:rFonts w:hint="eastAsia" w:ascii="宋体" w:hAnsi="宋体" w:eastAsia="宋体" w:cs="宋体"/>
          <w:color w:val="auto"/>
          <w:sz w:val="24"/>
          <w:szCs w:val="24"/>
        </w:rPr>
        <w:br w:type="textWrapping"/>
      </w:r>
    </w:p>
    <w:p>
      <w:pPr>
        <w:pStyle w:val="27"/>
        <w:ind w:firstLine="480"/>
        <w:rPr>
          <w:rFonts w:ascii="宋体" w:hAnsi="宋体" w:eastAsia="宋体" w:cs="宋体"/>
          <w:color w:val="auto"/>
          <w:sz w:val="24"/>
          <w:szCs w:val="24"/>
        </w:rPr>
      </w:pP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承诺人（公章）：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法定代表人（签字或盖章）：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地    址：       </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邮    编：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电    话：                    </w:t>
      </w:r>
    </w:p>
    <w:p>
      <w:pPr>
        <w:rPr>
          <w:rFonts w:ascii="宋体" w:hAnsi="宋体" w:eastAsia="宋体" w:cs="宋体"/>
          <w:sz w:val="24"/>
          <w:szCs w:val="24"/>
        </w:rPr>
      </w:pPr>
      <w:r>
        <w:rPr>
          <w:rFonts w:hint="eastAsia" w:ascii="宋体" w:hAnsi="宋体" w:eastAsia="宋体" w:cs="宋体"/>
          <w:color w:val="auto"/>
          <w:sz w:val="24"/>
          <w:szCs w:val="24"/>
        </w:rPr>
        <w:t xml:space="preserve">    日    期：</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kinsoku/>
        <w:autoSpaceDE/>
        <w:autoSpaceDN/>
        <w:spacing w:line="560" w:lineRule="exact"/>
        <w:ind w:right="480"/>
        <w:jc w:val="center"/>
        <w:textAlignment w:val="auto"/>
        <w:rPr>
          <w:rFonts w:ascii="宋体" w:hAnsi="宋体" w:eastAsia="宋体" w:cs="宋体"/>
          <w:b/>
          <w:bCs/>
          <w:color w:val="auto"/>
          <w:sz w:val="28"/>
          <w:szCs w:val="28"/>
        </w:rPr>
      </w:pPr>
      <w:r>
        <w:rPr>
          <w:rFonts w:hint="eastAsia" w:ascii="宋体" w:hAnsi="宋体" w:eastAsia="宋体" w:cs="宋体"/>
          <w:b/>
          <w:color w:val="auto"/>
          <w:spacing w:val="2"/>
          <w:sz w:val="28"/>
          <w:szCs w:val="28"/>
        </w:rPr>
        <w:t>九、附件</w:t>
      </w:r>
    </w:p>
    <w:p>
      <w:pPr>
        <w:spacing w:line="360" w:lineRule="auto"/>
        <w:ind w:right="480"/>
        <w:rPr>
          <w:rFonts w:ascii="宋体" w:hAnsi="宋体" w:eastAsia="宋体" w:cs="宋体"/>
          <w:b/>
          <w:bCs/>
          <w:color w:val="auto"/>
          <w:sz w:val="24"/>
          <w:szCs w:val="24"/>
        </w:rPr>
      </w:pPr>
      <w:r>
        <w:rPr>
          <w:rFonts w:hint="eastAsia" w:ascii="宋体" w:hAnsi="宋体" w:eastAsia="宋体" w:cs="宋体"/>
          <w:b/>
          <w:bCs/>
          <w:color w:val="auto"/>
          <w:sz w:val="24"/>
          <w:szCs w:val="24"/>
        </w:rPr>
        <w:t>附表1：企业经营情况表                                  单位：万元</w:t>
      </w:r>
    </w:p>
    <w:tbl>
      <w:tblPr>
        <w:tblStyle w:val="18"/>
        <w:tblW w:w="8779" w:type="dxa"/>
        <w:tblInd w:w="0" w:type="dxa"/>
        <w:tblLayout w:type="fixed"/>
        <w:tblCellMar>
          <w:top w:w="0" w:type="dxa"/>
          <w:left w:w="0" w:type="dxa"/>
          <w:bottom w:w="0" w:type="dxa"/>
          <w:right w:w="0" w:type="dxa"/>
        </w:tblCellMar>
      </w:tblPr>
      <w:tblGrid>
        <w:gridCol w:w="1374"/>
        <w:gridCol w:w="1085"/>
        <w:gridCol w:w="757"/>
        <w:gridCol w:w="1245"/>
        <w:gridCol w:w="701"/>
        <w:gridCol w:w="691"/>
        <w:gridCol w:w="1263"/>
        <w:gridCol w:w="1663"/>
      </w:tblGrid>
      <w:tr>
        <w:tblPrEx>
          <w:tblCellMar>
            <w:top w:w="0" w:type="dxa"/>
            <w:left w:w="0" w:type="dxa"/>
            <w:bottom w:w="0" w:type="dxa"/>
            <w:right w:w="0" w:type="dxa"/>
          </w:tblCellMar>
        </w:tblPrEx>
        <w:trPr>
          <w:trHeight w:val="411" w:hRule="atLeast"/>
        </w:trPr>
        <w:tc>
          <w:tcPr>
            <w:tcW w:w="13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企业名称</w:t>
            </w:r>
          </w:p>
        </w:tc>
        <w:tc>
          <w:tcPr>
            <w:tcW w:w="7405" w:type="dxa"/>
            <w:gridSpan w:val="7"/>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81" w:hRule="atLeast"/>
        </w:trPr>
        <w:tc>
          <w:tcPr>
            <w:tcW w:w="137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7"/>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详细地址</w:t>
            </w:r>
          </w:p>
        </w:tc>
        <w:tc>
          <w:tcPr>
            <w:tcW w:w="184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39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邮政编码</w:t>
            </w:r>
          </w:p>
        </w:tc>
        <w:tc>
          <w:tcPr>
            <w:tcW w:w="16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81" w:hRule="atLeast"/>
        </w:trPr>
        <w:tc>
          <w:tcPr>
            <w:tcW w:w="137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pStyle w:val="7"/>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经济类型</w:t>
            </w:r>
          </w:p>
        </w:tc>
        <w:tc>
          <w:tcPr>
            <w:tcW w:w="184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注册资本</w:t>
            </w:r>
          </w:p>
        </w:tc>
        <w:tc>
          <w:tcPr>
            <w:tcW w:w="139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成立时间</w:t>
            </w:r>
          </w:p>
        </w:tc>
        <w:tc>
          <w:tcPr>
            <w:tcW w:w="16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652" w:hRule="atLeast"/>
        </w:trPr>
        <w:tc>
          <w:tcPr>
            <w:tcW w:w="137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法定代表人</w:t>
            </w:r>
          </w:p>
        </w:tc>
        <w:tc>
          <w:tcPr>
            <w:tcW w:w="184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职    务</w:t>
            </w:r>
          </w:p>
        </w:tc>
        <w:tc>
          <w:tcPr>
            <w:tcW w:w="139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电    话</w:t>
            </w:r>
          </w:p>
        </w:tc>
        <w:tc>
          <w:tcPr>
            <w:tcW w:w="166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577" w:hRule="atLeast"/>
        </w:trPr>
        <w:tc>
          <w:tcPr>
            <w:tcW w:w="137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公司网址</w:t>
            </w:r>
          </w:p>
        </w:tc>
        <w:tc>
          <w:tcPr>
            <w:tcW w:w="4479"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传    真</w:t>
            </w:r>
          </w:p>
        </w:tc>
        <w:tc>
          <w:tcPr>
            <w:tcW w:w="166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cantSplit/>
          <w:trHeight w:val="485" w:hRule="atLeast"/>
        </w:trPr>
        <w:tc>
          <w:tcPr>
            <w:tcW w:w="137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营业范围</w:t>
            </w:r>
          </w:p>
        </w:tc>
        <w:tc>
          <w:tcPr>
            <w:tcW w:w="184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主  营</w:t>
            </w:r>
          </w:p>
        </w:tc>
        <w:tc>
          <w:tcPr>
            <w:tcW w:w="556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cantSplit/>
          <w:trHeight w:val="504" w:hRule="atLeast"/>
        </w:trPr>
        <w:tc>
          <w:tcPr>
            <w:tcW w:w="1374" w:type="dxa"/>
            <w:vMerge w:val="continue"/>
            <w:tcBorders>
              <w:top w:val="nil"/>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auto"/>
                <w:sz w:val="24"/>
                <w:szCs w:val="24"/>
              </w:rPr>
            </w:pPr>
          </w:p>
        </w:tc>
        <w:tc>
          <w:tcPr>
            <w:tcW w:w="184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兼  营</w:t>
            </w:r>
          </w:p>
        </w:tc>
        <w:tc>
          <w:tcPr>
            <w:tcW w:w="556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cantSplit/>
          <w:trHeight w:val="522" w:hRule="atLeast"/>
        </w:trPr>
        <w:tc>
          <w:tcPr>
            <w:tcW w:w="1374" w:type="dxa"/>
            <w:vMerge w:val="continue"/>
            <w:tcBorders>
              <w:top w:val="nil"/>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auto"/>
                <w:sz w:val="24"/>
                <w:szCs w:val="24"/>
              </w:rPr>
            </w:pPr>
          </w:p>
        </w:tc>
        <w:tc>
          <w:tcPr>
            <w:tcW w:w="184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w w:val="90"/>
                <w:sz w:val="24"/>
                <w:szCs w:val="24"/>
              </w:rPr>
            </w:pPr>
            <w:r>
              <w:rPr>
                <w:rFonts w:hint="eastAsia" w:ascii="宋体" w:hAnsi="宋体" w:eastAsia="宋体" w:cs="宋体"/>
                <w:color w:val="auto"/>
                <w:sz w:val="24"/>
                <w:szCs w:val="24"/>
              </w:rPr>
              <w:t>经营优势和特长</w:t>
            </w:r>
          </w:p>
        </w:tc>
        <w:tc>
          <w:tcPr>
            <w:tcW w:w="556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cantSplit/>
          <w:trHeight w:val="711" w:hRule="atLeast"/>
        </w:trPr>
        <w:tc>
          <w:tcPr>
            <w:tcW w:w="137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财务经</w:t>
            </w:r>
          </w:p>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营状况</w:t>
            </w:r>
          </w:p>
        </w:tc>
        <w:tc>
          <w:tcPr>
            <w:tcW w:w="184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年   度</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营业总收入</w:t>
            </w:r>
          </w:p>
        </w:tc>
        <w:tc>
          <w:tcPr>
            <w:tcW w:w="139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交纳营业税</w:t>
            </w:r>
          </w:p>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总额</w:t>
            </w:r>
          </w:p>
        </w:tc>
        <w:tc>
          <w:tcPr>
            <w:tcW w:w="12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交纳所得税</w:t>
            </w:r>
          </w:p>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总额</w:t>
            </w:r>
          </w:p>
        </w:tc>
        <w:tc>
          <w:tcPr>
            <w:tcW w:w="16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负债总额</w:t>
            </w:r>
          </w:p>
        </w:tc>
      </w:tr>
      <w:tr>
        <w:tblPrEx>
          <w:tblCellMar>
            <w:top w:w="0" w:type="dxa"/>
            <w:left w:w="0" w:type="dxa"/>
            <w:bottom w:w="0" w:type="dxa"/>
            <w:right w:w="0" w:type="dxa"/>
          </w:tblCellMar>
        </w:tblPrEx>
        <w:trPr>
          <w:cantSplit/>
          <w:trHeight w:val="509" w:hRule="atLeast"/>
        </w:trPr>
        <w:tc>
          <w:tcPr>
            <w:tcW w:w="1374" w:type="dxa"/>
            <w:vMerge w:val="continue"/>
            <w:tcBorders>
              <w:top w:val="nil"/>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auto"/>
                <w:sz w:val="24"/>
                <w:szCs w:val="24"/>
              </w:rPr>
            </w:pPr>
          </w:p>
        </w:tc>
        <w:tc>
          <w:tcPr>
            <w:tcW w:w="184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2019年</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39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6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cantSplit/>
          <w:trHeight w:val="484" w:hRule="atLeast"/>
        </w:trPr>
        <w:tc>
          <w:tcPr>
            <w:tcW w:w="1374" w:type="dxa"/>
            <w:vMerge w:val="continue"/>
            <w:tcBorders>
              <w:top w:val="nil"/>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auto"/>
                <w:sz w:val="24"/>
                <w:szCs w:val="24"/>
              </w:rPr>
            </w:pPr>
          </w:p>
        </w:tc>
        <w:tc>
          <w:tcPr>
            <w:tcW w:w="184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2020年</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39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6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cantSplit/>
          <w:trHeight w:val="411" w:hRule="atLeast"/>
        </w:trPr>
        <w:tc>
          <w:tcPr>
            <w:tcW w:w="1374" w:type="dxa"/>
            <w:vMerge w:val="continue"/>
            <w:tcBorders>
              <w:top w:val="nil"/>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auto"/>
                <w:sz w:val="24"/>
                <w:szCs w:val="24"/>
              </w:rPr>
            </w:pPr>
          </w:p>
        </w:tc>
        <w:tc>
          <w:tcPr>
            <w:tcW w:w="184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2021年</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39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6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cantSplit/>
          <w:trHeight w:val="521" w:hRule="atLeast"/>
        </w:trPr>
        <w:tc>
          <w:tcPr>
            <w:tcW w:w="137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开户银行</w:t>
            </w:r>
          </w:p>
        </w:tc>
        <w:tc>
          <w:tcPr>
            <w:tcW w:w="184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开户行名称</w:t>
            </w:r>
          </w:p>
        </w:tc>
        <w:tc>
          <w:tcPr>
            <w:tcW w:w="263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联系电话</w:t>
            </w:r>
          </w:p>
        </w:tc>
        <w:tc>
          <w:tcPr>
            <w:tcW w:w="16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cantSplit/>
          <w:trHeight w:val="500" w:hRule="atLeast"/>
        </w:trPr>
        <w:tc>
          <w:tcPr>
            <w:tcW w:w="1374" w:type="dxa"/>
            <w:vMerge w:val="continue"/>
            <w:tcBorders>
              <w:top w:val="nil"/>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auto"/>
                <w:sz w:val="24"/>
                <w:szCs w:val="24"/>
              </w:rPr>
            </w:pPr>
          </w:p>
        </w:tc>
        <w:tc>
          <w:tcPr>
            <w:tcW w:w="184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开户行地址</w:t>
            </w:r>
          </w:p>
        </w:tc>
        <w:tc>
          <w:tcPr>
            <w:tcW w:w="2637"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2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联 系 人</w:t>
            </w:r>
          </w:p>
        </w:tc>
        <w:tc>
          <w:tcPr>
            <w:tcW w:w="16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cantSplit/>
          <w:trHeight w:val="519" w:hRule="atLeast"/>
        </w:trPr>
        <w:tc>
          <w:tcPr>
            <w:tcW w:w="1374"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主营业</w:t>
            </w:r>
          </w:p>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务情况</w:t>
            </w:r>
          </w:p>
        </w:tc>
        <w:tc>
          <w:tcPr>
            <w:tcW w:w="184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主营业务名称</w:t>
            </w:r>
          </w:p>
        </w:tc>
        <w:tc>
          <w:tcPr>
            <w:tcW w:w="5563"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上年经营额</w:t>
            </w:r>
          </w:p>
        </w:tc>
      </w:tr>
      <w:tr>
        <w:tblPrEx>
          <w:tblCellMar>
            <w:top w:w="0" w:type="dxa"/>
            <w:left w:w="0" w:type="dxa"/>
            <w:bottom w:w="0" w:type="dxa"/>
            <w:right w:w="0" w:type="dxa"/>
          </w:tblCellMar>
        </w:tblPrEx>
        <w:trPr>
          <w:cantSplit/>
          <w:trHeight w:val="511" w:hRule="atLeast"/>
        </w:trPr>
        <w:tc>
          <w:tcPr>
            <w:tcW w:w="1374" w:type="dxa"/>
            <w:vMerge w:val="continue"/>
            <w:tcBorders>
              <w:top w:val="nil"/>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auto"/>
                <w:sz w:val="24"/>
                <w:szCs w:val="24"/>
              </w:rPr>
            </w:pPr>
          </w:p>
        </w:tc>
        <w:tc>
          <w:tcPr>
            <w:tcW w:w="184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7"/>
              <w:spacing w:line="320" w:lineRule="exact"/>
              <w:jc w:val="center"/>
              <w:rPr>
                <w:rFonts w:ascii="宋体" w:hAnsi="宋体" w:eastAsia="宋体" w:cs="宋体"/>
                <w:color w:val="auto"/>
                <w:sz w:val="24"/>
                <w:szCs w:val="24"/>
              </w:rPr>
            </w:pPr>
          </w:p>
        </w:tc>
        <w:tc>
          <w:tcPr>
            <w:tcW w:w="5563"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r>
      <w:tr>
        <w:tblPrEx>
          <w:tblCellMar>
            <w:top w:w="0" w:type="dxa"/>
            <w:left w:w="0" w:type="dxa"/>
            <w:bottom w:w="0" w:type="dxa"/>
            <w:right w:w="0" w:type="dxa"/>
          </w:tblCellMar>
        </w:tblPrEx>
        <w:trPr>
          <w:cantSplit/>
          <w:trHeight w:val="859" w:hRule="atLeast"/>
        </w:trPr>
        <w:tc>
          <w:tcPr>
            <w:tcW w:w="137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企业</w:t>
            </w:r>
          </w:p>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总人数</w:t>
            </w:r>
          </w:p>
        </w:tc>
        <w:tc>
          <w:tcPr>
            <w:tcW w:w="184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7"/>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其中：</w:t>
            </w:r>
          </w:p>
        </w:tc>
        <w:tc>
          <w:tcPr>
            <w:tcW w:w="5563"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获得各类专业技术职称人数</w:t>
            </w:r>
          </w:p>
        </w:tc>
      </w:tr>
      <w:tr>
        <w:tblPrEx>
          <w:tblCellMar>
            <w:top w:w="0" w:type="dxa"/>
            <w:left w:w="0" w:type="dxa"/>
            <w:bottom w:w="0" w:type="dxa"/>
            <w:right w:w="0" w:type="dxa"/>
          </w:tblCellMar>
        </w:tblPrEx>
        <w:trPr>
          <w:cantSplit/>
          <w:trHeight w:val="720" w:hRule="atLeast"/>
        </w:trPr>
        <w:tc>
          <w:tcPr>
            <w:tcW w:w="1374" w:type="dxa"/>
            <w:vMerge w:val="continue"/>
            <w:tcBorders>
              <w:top w:val="nil"/>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auto"/>
                <w:sz w:val="24"/>
                <w:szCs w:val="24"/>
              </w:rPr>
            </w:pPr>
          </w:p>
        </w:tc>
        <w:tc>
          <w:tcPr>
            <w:tcW w:w="10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7"/>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管理人员</w:t>
            </w:r>
          </w:p>
        </w:tc>
        <w:tc>
          <w:tcPr>
            <w:tcW w:w="757" w:type="dxa"/>
            <w:tcBorders>
              <w:top w:val="single" w:color="auto" w:sz="4" w:space="0"/>
              <w:left w:val="nil"/>
              <w:bottom w:val="single" w:color="auto" w:sz="4" w:space="0"/>
              <w:right w:val="single" w:color="auto" w:sz="4" w:space="0"/>
            </w:tcBorders>
            <w:vAlign w:val="center"/>
          </w:tcPr>
          <w:p>
            <w:pPr>
              <w:pStyle w:val="7"/>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技术</w:t>
            </w:r>
          </w:p>
          <w:p>
            <w:pPr>
              <w:pStyle w:val="7"/>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人员</w:t>
            </w:r>
          </w:p>
        </w:tc>
        <w:tc>
          <w:tcPr>
            <w:tcW w:w="1946" w:type="dxa"/>
            <w:gridSpan w:val="2"/>
            <w:tcBorders>
              <w:top w:val="single" w:color="auto" w:sz="4" w:space="0"/>
              <w:left w:val="nil"/>
              <w:bottom w:val="single" w:color="auto" w:sz="4" w:space="0"/>
              <w:right w:val="single" w:color="auto" w:sz="4" w:space="0"/>
            </w:tcBorders>
            <w:vAlign w:val="center"/>
          </w:tcPr>
          <w:p>
            <w:pPr>
              <w:pStyle w:val="7"/>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其他人员</w:t>
            </w:r>
          </w:p>
        </w:tc>
        <w:tc>
          <w:tcPr>
            <w:tcW w:w="69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7"/>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高级职称</w:t>
            </w:r>
          </w:p>
        </w:tc>
        <w:tc>
          <w:tcPr>
            <w:tcW w:w="1263" w:type="dxa"/>
            <w:tcBorders>
              <w:top w:val="single" w:color="auto" w:sz="4" w:space="0"/>
              <w:left w:val="nil"/>
              <w:bottom w:val="single" w:color="auto" w:sz="4" w:space="0"/>
              <w:right w:val="single" w:color="auto" w:sz="4" w:space="0"/>
            </w:tcBorders>
            <w:vAlign w:val="center"/>
          </w:tcPr>
          <w:p>
            <w:pPr>
              <w:pStyle w:val="7"/>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中级职称</w:t>
            </w:r>
          </w:p>
        </w:tc>
        <w:tc>
          <w:tcPr>
            <w:tcW w:w="1663" w:type="dxa"/>
            <w:tcBorders>
              <w:top w:val="single" w:color="auto" w:sz="4" w:space="0"/>
              <w:left w:val="nil"/>
              <w:bottom w:val="single" w:color="auto" w:sz="4" w:space="0"/>
              <w:right w:val="single" w:color="auto" w:sz="4" w:space="0"/>
            </w:tcBorders>
            <w:vAlign w:val="center"/>
          </w:tcPr>
          <w:p>
            <w:pPr>
              <w:pStyle w:val="7"/>
              <w:spacing w:line="320" w:lineRule="exact"/>
              <w:jc w:val="center"/>
              <w:rPr>
                <w:rFonts w:ascii="宋体" w:hAnsi="宋体" w:eastAsia="宋体" w:cs="宋体"/>
                <w:color w:val="auto"/>
                <w:sz w:val="24"/>
                <w:szCs w:val="24"/>
              </w:rPr>
            </w:pPr>
            <w:r>
              <w:rPr>
                <w:rFonts w:hint="eastAsia" w:ascii="宋体" w:hAnsi="宋体" w:eastAsia="宋体" w:cs="宋体"/>
                <w:color w:val="auto"/>
                <w:sz w:val="24"/>
                <w:szCs w:val="24"/>
              </w:rPr>
              <w:t>初级职称</w:t>
            </w:r>
          </w:p>
        </w:tc>
      </w:tr>
      <w:tr>
        <w:tblPrEx>
          <w:tblCellMar>
            <w:top w:w="0" w:type="dxa"/>
            <w:left w:w="0" w:type="dxa"/>
            <w:bottom w:w="0" w:type="dxa"/>
            <w:right w:w="0" w:type="dxa"/>
          </w:tblCellMar>
        </w:tblPrEx>
        <w:trPr>
          <w:cantSplit/>
          <w:trHeight w:val="798" w:hRule="atLeast"/>
        </w:trPr>
        <w:tc>
          <w:tcPr>
            <w:tcW w:w="13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ascii="宋体" w:hAnsi="宋体" w:eastAsia="宋体" w:cs="宋体"/>
                <w:color w:val="auto"/>
                <w:sz w:val="24"/>
                <w:szCs w:val="24"/>
              </w:rPr>
            </w:pPr>
          </w:p>
        </w:tc>
        <w:tc>
          <w:tcPr>
            <w:tcW w:w="10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7"/>
              <w:spacing w:line="320" w:lineRule="exact"/>
              <w:jc w:val="center"/>
              <w:rPr>
                <w:rFonts w:ascii="宋体" w:hAnsi="宋体" w:eastAsia="宋体" w:cs="宋体"/>
                <w:color w:val="auto"/>
                <w:sz w:val="24"/>
                <w:szCs w:val="24"/>
              </w:rPr>
            </w:pPr>
          </w:p>
        </w:tc>
        <w:tc>
          <w:tcPr>
            <w:tcW w:w="757" w:type="dxa"/>
            <w:tcBorders>
              <w:top w:val="single" w:color="auto" w:sz="4" w:space="0"/>
              <w:left w:val="nil"/>
              <w:bottom w:val="single" w:color="auto" w:sz="4" w:space="0"/>
              <w:right w:val="single" w:color="auto" w:sz="4" w:space="0"/>
            </w:tcBorders>
            <w:vAlign w:val="center"/>
          </w:tcPr>
          <w:p>
            <w:pPr>
              <w:pStyle w:val="7"/>
              <w:spacing w:line="320" w:lineRule="exact"/>
              <w:jc w:val="center"/>
              <w:rPr>
                <w:rFonts w:ascii="宋体" w:hAnsi="宋体" w:eastAsia="宋体" w:cs="宋体"/>
                <w:color w:val="auto"/>
                <w:sz w:val="24"/>
                <w:szCs w:val="24"/>
              </w:rPr>
            </w:pPr>
          </w:p>
        </w:tc>
        <w:tc>
          <w:tcPr>
            <w:tcW w:w="1946" w:type="dxa"/>
            <w:gridSpan w:val="2"/>
            <w:tcBorders>
              <w:top w:val="single" w:color="auto" w:sz="4" w:space="0"/>
              <w:left w:val="nil"/>
              <w:bottom w:val="single" w:color="auto" w:sz="4" w:space="0"/>
              <w:right w:val="single" w:color="auto" w:sz="4" w:space="0"/>
            </w:tcBorders>
            <w:vAlign w:val="center"/>
          </w:tcPr>
          <w:p>
            <w:pPr>
              <w:pStyle w:val="7"/>
              <w:spacing w:line="320" w:lineRule="exact"/>
              <w:jc w:val="center"/>
              <w:rPr>
                <w:rFonts w:ascii="宋体" w:hAnsi="宋体" w:eastAsia="宋体" w:cs="宋体"/>
                <w:color w:val="auto"/>
                <w:sz w:val="24"/>
                <w:szCs w:val="24"/>
              </w:rPr>
            </w:pPr>
          </w:p>
        </w:tc>
        <w:tc>
          <w:tcPr>
            <w:tcW w:w="69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7"/>
              <w:spacing w:line="320" w:lineRule="exact"/>
              <w:rPr>
                <w:rFonts w:ascii="宋体" w:hAnsi="宋体" w:eastAsia="宋体" w:cs="宋体"/>
                <w:color w:val="auto"/>
                <w:sz w:val="24"/>
                <w:szCs w:val="24"/>
              </w:rPr>
            </w:pPr>
          </w:p>
        </w:tc>
        <w:tc>
          <w:tcPr>
            <w:tcW w:w="1263" w:type="dxa"/>
            <w:tcBorders>
              <w:top w:val="single" w:color="auto" w:sz="4" w:space="0"/>
              <w:left w:val="nil"/>
              <w:bottom w:val="single" w:color="auto" w:sz="4" w:space="0"/>
              <w:right w:val="single" w:color="auto" w:sz="4" w:space="0"/>
            </w:tcBorders>
            <w:vAlign w:val="center"/>
          </w:tcPr>
          <w:p>
            <w:pPr>
              <w:pStyle w:val="7"/>
              <w:spacing w:line="320" w:lineRule="exact"/>
              <w:rPr>
                <w:rFonts w:ascii="宋体" w:hAnsi="宋体" w:eastAsia="宋体" w:cs="宋体"/>
                <w:color w:val="auto"/>
                <w:sz w:val="24"/>
                <w:szCs w:val="24"/>
              </w:rPr>
            </w:pPr>
          </w:p>
        </w:tc>
        <w:tc>
          <w:tcPr>
            <w:tcW w:w="1663" w:type="dxa"/>
            <w:tcBorders>
              <w:top w:val="single" w:color="auto" w:sz="4" w:space="0"/>
              <w:left w:val="nil"/>
              <w:bottom w:val="single" w:color="auto" w:sz="4" w:space="0"/>
              <w:right w:val="single" w:color="auto" w:sz="4" w:space="0"/>
            </w:tcBorders>
            <w:vAlign w:val="center"/>
          </w:tcPr>
          <w:p>
            <w:pPr>
              <w:pStyle w:val="7"/>
              <w:spacing w:line="320" w:lineRule="exact"/>
              <w:rPr>
                <w:rFonts w:ascii="宋体" w:hAnsi="宋体" w:eastAsia="宋体" w:cs="宋体"/>
                <w:color w:val="auto"/>
                <w:sz w:val="24"/>
                <w:szCs w:val="24"/>
              </w:rPr>
            </w:pPr>
          </w:p>
        </w:tc>
      </w:tr>
    </w:tbl>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投标供应商（盖章）：</w:t>
      </w:r>
      <w:r>
        <w:rPr>
          <w:rFonts w:hint="eastAsia" w:ascii="宋体" w:hAnsi="宋体" w:eastAsia="宋体" w:cs="宋体"/>
          <w:color w:val="auto"/>
          <w:sz w:val="24"/>
          <w:szCs w:val="24"/>
          <w:u w:val="single"/>
        </w:rPr>
        <w:t xml:space="preserve">                   </w:t>
      </w:r>
    </w:p>
    <w:p>
      <w:pPr>
        <w:spacing w:line="500" w:lineRule="exact"/>
        <w:rPr>
          <w:rFonts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w:t>
      </w:r>
      <w:r>
        <w:rPr>
          <w:rFonts w:hint="eastAsia" w:ascii="宋体" w:hAnsi="宋体" w:eastAsia="宋体" w:cs="宋体"/>
          <w:color w:val="auto"/>
          <w:sz w:val="24"/>
          <w:szCs w:val="24"/>
          <w:u w:val="single"/>
        </w:rPr>
        <w:t xml:space="preserve">         </w:t>
      </w:r>
    </w:p>
    <w:p>
      <w:pPr>
        <w:spacing w:line="500" w:lineRule="exact"/>
        <w:rPr>
          <w:rFonts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spacing w:line="360" w:lineRule="auto"/>
        <w:rPr>
          <w:rFonts w:ascii="宋体" w:hAnsi="宋体" w:cs="宋体"/>
          <w:b/>
          <w:bCs/>
          <w:color w:val="auto"/>
        </w:rPr>
      </w:pPr>
    </w:p>
    <w:p>
      <w:pPr>
        <w:spacing w:line="360" w:lineRule="auto"/>
        <w:ind w:right="480"/>
        <w:rPr>
          <w:rFonts w:ascii="宋体" w:hAnsi="宋体" w:eastAsia="宋体" w:cs="宋体"/>
          <w:b/>
          <w:bCs/>
          <w:color w:val="auto"/>
          <w:sz w:val="24"/>
          <w:szCs w:val="24"/>
        </w:rPr>
      </w:pPr>
      <w:r>
        <w:rPr>
          <w:rFonts w:hint="eastAsia" w:ascii="宋体" w:hAnsi="宋体" w:eastAsia="宋体" w:cs="宋体"/>
          <w:b/>
          <w:bCs/>
          <w:color w:val="auto"/>
          <w:sz w:val="24"/>
          <w:szCs w:val="24"/>
        </w:rPr>
        <w:t xml:space="preserve">附表2：业绩情况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83"/>
        <w:gridCol w:w="6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22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r>
              <w:rPr>
                <w:rFonts w:hint="eastAsia" w:hAnsi="宋体"/>
                <w:sz w:val="24"/>
                <w:szCs w:val="24"/>
              </w:rPr>
              <w:t>项目名称</w:t>
            </w:r>
          </w:p>
        </w:tc>
        <w:tc>
          <w:tcPr>
            <w:tcW w:w="62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22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r>
              <w:rPr>
                <w:rFonts w:hint="eastAsia" w:hAnsi="宋体"/>
                <w:sz w:val="24"/>
                <w:szCs w:val="24"/>
              </w:rPr>
              <w:t>采购人名称</w:t>
            </w:r>
          </w:p>
        </w:tc>
        <w:tc>
          <w:tcPr>
            <w:tcW w:w="62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22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r>
              <w:rPr>
                <w:rFonts w:hint="eastAsia" w:hAnsi="宋体"/>
                <w:sz w:val="24"/>
                <w:szCs w:val="24"/>
              </w:rPr>
              <w:t>项目所在地</w:t>
            </w:r>
          </w:p>
        </w:tc>
        <w:tc>
          <w:tcPr>
            <w:tcW w:w="62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22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eastAsia="宋体"/>
                <w:sz w:val="24"/>
                <w:szCs w:val="24"/>
              </w:rPr>
            </w:pPr>
            <w:r>
              <w:rPr>
                <w:rFonts w:hint="eastAsia" w:hAnsi="宋体" w:eastAsia="宋体"/>
                <w:sz w:val="24"/>
                <w:szCs w:val="24"/>
              </w:rPr>
              <w:t>完成时间</w:t>
            </w:r>
          </w:p>
        </w:tc>
        <w:tc>
          <w:tcPr>
            <w:tcW w:w="62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22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eastAsia="宋体"/>
                <w:sz w:val="24"/>
                <w:szCs w:val="24"/>
              </w:rPr>
            </w:pPr>
            <w:r>
              <w:rPr>
                <w:rFonts w:hint="eastAsia" w:hAnsi="宋体" w:eastAsia="宋体"/>
                <w:sz w:val="24"/>
                <w:szCs w:val="24"/>
              </w:rPr>
              <w:t>合同金额</w:t>
            </w:r>
          </w:p>
        </w:tc>
        <w:tc>
          <w:tcPr>
            <w:tcW w:w="62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8" w:hRule="atLeast"/>
          <w:jc w:val="center"/>
        </w:trPr>
        <w:tc>
          <w:tcPr>
            <w:tcW w:w="22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r>
              <w:rPr>
                <w:rFonts w:hint="eastAsia" w:hAnsi="宋体"/>
                <w:sz w:val="24"/>
                <w:szCs w:val="24"/>
              </w:rPr>
              <w:t>项目描述</w:t>
            </w:r>
          </w:p>
        </w:tc>
        <w:tc>
          <w:tcPr>
            <w:tcW w:w="62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22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r>
              <w:rPr>
                <w:rFonts w:hint="eastAsia" w:hAnsi="宋体"/>
                <w:sz w:val="24"/>
                <w:szCs w:val="24"/>
              </w:rPr>
              <w:t>备注</w:t>
            </w:r>
          </w:p>
        </w:tc>
        <w:tc>
          <w:tcPr>
            <w:tcW w:w="62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sz w:val="24"/>
                <w:szCs w:val="24"/>
              </w:rPr>
            </w:pPr>
          </w:p>
        </w:tc>
      </w:tr>
    </w:tbl>
    <w:p>
      <w:pPr>
        <w:spacing w:line="460" w:lineRule="exact"/>
        <w:rPr>
          <w:rFonts w:ascii="宋体" w:hAnsi="宋体" w:eastAsia="宋体" w:cs="宋体"/>
          <w:bCs/>
        </w:rPr>
      </w:pPr>
      <w:r>
        <w:rPr>
          <w:rFonts w:hint="eastAsia" w:ascii="宋体" w:hAnsi="宋体" w:eastAsia="宋体" w:cs="宋体"/>
          <w:bCs/>
          <w:color w:val="auto"/>
        </w:rPr>
        <w:t>注：1、投标</w:t>
      </w:r>
      <w:r>
        <w:rPr>
          <w:rFonts w:hint="eastAsia" w:ascii="宋体" w:hAnsi="宋体" w:eastAsia="宋体" w:cs="宋体"/>
          <w:bCs/>
        </w:rPr>
        <w:t>供应商随此表附上近三年（2019年1月1日至今）承接过类似项目业绩（中标通知或合同复印件并加盖单位公章）。</w:t>
      </w:r>
    </w:p>
    <w:p>
      <w:pPr>
        <w:spacing w:line="460" w:lineRule="exact"/>
        <w:rPr>
          <w:rFonts w:ascii="宋体" w:hAnsi="宋体" w:eastAsia="宋体" w:cs="宋体"/>
          <w:bCs/>
          <w:color w:val="auto"/>
        </w:rPr>
      </w:pPr>
      <w:r>
        <w:rPr>
          <w:rFonts w:hint="eastAsia" w:ascii="宋体" w:hAnsi="宋体" w:eastAsia="宋体" w:cs="宋体"/>
          <w:bCs/>
        </w:rPr>
        <w:t>2、如有多个项目，每个项目填一张此表，附后。</w:t>
      </w:r>
    </w:p>
    <w:p>
      <w:pPr>
        <w:spacing w:line="500" w:lineRule="exact"/>
        <w:rPr>
          <w:rFonts w:ascii="宋体" w:hAnsi="宋体" w:eastAsia="宋体" w:cs="宋体"/>
          <w:color w:val="auto"/>
          <w:sz w:val="24"/>
          <w:szCs w:val="24"/>
        </w:rPr>
      </w:pP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投标供应商（盖章）：</w:t>
      </w:r>
      <w:r>
        <w:rPr>
          <w:rFonts w:hint="eastAsia" w:ascii="宋体" w:hAnsi="宋体" w:eastAsia="宋体" w:cs="宋体"/>
          <w:color w:val="auto"/>
          <w:sz w:val="24"/>
          <w:szCs w:val="24"/>
          <w:u w:val="single"/>
        </w:rPr>
        <w:t xml:space="preserve">                   </w:t>
      </w:r>
    </w:p>
    <w:p>
      <w:pPr>
        <w:spacing w:line="500" w:lineRule="exact"/>
        <w:rPr>
          <w:rFonts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w:t>
      </w:r>
      <w:r>
        <w:rPr>
          <w:rFonts w:hint="eastAsia" w:ascii="宋体" w:hAnsi="宋体" w:eastAsia="宋体" w:cs="宋体"/>
          <w:color w:val="auto"/>
          <w:sz w:val="24"/>
          <w:szCs w:val="24"/>
          <w:u w:val="single"/>
        </w:rPr>
        <w:t xml:space="preserve">         </w:t>
      </w:r>
    </w:p>
    <w:p>
      <w:pPr>
        <w:spacing w:line="500" w:lineRule="exact"/>
        <w:rPr>
          <w:rFonts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pStyle w:val="28"/>
        <w:spacing w:line="360" w:lineRule="auto"/>
        <w:rPr>
          <w:rFonts w:hAnsi="宋体" w:eastAsia="宋体" w:cs="宋体"/>
          <w:b/>
          <w:color w:val="auto"/>
          <w:sz w:val="24"/>
          <w:szCs w:val="24"/>
        </w:rPr>
      </w:pPr>
      <w:r>
        <w:rPr>
          <w:rFonts w:hint="eastAsia" w:hAnsi="宋体" w:eastAsia="宋体" w:cs="宋体"/>
          <w:b/>
          <w:color w:val="auto"/>
          <w:sz w:val="24"/>
          <w:szCs w:val="24"/>
        </w:rPr>
        <w:t>附件3：提供符合政府采购政策的证明材料</w:t>
      </w:r>
    </w:p>
    <w:p>
      <w:pPr>
        <w:jc w:val="center"/>
        <w:rPr>
          <w:rFonts w:ascii="宋体" w:hAnsi="宋体" w:eastAsia="宋体" w:cs="宋体"/>
          <w:b/>
          <w:bCs/>
          <w:color w:val="auto"/>
          <w:sz w:val="28"/>
          <w:szCs w:val="28"/>
          <w:lang w:bidi="ar"/>
        </w:rPr>
      </w:pPr>
    </w:p>
    <w:p>
      <w:pPr>
        <w:jc w:val="center"/>
        <w:rPr>
          <w:rFonts w:ascii="宋体" w:hAnsi="宋体" w:eastAsia="宋体" w:cs="宋体"/>
          <w:color w:val="auto"/>
          <w:sz w:val="28"/>
          <w:szCs w:val="28"/>
        </w:rPr>
      </w:pPr>
      <w:r>
        <w:rPr>
          <w:rFonts w:hint="eastAsia" w:ascii="宋体" w:hAnsi="宋体" w:eastAsia="宋体" w:cs="宋体"/>
          <w:b/>
          <w:bCs/>
          <w:color w:val="auto"/>
          <w:sz w:val="28"/>
          <w:szCs w:val="28"/>
          <w:lang w:bidi="ar"/>
        </w:rPr>
        <w:t>3.1中小企业声明函（工程、服务）</w:t>
      </w:r>
    </w:p>
    <w:p>
      <w:pPr>
        <w:spacing w:line="540" w:lineRule="exact"/>
        <w:ind w:firstLine="480" w:firstLineChars="200"/>
        <w:rPr>
          <w:rFonts w:ascii="宋体" w:hAnsi="宋体" w:cs="宋体"/>
          <w:color w:val="auto"/>
          <w:sz w:val="24"/>
        </w:rPr>
      </w:pPr>
    </w:p>
    <w:p>
      <w:pPr>
        <w:spacing w:line="540" w:lineRule="exact"/>
        <w:ind w:firstLine="480" w:firstLineChars="200"/>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40" w:lineRule="exact"/>
        <w:ind w:firstLine="480" w:firstLineChars="200"/>
        <w:rPr>
          <w:rFonts w:ascii="宋体" w:hAnsi="宋体" w:cs="宋体"/>
          <w:color w:val="auto"/>
          <w:sz w:val="24"/>
        </w:rPr>
      </w:pPr>
      <w:r>
        <w:rPr>
          <w:rFonts w:hint="eastAsia" w:ascii="宋体" w:hAnsi="宋体" w:cs="宋体"/>
          <w:color w:val="auto"/>
          <w:sz w:val="24"/>
        </w:rPr>
        <w:t xml:space="preserve">1. </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pPr>
        <w:spacing w:line="54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（标的名称） </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 xml:space="preserve">； </w:t>
      </w:r>
    </w:p>
    <w:p>
      <w:pPr>
        <w:spacing w:line="540" w:lineRule="exact"/>
        <w:ind w:firstLine="480" w:firstLineChars="200"/>
        <w:rPr>
          <w:rFonts w:ascii="宋体" w:hAnsi="宋体" w:cs="宋体"/>
          <w:color w:val="auto"/>
          <w:sz w:val="24"/>
        </w:rPr>
      </w:pPr>
      <w:r>
        <w:rPr>
          <w:rFonts w:hint="eastAsia" w:ascii="宋体" w:hAnsi="宋体" w:cs="宋体"/>
          <w:color w:val="auto"/>
          <w:sz w:val="24"/>
        </w:rPr>
        <w:t>……</w:t>
      </w:r>
    </w:p>
    <w:p>
      <w:pPr>
        <w:spacing w:line="540" w:lineRule="exact"/>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spacing w:line="540" w:lineRule="exact"/>
        <w:ind w:firstLine="480" w:firstLineChars="200"/>
        <w:rPr>
          <w:rFonts w:ascii="宋体" w:hAnsi="宋体" w:cs="宋体"/>
          <w:color w:val="auto"/>
          <w:sz w:val="24"/>
        </w:rPr>
      </w:pPr>
      <w:r>
        <w:rPr>
          <w:rFonts w:hint="eastAsia" w:ascii="宋体" w:hAnsi="宋体" w:cs="宋体"/>
          <w:color w:val="auto"/>
          <w:sz w:val="24"/>
        </w:rPr>
        <w:t xml:space="preserve">本企业对上述声明内容的真实性负责。如有虚假，将依法承担相应责任。 </w:t>
      </w:r>
    </w:p>
    <w:p>
      <w:pPr>
        <w:spacing w:line="540" w:lineRule="exact"/>
        <w:ind w:firstLine="3840" w:firstLineChars="1600"/>
        <w:rPr>
          <w:rFonts w:ascii="宋体" w:hAnsi="宋体" w:cs="宋体"/>
          <w:color w:val="auto"/>
          <w:sz w:val="24"/>
        </w:rPr>
      </w:pPr>
    </w:p>
    <w:p>
      <w:pPr>
        <w:spacing w:line="540" w:lineRule="exact"/>
        <w:ind w:firstLine="3840" w:firstLineChars="1600"/>
        <w:rPr>
          <w:rFonts w:ascii="宋体" w:hAnsi="宋体" w:cs="宋体"/>
          <w:color w:val="auto"/>
          <w:sz w:val="24"/>
        </w:rPr>
      </w:pPr>
      <w:r>
        <w:rPr>
          <w:rFonts w:hint="eastAsia" w:ascii="宋体" w:hAnsi="宋体" w:cs="宋体"/>
          <w:color w:val="auto"/>
          <w:sz w:val="24"/>
        </w:rPr>
        <w:t xml:space="preserve">企业名称（盖章）： </w:t>
      </w:r>
    </w:p>
    <w:p>
      <w:pPr>
        <w:spacing w:line="540" w:lineRule="exact"/>
        <w:ind w:firstLine="3840" w:firstLineChars="1600"/>
        <w:rPr>
          <w:rFonts w:ascii="宋体" w:hAnsi="宋体" w:cs="宋体"/>
          <w:color w:val="auto"/>
          <w:sz w:val="24"/>
        </w:rPr>
      </w:pPr>
      <w:r>
        <w:rPr>
          <w:rFonts w:hint="eastAsia" w:ascii="宋体" w:hAnsi="宋体" w:cs="宋体"/>
          <w:color w:val="auto"/>
          <w:sz w:val="24"/>
        </w:rPr>
        <w:t xml:space="preserve">日 期： </w:t>
      </w:r>
    </w:p>
    <w:p>
      <w:pPr>
        <w:spacing w:line="360" w:lineRule="auto"/>
        <w:rPr>
          <w:rFonts w:ascii="宋体" w:hAnsi="宋体" w:cs="宋体"/>
          <w:color w:val="auto"/>
          <w:spacing w:val="6"/>
          <w:u w:val="single"/>
        </w:rPr>
      </w:pPr>
    </w:p>
    <w:p>
      <w:pPr>
        <w:spacing w:line="360" w:lineRule="auto"/>
        <w:rPr>
          <w:rFonts w:ascii="宋体" w:hAnsi="宋体" w:cs="宋体"/>
          <w:color w:val="auto"/>
          <w:spacing w:val="6"/>
          <w:u w:val="single"/>
        </w:rPr>
      </w:pPr>
      <w:r>
        <w:rPr>
          <w:rFonts w:hint="eastAsia" w:ascii="宋体" w:hAnsi="宋体" w:cs="宋体"/>
          <w:color w:val="auto"/>
          <w:spacing w:val="6"/>
          <w:u w:val="single"/>
        </w:rPr>
        <w:t xml:space="preserve">                                                                          </w:t>
      </w:r>
    </w:p>
    <w:p>
      <w:pPr>
        <w:spacing w:line="360" w:lineRule="auto"/>
        <w:rPr>
          <w:rFonts w:ascii="宋体" w:hAnsi="宋体" w:cs="宋体"/>
          <w:color w:val="auto"/>
          <w:spacing w:val="6"/>
          <w:sz w:val="18"/>
          <w:szCs w:val="18"/>
        </w:rPr>
      </w:pPr>
      <w:r>
        <w:rPr>
          <w:rFonts w:ascii="宋体" w:hAnsi="宋体" w:cs="宋体"/>
          <w:color w:val="auto"/>
          <w:spacing w:val="6"/>
          <w:sz w:val="18"/>
          <w:szCs w:val="18"/>
        </w:rPr>
        <w:t xml:space="preserve">1 </w:t>
      </w:r>
      <w:r>
        <w:rPr>
          <w:rFonts w:hint="eastAsia" w:ascii="宋体" w:hAnsi="宋体" w:cs="宋体"/>
          <w:color w:val="auto"/>
          <w:spacing w:val="6"/>
          <w:sz w:val="18"/>
          <w:szCs w:val="18"/>
        </w:rPr>
        <w:t>从业人员、营业收入、资产总额填报上一年度数据，无上一年度数据的新成立企业可不填报。</w:t>
      </w:r>
    </w:p>
    <w:p>
      <w:pPr>
        <w:spacing w:line="360" w:lineRule="auto"/>
        <w:rPr>
          <w:rFonts w:ascii="宋体" w:hAnsi="宋体" w:cs="宋体"/>
          <w:b/>
          <w:bCs/>
          <w:color w:val="auto"/>
        </w:rPr>
      </w:pPr>
    </w:p>
    <w:p>
      <w:pPr>
        <w:spacing w:line="360" w:lineRule="auto"/>
        <w:jc w:val="center"/>
        <w:rPr>
          <w:rFonts w:ascii="宋体" w:hAnsi="宋体" w:eastAsia="宋体" w:cs="宋体"/>
          <w:b/>
          <w:bCs/>
          <w:color w:val="auto"/>
          <w:sz w:val="28"/>
          <w:szCs w:val="28"/>
        </w:rPr>
      </w:pPr>
      <w:r>
        <w:rPr>
          <w:rFonts w:hint="eastAsia" w:ascii="宋体" w:hAnsi="宋体" w:cs="宋体"/>
          <w:b/>
          <w:bCs/>
          <w:color w:val="auto"/>
        </w:rPr>
        <w:br w:type="page"/>
      </w:r>
      <w:r>
        <w:rPr>
          <w:rFonts w:hint="eastAsia" w:ascii="宋体" w:hAnsi="宋体" w:eastAsia="宋体" w:cs="宋体"/>
          <w:b/>
          <w:bCs/>
          <w:color w:val="auto"/>
          <w:sz w:val="28"/>
          <w:szCs w:val="28"/>
        </w:rPr>
        <w:t>3.2残疾人福利性单位声明函</w:t>
      </w:r>
    </w:p>
    <w:p>
      <w:pPr>
        <w:jc w:val="center"/>
        <w:rPr>
          <w:rFonts w:ascii="宋体" w:hAnsi="宋体" w:eastAsia="宋体" w:cs="宋体"/>
          <w:color w:val="auto"/>
        </w:rPr>
      </w:pPr>
    </w:p>
    <w:p>
      <w:pPr>
        <w:jc w:val="center"/>
        <w:rPr>
          <w:rFonts w:ascii="宋体" w:hAnsi="宋体" w:eastAsia="宋体" w:cs="宋体"/>
          <w:color w:val="auto"/>
          <w:sz w:val="24"/>
          <w:szCs w:val="24"/>
        </w:rPr>
      </w:pPr>
      <w:r>
        <w:rPr>
          <w:rFonts w:hint="eastAsia" w:ascii="宋体" w:hAnsi="宋体" w:eastAsia="宋体" w:cs="宋体"/>
          <w:color w:val="auto"/>
          <w:sz w:val="24"/>
          <w:szCs w:val="24"/>
        </w:rPr>
        <w:t>（注：残疾人福利性单位须提供本函）</w:t>
      </w:r>
    </w:p>
    <w:p>
      <w:pPr>
        <w:spacing w:line="360" w:lineRule="auto"/>
        <w:rPr>
          <w:rFonts w:ascii="宋体" w:hAnsi="宋体" w:eastAsia="宋体" w:cs="宋体"/>
          <w:b/>
          <w:color w:val="auto"/>
          <w:spacing w:val="6"/>
          <w:sz w:val="24"/>
          <w:szCs w:val="24"/>
        </w:rPr>
      </w:pPr>
    </w:p>
    <w:p>
      <w:pPr>
        <w:spacing w:line="360" w:lineRule="auto"/>
        <w:ind w:firstLine="504" w:firstLineChars="200"/>
        <w:rPr>
          <w:rFonts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单位的</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pPr>
        <w:spacing w:line="360" w:lineRule="auto"/>
        <w:ind w:firstLine="504" w:firstLineChars="200"/>
        <w:rPr>
          <w:rFonts w:ascii="宋体" w:hAnsi="宋体" w:eastAsia="宋体" w:cs="宋体"/>
          <w:color w:val="auto"/>
          <w:spacing w:val="6"/>
          <w:sz w:val="24"/>
          <w:szCs w:val="24"/>
        </w:rPr>
      </w:pPr>
    </w:p>
    <w:p>
      <w:pPr>
        <w:spacing w:line="360" w:lineRule="auto"/>
        <w:ind w:firstLine="504" w:firstLineChars="200"/>
        <w:rPr>
          <w:rFonts w:ascii="宋体" w:hAnsi="宋体" w:eastAsia="宋体" w:cs="宋体"/>
          <w:color w:val="auto"/>
          <w:spacing w:val="6"/>
          <w:sz w:val="24"/>
          <w:szCs w:val="24"/>
        </w:rPr>
      </w:pPr>
    </w:p>
    <w:p>
      <w:pPr>
        <w:pStyle w:val="2"/>
        <w:rPr>
          <w:rFonts w:ascii="宋体" w:hAnsi="宋体" w:eastAsia="宋体" w:cs="宋体"/>
          <w:color w:val="auto"/>
          <w:szCs w:val="24"/>
        </w:rPr>
      </w:pPr>
    </w:p>
    <w:p>
      <w:pPr>
        <w:tabs>
          <w:tab w:val="left" w:pos="4860"/>
        </w:tabs>
        <w:spacing w:line="360" w:lineRule="auto"/>
        <w:ind w:right="1560" w:firstLine="504" w:firstLineChars="200"/>
        <w:jc w:val="center"/>
        <w:rPr>
          <w:rFonts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单位名称（盖章）：</w:t>
      </w:r>
    </w:p>
    <w:p>
      <w:pPr>
        <w:tabs>
          <w:tab w:val="left" w:pos="4860"/>
        </w:tabs>
        <w:spacing w:line="360" w:lineRule="auto"/>
        <w:ind w:right="1560" w:firstLine="504" w:firstLineChars="200"/>
        <w:jc w:val="center"/>
        <w:rPr>
          <w:rFonts w:ascii="宋体" w:hAnsi="宋体" w:eastAsia="宋体" w:cs="宋体"/>
          <w:color w:val="auto"/>
          <w:sz w:val="24"/>
          <w:szCs w:val="24"/>
        </w:rPr>
      </w:pPr>
      <w:r>
        <w:rPr>
          <w:rFonts w:hint="eastAsia" w:ascii="宋体" w:hAnsi="宋体" w:eastAsia="宋体" w:cs="宋体"/>
          <w:color w:val="auto"/>
          <w:spacing w:val="6"/>
          <w:sz w:val="24"/>
          <w:szCs w:val="24"/>
        </w:rPr>
        <w:t xml:space="preserve">                  日  期：  年  月  日</w:t>
      </w:r>
    </w:p>
    <w:p>
      <w:pPr>
        <w:spacing w:before="50" w:line="360" w:lineRule="auto"/>
        <w:jc w:val="center"/>
        <w:rPr>
          <w:rFonts w:ascii="宋体" w:hAnsi="宋体" w:eastAsia="宋体" w:cs="宋体"/>
          <w:b/>
          <w:color w:val="auto"/>
          <w:sz w:val="22"/>
          <w:szCs w:val="22"/>
        </w:rPr>
      </w:pPr>
    </w:p>
    <w:p>
      <w:pPr>
        <w:pStyle w:val="2"/>
        <w:rPr>
          <w:rFonts w:ascii="宋体" w:hAnsi="宋体" w:eastAsia="宋体" w:cs="宋体"/>
          <w:b/>
          <w:color w:val="auto"/>
          <w:sz w:val="20"/>
          <w:szCs w:val="20"/>
        </w:rPr>
      </w:pPr>
    </w:p>
    <w:p>
      <w:pPr>
        <w:rPr>
          <w:rFonts w:ascii="宋体" w:hAnsi="宋体" w:eastAsia="宋体" w:cs="宋体"/>
          <w:b/>
          <w:color w:val="auto"/>
          <w:sz w:val="20"/>
          <w:szCs w:val="20"/>
        </w:rPr>
      </w:pPr>
    </w:p>
    <w:p>
      <w:pPr>
        <w:pStyle w:val="2"/>
        <w:rPr>
          <w:rFonts w:ascii="宋体" w:hAnsi="宋体" w:cs="宋体"/>
          <w:b/>
          <w:color w:val="auto"/>
          <w:sz w:val="36"/>
          <w:szCs w:val="36"/>
        </w:rPr>
      </w:pPr>
    </w:p>
    <w:p>
      <w:pPr>
        <w:rPr>
          <w:rFonts w:ascii="宋体" w:hAnsi="宋体" w:cs="宋体"/>
          <w:b/>
          <w:color w:val="auto"/>
          <w:sz w:val="36"/>
          <w:szCs w:val="36"/>
        </w:rPr>
      </w:pPr>
    </w:p>
    <w:p>
      <w:pPr>
        <w:pStyle w:val="2"/>
        <w:rPr>
          <w:rFonts w:ascii="宋体" w:hAnsi="宋体" w:cs="宋体"/>
          <w:b/>
          <w:color w:val="auto"/>
          <w:sz w:val="36"/>
          <w:szCs w:val="36"/>
        </w:rPr>
      </w:pPr>
    </w:p>
    <w:p>
      <w:pPr>
        <w:rPr>
          <w:rFonts w:ascii="宋体" w:hAnsi="宋体" w:cs="宋体"/>
          <w:b/>
          <w:color w:val="auto"/>
          <w:sz w:val="36"/>
          <w:szCs w:val="36"/>
        </w:rPr>
      </w:pPr>
    </w:p>
    <w:p>
      <w:pPr>
        <w:pStyle w:val="2"/>
        <w:rPr>
          <w:rFonts w:ascii="宋体" w:hAnsi="宋体" w:cs="宋体"/>
          <w:b/>
          <w:color w:val="auto"/>
          <w:sz w:val="36"/>
          <w:szCs w:val="36"/>
        </w:rPr>
      </w:pPr>
    </w:p>
    <w:p>
      <w:pPr>
        <w:rPr>
          <w:rFonts w:ascii="宋体" w:hAnsi="宋体" w:cs="宋体"/>
          <w:b/>
          <w:color w:val="auto"/>
          <w:sz w:val="36"/>
          <w:szCs w:val="36"/>
        </w:rPr>
      </w:pPr>
    </w:p>
    <w:p>
      <w:pPr>
        <w:pStyle w:val="2"/>
        <w:rPr>
          <w:rFonts w:ascii="宋体" w:hAnsi="宋体" w:cs="宋体"/>
          <w:b/>
          <w:color w:val="auto"/>
          <w:sz w:val="36"/>
          <w:szCs w:val="36"/>
        </w:rPr>
      </w:pPr>
    </w:p>
    <w:p>
      <w:pPr>
        <w:rPr>
          <w:rFonts w:ascii="宋体" w:hAnsi="宋体" w:cs="宋体"/>
          <w:b/>
          <w:color w:val="auto"/>
          <w:sz w:val="36"/>
          <w:szCs w:val="36"/>
        </w:rPr>
      </w:pPr>
    </w:p>
    <w:p>
      <w:pPr>
        <w:pStyle w:val="27"/>
        <w:ind w:firstLine="723"/>
        <w:rPr>
          <w:rFonts w:ascii="宋体" w:hAnsi="宋体" w:cs="宋体"/>
          <w:b/>
          <w:color w:val="auto"/>
          <w:sz w:val="36"/>
          <w:szCs w:val="36"/>
        </w:rPr>
      </w:pPr>
    </w:p>
    <w:p>
      <w:pPr>
        <w:pStyle w:val="27"/>
        <w:ind w:firstLine="723"/>
        <w:rPr>
          <w:rFonts w:ascii="宋体" w:hAnsi="宋体" w:cs="宋体"/>
          <w:b/>
          <w:color w:val="auto"/>
          <w:sz w:val="36"/>
          <w:szCs w:val="36"/>
        </w:rPr>
      </w:pPr>
    </w:p>
    <w:p>
      <w:pPr>
        <w:pStyle w:val="27"/>
        <w:ind w:firstLine="723"/>
        <w:rPr>
          <w:rFonts w:ascii="宋体" w:hAnsi="宋体" w:cs="宋体"/>
          <w:b/>
          <w:color w:val="auto"/>
          <w:sz w:val="36"/>
          <w:szCs w:val="36"/>
        </w:rPr>
      </w:pPr>
    </w:p>
    <w:p>
      <w:pPr>
        <w:spacing w:line="360" w:lineRule="auto"/>
        <w:rPr>
          <w:rFonts w:ascii="宋体" w:hAnsi="宋体" w:cs="宋体"/>
          <w:b/>
          <w:bCs/>
          <w:color w:val="auto"/>
        </w:rPr>
      </w:pPr>
    </w:p>
    <w:p>
      <w:pPr>
        <w:pStyle w:val="4"/>
        <w:spacing w:before="0" w:after="0" w:line="415" w:lineRule="auto"/>
        <w:jc w:val="center"/>
        <w:rPr>
          <w:rFonts w:ascii="宋体" w:hAnsi="宋体" w:eastAsia="宋体" w:cs="宋体"/>
          <w:color w:val="auto"/>
          <w:sz w:val="28"/>
          <w:szCs w:val="28"/>
        </w:rPr>
      </w:pPr>
      <w:r>
        <w:rPr>
          <w:rFonts w:hint="eastAsia" w:ascii="宋体" w:hAnsi="宋体" w:eastAsia="宋体" w:cs="宋体"/>
          <w:color w:val="auto"/>
          <w:sz w:val="28"/>
          <w:szCs w:val="28"/>
        </w:rPr>
        <w:t>3.3监狱企业证明文件</w:t>
      </w:r>
    </w:p>
    <w:p>
      <w:pPr>
        <w:jc w:val="center"/>
        <w:rPr>
          <w:rFonts w:ascii="宋体" w:hAnsi="宋体" w:eastAsia="宋体" w:cs="宋体"/>
          <w:color w:val="auto"/>
          <w:sz w:val="24"/>
          <w:szCs w:val="24"/>
        </w:rPr>
      </w:pPr>
    </w:p>
    <w:p>
      <w:pPr>
        <w:jc w:val="center"/>
        <w:rPr>
          <w:rFonts w:ascii="宋体" w:hAnsi="宋体" w:eastAsia="宋体" w:cs="宋体"/>
          <w:color w:val="auto"/>
          <w:sz w:val="24"/>
          <w:szCs w:val="24"/>
        </w:rPr>
      </w:pPr>
      <w:r>
        <w:rPr>
          <w:rFonts w:hint="eastAsia" w:ascii="宋体" w:hAnsi="宋体" w:eastAsia="宋体" w:cs="宋体"/>
          <w:color w:val="auto"/>
          <w:sz w:val="24"/>
          <w:szCs w:val="24"/>
        </w:rPr>
        <w:t>（注：监狱企业须提供本函）</w:t>
      </w:r>
    </w:p>
    <w:p>
      <w:pPr>
        <w:pStyle w:val="27"/>
        <w:ind w:firstLine="0" w:firstLineChars="0"/>
        <w:rPr>
          <w:rFonts w:ascii="宋体" w:hAnsi="宋体" w:eastAsia="宋体" w:cs="宋体"/>
          <w:color w:val="auto"/>
          <w:spacing w:val="6"/>
          <w:sz w:val="24"/>
          <w:szCs w:val="24"/>
        </w:rPr>
      </w:pPr>
    </w:p>
    <w:p>
      <w:pPr>
        <w:pStyle w:val="27"/>
        <w:widowControl w:val="0"/>
        <w:kinsoku/>
        <w:autoSpaceDE/>
        <w:autoSpaceDN/>
        <w:adjustRightInd/>
        <w:snapToGrid/>
        <w:spacing w:line="360" w:lineRule="auto"/>
        <w:ind w:firstLine="504"/>
        <w:textAlignment w:val="auto"/>
        <w:rPr>
          <w:rFonts w:ascii="宋体" w:hAnsi="宋体" w:eastAsia="宋体" w:cs="宋体"/>
          <w:color w:val="auto"/>
          <w:spacing w:val="6"/>
          <w:sz w:val="24"/>
          <w:szCs w:val="24"/>
        </w:rPr>
      </w:pPr>
      <w:r>
        <w:rPr>
          <w:rFonts w:hint="eastAsia" w:ascii="宋体" w:hAnsi="宋体" w:eastAsia="宋体" w:cs="宋体"/>
          <w:color w:val="auto"/>
          <w:spacing w:val="6"/>
          <w:sz w:val="24"/>
          <w:szCs w:val="24"/>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7"/>
        <w:widowControl w:val="0"/>
        <w:kinsoku/>
        <w:autoSpaceDE/>
        <w:autoSpaceDN/>
        <w:adjustRightInd/>
        <w:snapToGrid/>
        <w:spacing w:line="360" w:lineRule="auto"/>
        <w:ind w:firstLine="504"/>
        <w:textAlignment w:val="auto"/>
        <w:rPr>
          <w:rFonts w:ascii="宋体" w:hAnsi="宋体" w:eastAsia="宋体" w:cs="宋体"/>
          <w:color w:val="auto"/>
          <w:spacing w:val="6"/>
          <w:sz w:val="24"/>
          <w:szCs w:val="24"/>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pStyle w:val="27"/>
        <w:widowControl w:val="0"/>
        <w:kinsoku/>
        <w:autoSpaceDE/>
        <w:autoSpaceDN/>
        <w:adjustRightInd/>
        <w:snapToGrid/>
        <w:spacing w:line="360" w:lineRule="auto"/>
        <w:ind w:firstLine="464"/>
        <w:textAlignment w:val="auto"/>
        <w:rPr>
          <w:rFonts w:ascii="宋体" w:hAnsi="宋体" w:eastAsia="宋体" w:cs="宋体"/>
          <w:color w:val="auto"/>
          <w:spacing w:val="6"/>
          <w:sz w:val="22"/>
          <w:szCs w:val="22"/>
        </w:rPr>
      </w:pPr>
    </w:p>
    <w:p>
      <w:pPr>
        <w:spacing w:line="360" w:lineRule="auto"/>
        <w:jc w:val="center"/>
        <w:rPr>
          <w:rFonts w:ascii="宋体" w:hAnsi="宋体" w:eastAsia="宋体" w:cs="宋体"/>
          <w:b/>
          <w:bCs/>
          <w:color w:val="auto"/>
          <w:sz w:val="28"/>
          <w:szCs w:val="28"/>
        </w:rPr>
      </w:pPr>
      <w:r>
        <w:rPr>
          <w:rFonts w:hint="eastAsia" w:ascii="宋体" w:hAnsi="宋体" w:eastAsia="宋体" w:cs="宋体"/>
          <w:b/>
          <w:color w:val="auto"/>
          <w:sz w:val="28"/>
          <w:szCs w:val="28"/>
        </w:rPr>
        <w:t>3.4“节能</w:t>
      </w:r>
      <w:r>
        <w:rPr>
          <w:rFonts w:hint="eastAsia" w:ascii="宋体" w:hAnsi="宋体" w:eastAsia="宋体" w:cs="宋体"/>
          <w:b/>
          <w:bCs/>
          <w:color w:val="auto"/>
          <w:sz w:val="28"/>
          <w:szCs w:val="28"/>
        </w:rPr>
        <w:t>产品</w:t>
      </w:r>
      <w:r>
        <w:rPr>
          <w:rFonts w:hint="eastAsia" w:ascii="宋体" w:hAnsi="宋体" w:eastAsia="宋体" w:cs="宋体"/>
          <w:b/>
          <w:color w:val="auto"/>
          <w:sz w:val="28"/>
          <w:szCs w:val="28"/>
        </w:rPr>
        <w:t>”、“环境标志</w:t>
      </w:r>
      <w:r>
        <w:rPr>
          <w:rFonts w:hint="eastAsia" w:ascii="宋体" w:hAnsi="宋体" w:eastAsia="宋体" w:cs="宋体"/>
          <w:b/>
          <w:bCs/>
          <w:color w:val="auto"/>
          <w:sz w:val="28"/>
          <w:szCs w:val="28"/>
        </w:rPr>
        <w:t>产品</w:t>
      </w:r>
      <w:r>
        <w:rPr>
          <w:rFonts w:hint="eastAsia" w:ascii="宋体" w:hAnsi="宋体" w:eastAsia="宋体" w:cs="宋体"/>
          <w:b/>
          <w:color w:val="auto"/>
          <w:sz w:val="28"/>
          <w:szCs w:val="28"/>
        </w:rPr>
        <w:t>”证明材料</w:t>
      </w:r>
    </w:p>
    <w:p>
      <w:pPr>
        <w:spacing w:line="360" w:lineRule="auto"/>
        <w:rPr>
          <w:rFonts w:ascii="宋体" w:hAnsi="宋体" w:eastAsia="宋体" w:cs="宋体"/>
          <w:color w:val="auto"/>
          <w:sz w:val="24"/>
          <w:szCs w:val="24"/>
        </w:rPr>
      </w:pP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w:t>
      </w:r>
    </w:p>
    <w:p>
      <w:pPr>
        <w:spacing w:line="360" w:lineRule="auto"/>
        <w:ind w:firstLine="600" w:firstLineChars="250"/>
        <w:rPr>
          <w:rFonts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投标人提供的产品</w:t>
      </w:r>
      <w:r>
        <w:rPr>
          <w:rFonts w:hint="eastAsia" w:ascii="宋体" w:hAnsi="宋体" w:eastAsia="宋体" w:cs="宋体"/>
          <w:bCs/>
          <w:color w:val="auto"/>
          <w:sz w:val="24"/>
          <w:szCs w:val="24"/>
        </w:rPr>
        <w:t>属于</w:t>
      </w:r>
      <w:r>
        <w:rPr>
          <w:rFonts w:hint="eastAsia" w:ascii="宋体" w:hAnsi="宋体" w:eastAsia="宋体" w:cs="宋体"/>
          <w:color w:val="auto"/>
          <w:sz w:val="24"/>
          <w:szCs w:val="24"/>
        </w:rPr>
        <w:t>下列情形，应按第二章第2.8款、第14.3</w:t>
      </w:r>
      <w:r>
        <w:rPr>
          <w:rFonts w:hint="eastAsia" w:ascii="宋体" w:hAnsi="宋体" w:eastAsia="宋体" w:cs="宋体"/>
          <w:color w:val="auto"/>
          <w:sz w:val="24"/>
          <w:szCs w:val="24"/>
          <w:lang w:val="zh-CN"/>
        </w:rPr>
        <w:t>款</w:t>
      </w:r>
      <w:r>
        <w:rPr>
          <w:rFonts w:hint="eastAsia" w:ascii="宋体" w:hAnsi="宋体" w:eastAsia="宋体" w:cs="宋体"/>
          <w:color w:val="auto"/>
          <w:sz w:val="24"/>
          <w:szCs w:val="24"/>
        </w:rPr>
        <w:t>规定提供相关证明材料(</w:t>
      </w:r>
      <w:r>
        <w:rPr>
          <w:rFonts w:hint="eastAsia" w:ascii="宋体" w:hAnsi="宋体" w:eastAsia="宋体" w:cs="宋体"/>
          <w:bCs/>
          <w:color w:val="auto"/>
          <w:sz w:val="24"/>
          <w:szCs w:val="24"/>
        </w:rPr>
        <w:t>清单或目录所在页复印件</w:t>
      </w:r>
      <w:r>
        <w:rPr>
          <w:rFonts w:hint="eastAsia" w:ascii="宋体" w:hAnsi="宋体" w:eastAsia="宋体" w:cs="宋体"/>
          <w:color w:val="auto"/>
          <w:sz w:val="24"/>
          <w:szCs w:val="24"/>
        </w:rPr>
        <w:t>)，并在《货物分项报价表》中提供相应数据。</w:t>
      </w:r>
    </w:p>
    <w:p>
      <w:pPr>
        <w:spacing w:line="360" w:lineRule="auto"/>
        <w:ind w:firstLine="600" w:firstLineChars="250"/>
        <w:rPr>
          <w:rFonts w:ascii="宋体" w:hAnsi="宋体" w:eastAsia="宋体" w:cs="宋体"/>
          <w:bCs/>
          <w:color w:val="auto"/>
          <w:sz w:val="24"/>
          <w:szCs w:val="24"/>
        </w:rPr>
      </w:pPr>
      <w:r>
        <w:rPr>
          <w:rFonts w:hint="eastAsia" w:ascii="宋体" w:hAnsi="宋体" w:eastAsia="宋体" w:cs="宋体"/>
          <w:bCs/>
          <w:color w:val="auto"/>
          <w:sz w:val="24"/>
          <w:szCs w:val="24"/>
        </w:rPr>
        <w:t>(1)符合</w:t>
      </w:r>
      <w:r>
        <w:rPr>
          <w:rFonts w:hint="eastAsia" w:ascii="宋体" w:hAnsi="宋体" w:eastAsia="宋体" w:cs="宋体"/>
          <w:color w:val="auto"/>
          <w:sz w:val="24"/>
          <w:szCs w:val="24"/>
        </w:rPr>
        <w:t>政府采购强制采购政策的(《节能产品政府采购清单》中标记★符号节能产品及其他强制采购产品)；</w:t>
      </w:r>
    </w:p>
    <w:p>
      <w:pPr>
        <w:spacing w:line="360" w:lineRule="auto"/>
        <w:ind w:firstLine="600" w:firstLineChars="250"/>
        <w:rPr>
          <w:rFonts w:ascii="宋体" w:hAnsi="宋体" w:eastAsia="宋体" w:cs="宋体"/>
          <w:bCs/>
          <w:color w:val="auto"/>
          <w:sz w:val="24"/>
          <w:szCs w:val="24"/>
        </w:rPr>
      </w:pPr>
      <w:r>
        <w:rPr>
          <w:rFonts w:hint="eastAsia" w:ascii="宋体" w:hAnsi="宋体" w:eastAsia="宋体" w:cs="宋体"/>
          <w:bCs/>
          <w:color w:val="auto"/>
          <w:sz w:val="24"/>
          <w:szCs w:val="24"/>
        </w:rPr>
        <w:t>(2)符合</w:t>
      </w:r>
      <w:r>
        <w:rPr>
          <w:rFonts w:hint="eastAsia" w:ascii="宋体" w:hAnsi="宋体" w:eastAsia="宋体" w:cs="宋体"/>
          <w:color w:val="auto"/>
          <w:sz w:val="24"/>
          <w:szCs w:val="24"/>
        </w:rPr>
        <w:t>政府采购优先采购政策的(《节能产品政府采购清单》中非标记★符号节能产品，《环境标志产品政府采购清单》中环境标志</w:t>
      </w:r>
      <w:r>
        <w:rPr>
          <w:rFonts w:hint="eastAsia" w:ascii="宋体" w:hAnsi="宋体" w:eastAsia="宋体" w:cs="宋体"/>
          <w:bCs/>
          <w:color w:val="auto"/>
          <w:sz w:val="24"/>
          <w:szCs w:val="24"/>
        </w:rPr>
        <w:t>产品</w:t>
      </w:r>
      <w:r>
        <w:rPr>
          <w:rFonts w:hint="eastAsia" w:ascii="宋体" w:hAnsi="宋体" w:eastAsia="宋体" w:cs="宋体"/>
          <w:color w:val="auto"/>
          <w:sz w:val="24"/>
          <w:szCs w:val="24"/>
        </w:rPr>
        <w:t>。</w:t>
      </w:r>
    </w:p>
    <w:p>
      <w:pPr>
        <w:spacing w:line="360" w:lineRule="auto"/>
        <w:ind w:firstLine="600" w:firstLineChars="250"/>
        <w:rPr>
          <w:rFonts w:ascii="宋体" w:hAnsi="宋体" w:eastAsia="宋体" w:cs="宋体"/>
          <w:bCs/>
          <w:color w:val="auto"/>
          <w:sz w:val="24"/>
          <w:szCs w:val="24"/>
        </w:rPr>
      </w:pPr>
      <w:r>
        <w:rPr>
          <w:rFonts w:hint="eastAsia" w:ascii="宋体" w:hAnsi="宋体" w:eastAsia="宋体" w:cs="宋体"/>
          <w:bCs/>
          <w:color w:val="auto"/>
          <w:sz w:val="24"/>
          <w:szCs w:val="24"/>
        </w:rPr>
        <w:t>2、未按上述要求提供、</w:t>
      </w:r>
      <w:r>
        <w:rPr>
          <w:rFonts w:hint="eastAsia" w:ascii="宋体" w:hAnsi="宋体" w:eastAsia="宋体" w:cs="宋体"/>
          <w:color w:val="auto"/>
          <w:sz w:val="24"/>
          <w:szCs w:val="24"/>
        </w:rPr>
        <w:t>填写</w:t>
      </w:r>
      <w:r>
        <w:rPr>
          <w:rFonts w:hint="eastAsia" w:ascii="宋体" w:hAnsi="宋体" w:eastAsia="宋体" w:cs="宋体"/>
          <w:bCs/>
          <w:color w:val="auto"/>
          <w:sz w:val="24"/>
          <w:szCs w:val="24"/>
        </w:rPr>
        <w:t>的，评审时不予以考虑。</w:t>
      </w:r>
    </w:p>
    <w:p>
      <w:pPr>
        <w:spacing w:line="360" w:lineRule="auto"/>
        <w:ind w:firstLine="550" w:firstLineChars="250"/>
        <w:rPr>
          <w:rFonts w:ascii="宋体" w:hAnsi="宋体" w:cs="宋体"/>
          <w:bCs/>
          <w:color w:val="auto"/>
          <w:sz w:val="22"/>
          <w:szCs w:val="22"/>
        </w:rPr>
      </w:pPr>
    </w:p>
    <w:p>
      <w:pPr>
        <w:spacing w:line="360" w:lineRule="auto"/>
        <w:ind w:firstLine="550" w:firstLineChars="250"/>
        <w:rPr>
          <w:rFonts w:ascii="宋体" w:hAnsi="宋体" w:cs="宋体"/>
          <w:bCs/>
          <w:color w:val="auto"/>
          <w:sz w:val="22"/>
          <w:szCs w:val="22"/>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r>
        <w:rPr>
          <w:rFonts w:hint="eastAsia" w:ascii="宋体" w:hAnsi="宋体" w:cs="宋体"/>
          <w:color w:val="auto"/>
        </w:rPr>
        <w:tab/>
      </w: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7"/>
        <w:widowControl w:val="0"/>
        <w:kinsoku/>
        <w:autoSpaceDE/>
        <w:autoSpaceDN/>
        <w:adjustRightInd/>
        <w:snapToGrid/>
        <w:spacing w:line="360" w:lineRule="auto"/>
        <w:ind w:firstLine="0" w:firstLineChars="0"/>
        <w:textAlignment w:val="auto"/>
        <w:rPr>
          <w:rFonts w:ascii="宋体" w:hAnsi="宋体" w:cs="宋体"/>
          <w:color w:val="auto"/>
        </w:rPr>
      </w:pPr>
    </w:p>
    <w:p>
      <w:pPr>
        <w:pStyle w:val="28"/>
        <w:spacing w:line="360" w:lineRule="auto"/>
        <w:rPr>
          <w:rFonts w:hAnsi="宋体" w:eastAsia="宋体" w:cs="宋体"/>
          <w:b/>
          <w:color w:val="auto"/>
          <w:sz w:val="24"/>
          <w:szCs w:val="24"/>
        </w:rPr>
      </w:pPr>
      <w:r>
        <w:rPr>
          <w:rFonts w:hint="eastAsia" w:hAnsi="宋体" w:eastAsia="宋体" w:cs="宋体"/>
          <w:b/>
          <w:color w:val="auto"/>
          <w:sz w:val="24"/>
          <w:szCs w:val="24"/>
        </w:rPr>
        <w:t>附件4</w:t>
      </w:r>
    </w:p>
    <w:tbl>
      <w:tblPr>
        <w:tblStyle w:val="18"/>
        <w:tblW w:w="8762" w:type="dxa"/>
        <w:tblInd w:w="0" w:type="dxa"/>
        <w:tblLayout w:type="fixed"/>
        <w:tblCellMar>
          <w:top w:w="15" w:type="dxa"/>
          <w:left w:w="15" w:type="dxa"/>
          <w:bottom w:w="15" w:type="dxa"/>
          <w:right w:w="15" w:type="dxa"/>
        </w:tblCellMar>
      </w:tblPr>
      <w:tblGrid>
        <w:gridCol w:w="2013"/>
        <w:gridCol w:w="6749"/>
      </w:tblGrid>
      <w:tr>
        <w:tblPrEx>
          <w:tblCellMar>
            <w:top w:w="15" w:type="dxa"/>
            <w:left w:w="15" w:type="dxa"/>
            <w:bottom w:w="15" w:type="dxa"/>
            <w:right w:w="15" w:type="dxa"/>
          </w:tblCellMar>
        </w:tblPrEx>
        <w:trPr>
          <w:trHeight w:val="1150" w:hRule="atLeast"/>
        </w:trPr>
        <w:tc>
          <w:tcPr>
            <w:tcW w:w="8762" w:type="dxa"/>
            <w:gridSpan w:val="2"/>
            <w:tcBorders>
              <w:bottom w:val="single" w:color="000000" w:sz="4" w:space="0"/>
            </w:tcBorders>
            <w:vAlign w:val="center"/>
          </w:tcPr>
          <w:p>
            <w:pPr>
              <w:spacing w:line="560" w:lineRule="exact"/>
              <w:jc w:val="center"/>
              <w:textAlignment w:val="top"/>
              <w:rPr>
                <w:rFonts w:ascii="宋体" w:hAnsi="宋体" w:eastAsia="宋体" w:cs="宋体"/>
                <w:color w:val="auto"/>
                <w:sz w:val="28"/>
                <w:szCs w:val="28"/>
              </w:rPr>
            </w:pPr>
            <w:r>
              <w:rPr>
                <w:rFonts w:hint="eastAsia" w:ascii="宋体" w:hAnsi="宋体" w:eastAsia="宋体" w:cs="宋体"/>
                <w:b/>
                <w:bCs/>
                <w:color w:val="auto"/>
                <w:sz w:val="28"/>
                <w:szCs w:val="28"/>
              </w:rPr>
              <w:t>投标供应商退付投标保证金账户信息</w:t>
            </w:r>
          </w:p>
        </w:tc>
      </w:tr>
      <w:tr>
        <w:tblPrEx>
          <w:tblCellMar>
            <w:top w:w="15" w:type="dxa"/>
            <w:left w:w="15" w:type="dxa"/>
            <w:bottom w:w="15" w:type="dxa"/>
            <w:right w:w="15" w:type="dxa"/>
          </w:tblCellMar>
        </w:tblPrEx>
        <w:trPr>
          <w:trHeight w:val="930" w:hRule="atLeast"/>
        </w:trPr>
        <w:tc>
          <w:tcPr>
            <w:tcW w:w="20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供应商名称</w:t>
            </w:r>
          </w:p>
        </w:tc>
        <w:tc>
          <w:tcPr>
            <w:tcW w:w="674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auto"/>
                <w:sz w:val="24"/>
                <w:szCs w:val="24"/>
              </w:rPr>
            </w:pPr>
          </w:p>
        </w:tc>
      </w:tr>
      <w:tr>
        <w:tblPrEx>
          <w:tblCellMar>
            <w:top w:w="15" w:type="dxa"/>
            <w:left w:w="15" w:type="dxa"/>
            <w:bottom w:w="15" w:type="dxa"/>
            <w:right w:w="15" w:type="dxa"/>
          </w:tblCellMar>
        </w:tblPrEx>
        <w:trPr>
          <w:trHeight w:val="930" w:hRule="atLeast"/>
        </w:trPr>
        <w:tc>
          <w:tcPr>
            <w:tcW w:w="20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674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auto"/>
                <w:sz w:val="24"/>
                <w:szCs w:val="24"/>
              </w:rPr>
            </w:pPr>
          </w:p>
        </w:tc>
      </w:tr>
      <w:tr>
        <w:tblPrEx>
          <w:tblCellMar>
            <w:top w:w="15" w:type="dxa"/>
            <w:left w:w="15" w:type="dxa"/>
            <w:bottom w:w="15" w:type="dxa"/>
            <w:right w:w="15" w:type="dxa"/>
          </w:tblCellMar>
        </w:tblPrEx>
        <w:trPr>
          <w:trHeight w:val="930" w:hRule="atLeast"/>
        </w:trPr>
        <w:tc>
          <w:tcPr>
            <w:tcW w:w="20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缴款金额</w:t>
            </w:r>
          </w:p>
        </w:tc>
        <w:tc>
          <w:tcPr>
            <w:tcW w:w="674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auto"/>
                <w:sz w:val="24"/>
                <w:szCs w:val="24"/>
              </w:rPr>
            </w:pPr>
          </w:p>
        </w:tc>
      </w:tr>
      <w:tr>
        <w:tblPrEx>
          <w:tblCellMar>
            <w:top w:w="15" w:type="dxa"/>
            <w:left w:w="15" w:type="dxa"/>
            <w:bottom w:w="15" w:type="dxa"/>
            <w:right w:w="15" w:type="dxa"/>
          </w:tblCellMar>
        </w:tblPrEx>
        <w:trPr>
          <w:trHeight w:val="930" w:hRule="atLeast"/>
        </w:trPr>
        <w:tc>
          <w:tcPr>
            <w:tcW w:w="2013" w:type="dxa"/>
            <w:tcBorders>
              <w:top w:val="single" w:color="000000" w:sz="4" w:space="0"/>
              <w:left w:val="single" w:color="000000" w:sz="4" w:space="0"/>
              <w:bottom w:val="single" w:color="000000" w:sz="4" w:space="0"/>
              <w:right w:val="single" w:color="000000" w:sz="4" w:space="0"/>
            </w:tcBorders>
            <w:vAlign w:val="center"/>
          </w:tcPr>
          <w:p>
            <w:pPr>
              <w:ind w:firstLine="482" w:firstLineChars="200"/>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账户名称</w:t>
            </w:r>
          </w:p>
          <w:p>
            <w:pPr>
              <w:ind w:firstLine="482" w:firstLineChars="200"/>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（单位公户）</w:t>
            </w:r>
          </w:p>
        </w:tc>
        <w:tc>
          <w:tcPr>
            <w:tcW w:w="674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auto"/>
                <w:sz w:val="24"/>
                <w:szCs w:val="24"/>
              </w:rPr>
            </w:pPr>
          </w:p>
        </w:tc>
      </w:tr>
      <w:tr>
        <w:tblPrEx>
          <w:tblCellMar>
            <w:top w:w="15" w:type="dxa"/>
            <w:left w:w="15" w:type="dxa"/>
            <w:bottom w:w="15" w:type="dxa"/>
            <w:right w:w="15" w:type="dxa"/>
          </w:tblCellMar>
        </w:tblPrEx>
        <w:trPr>
          <w:trHeight w:val="930" w:hRule="atLeast"/>
        </w:trPr>
        <w:tc>
          <w:tcPr>
            <w:tcW w:w="20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账号</w:t>
            </w:r>
          </w:p>
        </w:tc>
        <w:tc>
          <w:tcPr>
            <w:tcW w:w="674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auto"/>
                <w:sz w:val="24"/>
                <w:szCs w:val="24"/>
              </w:rPr>
            </w:pPr>
          </w:p>
        </w:tc>
      </w:tr>
      <w:tr>
        <w:tblPrEx>
          <w:tblCellMar>
            <w:top w:w="15" w:type="dxa"/>
            <w:left w:w="15" w:type="dxa"/>
            <w:bottom w:w="15" w:type="dxa"/>
            <w:right w:w="15" w:type="dxa"/>
          </w:tblCellMar>
        </w:tblPrEx>
        <w:trPr>
          <w:trHeight w:val="930" w:hRule="atLeast"/>
        </w:trPr>
        <w:tc>
          <w:tcPr>
            <w:tcW w:w="20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开户行</w:t>
            </w:r>
          </w:p>
        </w:tc>
        <w:tc>
          <w:tcPr>
            <w:tcW w:w="6749"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auto"/>
                <w:sz w:val="24"/>
                <w:szCs w:val="24"/>
              </w:rPr>
            </w:pPr>
          </w:p>
        </w:tc>
      </w:tr>
      <w:tr>
        <w:tblPrEx>
          <w:tblCellMar>
            <w:top w:w="15" w:type="dxa"/>
            <w:left w:w="15" w:type="dxa"/>
            <w:bottom w:w="15" w:type="dxa"/>
            <w:right w:w="15" w:type="dxa"/>
          </w:tblCellMar>
        </w:tblPrEx>
        <w:trPr>
          <w:trHeight w:val="930" w:hRule="atLeast"/>
        </w:trPr>
        <w:tc>
          <w:tcPr>
            <w:tcW w:w="20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联系人及电话</w:t>
            </w:r>
          </w:p>
        </w:tc>
        <w:tc>
          <w:tcPr>
            <w:tcW w:w="674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auto"/>
                <w:sz w:val="24"/>
                <w:szCs w:val="24"/>
              </w:rPr>
            </w:pPr>
          </w:p>
        </w:tc>
      </w:tr>
      <w:tr>
        <w:tblPrEx>
          <w:tblCellMar>
            <w:top w:w="15" w:type="dxa"/>
            <w:left w:w="15" w:type="dxa"/>
            <w:bottom w:w="15" w:type="dxa"/>
            <w:right w:w="15" w:type="dxa"/>
          </w:tblCellMar>
        </w:tblPrEx>
        <w:trPr>
          <w:trHeight w:val="1350" w:hRule="atLeast"/>
        </w:trPr>
        <w:tc>
          <w:tcPr>
            <w:tcW w:w="8762" w:type="dxa"/>
            <w:gridSpan w:val="2"/>
            <w:tcBorders>
              <w:top w:val="single" w:color="000000" w:sz="4" w:space="0"/>
            </w:tcBorders>
            <w:vAlign w:val="center"/>
          </w:tcPr>
          <w:p>
            <w:pPr>
              <w:textAlignment w:val="center"/>
              <w:rPr>
                <w:rFonts w:ascii="宋体" w:hAnsi="宋体" w:eastAsia="宋体" w:cs="宋体"/>
                <w:color w:val="auto"/>
                <w:sz w:val="24"/>
                <w:szCs w:val="24"/>
              </w:rPr>
            </w:pPr>
            <w:r>
              <w:rPr>
                <w:rStyle w:val="29"/>
                <w:rFonts w:hint="eastAsia"/>
                <w:color w:val="auto"/>
                <w:sz w:val="24"/>
                <w:szCs w:val="24"/>
              </w:rPr>
              <w:t>注：各供应商请将此表与投标文件在开标当日一并交回（请不要将此表装进投标文件中）</w:t>
            </w:r>
          </w:p>
        </w:tc>
      </w:tr>
    </w:tbl>
    <w:p>
      <w:pPr>
        <w:pStyle w:val="27"/>
        <w:widowControl w:val="0"/>
        <w:kinsoku/>
        <w:autoSpaceDE/>
        <w:autoSpaceDN/>
        <w:adjustRightInd/>
        <w:snapToGrid/>
        <w:spacing w:line="360" w:lineRule="auto"/>
        <w:ind w:firstLine="0" w:firstLineChars="0"/>
        <w:textAlignment w:val="auto"/>
        <w:rPr>
          <w:rFonts w:ascii="宋体" w:hAnsi="宋体" w:eastAsia="宋体" w:cs="宋体"/>
          <w:color w:val="auto"/>
          <w:sz w:val="28"/>
          <w:szCs w:val="28"/>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0" w:firstLineChars="0"/>
        <w:jc w:val="center"/>
        <w:rPr>
          <w:rFonts w:ascii="宋体" w:hAnsi="宋体" w:eastAsia="宋体" w:cs="宋体"/>
          <w:b/>
          <w:bCs/>
          <w:sz w:val="28"/>
          <w:szCs w:val="28"/>
        </w:rPr>
      </w:pPr>
      <w:r>
        <w:rPr>
          <w:rFonts w:hint="eastAsia" w:ascii="宋体" w:hAnsi="宋体" w:eastAsia="宋体" w:cs="宋体"/>
          <w:b/>
          <w:bCs/>
          <w:sz w:val="28"/>
          <w:szCs w:val="28"/>
        </w:rPr>
        <w:t>十、其他资料</w:t>
      </w:r>
    </w:p>
    <w:p>
      <w:pPr>
        <w:rPr>
          <w:rFonts w:ascii="宋体" w:hAnsi="宋体" w:eastAsia="宋体" w:cs="宋体"/>
          <w:b/>
          <w:bCs/>
          <w:sz w:val="28"/>
          <w:szCs w:val="28"/>
        </w:rPr>
      </w:pPr>
    </w:p>
    <w:p>
      <w:pPr>
        <w:rPr>
          <w:rFonts w:ascii="宋体" w:hAnsi="宋体" w:eastAsia="宋体" w:cs="宋体"/>
          <w:sz w:val="24"/>
          <w:szCs w:val="24"/>
        </w:rPr>
      </w:pPr>
      <w:r>
        <w:rPr>
          <w:rFonts w:hint="eastAsia" w:ascii="宋体" w:hAnsi="宋体"/>
          <w:bCs/>
          <w:sz w:val="24"/>
          <w:szCs w:val="24"/>
        </w:rPr>
        <w:t>其他资料：招标文件要求的其他资料。</w:t>
      </w: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p>
      <w:pPr>
        <w:pStyle w:val="6"/>
        <w:ind w:firstLine="480"/>
        <w:rPr>
          <w:rFonts w:ascii="宋体" w:hAnsi="宋体" w:eastAsia="宋体" w:cs="宋体"/>
          <w:sz w:val="24"/>
          <w:szCs w:val="24"/>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- 80 -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- 80 -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45358"/>
    <w:multiLevelType w:val="multilevel"/>
    <w:tmpl w:val="70C45358"/>
    <w:lvl w:ilvl="0" w:tentative="0">
      <w:start w:val="1"/>
      <w:numFmt w:val="decimal"/>
      <w:lvlText w:val="%1."/>
      <w:lvlJc w:val="left"/>
      <w:pPr>
        <w:tabs>
          <w:tab w:val="left" w:pos="1206"/>
        </w:tabs>
        <w:ind w:left="639" w:firstLine="0"/>
      </w:pPr>
      <w:rPr>
        <w:rFonts w:hint="eastAsia"/>
      </w:rPr>
    </w:lvl>
    <w:lvl w:ilvl="1" w:tentative="0">
      <w:start w:val="1"/>
      <w:numFmt w:val="decimal"/>
      <w:pStyle w:val="23"/>
      <w:lvlText w:val="%1.%2"/>
      <w:lvlJc w:val="left"/>
      <w:pPr>
        <w:tabs>
          <w:tab w:val="left" w:pos="567"/>
        </w:tabs>
        <w:ind w:left="0" w:firstLine="0"/>
      </w:pPr>
      <w:rPr>
        <w:rFonts w:hint="eastAsia"/>
      </w:rPr>
    </w:lvl>
    <w:lvl w:ilvl="2" w:tentative="0">
      <w:start w:val="1"/>
      <w:numFmt w:val="decimal"/>
      <w:lvlText w:val="%1.%2.%3"/>
      <w:lvlJc w:val="left"/>
      <w:pPr>
        <w:tabs>
          <w:tab w:val="left" w:pos="567"/>
        </w:tabs>
        <w:ind w:left="0" w:firstLine="0"/>
      </w:pPr>
      <w:rPr>
        <w:rFonts w:hint="eastAsia"/>
      </w:rPr>
    </w:lvl>
    <w:lvl w:ilvl="3" w:tentative="0">
      <w:start w:val="1"/>
      <w:numFmt w:val="decimal"/>
      <w:lvlText w:val="%1.%2.%3.%4"/>
      <w:lvlJc w:val="left"/>
      <w:pPr>
        <w:tabs>
          <w:tab w:val="left" w:pos="567"/>
        </w:tabs>
        <w:ind w:left="0" w:firstLine="0"/>
      </w:pPr>
      <w:rPr>
        <w:rFonts w:hint="eastAsia"/>
      </w:rPr>
    </w:lvl>
    <w:lvl w:ilvl="4" w:tentative="0">
      <w:start w:val="1"/>
      <w:numFmt w:val="decimal"/>
      <w:lvlText w:val="%1.%2.%3.%4.%5"/>
      <w:lvlJc w:val="left"/>
      <w:pPr>
        <w:tabs>
          <w:tab w:val="left" w:pos="567"/>
        </w:tabs>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C22096D"/>
    <w:multiLevelType w:val="multilevel"/>
    <w:tmpl w:val="7C22096D"/>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4.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WYzM2RjZTM0MmE5MGUzN2Y4YWQ4N2NhMGIyY2IifQ=="/>
  </w:docVars>
  <w:rsids>
    <w:rsidRoot w:val="5F416DF4"/>
    <w:rsid w:val="000044A2"/>
    <w:rsid w:val="00177D87"/>
    <w:rsid w:val="00410CD8"/>
    <w:rsid w:val="00443175"/>
    <w:rsid w:val="00535E7A"/>
    <w:rsid w:val="005B3BBD"/>
    <w:rsid w:val="008E4604"/>
    <w:rsid w:val="00975C97"/>
    <w:rsid w:val="00A976E9"/>
    <w:rsid w:val="00B10DF2"/>
    <w:rsid w:val="00EA11B3"/>
    <w:rsid w:val="01CF7CF2"/>
    <w:rsid w:val="01F52D22"/>
    <w:rsid w:val="030B3033"/>
    <w:rsid w:val="042E253E"/>
    <w:rsid w:val="0687062B"/>
    <w:rsid w:val="06F26247"/>
    <w:rsid w:val="084A10C2"/>
    <w:rsid w:val="087150EF"/>
    <w:rsid w:val="0885336C"/>
    <w:rsid w:val="08857706"/>
    <w:rsid w:val="08A440A9"/>
    <w:rsid w:val="08C8198B"/>
    <w:rsid w:val="093D1475"/>
    <w:rsid w:val="0A975809"/>
    <w:rsid w:val="0A9F23E7"/>
    <w:rsid w:val="0AAF1EFF"/>
    <w:rsid w:val="0B5331D2"/>
    <w:rsid w:val="0C9C01F4"/>
    <w:rsid w:val="0CDC1C03"/>
    <w:rsid w:val="0D0B5B12"/>
    <w:rsid w:val="0EC17849"/>
    <w:rsid w:val="0EEA1757"/>
    <w:rsid w:val="0EFF16A6"/>
    <w:rsid w:val="0F6C4208"/>
    <w:rsid w:val="131E5F56"/>
    <w:rsid w:val="13C04D1D"/>
    <w:rsid w:val="14423DE3"/>
    <w:rsid w:val="149A777C"/>
    <w:rsid w:val="152C604A"/>
    <w:rsid w:val="157144B0"/>
    <w:rsid w:val="16FC2FC0"/>
    <w:rsid w:val="185E7DDD"/>
    <w:rsid w:val="18A8690B"/>
    <w:rsid w:val="1948161C"/>
    <w:rsid w:val="19BD264C"/>
    <w:rsid w:val="1D48246B"/>
    <w:rsid w:val="1DC37D43"/>
    <w:rsid w:val="1DE303E5"/>
    <w:rsid w:val="1E636E30"/>
    <w:rsid w:val="215D400B"/>
    <w:rsid w:val="21A64334"/>
    <w:rsid w:val="22FF5CB4"/>
    <w:rsid w:val="232B5C53"/>
    <w:rsid w:val="23424B0A"/>
    <w:rsid w:val="235A5A7A"/>
    <w:rsid w:val="23855DD9"/>
    <w:rsid w:val="27697E51"/>
    <w:rsid w:val="287F6E98"/>
    <w:rsid w:val="289D6BF8"/>
    <w:rsid w:val="292D03E7"/>
    <w:rsid w:val="2ADD7FFD"/>
    <w:rsid w:val="2B163D1C"/>
    <w:rsid w:val="2B1C4F36"/>
    <w:rsid w:val="2C6646BB"/>
    <w:rsid w:val="2C8965FC"/>
    <w:rsid w:val="2D445A50"/>
    <w:rsid w:val="2D9E7E85"/>
    <w:rsid w:val="2DC5511A"/>
    <w:rsid w:val="2E36630F"/>
    <w:rsid w:val="2EB359CC"/>
    <w:rsid w:val="2F7F3D7E"/>
    <w:rsid w:val="2FAE299B"/>
    <w:rsid w:val="303074BA"/>
    <w:rsid w:val="30F21551"/>
    <w:rsid w:val="32397C99"/>
    <w:rsid w:val="334B460B"/>
    <w:rsid w:val="339A1B52"/>
    <w:rsid w:val="33C97EFF"/>
    <w:rsid w:val="33D705F7"/>
    <w:rsid w:val="37017B46"/>
    <w:rsid w:val="371315A4"/>
    <w:rsid w:val="385B52F0"/>
    <w:rsid w:val="3C882D7E"/>
    <w:rsid w:val="3CC853D1"/>
    <w:rsid w:val="3CDC76AA"/>
    <w:rsid w:val="3CE27D8E"/>
    <w:rsid w:val="3D4C3459"/>
    <w:rsid w:val="3DAB3754"/>
    <w:rsid w:val="3F696545"/>
    <w:rsid w:val="3F6D69D9"/>
    <w:rsid w:val="3F8F762D"/>
    <w:rsid w:val="402709BC"/>
    <w:rsid w:val="41634BA3"/>
    <w:rsid w:val="41711C4E"/>
    <w:rsid w:val="460E39A2"/>
    <w:rsid w:val="464253F9"/>
    <w:rsid w:val="46BB013F"/>
    <w:rsid w:val="46C40504"/>
    <w:rsid w:val="47936E8A"/>
    <w:rsid w:val="48A05DC4"/>
    <w:rsid w:val="498A3324"/>
    <w:rsid w:val="4A4613F1"/>
    <w:rsid w:val="4AA46FDF"/>
    <w:rsid w:val="4B0A753C"/>
    <w:rsid w:val="4C52169A"/>
    <w:rsid w:val="4CAD0A4B"/>
    <w:rsid w:val="4D151ABA"/>
    <w:rsid w:val="4EDF7720"/>
    <w:rsid w:val="4F256492"/>
    <w:rsid w:val="52B86D65"/>
    <w:rsid w:val="53634C01"/>
    <w:rsid w:val="55311011"/>
    <w:rsid w:val="5588102D"/>
    <w:rsid w:val="56247F35"/>
    <w:rsid w:val="5633598F"/>
    <w:rsid w:val="566B7D21"/>
    <w:rsid w:val="569A494A"/>
    <w:rsid w:val="573316EB"/>
    <w:rsid w:val="578B4A58"/>
    <w:rsid w:val="581667A5"/>
    <w:rsid w:val="583D66CE"/>
    <w:rsid w:val="58557C07"/>
    <w:rsid w:val="5B0C0BE6"/>
    <w:rsid w:val="5D5556D2"/>
    <w:rsid w:val="5DB76275"/>
    <w:rsid w:val="5E371164"/>
    <w:rsid w:val="5EBB43C7"/>
    <w:rsid w:val="5F416DF4"/>
    <w:rsid w:val="5FD924D3"/>
    <w:rsid w:val="614222FA"/>
    <w:rsid w:val="617862D8"/>
    <w:rsid w:val="61CE7FC7"/>
    <w:rsid w:val="61DC6C34"/>
    <w:rsid w:val="620F48D2"/>
    <w:rsid w:val="62617D83"/>
    <w:rsid w:val="63B3701E"/>
    <w:rsid w:val="65873DF8"/>
    <w:rsid w:val="67FF33DC"/>
    <w:rsid w:val="681A3FD0"/>
    <w:rsid w:val="689C7722"/>
    <w:rsid w:val="69702632"/>
    <w:rsid w:val="69BD3957"/>
    <w:rsid w:val="6A4C054D"/>
    <w:rsid w:val="6B6E6CA7"/>
    <w:rsid w:val="6BC524A5"/>
    <w:rsid w:val="6C2D70F8"/>
    <w:rsid w:val="6D156B14"/>
    <w:rsid w:val="6DA4384C"/>
    <w:rsid w:val="6E041063"/>
    <w:rsid w:val="70F829D5"/>
    <w:rsid w:val="718E73C9"/>
    <w:rsid w:val="723F6573"/>
    <w:rsid w:val="73972979"/>
    <w:rsid w:val="752F50E4"/>
    <w:rsid w:val="75552850"/>
    <w:rsid w:val="75764D82"/>
    <w:rsid w:val="75E874BC"/>
    <w:rsid w:val="76744178"/>
    <w:rsid w:val="77DF669D"/>
    <w:rsid w:val="790A599B"/>
    <w:rsid w:val="79FD4660"/>
    <w:rsid w:val="7A8401A0"/>
    <w:rsid w:val="7B4A207F"/>
    <w:rsid w:val="7BF1074D"/>
    <w:rsid w:val="7CAA1027"/>
    <w:rsid w:val="7EC3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numPr>
        <w:ilvl w:val="0"/>
        <w:numId w:val="1"/>
      </w:numPr>
      <w:jc w:val="center"/>
      <w:outlineLvl w:val="0"/>
    </w:pPr>
    <w:rPr>
      <w:sz w:val="28"/>
    </w:rPr>
  </w:style>
  <w:style w:type="paragraph" w:styleId="4">
    <w:name w:val="heading 2"/>
    <w:basedOn w:val="1"/>
    <w:next w:val="1"/>
    <w:qFormat/>
    <w:uiPriority w:val="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
    <w:pPr>
      <w:keepNext/>
      <w:keepLines/>
      <w:spacing w:line="413" w:lineRule="auto"/>
      <w:ind w:left="200" w:leftChars="200"/>
      <w:outlineLvl w:val="2"/>
    </w:pPr>
    <w:rPr>
      <w:rFonts w:ascii="仿宋_GB2312" w:hAnsi="仿宋_GB2312" w:eastAsia="仿宋_GB2312" w:cs="Times New Roman"/>
      <w:b/>
      <w:sz w:val="24"/>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basedOn w:val="1"/>
    <w:qFormat/>
    <w:uiPriority w:val="0"/>
    <w:pPr>
      <w:ind w:firstLine="420" w:firstLineChars="200"/>
    </w:pPr>
  </w:style>
  <w:style w:type="paragraph" w:styleId="7">
    <w:name w:val="Salutation"/>
    <w:basedOn w:val="1"/>
    <w:next w:val="1"/>
    <w:qFormat/>
    <w:uiPriority w:val="0"/>
    <w:rPr>
      <w:rFonts w:ascii="楷体_GB2312" w:eastAsia="楷体_GB2312"/>
      <w:sz w:val="32"/>
    </w:rPr>
  </w:style>
  <w:style w:type="paragraph" w:styleId="8">
    <w:name w:val="Body Text 3"/>
    <w:basedOn w:val="1"/>
    <w:qFormat/>
    <w:uiPriority w:val="99"/>
    <w:pPr>
      <w:spacing w:after="120"/>
    </w:pPr>
    <w:rPr>
      <w:rFonts w:ascii="Times New Roman" w:hAnsi="Times New Roman" w:eastAsia="华文宋体" w:cs="Times New Roman"/>
      <w:sz w:val="16"/>
      <w:szCs w:val="16"/>
    </w:rPr>
  </w:style>
  <w:style w:type="paragraph" w:styleId="9">
    <w:name w:val="Body Text Indent"/>
    <w:basedOn w:val="1"/>
    <w:next w:val="1"/>
    <w:qFormat/>
    <w:uiPriority w:val="0"/>
    <w:pPr>
      <w:spacing w:line="460" w:lineRule="exact"/>
      <w:ind w:right="-215" w:firstLine="425"/>
    </w:pPr>
    <w:rPr>
      <w:sz w:val="28"/>
    </w:rPr>
  </w:style>
  <w:style w:type="paragraph" w:styleId="10">
    <w:name w:val="Plain Text"/>
    <w:basedOn w:val="1"/>
    <w:next w:val="1"/>
    <w:qFormat/>
    <w:uiPriority w:val="0"/>
    <w:rPr>
      <w:rFonts w:ascii="宋体" w:hAnsi="Courier New"/>
    </w:rPr>
  </w:style>
  <w:style w:type="paragraph" w:styleId="11">
    <w:name w:val="Body Text Indent 2"/>
    <w:basedOn w:val="1"/>
    <w:next w:val="1"/>
    <w:qFormat/>
    <w:uiPriority w:val="99"/>
    <w:pPr>
      <w:spacing w:line="640" w:lineRule="exact"/>
      <w:ind w:firstLine="645"/>
    </w:pPr>
    <w:rPr>
      <w:rFonts w:ascii="楷体_GB2312" w:eastAsia="楷体_GB2312"/>
      <w:sz w:val="32"/>
      <w:szCs w:val="32"/>
    </w:rPr>
  </w:style>
  <w:style w:type="paragraph" w:styleId="12">
    <w:name w:val="footer"/>
    <w:basedOn w:val="1"/>
    <w:qFormat/>
    <w:uiPriority w:val="99"/>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99"/>
    <w:rPr>
      <w:rFonts w:ascii="Times New Roman" w:hAnsi="Times New Roman" w:eastAsia="仿宋_GB2312" w:cs="Times New Roman"/>
      <w:caps/>
      <w:sz w:val="24"/>
      <w:szCs w:val="20"/>
    </w:rPr>
  </w:style>
  <w:style w:type="paragraph" w:styleId="15">
    <w:name w:val="Normal (Web)"/>
    <w:basedOn w:val="1"/>
    <w:qFormat/>
    <w:uiPriority w:val="0"/>
    <w:pPr>
      <w:spacing w:before="100" w:beforeAutospacing="1" w:after="100" w:afterAutospacing="1"/>
    </w:pPr>
    <w:rPr>
      <w:rFonts w:ascii="宋体" w:hAnsi="宋体"/>
      <w:sz w:val="24"/>
    </w:rPr>
  </w:style>
  <w:style w:type="paragraph" w:styleId="16">
    <w:name w:val="Body Text First Indent"/>
    <w:basedOn w:val="2"/>
    <w:next w:val="2"/>
    <w:qFormat/>
    <w:uiPriority w:val="0"/>
    <w:pPr>
      <w:spacing w:after="120"/>
      <w:ind w:firstLine="420" w:firstLineChars="100"/>
    </w:pPr>
    <w:rPr>
      <w:sz w:val="21"/>
    </w:rPr>
  </w:style>
  <w:style w:type="paragraph" w:styleId="17">
    <w:name w:val="Body Text First Indent 2"/>
    <w:basedOn w:val="9"/>
    <w:qFormat/>
    <w:uiPriority w:val="0"/>
    <w:pPr>
      <w:ind w:firstLine="420" w:firstLineChars="200"/>
    </w:p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my正文"/>
    <w:basedOn w:val="1"/>
    <w:link w:val="31"/>
    <w:qFormat/>
    <w:uiPriority w:val="0"/>
    <w:pPr>
      <w:spacing w:line="360" w:lineRule="auto"/>
      <w:ind w:firstLine="480" w:firstLineChars="200"/>
    </w:pPr>
    <w:rPr>
      <w:rFonts w:ascii="Calibri" w:hAnsi="Calibri"/>
      <w:szCs w:val="22"/>
    </w:rPr>
  </w:style>
  <w:style w:type="paragraph" w:customStyle="1" w:styleId="22">
    <w:name w:val="S_标题1"/>
    <w:basedOn w:val="3"/>
    <w:next w:val="1"/>
    <w:qFormat/>
    <w:uiPriority w:val="0"/>
    <w:pPr>
      <w:tabs>
        <w:tab w:val="left" w:pos="900"/>
        <w:tab w:val="left" w:pos="1206"/>
      </w:tabs>
      <w:spacing w:before="150" w:beforeLines="150" w:after="50" w:afterLines="50"/>
      <w:jc w:val="left"/>
    </w:pPr>
    <w:rPr>
      <w:sz w:val="32"/>
      <w:szCs w:val="32"/>
    </w:rPr>
  </w:style>
  <w:style w:type="paragraph" w:customStyle="1" w:styleId="23">
    <w:name w:val="S_标题2"/>
    <w:basedOn w:val="4"/>
    <w:next w:val="1"/>
    <w:qFormat/>
    <w:uiPriority w:val="0"/>
    <w:pPr>
      <w:numPr>
        <w:ilvl w:val="1"/>
        <w:numId w:val="2"/>
      </w:numPr>
      <w:spacing w:before="50" w:beforeLines="50" w:after="50" w:afterLines="50" w:line="240" w:lineRule="auto"/>
    </w:pPr>
    <w:rPr>
      <w:rFonts w:ascii="Times New Roman" w:hAnsi="Times New Roman" w:eastAsia="宋体"/>
      <w:b w:val="0"/>
      <w:bCs w:val="0"/>
      <w:sz w:val="30"/>
      <w:szCs w:val="30"/>
    </w:rPr>
  </w:style>
  <w:style w:type="paragraph" w:customStyle="1" w:styleId="24">
    <w:name w:val="aaa正文"/>
    <w:basedOn w:val="1"/>
    <w:qFormat/>
    <w:uiPriority w:val="0"/>
    <w:pPr>
      <w:spacing w:line="360" w:lineRule="auto"/>
      <w:ind w:firstLine="480" w:firstLineChars="200"/>
    </w:pPr>
    <w:rPr>
      <w:rFonts w:ascii="宋体" w:hAnsi="宋体"/>
      <w:sz w:val="24"/>
      <w:szCs w:val="24"/>
    </w:rPr>
  </w:style>
  <w:style w:type="paragraph" w:customStyle="1" w:styleId="25">
    <w:name w:val="Normal_28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26">
    <w:name w:val="Normal_31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27">
    <w:name w:val="正文缩进1"/>
    <w:basedOn w:val="1"/>
    <w:qFormat/>
    <w:uiPriority w:val="0"/>
    <w:pPr>
      <w:ind w:firstLine="420" w:firstLineChars="200"/>
    </w:pPr>
  </w:style>
  <w:style w:type="paragraph" w:customStyle="1" w:styleId="28">
    <w:name w:val="Char1"/>
    <w:basedOn w:val="1"/>
    <w:qFormat/>
    <w:uiPriority w:val="0"/>
    <w:rPr>
      <w:rFonts w:ascii="宋体" w:hAnsi="Calibri" w:eastAsia="微软雅黑"/>
      <w:sz w:val="34"/>
    </w:rPr>
  </w:style>
  <w:style w:type="character" w:customStyle="1" w:styleId="29">
    <w:name w:val="font11"/>
    <w:basedOn w:val="19"/>
    <w:qFormat/>
    <w:uiPriority w:val="99"/>
    <w:rPr>
      <w:rFonts w:ascii="宋体" w:hAnsi="宋体" w:eastAsia="宋体" w:cs="宋体"/>
      <w:color w:val="000000"/>
      <w:sz w:val="22"/>
      <w:szCs w:val="22"/>
      <w:u w:val="none"/>
    </w:rPr>
  </w:style>
  <w:style w:type="paragraph" w:customStyle="1" w:styleId="30">
    <w:name w:val="※正文"/>
    <w:basedOn w:val="1"/>
    <w:next w:val="1"/>
    <w:qFormat/>
    <w:uiPriority w:val="0"/>
    <w:pPr>
      <w:wordWrap w:val="0"/>
    </w:pPr>
    <w:rPr>
      <w:rFonts w:cs="Times New Roman"/>
    </w:rPr>
  </w:style>
  <w:style w:type="character" w:customStyle="1" w:styleId="31">
    <w:name w:val="my正文 Char"/>
    <w:link w:val="21"/>
    <w:qFormat/>
    <w:uiPriority w:val="0"/>
    <w:rPr>
      <w:rFonts w:ascii="Calibri" w:hAnsi="Calibri" w:eastAsia="Arial" w:cs="Arial"/>
      <w:snapToGrid w:val="0"/>
      <w:color w:val="000000"/>
      <w:sz w:val="21"/>
      <w:szCs w:val="22"/>
    </w:rPr>
  </w:style>
  <w:style w:type="character" w:customStyle="1" w:styleId="32">
    <w:name w:val="glyphicon4"/>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45490</Words>
  <Characters>47632</Characters>
  <Lines>358</Lines>
  <Paragraphs>100</Paragraphs>
  <TotalTime>348</TotalTime>
  <ScaleCrop>false</ScaleCrop>
  <LinksUpToDate>false</LinksUpToDate>
  <CharactersWithSpaces>50056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2022-11-01T01:14:00Z</dcterms:created>
  <dc:creator>WPS_1602488906</dc:creator>
  <cp:lastModifiedBy>WPS_1602488906</cp:lastModifiedBy>
  <cp:lastPrinted>2022-11-28T01:03:08Z</cp:lastPrinted>
  <dcterms:modified xsi:type="dcterms:W3CDTF">2022-11-28T01:05:41Z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326885755C1743F49D06BDA7E1F6BC91</vt:lpwstr>
  </property>
</Properties>
</file>