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color w:val="auto"/>
          <w:sz w:val="52"/>
          <w:szCs w:val="52"/>
        </w:rPr>
      </w:pPr>
    </w:p>
    <w:p>
      <w:pPr>
        <w:spacing w:line="240" w:lineRule="auto"/>
        <w:jc w:val="both"/>
        <w:rPr>
          <w:color w:val="auto"/>
          <w:sz w:val="52"/>
          <w:szCs w:val="52"/>
        </w:rPr>
      </w:pPr>
    </w:p>
    <w:p>
      <w:pPr>
        <w:spacing w:line="240" w:lineRule="auto"/>
        <w:jc w:val="center"/>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kern w:val="0"/>
          <w:sz w:val="96"/>
          <w:szCs w:val="96"/>
          <w:lang w:val="en-US" w:eastAsia="zh-CN"/>
        </w:rPr>
        <w:t>汉中市</w:t>
      </w:r>
      <w:r>
        <w:rPr>
          <w:rFonts w:hint="eastAsia" w:ascii="方正小标宋简体" w:hAnsi="方正小标宋简体" w:eastAsia="方正小标宋简体" w:cs="方正小标宋简体"/>
          <w:b w:val="0"/>
          <w:bCs/>
          <w:color w:val="auto"/>
          <w:kern w:val="0"/>
          <w:sz w:val="96"/>
          <w:szCs w:val="96"/>
        </w:rPr>
        <w:t>政府采购中心</w:t>
      </w:r>
    </w:p>
    <w:p>
      <w:pPr>
        <w:spacing w:line="240" w:lineRule="auto"/>
        <w:jc w:val="center"/>
        <w:rPr>
          <w:rFonts w:ascii="黑体" w:hAnsi="黑体" w:eastAsia="黑体" w:cs="黑体"/>
          <w:b w:val="0"/>
          <w:bCs/>
          <w:color w:val="auto"/>
          <w:sz w:val="96"/>
          <w:szCs w:val="96"/>
        </w:rPr>
      </w:pPr>
      <w:r>
        <w:rPr>
          <w:rFonts w:hint="eastAsia" w:ascii="方正小标宋简体" w:hAnsi="方正小标宋简体" w:eastAsia="方正小标宋简体" w:cs="方正小标宋简体"/>
          <w:b w:val="0"/>
          <w:bCs/>
          <w:color w:val="auto"/>
          <w:kern w:val="0"/>
          <w:sz w:val="96"/>
          <w:szCs w:val="96"/>
        </w:rPr>
        <w:t>竞争性磋商文件</w:t>
      </w:r>
    </w:p>
    <w:p>
      <w:pPr>
        <w:pStyle w:val="36"/>
        <w:spacing w:line="240" w:lineRule="auto"/>
        <w:ind w:left="0" w:leftChars="0" w:right="424" w:rightChars="150" w:firstLine="0" w:firstLineChars="0"/>
        <w:jc w:val="center"/>
        <w:rPr>
          <w:rFonts w:hint="eastAsia" w:ascii="仿宋_GB2312" w:hAnsi="仿宋_GB2312" w:eastAsia="仿宋_GB2312" w:cs="仿宋_GB2312"/>
          <w:color w:val="auto"/>
          <w:sz w:val="36"/>
          <w:szCs w:val="36"/>
          <w:lang w:eastAsia="zh-CN"/>
        </w:rPr>
      </w:pPr>
      <w:r>
        <w:rPr>
          <w:rFonts w:hint="eastAsia" w:ascii="仿宋_GB2312" w:hAnsi="仿宋_GB2312" w:eastAsia="仿宋_GB2312" w:cs="仿宋_GB2312"/>
          <w:color w:val="auto"/>
          <w:sz w:val="44"/>
          <w:szCs w:val="44"/>
          <w:lang w:eastAsia="zh-CN"/>
        </w:rPr>
        <w:t>（</w:t>
      </w:r>
      <w:r>
        <w:rPr>
          <w:rFonts w:hint="eastAsia" w:ascii="仿宋_GB2312" w:hAnsi="仿宋_GB2312" w:eastAsia="仿宋_GB2312" w:cs="仿宋_GB2312"/>
          <w:color w:val="auto"/>
          <w:sz w:val="44"/>
          <w:szCs w:val="44"/>
          <w:lang w:val="en-US" w:eastAsia="zh-CN"/>
        </w:rPr>
        <w:t>专门面向中小企业采购</w:t>
      </w:r>
      <w:r>
        <w:rPr>
          <w:rFonts w:hint="eastAsia" w:ascii="仿宋_GB2312" w:hAnsi="仿宋_GB2312" w:eastAsia="仿宋_GB2312" w:cs="仿宋_GB2312"/>
          <w:color w:val="auto"/>
          <w:sz w:val="44"/>
          <w:szCs w:val="44"/>
          <w:lang w:eastAsia="zh-CN"/>
        </w:rPr>
        <w:t>）</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100"/>
          <w:sz w:val="36"/>
          <w:szCs w:val="36"/>
        </w:rPr>
      </w:pP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w w:val="95"/>
          <w:sz w:val="36"/>
          <w:szCs w:val="36"/>
          <w:highlight w:val="yellow"/>
          <w:lang w:val="en-US" w:eastAsia="zh-CN"/>
        </w:rPr>
      </w:pPr>
      <w:r>
        <w:rPr>
          <w:rFonts w:hint="eastAsia" w:ascii="仿宋_GB2312" w:hAnsi="仿宋_GB2312" w:eastAsia="仿宋_GB2312" w:cs="仿宋_GB2312"/>
          <w:b w:val="0"/>
          <w:bCs w:val="0"/>
          <w:color w:val="auto"/>
          <w:w w:val="100"/>
          <w:sz w:val="36"/>
          <w:szCs w:val="36"/>
        </w:rPr>
        <w:t>项目名称：</w:t>
      </w:r>
      <w:r>
        <w:rPr>
          <w:rFonts w:hint="eastAsia" w:ascii="仿宋_GB2312" w:hAnsi="仿宋_GB2312" w:eastAsia="仿宋_GB2312" w:cs="仿宋_GB2312"/>
          <w:b w:val="0"/>
          <w:bCs w:val="0"/>
          <w:color w:val="auto"/>
          <w:w w:val="100"/>
          <w:sz w:val="36"/>
          <w:szCs w:val="36"/>
          <w:lang w:val="en-US" w:eastAsia="zh-CN"/>
        </w:rPr>
        <w:t>汉中市财政专项资金管理处委托第三方实施绩效评价相关服务采购项目（第一标段）</w:t>
      </w:r>
    </w:p>
    <w:p>
      <w:pPr>
        <w:spacing w:line="240" w:lineRule="auto"/>
        <w:ind w:left="2539" w:leftChars="256" w:right="707" w:rightChars="250" w:hanging="1815" w:hangingChars="500"/>
        <w:jc w:val="left"/>
        <w:rPr>
          <w:rFonts w:hint="eastAsia" w:ascii="仿宋_GB2312" w:hAnsi="仿宋_GB2312" w:eastAsia="仿宋_GB2312" w:cs="仿宋_GB2312"/>
          <w:b w:val="0"/>
          <w:bCs w:val="0"/>
          <w:color w:val="auto"/>
          <w:sz w:val="36"/>
          <w:szCs w:val="36"/>
        </w:rPr>
      </w:pPr>
      <w:r>
        <w:rPr>
          <w:rFonts w:hint="eastAsia" w:ascii="仿宋_GB2312" w:hAnsi="仿宋_GB2312" w:eastAsia="仿宋_GB2312" w:cs="仿宋_GB2312"/>
          <w:b w:val="0"/>
          <w:bCs w:val="0"/>
          <w:color w:val="auto"/>
          <w:sz w:val="36"/>
          <w:szCs w:val="36"/>
        </w:rPr>
        <w:t>项目编号：</w:t>
      </w:r>
      <w:r>
        <w:rPr>
          <w:rFonts w:hint="eastAsia" w:ascii="仿宋_GB2312" w:hAnsi="仿宋_GB2312" w:eastAsia="仿宋_GB2312" w:cs="仿宋_GB2312"/>
          <w:b w:val="0"/>
          <w:bCs w:val="0"/>
          <w:color w:val="auto"/>
          <w:sz w:val="36"/>
          <w:szCs w:val="36"/>
          <w:lang w:val="en-US" w:eastAsia="zh-CN"/>
        </w:rPr>
        <w:t>汉采FW【2023】6号</w:t>
      </w:r>
    </w:p>
    <w:p>
      <w:pPr>
        <w:spacing w:line="240" w:lineRule="auto"/>
        <w:ind w:right="424" w:rightChars="150" w:firstLine="726" w:firstLineChars="200"/>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36"/>
          <w:szCs w:val="36"/>
        </w:rPr>
      </w:pPr>
    </w:p>
    <w:p>
      <w:pPr>
        <w:pStyle w:val="8"/>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sz w:val="36"/>
          <w:szCs w:val="36"/>
        </w:rPr>
      </w:pPr>
    </w:p>
    <w:p>
      <w:pPr>
        <w:rPr>
          <w:rFonts w:hint="eastAsia" w:ascii="仿宋_GB2312" w:hAnsi="仿宋_GB2312" w:eastAsia="仿宋_GB2312" w:cs="仿宋_GB2312"/>
          <w:b w:val="0"/>
          <w:bCs w:val="0"/>
          <w:color w:val="auto"/>
        </w:rPr>
      </w:pPr>
    </w:p>
    <w:p>
      <w:pPr>
        <w:spacing w:line="240" w:lineRule="auto"/>
        <w:jc w:val="center"/>
        <w:rPr>
          <w:rFonts w:hint="eastAsia" w:ascii="仿宋_GB2312" w:hAnsi="仿宋_GB2312" w:eastAsia="仿宋_GB2312" w:cs="仿宋_GB2312"/>
          <w:b w:val="0"/>
          <w:bCs w:val="0"/>
          <w:color w:val="auto"/>
          <w:sz w:val="36"/>
          <w:szCs w:val="36"/>
        </w:rPr>
      </w:pPr>
    </w:p>
    <w:p>
      <w:pPr>
        <w:spacing w:line="240" w:lineRule="auto"/>
        <w:jc w:val="center"/>
        <w:rPr>
          <w:rFonts w:hint="eastAsia" w:ascii="仿宋_GB2312" w:hAnsi="仿宋_GB2312" w:eastAsia="仿宋_GB2312" w:cs="仿宋_GB2312"/>
          <w:b w:val="0"/>
          <w:bCs w:val="0"/>
          <w:color w:val="auto"/>
          <w:sz w:val="44"/>
          <w:szCs w:val="44"/>
        </w:rPr>
      </w:pPr>
      <w:r>
        <w:rPr>
          <w:rFonts w:hint="eastAsia" w:ascii="仿宋_GB2312" w:hAnsi="仿宋_GB2312" w:eastAsia="仿宋_GB2312" w:cs="仿宋_GB2312"/>
          <w:b w:val="0"/>
          <w:bCs w:val="0"/>
          <w:color w:val="auto"/>
          <w:sz w:val="44"/>
          <w:szCs w:val="44"/>
        </w:rPr>
        <w:t>202</w:t>
      </w:r>
      <w:r>
        <w:rPr>
          <w:rFonts w:hint="eastAsia" w:ascii="仿宋_GB2312" w:hAnsi="仿宋_GB2312" w:eastAsia="仿宋_GB2312" w:cs="仿宋_GB2312"/>
          <w:b w:val="0"/>
          <w:bCs w:val="0"/>
          <w:color w:val="auto"/>
          <w:sz w:val="44"/>
          <w:szCs w:val="44"/>
          <w:lang w:val="en-US" w:eastAsia="zh-CN"/>
        </w:rPr>
        <w:t>3</w:t>
      </w:r>
      <w:r>
        <w:rPr>
          <w:rFonts w:hint="eastAsia" w:ascii="仿宋_GB2312" w:hAnsi="仿宋_GB2312" w:eastAsia="仿宋_GB2312" w:cs="仿宋_GB2312"/>
          <w:b w:val="0"/>
          <w:bCs w:val="0"/>
          <w:color w:val="auto"/>
          <w:sz w:val="44"/>
          <w:szCs w:val="44"/>
        </w:rPr>
        <w:t>年</w:t>
      </w:r>
      <w:r>
        <w:rPr>
          <w:rFonts w:hint="eastAsia" w:ascii="仿宋_GB2312" w:hAnsi="仿宋_GB2312" w:eastAsia="仿宋_GB2312" w:cs="仿宋_GB2312"/>
          <w:b w:val="0"/>
          <w:bCs w:val="0"/>
          <w:color w:val="auto"/>
          <w:sz w:val="44"/>
          <w:szCs w:val="44"/>
          <w:highlight w:val="none"/>
          <w:lang w:val="en-US" w:eastAsia="zh-CN"/>
        </w:rPr>
        <w:t>4</w:t>
      </w:r>
      <w:r>
        <w:rPr>
          <w:rFonts w:hint="eastAsia" w:ascii="仿宋_GB2312" w:hAnsi="仿宋_GB2312" w:eastAsia="仿宋_GB2312" w:cs="仿宋_GB2312"/>
          <w:b w:val="0"/>
          <w:bCs w:val="0"/>
          <w:color w:val="auto"/>
          <w:sz w:val="44"/>
          <w:szCs w:val="44"/>
          <w:highlight w:val="none"/>
        </w:rPr>
        <w:t>月</w:t>
      </w:r>
      <w:r>
        <w:rPr>
          <w:rFonts w:hint="eastAsia" w:ascii="仿宋_GB2312" w:hAnsi="仿宋_GB2312" w:eastAsia="仿宋_GB2312" w:cs="仿宋_GB2312"/>
          <w:b w:val="0"/>
          <w:bCs w:val="0"/>
          <w:color w:val="auto"/>
          <w:sz w:val="44"/>
          <w:szCs w:val="44"/>
          <w:highlight w:val="none"/>
          <w:lang w:val="en-US" w:eastAsia="zh-CN"/>
        </w:rPr>
        <w:t>11</w:t>
      </w:r>
      <w:r>
        <w:rPr>
          <w:rFonts w:hint="eastAsia" w:ascii="仿宋_GB2312" w:hAnsi="仿宋_GB2312" w:eastAsia="仿宋_GB2312" w:cs="仿宋_GB2312"/>
          <w:b w:val="0"/>
          <w:bCs w:val="0"/>
          <w:color w:val="auto"/>
          <w:sz w:val="44"/>
          <w:szCs w:val="44"/>
        </w:rPr>
        <w:t>日</w:t>
      </w:r>
      <w:bookmarkStart w:id="0" w:name="_Toc30102_WPSOffice_Level1"/>
      <w:bookmarkStart w:id="1" w:name="_Toc30340_WPSOffice_Level1"/>
      <w:bookmarkStart w:id="2" w:name="_Toc10222_WPSOffice_Level1"/>
    </w:p>
    <w:p>
      <w:pPr>
        <w:pStyle w:val="8"/>
        <w:rPr>
          <w:rFonts w:hint="eastAsia"/>
          <w:color w:val="auto"/>
        </w:rPr>
      </w:pPr>
    </w:p>
    <w:p>
      <w:pPr>
        <w:pStyle w:val="15"/>
        <w:tabs>
          <w:tab w:val="right" w:leader="dot" w:pos="9072"/>
        </w:tabs>
        <w:spacing w:before="190" w:beforeLines="50" w:after="190" w:afterLines="50" w:line="500" w:lineRule="exact"/>
        <w:jc w:val="center"/>
        <w:rPr>
          <w:rFonts w:hint="eastAsia" w:ascii="仿宋" w:hAnsi="仿宋" w:eastAsia="仿宋" w:cs="仿宋"/>
          <w:color w:val="auto"/>
          <w:sz w:val="44"/>
          <w:szCs w:val="44"/>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tabs>
          <w:tab w:val="right" w:leader="hyphen" w:pos="8504"/>
        </w:tabs>
        <w:spacing w:after="381" w:afterLines="100" w:line="240" w:lineRule="auto"/>
        <w:ind w:left="567" w:right="566" w:rightChars="200"/>
        <w:jc w:val="center"/>
        <w:rPr>
          <w:rFonts w:ascii="仿宋" w:hAnsi="仿宋" w:eastAsia="仿宋"/>
          <w:b w:val="0"/>
          <w:bCs/>
          <w:color w:val="auto"/>
          <w:sz w:val="44"/>
        </w:rPr>
      </w:pPr>
      <w:r>
        <w:rPr>
          <w:rFonts w:hint="eastAsia" w:ascii="黑体" w:hAnsi="黑体" w:eastAsia="黑体" w:cs="黑体"/>
          <w:b w:val="0"/>
          <w:bCs/>
          <w:color w:val="auto"/>
          <w:sz w:val="44"/>
        </w:rPr>
        <w:t>目  录</w:t>
      </w:r>
    </w:p>
    <w:p>
      <w:pPr>
        <w:pStyle w:val="13"/>
        <w:rPr>
          <w:color w:val="auto"/>
          <w:highlight w:val="yellow"/>
        </w:rPr>
      </w:pP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default"/>
          <w:color w:val="auto"/>
          <w:sz w:val="32"/>
          <w:szCs w:val="32"/>
          <w:lang w:val="en-US" w:eastAsia="zh-CN"/>
        </w:rPr>
        <w:fldChar w:fldCharType="begin"/>
      </w:r>
      <w:r>
        <w:rPr>
          <w:rFonts w:hint="default"/>
          <w:color w:val="auto"/>
          <w:sz w:val="32"/>
          <w:szCs w:val="32"/>
          <w:lang w:val="en-US" w:eastAsia="zh-CN"/>
        </w:rPr>
        <w:instrText xml:space="preserve">TOC \o "1-2" \u </w:instrText>
      </w:r>
      <w:r>
        <w:rPr>
          <w:rFonts w:hint="default"/>
          <w:color w:val="auto"/>
          <w:sz w:val="32"/>
          <w:szCs w:val="32"/>
          <w:lang w:val="en-US" w:eastAsia="zh-CN"/>
        </w:rPr>
        <w:fldChar w:fldCharType="separate"/>
      </w:r>
      <w:r>
        <w:rPr>
          <w:rFonts w:hint="eastAsia" w:ascii="黑体" w:hAnsi="黑体" w:eastAsia="黑体" w:cs="黑体"/>
          <w:color w:val="auto"/>
          <w:sz w:val="32"/>
          <w:szCs w:val="32"/>
        </w:rPr>
        <w:t>第一章 磋商邀请函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_Toc9601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一、定义</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_Toc3062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二、供应商注意事项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_Toc24646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三、磋商文件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、磋商报价</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_Toc3559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、响应文件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_Toc12154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响应文件开启</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_Toc17536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、组织评审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_Toc31905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、成交</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_Toc3023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24</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kern w:val="0"/>
          <w:sz w:val="32"/>
          <w:szCs w:val="32"/>
        </w:rPr>
        <w:t>政府采购合同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_Toc23938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采购代理服务费</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_Toc14560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25</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第三章  磋商内容及采购要求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_Toc2772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26</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第四章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合同</w:t>
      </w:r>
      <w:r>
        <w:rPr>
          <w:rFonts w:hint="eastAsia" w:ascii="黑体" w:hAnsi="黑体" w:eastAsia="黑体" w:cs="黑体"/>
          <w:color w:val="auto"/>
          <w:sz w:val="32"/>
          <w:szCs w:val="32"/>
          <w:lang w:val="en-US" w:eastAsia="zh-CN"/>
        </w:rPr>
        <w:t>草案</w:t>
      </w:r>
      <w:r>
        <w:rPr>
          <w:rFonts w:hint="eastAsia" w:ascii="黑体" w:hAnsi="黑体" w:eastAsia="黑体" w:cs="黑体"/>
          <w:color w:val="auto"/>
          <w:sz w:val="32"/>
          <w:szCs w:val="32"/>
        </w:rPr>
        <w:t>条款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_Toc10371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28</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响应文件构成及格式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_Toc5571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rPr>
        <w:fldChar w:fldCharType="end"/>
      </w:r>
    </w:p>
    <w:p>
      <w:pPr>
        <w:pStyle w:val="15"/>
        <w:keepNext w:val="0"/>
        <w:keepLines w:val="0"/>
        <w:pageBreakBefore w:val="0"/>
        <w:widowControl/>
        <w:tabs>
          <w:tab w:val="right" w:leader="dot" w:pos="9072"/>
        </w:tabs>
        <w:kinsoku/>
        <w:wordWrap/>
        <w:overflowPunct/>
        <w:topLinePunct w:val="0"/>
        <w:autoSpaceDE/>
        <w:autoSpaceDN/>
        <w:bidi w:val="0"/>
        <w:adjustRightInd/>
        <w:snapToGrid/>
        <w:spacing w:line="560" w:lineRule="exact"/>
        <w:ind w:firstLine="646" w:firstLineChars="200"/>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第一部分  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_Toc8079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第二部分  符合性证明文件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_Toc9751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38</w:t>
      </w:r>
      <w:r>
        <w:rPr>
          <w:rFonts w:hint="eastAsia" w:ascii="仿宋_GB2312" w:hAnsi="仿宋_GB2312" w:eastAsia="仿宋_GB2312" w:cs="仿宋_GB2312"/>
          <w:color w:val="auto"/>
          <w:sz w:val="32"/>
          <w:szCs w:val="32"/>
        </w:rPr>
        <w:fldChar w:fldCharType="end"/>
      </w:r>
    </w:p>
    <w:p>
      <w:pPr>
        <w:pStyle w:val="16"/>
        <w:keepNext w:val="0"/>
        <w:keepLines w:val="0"/>
        <w:pageBreakBefore w:val="0"/>
        <w:widowControl/>
        <w:tabs>
          <w:tab w:val="right" w:leader="dot" w:pos="9072"/>
        </w:tabs>
        <w:kinsoku/>
        <w:wordWrap/>
        <w:overflowPunct/>
        <w:topLinePunct w:val="0"/>
        <w:autoSpaceDE/>
        <w:autoSpaceDN/>
        <w:bidi w:val="0"/>
        <w:adjustRightInd/>
        <w:snapToGrid/>
        <w:spacing w:line="560" w:lineRule="exact"/>
        <w:ind w:left="0" w:leftChars="0" w:firstLine="646" w:firstLineChars="200"/>
        <w:textAlignment w:val="auto"/>
        <w:rPr>
          <w:rFonts w:hint="eastAsia" w:ascii="黑体" w:hAnsi="黑体" w:eastAsia="黑体" w:cs="黑体"/>
          <w:color w:val="auto"/>
          <w:sz w:val="32"/>
          <w:szCs w:val="32"/>
        </w:rPr>
      </w:pPr>
      <w:r>
        <w:rPr>
          <w:rFonts w:hint="eastAsia" w:ascii="黑体" w:hAnsi="黑体" w:eastAsia="黑体" w:cs="黑体"/>
          <w:bCs w:val="0"/>
          <w:color w:val="auto"/>
          <w:sz w:val="32"/>
          <w:szCs w:val="32"/>
        </w:rPr>
        <w:t>第三部分  响应方案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_Toc17248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45</w:t>
      </w:r>
      <w:r>
        <w:rPr>
          <w:rFonts w:hint="eastAsia" w:ascii="仿宋_GB2312" w:hAnsi="仿宋_GB2312" w:eastAsia="仿宋_GB2312" w:cs="仿宋_GB2312"/>
          <w:color w:val="auto"/>
          <w:sz w:val="32"/>
          <w:szCs w:val="32"/>
        </w:rPr>
        <w:fldChar w:fldCharType="end"/>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default"/>
          <w:color w:val="auto"/>
          <w:sz w:val="32"/>
          <w:szCs w:val="32"/>
          <w:lang w:val="en-US" w:eastAsia="zh-CN"/>
        </w:rPr>
        <w:fldChar w:fldCharType="end"/>
      </w:r>
    </w:p>
    <w:p>
      <w:pPr>
        <w:pageBreakBefore w:val="0"/>
        <w:kinsoku/>
        <w:wordWrap/>
        <w:overflowPunct/>
        <w:topLinePunct w:val="0"/>
        <w:bidi w:val="0"/>
        <w:snapToGrid/>
        <w:spacing w:line="560" w:lineRule="exact"/>
        <w:textAlignment w:val="auto"/>
        <w:rPr>
          <w:color w:val="auto"/>
        </w:rPr>
      </w:pPr>
    </w:p>
    <w:p>
      <w:pPr>
        <w:pStyle w:val="3"/>
        <w:pageBreakBefore w:val="0"/>
        <w:kinsoku/>
        <w:wordWrap/>
        <w:overflowPunct/>
        <w:topLinePunct w:val="0"/>
        <w:bidi w:val="0"/>
        <w:snapToGrid/>
        <w:spacing w:line="560" w:lineRule="exact"/>
        <w:textAlignment w:val="auto"/>
        <w:rPr>
          <w:rFonts w:ascii="黑体" w:hAnsi="黑体" w:eastAsia="黑体"/>
          <w:b w:val="0"/>
          <w:color w:val="auto"/>
          <w:sz w:val="32"/>
          <w:szCs w:val="32"/>
        </w:rPr>
        <w:sectPr>
          <w:footerReference r:id="rId6" w:type="default"/>
          <w:pgSz w:w="11906" w:h="16838"/>
          <w:pgMar w:top="1417" w:right="1417" w:bottom="1417"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p>
    <w:p>
      <w:pPr>
        <w:pStyle w:val="3"/>
        <w:pageBreakBefore w:val="0"/>
        <w:numPr>
          <w:ilvl w:val="0"/>
          <w:numId w:val="1"/>
        </w:numPr>
        <w:kinsoku/>
        <w:wordWrap/>
        <w:overflowPunct/>
        <w:topLinePunct w:val="0"/>
        <w:bidi w:val="0"/>
        <w:snapToGrid/>
        <w:spacing w:line="560" w:lineRule="exact"/>
        <w:textAlignment w:val="auto"/>
        <w:rPr>
          <w:rFonts w:ascii="黑体" w:hAnsi="黑体" w:eastAsia="黑体"/>
          <w:b w:val="0"/>
          <w:color w:val="auto"/>
          <w:sz w:val="32"/>
          <w:szCs w:val="32"/>
        </w:rPr>
      </w:pPr>
      <w:bookmarkStart w:id="3" w:name="_Toc21489"/>
      <w:bookmarkStart w:id="4" w:name="_Toc5655"/>
      <w:bookmarkStart w:id="5" w:name="_Toc26235"/>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项目概况</w:t>
      </w:r>
    </w:p>
    <w:p>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u w:val="single"/>
          <w:lang w:val="en-US" w:eastAsia="zh-CN"/>
        </w:rPr>
        <w:t xml:space="preserve">  汉中市财政专项资金管理处委托第三方实施绩效评价相关服务（第一标段）</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采购项目的潜在供应商应在</w:t>
      </w:r>
      <w:r>
        <w:rPr>
          <w:rFonts w:hint="eastAsia" w:ascii="仿宋_GB2312" w:hAnsi="仿宋_GB2312" w:eastAsia="仿宋_GB2312" w:cs="仿宋_GB2312"/>
          <w:color w:val="auto"/>
          <w:sz w:val="28"/>
          <w:szCs w:val="28"/>
          <w:u w:val="single"/>
          <w:lang w:val="en-US" w:eastAsia="zh-CN"/>
        </w:rPr>
        <w:t xml:space="preserve"> 全国公共资源交易平台（汉中市）（sxggzyjy.hanzhong.gov.cn） </w:t>
      </w:r>
      <w:r>
        <w:rPr>
          <w:rFonts w:hint="eastAsia" w:ascii="仿宋_GB2312" w:hAnsi="仿宋_GB2312" w:eastAsia="仿宋_GB2312" w:cs="仿宋_GB2312"/>
          <w:color w:val="auto"/>
          <w:sz w:val="28"/>
          <w:szCs w:val="28"/>
        </w:rPr>
        <w:t>获取采购文件，并于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2023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bCs/>
          <w:color w:val="auto"/>
          <w:sz w:val="28"/>
          <w:szCs w:val="28"/>
          <w:u w:val="single"/>
        </w:rPr>
        <w:t>年</w:t>
      </w:r>
      <w:r>
        <w:rPr>
          <w:rFonts w:hint="eastAsia" w:ascii="仿宋_GB2312" w:hAnsi="仿宋_GB2312" w:eastAsia="仿宋_GB2312" w:cs="仿宋_GB2312"/>
          <w:bCs/>
          <w:color w:val="auto"/>
          <w:sz w:val="28"/>
          <w:szCs w:val="28"/>
          <w:u w:val="single"/>
          <w:lang w:val="en-US" w:eastAsia="zh-CN"/>
        </w:rPr>
        <w:t xml:space="preserve"> 4 </w:t>
      </w:r>
      <w:r>
        <w:rPr>
          <w:rFonts w:hint="eastAsia" w:ascii="仿宋_GB2312" w:hAnsi="仿宋_GB2312" w:eastAsia="仿宋_GB2312" w:cs="仿宋_GB2312"/>
          <w:bCs/>
          <w:color w:val="auto"/>
          <w:sz w:val="28"/>
          <w:szCs w:val="28"/>
          <w:u w:val="single"/>
        </w:rPr>
        <w:t>月</w:t>
      </w:r>
      <w:r>
        <w:rPr>
          <w:rFonts w:hint="eastAsia" w:ascii="仿宋_GB2312" w:hAnsi="仿宋_GB2312" w:eastAsia="仿宋_GB2312" w:cs="仿宋_GB2312"/>
          <w:bCs/>
          <w:color w:val="auto"/>
          <w:sz w:val="28"/>
          <w:szCs w:val="28"/>
          <w:u w:val="single"/>
          <w:lang w:val="en-US" w:eastAsia="zh-CN"/>
        </w:rPr>
        <w:t xml:space="preserve"> 28 </w:t>
      </w:r>
      <w:r>
        <w:rPr>
          <w:rFonts w:hint="eastAsia" w:ascii="仿宋_GB2312" w:hAnsi="仿宋_GB2312" w:eastAsia="仿宋_GB2312" w:cs="仿宋_GB2312"/>
          <w:bCs/>
          <w:color w:val="auto"/>
          <w:sz w:val="28"/>
          <w:szCs w:val="28"/>
          <w:u w:val="single"/>
        </w:rPr>
        <w:t>日</w:t>
      </w:r>
      <w:r>
        <w:rPr>
          <w:rFonts w:hint="eastAsia" w:ascii="仿宋_GB2312" w:hAnsi="仿宋_GB2312" w:eastAsia="仿宋_GB2312" w:cs="仿宋_GB2312"/>
          <w:bCs/>
          <w:color w:val="auto"/>
          <w:sz w:val="28"/>
          <w:szCs w:val="28"/>
          <w:u w:val="single"/>
          <w:lang w:val="en-US" w:eastAsia="zh-CN"/>
        </w:rPr>
        <w:t xml:space="preserve"> 9 </w:t>
      </w:r>
      <w:r>
        <w:rPr>
          <w:rFonts w:hint="eastAsia" w:ascii="仿宋_GB2312" w:hAnsi="仿宋_GB2312" w:eastAsia="仿宋_GB2312" w:cs="仿宋_GB2312"/>
          <w:bCs/>
          <w:color w:val="auto"/>
          <w:sz w:val="28"/>
          <w:szCs w:val="28"/>
          <w:u w:val="single"/>
        </w:rPr>
        <w:t>点</w:t>
      </w:r>
      <w:r>
        <w:rPr>
          <w:rFonts w:hint="eastAsia" w:ascii="仿宋_GB2312" w:hAnsi="仿宋_GB2312" w:eastAsia="仿宋_GB2312" w:cs="仿宋_GB2312"/>
          <w:bCs/>
          <w:color w:val="auto"/>
          <w:sz w:val="28"/>
          <w:szCs w:val="28"/>
          <w:u w:val="single"/>
          <w:lang w:val="en-US" w:eastAsia="zh-CN"/>
        </w:rPr>
        <w:t xml:space="preserve"> 30</w:t>
      </w:r>
      <w:r>
        <w:rPr>
          <w:rFonts w:hint="eastAsia" w:ascii="仿宋_GB2312" w:hAnsi="仿宋_GB2312" w:eastAsia="仿宋_GB2312" w:cs="仿宋_GB2312"/>
          <w:bCs/>
          <w:color w:val="auto"/>
          <w:sz w:val="28"/>
          <w:szCs w:val="28"/>
          <w:u w:val="single"/>
        </w:rPr>
        <w:t>分</w:t>
      </w:r>
      <w:r>
        <w:rPr>
          <w:rFonts w:hint="eastAsia" w:ascii="仿宋_GB2312" w:hAnsi="仿宋_GB2312" w:eastAsia="仿宋_GB2312" w:cs="仿宋_GB2312"/>
          <w:bCs/>
          <w:color w:val="auto"/>
          <w:sz w:val="28"/>
          <w:szCs w:val="28"/>
        </w:rPr>
        <w:t>（北京时间）前提交响应文件</w:t>
      </w:r>
      <w:r>
        <w:rPr>
          <w:rFonts w:hint="eastAsia" w:ascii="仿宋_GB2312" w:hAnsi="仿宋_GB2312" w:eastAsia="仿宋_GB2312" w:cs="仿宋_GB2312"/>
          <w:color w:val="auto"/>
          <w:sz w:val="28"/>
          <w:szCs w:val="28"/>
        </w:rPr>
        <w:t>。</w:t>
      </w:r>
    </w:p>
    <w:p>
      <w:pPr>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color w:val="auto"/>
          <w:sz w:val="28"/>
          <w:szCs w:val="28"/>
        </w:rPr>
      </w:pP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7" w:name="_Toc35393798"/>
      <w:bookmarkStart w:id="8" w:name="_Toc28840"/>
      <w:bookmarkStart w:id="9" w:name="_Toc28359012"/>
      <w:bookmarkStart w:id="10" w:name="_Toc28359089"/>
      <w:bookmarkStart w:id="11" w:name="_Toc35393629"/>
      <w:r>
        <w:rPr>
          <w:rFonts w:hint="eastAsia" w:ascii="仿宋_GB2312" w:hAnsi="仿宋_GB2312" w:eastAsia="仿宋_GB2312" w:cs="仿宋_GB2312"/>
          <w:b/>
          <w:bCs/>
          <w:color w:val="auto"/>
          <w:kern w:val="2"/>
          <w:sz w:val="28"/>
          <w:szCs w:val="28"/>
          <w:lang w:val="en-US" w:eastAsia="zh-CN" w:bidi="ar-SA"/>
        </w:rPr>
        <w:t>一、项目基本情况</w:t>
      </w:r>
      <w:bookmarkEnd w:id="7"/>
      <w:bookmarkEnd w:id="8"/>
      <w:bookmarkEnd w:id="9"/>
      <w:bookmarkEnd w:id="10"/>
      <w:bookmarkEnd w:id="1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项目编号：汉采</w:t>
      </w:r>
      <w:r>
        <w:rPr>
          <w:rFonts w:hint="eastAsia" w:ascii="仿宋_GB2312" w:hAnsi="仿宋_GB2312" w:eastAsia="仿宋_GB2312" w:cs="仿宋_GB2312"/>
          <w:color w:val="auto"/>
          <w:sz w:val="28"/>
          <w:szCs w:val="28"/>
          <w:lang w:val="en-US" w:eastAsia="zh-CN"/>
        </w:rPr>
        <w:t>FW</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号</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highlight w:val="none"/>
          <w:lang w:val="en-US" w:eastAsia="zh-CN"/>
        </w:rPr>
        <w:t>汉中市财政专项资金管理处委托第三方实施绩效评价相关服务采购项目（第一标段）</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采购方式：竞</w:t>
      </w:r>
      <w:r>
        <w:rPr>
          <w:rFonts w:hint="eastAsia" w:ascii="仿宋_GB2312" w:hAnsi="仿宋_GB2312" w:eastAsia="仿宋_GB2312" w:cs="仿宋_GB2312"/>
          <w:color w:val="auto"/>
          <w:sz w:val="28"/>
          <w:szCs w:val="28"/>
          <w:highlight w:val="none"/>
        </w:rPr>
        <w:t>争性磋商</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39.5万元</w:t>
      </w:r>
      <w:bookmarkStart w:id="442" w:name="_GoBack"/>
      <w:bookmarkEnd w:id="442"/>
    </w:p>
    <w:p>
      <w:pPr>
        <w:keepLines w:val="0"/>
        <w:pageBreakBefore w:val="0"/>
        <w:widowControl w:val="0"/>
        <w:kinsoku/>
        <w:wordWrap/>
        <w:overflowPunct/>
        <w:topLinePunct w:val="0"/>
        <w:bidi w:val="0"/>
        <w:snapToGrid/>
        <w:spacing w:line="560" w:lineRule="exact"/>
        <w:ind w:firstLine="566"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最高限价：</w:t>
      </w:r>
      <w:r>
        <w:rPr>
          <w:rFonts w:hint="eastAsia" w:ascii="仿宋_GB2312" w:hAnsi="仿宋_GB2312" w:eastAsia="仿宋_GB2312" w:cs="仿宋_GB2312"/>
          <w:color w:val="auto"/>
          <w:sz w:val="28"/>
          <w:szCs w:val="28"/>
          <w:highlight w:val="none"/>
          <w:lang w:val="en-US" w:eastAsia="zh-CN"/>
        </w:rPr>
        <w:t>第一标段：22万元；第二标段：11万元；第三标段：6.5万元。</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采购需求：</w:t>
      </w:r>
      <w:r>
        <w:rPr>
          <w:rFonts w:hint="eastAsia" w:ascii="仿宋_GB2312" w:hAnsi="仿宋_GB2312" w:eastAsia="仿宋_GB2312" w:cs="仿宋_GB2312"/>
          <w:color w:val="auto"/>
          <w:sz w:val="28"/>
          <w:szCs w:val="28"/>
          <w:highlight w:val="none"/>
          <w:lang w:val="en-US" w:eastAsia="zh-CN"/>
        </w:rPr>
        <w:t>对预算绩效管理对象实施绩效评价专业服务。第一标段：3个项目，预算22万元；第二标段：2个项目，预算11万元；第三标段：1个项目，预算6.5万元（详见第三章）</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color w:val="auto"/>
          <w:sz w:val="28"/>
          <w:szCs w:val="28"/>
          <w:highlight w:val="none"/>
          <w:lang w:val="en-US" w:eastAsia="zh-CN"/>
        </w:rPr>
        <w:t>绩效评价工作应在 2023年6月30日之前完成。</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w:t>
      </w:r>
      <w:r>
        <w:rPr>
          <w:rFonts w:hint="eastAsia" w:ascii="仿宋_GB2312" w:hAnsi="仿宋_GB2312" w:eastAsia="仿宋_GB2312" w:cs="仿宋_GB2312"/>
          <w:color w:val="auto"/>
          <w:sz w:val="28"/>
          <w:szCs w:val="28"/>
          <w:lang w:val="en-US" w:eastAsia="zh-CN"/>
        </w:rPr>
        <w:t>不</w:t>
      </w:r>
      <w:r>
        <w:rPr>
          <w:rFonts w:hint="eastAsia" w:ascii="仿宋_GB2312" w:hAnsi="仿宋_GB2312" w:eastAsia="仿宋_GB2312" w:cs="仿宋_GB2312"/>
          <w:color w:val="auto"/>
          <w:sz w:val="28"/>
          <w:szCs w:val="28"/>
        </w:rPr>
        <w:t>接受联合体。</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2" w:name="_Toc28359013"/>
      <w:bookmarkStart w:id="13" w:name="_Toc35393630"/>
      <w:bookmarkStart w:id="14" w:name="_Toc28359090"/>
      <w:bookmarkStart w:id="15" w:name="_Toc35393799"/>
      <w:bookmarkStart w:id="16" w:name="_Toc3608"/>
      <w:r>
        <w:rPr>
          <w:rFonts w:hint="eastAsia" w:ascii="仿宋_GB2312" w:hAnsi="仿宋_GB2312" w:eastAsia="仿宋_GB2312" w:cs="仿宋_GB2312"/>
          <w:b/>
          <w:bCs/>
          <w:color w:val="auto"/>
          <w:kern w:val="2"/>
          <w:sz w:val="28"/>
          <w:szCs w:val="28"/>
          <w:lang w:val="en-US" w:eastAsia="zh-CN" w:bidi="ar-SA"/>
        </w:rPr>
        <w:t>二、申请人的资格要求：</w:t>
      </w:r>
      <w:bookmarkEnd w:id="12"/>
      <w:bookmarkEnd w:id="13"/>
      <w:bookmarkEnd w:id="14"/>
      <w:bookmarkEnd w:id="15"/>
      <w:bookmarkEnd w:id="1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1.满足《中华人民共和国政府采购法》第二十二条规定；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eastAsia="zh-CN"/>
        </w:rPr>
      </w:pPr>
      <w:bookmarkStart w:id="17" w:name="_Toc28359091"/>
      <w:bookmarkStart w:id="18" w:name="_Toc28359014"/>
      <w:r>
        <w:rPr>
          <w:rFonts w:hint="eastAsia" w:ascii="仿宋_GB2312" w:hAnsi="仿宋_GB2312" w:eastAsia="仿宋_GB2312" w:cs="仿宋_GB2312"/>
          <w:color w:val="auto"/>
          <w:sz w:val="28"/>
          <w:szCs w:val="28"/>
        </w:rPr>
        <w:t>2.落实政府采购政策需满足的资格要求：</w:t>
      </w:r>
      <w:r>
        <w:rPr>
          <w:rFonts w:hint="eastAsia" w:ascii="仿宋_GB2312" w:hAnsi="仿宋_GB2312" w:eastAsia="仿宋_GB2312" w:cs="仿宋_GB2312"/>
          <w:color w:val="auto"/>
          <w:sz w:val="28"/>
          <w:szCs w:val="28"/>
          <w:u w:val="none"/>
          <w:lang w:val="en-US" w:eastAsia="zh-CN"/>
        </w:rPr>
        <w:t>本项目</w:t>
      </w:r>
      <w:r>
        <w:rPr>
          <w:rFonts w:hint="eastAsia" w:ascii="仿宋_GB2312" w:hAnsi="仿宋_GB2312" w:eastAsia="仿宋_GB2312" w:cs="仿宋_GB2312"/>
          <w:color w:val="auto"/>
          <w:sz w:val="28"/>
          <w:szCs w:val="28"/>
          <w:highlight w:val="none"/>
          <w:u w:val="none"/>
          <w:lang w:val="en-US" w:eastAsia="zh-CN"/>
        </w:rPr>
        <w:t>专门面向中小企业采购，供应商应为中小微企业，磋商时须提供《中小企业声明函》（按第五章格式填写）。本项目采购标的对应的中小企业划分标准所属行业为：租赁和商务服务业。</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3.本项目的特定资格要求：</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（1）营业执照等主体资格证明文件：提供有效存续的企业营业执照（副本）/事业单位法人证书/专业服务机构执业许可证/民办非企业单位登记证书。</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（2）财务状况报告：提供202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（3）社保缴纳证明：提供递交响应文件截止之日前一年内任意一个月的社会保障资金缴存单据或社保机构开具的社会保险参保缴费情况证明。依法不需要缴纳社会保障资金的供应商应提供相关证明文件。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税收缴纳证明：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书面声明：</w:t>
      </w:r>
      <w:r>
        <w:rPr>
          <w:rFonts w:hint="eastAsia" w:ascii="仿宋_GB2312" w:hAnsi="仿宋_GB2312" w:eastAsia="仿宋_GB2312" w:cs="仿宋_GB2312"/>
          <w:color w:val="auto"/>
          <w:kern w:val="2"/>
          <w:sz w:val="28"/>
          <w:szCs w:val="28"/>
          <w:lang w:val="en-US" w:eastAsia="zh-CN" w:bidi="ar-SA"/>
        </w:rPr>
        <w:t>提供《近三年内在经营活动中无重大违法记录声明》。（按第五章格式填写）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r>
        <w:rPr>
          <w:rFonts w:hint="eastAsia" w:ascii="仿宋_GB2312" w:hAnsi="仿宋_GB2312" w:eastAsia="仿宋_GB2312" w:cs="仿宋_GB2312"/>
          <w:color w:val="auto"/>
          <w:kern w:val="2"/>
          <w:sz w:val="28"/>
          <w:szCs w:val="28"/>
          <w:lang w:val="en-US" w:eastAsia="zh-CN" w:bidi="ar-SA"/>
        </w:rPr>
        <w:t>（按第五章格式填写）</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备注：1、以上资格要求均为必备资格，须提供相关证明文件并加盖响应人公章（如相关证明材料由第三方出具，应有第三方公章），缺少其中任何一项，其响应文件视为无效文件。</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2、分支机构参与磋商时，响应文件中应附法人出具的授权书。法人只能授权一家分支机构参与磋商，且不能与分支机构同时参与磋商。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3、事业单位法人参与磋商可不提供财务状况报告、社会保障资金缴纳证明及税收缴纳证明。</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9" w:name="_Toc35393631"/>
      <w:bookmarkStart w:id="20" w:name="_Toc29259"/>
      <w:bookmarkStart w:id="21" w:name="_Toc35393800"/>
      <w:r>
        <w:rPr>
          <w:rFonts w:hint="eastAsia" w:ascii="仿宋_GB2312" w:hAnsi="仿宋_GB2312" w:eastAsia="仿宋_GB2312" w:cs="仿宋_GB2312"/>
          <w:b/>
          <w:bCs/>
          <w:color w:val="auto"/>
          <w:kern w:val="2"/>
          <w:sz w:val="28"/>
          <w:szCs w:val="28"/>
          <w:lang w:val="en-US" w:eastAsia="zh-CN" w:bidi="ar-SA"/>
        </w:rPr>
        <w:t>三、获取采购文件</w:t>
      </w:r>
      <w:bookmarkEnd w:id="17"/>
      <w:bookmarkEnd w:id="18"/>
      <w:bookmarkEnd w:id="19"/>
      <w:bookmarkEnd w:id="20"/>
      <w:bookmarkEnd w:id="21"/>
    </w:p>
    <w:p>
      <w:pPr>
        <w:keepLines w:val="0"/>
        <w:pageBreakBefore w:val="0"/>
        <w:widowControl w:val="0"/>
        <w:kinsoku/>
        <w:wordWrap/>
        <w:overflowPunct/>
        <w:topLinePunct w:val="0"/>
        <w:bidi w:val="0"/>
        <w:snapToGrid/>
        <w:spacing w:line="560" w:lineRule="exact"/>
        <w:ind w:left="376" w:leftChars="133" w:firstLine="443" w:firstLineChars="15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 xml:space="preserve">月 </w:t>
      </w:r>
      <w:r>
        <w:rPr>
          <w:rFonts w:hint="eastAsia" w:ascii="仿宋_GB2312" w:hAnsi="仿宋_GB2312" w:eastAsia="仿宋_GB2312" w:cs="仿宋_GB2312"/>
          <w:color w:val="auto"/>
          <w:sz w:val="28"/>
          <w:szCs w:val="28"/>
          <w:highlight w:val="none"/>
          <w:u w:val="single"/>
          <w:lang w:val="en-US" w:eastAsia="zh-CN"/>
        </w:rPr>
        <w:t xml:space="preserve">12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0 点 00 分</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年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 xml:space="preserve"> 18 </w:t>
      </w:r>
      <w:r>
        <w:rPr>
          <w:rFonts w:hint="eastAsia" w:ascii="仿宋_GB2312" w:hAnsi="仿宋_GB2312" w:eastAsia="仿宋_GB2312" w:cs="仿宋_GB2312"/>
          <w:color w:val="auto"/>
          <w:sz w:val="28"/>
          <w:szCs w:val="28"/>
          <w:highlight w:val="none"/>
          <w:u w:val="single"/>
        </w:rPr>
        <w:t>日</w:t>
      </w:r>
      <w:r>
        <w:rPr>
          <w:rFonts w:hint="eastAsia" w:ascii="仿宋_GB2312" w:hAnsi="仿宋_GB2312" w:eastAsia="仿宋_GB2312" w:cs="仿宋_GB2312"/>
          <w:color w:val="auto"/>
          <w:sz w:val="28"/>
          <w:szCs w:val="28"/>
          <w:highlight w:val="none"/>
          <w:u w:val="single"/>
          <w:lang w:val="en-US" w:eastAsia="zh-CN"/>
        </w:rPr>
        <w:t xml:space="preserve"> 24 点 00 分（北京时间）</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b/>
          <w:bCs/>
          <w:color w:val="auto"/>
          <w:sz w:val="28"/>
          <w:szCs w:val="28"/>
          <w:highlight w:val="none"/>
          <w:lang w:val="en-US" w:eastAsia="zh-CN"/>
        </w:rPr>
        <w:t>每家供应商只能参与一个标段。</w:t>
      </w:r>
      <w:r>
        <w:rPr>
          <w:rFonts w:hint="eastAsia" w:ascii="仿宋_GB2312" w:hAnsi="仿宋_GB2312" w:eastAsia="仿宋_GB2312" w:cs="仿宋_GB2312"/>
          <w:color w:val="auto"/>
          <w:sz w:val="28"/>
          <w:szCs w:val="28"/>
          <w:highlight w:val="none"/>
          <w:lang w:val="en-US" w:eastAsia="zh-CN"/>
        </w:rPr>
        <w:t>响应人</w:t>
      </w:r>
      <w:r>
        <w:rPr>
          <w:rFonts w:hint="eastAsia" w:ascii="仿宋_GB2312" w:hAnsi="仿宋_GB2312" w:eastAsia="仿宋_GB2312" w:cs="仿宋_GB2312"/>
          <w:color w:val="auto"/>
          <w:sz w:val="28"/>
          <w:szCs w:val="28"/>
          <w:highlight w:val="none"/>
        </w:rPr>
        <w:t>登录全国公共资源交易平台（汉中市）（sxggzyjy.hanzhong.gov.cn）〖首页·〉电子交易平台·〉企业端〗后，在〖招标公告/出让公告·〉政府采购〗模块中选择项目点击“我要投标”，参与</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活动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然后即可在〖我的项目〗中点击“项目流程&gt;交易文件下载”下载电子招标文件（*.SXSZF）。</w:t>
      </w:r>
      <w:r>
        <w:rPr>
          <w:rFonts w:hint="eastAsia" w:ascii="仿宋_GB2312" w:hAnsi="仿宋_GB2312" w:eastAsia="仿宋_GB2312" w:cs="仿宋_GB2312"/>
          <w:color w:val="auto"/>
          <w:sz w:val="28"/>
          <w:szCs w:val="28"/>
          <w:highlight w:val="none"/>
          <w:lang w:val="en-US" w:eastAsia="zh-CN"/>
        </w:rPr>
        <w:t>操作流程详见</w:t>
      </w:r>
      <w:r>
        <w:rPr>
          <w:rFonts w:hint="eastAsia" w:ascii="仿宋_GB2312" w:hAnsi="仿宋_GB2312" w:eastAsia="仿宋_GB2312" w:cs="仿宋_GB2312"/>
          <w:color w:val="auto"/>
          <w:sz w:val="28"/>
          <w:szCs w:val="28"/>
          <w:highlight w:val="none"/>
          <w:lang w:eastAsia="zh-CN"/>
        </w:rPr>
        <w:t>全国公共资源交易平台（汉中市）网站〖首页·〉服务指南·〉下载专区〗中的《政府采购供应商操作手册》。</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方式：</w:t>
      </w:r>
      <w:r>
        <w:rPr>
          <w:rFonts w:hint="eastAsia" w:ascii="仿宋_GB2312" w:hAnsi="仿宋_GB2312" w:eastAsia="仿宋_GB2312" w:cs="仿宋_GB2312"/>
          <w:color w:val="auto"/>
          <w:sz w:val="28"/>
          <w:szCs w:val="28"/>
          <w:highlight w:val="none"/>
          <w:lang w:val="en-US" w:eastAsia="zh-CN"/>
        </w:rPr>
        <w:t>线上获取</w:t>
      </w:r>
    </w:p>
    <w:p>
      <w:pPr>
        <w:keepLines w:val="0"/>
        <w:pageBreakBefore w:val="0"/>
        <w:widowControl w:val="0"/>
        <w:kinsoku/>
        <w:wordWrap/>
        <w:overflowPunct/>
        <w:topLinePunct w:val="0"/>
        <w:bidi w:val="0"/>
        <w:snapToGrid/>
        <w:spacing w:line="560" w:lineRule="exact"/>
        <w:ind w:firstLine="54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售价：</w:t>
      </w:r>
      <w:r>
        <w:rPr>
          <w:rFonts w:hint="eastAsia" w:ascii="仿宋_GB2312" w:hAnsi="仿宋_GB2312" w:eastAsia="仿宋_GB2312" w:cs="仿宋_GB2312"/>
          <w:color w:val="auto"/>
          <w:sz w:val="28"/>
          <w:szCs w:val="28"/>
          <w:highlight w:val="none"/>
          <w:lang w:val="en-US" w:eastAsia="zh-CN"/>
        </w:rPr>
        <w:t>0.00元</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2" w:name="_Toc35393801"/>
      <w:bookmarkStart w:id="23" w:name="_Toc35393632"/>
      <w:bookmarkStart w:id="24" w:name="_Toc28359015"/>
      <w:bookmarkStart w:id="25" w:name="_Toc28359092"/>
      <w:bookmarkStart w:id="26" w:name="_Toc859"/>
      <w:r>
        <w:rPr>
          <w:rFonts w:hint="eastAsia" w:ascii="仿宋_GB2312" w:hAnsi="仿宋_GB2312" w:eastAsia="仿宋_GB2312" w:cs="仿宋_GB2312"/>
          <w:b/>
          <w:bCs/>
          <w:color w:val="auto"/>
          <w:kern w:val="2"/>
          <w:sz w:val="28"/>
          <w:szCs w:val="28"/>
          <w:highlight w:val="none"/>
          <w:lang w:val="en-US" w:eastAsia="zh-CN" w:bidi="ar-SA"/>
        </w:rPr>
        <w:t>四、响应文件提交</w:t>
      </w:r>
      <w:bookmarkEnd w:id="22"/>
      <w:bookmarkEnd w:id="23"/>
      <w:bookmarkEnd w:id="24"/>
      <w:bookmarkEnd w:id="25"/>
      <w:bookmarkEnd w:id="2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4</w:t>
      </w:r>
      <w:r>
        <w:rPr>
          <w:rFonts w:hint="eastAsia" w:ascii="仿宋_GB2312" w:hAnsi="仿宋_GB2312" w:eastAsia="仿宋_GB2312" w:cs="仿宋_GB2312"/>
          <w:bCs/>
          <w:color w:val="auto"/>
          <w:sz w:val="28"/>
          <w:szCs w:val="28"/>
          <w:highlight w:val="none"/>
          <w:u w:val="single"/>
        </w:rPr>
        <w:t xml:space="preserve"> 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地点：电子</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文件（*.SXSTF）可于提交</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文件截止时间前任意时段登录全国公共资源交易平台（</w:t>
      </w:r>
      <w:r>
        <w:rPr>
          <w:rFonts w:hint="eastAsia" w:ascii="仿宋_GB2312" w:hAnsi="仿宋_GB2312" w:eastAsia="仿宋_GB2312" w:cs="仿宋_GB2312"/>
          <w:color w:val="auto"/>
          <w:sz w:val="28"/>
          <w:szCs w:val="28"/>
          <w:highlight w:val="none"/>
          <w:lang w:val="en-US" w:eastAsia="zh-CN"/>
        </w:rPr>
        <w:t>汉中市</w:t>
      </w:r>
      <w:r>
        <w:rPr>
          <w:rFonts w:hint="eastAsia" w:ascii="仿宋_GB2312" w:hAnsi="仿宋_GB2312" w:eastAsia="仿宋_GB2312" w:cs="仿宋_GB2312"/>
          <w:color w:val="auto"/>
          <w:sz w:val="28"/>
          <w:szCs w:val="28"/>
          <w:highlight w:val="none"/>
        </w:rPr>
        <w:t>）网站进行提交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逾期系统将拒绝接收。</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highlight w:val="none"/>
          <w:lang w:val="en-US" w:eastAsia="zh-CN" w:bidi="ar-SA"/>
        </w:rPr>
      </w:pPr>
      <w:bookmarkStart w:id="27" w:name="_Toc35393633"/>
      <w:bookmarkStart w:id="28" w:name="_Toc28359093"/>
      <w:bookmarkStart w:id="29" w:name="_Toc32165"/>
      <w:bookmarkStart w:id="30" w:name="_Toc28359016"/>
      <w:bookmarkStart w:id="31" w:name="_Toc35393802"/>
      <w:r>
        <w:rPr>
          <w:rFonts w:hint="eastAsia" w:ascii="仿宋_GB2312" w:hAnsi="仿宋_GB2312" w:eastAsia="仿宋_GB2312" w:cs="仿宋_GB2312"/>
          <w:b/>
          <w:bCs/>
          <w:color w:val="auto"/>
          <w:kern w:val="2"/>
          <w:sz w:val="28"/>
          <w:szCs w:val="28"/>
          <w:highlight w:val="none"/>
          <w:lang w:val="en-US" w:eastAsia="zh-CN" w:bidi="ar-SA"/>
        </w:rPr>
        <w:t>五、开启</w:t>
      </w:r>
      <w:bookmarkEnd w:id="27"/>
      <w:bookmarkEnd w:id="28"/>
      <w:bookmarkEnd w:id="29"/>
      <w:bookmarkEnd w:id="30"/>
      <w:bookmarkEnd w:id="31"/>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 xml:space="preserve">年 </w:t>
      </w:r>
      <w:r>
        <w:rPr>
          <w:rFonts w:hint="eastAsia" w:ascii="仿宋_GB2312" w:hAnsi="仿宋_GB2312" w:eastAsia="仿宋_GB2312" w:cs="仿宋_GB2312"/>
          <w:bCs/>
          <w:color w:val="auto"/>
          <w:sz w:val="28"/>
          <w:szCs w:val="28"/>
          <w:highlight w:val="none"/>
          <w:u w:val="single"/>
          <w:lang w:val="en-US" w:eastAsia="zh-CN"/>
        </w:rPr>
        <w:t xml:space="preserve">4 </w:t>
      </w:r>
      <w:r>
        <w:rPr>
          <w:rFonts w:hint="eastAsia" w:ascii="仿宋_GB2312" w:hAnsi="仿宋_GB2312" w:eastAsia="仿宋_GB2312" w:cs="仿宋_GB2312"/>
          <w:bCs/>
          <w:color w:val="auto"/>
          <w:sz w:val="28"/>
          <w:szCs w:val="28"/>
          <w:highlight w:val="none"/>
          <w:u w:val="single"/>
        </w:rPr>
        <w:t>月</w:t>
      </w:r>
      <w:r>
        <w:rPr>
          <w:rFonts w:hint="eastAsia" w:ascii="仿宋_GB2312" w:hAnsi="仿宋_GB2312" w:eastAsia="仿宋_GB2312" w:cs="仿宋_GB2312"/>
          <w:bCs/>
          <w:color w:val="auto"/>
          <w:sz w:val="28"/>
          <w:szCs w:val="28"/>
          <w:highlight w:val="none"/>
          <w:u w:val="single"/>
          <w:lang w:val="en-US" w:eastAsia="zh-CN"/>
        </w:rPr>
        <w:t xml:space="preserve"> 28 </w:t>
      </w:r>
      <w:r>
        <w:rPr>
          <w:rFonts w:hint="eastAsia" w:ascii="仿宋_GB2312" w:hAnsi="仿宋_GB2312" w:eastAsia="仿宋_GB2312" w:cs="仿宋_GB2312"/>
          <w:bCs/>
          <w:color w:val="auto"/>
          <w:sz w:val="28"/>
          <w:szCs w:val="28"/>
          <w:highlight w:val="none"/>
          <w:u w:val="single"/>
        </w:rPr>
        <w:t xml:space="preserve">日 </w:t>
      </w:r>
      <w:r>
        <w:rPr>
          <w:rFonts w:hint="eastAsia" w:ascii="仿宋_GB2312" w:hAnsi="仿宋_GB2312" w:eastAsia="仿宋_GB2312" w:cs="仿宋_GB2312"/>
          <w:bCs/>
          <w:color w:val="auto"/>
          <w:sz w:val="28"/>
          <w:szCs w:val="28"/>
          <w:highlight w:val="none"/>
          <w:u w:val="single"/>
          <w:lang w:val="en-US" w:eastAsia="zh-CN"/>
        </w:rPr>
        <w:t>9</w:t>
      </w:r>
      <w:r>
        <w:rPr>
          <w:rFonts w:hint="eastAsia" w:ascii="仿宋_GB2312" w:hAnsi="仿宋_GB2312" w:eastAsia="仿宋_GB2312" w:cs="仿宋_GB2312"/>
          <w:bCs/>
          <w:color w:val="auto"/>
          <w:sz w:val="28"/>
          <w:szCs w:val="28"/>
          <w:highlight w:val="none"/>
          <w:u w:val="single"/>
        </w:rPr>
        <w:t xml:space="preserve"> 点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分</w:t>
      </w:r>
      <w:r>
        <w:rPr>
          <w:rFonts w:hint="eastAsia" w:ascii="仿宋_GB2312" w:hAnsi="仿宋_GB2312" w:eastAsia="仿宋_GB2312" w:cs="仿宋_GB2312"/>
          <w:bCs/>
          <w:color w:val="auto"/>
          <w:sz w:val="28"/>
          <w:szCs w:val="28"/>
          <w:highlight w:val="none"/>
        </w:rPr>
        <w:t>（北京时间）</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b/>
          <w:bCs/>
          <w:color w:val="auto"/>
          <w:sz w:val="28"/>
          <w:szCs w:val="28"/>
          <w:highlight w:val="none"/>
        </w:rPr>
        <w:t>采用</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不见面开标方式</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前，</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人登录全国公共资源交易平台（陕西省·汉中市）网站〖首页〉不见面开标〗系统，在线参加</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过程。</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时，按照工作人员要求进行远程解密，如因</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人自身原因造成无法解密</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文件，按无效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对待。</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2" w:name="_Toc28359017"/>
      <w:bookmarkStart w:id="33" w:name="_Toc28359094"/>
      <w:bookmarkStart w:id="34" w:name="_Toc4869"/>
      <w:bookmarkStart w:id="35" w:name="_Toc35393634"/>
      <w:bookmarkStart w:id="36" w:name="_Toc35393803"/>
      <w:r>
        <w:rPr>
          <w:rFonts w:hint="eastAsia" w:ascii="仿宋_GB2312" w:hAnsi="仿宋_GB2312" w:eastAsia="仿宋_GB2312" w:cs="仿宋_GB2312"/>
          <w:b/>
          <w:bCs/>
          <w:color w:val="auto"/>
          <w:kern w:val="2"/>
          <w:sz w:val="28"/>
          <w:szCs w:val="28"/>
          <w:lang w:val="en-US" w:eastAsia="zh-CN" w:bidi="ar-SA"/>
        </w:rPr>
        <w:t>六、公告期限</w:t>
      </w:r>
      <w:bookmarkEnd w:id="32"/>
      <w:bookmarkEnd w:id="33"/>
      <w:bookmarkEnd w:id="34"/>
      <w:bookmarkEnd w:id="35"/>
      <w:bookmarkEnd w:id="36"/>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自本公告发布之日起3个工作日。</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37" w:name="_Toc24605"/>
      <w:bookmarkStart w:id="38" w:name="_Toc35393804"/>
      <w:bookmarkStart w:id="39" w:name="_Toc35393635"/>
      <w:r>
        <w:rPr>
          <w:rFonts w:hint="eastAsia" w:ascii="仿宋_GB2312" w:hAnsi="仿宋_GB2312" w:eastAsia="仿宋_GB2312" w:cs="仿宋_GB2312"/>
          <w:b/>
          <w:bCs/>
          <w:color w:val="auto"/>
          <w:kern w:val="2"/>
          <w:sz w:val="28"/>
          <w:szCs w:val="28"/>
          <w:lang w:val="en-US" w:eastAsia="zh-CN" w:bidi="ar-SA"/>
        </w:rPr>
        <w:t>七、其他补充事宜</w:t>
      </w:r>
      <w:bookmarkEnd w:id="37"/>
      <w:bookmarkEnd w:id="38"/>
      <w:bookmarkEnd w:id="39"/>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b/>
          <w:bCs/>
          <w:color w:val="auto"/>
          <w:kern w:val="0"/>
          <w:sz w:val="28"/>
          <w:szCs w:val="28"/>
          <w:lang w:val="en-US" w:eastAsia="zh-CN"/>
        </w:rPr>
        <w:t>本项目采用“电子化采购”及“不见面开标”方式，</w:t>
      </w:r>
      <w:r>
        <w:rPr>
          <w:rFonts w:hint="eastAsia" w:ascii="仿宋_GB2312" w:hAnsi="仿宋_GB2312" w:eastAsia="仿宋_GB2312" w:cs="仿宋_GB2312"/>
          <w:color w:val="auto"/>
          <w:kern w:val="0"/>
          <w:sz w:val="28"/>
          <w:szCs w:val="28"/>
          <w:lang w:val="en-US" w:eastAsia="zh-CN"/>
        </w:rPr>
        <w:t>响应人须使用数字认证证书（CA锁）对电子响应文件进行签章、加密、递交及开启时解密等相关事宜。（操作手册详见〖首页〉服务指南〉下载专区〗中的《汉中公共资源交易不见面开标大厅投标单位操作手册》）</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3、请响应人务必及时下载采购文件并做好备份，否则会影响响应文件编制及后续采购活动。 </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pPr>
        <w:keepLines w:val="0"/>
        <w:pageBreakBefore w:val="0"/>
        <w:widowControl w:val="0"/>
        <w:kinsoku/>
        <w:wordWrap/>
        <w:overflowPunct/>
        <w:topLinePunct w:val="0"/>
        <w:bidi w:val="0"/>
        <w:snapToGrid/>
        <w:spacing w:line="560" w:lineRule="exact"/>
        <w:ind w:firstLine="566"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p>
      <w:pPr>
        <w:keepNext/>
        <w:keepLines w:val="0"/>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40" w:name="_Toc17247"/>
      <w:bookmarkStart w:id="41" w:name="_Toc28359018"/>
      <w:bookmarkStart w:id="42" w:name="_Toc28359095"/>
      <w:bookmarkStart w:id="43" w:name="_Toc35393805"/>
      <w:bookmarkStart w:id="44" w:name="_Toc35393636"/>
      <w:r>
        <w:rPr>
          <w:rFonts w:hint="eastAsia" w:ascii="仿宋_GB2312" w:hAnsi="仿宋_GB2312" w:eastAsia="仿宋_GB2312" w:cs="仿宋_GB2312"/>
          <w:b/>
          <w:bCs/>
          <w:color w:val="auto"/>
          <w:kern w:val="2"/>
          <w:sz w:val="28"/>
          <w:szCs w:val="28"/>
          <w:lang w:val="en-US" w:eastAsia="zh-CN" w:bidi="ar-SA"/>
        </w:rPr>
        <w:t>八、凡对本次采购提出询问，请按以下方式联系。</w:t>
      </w:r>
      <w:bookmarkEnd w:id="40"/>
      <w:bookmarkEnd w:id="41"/>
      <w:bookmarkEnd w:id="42"/>
      <w:bookmarkEnd w:id="43"/>
      <w:bookmarkEnd w:id="44"/>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45" w:name="_Toc35393806"/>
      <w:bookmarkStart w:id="46" w:name="_Toc28359096"/>
      <w:bookmarkStart w:id="47" w:name="_Toc9063"/>
      <w:bookmarkStart w:id="48" w:name="_Toc35393637"/>
      <w:bookmarkStart w:id="49" w:name="_Toc28359019"/>
      <w:r>
        <w:rPr>
          <w:rFonts w:hint="eastAsia" w:ascii="仿宋_GB2312" w:hAnsi="仿宋_GB2312" w:eastAsia="仿宋_GB2312" w:cs="仿宋_GB2312"/>
          <w:b w:val="0"/>
          <w:color w:val="auto"/>
          <w:kern w:val="2"/>
          <w:sz w:val="28"/>
          <w:szCs w:val="28"/>
          <w:lang w:val="en-US" w:eastAsia="zh-CN" w:bidi="ar-SA"/>
        </w:rPr>
        <w:t>1.采购人信息</w:t>
      </w:r>
      <w:bookmarkEnd w:id="45"/>
      <w:bookmarkEnd w:id="46"/>
      <w:bookmarkEnd w:id="47"/>
      <w:bookmarkEnd w:id="48"/>
      <w:bookmarkEnd w:id="49"/>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bookmarkStart w:id="50" w:name="_Toc28359097"/>
      <w:bookmarkStart w:id="51" w:name="_Toc35393638"/>
      <w:bookmarkStart w:id="52" w:name="_Toc28359020"/>
      <w:bookmarkStart w:id="53" w:name="_Toc35393807"/>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汉中市财政专项资金管理处 </w:t>
      </w:r>
      <w:r>
        <w:rPr>
          <w:rFonts w:hint="eastAsia" w:ascii="仿宋_GB2312" w:hAnsi="仿宋_GB2312" w:eastAsia="仿宋_GB2312" w:cs="仿宋_GB2312"/>
          <w:color w:val="auto"/>
          <w:sz w:val="28"/>
          <w:szCs w:val="28"/>
          <w:highlight w:val="none"/>
          <w:u w:val="single"/>
        </w:rPr>
        <w:t>　</w:t>
      </w:r>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汉中市汉台区民主街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left="1402" w:leftChars="371" w:hanging="353" w:hangingChars="125"/>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highlight w:val="none"/>
          <w:u w:val="single"/>
          <w:lang w:val="en-US" w:eastAsia="zh-CN"/>
        </w:rPr>
        <w:t xml:space="preserve">0916-2514719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4" w:name="_Toc27032"/>
      <w:r>
        <w:rPr>
          <w:rFonts w:hint="eastAsia" w:ascii="仿宋_GB2312" w:hAnsi="仿宋_GB2312" w:eastAsia="仿宋_GB2312" w:cs="仿宋_GB2312"/>
          <w:b w:val="0"/>
          <w:color w:val="auto"/>
          <w:kern w:val="2"/>
          <w:sz w:val="28"/>
          <w:szCs w:val="28"/>
          <w:lang w:val="en-US" w:eastAsia="zh-CN" w:bidi="ar-SA"/>
        </w:rPr>
        <w:t>2.采购代理机构信息</w:t>
      </w:r>
      <w:bookmarkEnd w:id="50"/>
      <w:bookmarkEnd w:id="51"/>
      <w:bookmarkEnd w:id="52"/>
      <w:bookmarkEnd w:id="53"/>
      <w:bookmarkEnd w:id="54"/>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汉中市政府采购中心</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汉中市汉台区南团结街与汉宁路十字金格大厦四楼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联系方式：</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Next/>
        <w:keepLines w:val="0"/>
        <w:pageBreakBefore w:val="0"/>
        <w:widowControl w:val="0"/>
        <w:kinsoku/>
        <w:wordWrap/>
        <w:overflowPunct/>
        <w:topLinePunct w:val="0"/>
        <w:autoSpaceDE w:val="0"/>
        <w:autoSpaceDN w:val="0"/>
        <w:bidi w:val="0"/>
        <w:adjustRightInd w:val="0"/>
        <w:snapToGrid/>
        <w:spacing w:line="560" w:lineRule="exact"/>
        <w:ind w:firstLine="849" w:firstLineChars="300"/>
        <w:jc w:val="both"/>
        <w:textAlignment w:val="auto"/>
        <w:outlineLvl w:val="1"/>
        <w:rPr>
          <w:rFonts w:hint="eastAsia" w:ascii="仿宋_GB2312" w:hAnsi="仿宋_GB2312" w:eastAsia="仿宋_GB2312" w:cs="仿宋_GB2312"/>
          <w:b w:val="0"/>
          <w:color w:val="auto"/>
          <w:kern w:val="2"/>
          <w:sz w:val="28"/>
          <w:szCs w:val="28"/>
          <w:lang w:val="en-US" w:eastAsia="zh-CN" w:bidi="ar-SA"/>
        </w:rPr>
      </w:pPr>
      <w:bookmarkStart w:id="55" w:name="_Toc35393639"/>
      <w:bookmarkStart w:id="56" w:name="_Toc6426"/>
      <w:bookmarkStart w:id="57" w:name="_Toc28359098"/>
      <w:bookmarkStart w:id="58" w:name="_Toc28359021"/>
      <w:bookmarkStart w:id="59" w:name="_Toc35393808"/>
      <w:r>
        <w:rPr>
          <w:rFonts w:hint="eastAsia" w:ascii="仿宋_GB2312" w:hAnsi="仿宋_GB2312" w:eastAsia="仿宋_GB2312" w:cs="仿宋_GB2312"/>
          <w:b w:val="0"/>
          <w:color w:val="auto"/>
          <w:kern w:val="2"/>
          <w:sz w:val="28"/>
          <w:szCs w:val="28"/>
          <w:lang w:val="en-US" w:eastAsia="zh-CN" w:bidi="ar-SA"/>
        </w:rPr>
        <w:t>3.项目联系方式</w:t>
      </w:r>
      <w:bookmarkEnd w:id="55"/>
      <w:bookmarkEnd w:id="56"/>
      <w:bookmarkEnd w:id="57"/>
      <w:bookmarkEnd w:id="58"/>
      <w:bookmarkEnd w:id="59"/>
    </w:p>
    <w:p>
      <w:pPr>
        <w:pStyle w:val="10"/>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hAnsi="仿宋_GB2312" w:eastAsia="仿宋_GB2312" w:cs="仿宋_GB2312"/>
          <w:color w:val="auto"/>
          <w:kern w:val="2"/>
          <w:sz w:val="28"/>
          <w:szCs w:val="28"/>
          <w:u w:val="single"/>
          <w:lang w:val="en-US" w:eastAsia="zh-CN" w:bidi="ar-SA"/>
        </w:rPr>
        <w:t xml:space="preserve">  王月</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w:t>
      </w:r>
    </w:p>
    <w:p>
      <w:pPr>
        <w:keepLines w:val="0"/>
        <w:pageBreakBefore w:val="0"/>
        <w:widowControl w:val="0"/>
        <w:kinsoku/>
        <w:wordWrap/>
        <w:overflowPunct/>
        <w:topLinePunct w:val="0"/>
        <w:bidi w:val="0"/>
        <w:snapToGrid/>
        <w:spacing w:line="560" w:lineRule="exact"/>
        <w:ind w:firstLine="849" w:firstLineChars="3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w:t>
      </w:r>
      <w:r>
        <w:rPr>
          <w:rFonts w:hint="eastAsia" w:ascii="仿宋_GB2312" w:hAnsi="仿宋_GB2312" w:eastAsia="仿宋_GB2312" w:cs="仿宋_GB2312"/>
          <w:color w:val="auto"/>
          <w:sz w:val="28"/>
          <w:szCs w:val="28"/>
          <w:u w:val="single"/>
          <w:lang w:val="en-US" w:eastAsia="zh-CN"/>
        </w:rPr>
        <w:t>0916-2109082</w:t>
      </w:r>
      <w:r>
        <w:rPr>
          <w:rFonts w:hint="eastAsia" w:ascii="仿宋_GB2312" w:hAnsi="仿宋_GB2312" w:eastAsia="仿宋_GB2312" w:cs="仿宋_GB2312"/>
          <w:color w:val="auto"/>
          <w:sz w:val="28"/>
          <w:szCs w:val="28"/>
          <w:u w:val="single"/>
        </w:rPr>
        <w:t>　　</w:t>
      </w:r>
    </w:p>
    <w:p>
      <w:pPr>
        <w:pStyle w:val="3"/>
        <w:rPr>
          <w:rFonts w:ascii="黑体" w:hAnsi="黑体" w:eastAsia="黑体"/>
          <w:color w:val="auto"/>
          <w:sz w:val="32"/>
          <w:szCs w:val="32"/>
        </w:rPr>
      </w:pPr>
      <w:r>
        <w:rPr>
          <w:color w:val="auto"/>
          <w:sz w:val="28"/>
          <w:szCs w:val="28"/>
        </w:rPr>
        <w:br w:type="page"/>
      </w:r>
      <w:bookmarkStart w:id="60" w:name="_Toc495014610"/>
      <w:bookmarkStart w:id="61" w:name="_Toc19337_WPSOffice_Level1"/>
      <w:bookmarkStart w:id="62" w:name="_Toc22804_WPSOffice_Level1"/>
      <w:bookmarkStart w:id="63" w:name="_Toc495012770"/>
      <w:bookmarkStart w:id="64" w:name="_Toc495014953"/>
      <w:bookmarkStart w:id="65" w:name="_Toc495012820"/>
      <w:bookmarkStart w:id="66" w:name="_Toc495014919"/>
      <w:bookmarkStart w:id="67" w:name="_Toc15046_WPSOffice_Level1"/>
      <w:bookmarkStart w:id="68" w:name="_Toc9601"/>
      <w:bookmarkStart w:id="69" w:name="_Toc10140"/>
      <w:bookmarkStart w:id="70" w:name="_Toc445306492"/>
      <w:bookmarkStart w:id="71" w:name="_Toc7814"/>
      <w:bookmarkStart w:id="72" w:name="_Toc4326"/>
      <w:bookmarkStart w:id="73" w:name="_Toc495014648"/>
      <w:bookmarkStart w:id="74" w:name="_Toc495014584"/>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75" w:name="_Toc16238"/>
      <w:bookmarkStart w:id="76" w:name="_Toc12337"/>
      <w:bookmarkStart w:id="77" w:name="_Toc3858_WPSOffice_Level2"/>
      <w:bookmarkStart w:id="78" w:name="_Toc3062"/>
      <w:bookmarkStart w:id="79" w:name="_Toc23184"/>
      <w:bookmarkStart w:id="80" w:name="_Toc24451_WPSOffice_Level2"/>
      <w:bookmarkStart w:id="81" w:name="_Toc18466_WPSOffice_Level2"/>
      <w:r>
        <w:rPr>
          <w:rFonts w:hint="eastAsia" w:ascii="仿宋_GB2312" w:hAnsi="仿宋_GB2312" w:eastAsia="仿宋_GB2312" w:cs="仿宋_GB2312"/>
          <w:color w:val="auto"/>
          <w:sz w:val="28"/>
          <w:szCs w:val="28"/>
        </w:rPr>
        <w:t>一、定义</w:t>
      </w:r>
      <w:bookmarkEnd w:id="75"/>
      <w:bookmarkEnd w:id="76"/>
      <w:bookmarkEnd w:id="77"/>
      <w:bookmarkEnd w:id="78"/>
      <w:bookmarkEnd w:id="79"/>
      <w:bookmarkEnd w:id="80"/>
      <w:bookmarkEnd w:id="81"/>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82" w:name="_Toc11840_WPSOffice_Level3"/>
      <w:r>
        <w:rPr>
          <w:rFonts w:hint="eastAsia" w:ascii="仿宋_GB2312" w:hAnsi="仿宋_GB2312" w:eastAsia="仿宋_GB2312" w:cs="仿宋_GB2312"/>
          <w:color w:val="auto"/>
          <w:sz w:val="28"/>
          <w:szCs w:val="28"/>
        </w:rPr>
        <w:t>（一）采 购 人</w:t>
      </w:r>
      <w:r>
        <w:rPr>
          <w:rFonts w:hint="eastAsia" w:ascii="仿宋_GB2312" w:hAnsi="仿宋_GB2312" w:eastAsia="仿宋_GB2312" w:cs="仿宋_GB2312"/>
          <w:color w:val="auto"/>
          <w:sz w:val="28"/>
          <w:szCs w:val="28"/>
          <w:lang w:val="en-US" w:eastAsia="zh-CN"/>
        </w:rPr>
        <w:t>：</w:t>
      </w:r>
      <w:bookmarkEnd w:id="82"/>
      <w:bookmarkStart w:id="83" w:name="_Toc9917_WPSOffice_Level3"/>
      <w:r>
        <w:rPr>
          <w:rFonts w:hint="eastAsia" w:ascii="仿宋_GB2312" w:hAnsi="仿宋_GB2312" w:eastAsia="仿宋_GB2312" w:cs="仿宋_GB2312"/>
          <w:color w:val="auto"/>
          <w:sz w:val="28"/>
          <w:szCs w:val="28"/>
          <w:lang w:val="en-US" w:eastAsia="zh-CN"/>
        </w:rPr>
        <w:t>汉中市财政专项资金管理处</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（二）监督机构：</w:t>
      </w:r>
      <w:bookmarkEnd w:id="83"/>
      <w:r>
        <w:rPr>
          <w:rFonts w:hint="eastAsia" w:ascii="仿宋_GB2312" w:hAnsi="仿宋_GB2312" w:eastAsia="仿宋_GB2312" w:cs="仿宋_GB2312"/>
          <w:color w:val="auto"/>
          <w:sz w:val="28"/>
          <w:szCs w:val="28"/>
          <w:lang w:val="en-US" w:eastAsia="zh-CN"/>
        </w:rPr>
        <w:t>汉中市财政局</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4" w:name="_Toc8219_WPSOffice_Level3"/>
      <w:r>
        <w:rPr>
          <w:rFonts w:hint="eastAsia" w:ascii="仿宋_GB2312" w:hAnsi="仿宋_GB2312" w:eastAsia="仿宋_GB2312" w:cs="仿宋_GB2312"/>
          <w:color w:val="auto"/>
          <w:sz w:val="28"/>
          <w:szCs w:val="28"/>
        </w:rPr>
        <w:t>（三）集中采购机构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采购代理机构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bookmarkEnd w:id="84"/>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5" w:name="_Toc20141_WPSOffice_Level3"/>
      <w:r>
        <w:rPr>
          <w:rFonts w:hint="eastAsia" w:ascii="仿宋_GB2312" w:hAnsi="仿宋_GB2312" w:eastAsia="仿宋_GB2312" w:cs="仿宋_GB2312"/>
          <w:color w:val="auto"/>
          <w:sz w:val="28"/>
          <w:szCs w:val="28"/>
        </w:rPr>
        <w:t>（四）供应商：拟向采购人提供货物、工程或者服务的法人、其他组织或者自然人</w:t>
      </w:r>
      <w:bookmarkEnd w:id="85"/>
    </w:p>
    <w:p>
      <w:pPr>
        <w:pStyle w:val="4"/>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86" w:name="_Toc13654"/>
      <w:bookmarkStart w:id="87" w:name="_Toc11745_WPSOffice_Level2"/>
      <w:bookmarkStart w:id="88" w:name="_Toc4606"/>
      <w:bookmarkStart w:id="89" w:name="_Toc27278_WPSOffice_Level2"/>
      <w:bookmarkStart w:id="90" w:name="_Toc24646"/>
      <w:bookmarkStart w:id="91" w:name="_Toc9291"/>
      <w:bookmarkStart w:id="92" w:name="_Toc20906_WPSOffice_Level2"/>
      <w:r>
        <w:rPr>
          <w:rFonts w:hint="eastAsia" w:ascii="仿宋_GB2312" w:hAnsi="仿宋_GB2312" w:eastAsia="仿宋_GB2312" w:cs="仿宋_GB2312"/>
          <w:color w:val="auto"/>
          <w:sz w:val="28"/>
          <w:szCs w:val="28"/>
        </w:rPr>
        <w:t>二、供应商注意事项</w:t>
      </w:r>
      <w:bookmarkEnd w:id="86"/>
      <w:bookmarkEnd w:id="87"/>
      <w:bookmarkEnd w:id="88"/>
      <w:bookmarkEnd w:id="89"/>
      <w:bookmarkEnd w:id="90"/>
      <w:bookmarkEnd w:id="91"/>
      <w:bookmarkEnd w:id="92"/>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3" w:name="_Toc21291"/>
      <w:bookmarkStart w:id="94" w:name="_Toc26982_WPSOffice_Level3"/>
      <w:r>
        <w:rPr>
          <w:rFonts w:hint="eastAsia" w:ascii="仿宋_GB2312" w:hAnsi="仿宋_GB2312" w:eastAsia="仿宋_GB2312" w:cs="仿宋_GB2312"/>
          <w:b/>
          <w:bCs/>
          <w:color w:val="auto"/>
          <w:sz w:val="28"/>
          <w:szCs w:val="28"/>
        </w:rPr>
        <w:t>（一）</w:t>
      </w:r>
      <w:r>
        <w:rPr>
          <w:rFonts w:hint="eastAsia" w:ascii="仿宋_GB2312" w:hAnsi="仿宋_GB2312" w:eastAsia="仿宋_GB2312" w:cs="仿宋_GB2312"/>
          <w:b/>
          <w:color w:val="auto"/>
          <w:sz w:val="28"/>
          <w:szCs w:val="28"/>
        </w:rPr>
        <w:t>现场</w:t>
      </w:r>
      <w:r>
        <w:rPr>
          <w:rFonts w:hint="eastAsia" w:ascii="仿宋_GB2312" w:hAnsi="仿宋_GB2312" w:eastAsia="仿宋_GB2312" w:cs="仿宋_GB2312"/>
          <w:b/>
          <w:color w:val="auto"/>
          <w:sz w:val="28"/>
          <w:szCs w:val="28"/>
          <w:lang w:val="en-US" w:eastAsia="zh-CN"/>
        </w:rPr>
        <w:t>考察</w:t>
      </w:r>
      <w:r>
        <w:rPr>
          <w:rFonts w:hint="eastAsia" w:ascii="仿宋_GB2312" w:hAnsi="仿宋_GB2312" w:eastAsia="仿宋_GB2312" w:cs="仿宋_GB2312"/>
          <w:b/>
          <w:color w:val="auto"/>
          <w:sz w:val="28"/>
          <w:szCs w:val="28"/>
        </w:rPr>
        <w:t>及</w:t>
      </w:r>
      <w:r>
        <w:rPr>
          <w:rFonts w:hint="eastAsia" w:ascii="仿宋_GB2312" w:hAnsi="仿宋_GB2312" w:eastAsia="仿宋_GB2312" w:cs="仿宋_GB2312"/>
          <w:b/>
          <w:color w:val="auto"/>
          <w:sz w:val="28"/>
          <w:szCs w:val="28"/>
          <w:lang w:val="en-US" w:eastAsia="zh-CN"/>
        </w:rPr>
        <w:t>磋商</w:t>
      </w:r>
      <w:r>
        <w:rPr>
          <w:rFonts w:hint="eastAsia" w:ascii="仿宋_GB2312" w:hAnsi="仿宋_GB2312" w:eastAsia="仿宋_GB2312" w:cs="仿宋_GB2312"/>
          <w:b/>
          <w:color w:val="auto"/>
          <w:sz w:val="28"/>
          <w:szCs w:val="28"/>
        </w:rPr>
        <w:t>前答疑会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采购项目安排现场考察和</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前答疑的，采购人应尽量在现场予以解答 （口头提问可口头答复），现场不能做出解答的，应在三个工作日内书面答复，并交由</w:t>
      </w:r>
      <w:r>
        <w:rPr>
          <w:rFonts w:hint="eastAsia" w:ascii="仿宋_GB2312" w:hAnsi="仿宋_GB2312" w:eastAsia="仿宋_GB2312" w:cs="仿宋_GB2312"/>
          <w:bCs/>
          <w:color w:val="auto"/>
          <w:sz w:val="28"/>
          <w:szCs w:val="28"/>
          <w:lang w:val="en-US" w:eastAsia="zh-CN"/>
        </w:rPr>
        <w:t>集中采购机构</w:t>
      </w:r>
      <w:r>
        <w:rPr>
          <w:rFonts w:hint="eastAsia" w:ascii="仿宋_GB2312" w:hAnsi="仿宋_GB2312" w:eastAsia="仿宋_GB2312" w:cs="仿宋_GB2312"/>
          <w:bCs/>
          <w:color w:val="auto"/>
          <w:sz w:val="28"/>
          <w:szCs w:val="28"/>
        </w:rPr>
        <w:t>在财政部门指定的媒体上发布。 答复内容可能影响响应文件编制的，应当顺延</w:t>
      </w:r>
      <w:r>
        <w:rPr>
          <w:rFonts w:hint="eastAsia" w:ascii="仿宋_GB2312" w:hAnsi="仿宋_GB2312" w:eastAsia="仿宋_GB2312" w:cs="仿宋_GB2312"/>
          <w:bCs/>
          <w:color w:val="auto"/>
          <w:sz w:val="28"/>
          <w:szCs w:val="28"/>
          <w:lang w:val="en-US" w:eastAsia="zh-CN"/>
        </w:rPr>
        <w:t>磋商</w:t>
      </w:r>
      <w:r>
        <w:rPr>
          <w:rFonts w:hint="eastAsia" w:ascii="仿宋_GB2312" w:hAnsi="仿宋_GB2312" w:eastAsia="仿宋_GB2312" w:cs="仿宋_GB2312"/>
          <w:bCs/>
          <w:color w:val="auto"/>
          <w:sz w:val="28"/>
          <w:szCs w:val="28"/>
        </w:rPr>
        <w:t xml:space="preserve">时间。凡未参加现场考察及磋商前答疑会的供应商，由此造成的偏差由各供应商自行负责。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28"/>
          <w:szCs w:val="28"/>
        </w:rPr>
        <w:t>本项目</w:t>
      </w:r>
      <w:r>
        <w:rPr>
          <w:rFonts w:hint="eastAsia" w:ascii="仿宋_GB2312" w:hAnsi="仿宋_GB2312" w:eastAsia="仿宋_GB2312" w:cs="仿宋_GB2312"/>
          <w:b/>
          <w:color w:val="auto"/>
          <w:sz w:val="28"/>
          <w:szCs w:val="28"/>
          <w:lang w:val="en-US" w:eastAsia="zh-CN"/>
        </w:rPr>
        <w:t>不</w:t>
      </w:r>
      <w:r>
        <w:rPr>
          <w:rFonts w:hint="eastAsia" w:ascii="仿宋_GB2312" w:hAnsi="仿宋_GB2312" w:eastAsia="仿宋_GB2312" w:cs="仿宋_GB2312"/>
          <w:b/>
          <w:color w:val="auto"/>
          <w:sz w:val="28"/>
          <w:szCs w:val="28"/>
        </w:rPr>
        <w:t>组织集中踏勘</w:t>
      </w:r>
      <w:r>
        <w:rPr>
          <w:rFonts w:hint="eastAsia" w:ascii="仿宋_GB2312" w:hAnsi="仿宋_GB2312" w:eastAsia="仿宋_GB2312" w:cs="仿宋_GB2312"/>
          <w:b/>
          <w:color w:val="auto"/>
          <w:sz w:val="28"/>
          <w:szCs w:val="28"/>
          <w:lang w:val="en-US" w:eastAsia="zh-CN"/>
        </w:rPr>
        <w:t>和磋商前答疑会</w:t>
      </w:r>
      <w:r>
        <w:rPr>
          <w:rFonts w:hint="eastAsia" w:ascii="仿宋_GB2312" w:hAnsi="仿宋_GB2312" w:eastAsia="仿宋_GB2312" w:cs="仿宋_GB2312"/>
          <w:b/>
          <w:color w:val="auto"/>
          <w:sz w:val="28"/>
          <w:szCs w:val="28"/>
        </w:rPr>
        <w:t>。</w:t>
      </w:r>
      <w:bookmarkEnd w:id="93"/>
      <w:bookmarkEnd w:id="94"/>
      <w:bookmarkStart w:id="95" w:name="_Toc669_WPSOffice_Level3"/>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（二）</w:t>
      </w:r>
      <w:bookmarkEnd w:id="95"/>
      <w:bookmarkStart w:id="96" w:name="_Toc9412_WPSOffice_Level3"/>
      <w:r>
        <w:rPr>
          <w:rFonts w:hint="eastAsia" w:ascii="仿宋_GB2312" w:hAnsi="仿宋_GB2312" w:eastAsia="仿宋_GB2312" w:cs="仿宋_GB2312"/>
          <w:b/>
          <w:bCs/>
          <w:color w:val="auto"/>
          <w:sz w:val="28"/>
          <w:szCs w:val="28"/>
        </w:rPr>
        <w:t>询问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针对采购文件，向采购人</w:t>
      </w:r>
      <w:r>
        <w:rPr>
          <w:rFonts w:hint="eastAsia" w:ascii="仿宋_GB2312" w:hAnsi="仿宋_GB2312" w:eastAsia="仿宋_GB2312" w:cs="仿宋_GB2312"/>
          <w:color w:val="auto"/>
          <w:sz w:val="28"/>
          <w:szCs w:val="28"/>
        </w:rPr>
        <w:t>提出书面询问的，采购人应在三个工作日内书面答复；供应商向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en-US" w:eastAsia="zh-CN"/>
        </w:rPr>
        <w:t>在委托授权范围内作出答复，超出范围</w:t>
      </w:r>
      <w:r>
        <w:rPr>
          <w:rFonts w:hint="eastAsia" w:ascii="仿宋_GB2312" w:hAnsi="仿宋_GB2312" w:eastAsia="仿宋_GB2312" w:cs="仿宋_GB2312"/>
          <w:color w:val="auto"/>
          <w:sz w:val="28"/>
          <w:szCs w:val="28"/>
        </w:rPr>
        <w:t>应告知采购人</w:t>
      </w:r>
      <w:r>
        <w:rPr>
          <w:rFonts w:hint="eastAsia" w:ascii="仿宋_GB2312" w:hAnsi="仿宋_GB2312" w:eastAsia="仿宋_GB2312" w:cs="仿宋_GB2312"/>
          <w:color w:val="auto"/>
          <w:sz w:val="28"/>
          <w:szCs w:val="28"/>
          <w:lang w:val="en-US" w:eastAsia="zh-CN"/>
        </w:rPr>
        <w:t>作</w:t>
      </w:r>
      <w:r>
        <w:rPr>
          <w:rFonts w:hint="eastAsia" w:ascii="仿宋_GB2312" w:hAnsi="仿宋_GB2312" w:eastAsia="仿宋_GB2312" w:cs="仿宋_GB2312"/>
          <w:color w:val="auto"/>
          <w:sz w:val="28"/>
          <w:szCs w:val="28"/>
        </w:rPr>
        <w:t xml:space="preserve">出答复。 </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lang w:val="en-US" w:eastAsia="zh-CN"/>
        </w:rPr>
        <w:t>针</w:t>
      </w:r>
      <w:r>
        <w:rPr>
          <w:rFonts w:hint="eastAsia" w:ascii="仿宋_GB2312" w:hAnsi="仿宋_GB2312" w:eastAsia="仿宋_GB2312" w:cs="仿宋_GB2312"/>
          <w:color w:val="auto"/>
          <w:sz w:val="28"/>
          <w:szCs w:val="28"/>
        </w:rPr>
        <w:t>对采购过程、中标（成交）结果，向</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提出书面询问的，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应在三个工作日内书面答复</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（三）质疑和投诉</w:t>
      </w:r>
      <w:bookmarkEnd w:id="96"/>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供应商如果认为采购过程</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w:t>
      </w:r>
      <w:r>
        <w:rPr>
          <w:rFonts w:hint="eastAsia" w:ascii="仿宋_GB2312" w:hAnsi="仿宋_GB2312" w:eastAsia="仿宋_GB2312" w:cs="仿宋_GB2312"/>
          <w:color w:val="auto"/>
          <w:sz w:val="28"/>
          <w:szCs w:val="28"/>
          <w:lang w:val="en-US" w:eastAsia="zh-CN"/>
        </w:rPr>
        <w:t>或者成交</w:t>
      </w:r>
      <w:r>
        <w:rPr>
          <w:rFonts w:hint="eastAsia" w:ascii="仿宋_GB2312" w:hAnsi="仿宋_GB2312" w:eastAsia="仿宋_GB2312" w:cs="仿宋_GB2312"/>
          <w:color w:val="auto"/>
          <w:sz w:val="28"/>
          <w:szCs w:val="28"/>
        </w:rPr>
        <w:t>结果使自身的合法权益受到损害，可以在知道或者应知其权益受到损害之日起7个工作日内，以书面形式向采购人、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提出质疑。</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潜在供应商已依法获取其可质疑的采购文件的，可以对该文件提出质疑。对采购文件提出质疑的，应当在获取采购文件或者采购文件公告期限届满之日起7个工作日内提出。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供应商在法定质疑期内针对同一采购程序环节的质疑</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一次性提出</w:t>
      </w:r>
      <w:r>
        <w:rPr>
          <w:rFonts w:hint="eastAsia" w:ascii="仿宋_GB2312" w:hAnsi="仿宋_GB2312" w:eastAsia="仿宋_GB2312" w:cs="仿宋_GB2312"/>
          <w:color w:val="auto"/>
          <w:sz w:val="28"/>
          <w:szCs w:val="28"/>
          <w:lang w:eastAsia="zh-CN"/>
        </w:rPr>
        <w:t>。</w:t>
      </w:r>
    </w:p>
    <w:p>
      <w:pPr>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提出质疑应当提交质疑函和必要的证明材料，并按财政部《质疑函范本》给定的格式进行填写，范本下载详见【财政部国库司（gks.mof.gov.cn）】网站〖首页•〉政府采购管理〗栏目中的《政府采购供应商质疑函范本》。</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《政府采购供应商质疑函范本》链接地址</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http://gks.mof.gov.cn/ztztz/zhengfucaigouguanli/201802/t20180201_2804589.htm</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接收质疑函方式：现场递交或邮件（快递）寄送；</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联系部门：</w:t>
      </w:r>
      <w:r>
        <w:rPr>
          <w:rFonts w:hint="eastAsia" w:ascii="仿宋_GB2312" w:hAnsi="仿宋_GB2312" w:eastAsia="仿宋_GB2312" w:cs="仿宋_GB2312"/>
          <w:color w:val="auto"/>
          <w:sz w:val="28"/>
          <w:szCs w:val="28"/>
          <w:lang w:val="en-US" w:eastAsia="zh-CN"/>
        </w:rPr>
        <w:t>交易监督科</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联系电话：0916-210908</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通讯地址：汉中市汉台区南团结街与汉宁路十字金格大厦四楼4</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室。</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、采购代理机构或采购人将在收到书面质疑后7个工作日内做出答复，并以书面形式通知质疑人和其他有关供应商。</w:t>
      </w:r>
    </w:p>
    <w:p>
      <w:pPr>
        <w:pageBreakBefore w:val="0"/>
        <w:widowControl/>
        <w:kinsoku/>
        <w:overflowPunct/>
        <w:topLinePunct w:val="0"/>
        <w:autoSpaceDE/>
        <w:autoSpaceDN/>
        <w:bidi w:val="0"/>
        <w:adjustRightInd/>
        <w:snapToGrid/>
        <w:spacing w:line="560" w:lineRule="exact"/>
        <w:ind w:firstLine="566" w:firstLineChars="200"/>
        <w:contextualSpacing/>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、质疑</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或采购人的答复不满意，以及</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或采购人未在规定时间内</w:t>
      </w:r>
      <w:r>
        <w:rPr>
          <w:rFonts w:hint="eastAsia" w:ascii="仿宋_GB2312" w:hAnsi="仿宋_GB2312" w:eastAsia="仿宋_GB2312" w:cs="仿宋_GB2312"/>
          <w:color w:val="auto"/>
          <w:sz w:val="28"/>
          <w:szCs w:val="28"/>
          <w:lang w:val="en-US" w:eastAsia="zh-CN"/>
        </w:rPr>
        <w:t>作出</w:t>
      </w:r>
      <w:r>
        <w:rPr>
          <w:rFonts w:hint="eastAsia" w:ascii="仿宋_GB2312" w:hAnsi="仿宋_GB2312" w:eastAsia="仿宋_GB2312" w:cs="仿宋_GB2312"/>
          <w:color w:val="auto"/>
          <w:sz w:val="28"/>
          <w:szCs w:val="28"/>
        </w:rPr>
        <w:t>答复的，可以在答复期满后15个工作日内向政府采购监管机构提出投诉。</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97" w:name="_Toc14110_WPSOffice_Level3"/>
      <w:r>
        <w:rPr>
          <w:rFonts w:hint="eastAsia" w:ascii="仿宋_GB2312" w:hAnsi="仿宋_GB2312" w:eastAsia="仿宋_GB2312" w:cs="仿宋_GB2312"/>
          <w:b/>
          <w:color w:val="auto"/>
          <w:sz w:val="28"/>
          <w:szCs w:val="28"/>
        </w:rPr>
        <w:t>（四）对参加政府采购活动的中小企业的扶持政策[依据《政府采购促进中小企业发展管理办法》（财库〔2020〕46号）相关规定]</w:t>
      </w:r>
    </w:p>
    <w:bookmarkEnd w:id="97"/>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本项目专门面向</w:t>
      </w:r>
      <w:r>
        <w:rPr>
          <w:rFonts w:hint="eastAsia" w:ascii="仿宋_GB2312" w:hAnsi="仿宋_GB2312" w:eastAsia="仿宋_GB2312" w:cs="仿宋_GB2312"/>
          <w:b/>
          <w:bCs/>
          <w:color w:val="auto"/>
          <w:sz w:val="28"/>
          <w:szCs w:val="28"/>
          <w:lang w:val="en-US" w:eastAsia="zh-CN"/>
        </w:rPr>
        <w:t>中小</w:t>
      </w:r>
      <w:r>
        <w:rPr>
          <w:rFonts w:hint="eastAsia" w:ascii="仿宋_GB2312" w:hAnsi="仿宋_GB2312" w:eastAsia="仿宋_GB2312" w:cs="仿宋_GB2312"/>
          <w:b/>
          <w:bCs/>
          <w:color w:val="auto"/>
          <w:sz w:val="28"/>
          <w:szCs w:val="28"/>
        </w:rPr>
        <w:t>企业采购，不再执行价格评审优惠扶持政策；本项目采购标的对应的中小企业划分标准所属行业为：</w:t>
      </w:r>
      <w:r>
        <w:rPr>
          <w:rFonts w:hint="eastAsia" w:ascii="仿宋_GB2312" w:hAnsi="仿宋_GB2312" w:eastAsia="仿宋_GB2312" w:cs="仿宋_GB2312"/>
          <w:b/>
          <w:bCs/>
          <w:color w:val="auto"/>
          <w:sz w:val="28"/>
          <w:szCs w:val="28"/>
          <w:lang w:val="en-US" w:eastAsia="zh-CN"/>
        </w:rPr>
        <w:t>租赁和商务服务业</w:t>
      </w:r>
      <w:r>
        <w:rPr>
          <w:rFonts w:hint="eastAsia" w:ascii="仿宋_GB2312" w:hAnsi="仿宋_GB2312" w:eastAsia="仿宋_GB2312" w:cs="仿宋_GB2312"/>
          <w:b/>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供应商提供的货物、工程或者服务符合下列情形的，享受相关中小企业扶持政策：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（1）在货物采购项目中，货物由中小企业制造，即货物由中小企业生产且使用该中小企业商号或者注册商标；</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（2）在工程采购项目中，工程由中小企业承建，即工程施工单位为中小企业；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（3）在服务采购项目中，服务由中小企业承接，即提供服务的人员为中小企业依照《中华人民共和国劳动合同法》订立劳动合同的从业人员。</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在货物采购项目中，供应商提供的货物既有中小企业制造货物，也有大型企业制造货物的，不享受相关中小企业扶持政策。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以联合体形式参加政府采购活动，联合体各方均为中小企业的，联合体视同中小企业。其中，联合体各方均为小微企业的，联合体视同小微企业。</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对符合上述情形的小微企业报价给予 </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价格扣除比例或者价格分加分比例对小型企业和微型企业同等对待，不作区分。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中小企业参加政府采购活动，应当出具《中小企业声明函》（见附件），否则不得享受相关中小企业扶持政策。</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中小企业中标（成交）的采购项目。在控制履约风险的前提下合同约定首付款比例一般不低于60%，累计付款次数不超过3次。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中小企业投标（包括磋商、谈判、询价）保证金（需要交纳保证金时）减半，履约保证金全免。</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未尽事宜以《政府采购促进中小企业发展管理办法》（财库〔2020〕46号）为准。</w:t>
      </w:r>
      <w:bookmarkStart w:id="98" w:name="_Toc11745_WPSOffice_Level3"/>
    </w:p>
    <w:bookmarkEnd w:id="98"/>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99" w:name="_Toc17868_WPSOffice_Level2"/>
      <w:bookmarkStart w:id="100" w:name="_Toc3130"/>
      <w:bookmarkStart w:id="101" w:name="_Toc2960"/>
      <w:bookmarkStart w:id="102" w:name="_Toc9976"/>
      <w:bookmarkStart w:id="103" w:name="_Toc10768_WPSOffice_Level2"/>
      <w:bookmarkStart w:id="104" w:name="_Toc8798_WPSOffice_Level2"/>
      <w:bookmarkStart w:id="105" w:name="_Toc30436"/>
      <w:r>
        <w:rPr>
          <w:rFonts w:hint="eastAsia" w:ascii="仿宋_GB2312" w:hAnsi="仿宋_GB2312" w:eastAsia="仿宋_GB2312" w:cs="仿宋_GB2312"/>
          <w:color w:val="auto"/>
          <w:sz w:val="28"/>
          <w:szCs w:val="28"/>
        </w:rPr>
        <w:t>三、磋商文件</w:t>
      </w:r>
      <w:bookmarkEnd w:id="99"/>
      <w:bookmarkEnd w:id="100"/>
      <w:bookmarkEnd w:id="101"/>
      <w:bookmarkEnd w:id="102"/>
      <w:bookmarkEnd w:id="103"/>
      <w:bookmarkEnd w:id="104"/>
      <w:bookmarkEnd w:id="105"/>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6" w:name="_Toc20873_WPSOffice_Level3"/>
      <w:r>
        <w:rPr>
          <w:rFonts w:hint="eastAsia" w:ascii="仿宋_GB2312" w:hAnsi="仿宋_GB2312" w:eastAsia="仿宋_GB2312" w:cs="仿宋_GB2312"/>
          <w:b/>
          <w:color w:val="auto"/>
          <w:sz w:val="28"/>
          <w:szCs w:val="28"/>
        </w:rPr>
        <w:t>（一）磋商文件包括下列内容</w:t>
      </w:r>
      <w:bookmarkEnd w:id="10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第一章　磋商邀请函</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供应商须知</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bookmarkStart w:id="107" w:name="_Toc20041_WPSOffice_Level3"/>
      <w:r>
        <w:rPr>
          <w:rFonts w:hint="eastAsia" w:ascii="仿宋_GB2312" w:hAnsi="仿宋_GB2312" w:eastAsia="仿宋_GB2312" w:cs="仿宋_GB2312"/>
          <w:bCs/>
          <w:color w:val="auto"/>
          <w:sz w:val="28"/>
          <w:szCs w:val="28"/>
        </w:rPr>
        <w:t>第三章　磋商内容及采购要求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第四章　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第五章　响应文件构成及格式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（二）磋商文件的检查及阅读</w:t>
      </w:r>
      <w:bookmarkEnd w:id="10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color w:val="auto"/>
          <w:w w:val="1"/>
          <w:sz w:val="28"/>
          <w:szCs w:val="28"/>
        </w:rPr>
        <w:t xml:space="preserve"> </w:t>
      </w:r>
      <w:r>
        <w:rPr>
          <w:rFonts w:hint="eastAsia" w:ascii="仿宋_GB2312" w:hAnsi="仿宋_GB2312" w:eastAsia="仿宋_GB2312" w:cs="仿宋_GB2312"/>
          <w:color w:val="auto"/>
          <w:sz w:val="28"/>
          <w:szCs w:val="28"/>
        </w:rPr>
        <w:t>应，并按磋商文件的要求提交全部资料。</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08" w:name="_Toc12798_WPSOffice_Level3"/>
      <w:r>
        <w:rPr>
          <w:rFonts w:hint="eastAsia" w:ascii="仿宋_GB2312" w:hAnsi="仿宋_GB2312" w:eastAsia="仿宋_GB2312" w:cs="仿宋_GB2312"/>
          <w:b/>
          <w:color w:val="auto"/>
          <w:sz w:val="28"/>
          <w:szCs w:val="28"/>
        </w:rPr>
        <w:t>（三）磋商文件的修改、澄清</w:t>
      </w:r>
      <w:bookmarkEnd w:id="10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1、在提交响应文件截止之日前，</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可对已发出的磋商文件进行必要的澄清或者修改，澄清或者修改的内容作为磋商文件的组成部分。澄清或者修改的内容可能影响响应文件编制的，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将在提交响应文件截止之日至少5日前，在财政部门指定的政府采购信息发布媒体上</w:t>
      </w:r>
      <w:r>
        <w:rPr>
          <w:rFonts w:hint="eastAsia" w:ascii="仿宋_GB2312" w:hAnsi="仿宋_GB2312" w:eastAsia="仿宋_GB2312" w:cs="仿宋_GB2312"/>
          <w:b/>
          <w:bCs/>
          <w:color w:val="auto"/>
          <w:sz w:val="28"/>
          <w:szCs w:val="28"/>
        </w:rPr>
        <w:t>发布更正公告</w:t>
      </w:r>
      <w:r>
        <w:rPr>
          <w:rFonts w:hint="eastAsia" w:ascii="仿宋_GB2312" w:hAnsi="仿宋_GB2312" w:eastAsia="仿宋_GB2312" w:cs="仿宋_GB2312"/>
          <w:color w:val="auto"/>
          <w:sz w:val="28"/>
          <w:szCs w:val="28"/>
        </w:rPr>
        <w:t>；不足5日，</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将顺延提交响应文件的截止时间。</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2、各供应商在提交响应文件截止时间之前，应随时关注下列地址发布的变更公告，也可登录全国公共资源交易平台（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）政府采购交易系统查看</w:t>
      </w:r>
      <w:r>
        <w:rPr>
          <w:rFonts w:hint="eastAsia" w:ascii="仿宋_GB2312" w:hAnsi="仿宋_GB2312" w:eastAsia="仿宋_GB2312" w:cs="仿宋_GB2312"/>
          <w:color w:val="auto"/>
          <w:sz w:val="28"/>
          <w:szCs w:val="28"/>
          <w:lang w:val="en-US" w:eastAsia="zh-CN"/>
        </w:rPr>
        <w:t>右</w:t>
      </w:r>
      <w:r>
        <w:rPr>
          <w:rFonts w:hint="eastAsia" w:ascii="仿宋_GB2312" w:hAnsi="仿宋_GB2312" w:eastAsia="仿宋_GB2312" w:cs="仿宋_GB2312"/>
          <w:color w:val="auto"/>
          <w:sz w:val="28"/>
          <w:szCs w:val="28"/>
        </w:rPr>
        <w:t>上角的信息提醒，</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b/>
          <w:bCs/>
          <w:color w:val="auto"/>
          <w:sz w:val="28"/>
          <w:szCs w:val="28"/>
        </w:rPr>
        <w:t>不再单独通知，因供应商未及时关注所造成的一切后果由供应商自行承担：</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"http://www.ccgp-shaanxi.gov.cn/" </w:instrText>
      </w:r>
      <w:r>
        <w:rPr>
          <w:rFonts w:hint="eastAsia" w:ascii="仿宋_GB2312" w:hAnsi="仿宋_GB2312" w:eastAsia="仿宋_GB2312" w:cs="仿宋_GB2312"/>
          <w:color w:val="auto"/>
          <w:sz w:val="28"/>
          <w:szCs w:val="28"/>
        </w:rPr>
        <w:fldChar w:fldCharType="separate"/>
      </w:r>
      <w:r>
        <w:rPr>
          <w:rStyle w:val="30"/>
          <w:rFonts w:hint="eastAsia" w:ascii="仿宋_GB2312" w:hAnsi="仿宋_GB2312" w:eastAsia="仿宋_GB2312" w:cs="仿宋_GB2312"/>
          <w:color w:val="auto"/>
          <w:sz w:val="28"/>
          <w:szCs w:val="28"/>
        </w:rPr>
        <w:t>陕西省政府采购网</w:t>
      </w:r>
      <w:r>
        <w:rPr>
          <w:rStyle w:val="30"/>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（www.ccgp-shaanxi.gov.cn/）】中的〖首页·〉</w:t>
      </w:r>
      <w:r>
        <w:rPr>
          <w:rFonts w:hint="eastAsia" w:ascii="仿宋_GB2312" w:hAnsi="仿宋_GB2312" w:eastAsia="仿宋_GB2312" w:cs="仿宋_GB2312"/>
          <w:color w:val="auto"/>
          <w:sz w:val="28"/>
          <w:szCs w:val="28"/>
          <w:lang w:val="en-US" w:eastAsia="zh-CN"/>
        </w:rPr>
        <w:t>市级</w:t>
      </w:r>
      <w:r>
        <w:rPr>
          <w:rFonts w:hint="eastAsia" w:ascii="仿宋_GB2312" w:hAnsi="仿宋_GB2312" w:eastAsia="仿宋_GB2312" w:cs="仿宋_GB2312"/>
          <w:color w:val="auto"/>
          <w:sz w:val="28"/>
          <w:szCs w:val="28"/>
        </w:rPr>
        <w:t>公告·〉更正公告〗；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kern w:val="0"/>
          <w:sz w:val="28"/>
          <w:szCs w:val="28"/>
        </w:rPr>
        <w:t>（sxggzyjy.hanzhong.gov.cn）</w:t>
      </w:r>
      <w:r>
        <w:rPr>
          <w:rFonts w:hint="eastAsia" w:ascii="仿宋_GB2312" w:hAnsi="仿宋_GB2312" w:eastAsia="仿宋_GB2312" w:cs="仿宋_GB2312"/>
          <w:color w:val="auto"/>
          <w:sz w:val="28"/>
          <w:szCs w:val="28"/>
        </w:rPr>
        <w:t>】中的〖首页·〉交易大厅·〉政府采购·〉</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汉中市政府采购中心</w:t>
      </w:r>
      <w:r>
        <w:rPr>
          <w:rFonts w:hint="eastAsia" w:ascii="仿宋_GB2312" w:hAnsi="仿宋_GB2312" w:eastAsia="仿宋_GB2312" w:cs="仿宋_GB2312"/>
          <w:color w:val="auto"/>
          <w:sz w:val="28"/>
          <w:szCs w:val="28"/>
        </w:rPr>
        <w:t>（hzcg.hanzhong.gov.cn/）】中的〖首页·〉</w:t>
      </w:r>
      <w:r>
        <w:rPr>
          <w:rFonts w:hint="eastAsia" w:ascii="仿宋_GB2312" w:hAnsi="仿宋_GB2312" w:eastAsia="仿宋_GB2312" w:cs="仿宋_GB2312"/>
          <w:color w:val="auto"/>
          <w:sz w:val="28"/>
          <w:szCs w:val="28"/>
          <w:lang w:val="en-US" w:eastAsia="zh-CN"/>
        </w:rPr>
        <w:t>采购公告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更正公告</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09" w:name="_Toc18733_WPSOffice_Level3"/>
      <w:r>
        <w:rPr>
          <w:rFonts w:hint="eastAsia" w:ascii="仿宋_GB2312" w:hAnsi="仿宋_GB2312" w:eastAsia="仿宋_GB2312" w:cs="仿宋_GB2312"/>
          <w:b/>
          <w:color w:val="auto"/>
          <w:sz w:val="28"/>
          <w:szCs w:val="28"/>
        </w:rPr>
        <w:t>（四）磋商文件的解释权归</w:t>
      </w:r>
      <w:r>
        <w:rPr>
          <w:rFonts w:hint="eastAsia" w:ascii="仿宋_GB2312" w:hAnsi="仿宋_GB2312" w:eastAsia="仿宋_GB2312" w:cs="仿宋_GB2312"/>
          <w:b/>
          <w:color w:val="auto"/>
          <w:sz w:val="28"/>
          <w:szCs w:val="28"/>
          <w:lang w:val="en-US" w:eastAsia="zh-CN"/>
        </w:rPr>
        <w:t>集中采购机构</w:t>
      </w:r>
      <w:r>
        <w:rPr>
          <w:rFonts w:hint="eastAsia" w:ascii="仿宋_GB2312" w:hAnsi="仿宋_GB2312" w:eastAsia="仿宋_GB2312" w:cs="仿宋_GB2312"/>
          <w:b/>
          <w:color w:val="auto"/>
          <w:sz w:val="28"/>
          <w:szCs w:val="28"/>
        </w:rPr>
        <w:t>。</w:t>
      </w:r>
      <w:bookmarkEnd w:id="109"/>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0" w:name="_Toc20873_WPSOffice_Level2"/>
      <w:bookmarkStart w:id="111" w:name="_Toc30095"/>
      <w:bookmarkStart w:id="112" w:name="_Toc13064"/>
      <w:bookmarkStart w:id="113" w:name="_Toc3559"/>
      <w:bookmarkStart w:id="114" w:name="_Toc30415"/>
      <w:bookmarkStart w:id="115" w:name="_Toc19768_WPSOffice_Level2"/>
      <w:bookmarkStart w:id="116" w:name="_Toc22501_WPSOffice_Level2"/>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、磋商报价</w:t>
      </w:r>
      <w:bookmarkEnd w:id="110"/>
      <w:bookmarkEnd w:id="111"/>
      <w:bookmarkEnd w:id="112"/>
      <w:bookmarkEnd w:id="113"/>
      <w:bookmarkEnd w:id="114"/>
      <w:bookmarkEnd w:id="115"/>
      <w:bookmarkEnd w:id="11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磋商报价是供应商响应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文件未列明，而供应商认为应当计取的费用均应列入报价中。报价时不论是否计取，采购人均按已计取对待。</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供应商应按照《响应文件构成及格式》中《第一次磋商报价表》中的相关要求填写需要响应的内容。</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磋商报价采取多轮报价的办法，最后报价作为计算价格分值的依据。供应商应在磋商当天，磋商小组规定的报价时间内，使用制作标书的数字认证证书（CA锁）登录全国公共资源交易平台（</w:t>
      </w:r>
      <w:r>
        <w:rPr>
          <w:rFonts w:hint="eastAsia" w:ascii="仿宋_GB2312" w:hAnsi="仿宋_GB2312" w:eastAsia="仿宋_GB2312" w:cs="仿宋_GB2312"/>
          <w:b/>
          <w:bCs/>
          <w:color w:val="auto"/>
          <w:sz w:val="28"/>
          <w:szCs w:val="28"/>
          <w:lang w:val="en-US" w:eastAsia="zh-CN"/>
        </w:rPr>
        <w:t>汉中市</w:t>
      </w:r>
      <w:r>
        <w:rPr>
          <w:rFonts w:hint="eastAsia" w:ascii="仿宋_GB2312" w:hAnsi="仿宋_GB2312" w:eastAsia="仿宋_GB2312" w:cs="仿宋_GB2312"/>
          <w:b/>
          <w:bCs/>
          <w:color w:val="auto"/>
          <w:sz w:val="28"/>
          <w:szCs w:val="28"/>
        </w:rPr>
        <w:t>）网站〖首页·〉电子交易平台·〉企业端〗后，在〖我的项目〗下找到本次磋商的项目，填写最后报价表，签章并提交。</w:t>
      </w:r>
    </w:p>
    <w:p>
      <w:pPr>
        <w:pageBreakBefore w:val="0"/>
        <w:widowControl/>
        <w:numPr>
          <w:ilvl w:val="0"/>
          <w:numId w:val="2"/>
        </w:numPr>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w:t>
      </w:r>
      <w:r>
        <w:rPr>
          <w:rFonts w:hint="eastAsia" w:ascii="仿宋_GB2312" w:hAnsi="仿宋_GB2312" w:eastAsia="仿宋_GB2312" w:cs="仿宋_GB2312"/>
          <w:color w:val="auto"/>
          <w:sz w:val="28"/>
          <w:szCs w:val="28"/>
          <w:lang w:val="zh-CN"/>
        </w:rPr>
        <w:t>磋商</w:t>
      </w:r>
      <w:r>
        <w:rPr>
          <w:rFonts w:hint="eastAsia" w:ascii="仿宋_GB2312" w:hAnsi="仿宋_GB2312" w:eastAsia="仿宋_GB2312" w:cs="仿宋_GB2312"/>
          <w:color w:val="auto"/>
          <w:sz w:val="28"/>
          <w:szCs w:val="28"/>
        </w:rPr>
        <w:t>报价货币：</w:t>
      </w:r>
      <w:r>
        <w:rPr>
          <w:rFonts w:hint="eastAsia" w:ascii="仿宋_GB2312" w:hAnsi="仿宋_GB2312" w:eastAsia="仿宋_GB2312" w:cs="仿宋_GB2312"/>
          <w:b/>
          <w:color w:val="auto"/>
          <w:sz w:val="28"/>
          <w:szCs w:val="28"/>
        </w:rPr>
        <w:t>人民币</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单位：元</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
          <w:color w:val="auto"/>
          <w:sz w:val="28"/>
          <w:szCs w:val="28"/>
        </w:rPr>
        <w:t>保留到元</w:t>
      </w:r>
      <w:r>
        <w:rPr>
          <w:rFonts w:hint="eastAsia" w:ascii="仿宋_GB2312" w:hAnsi="仿宋_GB2312" w:eastAsia="仿宋_GB2312" w:cs="仿宋_GB2312"/>
          <w:bCs/>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（五）磋商报价大小写不一致的以大写为准。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（六）因供应商对磋商文件理解不透、误解、疏漏或对市场行情了解不清造成的后果和风险，均由供应商自己负责。</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17" w:name="_Toc12154"/>
      <w:bookmarkStart w:id="118" w:name="_Toc14959_WPSOffice_Level2"/>
      <w:bookmarkStart w:id="119" w:name="_Toc11009"/>
      <w:bookmarkStart w:id="120" w:name="_Toc20041_WPSOffice_Level2"/>
      <w:bookmarkStart w:id="121" w:name="_Toc29669_WPSOffice_Level2"/>
      <w:bookmarkStart w:id="122" w:name="_Toc14979"/>
      <w:bookmarkStart w:id="123" w:name="_Toc666"/>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、响应文件</w:t>
      </w:r>
      <w:bookmarkEnd w:id="117"/>
      <w:bookmarkEnd w:id="118"/>
      <w:bookmarkEnd w:id="119"/>
      <w:bookmarkEnd w:id="120"/>
      <w:bookmarkEnd w:id="121"/>
      <w:bookmarkEnd w:id="122"/>
      <w:bookmarkEnd w:id="12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（一）响应文件形式</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本项目采用电子响应文件，供应商在</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时须提供电子响应文件。</w:t>
      </w:r>
      <w:bookmarkStart w:id="124" w:name="_Toc18733_WPSOffice_Level2"/>
      <w:bookmarkStart w:id="125" w:name="_Toc30535_WPSOffice_Level2"/>
      <w:bookmarkStart w:id="126" w:name="_Toc7898_WPSOffice_Level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编制电子响应文件时，应使用最新发布的电子磋商文件及专用制作工具进行编制。并使用数字认证证书（CA锁）对电子响应文件进行签署、加密、递交及磋商时解密等相关操作。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1、电子磋商文件下载。供应商登录全国公共资源交易平台（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）网站〖首页·〉电子交易平台·〉企业端〗后，在〖招标公告/出让公告·〉</w:t>
      </w:r>
      <w:r>
        <w:rPr>
          <w:rFonts w:hint="eastAsia" w:ascii="仿宋_GB2312" w:hAnsi="仿宋_GB2312" w:eastAsia="仿宋_GB2312" w:cs="仿宋_GB2312"/>
          <w:color w:val="auto"/>
          <w:sz w:val="28"/>
          <w:szCs w:val="28"/>
          <w:lang w:val="en-US" w:eastAsia="zh-CN"/>
        </w:rPr>
        <w:t>政府采购</w:t>
      </w:r>
      <w:r>
        <w:rPr>
          <w:rFonts w:hint="eastAsia" w:ascii="仿宋_GB2312" w:hAnsi="仿宋_GB2312" w:eastAsia="仿宋_GB2312" w:cs="仿宋_GB2312"/>
          <w:color w:val="auto"/>
          <w:sz w:val="28"/>
          <w:szCs w:val="28"/>
        </w:rPr>
        <w:t>〗模块中选择项目</w:t>
      </w:r>
      <w:r>
        <w:rPr>
          <w:rFonts w:hint="eastAsia" w:ascii="仿宋_GB2312" w:hAnsi="仿宋_GB2312" w:eastAsia="仿宋_GB2312" w:cs="仿宋_GB2312"/>
          <w:bCs/>
          <w:color w:val="auto"/>
          <w:sz w:val="28"/>
          <w:szCs w:val="28"/>
        </w:rPr>
        <w:t>点击“我要投标”，参与投标活动。然后即可</w:t>
      </w:r>
      <w:r>
        <w:rPr>
          <w:rFonts w:hint="eastAsia" w:ascii="仿宋_GB2312" w:hAnsi="仿宋_GB2312" w:eastAsia="仿宋_GB2312" w:cs="仿宋_GB2312"/>
          <w:color w:val="auto"/>
          <w:sz w:val="28"/>
          <w:szCs w:val="28"/>
        </w:rPr>
        <w:t>在〖我的项目〗中点击“项目流程&gt;交易文件下载”下载电子磋商文件（*.SXSZF）。</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注意：该项目如有变更文件，则应点击“项目流程&gt;答疑文件下载”下载更新后的电子磋商文件（*.SXSCF），使用旧版电子磋商文件制作的电子响应文件，系统将拒绝接收。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电子磋商文件需要使用专用软件打开、浏览。供应商可在全国公共资源交易平台（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免费下载“陕西省公共资源交易平台政府采购电子标书制作工具”，并升级至最新版本，使用该客户端可以打开电子磋商文件。软件操作手册详见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）网站〖首页·〉服务指南·〉下载专区〗中的《政府采购</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rPr>
        <w:t>操作手册》。</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sz w:val="28"/>
          <w:szCs w:val="28"/>
          <w:lang w:eastAsia="zh-CN"/>
        </w:rPr>
      </w:pPr>
      <w:bookmarkStart w:id="127" w:name="_Toc9096"/>
      <w:r>
        <w:rPr>
          <w:rFonts w:hint="eastAsia" w:ascii="仿宋_GB2312" w:hAnsi="仿宋_GB2312" w:eastAsia="仿宋_GB2312" w:cs="仿宋_GB2312"/>
          <w:b w:val="0"/>
          <w:bCs w:val="0"/>
          <w:color w:val="auto"/>
          <w:sz w:val="28"/>
          <w:szCs w:val="28"/>
        </w:rPr>
        <w:t>3、制作电子响应文件。电子响应文件同样需要使用上述软件进行编制。在编制过程中，如有技术性问题，请先翻阅操作手册，或致电软件开发商。技术支持热线：4009980000</w:t>
      </w:r>
      <w:bookmarkStart w:id="128" w:name="_Toc18427_WPSOffice_Level3"/>
      <w:bookmarkStart w:id="129" w:name="_Toc11164"/>
      <w:r>
        <w:rPr>
          <w:rFonts w:hint="eastAsia" w:ascii="仿宋_GB2312" w:hAnsi="仿宋_GB2312" w:eastAsia="仿宋_GB2312" w:cs="仿宋_GB2312"/>
          <w:b w:val="0"/>
          <w:bCs w:val="0"/>
          <w:color w:val="auto"/>
          <w:sz w:val="28"/>
          <w:szCs w:val="28"/>
          <w:lang w:eastAsia="zh-CN"/>
        </w:rPr>
        <w:t>。</w:t>
      </w:r>
      <w:bookmarkEnd w:id="127"/>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28"/>
    <w:bookmarkEnd w:id="129"/>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bCs/>
          <w:color w:val="auto"/>
          <w:sz w:val="28"/>
          <w:szCs w:val="28"/>
        </w:rPr>
        <w:t>响应文件有效期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1、响应活动的所有文件、资料、函电文均使用简体中文，确需提交用 其他语言形成的资料，必须翻译成简体中文，如有差异，以简体中文为准。 </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2、响应文件有效期为自响应文件开启之日起 90 个日历日。如成交， 延长至合同执行完毕时止。</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（三）响应文件的提交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电子响应文件可于提交响应文件截止时间前任意时段登录全国公共资源交易平台（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）网站“电子交易平台&gt;企业端”进行提交，逾期系统将拒绝接收。提交时，供应商应登录全国公共资源交易中心平台（</w:t>
      </w: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选择“首页&gt;电子交易平台&gt;企业端&gt;我的项目”，点击“项目流程”，在打开的“项目管理”对话框中选择“上传响应文件”，上传加密的电子响应文件（*.SXSTF）。上传成功后，电子化平台将予以记录。</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30" w:name="_Toc6095"/>
      <w:bookmarkStart w:id="131" w:name="_Toc24468"/>
      <w:bookmarkStart w:id="132" w:name="_Toc15608"/>
      <w:r>
        <w:rPr>
          <w:rFonts w:hint="eastAsia" w:ascii="仿宋_GB2312" w:hAnsi="仿宋_GB2312" w:eastAsia="仿宋_GB2312" w:cs="仿宋_GB2312"/>
          <w:b/>
          <w:color w:val="auto"/>
          <w:sz w:val="28"/>
          <w:szCs w:val="28"/>
        </w:rPr>
        <w:t>（四）响应文件的补充、修改和撤回</w:t>
      </w:r>
      <w:bookmarkEnd w:id="130"/>
      <w:bookmarkEnd w:id="131"/>
      <w:bookmarkEnd w:id="132"/>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1、供应商在递交电子响应文件后，且在提交电子响应文件截止时间前，可以对所提交的电子响应文件进行补充、修改或撤回。</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2、对电子响应文件进行补充、修改的，应先从电子交易平台上撤回旧版，再重新提交新版。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3、电子响应文件提交截止时间后，供应商不得对其电子响应文件做任何修改。</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（五）供应商提交响应文件时，出现下列情况之一的，其响应文件将被拒绝接收：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33" w:name="_Toc6837"/>
      <w:bookmarkStart w:id="134" w:name="_Toc7022"/>
      <w:bookmarkStart w:id="135" w:name="_Toc10744"/>
      <w:bookmarkStart w:id="136" w:name="_Toc595"/>
      <w:bookmarkStart w:id="137" w:name="_Toc28054"/>
      <w:bookmarkStart w:id="138" w:name="_Toc8003"/>
      <w:r>
        <w:rPr>
          <w:rFonts w:hint="eastAsia" w:ascii="仿宋_GB2312" w:hAnsi="仿宋_GB2312" w:eastAsia="仿宋_GB2312" w:cs="仿宋_GB2312"/>
          <w:color w:val="auto"/>
          <w:sz w:val="28"/>
          <w:szCs w:val="28"/>
        </w:rPr>
        <w:t>1、逾期提交电子响应文件的；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2、提交的电子响应文件与本项目不相符的。</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bookmarkStart w:id="139" w:name="_Toc17536"/>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w:t>
      </w:r>
      <w:bookmarkEnd w:id="133"/>
      <w:bookmarkEnd w:id="134"/>
      <w:bookmarkEnd w:id="135"/>
      <w:bookmarkEnd w:id="136"/>
      <w:bookmarkEnd w:id="137"/>
      <w:bookmarkEnd w:id="138"/>
      <w:bookmarkEnd w:id="139"/>
      <w:r>
        <w:rPr>
          <w:rFonts w:hint="eastAsia" w:ascii="仿宋_GB2312" w:hAnsi="仿宋_GB2312" w:eastAsia="仿宋_GB2312" w:cs="仿宋_GB2312"/>
          <w:color w:val="auto"/>
          <w:sz w:val="28"/>
          <w:szCs w:val="28"/>
          <w:lang w:val="en-US" w:eastAsia="zh-CN"/>
        </w:rPr>
        <w:t>响应文件开启</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组织响应文件开启、评审工作，整个过程受政府采购监管机构的监督、管理。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w:t>
      </w:r>
      <w:r>
        <w:rPr>
          <w:rFonts w:hint="eastAsia" w:ascii="仿宋_GB2312" w:hAnsi="仿宋_GB2312" w:eastAsia="仿宋_GB2312" w:cs="仿宋_GB2312"/>
          <w:b/>
          <w:bCs/>
          <w:color w:val="auto"/>
          <w:sz w:val="28"/>
          <w:szCs w:val="28"/>
          <w:lang w:val="en-US" w:eastAsia="zh-CN"/>
        </w:rPr>
        <w:t>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人需安装新点播放器，以便观看远程不见面开标直播画面（播放器下载链接为：http://sxggzyjy.hanzhong.gov.cn/fwzn/004003/20230223/17ebe025-dd9a-4eba-b702-8f1696646f01.html）。</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供应商不足3家的，不得开启响应文件。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（三）响应文件开启时，</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现场工作人员将根据项目</w:t>
      </w:r>
      <w:r>
        <w:rPr>
          <w:rFonts w:hint="eastAsia" w:ascii="仿宋_GB2312" w:hAnsi="仿宋_GB2312" w:eastAsia="仿宋_GB2312" w:cs="仿宋_GB2312"/>
          <w:color w:val="auto"/>
          <w:sz w:val="28"/>
          <w:szCs w:val="28"/>
          <w:lang w:val="en-US" w:eastAsia="zh-CN"/>
        </w:rPr>
        <w:t>响应家</w:t>
      </w:r>
      <w:r>
        <w:rPr>
          <w:rFonts w:hint="eastAsia" w:ascii="仿宋_GB2312" w:hAnsi="仿宋_GB2312" w:eastAsia="仿宋_GB2312" w:cs="仿宋_GB2312"/>
          <w:color w:val="auto"/>
          <w:sz w:val="28"/>
          <w:szCs w:val="28"/>
        </w:rPr>
        <w:t>数约定解密时长，供应商应在规定时间内，须使用电子响应文件加密时所用的数字认证证书（CA锁）自行解密电子响应文件，未在规定时间内解密的，视为无效</w:t>
      </w:r>
      <w:r>
        <w:rPr>
          <w:rFonts w:hint="eastAsia" w:ascii="仿宋_GB2312" w:hAnsi="仿宋_GB2312" w:eastAsia="仿宋_GB2312" w:cs="仿宋_GB2312"/>
          <w:color w:val="auto"/>
          <w:sz w:val="28"/>
          <w:szCs w:val="28"/>
          <w:lang w:val="en-US" w:eastAsia="zh-CN"/>
        </w:rPr>
        <w:t>响应</w:t>
      </w:r>
      <w:r>
        <w:rPr>
          <w:rFonts w:hint="eastAsia" w:ascii="仿宋_GB2312" w:hAnsi="仿宋_GB2312" w:eastAsia="仿宋_GB2312" w:cs="仿宋_GB2312"/>
          <w:color w:val="auto"/>
          <w:sz w:val="28"/>
          <w:szCs w:val="28"/>
        </w:rPr>
        <w:t>。</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（四）</w:t>
      </w:r>
      <w:r>
        <w:rPr>
          <w:rFonts w:hint="eastAsia" w:ascii="仿宋_GB2312" w:hAnsi="仿宋_GB2312" w:eastAsia="仿宋_GB2312" w:cs="仿宋_GB2312"/>
          <w:color w:val="auto"/>
          <w:sz w:val="28"/>
          <w:szCs w:val="28"/>
          <w:lang w:val="en-US" w:eastAsia="zh-CN"/>
        </w:rPr>
        <w:t>响应人</w:t>
      </w:r>
      <w:r>
        <w:rPr>
          <w:rFonts w:hint="eastAsia" w:ascii="仿宋_GB2312" w:hAnsi="仿宋_GB2312" w:eastAsia="仿宋_GB2312" w:cs="仿宋_GB2312"/>
          <w:color w:val="auto"/>
          <w:sz w:val="28"/>
          <w:szCs w:val="28"/>
        </w:rPr>
        <w:t>对响应文件开启过程和记录有疑义，以及认为采购人、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相关工作人员有需要回避情形的，应在</w:t>
      </w:r>
      <w:r>
        <w:rPr>
          <w:rFonts w:hint="eastAsia" w:ascii="仿宋_GB2312" w:hAnsi="仿宋_GB2312" w:eastAsia="仿宋_GB2312" w:cs="仿宋_GB2312"/>
          <w:color w:val="auto"/>
          <w:sz w:val="28"/>
          <w:szCs w:val="28"/>
          <w:lang w:val="en-US" w:eastAsia="zh-CN"/>
        </w:rPr>
        <w:t>不见面开标大厅</w:t>
      </w:r>
      <w:r>
        <w:rPr>
          <w:rFonts w:hint="eastAsia" w:ascii="仿宋_GB2312" w:hAnsi="仿宋_GB2312" w:eastAsia="仿宋_GB2312" w:cs="仿宋_GB2312"/>
          <w:color w:val="auto"/>
          <w:sz w:val="28"/>
          <w:szCs w:val="28"/>
        </w:rPr>
        <w:t>提出询问或回避申请，采购人、</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应当及时处理。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（五）响应供应商未参加响应文件开启的，视同认可</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结果。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（六）在响应文件开启出现下列情况之一的，其响应文件视为无效文件：</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1、供应商拒绝对电子响应文件进行解密的；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2、因供应商自身原因（如迟到、或所</w:t>
      </w:r>
      <w:r>
        <w:rPr>
          <w:rFonts w:hint="eastAsia" w:ascii="仿宋_GB2312" w:hAnsi="仿宋_GB2312" w:eastAsia="仿宋_GB2312" w:cs="仿宋_GB2312"/>
          <w:color w:val="auto"/>
          <w:sz w:val="28"/>
          <w:szCs w:val="28"/>
          <w:lang w:val="en-US" w:eastAsia="zh-CN"/>
        </w:rPr>
        <w:t>用</w:t>
      </w:r>
      <w:r>
        <w:rPr>
          <w:rFonts w:hint="eastAsia" w:ascii="仿宋_GB2312" w:hAnsi="仿宋_GB2312" w:eastAsia="仿宋_GB2312" w:cs="仿宋_GB2312"/>
          <w:color w:val="auto"/>
          <w:sz w:val="28"/>
          <w:szCs w:val="28"/>
        </w:rPr>
        <w:t>CA锁与制作电子响应文件使用的CA锁不一致、或沿用旧版磋商文件编制响应文件等情形），导致在规定时间内无法解密响应文件的；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3、上传的电子响应文件无法打开的；</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4、政府采购法律法规规定的其他无效情形。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）特殊情形下的应急处置</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在响应文件开启、评审过程中，如因停电、断网、电子化系统故障等特殊原因导致电子化开、评审工作无法正常进行时，将视文件解密情况特殊处理。</w:t>
      </w:r>
    </w:p>
    <w:p>
      <w:pPr>
        <w:pStyle w:val="8"/>
        <w:pageBreakBefore w:val="0"/>
        <w:widowControl/>
        <w:kinsoku/>
        <w:overflowPunct/>
        <w:topLinePunct w:val="0"/>
        <w:autoSpaceDE/>
        <w:autoSpaceDN/>
        <w:bidi w:val="0"/>
        <w:adjustRightInd/>
        <w:snapToGrid/>
        <w:spacing w:after="0"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1、响应文件开启时文件未解密的，将另行确定时间继续完成</w:t>
      </w:r>
      <w:r>
        <w:rPr>
          <w:rFonts w:hint="eastAsia" w:ascii="仿宋_GB2312" w:hAnsi="仿宋_GB2312" w:eastAsia="仿宋_GB2312" w:cs="仿宋_GB2312"/>
          <w:color w:val="auto"/>
          <w:sz w:val="28"/>
          <w:szCs w:val="28"/>
          <w:lang w:val="en-US" w:eastAsia="zh-CN"/>
        </w:rPr>
        <w:t>开启</w:t>
      </w:r>
      <w:r>
        <w:rPr>
          <w:rFonts w:hint="eastAsia" w:ascii="仿宋_GB2312" w:hAnsi="仿宋_GB2312" w:eastAsia="仿宋_GB2312" w:cs="仿宋_GB2312"/>
          <w:color w:val="auto"/>
          <w:sz w:val="28"/>
          <w:szCs w:val="28"/>
        </w:rPr>
        <w:t>程序；</w:t>
      </w:r>
    </w:p>
    <w:p>
      <w:pPr>
        <w:pageBreakBefore w:val="0"/>
        <w:widowControl/>
        <w:kinsoku/>
        <w:overflowPunct/>
        <w:topLinePunct w:val="0"/>
        <w:autoSpaceDE/>
        <w:autoSpaceDN/>
        <w:bidi w:val="0"/>
        <w:adjustRightInd/>
        <w:snapToGrid/>
        <w:spacing w:line="560" w:lineRule="exact"/>
        <w:ind w:firstLine="56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2、文件已解密但评审结论未形成的，将发布</w:t>
      </w:r>
      <w:r>
        <w:rPr>
          <w:rFonts w:hint="eastAsia" w:ascii="仿宋_GB2312" w:hAnsi="仿宋_GB2312" w:eastAsia="仿宋_GB2312" w:cs="仿宋_GB2312"/>
          <w:color w:val="auto"/>
          <w:sz w:val="28"/>
          <w:szCs w:val="28"/>
          <w:lang w:val="en-US" w:eastAsia="zh-CN"/>
        </w:rPr>
        <w:t>终止</w:t>
      </w:r>
      <w:r>
        <w:rPr>
          <w:rFonts w:hint="eastAsia" w:ascii="仿宋_GB2312" w:hAnsi="仿宋_GB2312" w:eastAsia="仿宋_GB2312" w:cs="仿宋_GB2312"/>
          <w:color w:val="auto"/>
          <w:sz w:val="28"/>
          <w:szCs w:val="28"/>
        </w:rPr>
        <w:t>公告，重新组织采购活动；</w:t>
      </w:r>
    </w:p>
    <w:p>
      <w:pPr>
        <w:pStyle w:val="8"/>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3、文件已解密且评审结论已形成的，待特殊情况排除后，继续完成评审活动。</w:t>
      </w:r>
      <w:bookmarkStart w:id="140" w:name="_Toc31720"/>
      <w:bookmarkStart w:id="141" w:name="_Toc8460"/>
      <w:bookmarkStart w:id="142" w:name="_Toc8349"/>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43" w:name="_Toc31905"/>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、组织评审</w:t>
      </w:r>
      <w:bookmarkEnd w:id="124"/>
      <w:bookmarkEnd w:id="125"/>
      <w:bookmarkEnd w:id="126"/>
      <w:bookmarkEnd w:id="140"/>
      <w:bookmarkEnd w:id="141"/>
      <w:bookmarkEnd w:id="142"/>
      <w:bookmarkEnd w:id="143"/>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bookmarkStart w:id="144" w:name="_Toc3816_WPSOffice_Level3"/>
      <w:r>
        <w:rPr>
          <w:rFonts w:hint="eastAsia" w:ascii="仿宋_GB2312" w:hAnsi="仿宋_GB2312" w:eastAsia="仿宋_GB2312" w:cs="仿宋_GB2312"/>
          <w:b/>
          <w:bCs/>
          <w:color w:val="auto"/>
          <w:sz w:val="28"/>
          <w:szCs w:val="28"/>
          <w:shd w:val="clear" w:color="auto" w:fill="FFFFFF"/>
        </w:rPr>
        <w:t>（一）</w:t>
      </w:r>
      <w:bookmarkEnd w:id="144"/>
      <w:r>
        <w:rPr>
          <w:rFonts w:hint="eastAsia" w:ascii="仿宋_GB2312" w:hAnsi="仿宋_GB2312" w:eastAsia="仿宋_GB2312" w:cs="仿宋_GB2312"/>
          <w:b/>
          <w:bCs/>
          <w:color w:val="auto"/>
          <w:sz w:val="28"/>
          <w:szCs w:val="28"/>
        </w:rPr>
        <w:t>成立磋商小组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1、为了确保磋商工作的公平、公正，依据政府采购法和政府采购相关法规、规章，成立磋商小组，磋商小组由采购人代表和评审专家共3人以上单数组成，其中评审专家人数不少于磋商小组成员总数的三分之二。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评审专家对本单位的采购项目只能作为采购人代表参与评审。采购代理机构工作人员不得参加由本机构代理的政府采购项目的评审。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磋商小组成员名单在评审结果公告前应当保密。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3、评审中因磋商小组成员缺席、回避或者健康等特殊原因导致磋商小组组成不符合规定的，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应当依法补足后继续评审。被更换的磋商小组成员所做出的评审意见无效。无法及时补足磋商小组成员的，</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应当停止评审活动，封存所有响应文件和开标、评审资料，依法重新组建磋商小组进行评审。原磋商小组所做出的评审意见无效。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应当将变更、重新组建磋商小组的情况予以记录，并随采购文件一并存档。</w:t>
      </w:r>
    </w:p>
    <w:p>
      <w:pPr>
        <w:pStyle w:val="17"/>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5" w:name="_Toc3147_WPSOffice_Level3"/>
      <w:r>
        <w:rPr>
          <w:rFonts w:hint="eastAsia" w:ascii="仿宋_GB2312" w:hAnsi="仿宋_GB2312" w:eastAsia="仿宋_GB2312" w:cs="仿宋_GB2312"/>
          <w:b/>
          <w:bCs/>
          <w:color w:val="auto"/>
          <w:sz w:val="28"/>
          <w:szCs w:val="28"/>
          <w:shd w:val="clear" w:color="auto" w:fill="FFFFFF"/>
        </w:rPr>
        <w:t>（二）磋商小组负责具体评审事务，并独立履行下列职责：</w:t>
      </w:r>
      <w:bookmarkEnd w:id="145"/>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1、遵守评审工作纪律，不得泄露评审情况和评审中获悉的商业秘密；</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2、按照客观、公正、审慎的原则，根据磋商文件规定的评审程序、评审方法和评审标准进行独立评审；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3、要求供应商对响应文件有关事项做出澄清或者说明；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4、与供应商分别进行磋商；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5、对响应文件进行比较和评价；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6、确定成交候选人名单，以及根据采购人委托直接确定成交供应商；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val="en-US" w:eastAsia="zh-CN"/>
        </w:rPr>
        <w:t xml:space="preserve">7、配合答复供应商的询问、质疑和投诉等事项，不得泄露评审文件、评审情况和在评审过程中获悉的商业秘密； </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val="en-US" w:eastAsia="zh-CN"/>
        </w:rPr>
        <w:t xml:space="preserve">8、向采购人、集中采购机构或者有关部门报告评审中发现的违法行为。 </w:t>
      </w:r>
    </w:p>
    <w:p>
      <w:pPr>
        <w:pStyle w:val="17"/>
        <w:pageBreakBefore w:val="0"/>
        <w:widowControl/>
        <w:kinsoku/>
        <w:overflowPunct/>
        <w:topLinePunct w:val="0"/>
        <w:autoSpaceDE/>
        <w:autoSpaceDN/>
        <w:bidi w:val="0"/>
        <w:adjustRightInd/>
        <w:snapToGrid/>
        <w:spacing w:beforeAutospacing="0" w:afterAutospacing="0" w:line="560" w:lineRule="exact"/>
        <w:ind w:firstLine="420"/>
        <w:textAlignment w:val="auto"/>
        <w:rPr>
          <w:rFonts w:hint="eastAsia" w:ascii="仿宋_GB2312" w:hAnsi="仿宋_GB2312" w:eastAsia="仿宋_GB2312" w:cs="仿宋_GB2312"/>
          <w:b/>
          <w:bCs/>
          <w:color w:val="auto"/>
          <w:sz w:val="28"/>
          <w:szCs w:val="28"/>
        </w:rPr>
      </w:pPr>
      <w:bookmarkStart w:id="146" w:name="_Toc8872_WPSOffice_Level3"/>
      <w:r>
        <w:rPr>
          <w:rFonts w:hint="eastAsia" w:ascii="仿宋_GB2312" w:hAnsi="仿宋_GB2312" w:eastAsia="仿宋_GB2312" w:cs="仿宋_GB2312"/>
          <w:b/>
          <w:bCs/>
          <w:color w:val="auto"/>
          <w:sz w:val="28"/>
          <w:szCs w:val="28"/>
        </w:rPr>
        <w:t>（三）</w:t>
      </w:r>
      <w:r>
        <w:rPr>
          <w:rFonts w:hint="eastAsia" w:ascii="仿宋_GB2312" w:hAnsi="仿宋_GB2312" w:eastAsia="仿宋_GB2312" w:cs="仿宋_GB2312"/>
          <w:b/>
          <w:bCs/>
          <w:color w:val="auto"/>
          <w:sz w:val="28"/>
          <w:szCs w:val="28"/>
          <w:shd w:val="clear" w:color="auto" w:fill="FFFFFF"/>
        </w:rPr>
        <w:t>集中采购机构负责组织评审工作，并履行下列职责：</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1、核对评审专家身份和采购人代表授权函，对评审专家在政府采购活动中的职责履行情况予以记录，并及时将有关违法违规行为向财政部门报告;</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2、宣布评审纪律;</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3、公布</w:t>
      </w:r>
      <w:r>
        <w:rPr>
          <w:rFonts w:hint="eastAsia" w:ascii="仿宋_GB2312" w:hAnsi="仿宋_GB2312" w:eastAsia="仿宋_GB2312" w:cs="仿宋_GB2312"/>
          <w:color w:val="auto"/>
          <w:sz w:val="28"/>
          <w:szCs w:val="28"/>
          <w:shd w:val="clear" w:color="auto" w:fill="FFFFFF"/>
          <w:lang w:val="en-US" w:eastAsia="zh-CN"/>
        </w:rPr>
        <w:t>供应商</w:t>
      </w:r>
      <w:r>
        <w:rPr>
          <w:rFonts w:hint="eastAsia" w:ascii="仿宋_GB2312" w:hAnsi="仿宋_GB2312" w:eastAsia="仿宋_GB2312" w:cs="仿宋_GB2312"/>
          <w:color w:val="auto"/>
          <w:sz w:val="28"/>
          <w:szCs w:val="28"/>
          <w:shd w:val="clear" w:color="auto" w:fill="FFFFFF"/>
        </w:rPr>
        <w:t>名单，告知评审专家应当回避的情形;</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4、组织磋商小组推选评审组长，采购人代表不得担任组长;</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5、在评审期间采取必要的通讯管理措施，保证评审活动不受外界干扰;</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6、根据磋商小组的要求介绍政府采购相关政策法规、磋商文件;</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7、维护评审秩序，监督磋商小组依照磋商文件规定的评审程序、方法和标准进行独立评审，及时制止和纠正采购人代表、评审专家的倾向性言论或者违法违规行为;</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8、核对评审结果;</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9、评审工作完成后，按照规定向评审专家支付劳务报酬和异地评审差旅费，不得向评审专家以外的其他人员支付评审劳务报酬;</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10、处理与评审有关的其他事项。</w:t>
      </w:r>
    </w:p>
    <w:p>
      <w:pPr>
        <w:pStyle w:val="17"/>
        <w:pageBreakBefore w:val="0"/>
        <w:widowControl/>
        <w:kinsoku/>
        <w:overflowPunct/>
        <w:topLinePunct w:val="0"/>
        <w:autoSpaceDE/>
        <w:autoSpaceDN/>
        <w:bidi w:val="0"/>
        <w:adjustRightInd/>
        <w:snapToGrid/>
        <w:spacing w:beforeAutospacing="0" w:afterAutospacing="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6"/>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bookmarkStart w:id="147" w:name="_Toc4079_WPSOffice_Level3"/>
      <w:r>
        <w:rPr>
          <w:rFonts w:hint="eastAsia" w:ascii="仿宋_GB2312" w:hAnsi="仿宋_GB2312" w:eastAsia="仿宋_GB2312" w:cs="仿宋_GB2312"/>
          <w:b/>
          <w:color w:val="auto"/>
          <w:sz w:val="28"/>
          <w:szCs w:val="28"/>
        </w:rPr>
        <w:t>（四）评审方法：综合评分法</w:t>
      </w:r>
      <w:bookmarkEnd w:id="14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综合评分法，是指响应文件满足磋商文件全部实质性要求且按评审因 素的量化指标评审得分最高的供应商为成交候选供应商的评审方法。</w:t>
      </w:r>
    </w:p>
    <w:p>
      <w:pPr>
        <w:pageBreakBefore w:val="0"/>
        <w:widowControl/>
        <w:kinsoku/>
        <w:overflowPunct/>
        <w:topLinePunct w:val="0"/>
        <w:autoSpaceDE/>
        <w:autoSpaceDN/>
        <w:bidi w:val="0"/>
        <w:adjustRightInd/>
        <w:snapToGrid/>
        <w:spacing w:line="560" w:lineRule="exact"/>
        <w:ind w:left="567"/>
        <w:textAlignment w:val="auto"/>
        <w:rPr>
          <w:rFonts w:hint="eastAsia" w:ascii="仿宋_GB2312" w:hAnsi="仿宋_GB2312" w:eastAsia="仿宋_GB2312" w:cs="仿宋_GB2312"/>
          <w:color w:val="auto"/>
          <w:sz w:val="28"/>
          <w:szCs w:val="28"/>
        </w:rPr>
      </w:pPr>
      <w:bookmarkStart w:id="148" w:name="_Toc25396_WPSOffice_Level3"/>
      <w:r>
        <w:rPr>
          <w:rFonts w:hint="eastAsia" w:ascii="仿宋_GB2312" w:hAnsi="仿宋_GB2312" w:eastAsia="仿宋_GB2312" w:cs="仿宋_GB2312"/>
          <w:b/>
          <w:color w:val="auto"/>
          <w:sz w:val="28"/>
          <w:szCs w:val="28"/>
        </w:rPr>
        <w:t>（五）评审程序</w:t>
      </w:r>
      <w:bookmarkEnd w:id="148"/>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分步评审，每一步评审不符合磋商文件要求者，不得进入下一步评审，全部评审合格的供应商，进入最后的打分，最后按得分由高向低排序，推荐成交候选供应商。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1、资格性审查</w:t>
      </w:r>
    </w:p>
    <w:p>
      <w:pPr>
        <w:pageBreakBefore w:val="0"/>
        <w:widowControl/>
        <w:kinsoku/>
        <w:overflowPunct/>
        <w:topLinePunct w:val="0"/>
        <w:autoSpaceDE/>
        <w:autoSpaceDN/>
        <w:bidi w:val="0"/>
        <w:adjustRightInd/>
        <w:snapToGrid/>
        <w:spacing w:after="190" w:afterLines="50"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响应文件开启</w:t>
      </w:r>
      <w:r>
        <w:rPr>
          <w:rFonts w:hint="eastAsia" w:ascii="仿宋_GB2312" w:hAnsi="仿宋_GB2312" w:eastAsia="仿宋_GB2312" w:cs="仿宋_GB2312"/>
          <w:color w:val="auto"/>
          <w:sz w:val="28"/>
          <w:szCs w:val="28"/>
        </w:rPr>
        <w:t>结束后，磋商小组依据法律法规和磋商文件的规定，对响应文件中的供应商资格证明文件进行审查，以确定供应商是否具备磋商资格。</w:t>
      </w:r>
    </w:p>
    <w:p>
      <w:pPr>
        <w:spacing w:line="360"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资格审查表</w:t>
      </w:r>
    </w:p>
    <w:tbl>
      <w:tblPr>
        <w:tblStyle w:val="20"/>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资格审查项</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通过条件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结论</w:t>
            </w: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营业执照等主体资格证明文件</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提供有效存续的企业营业执照（副本）/事业单位法人证书/专业服务机构执业许可证/民办非企业单位登记证书。</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财务状况报告</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sz w:val="28"/>
                <w:szCs w:val="28"/>
              </w:rPr>
              <w:t>提供202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年度或202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社保缴纳证明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提供递交响应文件截止之日前一年内任意一个月的社会保障资金缴存单据或社保机构开具的社会保险参保缴费情况证明。依法不需要缴纳社会保障资金的供应商应提供相关证明文件。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税收缴纳证明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递交响应文件截止之日前一年内任意一个月的依法缴纳税收的相关凭据（时间以税款所属日期为准、税种须同时包含增值税和企业所得税），凭据应有税务机关或代收机关的公章或业务专用章。依法免税或无须缴纳税收的供应商，应提供相应证明文件。</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lang w:eastAsia="zh-CN"/>
              </w:rPr>
            </w:pPr>
            <w:r>
              <w:rPr>
                <w:rFonts w:hint="eastAsia" w:ascii="仿宋_GB2312" w:hAnsi="仿宋_GB2312" w:eastAsia="仿宋_GB2312" w:cs="仿宋_GB2312"/>
                <w:color w:val="auto"/>
                <w:kern w:val="28"/>
                <w:sz w:val="28"/>
                <w:szCs w:val="28"/>
                <w:lang w:val="en-US" w:eastAsia="zh-CN"/>
              </w:rPr>
              <w:t>书面声明</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提供《近三年内在经营活动中无重大违法记录声明》。（按第五章格式填写）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法定代表人授权委托书</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rPr>
            </w:pPr>
            <w:r>
              <w:rPr>
                <w:rFonts w:hint="eastAsia" w:ascii="仿宋_GB2312" w:hAnsi="仿宋_GB2312" w:eastAsia="仿宋_GB2312" w:cs="仿宋_GB2312"/>
                <w:color w:val="auto"/>
                <w:kern w:val="28"/>
                <w:sz w:val="28"/>
                <w:szCs w:val="28"/>
              </w:rPr>
              <w:t>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5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7</w:t>
            </w:r>
          </w:p>
        </w:tc>
        <w:tc>
          <w:tcPr>
            <w:tcW w:w="1640"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28"/>
                <w:sz w:val="28"/>
                <w:szCs w:val="28"/>
                <w:highlight w:val="none"/>
              </w:rPr>
            </w:pPr>
            <w:r>
              <w:rPr>
                <w:rFonts w:hint="eastAsia" w:ascii="仿宋_GB2312" w:hAnsi="仿宋_GB2312" w:eastAsia="仿宋_GB2312" w:cs="仿宋_GB2312"/>
                <w:color w:val="auto"/>
                <w:kern w:val="28"/>
                <w:sz w:val="28"/>
                <w:szCs w:val="28"/>
                <w:highlight w:val="none"/>
              </w:rPr>
              <w:t>落实政府采购政策需满足的资格要求</w:t>
            </w:r>
          </w:p>
        </w:tc>
        <w:tc>
          <w:tcPr>
            <w:tcW w:w="505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本项目专门面向中小企业采购，供应商应为中小微企业，磋商时须提供《中小企业声明函》（按第五章格式填写）。本项目采购标的对应的中小企业划分标准所属行业为：</w:t>
            </w:r>
            <w:r>
              <w:rPr>
                <w:rFonts w:hint="eastAsia" w:ascii="仿宋_GB2312" w:hAnsi="仿宋_GB2312" w:eastAsia="仿宋_GB2312" w:cs="仿宋_GB2312"/>
                <w:color w:val="auto"/>
                <w:sz w:val="28"/>
                <w:szCs w:val="28"/>
                <w:highlight w:val="none"/>
                <w:lang w:val="en-US" w:eastAsia="zh-CN"/>
              </w:rPr>
              <w:t>租赁和商务服务业</w:t>
            </w:r>
            <w:r>
              <w:rPr>
                <w:rFonts w:hint="eastAsia" w:ascii="仿宋_GB2312" w:hAnsi="仿宋_GB2312" w:eastAsia="仿宋_GB2312" w:cs="仿宋_GB2312"/>
                <w:color w:val="auto"/>
                <w:sz w:val="28"/>
                <w:szCs w:val="28"/>
                <w:highlight w:val="none"/>
              </w:rPr>
              <w:t>。</w:t>
            </w:r>
          </w:p>
        </w:tc>
        <w:tc>
          <w:tcPr>
            <w:tcW w:w="791"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c>
          <w:tcPr>
            <w:tcW w:w="1105" w:type="dxa"/>
            <w:vAlign w:val="center"/>
          </w:tcPr>
          <w:p>
            <w:pPr>
              <w:keepNext w:val="0"/>
              <w:keepLines w:val="0"/>
              <w:pageBreakBefore w:val="0"/>
              <w:widowControl/>
              <w:kinsoku/>
              <w:wordWrap/>
              <w:overflowPunct/>
              <w:topLinePunct w:val="0"/>
              <w:autoSpaceDE/>
              <w:autoSpaceDN/>
              <w:bidi w:val="0"/>
              <w:adjustRightInd/>
              <w:snapToGrid/>
              <w:spacing w:before="40" w:after="40" w:line="400" w:lineRule="exact"/>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rPr>
          <w:rFonts w:ascii="Calibri" w:hAnsi="Calibri"/>
          <w:b/>
          <w:bCs/>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出现下列情形的，响应文件将被视为无效：</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（1）不具备磋商文件中规定的资格要求的；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（2）未按磋商文件要求提供资格证明文件原件，或未按磋商文件要求加盖公章的；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（3）磋商小组认为供应商的资格证明文件存在疑点，要求供应商现场提供原件，供应商不能在规定时限内提供原件或其所提供的原件无法证实响应文件所附证明文件有效性的。</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资格审查结束后，磋商小组成员应当对审查结果进行签字确认，并告知无效投标供应商资格审查未通过的原因。</w:t>
      </w:r>
    </w:p>
    <w:p>
      <w:pPr>
        <w:pStyle w:val="8"/>
        <w:keepNext w:val="0"/>
        <w:keepLines w:val="0"/>
        <w:pageBreakBefore w:val="0"/>
        <w:kinsoku/>
        <w:wordWrap/>
        <w:overflowPunct/>
        <w:topLinePunct w:val="0"/>
        <w:autoSpaceDE/>
        <w:autoSpaceDN/>
        <w:bidi w:val="0"/>
        <w:adjustRightInd/>
        <w:spacing w:after="0"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通过资格审查的供应商不足3家的，不得进行符合性审查。</w:t>
      </w:r>
    </w:p>
    <w:p>
      <w:pPr>
        <w:pStyle w:val="13"/>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8"/>
          <w:szCs w:val="28"/>
        </w:rPr>
      </w:pP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2、响应文件的符合性审查</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磋商小组依据磋商文件的规定，对响应文件的有效性、完整性和对磋商文件的响应程度进行审查，以确定是否对磋商文件的全部实质性要求做出响应。</w:t>
      </w:r>
    </w:p>
    <w:p>
      <w:pPr>
        <w:keepNext w:val="0"/>
        <w:keepLines w:val="0"/>
        <w:pageBreakBefore w:val="0"/>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pPr>
        <w:spacing w:line="500" w:lineRule="exact"/>
        <w:ind w:firstLine="566"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响应文件的符合性审查</w:t>
      </w:r>
    </w:p>
    <w:tbl>
      <w:tblPr>
        <w:tblStyle w:val="2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33"/>
        <w:gridCol w:w="4173"/>
        <w:gridCol w:w="80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53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符合性审查项</w:t>
            </w:r>
          </w:p>
        </w:tc>
        <w:tc>
          <w:tcPr>
            <w:tcW w:w="4173"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通过条件</w:t>
            </w:r>
          </w:p>
        </w:tc>
        <w:tc>
          <w:tcPr>
            <w:tcW w:w="807"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结论</w:t>
            </w:r>
          </w:p>
        </w:tc>
        <w:tc>
          <w:tcPr>
            <w:tcW w:w="1440" w:type="dxa"/>
            <w:shd w:val="clear" w:color="auto" w:fill="D9D9D9"/>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响应文件语言及有效期</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响应文件语言</w:t>
            </w:r>
            <w:r>
              <w:rPr>
                <w:rFonts w:hint="eastAsia" w:ascii="仿宋_GB2312" w:hAnsi="仿宋_GB2312" w:eastAsia="仿宋_GB2312" w:cs="仿宋_GB2312"/>
                <w:bCs/>
                <w:color w:val="auto"/>
                <w:kern w:val="0"/>
                <w:sz w:val="28"/>
                <w:szCs w:val="28"/>
              </w:rPr>
              <w:t>及有效期</w:t>
            </w:r>
            <w:r>
              <w:rPr>
                <w:rFonts w:hint="eastAsia" w:ascii="仿宋_GB2312" w:hAnsi="仿宋_GB2312" w:eastAsia="仿宋_GB2312" w:cs="仿宋_GB2312"/>
                <w:color w:val="auto"/>
                <w:sz w:val="28"/>
                <w:szCs w:val="28"/>
              </w:rPr>
              <w:t>符合磋商文件要求。</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响应文件封面、响应 函、法定代表人授权 委托书三处的项目名 称、项目编号、标段 （如有）</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三处均无遗漏，且与所投项目名称、 项目编号、标段（如有）一致。</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3</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响应文件签署、盖章</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均按磋商文件要求签字、盖章（评分标准中要求提供的证明材料除外）。</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4</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第一次磋商报价表</w:t>
            </w:r>
          </w:p>
        </w:tc>
        <w:tc>
          <w:tcPr>
            <w:tcW w:w="4173" w:type="dxa"/>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（1）第一次磋商报价表填写符合要求；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（2）计量单位、报价货币均符合磋商文件要求；</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（3）第一次磋商报价未超出采购预算或磋商文件规定的最高限价。</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响应文件完整性</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响应文件按照磋商文件要求编制，三部分内容齐全，无重大缺漏项。</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6</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技术服务要求</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完全理解并接受对合格供应商、合格的货物、工程或服务要求，根据响应文件中《技术服务偏差表》第三章“★”标识的实质性要求没有负偏离。</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7</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合同草案响应</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有完全理解并接受磋商文件合同草案 条款要求的描述。</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8</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供应商承诺书</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完全理解并填写《拒绝政府采购领域商业贿赂承诺书》。</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9</w:t>
            </w:r>
          </w:p>
        </w:tc>
        <w:tc>
          <w:tcPr>
            <w:tcW w:w="25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无其他磋商文件或法规明确规定响应无效的事项</w:t>
            </w:r>
          </w:p>
        </w:tc>
        <w:tc>
          <w:tcPr>
            <w:tcW w:w="417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没有不符合磋商文件规定的被视为无效响应的其他条款。</w:t>
            </w:r>
          </w:p>
        </w:tc>
        <w:tc>
          <w:tcPr>
            <w:tcW w:w="8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c>
          <w:tcPr>
            <w:tcW w:w="144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磋商小组成员：（签字或盖章）</w:t>
            </w:r>
          </w:p>
        </w:tc>
      </w:tr>
    </w:tbl>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3、响应文件的澄清</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（1）磋商小组在对响应文件的有效性、完整性和响应程度进行审查时，可以要求供应商对响应文件中含义不明确、同类问题表述不一致或者有明显文字和计算错误的内容等做出必要的澄清、说明或者更正。</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（2）依照《中华人民共和国民法典》中的过失责任原则，澄清、说明 或更正前磋商小组将按最不利于参与本次磋商供应商的原则对响应文件做 出评判。</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w:t>
      </w:r>
      <w:r>
        <w:rPr>
          <w:rFonts w:hint="eastAsia" w:ascii="仿宋_GB2312" w:hAnsi="仿宋_GB2312" w:eastAsia="仿宋_GB2312" w:cs="仿宋_GB2312"/>
          <w:color w:val="auto"/>
          <w:sz w:val="28"/>
          <w:szCs w:val="28"/>
          <w:lang w:val="en-US" w:eastAsia="zh-CN"/>
        </w:rPr>
        <w:t>通过电子邮件提交的</w:t>
      </w:r>
      <w:r>
        <w:rPr>
          <w:rFonts w:hint="eastAsia" w:ascii="仿宋_GB2312" w:hAnsi="仿宋_GB2312" w:eastAsia="仿宋_GB2312" w:cs="仿宋_GB2312"/>
          <w:color w:val="auto"/>
          <w:sz w:val="28"/>
          <w:szCs w:val="28"/>
        </w:rPr>
        <w:t>澄清、说明或者更正应当由法定代表人或其授权代表签字或者加盖公章。</w:t>
      </w:r>
    </w:p>
    <w:p>
      <w:pPr>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（4）供应商的澄清、说明或者更正不得超出响应文件的范围或者改变响应文件的实质性内容。澄清、说明或者更正的内容将作为</w:t>
      </w:r>
      <w:r>
        <w:rPr>
          <w:rFonts w:hint="eastAsia" w:ascii="仿宋_GB2312" w:hAnsi="仿宋_GB2312" w:eastAsia="仿宋_GB2312" w:cs="仿宋_GB2312"/>
          <w:color w:val="auto"/>
          <w:kern w:val="0"/>
          <w:sz w:val="28"/>
          <w:szCs w:val="28"/>
        </w:rPr>
        <w:t>合同</w:t>
      </w:r>
      <w:r>
        <w:rPr>
          <w:rFonts w:hint="eastAsia" w:ascii="仿宋_GB2312" w:hAnsi="仿宋_GB2312" w:eastAsia="仿宋_GB2312" w:cs="仿宋_GB2312"/>
          <w:color w:val="auto"/>
          <w:sz w:val="28"/>
          <w:szCs w:val="28"/>
        </w:rPr>
        <w:t>履行的重要依据。</w:t>
      </w:r>
    </w:p>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除采用竞争性磋商方式采购的政府购买服务项目、市场竞争不充分的 科研项目以及需要扶持的科技成果转化项目外，通过符合性审查的供应商 不足3家的，不得进行后续磋商活动，应予以</w:t>
      </w:r>
      <w:r>
        <w:rPr>
          <w:rFonts w:hint="eastAsia" w:ascii="仿宋_GB2312" w:hAnsi="仿宋_GB2312" w:eastAsia="仿宋_GB2312" w:cs="仿宋_GB2312"/>
          <w:b/>
          <w:bCs/>
          <w:color w:val="auto"/>
          <w:sz w:val="28"/>
          <w:szCs w:val="28"/>
          <w:lang w:val="en-US" w:eastAsia="zh-CN"/>
        </w:rPr>
        <w:t>终止</w:t>
      </w:r>
      <w:r>
        <w:rPr>
          <w:rFonts w:hint="eastAsia" w:ascii="仿宋_GB2312" w:hAnsi="仿宋_GB2312" w:eastAsia="仿宋_GB2312" w:cs="仿宋_GB2312"/>
          <w:b/>
          <w:bCs/>
          <w:color w:val="auto"/>
          <w:sz w:val="28"/>
          <w:szCs w:val="28"/>
        </w:rPr>
        <w:t>。</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4、进行磋商</w:t>
      </w:r>
    </w:p>
    <w:p>
      <w:pPr>
        <w:spacing w:line="500" w:lineRule="exact"/>
        <w:ind w:firstLine="566" w:firstLineChars="200"/>
        <w:contextualSpacing/>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磋商小组所有成员应当集中与单一供应商分别进行磋商，并给予所有参加磋商的供应商平等的磋商机会。需要供应商书面答复磋商内容的，供应商应当按照磋商小组的要求，在磋商小组规定的时限内通过公共资源交易平台（以下简称“平台”）或电子邮件（在平台无法支持的情况下）等书面形式答复磋商的内容，</w:t>
      </w:r>
      <w:r>
        <w:rPr>
          <w:rFonts w:hint="eastAsia" w:ascii="仿宋_GB2312" w:hAnsi="仿宋_GB2312" w:eastAsia="仿宋_GB2312" w:cs="仿宋_GB2312"/>
          <w:bCs/>
          <w:color w:val="auto"/>
          <w:sz w:val="28"/>
          <w:szCs w:val="28"/>
          <w:lang w:val="en-US" w:eastAsia="zh-CN"/>
        </w:rPr>
        <w:t>通过电子邮件答复的内容应当</w:t>
      </w:r>
      <w:r>
        <w:rPr>
          <w:rFonts w:hint="eastAsia" w:ascii="仿宋_GB2312" w:hAnsi="仿宋_GB2312" w:eastAsia="仿宋_GB2312" w:cs="仿宋_GB2312"/>
          <w:bCs/>
          <w:color w:val="auto"/>
          <w:sz w:val="28"/>
          <w:szCs w:val="28"/>
        </w:rPr>
        <w:t>由法定代表人或其授权代表签字或者加盖公章。</w:t>
      </w:r>
    </w:p>
    <w:p>
      <w:pPr>
        <w:spacing w:line="500" w:lineRule="exact"/>
        <w:ind w:firstLine="566" w:firstLineChars="200"/>
        <w:contextualSpacing/>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5、磋商文件的实质性变更</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（1）在磋商过程中，磋商小组可以根据磋商文件和磋商情况实质性变动采购需求中的技术、服务要求以及合同</w:t>
      </w:r>
      <w:r>
        <w:rPr>
          <w:rFonts w:hint="eastAsia" w:ascii="仿宋_GB2312" w:hAnsi="仿宋_GB2312" w:eastAsia="仿宋_GB2312" w:cs="仿宋_GB2312"/>
          <w:color w:val="auto"/>
          <w:sz w:val="28"/>
          <w:szCs w:val="28"/>
          <w:lang w:val="en-US" w:eastAsia="zh-CN"/>
        </w:rPr>
        <w:t>草案</w:t>
      </w:r>
      <w:r>
        <w:rPr>
          <w:rFonts w:hint="eastAsia" w:ascii="仿宋_GB2312" w:hAnsi="仿宋_GB2312" w:eastAsia="仿宋_GB2312" w:cs="仿宋_GB2312"/>
          <w:color w:val="auto"/>
          <w:sz w:val="28"/>
          <w:szCs w:val="28"/>
        </w:rPr>
        <w:t>条款，但不得变动磋商文件中的其他内容。实质性变动的内容，须经采购人代表确认。</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实质性变动不得改变原标的物，且应遵循有利于采购活动顺利实施的原则，当出现下列情形时，可实质性变动：</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当磋商小组发现磋商文件有明显错误、自相矛盾时，可通过实质性变动纠正错误，且应尽可能保证该变动不会排除各参与供应商；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当进入最后报价环节的供应商不足</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家时，可通过实质性变动实现不少于</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家供应商提交最后报价，但不得通过实质性变动将原本进入最后报价环节的供应商排除在外。</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）对磋商文件作出的实质性变动是磋商文件的有效组成部分，磋商小组将通过公共资源交易平台（以下简称“平台”）或电子邮件（在平台无法支持的情况下）等书面形式通知所有参加磋商的供应商。</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）供应商应当按照磋商文件的变动情况和磋商小组的要求，在磋商 小组规定的时限内重新提交响应文件，并用数字认证证书（CA 锁）签章或 由法定代表人或其授权代表签字或者加盖公章。</w:t>
      </w:r>
    </w:p>
    <w:p>
      <w:pPr>
        <w:pStyle w:val="19"/>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）供应商未能在规定的时间内按照磋商小组的要求通过公共资源交易平台（以下简称“平台”）或电子邮件（在平台无法支持的情况下）等书面形式提交实质性变更响应文件的，视作未实质性响应。</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6、最后报价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（1）磋商文件能够详细列明采购标的的技术、服务要求的，磋商结束 后，磋商小组应当要求所有实质性响应的供应商在规定时间内提交最后报 价，提交最后报价的供应商不得少于3家。</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要在电子交易平台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pPr>
        <w:spacing w:line="500" w:lineRule="exact"/>
        <w:ind w:firstLine="566" w:firstLineChars="200"/>
        <w:contextualSpacing/>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（5）已提交响应文件的供应商，在提交最后报价之前，可以根据磋商 情况书面申请退出磋商，书面申请应由其法定代表人或被授权代表签字或 者加盖公章。</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w:t>
      </w:r>
      <w:r>
        <w:rPr>
          <w:rFonts w:hint="eastAsia" w:ascii="仿宋_GB2312" w:hAnsi="仿宋_GB2312" w:eastAsia="仿宋_GB2312" w:cs="仿宋_GB2312"/>
          <w:color w:val="auto"/>
          <w:sz w:val="28"/>
          <w:szCs w:val="28"/>
          <w:lang w:val="en-US" w:eastAsia="zh-CN"/>
        </w:rPr>
        <w:t>处理</w:t>
      </w:r>
      <w:r>
        <w:rPr>
          <w:rFonts w:hint="eastAsia" w:ascii="仿宋_GB2312" w:hAnsi="仿宋_GB2312" w:eastAsia="仿宋_GB2312" w:cs="仿宋_GB2312"/>
          <w:color w:val="auto"/>
          <w:sz w:val="28"/>
          <w:szCs w:val="28"/>
        </w:rPr>
        <w:t>。</w:t>
      </w:r>
    </w:p>
    <w:p>
      <w:pPr>
        <w:spacing w:line="500" w:lineRule="exact"/>
        <w:ind w:firstLine="566"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7、综合比较与评价</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rPr>
        <w:t>经磋商确定最终采购需求和提交最后报价的供应商后，由磋商小组按“评审要素及分值一览表”中规定的评审方法和标准，对提交最后报价的供应商的响应文件和最后报价进行综合评分。</w:t>
      </w:r>
    </w:p>
    <w:p>
      <w:pPr>
        <w:spacing w:line="500" w:lineRule="exact"/>
        <w:ind w:firstLine="566" w:firstLineChars="200"/>
        <w:contextualSpacing/>
        <w:rPr>
          <w:rFonts w:hint="eastAsia" w:ascii="仿宋_GB2312" w:hAnsi="仿宋_GB2312" w:eastAsia="仿宋_GB2312" w:cs="仿宋_GB2312"/>
          <w:b/>
          <w:bCs/>
          <w:color w:val="auto"/>
          <w:sz w:val="28"/>
          <w:szCs w:val="28"/>
          <w:u w:val="double"/>
        </w:rPr>
      </w:pPr>
      <w:r>
        <w:rPr>
          <w:rFonts w:hint="eastAsia" w:ascii="仿宋_GB2312" w:hAnsi="仿宋_GB2312" w:eastAsia="仿宋_GB2312" w:cs="仿宋_GB2312"/>
          <w:color w:val="auto"/>
          <w:sz w:val="28"/>
          <w:szCs w:val="28"/>
        </w:rPr>
        <w:t>评审时，磋商小组各成员应当独立对每个有效响应的文件进行评价、打分，然后汇总每个供应商每项评审因素的得分。</w:t>
      </w:r>
    </w:p>
    <w:p>
      <w:pPr>
        <w:spacing w:after="190" w:afterLines="50" w:line="500" w:lineRule="exact"/>
        <w:jc w:val="center"/>
        <w:rPr>
          <w:rFonts w:hint="eastAsia" w:ascii="仿宋_GB2312" w:hAnsi="仿宋_GB2312" w:eastAsia="仿宋_GB2312" w:cs="仿宋_GB2312"/>
          <w:b/>
          <w:bCs/>
          <w:color w:val="auto"/>
          <w:sz w:val="28"/>
          <w:szCs w:val="28"/>
        </w:rPr>
      </w:pPr>
      <w:bookmarkStart w:id="149" w:name="_Toc27797"/>
      <w:bookmarkStart w:id="150" w:name="_Toc2392"/>
      <w:bookmarkStart w:id="151" w:name="_Toc27187"/>
      <w:bookmarkStart w:id="152" w:name="_Toc9626"/>
      <w:r>
        <w:rPr>
          <w:rFonts w:hint="eastAsia" w:ascii="仿宋_GB2312" w:hAnsi="仿宋_GB2312" w:eastAsia="仿宋_GB2312" w:cs="仿宋_GB2312"/>
          <w:b/>
          <w:bCs/>
          <w:color w:val="auto"/>
          <w:sz w:val="28"/>
          <w:szCs w:val="28"/>
        </w:rPr>
        <w:t>评审要素及分值一览表</w:t>
      </w:r>
      <w:bookmarkEnd w:id="149"/>
      <w:bookmarkEnd w:id="150"/>
      <w:bookmarkEnd w:id="151"/>
      <w:bookmarkEnd w:id="152"/>
    </w:p>
    <w:tbl>
      <w:tblPr>
        <w:tblStyle w:val="20"/>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930"/>
        <w:gridCol w:w="850"/>
        <w:gridCol w:w="860"/>
        <w:gridCol w:w="1820"/>
        <w:gridCol w:w="317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33"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项别</w:t>
            </w:r>
          </w:p>
        </w:tc>
        <w:tc>
          <w:tcPr>
            <w:tcW w:w="1710" w:type="dxa"/>
            <w:gridSpan w:val="2"/>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分项</w:t>
            </w:r>
          </w:p>
        </w:tc>
        <w:tc>
          <w:tcPr>
            <w:tcW w:w="4990" w:type="dxa"/>
            <w:gridSpan w:val="2"/>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评审要素</w:t>
            </w:r>
          </w:p>
        </w:tc>
        <w:tc>
          <w:tcPr>
            <w:tcW w:w="132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803"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名称</w:t>
            </w:r>
          </w:p>
        </w:tc>
        <w:tc>
          <w:tcPr>
            <w:tcW w:w="93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总分值100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名称</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分项最高分值</w:t>
            </w:r>
          </w:p>
        </w:tc>
        <w:tc>
          <w:tcPr>
            <w:tcW w:w="4990" w:type="dxa"/>
            <w:gridSpan w:val="2"/>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803"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tc>
        <w:tc>
          <w:tcPr>
            <w:tcW w:w="93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w:t>
            </w:r>
          </w:p>
        </w:tc>
        <w:tc>
          <w:tcPr>
            <w:tcW w:w="850" w:type="dxa"/>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10</w:t>
            </w:r>
          </w:p>
        </w:tc>
        <w:tc>
          <w:tcPr>
            <w:tcW w:w="4990" w:type="dxa"/>
            <w:gridSpan w:val="2"/>
          </w:tcPr>
          <w:p>
            <w:pPr>
              <w:keepNext w:val="0"/>
              <w:keepLines w:val="0"/>
              <w:pageBreakBefore w:val="0"/>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有效供应商最低报价为基准价得</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分，其他各供应商的报价得分按下列公式计算：</w:t>
            </w:r>
          </w:p>
          <w:p>
            <w:pPr>
              <w:keepNext w:val="0"/>
              <w:keepLines w:val="0"/>
              <w:pageBreakBefore w:val="0"/>
              <w:tabs>
                <w:tab w:val="left" w:pos="547"/>
              </w:tabs>
              <w:kinsoku/>
              <w:wordWrap/>
              <w:overflowPunct/>
              <w:topLinePunct w:val="0"/>
              <w:autoSpaceDE w:val="0"/>
              <w:autoSpaceDN w:val="0"/>
              <w:bidi w:val="0"/>
              <w:adjustRightInd w:val="0"/>
              <w:spacing w:line="40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rPr>
              <w:t>（基准价/磋商报价）×</w:t>
            </w:r>
            <w:r>
              <w:rPr>
                <w:rFonts w:hint="eastAsia" w:ascii="仿宋_GB2312" w:hAnsi="仿宋_GB2312" w:eastAsia="仿宋_GB2312" w:cs="仿宋_GB2312"/>
                <w:b/>
                <w:bCs/>
                <w:color w:val="auto"/>
                <w:sz w:val="28"/>
                <w:szCs w:val="28"/>
                <w:lang w:val="en-US" w:eastAsia="zh-CN"/>
              </w:rPr>
              <w:t>10</w:t>
            </w:r>
            <w:r>
              <w:rPr>
                <w:rFonts w:hint="eastAsia" w:ascii="仿宋_GB2312" w:hAnsi="仿宋_GB2312" w:eastAsia="仿宋_GB2312" w:cs="仿宋_GB2312"/>
                <w:b/>
                <w:bCs/>
                <w:color w:val="auto"/>
                <w:sz w:val="28"/>
                <w:szCs w:val="28"/>
                <w:lang w:eastAsia="zh-CN"/>
              </w:rPr>
              <w:t>。</w:t>
            </w:r>
          </w:p>
        </w:tc>
        <w:tc>
          <w:tcPr>
            <w:tcW w:w="1320" w:type="dxa"/>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根据“最后报价”计算价格得分。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2" w:hRule="atLeast"/>
          <w:jc w:val="center"/>
        </w:trPr>
        <w:tc>
          <w:tcPr>
            <w:tcW w:w="803"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服务方案</w:t>
            </w:r>
          </w:p>
        </w:tc>
        <w:tc>
          <w:tcPr>
            <w:tcW w:w="93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总体服务方案</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4990" w:type="dxa"/>
            <w:gridSpan w:val="2"/>
            <w:vAlign w:val="center"/>
          </w:tcPr>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结合本项目实际需求，详细列出服务总体设想、项目概况分析、项目重难点分析、服务目标、服务理念及特色等。根据方案的全面性、合理性、可行性进行综合打分：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1、总体设想全面、对项目需求分析准确，服务目标清晰，理念新颖，得7-8分；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2、总体设想较全面、对项目需求分析较准确，服务目标较清晰，理念较科学，得5-6分；</w:t>
            </w:r>
          </w:p>
          <w:p>
            <w:pPr>
              <w:pStyle w:val="8"/>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3、总体设想简略、项目需求分析基本合理，目标和理念略有不足，得3-4分。</w:t>
            </w:r>
          </w:p>
        </w:tc>
        <w:tc>
          <w:tcPr>
            <w:tcW w:w="1320" w:type="dxa"/>
            <w:vMerge w:val="restart"/>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服务方案不得赋满分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项目实施方案</w:t>
            </w:r>
          </w:p>
        </w:tc>
        <w:tc>
          <w:tcPr>
            <w:tcW w:w="860" w:type="dxa"/>
            <w:vMerge w:val="restart"/>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40</w:t>
            </w:r>
          </w:p>
        </w:tc>
        <w:tc>
          <w:tcPr>
            <w:tcW w:w="4990" w:type="dxa"/>
            <w:gridSpan w:val="2"/>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根据第三章要求，制定本项目详细实施方案，从方案完整性、合理性、可行性方面考虑，对各阶段实施方案分别进行打分：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Merge w:val="continue"/>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（一）制定评价工作方案</w:t>
            </w:r>
          </w:p>
        </w:tc>
        <w:tc>
          <w:tcPr>
            <w:tcW w:w="3170" w:type="dxa"/>
            <w:vMerge w:val="restart"/>
            <w:vAlign w:val="center"/>
          </w:tcPr>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实施方案全面、科学合理、规范，可行性强，得8-10分；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实施方案合理、规范，具有一定操作性，得5-7分；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实施方案简略，可行性欠佳，得2-4分；</w:t>
            </w:r>
          </w:p>
          <w:p>
            <w:pPr>
              <w:pStyle w:val="8"/>
              <w:keepNext w:val="0"/>
              <w:keepLines w:val="0"/>
              <w:pageBreakBefore w:val="0"/>
              <w:numPr>
                <w:ilvl w:val="0"/>
                <w:numId w:val="3"/>
              </w:numPr>
              <w:kinsoku/>
              <w:wordWrap/>
              <w:overflowPunct/>
              <w:topLinePunct w:val="0"/>
              <w:autoSpaceDE/>
              <w:autoSpaceDN/>
              <w:bidi w:val="0"/>
              <w:spacing w:after="0"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28"/>
                <w:szCs w:val="28"/>
                <w:lang w:val="en-US" w:eastAsia="zh-CN" w:bidi="ar-SA"/>
              </w:rPr>
              <w:t>不提供不得分。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（二）实施绩效评价</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（三）出具绩效评价报告</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03"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93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5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86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820" w:type="dxa"/>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kern w:val="2"/>
                <w:sz w:val="28"/>
                <w:szCs w:val="28"/>
                <w:lang w:val="en-US" w:eastAsia="zh-CN" w:bidi="ar-SA"/>
              </w:rPr>
              <w:t>（四）归档管理</w:t>
            </w:r>
          </w:p>
        </w:tc>
        <w:tc>
          <w:tcPr>
            <w:tcW w:w="317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c>
          <w:tcPr>
            <w:tcW w:w="1320" w:type="dxa"/>
            <w:vMerge w:val="continue"/>
            <w:vAlign w:val="center"/>
          </w:tcPr>
          <w:p>
            <w:pPr>
              <w:pStyle w:val="8"/>
              <w:keepNext w:val="0"/>
              <w:keepLines w:val="0"/>
              <w:pageBreakBefore w:val="0"/>
              <w:kinsoku/>
              <w:wordWrap/>
              <w:overflowPunct/>
              <w:topLinePunct w:val="0"/>
              <w:autoSpaceDE/>
              <w:autoSpaceDN/>
              <w:bidi w:val="0"/>
              <w:spacing w:after="0" w:line="400" w:lineRule="exact"/>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restart"/>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项目团队</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6</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供应商拟投入的团队人员满足本项目实际需求，提供详细的人员情况介绍及岗位职责分工，对其进行综合打分：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1、项目团队人员职责分工明确、结构安排合理，专业、工作经验丰富，得5-6分；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2、项目团队人员职责分工较明确、结构安排基本合理，工作经验较丰富，得3-4分；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3、项目团队人员职责分工及结构安排混乱，工作经验欠缺，得1-2分。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项目团队成员不得少于3人（含项目负责人），在此基础上，每增加1人得1分，此项最多得2分。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Merge w:val="continue"/>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除项目负责人以外，其他团队成员具有中级及以上职称或职业资格的，每人1分，此项最多得2分。</w:t>
            </w:r>
          </w:p>
          <w:p>
            <w:pPr>
              <w:pStyle w:val="2"/>
              <w:ind w:left="0" w:leftChars="0"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28"/>
                <w:szCs w:val="28"/>
                <w:lang w:val="en-US" w:eastAsia="zh-CN" w:bidi="ar-SA"/>
              </w:rPr>
              <w:t>（提供证书复印件加盖响应人公章，不提供不得分）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工作制度</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供应商针对本项目有完整、可行的工作制度（包括但不限于人员管理制度、业务流程、档案管理制度等），确保项目正常实施，对其制度建设情况进行综合打分：</w:t>
            </w:r>
          </w:p>
          <w:p>
            <w:pPr>
              <w:pStyle w:val="2"/>
              <w:numPr>
                <w:ilvl w:val="0"/>
                <w:numId w:val="4"/>
              </w:numPr>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制度完善，可行，有效性强，针对性强，得3-4分；</w:t>
            </w:r>
          </w:p>
          <w:p>
            <w:pPr>
              <w:numPr>
                <w:ilvl w:val="0"/>
                <w:numId w:val="4"/>
              </w:numPr>
              <w:rPr>
                <w:rFonts w:hint="default"/>
                <w:lang w:val="en-US" w:eastAsia="zh-CN"/>
              </w:rPr>
            </w:pPr>
            <w:r>
              <w:rPr>
                <w:rFonts w:hint="eastAsia" w:ascii="仿宋_GB2312" w:hAnsi="仿宋_GB2312" w:eastAsia="仿宋_GB2312" w:cs="仿宋_GB2312"/>
                <w:sz w:val="28"/>
                <w:szCs w:val="28"/>
                <w:lang w:val="en-US" w:eastAsia="zh-CN"/>
              </w:rPr>
              <w:t>仅提供了上述三项制度，内容简单，可行性一般，得1-2分。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服务质量保障措施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供应商针对本项目提供具体的服务质量保障措施，对其措施进行综合打分：</w:t>
            </w:r>
          </w:p>
          <w:p>
            <w:pPr>
              <w:keepNext w:val="0"/>
              <w:keepLines w:val="0"/>
              <w:pageBreakBefore w:val="0"/>
              <w:numPr>
                <w:ilvl w:val="0"/>
                <w:numId w:val="5"/>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内容详实、有效，切实可行，并提供服务质量保障承诺，措施及承诺完善、切实可行，得3-4分；</w:t>
            </w:r>
          </w:p>
          <w:p>
            <w:pPr>
              <w:keepNext w:val="0"/>
              <w:keepLines w:val="0"/>
              <w:pageBreakBefore w:val="0"/>
              <w:numPr>
                <w:ilvl w:val="0"/>
                <w:numId w:val="5"/>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内容笼统、缺乏针对性，可行性一般，得1-2分。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进度计划及保障措施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供应商结合本项目要求，制定进度计划，并阐述服务时效及进度的保障措施，对其计划及措施进行综合打分：</w:t>
            </w:r>
          </w:p>
          <w:p>
            <w:pPr>
              <w:keepNext w:val="0"/>
              <w:keepLines w:val="0"/>
              <w:pageBreakBefore w:val="0"/>
              <w:numPr>
                <w:ilvl w:val="0"/>
                <w:numId w:val="6"/>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时间进度安排合理、可行，保障措施完善，完全满足采购需求，得3-4分；</w:t>
            </w:r>
          </w:p>
          <w:p>
            <w:pPr>
              <w:keepNext w:val="0"/>
              <w:keepLines w:val="0"/>
              <w:pageBreakBefore w:val="0"/>
              <w:numPr>
                <w:ilvl w:val="0"/>
                <w:numId w:val="6"/>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进度安排不够合理，缺乏有效的保障措施，得1-2分。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应急</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保障</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针对本项目在服务过程中，因特殊情况临时压缩工作时限、临时需到场处理突发问题等，制定相应的应急保障措施。</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根据应急保障措施详尽性、可实施性进行综合打分：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1、应急保障措施详尽、全面、有效、合理，可实施性强，得3-4分；</w:t>
            </w:r>
          </w:p>
          <w:p>
            <w:pPr>
              <w:keepNext w:val="0"/>
              <w:keepLines w:val="0"/>
              <w:pageBreakBefore w:val="0"/>
              <w:numPr>
                <w:ilvl w:val="0"/>
                <w:numId w:val="0"/>
              </w:numPr>
              <w:kinsoku/>
              <w:wordWrap/>
              <w:overflowPunct/>
              <w:topLinePunct w:val="0"/>
              <w:autoSpaceDE/>
              <w:autoSpaceDN/>
              <w:bidi w:val="0"/>
              <w:adjustRightInd w:val="0"/>
              <w:spacing w:line="40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2、应急保障措施较全面、较合理，具有一定实施性，得1-2分。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廉洁措施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ind w:left="0" w:leftChars="0" w:firstLine="0" w:firstLineChars="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提供详尽、合理、有效、可控的廉洁从业措施，根据措施的详尽性、有效性进行综合打分。（1-3分）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803"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930" w:type="dxa"/>
            <w:vMerge w:val="continue"/>
            <w:vAlign w:val="center"/>
          </w:tcPr>
          <w:p>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保密措施</w:t>
            </w:r>
          </w:p>
        </w:tc>
        <w:tc>
          <w:tcPr>
            <w:tcW w:w="860" w:type="dxa"/>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3</w:t>
            </w:r>
          </w:p>
        </w:tc>
        <w:tc>
          <w:tcPr>
            <w:tcW w:w="4990" w:type="dxa"/>
            <w:gridSpan w:val="2"/>
            <w:vAlign w:val="center"/>
          </w:tcPr>
          <w:p>
            <w:pPr>
              <w:keepNext w:val="0"/>
              <w:keepLines w:val="0"/>
              <w:pageBreakBefore w:val="0"/>
              <w:numPr>
                <w:ilvl w:val="0"/>
                <w:numId w:val="0"/>
              </w:numPr>
              <w:kinsoku/>
              <w:wordWrap/>
              <w:overflowPunct/>
              <w:topLinePunct w:val="0"/>
              <w:autoSpaceDE/>
              <w:autoSpaceDN/>
              <w:bidi w:val="0"/>
              <w:adjustRightInd w:val="0"/>
              <w:spacing w:line="400" w:lineRule="exact"/>
              <w:jc w:val="both"/>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针对本项目制定专项保密措施，包含保密管理制度、涉密人员的管理、涉密人员作业规范等，根据管理方案的全面性、规范性、保障程度进行综合打分。（1-3分）</w:t>
            </w:r>
          </w:p>
        </w:tc>
        <w:tc>
          <w:tcPr>
            <w:tcW w:w="1320" w:type="dxa"/>
            <w:vMerge w:val="continue"/>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803" w:type="dxa"/>
            <w:vMerge w:val="restart"/>
            <w:vAlign w:val="center"/>
          </w:tcPr>
          <w:p>
            <w:pPr>
              <w:pStyle w:val="17"/>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val="en-US" w:eastAsia="zh-CN"/>
              </w:rPr>
              <w:t>商务</w:t>
            </w:r>
          </w:p>
        </w:tc>
        <w:tc>
          <w:tcPr>
            <w:tcW w:w="930" w:type="dxa"/>
            <w:vMerge w:val="restart"/>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85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业绩</w:t>
            </w:r>
          </w:p>
        </w:tc>
        <w:tc>
          <w:tcPr>
            <w:tcW w:w="86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4990" w:type="dxa"/>
            <w:gridSpan w:val="2"/>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提供</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w:t>
            </w:r>
            <w:r>
              <w:rPr>
                <w:rFonts w:hint="eastAsia" w:ascii="仿宋_GB2312" w:hAnsi="仿宋_GB2312" w:eastAsia="仿宋_GB2312" w:cs="仿宋_GB2312"/>
                <w:color w:val="auto"/>
                <w:sz w:val="28"/>
                <w:szCs w:val="28"/>
                <w:lang w:val="en-US" w:eastAsia="zh-CN"/>
              </w:rPr>
              <w:t>同类</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复印件加盖响应人公章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以合同签订日期为准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，每份1分，</w:t>
            </w:r>
            <w:r>
              <w:rPr>
                <w:rFonts w:hint="eastAsia" w:ascii="仿宋_GB2312" w:hAnsi="仿宋_GB2312" w:eastAsia="仿宋_GB2312" w:cs="仿宋_GB2312"/>
                <w:color w:val="auto"/>
                <w:sz w:val="28"/>
                <w:szCs w:val="28"/>
                <w:lang w:val="en-US" w:eastAsia="zh-CN"/>
              </w:rPr>
              <w:t>最多得5</w:t>
            </w:r>
            <w:r>
              <w:rPr>
                <w:rFonts w:hint="eastAsia" w:ascii="仿宋_GB2312" w:hAnsi="仿宋_GB2312" w:eastAsia="仿宋_GB2312" w:cs="仿宋_GB2312"/>
                <w:color w:val="auto"/>
                <w:sz w:val="28"/>
                <w:szCs w:val="28"/>
              </w:rPr>
              <w:t>分。</w:t>
            </w:r>
          </w:p>
        </w:tc>
        <w:tc>
          <w:tcPr>
            <w:tcW w:w="132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jc w:val="center"/>
        </w:trPr>
        <w:tc>
          <w:tcPr>
            <w:tcW w:w="803" w:type="dxa"/>
            <w:vMerge w:val="continue"/>
            <w:vAlign w:val="center"/>
          </w:tcPr>
          <w:p>
            <w:pPr>
              <w:pStyle w:val="17"/>
              <w:keepNext w:val="0"/>
              <w:keepLines w:val="0"/>
              <w:pageBreakBefore w:val="0"/>
              <w:kinsoku/>
              <w:wordWrap/>
              <w:overflowPunct/>
              <w:topLinePunct w:val="0"/>
              <w:bidi w:val="0"/>
              <w:snapToGrid w:val="0"/>
              <w:spacing w:beforeAutospacing="0" w:afterAutospacing="0" w:line="400" w:lineRule="exact"/>
              <w:jc w:val="center"/>
              <w:textAlignment w:val="auto"/>
              <w:rPr>
                <w:rFonts w:hint="eastAsia" w:ascii="仿宋_GB2312" w:hAnsi="仿宋_GB2312" w:eastAsia="仿宋_GB2312" w:cs="仿宋_GB2312"/>
                <w:color w:val="auto"/>
                <w:kern w:val="2"/>
                <w:sz w:val="28"/>
                <w:szCs w:val="28"/>
              </w:rPr>
            </w:pPr>
          </w:p>
        </w:tc>
        <w:tc>
          <w:tcPr>
            <w:tcW w:w="930" w:type="dxa"/>
            <w:vMerge w:val="continue"/>
            <w:vAlign w:val="center"/>
          </w:tcPr>
          <w:p>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8"/>
                <w:szCs w:val="28"/>
              </w:rPr>
            </w:pPr>
          </w:p>
        </w:tc>
        <w:tc>
          <w:tcPr>
            <w:tcW w:w="85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服务承诺</w:t>
            </w:r>
          </w:p>
        </w:tc>
        <w:tc>
          <w:tcPr>
            <w:tcW w:w="860" w:type="dxa"/>
            <w:vAlign w:val="center"/>
          </w:tcPr>
          <w:p>
            <w:pPr>
              <w:keepNext w:val="0"/>
              <w:keepLines w:val="0"/>
              <w:pageBreakBefore w:val="0"/>
              <w:kinsoku/>
              <w:wordWrap/>
              <w:overflowPunct/>
              <w:topLinePunct w:val="0"/>
              <w:autoSpaceDE w:val="0"/>
              <w:autoSpaceDN w:val="0"/>
              <w:bidi w:val="0"/>
              <w:adjustRightInd w:val="0"/>
              <w:spacing w:line="400" w:lineRule="exact"/>
              <w:jc w:val="center"/>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5</w:t>
            </w:r>
          </w:p>
        </w:tc>
        <w:tc>
          <w:tcPr>
            <w:tcW w:w="4990" w:type="dxa"/>
            <w:gridSpan w:val="2"/>
            <w:vAlign w:val="center"/>
          </w:tcPr>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响应人可根据自身情况提供有利于本项目开展的服务承诺，对服务承诺情况进行比较打分：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1、承诺详尽、全面、有效、合理，落实性强，得</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2、承诺较全面、较有效、有一定可操作性，得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3、承诺简单、落实性不足，得</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分；</w:t>
            </w:r>
          </w:p>
          <w:p>
            <w:pPr>
              <w:keepNext w:val="0"/>
              <w:keepLines w:val="0"/>
              <w:pageBreakBefore w:val="0"/>
              <w:kinsoku/>
              <w:wordWrap/>
              <w:overflowPunct/>
              <w:topLinePunct w:val="0"/>
              <w:bidi w:val="0"/>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不提供不得分。</w:t>
            </w:r>
          </w:p>
        </w:tc>
        <w:tc>
          <w:tcPr>
            <w:tcW w:w="1320"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03" w:type="dxa"/>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w:t>
            </w:r>
          </w:p>
        </w:tc>
        <w:tc>
          <w:tcPr>
            <w:tcW w:w="8950" w:type="dxa"/>
            <w:gridSpan w:val="6"/>
            <w:vAlign w:val="center"/>
          </w:tcPr>
          <w:p>
            <w:pPr>
              <w:keepNext w:val="0"/>
              <w:keepLines w:val="0"/>
              <w:pageBreakBefore w:val="0"/>
              <w:kinsoku/>
              <w:wordWrap/>
              <w:overflowPunct/>
              <w:topLinePunct w:val="0"/>
              <w:bidi w:val="0"/>
              <w:spacing w:line="40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1、磋商小组成员必须按照本评审要素据实打分，各类数字计算均按“四舍五入”保留小数点后两位</w:t>
            </w:r>
            <w:r>
              <w:rPr>
                <w:rFonts w:hint="eastAsia" w:ascii="仿宋_GB2312" w:hAnsi="仿宋_GB2312" w:eastAsia="仿宋_GB2312" w:cs="仿宋_GB2312"/>
                <w:color w:val="auto"/>
                <w:sz w:val="28"/>
                <w:szCs w:val="28"/>
                <w:lang w:eastAsia="zh-CN"/>
              </w:rPr>
              <w:t>。</w:t>
            </w:r>
          </w:p>
        </w:tc>
      </w:tr>
    </w:tbl>
    <w:p>
      <w:pPr>
        <w:pStyle w:val="19"/>
        <w:ind w:firstLine="0" w:firstLineChars="0"/>
        <w:rPr>
          <w:color w:val="auto"/>
          <w:sz w:val="28"/>
          <w:szCs w:val="28"/>
        </w:rPr>
      </w:pP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8、推荐成交候选供应商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9、编写评审报告</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当排序推荐磋商供应商名单出现多数评委成员的评审意见比较一致，某一个别评委的赋分畸高畸低，导致排序结果改变的，该评委</w:t>
      </w:r>
      <w:r>
        <w:rPr>
          <w:rFonts w:hint="eastAsia" w:ascii="仿宋_GB2312" w:hAnsi="仿宋_GB2312" w:eastAsia="仿宋_GB2312" w:cs="仿宋_GB2312"/>
          <w:color w:val="auto"/>
          <w:sz w:val="28"/>
          <w:szCs w:val="28"/>
          <w:lang w:val="en-US" w:eastAsia="zh-CN"/>
        </w:rPr>
        <w:t>应当</w:t>
      </w:r>
      <w:r>
        <w:rPr>
          <w:rFonts w:hint="eastAsia" w:ascii="仿宋_GB2312" w:hAnsi="仿宋_GB2312" w:eastAsia="仿宋_GB2312" w:cs="仿宋_GB2312"/>
          <w:color w:val="auto"/>
          <w:sz w:val="28"/>
          <w:szCs w:val="28"/>
        </w:rPr>
        <w:t>重新进行评价，并向磋商</w:t>
      </w:r>
      <w:r>
        <w:rPr>
          <w:rFonts w:hint="eastAsia" w:ascii="仿宋_GB2312" w:hAnsi="仿宋_GB2312" w:eastAsia="仿宋_GB2312" w:cs="仿宋_GB2312"/>
          <w:color w:val="auto"/>
          <w:sz w:val="28"/>
          <w:szCs w:val="28"/>
          <w:lang w:val="en-US" w:eastAsia="zh-CN"/>
        </w:rPr>
        <w:t>小组</w:t>
      </w:r>
      <w:r>
        <w:rPr>
          <w:rFonts w:hint="eastAsia" w:ascii="仿宋_GB2312" w:hAnsi="仿宋_GB2312" w:eastAsia="仿宋_GB2312" w:cs="仿宋_GB2312"/>
          <w:color w:val="auto"/>
          <w:sz w:val="28"/>
          <w:szCs w:val="28"/>
        </w:rPr>
        <w:t>说明其赋分的合理理由，对拒绝说明、拒绝重新评价的，报告同级财政政府采购管理部门处理。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除下列情形外，任何人不得以任何理由组织重新评审：</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rPr>
        <w:t>资格性检查认定错误的；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②</w:t>
      </w:r>
      <w:r>
        <w:rPr>
          <w:rFonts w:hint="eastAsia" w:ascii="仿宋_GB2312" w:hAnsi="仿宋_GB2312" w:eastAsia="仿宋_GB2312" w:cs="仿宋_GB2312"/>
          <w:color w:val="auto"/>
          <w:sz w:val="28"/>
          <w:szCs w:val="28"/>
        </w:rPr>
        <w:t xml:space="preserve">分值汇总计算错误的； </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③</w:t>
      </w:r>
      <w:r>
        <w:rPr>
          <w:rFonts w:hint="eastAsia" w:ascii="仿宋_GB2312" w:hAnsi="仿宋_GB2312" w:eastAsia="仿宋_GB2312" w:cs="仿宋_GB2312"/>
          <w:color w:val="auto"/>
          <w:sz w:val="28"/>
          <w:szCs w:val="28"/>
        </w:rPr>
        <w:t>分项评分超出评分标准范围的；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④</w:t>
      </w:r>
      <w:r>
        <w:rPr>
          <w:rFonts w:hint="eastAsia" w:ascii="仿宋_GB2312" w:hAnsi="仿宋_GB2312" w:eastAsia="仿宋_GB2312" w:cs="仿宋_GB2312"/>
          <w:color w:val="auto"/>
          <w:sz w:val="28"/>
          <w:szCs w:val="28"/>
        </w:rPr>
        <w:t>客观分因素评分不一致的；</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⑤</w:t>
      </w:r>
      <w:r>
        <w:rPr>
          <w:rFonts w:hint="eastAsia" w:ascii="仿宋_GB2312" w:hAnsi="仿宋_GB2312" w:eastAsia="仿宋_GB2312" w:cs="仿宋_GB2312"/>
          <w:color w:val="auto"/>
          <w:sz w:val="28"/>
          <w:szCs w:val="28"/>
        </w:rPr>
        <w:t>经磋商小组一致认定评分畸高、畸低的情形。</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（六）有下列情况之一的，视为供应商串通投标，其投标无效：</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1、不同供应商的响应文件由同一单位或者个人编制；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2、不同供应商的响应文件由同一台电脑编制；</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3、不同供应商委托同一单位或者个人办理投标事宜；</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4、不同供应商的响应文件载明的项目管理成员或者联系人员为同一人；</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5、不同供应商的响应文件异常一致或者磋商报价呈规律性差异；</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6、政府采购法律法规及磋商文件规定的其他情形。</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53" w:name="_Toc28287"/>
      <w:bookmarkStart w:id="154" w:name="_Toc25855"/>
      <w:bookmarkStart w:id="155" w:name="_Toc22712"/>
      <w:bookmarkStart w:id="156" w:name="_Toc4670"/>
      <w:bookmarkStart w:id="157" w:name="_Toc28384"/>
      <w:bookmarkStart w:id="158" w:name="_Toc17612"/>
      <w:bookmarkStart w:id="159" w:name="_Toc3023"/>
      <w:bookmarkStart w:id="160" w:name="_Toc619_WPSOffice_Level1"/>
      <w:bookmarkStart w:id="161" w:name="_Toc495012821"/>
      <w:bookmarkStart w:id="162" w:name="_Toc495014585"/>
      <w:bookmarkStart w:id="163" w:name="_Toc495012771"/>
      <w:bookmarkStart w:id="164" w:name="_Toc495014649"/>
      <w:bookmarkStart w:id="165" w:name="_Toc495014611"/>
      <w:bookmarkStart w:id="166" w:name="_Toc424636365"/>
      <w:bookmarkStart w:id="167" w:name="_Toc495014954"/>
      <w:bookmarkStart w:id="168" w:name="_Toc445306493"/>
      <w:bookmarkStart w:id="169" w:name="_Toc28286_WPSOffice_Level1"/>
      <w:bookmarkStart w:id="170" w:name="_Toc495014920"/>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、成交</w:t>
      </w:r>
      <w:bookmarkEnd w:id="153"/>
      <w:bookmarkEnd w:id="154"/>
      <w:bookmarkEnd w:id="155"/>
      <w:bookmarkEnd w:id="156"/>
      <w:bookmarkEnd w:id="157"/>
      <w:bookmarkEnd w:id="158"/>
      <w:bookmarkEnd w:id="159"/>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在评审结束后2个工作日内将评审报告送采购人确认。</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集中采购机构</w:t>
      </w:r>
      <w:r>
        <w:rPr>
          <w:rFonts w:hint="eastAsia" w:ascii="仿宋_GB2312" w:hAnsi="仿宋_GB2312" w:eastAsia="仿宋_GB2312" w:cs="仿宋_GB2312"/>
          <w:color w:val="auto"/>
          <w:sz w:val="28"/>
          <w:szCs w:val="28"/>
        </w:rPr>
        <w:t>将在成交供应商确定之日起2个工作日内，在</w:t>
      </w:r>
      <w:r>
        <w:rPr>
          <w:rFonts w:hint="eastAsia" w:ascii="仿宋_GB2312" w:hAnsi="仿宋_GB2312" w:eastAsia="仿宋_GB2312" w:cs="仿宋_GB2312"/>
          <w:color w:val="auto"/>
          <w:sz w:val="28"/>
          <w:szCs w:val="28"/>
          <w:lang w:val="en-US" w:eastAsia="zh-CN"/>
        </w:rPr>
        <w:t>以下网址发布结果公告：</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【陕西省政府采购网（www.ccgp-shaanxi.gov.cn/）】中的〖首页·〉市级公告·〉</w:t>
      </w:r>
      <w:r>
        <w:rPr>
          <w:rFonts w:hint="eastAsia" w:ascii="仿宋_GB2312" w:hAnsi="仿宋_GB2312" w:eastAsia="仿宋_GB2312" w:cs="仿宋_GB2312"/>
          <w:color w:val="auto"/>
          <w:sz w:val="28"/>
          <w:szCs w:val="28"/>
          <w:lang w:val="en-US" w:eastAsia="zh-CN"/>
        </w:rPr>
        <w:t>结果</w:t>
      </w:r>
      <w:r>
        <w:rPr>
          <w:rFonts w:hint="eastAsia"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val="en-US" w:eastAsia="zh-CN"/>
        </w:rPr>
        <w:t>/终止公告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【全国公共资源交易平台（汉中市）（sxggzyjy.hanzhong.gov.cn/）】中的〖首页·〉交易大厅·〉政府采购·〉</w:t>
      </w:r>
      <w:r>
        <w:rPr>
          <w:rFonts w:hint="eastAsia" w:ascii="仿宋_GB2312" w:hAnsi="仿宋_GB2312" w:eastAsia="仿宋_GB2312" w:cs="仿宋_GB2312"/>
          <w:color w:val="auto"/>
          <w:sz w:val="28"/>
          <w:szCs w:val="28"/>
          <w:lang w:val="en-US" w:eastAsia="zh-CN"/>
        </w:rPr>
        <w:t>中标（成交）结果/终止公告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【汉中市政府采购中心（hzcg.hanzhong.gov.cn/）】中的〖首页·〉</w:t>
      </w:r>
      <w:r>
        <w:rPr>
          <w:rFonts w:hint="eastAsia" w:ascii="仿宋_GB2312" w:hAnsi="仿宋_GB2312" w:eastAsia="仿宋_GB2312" w:cs="仿宋_GB2312"/>
          <w:color w:val="auto"/>
          <w:sz w:val="28"/>
          <w:szCs w:val="28"/>
          <w:lang w:val="en-US" w:eastAsia="zh-CN"/>
        </w:rPr>
        <w:t>采购结果</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磋商成交/废标公告</w:t>
      </w:r>
      <w:r>
        <w:rPr>
          <w:rFonts w:hint="eastAsia" w:ascii="仿宋_GB2312" w:hAnsi="仿宋_GB2312" w:eastAsia="仿宋_GB2312" w:cs="仿宋_GB2312"/>
          <w:color w:val="auto"/>
          <w:sz w:val="28"/>
          <w:szCs w:val="28"/>
        </w:rPr>
        <w:t>〗。</w:t>
      </w:r>
    </w:p>
    <w:p>
      <w:pPr>
        <w:pageBreakBefore w:val="0"/>
        <w:widowControl/>
        <w:kinsoku/>
        <w:wordWrap w:val="0"/>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向成交供应商发出成交通知书。</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bookmarkStart w:id="171" w:name="_Toc18233"/>
      <w:bookmarkStart w:id="172" w:name="_Toc14009"/>
      <w:bookmarkStart w:id="173" w:name="_Toc3100"/>
      <w:bookmarkStart w:id="174" w:name="_Toc28870"/>
      <w:bookmarkStart w:id="175" w:name="_Toc10386"/>
      <w:bookmarkStart w:id="176" w:name="_Toc20049"/>
      <w:bookmarkStart w:id="177" w:name="_Toc23938"/>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、签订</w:t>
      </w:r>
      <w:r>
        <w:rPr>
          <w:rFonts w:hint="eastAsia" w:ascii="仿宋_GB2312" w:hAnsi="仿宋_GB2312" w:eastAsia="仿宋_GB2312" w:cs="仿宋_GB2312"/>
          <w:color w:val="auto"/>
          <w:kern w:val="0"/>
          <w:sz w:val="28"/>
          <w:szCs w:val="28"/>
        </w:rPr>
        <w:t>政府采购合同</w:t>
      </w:r>
      <w:bookmarkEnd w:id="171"/>
      <w:bookmarkEnd w:id="172"/>
      <w:bookmarkEnd w:id="173"/>
      <w:bookmarkEnd w:id="174"/>
      <w:bookmarkEnd w:id="175"/>
      <w:bookmarkEnd w:id="176"/>
      <w:bookmarkEnd w:id="177"/>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（一）采购人与成交供应商应当在《成交通知书》发出之后，洽谈合同条款内容，拟定合同文本草案。并在《成交通知书》发出之日起30日内签订书面合同。</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（二）合同在执行过程中，确需修改、变更时，应当按照相应的审核批准程序办理。</w:t>
      </w:r>
    </w:p>
    <w:p>
      <w:pPr>
        <w:pageBreakBefore w:val="0"/>
        <w:widowControl/>
        <w:kinsoku/>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（三）磋商文件、补充通知、磋商响应文件、补充协议等为合同的组成部分，具有同等法律效力。成交供应商不得将合同分包、转让他人。</w:t>
      </w:r>
    </w:p>
    <w:p>
      <w:pPr>
        <w:pStyle w:val="4"/>
        <w:pageBreakBefore w:val="0"/>
        <w:widowControl/>
        <w:kinsoku/>
        <w:overflowPunct/>
        <w:topLinePunct w:val="0"/>
        <w:autoSpaceDE/>
        <w:autoSpaceDN/>
        <w:bidi w:val="0"/>
        <w:adjustRightInd/>
        <w:snapToGrid/>
        <w:spacing w:line="560" w:lineRule="exact"/>
        <w:ind w:firstLine="566" w:firstLineChars="200"/>
        <w:textAlignment w:val="auto"/>
        <w:rPr>
          <w:rFonts w:ascii="黑体" w:hAnsi="黑体" w:eastAsia="黑体"/>
          <w:color w:val="auto"/>
          <w:sz w:val="28"/>
          <w:szCs w:val="28"/>
        </w:rPr>
        <w:sectPr>
          <w:headerReference r:id="rId7" w:type="default"/>
          <w:footerReference r:id="rId8" w:type="default"/>
          <w:pgSz w:w="11906" w:h="16838"/>
          <w:pgMar w:top="1417" w:right="1417" w:bottom="1134" w:left="1417" w:header="850" w:footer="992" w:gutter="0"/>
          <w:pgBorders>
            <w:top w:val="none" w:sz="0" w:space="0"/>
            <w:left w:val="none" w:sz="0" w:space="0"/>
            <w:bottom w:val="none" w:sz="0" w:space="0"/>
            <w:right w:val="none" w:sz="0" w:space="0"/>
          </w:pgBorders>
          <w:pgNumType w:start="1"/>
          <w:cols w:space="720" w:num="1"/>
          <w:docGrid w:type="linesAndChars" w:linePitch="381" w:charSpace="704"/>
        </w:sectPr>
      </w:pPr>
      <w:bookmarkStart w:id="178" w:name="_Toc5278"/>
      <w:bookmarkStart w:id="179" w:name="_Toc11584"/>
      <w:bookmarkStart w:id="180" w:name="_Toc17324"/>
      <w:bookmarkStart w:id="181" w:name="_Toc23303"/>
      <w:bookmarkStart w:id="182" w:name="_Toc8426"/>
      <w:bookmarkStart w:id="183" w:name="_Toc14560"/>
      <w:bookmarkStart w:id="184" w:name="_Toc10336"/>
      <w:bookmarkStart w:id="185" w:name="_Toc11780"/>
      <w:bookmarkStart w:id="186" w:name="_Toc4764"/>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采购代理服务费：免费</w:t>
      </w:r>
      <w:bookmarkEnd w:id="178"/>
      <w:bookmarkEnd w:id="179"/>
      <w:bookmarkEnd w:id="180"/>
      <w:bookmarkEnd w:id="181"/>
      <w:bookmarkEnd w:id="182"/>
      <w:bookmarkEnd w:id="183"/>
      <w:bookmarkEnd w:id="184"/>
      <w:bookmarkEnd w:id="185"/>
      <w:bookmarkEnd w:id="186"/>
    </w:p>
    <w:p>
      <w:pPr>
        <w:pStyle w:val="3"/>
        <w:rPr>
          <w:color w:val="auto"/>
        </w:rPr>
      </w:pPr>
      <w:bookmarkStart w:id="187" w:name="_Toc10476_WPSOffice_Level1"/>
      <w:bookmarkStart w:id="188" w:name="_Toc22915"/>
      <w:bookmarkStart w:id="189" w:name="_Toc6345"/>
      <w:bookmarkStart w:id="190" w:name="_Toc2772"/>
      <w:bookmarkStart w:id="191" w:name="_Toc31517"/>
      <w:r>
        <w:rPr>
          <w:rFonts w:hint="eastAsia" w:ascii="黑体" w:hAnsi="黑体" w:eastAsia="黑体" w:cs="黑体"/>
          <w:b w:val="0"/>
          <w:bCs/>
          <w:color w:val="auto"/>
          <w:sz w:val="32"/>
          <w:szCs w:val="40"/>
        </w:rPr>
        <w:t>第三章  磋商内容及采</w:t>
      </w:r>
      <w:bookmarkEnd w:id="187"/>
      <w:r>
        <w:rPr>
          <w:rFonts w:hint="eastAsia" w:ascii="黑体" w:hAnsi="黑体" w:eastAsia="黑体" w:cs="黑体"/>
          <w:b w:val="0"/>
          <w:bCs/>
          <w:color w:val="auto"/>
          <w:sz w:val="32"/>
          <w:szCs w:val="40"/>
        </w:rPr>
        <w:t>购要求</w:t>
      </w:r>
      <w:bookmarkEnd w:id="160"/>
      <w:bookmarkEnd w:id="161"/>
      <w:bookmarkEnd w:id="162"/>
      <w:bookmarkEnd w:id="163"/>
      <w:bookmarkEnd w:id="164"/>
      <w:bookmarkEnd w:id="165"/>
      <w:bookmarkEnd w:id="166"/>
      <w:bookmarkEnd w:id="167"/>
      <w:bookmarkEnd w:id="168"/>
      <w:bookmarkEnd w:id="169"/>
      <w:bookmarkEnd w:id="170"/>
      <w:bookmarkEnd w:id="188"/>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一、采购标的说明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1.采购人：汉中市财政专项资金管理处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2.项目名称：2022年度汉中市财政支出第三方绩效评价服务项目。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项目概况：汉中市财政局为开展2022年预算绩效管理工作，拟选取3家专业能力突出、机构管理规范、职业信誉好的第三方机构(主要包括专业咨询机构、会计师事务所、资产评估机构、律师事务所、科研院所、高等院校等)，对预算绩效管理对象实施绩效评价专业服务。通过开展预算绩效评价工作及时发现问题，为财政预算资金的安排提供后续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4.采购预算金额：39.5万元   最高限价：39.5万元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第一标段预算金额：22万元       最高限价：22万元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第二标段预算金额：11万元       最高限价：11万元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第三标段预算金额：6.5万元      最高限价：6.5万元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5.本采购需求中标注★号的部分为实质性要求和条件，成交供应商必须做出满足或者优于原要求和条件的承诺，否则作无效标处理。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p>
    <w:p>
      <w:pPr>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二、采购标的清单</w:t>
      </w:r>
    </w:p>
    <w:tbl>
      <w:tblPr>
        <w:tblStyle w:val="50"/>
        <w:tblpPr w:leftFromText="180" w:rightFromText="180" w:vertAnchor="text" w:horzAnchor="page" w:tblpX="1678" w:tblpY="557"/>
        <w:tblOverlap w:val="never"/>
        <w:tblW w:w="93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
        <w:gridCol w:w="1853"/>
        <w:gridCol w:w="4119"/>
        <w:gridCol w:w="1119"/>
        <w:gridCol w:w="1119"/>
        <w:gridCol w:w="7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464" w:type="dxa"/>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标 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主管单位</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项目名称</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项目金额 (万元)</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项目预算 (万元)</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项目</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46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第一标段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汉中市人社局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2022年失业保险基金</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12003.0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9.0</w:t>
            </w:r>
          </w:p>
        </w:tc>
        <w:tc>
          <w:tcPr>
            <w:tcW w:w="70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64"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滨江新区发展</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服务中心</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2022年滨江新区土地收储项目</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31461.0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7.0</w:t>
            </w:r>
          </w:p>
        </w:tc>
        <w:tc>
          <w:tcPr>
            <w:tcW w:w="70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46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汉中市经合局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2022年市经合局部门整体支出</w:t>
            </w:r>
          </w:p>
        </w:tc>
        <w:tc>
          <w:tcPr>
            <w:tcW w:w="1119"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1417.0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6.0</w:t>
            </w:r>
          </w:p>
        </w:tc>
        <w:tc>
          <w:tcPr>
            <w:tcW w:w="70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6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第二标段</w:t>
            </w:r>
          </w:p>
        </w:tc>
        <w:tc>
          <w:tcPr>
            <w:tcW w:w="18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汉中市文旅局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2022年留坝县张良庙紫柏山4A级</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景区基础设施提升工程</w:t>
            </w:r>
          </w:p>
        </w:tc>
        <w:tc>
          <w:tcPr>
            <w:tcW w:w="1119" w:type="dxa"/>
            <w:noWrap w:val="0"/>
            <w:vAlign w:val="center"/>
          </w:tcPr>
          <w:p>
            <w:pPr>
              <w:spacing w:before="231"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3"/>
                <w:sz w:val="28"/>
                <w:szCs w:val="28"/>
                <w:u w:val="none"/>
                <w:lang w:val="en-US" w:eastAsia="zh-CN"/>
              </w:rPr>
              <w:t>15600</w:t>
            </w:r>
            <w:r>
              <w:rPr>
                <w:rFonts w:hint="eastAsia" w:ascii="仿宋_GB2312" w:hAnsi="仿宋_GB2312" w:eastAsia="仿宋_GB2312" w:cs="仿宋_GB2312"/>
                <w:spacing w:val="3"/>
                <w:sz w:val="28"/>
                <w:szCs w:val="28"/>
                <w:u w:val="none"/>
              </w:rPr>
              <w:t>.0</w:t>
            </w:r>
          </w:p>
        </w:tc>
        <w:tc>
          <w:tcPr>
            <w:tcW w:w="1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6.5</w:t>
            </w:r>
          </w:p>
        </w:tc>
        <w:tc>
          <w:tcPr>
            <w:tcW w:w="70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464"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汉中市水利局</w:t>
            </w:r>
          </w:p>
        </w:tc>
        <w:tc>
          <w:tcPr>
            <w:tcW w:w="41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2022年湿地公园管理维护资金</w:t>
            </w:r>
          </w:p>
        </w:tc>
        <w:tc>
          <w:tcPr>
            <w:tcW w:w="1119" w:type="dxa"/>
            <w:noWrap w:val="0"/>
            <w:vAlign w:val="center"/>
          </w:tcPr>
          <w:p>
            <w:pPr>
              <w:spacing w:before="77"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3"/>
                <w:sz w:val="28"/>
                <w:szCs w:val="28"/>
                <w:u w:val="none"/>
                <w:lang w:val="en-US" w:eastAsia="zh-CN"/>
              </w:rPr>
              <w:t>108</w:t>
            </w:r>
            <w:r>
              <w:rPr>
                <w:rFonts w:hint="eastAsia" w:ascii="仿宋_GB2312" w:hAnsi="仿宋_GB2312" w:eastAsia="仿宋_GB2312" w:cs="仿宋_GB2312"/>
                <w:spacing w:val="3"/>
                <w:sz w:val="28"/>
                <w:szCs w:val="28"/>
                <w:u w:val="none"/>
              </w:rPr>
              <w:t>0.</w:t>
            </w:r>
            <w:r>
              <w:rPr>
                <w:rFonts w:hint="eastAsia" w:ascii="仿宋_GB2312" w:hAnsi="仿宋_GB2312" w:eastAsia="仿宋_GB2312" w:cs="仿宋_GB2312"/>
                <w:spacing w:val="3"/>
                <w:sz w:val="28"/>
                <w:szCs w:val="28"/>
                <w:u w:val="none"/>
                <w:lang w:val="en-US" w:eastAsia="zh-CN"/>
              </w:rPr>
              <w:t>0</w:t>
            </w:r>
          </w:p>
        </w:tc>
        <w:tc>
          <w:tcPr>
            <w:tcW w:w="111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4.5</w:t>
            </w:r>
          </w:p>
        </w:tc>
        <w:tc>
          <w:tcPr>
            <w:tcW w:w="702" w:type="dxa"/>
            <w:vMerge w:val="continue"/>
            <w:tcBorders>
              <w:top w:val="nil"/>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464" w:type="dxa"/>
            <w:tcBorders>
              <w:top w:val="single" w:color="auto" w:sz="4" w:space="0"/>
              <w:left w:val="single" w:color="auto" w:sz="4" w:space="0"/>
              <w:bottom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第三标段</w:t>
            </w:r>
          </w:p>
        </w:tc>
        <w:tc>
          <w:tcPr>
            <w:tcW w:w="1853"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汉中市经开区</w:t>
            </w:r>
          </w:p>
        </w:tc>
        <w:tc>
          <w:tcPr>
            <w:tcW w:w="4119"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2022年汉中高分子药物产业园</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基础设施建设项目</w:t>
            </w:r>
          </w:p>
        </w:tc>
        <w:tc>
          <w:tcPr>
            <w:tcW w:w="1119" w:type="dxa"/>
            <w:tcBorders>
              <w:right w:val="single" w:color="auto" w:sz="4" w:space="0"/>
            </w:tcBorders>
            <w:noWrap w:val="0"/>
            <w:vAlign w:val="center"/>
          </w:tcPr>
          <w:p>
            <w:pPr>
              <w:spacing w:before="78" w:line="190" w:lineRule="auto"/>
              <w:jc w:val="center"/>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pacing w:val="5"/>
                <w:sz w:val="28"/>
                <w:szCs w:val="28"/>
                <w:u w:val="none"/>
                <w:lang w:val="en-US" w:eastAsia="zh-CN"/>
              </w:rPr>
              <w:t>15000</w:t>
            </w:r>
            <w:r>
              <w:rPr>
                <w:rFonts w:hint="eastAsia" w:ascii="仿宋_GB2312" w:hAnsi="仿宋_GB2312" w:eastAsia="仿宋_GB2312" w:cs="仿宋_GB2312"/>
                <w:spacing w:val="5"/>
                <w:sz w:val="28"/>
                <w:szCs w:val="28"/>
                <w:u w:val="none"/>
              </w:rPr>
              <w:t>.</w:t>
            </w:r>
            <w:r>
              <w:rPr>
                <w:rFonts w:hint="eastAsia" w:ascii="仿宋_GB2312" w:hAnsi="仿宋_GB2312" w:eastAsia="仿宋_GB2312" w:cs="仿宋_GB2312"/>
                <w:spacing w:val="5"/>
                <w:sz w:val="28"/>
                <w:szCs w:val="28"/>
                <w:u w:val="none"/>
                <w:lang w:val="en-US" w:eastAsia="zh-CN"/>
              </w:rPr>
              <w:t>0</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6.5</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64" w:type="dxa"/>
            <w:tcBorders>
              <w:top w:val="single" w:color="auto" w:sz="4" w:space="0"/>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853" w:type="dxa"/>
            <w:tcBorders>
              <w:top w:val="single" w:color="auto" w:sz="4" w:space="0"/>
            </w:tcBorders>
            <w:noWrap w:val="0"/>
            <w:vAlign w:val="center"/>
          </w:tcPr>
          <w:p>
            <w:pPr>
              <w:spacing w:before="40" w:line="224" w:lineRule="auto"/>
              <w:jc w:val="center"/>
              <w:rPr>
                <w:rFonts w:hint="eastAsia" w:ascii="仿宋_GB2312" w:hAnsi="仿宋_GB2312" w:eastAsia="仿宋_GB2312" w:cs="仿宋_GB2312"/>
                <w:spacing w:val="8"/>
                <w:sz w:val="28"/>
                <w:szCs w:val="28"/>
                <w:u w:val="none"/>
                <w:lang w:val="en-US" w:eastAsia="zh-CN"/>
              </w:rPr>
            </w:pPr>
          </w:p>
        </w:tc>
        <w:tc>
          <w:tcPr>
            <w:tcW w:w="4119" w:type="dxa"/>
            <w:noWrap w:val="0"/>
            <w:vAlign w:val="center"/>
          </w:tcPr>
          <w:p>
            <w:pPr>
              <w:spacing w:before="40" w:line="224" w:lineRule="auto"/>
              <w:ind w:firstLine="1132" w:firstLineChars="400"/>
              <w:jc w:val="center"/>
              <w:rPr>
                <w:rFonts w:hint="eastAsia" w:ascii="仿宋_GB2312" w:hAnsi="仿宋_GB2312" w:eastAsia="仿宋_GB2312" w:cs="仿宋_GB2312"/>
                <w:i w:val="0"/>
                <w:iCs w:val="0"/>
                <w:color w:val="000000"/>
                <w:kern w:val="0"/>
                <w:sz w:val="28"/>
                <w:szCs w:val="28"/>
                <w:u w:val="none"/>
                <w:lang w:val="en-US" w:eastAsia="zh-CN" w:bidi="ar"/>
              </w:rPr>
            </w:pPr>
          </w:p>
        </w:tc>
        <w:tc>
          <w:tcPr>
            <w:tcW w:w="111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39.5</w:t>
            </w:r>
          </w:p>
        </w:tc>
        <w:tc>
          <w:tcPr>
            <w:tcW w:w="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default"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注：每家供应商只能参与一个标段。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三、采购标的服务内容和标准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(一) 绩效评价工作程序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1、制定评价工作方案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成立评价工作组，对评价项目资金进行调研，与预算部门(单位)沟通，收集相关政策文件及资料，了解项目资金的内容、操作流程、管理机制、资金使用、产出和效果等情况， 根据项目资金实际情况和绩效管理要求制定绩效评价工作方案，并报送采购人审核，审核通过的工作方案作为实施绩效评价的依据。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2、实施绩效评价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根据绩效评价方案组织实施绩效评价工作。开展资料收集、数据复核、问卷调查和访谈等工作，对复核后的数据和资料进行汇总，依据评分标准对绩效指标进行评分，并通过绩效分析形成评价结论。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3、出具绩效评价报告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按照采购人规定的文本格式要求撰写绩效评价报告，评价报告力求做到依据充分、分析透彻、逻辑清晰、客观公正。主要效果和存在问题分析应与评价结论逻辑一致，对策建议应具有针对性、可操作性和一定前瞻性。绩效评价报告征求 预算部门(单位)</w:t>
      </w:r>
      <w:r>
        <w:rPr>
          <w:rFonts w:hint="eastAsia" w:ascii="仿宋_GB2312" w:hAnsi="仿宋_GB2312" w:eastAsia="仿宋_GB2312" w:cs="仿宋_GB2312"/>
          <w:snapToGrid/>
          <w:color w:val="000000"/>
          <w:kern w:val="2"/>
          <w:sz w:val="28"/>
          <w:szCs w:val="28"/>
          <w:lang w:val="en-US" w:eastAsia="zh-CN" w:bidi="zh-CN"/>
        </w:rPr>
        <w:t>、</w:t>
      </w:r>
      <w:r>
        <w:rPr>
          <w:rFonts w:hint="eastAsia" w:ascii="仿宋_GB2312" w:hAnsi="仿宋_GB2312" w:eastAsia="仿宋_GB2312" w:cs="仿宋_GB2312"/>
          <w:snapToGrid/>
          <w:color w:val="000000"/>
          <w:kern w:val="2"/>
          <w:sz w:val="28"/>
          <w:szCs w:val="28"/>
          <w:lang w:eastAsia="zh-CN" w:bidi="zh-CN"/>
        </w:rPr>
        <w:t>市财政局</w:t>
      </w:r>
      <w:r>
        <w:rPr>
          <w:rFonts w:hint="eastAsia" w:ascii="仿宋_GB2312" w:hAnsi="仿宋_GB2312" w:eastAsia="仿宋_GB2312" w:cs="仿宋_GB2312"/>
          <w:snapToGrid/>
          <w:kern w:val="2"/>
          <w:sz w:val="28"/>
          <w:szCs w:val="28"/>
          <w:lang w:val="en-US" w:eastAsia="zh-CN" w:bidi="zh-CN"/>
        </w:rPr>
        <w:t>意见后，成交供应商进行修改完善，按规定出具正式报告。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4、归档管理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color w:val="000000"/>
          <w:kern w:val="2"/>
          <w:sz w:val="28"/>
          <w:szCs w:val="28"/>
          <w:lang w:val="en-US" w:eastAsia="zh-CN" w:bidi="zh-CN"/>
        </w:rPr>
        <w:t>建立绩效评价工作档案管理制度。按照完整、有序、规范的要求，及时对绩效评价工作</w:t>
      </w:r>
      <w:r>
        <w:rPr>
          <w:rFonts w:hint="eastAsia" w:ascii="仿宋_GB2312" w:hAnsi="仿宋_GB2312" w:eastAsia="仿宋_GB2312" w:cs="仿宋_GB2312"/>
          <w:snapToGrid/>
          <w:kern w:val="2"/>
          <w:sz w:val="28"/>
          <w:szCs w:val="28"/>
          <w:lang w:val="en-US" w:eastAsia="zh-CN" w:bidi="zh-CN"/>
        </w:rPr>
        <w:t>业务资料收集、整理、造册、建档管理。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(二) 绩效评价具体内容及服务标准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1、情况调研。认真搜集、研究评价对象的政策、投入、实施、产出、效果等方面的总体情况，深入分析评价对象特点，形成绩效评价总体思路。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2、制定评价方案。根据项目情况和特点，采取有针对性的方式方法，形成绩效评价方案(含评价指标体系、测评问卷等)，评价方案需完整、明确、科学、可行，有关服务措施需完备、到位。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3、情况搜集。根据设定的指标等信息，设计相关报表等，全面搜集项目信息，形成评价依据。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4、情况核实(社会测评)。在认真比对分析评价对象信息的基础上，根据实际需要，对搜集的情况进行深入核实，以验证成效、发现问题，为形成评价结论打下基础。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情况核实主要围绕设定的评价指标体系,重点核实以下内容：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283" w:firstLineChars="1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（1）核实资金到位情况。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（2)核查项目实施进度。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（3)核查资金实际使用情况。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（4)抽查专项资金会计原始凭证。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（5)核对专项资金所购实物资产。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（6)核查建设项目及设施设备的运行、维护及效果。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（7)核实考核和奖励资金相关主体资格条件的认定情况。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（8)抽检其他有关专项资金使用绩效的资料。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（9)对核查内容有疑问的，可追溯核实以往年度相关情况。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5、完成报告。在汇总、分析前期评价情况的基础上，采取召开专家评审会等方式形成评审结论，根据评审结论，按照规定格式和要求，就项目绩效、问题、建议等形成评价报告。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(三) 绩效评价人员要求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★1、项目工作人员不得少于3名(含项目负责人) ，项目负责人(全程负责与采购人直接对接绩效管理业务) 应具备较高的组织、协调、管理能力，熟悉相关政策，项目负责人须具有全日制本科(含) 以上学历，中高级职称或注册会计师等相关行业管理部门认可的专业资质，且从事绩效管理工作经历在3年(含)以上；拟派评价工作组成员(不包含项目负责人)不少于3人，具备胜任本项目绩效评价专业能力，全日制本科(含) 以上学历，具备初级(含)以上职称，负责组织开展各个环节的评价工作，工作组成员需从事绩效评价工作经历2年(含) 以上。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根据项目情况和评价需求，供应商须制订完整合理可行的本地化服务方案，并做到在发生紧急情况时，3小时以内项目负责人(主评人)或主要负责人到达现场处理。供应商必须自备保证满足业务需要的交通工具及办公设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供应商应保证项目组稳定性，原则上不得更换项目负责人，供应商需提供未经采购人同意不得更换项目组成员的承诺函(格式自拟)，并加盖供应商公章。工作组成员不能胜任采购人工作的或与被评价及被监控单位存在利益关系的，采购人有权要求供应商调换工作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(四) 绩效评价工作纪律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1、遵守工作纪律和廉政规定，对绩效评价过程中知悉的秘密不得泄露。</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2、不得利用参与绩效评价拉业务或谋取其他利益。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3、凡与涉及评价工作单位或者事项有利害关系的人员，应当自行回避。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4、工作中涉及的敏感资料、电子数据等相关信息，成交供应商应严格执行保密的相关规定，不得以任何方式向任何第三人披露、泄露或许可第三人使用，否则追究其相应法律责任。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四、采购标的服务期限、地点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★服务期限：绩效评价工作应在 2023年6月30日之前完成。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服务地点：采购人指定地点。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五、供应商履约能力要求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(一)供应商自近三年来，参与财政部门组织的财政预算绩效评价或类似项目工作。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二)为本项目服务的项目负责人(主评人)近三年主办过财政预算绩效评价或类似项目工作，提供的评价报告结构完整、指标体系科学合理、了解的情况和问题深入准确、建议有针对性和操作性。提供2份评价报告和委托单位证明其为项目负责人(主评人)的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(三) 根据中标项目，供应商分别制订绩效评价工作方案，满足下列要求：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1、项目概况介绍。做到紧扣案例资料、准确全面、条理清楚。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2、项目特点分析。做到重点突出，分析透彻。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3、评价思路方法。契合项目情况和特点需求，思路明确、合理可行。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4、评价指标设置。根据案例材料，结合实际情况，做到科学精准。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5、测评问卷设计。根据案例材料，结合实际情况，做到测评对象准确、测评方式科学、测评问题明确并与项目绩效高度关联。</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6、评价人员安排及工作步骤。根据案例材料，评估相应工作量，做到评价人员分工和工作步骤安排合理。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7、相关工作保障。明确工作纪律和要求，以及与采购人、被评价方之间的工作协调机制，承诺不得通过绩效评价获取不当利益，承诺评价过程规范、评价结果公正。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六.验收及质量考核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1、绩效评价须符合财政部及陕西省财政厅现行的有关绩效评价的制度规定以及《委托第三方机构参与预算绩效管理工作暂行办法》（汉财办(2021)4号）的有关要求。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2、质量考核主要包含服务考核及评价报告考核，评价报告考核以采购人最新出台的考核办法为准。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3、应按照磋商文件和磋商响应文件的有关规定提供合格服务。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4、服务质量出现问题，成交供应商负责修改完善，直至达到采购人的要求。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5、服务的验收包括：项目内容范围内的全部服务内容。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napToGrid/>
          <w:kern w:val="2"/>
          <w:sz w:val="28"/>
          <w:szCs w:val="28"/>
          <w:lang w:val="en-US" w:eastAsia="zh-CN" w:bidi="zh-CN"/>
        </w:rPr>
      </w:pPr>
      <w:r>
        <w:rPr>
          <w:rFonts w:hint="eastAsia" w:ascii="仿宋_GB2312" w:hAnsi="仿宋_GB2312" w:eastAsia="仿宋_GB2312" w:cs="仿宋_GB2312"/>
          <w:snapToGrid/>
          <w:kern w:val="2"/>
          <w:sz w:val="28"/>
          <w:szCs w:val="28"/>
          <w:lang w:val="en-US" w:eastAsia="zh-CN" w:bidi="zh-CN"/>
        </w:rPr>
        <w:t>6、成交供应商所提供的服务工作需接受</w:t>
      </w:r>
      <w:r>
        <w:rPr>
          <w:rFonts w:hint="eastAsia" w:ascii="仿宋_GB2312" w:hAnsi="仿宋_GB2312" w:eastAsia="仿宋_GB2312" w:cs="仿宋_GB2312"/>
          <w:snapToGrid/>
          <w:kern w:val="2"/>
          <w:sz w:val="28"/>
          <w:szCs w:val="28"/>
          <w:lang w:eastAsia="zh-CN" w:bidi="zh-CN"/>
        </w:rPr>
        <w:t>市财政局</w:t>
      </w:r>
      <w:r>
        <w:rPr>
          <w:rFonts w:hint="eastAsia" w:ascii="仿宋_GB2312" w:hAnsi="仿宋_GB2312" w:eastAsia="仿宋_GB2312" w:cs="仿宋_GB2312"/>
          <w:snapToGrid/>
          <w:kern w:val="2"/>
          <w:sz w:val="28"/>
          <w:szCs w:val="28"/>
          <w:lang w:val="en-US" w:eastAsia="zh-CN" w:bidi="zh-CN"/>
        </w:rPr>
        <w:t>的考核，对不同意参加考核的，采购人有权终止合同。考核结果与评价服务费挂钩，每个项目评分均为“优”[90(含)分-100分]或“良”[80(含)分-90(不含)分]等级时，全额支付项目费用；出现“中”[60 (含)分-80 (不含)分]等级时，扣除项目费用的10%；出现“差”[60 (不含)分及以下]等级时，扣除项目费用的20%。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b/>
          <w:bCs/>
          <w:snapToGrid/>
          <w:kern w:val="2"/>
          <w:sz w:val="28"/>
          <w:szCs w:val="28"/>
          <w:lang w:val="en-US" w:eastAsia="zh-CN" w:bidi="zh-CN"/>
        </w:rPr>
      </w:pPr>
      <w:r>
        <w:rPr>
          <w:rFonts w:hint="eastAsia" w:ascii="仿宋_GB2312" w:hAnsi="仿宋_GB2312" w:eastAsia="仿宋_GB2312" w:cs="仿宋_GB2312"/>
          <w:b/>
          <w:bCs/>
          <w:snapToGrid/>
          <w:kern w:val="2"/>
          <w:sz w:val="28"/>
          <w:szCs w:val="28"/>
          <w:lang w:val="en-US" w:eastAsia="zh-CN" w:bidi="zh-CN"/>
        </w:rPr>
        <w:t>七、付款方式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napToGrid/>
          <w:kern w:val="2"/>
          <w:sz w:val="28"/>
          <w:szCs w:val="28"/>
          <w:lang w:val="en-US" w:eastAsia="zh-CN" w:bidi="zh-CN"/>
        </w:rPr>
        <w:t>成交供应商履行完合同约定的所有条款并正式提交绩效评价报告后，</w:t>
      </w:r>
      <w:r>
        <w:rPr>
          <w:rFonts w:hint="eastAsia" w:ascii="仿宋_GB2312" w:hAnsi="仿宋_GB2312" w:eastAsia="仿宋_GB2312" w:cs="仿宋_GB2312"/>
          <w:snapToGrid/>
          <w:color w:val="000000"/>
          <w:kern w:val="2"/>
          <w:sz w:val="28"/>
          <w:szCs w:val="28"/>
          <w:lang w:val="en-US" w:eastAsia="zh-CN" w:bidi="zh-CN"/>
        </w:rPr>
        <w:t>市财政局牵头组织</w:t>
      </w:r>
      <w:r>
        <w:rPr>
          <w:rFonts w:hint="eastAsia" w:ascii="仿宋_GB2312" w:hAnsi="仿宋_GB2312" w:eastAsia="仿宋_GB2312" w:cs="仿宋_GB2312"/>
          <w:snapToGrid/>
          <w:kern w:val="2"/>
          <w:sz w:val="28"/>
          <w:szCs w:val="28"/>
          <w:lang w:val="en-US" w:eastAsia="zh-CN" w:bidi="zh-CN"/>
        </w:rPr>
        <w:t>对成交供应商提供服务及评价报告进行综合考核，采购人依据综合考核结果一次性付款（相关内容详见合同）。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6"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8"/>
          <w:szCs w:val="28"/>
          <w:lang w:eastAsia="zh-CN"/>
        </w:rPr>
      </w:pPr>
      <w:r>
        <w:rPr>
          <w:rFonts w:hint="eastAsia" w:ascii="仿宋_GB2312" w:hAnsi="仿宋_GB2312" w:eastAsia="仿宋_GB2312" w:cs="仿宋_GB2312"/>
          <w:b/>
          <w:bCs/>
          <w:color w:val="auto"/>
          <w:sz w:val="28"/>
          <w:szCs w:val="28"/>
        </w:rPr>
        <w:t>备注：</w:t>
      </w:r>
      <w:r>
        <w:rPr>
          <w:rFonts w:hint="eastAsia" w:ascii="仿宋_GB2312" w:hAnsi="仿宋_GB2312" w:eastAsia="仿宋_GB2312" w:cs="仿宋_GB2312"/>
          <w:b/>
          <w:bCs/>
          <w:color w:val="auto"/>
          <w:sz w:val="28"/>
          <w:szCs w:val="28"/>
          <w:lang w:val="en-US" w:eastAsia="zh-CN"/>
        </w:rPr>
        <w:t>以上</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内容，</w:t>
      </w:r>
      <w:r>
        <w:rPr>
          <w:rFonts w:hint="eastAsia" w:ascii="仿宋_GB2312" w:hAnsi="仿宋_GB2312" w:eastAsia="仿宋_GB2312" w:cs="仿宋_GB2312"/>
          <w:b/>
          <w:bCs/>
          <w:color w:val="auto"/>
          <w:sz w:val="28"/>
          <w:szCs w:val="28"/>
        </w:rPr>
        <w:t>为实质性要求，</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rPr>
        <w:t>人未逐条响应、有缺漏或负偏离将视为无效</w:t>
      </w:r>
      <w:r>
        <w:rPr>
          <w:rFonts w:hint="eastAsia" w:ascii="仿宋_GB2312" w:hAnsi="仿宋_GB2312" w:eastAsia="仿宋_GB2312" w:cs="仿宋_GB2312"/>
          <w:b/>
          <w:bCs/>
          <w:color w:val="auto"/>
          <w:sz w:val="28"/>
          <w:szCs w:val="28"/>
          <w:lang w:val="en-US" w:eastAsia="zh-CN"/>
        </w:rPr>
        <w:t>响应</w:t>
      </w:r>
      <w:r>
        <w:rPr>
          <w:rFonts w:hint="eastAsia" w:ascii="仿宋_GB2312" w:hAnsi="仿宋_GB2312" w:eastAsia="仿宋_GB2312" w:cs="仿宋_GB2312"/>
          <w:b/>
          <w:bCs/>
          <w:color w:val="auto"/>
          <w:sz w:val="28"/>
          <w:szCs w:val="28"/>
          <w:lang w:eastAsia="zh-CN"/>
        </w:rPr>
        <w:t>。</w:t>
      </w:r>
    </w:p>
    <w:p>
      <w:pPr>
        <w:pStyle w:val="3"/>
        <w:jc w:val="center"/>
        <w:rPr>
          <w:rFonts w:hint="eastAsia" w:ascii="华文仿宋" w:hAnsi="华文仿宋" w:cs="华文仿宋"/>
          <w:color w:val="auto"/>
        </w:rPr>
      </w:pPr>
      <w:r>
        <w:rPr>
          <w:rFonts w:ascii="宋体" w:hAnsi="宋体" w:eastAsia="宋体" w:cs="宋体"/>
          <w:color w:val="auto"/>
          <w:sz w:val="21"/>
          <w:szCs w:val="21"/>
        </w:rPr>
        <w:br w:type="page"/>
      </w:r>
      <w:bookmarkStart w:id="192" w:name="_Toc10371"/>
      <w:bookmarkStart w:id="193" w:name="_Toc35871571"/>
      <w:bookmarkStart w:id="194" w:name="_Toc14089"/>
      <w:bookmarkStart w:id="195" w:name="_Toc12628"/>
      <w:bookmarkStart w:id="196" w:name="_Toc18466_WPSOffice_Level1"/>
      <w:bookmarkStart w:id="197" w:name="_Toc19317"/>
      <w:bookmarkStart w:id="198" w:name="_Toc495012823"/>
      <w:bookmarkStart w:id="199" w:name="_Toc495014651"/>
      <w:bookmarkStart w:id="200" w:name="_Toc495014613"/>
      <w:bookmarkStart w:id="201" w:name="_Toc495014922"/>
      <w:bookmarkStart w:id="202" w:name="_Toc495012773"/>
      <w:bookmarkStart w:id="203" w:name="_Toc445306495"/>
      <w:bookmarkStart w:id="204" w:name="_Toc495014956"/>
      <w:bookmarkStart w:id="205" w:name="_Toc495014587"/>
      <w:bookmarkStart w:id="206" w:name="_Toc784_WPSOffice_Level1"/>
      <w:bookmarkStart w:id="207" w:name="_Toc18484_WPSOffice_Level1"/>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w:t>
      </w:r>
      <w:r>
        <w:rPr>
          <w:rFonts w:hint="eastAsia" w:ascii="黑体" w:hAnsi="黑体" w:eastAsia="黑体"/>
          <w:b w:val="0"/>
          <w:color w:val="auto"/>
          <w:sz w:val="32"/>
          <w:szCs w:val="32"/>
          <w:lang w:val="en-US" w:eastAsia="zh-CN"/>
        </w:rPr>
        <w:t>草案</w:t>
      </w:r>
      <w:r>
        <w:rPr>
          <w:rFonts w:hint="eastAsia" w:ascii="黑体" w:hAnsi="黑体" w:eastAsia="黑体"/>
          <w:b w:val="0"/>
          <w:color w:val="auto"/>
          <w:sz w:val="32"/>
          <w:szCs w:val="32"/>
        </w:rPr>
        <w:t>条款</w:t>
      </w:r>
      <w:bookmarkEnd w:id="192"/>
      <w:bookmarkEnd w:id="193"/>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一、基本条件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lang w:val="en-US" w:eastAsia="zh-CN" w:bidi="ar"/>
        </w:rPr>
        <w:t>（一）服务</w:t>
      </w:r>
      <w:r>
        <w:rPr>
          <w:rFonts w:hint="eastAsia" w:ascii="仿宋_GB2312" w:hAnsi="仿宋_GB2312" w:eastAsia="仿宋_GB2312" w:cs="仿宋_GB2312"/>
          <w:color w:val="auto"/>
          <w:kern w:val="0"/>
          <w:sz w:val="28"/>
          <w:szCs w:val="28"/>
          <w:highlight w:val="none"/>
          <w:lang w:val="en-US" w:eastAsia="zh-CN" w:bidi="ar"/>
        </w:rPr>
        <w:t>地点：汉中市财政专项资金管理处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
        </w:rPr>
        <w:t>（二）服务期：绩效评价工作应在 2023年6月30日之前完成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二、合同价款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合同总价一次性包死，不受市场价格变化因素的影响。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三、款项结算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（一）支付方式：银行转账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（二）货币单位：人民币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（三）</w:t>
      </w:r>
      <w:r>
        <w:rPr>
          <w:rFonts w:hint="eastAsia" w:ascii="仿宋_GB2312" w:hAnsi="仿宋_GB2312" w:eastAsia="仿宋_GB2312" w:cs="仿宋_GB2312"/>
          <w:color w:val="auto"/>
          <w:kern w:val="0"/>
          <w:sz w:val="28"/>
          <w:szCs w:val="28"/>
          <w:highlight w:val="none"/>
          <w:lang w:val="en-US" w:eastAsia="zh-CN" w:bidi="ar"/>
        </w:rPr>
        <w:t xml:space="preserve">结算方式：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 xml:space="preserve">成交供应商履行完合同约定的所有条款并正式提交绩效评价报告后，市财政局牵头组织对成交供应商提供服务及评价报告进行综合考核，采购人依据综合考核结果一次性付款。 </w:t>
      </w:r>
    </w:p>
    <w:p>
      <w:pPr>
        <w:keepNext/>
        <w:keepLines/>
        <w:pageBreakBefore w:val="0"/>
        <w:widowControl/>
        <w:kinsoku/>
        <w:wordWrap/>
        <w:overflowPunct/>
        <w:topLinePunct w:val="0"/>
        <w:autoSpaceDE/>
        <w:autoSpaceDN/>
        <w:bidi w:val="0"/>
        <w:adjustRightInd/>
        <w:snapToGrid/>
        <w:spacing w:line="560" w:lineRule="exact"/>
        <w:ind w:firstLine="566" w:firstLineChars="200"/>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四、</w:t>
      </w:r>
      <w:r>
        <w:rPr>
          <w:rFonts w:hint="eastAsia" w:ascii="仿宋_GB2312" w:hAnsi="仿宋_GB2312" w:eastAsia="仿宋_GB2312" w:cs="仿宋_GB2312"/>
          <w:b/>
          <w:bCs/>
          <w:color w:val="auto"/>
          <w:sz w:val="28"/>
          <w:szCs w:val="28"/>
        </w:rPr>
        <w:t>服务保证</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1、成交供应商提供服务时，服务要求应按不低于国家、省、市有关部门规定的质量标准执行。</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2、成交供应商承诺与拟投入人员均有劳动合同或聘用协议。</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、成交供应商承诺工作人员按磋商文件落实。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五、服务承诺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以响应文件、澄清表（函）、合同等相关文件为准。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六、违约责任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成交供应商违约的，采购人有权终止合同；若给采购人造成经济损失的，采购人可依法向成交供应商进行经济索赔，并报请政府采购监管机关依法进行相应的行政处罚。采购人违约的，须依法赔偿给成交供应商造成的经济损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七、争议解决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执行本合同中产生纠纷，由采购人与成交供应商双方协商解决；协商不成，向有管辖权的人民法院提起诉讼。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八、合同生效及其他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1、本合同自签订之日起生效。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2、合同份数由采购人和成交供应商具体商定。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3、未尽事宜由双方在签订合同时具体明确。</w:t>
      </w:r>
    </w:p>
    <w:p>
      <w:pPr>
        <w:spacing w:line="240" w:lineRule="auto"/>
        <w:jc w:val="left"/>
        <w:rPr>
          <w:rFonts w:ascii="黑体" w:hAnsi="黑体" w:eastAsia="黑体"/>
          <w:b/>
          <w:bCs/>
          <w:color w:val="auto"/>
          <w:kern w:val="44"/>
          <w:sz w:val="32"/>
          <w:szCs w:val="32"/>
        </w:rPr>
      </w:pPr>
      <w:r>
        <w:rPr>
          <w:rFonts w:ascii="黑体" w:hAnsi="黑体" w:eastAsia="黑体"/>
          <w:bCs/>
          <w:color w:val="auto"/>
          <w:sz w:val="32"/>
          <w:szCs w:val="32"/>
        </w:rPr>
        <w:br w:type="page"/>
      </w:r>
    </w:p>
    <w:p>
      <w:pPr>
        <w:pStyle w:val="3"/>
        <w:rPr>
          <w:rFonts w:ascii="黑体" w:hAnsi="黑体" w:eastAsia="黑体" w:cs="黑体"/>
          <w:b w:val="0"/>
          <w:bCs/>
          <w:color w:val="auto"/>
          <w:sz w:val="32"/>
          <w:szCs w:val="32"/>
        </w:rPr>
      </w:pPr>
      <w:bookmarkStart w:id="208" w:name="_Toc5571"/>
      <w:r>
        <w:rPr>
          <w:rFonts w:hint="eastAsia" w:ascii="黑体" w:hAnsi="黑体" w:eastAsia="黑体" w:cs="黑体"/>
          <w:b w:val="0"/>
          <w:bCs/>
          <w:color w:val="auto"/>
          <w:sz w:val="32"/>
          <w:szCs w:val="32"/>
        </w:rPr>
        <w:t>第五章  响应文件构成及格式</w:t>
      </w:r>
      <w:bookmarkEnd w:id="194"/>
      <w:bookmarkEnd w:id="195"/>
      <w:bookmarkEnd w:id="196"/>
      <w:bookmarkEnd w:id="197"/>
      <w:bookmarkEnd w:id="208"/>
    </w:p>
    <w:p>
      <w:pPr>
        <w:pStyle w:val="40"/>
        <w:rPr>
          <w:color w:val="auto"/>
        </w:rPr>
      </w:pPr>
    </w:p>
    <w:p>
      <w:pPr>
        <w:pStyle w:val="40"/>
        <w:rPr>
          <w:color w:val="auto"/>
        </w:rPr>
      </w:pPr>
    </w:p>
    <w:p>
      <w:pPr>
        <w:pStyle w:val="40"/>
        <w:rPr>
          <w:color w:val="auto"/>
        </w:rPr>
      </w:pPr>
    </w:p>
    <w:p>
      <w:pPr>
        <w:pStyle w:val="40"/>
        <w:rPr>
          <w:color w:val="auto"/>
        </w:rPr>
      </w:pPr>
      <w:r>
        <w:rPr>
          <w:rFonts w:hint="eastAsia"/>
          <w:color w:val="auto"/>
        </w:rPr>
        <w:t xml:space="preserve">  </w:t>
      </w:r>
    </w:p>
    <w:tbl>
      <w:tblPr>
        <w:tblStyle w:val="20"/>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pPr>
              <w:spacing w:before="12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注释： </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1、本章分为三部分，是为方便投标人制作响应文件设计。第一、二部分应按要求或给定格式选择填报。</w:t>
            </w:r>
          </w:p>
          <w:p>
            <w:pPr>
              <w:spacing w:before="120" w:line="420" w:lineRule="exact"/>
              <w:ind w:firstLine="486"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2、第三部分</w:t>
            </w:r>
            <w:r>
              <w:rPr>
                <w:rFonts w:hint="eastAsia" w:ascii="仿宋_GB2312" w:hAnsi="仿宋_GB2312" w:eastAsia="仿宋_GB2312" w:cs="仿宋_GB2312"/>
                <w:color w:val="auto"/>
                <w:sz w:val="24"/>
                <w:szCs w:val="24"/>
                <w:lang w:val="en-US" w:eastAsia="zh-CN"/>
              </w:rPr>
              <w:t>响应</w:t>
            </w:r>
            <w:r>
              <w:rPr>
                <w:rFonts w:hint="eastAsia" w:ascii="仿宋_GB2312" w:hAnsi="仿宋_GB2312" w:eastAsia="仿宋_GB2312" w:cs="仿宋_GB2312"/>
                <w:color w:val="auto"/>
                <w:sz w:val="24"/>
                <w:szCs w:val="24"/>
              </w:rPr>
              <w:t>方案格式仅供参考，</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color w:val="auto"/>
                <w:sz w:val="24"/>
                <w:szCs w:val="24"/>
              </w:rPr>
              <w:t>应根据项目特点，结合本次</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要求，对有关表格进行补充或修改，但不得对实质性文件的相关条款作出变动。</w:t>
            </w:r>
          </w:p>
        </w:tc>
      </w:tr>
    </w:tbl>
    <w:p>
      <w:pPr>
        <w:pStyle w:val="40"/>
        <w:rPr>
          <w:color w:val="auto"/>
          <w:sz w:val="20"/>
        </w:rPr>
      </w:pPr>
    </w:p>
    <w:p>
      <w:pPr>
        <w:pStyle w:val="37"/>
        <w:spacing w:line="240" w:lineRule="auto"/>
        <w:ind w:firstLine="253" w:firstLineChars="70"/>
        <w:jc w:val="center"/>
        <w:rPr>
          <w:rFonts w:ascii="宋体" w:hAnsi="宋体" w:eastAsia="宋体"/>
          <w:color w:val="auto"/>
          <w:sz w:val="36"/>
          <w:szCs w:val="36"/>
        </w:rPr>
      </w:pPr>
    </w:p>
    <w:p>
      <w:pPr>
        <w:pStyle w:val="37"/>
        <w:spacing w:line="240" w:lineRule="auto"/>
        <w:ind w:firstLine="253" w:firstLineChars="70"/>
        <w:jc w:val="center"/>
        <w:rPr>
          <w:color w:val="auto"/>
          <w:sz w:val="36"/>
          <w:szCs w:val="36"/>
        </w:rPr>
      </w:pPr>
      <w:r>
        <w:rPr>
          <w:rFonts w:ascii="宋体" w:hAnsi="宋体" w:eastAsia="宋体"/>
          <w:color w:val="auto"/>
          <w:sz w:val="36"/>
          <w:szCs w:val="36"/>
        </w:rPr>
        <w:br w:type="page"/>
      </w:r>
    </w:p>
    <w:p>
      <w:pPr>
        <w:spacing w:line="240" w:lineRule="auto"/>
        <w:jc w:val="left"/>
        <w:outlineLvl w:val="0"/>
        <w:rPr>
          <w:rFonts w:hint="eastAsia" w:ascii="华文中宋" w:hAnsi="华文中宋" w:eastAsia="华文中宋" w:cs="华文中宋"/>
          <w:color w:val="auto"/>
          <w:sz w:val="60"/>
          <w:szCs w:val="60"/>
        </w:rPr>
      </w:pPr>
      <w:bookmarkStart w:id="209" w:name="_Toc26293"/>
      <w:bookmarkStart w:id="210" w:name="_Toc257"/>
      <w:bookmarkStart w:id="211" w:name="_Toc10248"/>
      <w:bookmarkStart w:id="212" w:name="_Toc23235"/>
      <w:bookmarkStart w:id="213" w:name="_Toc26349"/>
      <w:bookmarkStart w:id="214" w:name="_Toc24786"/>
      <w:bookmarkStart w:id="215" w:name="_Toc6132"/>
    </w:p>
    <w:p>
      <w:pPr>
        <w:spacing w:line="240" w:lineRule="auto"/>
        <w:jc w:val="center"/>
        <w:outlineLvl w:val="0"/>
        <w:rPr>
          <w:rFonts w:hint="eastAsia" w:ascii="方正小标宋简体" w:hAnsi="方正小标宋简体" w:eastAsia="方正小标宋简体" w:cs="方正小标宋简体"/>
          <w:color w:val="auto"/>
          <w:sz w:val="52"/>
          <w:szCs w:val="52"/>
        </w:rPr>
      </w:pPr>
      <w:bookmarkStart w:id="216" w:name="_Toc14411"/>
      <w:r>
        <w:rPr>
          <w:rFonts w:hint="eastAsia" w:ascii="方正小标宋简体" w:hAnsi="方正小标宋简体" w:eastAsia="方正小标宋简体" w:cs="方正小标宋简体"/>
          <w:color w:val="auto"/>
          <w:sz w:val="52"/>
          <w:szCs w:val="52"/>
          <w:lang w:val="en-US" w:eastAsia="zh-CN"/>
        </w:rPr>
        <w:t>汉中市</w:t>
      </w:r>
      <w:r>
        <w:rPr>
          <w:rFonts w:hint="eastAsia" w:ascii="方正小标宋简体" w:hAnsi="方正小标宋简体" w:eastAsia="方正小标宋简体" w:cs="方正小标宋简体"/>
          <w:color w:val="auto"/>
          <w:sz w:val="52"/>
          <w:szCs w:val="52"/>
        </w:rPr>
        <w:t>政府采购</w:t>
      </w:r>
      <w:r>
        <w:rPr>
          <w:rFonts w:hint="eastAsia" w:ascii="方正小标宋简体" w:hAnsi="方正小标宋简体" w:eastAsia="方正小标宋简体" w:cs="方正小标宋简体"/>
          <w:color w:val="auto"/>
          <w:sz w:val="52"/>
          <w:szCs w:val="52"/>
          <w:lang w:val="en-US" w:eastAsia="zh-CN"/>
        </w:rPr>
        <w:t>竞争性磋商</w:t>
      </w:r>
      <w:r>
        <w:rPr>
          <w:rFonts w:hint="eastAsia" w:ascii="方正小标宋简体" w:hAnsi="方正小标宋简体" w:eastAsia="方正小标宋简体" w:cs="方正小标宋简体"/>
          <w:color w:val="auto"/>
          <w:sz w:val="52"/>
          <w:szCs w:val="52"/>
        </w:rPr>
        <w:t>项目</w:t>
      </w:r>
      <w:bookmarkEnd w:id="209"/>
      <w:bookmarkEnd w:id="210"/>
      <w:bookmarkEnd w:id="211"/>
      <w:bookmarkEnd w:id="212"/>
      <w:bookmarkEnd w:id="213"/>
      <w:bookmarkEnd w:id="214"/>
      <w:bookmarkEnd w:id="215"/>
      <w:bookmarkEnd w:id="216"/>
    </w:p>
    <w:p>
      <w:pPr>
        <w:pStyle w:val="37"/>
        <w:spacing w:line="240" w:lineRule="auto"/>
        <w:ind w:left="0" w:leftChars="0" w:firstLine="0" w:firstLineChars="0"/>
        <w:jc w:val="both"/>
        <w:rPr>
          <w:rFonts w:hint="eastAsia" w:ascii="方正小标宋简体" w:hAnsi="方正小标宋简体" w:eastAsia="方正小标宋简体" w:cs="方正小标宋简体"/>
          <w:color w:val="auto"/>
          <w:sz w:val="36"/>
          <w:szCs w:val="36"/>
        </w:rPr>
      </w:pPr>
    </w:p>
    <w:p>
      <w:pPr>
        <w:spacing w:line="240" w:lineRule="auto"/>
        <w:jc w:val="center"/>
        <w:outlineLvl w:val="0"/>
        <w:rPr>
          <w:rFonts w:hint="eastAsia" w:ascii="方正小标宋简体" w:hAnsi="方正小标宋简体" w:eastAsia="方正小标宋简体" w:cs="方正小标宋简体"/>
          <w:color w:val="auto"/>
          <w:sz w:val="100"/>
          <w:szCs w:val="100"/>
          <w:lang w:val="en-US" w:eastAsia="zh-CN"/>
        </w:rPr>
      </w:pPr>
      <w:bookmarkStart w:id="217" w:name="_Toc20481"/>
      <w:bookmarkStart w:id="218" w:name="_Toc26378"/>
      <w:bookmarkStart w:id="219" w:name="_Toc17700"/>
      <w:bookmarkStart w:id="220" w:name="_Toc13950"/>
      <w:bookmarkStart w:id="221" w:name="_Toc6733"/>
      <w:bookmarkStart w:id="222" w:name="_Toc76"/>
      <w:bookmarkStart w:id="223" w:name="_Toc8257"/>
      <w:bookmarkStart w:id="224" w:name="_Toc19569"/>
      <w:r>
        <w:rPr>
          <w:rFonts w:hint="eastAsia" w:ascii="方正小标宋简体" w:hAnsi="方正小标宋简体" w:eastAsia="方正小标宋简体" w:cs="方正小标宋简体"/>
          <w:color w:val="auto"/>
          <w:sz w:val="100"/>
          <w:szCs w:val="100"/>
          <w:lang w:val="en-US" w:eastAsia="zh-CN"/>
        </w:rPr>
        <w:t>响应文件</w:t>
      </w:r>
      <w:bookmarkEnd w:id="217"/>
      <w:bookmarkEnd w:id="218"/>
      <w:bookmarkEnd w:id="219"/>
      <w:bookmarkEnd w:id="220"/>
      <w:bookmarkEnd w:id="221"/>
      <w:bookmarkEnd w:id="222"/>
      <w:bookmarkEnd w:id="223"/>
      <w:bookmarkEnd w:id="224"/>
    </w:p>
    <w:p>
      <w:pPr>
        <w:pStyle w:val="37"/>
        <w:spacing w:line="240" w:lineRule="auto"/>
        <w:ind w:firstLine="0" w:firstLineChars="0"/>
        <w:jc w:val="center"/>
        <w:rPr>
          <w:rFonts w:ascii="华文仿宋" w:hAnsi="华文仿宋" w:cs="华文仿宋"/>
          <w:color w:val="auto"/>
          <w:sz w:val="36"/>
          <w:szCs w:val="36"/>
        </w:rPr>
      </w:pPr>
    </w:p>
    <w:p>
      <w:pPr>
        <w:pStyle w:val="37"/>
        <w:spacing w:line="240" w:lineRule="auto"/>
        <w:ind w:firstLine="0" w:firstLineChars="0"/>
        <w:jc w:val="both"/>
        <w:rPr>
          <w:rFonts w:ascii="华文仿宋" w:hAnsi="华文仿宋" w:cs="华文仿宋"/>
          <w:color w:val="auto"/>
          <w:sz w:val="36"/>
          <w:szCs w:val="36"/>
        </w:rPr>
      </w:pPr>
    </w:p>
    <w:p>
      <w:pPr>
        <w:pStyle w:val="37"/>
        <w:spacing w:line="240" w:lineRule="auto"/>
        <w:ind w:firstLine="0" w:firstLineChars="0"/>
        <w:jc w:val="both"/>
        <w:rPr>
          <w:rFonts w:ascii="华文仿宋" w:hAnsi="华文仿宋" w:cs="华文仿宋"/>
          <w:color w:val="auto"/>
          <w:sz w:val="36"/>
          <w:szCs w:val="36"/>
        </w:rPr>
      </w:pPr>
    </w:p>
    <w:p>
      <w:pPr>
        <w:pStyle w:val="37"/>
        <w:spacing w:line="240" w:lineRule="auto"/>
        <w:ind w:firstLine="0" w:firstLineChars="0"/>
        <w:jc w:val="center"/>
        <w:rPr>
          <w:rFonts w:ascii="华文仿宋" w:hAnsi="华文仿宋" w:cs="华文仿宋"/>
          <w:color w:val="auto"/>
          <w:sz w:val="36"/>
        </w:rPr>
      </w:pPr>
    </w:p>
    <w:p>
      <w:pPr>
        <w:pStyle w:val="37"/>
        <w:spacing w:line="240" w:lineRule="auto"/>
        <w:ind w:firstLine="0" w:firstLineChars="0"/>
        <w:jc w:val="center"/>
        <w:rPr>
          <w:rFonts w:ascii="华文仿宋" w:hAnsi="华文仿宋" w:cs="华文仿宋"/>
          <w:color w:val="auto"/>
          <w:sz w:val="36"/>
        </w:rPr>
      </w:pPr>
    </w:p>
    <w:p>
      <w:pPr>
        <w:pStyle w:val="37"/>
        <w:spacing w:line="240" w:lineRule="auto"/>
        <w:ind w:firstLine="0" w:firstLineChars="0"/>
        <w:jc w:val="center"/>
        <w:rPr>
          <w:rFonts w:hint="eastAsia" w:ascii="仿宋_GB2312" w:hAnsi="仿宋_GB2312" w:eastAsia="仿宋_GB2312" w:cs="仿宋_GB2312"/>
          <w:color w:val="auto"/>
          <w:sz w:val="36"/>
        </w:rPr>
      </w:pPr>
    </w:p>
    <w:p>
      <w:pPr>
        <w:pStyle w:val="37"/>
        <w:spacing w:line="240" w:lineRule="auto"/>
        <w:ind w:firstLine="1452" w:firstLineChars="400"/>
        <w:outlineLvl w:val="0"/>
        <w:rPr>
          <w:rFonts w:hint="eastAsia" w:ascii="仿宋_GB2312" w:hAnsi="仿宋_GB2312" w:eastAsia="仿宋_GB2312" w:cs="仿宋_GB2312"/>
          <w:b/>
          <w:color w:val="auto"/>
          <w:sz w:val="36"/>
          <w:szCs w:val="36"/>
          <w:u w:val="single"/>
        </w:rPr>
      </w:pPr>
      <w:bookmarkStart w:id="225" w:name="_Toc24486"/>
      <w:bookmarkStart w:id="226" w:name="_Toc15354"/>
      <w:bookmarkStart w:id="227" w:name="_Toc24457"/>
      <w:bookmarkStart w:id="228" w:name="_Toc23171"/>
      <w:bookmarkStart w:id="229" w:name="_Toc2030"/>
      <w:bookmarkStart w:id="230" w:name="_Toc22280"/>
      <w:bookmarkStart w:id="231" w:name="_Toc15913"/>
      <w:bookmarkStart w:id="232" w:name="_Toc12627"/>
      <w:r>
        <w:rPr>
          <w:rFonts w:hint="eastAsia" w:ascii="仿宋_GB2312" w:hAnsi="仿宋_GB2312" w:eastAsia="仿宋_GB2312" w:cs="仿宋_GB2312"/>
          <w:bCs/>
          <w:color w:val="auto"/>
          <w:sz w:val="36"/>
          <w:szCs w:val="36"/>
        </w:rPr>
        <w:t>项目名称：</w:t>
      </w:r>
      <w:bookmarkEnd w:id="225"/>
      <w:bookmarkEnd w:id="226"/>
      <w:bookmarkEnd w:id="227"/>
      <w:bookmarkEnd w:id="228"/>
      <w:bookmarkEnd w:id="229"/>
      <w:bookmarkEnd w:id="230"/>
      <w:bookmarkEnd w:id="231"/>
      <w:bookmarkEnd w:id="232"/>
      <w:r>
        <w:rPr>
          <w:rFonts w:hint="eastAsia" w:ascii="仿宋_GB2312" w:hAnsi="仿宋_GB2312" w:eastAsia="仿宋_GB2312" w:cs="仿宋_GB2312"/>
          <w:color w:val="auto"/>
          <w:sz w:val="36"/>
          <w:szCs w:val="36"/>
          <w:u w:val="single"/>
        </w:rPr>
        <w:t xml:space="preserve">             </w:t>
      </w:r>
    </w:p>
    <w:p>
      <w:pPr>
        <w:pStyle w:val="37"/>
        <w:spacing w:line="240" w:lineRule="auto"/>
        <w:ind w:firstLine="1452" w:firstLineChars="400"/>
        <w:outlineLvl w:val="0"/>
        <w:rPr>
          <w:rFonts w:hint="eastAsia" w:ascii="仿宋_GB2312" w:hAnsi="仿宋_GB2312" w:eastAsia="仿宋_GB2312" w:cs="仿宋_GB2312"/>
          <w:color w:val="auto"/>
          <w:sz w:val="36"/>
          <w:szCs w:val="36"/>
          <w:u w:val="single"/>
        </w:rPr>
      </w:pPr>
      <w:bookmarkStart w:id="233" w:name="_Toc16607"/>
      <w:bookmarkStart w:id="234" w:name="_Toc15987"/>
      <w:bookmarkStart w:id="235" w:name="_Toc11267"/>
      <w:bookmarkStart w:id="236" w:name="_Toc29966"/>
      <w:bookmarkStart w:id="237" w:name="_Toc5428"/>
      <w:bookmarkStart w:id="238" w:name="_Toc22519"/>
      <w:bookmarkStart w:id="239" w:name="_Toc21054"/>
      <w:bookmarkStart w:id="240" w:name="_Toc1120"/>
      <w:r>
        <w:rPr>
          <w:rFonts w:hint="eastAsia" w:ascii="仿宋_GB2312" w:hAnsi="仿宋_GB2312" w:eastAsia="仿宋_GB2312" w:cs="仿宋_GB2312"/>
          <w:bCs/>
          <w:color w:val="auto"/>
          <w:sz w:val="36"/>
          <w:szCs w:val="36"/>
        </w:rPr>
        <w:t>项目</w:t>
      </w:r>
      <w:r>
        <w:rPr>
          <w:rFonts w:hint="eastAsia" w:ascii="仿宋_GB2312" w:hAnsi="仿宋_GB2312" w:eastAsia="仿宋_GB2312" w:cs="仿宋_GB2312"/>
          <w:bCs/>
          <w:color w:val="auto"/>
          <w:sz w:val="36"/>
          <w:szCs w:val="36"/>
          <w:lang w:val="en-US" w:eastAsia="zh-CN"/>
        </w:rPr>
        <w:t>编号</w:t>
      </w:r>
      <w:r>
        <w:rPr>
          <w:rFonts w:hint="eastAsia" w:ascii="仿宋_GB2312" w:hAnsi="仿宋_GB2312" w:eastAsia="仿宋_GB2312" w:cs="仿宋_GB2312"/>
          <w:bCs/>
          <w:color w:val="auto"/>
          <w:sz w:val="36"/>
          <w:szCs w:val="36"/>
        </w:rPr>
        <w:t>：</w:t>
      </w:r>
      <w:bookmarkEnd w:id="233"/>
      <w:r>
        <w:rPr>
          <w:rFonts w:hint="eastAsia" w:ascii="仿宋_GB2312" w:hAnsi="仿宋_GB2312" w:eastAsia="仿宋_GB2312" w:cs="仿宋_GB2312"/>
          <w:color w:val="auto"/>
          <w:sz w:val="36"/>
          <w:szCs w:val="36"/>
          <w:u w:val="single"/>
        </w:rPr>
        <w:t xml:space="preserve">             </w:t>
      </w:r>
    </w:p>
    <w:p>
      <w:pPr>
        <w:pStyle w:val="37"/>
        <w:spacing w:line="240" w:lineRule="auto"/>
        <w:ind w:firstLine="1452" w:firstLineChars="400"/>
        <w:outlineLvl w:val="0"/>
        <w:rPr>
          <w:rFonts w:hint="eastAsia" w:ascii="仿宋_GB2312" w:hAnsi="仿宋_GB2312" w:eastAsia="仿宋_GB2312" w:cs="仿宋_GB2312"/>
          <w:color w:val="auto"/>
          <w:sz w:val="36"/>
        </w:rPr>
      </w:pPr>
      <w:bookmarkStart w:id="241" w:name="_Toc18959"/>
      <w:r>
        <w:rPr>
          <w:rFonts w:hint="eastAsia" w:ascii="仿宋_GB2312" w:hAnsi="仿宋_GB2312" w:eastAsia="仿宋_GB2312" w:cs="仿宋_GB2312"/>
          <w:color w:val="auto"/>
          <w:sz w:val="36"/>
        </w:rPr>
        <w:t>供 应 商：</w:t>
      </w:r>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r>
        <w:rPr>
          <w:rFonts w:hint="eastAsia" w:ascii="仿宋_GB2312" w:hAnsi="仿宋_GB2312" w:eastAsia="仿宋_GB2312" w:cs="仿宋_GB2312"/>
          <w:color w:val="auto"/>
          <w:sz w:val="36"/>
        </w:rPr>
        <w:t>（公章）</w:t>
      </w:r>
      <w:bookmarkEnd w:id="234"/>
      <w:bookmarkEnd w:id="235"/>
      <w:bookmarkEnd w:id="236"/>
      <w:bookmarkEnd w:id="237"/>
      <w:bookmarkEnd w:id="238"/>
      <w:bookmarkEnd w:id="239"/>
      <w:bookmarkEnd w:id="240"/>
      <w:bookmarkEnd w:id="241"/>
    </w:p>
    <w:p>
      <w:pPr>
        <w:pStyle w:val="37"/>
        <w:spacing w:line="240" w:lineRule="auto"/>
        <w:ind w:firstLine="1452" w:firstLineChars="400"/>
        <w:jc w:val="left"/>
        <w:outlineLvl w:val="0"/>
        <w:rPr>
          <w:rFonts w:hint="eastAsia" w:ascii="仿宋" w:hAnsi="仿宋" w:eastAsia="仿宋" w:cs="仿宋"/>
          <w:color w:val="auto"/>
          <w:sz w:val="36"/>
          <w:szCs w:val="36"/>
          <w:u w:val="single"/>
        </w:rPr>
      </w:pPr>
      <w:bookmarkStart w:id="242" w:name="_Toc21702"/>
      <w:bookmarkStart w:id="243" w:name="_Toc9715"/>
      <w:bookmarkStart w:id="244" w:name="_Toc7734"/>
      <w:bookmarkStart w:id="245" w:name="_Toc15429"/>
      <w:bookmarkStart w:id="246" w:name="_Toc26250"/>
      <w:bookmarkStart w:id="247" w:name="_Toc5243"/>
      <w:bookmarkStart w:id="248" w:name="_Toc24294"/>
      <w:bookmarkStart w:id="249" w:name="_Toc880"/>
      <w:r>
        <w:rPr>
          <w:rFonts w:hint="eastAsia" w:ascii="仿宋_GB2312" w:hAnsi="仿宋_GB2312" w:eastAsia="仿宋_GB2312" w:cs="仿宋_GB2312"/>
          <w:color w:val="auto"/>
          <w:sz w:val="36"/>
        </w:rPr>
        <w:t>时　  间：</w:t>
      </w:r>
      <w:bookmarkEnd w:id="242"/>
      <w:bookmarkEnd w:id="243"/>
      <w:bookmarkEnd w:id="244"/>
      <w:r>
        <w:rPr>
          <w:rFonts w:hint="eastAsia" w:ascii="仿宋_GB2312" w:hAnsi="仿宋_GB2312" w:eastAsia="仿宋_GB2312" w:cs="仿宋_GB2312"/>
          <w:color w:val="auto"/>
          <w:sz w:val="36"/>
          <w:u w:val="single"/>
        </w:rPr>
        <w:t xml:space="preserve"> </w:t>
      </w:r>
      <w:r>
        <w:rPr>
          <w:rFonts w:hint="eastAsia" w:ascii="仿宋_GB2312" w:hAnsi="仿宋_GB2312" w:eastAsia="仿宋_GB2312" w:cs="仿宋_GB2312"/>
          <w:color w:val="auto"/>
          <w:sz w:val="36"/>
          <w:szCs w:val="36"/>
          <w:u w:val="single"/>
        </w:rPr>
        <w:t xml:space="preserve">            </w:t>
      </w:r>
      <w:bookmarkEnd w:id="245"/>
      <w:bookmarkEnd w:id="246"/>
      <w:bookmarkEnd w:id="247"/>
      <w:bookmarkEnd w:id="248"/>
      <w:bookmarkEnd w:id="249"/>
    </w:p>
    <w:p>
      <w:pPr>
        <w:pStyle w:val="37"/>
        <w:spacing w:line="240" w:lineRule="auto"/>
        <w:ind w:firstLine="1452" w:firstLineChars="400"/>
        <w:jc w:val="left"/>
        <w:outlineLvl w:val="0"/>
        <w:rPr>
          <w:rFonts w:hint="eastAsia" w:ascii="仿宋" w:hAnsi="仿宋" w:eastAsia="仿宋" w:cs="仿宋"/>
          <w:color w:val="auto"/>
          <w:sz w:val="36"/>
          <w:szCs w:val="36"/>
          <w:u w:val="single"/>
        </w:rPr>
      </w:pPr>
    </w:p>
    <w:bookmarkEnd w:id="198"/>
    <w:bookmarkEnd w:id="199"/>
    <w:bookmarkEnd w:id="200"/>
    <w:bookmarkEnd w:id="201"/>
    <w:bookmarkEnd w:id="202"/>
    <w:bookmarkEnd w:id="203"/>
    <w:bookmarkEnd w:id="204"/>
    <w:bookmarkEnd w:id="205"/>
    <w:bookmarkEnd w:id="206"/>
    <w:bookmarkEnd w:id="207"/>
    <w:p>
      <w:pPr>
        <w:rPr>
          <w:rFonts w:ascii="华文仿宋" w:hAnsi="华文仿宋" w:cs="华文仿宋"/>
          <w:color w:val="auto"/>
          <w:sz w:val="36"/>
        </w:rPr>
      </w:pPr>
      <w:bookmarkStart w:id="250" w:name="_Toc31082_WPSOffice_Level1"/>
      <w:bookmarkStart w:id="251" w:name="_Toc21571_WPSOffice_Level1"/>
      <w:bookmarkStart w:id="252" w:name="_Toc22476_WPSOffice_Level1"/>
      <w:bookmarkStart w:id="253" w:name="_Toc2071_WPSOffice_Level1"/>
      <w:r>
        <w:rPr>
          <w:rFonts w:ascii="华文仿宋" w:hAnsi="华文仿宋" w:cs="华文仿宋"/>
          <w:color w:val="auto"/>
          <w:sz w:val="36"/>
        </w:rPr>
        <w:br w:type="page"/>
      </w:r>
    </w:p>
    <w:p>
      <w:pPr>
        <w:pStyle w:val="41"/>
        <w:rPr>
          <w:rFonts w:hint="eastAsia" w:ascii="黑体" w:hAnsi="黑体" w:eastAsia="黑体" w:cs="黑体"/>
          <w:b w:val="0"/>
          <w:bCs w:val="0"/>
          <w:color w:val="auto"/>
          <w:sz w:val="36"/>
          <w:szCs w:val="36"/>
        </w:rPr>
      </w:pPr>
      <w:bookmarkStart w:id="254" w:name="_Toc11156"/>
      <w:bookmarkStart w:id="255" w:name="_Toc10193"/>
      <w:bookmarkStart w:id="256" w:name="_Toc27037"/>
      <w:bookmarkStart w:id="257" w:name="_Toc23450"/>
      <w:bookmarkStart w:id="258" w:name="_Toc24906"/>
      <w:r>
        <w:rPr>
          <w:rFonts w:hint="eastAsia" w:ascii="黑体" w:hAnsi="黑体" w:eastAsia="黑体" w:cs="黑体"/>
          <w:b w:val="0"/>
          <w:bCs w:val="0"/>
          <w:color w:val="auto"/>
          <w:sz w:val="44"/>
          <w:szCs w:val="44"/>
        </w:rPr>
        <w:t>目  录</w:t>
      </w:r>
      <w:bookmarkEnd w:id="250"/>
      <w:bookmarkEnd w:id="251"/>
      <w:bookmarkEnd w:id="252"/>
      <w:bookmarkEnd w:id="253"/>
      <w:bookmarkEnd w:id="254"/>
      <w:bookmarkEnd w:id="255"/>
      <w:bookmarkEnd w:id="256"/>
      <w:bookmarkEnd w:id="257"/>
      <w:bookmarkEnd w:id="25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59" w:name="_Toc19993_WPSOffice_Level1"/>
      <w:bookmarkStart w:id="260" w:name="_Toc26192_WPSOffice_Level1"/>
      <w:bookmarkStart w:id="261" w:name="_Toc8294_WPSOffice_Level1"/>
      <w:bookmarkStart w:id="262" w:name="_Toc25537_WPSOffice_Level1"/>
      <w:r>
        <w:rPr>
          <w:rFonts w:hint="eastAsia" w:ascii="黑体" w:hAnsi="黑体" w:eastAsia="黑体" w:cs="黑体"/>
          <w:color w:val="auto"/>
          <w:sz w:val="32"/>
          <w:szCs w:val="32"/>
        </w:rPr>
        <w:t>第一部分  资格证明文件</w:t>
      </w:r>
      <w:r>
        <w:rPr>
          <w:rFonts w:hint="eastAsia" w:ascii="黑体" w:hAnsi="黑体" w:eastAsia="黑体" w:cs="黑体"/>
          <w:color w:val="auto"/>
          <w:sz w:val="32"/>
          <w:szCs w:val="32"/>
        </w:rPr>
        <w:tab/>
      </w:r>
      <w:r>
        <w:rPr>
          <w:rFonts w:hint="eastAsia" w:ascii="黑体" w:hAnsi="黑体" w:eastAsia="黑体" w:cs="黑体"/>
          <w:color w:val="auto"/>
          <w:sz w:val="32"/>
          <w:szCs w:val="32"/>
        </w:rPr>
        <w:t>X</w:t>
      </w:r>
      <w:bookmarkEnd w:id="259"/>
      <w:bookmarkEnd w:id="260"/>
      <w:bookmarkEnd w:id="261"/>
      <w:bookmarkEnd w:id="26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3" w:name="_Toc25969_WPSOffice_Level2"/>
      <w:bookmarkStart w:id="264" w:name="_Toc31082_WPSOffice_Level2"/>
      <w:bookmarkStart w:id="265" w:name="_Toc19993_WPSOffice_Level2"/>
      <w:bookmarkStart w:id="266" w:name="_Toc14464_WPSOffice_Level2"/>
      <w:r>
        <w:rPr>
          <w:rFonts w:hint="eastAsia" w:ascii="仿宋_GB2312" w:hAnsi="仿宋_GB2312" w:eastAsia="仿宋_GB2312" w:cs="仿宋_GB2312"/>
          <w:color w:val="auto"/>
          <w:sz w:val="32"/>
          <w:szCs w:val="32"/>
        </w:rPr>
        <w:t>一、营业执照等主体资格证明文件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3"/>
      <w:bookmarkEnd w:id="264"/>
      <w:bookmarkEnd w:id="265"/>
      <w:bookmarkEnd w:id="26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67" w:name="_Toc25537_WPSOffice_Level2"/>
      <w:bookmarkStart w:id="268" w:name="_Toc5830_WPSOffice_Level2"/>
      <w:bookmarkStart w:id="269" w:name="_Toc27026_WPSOffice_Level2"/>
      <w:bookmarkStart w:id="270" w:name="_Toc10078_WPSOffice_Level2"/>
      <w:r>
        <w:rPr>
          <w:rFonts w:hint="eastAsia" w:ascii="仿宋_GB2312" w:hAnsi="仿宋_GB2312" w:eastAsia="仿宋_GB2312" w:cs="仿宋_GB2312"/>
          <w:color w:val="auto"/>
          <w:sz w:val="32"/>
          <w:szCs w:val="32"/>
        </w:rPr>
        <w:t>二、财务状况报告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67"/>
      <w:bookmarkEnd w:id="268"/>
      <w:bookmarkEnd w:id="269"/>
      <w:bookmarkEnd w:id="27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1" w:name="_Toc6392_WPSOffice_Level2"/>
      <w:bookmarkStart w:id="272" w:name="_Toc17853_WPSOffice_Level2"/>
      <w:bookmarkStart w:id="273" w:name="_Toc30252_WPSOffice_Level2"/>
      <w:bookmarkStart w:id="274" w:name="_Toc22808_WPSOffice_Level2"/>
      <w:r>
        <w:rPr>
          <w:rFonts w:hint="eastAsia" w:ascii="仿宋_GB2312" w:hAnsi="仿宋_GB2312" w:eastAsia="仿宋_GB2312" w:cs="仿宋_GB2312"/>
          <w:color w:val="auto"/>
          <w:sz w:val="32"/>
          <w:szCs w:val="32"/>
        </w:rPr>
        <w:t>三、社保缴纳证明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1"/>
      <w:bookmarkEnd w:id="272"/>
      <w:bookmarkEnd w:id="273"/>
      <w:bookmarkEnd w:id="27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5" w:name="_Toc25958_WPSOffice_Level2"/>
      <w:bookmarkStart w:id="276" w:name="_Toc6376_WPSOffice_Level2"/>
      <w:bookmarkStart w:id="277" w:name="_Toc27464_WPSOffice_Level2"/>
      <w:bookmarkStart w:id="278" w:name="_Toc26939_WPSOffice_Level2"/>
      <w:r>
        <w:rPr>
          <w:rFonts w:hint="eastAsia" w:ascii="仿宋_GB2312" w:hAnsi="仿宋_GB2312" w:eastAsia="仿宋_GB2312" w:cs="仿宋_GB2312"/>
          <w:color w:val="auto"/>
          <w:sz w:val="32"/>
          <w:szCs w:val="32"/>
        </w:rPr>
        <w:t>四、税收缴纳证明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5"/>
      <w:bookmarkEnd w:id="276"/>
      <w:bookmarkEnd w:id="277"/>
      <w:bookmarkEnd w:id="27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79" w:name="_Toc17511_WPSOffice_Level2"/>
      <w:bookmarkStart w:id="280" w:name="_Toc10792_WPSOffice_Level2"/>
      <w:bookmarkStart w:id="281" w:name="_Toc3534_WPSOffice_Level2"/>
      <w:bookmarkStart w:id="282" w:name="_Toc25801_WPSOffice_Level2"/>
      <w:r>
        <w:rPr>
          <w:rFonts w:hint="eastAsia" w:ascii="仿宋_GB2312" w:hAnsi="仿宋_GB2312" w:eastAsia="仿宋_GB2312" w:cs="仿宋_GB2312"/>
          <w:color w:val="auto"/>
          <w:sz w:val="32"/>
          <w:szCs w:val="32"/>
        </w:rPr>
        <w:t>五、书面声明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79"/>
      <w:bookmarkEnd w:id="280"/>
      <w:bookmarkEnd w:id="281"/>
      <w:bookmarkEnd w:id="28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83" w:name="_Toc12145_WPSOffice_Level2"/>
      <w:bookmarkStart w:id="284" w:name="_Toc17236_WPSOffice_Level2"/>
      <w:bookmarkStart w:id="285" w:name="_Toc5115_WPSOffice_Level2"/>
      <w:bookmarkStart w:id="286" w:name="_Toc21196_WPSOffice_Level2"/>
      <w:r>
        <w:rPr>
          <w:rFonts w:hint="eastAsia" w:ascii="仿宋_GB2312" w:hAnsi="仿宋_GB2312" w:eastAsia="仿宋_GB2312" w:cs="仿宋_GB2312"/>
          <w:color w:val="auto"/>
          <w:sz w:val="32"/>
          <w:szCs w:val="32"/>
        </w:rPr>
        <w:t>六、法定代表人授权委托书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83"/>
      <w:bookmarkEnd w:id="284"/>
      <w:bookmarkEnd w:id="285"/>
      <w:bookmarkEnd w:id="28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val="en-US" w:eastAsia="zh-CN"/>
        </w:rPr>
        <w:t>落实政府采购政策需满足的资格要求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left="2181" w:leftChars="200" w:right="849" w:rightChars="300" w:hanging="1615" w:hangingChars="500"/>
        <w:textAlignment w:val="auto"/>
        <w:rPr>
          <w:rFonts w:ascii="黑体" w:hAnsi="黑体" w:eastAsia="黑体" w:cs="黑体"/>
          <w:color w:val="auto"/>
          <w:sz w:val="32"/>
          <w:szCs w:val="32"/>
        </w:rPr>
      </w:pPr>
      <w:bookmarkStart w:id="287" w:name="_Toc22849_WPSOffice_Level1"/>
      <w:bookmarkStart w:id="288" w:name="_Toc27026_WPSOffice_Level1"/>
      <w:bookmarkStart w:id="289" w:name="_Toc30252_WPSOffice_Level1"/>
      <w:bookmarkStart w:id="290" w:name="_Toc28184_WPSOffice_Level1"/>
      <w:r>
        <w:rPr>
          <w:rFonts w:hint="eastAsia" w:ascii="黑体" w:hAnsi="黑体" w:eastAsia="黑体" w:cs="黑体"/>
          <w:color w:val="auto"/>
          <w:sz w:val="32"/>
          <w:szCs w:val="32"/>
        </w:rPr>
        <w:t>第二部分  符合性证明文件</w:t>
      </w:r>
      <w:r>
        <w:rPr>
          <w:color w:val="auto"/>
          <w:sz w:val="32"/>
          <w:szCs w:val="32"/>
        </w:rPr>
        <w:tab/>
      </w:r>
      <w:r>
        <w:rPr>
          <w:color w:val="auto"/>
          <w:sz w:val="32"/>
          <w:szCs w:val="32"/>
        </w:rPr>
        <w:t>X</w:t>
      </w:r>
      <w:bookmarkEnd w:id="287"/>
      <w:bookmarkEnd w:id="288"/>
      <w:bookmarkEnd w:id="289"/>
      <w:bookmarkEnd w:id="29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1" w:name="_Toc183_WPSOffice_Level2"/>
      <w:bookmarkStart w:id="292" w:name="_Toc28631_WPSOffice_Level2"/>
      <w:bookmarkStart w:id="293" w:name="_Toc5795_WPSOffice_Level2"/>
      <w:bookmarkStart w:id="294" w:name="_Toc7348_WPSOffice_Level2"/>
      <w:r>
        <w:rPr>
          <w:rFonts w:hint="eastAsia" w:ascii="仿宋_GB2312" w:hAnsi="仿宋_GB2312" w:eastAsia="仿宋_GB2312" w:cs="仿宋_GB2312"/>
          <w:color w:val="auto"/>
          <w:sz w:val="32"/>
          <w:szCs w:val="32"/>
        </w:rPr>
        <w:t>一、响应函格式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1"/>
      <w:bookmarkEnd w:id="292"/>
      <w:bookmarkEnd w:id="293"/>
      <w:bookmarkEnd w:id="29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5" w:name="_Toc9021_WPSOffice_Level2"/>
      <w:bookmarkStart w:id="296" w:name="_Toc1168_WPSOffice_Level2"/>
      <w:bookmarkStart w:id="297" w:name="_Toc27223_WPSOffice_Level2"/>
      <w:bookmarkStart w:id="298" w:name="_Toc8116_WPSOffice_Level2"/>
      <w:r>
        <w:rPr>
          <w:rFonts w:hint="eastAsia" w:ascii="仿宋_GB2312" w:hAnsi="仿宋_GB2312" w:eastAsia="仿宋_GB2312" w:cs="仿宋_GB2312"/>
          <w:color w:val="auto"/>
          <w:sz w:val="32"/>
          <w:szCs w:val="32"/>
        </w:rPr>
        <w:t>二、第一次磋商报价表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5"/>
      <w:bookmarkEnd w:id="296"/>
      <w:bookmarkEnd w:id="297"/>
      <w:bookmarkEnd w:id="29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分项报价表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299" w:name="_Toc27170_WPSOffice_Level2"/>
      <w:bookmarkStart w:id="300" w:name="_Toc11630_WPSOffice_Level2"/>
      <w:bookmarkStart w:id="301" w:name="_Toc29414_WPSOffice_Level2"/>
      <w:bookmarkStart w:id="302" w:name="_Toc3525_WPSOffice_Level2"/>
      <w:r>
        <w:rPr>
          <w:rFonts w:hint="eastAsia" w:ascii="仿宋_GB2312" w:hAnsi="仿宋_GB2312" w:eastAsia="仿宋_GB2312" w:cs="仿宋_GB2312"/>
          <w:color w:val="auto"/>
          <w:sz w:val="32"/>
          <w:szCs w:val="32"/>
        </w:rPr>
        <w:t>三、供应商参加政府采购活动承诺书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299"/>
      <w:bookmarkEnd w:id="300"/>
      <w:bookmarkEnd w:id="301"/>
      <w:bookmarkEnd w:id="302"/>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3" w:name="_Toc1782_WPSOffice_Level2"/>
      <w:bookmarkStart w:id="304" w:name="_Toc20504_WPSOffice_Level2"/>
      <w:bookmarkStart w:id="305" w:name="_Toc18811_WPSOffice_Level2"/>
      <w:bookmarkStart w:id="306" w:name="_Toc31457_WPSOffice_Level2"/>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、技术服务偏差表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3"/>
      <w:bookmarkEnd w:id="304"/>
      <w:bookmarkEnd w:id="305"/>
      <w:bookmarkEnd w:id="306"/>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07" w:name="_Toc19486_WPSOffice_Level2"/>
      <w:bookmarkStart w:id="308" w:name="_Toc17428_WPSOffice_Level2"/>
      <w:bookmarkStart w:id="309" w:name="_Toc13258_WPSOffice_Level2"/>
      <w:bookmarkStart w:id="310" w:name="_Toc28279_WPSOffice_Level2"/>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条款响应</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07"/>
      <w:bookmarkEnd w:id="308"/>
      <w:bookmarkEnd w:id="309"/>
      <w:bookmarkEnd w:id="310"/>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646" w:firstLineChars="200"/>
        <w:textAlignment w:val="auto"/>
        <w:rPr>
          <w:rFonts w:ascii="黑体" w:hAnsi="黑体" w:eastAsia="黑体" w:cs="黑体"/>
          <w:color w:val="auto"/>
          <w:sz w:val="32"/>
          <w:szCs w:val="32"/>
        </w:rPr>
      </w:pPr>
      <w:bookmarkStart w:id="311" w:name="_Toc21905_WPSOffice_Level1"/>
      <w:bookmarkStart w:id="312" w:name="_Toc23092_WPSOffice_Level1"/>
      <w:bookmarkStart w:id="313" w:name="_Toc27464_WPSOffice_Level1"/>
      <w:bookmarkStart w:id="314" w:name="_Toc22808_WPSOffice_Level1"/>
      <w:r>
        <w:rPr>
          <w:rFonts w:hint="eastAsia" w:ascii="黑体" w:hAnsi="黑体" w:eastAsia="黑体" w:cs="黑体"/>
          <w:color w:val="auto"/>
          <w:sz w:val="32"/>
          <w:szCs w:val="32"/>
        </w:rPr>
        <w:t>第三部分  响应方案</w:t>
      </w:r>
      <w:bookmarkEnd w:id="311"/>
      <w:bookmarkEnd w:id="312"/>
      <w:bookmarkEnd w:id="313"/>
      <w:bookmarkEnd w:id="314"/>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5" w:name="_Toc7951_WPSOffice_Level2"/>
      <w:bookmarkStart w:id="316" w:name="_Toc980_WPSOffice_Level2"/>
      <w:bookmarkStart w:id="317" w:name="_Toc7544_WPSOffice_Level2"/>
      <w:bookmarkStart w:id="318" w:name="_Toc8316_WPSOffice_Level2"/>
      <w:r>
        <w:rPr>
          <w:rFonts w:hint="eastAsia" w:ascii="仿宋_GB2312" w:hAnsi="仿宋_GB2312" w:eastAsia="仿宋_GB2312" w:cs="仿宋_GB2312"/>
          <w:color w:val="auto"/>
          <w:sz w:val="32"/>
          <w:szCs w:val="32"/>
        </w:rPr>
        <w:t>一、供应商</w:t>
      </w:r>
      <w:bookmarkEnd w:id="315"/>
      <w:r>
        <w:rPr>
          <w:rFonts w:hint="eastAsia" w:ascii="仿宋_GB2312" w:hAnsi="仿宋_GB2312" w:eastAsia="仿宋_GB2312" w:cs="仿宋_GB2312"/>
          <w:color w:val="auto"/>
          <w:sz w:val="32"/>
          <w:szCs w:val="32"/>
          <w:lang w:val="en-US" w:eastAsia="zh-CN"/>
        </w:rPr>
        <w:t>基本情况及其性质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6"/>
      <w:bookmarkEnd w:id="317"/>
      <w:bookmarkEnd w:id="318"/>
    </w:p>
    <w:p>
      <w:pPr>
        <w:keepNext w:val="0"/>
        <w:keepLines w:val="0"/>
        <w:pageBreakBefore w:val="0"/>
        <w:widowControl/>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19" w:name="_Toc2987_WPSOffice_Level2"/>
      <w:bookmarkStart w:id="320" w:name="_Toc2999_WPSOffice_Level2"/>
      <w:bookmarkStart w:id="321" w:name="_Toc10127_WPSOffice_Level2"/>
      <w:bookmarkStart w:id="322" w:name="_Toc15474_WPSOffice_Level2"/>
      <w:r>
        <w:rPr>
          <w:rFonts w:hint="eastAsia" w:ascii="仿宋_GB2312" w:hAnsi="仿宋_GB2312" w:eastAsia="仿宋_GB2312" w:cs="仿宋_GB2312"/>
          <w:color w:val="auto"/>
          <w:sz w:val="32"/>
          <w:szCs w:val="32"/>
        </w:rPr>
        <w:t>二、技术服务方案</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19"/>
      <w:bookmarkEnd w:id="320"/>
      <w:bookmarkEnd w:id="321"/>
      <w:bookmarkEnd w:id="322"/>
    </w:p>
    <w:p>
      <w:pPr>
        <w:keepNext w:val="0"/>
        <w:keepLines w:val="0"/>
        <w:pageBreakBefore w:val="0"/>
        <w:widowControl/>
        <w:numPr>
          <w:ilvl w:val="0"/>
          <w:numId w:val="0"/>
        </w:numPr>
        <w:tabs>
          <w:tab w:val="right" w:leader="hyphen" w:pos="8504"/>
        </w:tabs>
        <w:kinsoku/>
        <w:wordWrap/>
        <w:overflowPunct/>
        <w:topLinePunct w:val="0"/>
        <w:autoSpaceDE/>
        <w:autoSpaceDN/>
        <w:bidi w:val="0"/>
        <w:adjustRightInd/>
        <w:snapToGrid/>
        <w:spacing w:line="560" w:lineRule="exact"/>
        <w:ind w:right="849" w:rightChars="300" w:firstLine="1292" w:firstLineChars="400"/>
        <w:textAlignment w:val="auto"/>
        <w:rPr>
          <w:rFonts w:hint="eastAsia" w:ascii="仿宋_GB2312" w:hAnsi="仿宋_GB2312" w:eastAsia="仿宋_GB2312" w:cs="仿宋_GB2312"/>
          <w:color w:val="auto"/>
          <w:sz w:val="32"/>
          <w:szCs w:val="32"/>
        </w:rPr>
      </w:pPr>
      <w:bookmarkStart w:id="323" w:name="_Toc15492_WPSOffice_Level2"/>
      <w:bookmarkStart w:id="324" w:name="_Toc22913_WPSOffice_Level2"/>
      <w:bookmarkStart w:id="325" w:name="_Toc13401_WPSOffice_Level2"/>
      <w:bookmarkStart w:id="326" w:name="_Toc28542_WPSOffice_Level2"/>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参考样表</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X</w:t>
      </w:r>
      <w:bookmarkEnd w:id="323"/>
      <w:bookmarkEnd w:id="324"/>
      <w:bookmarkEnd w:id="325"/>
      <w:bookmarkEnd w:id="326"/>
    </w:p>
    <w:p>
      <w:pPr>
        <w:spacing w:line="500" w:lineRule="exact"/>
        <w:jc w:val="center"/>
        <w:rPr>
          <w:rFonts w:ascii="黑体" w:hAnsi="黑体" w:eastAsia="黑体"/>
          <w:b/>
          <w:color w:val="auto"/>
        </w:rPr>
      </w:pPr>
    </w:p>
    <w:p>
      <w:pPr>
        <w:spacing w:line="500" w:lineRule="exact"/>
        <w:jc w:val="center"/>
        <w:rPr>
          <w:rFonts w:ascii="黑体" w:hAnsi="黑体" w:eastAsia="黑体"/>
          <w:b/>
          <w:color w:val="auto"/>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b/>
          <w:color w:val="auto"/>
        </w:rPr>
      </w:pPr>
      <w:r>
        <w:rPr>
          <w:rFonts w:ascii="黑体" w:hAnsi="黑体" w:eastAsia="黑体"/>
          <w:b/>
          <w:color w:val="auto"/>
        </w:rPr>
        <w:br w:type="page"/>
      </w:r>
      <w:bookmarkStart w:id="327" w:name="_Toc8079"/>
      <w:bookmarkStart w:id="328" w:name="_Toc5115_WPSOffice_Level1"/>
      <w:bookmarkStart w:id="329" w:name="_Toc6199"/>
      <w:bookmarkStart w:id="330" w:name="_Toc16498"/>
      <w:bookmarkStart w:id="331" w:name="_Toc14670_WPSOffice_Level1"/>
      <w:bookmarkStart w:id="332" w:name="_Toc23478"/>
      <w:bookmarkStart w:id="333" w:name="_Toc3534_WPSOffice_Level1"/>
      <w:r>
        <w:rPr>
          <w:rStyle w:val="42"/>
          <w:rFonts w:hint="eastAsia" w:ascii="黑体" w:hAnsi="黑体" w:eastAsia="黑体" w:cs="黑体"/>
          <w:b w:val="0"/>
          <w:bCs/>
          <w:color w:val="auto"/>
          <w:sz w:val="32"/>
          <w:szCs w:val="40"/>
        </w:rPr>
        <w:t>第一部分  资格证明文件</w:t>
      </w:r>
      <w:bookmarkEnd w:id="327"/>
      <w:bookmarkEnd w:id="328"/>
      <w:bookmarkEnd w:id="329"/>
      <w:bookmarkEnd w:id="330"/>
      <w:bookmarkEnd w:id="331"/>
      <w:bookmarkEnd w:id="332"/>
      <w:bookmarkEnd w:id="333"/>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供应商应按照磋商文件第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章</w:t>
      </w:r>
      <w:r>
        <w:rPr>
          <w:rFonts w:hint="eastAsia" w:ascii="仿宋_GB2312" w:hAnsi="仿宋_GB2312" w:eastAsia="仿宋_GB2312" w:cs="仿宋_GB2312"/>
          <w:color w:val="auto"/>
          <w:sz w:val="28"/>
          <w:szCs w:val="28"/>
          <w:lang w:val="en-US" w:eastAsia="zh-CN"/>
        </w:rPr>
        <w:t>《资格审查表》</w:t>
      </w:r>
      <w:r>
        <w:rPr>
          <w:rFonts w:hint="eastAsia" w:ascii="仿宋_GB2312" w:hAnsi="仿宋_GB2312" w:eastAsia="仿宋_GB2312" w:cs="仿宋_GB2312"/>
          <w:color w:val="auto"/>
          <w:sz w:val="28"/>
          <w:szCs w:val="28"/>
        </w:rPr>
        <w:t>所列</w:t>
      </w:r>
      <w:r>
        <w:rPr>
          <w:rFonts w:hint="eastAsia" w:ascii="仿宋_GB2312" w:hAnsi="仿宋_GB2312" w:eastAsia="仿宋_GB2312" w:cs="仿宋_GB2312"/>
          <w:color w:val="auto"/>
          <w:sz w:val="28"/>
          <w:szCs w:val="28"/>
          <w:lang w:val="en-US" w:eastAsia="zh-CN"/>
        </w:rPr>
        <w:t>审查项</w:t>
      </w:r>
      <w:r>
        <w:rPr>
          <w:rFonts w:hint="eastAsia" w:ascii="仿宋_GB2312" w:hAnsi="仿宋_GB2312" w:eastAsia="仿宋_GB2312" w:cs="仿宋_GB2312"/>
          <w:color w:val="auto"/>
          <w:sz w:val="28"/>
          <w:szCs w:val="28"/>
        </w:rPr>
        <w:t>逐一提供全部资格证明文件。缺少其中任何一项，其响应文件将被视为无效文件。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其中，《近三年内在经营活动中无重大违法记录声明》、《法定代表人授权委托书》</w:t>
      </w:r>
      <w:r>
        <w:rPr>
          <w:rFonts w:hint="eastAsia" w:ascii="仿宋_GB2312" w:hAnsi="仿宋_GB2312" w:eastAsia="仿宋_GB2312" w:cs="仿宋_GB2312"/>
          <w:color w:val="auto"/>
          <w:sz w:val="28"/>
          <w:szCs w:val="28"/>
          <w:lang w:eastAsia="zh-CN"/>
        </w:rPr>
        <w:t>《中小企业声明函》</w:t>
      </w:r>
      <w:r>
        <w:rPr>
          <w:rFonts w:hint="eastAsia" w:ascii="仿宋_GB2312" w:hAnsi="仿宋_GB2312" w:eastAsia="仿宋_GB2312" w:cs="仿宋_GB2312"/>
          <w:color w:val="auto"/>
          <w:sz w:val="28"/>
          <w:szCs w:val="28"/>
        </w:rPr>
        <w:t>须按下文给定格式填写，否则按无效处理。特别说明，法定代表人亲自参加</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的，可不提供法定代表人授权委托书，但须提供其本人身份证（正反面）复印件。</w:t>
      </w:r>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4" w:name="_Toc26041_WPSOffice_Level2"/>
      <w:bookmarkStart w:id="335" w:name="_Toc19075_WPSOffice_Level2"/>
      <w:bookmarkStart w:id="336" w:name="_Toc6967_WPSOffice_Level2"/>
      <w:bookmarkStart w:id="337" w:name="_Toc9954_WPSOffice_Level2"/>
      <w:r>
        <w:rPr>
          <w:rFonts w:hint="eastAsia" w:ascii="仿宋_GB2312" w:hAnsi="仿宋_GB2312" w:eastAsia="仿宋_GB2312" w:cs="仿宋_GB2312"/>
          <w:b/>
          <w:color w:val="auto"/>
          <w:sz w:val="28"/>
          <w:szCs w:val="28"/>
        </w:rPr>
        <w:t>一、营业执照等主体资格证明文件</w:t>
      </w:r>
      <w:bookmarkEnd w:id="334"/>
      <w:bookmarkEnd w:id="335"/>
      <w:bookmarkEnd w:id="336"/>
      <w:bookmarkEnd w:id="337"/>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38" w:name="_Toc6228_WPSOffice_Level2"/>
      <w:bookmarkStart w:id="339" w:name="_Toc18116_WPSOffice_Level2"/>
      <w:bookmarkStart w:id="340" w:name="_Toc24324_WPSOffice_Level2"/>
      <w:bookmarkStart w:id="341" w:name="_Toc8228_WPSOffice_Level2"/>
      <w:r>
        <w:rPr>
          <w:rFonts w:hint="eastAsia" w:ascii="仿宋_GB2312" w:hAnsi="仿宋_GB2312" w:eastAsia="仿宋_GB2312" w:cs="仿宋_GB2312"/>
          <w:b/>
          <w:color w:val="auto"/>
          <w:sz w:val="28"/>
          <w:szCs w:val="28"/>
        </w:rPr>
        <w:t>二、财务状况报告</w:t>
      </w:r>
      <w:bookmarkEnd w:id="338"/>
      <w:bookmarkEnd w:id="339"/>
      <w:bookmarkEnd w:id="340"/>
      <w:bookmarkEnd w:id="341"/>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2" w:name="_Toc8724_WPSOffice_Level2"/>
      <w:bookmarkStart w:id="343" w:name="_Toc9514_WPSOffice_Level2"/>
      <w:bookmarkStart w:id="344" w:name="_Toc29597_WPSOffice_Level2"/>
      <w:bookmarkStart w:id="345" w:name="_Toc25438_WPSOffice_Level2"/>
      <w:r>
        <w:rPr>
          <w:rFonts w:hint="eastAsia" w:ascii="仿宋_GB2312" w:hAnsi="仿宋_GB2312" w:eastAsia="仿宋_GB2312" w:cs="仿宋_GB2312"/>
          <w:b/>
          <w:color w:val="auto"/>
          <w:sz w:val="28"/>
          <w:szCs w:val="28"/>
        </w:rPr>
        <w:t>三、社保缴纳证明</w:t>
      </w:r>
      <w:bookmarkEnd w:id="342"/>
      <w:bookmarkEnd w:id="343"/>
      <w:bookmarkEnd w:id="344"/>
      <w:bookmarkEnd w:id="345"/>
    </w:p>
    <w:p>
      <w:pPr>
        <w:keepNext w:val="0"/>
        <w:keepLines w:val="0"/>
        <w:pageBreakBefore w:val="0"/>
        <w:widowControl/>
        <w:kinsoku/>
        <w:wordWrap/>
        <w:overflowPunct/>
        <w:topLinePunct w:val="0"/>
        <w:autoSpaceDE/>
        <w:autoSpaceDN/>
        <w:bidi w:val="0"/>
        <w:adjustRightInd/>
        <w:snapToGrid/>
        <w:spacing w:line="560" w:lineRule="exact"/>
        <w:ind w:firstLine="562"/>
        <w:textAlignment w:val="auto"/>
        <w:rPr>
          <w:rFonts w:hint="eastAsia" w:ascii="仿宋_GB2312" w:hAnsi="仿宋_GB2312" w:eastAsia="仿宋_GB2312" w:cs="仿宋_GB2312"/>
          <w:b/>
          <w:color w:val="auto"/>
          <w:sz w:val="28"/>
          <w:szCs w:val="28"/>
        </w:rPr>
      </w:pPr>
      <w:bookmarkStart w:id="346" w:name="_Toc960_WPSOffice_Level2"/>
      <w:bookmarkStart w:id="347" w:name="_Toc18154_WPSOffice_Level2"/>
      <w:bookmarkStart w:id="348" w:name="_Toc26260_WPSOffice_Level2"/>
      <w:bookmarkStart w:id="349" w:name="_Toc22563_WPSOffice_Level2"/>
      <w:r>
        <w:rPr>
          <w:rFonts w:hint="eastAsia" w:ascii="仿宋_GB2312" w:hAnsi="仿宋_GB2312" w:eastAsia="仿宋_GB2312" w:cs="仿宋_GB2312"/>
          <w:b/>
          <w:color w:val="auto"/>
          <w:sz w:val="28"/>
          <w:szCs w:val="28"/>
        </w:rPr>
        <w:t>四、税收缴纳证明</w:t>
      </w:r>
      <w:bookmarkEnd w:id="346"/>
      <w:bookmarkEnd w:id="347"/>
      <w:bookmarkEnd w:id="348"/>
      <w:bookmarkEnd w:id="349"/>
    </w:p>
    <w:p>
      <w:pPr>
        <w:spacing w:line="500" w:lineRule="exact"/>
        <w:ind w:firstLine="566" w:firstLineChars="200"/>
        <w:rPr>
          <w:rFonts w:hint="eastAsia" w:ascii="仿宋" w:hAnsi="仿宋" w:eastAsia="仿宋"/>
          <w:b/>
          <w:color w:val="auto"/>
          <w:sz w:val="28"/>
          <w:szCs w:val="28"/>
        </w:rPr>
      </w:pPr>
      <w:bookmarkStart w:id="350" w:name="_Toc10483_WPSOffice_Level2"/>
      <w:bookmarkStart w:id="351" w:name="_Toc32533_WPSOffice_Level2"/>
      <w:bookmarkStart w:id="352" w:name="_Toc30636_WPSOffice_Level2"/>
      <w:bookmarkStart w:id="353" w:name="_Toc1079_WPSOffice_Level2"/>
    </w:p>
    <w:p>
      <w:pPr>
        <w:spacing w:line="500" w:lineRule="exact"/>
        <w:ind w:firstLine="566" w:firstLineChars="200"/>
        <w:rPr>
          <w:rFonts w:hint="eastAsia" w:ascii="仿宋" w:hAnsi="仿宋" w:eastAsia="仿宋"/>
          <w:b/>
          <w:color w:val="auto"/>
          <w:sz w:val="28"/>
          <w:szCs w:val="28"/>
        </w:rPr>
      </w:pPr>
    </w:p>
    <w:p>
      <w:pPr>
        <w:spacing w:line="500" w:lineRule="exact"/>
        <w:ind w:firstLine="566" w:firstLineChars="200"/>
        <w:rPr>
          <w:rFonts w:hint="eastAsia" w:ascii="仿宋" w:hAnsi="仿宋" w:eastAsia="仿宋"/>
          <w:b/>
          <w:color w:val="auto"/>
        </w:rPr>
      </w:pPr>
    </w:p>
    <w:p>
      <w:pPr>
        <w:spacing w:line="500" w:lineRule="exact"/>
        <w:ind w:firstLine="566" w:firstLineChars="200"/>
        <w:rPr>
          <w:rFonts w:hint="eastAsia" w:ascii="仿宋" w:hAnsi="仿宋" w:eastAsia="仿宋"/>
          <w:b/>
          <w:color w:val="auto"/>
        </w:rPr>
      </w:pPr>
    </w:p>
    <w:p>
      <w:pPr>
        <w:rPr>
          <w:rFonts w:hint="eastAsia" w:ascii="仿宋" w:hAnsi="仿宋" w:eastAsia="仿宋"/>
          <w:b/>
          <w:color w:val="auto"/>
        </w:rPr>
      </w:pPr>
      <w:r>
        <w:rPr>
          <w:rFonts w:hint="eastAsia" w:ascii="仿宋" w:hAnsi="仿宋" w:eastAsia="仿宋"/>
          <w:b/>
          <w:color w:val="auto"/>
        </w:rPr>
        <w:br w:type="page"/>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
          <w:color w:val="auto"/>
        </w:rPr>
        <w:t>五、书面声明</w:t>
      </w:r>
      <w:bookmarkEnd w:id="350"/>
      <w:bookmarkEnd w:id="351"/>
      <w:bookmarkEnd w:id="352"/>
      <w:bookmarkEnd w:id="353"/>
    </w:p>
    <w:p>
      <w:pPr>
        <w:pStyle w:val="43"/>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auto"/>
          <w:sz w:val="30"/>
          <w:szCs w:val="30"/>
        </w:rPr>
      </w:pPr>
    </w:p>
    <w:p>
      <w:pPr>
        <w:pStyle w:val="43"/>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近三年内在经营活动中无重大违法记录声明</w:t>
      </w:r>
    </w:p>
    <w:p>
      <w:pPr>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我方作为</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rPr>
        <w:t>（项目编号：____）第___标段的供应商，在此郑重声明：</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在参加本次政府采购活动前3年内的经营活动中____（填“没有”或“有”）重大违法记录。</w:t>
      </w:r>
    </w:p>
    <w:p>
      <w:pPr>
        <w:pStyle w:val="19"/>
        <w:pageBreakBefore w:val="0"/>
        <w:widowControl/>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如有不实，我方将无条件地退出本项目的采购活动，并遵照《政府采购法》有关“提供虚假材料的规定”接受处罚。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特此声明。</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overflowPunct/>
        <w:topLinePunct w:val="0"/>
        <w:autoSpaceDE/>
        <w:autoSpaceDN/>
        <w:bidi w:val="0"/>
        <w:adjustRightInd/>
        <w:snapToGrid/>
        <w:spacing w:line="560" w:lineRule="exact"/>
        <w:ind w:firstLine="4245" w:firstLineChars="15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spacing w:line="500" w:lineRule="exact"/>
        <w:ind w:firstLine="566" w:firstLineChars="200"/>
        <w:rPr>
          <w:rFonts w:ascii="仿宋" w:hAnsi="仿宋" w:eastAsia="仿宋" w:cs="仿宋"/>
          <w:color w:val="auto"/>
        </w:rPr>
      </w:pPr>
    </w:p>
    <w:p>
      <w:pPr>
        <w:spacing w:line="500" w:lineRule="exact"/>
        <w:ind w:firstLine="426"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重大违法记录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是指供应商因违法经营受到刑事处罚或者责令停产停业、吊销许可证或者执照、较大数额罚款等行政处罚</w:t>
      </w:r>
      <w:r>
        <w:rPr>
          <w:rFonts w:hint="eastAsia" w:ascii="宋体" w:hAnsi="宋体" w:eastAsia="宋体" w:cs="宋体"/>
          <w:color w:val="auto"/>
          <w:sz w:val="21"/>
          <w:szCs w:val="21"/>
          <w:lang w:eastAsia="zh-CN"/>
        </w:rPr>
        <w:t>。</w:t>
      </w:r>
    </w:p>
    <w:p>
      <w:pPr>
        <w:spacing w:line="500" w:lineRule="exact"/>
        <w:ind w:firstLine="426"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2、供应商在参加政府采购活动前3年内因违法经营被禁止在一定期限内参加政府采购活动，期限届满的，可以参加政府采购活动。</w:t>
      </w:r>
    </w:p>
    <w:p>
      <w:pPr>
        <w:spacing w:line="500" w:lineRule="exact"/>
        <w:ind w:firstLine="426" w:firstLineChars="200"/>
        <w:rPr>
          <w:color w:val="auto"/>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项目不分标段的，第___标段空白处填写“/”。</w:t>
      </w:r>
    </w:p>
    <w:p>
      <w:pPr>
        <w:spacing w:line="240" w:lineRule="auto"/>
        <w:jc w:val="left"/>
        <w:rPr>
          <w:b/>
          <w:bCs/>
          <w:color w:val="auto"/>
          <w:sz w:val="30"/>
          <w:szCs w:val="30"/>
        </w:rPr>
      </w:pPr>
    </w:p>
    <w:p>
      <w:pPr>
        <w:pStyle w:val="19"/>
        <w:ind w:firstLine="304"/>
        <w:rPr>
          <w:b/>
          <w:bCs/>
          <w:color w:val="auto"/>
          <w:sz w:val="30"/>
          <w:szCs w:val="30"/>
        </w:rPr>
      </w:pPr>
    </w:p>
    <w:p>
      <w:pPr>
        <w:pStyle w:val="19"/>
        <w:ind w:firstLine="304"/>
        <w:rPr>
          <w:b/>
          <w:bCs/>
          <w:color w:val="auto"/>
          <w:sz w:val="30"/>
          <w:szCs w:val="30"/>
        </w:rPr>
      </w:pPr>
    </w:p>
    <w:p>
      <w:pPr>
        <w:rPr>
          <w:b/>
          <w:bCs/>
          <w:color w:val="auto"/>
          <w:sz w:val="30"/>
          <w:szCs w:val="30"/>
        </w:rPr>
      </w:pPr>
      <w:r>
        <w:rPr>
          <w:b/>
          <w:bCs/>
          <w:color w:val="auto"/>
          <w:sz w:val="30"/>
          <w:szCs w:val="30"/>
        </w:rPr>
        <w:br w:type="page"/>
      </w:r>
    </w:p>
    <w:p>
      <w:pPr>
        <w:pStyle w:val="43"/>
        <w:keepNext/>
        <w:keepLines/>
        <w:pageBreakBefore w:val="0"/>
        <w:widowControl/>
        <w:kinsoku/>
        <w:wordWrap/>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auto"/>
          <w:sz w:val="30"/>
          <w:szCs w:val="30"/>
        </w:rPr>
      </w:pPr>
      <w:bookmarkStart w:id="354" w:name="_Toc24625_WPSOffice_Level2"/>
      <w:bookmarkStart w:id="355" w:name="_Toc23486_WPSOffice_Level2"/>
      <w:bookmarkStart w:id="356" w:name="_Toc14516_WPSOffice_Level2"/>
      <w:bookmarkStart w:id="357" w:name="_Toc13298_WPSOffice_Level2"/>
      <w:r>
        <w:rPr>
          <w:rFonts w:hint="eastAsia" w:ascii="仿宋_GB2312" w:hAnsi="仿宋_GB2312" w:eastAsia="仿宋_GB2312" w:cs="仿宋_GB2312"/>
          <w:color w:val="auto"/>
          <w:sz w:val="30"/>
          <w:szCs w:val="30"/>
        </w:rPr>
        <w:t>六、法定代表人授权委托书</w:t>
      </w:r>
      <w:bookmarkEnd w:id="354"/>
      <w:bookmarkEnd w:id="355"/>
      <w:bookmarkEnd w:id="356"/>
      <w:bookmarkEnd w:id="357"/>
      <w:bookmarkStart w:id="358" w:name="_Toc19993_WPSOffice_Level3"/>
    </w:p>
    <w:p>
      <w:pPr>
        <w:pStyle w:val="43"/>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法定代表人授权委托书</w:t>
      </w:r>
      <w:bookmarkEnd w:id="358"/>
    </w:p>
    <w:p>
      <w:pPr>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p>
    <w:p>
      <w:pPr>
        <w:pageBreakBefore w:val="0"/>
        <w:widowControl/>
        <w:kinsoku/>
        <w:wordWrap/>
        <w:overflowPunct/>
        <w:topLinePunct w:val="0"/>
        <w:autoSpaceDE/>
        <w:autoSpaceDN/>
        <w:bidi w:val="0"/>
        <w:adjustRightInd/>
        <w:spacing w:line="560" w:lineRule="exact"/>
        <w:ind w:right="11"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现委派</w:t>
      </w:r>
      <w:r>
        <w:rPr>
          <w:rFonts w:hint="eastAsia" w:ascii="仿宋_GB2312" w:hAnsi="仿宋_GB2312" w:eastAsia="仿宋_GB2312" w:cs="仿宋_GB2312"/>
          <w:color w:val="auto"/>
          <w:sz w:val="28"/>
          <w:szCs w:val="28"/>
          <w:u w:val="single"/>
        </w:rPr>
        <w:t>（授权代表姓名）</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身份证号：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rPr>
        <w:t>为本公司的授权代表，参加贵方组织的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项目名称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）第___标段政府采购活动，就该项目的</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及合同的执行和完成，以本公司的名义处理一切与之有关的事宜。本授权自开标之日起生效，有效期与投标文件有效期一致。</w:t>
      </w:r>
    </w:p>
    <w:p>
      <w:pPr>
        <w:pageBreakBefore w:val="0"/>
        <w:widowControl/>
        <w:tabs>
          <w:tab w:val="left" w:pos="5245"/>
          <w:tab w:val="left" w:pos="6946"/>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授权代表姓名：_______________</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性别：_____</w:t>
      </w:r>
      <w:r>
        <w:rPr>
          <w:rFonts w:hint="eastAsia" w:ascii="仿宋_GB2312" w:hAnsi="仿宋_GB2312" w:eastAsia="仿宋_GB2312" w:cs="仿宋_GB2312"/>
          <w:color w:val="auto"/>
          <w:sz w:val="28"/>
          <w:szCs w:val="28"/>
        </w:rPr>
        <w:tab/>
      </w:r>
    </w:p>
    <w:p>
      <w:pPr>
        <w:pageBreakBefore w:val="0"/>
        <w:widowControl/>
        <w:tabs>
          <w:tab w:val="left" w:pos="5245"/>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职务：________________           电话：_________</w:t>
      </w:r>
    </w:p>
    <w:p>
      <w:pPr>
        <w:pageBreakBefore w:val="0"/>
        <w:widowControl/>
        <w:tabs>
          <w:tab w:val="left" w:pos="3828"/>
          <w:tab w:val="left" w:pos="6237"/>
        </w:tabs>
        <w:kinsoku/>
        <w:wordWrap/>
        <w:overflowPunct/>
        <w:topLinePunct w:val="0"/>
        <w:autoSpaceDE/>
        <w:autoSpaceDN/>
        <w:bidi w:val="0"/>
        <w:adjustRightInd/>
        <w:snapToGrid w:val="0"/>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通讯地址：__________________     邮政编码：__________</w:t>
      </w:r>
    </w:p>
    <w:tbl>
      <w:tblPr>
        <w:tblStyle w:val="20"/>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ind w:firstLine="8" w:firstLineChars="3"/>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4072"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c>
          <w:tcPr>
            <w:tcW w:w="4098" w:type="dxa"/>
            <w:vAlign w:val="center"/>
          </w:tcPr>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授权代表身份证复印件</w:t>
            </w:r>
          </w:p>
          <w:p>
            <w:pPr>
              <w:pageBreakBefore w:val="0"/>
              <w:widowControl/>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（有国徽面）</w:t>
            </w:r>
          </w:p>
        </w:tc>
      </w:tr>
    </w:tbl>
    <w:p>
      <w:pPr>
        <w:pageBreakBefore w:val="0"/>
        <w:widowControl/>
        <w:tabs>
          <w:tab w:val="right" w:pos="8931"/>
        </w:tabs>
        <w:kinsoku/>
        <w:wordWrap/>
        <w:overflowPunct/>
        <w:topLinePunct w:val="0"/>
        <w:autoSpaceDE/>
        <w:autoSpaceDN/>
        <w:bidi w:val="0"/>
        <w:adjustRightIn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        法定代表人：（签字或盖章）</w:t>
      </w:r>
    </w:p>
    <w:p>
      <w:pPr>
        <w:pageBreakBefore w:val="0"/>
        <w:widowControl/>
        <w:kinsoku/>
        <w:wordWrap/>
        <w:overflowPunct/>
        <w:topLinePunct w:val="0"/>
        <w:autoSpaceDE/>
        <w:autoSpaceDN/>
        <w:bidi w:val="0"/>
        <w:adjustRightInd/>
        <w:spacing w:line="560" w:lineRule="exact"/>
        <w:ind w:firstLine="5943" w:firstLineChars="2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keepNext w:val="0"/>
        <w:keepLines w:val="0"/>
        <w:pageBreakBefore w:val="0"/>
        <w:widowControl/>
        <w:kinsoku/>
        <w:wordWrap/>
        <w:overflowPunct/>
        <w:topLinePunct w:val="0"/>
        <w:autoSpaceDE/>
        <w:autoSpaceDN/>
        <w:bidi w:val="0"/>
        <w:adjustRightInd/>
        <w:snapToGrid/>
        <w:spacing w:line="360" w:lineRule="exact"/>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2、法定代表人亲自参加</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的，无需提供该委托授权书，但须提供法定代表人本人身份证（正反面）复印件。</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firstLine="426"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3、法定代表人签字或盖章可采用纸质签字或盖章后，上传至电子响应文件，也可使用法定代表人CA锁在电子响应文件制作软件中签章。</w:t>
      </w:r>
      <w:r>
        <w:rPr>
          <w:rFonts w:hint="eastAsia" w:ascii="宋体" w:hAnsi="宋体" w:eastAsia="宋体"/>
          <w:color w:val="auto"/>
          <w:sz w:val="21"/>
          <w:szCs w:val="21"/>
          <w:lang w:val="en-US" w:eastAsia="zh-CN"/>
        </w:rPr>
        <w:t xml:space="preserve">   </w:t>
      </w:r>
    </w:p>
    <w:p>
      <w:pP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6" w:firstLineChars="200"/>
        <w:jc w:val="both"/>
        <w:textAlignment w:val="auto"/>
        <w:rPr>
          <w:rFonts w:hint="eastAsia" w:ascii="仿宋_GB2312" w:hAnsi="仿宋_GB2312" w:eastAsia="仿宋_GB2312" w:cs="仿宋_GB2312"/>
          <w:b/>
          <w:bCs/>
          <w:color w:val="auto"/>
          <w:sz w:val="32"/>
          <w:szCs w:val="32"/>
          <w:highlight w:val="none"/>
          <w:lang w:val="en-US" w:eastAsia="zh-CN"/>
        </w:rPr>
      </w:pPr>
      <w:bookmarkStart w:id="359" w:name="_Toc28770"/>
      <w:bookmarkStart w:id="360" w:name="_Toc29866"/>
      <w:bookmarkStart w:id="361" w:name="_Toc18829"/>
      <w:bookmarkStart w:id="362" w:name="_Toc2083"/>
      <w:bookmarkStart w:id="363" w:name="_Toc1034"/>
      <w:bookmarkStart w:id="364" w:name="_Toc17773_WPSOffice_Level2"/>
      <w:bookmarkStart w:id="365" w:name="_Toc29102_WPSOffice_Level2"/>
      <w:bookmarkStart w:id="366" w:name="_Toc20137"/>
      <w:bookmarkStart w:id="367" w:name="_Toc29990_WPSOffice_Level2"/>
      <w:bookmarkStart w:id="368" w:name="_Toc9519_WPSOffice_Level2"/>
      <w:r>
        <w:rPr>
          <w:rFonts w:hint="eastAsia" w:ascii="仿宋_GB2312" w:hAnsi="仿宋_GB2312" w:eastAsia="仿宋_GB2312" w:cs="仿宋_GB2312"/>
          <w:b/>
          <w:bCs/>
          <w:color w:val="auto"/>
          <w:kern w:val="2"/>
          <w:sz w:val="32"/>
          <w:szCs w:val="32"/>
          <w:lang w:val="en-US" w:eastAsia="zh-CN" w:bidi="ar-SA"/>
        </w:rPr>
        <w:t>七、</w:t>
      </w:r>
      <w:r>
        <w:rPr>
          <w:rFonts w:hint="eastAsia" w:ascii="仿宋_GB2312" w:hAnsi="仿宋_GB2312" w:eastAsia="仿宋_GB2312" w:cs="仿宋_GB2312"/>
          <w:b/>
          <w:bCs/>
          <w:color w:val="auto"/>
          <w:sz w:val="32"/>
          <w:szCs w:val="32"/>
          <w:highlight w:val="none"/>
          <w:lang w:val="en-US" w:eastAsia="zh-CN"/>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中小企业声明函</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i/>
          <w:iCs/>
          <w:color w:val="auto"/>
          <w:sz w:val="28"/>
          <w:szCs w:val="28"/>
          <w:u w:val="single"/>
          <w:lang w:val="en-US" w:eastAsia="zh-CN"/>
        </w:rPr>
        <w:t>（单位名称）</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i/>
          <w:iCs/>
          <w:color w:val="auto"/>
          <w:sz w:val="28"/>
          <w:szCs w:val="28"/>
          <w:u w:val="single"/>
          <w:lang w:val="en-US" w:eastAsia="zh-CN"/>
        </w:rPr>
        <w:t>（项目名称）</w:t>
      </w:r>
      <w:r>
        <w:rPr>
          <w:rFonts w:hint="eastAsia" w:ascii="仿宋_GB2312" w:hAnsi="仿宋_GB2312" w:eastAsia="仿宋_GB2312" w:cs="仿宋_GB2312"/>
          <w:color w:val="auto"/>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i/>
          <w:iCs/>
          <w:color w:val="auto"/>
          <w:sz w:val="28"/>
          <w:szCs w:val="28"/>
          <w:u w:val="single"/>
          <w:lang w:val="en-US" w:eastAsia="zh-CN"/>
        </w:rPr>
        <w:t xml:space="preserve"> （标的名称） </w:t>
      </w:r>
      <w:r>
        <w:rPr>
          <w:rFonts w:hint="eastAsia" w:ascii="仿宋_GB2312" w:hAnsi="仿宋_GB2312" w:eastAsia="仿宋_GB2312" w:cs="仿宋_GB2312"/>
          <w:color w:val="auto"/>
          <w:sz w:val="28"/>
          <w:szCs w:val="28"/>
          <w:lang w:val="en-US" w:eastAsia="zh-CN"/>
        </w:rPr>
        <w:t>，属于</w:t>
      </w:r>
      <w:r>
        <w:rPr>
          <w:rFonts w:hint="eastAsia" w:ascii="仿宋_GB2312" w:hAnsi="仿宋_GB2312" w:eastAsia="仿宋_GB2312" w:cs="仿宋_GB2312"/>
          <w:i/>
          <w:iCs/>
          <w:color w:val="auto"/>
          <w:sz w:val="28"/>
          <w:szCs w:val="28"/>
          <w:u w:val="single"/>
          <w:lang w:val="en-US" w:eastAsia="zh-CN"/>
        </w:rPr>
        <w:t>（采购文件中明确的所属行业）</w:t>
      </w:r>
      <w:r>
        <w:rPr>
          <w:rFonts w:hint="eastAsia" w:ascii="仿宋_GB2312" w:hAnsi="仿宋_GB2312" w:eastAsia="仿宋_GB2312" w:cs="仿宋_GB2312"/>
          <w:color w:val="auto"/>
          <w:sz w:val="28"/>
          <w:szCs w:val="28"/>
          <w:lang w:val="en-US" w:eastAsia="zh-CN"/>
        </w:rPr>
        <w:t>；承建（承接）企业为</w:t>
      </w:r>
      <w:r>
        <w:rPr>
          <w:rFonts w:hint="eastAsia" w:ascii="仿宋_GB2312" w:hAnsi="仿宋_GB2312" w:eastAsia="仿宋_GB2312" w:cs="仿宋_GB2312"/>
          <w:i/>
          <w:iCs/>
          <w:color w:val="auto"/>
          <w:sz w:val="28"/>
          <w:szCs w:val="28"/>
          <w:u w:val="single"/>
          <w:lang w:val="en-US" w:eastAsia="zh-CN"/>
        </w:rPr>
        <w:t>（企业名称）</w:t>
      </w:r>
      <w:r>
        <w:rPr>
          <w:rFonts w:hint="eastAsia" w:ascii="仿宋_GB2312" w:hAnsi="仿宋_GB2312" w:eastAsia="仿宋_GB2312" w:cs="仿宋_GB2312"/>
          <w:color w:val="auto"/>
          <w:sz w:val="28"/>
          <w:szCs w:val="28"/>
          <w:lang w:val="en-US" w:eastAsia="zh-CN"/>
        </w:rPr>
        <w:t>，从业人员</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人，营业收入为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万元，资产总额为</w:t>
      </w:r>
      <w:r>
        <w:rPr>
          <w:rFonts w:hint="eastAsia" w:ascii="仿宋_GB2312" w:hAnsi="仿宋_GB2312" w:eastAsia="仿宋_GB2312" w:cs="仿宋_GB2312"/>
          <w:i/>
          <w:iCs/>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万元，属于</w:t>
      </w:r>
      <w:r>
        <w:rPr>
          <w:rFonts w:hint="eastAsia" w:ascii="仿宋_GB2312" w:hAnsi="仿宋_GB2312" w:eastAsia="仿宋_GB2312" w:cs="仿宋_GB2312"/>
          <w:i/>
          <w:iCs/>
          <w:color w:val="auto"/>
          <w:sz w:val="28"/>
          <w:szCs w:val="28"/>
          <w:u w:val="single"/>
          <w:lang w:val="en-US" w:eastAsia="zh-CN"/>
        </w:rPr>
        <w:t>（中型企业、小型企业、微型企业）</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566"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企业名称（盖章）：</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日 期：</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备注：1、</w:t>
      </w:r>
      <w:r>
        <w:rPr>
          <w:rFonts w:hint="eastAsia" w:ascii="宋体" w:hAnsi="宋体" w:eastAsia="宋体" w:cs="宋体"/>
          <w:color w:val="auto"/>
          <w:sz w:val="21"/>
          <w:szCs w:val="21"/>
        </w:rPr>
        <w:t>本项目采购标的对应的中小企业划分标准所属行业</w:t>
      </w:r>
      <w:r>
        <w:rPr>
          <w:rFonts w:hint="eastAsia" w:ascii="宋体" w:hAnsi="宋体" w:eastAsia="宋体" w:cs="宋体"/>
          <w:color w:val="auto"/>
          <w:sz w:val="21"/>
          <w:szCs w:val="21"/>
          <w:highlight w:val="none"/>
        </w:rPr>
        <w:t>为：</w:t>
      </w:r>
      <w:r>
        <w:rPr>
          <w:rFonts w:hint="eastAsia" w:ascii="宋体" w:hAnsi="宋体" w:eastAsia="宋体" w:cs="宋体"/>
          <w:b/>
          <w:bCs/>
          <w:color w:val="auto"/>
          <w:sz w:val="21"/>
          <w:szCs w:val="21"/>
          <w:highlight w:val="none"/>
          <w:lang w:val="en-US" w:eastAsia="zh-CN"/>
        </w:rPr>
        <w:t>租赁和商务服务业</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2、成交供应商的《中小企业声明函》将随成交结果公告一同公布。 </w:t>
      </w:r>
    </w:p>
    <w:p>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序（http://202.106.120.146/baosong/appweb/orgScale.html）进行测算。  </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pStyle w:val="41"/>
        <w:pageBreakBefore w:val="0"/>
        <w:widowControl/>
        <w:kinsoku/>
        <w:wordWrap/>
        <w:overflowPunct/>
        <w:topLinePunct w:val="0"/>
        <w:autoSpaceDE/>
        <w:autoSpaceDN/>
        <w:bidi w:val="0"/>
        <w:adjustRightInd/>
        <w:snapToGrid/>
        <w:spacing w:line="560" w:lineRule="exact"/>
        <w:textAlignment w:val="auto"/>
        <w:rPr>
          <w:rFonts w:ascii="黑体" w:hAnsi="黑体" w:eastAsia="黑体"/>
          <w:b w:val="0"/>
          <w:color w:val="auto"/>
          <w:sz w:val="32"/>
          <w:szCs w:val="32"/>
        </w:rPr>
      </w:pPr>
      <w:bookmarkStart w:id="369" w:name="_Toc9751"/>
      <w:r>
        <w:rPr>
          <w:rFonts w:hint="eastAsia" w:ascii="黑体" w:hAnsi="黑体" w:eastAsia="黑体"/>
          <w:b w:val="0"/>
          <w:color w:val="auto"/>
          <w:sz w:val="32"/>
          <w:szCs w:val="32"/>
        </w:rPr>
        <w:t>第二部分  符合性证明文件</w:t>
      </w:r>
      <w:bookmarkEnd w:id="359"/>
      <w:bookmarkEnd w:id="360"/>
      <w:bookmarkEnd w:id="361"/>
      <w:bookmarkEnd w:id="362"/>
      <w:bookmarkEnd w:id="363"/>
      <w:bookmarkEnd w:id="369"/>
    </w:p>
    <w:p>
      <w:pPr>
        <w:pStyle w:val="41"/>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28"/>
          <w:szCs w:val="28"/>
        </w:rPr>
      </w:pPr>
      <w:bookmarkStart w:id="370" w:name="_Toc28961"/>
      <w:bookmarkStart w:id="371" w:name="_Toc2230"/>
      <w:bookmarkStart w:id="372" w:name="_Toc22486"/>
      <w:bookmarkStart w:id="373" w:name="_Toc26623"/>
      <w:bookmarkStart w:id="374" w:name="_Toc14262"/>
      <w:bookmarkStart w:id="375" w:name="_Toc7047"/>
      <w:bookmarkStart w:id="376" w:name="_Toc19788"/>
      <w:bookmarkStart w:id="377" w:name="_Toc3857"/>
      <w:bookmarkStart w:id="378" w:name="_Toc26585"/>
      <w:r>
        <w:rPr>
          <w:rFonts w:hint="eastAsia" w:ascii="仿宋_GB2312" w:hAnsi="仿宋_GB2312" w:eastAsia="仿宋_GB2312" w:cs="仿宋_GB2312"/>
          <w:bCs w:val="0"/>
          <w:color w:val="auto"/>
          <w:sz w:val="28"/>
          <w:szCs w:val="28"/>
        </w:rPr>
        <w:t>一、响应函格式</w:t>
      </w:r>
      <w:bookmarkEnd w:id="370"/>
      <w:bookmarkEnd w:id="371"/>
      <w:bookmarkEnd w:id="372"/>
      <w:bookmarkEnd w:id="373"/>
      <w:bookmarkEnd w:id="374"/>
      <w:bookmarkEnd w:id="375"/>
      <w:bookmarkEnd w:id="376"/>
      <w:bookmarkEnd w:id="377"/>
      <w:bookmarkEnd w:id="378"/>
    </w:p>
    <w:p>
      <w:pPr>
        <w:pStyle w:val="37"/>
        <w:pageBreakBefore w:val="0"/>
        <w:widowControl/>
        <w:kinsoku/>
        <w:wordWrap/>
        <w:overflowPunct/>
        <w:topLinePunct w:val="0"/>
        <w:autoSpaceDE/>
        <w:autoSpaceDN/>
        <w:bidi w:val="0"/>
        <w:adjustRightInd/>
        <w:snapToGrid/>
        <w:spacing w:line="560" w:lineRule="exact"/>
        <w:ind w:firstLine="647"/>
        <w:jc w:val="center"/>
        <w:textAlignment w:val="auto"/>
        <w:rPr>
          <w:rFonts w:hint="eastAsia" w:ascii="仿宋_GB2312" w:hAnsi="仿宋_GB2312" w:eastAsia="仿宋_GB2312" w:cs="仿宋_GB2312"/>
          <w:b/>
          <w:bCs/>
          <w:color w:val="auto"/>
          <w:sz w:val="28"/>
          <w:szCs w:val="28"/>
        </w:rPr>
      </w:pPr>
      <w:bookmarkStart w:id="379" w:name="_Toc23334"/>
      <w:bookmarkStart w:id="380" w:name="_Toc22777"/>
      <w:bookmarkStart w:id="381" w:name="_Toc10617"/>
      <w:r>
        <w:rPr>
          <w:rFonts w:hint="eastAsia" w:ascii="仿宋_GB2312" w:hAnsi="仿宋_GB2312" w:eastAsia="仿宋_GB2312" w:cs="仿宋_GB2312"/>
          <w:b/>
          <w:bCs/>
          <w:color w:val="auto"/>
          <w:sz w:val="28"/>
          <w:szCs w:val="28"/>
        </w:rPr>
        <w:t>响应函</w:t>
      </w:r>
      <w:bookmarkEnd w:id="379"/>
      <w:bookmarkEnd w:id="380"/>
      <w:bookmarkEnd w:id="381"/>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汉中市</w:t>
      </w:r>
      <w:r>
        <w:rPr>
          <w:rFonts w:hint="eastAsia" w:ascii="仿宋_GB2312" w:hAnsi="仿宋_GB2312" w:eastAsia="仿宋_GB2312" w:cs="仿宋_GB2312"/>
          <w:color w:val="auto"/>
          <w:sz w:val="28"/>
          <w:szCs w:val="28"/>
        </w:rPr>
        <w:t>政府采购中心</w:t>
      </w:r>
      <w:r>
        <w:rPr>
          <w:rFonts w:hint="eastAsia" w:ascii="仿宋_GB2312" w:hAnsi="仿宋_GB2312" w:eastAsia="仿宋_GB2312" w:cs="仿宋_GB2312"/>
          <w:color w:val="auto"/>
          <w:sz w:val="28"/>
          <w:szCs w:val="28"/>
          <w:lang w:val="zh-CN"/>
        </w:rPr>
        <w:t>：</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我方收到贵中心发布的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项目名称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u w:val="single"/>
        </w:rPr>
        <w:t>___</w:t>
      </w:r>
      <w:r>
        <w:rPr>
          <w:rFonts w:hint="eastAsia" w:ascii="仿宋_GB2312" w:hAnsi="仿宋_GB2312" w:eastAsia="仿宋_GB2312" w:cs="仿宋_GB2312"/>
          <w:color w:val="auto"/>
          <w:sz w:val="28"/>
          <w:szCs w:val="28"/>
        </w:rPr>
        <w:t>标段磋商文件，经详细研究，我方决定参加该项目第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标段</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活动。为此，我方郑重声明以下诸点，并负法律责任。</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一、我方已详细阅读了磋商文件，完全理解并同意磋商文件的所有事项及内容。</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三、我方同意向贵方提供与本</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有关的任何证明材料，保证所提交的证明材料真实、合法、有效。</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四、我方</w:t>
      </w:r>
      <w:r>
        <w:rPr>
          <w:rFonts w:hint="eastAsia" w:ascii="仿宋_GB2312" w:hAnsi="仿宋_GB2312" w:eastAsia="仿宋_GB2312" w:cs="仿宋_GB2312"/>
          <w:color w:val="auto"/>
          <w:sz w:val="28"/>
          <w:szCs w:val="28"/>
        </w:rPr>
        <w:t>尊重磋商小组的评审结果。</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如若成交，</w:t>
      </w:r>
      <w:r>
        <w:rPr>
          <w:rFonts w:hint="eastAsia" w:ascii="仿宋_GB2312" w:hAnsi="仿宋_GB2312" w:eastAsia="仿宋_GB2312" w:cs="仿宋_GB2312"/>
          <w:color w:val="auto"/>
          <w:sz w:val="28"/>
          <w:szCs w:val="28"/>
        </w:rPr>
        <w:t>我方愿意按照磋商文件中的一切要求，完成本项目合同责任和义务。</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、我方提交</w:t>
      </w:r>
      <w:r>
        <w:rPr>
          <w:rFonts w:hint="eastAsia" w:ascii="仿宋_GB2312" w:hAnsi="仿宋_GB2312" w:eastAsia="仿宋_GB2312" w:cs="仿宋_GB2312"/>
          <w:b/>
          <w:color w:val="auto"/>
          <w:sz w:val="28"/>
          <w:szCs w:val="28"/>
        </w:rPr>
        <w:t>电子响应文件一份</w:t>
      </w:r>
      <w:r>
        <w:rPr>
          <w:rFonts w:hint="eastAsia" w:ascii="仿宋_GB2312" w:hAnsi="仿宋_GB2312" w:eastAsia="仿宋_GB2312" w:cs="仿宋_GB2312"/>
          <w:b/>
          <w:bCs/>
          <w:color w:val="auto"/>
          <w:sz w:val="28"/>
          <w:szCs w:val="28"/>
        </w:rPr>
        <w:t>。</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、供应商在提交响应文件截止时间后撤回响应文件的，我们愿接受政府采购的有关处罚决定。</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、我方的响应文件在开标之日起</w:t>
      </w:r>
      <w:r>
        <w:rPr>
          <w:rFonts w:hint="eastAsia" w:ascii="仿宋_GB2312" w:hAnsi="仿宋_GB2312" w:eastAsia="仿宋_GB2312" w:cs="仿宋_GB2312"/>
          <w:b/>
          <w:bCs/>
          <w:color w:val="auto"/>
          <w:sz w:val="28"/>
          <w:szCs w:val="28"/>
          <w:u w:val="single"/>
        </w:rPr>
        <w:t xml:space="preserve"> 90 </w:t>
      </w:r>
      <w:r>
        <w:rPr>
          <w:rFonts w:hint="eastAsia" w:ascii="仿宋_GB2312" w:hAnsi="仿宋_GB2312" w:eastAsia="仿宋_GB2312" w:cs="仿宋_GB2312"/>
          <w:color w:val="auto"/>
          <w:sz w:val="28"/>
          <w:szCs w:val="28"/>
        </w:rPr>
        <w:t>个日历日内有效，如成交，延长至合同执行完毕时止。</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、所有关于此次</w:t>
      </w:r>
      <w:r>
        <w:rPr>
          <w:rFonts w:hint="eastAsia" w:ascii="仿宋_GB2312" w:hAnsi="仿宋_GB2312" w:eastAsia="仿宋_GB2312" w:cs="仿宋_GB2312"/>
          <w:color w:val="auto"/>
          <w:sz w:val="28"/>
          <w:szCs w:val="28"/>
          <w:lang w:val="en-US" w:eastAsia="zh-CN"/>
        </w:rPr>
        <w:t>磋商</w:t>
      </w:r>
      <w:r>
        <w:rPr>
          <w:rFonts w:hint="eastAsia" w:ascii="仿宋_GB2312" w:hAnsi="仿宋_GB2312" w:eastAsia="仿宋_GB2312" w:cs="仿宋_GB2312"/>
          <w:color w:val="auto"/>
          <w:sz w:val="28"/>
          <w:szCs w:val="28"/>
        </w:rPr>
        <w:t>活动的函电，请按下列地址联系：</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供应商：名称（加盖公章）</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邮编：</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电子邮箱：         </w:t>
      </w:r>
    </w:p>
    <w:p>
      <w:pPr>
        <w:pStyle w:val="37"/>
        <w:pageBreakBefore w:val="0"/>
        <w:widowControl/>
        <w:kinsoku/>
        <w:wordWrap/>
        <w:overflowPunct/>
        <w:topLinePunct w:val="0"/>
        <w:autoSpaceDE/>
        <w:autoSpaceDN/>
        <w:bidi w:val="0"/>
        <w:adjustRightInd/>
        <w:snapToGrid/>
        <w:spacing w:line="560" w:lineRule="exact"/>
        <w:ind w:firstLine="567"/>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pageBreakBefore w:val="0"/>
        <w:widowControl/>
        <w:kinsoku/>
        <w:wordWrap/>
        <w:overflowPunct/>
        <w:topLinePunct w:val="0"/>
        <w:autoSpaceDE/>
        <w:autoSpaceDN/>
        <w:bidi w:val="0"/>
        <w:adjustRightInd/>
        <w:snapToGrid/>
        <w:spacing w:line="560" w:lineRule="exact"/>
        <w:ind w:firstLine="0" w:firstLineChars="0"/>
        <w:textAlignment w:val="auto"/>
        <w:rPr>
          <w:color w:val="auto"/>
          <w:sz w:val="32"/>
          <w:szCs w:val="32"/>
        </w:rPr>
      </w:pPr>
    </w:p>
    <w:p>
      <w:pPr>
        <w:pStyle w:val="37"/>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pPr>
        <w:pStyle w:val="37"/>
        <w:keepNext w:val="0"/>
        <w:keepLines w:val="0"/>
        <w:pageBreakBefore w:val="0"/>
        <w:widowControl/>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rPr>
        <w:t>2、除可填报项目外，对本响应函的任何实质性内容修改将被视为非实质性响应，在评审时将其视为无效响应。</w:t>
      </w:r>
    </w:p>
    <w:p>
      <w:pPr>
        <w:pStyle w:val="37"/>
        <w:ind w:firstLine="639" w:firstLineChars="300"/>
        <w:rPr>
          <w:rFonts w:hint="eastAsia" w:ascii="宋体" w:hAnsi="宋体" w:eastAsia="宋体" w:cs="宋体"/>
          <w:b/>
          <w:bCs/>
          <w:color w:val="auto"/>
          <w:sz w:val="21"/>
          <w:szCs w:val="21"/>
        </w:rPr>
      </w:pPr>
    </w:p>
    <w:p>
      <w:pPr>
        <w:pStyle w:val="37"/>
        <w:ind w:firstLine="639" w:firstLineChars="300"/>
        <w:rPr>
          <w:rFonts w:hint="eastAsia" w:ascii="宋体" w:hAnsi="宋体" w:eastAsia="宋体" w:cs="宋体"/>
          <w:b/>
          <w:bCs/>
          <w:color w:val="auto"/>
          <w:sz w:val="21"/>
          <w:szCs w:val="21"/>
        </w:rPr>
      </w:pPr>
    </w:p>
    <w:p>
      <w:pPr>
        <w:pStyle w:val="37"/>
        <w:ind w:firstLine="639" w:firstLineChars="300"/>
        <w:rPr>
          <w:rFonts w:hint="eastAsia" w:ascii="宋体" w:hAnsi="宋体" w:eastAsia="宋体" w:cs="宋体"/>
          <w:b/>
          <w:bCs/>
          <w:color w:val="auto"/>
          <w:sz w:val="21"/>
          <w:szCs w:val="21"/>
        </w:rPr>
      </w:pP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bookmarkEnd w:id="364"/>
    <w:bookmarkEnd w:id="365"/>
    <w:bookmarkEnd w:id="366"/>
    <w:bookmarkEnd w:id="367"/>
    <w:bookmarkEnd w:id="368"/>
    <w:p>
      <w:pPr>
        <w:pStyle w:val="41"/>
        <w:jc w:val="both"/>
        <w:rPr>
          <w:rFonts w:ascii="仿宋" w:hAnsi="仿宋" w:eastAsia="仿宋"/>
          <w:color w:val="auto"/>
          <w:sz w:val="28"/>
          <w:szCs w:val="28"/>
        </w:rPr>
      </w:pPr>
      <w:bookmarkStart w:id="382" w:name="_Toc30525"/>
      <w:bookmarkStart w:id="383" w:name="_Toc24876"/>
      <w:bookmarkStart w:id="384" w:name="_Toc8175"/>
      <w:bookmarkStart w:id="385" w:name="_Toc23660"/>
      <w:bookmarkStart w:id="386" w:name="_Toc6921"/>
      <w:bookmarkStart w:id="387" w:name="_Toc6154"/>
      <w:bookmarkStart w:id="388" w:name="_Toc23955"/>
      <w:bookmarkStart w:id="389" w:name="_Toc15883"/>
      <w:bookmarkStart w:id="390" w:name="_Toc13216"/>
      <w:bookmarkStart w:id="391" w:name="_Toc17656_WPSOffice_Level2"/>
      <w:r>
        <w:rPr>
          <w:rFonts w:hint="eastAsia" w:ascii="仿宋" w:hAnsi="仿宋" w:eastAsia="仿宋" w:cs="仿宋"/>
          <w:bCs w:val="0"/>
          <w:color w:val="auto"/>
          <w:sz w:val="28"/>
          <w:szCs w:val="28"/>
        </w:rPr>
        <w:t>二、第一次磋商报价表</w:t>
      </w:r>
      <w:bookmarkEnd w:id="382"/>
      <w:bookmarkEnd w:id="383"/>
      <w:bookmarkEnd w:id="384"/>
      <w:bookmarkEnd w:id="385"/>
      <w:bookmarkEnd w:id="386"/>
      <w:bookmarkEnd w:id="387"/>
      <w:bookmarkEnd w:id="388"/>
      <w:bookmarkEnd w:id="389"/>
      <w:bookmarkEnd w:id="390"/>
    </w:p>
    <w:p>
      <w:pPr>
        <w:spacing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项目名称：</w:t>
      </w:r>
    </w:p>
    <w:p>
      <w:pPr>
        <w:pStyle w:val="17"/>
        <w:wordWrap w:val="0"/>
        <w:spacing w:beforeAutospacing="0" w:afterAutospacing="0" w:line="500" w:lineRule="exact"/>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项目编号：</w:t>
      </w:r>
    </w:p>
    <w:p>
      <w:pPr>
        <w:pStyle w:val="13"/>
        <w:rPr>
          <w:rFonts w:hint="eastAsia" w:ascii="仿宋_GB2312" w:hAnsi="仿宋_GB2312" w:eastAsia="仿宋_GB2312" w:cs="仿宋_GB2312"/>
          <w:color w:val="auto"/>
          <w:sz w:val="28"/>
          <w:szCs w:val="28"/>
          <w:shd w:val="clear" w:color="auto" w:fill="FFFFFF"/>
        </w:rPr>
      </w:pPr>
    </w:p>
    <w:tbl>
      <w:tblPr>
        <w:tblStyle w:val="20"/>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p>
        </w:tc>
        <w:tc>
          <w:tcPr>
            <w:tcW w:w="5752" w:type="dxa"/>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pPr>
              <w:pStyle w:val="6"/>
              <w:spacing w:line="360" w:lineRule="auto"/>
              <w:ind w:firstLine="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磋商报价</w:t>
            </w:r>
          </w:p>
        </w:tc>
        <w:tc>
          <w:tcPr>
            <w:tcW w:w="5752" w:type="dxa"/>
            <w:vAlign w:val="center"/>
          </w:tcPr>
          <w:p>
            <w:pPr>
              <w:autoSpaceDE w:val="0"/>
              <w:autoSpaceDN w:val="0"/>
              <w:spacing w:line="360" w:lineRule="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小写：</w:t>
            </w:r>
          </w:p>
          <w:p>
            <w:pPr>
              <w:pStyle w:val="13"/>
              <w:rPr>
                <w:rFonts w:hint="eastAsia" w:ascii="仿宋_GB2312" w:hAnsi="仿宋_GB2312" w:eastAsia="仿宋_GB2312" w:cs="仿宋_GB2312"/>
                <w:color w:val="auto"/>
                <w:sz w:val="28"/>
                <w:szCs w:val="28"/>
                <w:lang w:val="zh-CN"/>
              </w:rPr>
            </w:pP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大写</w:t>
            </w:r>
            <w:r>
              <w:rPr>
                <w:rFonts w:hint="eastAsia" w:ascii="仿宋_GB2312" w:hAnsi="仿宋_GB2312" w:eastAsia="仿宋_GB2312" w:cs="仿宋_GB2312"/>
                <w:color w:val="auto"/>
                <w:sz w:val="28"/>
                <w:szCs w:val="28"/>
              </w:rPr>
              <w:t>：</w:t>
            </w:r>
          </w:p>
          <w:p>
            <w:pPr>
              <w:autoSpaceDE w:val="0"/>
              <w:autoSpaceDN w:val="0"/>
              <w:spacing w:line="36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单位：元（保留到元）</w:t>
            </w:r>
          </w:p>
        </w:tc>
      </w:tr>
    </w:tbl>
    <w:p>
      <w:pPr>
        <w:autoSpaceDE w:val="0"/>
        <w:autoSpaceDN w:val="0"/>
        <w:spacing w:line="240" w:lineRule="auto"/>
        <w:ind w:firstLine="480"/>
        <w:rPr>
          <w:rFonts w:hint="eastAsia" w:ascii="宋体" w:hAnsi="宋体" w:eastAsia="宋体" w:cs="宋体"/>
          <w:b/>
          <w:bCs/>
          <w:color w:val="auto"/>
          <w:kern w:val="0"/>
          <w:sz w:val="21"/>
          <w:szCs w:val="21"/>
        </w:rPr>
      </w:pPr>
    </w:p>
    <w:p>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b/>
          <w:bCs/>
          <w:color w:val="auto"/>
          <w:kern w:val="0"/>
          <w:sz w:val="21"/>
          <w:szCs w:val="21"/>
        </w:rPr>
        <w:t>备注</w:t>
      </w:r>
      <w:r>
        <w:rPr>
          <w:rFonts w:hint="eastAsia" w:ascii="宋体" w:hAnsi="宋体" w:eastAsia="宋体" w:cs="宋体"/>
          <w:b/>
          <w:bCs/>
          <w:color w:val="auto"/>
          <w:kern w:val="0"/>
          <w:sz w:val="21"/>
          <w:szCs w:val="21"/>
          <w:lang w:val="zh-CN"/>
        </w:rPr>
        <w:t>：</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lang w:val="zh-CN"/>
        </w:rPr>
        <w:t>“磋商报价”为磋商总价。磋商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pPr>
        <w:autoSpaceDE w:val="0"/>
        <w:autoSpaceDN w:val="0"/>
        <w:spacing w:line="240" w:lineRule="auto"/>
        <w:ind w:firstLine="48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2、该报价须与标书信息确认中的报价一致，如不一致，以标书信息确认中的报价为准，请各供应商仔细填写。</w:t>
      </w:r>
    </w:p>
    <w:p>
      <w:pPr>
        <w:autoSpaceDE w:val="0"/>
        <w:autoSpaceDN w:val="0"/>
        <w:spacing w:line="240" w:lineRule="auto"/>
        <w:ind w:firstLine="1065" w:firstLineChars="500"/>
        <w:rPr>
          <w:rFonts w:ascii="宋体" w:hAnsi="宋体" w:eastAsia="宋体" w:cs="宋体"/>
          <w:color w:val="auto"/>
          <w:sz w:val="21"/>
          <w:szCs w:val="21"/>
        </w:rPr>
      </w:pPr>
    </w:p>
    <w:p>
      <w:pPr>
        <w:spacing w:line="440" w:lineRule="exact"/>
        <w:ind w:right="560"/>
        <w:jc w:val="right"/>
        <w:rPr>
          <w:rFonts w:ascii="仿宋" w:hAnsi="仿宋" w:eastAsia="仿宋"/>
          <w:color w:val="auto"/>
          <w:sz w:val="28"/>
          <w:szCs w:val="28"/>
        </w:rPr>
      </w:pP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keepNext w:val="0"/>
        <w:keepLines w:val="0"/>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ind w:firstLine="566" w:firstLineChars="200"/>
        <w:rPr>
          <w:rFonts w:ascii="华文仿宋" w:hAnsi="华文仿宋" w:cs="华文仿宋"/>
          <w:b/>
          <w:color w:val="auto"/>
        </w:rPr>
      </w:pPr>
    </w:p>
    <w:bookmarkEnd w:id="391"/>
    <w:p>
      <w:pPr>
        <w:rPr>
          <w:rFonts w:ascii="宋体" w:hAnsi="宋体"/>
          <w:b/>
          <w:bCs/>
          <w:color w:val="auto"/>
          <w:sz w:val="32"/>
          <w:szCs w:val="32"/>
        </w:rPr>
      </w:pPr>
      <w:r>
        <w:rPr>
          <w:rFonts w:ascii="华文仿宋" w:hAnsi="华文仿宋" w:cs="华文仿宋"/>
          <w:b w:val="0"/>
          <w:color w:val="auto"/>
          <w:sz w:val="28"/>
          <w:szCs w:val="28"/>
        </w:rPr>
        <w:br w:type="page"/>
      </w:r>
    </w:p>
    <w:p>
      <w:pPr>
        <w:spacing w:line="24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分项报价表（样表）</w:t>
      </w:r>
      <w:r>
        <w:rPr>
          <w:rFonts w:hint="eastAsia" w:ascii="仿宋_GB2312" w:hAnsi="仿宋_GB2312" w:eastAsia="仿宋_GB2312" w:cs="仿宋_GB2312"/>
          <w:b/>
          <w:color w:val="auto"/>
          <w:sz w:val="28"/>
          <w:szCs w:val="28"/>
        </w:rPr>
        <w:tab/>
      </w:r>
    </w:p>
    <w:tbl>
      <w:tblPr>
        <w:tblStyle w:val="21"/>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855"/>
        <w:gridCol w:w="1625"/>
        <w:gridCol w:w="1342"/>
        <w:gridCol w:w="183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bookmarkStart w:id="392" w:name="_Toc11534"/>
            <w:bookmarkStart w:id="393" w:name="_Toc28408"/>
            <w:bookmarkStart w:id="394" w:name="_Toc32361"/>
            <w:bookmarkStart w:id="395" w:name="_Toc22090"/>
            <w:bookmarkStart w:id="396" w:name="_Toc11855"/>
            <w:bookmarkStart w:id="397" w:name="_Toc16723"/>
            <w:bookmarkStart w:id="398" w:name="_Toc18433"/>
            <w:bookmarkStart w:id="399" w:name="_Toc26257"/>
            <w:bookmarkStart w:id="400" w:name="_Toc1934"/>
            <w:r>
              <w:rPr>
                <w:rFonts w:hint="eastAsia" w:ascii="仿宋_GB2312" w:hAnsi="仿宋_GB2312" w:eastAsia="仿宋_GB2312" w:cs="仿宋_GB2312"/>
                <w:bCs w:val="0"/>
                <w:color w:val="auto"/>
                <w:sz w:val="28"/>
                <w:szCs w:val="28"/>
              </w:rPr>
              <w:t>序号</w:t>
            </w:r>
            <w:bookmarkEnd w:id="392"/>
            <w:bookmarkEnd w:id="393"/>
            <w:bookmarkEnd w:id="394"/>
            <w:bookmarkEnd w:id="395"/>
            <w:bookmarkEnd w:id="396"/>
            <w:bookmarkEnd w:id="397"/>
            <w:bookmarkEnd w:id="398"/>
            <w:bookmarkEnd w:id="399"/>
            <w:bookmarkEnd w:id="400"/>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服务项目</w:t>
            </w: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单价</w:t>
            </w: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数量</w:t>
            </w: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小计</w:t>
            </w: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r>
              <w:rPr>
                <w:rFonts w:hint="eastAsia" w:ascii="仿宋_GB2312" w:hAnsi="仿宋_GB2312" w:eastAsia="仿宋_GB2312" w:cs="仿宋_GB2312"/>
                <w:bCs w:val="0"/>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bookmarkStart w:id="401" w:name="_Toc31519"/>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2" w:type="dxa"/>
            <w:vAlign w:val="center"/>
          </w:tcPr>
          <w:p>
            <w:pPr>
              <w:pStyle w:val="41"/>
              <w:widowControl w:val="0"/>
              <w:rPr>
                <w:rFonts w:hint="eastAsia" w:ascii="仿宋_GB2312" w:hAnsi="仿宋_GB2312" w:eastAsia="仿宋_GB2312" w:cs="仿宋_GB2312"/>
                <w:bCs w:val="0"/>
                <w:color w:val="auto"/>
                <w:sz w:val="28"/>
                <w:szCs w:val="28"/>
              </w:rPr>
            </w:pPr>
          </w:p>
        </w:tc>
        <w:tc>
          <w:tcPr>
            <w:tcW w:w="185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625"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42" w:type="dxa"/>
            <w:vAlign w:val="center"/>
          </w:tcPr>
          <w:p>
            <w:pPr>
              <w:pStyle w:val="41"/>
              <w:widowControl w:val="0"/>
              <w:spacing w:line="300" w:lineRule="exact"/>
              <w:rPr>
                <w:rFonts w:hint="eastAsia" w:ascii="仿宋_GB2312" w:hAnsi="仿宋_GB2312" w:eastAsia="仿宋_GB2312" w:cs="仿宋_GB2312"/>
                <w:bCs w:val="0"/>
                <w:color w:val="auto"/>
                <w:sz w:val="28"/>
                <w:szCs w:val="28"/>
                <w:lang w:val="en-US" w:eastAsia="zh-CN"/>
              </w:rPr>
            </w:pPr>
          </w:p>
        </w:tc>
        <w:tc>
          <w:tcPr>
            <w:tcW w:w="1833"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c>
          <w:tcPr>
            <w:tcW w:w="1352" w:type="dxa"/>
            <w:vAlign w:val="center"/>
          </w:tcPr>
          <w:p>
            <w:pPr>
              <w:pStyle w:val="41"/>
              <w:widowControl w:val="0"/>
              <w:rPr>
                <w:rFonts w:hint="eastAsia" w:ascii="仿宋_GB2312" w:hAnsi="仿宋_GB2312" w:eastAsia="仿宋_GB2312" w:cs="仿宋_GB2312"/>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vAlign w:val="center"/>
          </w:tcPr>
          <w:p>
            <w:pPr>
              <w:pStyle w:val="41"/>
              <w:widowControl w:val="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color w:val="auto"/>
                <w:sz w:val="28"/>
                <w:szCs w:val="28"/>
                <w:lang w:val="en-US" w:eastAsia="zh-CN"/>
              </w:rPr>
              <w:t>合计</w:t>
            </w:r>
            <w:bookmarkEnd w:id="401"/>
          </w:p>
        </w:tc>
        <w:tc>
          <w:tcPr>
            <w:tcW w:w="8007" w:type="dxa"/>
            <w:gridSpan w:val="5"/>
            <w:vAlign w:val="center"/>
          </w:tcPr>
          <w:p>
            <w:pPr>
              <w:widowControl w:val="0"/>
              <w:autoSpaceDE w:val="0"/>
              <w:autoSpaceDN w:val="0"/>
              <w:spacing w:line="240" w:lineRule="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小写：</w:t>
            </w:r>
          </w:p>
          <w:p>
            <w:pPr>
              <w:pStyle w:val="41"/>
              <w:widowControl w:val="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bookmarkStart w:id="402" w:name="_Toc8004"/>
            <w:bookmarkStart w:id="403" w:name="_Toc28010"/>
            <w:bookmarkStart w:id="404" w:name="_Toc31429"/>
            <w:bookmarkStart w:id="405" w:name="_Toc17991"/>
            <w:bookmarkStart w:id="406" w:name="_Toc22162"/>
            <w:bookmarkStart w:id="407" w:name="_Toc7253"/>
            <w:bookmarkStart w:id="408" w:name="_Toc10552"/>
            <w:r>
              <w:rPr>
                <w:rFonts w:hint="eastAsia" w:ascii="仿宋_GB2312" w:hAnsi="仿宋_GB2312" w:eastAsia="仿宋_GB2312" w:cs="仿宋_GB2312"/>
                <w:b w:val="0"/>
                <w:bCs w:val="0"/>
                <w:color w:val="auto"/>
                <w:sz w:val="28"/>
                <w:szCs w:val="28"/>
              </w:rPr>
              <w:t>单位：元（保留到元）</w:t>
            </w:r>
            <w:bookmarkEnd w:id="402"/>
            <w:bookmarkEnd w:id="403"/>
            <w:bookmarkEnd w:id="404"/>
            <w:bookmarkEnd w:id="405"/>
            <w:bookmarkEnd w:id="406"/>
            <w:bookmarkEnd w:id="407"/>
            <w:bookmarkEnd w:id="408"/>
          </w:p>
        </w:tc>
      </w:tr>
    </w:tbl>
    <w:p>
      <w:pPr>
        <w:tabs>
          <w:tab w:val="right" w:pos="9072"/>
        </w:tabs>
        <w:spacing w:line="500" w:lineRule="exact"/>
        <w:ind w:firstLine="566" w:firstLineChars="200"/>
        <w:jc w:val="right"/>
        <w:rPr>
          <w:rFonts w:ascii="仿宋" w:hAnsi="仿宋" w:eastAsia="仿宋"/>
          <w:b/>
          <w:color w:val="auto"/>
        </w:rPr>
      </w:pPr>
    </w:p>
    <w:p>
      <w:pPr>
        <w:tabs>
          <w:tab w:val="right" w:pos="9072"/>
        </w:tabs>
        <w:spacing w:line="240" w:lineRule="auto"/>
        <w:ind w:firstLine="213" w:firstLineChars="100"/>
        <w:rPr>
          <w:rFonts w:ascii="宋体" w:hAnsi="宋体" w:eastAsia="宋体" w:cs="华文仿宋"/>
          <w:color w:val="auto"/>
          <w:sz w:val="21"/>
          <w:szCs w:val="21"/>
        </w:rPr>
      </w:pPr>
      <w:r>
        <w:rPr>
          <w:rFonts w:hint="eastAsia" w:ascii="宋体" w:hAnsi="宋体" w:eastAsia="宋体" w:cs="华文仿宋"/>
          <w:color w:val="auto"/>
          <w:sz w:val="21"/>
          <w:szCs w:val="21"/>
        </w:rPr>
        <w:t>备注</w:t>
      </w:r>
      <w:r>
        <w:rPr>
          <w:rFonts w:ascii="宋体" w:hAnsi="宋体" w:eastAsia="宋体" w:cs="华文仿宋"/>
          <w:color w:val="auto"/>
          <w:sz w:val="21"/>
          <w:szCs w:val="21"/>
        </w:rPr>
        <w:t>：</w:t>
      </w:r>
      <w:r>
        <w:rPr>
          <w:rFonts w:hint="eastAsia" w:ascii="宋体" w:hAnsi="宋体" w:eastAsia="宋体" w:cs="华文仿宋"/>
          <w:color w:val="auto"/>
          <w:sz w:val="21"/>
          <w:szCs w:val="21"/>
        </w:rPr>
        <w:t>1、本表“</w:t>
      </w:r>
      <w:r>
        <w:rPr>
          <w:rFonts w:hint="eastAsia" w:ascii="宋体" w:hAnsi="宋体" w:eastAsia="宋体" w:cs="华文仿宋"/>
          <w:color w:val="auto"/>
          <w:sz w:val="21"/>
          <w:szCs w:val="21"/>
          <w:lang w:val="en-US" w:eastAsia="zh-CN"/>
        </w:rPr>
        <w:t>合计</w:t>
      </w:r>
      <w:r>
        <w:rPr>
          <w:rFonts w:hint="eastAsia" w:ascii="宋体" w:hAnsi="宋体" w:eastAsia="宋体" w:cs="华文仿宋"/>
          <w:color w:val="auto"/>
          <w:sz w:val="21"/>
          <w:szCs w:val="21"/>
        </w:rPr>
        <w:t>”金额应与“第一次磋商报价表”中的“磋商报价”一致；</w:t>
      </w:r>
    </w:p>
    <w:p>
      <w:pPr>
        <w:tabs>
          <w:tab w:val="right" w:pos="9072"/>
        </w:tabs>
        <w:spacing w:line="240" w:lineRule="auto"/>
        <w:ind w:firstLine="852" w:firstLineChars="400"/>
        <w:rPr>
          <w:rFonts w:ascii="宋体" w:hAnsi="宋体" w:eastAsia="宋体" w:cs="华文仿宋"/>
          <w:color w:val="auto"/>
          <w:sz w:val="21"/>
          <w:szCs w:val="21"/>
        </w:rPr>
      </w:pPr>
      <w:r>
        <w:rPr>
          <w:rFonts w:hint="eastAsia" w:ascii="宋体" w:hAnsi="宋体" w:eastAsia="宋体" w:cs="华文仿宋"/>
          <w:color w:val="auto"/>
          <w:sz w:val="21"/>
          <w:szCs w:val="21"/>
        </w:rPr>
        <w:t>2、本表为</w:t>
      </w:r>
      <w:r>
        <w:rPr>
          <w:rFonts w:ascii="宋体" w:hAnsi="宋体" w:eastAsia="宋体" w:cs="华文仿宋"/>
          <w:color w:val="auto"/>
          <w:sz w:val="21"/>
          <w:szCs w:val="21"/>
        </w:rPr>
        <w:t>样表，仅供参考，</w:t>
      </w:r>
      <w:r>
        <w:rPr>
          <w:rFonts w:hint="eastAsia" w:ascii="宋体" w:hAnsi="宋体" w:eastAsia="宋体" w:cs="华文仿宋"/>
          <w:color w:val="auto"/>
          <w:sz w:val="21"/>
          <w:szCs w:val="21"/>
        </w:rPr>
        <w:t>供应商根据</w:t>
      </w:r>
      <w:r>
        <w:rPr>
          <w:rFonts w:ascii="宋体" w:hAnsi="宋体" w:eastAsia="宋体" w:cs="华文仿宋"/>
          <w:color w:val="auto"/>
          <w:sz w:val="21"/>
          <w:szCs w:val="21"/>
        </w:rPr>
        <w:t>项目实际</w:t>
      </w:r>
      <w:r>
        <w:rPr>
          <w:rFonts w:hint="eastAsia" w:ascii="宋体" w:hAnsi="宋体" w:eastAsia="宋体" w:cs="华文仿宋"/>
          <w:color w:val="auto"/>
          <w:sz w:val="21"/>
          <w:szCs w:val="21"/>
        </w:rPr>
        <w:t>需求</w:t>
      </w:r>
      <w:r>
        <w:rPr>
          <w:rFonts w:ascii="宋体" w:hAnsi="宋体" w:eastAsia="宋体" w:cs="华文仿宋"/>
          <w:color w:val="auto"/>
          <w:sz w:val="21"/>
          <w:szCs w:val="21"/>
        </w:rPr>
        <w:t>进行填写</w:t>
      </w:r>
      <w:r>
        <w:rPr>
          <w:rFonts w:hint="eastAsia" w:ascii="宋体" w:hAnsi="宋体" w:eastAsia="宋体" w:cs="华文仿宋"/>
          <w:color w:val="auto"/>
          <w:sz w:val="21"/>
          <w:szCs w:val="21"/>
        </w:rPr>
        <w:t>。</w:t>
      </w:r>
    </w:p>
    <w:p>
      <w:pPr>
        <w:tabs>
          <w:tab w:val="right" w:pos="9072"/>
        </w:tabs>
        <w:spacing w:line="500" w:lineRule="exact"/>
        <w:ind w:firstLine="486" w:firstLineChars="200"/>
        <w:rPr>
          <w:rFonts w:ascii="华文仿宋" w:hAnsi="华文仿宋" w:cs="华文仿宋"/>
          <w:color w:val="auto"/>
          <w:sz w:val="24"/>
          <w:szCs w:val="24"/>
        </w:rPr>
      </w:pPr>
    </w:p>
    <w:p>
      <w:pPr>
        <w:tabs>
          <w:tab w:val="right" w:pos="9072"/>
        </w:tabs>
        <w:spacing w:line="500" w:lineRule="exact"/>
        <w:ind w:firstLine="566" w:firstLineChars="200"/>
        <w:rPr>
          <w:rFonts w:ascii="华文仿宋" w:hAnsi="华文仿宋" w:cs="华文仿宋"/>
          <w:color w:val="auto"/>
          <w:sz w:val="28"/>
          <w:szCs w:val="28"/>
        </w:rPr>
      </w:pPr>
    </w:p>
    <w:p>
      <w:pPr>
        <w:tabs>
          <w:tab w:val="right" w:pos="9072"/>
        </w:tabs>
        <w:spacing w:line="500" w:lineRule="exact"/>
        <w:ind w:firstLine="566" w:firstLineChars="200"/>
        <w:rPr>
          <w:rFonts w:ascii="华文仿宋" w:hAnsi="华文仿宋" w:cs="华文仿宋"/>
          <w:b/>
          <w:color w:val="auto"/>
          <w:sz w:val="28"/>
          <w:szCs w:val="28"/>
        </w:rPr>
      </w:pPr>
    </w:p>
    <w:p>
      <w:pPr>
        <w:spacing w:line="500" w:lineRule="exact"/>
        <w:ind w:firstLine="4811" w:firstLineChars="17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spacing w:line="500" w:lineRule="exact"/>
        <w:ind w:firstLine="4811" w:firstLineChars="17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bCs/>
          <w:color w:val="auto"/>
          <w:sz w:val="28"/>
          <w:szCs w:val="28"/>
        </w:rPr>
        <w:tab/>
      </w:r>
      <w:r>
        <w:rPr>
          <w:rFonts w:hint="eastAsia"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32"/>
          <w:szCs w:val="32"/>
        </w:rPr>
        <w:t xml:space="preserve"> </w:t>
      </w:r>
    </w:p>
    <w:p>
      <w:pPr>
        <w:tabs>
          <w:tab w:val="right" w:pos="9070"/>
        </w:tabs>
        <w:spacing w:line="500" w:lineRule="exact"/>
        <w:rPr>
          <w:rFonts w:ascii="华文仿宋" w:hAnsi="华文仿宋" w:cs="华文仿宋"/>
          <w:bCs/>
          <w:color w:val="auto"/>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p>
    <w:p>
      <w:pPr>
        <w:rPr>
          <w:rFonts w:ascii="仿宋" w:hAnsi="仿宋" w:eastAsia="仿宋" w:cs="仿宋"/>
          <w:color w:val="auto"/>
          <w:sz w:val="32"/>
          <w:szCs w:val="32"/>
        </w:rPr>
      </w:pPr>
      <w:r>
        <w:rPr>
          <w:rFonts w:ascii="仿宋" w:hAnsi="仿宋" w:eastAsia="仿宋" w:cs="仿宋"/>
          <w:color w:val="auto"/>
          <w:sz w:val="32"/>
          <w:szCs w:val="32"/>
        </w:rPr>
        <w:br w:type="page"/>
      </w:r>
    </w:p>
    <w:p>
      <w:pPr>
        <w:pStyle w:val="41"/>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Cs w:val="0"/>
          <w:color w:val="auto"/>
          <w:sz w:val="32"/>
          <w:szCs w:val="32"/>
        </w:rPr>
      </w:pPr>
      <w:bookmarkStart w:id="409" w:name="_Toc13309_WPSOffice_Level2"/>
      <w:bookmarkStart w:id="410" w:name="_Toc2393"/>
      <w:bookmarkStart w:id="411" w:name="_Toc20416"/>
      <w:bookmarkStart w:id="412" w:name="_Toc18036_WPSOffice_Level2"/>
      <w:bookmarkStart w:id="413" w:name="_Toc13794"/>
      <w:bookmarkStart w:id="414" w:name="_Toc1823_WPSOffice_Level2"/>
      <w:bookmarkStart w:id="415" w:name="_Toc26668"/>
      <w:bookmarkStart w:id="416" w:name="_Toc9727_WPSOffice_Level2"/>
      <w:bookmarkStart w:id="417" w:name="_Toc26536_WPSOffice_Level2"/>
      <w:r>
        <w:rPr>
          <w:rFonts w:hint="eastAsia" w:ascii="仿宋_GB2312" w:hAnsi="仿宋_GB2312" w:eastAsia="仿宋_GB2312" w:cs="仿宋_GB2312"/>
          <w:bCs w:val="0"/>
          <w:color w:val="auto"/>
          <w:sz w:val="32"/>
          <w:szCs w:val="32"/>
        </w:rPr>
        <w:t>三、</w:t>
      </w:r>
      <w:bookmarkEnd w:id="409"/>
      <w:bookmarkEnd w:id="410"/>
      <w:bookmarkStart w:id="418" w:name="_Toc31081"/>
      <w:bookmarkStart w:id="419" w:name="_Toc4322"/>
      <w:r>
        <w:rPr>
          <w:rFonts w:hint="eastAsia" w:ascii="仿宋_GB2312" w:hAnsi="仿宋_GB2312" w:eastAsia="仿宋_GB2312" w:cs="仿宋_GB2312"/>
          <w:bCs w:val="0"/>
          <w:color w:val="auto"/>
          <w:sz w:val="32"/>
          <w:szCs w:val="32"/>
        </w:rPr>
        <w:t>供应商参加政府采购活动承诺书</w:t>
      </w:r>
      <w:bookmarkEnd w:id="411"/>
      <w:bookmarkEnd w:id="418"/>
      <w:bookmarkEnd w:id="419"/>
    </w:p>
    <w:bookmarkEnd w:id="412"/>
    <w:bookmarkEnd w:id="413"/>
    <w:bookmarkEnd w:id="414"/>
    <w:bookmarkEnd w:id="415"/>
    <w:bookmarkEnd w:id="416"/>
    <w:bookmarkEnd w:id="417"/>
    <w:p>
      <w:pPr>
        <w:pageBreakBefore w:val="0"/>
        <w:widowControl/>
        <w:kinsoku/>
        <w:wordWrap/>
        <w:overflowPunct/>
        <w:topLinePunct w:val="0"/>
        <w:autoSpaceDE/>
        <w:autoSpaceDN/>
        <w:bidi w:val="0"/>
        <w:adjustRightInd/>
        <w:snapToGrid/>
        <w:spacing w:before="190" w:beforeLines="50" w:line="560" w:lineRule="exact"/>
        <w:ind w:firstLine="566" w:firstLineChars="20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拒绝政府采购领域商业贿赂承诺书</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为响应党中央、国务院关于治理政府采购领域商业贿赂行为的号召，我公司在此庄严承诺：</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1、在参与政府采购活动中遵纪守法、诚信经营、公平竞标。</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2、不向政府采购人、采购代理机构和政府采购评审专家进行任何形式的商业贿赂以谋取交易机会。</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3、不向政府采购代理机构和采购人提供虚假资质文件或采用虚假应标方式参与政府采购市场竞争并谋取中标、成交。</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4、不采取“围标、陪标”等商业欺诈手段获得政府采购定单。</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5、不采取不正当手段诋毁、排挤其他供应商。</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6、不在提供商品和服务时“偷梁换柱、以次充好”损害采购人的合法权益。</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7、不与采购人、采购代理机构政府采购评审专家或其它供应商恶意串通，进行质疑和投诉，维护政府采购市场秩序。</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8、尊重和接受政府采购监督管理部门的监督和政府采购代理机构招标采购要求，承担因违约行为给采购人造成的损失。</w:t>
      </w:r>
    </w:p>
    <w:p>
      <w:pPr>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9、不发生其他有悖于政府采购公开、公平、公正和诚信原则的行为。</w:t>
      </w:r>
    </w:p>
    <w:p>
      <w:pPr>
        <w:pStyle w:val="19"/>
        <w:pageBreakBefore w:val="0"/>
        <w:widowControl/>
        <w:kinsoku/>
        <w:wordWrap/>
        <w:overflowPunct/>
        <w:topLinePunct w:val="0"/>
        <w:autoSpaceDE/>
        <w:autoSpaceDN/>
        <w:bidi w:val="0"/>
        <w:adjustRightInd/>
        <w:snapToGrid/>
        <w:spacing w:line="560" w:lineRule="exact"/>
        <w:ind w:firstLine="183"/>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ind w:firstLine="5377" w:firstLineChars="1900"/>
        <w:textAlignment w:val="auto"/>
        <w:rPr>
          <w:rFonts w:hint="eastAsia" w:ascii="仿宋_GB2312" w:hAnsi="仿宋_GB2312" w:eastAsia="仿宋_GB2312" w:cs="仿宋_GB2312"/>
          <w:color w:val="auto"/>
          <w:sz w:val="28"/>
          <w:szCs w:val="28"/>
        </w:rPr>
      </w:pPr>
    </w:p>
    <w:p>
      <w:pPr>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pageBreakBefore w:val="0"/>
        <w:widowControl/>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spacing w:line="500" w:lineRule="exact"/>
        <w:rPr>
          <w:rFonts w:ascii="仿宋" w:hAnsi="仿宋" w:eastAsia="仿宋"/>
          <w:b/>
          <w:color w:val="auto"/>
          <w:sz w:val="28"/>
          <w:szCs w:val="28"/>
        </w:rPr>
      </w:pPr>
      <w:r>
        <w:rPr>
          <w:rFonts w:hint="eastAsia"/>
          <w:color w:val="auto"/>
        </w:rPr>
        <w:br w:type="page"/>
      </w:r>
      <w:bookmarkStart w:id="420" w:name="_Toc10928_WPSOffice_Level2"/>
      <w:bookmarkStart w:id="421" w:name="_Toc16442_WPSOffice_Level2"/>
      <w:bookmarkStart w:id="422" w:name="_Toc27976_WPSOffice_Level2"/>
      <w:bookmarkStart w:id="423" w:name="_Toc16564_WPSOffice_Level2"/>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w:t>
      </w:r>
      <w:r>
        <w:rPr>
          <w:rFonts w:ascii="仿宋" w:hAnsi="仿宋" w:eastAsia="仿宋"/>
          <w:b/>
          <w:color w:val="auto"/>
          <w:sz w:val="28"/>
          <w:szCs w:val="28"/>
        </w:rPr>
        <w:t>技术</w:t>
      </w:r>
      <w:r>
        <w:rPr>
          <w:rFonts w:hint="eastAsia" w:ascii="仿宋" w:hAnsi="仿宋" w:eastAsia="仿宋"/>
          <w:b/>
          <w:color w:val="auto"/>
          <w:sz w:val="28"/>
          <w:szCs w:val="28"/>
        </w:rPr>
        <w:t>服务偏差表</w:t>
      </w:r>
      <w:bookmarkEnd w:id="420"/>
      <w:bookmarkEnd w:id="421"/>
      <w:bookmarkEnd w:id="422"/>
      <w:bookmarkEnd w:id="423"/>
    </w:p>
    <w:tbl>
      <w:tblPr>
        <w:tblStyle w:val="20"/>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23"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磋商文件要求</w:t>
            </w:r>
          </w:p>
        </w:tc>
        <w:tc>
          <w:tcPr>
            <w:tcW w:w="2599"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响应文件响应条款</w:t>
            </w:r>
          </w:p>
        </w:tc>
        <w:tc>
          <w:tcPr>
            <w:tcW w:w="1375"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偏离程度</w:t>
            </w:r>
          </w:p>
        </w:tc>
        <w:tc>
          <w:tcPr>
            <w:tcW w:w="2350" w:type="dxa"/>
            <w:shd w:val="clear" w:color="auto" w:fill="D8D8D8"/>
            <w:vAlign w:val="center"/>
          </w:tcPr>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偏离简述</w:t>
            </w:r>
          </w:p>
          <w:p>
            <w:pPr>
              <w:spacing w:line="32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pPr>
              <w:spacing w:line="4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423" w:type="dxa"/>
            <w:vAlign w:val="center"/>
          </w:tcPr>
          <w:p>
            <w:pPr>
              <w:spacing w:line="440" w:lineRule="exact"/>
              <w:rPr>
                <w:rFonts w:hint="eastAsia" w:ascii="仿宋_GB2312" w:hAnsi="仿宋_GB2312" w:eastAsia="仿宋_GB2312" w:cs="仿宋_GB2312"/>
                <w:color w:val="auto"/>
                <w:sz w:val="28"/>
                <w:szCs w:val="28"/>
              </w:rPr>
            </w:pPr>
          </w:p>
        </w:tc>
        <w:tc>
          <w:tcPr>
            <w:tcW w:w="2599" w:type="dxa"/>
            <w:vAlign w:val="center"/>
          </w:tcPr>
          <w:p>
            <w:pPr>
              <w:spacing w:line="440" w:lineRule="exact"/>
              <w:rPr>
                <w:rFonts w:hint="eastAsia" w:ascii="仿宋_GB2312" w:hAnsi="仿宋_GB2312" w:eastAsia="仿宋_GB2312" w:cs="仿宋_GB2312"/>
                <w:color w:val="auto"/>
                <w:sz w:val="28"/>
                <w:szCs w:val="28"/>
              </w:rPr>
            </w:pPr>
          </w:p>
        </w:tc>
        <w:tc>
          <w:tcPr>
            <w:tcW w:w="1375" w:type="dxa"/>
            <w:vAlign w:val="center"/>
          </w:tcPr>
          <w:p>
            <w:pPr>
              <w:spacing w:line="440" w:lineRule="exact"/>
              <w:rPr>
                <w:rFonts w:hint="eastAsia" w:ascii="仿宋_GB2312" w:hAnsi="仿宋_GB2312" w:eastAsia="仿宋_GB2312" w:cs="仿宋_GB2312"/>
                <w:color w:val="auto"/>
                <w:sz w:val="28"/>
                <w:szCs w:val="28"/>
              </w:rPr>
            </w:pPr>
          </w:p>
        </w:tc>
        <w:tc>
          <w:tcPr>
            <w:tcW w:w="2350" w:type="dxa"/>
            <w:vAlign w:val="center"/>
          </w:tcPr>
          <w:p>
            <w:pPr>
              <w:spacing w:line="440" w:lineRule="exact"/>
              <w:rPr>
                <w:rFonts w:hint="eastAsia" w:ascii="仿宋_GB2312" w:hAnsi="仿宋_GB2312" w:eastAsia="仿宋_GB2312" w:cs="仿宋_GB2312"/>
                <w:color w:val="auto"/>
                <w:sz w:val="28"/>
                <w:szCs w:val="28"/>
              </w:rPr>
            </w:pPr>
          </w:p>
        </w:tc>
      </w:tr>
    </w:tbl>
    <w:p>
      <w:pPr>
        <w:keepNext w:val="0"/>
        <w:keepLines w:val="0"/>
        <w:pageBreakBefore w:val="0"/>
        <w:widowControl/>
        <w:tabs>
          <w:tab w:val="right" w:pos="9070"/>
        </w:tabs>
        <w:kinsoku/>
        <w:wordWrap/>
        <w:overflowPunct/>
        <w:topLinePunct w:val="0"/>
        <w:autoSpaceDE/>
        <w:autoSpaceDN/>
        <w:bidi w:val="0"/>
        <w:adjustRightInd/>
        <w:snapToGrid/>
        <w:spacing w:line="240" w:lineRule="auto"/>
        <w:ind w:firstLine="486" w:firstLineChars="200"/>
        <w:textAlignment w:val="auto"/>
        <w:rPr>
          <w:rFonts w:hint="eastAsia" w:ascii="仿宋_GB2312" w:hAnsi="仿宋_GB2312" w:eastAsia="仿宋_GB2312" w:cs="仿宋_GB2312"/>
          <w:color w:val="auto"/>
          <w:sz w:val="24"/>
          <w:szCs w:val="24"/>
          <w:lang w:eastAsia="zh-CN"/>
        </w:rPr>
      </w:pPr>
      <w:bookmarkStart w:id="424" w:name="_Toc9021_WPSOffice_Level1"/>
      <w:bookmarkStart w:id="425" w:name="_Toc5795_WPSOffice_Level1"/>
      <w:bookmarkStart w:id="426" w:name="_Toc31624_WPSOffice_Level1"/>
      <w:r>
        <w:rPr>
          <w:rFonts w:hint="eastAsia" w:ascii="仿宋_GB2312" w:hAnsi="仿宋_GB2312" w:eastAsia="仿宋_GB2312" w:cs="仿宋_GB2312"/>
          <w:color w:val="auto"/>
          <w:sz w:val="24"/>
          <w:szCs w:val="24"/>
        </w:rPr>
        <w:t>备注：填写此表时以第三章“磋商内容及采购要求”各条款为基本响应要求，满足磋商文件要求的，“偏离程度”注明“0”，无需填写“偏离简述”项。超出、不满足磋商文件要求的，列出“</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”偏差，并在“偏离简述”项做出详细说明；如果加“★”内容的“响应条款”</w:t>
      </w:r>
      <w:r>
        <w:rPr>
          <w:rFonts w:hint="eastAsia" w:ascii="仿宋_GB2312" w:hAnsi="仿宋_GB2312" w:eastAsia="仿宋_GB2312" w:cs="仿宋_GB2312"/>
          <w:color w:val="auto"/>
          <w:sz w:val="24"/>
          <w:szCs w:val="24"/>
          <w:lang w:val="en-US" w:eastAsia="zh-CN"/>
        </w:rPr>
        <w:t>或</w:t>
      </w:r>
      <w:r>
        <w:rPr>
          <w:rFonts w:hint="eastAsia" w:ascii="仿宋_GB2312" w:hAnsi="仿宋_GB2312" w:eastAsia="仿宋_GB2312" w:cs="仿宋_GB2312"/>
          <w:color w:val="auto"/>
          <w:sz w:val="24"/>
          <w:szCs w:val="24"/>
        </w:rPr>
        <w:t>“偏离程度”项未填写，将视为该项指标未响应，投标无效</w:t>
      </w:r>
      <w:r>
        <w:rPr>
          <w:rFonts w:hint="eastAsia" w:ascii="仿宋_GB2312" w:hAnsi="仿宋_GB2312" w:eastAsia="仿宋_GB2312" w:cs="仿宋_GB2312"/>
          <w:color w:val="auto"/>
          <w:sz w:val="24"/>
          <w:szCs w:val="24"/>
          <w:lang w:eastAsia="zh-CN"/>
        </w:rPr>
        <w:t>。</w:t>
      </w:r>
    </w:p>
    <w:p>
      <w:pPr>
        <w:spacing w:line="240" w:lineRule="auto"/>
        <w:ind w:firstLine="426" w:firstLineChars="200"/>
        <w:rPr>
          <w:rFonts w:ascii="宋体" w:hAnsi="宋体" w:eastAsia="宋体" w:cs="宋体"/>
          <w:color w:val="auto"/>
          <w:sz w:val="21"/>
          <w:szCs w:val="21"/>
        </w:rPr>
      </w:pPr>
    </w:p>
    <w:p>
      <w:pPr>
        <w:spacing w:line="500" w:lineRule="exact"/>
        <w:ind w:firstLine="566" w:firstLineChars="200"/>
        <w:rPr>
          <w:color w:val="auto"/>
        </w:rPr>
      </w:pPr>
    </w:p>
    <w:p>
      <w:pPr>
        <w:spacing w:line="500" w:lineRule="exact"/>
        <w:ind w:firstLine="5094" w:firstLineChars="1800"/>
        <w:rPr>
          <w:rFonts w:hint="eastAsia" w:ascii="仿宋_GB2312" w:hAnsi="仿宋_GB2312" w:eastAsia="仿宋_GB2312" w:cs="仿宋_GB2312"/>
          <w:color w:val="auto"/>
        </w:rPr>
      </w:pPr>
      <w:r>
        <w:rPr>
          <w:rFonts w:hint="eastAsia" w:ascii="仿宋_GB2312" w:hAnsi="仿宋_GB2312" w:eastAsia="仿宋_GB2312" w:cs="仿宋_GB2312"/>
          <w:color w:val="auto"/>
        </w:rPr>
        <w:t>供应商：</w:t>
      </w:r>
      <w:r>
        <w:rPr>
          <w:rFonts w:hint="eastAsia" w:ascii="仿宋_GB2312" w:hAnsi="仿宋_GB2312" w:eastAsia="仿宋_GB2312" w:cs="仿宋_GB2312"/>
          <w:color w:val="auto"/>
          <w:u w:val="single"/>
        </w:rPr>
        <w:t>名称</w:t>
      </w:r>
      <w:r>
        <w:rPr>
          <w:rFonts w:hint="eastAsia" w:ascii="仿宋_GB2312" w:hAnsi="仿宋_GB2312" w:eastAsia="仿宋_GB2312" w:cs="仿宋_GB2312"/>
          <w:color w:val="auto"/>
        </w:rPr>
        <w:t>（加盖公章）</w:t>
      </w:r>
    </w:p>
    <w:p>
      <w:pPr>
        <w:tabs>
          <w:tab w:val="right" w:pos="9070"/>
        </w:tabs>
        <w:spacing w:line="500" w:lineRule="exact"/>
        <w:ind w:firstLine="5094" w:firstLineChars="1800"/>
        <w:rPr>
          <w:rFonts w:hint="eastAsia" w:ascii="仿宋_GB2312" w:hAnsi="仿宋_GB2312" w:eastAsia="仿宋_GB2312" w:cs="仿宋_GB2312"/>
          <w:bCs/>
          <w:color w:val="auto"/>
        </w:rPr>
      </w:pPr>
      <w:r>
        <w:rPr>
          <w:rFonts w:hint="eastAsia" w:ascii="仿宋_GB2312" w:hAnsi="仿宋_GB2312" w:eastAsia="仿宋_GB2312" w:cs="仿宋_GB2312"/>
          <w:color w:val="auto"/>
        </w:rPr>
        <w:t>日期：　　年　月　日</w:t>
      </w:r>
      <w:r>
        <w:rPr>
          <w:rFonts w:hint="eastAsia" w:ascii="仿宋_GB2312" w:hAnsi="仿宋_GB2312" w:eastAsia="仿宋_GB2312" w:cs="仿宋_GB2312"/>
          <w:bCs/>
          <w:color w:val="auto"/>
        </w:rPr>
        <w:tab/>
      </w:r>
    </w:p>
    <w:p>
      <w:pPr>
        <w:tabs>
          <w:tab w:val="right" w:pos="9070"/>
        </w:tabs>
        <w:spacing w:line="500" w:lineRule="exact"/>
        <w:ind w:firstLine="566" w:firstLineChars="200"/>
        <w:rPr>
          <w:rFonts w:ascii="仿宋" w:hAnsi="仿宋" w:eastAsia="仿宋"/>
          <w:bCs/>
          <w:color w:val="auto"/>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spacing w:line="240" w:lineRule="auto"/>
        <w:jc w:val="left"/>
        <w:rPr>
          <w:rFonts w:ascii="仿宋" w:hAnsi="仿宋" w:eastAsia="仿宋" w:cs="仿宋"/>
          <w:b/>
          <w:color w:val="auto"/>
          <w:sz w:val="32"/>
          <w:szCs w:val="32"/>
        </w:rPr>
      </w:pPr>
    </w:p>
    <w:p>
      <w:pPr>
        <w:rPr>
          <w:color w:val="auto"/>
        </w:rPr>
      </w:pPr>
      <w:r>
        <w:rPr>
          <w:rFonts w:ascii="仿宋" w:hAnsi="仿宋" w:eastAsia="仿宋" w:cs="仿宋"/>
          <w:b/>
          <w:color w:val="auto"/>
          <w:sz w:val="32"/>
          <w:szCs w:val="32"/>
        </w:rPr>
        <w:br w:type="page"/>
      </w:r>
    </w:p>
    <w:p>
      <w:pPr>
        <w:spacing w:line="240" w:lineRule="auto"/>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lang w:val="en-US" w:eastAsia="zh-CN"/>
        </w:rPr>
        <w:t>五</w:t>
      </w:r>
      <w:r>
        <w:rPr>
          <w:rFonts w:hint="eastAsia" w:ascii="仿宋_GB2312" w:hAnsi="仿宋_GB2312" w:eastAsia="仿宋_GB2312" w:cs="仿宋_GB2312"/>
          <w:b/>
          <w:color w:val="auto"/>
          <w:sz w:val="28"/>
          <w:szCs w:val="28"/>
        </w:rPr>
        <w:t>、合同</w:t>
      </w:r>
      <w:r>
        <w:rPr>
          <w:rFonts w:hint="eastAsia" w:ascii="仿宋_GB2312" w:hAnsi="仿宋_GB2312" w:eastAsia="仿宋_GB2312" w:cs="仿宋_GB2312"/>
          <w:b/>
          <w:color w:val="auto"/>
          <w:sz w:val="28"/>
          <w:szCs w:val="28"/>
          <w:lang w:val="en-US" w:eastAsia="zh-CN"/>
        </w:rPr>
        <w:t>草案</w:t>
      </w:r>
      <w:r>
        <w:rPr>
          <w:rFonts w:hint="eastAsia" w:ascii="仿宋_GB2312" w:hAnsi="仿宋_GB2312" w:eastAsia="仿宋_GB2312" w:cs="仿宋_GB2312"/>
          <w:b/>
          <w:color w:val="auto"/>
          <w:sz w:val="28"/>
          <w:szCs w:val="28"/>
        </w:rPr>
        <w:t>条款响应</w:t>
      </w:r>
    </w:p>
    <w:p>
      <w:pPr>
        <w:spacing w:line="500" w:lineRule="exact"/>
        <w:ind w:firstLine="566"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完全理解并接受磋商文件中“合同</w:t>
      </w:r>
      <w:r>
        <w:rPr>
          <w:rFonts w:hint="eastAsia" w:ascii="仿宋_GB2312" w:hAnsi="仿宋_GB2312" w:eastAsia="仿宋_GB2312" w:cs="仿宋_GB2312"/>
          <w:bCs/>
          <w:color w:val="auto"/>
          <w:sz w:val="28"/>
          <w:szCs w:val="28"/>
          <w:lang w:val="en-US" w:eastAsia="zh-CN"/>
        </w:rPr>
        <w:t>草案</w:t>
      </w:r>
      <w:r>
        <w:rPr>
          <w:rFonts w:hint="eastAsia" w:ascii="仿宋_GB2312" w:hAnsi="仿宋_GB2312" w:eastAsia="仿宋_GB2312" w:cs="仿宋_GB2312"/>
          <w:bCs/>
          <w:color w:val="auto"/>
          <w:sz w:val="28"/>
          <w:szCs w:val="28"/>
        </w:rPr>
        <w:t>条款”要求。</w:t>
      </w:r>
    </w:p>
    <w:p>
      <w:pPr>
        <w:pStyle w:val="19"/>
        <w:ind w:firstLine="183"/>
        <w:rPr>
          <w:rFonts w:hint="eastAsia" w:ascii="仿宋_GB2312" w:hAnsi="仿宋_GB2312" w:eastAsia="仿宋_GB2312" w:cs="仿宋_GB2312"/>
          <w:color w:val="auto"/>
          <w:sz w:val="28"/>
          <w:szCs w:val="28"/>
        </w:rPr>
      </w:pPr>
    </w:p>
    <w:p>
      <w:pPr>
        <w:pStyle w:val="19"/>
        <w:ind w:firstLine="183"/>
        <w:rPr>
          <w:rFonts w:hint="eastAsia" w:ascii="仿宋_GB2312" w:hAnsi="仿宋_GB2312" w:eastAsia="仿宋_GB2312" w:cs="仿宋_GB2312"/>
          <w:color w:val="auto"/>
          <w:sz w:val="28"/>
          <w:szCs w:val="28"/>
        </w:rPr>
      </w:pPr>
    </w:p>
    <w:p>
      <w:pPr>
        <w:pStyle w:val="19"/>
        <w:ind w:firstLine="183"/>
        <w:jc w:val="right"/>
        <w:rPr>
          <w:rFonts w:hint="eastAsia" w:ascii="仿宋_GB2312" w:hAnsi="仿宋_GB2312" w:eastAsia="仿宋_GB2312" w:cs="仿宋_GB2312"/>
          <w:color w:val="auto"/>
          <w:sz w:val="28"/>
          <w:szCs w:val="28"/>
        </w:rPr>
      </w:pPr>
    </w:p>
    <w:p>
      <w:pPr>
        <w:spacing w:line="500" w:lineRule="exact"/>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w:t>
      </w:r>
      <w:r>
        <w:rPr>
          <w:rFonts w:hint="eastAsia" w:ascii="仿宋_GB2312" w:hAnsi="仿宋_GB2312" w:eastAsia="仿宋_GB2312" w:cs="仿宋_GB2312"/>
          <w:color w:val="auto"/>
          <w:sz w:val="28"/>
          <w:szCs w:val="28"/>
          <w:u w:val="single"/>
        </w:rPr>
        <w:t>名称</w:t>
      </w:r>
      <w:r>
        <w:rPr>
          <w:rFonts w:hint="eastAsia" w:ascii="仿宋_GB2312" w:hAnsi="仿宋_GB2312" w:eastAsia="仿宋_GB2312" w:cs="仿宋_GB2312"/>
          <w:color w:val="auto"/>
          <w:sz w:val="28"/>
          <w:szCs w:val="28"/>
        </w:rPr>
        <w:t>（加盖公章）</w:t>
      </w:r>
    </w:p>
    <w:p>
      <w:pPr>
        <w:tabs>
          <w:tab w:val="right" w:pos="9070"/>
        </w:tabs>
        <w:wordWrap w:val="0"/>
        <w:spacing w:line="500" w:lineRule="exact"/>
        <w:jc w:val="righ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sz w:val="28"/>
          <w:szCs w:val="28"/>
        </w:rPr>
        <w:t>日期：　　年　月　日</w:t>
      </w:r>
      <w:r>
        <w:rPr>
          <w:rFonts w:hint="eastAsia" w:ascii="仿宋_GB2312" w:hAnsi="仿宋_GB2312" w:eastAsia="仿宋_GB2312" w:cs="仿宋_GB2312"/>
          <w:color w:val="auto"/>
          <w:sz w:val="28"/>
          <w:szCs w:val="28"/>
          <w:lang w:val="en-US" w:eastAsia="zh-CN"/>
        </w:rPr>
        <w:t xml:space="preserve">  </w:t>
      </w: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pStyle w:val="19"/>
        <w:ind w:firstLine="183"/>
        <w:rPr>
          <w:color w:val="auto"/>
        </w:rPr>
      </w:pPr>
    </w:p>
    <w:p>
      <w:pPr>
        <w:rPr>
          <w:color w:val="auto"/>
        </w:rPr>
      </w:pPr>
      <w:r>
        <w:rPr>
          <w:color w:val="auto"/>
        </w:rPr>
        <w:br w:type="page"/>
      </w:r>
    </w:p>
    <w:p>
      <w:pPr>
        <w:pStyle w:val="41"/>
        <w:spacing w:line="500" w:lineRule="exact"/>
        <w:rPr>
          <w:rFonts w:ascii="黑体" w:hAnsi="黑体" w:eastAsia="黑体"/>
          <w:b w:val="0"/>
          <w:color w:val="auto"/>
        </w:rPr>
      </w:pPr>
      <w:bookmarkStart w:id="427" w:name="_Toc19912"/>
      <w:bookmarkStart w:id="428" w:name="_Toc17248"/>
      <w:bookmarkStart w:id="429" w:name="_Toc30940"/>
      <w:bookmarkStart w:id="430" w:name="_Toc28832"/>
      <w:r>
        <w:rPr>
          <w:rStyle w:val="42"/>
          <w:rFonts w:hint="eastAsia" w:ascii="黑体" w:hAnsi="黑体" w:eastAsia="黑体"/>
          <w:b w:val="0"/>
          <w:bCs w:val="0"/>
          <w:color w:val="auto"/>
          <w:sz w:val="32"/>
          <w:szCs w:val="40"/>
        </w:rPr>
        <w:t>第三部分  响应方案</w:t>
      </w:r>
      <w:bookmarkEnd w:id="424"/>
      <w:bookmarkEnd w:id="425"/>
      <w:bookmarkEnd w:id="426"/>
      <w:bookmarkEnd w:id="427"/>
      <w:bookmarkEnd w:id="428"/>
      <w:bookmarkEnd w:id="429"/>
      <w:bookmarkEnd w:id="430"/>
    </w:p>
    <w:p>
      <w:pPr>
        <w:pStyle w:val="41"/>
        <w:spacing w:before="190" w:beforeLines="50" w:after="190" w:afterLines="50" w:line="500" w:lineRule="exact"/>
        <w:jc w:val="both"/>
        <w:rPr>
          <w:rFonts w:hint="eastAsia" w:ascii="仿宋_GB2312" w:hAnsi="仿宋_GB2312" w:eastAsia="仿宋_GB2312" w:cs="仿宋_GB2312"/>
          <w:bCs w:val="0"/>
          <w:color w:val="auto"/>
          <w:sz w:val="28"/>
          <w:szCs w:val="28"/>
          <w:lang w:val="en-US" w:eastAsia="zh-CN"/>
        </w:rPr>
      </w:pPr>
      <w:bookmarkStart w:id="431" w:name="_Toc11555"/>
      <w:bookmarkStart w:id="432" w:name="_Toc29975_WPSOffice_Level2"/>
      <w:bookmarkStart w:id="433" w:name="_Toc9337_WPSOffice_Level2"/>
      <w:bookmarkStart w:id="434" w:name="_Toc17062_WPSOffice_Level2"/>
      <w:bookmarkStart w:id="435" w:name="_Toc9079"/>
      <w:bookmarkStart w:id="436" w:name="_Toc15660_WPSOffice_Level2"/>
      <w:bookmarkStart w:id="437" w:name="_Toc27817"/>
      <w:bookmarkStart w:id="438" w:name="_Toc1481"/>
      <w:bookmarkStart w:id="439" w:name="_Toc11401"/>
      <w:r>
        <w:rPr>
          <w:rFonts w:hint="eastAsia" w:ascii="仿宋_GB2312" w:hAnsi="仿宋_GB2312" w:eastAsia="仿宋_GB2312" w:cs="仿宋_GB2312"/>
          <w:bCs w:val="0"/>
          <w:color w:val="auto"/>
          <w:sz w:val="28"/>
          <w:szCs w:val="28"/>
        </w:rPr>
        <w:t>一、供应商</w:t>
      </w:r>
      <w:bookmarkEnd w:id="431"/>
      <w:bookmarkEnd w:id="432"/>
      <w:bookmarkEnd w:id="433"/>
      <w:bookmarkEnd w:id="434"/>
      <w:bookmarkEnd w:id="435"/>
      <w:bookmarkEnd w:id="436"/>
      <w:bookmarkEnd w:id="437"/>
      <w:bookmarkEnd w:id="438"/>
      <w:bookmarkEnd w:id="439"/>
      <w:r>
        <w:rPr>
          <w:rFonts w:hint="eastAsia" w:ascii="仿宋_GB2312" w:hAnsi="仿宋_GB2312" w:eastAsia="仿宋_GB2312" w:cs="仿宋_GB2312"/>
          <w:bCs w:val="0"/>
          <w:color w:val="auto"/>
          <w:sz w:val="28"/>
          <w:szCs w:val="28"/>
          <w:lang w:val="en-US" w:eastAsia="zh-CN"/>
        </w:rPr>
        <w:t>基本情况及其性质</w:t>
      </w:r>
    </w:p>
    <w:p>
      <w:pPr>
        <w:spacing w:line="500" w:lineRule="exact"/>
        <w:ind w:firstLine="566" w:firstLineChars="200"/>
        <w:rPr>
          <w:rFonts w:ascii="仿宋" w:hAnsi="仿宋" w:eastAsia="仿宋" w:cs="仿宋"/>
          <w:b/>
          <w:color w:val="auto"/>
          <w:sz w:val="28"/>
          <w:szCs w:val="28"/>
        </w:rPr>
      </w:pPr>
      <w:bookmarkStart w:id="440" w:name="_Toc27223_WPSOffice_Level3"/>
      <w:r>
        <w:rPr>
          <w:rFonts w:hint="eastAsia"/>
          <w:b/>
          <w:color w:val="auto"/>
          <w:sz w:val="28"/>
          <w:szCs w:val="28"/>
        </w:rPr>
        <w:t>（</w:t>
      </w:r>
      <w:r>
        <w:rPr>
          <w:b/>
          <w:color w:val="auto"/>
          <w:sz w:val="28"/>
          <w:szCs w:val="28"/>
        </w:rPr>
        <w:t>一</w:t>
      </w:r>
      <w:r>
        <w:rPr>
          <w:rFonts w:hint="eastAsia"/>
          <w:b/>
          <w:color w:val="auto"/>
          <w:sz w:val="28"/>
          <w:szCs w:val="28"/>
        </w:rPr>
        <w:t>）供应</w:t>
      </w:r>
      <w:r>
        <w:rPr>
          <w:b/>
          <w:color w:val="auto"/>
          <w:sz w:val="28"/>
          <w:szCs w:val="28"/>
        </w:rPr>
        <w:t>商基本信息</w:t>
      </w:r>
      <w:bookmarkEnd w:id="440"/>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239"/>
        <w:gridCol w:w="1770"/>
        <w:gridCol w:w="1395"/>
        <w:gridCol w:w="1692"/>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3009" w:type="dxa"/>
            <w:gridSpan w:val="2"/>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tcBorders>
              <w:top w:val="single" w:color="auto" w:sz="6"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成立时间</w:t>
            </w:r>
          </w:p>
        </w:tc>
        <w:tc>
          <w:tcPr>
            <w:tcW w:w="309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登记证号</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单位性质</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法定代表人</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(主要负责人)</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所属行业</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上年度</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营业收入</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资产总额</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基本存款账户</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开户银行</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基本存款</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账户账号</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w:t>
            </w:r>
          </w:p>
        </w:tc>
        <w:tc>
          <w:tcPr>
            <w:tcW w:w="3009" w:type="dxa"/>
            <w:gridSpan w:val="2"/>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邮箱</w:t>
            </w:r>
          </w:p>
        </w:tc>
        <w:tc>
          <w:tcPr>
            <w:tcW w:w="3090" w:type="dxa"/>
            <w:gridSpan w:val="2"/>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所获得资质及等级(国家行政部门颁发)</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686" w:type="dxa"/>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经营范围</w:t>
            </w:r>
          </w:p>
        </w:tc>
        <w:tc>
          <w:tcPr>
            <w:tcW w:w="7494" w:type="dxa"/>
            <w:gridSpan w:val="5"/>
            <w:tcBorders>
              <w:right w:val="single" w:color="auto" w:sz="12" w:space="0"/>
            </w:tcBorders>
            <w:vAlign w:val="center"/>
          </w:tcPr>
          <w:p>
            <w:pPr>
              <w:autoSpaceDE w:val="0"/>
              <w:autoSpaceDN w:val="0"/>
              <w:adjustRightInd w:val="0"/>
              <w:spacing w:line="320" w:lineRule="exact"/>
              <w:rPr>
                <w:rFonts w:hint="eastAsia" w:ascii="仿宋_GB2312" w:hAnsi="仿宋_GB2312" w:eastAsia="仿宋_GB2312" w:cs="仿宋_GB2312"/>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从业人员总数</w:t>
            </w:r>
          </w:p>
        </w:tc>
        <w:tc>
          <w:tcPr>
            <w:tcW w:w="1239" w:type="dxa"/>
            <w:vMerge w:val="restart"/>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管理人员数量</w:t>
            </w:r>
          </w:p>
        </w:tc>
        <w:tc>
          <w:tcPr>
            <w:tcW w:w="1395"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专业技术</w:t>
            </w:r>
          </w:p>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人员数量</w:t>
            </w:r>
          </w:p>
        </w:tc>
        <w:tc>
          <w:tcPr>
            <w:tcW w:w="1398" w:type="dxa"/>
            <w:tcBorders>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239" w:type="dxa"/>
            <w:vMerge w:val="continue"/>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770"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残疾人人数</w:t>
            </w:r>
          </w:p>
        </w:tc>
        <w:tc>
          <w:tcPr>
            <w:tcW w:w="1395"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p>
        </w:tc>
        <w:tc>
          <w:tcPr>
            <w:tcW w:w="1692" w:type="dxa"/>
            <w:tcBorders>
              <w:bottom w:val="single" w:color="auto" w:sz="4"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少数民族人数</w:t>
            </w:r>
          </w:p>
        </w:tc>
        <w:tc>
          <w:tcPr>
            <w:tcW w:w="1398" w:type="dxa"/>
            <w:tcBorders>
              <w:bottom w:val="single" w:color="auto" w:sz="4" w:space="0"/>
              <w:right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bCs/>
                <w:color w:val="auto"/>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autoSpaceDE w:val="0"/>
              <w:autoSpaceDN w:val="0"/>
              <w:adjustRightInd w:val="0"/>
              <w:spacing w:line="320" w:lineRule="exact"/>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说明</w:t>
            </w:r>
          </w:p>
        </w:tc>
        <w:tc>
          <w:tcPr>
            <w:tcW w:w="7494" w:type="dxa"/>
            <w:gridSpan w:val="5"/>
            <w:tcBorders>
              <w:bottom w:val="single" w:color="auto" w:sz="12" w:space="0"/>
              <w:right w:val="single" w:color="auto" w:sz="12" w:space="0"/>
            </w:tcBorders>
            <w:vAlign w:val="center"/>
          </w:tcPr>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1、登记证号指营业执照/事业单位法人证书/专业服务机构执业许可证/民办非企业单位登记证书中的登记号。</w:t>
            </w:r>
          </w:p>
          <w:p>
            <w:pPr>
              <w:spacing w:line="320" w:lineRule="exact"/>
              <w:ind w:left="360" w:hanging="36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2、成立时间至提交响应文件截止时间不足一年的可不提供“上年度营业收入”。</w:t>
            </w:r>
          </w:p>
          <w:p>
            <w:pPr>
              <w:spacing w:line="320" w:lineRule="exact"/>
              <w:ind w:left="360" w:hanging="36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3、供应商应如实填写上述信息。</w:t>
            </w:r>
            <w:bookmarkStart w:id="441" w:name="■AcceptUnion_CH5_A■"/>
            <w:r>
              <w:rPr>
                <w:rFonts w:hint="eastAsia" w:ascii="仿宋_GB2312" w:hAnsi="仿宋_GB2312" w:eastAsia="仿宋_GB2312" w:cs="仿宋_GB2312"/>
                <w:color w:val="auto"/>
                <w:sz w:val="24"/>
                <w:szCs w:val="24"/>
              </w:rPr>
              <w:t>磋商文件允许联合体投标的，联合体各方均应提供。</w:t>
            </w:r>
            <w:bookmarkEnd w:id="441"/>
          </w:p>
        </w:tc>
      </w:tr>
    </w:tbl>
    <w:p>
      <w:pPr>
        <w:spacing w:line="500" w:lineRule="exact"/>
        <w:ind w:firstLine="566"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供应商其他情况</w:t>
      </w:r>
    </w:p>
    <w:p>
      <w:pPr>
        <w:tabs>
          <w:tab w:val="right" w:pos="8364"/>
        </w:tabs>
        <w:spacing w:line="500" w:lineRule="exact"/>
        <w:ind w:firstLine="566"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包括但不限于总公司分公司分布及经营状况、股权变更、管理制度、人员配备、用户评价、正在实施的项目，评优获奖等情况，以及供应商认为有利于成交的其他情况说明。</w:t>
      </w:r>
    </w:p>
    <w:p>
      <w:pPr>
        <w:spacing w:line="500" w:lineRule="exact"/>
        <w:ind w:firstLine="4811" w:firstLineChars="1700"/>
        <w:rPr>
          <w:rFonts w:hint="eastAsia"/>
          <w:b/>
          <w:color w:val="auto"/>
          <w:sz w:val="28"/>
          <w:szCs w:val="28"/>
        </w:rPr>
      </w:pPr>
      <w:r>
        <w:rPr>
          <w:rFonts w:hint="eastAsia"/>
          <w:b/>
          <w:color w:val="auto"/>
          <w:sz w:val="28"/>
          <w:szCs w:val="28"/>
        </w:rPr>
        <w:br w:type="page"/>
      </w:r>
    </w:p>
    <w:p>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参照磋商文件第二章《组织评审》各条款的要求，结合第三章《磋商内容及采购要求》编制技术服务方案。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一</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总体服务方案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二</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项目实施方案</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三</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项目团队</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四</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工作制度</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五</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服务质量保障措施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六</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进度计划及保障措施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七</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应急保障措施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八</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廉洁措施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九</w:t>
      </w:r>
      <w:r>
        <w:rPr>
          <w:rFonts w:hint="eastAsia" w:ascii="仿宋_GB2312" w:hAnsi="仿宋_GB2312" w:eastAsia="仿宋_GB2312" w:cs="仿宋_GB2312"/>
          <w:bCs/>
          <w:color w:val="auto"/>
          <w:sz w:val="28"/>
          <w:szCs w:val="28"/>
          <w:highlight w:val="none"/>
          <w:lang w:eastAsia="zh-CN"/>
        </w:rPr>
        <w:t>）</w:t>
      </w:r>
      <w:r>
        <w:rPr>
          <w:rFonts w:hint="eastAsia" w:ascii="Calibri Light" w:hAnsi="Calibri Light" w:eastAsia="华文仿宋" w:cs="Calibri Light"/>
          <w:bCs/>
          <w:color w:val="auto"/>
          <w:kern w:val="2"/>
          <w:sz w:val="28"/>
          <w:szCs w:val="28"/>
          <w:highlight w:val="none"/>
          <w:lang w:val="en-US" w:eastAsia="zh-CN" w:bidi="ar-SA"/>
        </w:rPr>
        <w:t>保密措施</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十</w:t>
      </w:r>
      <w:r>
        <w:rPr>
          <w:rFonts w:hint="eastAsia" w:ascii="仿宋_GB2312" w:hAnsi="仿宋_GB2312" w:eastAsia="仿宋_GB2312" w:cs="仿宋_GB2312"/>
          <w:bCs/>
          <w:color w:val="auto"/>
          <w:sz w:val="28"/>
          <w:szCs w:val="28"/>
          <w:highlight w:val="none"/>
          <w:lang w:eastAsia="zh-CN"/>
        </w:rPr>
        <w:t>）业绩</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十一</w:t>
      </w:r>
      <w:r>
        <w:rPr>
          <w:rFonts w:hint="eastAsia" w:ascii="仿宋_GB2312" w:hAnsi="仿宋_GB2312" w:eastAsia="仿宋_GB2312" w:cs="仿宋_GB2312"/>
          <w:bCs/>
          <w:color w:val="auto"/>
          <w:sz w:val="28"/>
          <w:szCs w:val="28"/>
          <w:highlight w:val="none"/>
          <w:lang w:eastAsia="zh-CN"/>
        </w:rPr>
        <w:t>）服务承诺</w:t>
      </w:r>
    </w:p>
    <w:p>
      <w:pPr>
        <w:keepNext w:val="0"/>
        <w:keepLines w:val="0"/>
        <w:pageBreakBefore w:val="0"/>
        <w:widowControl/>
        <w:kinsoku/>
        <w:wordWrap/>
        <w:overflowPunct/>
        <w:topLinePunct w:val="0"/>
        <w:autoSpaceDE/>
        <w:autoSpaceDN/>
        <w:bidi w:val="0"/>
        <w:adjustRightInd/>
        <w:snapToGrid/>
        <w:spacing w:line="560" w:lineRule="exact"/>
        <w:ind w:firstLine="566"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2"/>
          <w:sz w:val="28"/>
          <w:szCs w:val="28"/>
          <w:highlight w:val="none"/>
          <w:lang w:val="en-US" w:eastAsia="zh-CN" w:bidi="ar-SA"/>
        </w:rPr>
        <w:t>（十二）其他有必要说明的内容</w:t>
      </w:r>
    </w:p>
    <w:p>
      <w:pPr>
        <w:pStyle w:val="8"/>
        <w:rPr>
          <w:color w:val="auto"/>
        </w:rPr>
      </w:pPr>
    </w:p>
    <w:p>
      <w:pPr>
        <w:rPr>
          <w:color w:val="auto"/>
        </w:rPr>
      </w:pPr>
      <w:r>
        <w:rPr>
          <w:color w:val="auto"/>
        </w:rPr>
        <w:br w:type="page"/>
      </w:r>
    </w:p>
    <w:p>
      <w:pPr>
        <w:tabs>
          <w:tab w:val="right" w:pos="9070"/>
        </w:tabs>
        <w:spacing w:line="500" w:lineRule="exact"/>
        <w:rPr>
          <w:rFonts w:ascii="仿宋" w:hAnsi="仿宋" w:eastAsia="仿宋"/>
          <w:bCs/>
          <w:color w:val="auto"/>
          <w:sz w:val="28"/>
          <w:szCs w:val="28"/>
        </w:rPr>
      </w:pPr>
      <w:r>
        <w:rPr>
          <w:rFonts w:hint="eastAsia" w:ascii="仿宋" w:hAnsi="仿宋" w:eastAsia="仿宋"/>
          <w:b/>
          <w:color w:val="auto"/>
          <w:sz w:val="28"/>
          <w:szCs w:val="28"/>
        </w:rPr>
        <w:t>三、参考样表</w:t>
      </w:r>
    </w:p>
    <w:p>
      <w:pPr>
        <w:spacing w:line="500" w:lineRule="exact"/>
        <w:ind w:firstLine="566" w:firstLineChars="200"/>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（一）履约进度计划表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8"/>
        <w:gridCol w:w="309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序号</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拟定时间安排</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计划完成的工作内容</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8"/>
                <w:szCs w:val="28"/>
                <w:shd w:val="clear" w:color="auto" w:fill="auto"/>
                <w:lang w:val="en-US" w:eastAsia="zh-CN" w:bidi="ar-SA"/>
              </w:rPr>
            </w:pPr>
            <w:r>
              <w:rPr>
                <w:rFonts w:hint="eastAsia" w:ascii="仿宋_GB2312" w:hAnsi="仿宋_GB2312" w:eastAsia="仿宋_GB2312" w:cs="仿宋_GB2312"/>
                <w:b/>
                <w:color w:val="auto"/>
                <w:sz w:val="28"/>
                <w:szCs w:val="28"/>
                <w:shd w:val="clear" w:color="auto" w:fil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拟定  年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签定合同并生效</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2498"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  日—  月  日</w:t>
            </w:r>
          </w:p>
        </w:tc>
        <w:tc>
          <w:tcPr>
            <w:tcW w:w="3095"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质保期</w:t>
            </w:r>
          </w:p>
        </w:tc>
        <w:tc>
          <w:tcPr>
            <w:tcW w:w="2589" w:type="dxa"/>
            <w:noWrap w:val="0"/>
            <w:vAlign w:val="center"/>
          </w:tcPr>
          <w:p>
            <w:pPr>
              <w:keepNext w:val="0"/>
              <w:keepLines w:val="0"/>
              <w:pageBreakBefore w:val="0"/>
              <w:widowControl w:val="0"/>
              <w:tabs>
                <w:tab w:val="left" w:pos="540"/>
              </w:tabs>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bl>
    <w:p>
      <w:pPr>
        <w:spacing w:line="500" w:lineRule="exact"/>
        <w:ind w:firstLine="566"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rPr>
        <w:t>业绩合同样表</w:t>
      </w:r>
    </w:p>
    <w:tbl>
      <w:tblPr>
        <w:tblStyle w:val="20"/>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23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202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采购单位名称</w:t>
            </w:r>
          </w:p>
        </w:tc>
        <w:tc>
          <w:tcPr>
            <w:tcW w:w="15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合同名称</w:t>
            </w:r>
          </w:p>
        </w:tc>
        <w:tc>
          <w:tcPr>
            <w:tcW w:w="237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合同起止时间</w:t>
            </w:r>
          </w:p>
        </w:tc>
        <w:tc>
          <w:tcPr>
            <w:tcW w:w="198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数量合计（个）</w:t>
            </w:r>
            <w:r>
              <w:rPr>
                <w:rFonts w:hint="eastAsia" w:ascii="仿宋_GB2312" w:hAnsi="仿宋_GB2312" w:eastAsia="仿宋_GB2312" w:cs="仿宋_GB2312"/>
                <w:color w:val="auto"/>
                <w:sz w:val="28"/>
                <w:szCs w:val="28"/>
              </w:rPr>
              <w:t>：</w:t>
            </w:r>
          </w:p>
        </w:tc>
      </w:tr>
    </w:tbl>
    <w:p>
      <w:pPr>
        <w:tabs>
          <w:tab w:val="right" w:pos="9070"/>
        </w:tabs>
        <w:snapToGrid w:val="0"/>
        <w:spacing w:line="240" w:lineRule="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color w:val="auto"/>
          <w:sz w:val="28"/>
          <w:szCs w:val="28"/>
        </w:rPr>
        <w:t xml:space="preserve">    注：</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后附20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年1月1日以来同类项目合同复印件加盖响应人公章（以合同签订日期为准）</w:t>
      </w:r>
      <w:r>
        <w:rPr>
          <w:rFonts w:hint="eastAsia" w:ascii="仿宋_GB2312" w:hAnsi="仿宋_GB2312" w:eastAsia="仿宋_GB2312" w:cs="仿宋_GB2312"/>
          <w:bCs/>
          <w:color w:val="auto"/>
          <w:sz w:val="28"/>
          <w:szCs w:val="28"/>
          <w:lang w:val="en-US" w:eastAsia="zh-CN"/>
        </w:rPr>
        <w:t>2、视情况，此表一并随《成交结果》公示。</w:t>
      </w:r>
    </w:p>
    <w:p>
      <w:pPr>
        <w:tabs>
          <w:tab w:val="right" w:pos="9070"/>
        </w:tabs>
        <w:snapToGrid w:val="0"/>
        <w:spacing w:line="500" w:lineRule="exact"/>
        <w:ind w:left="566" w:left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）项目团队样表</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1、项目团队情况概述</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概述内容包括但不限于为本项目提供服务的团队整体情况、团队负责人、联系人基本情况、背景、能力介绍等，具体内容自行编制。</w:t>
      </w:r>
    </w:p>
    <w:p>
      <w:pPr>
        <w:tabs>
          <w:tab w:val="right" w:pos="9070"/>
        </w:tabs>
        <w:spacing w:line="500" w:lineRule="exact"/>
        <w:ind w:firstLine="56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2、项目团队人员清单</w:t>
      </w:r>
    </w:p>
    <w:tbl>
      <w:tblPr>
        <w:tblStyle w:val="2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023"/>
        <w:gridCol w:w="1968"/>
        <w:gridCol w:w="1672"/>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l2br w:val="nil"/>
              <w:tr2bl w:val="nil"/>
            </w:tcBorders>
            <w:vAlign w:val="center"/>
          </w:tcPr>
          <w:p>
            <w:pPr>
              <w:keepNext w:val="0"/>
              <w:keepLines w:val="0"/>
              <w:pageBreakBefore w:val="0"/>
              <w:tabs>
                <w:tab w:val="right" w:pos="907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7"/>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资格</w:t>
            </w: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在本行业从业工作年限</w:t>
            </w: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业绩和经历</w:t>
            </w: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本项目</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96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26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02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6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c>
          <w:tcPr>
            <w:tcW w:w="11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c>
          <w:tcPr>
            <w:tcW w:w="8051" w:type="dxa"/>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表格空间不足时请自行扩展。</w:t>
            </w:r>
          </w:p>
        </w:tc>
      </w:tr>
    </w:tbl>
    <w:p>
      <w:pPr>
        <w:pStyle w:val="8"/>
        <w:rPr>
          <w:color w:val="auto"/>
        </w:rPr>
      </w:pPr>
    </w:p>
    <w:sectPr>
      <w:footerReference r:id="rId11" w:type="first"/>
      <w:headerReference r:id="rId9" w:type="default"/>
      <w:footerReference r:id="rId10" w:type="default"/>
      <w:pgSz w:w="11906" w:h="16838"/>
      <w:pgMar w:top="1417" w:right="1417" w:bottom="1417" w:left="1417" w:header="850" w:footer="992" w:gutter="0"/>
      <w:pgBorders>
        <w:top w:val="none" w:sz="0" w:space="0"/>
        <w:left w:val="none" w:sz="0" w:space="0"/>
        <w:bottom w:val="none" w:sz="0" w:space="0"/>
        <w:right w:val="none" w:sz="0" w:space="0"/>
      </w:pgBorders>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r>
                      <w:rPr>
                        <w:rFonts w:hint="eastAsia"/>
                      </w:rPr>
                      <w:t xml:space="preserve"> 页 共 </w:t>
                    </w:r>
                    <w:r>
                      <w:rPr>
                        <w:rFonts w:hint="eastAsia"/>
                        <w:lang w:val="en-US" w:eastAsia="zh-CN"/>
                      </w:rPr>
                      <w:t xml:space="preserve">57 </w:t>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hint="eastAsia" w:ascii="宋体" w:hAnsi="宋体" w:eastAsia="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eastAsia="宋体" w:cs="华文仿宋"/>
        <w:lang w:val="en-US" w:eastAsia="zh-CN"/>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宋体"/>
        <w:sz w:val="21"/>
        <w:szCs w:val="21"/>
        <w:lang w:val="en-US" w:eastAsia="zh-CN"/>
      </w:rPr>
    </w:pPr>
    <w:r>
      <w:rPr>
        <w:rFonts w:hint="eastAsia" w:ascii="宋体" w:hAnsi="宋体" w:eastAsia="宋体" w:cs="华文仿宋"/>
        <w:lang w:val="en-US" w:eastAsia="zh-CN"/>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E152E"/>
    <w:multiLevelType w:val="singleLevel"/>
    <w:tmpl w:val="826E152E"/>
    <w:lvl w:ilvl="0" w:tentative="0">
      <w:start w:val="1"/>
      <w:numFmt w:val="decimal"/>
      <w:suff w:val="nothing"/>
      <w:lvlText w:val="%1、"/>
      <w:lvlJc w:val="left"/>
    </w:lvl>
  </w:abstractNum>
  <w:abstractNum w:abstractNumId="1">
    <w:nsid w:val="D7BA63B9"/>
    <w:multiLevelType w:val="singleLevel"/>
    <w:tmpl w:val="D7BA63B9"/>
    <w:lvl w:ilvl="0" w:tentative="0">
      <w:start w:val="1"/>
      <w:numFmt w:val="chineseCounting"/>
      <w:suff w:val="space"/>
      <w:lvlText w:val="第%1章"/>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371B2925"/>
    <w:multiLevelType w:val="singleLevel"/>
    <w:tmpl w:val="371B2925"/>
    <w:lvl w:ilvl="0" w:tentative="0">
      <w:start w:val="1"/>
      <w:numFmt w:val="decimal"/>
      <w:suff w:val="nothing"/>
      <w:lvlText w:val="%1、"/>
      <w:lvlJc w:val="left"/>
    </w:lvl>
  </w:abstractNum>
  <w:abstractNum w:abstractNumId="4">
    <w:nsid w:val="493EBA37"/>
    <w:multiLevelType w:val="singleLevel"/>
    <w:tmpl w:val="493EBA37"/>
    <w:lvl w:ilvl="0" w:tentative="0">
      <w:start w:val="1"/>
      <w:numFmt w:val="decimal"/>
      <w:suff w:val="nothing"/>
      <w:lvlText w:val="%1、"/>
      <w:lvlJc w:val="left"/>
    </w:lvl>
  </w:abstractNum>
  <w:abstractNum w:abstractNumId="5">
    <w:nsid w:val="7D4B0198"/>
    <w:multiLevelType w:val="singleLevel"/>
    <w:tmpl w:val="7D4B0198"/>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ZmQ4ZGJhMDc4NjY2M2VlZGU3Yjc1NDdiNjUyZmYifQ=="/>
  </w:docVars>
  <w:rsids>
    <w:rsidRoot w:val="15DB7622"/>
    <w:rsid w:val="0007204D"/>
    <w:rsid w:val="00294CF0"/>
    <w:rsid w:val="002B30BD"/>
    <w:rsid w:val="00331341"/>
    <w:rsid w:val="00340C6A"/>
    <w:rsid w:val="0038572B"/>
    <w:rsid w:val="003917EE"/>
    <w:rsid w:val="003E41D4"/>
    <w:rsid w:val="004F3FD4"/>
    <w:rsid w:val="007378C6"/>
    <w:rsid w:val="007A39DA"/>
    <w:rsid w:val="00934F0E"/>
    <w:rsid w:val="009716B8"/>
    <w:rsid w:val="00975546"/>
    <w:rsid w:val="00BA4780"/>
    <w:rsid w:val="00D54DC4"/>
    <w:rsid w:val="00DA0F8E"/>
    <w:rsid w:val="00EF498E"/>
    <w:rsid w:val="00F058FE"/>
    <w:rsid w:val="010518F0"/>
    <w:rsid w:val="015A5870"/>
    <w:rsid w:val="015C7263"/>
    <w:rsid w:val="015D1C6F"/>
    <w:rsid w:val="016439CE"/>
    <w:rsid w:val="01684E01"/>
    <w:rsid w:val="01903397"/>
    <w:rsid w:val="01A050EF"/>
    <w:rsid w:val="01BD7E6C"/>
    <w:rsid w:val="01C82D28"/>
    <w:rsid w:val="01CD6A8A"/>
    <w:rsid w:val="01CE3474"/>
    <w:rsid w:val="01D515BB"/>
    <w:rsid w:val="01FA3AC8"/>
    <w:rsid w:val="0204742C"/>
    <w:rsid w:val="02343D5B"/>
    <w:rsid w:val="023E3EED"/>
    <w:rsid w:val="02557B87"/>
    <w:rsid w:val="025A0286"/>
    <w:rsid w:val="02891DCB"/>
    <w:rsid w:val="02BD0EE2"/>
    <w:rsid w:val="02C11391"/>
    <w:rsid w:val="02C4205E"/>
    <w:rsid w:val="02D15085"/>
    <w:rsid w:val="02E307E4"/>
    <w:rsid w:val="02FC284D"/>
    <w:rsid w:val="03427B4F"/>
    <w:rsid w:val="03460878"/>
    <w:rsid w:val="034B3DA3"/>
    <w:rsid w:val="03526AB2"/>
    <w:rsid w:val="03531D00"/>
    <w:rsid w:val="036C3D74"/>
    <w:rsid w:val="037E48A2"/>
    <w:rsid w:val="0387207F"/>
    <w:rsid w:val="039F5F7A"/>
    <w:rsid w:val="03A7685B"/>
    <w:rsid w:val="03B2157C"/>
    <w:rsid w:val="03BD2FA8"/>
    <w:rsid w:val="03D43FC2"/>
    <w:rsid w:val="03E823D6"/>
    <w:rsid w:val="03EC3438"/>
    <w:rsid w:val="03EF1CB8"/>
    <w:rsid w:val="03F22485"/>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5016CE4"/>
    <w:rsid w:val="050E718A"/>
    <w:rsid w:val="05210E5D"/>
    <w:rsid w:val="05214B13"/>
    <w:rsid w:val="055F2FF6"/>
    <w:rsid w:val="05686454"/>
    <w:rsid w:val="057139B6"/>
    <w:rsid w:val="057754F2"/>
    <w:rsid w:val="05A35D71"/>
    <w:rsid w:val="05B065AB"/>
    <w:rsid w:val="05D17456"/>
    <w:rsid w:val="062335AF"/>
    <w:rsid w:val="06243474"/>
    <w:rsid w:val="0637726D"/>
    <w:rsid w:val="06410743"/>
    <w:rsid w:val="064B18B7"/>
    <w:rsid w:val="064E03A2"/>
    <w:rsid w:val="068157BD"/>
    <w:rsid w:val="06843B5A"/>
    <w:rsid w:val="06B51EAB"/>
    <w:rsid w:val="06C17517"/>
    <w:rsid w:val="07195343"/>
    <w:rsid w:val="07254389"/>
    <w:rsid w:val="07280963"/>
    <w:rsid w:val="073843F7"/>
    <w:rsid w:val="074E0A56"/>
    <w:rsid w:val="076C6CA2"/>
    <w:rsid w:val="076D5CE6"/>
    <w:rsid w:val="078508C6"/>
    <w:rsid w:val="07C92D47"/>
    <w:rsid w:val="07CA4DE5"/>
    <w:rsid w:val="07DB28A2"/>
    <w:rsid w:val="07E020CE"/>
    <w:rsid w:val="07EA4D10"/>
    <w:rsid w:val="08097B10"/>
    <w:rsid w:val="080F1B46"/>
    <w:rsid w:val="0813234A"/>
    <w:rsid w:val="08211FD1"/>
    <w:rsid w:val="08243795"/>
    <w:rsid w:val="083537ED"/>
    <w:rsid w:val="083C734E"/>
    <w:rsid w:val="083F4CD5"/>
    <w:rsid w:val="08417A7B"/>
    <w:rsid w:val="085F77E6"/>
    <w:rsid w:val="086E5C87"/>
    <w:rsid w:val="08707E21"/>
    <w:rsid w:val="08712B08"/>
    <w:rsid w:val="08763D9D"/>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F16EE"/>
    <w:rsid w:val="09555E20"/>
    <w:rsid w:val="096F7367"/>
    <w:rsid w:val="097F6C5F"/>
    <w:rsid w:val="098900BC"/>
    <w:rsid w:val="09921B5C"/>
    <w:rsid w:val="09A44801"/>
    <w:rsid w:val="09E319B7"/>
    <w:rsid w:val="09ED721B"/>
    <w:rsid w:val="0A16231D"/>
    <w:rsid w:val="0A394E5E"/>
    <w:rsid w:val="0A4214E6"/>
    <w:rsid w:val="0A622F41"/>
    <w:rsid w:val="0A7A446C"/>
    <w:rsid w:val="0A7D5CED"/>
    <w:rsid w:val="0A7F7130"/>
    <w:rsid w:val="0A870BFA"/>
    <w:rsid w:val="0A9B2547"/>
    <w:rsid w:val="0AF11BC9"/>
    <w:rsid w:val="0AFB176D"/>
    <w:rsid w:val="0B0B31B3"/>
    <w:rsid w:val="0B144A64"/>
    <w:rsid w:val="0B1C7012"/>
    <w:rsid w:val="0B240833"/>
    <w:rsid w:val="0B3031ED"/>
    <w:rsid w:val="0B354EB2"/>
    <w:rsid w:val="0B373F04"/>
    <w:rsid w:val="0B3F0F07"/>
    <w:rsid w:val="0B4C17B5"/>
    <w:rsid w:val="0B5155F7"/>
    <w:rsid w:val="0B6901C4"/>
    <w:rsid w:val="0B692F04"/>
    <w:rsid w:val="0B6A096C"/>
    <w:rsid w:val="0B721EFB"/>
    <w:rsid w:val="0B8556F0"/>
    <w:rsid w:val="0B894B9F"/>
    <w:rsid w:val="0B8E23DB"/>
    <w:rsid w:val="0B9C58ED"/>
    <w:rsid w:val="0BC4039D"/>
    <w:rsid w:val="0BD14F4E"/>
    <w:rsid w:val="0BDF2684"/>
    <w:rsid w:val="0BDF30E8"/>
    <w:rsid w:val="0BDF5D7D"/>
    <w:rsid w:val="0BE60A01"/>
    <w:rsid w:val="0BEC43AB"/>
    <w:rsid w:val="0C182E69"/>
    <w:rsid w:val="0C1D529F"/>
    <w:rsid w:val="0C1E1870"/>
    <w:rsid w:val="0C325E86"/>
    <w:rsid w:val="0C424E69"/>
    <w:rsid w:val="0C5D7BD6"/>
    <w:rsid w:val="0C620A1C"/>
    <w:rsid w:val="0C7C7D5B"/>
    <w:rsid w:val="0C8E6CD7"/>
    <w:rsid w:val="0CBE1B9E"/>
    <w:rsid w:val="0CC20327"/>
    <w:rsid w:val="0CC24884"/>
    <w:rsid w:val="0CE86762"/>
    <w:rsid w:val="0CEC4544"/>
    <w:rsid w:val="0D085996"/>
    <w:rsid w:val="0D256266"/>
    <w:rsid w:val="0D6E60A1"/>
    <w:rsid w:val="0D9171AE"/>
    <w:rsid w:val="0DA9338A"/>
    <w:rsid w:val="0DE037BA"/>
    <w:rsid w:val="0DE85E53"/>
    <w:rsid w:val="0E0E4861"/>
    <w:rsid w:val="0E132C75"/>
    <w:rsid w:val="0E2E2A82"/>
    <w:rsid w:val="0E550C71"/>
    <w:rsid w:val="0E5F01E5"/>
    <w:rsid w:val="0E8363B6"/>
    <w:rsid w:val="0EB253C1"/>
    <w:rsid w:val="0EB957D3"/>
    <w:rsid w:val="0ECE1CDE"/>
    <w:rsid w:val="0ECF35E0"/>
    <w:rsid w:val="0EDB7766"/>
    <w:rsid w:val="0EED3D24"/>
    <w:rsid w:val="0F1B578D"/>
    <w:rsid w:val="0F1D03EF"/>
    <w:rsid w:val="0F3533CF"/>
    <w:rsid w:val="0F461A45"/>
    <w:rsid w:val="0F684453"/>
    <w:rsid w:val="0F7165DD"/>
    <w:rsid w:val="0F8A6E5B"/>
    <w:rsid w:val="0F8B2DA9"/>
    <w:rsid w:val="0FB15E33"/>
    <w:rsid w:val="0FDA797C"/>
    <w:rsid w:val="0FE75496"/>
    <w:rsid w:val="0FF86D48"/>
    <w:rsid w:val="100C563E"/>
    <w:rsid w:val="10292C44"/>
    <w:rsid w:val="10841837"/>
    <w:rsid w:val="10883FD1"/>
    <w:rsid w:val="109957A3"/>
    <w:rsid w:val="109A142C"/>
    <w:rsid w:val="109F5877"/>
    <w:rsid w:val="10BB57F6"/>
    <w:rsid w:val="10BC00C6"/>
    <w:rsid w:val="10E13394"/>
    <w:rsid w:val="10FD2B76"/>
    <w:rsid w:val="110C102F"/>
    <w:rsid w:val="11181B40"/>
    <w:rsid w:val="114A462A"/>
    <w:rsid w:val="1169081A"/>
    <w:rsid w:val="118249C0"/>
    <w:rsid w:val="11B03DAF"/>
    <w:rsid w:val="11DE655A"/>
    <w:rsid w:val="12303C06"/>
    <w:rsid w:val="123E6579"/>
    <w:rsid w:val="12421048"/>
    <w:rsid w:val="124E27C4"/>
    <w:rsid w:val="125C0391"/>
    <w:rsid w:val="126F2075"/>
    <w:rsid w:val="128D6FC9"/>
    <w:rsid w:val="12950F85"/>
    <w:rsid w:val="12960862"/>
    <w:rsid w:val="12A04BDA"/>
    <w:rsid w:val="12A86650"/>
    <w:rsid w:val="12E51257"/>
    <w:rsid w:val="12F57C06"/>
    <w:rsid w:val="12FD6D66"/>
    <w:rsid w:val="12FF18AF"/>
    <w:rsid w:val="131953F9"/>
    <w:rsid w:val="134C233A"/>
    <w:rsid w:val="136F7A26"/>
    <w:rsid w:val="137B051A"/>
    <w:rsid w:val="138222F2"/>
    <w:rsid w:val="13837718"/>
    <w:rsid w:val="138C0895"/>
    <w:rsid w:val="138D048A"/>
    <w:rsid w:val="13900013"/>
    <w:rsid w:val="13931510"/>
    <w:rsid w:val="13A11597"/>
    <w:rsid w:val="13AE09B3"/>
    <w:rsid w:val="13C31130"/>
    <w:rsid w:val="13C40C8F"/>
    <w:rsid w:val="13C85D12"/>
    <w:rsid w:val="13C937D6"/>
    <w:rsid w:val="13E737B7"/>
    <w:rsid w:val="13EE393F"/>
    <w:rsid w:val="1402440B"/>
    <w:rsid w:val="1408673E"/>
    <w:rsid w:val="140E39DD"/>
    <w:rsid w:val="141C207A"/>
    <w:rsid w:val="142D54E1"/>
    <w:rsid w:val="14336CEA"/>
    <w:rsid w:val="14341855"/>
    <w:rsid w:val="14477D16"/>
    <w:rsid w:val="144B4426"/>
    <w:rsid w:val="14633F0B"/>
    <w:rsid w:val="14743D20"/>
    <w:rsid w:val="14774D9D"/>
    <w:rsid w:val="14817EA1"/>
    <w:rsid w:val="148D32B1"/>
    <w:rsid w:val="1493627B"/>
    <w:rsid w:val="14A539EC"/>
    <w:rsid w:val="14DA45EC"/>
    <w:rsid w:val="14E56F92"/>
    <w:rsid w:val="14F33389"/>
    <w:rsid w:val="14FB602E"/>
    <w:rsid w:val="150E3E9E"/>
    <w:rsid w:val="151F1ED6"/>
    <w:rsid w:val="1564126D"/>
    <w:rsid w:val="15645D6E"/>
    <w:rsid w:val="157F0489"/>
    <w:rsid w:val="15A614D9"/>
    <w:rsid w:val="15CA6D94"/>
    <w:rsid w:val="15D226A2"/>
    <w:rsid w:val="15DB7622"/>
    <w:rsid w:val="162271CE"/>
    <w:rsid w:val="163D2276"/>
    <w:rsid w:val="1646616E"/>
    <w:rsid w:val="164B7078"/>
    <w:rsid w:val="16545E33"/>
    <w:rsid w:val="16961986"/>
    <w:rsid w:val="16984A31"/>
    <w:rsid w:val="16A724A2"/>
    <w:rsid w:val="16DF64BF"/>
    <w:rsid w:val="16E25B8A"/>
    <w:rsid w:val="16FF6F24"/>
    <w:rsid w:val="170555E3"/>
    <w:rsid w:val="172547B0"/>
    <w:rsid w:val="17562AFA"/>
    <w:rsid w:val="178701A0"/>
    <w:rsid w:val="178D3B42"/>
    <w:rsid w:val="17CD1BB2"/>
    <w:rsid w:val="17EB105E"/>
    <w:rsid w:val="17F54509"/>
    <w:rsid w:val="180D61E0"/>
    <w:rsid w:val="181417AB"/>
    <w:rsid w:val="18460FF6"/>
    <w:rsid w:val="184B4224"/>
    <w:rsid w:val="184F21B3"/>
    <w:rsid w:val="186802BC"/>
    <w:rsid w:val="18864D3A"/>
    <w:rsid w:val="189A4C02"/>
    <w:rsid w:val="18A626E9"/>
    <w:rsid w:val="18A74FE1"/>
    <w:rsid w:val="18A90755"/>
    <w:rsid w:val="18B77BA2"/>
    <w:rsid w:val="18BA17D8"/>
    <w:rsid w:val="18C835DC"/>
    <w:rsid w:val="18CB4DD4"/>
    <w:rsid w:val="18D41CCF"/>
    <w:rsid w:val="18E1122A"/>
    <w:rsid w:val="190A1374"/>
    <w:rsid w:val="19192C89"/>
    <w:rsid w:val="19364865"/>
    <w:rsid w:val="19392B48"/>
    <w:rsid w:val="195E4D01"/>
    <w:rsid w:val="19961403"/>
    <w:rsid w:val="19A07745"/>
    <w:rsid w:val="19B25FC3"/>
    <w:rsid w:val="19BF282D"/>
    <w:rsid w:val="19C0263E"/>
    <w:rsid w:val="19CD08FA"/>
    <w:rsid w:val="19D22C3D"/>
    <w:rsid w:val="19E34EA0"/>
    <w:rsid w:val="1A0D68EB"/>
    <w:rsid w:val="1A2B68D6"/>
    <w:rsid w:val="1A50307B"/>
    <w:rsid w:val="1A810701"/>
    <w:rsid w:val="1A9D590B"/>
    <w:rsid w:val="1AA441E5"/>
    <w:rsid w:val="1AC85D1B"/>
    <w:rsid w:val="1ACC5E1B"/>
    <w:rsid w:val="1AD304B8"/>
    <w:rsid w:val="1AD532A6"/>
    <w:rsid w:val="1AE006FC"/>
    <w:rsid w:val="1AFF05E0"/>
    <w:rsid w:val="1B0374CB"/>
    <w:rsid w:val="1B1021D6"/>
    <w:rsid w:val="1B2E0D2F"/>
    <w:rsid w:val="1B34316D"/>
    <w:rsid w:val="1B3C49CA"/>
    <w:rsid w:val="1B4771C2"/>
    <w:rsid w:val="1B7D49F7"/>
    <w:rsid w:val="1B8E56AB"/>
    <w:rsid w:val="1BA80A6F"/>
    <w:rsid w:val="1BB14E66"/>
    <w:rsid w:val="1BE04391"/>
    <w:rsid w:val="1BE31C2B"/>
    <w:rsid w:val="1BF8652E"/>
    <w:rsid w:val="1C2E65C9"/>
    <w:rsid w:val="1C2F716F"/>
    <w:rsid w:val="1C3E54EB"/>
    <w:rsid w:val="1C3F3D72"/>
    <w:rsid w:val="1C552039"/>
    <w:rsid w:val="1C796C6B"/>
    <w:rsid w:val="1C8A3C5A"/>
    <w:rsid w:val="1C8F7303"/>
    <w:rsid w:val="1C901B90"/>
    <w:rsid w:val="1C967A89"/>
    <w:rsid w:val="1CAE291B"/>
    <w:rsid w:val="1CC21924"/>
    <w:rsid w:val="1CD15C79"/>
    <w:rsid w:val="1CF458DE"/>
    <w:rsid w:val="1D1B4F27"/>
    <w:rsid w:val="1D20081E"/>
    <w:rsid w:val="1D335514"/>
    <w:rsid w:val="1D356CC0"/>
    <w:rsid w:val="1D501181"/>
    <w:rsid w:val="1D8343E7"/>
    <w:rsid w:val="1D992236"/>
    <w:rsid w:val="1DA51267"/>
    <w:rsid w:val="1DC27599"/>
    <w:rsid w:val="1DE42258"/>
    <w:rsid w:val="1DF82208"/>
    <w:rsid w:val="1DFB27F1"/>
    <w:rsid w:val="1E150EE3"/>
    <w:rsid w:val="1E3C4FCE"/>
    <w:rsid w:val="1E5A2132"/>
    <w:rsid w:val="1E776749"/>
    <w:rsid w:val="1E820D2A"/>
    <w:rsid w:val="1E8F1ECA"/>
    <w:rsid w:val="1E9546A5"/>
    <w:rsid w:val="1E9B1F5F"/>
    <w:rsid w:val="1EA37146"/>
    <w:rsid w:val="1EAB1ADB"/>
    <w:rsid w:val="1EAC4085"/>
    <w:rsid w:val="1EBF5830"/>
    <w:rsid w:val="1EC645BF"/>
    <w:rsid w:val="1EC67C8F"/>
    <w:rsid w:val="1ED8574D"/>
    <w:rsid w:val="1EDC1A7B"/>
    <w:rsid w:val="1EDD7FA9"/>
    <w:rsid w:val="1F0268BD"/>
    <w:rsid w:val="1F0F280A"/>
    <w:rsid w:val="1F1260D8"/>
    <w:rsid w:val="1F2422DF"/>
    <w:rsid w:val="1F2B2168"/>
    <w:rsid w:val="1F306773"/>
    <w:rsid w:val="1F321C14"/>
    <w:rsid w:val="1F346CA0"/>
    <w:rsid w:val="1F4C66FE"/>
    <w:rsid w:val="1F77014D"/>
    <w:rsid w:val="1F827198"/>
    <w:rsid w:val="1F876088"/>
    <w:rsid w:val="1F925678"/>
    <w:rsid w:val="1F9F20EA"/>
    <w:rsid w:val="1FB20F28"/>
    <w:rsid w:val="1FB47EFC"/>
    <w:rsid w:val="1FD35342"/>
    <w:rsid w:val="1FDB5C4A"/>
    <w:rsid w:val="200705EA"/>
    <w:rsid w:val="203945B9"/>
    <w:rsid w:val="2042167B"/>
    <w:rsid w:val="204D2CD4"/>
    <w:rsid w:val="20500A32"/>
    <w:rsid w:val="205D4EF1"/>
    <w:rsid w:val="20677454"/>
    <w:rsid w:val="20787973"/>
    <w:rsid w:val="207F496E"/>
    <w:rsid w:val="20885D40"/>
    <w:rsid w:val="20A21E92"/>
    <w:rsid w:val="20A37050"/>
    <w:rsid w:val="20A91698"/>
    <w:rsid w:val="20B53E4A"/>
    <w:rsid w:val="20BA6848"/>
    <w:rsid w:val="20C430EF"/>
    <w:rsid w:val="20E07AF1"/>
    <w:rsid w:val="20F37841"/>
    <w:rsid w:val="210F4172"/>
    <w:rsid w:val="215E7F7D"/>
    <w:rsid w:val="216A5B17"/>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E07D8"/>
    <w:rsid w:val="22554647"/>
    <w:rsid w:val="22575CE6"/>
    <w:rsid w:val="2264646B"/>
    <w:rsid w:val="226C52A0"/>
    <w:rsid w:val="226E2973"/>
    <w:rsid w:val="226F59C8"/>
    <w:rsid w:val="22887BC3"/>
    <w:rsid w:val="22FA3D86"/>
    <w:rsid w:val="231A1B0E"/>
    <w:rsid w:val="231B09DE"/>
    <w:rsid w:val="23222DE2"/>
    <w:rsid w:val="23244A98"/>
    <w:rsid w:val="23373684"/>
    <w:rsid w:val="23567880"/>
    <w:rsid w:val="237D15F6"/>
    <w:rsid w:val="23876DB6"/>
    <w:rsid w:val="238C2D74"/>
    <w:rsid w:val="239048BE"/>
    <w:rsid w:val="23A93BDB"/>
    <w:rsid w:val="23A96390"/>
    <w:rsid w:val="23B35841"/>
    <w:rsid w:val="23C41338"/>
    <w:rsid w:val="23EF46D5"/>
    <w:rsid w:val="23F724F4"/>
    <w:rsid w:val="24042BDB"/>
    <w:rsid w:val="24234AF6"/>
    <w:rsid w:val="24404FB3"/>
    <w:rsid w:val="2445059C"/>
    <w:rsid w:val="244C739C"/>
    <w:rsid w:val="245B144E"/>
    <w:rsid w:val="245D3144"/>
    <w:rsid w:val="246B7E66"/>
    <w:rsid w:val="246F4AAC"/>
    <w:rsid w:val="247E599E"/>
    <w:rsid w:val="248E26A9"/>
    <w:rsid w:val="249155FE"/>
    <w:rsid w:val="24E16FE1"/>
    <w:rsid w:val="24EB6423"/>
    <w:rsid w:val="250A773C"/>
    <w:rsid w:val="25136D8E"/>
    <w:rsid w:val="25384B48"/>
    <w:rsid w:val="25471D43"/>
    <w:rsid w:val="254D418D"/>
    <w:rsid w:val="255179ED"/>
    <w:rsid w:val="256B6EB4"/>
    <w:rsid w:val="2571095A"/>
    <w:rsid w:val="258549DE"/>
    <w:rsid w:val="259326F1"/>
    <w:rsid w:val="26016813"/>
    <w:rsid w:val="2606196B"/>
    <w:rsid w:val="26072636"/>
    <w:rsid w:val="26143C85"/>
    <w:rsid w:val="26156A2E"/>
    <w:rsid w:val="261D1E42"/>
    <w:rsid w:val="262364AE"/>
    <w:rsid w:val="26414B12"/>
    <w:rsid w:val="2664395E"/>
    <w:rsid w:val="26755ECA"/>
    <w:rsid w:val="26906045"/>
    <w:rsid w:val="269E5D92"/>
    <w:rsid w:val="26A37629"/>
    <w:rsid w:val="26C02358"/>
    <w:rsid w:val="26C77C48"/>
    <w:rsid w:val="26D20FF7"/>
    <w:rsid w:val="26D272A7"/>
    <w:rsid w:val="26D93911"/>
    <w:rsid w:val="26E63298"/>
    <w:rsid w:val="271543D2"/>
    <w:rsid w:val="27475541"/>
    <w:rsid w:val="275E46A6"/>
    <w:rsid w:val="27723BE0"/>
    <w:rsid w:val="27835FC2"/>
    <w:rsid w:val="27886618"/>
    <w:rsid w:val="278A15B2"/>
    <w:rsid w:val="278C71E1"/>
    <w:rsid w:val="279845D2"/>
    <w:rsid w:val="27B256E3"/>
    <w:rsid w:val="27D305C7"/>
    <w:rsid w:val="27D91A5B"/>
    <w:rsid w:val="27DB1F8C"/>
    <w:rsid w:val="27E31A18"/>
    <w:rsid w:val="27E964AC"/>
    <w:rsid w:val="27EE6269"/>
    <w:rsid w:val="27F947FC"/>
    <w:rsid w:val="280B2A12"/>
    <w:rsid w:val="283F53A6"/>
    <w:rsid w:val="28424EE2"/>
    <w:rsid w:val="28453086"/>
    <w:rsid w:val="285E08D0"/>
    <w:rsid w:val="28637E3D"/>
    <w:rsid w:val="28651224"/>
    <w:rsid w:val="287B7B56"/>
    <w:rsid w:val="288D49B8"/>
    <w:rsid w:val="288D78CB"/>
    <w:rsid w:val="28A15125"/>
    <w:rsid w:val="28CB1F56"/>
    <w:rsid w:val="28D30D37"/>
    <w:rsid w:val="28DF504B"/>
    <w:rsid w:val="28F224E1"/>
    <w:rsid w:val="28FC7ED2"/>
    <w:rsid w:val="290410FD"/>
    <w:rsid w:val="291A586C"/>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B2025"/>
    <w:rsid w:val="2A5F55C3"/>
    <w:rsid w:val="2A6F48BA"/>
    <w:rsid w:val="2A8339A2"/>
    <w:rsid w:val="2ACE1EC8"/>
    <w:rsid w:val="2ADD059B"/>
    <w:rsid w:val="2ADE61BC"/>
    <w:rsid w:val="2AE632C3"/>
    <w:rsid w:val="2B007F78"/>
    <w:rsid w:val="2B290297"/>
    <w:rsid w:val="2B4A4876"/>
    <w:rsid w:val="2B9A382D"/>
    <w:rsid w:val="2BA0394B"/>
    <w:rsid w:val="2BA35BA3"/>
    <w:rsid w:val="2BB2311B"/>
    <w:rsid w:val="2BBD4C5A"/>
    <w:rsid w:val="2BCD150F"/>
    <w:rsid w:val="2BD93648"/>
    <w:rsid w:val="2BE34287"/>
    <w:rsid w:val="2BEC377F"/>
    <w:rsid w:val="2BFC2CAF"/>
    <w:rsid w:val="2C26758B"/>
    <w:rsid w:val="2C286B86"/>
    <w:rsid w:val="2C292C06"/>
    <w:rsid w:val="2C357305"/>
    <w:rsid w:val="2C383938"/>
    <w:rsid w:val="2C473F94"/>
    <w:rsid w:val="2C4958B7"/>
    <w:rsid w:val="2C5E4EB5"/>
    <w:rsid w:val="2C916EC8"/>
    <w:rsid w:val="2CA65861"/>
    <w:rsid w:val="2CC828D8"/>
    <w:rsid w:val="2D0E75A7"/>
    <w:rsid w:val="2D197F39"/>
    <w:rsid w:val="2D272F05"/>
    <w:rsid w:val="2D3145A1"/>
    <w:rsid w:val="2D472455"/>
    <w:rsid w:val="2D477E26"/>
    <w:rsid w:val="2D4E0FF6"/>
    <w:rsid w:val="2D551367"/>
    <w:rsid w:val="2D9939FD"/>
    <w:rsid w:val="2DA06D16"/>
    <w:rsid w:val="2DB53831"/>
    <w:rsid w:val="2DCE3C7D"/>
    <w:rsid w:val="2DCF0D38"/>
    <w:rsid w:val="2DDB0505"/>
    <w:rsid w:val="2DF77CC5"/>
    <w:rsid w:val="2DFF70AD"/>
    <w:rsid w:val="2E197228"/>
    <w:rsid w:val="2E490CF6"/>
    <w:rsid w:val="2E616693"/>
    <w:rsid w:val="2E640E80"/>
    <w:rsid w:val="2E685A4D"/>
    <w:rsid w:val="2E6D421C"/>
    <w:rsid w:val="2E85670C"/>
    <w:rsid w:val="2E93683E"/>
    <w:rsid w:val="2EAE51C5"/>
    <w:rsid w:val="2ECE0FF5"/>
    <w:rsid w:val="2EDB35F4"/>
    <w:rsid w:val="2EE80E9D"/>
    <w:rsid w:val="2F340AB1"/>
    <w:rsid w:val="2F3E05FD"/>
    <w:rsid w:val="2F5A04F1"/>
    <w:rsid w:val="2F702A20"/>
    <w:rsid w:val="2F7601D5"/>
    <w:rsid w:val="2F9C3813"/>
    <w:rsid w:val="2FB13E9F"/>
    <w:rsid w:val="2FB214E2"/>
    <w:rsid w:val="2FC13835"/>
    <w:rsid w:val="2FC17679"/>
    <w:rsid w:val="2FCB33B7"/>
    <w:rsid w:val="2FE82DA7"/>
    <w:rsid w:val="2FE8558C"/>
    <w:rsid w:val="2FED6249"/>
    <w:rsid w:val="2FF724D0"/>
    <w:rsid w:val="3012072F"/>
    <w:rsid w:val="301A150C"/>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3A7E15"/>
    <w:rsid w:val="3145771C"/>
    <w:rsid w:val="3151177C"/>
    <w:rsid w:val="317A3376"/>
    <w:rsid w:val="318031CF"/>
    <w:rsid w:val="31890866"/>
    <w:rsid w:val="318A77C5"/>
    <w:rsid w:val="31A063FD"/>
    <w:rsid w:val="31B4416D"/>
    <w:rsid w:val="31E150A9"/>
    <w:rsid w:val="31F5271A"/>
    <w:rsid w:val="320061DC"/>
    <w:rsid w:val="32352A7B"/>
    <w:rsid w:val="323671A4"/>
    <w:rsid w:val="3237369F"/>
    <w:rsid w:val="32406CCF"/>
    <w:rsid w:val="32463A26"/>
    <w:rsid w:val="32552500"/>
    <w:rsid w:val="326E6E6C"/>
    <w:rsid w:val="32700042"/>
    <w:rsid w:val="327166EE"/>
    <w:rsid w:val="327C087E"/>
    <w:rsid w:val="32933F60"/>
    <w:rsid w:val="329A2FAD"/>
    <w:rsid w:val="32CA3359"/>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B12A74"/>
    <w:rsid w:val="33B755E0"/>
    <w:rsid w:val="33EA22B9"/>
    <w:rsid w:val="33EE561B"/>
    <w:rsid w:val="33F2005B"/>
    <w:rsid w:val="340915D9"/>
    <w:rsid w:val="341660D6"/>
    <w:rsid w:val="343141E0"/>
    <w:rsid w:val="343321E4"/>
    <w:rsid w:val="3449718C"/>
    <w:rsid w:val="345A7CDA"/>
    <w:rsid w:val="346B239F"/>
    <w:rsid w:val="3477169F"/>
    <w:rsid w:val="347845C3"/>
    <w:rsid w:val="347A4A94"/>
    <w:rsid w:val="348061C8"/>
    <w:rsid w:val="348E726D"/>
    <w:rsid w:val="34A72740"/>
    <w:rsid w:val="34A83CBD"/>
    <w:rsid w:val="34C90259"/>
    <w:rsid w:val="34F23FA0"/>
    <w:rsid w:val="34F5398E"/>
    <w:rsid w:val="35232779"/>
    <w:rsid w:val="354E7917"/>
    <w:rsid w:val="35533564"/>
    <w:rsid w:val="357F3C0D"/>
    <w:rsid w:val="359C482A"/>
    <w:rsid w:val="35A2648D"/>
    <w:rsid w:val="35EE3F20"/>
    <w:rsid w:val="363A1A40"/>
    <w:rsid w:val="365057CB"/>
    <w:rsid w:val="366F05D1"/>
    <w:rsid w:val="36707E4B"/>
    <w:rsid w:val="36C06D6C"/>
    <w:rsid w:val="36C0742F"/>
    <w:rsid w:val="36C848DD"/>
    <w:rsid w:val="36CB72FE"/>
    <w:rsid w:val="370B22B6"/>
    <w:rsid w:val="3720617D"/>
    <w:rsid w:val="375A115E"/>
    <w:rsid w:val="37786996"/>
    <w:rsid w:val="37AB7604"/>
    <w:rsid w:val="38152477"/>
    <w:rsid w:val="381A3FBC"/>
    <w:rsid w:val="383115F5"/>
    <w:rsid w:val="386A4D8B"/>
    <w:rsid w:val="387060FE"/>
    <w:rsid w:val="38780152"/>
    <w:rsid w:val="387D2978"/>
    <w:rsid w:val="388242C0"/>
    <w:rsid w:val="388D490B"/>
    <w:rsid w:val="38A35CBB"/>
    <w:rsid w:val="38AA19BF"/>
    <w:rsid w:val="38C53CA2"/>
    <w:rsid w:val="38CA274D"/>
    <w:rsid w:val="38DB3D3B"/>
    <w:rsid w:val="391A3434"/>
    <w:rsid w:val="396759FD"/>
    <w:rsid w:val="397958BD"/>
    <w:rsid w:val="397D3884"/>
    <w:rsid w:val="39801E55"/>
    <w:rsid w:val="398F400C"/>
    <w:rsid w:val="398F55AF"/>
    <w:rsid w:val="39916AF0"/>
    <w:rsid w:val="399B079A"/>
    <w:rsid w:val="39BB72A2"/>
    <w:rsid w:val="39C61315"/>
    <w:rsid w:val="39DA200A"/>
    <w:rsid w:val="39DB1464"/>
    <w:rsid w:val="39EC4848"/>
    <w:rsid w:val="39FB1FB5"/>
    <w:rsid w:val="3A1D23B3"/>
    <w:rsid w:val="3A3620BE"/>
    <w:rsid w:val="3A3932E5"/>
    <w:rsid w:val="3A3F327A"/>
    <w:rsid w:val="3A402C8E"/>
    <w:rsid w:val="3A57294E"/>
    <w:rsid w:val="3A725720"/>
    <w:rsid w:val="3A8A623C"/>
    <w:rsid w:val="3A8D36C6"/>
    <w:rsid w:val="3A9E50EE"/>
    <w:rsid w:val="3ABC50BD"/>
    <w:rsid w:val="3AC416E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456A27"/>
    <w:rsid w:val="3C7B42E0"/>
    <w:rsid w:val="3C894E88"/>
    <w:rsid w:val="3CA37266"/>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77CBE"/>
    <w:rsid w:val="3E0B0664"/>
    <w:rsid w:val="3E102F58"/>
    <w:rsid w:val="3E1C24A8"/>
    <w:rsid w:val="3E29618D"/>
    <w:rsid w:val="3E3C7AEA"/>
    <w:rsid w:val="3E3D4BD0"/>
    <w:rsid w:val="3E683EEA"/>
    <w:rsid w:val="3E824C64"/>
    <w:rsid w:val="3E8A0F75"/>
    <w:rsid w:val="3E987AEE"/>
    <w:rsid w:val="3E9A2284"/>
    <w:rsid w:val="3EAC34A7"/>
    <w:rsid w:val="3EB472BD"/>
    <w:rsid w:val="3EF224EC"/>
    <w:rsid w:val="3F15252A"/>
    <w:rsid w:val="3F1B5750"/>
    <w:rsid w:val="3F3177A8"/>
    <w:rsid w:val="3F496CBE"/>
    <w:rsid w:val="3F587306"/>
    <w:rsid w:val="3FAE024D"/>
    <w:rsid w:val="3FF033EE"/>
    <w:rsid w:val="3FF67573"/>
    <w:rsid w:val="40213BB3"/>
    <w:rsid w:val="40275EA5"/>
    <w:rsid w:val="40546C48"/>
    <w:rsid w:val="40701A4C"/>
    <w:rsid w:val="40741F5B"/>
    <w:rsid w:val="40774232"/>
    <w:rsid w:val="40860801"/>
    <w:rsid w:val="40865A6A"/>
    <w:rsid w:val="408E7435"/>
    <w:rsid w:val="40924816"/>
    <w:rsid w:val="40A427E0"/>
    <w:rsid w:val="40AE3E97"/>
    <w:rsid w:val="40FA1B12"/>
    <w:rsid w:val="4122513C"/>
    <w:rsid w:val="41355EF0"/>
    <w:rsid w:val="41392674"/>
    <w:rsid w:val="415D1E0C"/>
    <w:rsid w:val="41794F45"/>
    <w:rsid w:val="41C51A2C"/>
    <w:rsid w:val="41E24A0A"/>
    <w:rsid w:val="41E54201"/>
    <w:rsid w:val="41EA0EFE"/>
    <w:rsid w:val="42517364"/>
    <w:rsid w:val="4262363F"/>
    <w:rsid w:val="42866E0B"/>
    <w:rsid w:val="42887741"/>
    <w:rsid w:val="42A10A0B"/>
    <w:rsid w:val="42A82704"/>
    <w:rsid w:val="42AF630A"/>
    <w:rsid w:val="42CE76C5"/>
    <w:rsid w:val="4305085A"/>
    <w:rsid w:val="431742E7"/>
    <w:rsid w:val="43312BDE"/>
    <w:rsid w:val="433862B6"/>
    <w:rsid w:val="43457D5C"/>
    <w:rsid w:val="43743B53"/>
    <w:rsid w:val="43763D41"/>
    <w:rsid w:val="43843137"/>
    <w:rsid w:val="4391176E"/>
    <w:rsid w:val="43B545F0"/>
    <w:rsid w:val="43CF397F"/>
    <w:rsid w:val="43EC3C39"/>
    <w:rsid w:val="43F539A2"/>
    <w:rsid w:val="442A447D"/>
    <w:rsid w:val="442E5667"/>
    <w:rsid w:val="44391ED2"/>
    <w:rsid w:val="444903F3"/>
    <w:rsid w:val="444F12A9"/>
    <w:rsid w:val="449A4C45"/>
    <w:rsid w:val="44A85A06"/>
    <w:rsid w:val="44C252E7"/>
    <w:rsid w:val="44E43D61"/>
    <w:rsid w:val="44E72DD0"/>
    <w:rsid w:val="44EE10CA"/>
    <w:rsid w:val="452250F1"/>
    <w:rsid w:val="4525639F"/>
    <w:rsid w:val="452623E2"/>
    <w:rsid w:val="45284541"/>
    <w:rsid w:val="45316B5D"/>
    <w:rsid w:val="45593BE6"/>
    <w:rsid w:val="456875F0"/>
    <w:rsid w:val="456F5A54"/>
    <w:rsid w:val="45A96C77"/>
    <w:rsid w:val="45AC7614"/>
    <w:rsid w:val="45B33761"/>
    <w:rsid w:val="45C53DA9"/>
    <w:rsid w:val="45CC6425"/>
    <w:rsid w:val="463F07A1"/>
    <w:rsid w:val="46B67097"/>
    <w:rsid w:val="46BA5F18"/>
    <w:rsid w:val="46BC3AE3"/>
    <w:rsid w:val="46BF57EA"/>
    <w:rsid w:val="46E22B80"/>
    <w:rsid w:val="47073A3C"/>
    <w:rsid w:val="471C6162"/>
    <w:rsid w:val="471D1AE4"/>
    <w:rsid w:val="471E63A8"/>
    <w:rsid w:val="474B7E8D"/>
    <w:rsid w:val="474F4C0B"/>
    <w:rsid w:val="475F38B6"/>
    <w:rsid w:val="47685614"/>
    <w:rsid w:val="476D294A"/>
    <w:rsid w:val="477E4AE2"/>
    <w:rsid w:val="47A428C2"/>
    <w:rsid w:val="47B75973"/>
    <w:rsid w:val="47C00874"/>
    <w:rsid w:val="47D236CB"/>
    <w:rsid w:val="47E41648"/>
    <w:rsid w:val="47E71D6B"/>
    <w:rsid w:val="47E801AB"/>
    <w:rsid w:val="47EC4B78"/>
    <w:rsid w:val="47F02948"/>
    <w:rsid w:val="480D47B9"/>
    <w:rsid w:val="48233849"/>
    <w:rsid w:val="48277842"/>
    <w:rsid w:val="483D20C4"/>
    <w:rsid w:val="48776E5E"/>
    <w:rsid w:val="48795C23"/>
    <w:rsid w:val="488C2FD7"/>
    <w:rsid w:val="48974A79"/>
    <w:rsid w:val="489F5422"/>
    <w:rsid w:val="48D14BB0"/>
    <w:rsid w:val="48D70F6B"/>
    <w:rsid w:val="48E50E7E"/>
    <w:rsid w:val="490E63AC"/>
    <w:rsid w:val="490F1DBB"/>
    <w:rsid w:val="49260A0E"/>
    <w:rsid w:val="492A7C7B"/>
    <w:rsid w:val="49750ACF"/>
    <w:rsid w:val="498768B0"/>
    <w:rsid w:val="498F1EC9"/>
    <w:rsid w:val="498F281F"/>
    <w:rsid w:val="49E1306F"/>
    <w:rsid w:val="4A0A6A2A"/>
    <w:rsid w:val="4A104F60"/>
    <w:rsid w:val="4A1277D9"/>
    <w:rsid w:val="4A204EC8"/>
    <w:rsid w:val="4A236AB7"/>
    <w:rsid w:val="4A4C7A60"/>
    <w:rsid w:val="4A5730A3"/>
    <w:rsid w:val="4A7D1B58"/>
    <w:rsid w:val="4A7D6FF8"/>
    <w:rsid w:val="4ACC1DD5"/>
    <w:rsid w:val="4AD34EFA"/>
    <w:rsid w:val="4ADD1B95"/>
    <w:rsid w:val="4AE04400"/>
    <w:rsid w:val="4AE93111"/>
    <w:rsid w:val="4B30754A"/>
    <w:rsid w:val="4B37594E"/>
    <w:rsid w:val="4B3C44DC"/>
    <w:rsid w:val="4B4546E2"/>
    <w:rsid w:val="4B5F5FC3"/>
    <w:rsid w:val="4B6549DC"/>
    <w:rsid w:val="4B6E06DF"/>
    <w:rsid w:val="4B937C35"/>
    <w:rsid w:val="4B9F2EFD"/>
    <w:rsid w:val="4BAF63DD"/>
    <w:rsid w:val="4BB57285"/>
    <w:rsid w:val="4BBD1489"/>
    <w:rsid w:val="4BDB0C2D"/>
    <w:rsid w:val="4C0478A6"/>
    <w:rsid w:val="4C3A380D"/>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AA2AAB"/>
    <w:rsid w:val="4DD067B1"/>
    <w:rsid w:val="4DDC7FA5"/>
    <w:rsid w:val="4E143766"/>
    <w:rsid w:val="4E4906EE"/>
    <w:rsid w:val="4E5C0BF1"/>
    <w:rsid w:val="4E692982"/>
    <w:rsid w:val="4E81128D"/>
    <w:rsid w:val="4EAA2B9B"/>
    <w:rsid w:val="4EAC63A7"/>
    <w:rsid w:val="4EB44450"/>
    <w:rsid w:val="4EBE06E2"/>
    <w:rsid w:val="4EF018DD"/>
    <w:rsid w:val="4F04640B"/>
    <w:rsid w:val="4F0E3BBD"/>
    <w:rsid w:val="4F144EEE"/>
    <w:rsid w:val="4F4C2A01"/>
    <w:rsid w:val="4F6B7BB9"/>
    <w:rsid w:val="4F8D0EEC"/>
    <w:rsid w:val="4F981B6D"/>
    <w:rsid w:val="4FA6654E"/>
    <w:rsid w:val="4FCC7BD9"/>
    <w:rsid w:val="4FD51E77"/>
    <w:rsid w:val="4FEF0962"/>
    <w:rsid w:val="4FF51ACA"/>
    <w:rsid w:val="4FF659D3"/>
    <w:rsid w:val="4FFB6AF8"/>
    <w:rsid w:val="502D6990"/>
    <w:rsid w:val="503A7C33"/>
    <w:rsid w:val="503B7503"/>
    <w:rsid w:val="505408EF"/>
    <w:rsid w:val="50626FEC"/>
    <w:rsid w:val="50802698"/>
    <w:rsid w:val="50B62460"/>
    <w:rsid w:val="50DF4E67"/>
    <w:rsid w:val="50E15827"/>
    <w:rsid w:val="51002F0E"/>
    <w:rsid w:val="51071B0C"/>
    <w:rsid w:val="51753008"/>
    <w:rsid w:val="517D7903"/>
    <w:rsid w:val="51E809A2"/>
    <w:rsid w:val="51EF6CDE"/>
    <w:rsid w:val="51F219E4"/>
    <w:rsid w:val="52151A1A"/>
    <w:rsid w:val="521A27C6"/>
    <w:rsid w:val="522C13B9"/>
    <w:rsid w:val="5234116C"/>
    <w:rsid w:val="52391B1D"/>
    <w:rsid w:val="5254213E"/>
    <w:rsid w:val="526650E8"/>
    <w:rsid w:val="5274323B"/>
    <w:rsid w:val="527812C6"/>
    <w:rsid w:val="52804735"/>
    <w:rsid w:val="52AE3750"/>
    <w:rsid w:val="52B5436D"/>
    <w:rsid w:val="52BE1CC3"/>
    <w:rsid w:val="52DB195C"/>
    <w:rsid w:val="52E25026"/>
    <w:rsid w:val="52F03D33"/>
    <w:rsid w:val="53053AB0"/>
    <w:rsid w:val="530E7D45"/>
    <w:rsid w:val="531655AF"/>
    <w:rsid w:val="536E66F9"/>
    <w:rsid w:val="53733BF6"/>
    <w:rsid w:val="53873D44"/>
    <w:rsid w:val="53962B3E"/>
    <w:rsid w:val="539F4BC3"/>
    <w:rsid w:val="53C7637D"/>
    <w:rsid w:val="53C9708E"/>
    <w:rsid w:val="53CD6E9C"/>
    <w:rsid w:val="53E3217E"/>
    <w:rsid w:val="53E51640"/>
    <w:rsid w:val="5410069F"/>
    <w:rsid w:val="5428422D"/>
    <w:rsid w:val="542850CE"/>
    <w:rsid w:val="54412AB9"/>
    <w:rsid w:val="54484B90"/>
    <w:rsid w:val="545430A1"/>
    <w:rsid w:val="5459131B"/>
    <w:rsid w:val="5471114B"/>
    <w:rsid w:val="54721E9F"/>
    <w:rsid w:val="54B14A15"/>
    <w:rsid w:val="54B14ED7"/>
    <w:rsid w:val="54B57A36"/>
    <w:rsid w:val="54BE73BB"/>
    <w:rsid w:val="54C0392D"/>
    <w:rsid w:val="54C71CC1"/>
    <w:rsid w:val="54EC1A3E"/>
    <w:rsid w:val="550876C8"/>
    <w:rsid w:val="552473CE"/>
    <w:rsid w:val="55273084"/>
    <w:rsid w:val="553918DB"/>
    <w:rsid w:val="554F3566"/>
    <w:rsid w:val="55694C7A"/>
    <w:rsid w:val="557A1F24"/>
    <w:rsid w:val="557B277B"/>
    <w:rsid w:val="55A939CC"/>
    <w:rsid w:val="55AA7895"/>
    <w:rsid w:val="55DF443D"/>
    <w:rsid w:val="55E62380"/>
    <w:rsid w:val="55FB34EE"/>
    <w:rsid w:val="5628417F"/>
    <w:rsid w:val="562B489D"/>
    <w:rsid w:val="56310FE7"/>
    <w:rsid w:val="564357FC"/>
    <w:rsid w:val="5650554F"/>
    <w:rsid w:val="565C7725"/>
    <w:rsid w:val="56721800"/>
    <w:rsid w:val="568820D4"/>
    <w:rsid w:val="568D45BE"/>
    <w:rsid w:val="569D5052"/>
    <w:rsid w:val="56D33E1D"/>
    <w:rsid w:val="56EB5C17"/>
    <w:rsid w:val="56F67432"/>
    <w:rsid w:val="56FC10C4"/>
    <w:rsid w:val="570C2AAA"/>
    <w:rsid w:val="57196811"/>
    <w:rsid w:val="57230876"/>
    <w:rsid w:val="5725461D"/>
    <w:rsid w:val="57440F69"/>
    <w:rsid w:val="5754503F"/>
    <w:rsid w:val="576378C6"/>
    <w:rsid w:val="57645644"/>
    <w:rsid w:val="578C51EE"/>
    <w:rsid w:val="57AC7CFA"/>
    <w:rsid w:val="57C2639A"/>
    <w:rsid w:val="57E27D6D"/>
    <w:rsid w:val="58135902"/>
    <w:rsid w:val="581D05D2"/>
    <w:rsid w:val="581E7B89"/>
    <w:rsid w:val="58203E2B"/>
    <w:rsid w:val="58363A1E"/>
    <w:rsid w:val="583B5B55"/>
    <w:rsid w:val="583E7652"/>
    <w:rsid w:val="586C0F12"/>
    <w:rsid w:val="586E0CF8"/>
    <w:rsid w:val="587F7675"/>
    <w:rsid w:val="58AA2D4B"/>
    <w:rsid w:val="58B0376F"/>
    <w:rsid w:val="58D24194"/>
    <w:rsid w:val="590251D7"/>
    <w:rsid w:val="59075246"/>
    <w:rsid w:val="590810D4"/>
    <w:rsid w:val="592B1BE2"/>
    <w:rsid w:val="592D2065"/>
    <w:rsid w:val="593E07E2"/>
    <w:rsid w:val="59517920"/>
    <w:rsid w:val="59617A34"/>
    <w:rsid w:val="596C32A7"/>
    <w:rsid w:val="59721B65"/>
    <w:rsid w:val="599574FB"/>
    <w:rsid w:val="59A25F54"/>
    <w:rsid w:val="59A87F44"/>
    <w:rsid w:val="59C451A3"/>
    <w:rsid w:val="59C46400"/>
    <w:rsid w:val="59CE01AC"/>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F16B5"/>
    <w:rsid w:val="5B034F7D"/>
    <w:rsid w:val="5B077572"/>
    <w:rsid w:val="5B1C48F7"/>
    <w:rsid w:val="5B3D2335"/>
    <w:rsid w:val="5B596518"/>
    <w:rsid w:val="5B825172"/>
    <w:rsid w:val="5B95101E"/>
    <w:rsid w:val="5BA43574"/>
    <w:rsid w:val="5BAA3237"/>
    <w:rsid w:val="5BBA2229"/>
    <w:rsid w:val="5BC46FC8"/>
    <w:rsid w:val="5BC91312"/>
    <w:rsid w:val="5BDD6EA5"/>
    <w:rsid w:val="5BDE1220"/>
    <w:rsid w:val="5BDE3B67"/>
    <w:rsid w:val="5C1F62D6"/>
    <w:rsid w:val="5C4471CE"/>
    <w:rsid w:val="5C510CA7"/>
    <w:rsid w:val="5C6C4B26"/>
    <w:rsid w:val="5C70627F"/>
    <w:rsid w:val="5C78121F"/>
    <w:rsid w:val="5C7E3B46"/>
    <w:rsid w:val="5C8E6AD3"/>
    <w:rsid w:val="5C962A0F"/>
    <w:rsid w:val="5C9C63C8"/>
    <w:rsid w:val="5CA04BF9"/>
    <w:rsid w:val="5CBA15A3"/>
    <w:rsid w:val="5CD82D18"/>
    <w:rsid w:val="5CDC0BDD"/>
    <w:rsid w:val="5CE96DCA"/>
    <w:rsid w:val="5CFB0D0E"/>
    <w:rsid w:val="5D077EF5"/>
    <w:rsid w:val="5D0D570F"/>
    <w:rsid w:val="5D5061F6"/>
    <w:rsid w:val="5D590772"/>
    <w:rsid w:val="5D670BC7"/>
    <w:rsid w:val="5D6F385A"/>
    <w:rsid w:val="5D8E4CA8"/>
    <w:rsid w:val="5DB86D54"/>
    <w:rsid w:val="5DBE6255"/>
    <w:rsid w:val="5DCA043A"/>
    <w:rsid w:val="5DDC5EE5"/>
    <w:rsid w:val="5DE06080"/>
    <w:rsid w:val="5E026B09"/>
    <w:rsid w:val="5E103836"/>
    <w:rsid w:val="5E1C1E8A"/>
    <w:rsid w:val="5E1C4572"/>
    <w:rsid w:val="5E246A8B"/>
    <w:rsid w:val="5E303CE5"/>
    <w:rsid w:val="5E4B5198"/>
    <w:rsid w:val="5E642265"/>
    <w:rsid w:val="5EA70CDE"/>
    <w:rsid w:val="5EBE0A06"/>
    <w:rsid w:val="5ECB1CD4"/>
    <w:rsid w:val="5ED50ED8"/>
    <w:rsid w:val="5EF779D7"/>
    <w:rsid w:val="5EFA1803"/>
    <w:rsid w:val="5EFC2014"/>
    <w:rsid w:val="5F0465E4"/>
    <w:rsid w:val="5F0E78E8"/>
    <w:rsid w:val="5F1B0A3E"/>
    <w:rsid w:val="5F3B2D6C"/>
    <w:rsid w:val="5F4D0535"/>
    <w:rsid w:val="5F57453E"/>
    <w:rsid w:val="5F5B53F6"/>
    <w:rsid w:val="5F60685A"/>
    <w:rsid w:val="5FA570E4"/>
    <w:rsid w:val="5FAC744F"/>
    <w:rsid w:val="5FC353A5"/>
    <w:rsid w:val="5FDC62ED"/>
    <w:rsid w:val="5FE819D3"/>
    <w:rsid w:val="5FED7100"/>
    <w:rsid w:val="5FF44887"/>
    <w:rsid w:val="604550F9"/>
    <w:rsid w:val="6049085F"/>
    <w:rsid w:val="6051231A"/>
    <w:rsid w:val="60554CDC"/>
    <w:rsid w:val="60580311"/>
    <w:rsid w:val="60751E3A"/>
    <w:rsid w:val="60963944"/>
    <w:rsid w:val="60994E7B"/>
    <w:rsid w:val="60DC5B8D"/>
    <w:rsid w:val="60E77EFC"/>
    <w:rsid w:val="60ED27E4"/>
    <w:rsid w:val="611C61A9"/>
    <w:rsid w:val="6143479C"/>
    <w:rsid w:val="619A1950"/>
    <w:rsid w:val="619D4186"/>
    <w:rsid w:val="61AE7D97"/>
    <w:rsid w:val="61F80AC1"/>
    <w:rsid w:val="62031A89"/>
    <w:rsid w:val="62316AA4"/>
    <w:rsid w:val="623E241B"/>
    <w:rsid w:val="624A237C"/>
    <w:rsid w:val="62686EAA"/>
    <w:rsid w:val="62722A66"/>
    <w:rsid w:val="627D508D"/>
    <w:rsid w:val="62A226C2"/>
    <w:rsid w:val="62C8546B"/>
    <w:rsid w:val="62D813F4"/>
    <w:rsid w:val="62DC4BD7"/>
    <w:rsid w:val="630615B2"/>
    <w:rsid w:val="632073D1"/>
    <w:rsid w:val="6329520B"/>
    <w:rsid w:val="63362285"/>
    <w:rsid w:val="635C5213"/>
    <w:rsid w:val="636D7EBA"/>
    <w:rsid w:val="639064E8"/>
    <w:rsid w:val="63CE15FA"/>
    <w:rsid w:val="63D83474"/>
    <w:rsid w:val="63DB6EED"/>
    <w:rsid w:val="63EF2296"/>
    <w:rsid w:val="64044E99"/>
    <w:rsid w:val="643F15A9"/>
    <w:rsid w:val="644D1BED"/>
    <w:rsid w:val="64743A57"/>
    <w:rsid w:val="64962060"/>
    <w:rsid w:val="64A81117"/>
    <w:rsid w:val="64B27796"/>
    <w:rsid w:val="64B308E0"/>
    <w:rsid w:val="64C32CDA"/>
    <w:rsid w:val="64E85323"/>
    <w:rsid w:val="64E86B5E"/>
    <w:rsid w:val="64EC5266"/>
    <w:rsid w:val="65336F33"/>
    <w:rsid w:val="655834E5"/>
    <w:rsid w:val="65774DE2"/>
    <w:rsid w:val="658F6A2D"/>
    <w:rsid w:val="65A9123D"/>
    <w:rsid w:val="65AF7C90"/>
    <w:rsid w:val="65B124D6"/>
    <w:rsid w:val="65BD2414"/>
    <w:rsid w:val="65FB194F"/>
    <w:rsid w:val="661208FC"/>
    <w:rsid w:val="661C3008"/>
    <w:rsid w:val="6626043C"/>
    <w:rsid w:val="662D301C"/>
    <w:rsid w:val="664A36D1"/>
    <w:rsid w:val="665A7A13"/>
    <w:rsid w:val="6664740F"/>
    <w:rsid w:val="6665384F"/>
    <w:rsid w:val="66943F9D"/>
    <w:rsid w:val="6695367E"/>
    <w:rsid w:val="66986EFA"/>
    <w:rsid w:val="66B91561"/>
    <w:rsid w:val="66B91976"/>
    <w:rsid w:val="66B97C81"/>
    <w:rsid w:val="66F43DD4"/>
    <w:rsid w:val="66FC4493"/>
    <w:rsid w:val="670C7116"/>
    <w:rsid w:val="673452B8"/>
    <w:rsid w:val="674B7A80"/>
    <w:rsid w:val="675C0C10"/>
    <w:rsid w:val="67B75509"/>
    <w:rsid w:val="67C004EE"/>
    <w:rsid w:val="67CB3049"/>
    <w:rsid w:val="67DF5789"/>
    <w:rsid w:val="67E5058E"/>
    <w:rsid w:val="67E553B0"/>
    <w:rsid w:val="67EF2889"/>
    <w:rsid w:val="67FA4E8C"/>
    <w:rsid w:val="67FB568E"/>
    <w:rsid w:val="681E1C8A"/>
    <w:rsid w:val="681E74FC"/>
    <w:rsid w:val="68246020"/>
    <w:rsid w:val="6846531F"/>
    <w:rsid w:val="685A18FB"/>
    <w:rsid w:val="687C28DB"/>
    <w:rsid w:val="68907DEF"/>
    <w:rsid w:val="68976136"/>
    <w:rsid w:val="68A0278A"/>
    <w:rsid w:val="68C812E7"/>
    <w:rsid w:val="68CE0B86"/>
    <w:rsid w:val="68F540D3"/>
    <w:rsid w:val="69082643"/>
    <w:rsid w:val="69256E15"/>
    <w:rsid w:val="692764EA"/>
    <w:rsid w:val="695976F5"/>
    <w:rsid w:val="699219DD"/>
    <w:rsid w:val="69A654F2"/>
    <w:rsid w:val="69B00A10"/>
    <w:rsid w:val="69B42EE2"/>
    <w:rsid w:val="69D92366"/>
    <w:rsid w:val="69DE72A2"/>
    <w:rsid w:val="69E40BF9"/>
    <w:rsid w:val="69FA5E67"/>
    <w:rsid w:val="6A206100"/>
    <w:rsid w:val="6A263131"/>
    <w:rsid w:val="6A263720"/>
    <w:rsid w:val="6A330B04"/>
    <w:rsid w:val="6A426472"/>
    <w:rsid w:val="6A436AEC"/>
    <w:rsid w:val="6A717CE3"/>
    <w:rsid w:val="6A730EA4"/>
    <w:rsid w:val="6A9260A0"/>
    <w:rsid w:val="6AAB68AC"/>
    <w:rsid w:val="6AB574DF"/>
    <w:rsid w:val="6ACC62E0"/>
    <w:rsid w:val="6ACE4105"/>
    <w:rsid w:val="6AD03793"/>
    <w:rsid w:val="6AE608D0"/>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CD618B"/>
    <w:rsid w:val="6CD41A5B"/>
    <w:rsid w:val="6CD45481"/>
    <w:rsid w:val="6CE33536"/>
    <w:rsid w:val="6D0059E8"/>
    <w:rsid w:val="6D0D058A"/>
    <w:rsid w:val="6D155705"/>
    <w:rsid w:val="6D2102DD"/>
    <w:rsid w:val="6D4F5F3E"/>
    <w:rsid w:val="6D654AF0"/>
    <w:rsid w:val="6D672DF1"/>
    <w:rsid w:val="6D702BDA"/>
    <w:rsid w:val="6D7607C6"/>
    <w:rsid w:val="6D7C6B93"/>
    <w:rsid w:val="6D91680B"/>
    <w:rsid w:val="6DBE61E8"/>
    <w:rsid w:val="6DF45B50"/>
    <w:rsid w:val="6E0237C7"/>
    <w:rsid w:val="6E0F5CB7"/>
    <w:rsid w:val="6E3C46FC"/>
    <w:rsid w:val="6E487B8A"/>
    <w:rsid w:val="6E547FBE"/>
    <w:rsid w:val="6E62419F"/>
    <w:rsid w:val="6E9D322D"/>
    <w:rsid w:val="6EBB757B"/>
    <w:rsid w:val="6EC519AE"/>
    <w:rsid w:val="6ECA1928"/>
    <w:rsid w:val="6ED17380"/>
    <w:rsid w:val="6EEE6897"/>
    <w:rsid w:val="6F080E6D"/>
    <w:rsid w:val="6F086931"/>
    <w:rsid w:val="6F175ED7"/>
    <w:rsid w:val="6F1A63C1"/>
    <w:rsid w:val="6F222ACE"/>
    <w:rsid w:val="6F4106F3"/>
    <w:rsid w:val="6F570003"/>
    <w:rsid w:val="6F724588"/>
    <w:rsid w:val="6F734606"/>
    <w:rsid w:val="6F812514"/>
    <w:rsid w:val="6F8C7562"/>
    <w:rsid w:val="6F8D5CB6"/>
    <w:rsid w:val="6FA9005F"/>
    <w:rsid w:val="6FC71C5E"/>
    <w:rsid w:val="6FCC43BD"/>
    <w:rsid w:val="6FD91702"/>
    <w:rsid w:val="6FE657EB"/>
    <w:rsid w:val="6FED00FF"/>
    <w:rsid w:val="6FF84890"/>
    <w:rsid w:val="70383246"/>
    <w:rsid w:val="704E6956"/>
    <w:rsid w:val="70D3169F"/>
    <w:rsid w:val="70DC4E9C"/>
    <w:rsid w:val="70FB50CB"/>
    <w:rsid w:val="71103E0A"/>
    <w:rsid w:val="711F45B9"/>
    <w:rsid w:val="712802B3"/>
    <w:rsid w:val="713B1222"/>
    <w:rsid w:val="714E63D6"/>
    <w:rsid w:val="71756349"/>
    <w:rsid w:val="71905F74"/>
    <w:rsid w:val="71AC3EEB"/>
    <w:rsid w:val="71E33AEE"/>
    <w:rsid w:val="71F71DF5"/>
    <w:rsid w:val="71FC66A6"/>
    <w:rsid w:val="71FD217F"/>
    <w:rsid w:val="720601C5"/>
    <w:rsid w:val="72206BCE"/>
    <w:rsid w:val="722B123D"/>
    <w:rsid w:val="724541FF"/>
    <w:rsid w:val="72842B7E"/>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96B3C"/>
    <w:rsid w:val="740A43A4"/>
    <w:rsid w:val="74314148"/>
    <w:rsid w:val="744C7E0E"/>
    <w:rsid w:val="745775DE"/>
    <w:rsid w:val="745D758A"/>
    <w:rsid w:val="745F712C"/>
    <w:rsid w:val="74695686"/>
    <w:rsid w:val="746C3BCF"/>
    <w:rsid w:val="74726218"/>
    <w:rsid w:val="74813987"/>
    <w:rsid w:val="74AF7B7D"/>
    <w:rsid w:val="74B15097"/>
    <w:rsid w:val="74B174B7"/>
    <w:rsid w:val="74B662A6"/>
    <w:rsid w:val="74C14C55"/>
    <w:rsid w:val="74C730E6"/>
    <w:rsid w:val="74D40C14"/>
    <w:rsid w:val="74DD408E"/>
    <w:rsid w:val="74EF0204"/>
    <w:rsid w:val="74F4000B"/>
    <w:rsid w:val="74F53565"/>
    <w:rsid w:val="750C0702"/>
    <w:rsid w:val="75290C8A"/>
    <w:rsid w:val="75354D85"/>
    <w:rsid w:val="753A05F3"/>
    <w:rsid w:val="755E271D"/>
    <w:rsid w:val="756646E4"/>
    <w:rsid w:val="75674CA9"/>
    <w:rsid w:val="756C26AF"/>
    <w:rsid w:val="758B541D"/>
    <w:rsid w:val="75A152BF"/>
    <w:rsid w:val="75B5699E"/>
    <w:rsid w:val="75EF0431"/>
    <w:rsid w:val="761D6F02"/>
    <w:rsid w:val="7628317F"/>
    <w:rsid w:val="763846D6"/>
    <w:rsid w:val="765C2A9A"/>
    <w:rsid w:val="76616E2A"/>
    <w:rsid w:val="769470CC"/>
    <w:rsid w:val="76B90DB8"/>
    <w:rsid w:val="76EE01F5"/>
    <w:rsid w:val="7709593C"/>
    <w:rsid w:val="770F4A0E"/>
    <w:rsid w:val="771B662C"/>
    <w:rsid w:val="771C23B1"/>
    <w:rsid w:val="772E2BF6"/>
    <w:rsid w:val="774804CC"/>
    <w:rsid w:val="77547927"/>
    <w:rsid w:val="77722EAD"/>
    <w:rsid w:val="777C270F"/>
    <w:rsid w:val="777C39DF"/>
    <w:rsid w:val="77CF75E3"/>
    <w:rsid w:val="77DD3B92"/>
    <w:rsid w:val="77F12A59"/>
    <w:rsid w:val="78063C29"/>
    <w:rsid w:val="780B46B4"/>
    <w:rsid w:val="782021D6"/>
    <w:rsid w:val="782C17E6"/>
    <w:rsid w:val="7831720A"/>
    <w:rsid w:val="784A371B"/>
    <w:rsid w:val="784D0268"/>
    <w:rsid w:val="78511BFB"/>
    <w:rsid w:val="78570929"/>
    <w:rsid w:val="78720F0B"/>
    <w:rsid w:val="787B6CEB"/>
    <w:rsid w:val="7889250C"/>
    <w:rsid w:val="7895540D"/>
    <w:rsid w:val="789629A1"/>
    <w:rsid w:val="78AA212A"/>
    <w:rsid w:val="78B47E62"/>
    <w:rsid w:val="78BD3A19"/>
    <w:rsid w:val="78CA743F"/>
    <w:rsid w:val="78FC723E"/>
    <w:rsid w:val="7903576C"/>
    <w:rsid w:val="791059C4"/>
    <w:rsid w:val="79471A66"/>
    <w:rsid w:val="794B4FBB"/>
    <w:rsid w:val="79715F03"/>
    <w:rsid w:val="79832C90"/>
    <w:rsid w:val="79B34D12"/>
    <w:rsid w:val="79BA09EE"/>
    <w:rsid w:val="79CD40FA"/>
    <w:rsid w:val="79EA60FA"/>
    <w:rsid w:val="7A1376CB"/>
    <w:rsid w:val="7A3F563E"/>
    <w:rsid w:val="7A47368D"/>
    <w:rsid w:val="7A477AC9"/>
    <w:rsid w:val="7A487312"/>
    <w:rsid w:val="7A4A7E2B"/>
    <w:rsid w:val="7A4B0FE0"/>
    <w:rsid w:val="7A4C2BA3"/>
    <w:rsid w:val="7A662F0C"/>
    <w:rsid w:val="7A922A62"/>
    <w:rsid w:val="7A9B7021"/>
    <w:rsid w:val="7AAB161A"/>
    <w:rsid w:val="7AB744CE"/>
    <w:rsid w:val="7AD622E1"/>
    <w:rsid w:val="7AE019BD"/>
    <w:rsid w:val="7AE31DB8"/>
    <w:rsid w:val="7AF2300E"/>
    <w:rsid w:val="7B0C07ED"/>
    <w:rsid w:val="7B192506"/>
    <w:rsid w:val="7B2B7492"/>
    <w:rsid w:val="7B3B29FD"/>
    <w:rsid w:val="7B440233"/>
    <w:rsid w:val="7B505C2F"/>
    <w:rsid w:val="7B590514"/>
    <w:rsid w:val="7B631BC2"/>
    <w:rsid w:val="7B66424C"/>
    <w:rsid w:val="7BAC3148"/>
    <w:rsid w:val="7BBC0F77"/>
    <w:rsid w:val="7BBF003E"/>
    <w:rsid w:val="7BC86099"/>
    <w:rsid w:val="7BCF61EF"/>
    <w:rsid w:val="7BDE4FC2"/>
    <w:rsid w:val="7C251BB9"/>
    <w:rsid w:val="7C270A47"/>
    <w:rsid w:val="7C526BA2"/>
    <w:rsid w:val="7C66738C"/>
    <w:rsid w:val="7C887303"/>
    <w:rsid w:val="7C9E49BB"/>
    <w:rsid w:val="7CBE33F7"/>
    <w:rsid w:val="7CDE5CED"/>
    <w:rsid w:val="7CE77E19"/>
    <w:rsid w:val="7CF873D9"/>
    <w:rsid w:val="7CFC31CC"/>
    <w:rsid w:val="7D023B87"/>
    <w:rsid w:val="7D094AC2"/>
    <w:rsid w:val="7D277784"/>
    <w:rsid w:val="7D281411"/>
    <w:rsid w:val="7D2D0E92"/>
    <w:rsid w:val="7D2F1335"/>
    <w:rsid w:val="7D5E7AAB"/>
    <w:rsid w:val="7D613541"/>
    <w:rsid w:val="7D623196"/>
    <w:rsid w:val="7D6A383D"/>
    <w:rsid w:val="7D787EF8"/>
    <w:rsid w:val="7D853F17"/>
    <w:rsid w:val="7DB3008D"/>
    <w:rsid w:val="7DB32A7F"/>
    <w:rsid w:val="7DC3439E"/>
    <w:rsid w:val="7DE435B1"/>
    <w:rsid w:val="7DF123E8"/>
    <w:rsid w:val="7E0064D6"/>
    <w:rsid w:val="7E032F24"/>
    <w:rsid w:val="7E113552"/>
    <w:rsid w:val="7E34384C"/>
    <w:rsid w:val="7E3D470A"/>
    <w:rsid w:val="7E3E2ED1"/>
    <w:rsid w:val="7E481050"/>
    <w:rsid w:val="7E4F112B"/>
    <w:rsid w:val="7E5132C5"/>
    <w:rsid w:val="7E725143"/>
    <w:rsid w:val="7E7722A2"/>
    <w:rsid w:val="7E8D040A"/>
    <w:rsid w:val="7EB75211"/>
    <w:rsid w:val="7ED17784"/>
    <w:rsid w:val="7EDA761A"/>
    <w:rsid w:val="7EFC4E2F"/>
    <w:rsid w:val="7F20708C"/>
    <w:rsid w:val="7F413AA5"/>
    <w:rsid w:val="7F4E67C5"/>
    <w:rsid w:val="7F5E3540"/>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2"/>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qFormat/>
    <w:uiPriority w:val="9"/>
    <w:pPr>
      <w:keepNext/>
      <w:keepLines/>
      <w:spacing w:line="240" w:lineRule="auto"/>
      <w:outlineLvl w:val="1"/>
    </w:pPr>
    <w:rPr>
      <w:rFonts w:ascii="Calibri" w:hAnsi="Calibri" w:cs="黑体"/>
      <w:b/>
      <w:bCs/>
      <w:sz w:val="32"/>
      <w:szCs w:val="32"/>
    </w:rPr>
  </w:style>
  <w:style w:type="paragraph" w:styleId="5">
    <w:name w:val="heading 3"/>
    <w:basedOn w:val="1"/>
    <w:next w:val="1"/>
    <w:qFormat/>
    <w:uiPriority w:val="9"/>
    <w:pPr>
      <w:keepNext/>
      <w:keepLines/>
      <w:spacing w:line="400" w:lineRule="atLeast"/>
      <w:jc w:val="center"/>
      <w:outlineLvl w:val="2"/>
    </w:pPr>
    <w:rPr>
      <w:b/>
      <w:bCs/>
      <w:sz w:val="32"/>
      <w:szCs w:val="32"/>
      <w:u w:val="double"/>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styleId="6">
    <w:name w:val="Normal Indent"/>
    <w:basedOn w:val="1"/>
    <w:qFormat/>
    <w:uiPriority w:val="99"/>
    <w:pPr>
      <w:ind w:firstLine="420"/>
    </w:pPr>
  </w:style>
  <w:style w:type="paragraph" w:styleId="7">
    <w:name w:val="annotation text"/>
    <w:basedOn w:val="1"/>
    <w:link w:val="46"/>
    <w:qFormat/>
    <w:uiPriority w:val="0"/>
    <w:pPr>
      <w:jc w:val="left"/>
    </w:pPr>
  </w:style>
  <w:style w:type="paragraph" w:styleId="8">
    <w:name w:val="Body Text"/>
    <w:basedOn w:val="1"/>
    <w:next w:val="1"/>
    <w:qFormat/>
    <w:uiPriority w:val="99"/>
    <w:pPr>
      <w:spacing w:after="120"/>
    </w:pPr>
  </w:style>
  <w:style w:type="paragraph" w:styleId="9">
    <w:name w:val="Body Text Indent"/>
    <w:basedOn w:val="1"/>
    <w:qFormat/>
    <w:uiPriority w:val="0"/>
    <w:pPr>
      <w:spacing w:after="120"/>
      <w:ind w:left="420" w:leftChars="200"/>
    </w:pPr>
  </w:style>
  <w:style w:type="paragraph" w:styleId="10">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1">
    <w:name w:val="Date"/>
    <w:next w:val="1"/>
    <w:qFormat/>
    <w:uiPriority w:val="0"/>
    <w:pPr>
      <w:widowControl w:val="0"/>
      <w:ind w:leftChars="2500"/>
      <w:jc w:val="both"/>
    </w:pPr>
    <w:rPr>
      <w:rFonts w:hint="eastAsia" w:ascii="仿宋_GB2312" w:hAnsi="Calibri" w:eastAsia="仿宋_GB2312" w:cs="Times New Roman"/>
      <w:color w:val="000000"/>
      <w:kern w:val="0"/>
      <w:sz w:val="32"/>
      <w:szCs w:val="20"/>
      <w:lang w:val="en-US" w:eastAsia="zh-CN" w:bidi="ar-SA"/>
    </w:rPr>
  </w:style>
  <w:style w:type="paragraph" w:styleId="12">
    <w:name w:val="Balloon Text"/>
    <w:basedOn w:val="1"/>
    <w:link w:val="48"/>
    <w:qFormat/>
    <w:uiPriority w:val="0"/>
    <w:pPr>
      <w:spacing w:line="240" w:lineRule="auto"/>
    </w:pPr>
    <w:rPr>
      <w:sz w:val="18"/>
      <w:szCs w:val="18"/>
    </w:rPr>
  </w:style>
  <w:style w:type="paragraph" w:styleId="13">
    <w:name w:val="footer"/>
    <w:basedOn w:val="1"/>
    <w:qFormat/>
    <w:uiPriority w:val="99"/>
    <w:pPr>
      <w:widowControl w:val="0"/>
      <w:tabs>
        <w:tab w:val="center" w:pos="4153"/>
        <w:tab w:val="right" w:pos="8306"/>
      </w:tabs>
      <w:snapToGrid w:val="0"/>
      <w:spacing w:line="240" w:lineRule="auto"/>
      <w:jc w:val="left"/>
    </w:pPr>
    <w:rPr>
      <w:sz w:val="18"/>
    </w:rPr>
  </w:style>
  <w:style w:type="paragraph" w:styleId="14">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5">
    <w:name w:val="toc 1"/>
    <w:basedOn w:val="1"/>
    <w:next w:val="1"/>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99"/>
    <w:pPr>
      <w:spacing w:beforeAutospacing="1" w:afterAutospacing="1"/>
      <w:jc w:val="left"/>
    </w:pPr>
    <w:rPr>
      <w:rFonts w:cs="Times New Roman"/>
      <w:kern w:val="0"/>
      <w:sz w:val="24"/>
    </w:rPr>
  </w:style>
  <w:style w:type="paragraph" w:styleId="18">
    <w:name w:val="annotation subject"/>
    <w:basedOn w:val="7"/>
    <w:next w:val="7"/>
    <w:link w:val="47"/>
    <w:qFormat/>
    <w:uiPriority w:val="0"/>
    <w:rPr>
      <w:b/>
      <w:bCs/>
    </w:rPr>
  </w:style>
  <w:style w:type="paragraph" w:styleId="19">
    <w:name w:val="Body Text First Indent"/>
    <w:basedOn w:val="8"/>
    <w:unhideWhenUsed/>
    <w:qFormat/>
    <w:uiPriority w:val="0"/>
    <w:pPr>
      <w:spacing w:line="240" w:lineRule="auto"/>
      <w:ind w:firstLine="420" w:firstLineChars="100"/>
    </w:pPr>
    <w:rPr>
      <w:rFonts w:ascii="Times New Roman" w:hAnsi="Times New Roman"/>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semiHidden/>
    <w:unhideWhenUsed/>
    <w:qFormat/>
    <w:uiPriority w:val="0"/>
    <w:rPr>
      <w:color w:val="800080"/>
      <w:u w:val="none"/>
    </w:rPr>
  </w:style>
  <w:style w:type="character" w:styleId="25">
    <w:name w:val="Emphasis"/>
    <w:basedOn w:val="22"/>
    <w:qFormat/>
    <w:uiPriority w:val="0"/>
    <w:rPr>
      <w:b/>
    </w:rPr>
  </w:style>
  <w:style w:type="character" w:styleId="26">
    <w:name w:val="HTML Definition"/>
    <w:basedOn w:val="22"/>
    <w:semiHidden/>
    <w:unhideWhenUsed/>
    <w:qFormat/>
    <w:uiPriority w:val="0"/>
  </w:style>
  <w:style w:type="character" w:styleId="27">
    <w:name w:val="HTML Typewriter"/>
    <w:basedOn w:val="22"/>
    <w:semiHidden/>
    <w:unhideWhenUsed/>
    <w:qFormat/>
    <w:uiPriority w:val="0"/>
    <w:rPr>
      <w:rFonts w:ascii="monospace" w:hAnsi="monospace" w:eastAsia="monospace" w:cs="monospace"/>
      <w:sz w:val="20"/>
    </w:rPr>
  </w:style>
  <w:style w:type="character" w:styleId="28">
    <w:name w:val="HTML Acronym"/>
    <w:basedOn w:val="22"/>
    <w:semiHidden/>
    <w:unhideWhenUsed/>
    <w:qFormat/>
    <w:uiPriority w:val="0"/>
  </w:style>
  <w:style w:type="character" w:styleId="29">
    <w:name w:val="HTML Variable"/>
    <w:basedOn w:val="22"/>
    <w:semiHidden/>
    <w:unhideWhenUsed/>
    <w:qFormat/>
    <w:uiPriority w:val="0"/>
  </w:style>
  <w:style w:type="character" w:styleId="30">
    <w:name w:val="Hyperlink"/>
    <w:qFormat/>
    <w:uiPriority w:val="99"/>
    <w:rPr>
      <w:color w:val="000000"/>
      <w:sz w:val="18"/>
      <w:szCs w:val="18"/>
      <w:u w:val="none"/>
    </w:rPr>
  </w:style>
  <w:style w:type="character" w:styleId="31">
    <w:name w:val="HTML Code"/>
    <w:basedOn w:val="22"/>
    <w:semiHidden/>
    <w:unhideWhenUsed/>
    <w:qFormat/>
    <w:uiPriority w:val="0"/>
    <w:rPr>
      <w:rFonts w:hint="default" w:ascii="monospace" w:hAnsi="monospace" w:eastAsia="monospace" w:cs="monospace"/>
      <w:sz w:val="20"/>
    </w:rPr>
  </w:style>
  <w:style w:type="character" w:styleId="32">
    <w:name w:val="annotation reference"/>
    <w:basedOn w:val="22"/>
    <w:qFormat/>
    <w:uiPriority w:val="0"/>
    <w:rPr>
      <w:sz w:val="21"/>
      <w:szCs w:val="21"/>
    </w:rPr>
  </w:style>
  <w:style w:type="character" w:styleId="33">
    <w:name w:val="HTML Cite"/>
    <w:basedOn w:val="22"/>
    <w:semiHidden/>
    <w:unhideWhenUsed/>
    <w:qFormat/>
    <w:uiPriority w:val="0"/>
  </w:style>
  <w:style w:type="character" w:styleId="34">
    <w:name w:val="HTML Keyboard"/>
    <w:basedOn w:val="22"/>
    <w:semiHidden/>
    <w:unhideWhenUsed/>
    <w:qFormat/>
    <w:uiPriority w:val="0"/>
    <w:rPr>
      <w:rFonts w:hint="default" w:ascii="monospace" w:hAnsi="monospace" w:eastAsia="monospace" w:cs="monospace"/>
      <w:sz w:val="18"/>
      <w:szCs w:val="18"/>
      <w:bdr w:val="single" w:color="D2D2D2" w:sz="2" w:space="0"/>
    </w:rPr>
  </w:style>
  <w:style w:type="character" w:styleId="35">
    <w:name w:val="HTML Sample"/>
    <w:basedOn w:val="22"/>
    <w:semiHidden/>
    <w:unhideWhenUsed/>
    <w:qFormat/>
    <w:uiPriority w:val="0"/>
    <w:rPr>
      <w:rFonts w:hint="default" w:ascii="monospace" w:hAnsi="monospace" w:eastAsia="monospace" w:cs="monospace"/>
    </w:rPr>
  </w:style>
  <w:style w:type="paragraph" w:customStyle="1" w:styleId="36">
    <w:name w:val="正文缩进1"/>
    <w:basedOn w:val="1"/>
    <w:qFormat/>
    <w:uiPriority w:val="0"/>
    <w:pPr>
      <w:ind w:firstLine="420" w:firstLineChars="200"/>
    </w:pPr>
  </w:style>
  <w:style w:type="paragraph" w:customStyle="1" w:styleId="37">
    <w:name w:val="正文（缩进 2 字符）"/>
    <w:basedOn w:val="1"/>
    <w:qFormat/>
    <w:uiPriority w:val="0"/>
    <w:pPr>
      <w:ind w:firstLine="200" w:firstLineChars="200"/>
    </w:pPr>
  </w:style>
  <w:style w:type="paragraph" w:customStyle="1" w:styleId="38">
    <w:name w:val="正文（缩进 4 字符）"/>
    <w:basedOn w:val="1"/>
    <w:qFormat/>
    <w:uiPriority w:val="0"/>
    <w:pPr>
      <w:ind w:firstLine="1134" w:firstLineChars="400"/>
    </w:pPr>
  </w:style>
  <w:style w:type="paragraph" w:customStyle="1" w:styleId="39">
    <w:name w:val="列出段落1"/>
    <w:basedOn w:val="1"/>
    <w:qFormat/>
    <w:uiPriority w:val="99"/>
    <w:pPr>
      <w:ind w:firstLine="420" w:firstLineChars="200"/>
    </w:p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标题 2（投标文件）"/>
    <w:basedOn w:val="4"/>
    <w:qFormat/>
    <w:uiPriority w:val="0"/>
    <w:pPr>
      <w:jc w:val="center"/>
    </w:pPr>
  </w:style>
  <w:style w:type="character" w:customStyle="1" w:styleId="42">
    <w:name w:val="标题 1 字符"/>
    <w:link w:val="3"/>
    <w:qFormat/>
    <w:uiPriority w:val="9"/>
    <w:rPr>
      <w:rFonts w:eastAsia="仿宋"/>
      <w:b/>
      <w:color w:val="000000"/>
      <w:kern w:val="44"/>
      <w:sz w:val="36"/>
      <w:szCs w:val="44"/>
    </w:rPr>
  </w:style>
  <w:style w:type="paragraph" w:customStyle="1" w:styleId="43">
    <w:name w:val="标题 3（投标文件）"/>
    <w:basedOn w:val="5"/>
    <w:qFormat/>
    <w:uiPriority w:val="0"/>
    <w:pPr>
      <w:jc w:val="left"/>
    </w:pPr>
    <w:rPr>
      <w:u w:val="none"/>
    </w:rPr>
  </w:style>
  <w:style w:type="character" w:customStyle="1" w:styleId="44">
    <w:name w:val="font21"/>
    <w:basedOn w:val="22"/>
    <w:qFormat/>
    <w:uiPriority w:val="0"/>
    <w:rPr>
      <w:rFonts w:hint="default" w:ascii="Tahoma" w:hAnsi="Tahoma" w:eastAsia="Tahoma" w:cs="Tahoma"/>
      <w:color w:val="000000"/>
      <w:sz w:val="22"/>
      <w:szCs w:val="22"/>
      <w:u w:val="none"/>
    </w:rPr>
  </w:style>
  <w:style w:type="character" w:customStyle="1" w:styleId="45">
    <w:name w:val="font01"/>
    <w:basedOn w:val="22"/>
    <w:qFormat/>
    <w:uiPriority w:val="0"/>
    <w:rPr>
      <w:rFonts w:hint="eastAsia" w:ascii="宋体" w:hAnsi="宋体" w:eastAsia="宋体" w:cs="宋体"/>
      <w:color w:val="000000"/>
      <w:sz w:val="22"/>
      <w:szCs w:val="22"/>
      <w:u w:val="none"/>
    </w:rPr>
  </w:style>
  <w:style w:type="character" w:customStyle="1" w:styleId="46">
    <w:name w:val="批注文字 字符"/>
    <w:basedOn w:val="22"/>
    <w:link w:val="7"/>
    <w:qFormat/>
    <w:uiPriority w:val="0"/>
    <w:rPr>
      <w:rFonts w:ascii="Calibri Light" w:hAnsi="Calibri Light" w:eastAsia="华文仿宋" w:cs="Calibri Light"/>
      <w:kern w:val="2"/>
      <w:sz w:val="28"/>
      <w:szCs w:val="28"/>
    </w:rPr>
  </w:style>
  <w:style w:type="character" w:customStyle="1" w:styleId="47">
    <w:name w:val="批注主题 字符"/>
    <w:basedOn w:val="46"/>
    <w:link w:val="18"/>
    <w:qFormat/>
    <w:uiPriority w:val="0"/>
    <w:rPr>
      <w:rFonts w:ascii="Calibri Light" w:hAnsi="Calibri Light" w:eastAsia="华文仿宋" w:cs="Calibri Light"/>
      <w:b/>
      <w:bCs/>
      <w:kern w:val="2"/>
      <w:sz w:val="28"/>
      <w:szCs w:val="28"/>
    </w:rPr>
  </w:style>
  <w:style w:type="character" w:customStyle="1" w:styleId="48">
    <w:name w:val="批注框文本 字符"/>
    <w:basedOn w:val="22"/>
    <w:link w:val="12"/>
    <w:qFormat/>
    <w:uiPriority w:val="0"/>
    <w:rPr>
      <w:rFonts w:ascii="Calibri Light" w:hAnsi="Calibri Light" w:eastAsia="华文仿宋" w:cs="Calibri Light"/>
      <w:kern w:val="2"/>
      <w:sz w:val="18"/>
      <w:szCs w:val="18"/>
    </w:rPr>
  </w:style>
  <w:style w:type="paragraph" w:styleId="49">
    <w:name w:val="List Paragraph"/>
    <w:basedOn w:val="1"/>
    <w:qFormat/>
    <w:uiPriority w:val="34"/>
    <w:pPr>
      <w:ind w:firstLine="420" w:firstLineChars="200"/>
    </w:pPr>
  </w:style>
  <w:style w:type="table" w:customStyle="1" w:styleId="5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24539</Words>
  <Characters>25630</Characters>
  <Lines>245</Lines>
  <Paragraphs>68</Paragraphs>
  <TotalTime>39</TotalTime>
  <ScaleCrop>false</ScaleCrop>
  <LinksUpToDate>false</LinksUpToDate>
  <CharactersWithSpaces>26249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lenovo</cp:lastModifiedBy>
  <cp:lastPrinted>2023-02-08T07:59:00Z</cp:lastPrinted>
  <dcterms:modified xsi:type="dcterms:W3CDTF">2023-04-11T08:04:41Z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C1863EAD3B154342B8010F7CF7AB9BA7</vt:lpwstr>
  </property>
</Properties>
</file>