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bookmarkStart w:id="442" w:name="_GoBack"/>
      <w:bookmarkEnd w:id="442"/>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5"/>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陕西省汉中体育运动学校物业服务采购项目</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汉采FW【2023】14号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2"/>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5</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24</w:t>
      </w:r>
      <w:r>
        <w:rPr>
          <w:rFonts w:hint="eastAsia" w:ascii="仿宋_GB2312" w:hAnsi="仿宋_GB2312" w:eastAsia="仿宋_GB2312" w:cs="仿宋_GB2312"/>
          <w:b w:val="0"/>
          <w:bCs w:val="0"/>
          <w:color w:val="auto"/>
          <w:sz w:val="44"/>
          <w:szCs w:val="44"/>
        </w:rPr>
        <w:t>日</w:t>
      </w:r>
      <w:bookmarkStart w:id="0" w:name="_Toc30102_WPSOffice_Level1"/>
      <w:bookmarkStart w:id="1" w:name="_Toc10222_WPSOffice_Level1"/>
      <w:bookmarkStart w:id="2" w:name="_Toc30340_WPSOffice_Level1"/>
    </w:p>
    <w:p>
      <w:pPr>
        <w:pStyle w:val="2"/>
        <w:rPr>
          <w:rFonts w:hint="eastAsia"/>
          <w:color w:val="auto"/>
        </w:rPr>
      </w:pPr>
    </w:p>
    <w:p>
      <w:pPr>
        <w:pStyle w:val="14"/>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2"/>
        <w:rPr>
          <w:color w:val="auto"/>
          <w:highlight w:val="yellow"/>
        </w:rPr>
      </w:pP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29</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p>
    <w:p>
      <w:pPr>
        <w:pStyle w:val="14"/>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42</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49</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26235"/>
      <w:bookmarkStart w:id="4" w:name="_Toc21489"/>
      <w:bookmarkStart w:id="5" w:name="_Toc565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0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陕西省汉中体育运动学校物业服务</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6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14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0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28359089"/>
      <w:bookmarkStart w:id="8" w:name="_Toc28840"/>
      <w:bookmarkStart w:id="9" w:name="_Toc35393629"/>
      <w:bookmarkStart w:id="10" w:name="_Toc28359012"/>
      <w:bookmarkStart w:id="11" w:name="_Toc35393798"/>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FW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陕西省汉中体育运动学校物业服务采购项目</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预算金额：</w:t>
      </w:r>
      <w:r>
        <w:rPr>
          <w:rFonts w:hint="eastAsia" w:ascii="仿宋_GB2312" w:hAnsi="仿宋_GB2312" w:eastAsia="仿宋_GB2312" w:cs="仿宋_GB2312"/>
          <w:color w:val="auto"/>
          <w:sz w:val="28"/>
          <w:szCs w:val="28"/>
          <w:highlight w:val="none"/>
          <w:lang w:val="en-US" w:eastAsia="zh-CN"/>
        </w:rPr>
        <w:t>45</w:t>
      </w:r>
      <w:r>
        <w:rPr>
          <w:rFonts w:hint="eastAsia" w:ascii="仿宋_GB2312" w:hAnsi="仿宋_GB2312" w:eastAsia="仿宋_GB2312" w:cs="仿宋_GB2312"/>
          <w:color w:val="auto"/>
          <w:sz w:val="28"/>
          <w:szCs w:val="28"/>
          <w:lang w:val="en-US" w:eastAsia="zh-CN"/>
        </w:rPr>
        <w:t>万元</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sz w:val="28"/>
          <w:szCs w:val="28"/>
          <w:lang w:val="en-US" w:eastAsia="zh-CN"/>
        </w:rPr>
        <w:t>无</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采购需求：</w:t>
      </w:r>
      <w:r>
        <w:rPr>
          <w:rFonts w:hint="eastAsia" w:ascii="仿宋_GB2312" w:hAnsi="仿宋_GB2312" w:eastAsia="仿宋_GB2312" w:cs="仿宋_GB2312"/>
          <w:color w:val="auto"/>
          <w:sz w:val="28"/>
          <w:szCs w:val="28"/>
          <w:lang w:val="en-US" w:eastAsia="zh-CN"/>
        </w:rPr>
        <w:t>物业服务须配备工作人员15名，其中现场管理人员1名，保安4名，保洁3名，宿管5名，水电工1名，消防检测人员1名（可兼职）。</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合同履行期限：</w:t>
      </w:r>
      <w:r>
        <w:rPr>
          <w:rFonts w:hint="eastAsia" w:ascii="仿宋_GB2312" w:hAnsi="仿宋_GB2312" w:eastAsia="仿宋_GB2312" w:cs="仿宋_GB2312"/>
          <w:color w:val="auto"/>
          <w:sz w:val="28"/>
          <w:szCs w:val="28"/>
          <w:highlight w:val="none"/>
          <w:lang w:val="en-US" w:eastAsia="zh-CN"/>
        </w:rPr>
        <w:t>一年。</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35393799"/>
      <w:bookmarkStart w:id="13" w:name="_Toc28359013"/>
      <w:bookmarkStart w:id="14" w:name="_Toc3608"/>
      <w:bookmarkStart w:id="15" w:name="_Toc35393630"/>
      <w:bookmarkStart w:id="16" w:name="_Toc28359090"/>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91"/>
      <w:bookmarkStart w:id="18" w:name="_Toc28359014"/>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本项目</w:t>
      </w:r>
      <w:r>
        <w:rPr>
          <w:rFonts w:hint="eastAsia" w:ascii="仿宋_GB2312" w:hAnsi="仿宋_GB2312" w:eastAsia="仿宋_GB2312" w:cs="仿宋_GB2312"/>
          <w:color w:val="auto"/>
          <w:sz w:val="28"/>
          <w:szCs w:val="28"/>
          <w:highlight w:val="none"/>
          <w:u w:val="none"/>
          <w:lang w:val="en-US" w:eastAsia="zh-CN"/>
        </w:rPr>
        <w:t>专门面向中小企业采购，供应商应为中小微企业，磋商时须提供《中小企业声明函》（按第五章格式填写）。本项目采购标的对应的中小企业划分标准所属行业为：物业管理。</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29259"/>
      <w:bookmarkStart w:id="20" w:name="_Toc35393800"/>
      <w:bookmarkStart w:id="21" w:name="_Toc35393631"/>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0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5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25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w:t>
      </w:r>
      <w:r>
        <w:rPr>
          <w:rFonts w:hint="eastAsia" w:ascii="仿宋_GB2312" w:hAnsi="仿宋_GB2312" w:eastAsia="仿宋_GB2312" w:cs="仿宋_GB2312"/>
          <w:color w:val="auto"/>
          <w:sz w:val="28"/>
          <w:szCs w:val="28"/>
          <w:highlight w:val="none"/>
          <w:u w:val="single"/>
          <w:lang w:val="en-US" w:eastAsia="zh-CN"/>
        </w:rPr>
        <w:t xml:space="preserve">5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31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0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0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0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28359092"/>
      <w:bookmarkStart w:id="23" w:name="_Toc35393632"/>
      <w:bookmarkStart w:id="24" w:name="_Toc28359015"/>
      <w:bookmarkStart w:id="25" w:name="_Toc859"/>
      <w:bookmarkStart w:id="26" w:name="_Toc35393801"/>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6</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14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2165"/>
      <w:bookmarkStart w:id="28" w:name="_Toc35393802"/>
      <w:bookmarkStart w:id="29" w:name="_Toc28359093"/>
      <w:bookmarkStart w:id="30" w:name="_Toc35393633"/>
      <w:bookmarkStart w:id="31" w:name="_Toc28359016"/>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6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14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35393803"/>
      <w:bookmarkStart w:id="33" w:name="_Toc28359017"/>
      <w:bookmarkStart w:id="34" w:name="_Toc4869"/>
      <w:bookmarkStart w:id="35" w:name="_Toc28359094"/>
      <w:bookmarkStart w:id="36" w:name="_Toc35393634"/>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35393804"/>
      <w:bookmarkStart w:id="38" w:name="_Toc24605"/>
      <w:bookmarkStart w:id="39" w:name="_Toc35393635"/>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0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0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28359018"/>
      <w:bookmarkStart w:id="41" w:name="_Toc35393805"/>
      <w:bookmarkStart w:id="42" w:name="_Toc35393636"/>
      <w:bookmarkStart w:id="43" w:name="_Toc28359095"/>
      <w:bookmarkStart w:id="44" w:name="_Toc17247"/>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0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28359096"/>
      <w:bookmarkStart w:id="46" w:name="_Toc35393637"/>
      <w:bookmarkStart w:id="47" w:name="_Toc35393806"/>
      <w:bookmarkStart w:id="48" w:name="_Toc9063"/>
      <w:bookmarkStart w:id="49" w:name="_Toc28359019"/>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00" w:lineRule="exact"/>
        <w:ind w:firstLine="849" w:firstLineChars="300"/>
        <w:jc w:val="left"/>
        <w:textAlignment w:val="auto"/>
        <w:rPr>
          <w:rFonts w:hint="eastAsia" w:ascii="仿宋_GB2312" w:hAnsi="仿宋_GB2312" w:eastAsia="仿宋_GB2312" w:cs="仿宋_GB2312"/>
          <w:color w:val="auto"/>
          <w:sz w:val="28"/>
          <w:szCs w:val="28"/>
        </w:rPr>
      </w:pPr>
      <w:bookmarkStart w:id="50" w:name="_Toc35393638"/>
      <w:bookmarkStart w:id="51" w:name="_Toc35393807"/>
      <w:bookmarkStart w:id="52" w:name="_Toc28359020"/>
      <w:bookmarkStart w:id="53" w:name="_Toc28359097"/>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陕西省汉中体育运动学校 </w:t>
      </w:r>
      <w:r>
        <w:rPr>
          <w:rFonts w:hint="eastAsia" w:ascii="仿宋_GB2312" w:hAnsi="仿宋_GB2312" w:eastAsia="仿宋_GB2312" w:cs="仿宋_GB2312"/>
          <w:color w:val="auto"/>
          <w:sz w:val="28"/>
          <w:szCs w:val="28"/>
          <w:highlight w:val="none"/>
          <w:u w:val="single"/>
        </w:rPr>
        <w:t>　</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汉中市汉台区前进西路 </w:t>
      </w:r>
      <w:r>
        <w:rPr>
          <w:rFonts w:hint="eastAsia" w:ascii="仿宋_GB2312" w:hAnsi="仿宋_GB2312" w:eastAsia="仿宋_GB2312" w:cs="仿宋_GB2312"/>
          <w:color w:val="auto"/>
          <w:sz w:val="28"/>
          <w:szCs w:val="28"/>
          <w:u w:val="single"/>
        </w:rPr>
        <w:t>　</w:t>
      </w:r>
    </w:p>
    <w:p>
      <w:pPr>
        <w:keepNext w:val="0"/>
        <w:keepLines w:val="0"/>
        <w:pageBreakBefore w:val="0"/>
        <w:widowControl w:val="0"/>
        <w:kinsoku/>
        <w:wordWrap/>
        <w:overflowPunct/>
        <w:topLinePunct w:val="0"/>
        <w:autoSpaceDE/>
        <w:autoSpaceDN/>
        <w:bidi w:val="0"/>
        <w:adjustRightInd/>
        <w:snapToGrid/>
        <w:spacing w:line="500" w:lineRule="exact"/>
        <w:ind w:firstLine="849" w:firstLineChars="3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13892628802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0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0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28359098"/>
      <w:bookmarkStart w:id="56" w:name="_Toc6426"/>
      <w:bookmarkStart w:id="57" w:name="_Toc35393808"/>
      <w:bookmarkStart w:id="58" w:name="_Toc35393639"/>
      <w:bookmarkStart w:id="59" w:name="_Toc28359021"/>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9"/>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0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pageBreakBefore w:val="0"/>
        <w:kinsoku/>
        <w:wordWrap/>
        <w:overflowPunct/>
        <w:topLinePunct w:val="0"/>
        <w:bidi w:val="0"/>
        <w:snapToGrid/>
        <w:spacing w:line="500" w:lineRule="exact"/>
        <w:textAlignment w:val="auto"/>
        <w:rPr>
          <w:rFonts w:ascii="黑体" w:hAnsi="黑体" w:eastAsia="黑体"/>
          <w:color w:val="auto"/>
          <w:sz w:val="32"/>
          <w:szCs w:val="32"/>
        </w:rPr>
      </w:pPr>
      <w:r>
        <w:rPr>
          <w:color w:val="auto"/>
          <w:sz w:val="28"/>
          <w:szCs w:val="28"/>
        </w:rPr>
        <w:br w:type="page"/>
      </w:r>
      <w:bookmarkStart w:id="60" w:name="_Toc445306492"/>
      <w:bookmarkStart w:id="61" w:name="_Toc495012770"/>
      <w:bookmarkStart w:id="62" w:name="_Toc4326"/>
      <w:bookmarkStart w:id="63" w:name="_Toc22804_WPSOffice_Level1"/>
      <w:bookmarkStart w:id="64" w:name="_Toc495014610"/>
      <w:bookmarkStart w:id="65" w:name="_Toc495014953"/>
      <w:bookmarkStart w:id="66" w:name="_Toc495014584"/>
      <w:bookmarkStart w:id="67" w:name="_Toc9601"/>
      <w:bookmarkStart w:id="68" w:name="_Toc495014919"/>
      <w:bookmarkStart w:id="69" w:name="_Toc15046_WPSOffice_Level1"/>
      <w:bookmarkStart w:id="70" w:name="_Toc10140"/>
      <w:bookmarkStart w:id="71" w:name="_Toc495014648"/>
      <w:bookmarkStart w:id="72" w:name="_Toc19337_WPSOffice_Level1"/>
      <w:bookmarkStart w:id="73" w:name="_Toc495012820"/>
      <w:bookmarkStart w:id="74" w:name="_Toc7814"/>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75" w:name="_Toc18466_WPSOffice_Level2"/>
      <w:bookmarkStart w:id="76" w:name="_Toc23184"/>
      <w:bookmarkStart w:id="77" w:name="_Toc3858_WPSOffice_Level2"/>
      <w:bookmarkStart w:id="78" w:name="_Toc24451_WPSOffice_Level2"/>
      <w:bookmarkStart w:id="79" w:name="_Toc16238"/>
      <w:bookmarkStart w:id="80" w:name="_Toc3062"/>
      <w:bookmarkStart w:id="81" w:name="_Toc12337"/>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 xml:space="preserve">陕西省汉中体育运动学校 </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86" w:name="_Toc9291"/>
      <w:bookmarkStart w:id="87" w:name="_Toc4606"/>
      <w:bookmarkStart w:id="88" w:name="_Toc27278_WPSOffice_Level2"/>
      <w:bookmarkStart w:id="89" w:name="_Toc20906_WPSOffice_Level2"/>
      <w:bookmarkStart w:id="90" w:name="_Toc11745_WPSOffice_Level2"/>
      <w:bookmarkStart w:id="91" w:name="_Toc24646"/>
      <w:bookmarkStart w:id="92" w:name="_Toc13654"/>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93" w:name="_Toc26982_WPSOffice_Level3"/>
      <w:bookmarkStart w:id="94" w:name="_Toc21291"/>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本项目专门面向</w:t>
      </w:r>
      <w:r>
        <w:rPr>
          <w:rFonts w:hint="eastAsia" w:ascii="仿宋_GB2312" w:hAnsi="仿宋_GB2312" w:eastAsia="仿宋_GB2312" w:cs="仿宋_GB2312"/>
          <w:b/>
          <w:bCs/>
          <w:color w:val="auto"/>
          <w:sz w:val="28"/>
          <w:szCs w:val="28"/>
          <w:lang w:val="en-US" w:eastAsia="zh-CN"/>
        </w:rPr>
        <w:t>中小</w:t>
      </w:r>
      <w:r>
        <w:rPr>
          <w:rFonts w:hint="eastAsia" w:ascii="仿宋_GB2312" w:hAnsi="仿宋_GB2312" w:eastAsia="仿宋_GB2312" w:cs="仿宋_GB2312"/>
          <w:b/>
          <w:bCs/>
          <w:color w:val="auto"/>
          <w:sz w:val="28"/>
          <w:szCs w:val="28"/>
        </w:rPr>
        <w:t>企业采购，不再执行价格评审优惠扶持政策；本项目采购标的对应的中小企业划分标准所属行业为：</w:t>
      </w:r>
      <w:r>
        <w:rPr>
          <w:rFonts w:hint="eastAsia" w:ascii="仿宋_GB2312" w:hAnsi="仿宋_GB2312" w:eastAsia="仿宋_GB2312" w:cs="仿宋_GB2312"/>
          <w:b/>
          <w:bCs/>
          <w:color w:val="auto"/>
          <w:sz w:val="28"/>
          <w:szCs w:val="28"/>
          <w:lang w:val="en-US" w:eastAsia="zh-CN"/>
        </w:rPr>
        <w:t>物业管理</w:t>
      </w:r>
      <w:r>
        <w:rPr>
          <w:rFonts w:hint="eastAsia" w:ascii="仿宋_GB2312" w:hAnsi="仿宋_GB2312" w:eastAsia="仿宋_GB2312" w:cs="仿宋_GB2312"/>
          <w:b/>
          <w:bCs/>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中小企业中标（成交）的采购项目。在控制履约风险的前提下合同约定首付款比例一般不低于60%，累计付款次数不超过3次。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bookmarkEnd w:id="98"/>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99" w:name="_Toc9976"/>
      <w:bookmarkStart w:id="100" w:name="_Toc2960"/>
      <w:bookmarkStart w:id="101" w:name="_Toc17868_WPSOffice_Level2"/>
      <w:bookmarkStart w:id="102" w:name="_Toc10768_WPSOffice_Level2"/>
      <w:bookmarkStart w:id="103" w:name="_Toc30436"/>
      <w:bookmarkStart w:id="104" w:name="_Toc3130"/>
      <w:bookmarkStart w:id="105" w:name="_Toc8798_WPSOffice_Level2"/>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29"/>
          <w:rFonts w:hint="eastAsia" w:ascii="仿宋_GB2312" w:hAnsi="仿宋_GB2312" w:eastAsia="仿宋_GB2312" w:cs="仿宋_GB2312"/>
          <w:color w:val="auto"/>
          <w:sz w:val="28"/>
          <w:szCs w:val="28"/>
        </w:rPr>
        <w:t>陕西省政府采购网</w:t>
      </w:r>
      <w:r>
        <w:rPr>
          <w:rStyle w:val="29"/>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10" w:name="_Toc20873_WPSOffice_Level2"/>
      <w:bookmarkStart w:id="111" w:name="_Toc30415"/>
      <w:bookmarkStart w:id="112" w:name="_Toc19768_WPSOffice_Level2"/>
      <w:bookmarkStart w:id="113" w:name="_Toc13064"/>
      <w:bookmarkStart w:id="114" w:name="_Toc22501_WPSOffice_Level2"/>
      <w:bookmarkStart w:id="115" w:name="_Toc3559"/>
      <w:bookmarkStart w:id="116" w:name="_Toc30095"/>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17" w:name="_Toc14959_WPSOffice_Level2"/>
      <w:bookmarkStart w:id="118" w:name="_Toc12154"/>
      <w:bookmarkStart w:id="119" w:name="_Toc29669_WPSOffice_Level2"/>
      <w:bookmarkStart w:id="120" w:name="_Toc14979"/>
      <w:bookmarkStart w:id="121" w:name="_Toc20041_WPSOffice_Level2"/>
      <w:bookmarkStart w:id="122" w:name="_Toc11009"/>
      <w:bookmarkStart w:id="123" w:name="_Toc666"/>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7898_WPSOffice_Level2"/>
      <w:bookmarkStart w:id="125" w:name="_Toc18733_WPSOffice_Level2"/>
      <w:bookmarkStart w:id="126" w:name="_Toc30535_WPSOffice_Level2"/>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1164"/>
      <w:bookmarkStart w:id="129" w:name="_Toc18427_WPSOffice_Level3"/>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30" w:name="_Toc24468"/>
      <w:bookmarkStart w:id="131" w:name="_Toc15608"/>
      <w:bookmarkStart w:id="132" w:name="_Toc6095"/>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33" w:name="_Toc10744"/>
      <w:bookmarkStart w:id="134" w:name="_Toc7022"/>
      <w:bookmarkStart w:id="135" w:name="_Toc595"/>
      <w:bookmarkStart w:id="136" w:name="_Toc6837"/>
      <w:bookmarkStart w:id="137" w:name="_Toc28054"/>
      <w:bookmarkStart w:id="138" w:name="_Toc8003"/>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2"/>
        <w:pageBreakBefore w:val="0"/>
        <w:widowControl/>
        <w:kinsoku/>
        <w:overflowPunct/>
        <w:topLinePunct w:val="0"/>
        <w:autoSpaceDE/>
        <w:autoSpaceDN/>
        <w:bidi w:val="0"/>
        <w:adjustRightInd/>
        <w:snapToGrid/>
        <w:spacing w:after="0"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0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2"/>
        <w:pageBreakBefore w:val="0"/>
        <w:widowControl/>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8460"/>
      <w:bookmarkStart w:id="141" w:name="_Toc8349"/>
      <w:bookmarkStart w:id="142" w:name="_Toc31720"/>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6"/>
        <w:pageBreakBefore w:val="0"/>
        <w:widowControl/>
        <w:kinsoku/>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6"/>
        <w:pageBreakBefore w:val="0"/>
        <w:widowControl/>
        <w:kinsoku/>
        <w:overflowPunct/>
        <w:topLinePunct w:val="0"/>
        <w:autoSpaceDE/>
        <w:autoSpaceDN/>
        <w:bidi w:val="0"/>
        <w:adjustRightInd/>
        <w:snapToGrid/>
        <w:spacing w:beforeAutospacing="0" w:afterAutospacing="0" w:line="50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6"/>
        <w:pageBreakBefore w:val="0"/>
        <w:widowControl/>
        <w:kinsoku/>
        <w:overflowPunct/>
        <w:topLinePunct w:val="0"/>
        <w:autoSpaceDE/>
        <w:autoSpaceDN/>
        <w:bidi w:val="0"/>
        <w:adjustRightInd/>
        <w:snapToGrid/>
        <w:spacing w:beforeAutospacing="0" w:afterAutospacing="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0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pageBreakBefore w:val="0"/>
        <w:kinsoku/>
        <w:overflowPunct/>
        <w:topLinePunct w:val="0"/>
        <w:bidi w:val="0"/>
        <w:spacing w:line="50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19"/>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kern w:val="28"/>
                <w:sz w:val="28"/>
                <w:szCs w:val="28"/>
                <w:highlight w:val="none"/>
              </w:rPr>
              <w:t>落实政府采购政策需满足的资格要求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本项目专门面向中小企业采购，供应商应为中小微企业，磋商时须提供《中小企业声明函》（按第五章格式填写）。本项目采购标的对应的中小企业划分标准所属行业为：</w:t>
            </w:r>
            <w:r>
              <w:rPr>
                <w:rFonts w:hint="eastAsia" w:ascii="仿宋_GB2312" w:hAnsi="仿宋_GB2312" w:eastAsia="仿宋_GB2312" w:cs="仿宋_GB2312"/>
                <w:color w:val="auto"/>
                <w:sz w:val="28"/>
                <w:szCs w:val="28"/>
                <w:highlight w:val="none"/>
                <w:lang w:val="en-US" w:eastAsia="zh-CN"/>
              </w:rPr>
              <w:t>物业管理</w:t>
            </w:r>
            <w:r>
              <w:rPr>
                <w:rFonts w:hint="eastAsia" w:ascii="仿宋_GB2312" w:hAnsi="仿宋_GB2312" w:eastAsia="仿宋_GB2312" w:cs="仿宋_GB2312"/>
                <w:color w:val="auto"/>
                <w:sz w:val="28"/>
                <w:szCs w:val="28"/>
                <w:highlight w:val="none"/>
              </w:rPr>
              <w:t>。</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pageBreakBefore w:val="0"/>
        <w:kinsoku/>
        <w:overflowPunct/>
        <w:topLinePunct w:val="0"/>
        <w:bidi w:val="0"/>
        <w:spacing w:line="500" w:lineRule="exact"/>
        <w:textAlignment w:val="auto"/>
        <w:rPr>
          <w:rFonts w:ascii="Calibri" w:hAnsi="Calibri"/>
          <w:b/>
          <w:bCs/>
          <w:color w:val="auto"/>
          <w:sz w:val="28"/>
          <w:szCs w:val="28"/>
        </w:rPr>
      </w:pP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2"/>
        <w:keepNext w:val="0"/>
        <w:keepLines w:val="0"/>
        <w:pageBreakBefore w:val="0"/>
        <w:kinsoku/>
        <w:wordWrap/>
        <w:overflowPunct/>
        <w:topLinePunct w:val="0"/>
        <w:autoSpaceDE/>
        <w:autoSpaceDN/>
        <w:bidi w:val="0"/>
        <w:adjustRightInd/>
        <w:spacing w:after="0"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2"/>
        <w:keepNext w:val="0"/>
        <w:keepLines w:val="0"/>
        <w:pageBreakBefore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pageBreakBefore w:val="0"/>
        <w:kinsoku/>
        <w:overflowPunct/>
        <w:topLinePunct w:val="0"/>
        <w:bidi w:val="0"/>
        <w:spacing w:line="500" w:lineRule="exact"/>
        <w:ind w:firstLine="566" w:firstLineChars="20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1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518"/>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18"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1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18"/>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pageBreakBefore w:val="0"/>
        <w:kinsoku/>
        <w:overflowPunct/>
        <w:topLinePunct w:val="0"/>
        <w:bidi w:val="0"/>
        <w:spacing w:line="500" w:lineRule="exact"/>
        <w:ind w:firstLine="566" w:firstLineChars="20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pageBreakBefore w:val="0"/>
        <w:kinsoku/>
        <w:overflowPunct/>
        <w:topLinePunct w:val="0"/>
        <w:bidi w:val="0"/>
        <w:spacing w:line="500" w:lineRule="exact"/>
        <w:ind w:firstLine="566" w:firstLineChars="200"/>
        <w:contextualSpacing/>
        <w:textAlignment w:val="auto"/>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pageBreakBefore w:val="0"/>
        <w:kinsoku/>
        <w:overflowPunct/>
        <w:topLinePunct w:val="0"/>
        <w:bidi w:val="0"/>
        <w:spacing w:after="190" w:afterLines="50" w:line="500" w:lineRule="exact"/>
        <w:jc w:val="center"/>
        <w:textAlignment w:val="auto"/>
        <w:rPr>
          <w:rFonts w:hint="eastAsia" w:ascii="仿宋_GB2312" w:hAnsi="仿宋_GB2312" w:eastAsia="仿宋_GB2312" w:cs="仿宋_GB2312"/>
          <w:b/>
          <w:bCs/>
          <w:color w:val="auto"/>
          <w:sz w:val="28"/>
          <w:szCs w:val="28"/>
        </w:rPr>
      </w:pPr>
      <w:bookmarkStart w:id="149" w:name="_Toc9626"/>
      <w:bookmarkStart w:id="150" w:name="_Toc27187"/>
      <w:bookmarkStart w:id="151" w:name="_Toc27797"/>
      <w:bookmarkStart w:id="152" w:name="_Toc2392"/>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1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0"/>
        <w:gridCol w:w="826"/>
        <w:gridCol w:w="787"/>
        <w:gridCol w:w="2115"/>
        <w:gridCol w:w="2725"/>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831"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项别</w:t>
            </w:r>
          </w:p>
        </w:tc>
        <w:tc>
          <w:tcPr>
            <w:tcW w:w="1613"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w:t>
            </w:r>
          </w:p>
        </w:tc>
        <w:tc>
          <w:tcPr>
            <w:tcW w:w="4840" w:type="dxa"/>
            <w:gridSpan w:val="2"/>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评审要素</w:t>
            </w:r>
          </w:p>
        </w:tc>
        <w:tc>
          <w:tcPr>
            <w:tcW w:w="1469"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91"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84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总分值100</w:t>
            </w:r>
          </w:p>
        </w:tc>
        <w:tc>
          <w:tcPr>
            <w:tcW w:w="826"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分项最高分值</w:t>
            </w:r>
          </w:p>
        </w:tc>
        <w:tc>
          <w:tcPr>
            <w:tcW w:w="4840" w:type="dxa"/>
            <w:gridSpan w:val="2"/>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91"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84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0分</w:t>
            </w:r>
          </w:p>
        </w:tc>
        <w:tc>
          <w:tcPr>
            <w:tcW w:w="826"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w:t>
            </w:r>
          </w:p>
        </w:tc>
        <w:tc>
          <w:tcPr>
            <w:tcW w:w="4840" w:type="dxa"/>
            <w:gridSpan w:val="2"/>
          </w:tcPr>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有效供应商最低报价为基准价得</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分，其他各供应商的报价得分按下列公式计算：</w:t>
            </w:r>
          </w:p>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rPr>
              <w:t>（基准价/磋商报价）×</w:t>
            </w: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0</w:t>
            </w:r>
            <w:r>
              <w:rPr>
                <w:rFonts w:hint="eastAsia" w:ascii="仿宋_GB2312" w:hAnsi="仿宋_GB2312" w:eastAsia="仿宋_GB2312" w:cs="仿宋_GB2312"/>
                <w:b/>
                <w:bCs/>
                <w:color w:val="auto"/>
                <w:sz w:val="28"/>
                <w:szCs w:val="28"/>
                <w:lang w:eastAsia="zh-CN"/>
              </w:rPr>
              <w:t>。</w:t>
            </w:r>
          </w:p>
        </w:tc>
        <w:tc>
          <w:tcPr>
            <w:tcW w:w="1469" w:type="dxa"/>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991"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服务方案</w:t>
            </w:r>
          </w:p>
        </w:tc>
        <w:tc>
          <w:tcPr>
            <w:tcW w:w="84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w:t>
            </w:r>
          </w:p>
        </w:tc>
        <w:tc>
          <w:tcPr>
            <w:tcW w:w="826"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日常实施方案</w:t>
            </w:r>
          </w:p>
        </w:tc>
        <w:tc>
          <w:tcPr>
            <w:tcW w:w="787"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36</w:t>
            </w:r>
          </w:p>
        </w:tc>
        <w:tc>
          <w:tcPr>
            <w:tcW w:w="484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针对本项目要求，制定物业服务的日常实施方案，根据方案的全面性、针对性、合理性、可操作性，对各项实施方案进行综合打分：</w:t>
            </w:r>
          </w:p>
        </w:tc>
        <w:tc>
          <w:tcPr>
            <w:tcW w:w="1469"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服务方案不得赋满分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1"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82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787"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2115"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（一）现场管理工作实施方案</w:t>
            </w:r>
          </w:p>
        </w:tc>
        <w:tc>
          <w:tcPr>
            <w:tcW w:w="2725"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1、实施方案全面具体、针对性强，管理责任清晰，服务标准高，可操作性强，得5-6分；</w:t>
            </w:r>
          </w:p>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2、实施方案全面性一般、欠缺针对性，管理责任略有划分，服务标准较低，可操作性一般，得3-4分；</w:t>
            </w:r>
          </w:p>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3、实施方案内容笼统、针对性差，管理责任欠缺清晰，服务标准低，可行性较差，得1-2分。</w:t>
            </w:r>
          </w:p>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4、不提供不得分。</w:t>
            </w:r>
          </w:p>
        </w:tc>
        <w:tc>
          <w:tcPr>
            <w:tcW w:w="1469"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1"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82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787"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rPr>
            </w:pPr>
          </w:p>
        </w:tc>
        <w:tc>
          <w:tcPr>
            <w:tcW w:w="2115"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（二）水电维修维护工作实施方案</w:t>
            </w:r>
          </w:p>
        </w:tc>
        <w:tc>
          <w:tcPr>
            <w:tcW w:w="2725"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1469"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1"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40"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2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787"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2115"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（三）消防维护工作实施方案</w:t>
            </w:r>
          </w:p>
        </w:tc>
        <w:tc>
          <w:tcPr>
            <w:tcW w:w="2725"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1469"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1"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40"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2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787"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2115"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（四）宿舍管理工作实施方案</w:t>
            </w:r>
          </w:p>
        </w:tc>
        <w:tc>
          <w:tcPr>
            <w:tcW w:w="2725"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1469"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1"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40"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2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787"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2115"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（五）保洁工作实施方案</w:t>
            </w:r>
          </w:p>
        </w:tc>
        <w:tc>
          <w:tcPr>
            <w:tcW w:w="2725"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1469"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1"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40"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826"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787"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2115" w:type="dxa"/>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（六）安保工作实施方案</w:t>
            </w:r>
          </w:p>
        </w:tc>
        <w:tc>
          <w:tcPr>
            <w:tcW w:w="2725"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c>
          <w:tcPr>
            <w:tcW w:w="1469" w:type="dxa"/>
            <w:vMerge w:val="continue"/>
            <w:vAlign w:val="center"/>
          </w:tcPr>
          <w:p>
            <w:pPr>
              <w:pStyle w:val="2"/>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9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大型活动方案</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840" w:type="dxa"/>
            <w:gridSpan w:val="2"/>
            <w:vAlign w:val="center"/>
          </w:tcPr>
          <w:p>
            <w:pPr>
              <w:pStyle w:val="2"/>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对响应人针对大型活动、学校迎新、重大会议、上级检查等的实施方案进行综合打分：</w:t>
            </w:r>
          </w:p>
          <w:p>
            <w:pPr>
              <w:pStyle w:val="2"/>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1、实施方案内容完整、合理科学、有针对性、可行性强，得5-6分；</w:t>
            </w:r>
          </w:p>
          <w:p>
            <w:pPr>
              <w:pStyle w:val="2"/>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2、实施方案内容较完整、较合理科学、有一定的针对性和可行性，得3-4分；</w:t>
            </w:r>
          </w:p>
          <w:p>
            <w:pPr>
              <w:pStyle w:val="2"/>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3、实施方案内容一般、合理科学性差、针对性、可行性不强，得1-2分；</w:t>
            </w:r>
          </w:p>
          <w:p>
            <w:pPr>
              <w:pStyle w:val="2"/>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4、不提供不得分。</w:t>
            </w: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9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应急预案</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840" w:type="dxa"/>
            <w:gridSpan w:val="2"/>
            <w:vAlign w:val="center"/>
          </w:tcPr>
          <w:p>
            <w:pPr>
              <w:keepNext w:val="0"/>
              <w:keepLines w:val="0"/>
              <w:pageBreakBefore w:val="0"/>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响应人需提供应对</w:t>
            </w:r>
            <w:r>
              <w:rPr>
                <w:rFonts w:hint="eastAsia" w:ascii="仿宋_GB2312" w:hAnsi="仿宋_GB2312" w:eastAsia="仿宋_GB2312" w:cs="仿宋_GB2312"/>
                <w:color w:val="auto"/>
                <w:sz w:val="28"/>
                <w:szCs w:val="28"/>
              </w:rPr>
              <w:t>突发</w:t>
            </w:r>
            <w:r>
              <w:rPr>
                <w:rFonts w:hint="eastAsia" w:ascii="仿宋_GB2312" w:hAnsi="仿宋_GB2312" w:eastAsia="仿宋_GB2312" w:cs="仿宋_GB2312"/>
                <w:color w:val="auto"/>
                <w:sz w:val="28"/>
                <w:szCs w:val="28"/>
                <w:lang w:val="en-US" w:eastAsia="zh-CN"/>
              </w:rPr>
              <w:t>事件（包括但不限于停水停电、火灾、打架斗殴等）的</w:t>
            </w:r>
            <w:r>
              <w:rPr>
                <w:rFonts w:hint="eastAsia" w:ascii="仿宋_GB2312" w:hAnsi="仿宋_GB2312" w:eastAsia="仿宋_GB2312" w:cs="仿宋_GB2312"/>
                <w:color w:val="auto"/>
                <w:sz w:val="28"/>
                <w:szCs w:val="28"/>
              </w:rPr>
              <w:t>应急预案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从</w:t>
            </w:r>
            <w:r>
              <w:rPr>
                <w:rFonts w:hint="eastAsia" w:ascii="仿宋_GB2312" w:hAnsi="仿宋_GB2312" w:eastAsia="仿宋_GB2312" w:cs="仿宋_GB2312"/>
                <w:color w:val="auto"/>
                <w:sz w:val="28"/>
                <w:szCs w:val="28"/>
              </w:rPr>
              <w:t>措施的有效性、可行性、针对性</w:t>
            </w:r>
            <w:r>
              <w:rPr>
                <w:rFonts w:hint="eastAsia" w:ascii="仿宋_GB2312" w:hAnsi="仿宋_GB2312" w:eastAsia="仿宋_GB2312" w:cs="仿宋_GB2312"/>
                <w:color w:val="auto"/>
                <w:sz w:val="28"/>
                <w:szCs w:val="28"/>
                <w:lang w:val="en-US" w:eastAsia="zh-CN"/>
              </w:rPr>
              <w:t>方面考虑，对应急预案</w:t>
            </w:r>
            <w:r>
              <w:rPr>
                <w:rFonts w:hint="eastAsia" w:ascii="仿宋_GB2312" w:hAnsi="仿宋_GB2312" w:eastAsia="仿宋_GB2312" w:cs="仿宋_GB2312"/>
                <w:color w:val="auto"/>
                <w:sz w:val="28"/>
                <w:szCs w:val="28"/>
              </w:rPr>
              <w:t>进行</w:t>
            </w:r>
            <w:r>
              <w:rPr>
                <w:rFonts w:hint="eastAsia" w:ascii="仿宋_GB2312" w:hAnsi="仿宋_GB2312" w:eastAsia="仿宋_GB2312" w:cs="仿宋_GB2312"/>
                <w:color w:val="auto"/>
                <w:sz w:val="28"/>
                <w:szCs w:val="28"/>
                <w:lang w:val="en-US" w:eastAsia="zh-CN"/>
              </w:rPr>
              <w:t>综合打分：</w:t>
            </w:r>
          </w:p>
          <w:p>
            <w:pPr>
              <w:keepNext w:val="0"/>
              <w:keepLines w:val="0"/>
              <w:pageBreakBefore w:val="0"/>
              <w:numPr>
                <w:ilvl w:val="0"/>
                <w:numId w:val="3"/>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各类情况考虑</w:t>
            </w:r>
            <w:r>
              <w:rPr>
                <w:rFonts w:hint="eastAsia" w:ascii="仿宋_GB2312" w:hAnsi="仿宋_GB2312" w:eastAsia="仿宋_GB2312" w:cs="仿宋_GB2312"/>
                <w:color w:val="auto"/>
                <w:sz w:val="28"/>
                <w:szCs w:val="28"/>
                <w:lang w:val="en-US" w:eastAsia="zh-CN"/>
              </w:rPr>
              <w:t>很</w:t>
            </w:r>
            <w:r>
              <w:rPr>
                <w:rFonts w:hint="eastAsia" w:ascii="仿宋_GB2312" w:hAnsi="仿宋_GB2312" w:eastAsia="仿宋_GB2312" w:cs="仿宋_GB2312"/>
                <w:color w:val="auto"/>
                <w:sz w:val="28"/>
                <w:szCs w:val="28"/>
              </w:rPr>
              <w:t>周全，措施得当，应急响应高效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得5-6分</w:t>
            </w:r>
            <w:r>
              <w:rPr>
                <w:rFonts w:hint="eastAsia" w:ascii="仿宋_GB2312" w:hAnsi="仿宋_GB2312" w:eastAsia="仿宋_GB2312" w:cs="仿宋_GB2312"/>
                <w:color w:val="auto"/>
                <w:sz w:val="28"/>
                <w:szCs w:val="28"/>
              </w:rPr>
              <w:t>；</w:t>
            </w:r>
          </w:p>
          <w:p>
            <w:pPr>
              <w:keepNext w:val="0"/>
              <w:keepLines w:val="0"/>
              <w:pageBreakBefore w:val="0"/>
              <w:numPr>
                <w:ilvl w:val="0"/>
                <w:numId w:val="3"/>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各类情况考虑较为周全，措施较为得当，能够保障应急需要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得3-4分；</w:t>
            </w:r>
          </w:p>
          <w:p>
            <w:pPr>
              <w:keepNext w:val="0"/>
              <w:keepLines w:val="0"/>
              <w:pageBreakBefore w:val="0"/>
              <w:numPr>
                <w:ilvl w:val="0"/>
                <w:numId w:val="3"/>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仅针对上述三种情况</w:t>
            </w:r>
            <w:r>
              <w:rPr>
                <w:rFonts w:hint="eastAsia" w:ascii="仿宋_GB2312" w:hAnsi="仿宋_GB2312" w:eastAsia="仿宋_GB2312" w:cs="仿宋_GB2312"/>
                <w:color w:val="auto"/>
                <w:sz w:val="28"/>
                <w:szCs w:val="28"/>
              </w:rPr>
              <w:t>提供</w:t>
            </w:r>
            <w:r>
              <w:rPr>
                <w:rFonts w:hint="eastAsia" w:ascii="仿宋_GB2312" w:hAnsi="仿宋_GB2312" w:eastAsia="仿宋_GB2312" w:cs="仿宋_GB2312"/>
                <w:color w:val="auto"/>
                <w:sz w:val="28"/>
                <w:szCs w:val="28"/>
                <w:lang w:val="en-US" w:eastAsia="zh-CN"/>
              </w:rPr>
              <w:t>了</w:t>
            </w:r>
            <w:r>
              <w:rPr>
                <w:rFonts w:hint="eastAsia" w:ascii="仿宋_GB2312" w:hAnsi="仿宋_GB2312" w:eastAsia="仿宋_GB2312" w:cs="仿宋_GB2312"/>
                <w:color w:val="auto"/>
                <w:sz w:val="28"/>
                <w:szCs w:val="28"/>
              </w:rPr>
              <w:t>一定的应对措施，基本能够保障应急所需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得1-2分</w:t>
            </w:r>
            <w:r>
              <w:rPr>
                <w:rFonts w:hint="eastAsia" w:ascii="仿宋_GB2312" w:hAnsi="仿宋_GB2312" w:eastAsia="仿宋_GB2312" w:cs="仿宋_GB2312"/>
                <w:color w:val="auto"/>
                <w:sz w:val="28"/>
                <w:szCs w:val="28"/>
              </w:rPr>
              <w:t>；</w:t>
            </w:r>
          </w:p>
          <w:p>
            <w:pPr>
              <w:keepNext w:val="0"/>
              <w:keepLines w:val="0"/>
              <w:pageBreakBefore w:val="0"/>
              <w:numPr>
                <w:ilvl w:val="0"/>
                <w:numId w:val="3"/>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不提供不得分。</w:t>
            </w: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9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管理制度</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840" w:type="dxa"/>
            <w:gridSpan w:val="2"/>
            <w:vAlign w:val="center"/>
          </w:tcPr>
          <w:p>
            <w:pPr>
              <w:keepNext w:val="0"/>
              <w:keepLines w:val="0"/>
              <w:pageBreakBefore w:val="0"/>
              <w:widowControl/>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对响应人</w:t>
            </w:r>
            <w:r>
              <w:rPr>
                <w:rFonts w:hint="eastAsia" w:ascii="仿宋_GB2312" w:hAnsi="仿宋_GB2312" w:eastAsia="仿宋_GB2312" w:cs="仿宋_GB2312"/>
                <w:color w:val="auto"/>
                <w:sz w:val="28"/>
                <w:szCs w:val="28"/>
              </w:rPr>
              <w:t>管理规章制度（包括</w:t>
            </w:r>
            <w:r>
              <w:rPr>
                <w:rFonts w:hint="eastAsia" w:ascii="仿宋_GB2312" w:hAnsi="仿宋_GB2312" w:eastAsia="仿宋_GB2312" w:cs="仿宋_GB2312"/>
                <w:color w:val="auto"/>
                <w:sz w:val="28"/>
                <w:szCs w:val="28"/>
                <w:lang w:val="en-US" w:eastAsia="zh-CN"/>
              </w:rPr>
              <w:t>但不限于</w:t>
            </w:r>
            <w:r>
              <w:rPr>
                <w:rFonts w:hint="eastAsia" w:ascii="仿宋_GB2312" w:hAnsi="仿宋_GB2312" w:eastAsia="仿宋_GB2312" w:cs="仿宋_GB2312"/>
                <w:color w:val="auto"/>
                <w:sz w:val="28"/>
                <w:szCs w:val="28"/>
              </w:rPr>
              <w:t>岗位职责、工作流程、</w:t>
            </w:r>
            <w:r>
              <w:rPr>
                <w:rFonts w:hint="eastAsia" w:ascii="仿宋_GB2312" w:hAnsi="仿宋_GB2312" w:eastAsia="仿宋_GB2312" w:cs="仿宋_GB2312"/>
                <w:color w:val="auto"/>
                <w:sz w:val="28"/>
                <w:szCs w:val="28"/>
                <w:lang w:val="en-US" w:eastAsia="zh-CN"/>
              </w:rPr>
              <w:t>人员培训</w:t>
            </w:r>
            <w:r>
              <w:rPr>
                <w:rFonts w:hint="eastAsia" w:ascii="仿宋_GB2312" w:hAnsi="仿宋_GB2312" w:eastAsia="仿宋_GB2312" w:cs="仿宋_GB2312"/>
                <w:color w:val="auto"/>
                <w:sz w:val="28"/>
                <w:szCs w:val="28"/>
              </w:rPr>
              <w:t>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考核制度、</w:t>
            </w:r>
            <w:r>
              <w:rPr>
                <w:rFonts w:hint="eastAsia" w:ascii="仿宋_GB2312" w:hAnsi="仿宋_GB2312" w:eastAsia="仿宋_GB2312" w:cs="仿宋_GB2312"/>
                <w:color w:val="auto"/>
                <w:sz w:val="28"/>
                <w:szCs w:val="28"/>
              </w:rPr>
              <w:t>工作记录及档案管理制度等）</w:t>
            </w:r>
            <w:r>
              <w:rPr>
                <w:rFonts w:hint="eastAsia" w:ascii="仿宋_GB2312" w:hAnsi="仿宋_GB2312" w:eastAsia="仿宋_GB2312" w:cs="仿宋_GB2312"/>
                <w:color w:val="auto"/>
                <w:sz w:val="28"/>
                <w:szCs w:val="28"/>
                <w:lang w:val="en-US" w:eastAsia="zh-CN"/>
              </w:rPr>
              <w:t>进行综合打分：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1、管理制度健全、规范、可行，得5-6分；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2、管理制度较为健全、规范、具有一定合理性，得3-4分；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3、管理制度不健全、不规范，得1-2分；</w:t>
            </w:r>
          </w:p>
          <w:p>
            <w:pPr>
              <w:keepNext w:val="0"/>
              <w:keepLines w:val="0"/>
              <w:pageBreakBefore w:val="0"/>
              <w:numPr>
                <w:ilvl w:val="0"/>
                <w:numId w:val="0"/>
              </w:numPr>
              <w:kinsoku/>
              <w:wordWrap/>
              <w:overflowPunct/>
              <w:topLinePunct w:val="0"/>
              <w:autoSpaceDE/>
              <w:autoSpaceDN/>
              <w:bidi w:val="0"/>
              <w:adjustRightInd w:val="0"/>
              <w:spacing w:line="400" w:lineRule="exact"/>
              <w:ind w:left="0" w:leftChars="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4、不提供不得分。</w:t>
            </w: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物资装备及耗材配置</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8</w:t>
            </w:r>
          </w:p>
        </w:tc>
        <w:tc>
          <w:tcPr>
            <w:tcW w:w="4840" w:type="dxa"/>
            <w:gridSpan w:val="2"/>
            <w:vAlign w:val="center"/>
          </w:tcPr>
          <w:p>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拟投入</w:t>
            </w:r>
            <w:r>
              <w:rPr>
                <w:rFonts w:hint="eastAsia" w:ascii="仿宋_GB2312" w:hAnsi="仿宋_GB2312" w:eastAsia="仿宋_GB2312" w:cs="仿宋_GB2312"/>
                <w:color w:val="auto"/>
                <w:sz w:val="28"/>
                <w:szCs w:val="28"/>
                <w:lang w:val="en-US" w:eastAsia="zh-CN"/>
              </w:rPr>
              <w:t>本项目的维修工具、</w:t>
            </w:r>
            <w:r>
              <w:rPr>
                <w:rFonts w:hint="eastAsia" w:ascii="仿宋_GB2312" w:hAnsi="仿宋_GB2312" w:eastAsia="仿宋_GB2312" w:cs="仿宋_GB2312"/>
                <w:color w:val="auto"/>
                <w:sz w:val="28"/>
                <w:szCs w:val="28"/>
              </w:rPr>
              <w:t>保洁工具及</w:t>
            </w:r>
            <w:r>
              <w:rPr>
                <w:rFonts w:hint="eastAsia" w:ascii="仿宋_GB2312" w:hAnsi="仿宋_GB2312" w:eastAsia="仿宋_GB2312" w:cs="仿宋_GB2312"/>
                <w:color w:val="auto"/>
                <w:sz w:val="28"/>
                <w:szCs w:val="28"/>
                <w:lang w:val="en-US" w:eastAsia="zh-CN"/>
              </w:rPr>
              <w:t>易耗品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保安器械等需详细说明（明确种类、品牌、规格型号、数量），从</w:t>
            </w:r>
            <w:r>
              <w:rPr>
                <w:rFonts w:hint="eastAsia" w:ascii="仿宋_GB2312" w:hAnsi="仿宋_GB2312" w:eastAsia="仿宋_GB2312" w:cs="仿宋_GB2312"/>
                <w:color w:val="auto"/>
                <w:sz w:val="28"/>
                <w:szCs w:val="28"/>
              </w:rPr>
              <w:t>配备</w:t>
            </w:r>
            <w:r>
              <w:rPr>
                <w:rFonts w:hint="eastAsia" w:ascii="仿宋_GB2312" w:hAnsi="仿宋_GB2312" w:eastAsia="仿宋_GB2312" w:cs="仿宋_GB2312"/>
                <w:color w:val="auto"/>
                <w:sz w:val="28"/>
                <w:szCs w:val="28"/>
                <w:lang w:val="en-US" w:eastAsia="zh-CN"/>
              </w:rPr>
              <w:t>完整</w:t>
            </w:r>
            <w:r>
              <w:rPr>
                <w:rFonts w:hint="eastAsia" w:ascii="仿宋_GB2312" w:hAnsi="仿宋_GB2312" w:eastAsia="仿宋_GB2312" w:cs="仿宋_GB2312"/>
                <w:color w:val="auto"/>
                <w:sz w:val="28"/>
                <w:szCs w:val="28"/>
              </w:rPr>
              <w:t>性、合理性、实用性、先进性</w:t>
            </w:r>
            <w:r>
              <w:rPr>
                <w:rFonts w:hint="eastAsia" w:ascii="仿宋_GB2312" w:hAnsi="仿宋_GB2312" w:eastAsia="仿宋_GB2312" w:cs="仿宋_GB2312"/>
                <w:color w:val="auto"/>
                <w:sz w:val="28"/>
                <w:szCs w:val="28"/>
                <w:lang w:val="en-US" w:eastAsia="zh-CN"/>
              </w:rPr>
              <w:t>方面考虑，对物资装备及耗材配置情况进行综合打分：</w:t>
            </w:r>
          </w:p>
          <w:p>
            <w:pPr>
              <w:keepNext w:val="0"/>
              <w:keepLines w:val="0"/>
              <w:pageBreakBefore w:val="0"/>
              <w:numPr>
                <w:ilvl w:val="0"/>
                <w:numId w:val="4"/>
              </w:numPr>
              <w:kinsoku/>
              <w:wordWrap/>
              <w:overflowPunct/>
              <w:topLinePunct w:val="0"/>
              <w:autoSpaceDE/>
              <w:autoSpaceDN/>
              <w:bidi w:val="0"/>
              <w:adjustRightInd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配置合理、齐全，</w:t>
            </w:r>
            <w:r>
              <w:rPr>
                <w:rFonts w:hint="eastAsia" w:ascii="仿宋_GB2312" w:hAnsi="仿宋_GB2312" w:eastAsia="仿宋_GB2312" w:cs="仿宋_GB2312"/>
                <w:color w:val="auto"/>
                <w:sz w:val="28"/>
                <w:szCs w:val="28"/>
                <w:lang w:val="en-US" w:eastAsia="zh-CN"/>
              </w:rPr>
              <w:t>数量充足，完全</w:t>
            </w:r>
            <w:r>
              <w:rPr>
                <w:rFonts w:hint="eastAsia" w:ascii="仿宋_GB2312" w:hAnsi="仿宋_GB2312" w:eastAsia="仿宋_GB2312" w:cs="仿宋_GB2312"/>
                <w:color w:val="auto"/>
                <w:sz w:val="28"/>
                <w:szCs w:val="28"/>
              </w:rPr>
              <w:t>满足本项目服务</w:t>
            </w:r>
            <w:r>
              <w:rPr>
                <w:rFonts w:hint="eastAsia" w:ascii="仿宋_GB2312" w:hAnsi="仿宋_GB2312" w:eastAsia="仿宋_GB2312" w:cs="仿宋_GB2312"/>
                <w:color w:val="auto"/>
                <w:sz w:val="28"/>
                <w:szCs w:val="28"/>
                <w:lang w:val="en-US" w:eastAsia="zh-CN"/>
              </w:rPr>
              <w:t>需要，得7-8分</w:t>
            </w:r>
            <w:r>
              <w:rPr>
                <w:rFonts w:hint="eastAsia" w:ascii="仿宋_GB2312" w:hAnsi="仿宋_GB2312" w:eastAsia="仿宋_GB2312" w:cs="仿宋_GB2312"/>
                <w:color w:val="auto"/>
                <w:sz w:val="28"/>
                <w:szCs w:val="28"/>
              </w:rPr>
              <w:t>；</w:t>
            </w:r>
          </w:p>
          <w:p>
            <w:pPr>
              <w:keepNext w:val="0"/>
              <w:keepLines w:val="0"/>
              <w:pageBreakBefore w:val="0"/>
              <w:numPr>
                <w:ilvl w:val="0"/>
                <w:numId w:val="4"/>
              </w:numPr>
              <w:kinsoku/>
              <w:wordWrap/>
              <w:overflowPunct/>
              <w:topLinePunct w:val="0"/>
              <w:autoSpaceDE/>
              <w:autoSpaceDN/>
              <w:bidi w:val="0"/>
              <w:adjustRightInd w:val="0"/>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配置较合理、较齐全，</w:t>
            </w:r>
            <w:r>
              <w:rPr>
                <w:rFonts w:hint="eastAsia" w:ascii="仿宋_GB2312" w:hAnsi="仿宋_GB2312" w:eastAsia="仿宋_GB2312" w:cs="仿宋_GB2312"/>
                <w:color w:val="auto"/>
                <w:sz w:val="28"/>
                <w:szCs w:val="28"/>
                <w:lang w:val="en-US" w:eastAsia="zh-CN"/>
              </w:rPr>
              <w:t>数量较充足，</w:t>
            </w:r>
            <w:r>
              <w:rPr>
                <w:rFonts w:hint="eastAsia" w:ascii="仿宋_GB2312" w:hAnsi="仿宋_GB2312" w:eastAsia="仿宋_GB2312" w:cs="仿宋_GB2312"/>
                <w:color w:val="auto"/>
                <w:sz w:val="28"/>
                <w:szCs w:val="28"/>
              </w:rPr>
              <w:t>基本满足本项目服务</w:t>
            </w:r>
            <w:r>
              <w:rPr>
                <w:rFonts w:hint="eastAsia" w:ascii="仿宋_GB2312" w:hAnsi="仿宋_GB2312" w:eastAsia="仿宋_GB2312" w:cs="仿宋_GB2312"/>
                <w:color w:val="auto"/>
                <w:sz w:val="28"/>
                <w:szCs w:val="28"/>
                <w:lang w:val="en-US" w:eastAsia="zh-CN"/>
              </w:rPr>
              <w:t>需要，得5-6分</w:t>
            </w:r>
            <w:r>
              <w:rPr>
                <w:rFonts w:hint="eastAsia" w:ascii="仿宋_GB2312" w:hAnsi="仿宋_GB2312" w:eastAsia="仿宋_GB2312" w:cs="仿宋_GB2312"/>
                <w:color w:val="auto"/>
                <w:sz w:val="28"/>
                <w:szCs w:val="28"/>
              </w:rPr>
              <w:t>；</w:t>
            </w:r>
          </w:p>
          <w:p>
            <w:pPr>
              <w:keepNext w:val="0"/>
              <w:keepLines w:val="0"/>
              <w:pageBreakBefore w:val="0"/>
              <w:numPr>
                <w:ilvl w:val="0"/>
                <w:numId w:val="4"/>
              </w:numPr>
              <w:kinsoku/>
              <w:wordWrap/>
              <w:overflowPunct/>
              <w:topLinePunct w:val="0"/>
              <w:autoSpaceDE/>
              <w:autoSpaceDN/>
              <w:bidi w:val="0"/>
              <w:adjustRightInd w:val="0"/>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配置合理性一般、不够齐全，</w:t>
            </w:r>
            <w:r>
              <w:rPr>
                <w:rFonts w:hint="eastAsia" w:ascii="仿宋_GB2312" w:hAnsi="仿宋_GB2312" w:eastAsia="仿宋_GB2312" w:cs="仿宋_GB2312"/>
                <w:color w:val="auto"/>
                <w:sz w:val="28"/>
                <w:szCs w:val="28"/>
                <w:lang w:val="en-US" w:eastAsia="zh-CN"/>
              </w:rPr>
              <w:t>数量较少，得3-4分；</w:t>
            </w:r>
          </w:p>
          <w:p>
            <w:pPr>
              <w:keepNext w:val="0"/>
              <w:keepLines w:val="0"/>
              <w:pageBreakBefore w:val="0"/>
              <w:numPr>
                <w:ilvl w:val="0"/>
                <w:numId w:val="4"/>
              </w:numPr>
              <w:kinsoku/>
              <w:wordWrap/>
              <w:overflowPunct/>
              <w:topLinePunct w:val="0"/>
              <w:autoSpaceDE/>
              <w:autoSpaceDN/>
              <w:bidi w:val="0"/>
              <w:adjustRightInd w:val="0"/>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不提供不得分。</w:t>
            </w: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拟派人员情况</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840" w:type="dxa"/>
            <w:gridSpan w:val="2"/>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对拟派人员情况进行综合打分：</w:t>
            </w:r>
          </w:p>
          <w:p>
            <w:pPr>
              <w:pStyle w:val="2"/>
              <w:keepNext w:val="0"/>
              <w:keepLines w:val="0"/>
              <w:pageBreakBefore w:val="0"/>
              <w:numPr>
                <w:ilvl w:val="0"/>
                <w:numId w:val="5"/>
              </w:numPr>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拟派人员充足，经验丰富，职责划分清晰、合理，得5-6分；</w:t>
            </w:r>
          </w:p>
          <w:p>
            <w:pPr>
              <w:pStyle w:val="2"/>
              <w:keepNext w:val="0"/>
              <w:keepLines w:val="0"/>
              <w:pageBreakBefore w:val="0"/>
              <w:numPr>
                <w:ilvl w:val="0"/>
                <w:numId w:val="5"/>
              </w:numPr>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拟派人员较充足，经验较丰富，职责划分较清晰、较合理，得3-4分；</w:t>
            </w:r>
          </w:p>
          <w:p>
            <w:pPr>
              <w:pStyle w:val="2"/>
              <w:keepNext w:val="0"/>
              <w:keepLines w:val="0"/>
              <w:pageBreakBefore w:val="0"/>
              <w:numPr>
                <w:ilvl w:val="0"/>
                <w:numId w:val="5"/>
              </w:numPr>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拟派人员满足第三章最低要求，有一定工作经验，有职责划分，得1-2分。</w:t>
            </w: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1"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服务优化</w:t>
            </w:r>
          </w:p>
        </w:tc>
        <w:tc>
          <w:tcPr>
            <w:tcW w:w="787"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2</w:t>
            </w:r>
          </w:p>
        </w:tc>
        <w:tc>
          <w:tcPr>
            <w:tcW w:w="4840" w:type="dxa"/>
            <w:gridSpan w:val="2"/>
            <w:vAlign w:val="center"/>
          </w:tcPr>
          <w:p>
            <w:pPr>
              <w:keepNext w:val="0"/>
              <w:keepLines w:val="0"/>
              <w:pageBreakBefore w:val="0"/>
              <w:numPr>
                <w:ilvl w:val="0"/>
                <w:numId w:val="0"/>
              </w:numPr>
              <w:kinsoku/>
              <w:wordWrap/>
              <w:overflowPunct/>
              <w:topLinePunct w:val="0"/>
              <w:autoSpaceDE/>
              <w:autoSpaceDN/>
              <w:bidi w:val="0"/>
              <w:spacing w:line="400" w:lineRule="exac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提供具有特色的管理服务思路和措施、增值服务等，每项1分，最多2分。</w:t>
            </w:r>
          </w:p>
        </w:tc>
        <w:tc>
          <w:tcPr>
            <w:tcW w:w="1469"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991" w:type="dxa"/>
            <w:vMerge w:val="restart"/>
            <w:vAlign w:val="center"/>
          </w:tcPr>
          <w:p>
            <w:pPr>
              <w:pStyle w:val="16"/>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rPr>
              <w:t>商务</w:t>
            </w:r>
          </w:p>
        </w:tc>
        <w:tc>
          <w:tcPr>
            <w:tcW w:w="840"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826"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业绩</w:t>
            </w:r>
          </w:p>
        </w:tc>
        <w:tc>
          <w:tcPr>
            <w:tcW w:w="787"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484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提供</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w:t>
            </w:r>
            <w:r>
              <w:rPr>
                <w:rFonts w:hint="eastAsia" w:ascii="仿宋_GB2312" w:hAnsi="仿宋_GB2312" w:eastAsia="仿宋_GB2312" w:cs="仿宋_GB2312"/>
                <w:color w:val="auto"/>
                <w:sz w:val="28"/>
                <w:szCs w:val="28"/>
                <w:lang w:val="en-US" w:eastAsia="zh-CN"/>
              </w:rPr>
              <w:t>同类</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复印件加盖响应人公章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以合同签订日期为准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，每份1分，</w:t>
            </w:r>
            <w:r>
              <w:rPr>
                <w:rFonts w:hint="eastAsia" w:ascii="仿宋_GB2312" w:hAnsi="仿宋_GB2312" w:eastAsia="仿宋_GB2312" w:cs="仿宋_GB2312"/>
                <w:color w:val="auto"/>
                <w:sz w:val="28"/>
                <w:szCs w:val="28"/>
                <w:lang w:val="en-US" w:eastAsia="zh-CN"/>
              </w:rPr>
              <w:t>最多得4</w:t>
            </w:r>
            <w:r>
              <w:rPr>
                <w:rFonts w:hint="eastAsia" w:ascii="仿宋_GB2312" w:hAnsi="仿宋_GB2312" w:eastAsia="仿宋_GB2312" w:cs="仿宋_GB2312"/>
                <w:color w:val="auto"/>
                <w:sz w:val="28"/>
                <w:szCs w:val="28"/>
              </w:rPr>
              <w:t>分。</w:t>
            </w:r>
          </w:p>
        </w:tc>
        <w:tc>
          <w:tcPr>
            <w:tcW w:w="1469"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991" w:type="dxa"/>
            <w:vMerge w:val="continue"/>
            <w:vAlign w:val="center"/>
          </w:tcPr>
          <w:p>
            <w:pPr>
              <w:pStyle w:val="16"/>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rPr>
            </w:pPr>
          </w:p>
        </w:tc>
        <w:tc>
          <w:tcPr>
            <w:tcW w:w="840"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rPr>
            </w:pPr>
          </w:p>
        </w:tc>
        <w:tc>
          <w:tcPr>
            <w:tcW w:w="826"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服务承诺</w:t>
            </w:r>
          </w:p>
        </w:tc>
        <w:tc>
          <w:tcPr>
            <w:tcW w:w="787"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6</w:t>
            </w:r>
          </w:p>
        </w:tc>
        <w:tc>
          <w:tcPr>
            <w:tcW w:w="484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响应人可根据自身情况提供有利于本项目开展的服务承诺，对服务承诺情况进行比较打分：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1、承诺详尽、全面、有效、合理，落实性强，得5-6分；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2、承诺较全面、较有效、有一定可操作性，得3-4分；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3、承诺简单、落实性不足，得1-2分；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不提供不得分。</w:t>
            </w:r>
          </w:p>
        </w:tc>
        <w:tc>
          <w:tcPr>
            <w:tcW w:w="1469"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991"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w:t>
            </w:r>
          </w:p>
        </w:tc>
        <w:tc>
          <w:tcPr>
            <w:tcW w:w="8762" w:type="dxa"/>
            <w:gridSpan w:val="6"/>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1、磋商小组成员必须按照本评审要素据实打分，各类数字计算均按“四舍五入”保留小数点后两位</w:t>
            </w:r>
            <w:r>
              <w:rPr>
                <w:rFonts w:hint="eastAsia" w:ascii="仿宋_GB2312" w:hAnsi="仿宋_GB2312" w:eastAsia="仿宋_GB2312" w:cs="仿宋_GB2312"/>
                <w:color w:val="auto"/>
                <w:sz w:val="28"/>
                <w:szCs w:val="28"/>
                <w:lang w:eastAsia="zh-CN"/>
              </w:rPr>
              <w:t>。</w:t>
            </w:r>
          </w:p>
        </w:tc>
      </w:tr>
    </w:tbl>
    <w:p>
      <w:pPr>
        <w:pStyle w:val="18"/>
        <w:pageBreakBefore w:val="0"/>
        <w:kinsoku/>
        <w:overflowPunct/>
        <w:topLinePunct w:val="0"/>
        <w:bidi w:val="0"/>
        <w:spacing w:line="500" w:lineRule="exact"/>
        <w:ind w:firstLine="0" w:firstLineChars="0"/>
        <w:textAlignment w:val="auto"/>
        <w:rPr>
          <w:color w:val="auto"/>
        </w:rPr>
      </w:pP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53" w:name="_Toc25855"/>
      <w:bookmarkStart w:id="154" w:name="_Toc28287"/>
      <w:bookmarkStart w:id="155" w:name="_Toc3023"/>
      <w:bookmarkStart w:id="156" w:name="_Toc22712"/>
      <w:bookmarkStart w:id="157" w:name="_Toc17612"/>
      <w:bookmarkStart w:id="158" w:name="_Toc4670"/>
      <w:bookmarkStart w:id="159" w:name="_Toc28384"/>
      <w:bookmarkStart w:id="160" w:name="_Toc495012771"/>
      <w:bookmarkStart w:id="161" w:name="_Toc495014954"/>
      <w:bookmarkStart w:id="162" w:name="_Toc495012821"/>
      <w:bookmarkStart w:id="163" w:name="_Toc495014585"/>
      <w:bookmarkStart w:id="164" w:name="_Toc495014649"/>
      <w:bookmarkStart w:id="165" w:name="_Toc619_WPSOffice_Level1"/>
      <w:bookmarkStart w:id="166" w:name="_Toc445306493"/>
      <w:bookmarkStart w:id="167" w:name="_Toc28286_WPSOffice_Level1"/>
      <w:bookmarkStart w:id="168" w:name="_Toc495014611"/>
      <w:bookmarkStart w:id="169" w:name="_Toc495014920"/>
      <w:bookmarkStart w:id="170" w:name="_Toc424636365"/>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bookmarkStart w:id="171" w:name="_Toc23938"/>
      <w:bookmarkStart w:id="172" w:name="_Toc14009"/>
      <w:bookmarkStart w:id="173" w:name="_Toc28870"/>
      <w:bookmarkStart w:id="174" w:name="_Toc20049"/>
      <w:bookmarkStart w:id="175" w:name="_Toc10386"/>
      <w:bookmarkStart w:id="176" w:name="_Toc18233"/>
      <w:bookmarkStart w:id="177" w:name="_Toc3100"/>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0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10336"/>
      <w:bookmarkStart w:id="179" w:name="_Toc11780"/>
      <w:bookmarkStart w:id="180" w:name="_Toc17324"/>
      <w:bookmarkStart w:id="181" w:name="_Toc5278"/>
      <w:bookmarkStart w:id="182" w:name="_Toc4764"/>
      <w:bookmarkStart w:id="183" w:name="_Toc23303"/>
      <w:bookmarkStart w:id="184" w:name="_Toc11584"/>
      <w:bookmarkStart w:id="185" w:name="_Toc8426"/>
      <w:bookmarkStart w:id="186" w:name="_Toc14560"/>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color w:val="auto"/>
        </w:rPr>
      </w:pPr>
      <w:bookmarkStart w:id="187" w:name="_Toc10476_WPSOffice_Level1"/>
      <w:bookmarkStart w:id="188" w:name="_Toc2772"/>
      <w:bookmarkStart w:id="189" w:name="_Toc31517"/>
      <w:bookmarkStart w:id="190" w:name="_Toc6345"/>
      <w:bookmarkStart w:id="191" w:name="_Toc22915"/>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陕西省</w:t>
      </w:r>
      <w:r>
        <w:rPr>
          <w:rFonts w:hint="eastAsia" w:ascii="仿宋_GB2312" w:hAnsi="仿宋_GB2312" w:eastAsia="仿宋_GB2312" w:cs="仿宋_GB2312"/>
          <w:color w:val="auto"/>
          <w:sz w:val="28"/>
          <w:szCs w:val="28"/>
        </w:rPr>
        <w:t>汉中体育运动学校位于汉台区前进西路，</w:t>
      </w:r>
      <w:r>
        <w:rPr>
          <w:rFonts w:hint="eastAsia" w:ascii="仿宋_GB2312" w:hAnsi="仿宋_GB2312" w:eastAsia="仿宋_GB2312" w:cs="仿宋_GB2312"/>
          <w:color w:val="auto"/>
          <w:sz w:val="28"/>
          <w:szCs w:val="28"/>
          <w:lang w:eastAsia="zh-CN"/>
        </w:rPr>
        <w:t>现有师生近</w:t>
      </w:r>
      <w:r>
        <w:rPr>
          <w:rFonts w:hint="eastAsia" w:ascii="仿宋_GB2312" w:hAnsi="仿宋_GB2312" w:eastAsia="仿宋_GB2312" w:cs="仿宋_GB2312"/>
          <w:color w:val="auto"/>
          <w:sz w:val="28"/>
          <w:szCs w:val="28"/>
          <w:lang w:val="en-US" w:eastAsia="zh-CN"/>
        </w:rPr>
        <w:t>500余人。为进一步规范办学秩序，确保训练教学任务顺利完成，结合学校实际，拟以购买服务的形式，做好学校安保、保洁、宿舍管理等相关工作。现将物业服务的主要需求说明如下：</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学校概况</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陕西省</w:t>
      </w:r>
      <w:r>
        <w:rPr>
          <w:rFonts w:hint="eastAsia" w:ascii="仿宋_GB2312" w:hAnsi="仿宋_GB2312" w:eastAsia="仿宋_GB2312" w:cs="仿宋_GB2312"/>
          <w:color w:val="auto"/>
          <w:sz w:val="28"/>
          <w:szCs w:val="28"/>
        </w:rPr>
        <w:t>汉中体育运动学校是1987年经省人民政府批准成立的以培养体育后备人才为主的中等专业体育学校，属正县级全额拨款事业单位，</w:t>
      </w:r>
      <w:r>
        <w:rPr>
          <w:rFonts w:hint="eastAsia" w:ascii="仿宋_GB2312" w:hAnsi="仿宋_GB2312" w:eastAsia="仿宋_GB2312" w:cs="仿宋_GB2312"/>
          <w:color w:val="auto"/>
          <w:sz w:val="28"/>
          <w:szCs w:val="28"/>
          <w:lang w:eastAsia="zh-CN"/>
        </w:rPr>
        <w:t>隶属于</w:t>
      </w:r>
      <w:r>
        <w:rPr>
          <w:rFonts w:hint="eastAsia" w:ascii="仿宋_GB2312" w:hAnsi="仿宋_GB2312" w:eastAsia="仿宋_GB2312" w:cs="仿宋_GB2312"/>
          <w:color w:val="auto"/>
          <w:sz w:val="28"/>
          <w:szCs w:val="28"/>
        </w:rPr>
        <w:t>汉中市体育局</w:t>
      </w:r>
      <w:r>
        <w:rPr>
          <w:rFonts w:hint="eastAsia" w:ascii="仿宋_GB2312" w:hAnsi="仿宋_GB2312" w:eastAsia="仿宋_GB2312" w:cs="仿宋_GB2312"/>
          <w:color w:val="auto"/>
          <w:sz w:val="28"/>
          <w:szCs w:val="28"/>
          <w:lang w:eastAsia="zh-CN"/>
        </w:rPr>
        <w:t>。常年</w:t>
      </w:r>
      <w:r>
        <w:rPr>
          <w:rFonts w:hint="eastAsia" w:ascii="仿宋_GB2312" w:hAnsi="仿宋_GB2312" w:eastAsia="仿宋_GB2312" w:cs="仿宋_GB2312"/>
          <w:color w:val="auto"/>
          <w:sz w:val="28"/>
          <w:szCs w:val="28"/>
        </w:rPr>
        <w:t>开设初中部和运动训练专业中专班，现有</w:t>
      </w:r>
      <w:r>
        <w:rPr>
          <w:rFonts w:hint="eastAsia" w:ascii="仿宋_GB2312" w:hAnsi="仿宋_GB2312" w:eastAsia="仿宋_GB2312" w:cs="仿宋_GB2312"/>
          <w:color w:val="auto"/>
          <w:sz w:val="28"/>
          <w:szCs w:val="28"/>
          <w:lang w:eastAsia="zh-CN"/>
        </w:rPr>
        <w:t>学生</w:t>
      </w:r>
      <w:r>
        <w:rPr>
          <w:rFonts w:hint="eastAsia" w:ascii="仿宋_GB2312" w:hAnsi="仿宋_GB2312" w:eastAsia="仿宋_GB2312" w:cs="仿宋_GB2312"/>
          <w:color w:val="auto"/>
          <w:sz w:val="28"/>
          <w:szCs w:val="28"/>
          <w:lang w:val="en-US" w:eastAsia="zh-CN"/>
        </w:rPr>
        <w:t>400余人</w:t>
      </w:r>
      <w:r>
        <w:rPr>
          <w:rFonts w:hint="eastAsia" w:ascii="仿宋_GB2312" w:hAnsi="仿宋_GB2312" w:eastAsia="仿宋_GB2312" w:cs="仿宋_GB2312"/>
          <w:color w:val="auto"/>
          <w:sz w:val="28"/>
          <w:szCs w:val="28"/>
        </w:rPr>
        <w:t>，为全日制寄宿生，开展的竞技体育项目有田径、摔跤、跆拳道、举重、射箭、皮划艇等。</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校区</w:t>
      </w:r>
      <w:r>
        <w:rPr>
          <w:rFonts w:hint="eastAsia" w:ascii="仿宋_GB2312" w:hAnsi="仿宋_GB2312" w:eastAsia="仿宋_GB2312" w:cs="仿宋_GB2312"/>
          <w:color w:val="auto"/>
          <w:sz w:val="28"/>
          <w:szCs w:val="28"/>
        </w:rPr>
        <w:t>占地53.2亩，主要建设有</w:t>
      </w: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栋5层教学综合楼，一栋4层（含地下1层）综合训练馆，</w:t>
      </w: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栋2层餐厅，</w:t>
      </w: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栋6层公寓楼，建筑面积</w:t>
      </w:r>
      <w:r>
        <w:rPr>
          <w:rFonts w:hint="eastAsia" w:ascii="仿宋_GB2312" w:hAnsi="仿宋_GB2312" w:eastAsia="仿宋_GB2312" w:cs="仿宋_GB2312"/>
          <w:color w:val="auto"/>
          <w:sz w:val="28"/>
          <w:szCs w:val="28"/>
          <w:lang w:eastAsia="zh-CN"/>
        </w:rPr>
        <w:t>约</w:t>
      </w:r>
      <w:r>
        <w:rPr>
          <w:rFonts w:hint="eastAsia" w:ascii="仿宋_GB2312" w:hAnsi="仿宋_GB2312" w:eastAsia="仿宋_GB2312" w:cs="仿宋_GB2312"/>
          <w:color w:val="auto"/>
          <w:sz w:val="28"/>
          <w:szCs w:val="28"/>
        </w:rPr>
        <w:t>1.6万平方米，可容纳学生400余人。</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服务范围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物业服务的位置在汉台区前进西路陕西省汉中体育运动学校校区内，服务主体为学校全体师生及校内资产。</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合作期限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2023年至2024年，共一年。</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费用及结算</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物业服务的具体金额以采购招标认定的最终金额为准，费用</w:t>
      </w:r>
      <w:r>
        <w:rPr>
          <w:rFonts w:hint="eastAsia" w:ascii="仿宋_GB2312" w:hAnsi="仿宋_GB2312" w:eastAsia="仿宋_GB2312" w:cs="仿宋_GB2312"/>
          <w:color w:val="auto"/>
          <w:sz w:val="28"/>
          <w:szCs w:val="28"/>
        </w:rPr>
        <w:t>包含员工工资、国家规定的用工保险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养老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医疗及办公用品、保洁易耗品、</w:t>
      </w:r>
      <w:r>
        <w:rPr>
          <w:rFonts w:hint="eastAsia" w:ascii="仿宋_GB2312" w:hAnsi="仿宋_GB2312" w:eastAsia="仿宋_GB2312" w:cs="仿宋_GB2312"/>
          <w:color w:val="auto"/>
          <w:sz w:val="28"/>
          <w:szCs w:val="28"/>
          <w:lang w:eastAsia="zh-CN"/>
        </w:rPr>
        <w:t>维修工具、</w:t>
      </w:r>
      <w:r>
        <w:rPr>
          <w:rFonts w:hint="eastAsia" w:ascii="仿宋_GB2312" w:hAnsi="仿宋_GB2312" w:eastAsia="仿宋_GB2312" w:cs="仿宋_GB2312"/>
          <w:color w:val="auto"/>
          <w:sz w:val="28"/>
          <w:szCs w:val="28"/>
        </w:rPr>
        <w:t>员工服装、</w:t>
      </w:r>
      <w:r>
        <w:rPr>
          <w:rFonts w:hint="eastAsia" w:ascii="仿宋_GB2312" w:hAnsi="仿宋_GB2312" w:eastAsia="仿宋_GB2312" w:cs="仿宋_GB2312"/>
          <w:color w:val="auto"/>
          <w:sz w:val="28"/>
          <w:szCs w:val="28"/>
          <w:lang w:eastAsia="zh-CN"/>
        </w:rPr>
        <w:t>垃圾清运、化粪池清掏费、</w:t>
      </w:r>
      <w:r>
        <w:rPr>
          <w:rFonts w:hint="eastAsia" w:ascii="仿宋_GB2312" w:hAnsi="仿宋_GB2312" w:eastAsia="仿宋_GB2312" w:cs="仿宋_GB2312"/>
          <w:color w:val="auto"/>
          <w:sz w:val="28"/>
          <w:szCs w:val="28"/>
        </w:rPr>
        <w:t>税金等</w:t>
      </w:r>
      <w:r>
        <w:rPr>
          <w:rFonts w:hint="eastAsia" w:ascii="仿宋_GB2312" w:hAnsi="仿宋_GB2312" w:eastAsia="仿宋_GB2312" w:cs="仿宋_GB2312"/>
          <w:color w:val="auto"/>
          <w:sz w:val="28"/>
          <w:szCs w:val="28"/>
          <w:lang w:eastAsia="zh-CN"/>
        </w:rPr>
        <w:t>物业服务相关的全部</w:t>
      </w:r>
      <w:r>
        <w:rPr>
          <w:rFonts w:hint="eastAsia" w:ascii="仿宋_GB2312" w:hAnsi="仿宋_GB2312" w:eastAsia="仿宋_GB2312" w:cs="仿宋_GB2312"/>
          <w:color w:val="auto"/>
          <w:sz w:val="28"/>
          <w:szCs w:val="28"/>
        </w:rPr>
        <w:t>费用。</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双方</w:t>
      </w:r>
      <w:r>
        <w:rPr>
          <w:rFonts w:hint="eastAsia" w:ascii="仿宋_GB2312" w:hAnsi="仿宋_GB2312" w:eastAsia="仿宋_GB2312" w:cs="仿宋_GB2312"/>
          <w:color w:val="auto"/>
          <w:sz w:val="28"/>
          <w:szCs w:val="28"/>
        </w:rPr>
        <w:t>合同签订</w:t>
      </w:r>
      <w:r>
        <w:rPr>
          <w:rFonts w:hint="eastAsia" w:ascii="仿宋_GB2312" w:hAnsi="仿宋_GB2312" w:eastAsia="仿宋_GB2312" w:cs="仿宋_GB2312"/>
          <w:color w:val="auto"/>
          <w:sz w:val="28"/>
          <w:szCs w:val="28"/>
          <w:lang w:eastAsia="zh-CN"/>
        </w:rPr>
        <w:t>乙方履职</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，学校</w:t>
      </w:r>
      <w:r>
        <w:rPr>
          <w:rFonts w:hint="eastAsia" w:ascii="仿宋_GB2312" w:hAnsi="仿宋_GB2312" w:eastAsia="仿宋_GB2312" w:cs="仿宋_GB2312"/>
          <w:color w:val="auto"/>
          <w:sz w:val="28"/>
          <w:szCs w:val="28"/>
        </w:rPr>
        <w:t>按</w:t>
      </w:r>
      <w:r>
        <w:rPr>
          <w:rFonts w:hint="eastAsia" w:ascii="仿宋_GB2312" w:hAnsi="仿宋_GB2312" w:eastAsia="仿宋_GB2312" w:cs="仿宋_GB2312"/>
          <w:color w:val="auto"/>
          <w:sz w:val="28"/>
          <w:szCs w:val="28"/>
          <w:lang w:eastAsia="zh-CN"/>
        </w:rPr>
        <w:t>时</w:t>
      </w:r>
      <w:r>
        <w:rPr>
          <w:rFonts w:hint="eastAsia" w:ascii="仿宋_GB2312" w:hAnsi="仿宋_GB2312" w:eastAsia="仿宋_GB2312" w:cs="仿宋_GB2312"/>
          <w:color w:val="auto"/>
          <w:sz w:val="28"/>
          <w:szCs w:val="28"/>
        </w:rPr>
        <w:t>段</w:t>
      </w:r>
      <w:r>
        <w:rPr>
          <w:rFonts w:hint="eastAsia" w:ascii="仿宋_GB2312" w:hAnsi="仿宋_GB2312" w:eastAsia="仿宋_GB2312" w:cs="仿宋_GB2312"/>
          <w:color w:val="auto"/>
          <w:sz w:val="28"/>
          <w:szCs w:val="28"/>
          <w:lang w:eastAsia="zh-CN"/>
        </w:rPr>
        <w:t>每三个月向物业公司</w:t>
      </w:r>
      <w:r>
        <w:rPr>
          <w:rFonts w:hint="eastAsia" w:ascii="仿宋_GB2312" w:hAnsi="仿宋_GB2312" w:eastAsia="仿宋_GB2312" w:cs="仿宋_GB2312"/>
          <w:color w:val="auto"/>
          <w:sz w:val="28"/>
          <w:szCs w:val="28"/>
        </w:rPr>
        <w:t>支付服</w:t>
      </w:r>
      <w:r>
        <w:rPr>
          <w:rFonts w:hint="eastAsia" w:ascii="仿宋_GB2312" w:hAnsi="仿宋_GB2312" w:eastAsia="仿宋_GB2312" w:cs="仿宋_GB2312"/>
          <w:color w:val="auto"/>
          <w:sz w:val="28"/>
          <w:szCs w:val="28"/>
          <w:lang w:eastAsia="zh-CN"/>
        </w:rPr>
        <w:t>务费。</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、服务人员配备需求</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物业服务须配备工作人员</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名，其中现场管理人员1名，保安4名，保洁3名，</w:t>
      </w:r>
      <w:r>
        <w:rPr>
          <w:rFonts w:hint="eastAsia" w:ascii="仿宋_GB2312" w:hAnsi="仿宋_GB2312" w:eastAsia="仿宋_GB2312" w:cs="仿宋_GB2312"/>
          <w:color w:val="auto"/>
          <w:sz w:val="28"/>
          <w:szCs w:val="28"/>
          <w:lang w:eastAsia="zh-CN"/>
        </w:rPr>
        <w:t>宿</w:t>
      </w:r>
      <w:r>
        <w:rPr>
          <w:rFonts w:hint="eastAsia" w:ascii="仿宋_GB2312" w:hAnsi="仿宋_GB2312" w:eastAsia="仿宋_GB2312" w:cs="仿宋_GB2312"/>
          <w:color w:val="auto"/>
          <w:sz w:val="28"/>
          <w:szCs w:val="28"/>
        </w:rPr>
        <w:t>管</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名，水电工1名，消防检测人员1名（可兼职）。</w:t>
      </w:r>
      <w:r>
        <w:rPr>
          <w:rFonts w:hint="eastAsia" w:ascii="仿宋_GB2312" w:hAnsi="仿宋_GB2312" w:eastAsia="仿宋_GB2312" w:cs="仿宋_GB2312"/>
          <w:color w:val="auto"/>
          <w:sz w:val="28"/>
          <w:szCs w:val="28"/>
          <w:lang w:eastAsia="zh-CN"/>
        </w:rPr>
        <w:t>配备人员须身体健康，无犯罪记录，如果配备人员发生任何不安全事故均由物业公司承担，与甲方无关。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现场管理人员工作范围及要求</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1.现场管理人员与学校行政后勤工作作息时间一致，特殊情况可进行临时调整（临时接待任务、需加班处理的事宜等）。</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2.现场管理人员</w:t>
      </w:r>
      <w:r>
        <w:rPr>
          <w:rFonts w:hint="eastAsia" w:ascii="仿宋_GB2312" w:hAnsi="仿宋_GB2312" w:eastAsia="仿宋_GB2312" w:cs="仿宋_GB2312"/>
          <w:color w:val="auto"/>
          <w:sz w:val="28"/>
          <w:szCs w:val="28"/>
          <w:lang w:eastAsia="zh-CN"/>
        </w:rPr>
        <w:t>应</w:t>
      </w:r>
      <w:r>
        <w:rPr>
          <w:rFonts w:hint="eastAsia" w:ascii="仿宋_GB2312" w:hAnsi="仿宋_GB2312" w:eastAsia="仿宋_GB2312" w:cs="仿宋_GB2312"/>
          <w:color w:val="auto"/>
          <w:sz w:val="28"/>
          <w:szCs w:val="28"/>
        </w:rPr>
        <w:t>做好学校内的保安服务、卫生清洁、水电维修、消防防控等工作</w:t>
      </w:r>
      <w:r>
        <w:rPr>
          <w:rFonts w:hint="eastAsia" w:ascii="仿宋_GB2312" w:hAnsi="仿宋_GB2312" w:eastAsia="仿宋_GB2312" w:cs="仿宋_GB2312"/>
          <w:color w:val="auto"/>
          <w:sz w:val="28"/>
          <w:szCs w:val="28"/>
          <w:lang w:eastAsia="zh-CN"/>
        </w:rPr>
        <w:t>，并制定相应的管理制度</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现场</w:t>
      </w:r>
      <w:r>
        <w:rPr>
          <w:rFonts w:hint="eastAsia" w:ascii="仿宋_GB2312" w:hAnsi="仿宋_GB2312" w:eastAsia="仿宋_GB2312" w:cs="仿宋_GB2312"/>
          <w:color w:val="auto"/>
          <w:sz w:val="28"/>
          <w:szCs w:val="28"/>
        </w:rPr>
        <w:t>管理人员应具备较好的服务意识和管理能力，负责全体物业服务人员工作的安排、监督检查</w:t>
      </w:r>
      <w:r>
        <w:rPr>
          <w:rFonts w:hint="eastAsia" w:ascii="仿宋_GB2312" w:hAnsi="仿宋_GB2312" w:eastAsia="仿宋_GB2312" w:cs="仿宋_GB2312"/>
          <w:color w:val="auto"/>
          <w:sz w:val="28"/>
          <w:szCs w:val="28"/>
          <w:lang w:eastAsia="zh-CN"/>
        </w:rPr>
        <w:t>考评等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4.现场管理人员原则上每周应</w:t>
      </w:r>
      <w:r>
        <w:rPr>
          <w:rFonts w:hint="eastAsia" w:ascii="仿宋_GB2312" w:hAnsi="仿宋_GB2312" w:eastAsia="仿宋_GB2312" w:cs="仿宋_GB2312"/>
          <w:color w:val="auto"/>
          <w:sz w:val="28"/>
          <w:szCs w:val="28"/>
        </w:rPr>
        <w:t>与</w:t>
      </w:r>
      <w:r>
        <w:rPr>
          <w:rFonts w:hint="eastAsia" w:ascii="仿宋_GB2312" w:hAnsi="仿宋_GB2312" w:eastAsia="仿宋_GB2312" w:cs="仿宋_GB2312"/>
          <w:color w:val="auto"/>
          <w:sz w:val="28"/>
          <w:szCs w:val="28"/>
          <w:lang w:eastAsia="zh-CN"/>
        </w:rPr>
        <w:t>学校</w:t>
      </w:r>
      <w:r>
        <w:rPr>
          <w:rFonts w:hint="eastAsia" w:ascii="仿宋_GB2312" w:hAnsi="仿宋_GB2312" w:eastAsia="仿宋_GB2312" w:cs="仿宋_GB2312"/>
          <w:color w:val="auto"/>
          <w:sz w:val="28"/>
          <w:szCs w:val="28"/>
        </w:rPr>
        <w:t>沟通，</w:t>
      </w:r>
      <w:r>
        <w:rPr>
          <w:rFonts w:hint="eastAsia" w:ascii="仿宋_GB2312" w:hAnsi="仿宋_GB2312" w:eastAsia="仿宋_GB2312" w:cs="仿宋_GB2312"/>
          <w:color w:val="auto"/>
          <w:sz w:val="28"/>
          <w:szCs w:val="28"/>
          <w:lang w:eastAsia="zh-CN"/>
        </w:rPr>
        <w:t>汇报工作开展情况，</w:t>
      </w:r>
      <w:r>
        <w:rPr>
          <w:rFonts w:hint="eastAsia" w:ascii="仿宋_GB2312" w:hAnsi="仿宋_GB2312" w:eastAsia="仿宋_GB2312" w:cs="仿宋_GB2312"/>
          <w:color w:val="auto"/>
          <w:sz w:val="28"/>
          <w:szCs w:val="28"/>
        </w:rPr>
        <w:t>虚心听取</w:t>
      </w:r>
      <w:r>
        <w:rPr>
          <w:rFonts w:hint="eastAsia" w:ascii="仿宋_GB2312" w:hAnsi="仿宋_GB2312" w:eastAsia="仿宋_GB2312" w:cs="仿宋_GB2312"/>
          <w:color w:val="auto"/>
          <w:sz w:val="28"/>
          <w:szCs w:val="28"/>
          <w:lang w:eastAsia="zh-CN"/>
        </w:rPr>
        <w:t>学校</w:t>
      </w:r>
      <w:r>
        <w:rPr>
          <w:rFonts w:hint="eastAsia" w:ascii="仿宋_GB2312" w:hAnsi="仿宋_GB2312" w:eastAsia="仿宋_GB2312" w:cs="仿宋_GB2312"/>
          <w:color w:val="auto"/>
          <w:sz w:val="28"/>
          <w:szCs w:val="28"/>
        </w:rPr>
        <w:t>的意见建议，对所存问题及时整改落实。</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5.现场管理人员应</w:t>
      </w:r>
      <w:r>
        <w:rPr>
          <w:rFonts w:hint="eastAsia" w:ascii="仿宋_GB2312" w:hAnsi="仿宋_GB2312" w:eastAsia="仿宋_GB2312" w:cs="仿宋_GB2312"/>
          <w:color w:val="auto"/>
          <w:sz w:val="28"/>
          <w:szCs w:val="28"/>
        </w:rPr>
        <w:t>协调处理好与</w:t>
      </w:r>
      <w:r>
        <w:rPr>
          <w:rFonts w:hint="eastAsia" w:ascii="仿宋_GB2312" w:hAnsi="仿宋_GB2312" w:eastAsia="仿宋_GB2312" w:cs="仿宋_GB2312"/>
          <w:color w:val="auto"/>
          <w:sz w:val="28"/>
          <w:szCs w:val="28"/>
          <w:lang w:eastAsia="zh-CN"/>
        </w:rPr>
        <w:t>学校</w:t>
      </w:r>
      <w:r>
        <w:rPr>
          <w:rFonts w:hint="eastAsia" w:ascii="仿宋_GB2312" w:hAnsi="仿宋_GB2312" w:eastAsia="仿宋_GB2312" w:cs="仿宋_GB2312"/>
          <w:color w:val="auto"/>
          <w:sz w:val="28"/>
          <w:szCs w:val="28"/>
        </w:rPr>
        <w:t>的友好合作关系。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水电工工作范围及要求</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1.水电工工作时间与学校行政后勤工作作息时间一致，特殊情况可进行临时调整（临时接待任务、需加班处理的事宜等）。</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2.按照学校作息时间和要求，保障学校水电正常使用。</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.水电工必需具备</w:t>
      </w:r>
      <w:r>
        <w:rPr>
          <w:rFonts w:hint="eastAsia" w:ascii="仿宋_GB2312" w:hAnsi="仿宋_GB2312" w:eastAsia="仿宋_GB2312" w:cs="仿宋_GB2312"/>
          <w:color w:val="auto"/>
          <w:sz w:val="28"/>
          <w:szCs w:val="28"/>
          <w:lang w:eastAsia="zh-CN"/>
        </w:rPr>
        <w:t>特种作业操作证（电工作业）</w:t>
      </w:r>
      <w:r>
        <w:rPr>
          <w:rFonts w:hint="eastAsia" w:ascii="仿宋_GB2312" w:hAnsi="仿宋_GB2312" w:eastAsia="仿宋_GB2312" w:cs="仿宋_GB2312"/>
          <w:color w:val="auto"/>
          <w:sz w:val="28"/>
          <w:szCs w:val="28"/>
        </w:rPr>
        <w:t>和应急处理能力。</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.水电维修维护范围包括学校各楼馆及校园内所涉及的所有水电设施设备。</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.水电工应做好维保供配电设施设备及给排水设备。每日对设施设备进行巡视、检查、记录，做到发现问题及时处理，保证各种设备的完好运行。</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6.水电工应</w:t>
      </w:r>
      <w:r>
        <w:rPr>
          <w:rFonts w:hint="eastAsia" w:ascii="仿宋_GB2312" w:hAnsi="仿宋_GB2312" w:eastAsia="仿宋_GB2312" w:cs="仿宋_GB2312"/>
          <w:color w:val="auto"/>
          <w:sz w:val="28"/>
          <w:szCs w:val="28"/>
        </w:rPr>
        <w:t>做</w:t>
      </w:r>
      <w:r>
        <w:rPr>
          <w:rFonts w:hint="eastAsia" w:ascii="仿宋_GB2312" w:hAnsi="仿宋_GB2312" w:eastAsia="仿宋_GB2312" w:cs="仿宋_GB2312"/>
          <w:color w:val="auto"/>
          <w:sz w:val="28"/>
          <w:szCs w:val="28"/>
          <w:lang w:eastAsia="zh-CN"/>
        </w:rPr>
        <w:t>好</w:t>
      </w:r>
      <w:r>
        <w:rPr>
          <w:rFonts w:hint="eastAsia" w:ascii="仿宋_GB2312" w:hAnsi="仿宋_GB2312" w:eastAsia="仿宋_GB2312" w:cs="仿宋_GB2312"/>
          <w:color w:val="auto"/>
          <w:sz w:val="28"/>
          <w:szCs w:val="28"/>
        </w:rPr>
        <w:t>上下水管道及相关阀件定期检查、定期维护，使得管道畅通、无渗漏水现象，保证各阀件无跑、冒、滴、漏水现象。</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八</w:t>
      </w:r>
      <w:r>
        <w:rPr>
          <w:rFonts w:hint="eastAsia" w:ascii="仿宋_GB2312" w:hAnsi="仿宋_GB2312" w:eastAsia="仿宋_GB2312" w:cs="仿宋_GB2312"/>
          <w:b/>
          <w:bCs/>
          <w:color w:val="auto"/>
          <w:sz w:val="28"/>
          <w:szCs w:val="28"/>
        </w:rPr>
        <w:t>、消防维护人员工作范围及要求</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1.消防维护人员可兼职，工作时间为不定时，但每月须在学校达到3天的工作时间。</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2.消防维护人员必需具备</w:t>
      </w:r>
      <w:r>
        <w:rPr>
          <w:rFonts w:hint="eastAsia" w:ascii="仿宋_GB2312" w:hAnsi="仿宋_GB2312" w:eastAsia="仿宋_GB2312" w:cs="仿宋_GB2312"/>
          <w:color w:val="auto"/>
          <w:sz w:val="28"/>
          <w:szCs w:val="28"/>
          <w:lang w:eastAsia="zh-CN"/>
        </w:rPr>
        <w:t>建（构）筑物消防员等级证书或消防设施操作员证书，并具备</w:t>
      </w:r>
      <w:r>
        <w:rPr>
          <w:rFonts w:hint="eastAsia" w:ascii="仿宋_GB2312" w:hAnsi="仿宋_GB2312" w:eastAsia="仿宋_GB2312" w:cs="仿宋_GB2312"/>
          <w:color w:val="auto"/>
          <w:sz w:val="28"/>
          <w:szCs w:val="28"/>
        </w:rPr>
        <w:t>应急处</w:t>
      </w:r>
      <w:r>
        <w:rPr>
          <w:rFonts w:hint="eastAsia" w:ascii="仿宋_GB2312" w:hAnsi="仿宋_GB2312" w:eastAsia="仿宋_GB2312" w:cs="仿宋_GB2312"/>
          <w:color w:val="auto"/>
          <w:sz w:val="28"/>
          <w:szCs w:val="28"/>
          <w:lang w:eastAsia="zh-CN"/>
        </w:rPr>
        <w:t>理</w:t>
      </w:r>
      <w:r>
        <w:rPr>
          <w:rFonts w:hint="eastAsia" w:ascii="仿宋_GB2312" w:hAnsi="仿宋_GB2312" w:eastAsia="仿宋_GB2312" w:cs="仿宋_GB2312"/>
          <w:color w:val="auto"/>
          <w:sz w:val="28"/>
          <w:szCs w:val="28"/>
        </w:rPr>
        <w:t>能力。</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3.消防维护范围包括学校各楼馆所有消防设施设备。</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4.消防维护人员应必须定期(每月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次)对学校消防设施进行检查。</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消防维护人员应建立消防巡查制度，对出现的问题及时修护，并向学校报备，确保消防功能正常。</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消防维护人员</w:t>
      </w:r>
      <w:r>
        <w:rPr>
          <w:rFonts w:hint="eastAsia" w:ascii="仿宋_GB2312" w:hAnsi="仿宋_GB2312" w:eastAsia="仿宋_GB2312" w:cs="仿宋_GB2312"/>
          <w:color w:val="auto"/>
          <w:sz w:val="28"/>
          <w:szCs w:val="28"/>
          <w:lang w:eastAsia="zh-CN"/>
        </w:rPr>
        <w:t>应</w:t>
      </w:r>
      <w:r>
        <w:rPr>
          <w:rFonts w:hint="eastAsia" w:ascii="仿宋_GB2312" w:hAnsi="仿宋_GB2312" w:eastAsia="仿宋_GB2312" w:cs="仿宋_GB2312"/>
          <w:color w:val="auto"/>
          <w:sz w:val="28"/>
          <w:szCs w:val="28"/>
        </w:rPr>
        <w:t>配合学校、公安消防机构加强对学校的消防监督检查和</w:t>
      </w:r>
      <w:r>
        <w:rPr>
          <w:rFonts w:hint="eastAsia" w:ascii="仿宋_GB2312" w:hAnsi="仿宋_GB2312" w:eastAsia="仿宋_GB2312" w:cs="仿宋_GB2312"/>
          <w:color w:val="auto"/>
          <w:sz w:val="28"/>
          <w:szCs w:val="28"/>
          <w:lang w:eastAsia="zh-CN"/>
        </w:rPr>
        <w:t>做好</w:t>
      </w:r>
      <w:r>
        <w:rPr>
          <w:rFonts w:hint="eastAsia" w:ascii="仿宋_GB2312" w:hAnsi="仿宋_GB2312" w:eastAsia="仿宋_GB2312" w:cs="仿宋_GB2312"/>
          <w:color w:val="auto"/>
          <w:sz w:val="28"/>
          <w:szCs w:val="28"/>
        </w:rPr>
        <w:t>消防验收工作。</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、宿舍管理人员工作范围及要求</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1.宿舍管理人员工作时间为学生的在校时间，每天24小时在岗。</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2.宿舍管理人员须身体健康，并持有健康证。</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宿舍管理人员</w:t>
      </w:r>
      <w:r>
        <w:rPr>
          <w:rFonts w:hint="eastAsia" w:ascii="仿宋_GB2312" w:hAnsi="仿宋_GB2312" w:eastAsia="仿宋_GB2312" w:cs="仿宋_GB2312"/>
          <w:color w:val="auto"/>
          <w:sz w:val="28"/>
          <w:szCs w:val="28"/>
          <w:lang w:eastAsia="zh-CN"/>
        </w:rPr>
        <w:t>在</w:t>
      </w:r>
      <w:r>
        <w:rPr>
          <w:rFonts w:hint="eastAsia" w:ascii="仿宋_GB2312" w:hAnsi="仿宋_GB2312" w:eastAsia="仿宋_GB2312" w:cs="仿宋_GB2312"/>
          <w:color w:val="auto"/>
          <w:sz w:val="28"/>
          <w:szCs w:val="28"/>
        </w:rPr>
        <w:t>早、中、晚</w:t>
      </w:r>
      <w:r>
        <w:rPr>
          <w:rFonts w:hint="eastAsia" w:ascii="仿宋_GB2312" w:hAnsi="仿宋_GB2312" w:eastAsia="仿宋_GB2312" w:cs="仿宋_GB2312"/>
          <w:color w:val="auto"/>
          <w:sz w:val="28"/>
          <w:szCs w:val="28"/>
          <w:lang w:eastAsia="zh-CN"/>
        </w:rPr>
        <w:t>教学、训练时间段</w:t>
      </w:r>
      <w:r>
        <w:rPr>
          <w:rFonts w:hint="eastAsia" w:ascii="仿宋_GB2312" w:hAnsi="仿宋_GB2312" w:eastAsia="仿宋_GB2312" w:cs="仿宋_GB2312"/>
          <w:color w:val="auto"/>
          <w:sz w:val="28"/>
          <w:szCs w:val="28"/>
        </w:rPr>
        <w:t>督促学生离开寝室</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按作息时间开关宿舍大门</w:t>
      </w:r>
      <w:r>
        <w:rPr>
          <w:rFonts w:hint="eastAsia" w:ascii="仿宋_GB2312" w:hAnsi="仿宋_GB2312" w:eastAsia="仿宋_GB2312" w:cs="仿宋_GB2312"/>
          <w:color w:val="auto"/>
          <w:sz w:val="28"/>
          <w:szCs w:val="28"/>
          <w:lang w:eastAsia="zh-CN"/>
        </w:rPr>
        <w:t>和</w:t>
      </w:r>
      <w:r>
        <w:rPr>
          <w:rFonts w:hint="eastAsia" w:ascii="仿宋_GB2312" w:hAnsi="仿宋_GB2312" w:eastAsia="仿宋_GB2312" w:cs="仿宋_GB2312"/>
          <w:color w:val="auto"/>
          <w:sz w:val="28"/>
          <w:szCs w:val="28"/>
        </w:rPr>
        <w:t>电源</w:t>
      </w:r>
      <w:r>
        <w:rPr>
          <w:rFonts w:hint="eastAsia" w:ascii="仿宋_GB2312" w:hAnsi="仿宋_GB2312" w:eastAsia="仿宋_GB2312" w:cs="仿宋_GB2312"/>
          <w:color w:val="auto"/>
          <w:sz w:val="28"/>
          <w:szCs w:val="28"/>
          <w:lang w:eastAsia="zh-CN"/>
        </w:rPr>
        <w:t>，并在冬夏季按学校要求运行中央空调。</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宿舍管理人员</w:t>
      </w:r>
      <w:r>
        <w:rPr>
          <w:rFonts w:hint="eastAsia" w:ascii="仿宋_GB2312" w:hAnsi="仿宋_GB2312" w:eastAsia="仿宋_GB2312" w:cs="仿宋_GB2312"/>
          <w:color w:val="auto"/>
          <w:sz w:val="28"/>
          <w:szCs w:val="28"/>
          <w:lang w:eastAsia="zh-CN"/>
        </w:rPr>
        <w:t>须</w:t>
      </w:r>
      <w:r>
        <w:rPr>
          <w:rFonts w:hint="eastAsia" w:ascii="仿宋_GB2312" w:hAnsi="仿宋_GB2312" w:eastAsia="仿宋_GB2312" w:cs="仿宋_GB2312"/>
          <w:color w:val="auto"/>
          <w:sz w:val="28"/>
          <w:szCs w:val="28"/>
        </w:rPr>
        <w:t>按照宿舍检查标准，积极主动地做好每日学生宿舍的各项检查工作，发现物品损坏要及时登记并报修。</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宿舍管理人员</w:t>
      </w:r>
      <w:r>
        <w:rPr>
          <w:rFonts w:hint="eastAsia" w:ascii="仿宋_GB2312" w:hAnsi="仿宋_GB2312" w:eastAsia="仿宋_GB2312" w:cs="仿宋_GB2312"/>
          <w:color w:val="auto"/>
          <w:sz w:val="28"/>
          <w:szCs w:val="28"/>
          <w:lang w:eastAsia="zh-CN"/>
        </w:rPr>
        <w:t>须</w:t>
      </w:r>
      <w:r>
        <w:rPr>
          <w:rFonts w:hint="eastAsia" w:ascii="仿宋_GB2312" w:hAnsi="仿宋_GB2312" w:eastAsia="仿宋_GB2312" w:cs="仿宋_GB2312"/>
          <w:color w:val="auto"/>
          <w:sz w:val="28"/>
          <w:szCs w:val="28"/>
        </w:rPr>
        <w:t>定期对宿舍内的各项安全设施（楼梯灯、消防栓、灭火器、应急灯等）进行检查，发现安全隐患要及时上报。</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宿舍管理人员</w:t>
      </w:r>
      <w:r>
        <w:rPr>
          <w:rFonts w:hint="eastAsia" w:ascii="仿宋_GB2312" w:hAnsi="仿宋_GB2312" w:eastAsia="仿宋_GB2312" w:cs="仿宋_GB2312"/>
          <w:color w:val="auto"/>
          <w:sz w:val="28"/>
          <w:szCs w:val="28"/>
          <w:lang w:eastAsia="zh-CN"/>
        </w:rPr>
        <w:t>须</w:t>
      </w:r>
      <w:r>
        <w:rPr>
          <w:rFonts w:hint="eastAsia" w:ascii="仿宋_GB2312" w:hAnsi="仿宋_GB2312" w:eastAsia="仿宋_GB2312" w:cs="仿宋_GB2312"/>
          <w:color w:val="auto"/>
          <w:sz w:val="28"/>
          <w:szCs w:val="28"/>
        </w:rPr>
        <w:t>在宿舍楼内巡视检查，督促学生</w:t>
      </w:r>
      <w:r>
        <w:rPr>
          <w:rFonts w:hint="eastAsia" w:ascii="仿宋_GB2312" w:hAnsi="仿宋_GB2312" w:eastAsia="仿宋_GB2312" w:cs="仿宋_GB2312"/>
          <w:color w:val="auto"/>
          <w:sz w:val="28"/>
          <w:szCs w:val="28"/>
          <w:lang w:eastAsia="zh-CN"/>
        </w:rPr>
        <w:t>做好卫生清洁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及时</w:t>
      </w:r>
      <w:r>
        <w:rPr>
          <w:rFonts w:hint="eastAsia" w:ascii="仿宋_GB2312" w:hAnsi="仿宋_GB2312" w:eastAsia="仿宋_GB2312" w:cs="仿宋_GB2312"/>
          <w:color w:val="auto"/>
          <w:sz w:val="28"/>
          <w:szCs w:val="28"/>
        </w:rPr>
        <w:t>制止</w:t>
      </w:r>
      <w:r>
        <w:rPr>
          <w:rFonts w:hint="eastAsia" w:ascii="仿宋_GB2312" w:hAnsi="仿宋_GB2312" w:eastAsia="仿宋_GB2312" w:cs="仿宋_GB2312"/>
          <w:color w:val="auto"/>
          <w:sz w:val="28"/>
          <w:szCs w:val="28"/>
          <w:lang w:eastAsia="zh-CN"/>
        </w:rPr>
        <w:t>学生</w:t>
      </w:r>
      <w:r>
        <w:rPr>
          <w:rFonts w:hint="eastAsia" w:ascii="仿宋_GB2312" w:hAnsi="仿宋_GB2312" w:eastAsia="仿宋_GB2312" w:cs="仿宋_GB2312"/>
          <w:color w:val="auto"/>
          <w:sz w:val="28"/>
          <w:szCs w:val="28"/>
        </w:rPr>
        <w:t>违纪行为</w:t>
      </w:r>
      <w:r>
        <w:rPr>
          <w:rFonts w:hint="eastAsia" w:ascii="仿宋_GB2312" w:hAnsi="仿宋_GB2312" w:eastAsia="仿宋_GB2312" w:cs="仿宋_GB2312"/>
          <w:color w:val="auto"/>
          <w:sz w:val="28"/>
          <w:szCs w:val="28"/>
          <w:lang w:eastAsia="zh-CN"/>
        </w:rPr>
        <w:t>并上报学校。</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宿舍管理人员打扫公共场所，保持宿舍区及周边地段的卫生。无乱堆乱放现象。</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十</w:t>
      </w:r>
      <w:r>
        <w:rPr>
          <w:rFonts w:hint="eastAsia" w:ascii="仿宋_GB2312" w:hAnsi="仿宋_GB2312" w:eastAsia="仿宋_GB2312" w:cs="仿宋_GB2312"/>
          <w:b/>
          <w:bCs/>
          <w:color w:val="auto"/>
          <w:sz w:val="28"/>
          <w:szCs w:val="28"/>
        </w:rPr>
        <w:t>、保洁岗位工作范围及要求</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1.保</w:t>
      </w:r>
      <w:r>
        <w:rPr>
          <w:rFonts w:hint="eastAsia" w:ascii="仿宋_GB2312" w:hAnsi="仿宋_GB2312" w:eastAsia="仿宋_GB2312" w:cs="仿宋_GB2312"/>
          <w:color w:val="auto"/>
          <w:sz w:val="28"/>
          <w:szCs w:val="28"/>
        </w:rPr>
        <w:t>洁形式为日常保洁，保洁时间为每周六天（周一至周六），每天上午7:00至11:00，下午13:00至17:00，如遇上级检查等特殊情况需在1小时内到达甲方校园提供保洁服务。</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2.保洁范围包括教学楼一至五层过道、墙面、窗户及卫生间；公寓楼一至六层楼梯和墙面、窗户及</w:t>
      </w:r>
      <w:r>
        <w:rPr>
          <w:rFonts w:hint="eastAsia" w:ascii="仿宋_GB2312" w:hAnsi="仿宋_GB2312" w:eastAsia="仿宋_GB2312" w:cs="仿宋_GB2312"/>
          <w:color w:val="auto"/>
          <w:sz w:val="28"/>
          <w:szCs w:val="28"/>
          <w:lang w:val="en-US" w:eastAsia="zh-CN"/>
        </w:rPr>
        <w:t>洗衣房</w:t>
      </w:r>
      <w:r>
        <w:rPr>
          <w:rFonts w:hint="eastAsia" w:ascii="仿宋_GB2312" w:hAnsi="仿宋_GB2312" w:eastAsia="仿宋_GB2312" w:cs="仿宋_GB2312"/>
          <w:color w:val="auto"/>
          <w:sz w:val="28"/>
          <w:szCs w:val="28"/>
        </w:rPr>
        <w:t>；训练馆</w:t>
      </w:r>
      <w:r>
        <w:rPr>
          <w:rFonts w:hint="eastAsia" w:ascii="仿宋_GB2312" w:hAnsi="仿宋_GB2312" w:eastAsia="仿宋_GB2312" w:cs="仿宋_GB2312"/>
          <w:color w:val="auto"/>
          <w:sz w:val="28"/>
          <w:szCs w:val="28"/>
          <w:lang w:eastAsia="zh-CN"/>
        </w:rPr>
        <w:t>负一层至三层楼梯、过道、一层</w:t>
      </w:r>
      <w:r>
        <w:rPr>
          <w:rFonts w:hint="eastAsia" w:ascii="仿宋_GB2312" w:hAnsi="仿宋_GB2312" w:eastAsia="仿宋_GB2312" w:cs="仿宋_GB2312"/>
          <w:color w:val="auto"/>
          <w:sz w:val="28"/>
          <w:szCs w:val="28"/>
        </w:rPr>
        <w:t>内外门厅；学校大门处及操场等室外公共区域的地面（包括室外篮球场、田径场和绿化带等，不包括餐厅）。</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保洁员须</w:t>
      </w:r>
      <w:r>
        <w:rPr>
          <w:rFonts w:hint="eastAsia" w:ascii="仿宋_GB2312" w:hAnsi="仿宋_GB2312" w:eastAsia="仿宋_GB2312" w:cs="仿宋_GB2312"/>
          <w:color w:val="auto"/>
          <w:sz w:val="28"/>
          <w:szCs w:val="28"/>
        </w:rPr>
        <w:t>全面负责所辖楼层大厅地面、楼梯、走廊、卫生间、楼梯扶手、墙壁的清洁卫生工作，每天上、下午至少各扫(拖、抹)一次。</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4.保洁员应</w:t>
      </w:r>
      <w:r>
        <w:rPr>
          <w:rFonts w:hint="eastAsia" w:ascii="仿宋_GB2312" w:hAnsi="仿宋_GB2312" w:eastAsia="仿宋_GB2312" w:cs="仿宋_GB2312"/>
          <w:color w:val="auto"/>
          <w:sz w:val="28"/>
          <w:szCs w:val="28"/>
        </w:rPr>
        <w:t>确保大厅地面、走廊、楼梯整洁卫生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如遇下雨天气，要对其地面进行不间断清理。</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5.保洁员须</w:t>
      </w:r>
      <w:r>
        <w:rPr>
          <w:rFonts w:hint="eastAsia" w:ascii="仿宋_GB2312" w:hAnsi="仿宋_GB2312" w:eastAsia="仿宋_GB2312" w:cs="仿宋_GB2312"/>
          <w:color w:val="auto"/>
          <w:sz w:val="28"/>
          <w:szCs w:val="28"/>
        </w:rPr>
        <w:t>做到</w:t>
      </w:r>
      <w:r>
        <w:rPr>
          <w:rFonts w:hint="eastAsia" w:ascii="仿宋_GB2312" w:hAnsi="仿宋_GB2312" w:eastAsia="仿宋_GB2312" w:cs="仿宋_GB2312"/>
          <w:color w:val="auto"/>
          <w:sz w:val="28"/>
          <w:szCs w:val="28"/>
          <w:lang w:eastAsia="zh-CN"/>
        </w:rPr>
        <w:t>清洁区域</w:t>
      </w:r>
      <w:r>
        <w:rPr>
          <w:rFonts w:hint="eastAsia" w:ascii="仿宋_GB2312" w:hAnsi="仿宋_GB2312" w:eastAsia="仿宋_GB2312" w:cs="仿宋_GB2312"/>
          <w:color w:val="auto"/>
          <w:sz w:val="28"/>
          <w:szCs w:val="28"/>
        </w:rPr>
        <w:t>无瓜果皮壳、纸屑、烟头等杂物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无积水、污迹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外部垃圾及时处理，内部如有堵塞及时反映、疏通，外表无污迹，无粘附物</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保洁员须</w:t>
      </w:r>
      <w:r>
        <w:rPr>
          <w:rFonts w:hint="eastAsia" w:ascii="仿宋_GB2312" w:hAnsi="仿宋_GB2312" w:eastAsia="仿宋_GB2312" w:cs="仿宋_GB2312"/>
          <w:color w:val="auto"/>
          <w:sz w:val="28"/>
          <w:szCs w:val="28"/>
        </w:rPr>
        <w:t>随时清扫卫生间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定期进行厕所消毒，</w:t>
      </w:r>
      <w:r>
        <w:rPr>
          <w:rFonts w:hint="eastAsia" w:ascii="仿宋_GB2312" w:hAnsi="仿宋_GB2312" w:eastAsia="仿宋_GB2312" w:cs="仿宋_GB2312"/>
          <w:color w:val="auto"/>
          <w:sz w:val="28"/>
          <w:szCs w:val="28"/>
          <w:lang w:eastAsia="zh-CN"/>
        </w:rPr>
        <w:t>卫生间应达到</w:t>
      </w:r>
      <w:r>
        <w:rPr>
          <w:rFonts w:hint="eastAsia" w:ascii="仿宋_GB2312" w:hAnsi="仿宋_GB2312" w:eastAsia="仿宋_GB2312" w:cs="仿宋_GB2312"/>
          <w:color w:val="auto"/>
          <w:sz w:val="28"/>
          <w:szCs w:val="28"/>
        </w:rPr>
        <w:t>地面清洁，大小便池无污垢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地面、台面、水盆整洁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玻璃明亮、无蛛网、无积灰、无积水，墙面无张贴、涂写，保证下水管道的畅通</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7.定期对校园污水管道进行疏通并保持其畅通。</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十</w:t>
      </w: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、保安岗位工作范围及要求</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1.保安工作时间为全年全天，每天24小时2人在岗。</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2.安保范围包括学校大门及所有楼馆室内外区域。</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.保安工作人员应做好门卫的管理工作，对</w:t>
      </w:r>
      <w:r>
        <w:rPr>
          <w:rFonts w:hint="eastAsia" w:ascii="仿宋_GB2312" w:hAnsi="仿宋_GB2312" w:eastAsia="仿宋_GB2312" w:cs="仿宋_GB2312"/>
          <w:color w:val="auto"/>
          <w:sz w:val="28"/>
          <w:szCs w:val="28"/>
        </w:rPr>
        <w:t>来访人员、学生家长</w:t>
      </w:r>
      <w:r>
        <w:rPr>
          <w:rFonts w:hint="eastAsia" w:ascii="仿宋_GB2312" w:hAnsi="仿宋_GB2312" w:eastAsia="仿宋_GB2312" w:cs="仿宋_GB2312"/>
          <w:color w:val="auto"/>
          <w:sz w:val="28"/>
          <w:szCs w:val="28"/>
          <w:lang w:eastAsia="zh-CN"/>
        </w:rPr>
        <w:t>核实人员信息情况，</w:t>
      </w:r>
      <w:r>
        <w:rPr>
          <w:rFonts w:hint="eastAsia" w:ascii="仿宋_GB2312" w:hAnsi="仿宋_GB2312" w:eastAsia="仿宋_GB2312" w:cs="仿宋_GB2312"/>
          <w:color w:val="auto"/>
          <w:sz w:val="28"/>
          <w:szCs w:val="28"/>
        </w:rPr>
        <w:t>填写来访登记表，</w:t>
      </w:r>
      <w:r>
        <w:rPr>
          <w:rFonts w:hint="eastAsia" w:ascii="仿宋_GB2312" w:hAnsi="仿宋_GB2312" w:eastAsia="仿宋_GB2312" w:cs="仿宋_GB2312"/>
          <w:color w:val="auto"/>
          <w:sz w:val="28"/>
          <w:szCs w:val="28"/>
          <w:lang w:eastAsia="zh-CN"/>
        </w:rPr>
        <w:t>落实来访对象，</w:t>
      </w:r>
      <w:r>
        <w:rPr>
          <w:rFonts w:hint="eastAsia" w:ascii="仿宋_GB2312" w:hAnsi="仿宋_GB2312" w:eastAsia="仿宋_GB2312" w:cs="仿宋_GB2312"/>
          <w:color w:val="auto"/>
          <w:sz w:val="28"/>
          <w:szCs w:val="28"/>
        </w:rPr>
        <w:t>对可疑物品要进行查验，严禁易燃易爆、剧毒、管制刀具等危险物品进入校园。</w:t>
      </w:r>
    </w:p>
    <w:p>
      <w:pPr>
        <w:pStyle w:val="4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保安人员须</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进出</w:t>
      </w:r>
      <w:r>
        <w:rPr>
          <w:rFonts w:hint="eastAsia" w:ascii="仿宋_GB2312" w:hAnsi="仿宋_GB2312" w:eastAsia="仿宋_GB2312" w:cs="仿宋_GB2312"/>
          <w:color w:val="auto"/>
          <w:sz w:val="28"/>
          <w:szCs w:val="28"/>
        </w:rPr>
        <w:t>学校的大宗物品</w:t>
      </w:r>
      <w:r>
        <w:rPr>
          <w:rFonts w:hint="eastAsia" w:ascii="仿宋_GB2312" w:hAnsi="仿宋_GB2312" w:eastAsia="仿宋_GB2312" w:cs="仿宋_GB2312"/>
          <w:color w:val="auto"/>
          <w:sz w:val="28"/>
          <w:szCs w:val="28"/>
          <w:lang w:eastAsia="zh-CN"/>
        </w:rPr>
        <w:t>进行查看，核实接收或带出人员情况。</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5.保安人员应做好每天的巡视巡查工作，日间巡查为不定时，夜间须每天对各楼馆从晚9点到清晨时段巡查不少于4次</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6.按照学校安排对校内公共区域进行消杀。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以上均是</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p>
    <w:p>
      <w:pPr>
        <w:pStyle w:val="3"/>
        <w:jc w:val="center"/>
        <w:rPr>
          <w:rFonts w:hint="eastAsia" w:ascii="华文仿宋" w:hAnsi="华文仿宋" w:cs="华文仿宋"/>
          <w:color w:val="auto"/>
        </w:rPr>
      </w:pPr>
      <w:r>
        <w:rPr>
          <w:rFonts w:ascii="宋体" w:hAnsi="宋体" w:eastAsia="宋体" w:cs="宋体"/>
          <w:color w:val="auto"/>
          <w:sz w:val="28"/>
          <w:szCs w:val="28"/>
        </w:rPr>
        <w:br w:type="page"/>
      </w:r>
      <w:bookmarkStart w:id="192" w:name="_Toc10371"/>
      <w:bookmarkStart w:id="193" w:name="_Toc35871571"/>
      <w:bookmarkStart w:id="194" w:name="_Toc14089"/>
      <w:bookmarkStart w:id="195" w:name="_Toc18466_WPSOffice_Level1"/>
      <w:bookmarkStart w:id="196" w:name="_Toc19317"/>
      <w:bookmarkStart w:id="197" w:name="_Toc12628"/>
      <w:bookmarkStart w:id="198" w:name="_Toc18484_WPSOffice_Level1"/>
      <w:bookmarkStart w:id="199" w:name="_Toc445306495"/>
      <w:bookmarkStart w:id="200" w:name="_Toc495014651"/>
      <w:bookmarkStart w:id="201" w:name="_Toc495012773"/>
      <w:bookmarkStart w:id="202" w:name="_Toc495014956"/>
      <w:bookmarkStart w:id="203" w:name="_Toc495012823"/>
      <w:bookmarkStart w:id="204" w:name="_Toc495014613"/>
      <w:bookmarkStart w:id="205" w:name="_Toc495014587"/>
      <w:bookmarkStart w:id="206" w:name="_Toc784_WPSOffice_Level1"/>
      <w:bookmarkStart w:id="207" w:name="_Toc495014922"/>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lang w:val="en-US" w:eastAsia="zh-CN" w:bidi="ar"/>
        </w:rPr>
        <w:t>（一）服务</w:t>
      </w:r>
      <w:r>
        <w:rPr>
          <w:rFonts w:hint="eastAsia" w:ascii="仿宋_GB2312" w:hAnsi="仿宋_GB2312" w:eastAsia="仿宋_GB2312" w:cs="仿宋_GB2312"/>
          <w:color w:val="auto"/>
          <w:kern w:val="0"/>
          <w:sz w:val="28"/>
          <w:szCs w:val="28"/>
          <w:highlight w:val="none"/>
          <w:lang w:val="en-US" w:eastAsia="zh-CN" w:bidi="ar"/>
        </w:rPr>
        <w:t>地点：陕西省汉中体育运动学校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（二）服务期：一年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（三）</w:t>
      </w:r>
      <w:r>
        <w:rPr>
          <w:rFonts w:hint="eastAsia" w:ascii="仿宋_GB2312" w:hAnsi="仿宋_GB2312" w:eastAsia="仿宋_GB2312" w:cs="仿宋_GB2312"/>
          <w:color w:val="auto"/>
          <w:kern w:val="0"/>
          <w:sz w:val="28"/>
          <w:szCs w:val="28"/>
          <w:highlight w:val="none"/>
          <w:lang w:val="en-US" w:eastAsia="zh-CN" w:bidi="ar"/>
        </w:rPr>
        <w:t xml:space="preserve">结算方式：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 xml:space="preserve">学校按时段每三个月向物业公司支付服务费。 </w:t>
      </w:r>
    </w:p>
    <w:p>
      <w:pPr>
        <w:keepNext/>
        <w:keepLines/>
        <w:pageBreakBefore w:val="0"/>
        <w:widowControl/>
        <w:kinsoku/>
        <w:wordWrap/>
        <w:overflowPunct/>
        <w:topLinePunct w:val="0"/>
        <w:autoSpaceDE/>
        <w:autoSpaceDN/>
        <w:bidi w:val="0"/>
        <w:adjustRightInd/>
        <w:snapToGrid/>
        <w:spacing w:line="500" w:lineRule="exact"/>
        <w:ind w:firstLine="566" w:firstLineChars="200"/>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四、</w:t>
      </w:r>
      <w:r>
        <w:rPr>
          <w:rFonts w:hint="eastAsia" w:ascii="仿宋_GB2312" w:hAnsi="仿宋_GB2312" w:eastAsia="仿宋_GB2312" w:cs="仿宋_GB2312"/>
          <w:b/>
          <w:bCs/>
          <w:color w:val="auto"/>
          <w:sz w:val="28"/>
          <w:szCs w:val="28"/>
        </w:rPr>
        <w:t>服务保证</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1、成交供应商提供服务时，服务要求应按不低于国家、省、市有关部门规定的质量标准执行。</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2、成交供应商承诺与拟投入人员均有劳动合同或聘用协议。</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、成交供应商承诺工作人员按磋商文件落实。</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五、服务承诺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以响应文件、澄清表（函）、合同等相关文件为准。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六、违约责任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七、争议解决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八、合同生效及其他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3、未尽事宜由双方在签订合同时具体明确。</w:t>
      </w:r>
    </w:p>
    <w:p>
      <w:pPr>
        <w:pageBreakBefore w:val="0"/>
        <w:widowControl/>
        <w:kinsoku/>
        <w:wordWrap/>
        <w:overflowPunct/>
        <w:topLinePunct w:val="0"/>
        <w:autoSpaceDE/>
        <w:autoSpaceDN/>
        <w:bidi w:val="0"/>
        <w:adjustRightInd/>
        <w:snapToGrid/>
        <w:spacing w:line="500" w:lineRule="exact"/>
        <w:jc w:val="left"/>
        <w:textAlignment w:val="auto"/>
        <w:rPr>
          <w:rFonts w:ascii="黑体" w:hAnsi="黑体" w:eastAsia="黑体"/>
          <w:b/>
          <w:bCs/>
          <w:color w:val="auto"/>
          <w:kern w:val="44"/>
          <w:sz w:val="28"/>
          <w:szCs w:val="28"/>
        </w:rPr>
      </w:pPr>
      <w:r>
        <w:rPr>
          <w:rFonts w:ascii="黑体" w:hAnsi="黑体" w:eastAsia="黑体"/>
          <w:bCs/>
          <w:color w:val="auto"/>
          <w:sz w:val="28"/>
          <w:szCs w:val="28"/>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39"/>
        <w:rPr>
          <w:color w:val="auto"/>
        </w:rPr>
      </w:pPr>
    </w:p>
    <w:p>
      <w:pPr>
        <w:pStyle w:val="39"/>
        <w:rPr>
          <w:color w:val="auto"/>
        </w:rPr>
      </w:pPr>
    </w:p>
    <w:p>
      <w:pPr>
        <w:pStyle w:val="39"/>
        <w:rPr>
          <w:color w:val="auto"/>
        </w:rPr>
      </w:pPr>
    </w:p>
    <w:p>
      <w:pPr>
        <w:pStyle w:val="39"/>
        <w:rPr>
          <w:color w:val="auto"/>
        </w:rPr>
      </w:pPr>
      <w:r>
        <w:rPr>
          <w:rFonts w:hint="eastAsia"/>
          <w:color w:val="auto"/>
        </w:rPr>
        <w:t xml:space="preserve">  </w:t>
      </w:r>
    </w:p>
    <w:tbl>
      <w:tblPr>
        <w:tblStyle w:val="19"/>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39"/>
        <w:rPr>
          <w:color w:val="auto"/>
          <w:sz w:val="20"/>
        </w:rPr>
      </w:pPr>
    </w:p>
    <w:p>
      <w:pPr>
        <w:pStyle w:val="36"/>
        <w:spacing w:line="240" w:lineRule="auto"/>
        <w:ind w:firstLine="253" w:firstLineChars="70"/>
        <w:jc w:val="center"/>
        <w:rPr>
          <w:rFonts w:ascii="宋体" w:hAnsi="宋体" w:eastAsia="宋体"/>
          <w:color w:val="auto"/>
          <w:sz w:val="36"/>
          <w:szCs w:val="36"/>
        </w:rPr>
      </w:pPr>
    </w:p>
    <w:p>
      <w:pPr>
        <w:pStyle w:val="36"/>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4786"/>
      <w:bookmarkStart w:id="210" w:name="_Toc26349"/>
      <w:bookmarkStart w:id="211" w:name="_Toc6132"/>
      <w:bookmarkStart w:id="212" w:name="_Toc26293"/>
      <w:bookmarkStart w:id="213" w:name="_Toc10248"/>
      <w:bookmarkStart w:id="214" w:name="_Toc23235"/>
      <w:bookmarkStart w:id="215" w:name="_Toc257"/>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6"/>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8257"/>
      <w:bookmarkStart w:id="218" w:name="_Toc26378"/>
      <w:bookmarkStart w:id="219" w:name="_Toc20481"/>
      <w:bookmarkStart w:id="220" w:name="_Toc76"/>
      <w:bookmarkStart w:id="221" w:name="_Toc6733"/>
      <w:bookmarkStart w:id="222" w:name="_Toc17700"/>
      <w:bookmarkStart w:id="223" w:name="_Toc19569"/>
      <w:bookmarkStart w:id="224" w:name="_Toc13950"/>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6"/>
        <w:spacing w:line="240" w:lineRule="auto"/>
        <w:ind w:firstLine="0" w:firstLineChars="0"/>
        <w:jc w:val="center"/>
        <w:rPr>
          <w:rFonts w:ascii="华文仿宋" w:hAnsi="华文仿宋" w:cs="华文仿宋"/>
          <w:color w:val="auto"/>
          <w:sz w:val="36"/>
          <w:szCs w:val="36"/>
        </w:rPr>
      </w:pPr>
    </w:p>
    <w:p>
      <w:pPr>
        <w:pStyle w:val="36"/>
        <w:spacing w:line="240" w:lineRule="auto"/>
        <w:ind w:firstLine="0" w:firstLineChars="0"/>
        <w:jc w:val="both"/>
        <w:rPr>
          <w:rFonts w:ascii="华文仿宋" w:hAnsi="华文仿宋" w:cs="华文仿宋"/>
          <w:color w:val="auto"/>
          <w:sz w:val="36"/>
          <w:szCs w:val="36"/>
        </w:rPr>
      </w:pPr>
    </w:p>
    <w:p>
      <w:pPr>
        <w:pStyle w:val="36"/>
        <w:spacing w:line="240" w:lineRule="auto"/>
        <w:ind w:firstLine="0" w:firstLineChars="0"/>
        <w:jc w:val="both"/>
        <w:rPr>
          <w:rFonts w:ascii="华文仿宋" w:hAnsi="华文仿宋" w:cs="华文仿宋"/>
          <w:color w:val="auto"/>
          <w:sz w:val="36"/>
          <w:szCs w:val="36"/>
        </w:rPr>
      </w:pPr>
    </w:p>
    <w:p>
      <w:pPr>
        <w:pStyle w:val="36"/>
        <w:spacing w:line="240" w:lineRule="auto"/>
        <w:ind w:firstLine="0" w:firstLineChars="0"/>
        <w:jc w:val="center"/>
        <w:rPr>
          <w:rFonts w:ascii="华文仿宋" w:hAnsi="华文仿宋" w:cs="华文仿宋"/>
          <w:color w:val="auto"/>
          <w:sz w:val="36"/>
        </w:rPr>
      </w:pPr>
    </w:p>
    <w:p>
      <w:pPr>
        <w:pStyle w:val="36"/>
        <w:spacing w:line="240" w:lineRule="auto"/>
        <w:ind w:firstLine="0" w:firstLineChars="0"/>
        <w:jc w:val="center"/>
        <w:rPr>
          <w:rFonts w:ascii="华文仿宋" w:hAnsi="华文仿宋" w:cs="华文仿宋"/>
          <w:color w:val="auto"/>
          <w:sz w:val="36"/>
        </w:rPr>
      </w:pPr>
    </w:p>
    <w:p>
      <w:pPr>
        <w:pStyle w:val="36"/>
        <w:spacing w:line="240" w:lineRule="auto"/>
        <w:ind w:firstLine="0" w:firstLineChars="0"/>
        <w:jc w:val="center"/>
        <w:rPr>
          <w:rFonts w:hint="eastAsia" w:ascii="仿宋_GB2312" w:hAnsi="仿宋_GB2312" w:eastAsia="仿宋_GB2312" w:cs="仿宋_GB2312"/>
          <w:color w:val="auto"/>
          <w:sz w:val="36"/>
        </w:rPr>
      </w:pPr>
    </w:p>
    <w:p>
      <w:pPr>
        <w:pStyle w:val="36"/>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3171"/>
      <w:bookmarkStart w:id="226" w:name="_Toc22280"/>
      <w:bookmarkStart w:id="227" w:name="_Toc12627"/>
      <w:bookmarkStart w:id="228" w:name="_Toc15913"/>
      <w:bookmarkStart w:id="229" w:name="_Toc2030"/>
      <w:bookmarkStart w:id="230" w:name="_Toc24486"/>
      <w:bookmarkStart w:id="231" w:name="_Toc24457"/>
      <w:bookmarkStart w:id="232" w:name="_Toc15354"/>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6"/>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22519"/>
      <w:bookmarkStart w:id="235" w:name="_Toc1120"/>
      <w:bookmarkStart w:id="236" w:name="_Toc11267"/>
      <w:bookmarkStart w:id="237" w:name="_Toc29966"/>
      <w:bookmarkStart w:id="238" w:name="_Toc5428"/>
      <w:bookmarkStart w:id="239" w:name="_Toc15987"/>
      <w:bookmarkStart w:id="240" w:name="_Toc21054"/>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6"/>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6"/>
        <w:spacing w:line="240" w:lineRule="auto"/>
        <w:ind w:firstLine="1452" w:firstLineChars="400"/>
        <w:jc w:val="left"/>
        <w:outlineLvl w:val="0"/>
        <w:rPr>
          <w:rFonts w:hint="eastAsia" w:ascii="仿宋" w:hAnsi="仿宋" w:eastAsia="仿宋" w:cs="仿宋"/>
          <w:color w:val="auto"/>
          <w:sz w:val="36"/>
          <w:szCs w:val="36"/>
          <w:u w:val="single"/>
        </w:rPr>
      </w:pPr>
      <w:bookmarkStart w:id="242" w:name="_Toc7734"/>
      <w:bookmarkStart w:id="243" w:name="_Toc9715"/>
      <w:bookmarkStart w:id="244" w:name="_Toc21702"/>
      <w:bookmarkStart w:id="245" w:name="_Toc26250"/>
      <w:bookmarkStart w:id="246" w:name="_Toc15429"/>
      <w:bookmarkStart w:id="247" w:name="_Toc880"/>
      <w:bookmarkStart w:id="248" w:name="_Toc5243"/>
      <w:bookmarkStart w:id="249" w:name="_Toc24294"/>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6"/>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22476_WPSOffice_Level1"/>
      <w:bookmarkStart w:id="251" w:name="_Toc31082_WPSOffice_Level1"/>
      <w:bookmarkStart w:id="252" w:name="_Toc21571_WPSOffice_Level1"/>
      <w:bookmarkStart w:id="253" w:name="_Toc2071_WPSOffice_Level1"/>
      <w:r>
        <w:rPr>
          <w:rFonts w:ascii="华文仿宋" w:hAnsi="华文仿宋" w:cs="华文仿宋"/>
          <w:color w:val="auto"/>
          <w:sz w:val="36"/>
        </w:rPr>
        <w:br w:type="page"/>
      </w:r>
    </w:p>
    <w:p>
      <w:pPr>
        <w:pStyle w:val="40"/>
        <w:rPr>
          <w:rFonts w:hint="eastAsia" w:ascii="黑体" w:hAnsi="黑体" w:eastAsia="黑体" w:cs="黑体"/>
          <w:b w:val="0"/>
          <w:bCs w:val="0"/>
          <w:color w:val="auto"/>
          <w:sz w:val="36"/>
          <w:szCs w:val="36"/>
        </w:rPr>
      </w:pPr>
      <w:bookmarkStart w:id="254" w:name="_Toc27037"/>
      <w:bookmarkStart w:id="255" w:name="_Toc10193"/>
      <w:bookmarkStart w:id="256" w:name="_Toc11156"/>
      <w:bookmarkStart w:id="257" w:name="_Toc24906"/>
      <w:bookmarkStart w:id="258" w:name="_Toc23450"/>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26192_WPSOffice_Level1"/>
      <w:bookmarkStart w:id="260" w:name="_Toc19993_WPSOffice_Level1"/>
      <w:bookmarkStart w:id="261" w:name="_Toc25537_WPSOffice_Level1"/>
      <w:bookmarkStart w:id="262" w:name="_Toc8294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19993_WPSOffice_Level2"/>
      <w:bookmarkStart w:id="264" w:name="_Toc25969_WPSOffice_Level2"/>
      <w:bookmarkStart w:id="265" w:name="_Toc31082_WPSOffice_Level2"/>
      <w:bookmarkStart w:id="266" w:name="_Toc14464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10078_WPSOffice_Level2"/>
      <w:bookmarkStart w:id="268" w:name="_Toc27026_WPSOffice_Level2"/>
      <w:bookmarkStart w:id="269" w:name="_Toc25537_WPSOffice_Level2"/>
      <w:bookmarkStart w:id="270" w:name="_Toc5830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22808_WPSOffice_Level2"/>
      <w:bookmarkStart w:id="272" w:name="_Toc30252_WPSOffice_Level2"/>
      <w:bookmarkStart w:id="273" w:name="_Toc17853_WPSOffice_Level2"/>
      <w:bookmarkStart w:id="274" w:name="_Toc6392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26939_WPSOffice_Level2"/>
      <w:bookmarkStart w:id="276" w:name="_Toc25958_WPSOffice_Level2"/>
      <w:bookmarkStart w:id="277" w:name="_Toc6376_WPSOffice_Level2"/>
      <w:bookmarkStart w:id="278" w:name="_Toc27464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25801_WPSOffice_Level2"/>
      <w:bookmarkStart w:id="280" w:name="_Toc10792_WPSOffice_Level2"/>
      <w:bookmarkStart w:id="281" w:name="_Toc17511_WPSOffice_Level2"/>
      <w:bookmarkStart w:id="282" w:name="_Toc3534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5115_WPSOffice_Level2"/>
      <w:bookmarkStart w:id="284" w:name="_Toc21196_WPSOffice_Level2"/>
      <w:bookmarkStart w:id="285" w:name="_Toc17236_WPSOffice_Level2"/>
      <w:bookmarkStart w:id="286" w:name="_Toc12145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val="en-US" w:eastAsia="zh-CN"/>
        </w:rPr>
        <w:t>落实政府采购政策需满足的资格要求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22849_WPSOffice_Level1"/>
      <w:bookmarkStart w:id="288" w:name="_Toc28184_WPSOffice_Level1"/>
      <w:bookmarkStart w:id="289" w:name="_Toc27026_WPSOffice_Level1"/>
      <w:bookmarkStart w:id="290" w:name="_Toc30252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5795_WPSOffice_Level2"/>
      <w:bookmarkStart w:id="292" w:name="_Toc7348_WPSOffice_Level2"/>
      <w:bookmarkStart w:id="293" w:name="_Toc183_WPSOffice_Level2"/>
      <w:bookmarkStart w:id="294" w:name="_Toc28631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27223_WPSOffice_Level2"/>
      <w:bookmarkStart w:id="296" w:name="_Toc9021_WPSOffice_Level2"/>
      <w:bookmarkStart w:id="297" w:name="_Toc1168_WPSOffice_Level2"/>
      <w:bookmarkStart w:id="298" w:name="_Toc8116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27170_WPSOffice_Level2"/>
      <w:bookmarkStart w:id="300" w:name="_Toc29414_WPSOffice_Level2"/>
      <w:bookmarkStart w:id="301" w:name="_Toc11630_WPSOffice_Level2"/>
      <w:bookmarkStart w:id="302" w:name="_Toc3525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1782_WPSOffice_Level2"/>
      <w:bookmarkStart w:id="304" w:name="_Toc18811_WPSOffice_Level2"/>
      <w:bookmarkStart w:id="305" w:name="_Toc20504_WPSOffice_Level2"/>
      <w:bookmarkStart w:id="306" w:name="_Toc31457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28279_WPSOffice_Level2"/>
      <w:bookmarkStart w:id="308" w:name="_Toc17428_WPSOffice_Level2"/>
      <w:bookmarkStart w:id="309" w:name="_Toc19486_WPSOffice_Level2"/>
      <w:bookmarkStart w:id="310" w:name="_Toc13258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7464_WPSOffice_Level1"/>
      <w:bookmarkStart w:id="312" w:name="_Toc21905_WPSOffice_Level1"/>
      <w:bookmarkStart w:id="313" w:name="_Toc23092_WPSOffice_Level1"/>
      <w:bookmarkStart w:id="314" w:name="_Toc22808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7544_WPSOffice_Level2"/>
      <w:bookmarkStart w:id="317" w:name="_Toc8316_WPSOffice_Level2"/>
      <w:bookmarkStart w:id="318" w:name="_Toc980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10127_WPSOffice_Level2"/>
      <w:bookmarkStart w:id="320" w:name="_Toc15474_WPSOffice_Level2"/>
      <w:bookmarkStart w:id="321" w:name="_Toc2999_WPSOffice_Level2"/>
      <w:bookmarkStart w:id="322" w:name="_Toc2987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13401_WPSOffice_Level2"/>
      <w:bookmarkStart w:id="324" w:name="_Toc15492_WPSOffice_Level2"/>
      <w:bookmarkStart w:id="325" w:name="_Toc22913_WPSOffice_Level2"/>
      <w:bookmarkStart w:id="326" w:name="_Toc28542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14670_WPSOffice_Level1"/>
      <w:bookmarkStart w:id="328" w:name="_Toc16498"/>
      <w:bookmarkStart w:id="329" w:name="_Toc8079"/>
      <w:bookmarkStart w:id="330" w:name="_Toc3534_WPSOffice_Level1"/>
      <w:bookmarkStart w:id="331" w:name="_Toc23478"/>
      <w:bookmarkStart w:id="332" w:name="_Toc6199"/>
      <w:bookmarkStart w:id="333" w:name="_Toc5115_WPSOffice_Level1"/>
      <w:r>
        <w:rPr>
          <w:rStyle w:val="41"/>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34" w:name="_Toc19075_WPSOffice_Level2"/>
      <w:bookmarkStart w:id="335" w:name="_Toc9954_WPSOffice_Level2"/>
      <w:bookmarkStart w:id="336" w:name="_Toc6967_WPSOffice_Level2"/>
      <w:bookmarkStart w:id="337" w:name="_Toc26041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38" w:name="_Toc6228_WPSOffice_Level2"/>
      <w:bookmarkStart w:id="339" w:name="_Toc18116_WPSOffice_Level2"/>
      <w:bookmarkStart w:id="340" w:name="_Toc24324_WPSOffice_Level2"/>
      <w:bookmarkStart w:id="341" w:name="_Toc8228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42" w:name="_Toc25438_WPSOffice_Level2"/>
      <w:bookmarkStart w:id="343" w:name="_Toc29597_WPSOffice_Level2"/>
      <w:bookmarkStart w:id="344" w:name="_Toc9514_WPSOffice_Level2"/>
      <w:bookmarkStart w:id="345" w:name="_Toc8724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color w:val="auto"/>
          <w:sz w:val="28"/>
          <w:szCs w:val="28"/>
        </w:rPr>
      </w:pPr>
      <w:bookmarkStart w:id="346" w:name="_Toc18154_WPSOffice_Level2"/>
      <w:bookmarkStart w:id="347" w:name="_Toc22563_WPSOffice_Level2"/>
      <w:bookmarkStart w:id="348" w:name="_Toc960_WPSOffice_Level2"/>
      <w:bookmarkStart w:id="349" w:name="_Toc26260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b/>
          <w:color w:val="auto"/>
          <w:sz w:val="28"/>
          <w:szCs w:val="28"/>
        </w:rPr>
      </w:pPr>
      <w:bookmarkStart w:id="350" w:name="_Toc10483_WPSOffice_Level2"/>
      <w:bookmarkStart w:id="351" w:name="_Toc32533_WPSOffice_Level2"/>
      <w:bookmarkStart w:id="352" w:name="_Toc1079_WPSOffice_Level2"/>
      <w:bookmarkStart w:id="353" w:name="_Toc30636_WPSOffice_Level2"/>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2"/>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2"/>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汉中市</w:t>
      </w:r>
      <w:r>
        <w:rPr>
          <w:rFonts w:hint="eastAsia" w:ascii="仿宋_GB2312" w:hAnsi="仿宋_GB2312" w:eastAsia="仿宋_GB2312" w:cs="仿宋_GB2312"/>
          <w:color w:val="auto"/>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我方作为</w:t>
      </w:r>
      <w:r>
        <w:rPr>
          <w:rFonts w:hint="eastAsia" w:ascii="仿宋_GB2312" w:hAnsi="仿宋_GB2312" w:eastAsia="仿宋_GB2312" w:cs="仿宋_GB2312"/>
          <w:color w:val="auto"/>
          <w:u w:val="single"/>
        </w:rPr>
        <w:t>项目名称</w:t>
      </w:r>
      <w:r>
        <w:rPr>
          <w:rFonts w:hint="eastAsia" w:ascii="仿宋_GB2312" w:hAnsi="仿宋_GB2312" w:eastAsia="仿宋_GB2312" w:cs="仿宋_GB2312"/>
          <w:color w:val="auto"/>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在参加本次政府采购活动前3年内的经营活动中____（填“没有”或“有”）重大违法记录。</w:t>
      </w:r>
    </w:p>
    <w:p>
      <w:pPr>
        <w:pStyle w:val="18"/>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如有不实，我方将无条件地退出本项目的采购活动，并遵照《政府采购法》有关“提供虚假材料的规定”接受处罚。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18"/>
        <w:ind w:firstLine="304"/>
        <w:rPr>
          <w:b/>
          <w:bCs/>
          <w:color w:val="auto"/>
          <w:sz w:val="30"/>
          <w:szCs w:val="30"/>
        </w:rPr>
      </w:pPr>
    </w:p>
    <w:p>
      <w:pPr>
        <w:pStyle w:val="18"/>
        <w:ind w:firstLine="304"/>
        <w:rPr>
          <w:b/>
          <w:bCs/>
          <w:color w:val="auto"/>
          <w:sz w:val="30"/>
          <w:szCs w:val="30"/>
        </w:rPr>
      </w:pPr>
    </w:p>
    <w:p>
      <w:pPr>
        <w:rPr>
          <w:b/>
          <w:bCs/>
          <w:color w:val="auto"/>
          <w:sz w:val="30"/>
          <w:szCs w:val="30"/>
        </w:rPr>
      </w:pPr>
      <w:r>
        <w:rPr>
          <w:b/>
          <w:bCs/>
          <w:color w:val="auto"/>
          <w:sz w:val="30"/>
          <w:szCs w:val="30"/>
        </w:rPr>
        <w:br w:type="page"/>
      </w:r>
    </w:p>
    <w:p>
      <w:pPr>
        <w:pStyle w:val="42"/>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13298_WPSOffice_Level2"/>
      <w:bookmarkStart w:id="355" w:name="_Toc24625_WPSOffice_Level2"/>
      <w:bookmarkStart w:id="356" w:name="_Toc14516_WPSOffice_Level2"/>
      <w:bookmarkStart w:id="357" w:name="_Toc23486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2"/>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汉中市</w:t>
      </w:r>
      <w:r>
        <w:rPr>
          <w:rFonts w:hint="eastAsia" w:ascii="仿宋_GB2312" w:hAnsi="仿宋_GB2312" w:eastAsia="仿宋_GB2312" w:cs="仿宋_GB2312"/>
          <w:color w:val="auto"/>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现委派</w:t>
      </w:r>
      <w:r>
        <w:rPr>
          <w:rFonts w:hint="eastAsia" w:ascii="仿宋_GB2312" w:hAnsi="仿宋_GB2312" w:eastAsia="仿宋_GB2312" w:cs="仿宋_GB2312"/>
          <w:color w:val="auto"/>
          <w:u w:val="single"/>
        </w:rPr>
        <w:t>（授权代表姓名）</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身份证号：</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rPr>
        <w:t>为本公司的授权代表，参加贵方组织的</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 xml:space="preserve">项目名称 </w:t>
      </w:r>
      <w:r>
        <w:rPr>
          <w:rFonts w:hint="eastAsia" w:ascii="仿宋_GB2312" w:hAnsi="仿宋_GB2312" w:eastAsia="仿宋_GB2312" w:cs="仿宋_GB2312"/>
          <w:color w:val="auto"/>
        </w:rPr>
        <w:t>（项目编号：</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）第___标段政府采购活动，就该项目的</w:t>
      </w:r>
      <w:r>
        <w:rPr>
          <w:rFonts w:hint="eastAsia" w:ascii="仿宋_GB2312" w:hAnsi="仿宋_GB2312" w:eastAsia="仿宋_GB2312" w:cs="仿宋_GB2312"/>
          <w:color w:val="auto"/>
          <w:lang w:val="en-US" w:eastAsia="zh-CN"/>
        </w:rPr>
        <w:t>磋商</w:t>
      </w:r>
      <w:r>
        <w:rPr>
          <w:rFonts w:hint="eastAsia" w:ascii="仿宋_GB2312" w:hAnsi="仿宋_GB2312" w:eastAsia="仿宋_GB2312" w:cs="仿宋_GB2312"/>
          <w:color w:val="auto"/>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授权代表姓名：_______________</w:t>
      </w:r>
      <w:r>
        <w:rPr>
          <w:rFonts w:hint="eastAsia" w:ascii="仿宋_GB2312" w:hAnsi="仿宋_GB2312" w:eastAsia="仿宋_GB2312" w:cs="仿宋_GB2312"/>
          <w:color w:val="auto"/>
        </w:rPr>
        <w:tab/>
      </w:r>
      <w:r>
        <w:rPr>
          <w:rFonts w:hint="eastAsia" w:ascii="仿宋_GB2312" w:hAnsi="仿宋_GB2312" w:eastAsia="仿宋_GB2312" w:cs="仿宋_GB2312"/>
          <w:color w:val="auto"/>
        </w:rPr>
        <w:t>性别：_____</w:t>
      </w:r>
      <w:r>
        <w:rPr>
          <w:rFonts w:hint="eastAsia" w:ascii="仿宋_GB2312" w:hAnsi="仿宋_GB2312" w:eastAsia="仿宋_GB2312" w:cs="仿宋_GB2312"/>
          <w:color w:val="auto"/>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通讯地址：__________________     邮政编码：__________</w:t>
      </w:r>
    </w:p>
    <w:tbl>
      <w:tblPr>
        <w:tblStyle w:val="19"/>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18"/>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b/>
          <w:bCs/>
          <w:color w:val="auto"/>
          <w:sz w:val="32"/>
          <w:szCs w:val="32"/>
          <w:highlight w:val="none"/>
          <w:lang w:val="en-US" w:eastAsia="zh-CN"/>
        </w:rPr>
      </w:pPr>
      <w:bookmarkStart w:id="359" w:name="_Toc28770"/>
      <w:bookmarkStart w:id="360" w:name="_Toc1034"/>
      <w:bookmarkStart w:id="361" w:name="_Toc18829"/>
      <w:bookmarkStart w:id="362" w:name="_Toc29866"/>
      <w:bookmarkStart w:id="363" w:name="_Toc2083"/>
      <w:bookmarkStart w:id="364" w:name="_Toc9519_WPSOffice_Level2"/>
      <w:bookmarkStart w:id="365" w:name="_Toc29990_WPSOffice_Level2"/>
      <w:bookmarkStart w:id="366" w:name="_Toc20137"/>
      <w:bookmarkStart w:id="367" w:name="_Toc17773_WPSOffice_Level2"/>
      <w:bookmarkStart w:id="368" w:name="_Toc29102_WPSOffice_Level2"/>
      <w:r>
        <w:rPr>
          <w:rFonts w:hint="eastAsia" w:ascii="仿宋_GB2312" w:hAnsi="仿宋_GB2312" w:eastAsia="仿宋_GB2312" w:cs="仿宋_GB2312"/>
          <w:b/>
          <w:bCs/>
          <w:color w:val="auto"/>
          <w:kern w:val="2"/>
          <w:sz w:val="32"/>
          <w:szCs w:val="32"/>
          <w:lang w:val="en-US" w:eastAsia="zh-CN" w:bidi="ar-SA"/>
        </w:rPr>
        <w:t>七、</w:t>
      </w:r>
      <w:r>
        <w:rPr>
          <w:rFonts w:hint="eastAsia" w:ascii="仿宋_GB2312" w:hAnsi="仿宋_GB2312" w:eastAsia="仿宋_GB2312" w:cs="仿宋_GB2312"/>
          <w:b/>
          <w:bCs/>
          <w:color w:val="auto"/>
          <w:sz w:val="32"/>
          <w:szCs w:val="32"/>
          <w:highlight w:val="none"/>
          <w:lang w:val="en-US" w:eastAsia="zh-CN"/>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iCs/>
          <w:color w:val="auto"/>
          <w:sz w:val="28"/>
          <w:szCs w:val="28"/>
          <w:u w:val="single"/>
          <w:lang w:val="en-US" w:eastAsia="zh-CN"/>
        </w:rPr>
        <w:t>（单位名称）</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i/>
          <w:iCs/>
          <w:color w:val="auto"/>
          <w:sz w:val="28"/>
          <w:szCs w:val="28"/>
          <w:u w:val="single"/>
          <w:lang w:val="en-US" w:eastAsia="zh-CN"/>
        </w:rPr>
        <w:t>（项目名称）</w:t>
      </w:r>
      <w:r>
        <w:rPr>
          <w:rFonts w:hint="eastAsia" w:ascii="仿宋_GB2312" w:hAnsi="仿宋_GB2312" w:eastAsia="仿宋_GB2312" w:cs="仿宋_GB2312"/>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企业名称（盖章）：</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日 期：</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备注：1、</w:t>
      </w:r>
      <w:r>
        <w:rPr>
          <w:rFonts w:hint="eastAsia" w:ascii="宋体" w:hAnsi="宋体" w:eastAsia="宋体" w:cs="宋体"/>
          <w:color w:val="auto"/>
          <w:sz w:val="21"/>
          <w:szCs w:val="21"/>
        </w:rPr>
        <w:t>本项目采购标的对应的中小企业划分标准所属行业</w:t>
      </w:r>
      <w:r>
        <w:rPr>
          <w:rFonts w:hint="eastAsia" w:ascii="宋体" w:hAnsi="宋体" w:eastAsia="宋体" w:cs="宋体"/>
          <w:color w:val="auto"/>
          <w:sz w:val="21"/>
          <w:szCs w:val="21"/>
          <w:highlight w:val="none"/>
        </w:rPr>
        <w:t>为：</w:t>
      </w:r>
      <w:r>
        <w:rPr>
          <w:rFonts w:hint="eastAsia" w:ascii="宋体" w:hAnsi="宋体" w:eastAsia="宋体" w:cs="宋体"/>
          <w:b/>
          <w:bCs/>
          <w:color w:val="auto"/>
          <w:sz w:val="21"/>
          <w:szCs w:val="21"/>
          <w:highlight w:val="none"/>
          <w:lang w:val="en-US" w:eastAsia="zh-CN"/>
        </w:rPr>
        <w:t>物业管理</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序（http://202.106.120.146/baosong/appweb/orgScale.html）进行测算。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40"/>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69" w:name="_Toc9751"/>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9"/>
    </w:p>
    <w:p>
      <w:pPr>
        <w:pStyle w:val="4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370" w:name="_Toc14262"/>
      <w:bookmarkStart w:id="371" w:name="_Toc3857"/>
      <w:bookmarkStart w:id="372" w:name="_Toc26585"/>
      <w:bookmarkStart w:id="373" w:name="_Toc28961"/>
      <w:bookmarkStart w:id="374" w:name="_Toc26623"/>
      <w:bookmarkStart w:id="375" w:name="_Toc19788"/>
      <w:bookmarkStart w:id="376" w:name="_Toc2230"/>
      <w:bookmarkStart w:id="377" w:name="_Toc22486"/>
      <w:bookmarkStart w:id="378" w:name="_Toc7047"/>
      <w:r>
        <w:rPr>
          <w:rFonts w:hint="eastAsia" w:ascii="仿宋_GB2312" w:hAnsi="仿宋_GB2312" w:eastAsia="仿宋_GB2312" w:cs="仿宋_GB2312"/>
          <w:bCs w:val="0"/>
          <w:color w:val="auto"/>
          <w:sz w:val="32"/>
          <w:szCs w:val="32"/>
        </w:rPr>
        <w:t>一、响应函格式</w:t>
      </w:r>
      <w:bookmarkEnd w:id="370"/>
      <w:bookmarkEnd w:id="371"/>
      <w:bookmarkEnd w:id="372"/>
      <w:bookmarkEnd w:id="373"/>
      <w:bookmarkEnd w:id="374"/>
      <w:bookmarkEnd w:id="375"/>
      <w:bookmarkEnd w:id="376"/>
      <w:bookmarkEnd w:id="377"/>
      <w:bookmarkEnd w:id="378"/>
    </w:p>
    <w:p>
      <w:pPr>
        <w:pStyle w:val="36"/>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32"/>
          <w:szCs w:val="32"/>
        </w:rPr>
      </w:pPr>
      <w:bookmarkStart w:id="379" w:name="_Toc22777"/>
      <w:bookmarkStart w:id="380" w:name="_Toc10617"/>
      <w:bookmarkStart w:id="381" w:name="_Toc23334"/>
      <w:r>
        <w:rPr>
          <w:rFonts w:hint="eastAsia" w:ascii="仿宋_GB2312" w:hAnsi="仿宋_GB2312" w:eastAsia="仿宋_GB2312" w:cs="仿宋_GB2312"/>
          <w:b/>
          <w:bCs/>
          <w:color w:val="auto"/>
          <w:sz w:val="32"/>
          <w:szCs w:val="32"/>
        </w:rPr>
        <w:t>响应函</w:t>
      </w:r>
      <w:bookmarkEnd w:id="379"/>
      <w:bookmarkEnd w:id="380"/>
      <w:bookmarkEnd w:id="381"/>
    </w:p>
    <w:p>
      <w:pPr>
        <w:pStyle w:val="36"/>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6"/>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6"/>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6"/>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6"/>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6"/>
        <w:ind w:firstLine="639" w:firstLineChars="300"/>
        <w:rPr>
          <w:rFonts w:hint="eastAsia" w:ascii="宋体" w:hAnsi="宋体" w:eastAsia="宋体" w:cs="宋体"/>
          <w:b/>
          <w:bCs/>
          <w:color w:val="auto"/>
          <w:sz w:val="21"/>
          <w:szCs w:val="21"/>
        </w:rPr>
      </w:pPr>
    </w:p>
    <w:p>
      <w:pPr>
        <w:pStyle w:val="36"/>
        <w:ind w:firstLine="639" w:firstLineChars="300"/>
        <w:rPr>
          <w:rFonts w:hint="eastAsia" w:ascii="宋体" w:hAnsi="宋体" w:eastAsia="宋体" w:cs="宋体"/>
          <w:b/>
          <w:bCs/>
          <w:color w:val="auto"/>
          <w:sz w:val="21"/>
          <w:szCs w:val="21"/>
        </w:rPr>
      </w:pPr>
    </w:p>
    <w:p>
      <w:pPr>
        <w:pStyle w:val="36"/>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4"/>
    <w:bookmarkEnd w:id="365"/>
    <w:bookmarkEnd w:id="366"/>
    <w:bookmarkEnd w:id="367"/>
    <w:bookmarkEnd w:id="368"/>
    <w:p>
      <w:pPr>
        <w:pStyle w:val="40"/>
        <w:jc w:val="both"/>
        <w:rPr>
          <w:rFonts w:ascii="仿宋" w:hAnsi="仿宋" w:eastAsia="仿宋"/>
          <w:color w:val="auto"/>
          <w:sz w:val="24"/>
          <w:szCs w:val="24"/>
        </w:rPr>
      </w:pPr>
      <w:bookmarkStart w:id="382" w:name="_Toc6921"/>
      <w:bookmarkStart w:id="383" w:name="_Toc6154"/>
      <w:bookmarkStart w:id="384" w:name="_Toc13216"/>
      <w:bookmarkStart w:id="385" w:name="_Toc23955"/>
      <w:bookmarkStart w:id="386" w:name="_Toc30525"/>
      <w:bookmarkStart w:id="387" w:name="_Toc24876"/>
      <w:bookmarkStart w:id="388" w:name="_Toc8175"/>
      <w:bookmarkStart w:id="389" w:name="_Toc15883"/>
      <w:bookmarkStart w:id="390" w:name="_Toc23660"/>
      <w:bookmarkStart w:id="391" w:name="_Toc17656_WPSOffice_Level2"/>
      <w:r>
        <w:rPr>
          <w:rFonts w:hint="eastAsia" w:ascii="仿宋" w:hAnsi="仿宋" w:eastAsia="仿宋" w:cs="仿宋"/>
          <w:bCs w:val="0"/>
          <w:color w:val="auto"/>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项目名称：</w:t>
      </w:r>
    </w:p>
    <w:p>
      <w:pPr>
        <w:pStyle w:val="16"/>
        <w:wordWrap w:val="0"/>
        <w:spacing w:beforeAutospacing="0" w:afterAutospacing="0" w:line="500" w:lineRule="exac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项目编号：</w:t>
      </w:r>
    </w:p>
    <w:p>
      <w:pPr>
        <w:pStyle w:val="12"/>
        <w:rPr>
          <w:rFonts w:hint="eastAsia" w:ascii="仿宋_GB2312" w:hAnsi="仿宋_GB2312" w:eastAsia="仿宋_GB2312" w:cs="仿宋_GB2312"/>
          <w:color w:val="auto"/>
          <w:sz w:val="32"/>
          <w:szCs w:val="32"/>
          <w:shd w:val="clear" w:color="auto" w:fill="FFFFFF"/>
        </w:rPr>
      </w:pPr>
    </w:p>
    <w:tbl>
      <w:tblPr>
        <w:tblStyle w:val="19"/>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2"/>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4"/>
          <w:szCs w:val="24"/>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名称</w:t>
      </w:r>
      <w:r>
        <w:rPr>
          <w:rFonts w:hint="eastAsia" w:ascii="仿宋_GB2312" w:hAnsi="仿宋_GB2312" w:eastAsia="仿宋_GB2312" w:cs="仿宋_GB2312"/>
          <w:color w:val="auto"/>
          <w:sz w:val="32"/>
          <w:szCs w:val="32"/>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color w:val="auto"/>
          <w:sz w:val="32"/>
          <w:szCs w:val="32"/>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sz w:val="32"/>
          <w:szCs w:val="32"/>
        </w:rPr>
        <w:t>分项报价表（样表）</w:t>
      </w:r>
      <w:r>
        <w:rPr>
          <w:rFonts w:hint="eastAsia" w:ascii="仿宋_GB2312" w:hAnsi="仿宋_GB2312" w:eastAsia="仿宋_GB2312" w:cs="仿宋_GB2312"/>
          <w:b/>
          <w:color w:val="auto"/>
        </w:rPr>
        <w:tab/>
      </w:r>
    </w:p>
    <w:tbl>
      <w:tblPr>
        <w:tblStyle w:val="20"/>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855"/>
        <w:gridCol w:w="1625"/>
        <w:gridCol w:w="1342"/>
        <w:gridCol w:w="183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bookmarkStart w:id="392" w:name="_Toc26257"/>
            <w:bookmarkStart w:id="393" w:name="_Toc18433"/>
            <w:bookmarkStart w:id="394" w:name="_Toc32361"/>
            <w:bookmarkStart w:id="395" w:name="_Toc11534"/>
            <w:bookmarkStart w:id="396" w:name="_Toc16723"/>
            <w:bookmarkStart w:id="397" w:name="_Toc22090"/>
            <w:bookmarkStart w:id="398" w:name="_Toc11855"/>
            <w:bookmarkStart w:id="399" w:name="_Toc28408"/>
            <w:bookmarkStart w:id="400" w:name="_Toc1934"/>
            <w:r>
              <w:rPr>
                <w:rFonts w:hint="eastAsia" w:ascii="仿宋_GB2312" w:hAnsi="仿宋_GB2312" w:eastAsia="仿宋_GB2312" w:cs="仿宋_GB2312"/>
                <w:bCs w:val="0"/>
                <w:color w:val="auto"/>
                <w:sz w:val="24"/>
                <w:szCs w:val="24"/>
              </w:rPr>
              <w:t>序号</w:t>
            </w:r>
            <w:bookmarkEnd w:id="392"/>
            <w:bookmarkEnd w:id="393"/>
            <w:bookmarkEnd w:id="394"/>
            <w:bookmarkEnd w:id="395"/>
            <w:bookmarkEnd w:id="396"/>
            <w:bookmarkEnd w:id="397"/>
            <w:bookmarkEnd w:id="398"/>
            <w:bookmarkEnd w:id="399"/>
            <w:bookmarkEnd w:id="400"/>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服务项目</w:t>
            </w: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单价</w:t>
            </w: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数量</w:t>
            </w: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小计</w:t>
            </w: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r>
              <w:rPr>
                <w:rFonts w:hint="eastAsia" w:ascii="仿宋_GB2312" w:hAnsi="仿宋_GB2312" w:eastAsia="仿宋_GB2312" w:cs="仿宋_GB2312"/>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bookmarkStart w:id="401" w:name="_Toc31519"/>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0"/>
              <w:widowControl w:val="0"/>
              <w:rPr>
                <w:rFonts w:hint="eastAsia" w:ascii="仿宋_GB2312" w:hAnsi="仿宋_GB2312" w:eastAsia="仿宋_GB2312" w:cs="仿宋_GB2312"/>
                <w:bCs w:val="0"/>
                <w:color w:val="auto"/>
                <w:sz w:val="24"/>
                <w:szCs w:val="24"/>
              </w:rPr>
            </w:pPr>
          </w:p>
        </w:tc>
        <w:tc>
          <w:tcPr>
            <w:tcW w:w="185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625"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42" w:type="dxa"/>
            <w:vAlign w:val="center"/>
          </w:tcPr>
          <w:p>
            <w:pPr>
              <w:pStyle w:val="40"/>
              <w:widowControl w:val="0"/>
              <w:spacing w:line="300" w:lineRule="exact"/>
              <w:rPr>
                <w:rFonts w:hint="eastAsia" w:ascii="仿宋_GB2312" w:hAnsi="仿宋_GB2312" w:eastAsia="仿宋_GB2312" w:cs="仿宋_GB2312"/>
                <w:bCs w:val="0"/>
                <w:color w:val="auto"/>
                <w:sz w:val="24"/>
                <w:szCs w:val="24"/>
                <w:lang w:val="en-US" w:eastAsia="zh-CN"/>
              </w:rPr>
            </w:pPr>
          </w:p>
        </w:tc>
        <w:tc>
          <w:tcPr>
            <w:tcW w:w="1833"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c>
          <w:tcPr>
            <w:tcW w:w="1352" w:type="dxa"/>
            <w:vAlign w:val="center"/>
          </w:tcPr>
          <w:p>
            <w:pPr>
              <w:pStyle w:val="40"/>
              <w:widowControl w:val="0"/>
              <w:rPr>
                <w:rFonts w:hint="eastAsia" w:ascii="仿宋_GB2312" w:hAnsi="仿宋_GB2312" w:eastAsia="仿宋_GB2312" w:cs="仿宋_GB2312"/>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pStyle w:val="40"/>
              <w:widowControl w:val="0"/>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color w:val="auto"/>
                <w:sz w:val="24"/>
                <w:szCs w:val="24"/>
                <w:lang w:val="en-US" w:eastAsia="zh-CN"/>
              </w:rPr>
              <w:t>合计</w:t>
            </w:r>
            <w:bookmarkEnd w:id="401"/>
          </w:p>
        </w:tc>
        <w:tc>
          <w:tcPr>
            <w:tcW w:w="8007" w:type="dxa"/>
            <w:gridSpan w:val="5"/>
            <w:vAlign w:val="center"/>
          </w:tcPr>
          <w:p>
            <w:pPr>
              <w:widowControl w:val="0"/>
              <w:autoSpaceDE w:val="0"/>
              <w:autoSpaceDN w:val="0"/>
              <w:spacing w:line="240" w:lineRule="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rPr>
              <w:t>小写：</w:t>
            </w:r>
          </w:p>
          <w:p>
            <w:pPr>
              <w:pStyle w:val="40"/>
              <w:widowControl w:val="0"/>
              <w:jc w:val="lef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                                 </w:t>
            </w:r>
            <w:bookmarkStart w:id="402" w:name="_Toc28010"/>
            <w:bookmarkStart w:id="403" w:name="_Toc7253"/>
            <w:bookmarkStart w:id="404" w:name="_Toc22162"/>
            <w:bookmarkStart w:id="405" w:name="_Toc31429"/>
            <w:bookmarkStart w:id="406" w:name="_Toc8004"/>
            <w:bookmarkStart w:id="407" w:name="_Toc17991"/>
            <w:bookmarkStart w:id="408" w:name="_Toc10552"/>
            <w:r>
              <w:rPr>
                <w:rFonts w:hint="eastAsia" w:ascii="仿宋_GB2312" w:hAnsi="仿宋_GB2312" w:eastAsia="仿宋_GB2312" w:cs="仿宋_GB2312"/>
                <w:b w:val="0"/>
                <w:bCs w:val="0"/>
                <w:color w:val="auto"/>
                <w:sz w:val="24"/>
                <w:szCs w:val="24"/>
              </w:rPr>
              <w:t>单位：元（保留到元）</w:t>
            </w:r>
            <w:bookmarkEnd w:id="402"/>
            <w:bookmarkEnd w:id="403"/>
            <w:bookmarkEnd w:id="404"/>
            <w:bookmarkEnd w:id="405"/>
            <w:bookmarkEnd w:id="406"/>
            <w:bookmarkEnd w:id="407"/>
            <w:bookmarkEnd w:id="408"/>
          </w:p>
        </w:tc>
      </w:tr>
    </w:tbl>
    <w:p>
      <w:pPr>
        <w:tabs>
          <w:tab w:val="right" w:pos="9072"/>
        </w:tabs>
        <w:spacing w:line="500" w:lineRule="exact"/>
        <w:ind w:firstLine="566" w:firstLineChars="200"/>
        <w:jc w:val="right"/>
        <w:rPr>
          <w:rFonts w:ascii="仿宋" w:hAnsi="仿宋" w:eastAsia="仿宋"/>
          <w:b/>
          <w:color w:val="auto"/>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646" w:firstLineChars="200"/>
        <w:rPr>
          <w:rFonts w:ascii="华文仿宋" w:hAnsi="华文仿宋" w:cs="华文仿宋"/>
          <w:b/>
          <w:color w:val="auto"/>
          <w:sz w:val="32"/>
          <w:szCs w:val="32"/>
        </w:rPr>
      </w:pPr>
    </w:p>
    <w:p>
      <w:pPr>
        <w:spacing w:line="500" w:lineRule="exact"/>
        <w:ind w:firstLine="5491" w:firstLineChars="1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名称</w:t>
      </w:r>
      <w:r>
        <w:rPr>
          <w:rFonts w:hint="eastAsia" w:ascii="仿宋_GB2312" w:hAnsi="仿宋_GB2312" w:eastAsia="仿宋_GB2312" w:cs="仿宋_GB2312"/>
          <w:color w:val="auto"/>
          <w:sz w:val="32"/>
          <w:szCs w:val="32"/>
        </w:rPr>
        <w:t>（加盖公章）</w:t>
      </w:r>
    </w:p>
    <w:p>
      <w:pPr>
        <w:tabs>
          <w:tab w:val="right" w:pos="9070"/>
        </w:tabs>
        <w:spacing w:line="500" w:lineRule="exact"/>
        <w:ind w:firstLine="549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bCs/>
          <w:color w:val="auto"/>
          <w:sz w:val="32"/>
          <w:szCs w:val="32"/>
        </w:rPr>
        <w:tab/>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13309_WPSOffice_Level2"/>
      <w:bookmarkStart w:id="410" w:name="_Toc2393"/>
      <w:bookmarkStart w:id="411" w:name="_Toc20416"/>
      <w:bookmarkStart w:id="412" w:name="_Toc1823_WPSOffice_Level2"/>
      <w:bookmarkStart w:id="413" w:name="_Toc26668"/>
      <w:bookmarkStart w:id="414" w:name="_Toc26536_WPSOffice_Level2"/>
      <w:bookmarkStart w:id="415" w:name="_Toc13794"/>
      <w:bookmarkStart w:id="416" w:name="_Toc18036_WPSOffice_Level2"/>
      <w:bookmarkStart w:id="417" w:name="_Toc9727_WPSOffice_Level2"/>
      <w:r>
        <w:rPr>
          <w:rFonts w:hint="eastAsia" w:ascii="仿宋_GB2312" w:hAnsi="仿宋_GB2312" w:eastAsia="仿宋_GB2312" w:cs="仿宋_GB2312"/>
          <w:bCs w:val="0"/>
          <w:color w:val="auto"/>
          <w:sz w:val="32"/>
          <w:szCs w:val="32"/>
        </w:rPr>
        <w:t>三、</w:t>
      </w:r>
      <w:bookmarkEnd w:id="409"/>
      <w:bookmarkEnd w:id="410"/>
      <w:bookmarkStart w:id="418" w:name="_Toc31081"/>
      <w:bookmarkStart w:id="419" w:name="_Toc4322"/>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18"/>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32"/>
          <w:szCs w:val="32"/>
        </w:rPr>
      </w:pPr>
      <w:r>
        <w:rPr>
          <w:rFonts w:hint="eastAsia"/>
          <w:color w:val="auto"/>
        </w:rPr>
        <w:br w:type="page"/>
      </w:r>
      <w:bookmarkStart w:id="420" w:name="_Toc16564_WPSOffice_Level2"/>
      <w:bookmarkStart w:id="421" w:name="_Toc10928_WPSOffice_Level2"/>
      <w:bookmarkStart w:id="422" w:name="_Toc16442_WPSOffice_Level2"/>
      <w:bookmarkStart w:id="423" w:name="_Toc27976_WPSOffice_Level2"/>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rPr>
        <w:t>、</w:t>
      </w:r>
      <w:r>
        <w:rPr>
          <w:rFonts w:ascii="仿宋" w:hAnsi="仿宋" w:eastAsia="仿宋"/>
          <w:b/>
          <w:color w:val="auto"/>
          <w:sz w:val="32"/>
          <w:szCs w:val="32"/>
        </w:rPr>
        <w:t>技术</w:t>
      </w:r>
      <w:r>
        <w:rPr>
          <w:rFonts w:hint="eastAsia" w:ascii="仿宋" w:hAnsi="仿宋" w:eastAsia="仿宋"/>
          <w:b/>
          <w:color w:val="auto"/>
          <w:sz w:val="32"/>
          <w:szCs w:val="32"/>
        </w:rPr>
        <w:t>服务偏差表</w:t>
      </w:r>
      <w:bookmarkEnd w:id="420"/>
      <w:bookmarkEnd w:id="421"/>
      <w:bookmarkEnd w:id="422"/>
      <w:bookmarkEnd w:id="423"/>
    </w:p>
    <w:tbl>
      <w:tblPr>
        <w:tblStyle w:val="19"/>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31624_WPSOffice_Level1"/>
      <w:bookmarkStart w:id="425" w:name="_Toc9021_WPSOffice_Level1"/>
      <w:bookmarkStart w:id="426" w:name="_Toc5795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、合同</w:t>
      </w:r>
      <w:r>
        <w:rPr>
          <w:rFonts w:hint="eastAsia" w:ascii="仿宋_GB2312" w:hAnsi="仿宋_GB2312" w:eastAsia="仿宋_GB2312" w:cs="仿宋_GB2312"/>
          <w:b/>
          <w:color w:val="auto"/>
          <w:sz w:val="32"/>
          <w:szCs w:val="32"/>
          <w:lang w:val="en-US" w:eastAsia="zh-CN"/>
        </w:rPr>
        <w:t>草案</w:t>
      </w:r>
      <w:r>
        <w:rPr>
          <w:rFonts w:hint="eastAsia" w:ascii="仿宋_GB2312" w:hAnsi="仿宋_GB2312" w:eastAsia="仿宋_GB2312" w:cs="仿宋_GB2312"/>
          <w:b/>
          <w:color w:val="auto"/>
          <w:sz w:val="32"/>
          <w:szCs w:val="32"/>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18"/>
        <w:ind w:firstLine="183"/>
        <w:rPr>
          <w:rFonts w:hint="eastAsia" w:ascii="仿宋_GB2312" w:hAnsi="仿宋_GB2312" w:eastAsia="仿宋_GB2312" w:cs="仿宋_GB2312"/>
          <w:color w:val="auto"/>
          <w:sz w:val="28"/>
          <w:szCs w:val="28"/>
        </w:rPr>
      </w:pPr>
    </w:p>
    <w:p>
      <w:pPr>
        <w:pStyle w:val="18"/>
        <w:ind w:firstLine="183"/>
        <w:rPr>
          <w:rFonts w:hint="eastAsia" w:ascii="仿宋_GB2312" w:hAnsi="仿宋_GB2312" w:eastAsia="仿宋_GB2312" w:cs="仿宋_GB2312"/>
          <w:color w:val="auto"/>
          <w:sz w:val="28"/>
          <w:szCs w:val="28"/>
        </w:rPr>
      </w:pPr>
    </w:p>
    <w:p>
      <w:pPr>
        <w:pStyle w:val="18"/>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pStyle w:val="18"/>
        <w:ind w:firstLine="183"/>
        <w:rPr>
          <w:color w:val="auto"/>
        </w:rPr>
      </w:pPr>
    </w:p>
    <w:p>
      <w:pPr>
        <w:rPr>
          <w:color w:val="auto"/>
        </w:rPr>
      </w:pPr>
      <w:r>
        <w:rPr>
          <w:color w:val="auto"/>
        </w:rPr>
        <w:br w:type="page"/>
      </w:r>
    </w:p>
    <w:p>
      <w:pPr>
        <w:pStyle w:val="40"/>
        <w:spacing w:line="500" w:lineRule="exact"/>
        <w:rPr>
          <w:rFonts w:ascii="黑体" w:hAnsi="黑体" w:eastAsia="黑体"/>
          <w:b w:val="0"/>
          <w:color w:val="auto"/>
        </w:rPr>
      </w:pPr>
      <w:bookmarkStart w:id="427" w:name="_Toc17248"/>
      <w:bookmarkStart w:id="428" w:name="_Toc30940"/>
      <w:bookmarkStart w:id="429" w:name="_Toc19912"/>
      <w:bookmarkStart w:id="430" w:name="_Toc28832"/>
      <w:r>
        <w:rPr>
          <w:rStyle w:val="41"/>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0"/>
        <w:spacing w:before="190" w:beforeLines="50" w:after="190" w:afterLines="50" w:line="500" w:lineRule="exact"/>
        <w:jc w:val="both"/>
        <w:rPr>
          <w:rFonts w:hint="eastAsia" w:ascii="仿宋_GB2312" w:hAnsi="仿宋_GB2312" w:eastAsia="仿宋_GB2312" w:cs="仿宋_GB2312"/>
          <w:bCs w:val="0"/>
          <w:color w:val="auto"/>
          <w:lang w:val="en-US" w:eastAsia="zh-CN"/>
        </w:rPr>
      </w:pPr>
      <w:bookmarkStart w:id="431" w:name="_Toc11401"/>
      <w:bookmarkStart w:id="432" w:name="_Toc9337_WPSOffice_Level2"/>
      <w:bookmarkStart w:id="433" w:name="_Toc15660_WPSOffice_Level2"/>
      <w:bookmarkStart w:id="434" w:name="_Toc9079"/>
      <w:bookmarkStart w:id="435" w:name="_Toc17062_WPSOffice_Level2"/>
      <w:bookmarkStart w:id="436" w:name="_Toc27817"/>
      <w:bookmarkStart w:id="437" w:name="_Toc11555"/>
      <w:bookmarkStart w:id="438" w:name="_Toc1481"/>
      <w:bookmarkStart w:id="439" w:name="_Toc29975_WPSOffice_Level2"/>
      <w:r>
        <w:rPr>
          <w:rFonts w:hint="eastAsia" w:ascii="仿宋_GB2312" w:hAnsi="仿宋_GB2312" w:eastAsia="仿宋_GB2312" w:cs="仿宋_GB2312"/>
          <w:bCs w:val="0"/>
          <w:color w:val="auto"/>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lang w:val="en-US" w:eastAsia="zh-CN"/>
        </w:rPr>
        <w:t>基本情况及其性质</w:t>
      </w:r>
    </w:p>
    <w:p>
      <w:pPr>
        <w:spacing w:line="500" w:lineRule="exact"/>
        <w:ind w:firstLine="566" w:firstLineChars="200"/>
        <w:rPr>
          <w:rFonts w:ascii="仿宋" w:hAnsi="仿宋" w:eastAsia="仿宋" w:cs="仿宋"/>
          <w:b/>
          <w:color w:val="auto"/>
        </w:rPr>
      </w:pPr>
      <w:bookmarkStart w:id="440" w:name="_Toc27223_WPSOffice_Level3"/>
      <w:r>
        <w:rPr>
          <w:rFonts w:hint="eastAsia"/>
          <w:b/>
          <w:color w:val="auto"/>
        </w:rPr>
        <w:t>（</w:t>
      </w:r>
      <w:r>
        <w:rPr>
          <w:b/>
          <w:color w:val="auto"/>
        </w:rPr>
        <w:t>一</w:t>
      </w:r>
      <w:r>
        <w:rPr>
          <w:rFonts w:hint="eastAsia"/>
          <w:b/>
          <w:color w:val="auto"/>
        </w:rPr>
        <w:t>）供应</w:t>
      </w:r>
      <w:r>
        <w:rPr>
          <w:b/>
          <w:color w:val="auto"/>
        </w:rPr>
        <w:t>商基本信息</w:t>
      </w:r>
      <w:bookmarkEnd w:id="440"/>
    </w:p>
    <w:tbl>
      <w:tblPr>
        <w:tblStyle w:val="19"/>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日常实施方案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大型活动方案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）应急预案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管理制度</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物资装备及耗材配置</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）拟派人员情况</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服务优化</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八</w:t>
      </w:r>
      <w:r>
        <w:rPr>
          <w:rFonts w:hint="eastAsia" w:ascii="仿宋_GB2312" w:hAnsi="仿宋_GB2312" w:eastAsia="仿宋_GB2312" w:cs="仿宋_GB2312"/>
          <w:bCs/>
          <w:color w:val="auto"/>
          <w:sz w:val="28"/>
          <w:szCs w:val="28"/>
          <w:highlight w:val="none"/>
          <w:lang w:eastAsia="zh-CN"/>
        </w:rPr>
        <w:t>）业绩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九</w:t>
      </w:r>
      <w:r>
        <w:rPr>
          <w:rFonts w:hint="eastAsia" w:ascii="仿宋_GB2312" w:hAnsi="仿宋_GB2312" w:eastAsia="仿宋_GB2312" w:cs="仿宋_GB2312"/>
          <w:bCs/>
          <w:color w:val="auto"/>
          <w:sz w:val="28"/>
          <w:szCs w:val="28"/>
          <w:highlight w:val="none"/>
          <w:lang w:eastAsia="zh-CN"/>
        </w:rPr>
        <w:t>）服务承诺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kern w:val="2"/>
          <w:sz w:val="28"/>
          <w:szCs w:val="28"/>
          <w:highlight w:val="none"/>
          <w:lang w:val="en-US" w:eastAsia="zh-CN" w:bidi="ar-SA"/>
        </w:rPr>
        <w:t>其他有必要说明的内容</w:t>
      </w:r>
    </w:p>
    <w:p>
      <w:pPr>
        <w:spacing w:line="500" w:lineRule="exact"/>
        <w:rPr>
          <w:rFonts w:hint="eastAsia" w:ascii="Calibri Light" w:hAnsi="Calibri Light" w:eastAsia="华文仿宋" w:cs="Calibri Light"/>
          <w:bCs/>
          <w:color w:val="auto"/>
          <w:kern w:val="2"/>
          <w:sz w:val="28"/>
          <w:szCs w:val="28"/>
          <w:highlight w:val="none"/>
          <w:lang w:val="en-US" w:eastAsia="zh-CN" w:bidi="ar-SA"/>
        </w:rPr>
      </w:pPr>
    </w:p>
    <w:p>
      <w:pPr>
        <w:pStyle w:val="2"/>
        <w:rPr>
          <w:color w:val="auto"/>
        </w:rPr>
      </w:pPr>
    </w:p>
    <w:p>
      <w:pPr>
        <w:rPr>
          <w:color w:val="auto"/>
        </w:rPr>
      </w:pPr>
      <w:r>
        <w:rPr>
          <w:color w:val="auto"/>
        </w:rPr>
        <w:br w:type="page"/>
      </w:r>
    </w:p>
    <w:p>
      <w:pPr>
        <w:tabs>
          <w:tab w:val="right" w:pos="9070"/>
        </w:tabs>
        <w:spacing w:line="500" w:lineRule="exact"/>
        <w:rPr>
          <w:rFonts w:ascii="仿宋" w:hAnsi="仿宋" w:eastAsia="仿宋"/>
          <w:bCs/>
          <w:color w:val="auto"/>
          <w:sz w:val="32"/>
          <w:szCs w:val="32"/>
        </w:rPr>
      </w:pPr>
      <w:r>
        <w:rPr>
          <w:rFonts w:hint="eastAsia" w:ascii="仿宋" w:hAnsi="仿宋" w:eastAsia="仿宋"/>
          <w:b/>
          <w:color w:val="auto"/>
          <w:sz w:val="32"/>
          <w:szCs w:val="32"/>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1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1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现场管理人员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3、宿舍管理人员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2"/>
        <w:rPr>
          <w:color w:val="auto"/>
          <w:sz w:val="28"/>
          <w:szCs w:val="28"/>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52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50140"/>
    <w:multiLevelType w:val="singleLevel"/>
    <w:tmpl w:val="CB550140"/>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E2C5A18C"/>
    <w:multiLevelType w:val="singleLevel"/>
    <w:tmpl w:val="E2C5A18C"/>
    <w:lvl w:ilvl="0" w:tentative="0">
      <w:start w:val="1"/>
      <w:numFmt w:val="decimal"/>
      <w:lvlText w:val="%1."/>
      <w:lvlJc w:val="left"/>
      <w:pPr>
        <w:tabs>
          <w:tab w:val="left" w:pos="312"/>
        </w:tabs>
        <w:ind w:left="740" w:leftChars="0" w:firstLine="0" w:firstLineChars="0"/>
      </w:pPr>
    </w:lvl>
  </w:abstractNum>
  <w:abstractNum w:abstractNumId="3">
    <w:nsid w:val="0053208E"/>
    <w:multiLevelType w:val="singleLevel"/>
    <w:tmpl w:val="0053208E"/>
    <w:lvl w:ilvl="0" w:tentative="0">
      <w:start w:val="1"/>
      <w:numFmt w:val="chineseCounting"/>
      <w:suff w:val="nothing"/>
      <w:lvlText w:val="（%1）"/>
      <w:lvlJc w:val="left"/>
      <w:rPr>
        <w:rFonts w:hint="eastAsia"/>
      </w:rPr>
    </w:lvl>
  </w:abstractNum>
  <w:abstractNum w:abstractNumId="4">
    <w:nsid w:val="23C5811A"/>
    <w:multiLevelType w:val="singleLevel"/>
    <w:tmpl w:val="23C5811A"/>
    <w:lvl w:ilvl="0" w:tentative="0">
      <w:start w:val="1"/>
      <w:numFmt w:val="decimal"/>
      <w:suff w:val="nothing"/>
      <w:lvlText w:val="%1、"/>
      <w:lvlJc w:val="left"/>
    </w:lvl>
  </w:abstractNum>
  <w:abstractNum w:abstractNumId="5">
    <w:nsid w:val="305BD9B1"/>
    <w:multiLevelType w:val="singleLevel"/>
    <w:tmpl w:val="305BD9B1"/>
    <w:lvl w:ilvl="0" w:tentative="0">
      <w:start w:val="1"/>
      <w:numFmt w:val="chineseCounting"/>
      <w:suff w:val="nothing"/>
      <w:lvlText w:val="%1、"/>
      <w:lvlJc w:val="left"/>
      <w:rPr>
        <w:rFonts w:hint="eastAsia"/>
      </w:rPr>
    </w:lvl>
  </w:abstractNum>
  <w:abstractNum w:abstractNumId="6">
    <w:nsid w:val="3C43E6BF"/>
    <w:multiLevelType w:val="singleLevel"/>
    <w:tmpl w:val="3C43E6BF"/>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2EwYTliYzRhYmI5YjgwYWI5N2JkYzNiMjBlOTk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57B87"/>
    <w:rsid w:val="025A0286"/>
    <w:rsid w:val="02891DCB"/>
    <w:rsid w:val="02BD0EE2"/>
    <w:rsid w:val="02C11391"/>
    <w:rsid w:val="02C4205E"/>
    <w:rsid w:val="02D15085"/>
    <w:rsid w:val="02E307E4"/>
    <w:rsid w:val="02FC284D"/>
    <w:rsid w:val="03427B4F"/>
    <w:rsid w:val="03460878"/>
    <w:rsid w:val="034B3DA3"/>
    <w:rsid w:val="03526AB2"/>
    <w:rsid w:val="03531D00"/>
    <w:rsid w:val="036C3D74"/>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86454"/>
    <w:rsid w:val="057139B6"/>
    <w:rsid w:val="057754F2"/>
    <w:rsid w:val="05A35D71"/>
    <w:rsid w:val="05B065AB"/>
    <w:rsid w:val="05D17456"/>
    <w:rsid w:val="062335AF"/>
    <w:rsid w:val="06243474"/>
    <w:rsid w:val="06410743"/>
    <w:rsid w:val="064B18B7"/>
    <w:rsid w:val="064E03A2"/>
    <w:rsid w:val="068157BD"/>
    <w:rsid w:val="06843B5A"/>
    <w:rsid w:val="06B51EAB"/>
    <w:rsid w:val="06C17517"/>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C20327"/>
    <w:rsid w:val="0CC24884"/>
    <w:rsid w:val="0CE86762"/>
    <w:rsid w:val="0CEC4544"/>
    <w:rsid w:val="0CEE7177"/>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8B2DA9"/>
    <w:rsid w:val="0FB15E33"/>
    <w:rsid w:val="0FDA797C"/>
    <w:rsid w:val="0FE75496"/>
    <w:rsid w:val="0FF86D48"/>
    <w:rsid w:val="100C563E"/>
    <w:rsid w:val="10292C44"/>
    <w:rsid w:val="10841837"/>
    <w:rsid w:val="10883FD1"/>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E27C4"/>
    <w:rsid w:val="125C0391"/>
    <w:rsid w:val="126F2075"/>
    <w:rsid w:val="128D6FC9"/>
    <w:rsid w:val="12950F85"/>
    <w:rsid w:val="12960862"/>
    <w:rsid w:val="12A04BDA"/>
    <w:rsid w:val="12A86650"/>
    <w:rsid w:val="12E51257"/>
    <w:rsid w:val="12F57C06"/>
    <w:rsid w:val="12FD6D66"/>
    <w:rsid w:val="12FF18AF"/>
    <w:rsid w:val="131953F9"/>
    <w:rsid w:val="134C233A"/>
    <w:rsid w:val="136F7A26"/>
    <w:rsid w:val="137B051A"/>
    <w:rsid w:val="138222F2"/>
    <w:rsid w:val="13837718"/>
    <w:rsid w:val="138C0895"/>
    <w:rsid w:val="138D048A"/>
    <w:rsid w:val="13900013"/>
    <w:rsid w:val="13931510"/>
    <w:rsid w:val="13A11597"/>
    <w:rsid w:val="13AE09B3"/>
    <w:rsid w:val="13C04FD2"/>
    <w:rsid w:val="13C31130"/>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2547B0"/>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A0D68EB"/>
    <w:rsid w:val="1A2B68D6"/>
    <w:rsid w:val="1A50307B"/>
    <w:rsid w:val="1A810701"/>
    <w:rsid w:val="1A9D590B"/>
    <w:rsid w:val="1AA441E5"/>
    <w:rsid w:val="1AC85D1B"/>
    <w:rsid w:val="1ACC5E1B"/>
    <w:rsid w:val="1AD304B8"/>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E291B"/>
    <w:rsid w:val="1CC21924"/>
    <w:rsid w:val="1CD15C79"/>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46CA0"/>
    <w:rsid w:val="1F4C66FE"/>
    <w:rsid w:val="1F77014D"/>
    <w:rsid w:val="1F827198"/>
    <w:rsid w:val="1F876088"/>
    <w:rsid w:val="1F925678"/>
    <w:rsid w:val="1F9F20EA"/>
    <w:rsid w:val="1FB47EFC"/>
    <w:rsid w:val="1FD35342"/>
    <w:rsid w:val="1FDB5C4A"/>
    <w:rsid w:val="200705EA"/>
    <w:rsid w:val="203945B9"/>
    <w:rsid w:val="2042167B"/>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C377F"/>
    <w:rsid w:val="2BFC2CAF"/>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B53831"/>
    <w:rsid w:val="2DCE3C7D"/>
    <w:rsid w:val="2DCF0D38"/>
    <w:rsid w:val="2DDB0505"/>
    <w:rsid w:val="2DF77CC5"/>
    <w:rsid w:val="2DFF70AD"/>
    <w:rsid w:val="2E197228"/>
    <w:rsid w:val="2E490CF6"/>
    <w:rsid w:val="2E616693"/>
    <w:rsid w:val="2E640E80"/>
    <w:rsid w:val="2E685A4D"/>
    <w:rsid w:val="2E85670C"/>
    <w:rsid w:val="2E93683E"/>
    <w:rsid w:val="2EAE51C5"/>
    <w:rsid w:val="2ECE0FF5"/>
    <w:rsid w:val="2EDB35F4"/>
    <w:rsid w:val="2EE80E9D"/>
    <w:rsid w:val="2F305550"/>
    <w:rsid w:val="2F340AB1"/>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335A8"/>
    <w:rsid w:val="375A115E"/>
    <w:rsid w:val="376F7161"/>
    <w:rsid w:val="37786996"/>
    <w:rsid w:val="37AB7604"/>
    <w:rsid w:val="38152477"/>
    <w:rsid w:val="381A3FBC"/>
    <w:rsid w:val="383115F5"/>
    <w:rsid w:val="386A4D8B"/>
    <w:rsid w:val="387060FE"/>
    <w:rsid w:val="38780152"/>
    <w:rsid w:val="387D2978"/>
    <w:rsid w:val="388242C0"/>
    <w:rsid w:val="388D490B"/>
    <w:rsid w:val="38A35CBB"/>
    <w:rsid w:val="38AA19BF"/>
    <w:rsid w:val="38C53CA2"/>
    <w:rsid w:val="38CA274D"/>
    <w:rsid w:val="38DB3D3B"/>
    <w:rsid w:val="391A3434"/>
    <w:rsid w:val="39511C84"/>
    <w:rsid w:val="396759FD"/>
    <w:rsid w:val="397958BD"/>
    <w:rsid w:val="397D3884"/>
    <w:rsid w:val="39801E55"/>
    <w:rsid w:val="398F55AF"/>
    <w:rsid w:val="39916AF0"/>
    <w:rsid w:val="399B079A"/>
    <w:rsid w:val="39AF7201"/>
    <w:rsid w:val="39BB72A2"/>
    <w:rsid w:val="39C61315"/>
    <w:rsid w:val="39DA200A"/>
    <w:rsid w:val="39DB1464"/>
    <w:rsid w:val="39EC4848"/>
    <w:rsid w:val="39FB1FB5"/>
    <w:rsid w:val="3A1D23B3"/>
    <w:rsid w:val="3A3620BE"/>
    <w:rsid w:val="3A3932E5"/>
    <w:rsid w:val="3A3F327A"/>
    <w:rsid w:val="3A402C8E"/>
    <w:rsid w:val="3A502A4B"/>
    <w:rsid w:val="3A57294E"/>
    <w:rsid w:val="3A725720"/>
    <w:rsid w:val="3A8A623C"/>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102F58"/>
    <w:rsid w:val="3E1B01C4"/>
    <w:rsid w:val="3E1C24A8"/>
    <w:rsid w:val="3E29618D"/>
    <w:rsid w:val="3E3C7AEA"/>
    <w:rsid w:val="3E3D4BD0"/>
    <w:rsid w:val="3E683EEA"/>
    <w:rsid w:val="3E824C64"/>
    <w:rsid w:val="3E8A0F75"/>
    <w:rsid w:val="3E987AEE"/>
    <w:rsid w:val="3E9A2284"/>
    <w:rsid w:val="3EAC34A7"/>
    <w:rsid w:val="3EB472BD"/>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EC3C39"/>
    <w:rsid w:val="43F539A2"/>
    <w:rsid w:val="442A447D"/>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5E21CA6"/>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A428C2"/>
    <w:rsid w:val="47B75973"/>
    <w:rsid w:val="47C00874"/>
    <w:rsid w:val="47D236CB"/>
    <w:rsid w:val="47E41648"/>
    <w:rsid w:val="47E71D6B"/>
    <w:rsid w:val="47E801AB"/>
    <w:rsid w:val="47EC4B78"/>
    <w:rsid w:val="47F02948"/>
    <w:rsid w:val="480D47B9"/>
    <w:rsid w:val="48233849"/>
    <w:rsid w:val="48277842"/>
    <w:rsid w:val="483D20C4"/>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E06E2"/>
    <w:rsid w:val="4EF018DD"/>
    <w:rsid w:val="4F04640B"/>
    <w:rsid w:val="4F0E3BBD"/>
    <w:rsid w:val="4F144EEE"/>
    <w:rsid w:val="4F4C2A01"/>
    <w:rsid w:val="4F6B7BB9"/>
    <w:rsid w:val="4F981B6D"/>
    <w:rsid w:val="4FA6654E"/>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3053AB0"/>
    <w:rsid w:val="531655AF"/>
    <w:rsid w:val="536E66F9"/>
    <w:rsid w:val="53733BF6"/>
    <w:rsid w:val="53873D44"/>
    <w:rsid w:val="53962B3E"/>
    <w:rsid w:val="539F4BC3"/>
    <w:rsid w:val="53C7637D"/>
    <w:rsid w:val="53C9708E"/>
    <w:rsid w:val="53CD6E9C"/>
    <w:rsid w:val="53E3217E"/>
    <w:rsid w:val="53E51640"/>
    <w:rsid w:val="5410069F"/>
    <w:rsid w:val="541F502B"/>
    <w:rsid w:val="5428422D"/>
    <w:rsid w:val="542850CE"/>
    <w:rsid w:val="54412AB9"/>
    <w:rsid w:val="54484B90"/>
    <w:rsid w:val="545430A1"/>
    <w:rsid w:val="5459131B"/>
    <w:rsid w:val="5471114B"/>
    <w:rsid w:val="54B14A15"/>
    <w:rsid w:val="54B14ED7"/>
    <w:rsid w:val="54BE73BB"/>
    <w:rsid w:val="54C0392D"/>
    <w:rsid w:val="54EC1A3E"/>
    <w:rsid w:val="550876C8"/>
    <w:rsid w:val="552473CE"/>
    <w:rsid w:val="55273084"/>
    <w:rsid w:val="553918DB"/>
    <w:rsid w:val="554F3566"/>
    <w:rsid w:val="55694C7A"/>
    <w:rsid w:val="557A1F24"/>
    <w:rsid w:val="557B277B"/>
    <w:rsid w:val="55A939CC"/>
    <w:rsid w:val="55AA7895"/>
    <w:rsid w:val="55DF443D"/>
    <w:rsid w:val="55E62380"/>
    <w:rsid w:val="55FB34EE"/>
    <w:rsid w:val="5628417F"/>
    <w:rsid w:val="562B489D"/>
    <w:rsid w:val="56310FE7"/>
    <w:rsid w:val="564357FC"/>
    <w:rsid w:val="5650554F"/>
    <w:rsid w:val="565C7725"/>
    <w:rsid w:val="56721800"/>
    <w:rsid w:val="568820D4"/>
    <w:rsid w:val="568D45B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AA2D4B"/>
    <w:rsid w:val="58B0376F"/>
    <w:rsid w:val="58D24194"/>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D50ED8"/>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717CE3"/>
    <w:rsid w:val="6A730EA4"/>
    <w:rsid w:val="6A9260A0"/>
    <w:rsid w:val="6AAB68AC"/>
    <w:rsid w:val="6AB574DF"/>
    <w:rsid w:val="6ACC62E0"/>
    <w:rsid w:val="6ACE4105"/>
    <w:rsid w:val="6AD03793"/>
    <w:rsid w:val="6AE608D0"/>
    <w:rsid w:val="6B1B6AC3"/>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D41A5B"/>
    <w:rsid w:val="6CD45481"/>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A54970"/>
    <w:rsid w:val="70D3169F"/>
    <w:rsid w:val="70DC4E9C"/>
    <w:rsid w:val="711F45B9"/>
    <w:rsid w:val="712802B3"/>
    <w:rsid w:val="713B1222"/>
    <w:rsid w:val="714E63D6"/>
    <w:rsid w:val="71756349"/>
    <w:rsid w:val="71905F74"/>
    <w:rsid w:val="71AC3EEB"/>
    <w:rsid w:val="71E33AEE"/>
    <w:rsid w:val="71F71DF5"/>
    <w:rsid w:val="71FC66A6"/>
    <w:rsid w:val="71FD217F"/>
    <w:rsid w:val="720601C5"/>
    <w:rsid w:val="72206BCE"/>
    <w:rsid w:val="72210924"/>
    <w:rsid w:val="722B123D"/>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1191A"/>
    <w:rsid w:val="76EE01F5"/>
    <w:rsid w:val="7709593C"/>
    <w:rsid w:val="770F4A0E"/>
    <w:rsid w:val="771B662C"/>
    <w:rsid w:val="771C23B1"/>
    <w:rsid w:val="772E2BF6"/>
    <w:rsid w:val="774804CC"/>
    <w:rsid w:val="77547927"/>
    <w:rsid w:val="77722EAD"/>
    <w:rsid w:val="777C270F"/>
    <w:rsid w:val="777C39DF"/>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1059C4"/>
    <w:rsid w:val="79471A66"/>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1"/>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99"/>
    <w:pPr>
      <w:ind w:firstLine="420"/>
    </w:pPr>
  </w:style>
  <w:style w:type="paragraph" w:styleId="7">
    <w:name w:val="annotation text"/>
    <w:basedOn w:val="1"/>
    <w:link w:val="45"/>
    <w:qFormat/>
    <w:uiPriority w:val="0"/>
    <w:pPr>
      <w:jc w:val="left"/>
    </w:pPr>
  </w:style>
  <w:style w:type="paragraph" w:styleId="8">
    <w:name w:val="Body Text Indent"/>
    <w:basedOn w:val="1"/>
    <w:qFormat/>
    <w:uiPriority w:val="0"/>
    <w:pPr>
      <w:spacing w:after="120"/>
      <w:ind w:left="420" w:leftChars="200"/>
    </w:pPr>
  </w:style>
  <w:style w:type="paragraph" w:styleId="9">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0">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1">
    <w:name w:val="Balloon Text"/>
    <w:basedOn w:val="1"/>
    <w:link w:val="47"/>
    <w:qFormat/>
    <w:uiPriority w:val="0"/>
    <w:pPr>
      <w:spacing w:line="240" w:lineRule="auto"/>
    </w:pPr>
    <w:rPr>
      <w:sz w:val="18"/>
      <w:szCs w:val="18"/>
    </w:rPr>
  </w:style>
  <w:style w:type="paragraph" w:styleId="12">
    <w:name w:val="footer"/>
    <w:basedOn w:val="1"/>
    <w:qFormat/>
    <w:uiPriority w:val="99"/>
    <w:pPr>
      <w:widowControl w:val="0"/>
      <w:tabs>
        <w:tab w:val="center" w:pos="4153"/>
        <w:tab w:val="right" w:pos="8306"/>
      </w:tabs>
      <w:snapToGrid w:val="0"/>
      <w:spacing w:line="240" w:lineRule="auto"/>
      <w:jc w:val="left"/>
    </w:pPr>
    <w:rPr>
      <w:sz w:val="18"/>
    </w:rPr>
  </w:style>
  <w:style w:type="paragraph" w:styleId="13">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4">
    <w:name w:val="toc 1"/>
    <w:basedOn w:val="1"/>
    <w:next w:val="1"/>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99"/>
    <w:pPr>
      <w:spacing w:beforeAutospacing="1" w:afterAutospacing="1"/>
      <w:jc w:val="left"/>
    </w:pPr>
    <w:rPr>
      <w:rFonts w:cs="Times New Roman"/>
      <w:kern w:val="0"/>
      <w:sz w:val="24"/>
    </w:rPr>
  </w:style>
  <w:style w:type="paragraph" w:styleId="17">
    <w:name w:val="annotation subject"/>
    <w:basedOn w:val="7"/>
    <w:next w:val="7"/>
    <w:link w:val="46"/>
    <w:qFormat/>
    <w:uiPriority w:val="0"/>
    <w:rPr>
      <w:b/>
      <w:bCs/>
    </w:rPr>
  </w:style>
  <w:style w:type="paragraph" w:styleId="18">
    <w:name w:val="Body Text First Indent"/>
    <w:basedOn w:val="2"/>
    <w:unhideWhenUsed/>
    <w:qFormat/>
    <w:uiPriority w:val="0"/>
    <w:pPr>
      <w:spacing w:line="240" w:lineRule="auto"/>
      <w:ind w:firstLine="420" w:firstLineChars="100"/>
    </w:pPr>
    <w:rPr>
      <w:rFonts w:ascii="Times New Roman" w:hAnsi="Times New Roman"/>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semiHidden/>
    <w:unhideWhenUsed/>
    <w:qFormat/>
    <w:uiPriority w:val="0"/>
    <w:rPr>
      <w:color w:val="800080"/>
      <w:u w:val="none"/>
    </w:rPr>
  </w:style>
  <w:style w:type="character" w:styleId="24">
    <w:name w:val="Emphasis"/>
    <w:basedOn w:val="21"/>
    <w:qFormat/>
    <w:uiPriority w:val="0"/>
    <w:rPr>
      <w:b/>
    </w:rPr>
  </w:style>
  <w:style w:type="character" w:styleId="25">
    <w:name w:val="HTML Definition"/>
    <w:basedOn w:val="21"/>
    <w:semiHidden/>
    <w:unhideWhenUsed/>
    <w:qFormat/>
    <w:uiPriority w:val="0"/>
  </w:style>
  <w:style w:type="character" w:styleId="26">
    <w:name w:val="HTML Typewriter"/>
    <w:basedOn w:val="21"/>
    <w:semiHidden/>
    <w:unhideWhenUsed/>
    <w:qFormat/>
    <w:uiPriority w:val="0"/>
    <w:rPr>
      <w:rFonts w:ascii="monospace" w:hAnsi="monospace" w:eastAsia="monospace" w:cs="monospace"/>
      <w:sz w:val="20"/>
    </w:rPr>
  </w:style>
  <w:style w:type="character" w:styleId="27">
    <w:name w:val="HTML Acronym"/>
    <w:basedOn w:val="21"/>
    <w:semiHidden/>
    <w:unhideWhenUsed/>
    <w:qFormat/>
    <w:uiPriority w:val="0"/>
  </w:style>
  <w:style w:type="character" w:styleId="28">
    <w:name w:val="HTML Variable"/>
    <w:basedOn w:val="21"/>
    <w:semiHidden/>
    <w:unhideWhenUsed/>
    <w:qFormat/>
    <w:uiPriority w:val="0"/>
  </w:style>
  <w:style w:type="character" w:styleId="29">
    <w:name w:val="Hyperlink"/>
    <w:qFormat/>
    <w:uiPriority w:val="99"/>
    <w:rPr>
      <w:color w:val="000000"/>
      <w:sz w:val="18"/>
      <w:szCs w:val="18"/>
      <w:u w:val="none"/>
    </w:rPr>
  </w:style>
  <w:style w:type="character" w:styleId="30">
    <w:name w:val="HTML Code"/>
    <w:basedOn w:val="21"/>
    <w:semiHidden/>
    <w:unhideWhenUsed/>
    <w:qFormat/>
    <w:uiPriority w:val="0"/>
    <w:rPr>
      <w:rFonts w:hint="default" w:ascii="monospace" w:hAnsi="monospace" w:eastAsia="monospace" w:cs="monospace"/>
      <w:sz w:val="20"/>
    </w:rPr>
  </w:style>
  <w:style w:type="character" w:styleId="31">
    <w:name w:val="annotation reference"/>
    <w:basedOn w:val="21"/>
    <w:qFormat/>
    <w:uiPriority w:val="0"/>
    <w:rPr>
      <w:sz w:val="21"/>
      <w:szCs w:val="21"/>
    </w:rPr>
  </w:style>
  <w:style w:type="character" w:styleId="32">
    <w:name w:val="HTML Cite"/>
    <w:basedOn w:val="21"/>
    <w:semiHidden/>
    <w:unhideWhenUsed/>
    <w:qFormat/>
    <w:uiPriority w:val="0"/>
  </w:style>
  <w:style w:type="character" w:styleId="33">
    <w:name w:val="HTML Keyboard"/>
    <w:basedOn w:val="21"/>
    <w:semiHidden/>
    <w:unhideWhenUsed/>
    <w:qFormat/>
    <w:uiPriority w:val="0"/>
    <w:rPr>
      <w:rFonts w:hint="default" w:ascii="monospace" w:hAnsi="monospace" w:eastAsia="monospace" w:cs="monospace"/>
      <w:sz w:val="18"/>
      <w:szCs w:val="18"/>
      <w:bdr w:val="single" w:color="D2D2D2" w:sz="2" w:space="0"/>
    </w:rPr>
  </w:style>
  <w:style w:type="character" w:styleId="34">
    <w:name w:val="HTML Sample"/>
    <w:basedOn w:val="21"/>
    <w:semiHidden/>
    <w:unhideWhenUsed/>
    <w:qFormat/>
    <w:uiPriority w:val="0"/>
    <w:rPr>
      <w:rFonts w:hint="default" w:ascii="monospace" w:hAnsi="monospace" w:eastAsia="monospace" w:cs="monospace"/>
    </w:rPr>
  </w:style>
  <w:style w:type="paragraph" w:customStyle="1" w:styleId="35">
    <w:name w:val="正文缩进1"/>
    <w:basedOn w:val="1"/>
    <w:qFormat/>
    <w:uiPriority w:val="0"/>
    <w:pPr>
      <w:ind w:firstLine="420" w:firstLineChars="200"/>
    </w:pPr>
  </w:style>
  <w:style w:type="paragraph" w:customStyle="1" w:styleId="36">
    <w:name w:val="正文（缩进 2 字符）"/>
    <w:basedOn w:val="1"/>
    <w:qFormat/>
    <w:uiPriority w:val="0"/>
    <w:pPr>
      <w:ind w:firstLine="200" w:firstLineChars="200"/>
    </w:pPr>
  </w:style>
  <w:style w:type="paragraph" w:customStyle="1" w:styleId="37">
    <w:name w:val="正文（缩进 4 字符）"/>
    <w:basedOn w:val="1"/>
    <w:qFormat/>
    <w:uiPriority w:val="0"/>
    <w:pPr>
      <w:ind w:firstLine="1134" w:firstLineChars="400"/>
    </w:pPr>
  </w:style>
  <w:style w:type="paragraph" w:customStyle="1" w:styleId="38">
    <w:name w:val="列出段落1"/>
    <w:basedOn w:val="1"/>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标题 2（投标文件）"/>
    <w:basedOn w:val="4"/>
    <w:qFormat/>
    <w:uiPriority w:val="0"/>
    <w:pPr>
      <w:jc w:val="center"/>
    </w:pPr>
  </w:style>
  <w:style w:type="character" w:customStyle="1" w:styleId="41">
    <w:name w:val="标题 1 字符"/>
    <w:link w:val="3"/>
    <w:qFormat/>
    <w:uiPriority w:val="9"/>
    <w:rPr>
      <w:rFonts w:eastAsia="仿宋"/>
      <w:b/>
      <w:color w:val="000000"/>
      <w:kern w:val="44"/>
      <w:sz w:val="36"/>
      <w:szCs w:val="44"/>
    </w:rPr>
  </w:style>
  <w:style w:type="paragraph" w:customStyle="1" w:styleId="42">
    <w:name w:val="标题 3（投标文件）"/>
    <w:basedOn w:val="5"/>
    <w:qFormat/>
    <w:uiPriority w:val="0"/>
    <w:pPr>
      <w:jc w:val="left"/>
    </w:pPr>
    <w:rPr>
      <w:u w:val="none"/>
    </w:rPr>
  </w:style>
  <w:style w:type="character" w:customStyle="1" w:styleId="43">
    <w:name w:val="font21"/>
    <w:basedOn w:val="21"/>
    <w:qFormat/>
    <w:uiPriority w:val="0"/>
    <w:rPr>
      <w:rFonts w:hint="default" w:ascii="Tahoma" w:hAnsi="Tahoma" w:eastAsia="Tahoma" w:cs="Tahoma"/>
      <w:color w:val="000000"/>
      <w:sz w:val="22"/>
      <w:szCs w:val="22"/>
      <w:u w:val="none"/>
    </w:rPr>
  </w:style>
  <w:style w:type="character" w:customStyle="1" w:styleId="44">
    <w:name w:val="font01"/>
    <w:basedOn w:val="21"/>
    <w:qFormat/>
    <w:uiPriority w:val="0"/>
    <w:rPr>
      <w:rFonts w:hint="eastAsia" w:ascii="宋体" w:hAnsi="宋体" w:eastAsia="宋体" w:cs="宋体"/>
      <w:color w:val="000000"/>
      <w:sz w:val="22"/>
      <w:szCs w:val="22"/>
      <w:u w:val="none"/>
    </w:rPr>
  </w:style>
  <w:style w:type="character" w:customStyle="1" w:styleId="45">
    <w:name w:val="批注文字 字符"/>
    <w:basedOn w:val="21"/>
    <w:link w:val="7"/>
    <w:qFormat/>
    <w:uiPriority w:val="0"/>
    <w:rPr>
      <w:rFonts w:ascii="Calibri Light" w:hAnsi="Calibri Light" w:eastAsia="华文仿宋" w:cs="Calibri Light"/>
      <w:kern w:val="2"/>
      <w:sz w:val="28"/>
      <w:szCs w:val="28"/>
    </w:rPr>
  </w:style>
  <w:style w:type="character" w:customStyle="1" w:styleId="46">
    <w:name w:val="批注主题 字符"/>
    <w:basedOn w:val="45"/>
    <w:link w:val="17"/>
    <w:qFormat/>
    <w:uiPriority w:val="0"/>
    <w:rPr>
      <w:rFonts w:ascii="Calibri Light" w:hAnsi="Calibri Light" w:eastAsia="华文仿宋" w:cs="Calibri Light"/>
      <w:b/>
      <w:bCs/>
      <w:kern w:val="2"/>
      <w:sz w:val="28"/>
      <w:szCs w:val="28"/>
    </w:rPr>
  </w:style>
  <w:style w:type="character" w:customStyle="1" w:styleId="47">
    <w:name w:val="批注框文本 字符"/>
    <w:basedOn w:val="21"/>
    <w:link w:val="11"/>
    <w:qFormat/>
    <w:uiPriority w:val="0"/>
    <w:rPr>
      <w:rFonts w:ascii="Calibri Light" w:hAnsi="Calibri Light" w:eastAsia="华文仿宋" w:cs="Calibri Light"/>
      <w:kern w:val="2"/>
      <w:sz w:val="18"/>
      <w:szCs w:val="18"/>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23371</Words>
  <Characters>24387</Characters>
  <Lines>245</Lines>
  <Paragraphs>68</Paragraphs>
  <TotalTime>32</TotalTime>
  <ScaleCrop>false</ScaleCrop>
  <LinksUpToDate>false</LinksUpToDate>
  <CharactersWithSpaces>24960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2023-02-08T07:59:00Z</cp:lastPrinted>
  <dcterms:modified xsi:type="dcterms:W3CDTF">2023-06-14T01:46:18Z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BB8EBAB7E02D472893F9D17F3B3CC880_13</vt:lpwstr>
  </property>
</Properties>
</file>