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000000" w:themeColor="text1"/>
          <w:sz w:val="52"/>
          <w:szCs w:val="52"/>
          <w14:textFill>
            <w14:solidFill>
              <w14:schemeClr w14:val="tx1"/>
            </w14:solidFill>
          </w14:textFill>
        </w:rPr>
      </w:pPr>
    </w:p>
    <w:p>
      <w:pPr>
        <w:spacing w:line="240" w:lineRule="auto"/>
        <w:jc w:val="both"/>
        <w:rPr>
          <w:color w:val="000000" w:themeColor="text1"/>
          <w:sz w:val="52"/>
          <w:szCs w:val="52"/>
          <w14:textFill>
            <w14:solidFill>
              <w14:schemeClr w14:val="tx1"/>
            </w14:solidFill>
          </w14:textFill>
        </w:rPr>
      </w:pPr>
    </w:p>
    <w:p>
      <w:pPr>
        <w:spacing w:line="240" w:lineRule="auto"/>
        <w:jc w:val="center"/>
        <w:rPr>
          <w:rFonts w:hint="eastAsia" w:ascii="方正小标宋简体" w:hAnsi="方正小标宋简体" w:eastAsia="方正小标宋简体" w:cs="方正小标宋简体"/>
          <w:b w:val="0"/>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96"/>
          <w:szCs w:val="96"/>
          <w:lang w:val="en-US" w:eastAsia="zh-CN"/>
          <w14:textFill>
            <w14:solidFill>
              <w14:schemeClr w14:val="tx1"/>
            </w14:solidFill>
          </w14:textFill>
        </w:rPr>
        <w:t>汉中市</w:t>
      </w: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政府采购中心</w:t>
      </w:r>
    </w:p>
    <w:p>
      <w:pPr>
        <w:spacing w:line="240" w:lineRule="auto"/>
        <w:jc w:val="center"/>
        <w:rPr>
          <w:rFonts w:ascii="黑体" w:hAnsi="黑体" w:eastAsia="黑体" w:cs="黑体"/>
          <w:b w:val="0"/>
          <w:bCs/>
          <w:color w:val="000000" w:themeColor="text1"/>
          <w:sz w:val="96"/>
          <w:szCs w:val="96"/>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竞争性</w:t>
      </w:r>
      <w:r>
        <w:rPr>
          <w:rFonts w:hint="eastAsia" w:ascii="方正小标宋简体" w:hAnsi="方正小标宋简体" w:eastAsia="方正小标宋简体" w:cs="方正小标宋简体"/>
          <w:b w:val="0"/>
          <w:bCs/>
          <w:color w:val="000000" w:themeColor="text1"/>
          <w:kern w:val="0"/>
          <w:sz w:val="96"/>
          <w:szCs w:val="96"/>
          <w:lang w:eastAsia="zh-CN"/>
          <w14:textFill>
            <w14:solidFill>
              <w14:schemeClr w14:val="tx1"/>
            </w14:solidFill>
          </w14:textFill>
        </w:rPr>
        <w:t>谈判</w:t>
      </w:r>
      <w:r>
        <w:rPr>
          <w:rFonts w:hint="eastAsia" w:ascii="方正小标宋简体" w:hAnsi="方正小标宋简体" w:eastAsia="方正小标宋简体" w:cs="方正小标宋简体"/>
          <w:b w:val="0"/>
          <w:bCs/>
          <w:color w:val="000000" w:themeColor="text1"/>
          <w:kern w:val="0"/>
          <w:sz w:val="96"/>
          <w:szCs w:val="96"/>
          <w14:textFill>
            <w14:solidFill>
              <w14:schemeClr w14:val="tx1"/>
            </w14:solidFill>
          </w14:textFill>
        </w:rPr>
        <w:t>文件</w:t>
      </w:r>
    </w:p>
    <w:p>
      <w:pPr>
        <w:pStyle w:val="37"/>
        <w:spacing w:line="240" w:lineRule="auto"/>
        <w:ind w:left="0" w:leftChars="0" w:right="424" w:rightChars="150" w:firstLine="0" w:firstLineChars="0"/>
        <w:jc w:val="center"/>
        <w:rPr>
          <w:rFonts w:hint="eastAsia" w:ascii="仿宋_GB2312" w:hAnsi="仿宋_GB2312" w:eastAsia="仿宋_GB2312" w:cs="仿宋_GB2312"/>
          <w:color w:val="000000" w:themeColor="text1"/>
          <w:sz w:val="36"/>
          <w:szCs w:val="36"/>
          <w:lang w:eastAsia="zh-CN"/>
          <w14:textFill>
            <w14:solidFill>
              <w14:schemeClr w14:val="tx1"/>
            </w14:solidFill>
          </w14:textFill>
        </w:rPr>
      </w:pPr>
      <w:r>
        <w:rPr>
          <w:rFonts w:hint="eastAsia" w:ascii="仿宋_GB2312" w:hAnsi="仿宋_GB2312" w:eastAsia="仿宋_GB2312" w:cs="仿宋_GB2312"/>
          <w:color w:val="000000" w:themeColor="text1"/>
          <w:sz w:val="44"/>
          <w:szCs w:val="44"/>
          <w:lang w:eastAsia="zh-CN"/>
          <w14:textFill>
            <w14:solidFill>
              <w14:schemeClr w14:val="tx1"/>
            </w14:solidFill>
          </w14:textFill>
        </w:rPr>
        <w:t>（</w:t>
      </w: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非专门面向中小企业采购</w:t>
      </w:r>
      <w:r>
        <w:rPr>
          <w:rFonts w:hint="eastAsia" w:ascii="仿宋_GB2312" w:hAnsi="仿宋_GB2312" w:eastAsia="仿宋_GB2312" w:cs="仿宋_GB2312"/>
          <w:color w:val="000000" w:themeColor="text1"/>
          <w:sz w:val="44"/>
          <w:szCs w:val="44"/>
          <w:lang w:eastAsia="zh-CN"/>
          <w14:textFill>
            <w14:solidFill>
              <w14:schemeClr w14:val="tx1"/>
            </w14:solidFill>
          </w14:textFill>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w w:val="100"/>
          <w:sz w:val="36"/>
          <w:szCs w:val="36"/>
          <w14:textFill>
            <w14:solidFill>
              <w14:schemeClr w14:val="tx1"/>
            </w14:solidFill>
          </w14:textFill>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w w:val="95"/>
          <w:sz w:val="36"/>
          <w:szCs w:val="36"/>
          <w:highlight w:val="yellow"/>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100"/>
          <w:sz w:val="36"/>
          <w:szCs w:val="36"/>
          <w14:textFill>
            <w14:solidFill>
              <w14:schemeClr w14:val="tx1"/>
            </w14:solidFill>
          </w14:textFill>
        </w:rPr>
        <w:t>项目名称：</w:t>
      </w:r>
      <w:r>
        <w:rPr>
          <w:rFonts w:hint="eastAsia" w:ascii="仿宋_GB2312" w:hAnsi="仿宋_GB2312" w:eastAsia="仿宋_GB2312" w:cs="仿宋_GB2312"/>
          <w:b w:val="0"/>
          <w:bCs w:val="0"/>
          <w:color w:val="000000" w:themeColor="text1"/>
          <w:w w:val="100"/>
          <w:sz w:val="36"/>
          <w:szCs w:val="36"/>
          <w:lang w:val="en-US" w:eastAsia="zh-CN"/>
          <w14:textFill>
            <w14:solidFill>
              <w14:schemeClr w14:val="tx1"/>
            </w14:solidFill>
          </w14:textFill>
        </w:rPr>
        <w:t>汉中职业技术学院计算机实验室台式计算机采购项目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000000" w:themeColor="text1"/>
          <w:sz w:val="36"/>
          <w:szCs w:val="36"/>
          <w14:textFill>
            <w14:solidFill>
              <w14:schemeClr w14:val="tx1"/>
            </w14:solidFill>
          </w14:textFill>
        </w:rPr>
      </w:pPr>
      <w:r>
        <w:rPr>
          <w:rFonts w:hint="eastAsia" w:ascii="仿宋_GB2312" w:hAnsi="仿宋_GB2312" w:eastAsia="仿宋_GB2312" w:cs="仿宋_GB2312"/>
          <w:b w:val="0"/>
          <w:bCs w:val="0"/>
          <w:color w:val="000000" w:themeColor="text1"/>
          <w:sz w:val="36"/>
          <w:szCs w:val="36"/>
          <w14:textFill>
            <w14:solidFill>
              <w14:schemeClr w14:val="tx1"/>
            </w14:solidFill>
          </w14:textFill>
        </w:rPr>
        <w:t>项目编号：</w:t>
      </w:r>
      <w:r>
        <w:rPr>
          <w:rFonts w:hint="eastAsia" w:ascii="仿宋_GB2312" w:hAnsi="仿宋_GB2312" w:eastAsia="仿宋_GB2312" w:cs="仿宋_GB2312"/>
          <w:b w:val="0"/>
          <w:bCs w:val="0"/>
          <w:color w:val="000000" w:themeColor="text1"/>
          <w:sz w:val="36"/>
          <w:szCs w:val="36"/>
          <w:lang w:val="en-US" w:eastAsia="zh-CN"/>
          <w14:textFill>
            <w14:solidFill>
              <w14:schemeClr w14:val="tx1"/>
            </w14:solidFill>
          </w14:textFill>
        </w:rPr>
        <w:t>汉采HW【2023】24号</w:t>
      </w:r>
    </w:p>
    <w:p>
      <w:pPr>
        <w:spacing w:line="240" w:lineRule="auto"/>
        <w:ind w:right="424" w:rightChars="150" w:firstLine="726" w:firstLineChars="200"/>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pStyle w:val="9"/>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rPr>
          <w:rFonts w:hint="eastAsia" w:ascii="仿宋_GB2312" w:hAnsi="仿宋_GB2312" w:eastAsia="仿宋_GB2312" w:cs="仿宋_GB2312"/>
          <w:b w:val="0"/>
          <w:bCs w:val="0"/>
          <w:color w:val="000000" w:themeColor="text1"/>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36"/>
          <w:szCs w:val="36"/>
          <w14:textFill>
            <w14:solidFill>
              <w14:schemeClr w14:val="tx1"/>
            </w14:solidFill>
          </w14:textFill>
        </w:rPr>
      </w:pPr>
    </w:p>
    <w:p>
      <w:pPr>
        <w:spacing w:line="240" w:lineRule="auto"/>
        <w:jc w:val="center"/>
        <w:rPr>
          <w:rFonts w:hint="eastAsia" w:ascii="仿宋_GB2312" w:hAnsi="仿宋_GB2312" w:eastAsia="仿宋_GB2312" w:cs="仿宋_GB2312"/>
          <w:b w:val="0"/>
          <w:bCs w:val="0"/>
          <w:color w:val="000000" w:themeColor="text1"/>
          <w:sz w:val="44"/>
          <w:szCs w:val="44"/>
          <w14:textFill>
            <w14:solidFill>
              <w14:schemeClr w14:val="tx1"/>
            </w14:solidFill>
          </w14:textFill>
        </w:rPr>
      </w:pPr>
      <w:r>
        <w:rPr>
          <w:rFonts w:hint="eastAsia" w:ascii="仿宋_GB2312" w:hAnsi="仿宋_GB2312" w:eastAsia="仿宋_GB2312" w:cs="仿宋_GB2312"/>
          <w:b w:val="0"/>
          <w:bCs w:val="0"/>
          <w:color w:val="000000" w:themeColor="text1"/>
          <w:sz w:val="44"/>
          <w:szCs w:val="44"/>
          <w14:textFill>
            <w14:solidFill>
              <w14:schemeClr w14:val="tx1"/>
            </w14:solidFill>
          </w14:textFill>
        </w:rPr>
        <w:t>202</w:t>
      </w:r>
      <w:r>
        <w:rPr>
          <w:rFonts w:hint="eastAsia" w:ascii="仿宋_GB2312" w:hAnsi="仿宋_GB2312" w:eastAsia="仿宋_GB2312" w:cs="仿宋_GB2312"/>
          <w:b w:val="0"/>
          <w:bCs w:val="0"/>
          <w:color w:val="000000" w:themeColor="text1"/>
          <w:sz w:val="44"/>
          <w:szCs w:val="44"/>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44"/>
          <w:szCs w:val="44"/>
          <w14:textFill>
            <w14:solidFill>
              <w14:schemeClr w14:val="tx1"/>
            </w14:solidFill>
          </w14:textFill>
        </w:rPr>
        <w:t>年</w:t>
      </w:r>
      <w:r>
        <w:rPr>
          <w:rFonts w:hint="eastAsia" w:ascii="仿宋_GB2312" w:hAnsi="仿宋_GB2312" w:eastAsia="仿宋_GB2312" w:cs="仿宋_GB2312"/>
          <w:b w:val="0"/>
          <w:bCs w:val="0"/>
          <w:color w:val="000000" w:themeColor="text1"/>
          <w:sz w:val="44"/>
          <w:szCs w:val="44"/>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44"/>
          <w:szCs w:val="44"/>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44"/>
          <w:szCs w:val="44"/>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44"/>
          <w:szCs w:val="44"/>
          <w14:textFill>
            <w14:solidFill>
              <w14:schemeClr w14:val="tx1"/>
            </w14:solidFill>
          </w14:textFill>
        </w:rPr>
        <w:t>日</w:t>
      </w:r>
      <w:bookmarkStart w:id="0" w:name="_Toc10222_WPSOffice_Level1"/>
      <w:bookmarkStart w:id="1" w:name="_Toc30340_WPSOffice_Level1"/>
      <w:bookmarkStart w:id="2" w:name="_Toc30102_WPSOffice_Level1"/>
    </w:p>
    <w:p>
      <w:pPr>
        <w:pStyle w:val="9"/>
        <w:rPr>
          <w:rFonts w:hint="eastAsia"/>
          <w:color w:val="000000" w:themeColor="text1"/>
          <w14:textFill>
            <w14:solidFill>
              <w14:schemeClr w14:val="tx1"/>
            </w14:solidFill>
          </w14:textFill>
        </w:rPr>
      </w:pPr>
    </w:p>
    <w:p>
      <w:pPr>
        <w:pStyle w:val="16"/>
        <w:tabs>
          <w:tab w:val="right" w:leader="dot" w:pos="9072"/>
        </w:tabs>
        <w:spacing w:before="190" w:beforeLines="50" w:after="190" w:afterLines="50" w:line="500" w:lineRule="exact"/>
        <w:jc w:val="center"/>
        <w:rPr>
          <w:rFonts w:hint="eastAsia" w:ascii="仿宋" w:hAnsi="仿宋" w:eastAsia="仿宋" w:cs="仿宋"/>
          <w:color w:val="000000" w:themeColor="text1"/>
          <w:sz w:val="44"/>
          <w:szCs w:val="44"/>
          <w14:textFill>
            <w14:solidFill>
              <w14:schemeClr w14:val="tx1"/>
            </w14:solidFill>
          </w14:textFill>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000000" w:themeColor="text1"/>
          <w:sz w:val="44"/>
          <w14:textFill>
            <w14:solidFill>
              <w14:schemeClr w14:val="tx1"/>
            </w14:solidFill>
          </w14:textFill>
        </w:rPr>
      </w:pPr>
      <w:r>
        <w:rPr>
          <w:rFonts w:hint="eastAsia" w:ascii="黑体" w:hAnsi="黑体" w:eastAsia="黑体" w:cs="黑体"/>
          <w:b w:val="0"/>
          <w:bCs/>
          <w:color w:val="000000" w:themeColor="text1"/>
          <w:sz w:val="44"/>
          <w14:textFill>
            <w14:solidFill>
              <w14:schemeClr w14:val="tx1"/>
            </w14:solidFill>
          </w14:textFill>
        </w:rPr>
        <w:t>目  录</w:t>
      </w:r>
    </w:p>
    <w:p>
      <w:pPr>
        <w:pStyle w:val="14"/>
        <w:rPr>
          <w:color w:val="000000" w:themeColor="text1"/>
          <w:highlight w:val="yellow"/>
          <w14:textFill>
            <w14:solidFill>
              <w14:schemeClr w14:val="tx1"/>
            </w14:solidFill>
          </w14:textFill>
        </w:rPr>
      </w:pPr>
    </w:p>
    <w:p>
      <w:pPr>
        <w:pStyle w:val="16"/>
        <w:tabs>
          <w:tab w:val="right" w:leader="dot" w:pos="9072"/>
        </w:tabs>
        <w:rPr>
          <w:rFonts w:hint="default" w:ascii="Calibri Light" w:hAnsi="Calibri Light" w:cs="Calibri Ligh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TOC \o "1-2" \u </w:instrText>
      </w:r>
      <w:r>
        <w:rPr>
          <w:rFonts w:hint="default"/>
          <w:color w:val="000000" w:themeColor="text1"/>
          <w:lang w:val="en-US" w:eastAsia="zh-CN"/>
          <w14:textFill>
            <w14:solidFill>
              <w14:schemeClr w14:val="tx1"/>
            </w14:solidFill>
          </w14:textFill>
        </w:rPr>
        <w:fldChar w:fldCharType="separate"/>
      </w:r>
      <w:r>
        <w:rPr>
          <w:rFonts w:hint="eastAsia" w:ascii="黑体" w:hAnsi="黑体" w:eastAsia="黑体"/>
          <w:color w:val="000000" w:themeColor="text1"/>
          <w:szCs w:val="32"/>
          <w14:textFill>
            <w14:solidFill>
              <w14:schemeClr w14:val="tx1"/>
            </w14:solidFill>
          </w14:textFill>
        </w:rPr>
        <w:t xml:space="preserve">第一章 </w:t>
      </w:r>
      <w:r>
        <w:rPr>
          <w:rFonts w:hint="eastAsia" w:ascii="黑体" w:hAnsi="黑体" w:eastAsia="黑体"/>
          <w:color w:val="000000" w:themeColor="text1"/>
          <w:szCs w:val="32"/>
          <w:lang w:eastAsia="zh-CN"/>
          <w14:textFill>
            <w14:solidFill>
              <w14:schemeClr w14:val="tx1"/>
            </w14:solidFill>
          </w14:textFill>
        </w:rPr>
        <w:t>谈判</w:t>
      </w:r>
      <w:r>
        <w:rPr>
          <w:rFonts w:ascii="黑体" w:hAnsi="黑体" w:eastAsia="黑体"/>
          <w:color w:val="000000" w:themeColor="text1"/>
          <w:szCs w:val="32"/>
          <w14:textFill>
            <w14:solidFill>
              <w14:schemeClr w14:val="tx1"/>
            </w14:solidFill>
          </w14:textFill>
        </w:rPr>
        <w:t>邀请函</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_Toc8073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6"/>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ascii="黑体" w:hAnsi="黑体" w:eastAsia="黑体"/>
          <w:bCs/>
          <w:color w:val="000000" w:themeColor="text1"/>
          <w:szCs w:val="32"/>
          <w14:textFill>
            <w14:solidFill>
              <w14:schemeClr w14:val="tx1"/>
            </w14:solidFill>
          </w14:textFill>
        </w:rPr>
        <w:t xml:space="preserve">第二章  </w:t>
      </w:r>
      <w:r>
        <w:rPr>
          <w:rFonts w:hint="eastAsia" w:ascii="黑体" w:hAnsi="黑体" w:eastAsia="黑体"/>
          <w:bCs/>
          <w:color w:val="000000" w:themeColor="text1"/>
          <w:szCs w:val="32"/>
          <w14:textFill>
            <w14:solidFill>
              <w14:schemeClr w14:val="tx1"/>
            </w14:solidFill>
          </w14:textFill>
        </w:rPr>
        <w:t>供应商</w:t>
      </w:r>
      <w:r>
        <w:rPr>
          <w:rFonts w:ascii="黑体" w:hAnsi="黑体" w:eastAsia="黑体"/>
          <w:bCs/>
          <w:color w:val="000000" w:themeColor="text1"/>
          <w:szCs w:val="32"/>
          <w14:textFill>
            <w14:solidFill>
              <w14:schemeClr w14:val="tx1"/>
            </w14:solidFill>
          </w14:textFill>
        </w:rPr>
        <w:t>须知</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_Toc9601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一、定义</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_Toc3062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二、供应商注意事项</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_Toc24646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5</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三、</w:t>
      </w:r>
      <w:r>
        <w:rPr>
          <w:rFonts w:hint="eastAsia" w:ascii="仿宋_GB2312" w:hAnsi="仿宋_GB2312" w:eastAsia="仿宋_GB2312" w:cs="仿宋_GB2312"/>
          <w:color w:val="000000" w:themeColor="text1"/>
          <w:szCs w:val="28"/>
          <w:lang w:eastAsia="zh-CN"/>
          <w14:textFill>
            <w14:solidFill>
              <w14:schemeClr w14:val="tx1"/>
            </w14:solidFill>
          </w14:textFill>
        </w:rPr>
        <w:t>谈判</w:t>
      </w:r>
      <w:r>
        <w:rPr>
          <w:rFonts w:hint="eastAsia" w:ascii="仿宋_GB2312" w:hAnsi="仿宋_GB2312" w:eastAsia="仿宋_GB2312" w:cs="仿宋_GB2312"/>
          <w:color w:val="000000" w:themeColor="text1"/>
          <w:szCs w:val="28"/>
          <w14:textFill>
            <w14:solidFill>
              <w14:schemeClr w14:val="tx1"/>
            </w14:solidFill>
          </w14:textFill>
        </w:rPr>
        <w:t>文件</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_Toc3130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9</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Cs w:val="28"/>
          <w14:textFill>
            <w14:solidFill>
              <w14:schemeClr w14:val="tx1"/>
            </w14:solidFill>
          </w14:textFill>
        </w:rPr>
        <w:t>、</w:t>
      </w:r>
      <w:r>
        <w:rPr>
          <w:rFonts w:hint="eastAsia" w:ascii="仿宋_GB2312" w:hAnsi="仿宋_GB2312" w:eastAsia="仿宋_GB2312" w:cs="仿宋_GB2312"/>
          <w:color w:val="000000" w:themeColor="text1"/>
          <w:szCs w:val="28"/>
          <w:lang w:eastAsia="zh-CN"/>
          <w14:textFill>
            <w14:solidFill>
              <w14:schemeClr w14:val="tx1"/>
            </w14:solidFill>
          </w14:textFill>
        </w:rPr>
        <w:t>谈判</w:t>
      </w:r>
      <w:r>
        <w:rPr>
          <w:rFonts w:hint="eastAsia" w:ascii="仿宋_GB2312" w:hAnsi="仿宋_GB2312" w:eastAsia="仿宋_GB2312" w:cs="仿宋_GB2312"/>
          <w:color w:val="000000" w:themeColor="text1"/>
          <w:szCs w:val="28"/>
          <w14:textFill>
            <w14:solidFill>
              <w14:schemeClr w14:val="tx1"/>
            </w14:solidFill>
          </w14:textFill>
        </w:rPr>
        <w:t>报价</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_Toc3559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10</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Cs w:val="28"/>
          <w14:textFill>
            <w14:solidFill>
              <w14:schemeClr w14:val="tx1"/>
            </w14:solidFill>
          </w14:textFill>
        </w:rPr>
        <w:t>、响应文件</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_Toc12154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10</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Cs w:val="28"/>
          <w14:textFill>
            <w14:solidFill>
              <w14:schemeClr w14:val="tx1"/>
            </w14:solidFill>
          </w14:textFill>
        </w:rPr>
        <w:t>、</w:t>
      </w:r>
      <w:r>
        <w:rPr>
          <w:rFonts w:hint="eastAsia" w:ascii="仿宋_GB2312" w:hAnsi="仿宋_GB2312" w:eastAsia="仿宋_GB2312" w:cs="仿宋_GB2312"/>
          <w:color w:val="000000" w:themeColor="text1"/>
          <w:szCs w:val="28"/>
          <w:lang w:val="en-US" w:eastAsia="zh-CN"/>
          <w14:textFill>
            <w14:solidFill>
              <w14:schemeClr w14:val="tx1"/>
            </w14:solidFill>
          </w14:textFill>
        </w:rPr>
        <w:t>响应文件开启</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_Toc17536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12</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Cs w:val="28"/>
          <w14:textFill>
            <w14:solidFill>
              <w14:schemeClr w14:val="tx1"/>
            </w14:solidFill>
          </w14:textFill>
        </w:rPr>
        <w:t>、组织评审</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_Toc31905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14</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Cs w:val="28"/>
          <w14:textFill>
            <w14:solidFill>
              <w14:schemeClr w14:val="tx1"/>
            </w14:solidFill>
          </w14:textFill>
        </w:rPr>
        <w:t>、成交</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_Toc3023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default" w:ascii="Calibri Light" w:hAnsi="Calibri Light" w:eastAsia="仿宋_GB2312" w:cs="Calibri Light"/>
          <w:color w:val="000000" w:themeColor="text1"/>
          <w14:textFill>
            <w14:solidFill>
              <w14:schemeClr w14:val="tx1"/>
            </w14:solidFill>
          </w14:textFill>
        </w:rPr>
      </w:pPr>
      <w:r>
        <w:rPr>
          <w:rFonts w:hint="eastAsia" w:ascii="仿宋_GB2312" w:hAnsi="仿宋_GB2312" w:eastAsia="仿宋_GB2312" w:cs="仿宋_GB2312"/>
          <w:color w:val="000000" w:themeColor="text1"/>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Cs w:val="28"/>
          <w14:textFill>
            <w14:solidFill>
              <w14:schemeClr w14:val="tx1"/>
            </w14:solidFill>
          </w14:textFill>
        </w:rPr>
        <w:t>、签订</w:t>
      </w:r>
      <w:r>
        <w:rPr>
          <w:rFonts w:hint="eastAsia" w:ascii="仿宋_GB2312" w:hAnsi="仿宋_GB2312" w:eastAsia="仿宋_GB2312" w:cs="仿宋_GB2312"/>
          <w:color w:val="000000" w:themeColor="text1"/>
          <w:kern w:val="0"/>
          <w:szCs w:val="28"/>
          <w14:textFill>
            <w14:solidFill>
              <w14:schemeClr w14:val="tx1"/>
            </w14:solidFill>
          </w14:textFill>
        </w:rPr>
        <w:t>政府采购合同</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_Toc23938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7"/>
        <w:tabs>
          <w:tab w:val="right" w:leader="dot" w:pos="9072"/>
        </w:tabs>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十</w:t>
      </w:r>
      <w:r>
        <w:rPr>
          <w:rFonts w:hint="eastAsia" w:ascii="仿宋_GB2312" w:hAnsi="仿宋_GB2312" w:eastAsia="仿宋_GB2312" w:cs="仿宋_GB2312"/>
          <w:color w:val="000000" w:themeColor="text1"/>
          <w:szCs w:val="28"/>
          <w:lang w:eastAsia="zh-CN"/>
          <w14:textFill>
            <w14:solidFill>
              <w14:schemeClr w14:val="tx1"/>
            </w14:solidFill>
          </w14:textFill>
        </w:rPr>
        <w:t>、</w:t>
      </w:r>
      <w:r>
        <w:rPr>
          <w:rFonts w:hint="eastAsia" w:ascii="仿宋_GB2312" w:hAnsi="仿宋_GB2312" w:eastAsia="仿宋_GB2312" w:cs="仿宋_GB2312"/>
          <w:color w:val="000000" w:themeColor="text1"/>
          <w:szCs w:val="28"/>
          <w14:textFill>
            <w14:solidFill>
              <w14:schemeClr w14:val="tx1"/>
            </w14:solidFill>
          </w14:textFill>
        </w:rPr>
        <w:t>采购代理服务费</w:t>
      </w:r>
      <w:r>
        <w:rPr>
          <w:rFonts w:hint="default" w:ascii="Calibri Light" w:hAnsi="Calibri Light" w:eastAsia="仿宋_GB2312" w:cs="Calibri Light"/>
          <w:color w:val="000000" w:themeColor="text1"/>
          <w14:textFill>
            <w14:solidFill>
              <w14:schemeClr w14:val="tx1"/>
            </w14:solidFill>
          </w14:textFill>
        </w:rPr>
        <w:tab/>
      </w:r>
      <w:r>
        <w:rPr>
          <w:rFonts w:hint="default" w:ascii="Calibri Light" w:hAnsi="Calibri Light" w:eastAsia="仿宋_GB2312" w:cs="Calibri Light"/>
          <w:color w:val="000000" w:themeColor="text1"/>
          <w14:textFill>
            <w14:solidFill>
              <w14:schemeClr w14:val="tx1"/>
            </w14:solidFill>
          </w14:textFill>
        </w:rPr>
        <w:fldChar w:fldCharType="begin"/>
      </w:r>
      <w:r>
        <w:rPr>
          <w:rFonts w:hint="default" w:ascii="Calibri Light" w:hAnsi="Calibri Light" w:eastAsia="仿宋_GB2312" w:cs="Calibri Light"/>
          <w:color w:val="000000" w:themeColor="text1"/>
          <w14:textFill>
            <w14:solidFill>
              <w14:schemeClr w14:val="tx1"/>
            </w14:solidFill>
          </w14:textFill>
        </w:rPr>
        <w:instrText xml:space="preserve"> PAGEREF _Toc14560 \h </w:instrText>
      </w:r>
      <w:r>
        <w:rPr>
          <w:rFonts w:hint="default" w:ascii="Calibri Light" w:hAnsi="Calibri Light" w:eastAsia="仿宋_GB2312" w:cs="Calibri Light"/>
          <w:color w:val="000000" w:themeColor="text1"/>
          <w14:textFill>
            <w14:solidFill>
              <w14:schemeClr w14:val="tx1"/>
            </w14:solidFill>
          </w14:textFill>
        </w:rPr>
        <w:fldChar w:fldCharType="separate"/>
      </w:r>
      <w:r>
        <w:rPr>
          <w:rFonts w:hint="default" w:ascii="Calibri Light" w:hAnsi="Calibri Light" w:eastAsia="仿宋_GB2312" w:cs="Calibri Light"/>
          <w:color w:val="000000" w:themeColor="text1"/>
          <w14:textFill>
            <w14:solidFill>
              <w14:schemeClr w14:val="tx1"/>
            </w14:solidFill>
          </w14:textFill>
        </w:rPr>
        <w:t>23</w:t>
      </w:r>
      <w:r>
        <w:rPr>
          <w:rFonts w:hint="default" w:ascii="Calibri Light" w:hAnsi="Calibri Light" w:eastAsia="仿宋_GB2312" w:cs="Calibri Light"/>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hint="eastAsia" w:ascii="黑体" w:hAnsi="黑体" w:eastAsia="黑体" w:cs="黑体"/>
          <w:bCs/>
          <w:color w:val="000000" w:themeColor="text1"/>
          <w:szCs w:val="40"/>
          <w14:textFill>
            <w14:solidFill>
              <w14:schemeClr w14:val="tx1"/>
            </w14:solidFill>
          </w14:textFill>
        </w:rPr>
        <w:t xml:space="preserve">第三章  </w:t>
      </w:r>
      <w:r>
        <w:rPr>
          <w:rFonts w:hint="eastAsia" w:ascii="黑体" w:hAnsi="黑体" w:eastAsia="黑体" w:cs="黑体"/>
          <w:bCs/>
          <w:color w:val="000000" w:themeColor="text1"/>
          <w:szCs w:val="40"/>
          <w:lang w:eastAsia="zh-CN"/>
          <w14:textFill>
            <w14:solidFill>
              <w14:schemeClr w14:val="tx1"/>
            </w14:solidFill>
          </w14:textFill>
        </w:rPr>
        <w:t>谈判</w:t>
      </w:r>
      <w:r>
        <w:rPr>
          <w:rFonts w:hint="eastAsia" w:ascii="黑体" w:hAnsi="黑体" w:eastAsia="黑体" w:cs="黑体"/>
          <w:bCs/>
          <w:color w:val="000000" w:themeColor="text1"/>
          <w:szCs w:val="40"/>
          <w14:textFill>
            <w14:solidFill>
              <w14:schemeClr w14:val="tx1"/>
            </w14:solidFill>
          </w14:textFill>
        </w:rPr>
        <w:t>内容及采购要求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ascii="黑体" w:hAnsi="黑体" w:eastAsia="黑体"/>
          <w:color w:val="000000" w:themeColor="text1"/>
          <w:szCs w:val="32"/>
          <w14:textFill>
            <w14:solidFill>
              <w14:schemeClr w14:val="tx1"/>
            </w14:solidFill>
          </w14:textFill>
        </w:rPr>
        <w:t>第</w:t>
      </w:r>
      <w:r>
        <w:rPr>
          <w:rFonts w:hint="eastAsia" w:ascii="黑体" w:hAnsi="黑体" w:eastAsia="黑体"/>
          <w:color w:val="000000" w:themeColor="text1"/>
          <w:szCs w:val="32"/>
          <w14:textFill>
            <w14:solidFill>
              <w14:schemeClr w14:val="tx1"/>
            </w14:solidFill>
          </w14:textFill>
        </w:rPr>
        <w:t>四</w:t>
      </w:r>
      <w:r>
        <w:rPr>
          <w:rFonts w:ascii="黑体" w:hAnsi="黑体" w:eastAsia="黑体"/>
          <w:color w:val="000000" w:themeColor="text1"/>
          <w:szCs w:val="32"/>
          <w14:textFill>
            <w14:solidFill>
              <w14:schemeClr w14:val="tx1"/>
            </w14:solidFill>
          </w14:textFill>
        </w:rPr>
        <w:t xml:space="preserve">章 </w:t>
      </w:r>
      <w:r>
        <w:rPr>
          <w:rFonts w:hint="eastAsia" w:ascii="黑体" w:hAnsi="黑体" w:eastAsia="黑体"/>
          <w:color w:val="000000" w:themeColor="text1"/>
          <w:szCs w:val="32"/>
          <w:lang w:val="en-US" w:eastAsia="zh-CN"/>
          <w14:textFill>
            <w14:solidFill>
              <w14:schemeClr w14:val="tx1"/>
            </w14:solidFill>
          </w14:textFill>
        </w:rPr>
        <w:t xml:space="preserve"> </w:t>
      </w:r>
      <w:r>
        <w:rPr>
          <w:rFonts w:hint="eastAsia" w:ascii="黑体" w:hAnsi="黑体" w:eastAsia="黑体"/>
          <w:color w:val="000000" w:themeColor="text1"/>
          <w:szCs w:val="32"/>
          <w14:textFill>
            <w14:solidFill>
              <w14:schemeClr w14:val="tx1"/>
            </w14:solidFill>
          </w14:textFill>
        </w:rPr>
        <w:t>合同</w:t>
      </w:r>
      <w:r>
        <w:rPr>
          <w:rFonts w:hint="eastAsia" w:ascii="黑体" w:hAnsi="黑体" w:eastAsia="黑体"/>
          <w:color w:val="000000" w:themeColor="text1"/>
          <w:szCs w:val="32"/>
          <w:lang w:val="en-US" w:eastAsia="zh-CN"/>
          <w14:textFill>
            <w14:solidFill>
              <w14:schemeClr w14:val="tx1"/>
            </w14:solidFill>
          </w14:textFill>
        </w:rPr>
        <w:t>草案</w:t>
      </w:r>
      <w:r>
        <w:rPr>
          <w:rFonts w:hint="eastAsia" w:ascii="黑体" w:hAnsi="黑体" w:eastAsia="黑体"/>
          <w:color w:val="000000" w:themeColor="text1"/>
          <w:szCs w:val="32"/>
          <w14:textFill>
            <w14:solidFill>
              <w14:schemeClr w14:val="tx1"/>
            </w14:solidFill>
          </w14:textFill>
        </w:rPr>
        <w:t>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p>
    <w:p>
      <w:pPr>
        <w:pStyle w:val="16"/>
        <w:tabs>
          <w:tab w:val="right" w:leader="dot" w:pos="9072"/>
        </w:tabs>
        <w:rPr>
          <w:color w:val="000000" w:themeColor="text1"/>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第五章  响应文件构成及格式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p>
    <w:p>
      <w:pPr>
        <w:pStyle w:val="16"/>
        <w:tabs>
          <w:tab w:val="right" w:leader="dot" w:pos="9072"/>
        </w:tabs>
        <w:ind w:firstLine="566" w:firstLineChars="200"/>
        <w:rPr>
          <w:color w:val="000000" w:themeColor="text1"/>
          <w14:textFill>
            <w14:solidFill>
              <w14:schemeClr w14:val="tx1"/>
            </w14:solidFill>
          </w14:textFill>
        </w:rPr>
      </w:pPr>
      <w:r>
        <w:rPr>
          <w:rFonts w:hint="eastAsia" w:ascii="黑体" w:hAnsi="黑体" w:eastAsia="黑体" w:cs="黑体"/>
          <w:bCs/>
          <w:color w:val="000000" w:themeColor="text1"/>
          <w:szCs w:val="40"/>
          <w14:textFill>
            <w14:solidFill>
              <w14:schemeClr w14:val="tx1"/>
            </w14:solidFill>
          </w14:textFill>
        </w:rPr>
        <w:t>第一部分  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p>
    <w:p>
      <w:pPr>
        <w:pStyle w:val="17"/>
        <w:tabs>
          <w:tab w:val="right" w:leader="dot" w:pos="9072"/>
        </w:tabs>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第二部分  符合性证明文件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p>
    <w:p>
      <w:pPr>
        <w:pStyle w:val="17"/>
        <w:tabs>
          <w:tab w:val="right" w:leader="dot" w:pos="9072"/>
        </w:tabs>
        <w:rPr>
          <w:color w:val="000000" w:themeColor="text1"/>
          <w14:textFill>
            <w14:solidFill>
              <w14:schemeClr w14:val="tx1"/>
            </w14:solidFill>
          </w14:textFill>
        </w:rPr>
      </w:pPr>
      <w:r>
        <w:rPr>
          <w:rFonts w:hint="eastAsia" w:ascii="黑体" w:hAnsi="黑体" w:eastAsia="黑体"/>
          <w:bCs w:val="0"/>
          <w:color w:val="000000" w:themeColor="text1"/>
          <w:szCs w:val="40"/>
          <w14:textFill>
            <w14:solidFill>
              <w14:schemeClr w14:val="tx1"/>
            </w14:solidFill>
          </w14:textFill>
        </w:rPr>
        <w:t>第三部分  响应方案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fldChar w:fldCharType="end"/>
      </w:r>
    </w:p>
    <w:p>
      <w:pPr>
        <w:rPr>
          <w:color w:val="000000" w:themeColor="text1"/>
          <w14:textFill>
            <w14:solidFill>
              <w14:schemeClr w14:val="tx1"/>
            </w14:solidFill>
          </w14:textFill>
        </w:rPr>
      </w:pPr>
    </w:p>
    <w:p>
      <w:pPr>
        <w:pStyle w:val="3"/>
        <w:spacing w:line="500" w:lineRule="exact"/>
        <w:rPr>
          <w:rFonts w:ascii="黑体" w:hAnsi="黑体" w:eastAsia="黑体"/>
          <w:b w:val="0"/>
          <w:color w:val="000000" w:themeColor="text1"/>
          <w:sz w:val="32"/>
          <w:szCs w:val="32"/>
          <w14:textFill>
            <w14:solidFill>
              <w14:schemeClr w14:val="tx1"/>
            </w14:solidFill>
          </w14:textFill>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3"/>
        <w:numPr>
          <w:ilvl w:val="0"/>
          <w:numId w:val="1"/>
        </w:numPr>
        <w:spacing w:line="500" w:lineRule="exact"/>
        <w:rPr>
          <w:rFonts w:ascii="黑体" w:hAnsi="黑体" w:eastAsia="黑体"/>
          <w:b w:val="0"/>
          <w:color w:val="000000" w:themeColor="text1"/>
          <w:sz w:val="32"/>
          <w:szCs w:val="32"/>
          <w14:textFill>
            <w14:solidFill>
              <w14:schemeClr w14:val="tx1"/>
            </w14:solidFill>
          </w14:textFill>
        </w:rPr>
      </w:pPr>
      <w:bookmarkStart w:id="3" w:name="_Toc5655"/>
      <w:bookmarkStart w:id="4" w:name="_Toc21489"/>
      <w:bookmarkStart w:id="5" w:name="_Toc26235"/>
      <w:r>
        <w:rPr>
          <w:rFonts w:ascii="黑体" w:hAnsi="黑体" w:eastAsia="黑体"/>
          <w:b w:val="0"/>
          <w:color w:val="000000" w:themeColor="text1"/>
          <w:sz w:val="32"/>
          <w:szCs w:val="32"/>
          <w14:textFill>
            <w14:solidFill>
              <w14:schemeClr w14:val="tx1"/>
            </w14:solidFill>
          </w14:textFill>
        </w:rPr>
        <w:t xml:space="preserve"> </w:t>
      </w:r>
      <w:bookmarkStart w:id="6" w:name="_Toc8073"/>
      <w:r>
        <w:rPr>
          <w:rFonts w:hint="eastAsia" w:ascii="黑体" w:hAnsi="黑体" w:eastAsia="黑体"/>
          <w:b w:val="0"/>
          <w:color w:val="000000" w:themeColor="text1"/>
          <w:sz w:val="32"/>
          <w:szCs w:val="32"/>
          <w:lang w:val="en-US" w:eastAsia="zh-CN"/>
          <w14:textFill>
            <w14:solidFill>
              <w14:schemeClr w14:val="tx1"/>
            </w14:solidFill>
          </w14:textFill>
        </w:rPr>
        <w:t>谈判</w:t>
      </w:r>
      <w:r>
        <w:rPr>
          <w:rFonts w:ascii="黑体" w:hAnsi="黑体" w:eastAsia="黑体"/>
          <w:b w:val="0"/>
          <w:color w:val="000000" w:themeColor="text1"/>
          <w:sz w:val="32"/>
          <w:szCs w:val="32"/>
          <w14:textFill>
            <w14:solidFill>
              <w14:schemeClr w14:val="tx1"/>
            </w14:solidFill>
          </w14:textFill>
        </w:rPr>
        <w:t>邀请函</w:t>
      </w:r>
      <w:bookmarkEnd w:id="0"/>
      <w:bookmarkEnd w:id="1"/>
      <w:bookmarkEnd w:id="2"/>
      <w:bookmarkEnd w:id="3"/>
      <w:bookmarkEnd w:id="4"/>
      <w:bookmarkEnd w:id="5"/>
      <w:bookmarkEnd w:id="6"/>
    </w:p>
    <w:p>
      <w:pPr>
        <w:keepLines w:val="0"/>
        <w:pageBreakBefore w:val="0"/>
        <w:widowControl w:val="0"/>
        <w:wordWrap/>
        <w:overflowPunct/>
        <w:topLinePunct w:val="0"/>
        <w:bidi w:val="0"/>
        <w:snapToGrid/>
        <w:spacing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Lines w:val="0"/>
        <w:pageBreakBefore w:val="0"/>
        <w:widowControl w:val="0"/>
        <w:pBdr>
          <w:top w:val="single" w:color="auto" w:sz="4" w:space="1"/>
          <w:left w:val="single" w:color="auto" w:sz="4" w:space="4"/>
          <w:bottom w:val="single" w:color="auto" w:sz="4" w:space="1"/>
          <w:right w:val="single" w:color="auto" w:sz="4" w:space="4"/>
        </w:pBdr>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项目概况</w:t>
      </w:r>
    </w:p>
    <w:p>
      <w:pPr>
        <w:keepLines w:val="0"/>
        <w:pageBreakBefore w:val="0"/>
        <w:widowControl w:val="0"/>
        <w:pBdr>
          <w:top w:val="single" w:color="auto" w:sz="4" w:space="1"/>
          <w:left w:val="single" w:color="auto" w:sz="4" w:space="4"/>
          <w:bottom w:val="single" w:color="auto" w:sz="4" w:space="1"/>
          <w:right w:val="single" w:color="auto" w:sz="4" w:space="4"/>
        </w:pBdr>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汉中职业技术学院计算机实验室台式计算机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采购项目的潜在供应商应在</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全国公共资源交易平台（汉中市）（sxggzyjy.hanzhong.gov.cn）交易大厅该项目公告下方 </w:t>
      </w:r>
      <w:r>
        <w:rPr>
          <w:rFonts w:hint="eastAsia" w:ascii="仿宋_GB2312" w:hAnsi="仿宋_GB2312" w:eastAsia="仿宋_GB2312" w:cs="仿宋_GB2312"/>
          <w:color w:val="000000" w:themeColor="text1"/>
          <w:sz w:val="28"/>
          <w:szCs w:val="28"/>
          <w14:textFill>
            <w14:solidFill>
              <w14:schemeClr w14:val="tx1"/>
            </w14:solidFill>
          </w14:textFill>
        </w:rPr>
        <w:t>获取采购文件，并于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2023</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年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7 </w:t>
      </w:r>
      <w:r>
        <w:rPr>
          <w:rFonts w:hint="eastAsia" w:ascii="仿宋_GB2312" w:hAnsi="仿宋_GB2312" w:eastAsia="仿宋_GB2312" w:cs="仿宋_GB2312"/>
          <w:bCs/>
          <w:color w:val="000000" w:themeColor="text1"/>
          <w:sz w:val="28"/>
          <w:szCs w:val="28"/>
          <w:u w:val="single"/>
          <w14:textFill>
            <w14:solidFill>
              <w14:schemeClr w14:val="tx1"/>
            </w14:solidFill>
          </w14:textFill>
        </w:rPr>
        <w:t>月</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25</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日</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9 </w:t>
      </w:r>
      <w:r>
        <w:rPr>
          <w:rFonts w:hint="eastAsia" w:ascii="仿宋_GB2312" w:hAnsi="仿宋_GB2312" w:eastAsia="仿宋_GB2312" w:cs="仿宋_GB2312"/>
          <w:bCs/>
          <w:color w:val="000000" w:themeColor="text1"/>
          <w:sz w:val="28"/>
          <w:szCs w:val="28"/>
          <w:u w:val="single"/>
          <w14:textFill>
            <w14:solidFill>
              <w14:schemeClr w14:val="tx1"/>
            </w14:solidFill>
          </w14:textFill>
        </w:rPr>
        <w:t>点</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 30</w:t>
      </w:r>
      <w:r>
        <w:rPr>
          <w:rFonts w:hint="eastAsia" w:ascii="仿宋_GB2312" w:hAnsi="仿宋_GB2312" w:eastAsia="仿宋_GB2312" w:cs="仿宋_GB2312"/>
          <w:bCs/>
          <w:color w:val="000000" w:themeColor="text1"/>
          <w:sz w:val="28"/>
          <w:szCs w:val="28"/>
          <w:u w:val="single"/>
          <w14:textFill>
            <w14:solidFill>
              <w14:schemeClr w14:val="tx1"/>
            </w14:solidFill>
          </w14:textFill>
        </w:rPr>
        <w:t>分</w:t>
      </w:r>
      <w:r>
        <w:rPr>
          <w:rFonts w:hint="eastAsia" w:ascii="仿宋_GB2312" w:hAnsi="仿宋_GB2312" w:eastAsia="仿宋_GB2312" w:cs="仿宋_GB2312"/>
          <w:bCs/>
          <w:color w:val="000000" w:themeColor="text1"/>
          <w:sz w:val="28"/>
          <w:szCs w:val="28"/>
          <w14:textFill>
            <w14:solidFill>
              <w14:schemeClr w14:val="tx1"/>
            </w14:solidFill>
          </w14:textFill>
        </w:rPr>
        <w:t>（北京时间）前提交响应文件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Lines w:val="0"/>
        <w:pageBreakBefore w:val="0"/>
        <w:widowControl w:val="0"/>
        <w:wordWrap/>
        <w:overflowPunct/>
        <w:topLinePunct w:val="0"/>
        <w:bidi w:val="0"/>
        <w:snapToGrid/>
        <w:spacing w:line="5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7" w:name="_Toc35393798"/>
      <w:bookmarkStart w:id="8" w:name="_Toc28359089"/>
      <w:bookmarkStart w:id="9" w:name="_Toc35393629"/>
      <w:bookmarkStart w:id="10" w:name="_Toc28840"/>
      <w:bookmarkStart w:id="11" w:name="_Toc28359012"/>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一、项目基本情况</w:t>
      </w:r>
      <w:bookmarkEnd w:id="7"/>
      <w:bookmarkEnd w:id="8"/>
      <w:bookmarkEnd w:id="9"/>
      <w:bookmarkEnd w:id="10"/>
      <w:bookmarkEnd w:id="11"/>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项目编号：汉采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HW</w:t>
      </w: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t>号</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汉中职业技术学院计算机实验室台式计算机采购项目</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采购方式：竞争性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预算金额：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920000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元</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最高限价：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u w:val="single"/>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采购需求：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云终端机122台等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（详见谈判文件第三章）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合同履行期限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签订合同后20天内。</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w:t>
      </w:r>
      <w:r>
        <w:rPr>
          <w:rFonts w:hint="eastAsia" w:ascii="仿宋_GB2312" w:hAnsi="仿宋_GB2312" w:eastAsia="仿宋_GB2312" w:cs="仿宋_GB2312"/>
          <w:color w:val="000000" w:themeColor="text1"/>
          <w:sz w:val="28"/>
          <w:szCs w:val="28"/>
          <w14:textFill>
            <w14:solidFill>
              <w14:schemeClr w14:val="tx1"/>
            </w14:solidFill>
          </w14:textFill>
        </w:rPr>
        <w:t>接受联合体。</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12" w:name="_Toc28359090"/>
      <w:bookmarkStart w:id="13" w:name="_Toc35393799"/>
      <w:bookmarkStart w:id="14" w:name="_Toc35393630"/>
      <w:bookmarkStart w:id="15" w:name="_Toc3608"/>
      <w:bookmarkStart w:id="16" w:name="_Toc28359013"/>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二、申请人的资格要求：</w:t>
      </w:r>
      <w:bookmarkEnd w:id="12"/>
      <w:bookmarkEnd w:id="13"/>
      <w:bookmarkEnd w:id="14"/>
      <w:bookmarkEnd w:id="15"/>
      <w:bookmarkEnd w:id="1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1.满足《中华人民共和国政府采购法》第二十二条规定；</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17" w:name="_Toc28359091"/>
      <w:bookmarkStart w:id="18" w:name="_Toc28359014"/>
      <w:r>
        <w:rPr>
          <w:rFonts w:hint="eastAsia" w:ascii="仿宋_GB2312" w:hAnsi="仿宋_GB2312" w:eastAsia="仿宋_GB2312" w:cs="仿宋_GB2312"/>
          <w:color w:val="000000" w:themeColor="text1"/>
          <w:sz w:val="28"/>
          <w:szCs w:val="28"/>
          <w14:textFill>
            <w14:solidFill>
              <w14:schemeClr w14:val="tx1"/>
            </w14:solidFill>
          </w14:textFill>
        </w:rPr>
        <w:t>2.落实政府采购政策需满足的资格要求：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无；</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3.本项目的特定资格要求：</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（1）营业执照等主体资格证明文件：提供有效存续的企业营业执照（副本）/事业单位法人证书/专业服务机构执业许可证/民办非企业单位登记证书。</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（2）财务状况报告：提供202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年度或202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税收缴纳证明：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书面声明：</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提供《近三年内在经营活动中无重大违法记录声明》。（按第五章格式填写）</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法定代表人授权委托书：法定代表人参加谈判的，须提供本人身份证复印件（附在资格证明文件中）；法定代表人授权他人参加谈判的，须提供法定代表人授权委托书。谈判文件中凡是需要法定代表人盖章之处，非法人单位的负责人均参照执行。</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（按第五章格式填写）</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2、分支机构参与谈判时，响应文件中应附法人出具的授权书。法人只能授权一家分支机构参与谈判，且不能与分支机构同时参与谈判。 </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3、事业单位法人参与谈判可不提供财务状况报告、社会保障资金缴纳证明及税收缴纳证明。</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19" w:name="_Toc29259"/>
      <w:bookmarkStart w:id="20" w:name="_Toc35393800"/>
      <w:bookmarkStart w:id="21" w:name="_Toc35393631"/>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三、获取采购文件</w:t>
      </w:r>
      <w:bookmarkEnd w:id="17"/>
      <w:bookmarkEnd w:id="18"/>
      <w:bookmarkEnd w:id="19"/>
      <w:bookmarkEnd w:id="20"/>
      <w:bookmarkEnd w:id="21"/>
    </w:p>
    <w:p>
      <w:pPr>
        <w:keepLines w:val="0"/>
        <w:pageBreakBefore w:val="0"/>
        <w:widowControl w:val="0"/>
        <w:wordWrap/>
        <w:overflowPunct/>
        <w:topLinePunct w:val="0"/>
        <w:bidi w:val="0"/>
        <w:snapToGrid/>
        <w:spacing w:line="500" w:lineRule="exact"/>
        <w:ind w:left="376" w:leftChars="133" w:firstLine="443" w:firstLineChars="157"/>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时间：</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2023</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7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sz w:val="28"/>
          <w:szCs w:val="28"/>
          <w:u w:val="single"/>
          <w14:textFill>
            <w14:solidFill>
              <w14:schemeClr w14:val="tx1"/>
            </w14:solidFill>
          </w14:textFill>
        </w:rPr>
        <w:t>日</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0 点 00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分</w:t>
      </w:r>
      <w:r>
        <w:rPr>
          <w:rFonts w:hint="eastAsia" w:ascii="仿宋_GB2312" w:hAnsi="仿宋_GB2312" w:eastAsia="仿宋_GB2312" w:cs="仿宋_GB2312"/>
          <w:color w:val="000000" w:themeColor="text1"/>
          <w:sz w:val="28"/>
          <w:szCs w:val="28"/>
          <w:highlight w:val="none"/>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年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7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13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24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点00 分（北京时间）</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响应人登录全国公共资源交易平台（汉中市）（sxggzyjy.hanzhong.gov.cn）〖首页·〉电子交易平台·〉企业端〗后，在〖招标公告/出让公告·〉政府采购〗模块中选择项目点击“我要投标”，参与采购活动，然后即可在〖我的项目〗中点击“项目流程&gt;交易文件下载”下载电子招标文件（*.SXSZF）。操作流程详见全国公共资源交易平台（汉中市）网站〖首页·〉服务指南·〉下载专区〗中的《政府采购供应商操作手册》。</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方式：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在线获取</w:t>
      </w:r>
    </w:p>
    <w:p>
      <w:pPr>
        <w:keepLines w:val="0"/>
        <w:pageBreakBefore w:val="0"/>
        <w:widowControl w:val="0"/>
        <w:wordWrap/>
        <w:overflowPunct/>
        <w:topLinePunct w:val="0"/>
        <w:bidi w:val="0"/>
        <w:snapToGrid/>
        <w:spacing w:line="500" w:lineRule="exact"/>
        <w:ind w:firstLine="54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售价：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0.00元</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22" w:name="_Toc35393801"/>
      <w:bookmarkStart w:id="23" w:name="_Toc28359015"/>
      <w:bookmarkStart w:id="24" w:name="_Toc35393632"/>
      <w:bookmarkStart w:id="25" w:name="_Toc28359092"/>
      <w:bookmarkStart w:id="26" w:name="_Toc859"/>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四、响应文件提交</w:t>
      </w:r>
      <w:bookmarkEnd w:id="22"/>
      <w:bookmarkEnd w:id="23"/>
      <w:bookmarkEnd w:id="24"/>
      <w:bookmarkEnd w:id="25"/>
      <w:bookmarkEnd w:id="2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截止时间：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2023</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14:textFill>
            <w14:solidFill>
              <w14:schemeClr w14:val="tx1"/>
            </w14:solidFill>
          </w14:textFill>
        </w:rPr>
        <w:t>年</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月</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25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 xml:space="preserve">9 </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点 </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30</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地点：电子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文件（*.SXSTF）可于提交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文件截止时间前任意时段登录全国公共资源交易平台（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）网站进行提交</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逾期系统将拒绝接收。</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27" w:name="_Toc32165"/>
      <w:bookmarkStart w:id="28" w:name="_Toc35393633"/>
      <w:bookmarkStart w:id="29" w:name="_Toc35393802"/>
      <w:bookmarkStart w:id="30" w:name="_Toc28359093"/>
      <w:bookmarkStart w:id="31" w:name="_Toc28359016"/>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五、开启</w:t>
      </w:r>
      <w:bookmarkEnd w:id="27"/>
      <w:bookmarkEnd w:id="28"/>
      <w:bookmarkEnd w:id="29"/>
      <w:bookmarkEnd w:id="30"/>
      <w:bookmarkEnd w:id="31"/>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2023</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年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7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25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日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xml:space="preserve"> 点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0</w:t>
      </w:r>
      <w:r>
        <w:rPr>
          <w:rFonts w:hint="eastAsia" w:ascii="仿宋_GB2312" w:hAnsi="仿宋_GB2312" w:eastAsia="仿宋_GB2312" w:cs="仿宋_GB2312"/>
          <w:bCs/>
          <w:color w:val="000000" w:themeColor="text1"/>
          <w:sz w:val="28"/>
          <w:szCs w:val="28"/>
          <w:u w:val="single"/>
          <w14:textFill>
            <w14:solidFill>
              <w14:schemeClr w14:val="tx1"/>
            </w14:solidFill>
          </w14:textFill>
        </w:rPr>
        <w:t xml:space="preserve"> 分</w:t>
      </w:r>
      <w:r>
        <w:rPr>
          <w:rFonts w:hint="eastAsia" w:ascii="仿宋_GB2312" w:hAnsi="仿宋_GB2312" w:eastAsia="仿宋_GB2312" w:cs="仿宋_GB2312"/>
          <w:bCs/>
          <w:color w:val="000000" w:themeColor="text1"/>
          <w:sz w:val="28"/>
          <w:szCs w:val="28"/>
          <w14:textFill>
            <w14:solidFill>
              <w14:schemeClr w14:val="tx1"/>
            </w14:solidFill>
          </w14:textFill>
        </w:rPr>
        <w:t>（北京时间）</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采用</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不见面开标方式</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人登录全国公共资源交易平台（陕西省·汉中市）网站〖首页〉不见面开标〗系统，在线参加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过程。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时，按照工作人员要求进行远程解密，如因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人自身原因造成无法解密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文件，按无效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对待。</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32" w:name="_Toc28359017"/>
      <w:bookmarkStart w:id="33" w:name="_Toc35393634"/>
      <w:bookmarkStart w:id="34" w:name="_Toc28359094"/>
      <w:bookmarkStart w:id="35" w:name="_Toc35393803"/>
      <w:bookmarkStart w:id="36" w:name="_Toc4869"/>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六、公告期限</w:t>
      </w:r>
      <w:bookmarkEnd w:id="32"/>
      <w:bookmarkEnd w:id="33"/>
      <w:bookmarkEnd w:id="34"/>
      <w:bookmarkEnd w:id="35"/>
      <w:bookmarkEnd w:id="36"/>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自本公告发布之日起3个工作日。</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37" w:name="_Toc24605"/>
      <w:bookmarkStart w:id="38" w:name="_Toc35393635"/>
      <w:bookmarkStart w:id="39" w:name="_Toc35393804"/>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七、其他补充事宜</w:t>
      </w:r>
      <w:bookmarkEnd w:id="37"/>
      <w:bookmarkEnd w:id="38"/>
      <w:bookmarkEnd w:id="39"/>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本项目采用“电子化采购”及“不见面开标”方式，</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3、请响应人务必及时下载采购文件并做好备份，否则会影响响应文件编制及后续采购活动。 </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bookmarkStart w:id="40" w:name="_Toc35393636"/>
      <w:bookmarkStart w:id="41" w:name="_Toc35393805"/>
      <w:bookmarkStart w:id="42" w:name="_Toc28359095"/>
      <w:bookmarkStart w:id="43" w:name="_Toc28359018"/>
      <w:bookmarkStart w:id="44" w:name="_Toc17247"/>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八、凡对本次采购提出询问，请按以下方式联系。</w:t>
      </w:r>
      <w:bookmarkEnd w:id="40"/>
      <w:bookmarkEnd w:id="41"/>
      <w:bookmarkEnd w:id="42"/>
      <w:bookmarkEnd w:id="43"/>
      <w:bookmarkEnd w:id="44"/>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45" w:name="_Toc35393637"/>
      <w:bookmarkStart w:id="46" w:name="_Toc28359096"/>
      <w:bookmarkStart w:id="47" w:name="_Toc9063"/>
      <w:bookmarkStart w:id="48" w:name="_Toc35393806"/>
      <w:bookmarkStart w:id="49" w:name="_Toc28359019"/>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bookmarkStart w:id="50" w:name="_Toc35393638"/>
      <w:bookmarkStart w:id="51" w:name="_Toc28359097"/>
      <w:bookmarkStart w:id="52" w:name="_Toc35393807"/>
      <w:bookmarkStart w:id="53" w:name="_Toc28359020"/>
      <w:r>
        <w:rPr>
          <w:rFonts w:hint="eastAsia" w:ascii="仿宋_GB2312" w:hAnsi="仿宋_GB2312" w:eastAsia="仿宋_GB2312" w:cs="仿宋_GB2312"/>
          <w:color w:val="000000" w:themeColor="text1"/>
          <w:sz w:val="28"/>
          <w:szCs w:val="28"/>
          <w14:textFill>
            <w14:solidFill>
              <w14:schemeClr w14:val="tx1"/>
            </w14:solidFill>
          </w14:textFill>
        </w:rPr>
        <w:t>名    称：</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汉中职业技术学院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汉中市汉台区宗营镇</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13369236966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54" w:name="_Toc27032"/>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2.采购代理机构信息</w:t>
      </w:r>
      <w:bookmarkEnd w:id="50"/>
      <w:bookmarkEnd w:id="51"/>
      <w:bookmarkEnd w:id="52"/>
      <w:bookmarkEnd w:id="53"/>
      <w:bookmarkEnd w:id="54"/>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    称：</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汉中市政府采购中心</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汉中市汉台区南团结街与汉宁路十字金格大厦四楼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0916-2109082</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Next/>
        <w:keepLines w:val="0"/>
        <w:pageBreakBefore w:val="0"/>
        <w:widowControl w:val="0"/>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pPr>
      <w:bookmarkStart w:id="55" w:name="_Toc28359021"/>
      <w:bookmarkStart w:id="56" w:name="_Toc6426"/>
      <w:bookmarkStart w:id="57" w:name="_Toc35393808"/>
      <w:bookmarkStart w:id="58" w:name="_Toc28359098"/>
      <w:bookmarkStart w:id="59" w:name="_Toc35393639"/>
      <w:r>
        <w:rPr>
          <w:rFonts w:hint="eastAsia" w:ascii="仿宋_GB2312" w:hAnsi="仿宋_GB2312" w:eastAsia="仿宋_GB2312" w:cs="仿宋_GB2312"/>
          <w:b w:val="0"/>
          <w:color w:val="000000" w:themeColor="text1"/>
          <w:kern w:val="2"/>
          <w:sz w:val="28"/>
          <w:szCs w:val="28"/>
          <w:lang w:val="en-US" w:eastAsia="zh-CN" w:bidi="ar-SA"/>
          <w14:textFill>
            <w14:solidFill>
              <w14:schemeClr w14:val="tx1"/>
            </w14:solidFill>
          </w14:textFill>
        </w:rPr>
        <w:t>3.项目联系方式</w:t>
      </w:r>
      <w:bookmarkEnd w:id="55"/>
      <w:bookmarkEnd w:id="56"/>
      <w:bookmarkEnd w:id="57"/>
      <w:bookmarkEnd w:id="58"/>
      <w:bookmarkEnd w:id="59"/>
    </w:p>
    <w:p>
      <w:pPr>
        <w:pStyle w:val="11"/>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项目联系人：</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王月</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keepLines w:val="0"/>
        <w:pageBreakBefore w:val="0"/>
        <w:widowControl w:val="0"/>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　　 话：</w:t>
      </w:r>
      <w:r>
        <w:rPr>
          <w:rFonts w:hint="eastAsia" w:ascii="仿宋_GB2312" w:hAnsi="仿宋_GB2312" w:eastAsia="仿宋_GB2312" w:cs="仿宋_GB2312"/>
          <w:color w:val="000000" w:themeColor="text1"/>
          <w:sz w:val="28"/>
          <w:szCs w:val="28"/>
          <w:u w:val="single"/>
          <w14:textFill>
            <w14:solidFill>
              <w14:schemeClr w14:val="tx1"/>
            </w14:solidFill>
          </w14:textFill>
        </w:rPr>
        <w:t>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0916-2109082</w:t>
      </w:r>
      <w:r>
        <w:rPr>
          <w:rFonts w:hint="eastAsia" w:ascii="仿宋_GB2312" w:hAnsi="仿宋_GB2312" w:eastAsia="仿宋_GB2312" w:cs="仿宋_GB2312"/>
          <w:color w:val="000000" w:themeColor="text1"/>
          <w:sz w:val="28"/>
          <w:szCs w:val="28"/>
          <w:u w:val="single"/>
          <w14:textFill>
            <w14:solidFill>
              <w14:schemeClr w14:val="tx1"/>
            </w14:solidFill>
          </w14:textFill>
        </w:rPr>
        <w:t>　　</w:t>
      </w:r>
    </w:p>
    <w:p>
      <w:pPr>
        <w:pStyle w:val="3"/>
        <w:rPr>
          <w:rFonts w:ascii="黑体" w:hAnsi="黑体" w:eastAsia="黑体"/>
          <w:color w:val="000000" w:themeColor="text1"/>
          <w:sz w:val="32"/>
          <w:szCs w:val="32"/>
          <w14:textFill>
            <w14:solidFill>
              <w14:schemeClr w14:val="tx1"/>
            </w14:solidFill>
          </w14:textFill>
        </w:rPr>
      </w:pPr>
      <w:bookmarkStart w:id="60" w:name="_Toc495014919"/>
      <w:bookmarkStart w:id="61" w:name="_Toc19337_WPSOffice_Level1"/>
      <w:bookmarkStart w:id="62" w:name="_Toc7814"/>
      <w:bookmarkStart w:id="63" w:name="_Toc495014584"/>
      <w:bookmarkStart w:id="64" w:name="_Toc22804_WPSOffice_Level1"/>
      <w:bookmarkStart w:id="65" w:name="_Toc445306492"/>
      <w:bookmarkStart w:id="66" w:name="_Toc9601"/>
      <w:bookmarkStart w:id="67" w:name="_Toc4326"/>
      <w:bookmarkStart w:id="68" w:name="_Toc495014648"/>
      <w:bookmarkStart w:id="69" w:name="_Toc10140"/>
      <w:bookmarkStart w:id="70" w:name="_Toc495014610"/>
      <w:bookmarkStart w:id="71" w:name="_Toc495012820"/>
      <w:bookmarkStart w:id="72" w:name="_Toc495014953"/>
      <w:bookmarkStart w:id="73" w:name="_Toc495012770"/>
      <w:bookmarkStart w:id="74" w:name="_Toc15046_WPSOffice_Level1"/>
      <w:r>
        <w:rPr>
          <w:rFonts w:ascii="黑体" w:hAnsi="黑体" w:eastAsia="黑体"/>
          <w:b w:val="0"/>
          <w:bCs/>
          <w:color w:val="000000" w:themeColor="text1"/>
          <w:sz w:val="32"/>
          <w:szCs w:val="32"/>
          <w14:textFill>
            <w14:solidFill>
              <w14:schemeClr w14:val="tx1"/>
            </w14:solidFill>
          </w14:textFill>
        </w:rPr>
        <w:t xml:space="preserve">第二章  </w:t>
      </w:r>
      <w:r>
        <w:rPr>
          <w:rFonts w:hint="eastAsia" w:ascii="黑体" w:hAnsi="黑体" w:eastAsia="黑体"/>
          <w:b w:val="0"/>
          <w:bCs/>
          <w:color w:val="000000" w:themeColor="text1"/>
          <w:sz w:val="32"/>
          <w:szCs w:val="32"/>
          <w14:textFill>
            <w14:solidFill>
              <w14:schemeClr w14:val="tx1"/>
            </w14:solidFill>
          </w14:textFill>
        </w:rPr>
        <w:t>供应商</w:t>
      </w:r>
      <w:r>
        <w:rPr>
          <w:rFonts w:ascii="黑体" w:hAnsi="黑体" w:eastAsia="黑体"/>
          <w:b w:val="0"/>
          <w:bCs/>
          <w:color w:val="000000" w:themeColor="text1"/>
          <w:sz w:val="32"/>
          <w:szCs w:val="32"/>
          <w14:textFill>
            <w14:solidFill>
              <w14:schemeClr w14:val="tx1"/>
            </w14:solidFill>
          </w14:textFill>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Start w:id="438" w:name="_GoBack"/>
      <w:bookmarkEnd w:id="438"/>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75" w:name="_Toc12337"/>
      <w:bookmarkStart w:id="76" w:name="_Toc16238"/>
      <w:bookmarkStart w:id="77" w:name="_Toc23184"/>
      <w:bookmarkStart w:id="78" w:name="_Toc3858_WPSOffice_Level2"/>
      <w:bookmarkStart w:id="79" w:name="_Toc24451_WPSOffice_Level2"/>
      <w:bookmarkStart w:id="80" w:name="_Toc18466_WPSOffice_Level2"/>
      <w:bookmarkStart w:id="81" w:name="_Toc3062"/>
      <w:r>
        <w:rPr>
          <w:rFonts w:hint="eastAsia" w:ascii="仿宋_GB2312" w:hAnsi="仿宋_GB2312" w:eastAsia="仿宋_GB2312" w:cs="仿宋_GB2312"/>
          <w:color w:val="000000" w:themeColor="text1"/>
          <w:sz w:val="28"/>
          <w:szCs w:val="28"/>
          <w14:textFill>
            <w14:solidFill>
              <w14:schemeClr w14:val="tx1"/>
            </w14:solidFill>
          </w14:textFill>
        </w:rPr>
        <w:t>一、定义</w:t>
      </w:r>
      <w:bookmarkEnd w:id="75"/>
      <w:bookmarkEnd w:id="76"/>
      <w:bookmarkEnd w:id="77"/>
      <w:bookmarkEnd w:id="78"/>
      <w:bookmarkEnd w:id="79"/>
      <w:bookmarkEnd w:id="80"/>
      <w:bookmarkEnd w:id="81"/>
    </w:p>
    <w:p>
      <w:pPr>
        <w:spacing w:line="500" w:lineRule="exact"/>
        <w:ind w:firstLine="566"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82" w:name="_Toc11840_WPSOffice_Level3"/>
      <w:r>
        <w:rPr>
          <w:rFonts w:hint="eastAsia" w:ascii="仿宋_GB2312" w:hAnsi="仿宋_GB2312" w:eastAsia="仿宋_GB2312" w:cs="仿宋_GB2312"/>
          <w:color w:val="000000" w:themeColor="text1"/>
          <w:sz w:val="28"/>
          <w:szCs w:val="28"/>
          <w14:textFill>
            <w14:solidFill>
              <w14:schemeClr w14:val="tx1"/>
            </w14:solidFill>
          </w14:textFill>
        </w:rPr>
        <w:t>（一）采 购 人：</w:t>
      </w:r>
      <w:bookmarkEnd w:id="82"/>
      <w:bookmarkStart w:id="83" w:name="_Toc9917_WPSOffice_Level3"/>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汉中职业技术学院</w:t>
      </w:r>
    </w:p>
    <w:p>
      <w:pPr>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（二）监督机构：</w:t>
      </w:r>
      <w:bookmarkEnd w:id="83"/>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汉中市财政局</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4" w:name="_Toc8219_WPSOffice_Level3"/>
      <w:r>
        <w:rPr>
          <w:rFonts w:hint="eastAsia" w:ascii="仿宋_GB2312" w:hAnsi="仿宋_GB2312" w:eastAsia="仿宋_GB2312" w:cs="仿宋_GB2312"/>
          <w:color w:val="000000" w:themeColor="text1"/>
          <w:sz w:val="28"/>
          <w:szCs w:val="28"/>
          <w14:textFill>
            <w14:solidFill>
              <w14:schemeClr w14:val="tx1"/>
            </w14:solidFill>
          </w14:textFill>
        </w:rPr>
        <w:t>（三）集中采购机构（采购代理机构）：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政府采购中心</w:t>
      </w:r>
      <w:bookmarkEnd w:id="84"/>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5" w:name="_Toc20141_WPSOffice_Level3"/>
      <w:r>
        <w:rPr>
          <w:rFonts w:hint="eastAsia" w:ascii="仿宋_GB2312" w:hAnsi="仿宋_GB2312" w:eastAsia="仿宋_GB2312" w:cs="仿宋_GB2312"/>
          <w:color w:val="000000" w:themeColor="text1"/>
          <w:sz w:val="28"/>
          <w:szCs w:val="28"/>
          <w14:textFill>
            <w14:solidFill>
              <w14:schemeClr w14:val="tx1"/>
            </w14:solidFill>
          </w14:textFill>
        </w:rPr>
        <w:t>（四）供应商：拟向采购人提供货物、工程或者服务的法人、其他组织或者自然人</w:t>
      </w:r>
      <w:bookmarkEnd w:id="85"/>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86" w:name="_Toc24646"/>
      <w:bookmarkStart w:id="87" w:name="_Toc20906_WPSOffice_Level2"/>
      <w:bookmarkStart w:id="88" w:name="_Toc9291"/>
      <w:bookmarkStart w:id="89" w:name="_Toc13654"/>
      <w:bookmarkStart w:id="90" w:name="_Toc27278_WPSOffice_Level2"/>
      <w:bookmarkStart w:id="91" w:name="_Toc11745_WPSOffice_Level2"/>
      <w:bookmarkStart w:id="92" w:name="_Toc4606"/>
      <w:r>
        <w:rPr>
          <w:rFonts w:hint="eastAsia" w:ascii="仿宋_GB2312" w:hAnsi="仿宋_GB2312" w:eastAsia="仿宋_GB2312" w:cs="仿宋_GB2312"/>
          <w:color w:val="000000" w:themeColor="text1"/>
          <w:sz w:val="28"/>
          <w:szCs w:val="28"/>
          <w14:textFill>
            <w14:solidFill>
              <w14:schemeClr w14:val="tx1"/>
            </w14:solidFill>
          </w14:textFill>
        </w:rPr>
        <w:t>二、供应商注意事项</w:t>
      </w:r>
      <w:bookmarkEnd w:id="86"/>
      <w:bookmarkEnd w:id="87"/>
      <w:bookmarkEnd w:id="88"/>
      <w:bookmarkEnd w:id="89"/>
      <w:bookmarkEnd w:id="90"/>
      <w:bookmarkEnd w:id="91"/>
      <w:bookmarkEnd w:id="92"/>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93" w:name="_Toc21291"/>
      <w:bookmarkStart w:id="94" w:name="_Toc26982_WPSOffice_Level3"/>
      <w:r>
        <w:rPr>
          <w:rFonts w:hint="eastAsia" w:ascii="仿宋_GB2312" w:hAnsi="仿宋_GB2312" w:eastAsia="仿宋_GB2312" w:cs="仿宋_GB2312"/>
          <w:b/>
          <w:bCs/>
          <w:color w:val="000000" w:themeColor="text1"/>
          <w:sz w:val="28"/>
          <w:szCs w:val="28"/>
          <w14:textFill>
            <w14:solidFill>
              <w14:schemeClr w14:val="tx1"/>
            </w14:solidFill>
          </w14:textFill>
        </w:rPr>
        <w:t>（一）</w:t>
      </w:r>
      <w:r>
        <w:rPr>
          <w:rFonts w:hint="eastAsia" w:ascii="仿宋_GB2312" w:hAnsi="仿宋_GB2312" w:eastAsia="仿宋_GB2312" w:cs="仿宋_GB2312"/>
          <w:b/>
          <w:color w:val="000000" w:themeColor="text1"/>
          <w:sz w:val="28"/>
          <w:szCs w:val="28"/>
          <w14:textFill>
            <w14:solidFill>
              <w14:schemeClr w14:val="tx1"/>
            </w14:solidFill>
          </w14:textFill>
        </w:rPr>
        <w:t>现场</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考察</w:t>
      </w:r>
      <w:r>
        <w:rPr>
          <w:rFonts w:hint="eastAsia" w:ascii="仿宋_GB2312" w:hAnsi="仿宋_GB2312" w:eastAsia="仿宋_GB2312" w:cs="仿宋_GB2312"/>
          <w:b/>
          <w:color w:val="000000" w:themeColor="text1"/>
          <w:sz w:val="28"/>
          <w:szCs w:val="28"/>
          <w14:textFill>
            <w14:solidFill>
              <w14:schemeClr w14:val="tx1"/>
            </w14:solidFill>
          </w14:textFill>
        </w:rPr>
        <w:t>及</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前答疑会</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采购项目安排现场考察和</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Cs/>
          <w:color w:val="000000" w:themeColor="text1"/>
          <w:sz w:val="28"/>
          <w:szCs w:val="28"/>
          <w14:textFill>
            <w14:solidFill>
              <w14:schemeClr w14:val="tx1"/>
            </w14:solidFill>
          </w14:textFill>
        </w:rPr>
        <w:t>在财政部门指定的媒体上发布。 答复内容可能影响响应文件编制的，应当顺延</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时间。凡未参加现场考察及</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 xml:space="preserve">前答疑会的供应商，由此造成的偏差由各供应商自行负责。 </w:t>
      </w:r>
    </w:p>
    <w:p>
      <w:pPr>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本项目</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不</w:t>
      </w:r>
      <w:r>
        <w:rPr>
          <w:rFonts w:hint="eastAsia" w:ascii="仿宋_GB2312" w:hAnsi="仿宋_GB2312" w:eastAsia="仿宋_GB2312" w:cs="仿宋_GB2312"/>
          <w:b/>
          <w:color w:val="000000" w:themeColor="text1"/>
          <w:sz w:val="28"/>
          <w:szCs w:val="28"/>
          <w14:textFill>
            <w14:solidFill>
              <w14:schemeClr w14:val="tx1"/>
            </w14:solidFill>
          </w14:textFill>
        </w:rPr>
        <w:t>组织集中踏勘</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和谈判前答疑会</w:t>
      </w:r>
      <w:r>
        <w:rPr>
          <w:rFonts w:hint="eastAsia" w:ascii="仿宋_GB2312" w:hAnsi="仿宋_GB2312" w:eastAsia="仿宋_GB2312" w:cs="仿宋_GB2312"/>
          <w:b/>
          <w:color w:val="000000" w:themeColor="text1"/>
          <w:sz w:val="28"/>
          <w:szCs w:val="28"/>
          <w14:textFill>
            <w14:solidFill>
              <w14:schemeClr w14:val="tx1"/>
            </w14:solidFill>
          </w14:textFill>
        </w:rPr>
        <w:t>。</w:t>
      </w:r>
      <w:bookmarkEnd w:id="93"/>
      <w:bookmarkEnd w:id="94"/>
      <w:bookmarkStart w:id="95" w:name="_Toc669_WPSOffice_Level3"/>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bookmarkEnd w:id="95"/>
      <w:bookmarkStart w:id="96" w:name="_Toc9412_WPSOffice_Level3"/>
      <w:r>
        <w:rPr>
          <w:rFonts w:hint="eastAsia" w:ascii="仿宋_GB2312" w:hAnsi="仿宋_GB2312" w:eastAsia="仿宋_GB2312" w:cs="仿宋_GB2312"/>
          <w:b/>
          <w:bCs/>
          <w:color w:val="000000" w:themeColor="text1"/>
          <w:sz w:val="28"/>
          <w:szCs w:val="28"/>
          <w14:textFill>
            <w14:solidFill>
              <w14:schemeClr w14:val="tx1"/>
            </w14:solidFill>
          </w14:textFill>
        </w:rPr>
        <w:t>询问</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针对采购文件，向采购人</w:t>
      </w:r>
      <w:r>
        <w:rPr>
          <w:rFonts w:hint="eastAsia" w:ascii="仿宋_GB2312" w:hAnsi="仿宋_GB2312" w:eastAsia="仿宋_GB2312" w:cs="仿宋_GB2312"/>
          <w:color w:val="000000" w:themeColor="text1"/>
          <w:sz w:val="28"/>
          <w:szCs w:val="28"/>
          <w14:textFill>
            <w14:solidFill>
              <w14:schemeClr w14:val="tx1"/>
            </w14:solidFill>
          </w14:textFill>
        </w:rPr>
        <w:t>提出书面询问的，采购人应在三个工作日内书面答复；供应商向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提出书面询问的，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集中采购机构在委托授权范围内作出答复，超出范围</w:t>
      </w:r>
      <w:r>
        <w:rPr>
          <w:rFonts w:hint="eastAsia" w:ascii="仿宋_GB2312" w:hAnsi="仿宋_GB2312" w:eastAsia="仿宋_GB2312" w:cs="仿宋_GB2312"/>
          <w:color w:val="000000" w:themeColor="text1"/>
          <w:sz w:val="28"/>
          <w:szCs w:val="28"/>
          <w14:textFill>
            <w14:solidFill>
              <w14:schemeClr w14:val="tx1"/>
            </w14:solidFill>
          </w14:textFill>
        </w:rPr>
        <w:t>应告知采购人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w:t>
      </w:r>
      <w:r>
        <w:rPr>
          <w:rFonts w:hint="eastAsia" w:ascii="仿宋_GB2312" w:hAnsi="仿宋_GB2312" w:eastAsia="仿宋_GB2312" w:cs="仿宋_GB2312"/>
          <w:color w:val="000000" w:themeColor="text1"/>
          <w:sz w:val="28"/>
          <w:szCs w:val="28"/>
          <w14:textFill>
            <w14:solidFill>
              <w14:schemeClr w14:val="tx1"/>
            </w14:solidFill>
          </w14:textFill>
        </w:rPr>
        <w:t xml:space="preserve">出答复。 </w:t>
      </w:r>
    </w:p>
    <w:p>
      <w:pPr>
        <w:spacing w:line="500" w:lineRule="exact"/>
        <w:ind w:firstLine="566" w:firstLineChars="200"/>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供应商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针</w:t>
      </w:r>
      <w:r>
        <w:rPr>
          <w:rFonts w:hint="eastAsia" w:ascii="仿宋_GB2312" w:hAnsi="仿宋_GB2312" w:eastAsia="仿宋_GB2312" w:cs="仿宋_GB2312"/>
          <w:color w:val="000000" w:themeColor="text1"/>
          <w:sz w:val="28"/>
          <w:szCs w:val="28"/>
          <w14:textFill>
            <w14:solidFill>
              <w14:schemeClr w14:val="tx1"/>
            </w14:solidFill>
          </w14:textFill>
        </w:rPr>
        <w:t>对采购过程、中标（成交）结果，向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提出书面询问的，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应在三个工作日内书面答复</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（三）质疑和投诉</w:t>
      </w:r>
      <w:bookmarkEnd w:id="96"/>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供应商如果认为采购过程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或者成交</w:t>
      </w:r>
      <w:r>
        <w:rPr>
          <w:rFonts w:hint="eastAsia" w:ascii="仿宋_GB2312" w:hAnsi="仿宋_GB2312" w:eastAsia="仿宋_GB2312" w:cs="仿宋_GB2312"/>
          <w:color w:val="000000" w:themeColor="text1"/>
          <w:sz w:val="28"/>
          <w:szCs w:val="28"/>
          <w14:textFill>
            <w14:solidFill>
              <w14:schemeClr w14:val="tx1"/>
            </w14:solidFill>
          </w14:textFill>
        </w:rPr>
        <w:t>结果使自身的合法权益受到损害，可以在知道或者应知其权益受到损害之日起7个工作日内，以书面形式向采购人、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供应商在法定质疑期内针对同一采购程序环节的质疑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应</w:t>
      </w:r>
      <w:r>
        <w:rPr>
          <w:rFonts w:hint="eastAsia" w:ascii="仿宋_GB2312" w:hAnsi="仿宋_GB2312" w:eastAsia="仿宋_GB2312" w:cs="仿宋_GB2312"/>
          <w:color w:val="000000" w:themeColor="text1"/>
          <w:sz w:val="28"/>
          <w:szCs w:val="28"/>
          <w14:textFill>
            <w14:solidFill>
              <w14:schemeClr w14:val="tx1"/>
            </w14:solidFill>
          </w14:textFill>
        </w:rPr>
        <w:t>一次性提出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《政府采购供应商质疑函范本》链接地址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http://gks.mof.gov.cn/ztztz/zhengfucaigouguanli/201802/t20180201_2804589.htm</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接收质疑函方式：现场递交或邮件（快递）寄送；</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联系部门：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交易监督科</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联系电话：0916-210908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通讯地址：汉中市汉台区南团结街与汉宁路十字金格大厦四楼4</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室。</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、采购代理机构或采购人将在收到书面质疑后7个工作日内做出答复，并以书面形式通知质疑人和其他有关供应商。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、质疑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或采购人的答复不满意，以及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或采购人未在规定时间内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作出</w:t>
      </w:r>
      <w:r>
        <w:rPr>
          <w:rFonts w:hint="eastAsia" w:ascii="仿宋_GB2312" w:hAnsi="仿宋_GB2312" w:eastAsia="仿宋_GB2312" w:cs="仿宋_GB2312"/>
          <w:color w:val="000000" w:themeColor="text1"/>
          <w:sz w:val="28"/>
          <w:szCs w:val="28"/>
          <w14:textFill>
            <w14:solidFill>
              <w14:schemeClr w14:val="tx1"/>
            </w14:solidFill>
          </w14:textFill>
        </w:rPr>
        <w:t>答复的，可以在答复期满后15个工作日内向政府采购监管机构提出投诉。</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97" w:name="_Toc14110_WPSOffice_Level3"/>
      <w:r>
        <w:rPr>
          <w:rFonts w:hint="eastAsia" w:ascii="仿宋_GB2312" w:hAnsi="仿宋_GB2312" w:eastAsia="仿宋_GB2312" w:cs="仿宋_GB2312"/>
          <w:b/>
          <w:color w:val="000000" w:themeColor="text1"/>
          <w:sz w:val="28"/>
          <w:szCs w:val="28"/>
          <w14:textFill>
            <w14:solidFill>
              <w14:schemeClr w14:val="tx1"/>
            </w14:solidFill>
          </w14:textFill>
        </w:rPr>
        <w:t>（四）对参加政府采购活动的中小企业的扶持政策[依据《政府采购促进中小企业发展管理办法》（财库〔2020〕46号）相关规定]</w:t>
      </w:r>
    </w:p>
    <w:bookmarkEnd w:id="97"/>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本项目价格</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扣除比例为</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u w:val="single"/>
          <w:lang w:val="en-US" w:eastAsia="zh-CN"/>
          <w14:textFill>
            <w14:solidFill>
              <w14:schemeClr w14:val="tx1"/>
            </w14:solidFill>
          </w14:textFill>
        </w:rPr>
        <w:t xml:space="preserve">  10%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本项目采购标的对应的中小企业划分标准所属行业为：</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工</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供应商提供的货物、工程或者服务符合下列情形的，享受相关中小企业扶持政策：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（1）在货物采购项目中，货物由中小企业制造，即货物由中小企业生产且使用该中小企业商号或者注册商标；</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（2）在工程采购项目中，工程由中小企业承建，即工程施工单位为中小企业；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（3）在服务采购项目中，服务由中小企业承接，即提供服务的人员为中小企业依照《中华人民共和国劳动合同法》订立劳动合同的从业人员。</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在货物采购项目中，供应商提供的货物既有中小企业制造货物，也有大型企业制造货物的，不享受相关中小企业扶持政策。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对符合上述情形的小微企业报价给予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价格扣除比例或者价格分加分比例对小型企业和微型企业同等对待，不作区分。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中小企业参加政府采购活动，应当出具《中小企业声明函》（见附件），否则不得享受相关中小企业扶持政策。</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授予</w:t>
      </w:r>
      <w:r>
        <w:rPr>
          <w:rFonts w:hint="eastAsia" w:ascii="仿宋_GB2312" w:hAnsi="仿宋_GB2312" w:eastAsia="仿宋_GB2312" w:cs="仿宋_GB2312"/>
          <w:color w:val="000000" w:themeColor="text1"/>
          <w:sz w:val="28"/>
          <w:szCs w:val="28"/>
          <w14:textFill>
            <w14:solidFill>
              <w14:schemeClr w14:val="tx1"/>
            </w14:solidFill>
          </w14:textFill>
        </w:rPr>
        <w:t>中小企业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政府采购合同预付</w:t>
      </w:r>
      <w:r>
        <w:rPr>
          <w:rFonts w:hint="eastAsia" w:ascii="仿宋_GB2312" w:hAnsi="仿宋_GB2312" w:eastAsia="仿宋_GB2312" w:cs="仿宋_GB2312"/>
          <w:color w:val="000000" w:themeColor="text1"/>
          <w:sz w:val="28"/>
          <w:szCs w:val="28"/>
          <w14:textFill>
            <w14:solidFill>
              <w14:schemeClr w14:val="tx1"/>
            </w14:solidFill>
          </w14:textFill>
        </w:rPr>
        <w:t>款比例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不得</w:t>
      </w:r>
      <w:r>
        <w:rPr>
          <w:rFonts w:hint="eastAsia" w:ascii="仿宋_GB2312" w:hAnsi="仿宋_GB2312" w:eastAsia="仿宋_GB2312" w:cs="仿宋_GB2312"/>
          <w:color w:val="000000" w:themeColor="text1"/>
          <w:sz w:val="28"/>
          <w:szCs w:val="28"/>
          <w14:textFill>
            <w14:solidFill>
              <w14:schemeClr w14:val="tx1"/>
            </w14:solidFill>
          </w14:textFill>
        </w:rPr>
        <w:t>低于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合同价款的4</w:t>
      </w:r>
      <w:r>
        <w:rPr>
          <w:rFonts w:hint="eastAsia" w:ascii="仿宋_GB2312" w:hAnsi="仿宋_GB2312" w:eastAsia="仿宋_GB2312" w:cs="仿宋_GB2312"/>
          <w:color w:val="000000" w:themeColor="text1"/>
          <w:sz w:val="28"/>
          <w:szCs w:val="28"/>
          <w14:textFill>
            <w14:solidFill>
              <w14:schemeClr w14:val="tx1"/>
            </w14:solidFill>
          </w14:textFill>
        </w:rPr>
        <w:t>0%。</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中小企业投标（包括</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、谈判、询价）保证金（需要交纳保证金时）减半，履约保证金全免。</w:t>
      </w:r>
    </w:p>
    <w:p>
      <w:pPr>
        <w:spacing w:line="500" w:lineRule="exact"/>
        <w:ind w:firstLine="566"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bookmarkStart w:id="98" w:name="_Toc11745_WPSOffice_Level3"/>
      <w:r>
        <w:rPr>
          <w:rFonts w:hint="eastAsia"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lang w:eastAsia="zh-CN"/>
          <w14:textFill>
            <w14:solidFill>
              <w14:schemeClr w14:val="tx1"/>
            </w14:solidFill>
          </w14:textFill>
        </w:rPr>
        <w:t>、监狱企业、残疾人福利性单位等视同小型、微型企业情况按照《财政部司法部关于政府采购支持监狱企业发展有关问题的通知》（财库〔2014〕68 号）及《关于促进残疾人就业政府采购政策的通知》（财库〔2017〕141 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w:t>
      </w:r>
      <w:r>
        <w:rPr>
          <w:rFonts w:hint="eastAsia" w:ascii="仿宋_GB2312" w:hAnsi="仿宋_GB2312" w:eastAsia="仿宋_GB2312" w:cs="仿宋_GB2312"/>
          <w:color w:val="000000" w:themeColor="text1"/>
          <w:sz w:val="28"/>
          <w:szCs w:val="28"/>
          <w:lang w:eastAsia="zh-CN"/>
          <w14:textFill>
            <w14:solidFill>
              <w14:schemeClr w14:val="tx1"/>
            </w14:solidFill>
          </w14:textFill>
        </w:rPr>
        <w:t>相关内容执行。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未尽事宜以《政府采购促进中小企业发展管理办法》（财库〔2020〕46号）为准。</w:t>
      </w:r>
    </w:p>
    <w:p>
      <w:pPr>
        <w:spacing w:line="500" w:lineRule="exact"/>
        <w:ind w:firstLine="566" w:firstLineChars="200"/>
        <w:contextualSpacing/>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 xml:space="preserve">（五）关于同一品牌产品的处理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单一产品采购项目中，提供相同品牌的产品的不同供应商参加同一合同项下谈判的，以其中通过资格审查、符合性审查且最后谈判报价最低的参加排序；报价相同的，由谈判小组按照技术方案、售后服务等内容确定一个参加评标的供应商，其他响应无效。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非单一产品采购项目，采购人将根据采购项目技术构成、产品价格比重等因素确定核心产品（可能不止一种），并在谈判文件中载明。提供相同品牌的核心产品的不同供应商参加同一合同项下谈判的，以其中通过资格审查、符合性审查且最后谈判报价最低的参加排序；报价相同的，由谈判小组按照技术方案、售后服务等内容确定一个参加评标的供应商，其他响应无效。 </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3、核心产品为两个及以上时，多家供应商提供的核心产品有部分采用或全部采用相同品牌的，按一家供应商计算。</w:t>
      </w:r>
    </w:p>
    <w:bookmarkEnd w:id="98"/>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99" w:name="_Toc9976"/>
      <w:bookmarkStart w:id="100" w:name="_Toc2960"/>
      <w:bookmarkStart w:id="101" w:name="_Toc8798_WPSOffice_Level2"/>
      <w:bookmarkStart w:id="102" w:name="_Toc30436"/>
      <w:bookmarkStart w:id="103" w:name="_Toc10768_WPSOffice_Level2"/>
      <w:bookmarkStart w:id="104" w:name="_Toc3130"/>
      <w:bookmarkStart w:id="105" w:name="_Toc17868_WPSOffice_Level2"/>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w:t>
      </w:r>
      <w:bookmarkEnd w:id="99"/>
      <w:bookmarkEnd w:id="100"/>
      <w:bookmarkEnd w:id="101"/>
      <w:bookmarkEnd w:id="102"/>
      <w:bookmarkEnd w:id="103"/>
      <w:bookmarkEnd w:id="104"/>
      <w:bookmarkEnd w:id="105"/>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06" w:name="_Toc20873_WPSOffice_Level3"/>
      <w:r>
        <w:rPr>
          <w:rFonts w:hint="eastAsia" w:ascii="仿宋_GB2312" w:hAnsi="仿宋_GB2312" w:eastAsia="仿宋_GB2312" w:cs="仿宋_GB2312"/>
          <w:b/>
          <w:color w:val="000000" w:themeColor="text1"/>
          <w:sz w:val="28"/>
          <w:szCs w:val="28"/>
          <w14:textFill>
            <w14:solidFill>
              <w14:schemeClr w14:val="tx1"/>
            </w14:solidFill>
          </w14:textFill>
        </w:rPr>
        <w:t>（一）</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文件包括下列内容</w:t>
      </w:r>
      <w:bookmarkEnd w:id="106"/>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第一章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邀请函</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第二章　供应商须知</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bookmarkStart w:id="107" w:name="_Toc20041_WPSOffice_Level3"/>
      <w:r>
        <w:rPr>
          <w:rFonts w:hint="eastAsia" w:ascii="仿宋_GB2312" w:hAnsi="仿宋_GB2312" w:eastAsia="仿宋_GB2312" w:cs="仿宋_GB2312"/>
          <w:bCs/>
          <w:color w:val="000000" w:themeColor="text1"/>
          <w:sz w:val="28"/>
          <w:szCs w:val="28"/>
          <w14:textFill>
            <w14:solidFill>
              <w14:schemeClr w14:val="tx1"/>
            </w14:solidFill>
          </w14:textFill>
        </w:rPr>
        <w:t>第三章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内容及采购要求</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第四章　合同</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草案</w:t>
      </w:r>
      <w:r>
        <w:rPr>
          <w:rFonts w:hint="eastAsia" w:ascii="仿宋_GB2312" w:hAnsi="仿宋_GB2312" w:eastAsia="仿宋_GB2312" w:cs="仿宋_GB2312"/>
          <w:bCs/>
          <w:color w:val="000000" w:themeColor="text1"/>
          <w:sz w:val="28"/>
          <w:szCs w:val="28"/>
          <w14:textFill>
            <w14:solidFill>
              <w14:schemeClr w14:val="tx1"/>
            </w14:solidFill>
          </w14:textFill>
        </w:rPr>
        <w:t>条款</w:t>
      </w:r>
    </w:p>
    <w:p>
      <w:pPr>
        <w:spacing w:line="500" w:lineRule="exact"/>
        <w:ind w:firstLine="566" w:firstLineChars="200"/>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第五章　响应文件构成及格式</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文件的检查及阅读</w:t>
      </w:r>
      <w:bookmarkEnd w:id="107"/>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供应商下载</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文件后应仔细阅读检查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文件中的所有内容，按照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文件中所列事项、条款、规范要求及格式，在响应文件中对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文件做出全面的响</w:t>
      </w:r>
      <w:r>
        <w:rPr>
          <w:rFonts w:hint="eastAsia" w:ascii="仿宋_GB2312" w:hAnsi="仿宋_GB2312" w:eastAsia="仿宋_GB2312" w:cs="仿宋_GB2312"/>
          <w:color w:val="000000" w:themeColor="text1"/>
          <w:w w:val="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应，并按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文件的要求提交全部资料。</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08" w:name="_Toc12798_WPSOffice_Level3"/>
      <w:r>
        <w:rPr>
          <w:rFonts w:hint="eastAsia" w:ascii="仿宋_GB2312" w:hAnsi="仿宋_GB2312" w:eastAsia="仿宋_GB2312" w:cs="仿宋_GB2312"/>
          <w:b/>
          <w:color w:val="000000" w:themeColor="text1"/>
          <w:sz w:val="28"/>
          <w:szCs w:val="28"/>
          <w14:textFill>
            <w14:solidFill>
              <w14:schemeClr w14:val="tx1"/>
            </w14:solidFill>
          </w14:textFill>
        </w:rPr>
        <w:t>（三）</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文件的修改、澄清</w:t>
      </w:r>
      <w:bookmarkEnd w:id="108"/>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1、在提交响应文件截止之日前，</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可对已发出的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文件进行必要的澄清或者修改，澄清或者修改的内容作为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文件的组成部分。澄清或者修改的内容可能影响响应文件编制的，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将在提交响应文件截止之日至少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3个工作</w:t>
      </w:r>
      <w:r>
        <w:rPr>
          <w:rFonts w:hint="eastAsia" w:ascii="仿宋_GB2312" w:hAnsi="仿宋_GB2312" w:eastAsia="仿宋_GB2312" w:cs="仿宋_GB2312"/>
          <w:color w:val="000000" w:themeColor="text1"/>
          <w:sz w:val="28"/>
          <w:szCs w:val="28"/>
          <w14:textFill>
            <w14:solidFill>
              <w14:schemeClr w14:val="tx1"/>
            </w14:solidFill>
          </w14:textFill>
        </w:rPr>
        <w:t>日前，在财政部门指定的政府采购信息发布媒体上</w:t>
      </w:r>
      <w:r>
        <w:rPr>
          <w:rFonts w:hint="eastAsia" w:ascii="仿宋_GB2312" w:hAnsi="仿宋_GB2312" w:eastAsia="仿宋_GB2312" w:cs="仿宋_GB2312"/>
          <w:b/>
          <w:bCs/>
          <w:color w:val="000000" w:themeColor="text1"/>
          <w:sz w:val="28"/>
          <w:szCs w:val="28"/>
          <w14:textFill>
            <w14:solidFill>
              <w14:schemeClr w14:val="tx1"/>
            </w14:solidFill>
          </w14:textFill>
        </w:rPr>
        <w:t>发布更正公告</w:t>
      </w:r>
      <w:r>
        <w:rPr>
          <w:rFonts w:hint="eastAsia" w:ascii="仿宋_GB2312" w:hAnsi="仿宋_GB2312" w:eastAsia="仿宋_GB2312" w:cs="仿宋_GB2312"/>
          <w:color w:val="000000" w:themeColor="text1"/>
          <w:sz w:val="28"/>
          <w:szCs w:val="28"/>
          <w14:textFill>
            <w14:solidFill>
              <w14:schemeClr w14:val="tx1"/>
            </w14:solidFill>
          </w14:textFill>
        </w:rPr>
        <w:t>；不足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3个工作</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将顺延提交响应文件的截止时间。</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2、各供应商在提交响应文件截止时间之前，应随时关注下列地址发布的变更公告，也可登录全国公共资源交易平台（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）政府采购交易系统查看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右</w:t>
      </w:r>
      <w:r>
        <w:rPr>
          <w:rFonts w:hint="eastAsia" w:ascii="仿宋_GB2312" w:hAnsi="仿宋_GB2312" w:eastAsia="仿宋_GB2312" w:cs="仿宋_GB2312"/>
          <w:color w:val="000000" w:themeColor="text1"/>
          <w:sz w:val="28"/>
          <w:szCs w:val="28"/>
          <w14:textFill>
            <w14:solidFill>
              <w14:schemeClr w14:val="tx1"/>
            </w14:solidFill>
          </w14:textFill>
        </w:rPr>
        <w:t>上角的信息提醒，</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
          <w:bCs/>
          <w:color w:val="000000" w:themeColor="text1"/>
          <w:sz w:val="28"/>
          <w:szCs w:val="28"/>
          <w14:textFill>
            <w14:solidFill>
              <w14:schemeClr w14:val="tx1"/>
            </w14:solidFill>
          </w14:textFill>
        </w:rPr>
        <w:t>不再单独通知，因供应商未及时关注所造成的一切后果由供应商自行承担：</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"http://www.ccgp-shaanxi.gov.cn/"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31"/>
          <w:rFonts w:hint="eastAsia" w:ascii="仿宋_GB2312" w:hAnsi="仿宋_GB2312" w:eastAsia="仿宋_GB2312" w:cs="仿宋_GB2312"/>
          <w:color w:val="000000" w:themeColor="text1"/>
          <w:sz w:val="28"/>
          <w:szCs w:val="28"/>
          <w14:textFill>
            <w14:solidFill>
              <w14:schemeClr w14:val="tx1"/>
            </w14:solidFill>
          </w14:textFill>
        </w:rPr>
        <w:t>陕西省政府采购网</w:t>
      </w:r>
      <w:r>
        <w:rPr>
          <w:rStyle w:val="31"/>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（www.ccgp-shaanxi.gov.cn/）】中的〖首页·〉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市级</w:t>
      </w:r>
      <w:r>
        <w:rPr>
          <w:rFonts w:hint="eastAsia" w:ascii="仿宋_GB2312" w:hAnsi="仿宋_GB2312" w:eastAsia="仿宋_GB2312" w:cs="仿宋_GB2312"/>
          <w:color w:val="000000" w:themeColor="text1"/>
          <w:sz w:val="28"/>
          <w:szCs w:val="28"/>
          <w14:textFill>
            <w14:solidFill>
              <w14:schemeClr w14:val="tx1"/>
            </w14:solidFill>
          </w14:textFill>
        </w:rPr>
        <w:t>公告·〉更正公告〗；</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（sxggzyjy.hanzhong.gov.cn）</w:t>
      </w:r>
      <w:r>
        <w:rPr>
          <w:rFonts w:hint="eastAsia" w:ascii="仿宋_GB2312" w:hAnsi="仿宋_GB2312" w:eastAsia="仿宋_GB2312" w:cs="仿宋_GB2312"/>
          <w:color w:val="000000" w:themeColor="text1"/>
          <w:sz w:val="28"/>
          <w:szCs w:val="28"/>
          <w14:textFill>
            <w14:solidFill>
              <w14:schemeClr w14:val="tx1"/>
            </w14:solidFill>
          </w14:textFill>
        </w:rPr>
        <w:t>】中的〖首页·〉交易大厅·〉政府采购·〉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更正公告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汉中市政府采购中心</w:t>
      </w:r>
      <w:r>
        <w:rPr>
          <w:rFonts w:hint="eastAsia" w:ascii="仿宋_GB2312" w:hAnsi="仿宋_GB2312" w:eastAsia="仿宋_GB2312" w:cs="仿宋_GB2312"/>
          <w:color w:val="000000" w:themeColor="text1"/>
          <w:sz w:val="28"/>
          <w:szCs w:val="28"/>
          <w14:textFill>
            <w14:solidFill>
              <w14:schemeClr w14:val="tx1"/>
            </w14:solidFill>
          </w14:textFill>
        </w:rPr>
        <w:t>（hzcg.hanzhong.gov.cn/）】中的〖首页·〉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采购公告</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更正公告</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09" w:name="_Toc18733_WPSOffice_Level3"/>
      <w:r>
        <w:rPr>
          <w:rFonts w:hint="eastAsia" w:ascii="仿宋_GB2312" w:hAnsi="仿宋_GB2312" w:eastAsia="仿宋_GB2312" w:cs="仿宋_GB2312"/>
          <w:b/>
          <w:color w:val="000000" w:themeColor="text1"/>
          <w:sz w:val="28"/>
          <w:szCs w:val="28"/>
          <w14:textFill>
            <w14:solidFill>
              <w14:schemeClr w14:val="tx1"/>
            </w14:solidFill>
          </w14:textFill>
        </w:rPr>
        <w:t>（四）</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文件的解释权归</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b/>
          <w:color w:val="000000" w:themeColor="text1"/>
          <w:sz w:val="28"/>
          <w:szCs w:val="28"/>
          <w14:textFill>
            <w14:solidFill>
              <w14:schemeClr w14:val="tx1"/>
            </w14:solidFill>
          </w14:textFill>
        </w:rPr>
        <w:t>。</w:t>
      </w:r>
      <w:bookmarkEnd w:id="109"/>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10" w:name="_Toc19768_WPSOffice_Level2"/>
      <w:bookmarkStart w:id="111" w:name="_Toc30415"/>
      <w:bookmarkStart w:id="112" w:name="_Toc3559"/>
      <w:bookmarkStart w:id="113" w:name="_Toc13064"/>
      <w:bookmarkStart w:id="114" w:name="_Toc30095"/>
      <w:bookmarkStart w:id="115" w:name="_Toc20873_WPSOffice_Level2"/>
      <w:bookmarkStart w:id="116" w:name="_Toc22501_WPSOffice_Level2"/>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w:t>
      </w:r>
      <w:bookmarkEnd w:id="110"/>
      <w:bookmarkEnd w:id="111"/>
      <w:bookmarkEnd w:id="112"/>
      <w:bookmarkEnd w:id="113"/>
      <w:bookmarkEnd w:id="114"/>
      <w:bookmarkEnd w:id="115"/>
      <w:bookmarkEnd w:id="116"/>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报价是供应商响应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14:textFill>
            <w14:solidFill>
              <w14:schemeClr w14:val="tx1"/>
            </w14:solidFill>
          </w14:textFill>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文件未列明，而供应商认为应当计取的费用均应列入报价中。报价时不论是否计取，采购人均按已计取对待。</w:t>
      </w:r>
    </w:p>
    <w:p>
      <w:pPr>
        <w:numPr>
          <w:ilvl w:val="0"/>
          <w:numId w:val="2"/>
        </w:num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供应商应按照《响应文件构成及格式》中《第一次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报价表》中的相关要求填写需要响应的内容。</w:t>
      </w:r>
    </w:p>
    <w:p>
      <w:pPr>
        <w:numPr>
          <w:ilvl w:val="0"/>
          <w:numId w:val="2"/>
        </w:num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报价采取多轮报价的办法，最后报价作为计算价格分值的依据。供应商应在</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当天，</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小组规定的报价时间内，使用制作标书的数字认证证书（CA锁）登录全国公共资源交易平台（</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b/>
          <w:bCs/>
          <w:color w:val="000000" w:themeColor="text1"/>
          <w:sz w:val="28"/>
          <w:szCs w:val="28"/>
          <w14:textFill>
            <w14:solidFill>
              <w14:schemeClr w14:val="tx1"/>
            </w14:solidFill>
          </w14:textFill>
        </w:rPr>
        <w:t>）网站〖首页·〉电子交易平台·〉企业端〗后，在〖我的项目〗下找到本次</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的项目，填写最后报价表，签章并提交。</w:t>
      </w:r>
    </w:p>
    <w:p>
      <w:pPr>
        <w:numPr>
          <w:ilvl w:val="0"/>
          <w:numId w:val="2"/>
        </w:numPr>
        <w:spacing w:line="500" w:lineRule="exact"/>
        <w:ind w:firstLine="566"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如采购内容无实质性变更，各供应商的报价应逐次降低。本次报价超过采购预算或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文件规定的最高限价的，按无效投标处理；本次报价超过上次报价但未超过采购预算或</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
          <w:bCs/>
          <w:color w:val="000000" w:themeColor="text1"/>
          <w:sz w:val="28"/>
          <w:szCs w:val="28"/>
          <w14:textFill>
            <w14:solidFill>
              <w14:schemeClr w14:val="tx1"/>
            </w14:solidFill>
          </w14:textFill>
        </w:rPr>
        <w:t>文件规定的最高限价的，或在规定时间内最后报价提交不成功的均为无效报价，</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按无效响应处理</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报价货币：</w:t>
      </w:r>
      <w:r>
        <w:rPr>
          <w:rFonts w:hint="eastAsia" w:ascii="仿宋_GB2312" w:hAnsi="仿宋_GB2312" w:eastAsia="仿宋_GB2312" w:cs="仿宋_GB2312"/>
          <w:b/>
          <w:color w:val="000000" w:themeColor="text1"/>
          <w:sz w:val="28"/>
          <w:szCs w:val="28"/>
          <w14:textFill>
            <w14:solidFill>
              <w14:schemeClr w14:val="tx1"/>
            </w14:solidFill>
          </w14:textFill>
        </w:rPr>
        <w:t>人民币</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单位：元</w:t>
      </w:r>
      <w:r>
        <w:rPr>
          <w:rFonts w:hint="eastAsia" w:ascii="仿宋_GB2312" w:hAnsi="仿宋_GB2312" w:eastAsia="仿宋_GB2312" w:cs="仿宋_GB2312"/>
          <w:bCs/>
          <w:color w:val="000000" w:themeColor="text1"/>
          <w:sz w:val="28"/>
          <w:szCs w:val="28"/>
          <w14:textFill>
            <w14:solidFill>
              <w14:schemeClr w14:val="tx1"/>
            </w14:solidFill>
          </w14:textFill>
        </w:rPr>
        <w:t>，</w:t>
      </w:r>
      <w:r>
        <w:rPr>
          <w:rFonts w:hint="eastAsia" w:ascii="仿宋_GB2312" w:hAnsi="仿宋_GB2312" w:eastAsia="仿宋_GB2312" w:cs="仿宋_GB2312"/>
          <w:b/>
          <w:color w:val="000000" w:themeColor="text1"/>
          <w:sz w:val="28"/>
          <w:szCs w:val="28"/>
          <w14:textFill>
            <w14:solidFill>
              <w14:schemeClr w14:val="tx1"/>
            </w14:solidFill>
          </w14:textFill>
        </w:rPr>
        <w:t>保留到元</w:t>
      </w:r>
      <w:r>
        <w:rPr>
          <w:rFonts w:hint="eastAsia" w:ascii="仿宋_GB2312" w:hAnsi="仿宋_GB2312" w:eastAsia="仿宋_GB2312" w:cs="仿宋_GB2312"/>
          <w:bCs/>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报价大小写不一致的以大写为准。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（六）因供应商对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文件理解不透、误解、疏漏或对市场行情了解不清造成的后果和风险，均由供应商自己负责。</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17" w:name="_Toc666"/>
      <w:bookmarkStart w:id="118" w:name="_Toc29669_WPSOffice_Level2"/>
      <w:bookmarkStart w:id="119" w:name="_Toc12154"/>
      <w:bookmarkStart w:id="120" w:name="_Toc20041_WPSOffice_Level2"/>
      <w:bookmarkStart w:id="121" w:name="_Toc14959_WPSOffice_Level2"/>
      <w:bookmarkStart w:id="122" w:name="_Toc14979"/>
      <w:bookmarkStart w:id="123" w:name="_Toc1100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、响应文件</w:t>
      </w:r>
      <w:bookmarkEnd w:id="117"/>
      <w:bookmarkEnd w:id="118"/>
      <w:bookmarkEnd w:id="119"/>
      <w:bookmarkEnd w:id="120"/>
      <w:bookmarkEnd w:id="121"/>
      <w:bookmarkEnd w:id="122"/>
      <w:bookmarkEnd w:id="123"/>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（一）响应文件形式</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本项目采用电子响应文件，供应商在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时须提供电子响应文件。</w:t>
      </w:r>
      <w:bookmarkStart w:id="124" w:name="_Toc30535_WPSOffice_Level2"/>
      <w:bookmarkStart w:id="125" w:name="_Toc18733_WPSOffice_Level2"/>
      <w:bookmarkStart w:id="126" w:name="_Toc7898_WPSOffice_Level2"/>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编制电子响应文件时，应使用最新发布的电子谈判文件及专用制作工具进行编制。并使用数字认证证书（CA锁）对电子响应文件进行签署、加密、递交及谈判时解密等相关操作。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1、电子谈判文件下载。供应商登录全国公共资源交易平台（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）网站〖首页·〉电子交易平台·〉企业端〗后，在〖招标公告/出让公告·〉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政府采购</w:t>
      </w:r>
      <w:r>
        <w:rPr>
          <w:rFonts w:hint="eastAsia" w:ascii="仿宋_GB2312" w:hAnsi="仿宋_GB2312" w:eastAsia="仿宋_GB2312" w:cs="仿宋_GB2312"/>
          <w:color w:val="000000" w:themeColor="text1"/>
          <w:sz w:val="28"/>
          <w:szCs w:val="28"/>
          <w14:textFill>
            <w14:solidFill>
              <w14:schemeClr w14:val="tx1"/>
            </w14:solidFill>
          </w14:textFill>
        </w:rPr>
        <w:t>〗模块中选择项目</w:t>
      </w:r>
      <w:r>
        <w:rPr>
          <w:rFonts w:hint="eastAsia" w:ascii="仿宋_GB2312" w:hAnsi="仿宋_GB2312" w:eastAsia="仿宋_GB2312" w:cs="仿宋_GB2312"/>
          <w:bCs/>
          <w:color w:val="000000" w:themeColor="text1"/>
          <w:sz w:val="28"/>
          <w:szCs w:val="28"/>
          <w14:textFill>
            <w14:solidFill>
              <w14:schemeClr w14:val="tx1"/>
            </w14:solidFill>
          </w14:textFill>
        </w:rPr>
        <w:t>点击“我要投标”，参与投标活动。然后即可</w:t>
      </w:r>
      <w:r>
        <w:rPr>
          <w:rFonts w:hint="eastAsia" w:ascii="仿宋_GB2312" w:hAnsi="仿宋_GB2312" w:eastAsia="仿宋_GB2312" w:cs="仿宋_GB2312"/>
          <w:color w:val="000000" w:themeColor="text1"/>
          <w:sz w:val="28"/>
          <w:szCs w:val="28"/>
          <w14:textFill>
            <w14:solidFill>
              <w14:schemeClr w14:val="tx1"/>
            </w14:solidFill>
          </w14:textFill>
        </w:rPr>
        <w:t>在〖我的项目〗中点击“项目流程&gt;交易文件下载”下载电子谈判文件（*.SXSZF）。</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注意：该项目如有变更文件，则应点击“项目流程&gt;答疑文件下载”下载更新后的电子谈判文件（*.SXSCF），使用旧版电子谈判文件制作的电子响应文件，系统将拒绝接收。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电子谈判文件需要使用专用软件打开、浏览。供应商可在全国公共资源交易平台（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服务指南·〉下载专区〗免费下载“陕西省公共资源交易平台政府采购电子标书制作工具”，并升级至最新版本，使用该客户端可以打开电子谈判文件。软件操作手册详见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）网站〖首页·〉服务指南·〉下载专区〗中的《政府采购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操作手册》。</w:t>
      </w:r>
    </w:p>
    <w:p>
      <w:pPr>
        <w:pStyle w:val="4"/>
        <w:spacing w:line="500" w:lineRule="exact"/>
        <w:ind w:firstLine="566" w:firstLineChars="200"/>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bookmarkStart w:id="127" w:name="_Toc9096"/>
      <w:r>
        <w:rPr>
          <w:rFonts w:hint="eastAsia" w:ascii="仿宋_GB2312" w:hAnsi="仿宋_GB2312" w:eastAsia="仿宋_GB2312" w:cs="仿宋_GB2312"/>
          <w:b w:val="0"/>
          <w:bCs w:val="0"/>
          <w:color w:val="000000" w:themeColor="text1"/>
          <w:sz w:val="28"/>
          <w:szCs w:val="28"/>
          <w14:textFill>
            <w14:solidFill>
              <w14:schemeClr w14:val="tx1"/>
            </w14:solidFill>
          </w14:textFill>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w:t>
      </w:r>
      <w:r>
        <w:rPr>
          <w:rFonts w:hint="eastAsia" w:ascii="仿宋_GB2312" w:hAnsi="仿宋_GB2312" w:eastAsia="仿宋_GB2312" w:cs="仿宋_GB2312"/>
          <w:b/>
          <w:bCs/>
          <w:color w:val="000000" w:themeColor="text1"/>
          <w:sz w:val="28"/>
          <w:szCs w:val="28"/>
          <w14:textFill>
            <w14:solidFill>
              <w14:schemeClr w14:val="tx1"/>
            </w14:solidFill>
          </w14:textFill>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2、响应文件有效期为自响应文件开启之日起 90 个日历日。如成交， 延长至合同执行完毕时止。</w:t>
      </w:r>
    </w:p>
    <w:p>
      <w:pPr>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（三）响应文件的提交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电子响应文件可于提交响应文件截止时间前任意时段登录全国公共资源交易平台（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）网站“电子交易平台&gt;企业端”进行提交，逾期系统将拒绝接收。提交时，供应商应登录全国公共资源交易中心平台（</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汉中市</w:t>
      </w:r>
      <w:r>
        <w:rPr>
          <w:rFonts w:hint="eastAsia" w:ascii="仿宋_GB2312" w:hAnsi="仿宋_GB2312" w:eastAsia="仿宋_GB2312" w:cs="仿宋_GB2312"/>
          <w:color w:val="000000" w:themeColor="text1"/>
          <w:sz w:val="28"/>
          <w:szCs w:val="28"/>
          <w14:textFill>
            <w14:solidFill>
              <w14:schemeClr w14:val="tx1"/>
            </w14:solidFill>
          </w14:textFill>
        </w:rPr>
        <w:t>），选择“首页&gt;电子交易平台&gt;企业端&gt;我的项目”，点击“项目流程”，在打开的“项目管理”对话框中选择“上传响应文件”，上传加密的电子响应文件（*.SXSTF）。上传成功后，电子化平台将予以记录。</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bookmarkStart w:id="130" w:name="_Toc15608"/>
      <w:bookmarkStart w:id="131" w:name="_Toc6095"/>
      <w:bookmarkStart w:id="132" w:name="_Toc24468"/>
      <w:r>
        <w:rPr>
          <w:rFonts w:hint="eastAsia" w:ascii="仿宋_GB2312" w:hAnsi="仿宋_GB2312" w:eastAsia="仿宋_GB2312" w:cs="仿宋_GB2312"/>
          <w:b/>
          <w:color w:val="000000" w:themeColor="text1"/>
          <w:sz w:val="28"/>
          <w:szCs w:val="28"/>
          <w14:textFill>
            <w14:solidFill>
              <w14:schemeClr w14:val="tx1"/>
            </w14:solidFill>
          </w14:textFill>
        </w:rPr>
        <w:t>（四）响应文件的补充、修改和撤回</w:t>
      </w:r>
      <w:bookmarkEnd w:id="130"/>
      <w:bookmarkEnd w:id="131"/>
      <w:bookmarkEnd w:id="132"/>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1、供应商在递交电子响应文件后，且在提交电子响应文件截止时间前，可以对所提交的电子响应文件进行补充、修改或撤回。</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2、对电子响应文件进行补充、修改的，应先从电子交易平台上撤回旧版，再重新提交新版。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3、电子响应文件提交截止时间后，供应商不得对其电子响应文件做任何修改。</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（五）供应商提交响应文件时，出现下列情况之一的，其响应文件将被拒绝接收：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33" w:name="_Toc7022"/>
      <w:bookmarkStart w:id="134" w:name="_Toc28054"/>
      <w:bookmarkStart w:id="135" w:name="_Toc6837"/>
      <w:bookmarkStart w:id="136" w:name="_Toc10744"/>
      <w:bookmarkStart w:id="137" w:name="_Toc8003"/>
      <w:bookmarkStart w:id="138" w:name="_Toc595"/>
      <w:r>
        <w:rPr>
          <w:rFonts w:hint="eastAsia" w:ascii="仿宋_GB2312" w:hAnsi="仿宋_GB2312" w:eastAsia="仿宋_GB2312" w:cs="仿宋_GB2312"/>
          <w:color w:val="000000" w:themeColor="text1"/>
          <w:sz w:val="28"/>
          <w:szCs w:val="28"/>
          <w14:textFill>
            <w14:solidFill>
              <w14:schemeClr w14:val="tx1"/>
            </w14:solidFill>
          </w14:textFill>
        </w:rPr>
        <w:t>1、逾期提交电子响应文件的；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2、提交的电子响应文件与本项目不相符的。</w:t>
      </w:r>
    </w:p>
    <w:p>
      <w:pPr>
        <w:pStyle w:val="4"/>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139" w:name="_Toc17536"/>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w:t>
      </w:r>
      <w:bookmarkEnd w:id="133"/>
      <w:bookmarkEnd w:id="134"/>
      <w:bookmarkEnd w:id="135"/>
      <w:bookmarkEnd w:id="136"/>
      <w:bookmarkEnd w:id="137"/>
      <w:bookmarkEnd w:id="138"/>
      <w:bookmarkEnd w:id="13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响应文件开启</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组织响应文件开启、评审工作，整个过程受政府采购监管机构的监督、管理。</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14:textFill>
            <w14:solidFill>
              <w14:schemeClr w14:val="tx1"/>
            </w14:solidFill>
          </w14:textFill>
        </w:rPr>
        <w:t>人需安装新点播放器，以便观看远程不见面开标直播画面（播放器下载链接为：http://sxggzyjy.hanzhong.gov.cn/fwzn/004003/20230223/17ebe025-dd9a-4eba-b702-8f1696646f01.html）。</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供应商不足3家的，不得开启响应文件。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（三）响应文件开启时，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现场工作人员将根据项目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响应家</w:t>
      </w:r>
      <w:r>
        <w:rPr>
          <w:rFonts w:hint="eastAsia" w:ascii="仿宋_GB2312" w:hAnsi="仿宋_GB2312" w:eastAsia="仿宋_GB2312" w:cs="仿宋_GB2312"/>
          <w:color w:val="000000" w:themeColor="text1"/>
          <w:sz w:val="28"/>
          <w:szCs w:val="28"/>
          <w14:textFill>
            <w14:solidFill>
              <w14:schemeClr w14:val="tx1"/>
            </w14:solidFill>
          </w14:textFill>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响应人</w:t>
      </w:r>
      <w:r>
        <w:rPr>
          <w:rFonts w:hint="eastAsia" w:ascii="仿宋_GB2312" w:hAnsi="仿宋_GB2312" w:eastAsia="仿宋_GB2312" w:cs="仿宋_GB2312"/>
          <w:color w:val="000000" w:themeColor="text1"/>
          <w:sz w:val="28"/>
          <w:szCs w:val="28"/>
          <w14:textFill>
            <w14:solidFill>
              <w14:schemeClr w14:val="tx1"/>
            </w14:solidFill>
          </w14:textFill>
        </w:rPr>
        <w:t>对响应文件开启过程和记录有疑义，以及认为采购人、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相关工作人员有需要回避情形的，应在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不见面开标大厅</w:t>
      </w:r>
      <w:r>
        <w:rPr>
          <w:rFonts w:hint="eastAsia" w:ascii="仿宋_GB2312" w:hAnsi="仿宋_GB2312" w:eastAsia="仿宋_GB2312" w:cs="仿宋_GB2312"/>
          <w:color w:val="000000" w:themeColor="text1"/>
          <w:sz w:val="28"/>
          <w:szCs w:val="28"/>
          <w14:textFill>
            <w14:solidFill>
              <w14:schemeClr w14:val="tx1"/>
            </w14:solidFill>
          </w14:textFill>
        </w:rPr>
        <w:t>提出询问或回避申请，采购人、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应当及时处理。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（五）响应供应商未参加响应文件开启的，视同认可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结果。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2、因供应商自身原因（如迟到、未带CA锁、或所带CA锁与制作电子响应文件使用的CA锁不一致、或沿用旧版谈判文件编制响应文件等情形），导致在规定时间内无法解密响应文件的；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4、政府采购法律法规规定的其他无效情形。</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（八）特殊情形下的应急处置</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在响应文件开启、评审过程中，如因停电、断网、电子化系统故障等特殊原因导致电子化开、评审工作无法正常进行时，将视文件解密情况特殊处理。</w:t>
      </w:r>
    </w:p>
    <w:p>
      <w:pPr>
        <w:pStyle w:val="9"/>
        <w:spacing w:after="0" w:line="500" w:lineRule="exact"/>
        <w:ind w:firstLine="567"/>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1、响应文件开启时文件未解密的，将另行确定时间继续完成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开启</w:t>
      </w:r>
      <w:r>
        <w:rPr>
          <w:rFonts w:hint="eastAsia" w:ascii="仿宋_GB2312" w:hAnsi="仿宋_GB2312" w:eastAsia="仿宋_GB2312" w:cs="仿宋_GB2312"/>
          <w:color w:val="000000" w:themeColor="text1"/>
          <w:sz w:val="28"/>
          <w:szCs w:val="28"/>
          <w14:textFill>
            <w14:solidFill>
              <w14:schemeClr w14:val="tx1"/>
            </w14:solidFill>
          </w14:textFill>
        </w:rPr>
        <w:t>程序；</w:t>
      </w:r>
    </w:p>
    <w:p>
      <w:pPr>
        <w:spacing w:line="500" w:lineRule="exact"/>
        <w:ind w:firstLine="566"/>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2、文件已解密但评审结论未形成的，将发布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终止</w:t>
      </w:r>
      <w:r>
        <w:rPr>
          <w:rFonts w:hint="eastAsia" w:ascii="仿宋_GB2312" w:hAnsi="仿宋_GB2312" w:eastAsia="仿宋_GB2312" w:cs="仿宋_GB2312"/>
          <w:color w:val="000000" w:themeColor="text1"/>
          <w:sz w:val="28"/>
          <w:szCs w:val="28"/>
          <w14:textFill>
            <w14:solidFill>
              <w14:schemeClr w14:val="tx1"/>
            </w14:solidFill>
          </w14:textFill>
        </w:rPr>
        <w:t>公告，重新组织采购活动；</w:t>
      </w:r>
    </w:p>
    <w:p>
      <w:pPr>
        <w:pStyle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3、文件已解密且评审结论已形成的，待特殊情况排除后，继续完成评审活动。</w:t>
      </w:r>
      <w:bookmarkStart w:id="140" w:name="_Toc31720"/>
      <w:bookmarkStart w:id="141" w:name="_Toc8349"/>
      <w:bookmarkStart w:id="142" w:name="_Toc8460"/>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43" w:name="_Toc31905"/>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、组织评审</w:t>
      </w:r>
      <w:bookmarkEnd w:id="124"/>
      <w:bookmarkEnd w:id="125"/>
      <w:bookmarkEnd w:id="126"/>
      <w:bookmarkEnd w:id="140"/>
      <w:bookmarkEnd w:id="141"/>
      <w:bookmarkEnd w:id="142"/>
      <w:bookmarkEnd w:id="143"/>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bookmarkStart w:id="144" w:name="_Toc3816_WPSOffice_Level3"/>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（一）</w:t>
      </w:r>
      <w:bookmarkEnd w:id="144"/>
      <w:r>
        <w:rPr>
          <w:rFonts w:hint="eastAsia" w:ascii="仿宋_GB2312" w:hAnsi="仿宋_GB2312" w:eastAsia="仿宋_GB2312" w:cs="仿宋_GB2312"/>
          <w:b/>
          <w:bCs/>
          <w:color w:val="000000" w:themeColor="text1"/>
          <w:sz w:val="28"/>
          <w:szCs w:val="28"/>
          <w14:textFill>
            <w14:solidFill>
              <w14:schemeClr w14:val="tx1"/>
            </w14:solidFill>
          </w14:textFill>
        </w:rPr>
        <w:t>成立谈判小组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1、为了确保谈判工作的公平、公正，依据政府采购法和政府采购相关法规、规章，成立谈判小组，谈判小组由采购人代表和评审专家共3人以上单数组成</w:t>
      </w:r>
      <w:r>
        <w:rPr>
          <w:rFonts w:hint="eastAsia" w:ascii="仿宋_GB2312" w:hAnsi="仿宋_GB2312" w:eastAsia="仿宋_GB2312" w:cs="仿宋_GB2312"/>
          <w:color w:val="000000" w:themeColor="text1"/>
          <w:sz w:val="28"/>
          <w:szCs w:val="28"/>
          <w:lang w:eastAsia="zh-CN"/>
          <w14:textFill>
            <w14:solidFill>
              <w14:schemeClr w14:val="tx1"/>
            </w14:solidFill>
          </w14:textFill>
        </w:rPr>
        <w:t>。达到公开招标数额标准的货物或者服务采购项目，或者达到招标规模标准的政府采购工程，谈判小组应当由5人以上单数组成。</w:t>
      </w:r>
      <w:r>
        <w:rPr>
          <w:rFonts w:hint="eastAsia" w:ascii="仿宋_GB2312" w:hAnsi="仿宋_GB2312" w:eastAsia="仿宋_GB2312" w:cs="仿宋_GB2312"/>
          <w:color w:val="000000" w:themeColor="text1"/>
          <w:sz w:val="28"/>
          <w:szCs w:val="28"/>
          <w14:textFill>
            <w14:solidFill>
              <w14:schemeClr w14:val="tx1"/>
            </w14:solidFill>
          </w14:textFill>
        </w:rPr>
        <w:t>其中评审专家人数不少于谈判小组成员总数的三分之二。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采购人不得以评审专家身份参加本部门或本单位采购项目的评审。采购代理机构人员不得参加本机构代理的采购项目的评审。</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谈判小组成员名单在评审结果公告前应当保密。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评审专家将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3、评审中因谈判小组成员缺席、回避或者健康等特殊原因导致谈判小组组成不符合规定的，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应当依法补足后继续评审。被更换的谈判小组成员所做出的评审意见无效。无法及时补足谈判小组成员的，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应当停止评审活动，封存所有响应文件和开标、评审资料，依法重新组建谈判小组进行评审。原谈判小组所做出的评审意见无效。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应当将变更、重新组建谈判小组的情况予以记录，并随采购文件一并存档。</w:t>
      </w:r>
    </w:p>
    <w:p>
      <w:pPr>
        <w:pStyle w:val="18"/>
        <w:spacing w:beforeAutospacing="0" w:afterAutospacing="0" w:line="500" w:lineRule="exact"/>
        <w:ind w:firstLine="420"/>
        <w:rPr>
          <w:rFonts w:hint="eastAsia" w:ascii="仿宋_GB2312" w:hAnsi="仿宋_GB2312" w:eastAsia="仿宋_GB2312" w:cs="仿宋_GB2312"/>
          <w:b/>
          <w:bCs/>
          <w:color w:val="000000" w:themeColor="text1"/>
          <w:sz w:val="28"/>
          <w:szCs w:val="28"/>
          <w14:textFill>
            <w14:solidFill>
              <w14:schemeClr w14:val="tx1"/>
            </w14:solidFill>
          </w14:textFill>
        </w:rPr>
      </w:pPr>
      <w:bookmarkStart w:id="145" w:name="_Toc3147_WPSOffice_Level3"/>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（二）谈判小组负责具体评审事务，并独立履行下列职责：</w:t>
      </w:r>
      <w:bookmarkEnd w:id="145"/>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1、严格遵守评审工作纪律，按照客观、公正、审慎的原则，根据谈判 文件规定的评审程序、评审方法和评审标准进行独立评审； </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2、确认谈判文件；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3、从符合相应资格条件的供应商名单中确定不少于3家的供应商参加谈判；</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4、审查供应商的响应文件并作出评价；</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5、要求供应商解释或者澄清其响应文件；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6、与供应商分别进行谈判；</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7、编写评审报告；</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8、确定成交候选人名单，以及根据采购人委托直接确定成交供应商； </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9、告知采购人、采购代理机构在评审过程中发现的供应商的违法违规 行为。</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10、配合答复供应商的询问、质疑和投诉等事项，不得泄露评审文件、 评审情况和在评审过程中获悉的商业秘密；</w:t>
      </w:r>
    </w:p>
    <w:p>
      <w:pPr>
        <w:pStyle w:val="18"/>
        <w:spacing w:beforeAutospacing="0" w:afterAutospacing="0" w:line="500" w:lineRule="exact"/>
        <w:ind w:firstLine="420"/>
        <w:rPr>
          <w:rFonts w:hint="eastAsia" w:ascii="仿宋_GB2312" w:hAnsi="仿宋_GB2312" w:eastAsia="仿宋_GB2312" w:cs="仿宋_GB2312"/>
          <w:b/>
          <w:bCs/>
          <w:color w:val="000000" w:themeColor="text1"/>
          <w:sz w:val="28"/>
          <w:szCs w:val="28"/>
          <w14:textFill>
            <w14:solidFill>
              <w14:schemeClr w14:val="tx1"/>
            </w14:solidFill>
          </w14:textFill>
        </w:rPr>
      </w:pPr>
      <w:bookmarkStart w:id="146" w:name="_Toc8872_WPSOffice_Level3"/>
      <w:r>
        <w:rPr>
          <w:rFonts w:hint="eastAsia" w:ascii="仿宋_GB2312" w:hAnsi="仿宋_GB2312" w:eastAsia="仿宋_GB2312" w:cs="仿宋_GB2312"/>
          <w:b/>
          <w:bCs/>
          <w:color w:val="000000" w:themeColor="text1"/>
          <w:sz w:val="28"/>
          <w:szCs w:val="28"/>
          <w14:textFill>
            <w14:solidFill>
              <w14:schemeClr w14:val="tx1"/>
            </w14:solidFill>
          </w14:textFill>
        </w:rPr>
        <w:t>（三）</w:t>
      </w: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采购代理机构负责组织评审工作，并履行下列职责：</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2、宣布评审纪律;</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3、公布</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名单，告知评审专家应当回避的情形;</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4、组织谈判小组推选评审组长，采购人代表不得担任组长;</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5、在评审期间采取必要的通讯管理措施，保证评审活动不受外界干扰;</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6、根据谈判小组的要求介绍政府采购相关政策法规、谈判文件;</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7、维护评审秩序，监督谈判小组依照谈判文件规定的评审程序、方法和标准进行独立评审，及时制止和纠正采购人代表、评审专家的倾向性言论或者违法违规行为;</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8、核对评审结果;</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9、评审工作完成后，按照规定向评审专家支付劳务报酬和异地评审差旅费，不得向评审专家以外的其他人员支付评审劳务报酬;</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10、处理与评审有关的其他事项。</w:t>
      </w:r>
    </w:p>
    <w:p>
      <w:pPr>
        <w:pStyle w:val="18"/>
        <w:spacing w:beforeAutospacing="0" w:afterAutospacing="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采购人可以在评审前说明项目背景和采购需求，说明内容不得含有歧视性、倾向性意见，不得超出谈判文件所述范围。说明应当提交书面材料，并随采购文件一并存档。</w:t>
      </w:r>
      <w:bookmarkEnd w:id="146"/>
    </w:p>
    <w:p>
      <w:pPr>
        <w:spacing w:line="500" w:lineRule="exact"/>
        <w:ind w:firstLine="566" w:firstLineChars="200"/>
        <w:rPr>
          <w:rFonts w:hint="eastAsia" w:ascii="仿宋_GB2312" w:hAnsi="仿宋_GB2312" w:eastAsia="仿宋_GB2312" w:cs="仿宋_GB2312"/>
          <w:b/>
          <w:color w:val="000000" w:themeColor="text1"/>
          <w:sz w:val="28"/>
          <w:szCs w:val="28"/>
          <w:highlight w:val="none"/>
          <w14:textFill>
            <w14:solidFill>
              <w14:schemeClr w14:val="tx1"/>
            </w14:solidFill>
          </w14:textFill>
        </w:rPr>
      </w:pPr>
      <w:bookmarkStart w:id="147" w:name="_Toc4079_WPSOffice_Level3"/>
      <w:r>
        <w:rPr>
          <w:rFonts w:hint="eastAsia" w:ascii="仿宋_GB2312" w:hAnsi="仿宋_GB2312" w:eastAsia="仿宋_GB2312" w:cs="仿宋_GB2312"/>
          <w:b/>
          <w:color w:val="000000" w:themeColor="text1"/>
          <w:sz w:val="28"/>
          <w:szCs w:val="28"/>
          <w:highlight w:val="none"/>
          <w14:textFill>
            <w14:solidFill>
              <w14:schemeClr w14:val="tx1"/>
            </w14:solidFill>
          </w14:textFill>
        </w:rPr>
        <w:t>（四）评审方法：</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最低评标价</w:t>
      </w:r>
      <w:r>
        <w:rPr>
          <w:rFonts w:hint="eastAsia" w:ascii="仿宋_GB2312" w:hAnsi="仿宋_GB2312" w:eastAsia="仿宋_GB2312" w:cs="仿宋_GB2312"/>
          <w:b/>
          <w:color w:val="000000" w:themeColor="text1"/>
          <w:sz w:val="28"/>
          <w:szCs w:val="28"/>
          <w:highlight w:val="none"/>
          <w14:textFill>
            <w14:solidFill>
              <w14:schemeClr w14:val="tx1"/>
            </w14:solidFill>
          </w14:textFill>
        </w:rPr>
        <w:t>法</w:t>
      </w:r>
      <w:bookmarkEnd w:id="147"/>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w:t>
      </w:r>
      <w:r>
        <w:rPr>
          <w:rFonts w:hint="eastAsia" w:ascii="仿宋_GB2312" w:hAnsi="仿宋_GB2312" w:eastAsia="仿宋_GB2312" w:cs="仿宋_GB2312"/>
          <w:color w:val="000000" w:themeColor="text1"/>
          <w:sz w:val="28"/>
          <w:szCs w:val="28"/>
          <w:highlight w:val="none"/>
          <w14:textFill>
            <w14:solidFill>
              <w14:schemeClr w14:val="tx1"/>
            </w14:solidFill>
          </w14:textFill>
        </w:rPr>
        <w:t>质量和服务均能满足采购文件实质性响应要求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且评审报价最低</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原则确定成交供应商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left="567"/>
        <w:rPr>
          <w:rFonts w:hint="eastAsia" w:ascii="仿宋_GB2312" w:hAnsi="仿宋_GB2312" w:eastAsia="仿宋_GB2312" w:cs="仿宋_GB2312"/>
          <w:color w:val="000000" w:themeColor="text1"/>
          <w:sz w:val="28"/>
          <w:szCs w:val="28"/>
          <w14:textFill>
            <w14:solidFill>
              <w14:schemeClr w14:val="tx1"/>
            </w14:solidFill>
          </w14:textFill>
        </w:rPr>
      </w:pPr>
      <w:bookmarkStart w:id="148" w:name="_Toc25396_WPSOffice_Level3"/>
      <w:r>
        <w:rPr>
          <w:rFonts w:hint="eastAsia" w:ascii="仿宋_GB2312" w:hAnsi="仿宋_GB2312" w:eastAsia="仿宋_GB2312" w:cs="仿宋_GB2312"/>
          <w:b/>
          <w:color w:val="000000" w:themeColor="text1"/>
          <w:sz w:val="28"/>
          <w:szCs w:val="28"/>
          <w14:textFill>
            <w14:solidFill>
              <w14:schemeClr w14:val="tx1"/>
            </w14:solidFill>
          </w14:textFill>
        </w:rPr>
        <w:t>（五）评审程序</w:t>
      </w:r>
      <w:bookmarkEnd w:id="148"/>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分步评审，每一步评审不符合谈判文件要求者，不得进入下一步评审。</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1、资格性审查</w:t>
      </w:r>
    </w:p>
    <w:p>
      <w:pPr>
        <w:spacing w:after="190" w:afterLines="50" w:line="500" w:lineRule="exact"/>
        <w:ind w:firstLine="566"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响应文件开启</w:t>
      </w:r>
      <w:r>
        <w:rPr>
          <w:rFonts w:hint="eastAsia" w:ascii="仿宋_GB2312" w:hAnsi="仿宋_GB2312" w:eastAsia="仿宋_GB2312" w:cs="仿宋_GB2312"/>
          <w:color w:val="000000" w:themeColor="text1"/>
          <w:sz w:val="28"/>
          <w:szCs w:val="28"/>
          <w14:textFill>
            <w14:solidFill>
              <w14:schemeClr w14:val="tx1"/>
            </w14:solidFill>
          </w14:textFill>
        </w:rPr>
        <w:t>结束后，谈判小组依据法律法规和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文件的规定，对响应文件中的供应商资格证明文件进行审查，以确定供应商是否具备</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资格。</w:t>
      </w:r>
    </w:p>
    <w:p>
      <w:pPr>
        <w:spacing w:line="360" w:lineRule="auto"/>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资格审查表</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63"/>
        <w:gridCol w:w="4565"/>
        <w:gridCol w:w="80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kern w:val="28"/>
                <w:sz w:val="28"/>
                <w:szCs w:val="28"/>
                <w14:textFill>
                  <w14:solidFill>
                    <w14:schemeClr w14:val="tx1"/>
                  </w14:solidFill>
                </w14:textFill>
              </w:rPr>
            </w:pPr>
            <w:r>
              <w:rPr>
                <w:rFonts w:hint="eastAsia" w:ascii="仿宋_GB2312" w:hAnsi="仿宋_GB2312" w:eastAsia="仿宋_GB2312" w:cs="仿宋_GB2312"/>
                <w:b/>
                <w:color w:val="000000" w:themeColor="text1"/>
                <w:kern w:val="28"/>
                <w:sz w:val="28"/>
                <w:szCs w:val="28"/>
                <w14:textFill>
                  <w14:solidFill>
                    <w14:schemeClr w14:val="tx1"/>
                  </w14:solidFill>
                </w14:textFill>
              </w:rPr>
              <w:t>资格审查项</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themeColor="text1"/>
                <w:kern w:val="28"/>
                <w:sz w:val="28"/>
                <w:szCs w:val="28"/>
                <w14:textFill>
                  <w14:solidFill>
                    <w14:schemeClr w14:val="tx1"/>
                  </w14:solidFill>
                </w14:textFill>
              </w:rPr>
            </w:pPr>
            <w:r>
              <w:rPr>
                <w:rFonts w:hint="eastAsia" w:ascii="仿宋_GB2312" w:hAnsi="仿宋_GB2312" w:eastAsia="仿宋_GB2312" w:cs="仿宋_GB2312"/>
                <w:b/>
                <w:color w:val="000000" w:themeColor="text1"/>
                <w:kern w:val="28"/>
                <w:sz w:val="28"/>
                <w:szCs w:val="28"/>
                <w14:textFill>
                  <w14:solidFill>
                    <w14:schemeClr w14:val="tx1"/>
                  </w14:solidFill>
                </w14:textFill>
              </w:rPr>
              <w:t>通过条件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结论</w:t>
            </w: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营业执照等主体资格证明文件</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提供有效存续的企业营业执照（副本）/事业单位法人证书/专业服务机构执业许可证/民办非企业单位登记证书。</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财务状况报告</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提供202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年度或202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社保缴纳证明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提供递交响应文件截止之日前一年内任意一个月的社会保障资金缴存单据或社保机构开具的社会保险参保缴费情况证明。依法不需要缴纳社会保障资金的供应商应提供相关证明文件。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税收缴纳证明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8"/>
                <w:sz w:val="28"/>
                <w:szCs w:val="28"/>
                <w:lang w:val="en-US" w:eastAsia="zh-CN"/>
                <w14:textFill>
                  <w14:solidFill>
                    <w14:schemeClr w14:val="tx1"/>
                  </w14:solidFill>
                </w14:textFill>
              </w:rPr>
              <w:t>书面声明</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提供《近三年内在经营活动中无重大违法记录声明》。（按第五章格式填写）</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6</w:t>
            </w:r>
          </w:p>
        </w:tc>
        <w:tc>
          <w:tcPr>
            <w:tcW w:w="186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法定代表人授权委托书</w:t>
            </w:r>
          </w:p>
        </w:tc>
        <w:tc>
          <w:tcPr>
            <w:tcW w:w="4565"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kern w:val="28"/>
                <w:sz w:val="28"/>
                <w:szCs w:val="28"/>
                <w14:textFill>
                  <w14:solidFill>
                    <w14:schemeClr w14:val="tx1"/>
                  </w14:solidFill>
                </w14:textFill>
              </w:rPr>
            </w:pPr>
            <w:r>
              <w:rPr>
                <w:rFonts w:hint="eastAsia" w:ascii="仿宋_GB2312" w:hAnsi="仿宋_GB2312" w:eastAsia="仿宋_GB2312" w:cs="仿宋_GB2312"/>
                <w:color w:val="000000" w:themeColor="text1"/>
                <w:kern w:val="28"/>
                <w:sz w:val="28"/>
                <w:szCs w:val="28"/>
                <w14:textFill>
                  <w14:solidFill>
                    <w14:schemeClr w14:val="tx1"/>
                  </w14:solidFill>
                </w14:textFill>
              </w:rPr>
              <w:t>法定代表人参加</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的，须提供本人身份证复印件（附在资格证明文件中）；法定代表人授权他人参加</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的，须提供法定代表人授权委托书。</w:t>
            </w:r>
            <w:r>
              <w:rPr>
                <w:rFonts w:hint="eastAsia" w:ascii="仿宋_GB2312" w:hAnsi="仿宋_GB2312" w:eastAsia="仿宋_GB2312" w:cs="仿宋_GB2312"/>
                <w:color w:val="000000" w:themeColor="text1"/>
                <w:kern w:val="28"/>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kern w:val="28"/>
                <w:sz w:val="28"/>
                <w:szCs w:val="28"/>
                <w14:textFill>
                  <w14:solidFill>
                    <w14:schemeClr w14:val="tx1"/>
                  </w14:solidFill>
                </w14:textFill>
              </w:rPr>
              <w:t>文件中凡是需要法定代表人盖章之处，非法人单位的负责人均参照执行。（按第五章格式填写）</w:t>
            </w:r>
          </w:p>
        </w:tc>
        <w:tc>
          <w:tcPr>
            <w:tcW w:w="804"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c>
          <w:tcPr>
            <w:tcW w:w="1178"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
                <w:bCs/>
                <w:color w:val="000000" w:themeColor="text1"/>
                <w:kern w:val="0"/>
                <w:sz w:val="28"/>
                <w:szCs w:val="28"/>
                <w14:textFill>
                  <w14:solidFill>
                    <w14:schemeClr w14:val="tx1"/>
                  </w14:solidFill>
                </w14:textFill>
              </w:rPr>
              <w:t>小组成员：（签字或盖章）</w:t>
            </w:r>
          </w:p>
        </w:tc>
      </w:tr>
    </w:tbl>
    <w:p>
      <w:pPr>
        <w:pStyle w:val="9"/>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出现下列情形的，响应文件将被视为无效：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（1）不具备</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文件中规定的资格要求的；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（2）未按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文件要求提供资格证明文件原件，或未按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文件要求加盖公章的；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小组认为供应商的资格证明文件存在疑点，要求供应商现场提供原件，供应商不能在规定时限内提供原件或其所提供的原件无法证实响应文件所附证明文件有效性的。</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资格审查结束后，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小组成员应当对审查结果进行签字确认，并告知无效投标供应商资格审查未通过的原因。</w:t>
      </w:r>
    </w:p>
    <w:p>
      <w:pPr>
        <w:pStyle w:val="9"/>
        <w:spacing w:after="0"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通过资格审查的供应商不足3家的，不得进行符合性审查。</w:t>
      </w:r>
    </w:p>
    <w:p>
      <w:pPr>
        <w:pStyle w:val="14"/>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2、响应文件的符合性审查</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小组依据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文件的规定，对响应文件的有效性、完整性和对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文件的响应程度进行审查，以确定是否对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文件的全部实质性要求做出响应。</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小组要审查每份响应文件是否实质上响应了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文件的要求。实质上没有响应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文件要求的响应文件作无效响应处理，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小组要告知有关供应商未通过审查的原因。供应商不得通过修正或撤销不符之处而使其成为实质上响应。</w:t>
      </w:r>
    </w:p>
    <w:p>
      <w:pPr>
        <w:spacing w:line="50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响应文件的符合性审查</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431"/>
        <w:gridCol w:w="4172"/>
        <w:gridCol w:w="9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序号</w:t>
            </w:r>
          </w:p>
        </w:tc>
        <w:tc>
          <w:tcPr>
            <w:tcW w:w="2431"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符合性审查项</w:t>
            </w:r>
          </w:p>
        </w:tc>
        <w:tc>
          <w:tcPr>
            <w:tcW w:w="4172"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通过条件</w:t>
            </w:r>
          </w:p>
        </w:tc>
        <w:tc>
          <w:tcPr>
            <w:tcW w:w="91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1</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响应文件语言及有效期</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响应文件语言</w:t>
            </w:r>
            <w:r>
              <w:rPr>
                <w:rFonts w:hint="eastAsia" w:ascii="仿宋_GB2312" w:hAnsi="仿宋_GB2312" w:eastAsia="仿宋_GB2312" w:cs="仿宋_GB2312"/>
                <w:bCs/>
                <w:color w:val="000000" w:themeColor="text1"/>
                <w:kern w:val="0"/>
                <w:sz w:val="28"/>
                <w:szCs w:val="28"/>
                <w14:textFill>
                  <w14:solidFill>
                    <w14:schemeClr w14:val="tx1"/>
                  </w14:solidFill>
                </w14:textFill>
              </w:rPr>
              <w:t>及有效期</w:t>
            </w:r>
            <w:r>
              <w:rPr>
                <w:rFonts w:hint="eastAsia" w:ascii="仿宋_GB2312" w:hAnsi="仿宋_GB2312" w:eastAsia="仿宋_GB2312" w:cs="仿宋_GB2312"/>
                <w:color w:val="000000" w:themeColor="text1"/>
                <w:sz w:val="28"/>
                <w:szCs w:val="28"/>
                <w14:textFill>
                  <w14:solidFill>
                    <w14:schemeClr w14:val="tx1"/>
                  </w14:solidFill>
                </w14:textFill>
              </w:rPr>
              <w:t>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2</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响应文件封面、响应 函、法定代表人授权 委托书三处的项目名 称、项目编号、标段 （如有）</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三处均无遗漏，且与所投项目名称、 项目编号、标段（如有）一致。</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3</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响应文件签署、盖章</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均按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文件要求签字、盖章（评分标准中要求提供的证明材料除外）。</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4</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第一次</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kern w:val="0"/>
                <w:sz w:val="28"/>
                <w:szCs w:val="28"/>
                <w14:textFill>
                  <w14:solidFill>
                    <w14:schemeClr w14:val="tx1"/>
                  </w14:solidFill>
                </w14:textFill>
              </w:rPr>
              <w:t>报价表</w:t>
            </w:r>
          </w:p>
        </w:tc>
        <w:tc>
          <w:tcPr>
            <w:tcW w:w="4172"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（1）第一次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（2）计量单位、报价货币均符合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（3）第一次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报价未超出采购预算或</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文件规定的最高限价。</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5</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响应文件完整性</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响应文件按照谈判文件要求编制，三部分内容齐全，无重大缺漏项。</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6</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技术服务要求</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完全理解并接受对合格供应商、合格的货物、工程或服务要求，根据响应文件中《技术服务偏差表》第三章“★”标识的实质性要求没有负偏离。</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7</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合同草案响应</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有完全理解并接受</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文件合同草案 条款要求的描述。</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8</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供应商承诺书</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完全理解并填写《拒绝政府采购领域商业贿赂承诺书》。</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9</w:t>
            </w:r>
          </w:p>
        </w:tc>
        <w:tc>
          <w:tcPr>
            <w:tcW w:w="2431"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无其他</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文件或法规明确规定响应无效的事项</w:t>
            </w:r>
          </w:p>
        </w:tc>
        <w:tc>
          <w:tcPr>
            <w:tcW w:w="417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没有不符合</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文件规定的被视为无效响应的其他条款。</w:t>
            </w:r>
          </w:p>
        </w:tc>
        <w:tc>
          <w:tcPr>
            <w:tcW w:w="9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eastAsia="zh-CN"/>
                <w14:textFill>
                  <w14:solidFill>
                    <w14:schemeClr w14:val="tx1"/>
                  </w14:solidFill>
                </w14:textFill>
              </w:rPr>
              <w:t>谈判</w:t>
            </w:r>
            <w:r>
              <w:rPr>
                <w:rFonts w:hint="eastAsia" w:ascii="仿宋_GB2312" w:hAnsi="仿宋_GB2312" w:eastAsia="仿宋_GB2312" w:cs="仿宋_GB2312"/>
                <w:b/>
                <w:bCs/>
                <w:color w:val="000000" w:themeColor="text1"/>
                <w:kern w:val="0"/>
                <w:sz w:val="28"/>
                <w:szCs w:val="28"/>
                <w14:textFill>
                  <w14:solidFill>
                    <w14:schemeClr w14:val="tx1"/>
                  </w14:solidFill>
                </w14:textFill>
              </w:rPr>
              <w:t>小组成员：（签字或盖章）</w:t>
            </w:r>
          </w:p>
        </w:tc>
      </w:tr>
    </w:tbl>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3、响应文件的澄清</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（2）依照《中华人民共和国民法典》中的过失责任原则，澄清、说明 或更正前</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小组将按最不利于参与本次</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供应商的原则对响应文件做 出评判。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通过电子邮件提交的</w:t>
      </w:r>
      <w:r>
        <w:rPr>
          <w:rFonts w:hint="eastAsia" w:ascii="仿宋_GB2312" w:hAnsi="仿宋_GB2312" w:eastAsia="仿宋_GB2312" w:cs="仿宋_GB2312"/>
          <w:color w:val="000000" w:themeColor="text1"/>
          <w:sz w:val="28"/>
          <w:szCs w:val="28"/>
          <w14:textFill>
            <w14:solidFill>
              <w14:schemeClr w14:val="tx1"/>
            </w14:solidFill>
          </w14:textFill>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000000" w:themeColor="text1"/>
          <w:kern w:val="0"/>
          <w:sz w:val="28"/>
          <w:szCs w:val="28"/>
          <w14:textFill>
            <w14:solidFill>
              <w14:schemeClr w14:val="tx1"/>
            </w14:solidFill>
          </w14:textFill>
        </w:rPr>
        <w:t>合同</w:t>
      </w:r>
      <w:r>
        <w:rPr>
          <w:rFonts w:hint="eastAsia" w:ascii="仿宋_GB2312" w:hAnsi="仿宋_GB2312" w:eastAsia="仿宋_GB2312" w:cs="仿宋_GB2312"/>
          <w:color w:val="000000" w:themeColor="text1"/>
          <w:sz w:val="28"/>
          <w:szCs w:val="28"/>
          <w14:textFill>
            <w14:solidFill>
              <w14:schemeClr w14:val="tx1"/>
            </w14:solidFill>
          </w14:textFill>
        </w:rPr>
        <w:t>履行的重要依据。</w:t>
      </w:r>
    </w:p>
    <w:p>
      <w:pPr>
        <w:spacing w:line="500" w:lineRule="exact"/>
        <w:ind w:firstLine="566" w:firstLineChars="200"/>
        <w:contextualSpacing/>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4、进行</w:t>
      </w:r>
      <w:r>
        <w:rPr>
          <w:rFonts w:hint="eastAsia" w:ascii="仿宋_GB2312" w:hAnsi="仿宋_GB2312" w:eastAsia="仿宋_GB2312" w:cs="仿宋_GB2312"/>
          <w:b/>
          <w:color w:val="000000" w:themeColor="text1"/>
          <w:sz w:val="28"/>
          <w:szCs w:val="28"/>
          <w:lang w:eastAsia="zh-CN"/>
          <w14:textFill>
            <w14:solidFill>
              <w14:schemeClr w14:val="tx1"/>
            </w14:solidFill>
          </w14:textFill>
        </w:rPr>
        <w:t>谈判</w:t>
      </w:r>
    </w:p>
    <w:p>
      <w:pPr>
        <w:spacing w:line="500" w:lineRule="exact"/>
        <w:ind w:firstLine="566" w:firstLineChars="200"/>
        <w:contextualSpacing/>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小组所有成员应当集中与单一供应商分别进行</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，并给予所有参加</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的供应商平等的</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机会</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14:textFill>
            <w14:solidFill>
              <w14:schemeClr w14:val="tx1"/>
            </w14:solidFill>
          </w14:textFill>
        </w:rPr>
        <w:t>需要供应商书面答复</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内容的，供应商应当按照</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小组的要求，在</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小组规定的时限内通过公共资源交易平台（以下简称“平台”）或电子邮件（在平台无法支持的情况下）等书面形式答复</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Cs/>
          <w:color w:val="000000" w:themeColor="text1"/>
          <w:sz w:val="28"/>
          <w:szCs w:val="28"/>
          <w14:textFill>
            <w14:solidFill>
              <w14:schemeClr w14:val="tx1"/>
            </w14:solidFill>
          </w14:textFill>
        </w:rPr>
        <w:t>的内容，</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通过电子邮件答复的内容应当</w:t>
      </w:r>
      <w:r>
        <w:rPr>
          <w:rFonts w:hint="eastAsia" w:ascii="仿宋_GB2312" w:hAnsi="仿宋_GB2312" w:eastAsia="仿宋_GB2312" w:cs="仿宋_GB2312"/>
          <w:bCs/>
          <w:color w:val="000000" w:themeColor="text1"/>
          <w:sz w:val="28"/>
          <w:szCs w:val="28"/>
          <w14:textFill>
            <w14:solidFill>
              <w14:schemeClr w14:val="tx1"/>
            </w14:solidFill>
          </w14:textFill>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5、</w:t>
      </w:r>
      <w:r>
        <w:rPr>
          <w:rFonts w:hint="eastAsia" w:ascii="仿宋_GB2312" w:hAnsi="仿宋_GB2312" w:eastAsia="仿宋_GB2312" w:cs="仿宋_GB2312"/>
          <w:b/>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b/>
          <w:color w:val="000000" w:themeColor="text1"/>
          <w:sz w:val="28"/>
          <w:szCs w:val="28"/>
          <w14:textFill>
            <w14:solidFill>
              <w14:schemeClr w14:val="tx1"/>
            </w14:solidFill>
          </w14:textFill>
        </w:rPr>
        <w:t>文件的实质性变更</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过程中，</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小组可以根据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情况实质性变动采购需求中的技术、服务要求以及合同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草案</w:t>
      </w:r>
      <w:r>
        <w:rPr>
          <w:rFonts w:hint="eastAsia" w:ascii="仿宋_GB2312" w:hAnsi="仿宋_GB2312" w:eastAsia="仿宋_GB2312" w:cs="仿宋_GB2312"/>
          <w:color w:val="000000" w:themeColor="text1"/>
          <w:sz w:val="28"/>
          <w:szCs w:val="28"/>
          <w14:textFill>
            <w14:solidFill>
              <w14:schemeClr w14:val="tx1"/>
            </w14:solidFill>
          </w14:textFill>
        </w:rPr>
        <w:t>条款，但不得变动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①</w:t>
      </w:r>
      <w:r>
        <w:rPr>
          <w:rFonts w:hint="eastAsia" w:ascii="仿宋_GB2312" w:hAnsi="仿宋_GB2312" w:eastAsia="仿宋_GB2312" w:cs="仿宋_GB2312"/>
          <w:color w:val="000000" w:themeColor="text1"/>
          <w:sz w:val="28"/>
          <w:szCs w:val="28"/>
          <w14:textFill>
            <w14:solidFill>
              <w14:schemeClr w14:val="tx1"/>
            </w14:solidFill>
          </w14:textFill>
        </w:rPr>
        <w:t>当</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小组发现</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②</w:t>
      </w:r>
      <w:r>
        <w:rPr>
          <w:rFonts w:hint="eastAsia" w:ascii="仿宋_GB2312" w:hAnsi="仿宋_GB2312" w:eastAsia="仿宋_GB2312" w:cs="仿宋_GB2312"/>
          <w:color w:val="000000" w:themeColor="text1"/>
          <w:sz w:val="28"/>
          <w:szCs w:val="28"/>
          <w14:textFill>
            <w14:solidFill>
              <w14:schemeClr w14:val="tx1"/>
            </w14:solidFill>
          </w14:textFill>
        </w:rPr>
        <w:t>当进入最后报价环节的供应商不足</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家时，可通过实质性变动实现不少于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文件作出的实质性变动是</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文件的有效组成部分，</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p>
    <w:p>
      <w:pPr>
        <w:spacing w:line="500" w:lineRule="exact"/>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小组将通过公共资源交易平台（以下简称“平台”）或电子邮件（在平台无法支持的情况下）等书面形式通知所有参加</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的供应商。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）供应商应当按照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文件的变动情况和</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小组的要求，在</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 xml:space="preserve">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）供应商未能在规定的时间内按照</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6、最后报价</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文件能够详细列明采购标的的技术、服务要求的，</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结束 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文件不能详细列明采购标的的技术、服务要求，需经</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由 供应商提供最终设计方案或解决方案的，</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结束后，</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（3）最后报价是供应商响应文件的有效组成部分。</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供应商要在电子交易平台中提交最后报价，并用数字认证证书（CA锁）签章。平台系统无法使用时，供应商要以书面形式提交最后报价。最后报价表应由其法定代表人或被授权代表签字或者加盖公章。最后报价将作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评审</w:t>
      </w:r>
      <w:r>
        <w:rPr>
          <w:rFonts w:hint="eastAsia" w:ascii="仿宋_GB2312" w:hAnsi="仿宋_GB2312" w:eastAsia="仿宋_GB2312" w:cs="仿宋_GB2312"/>
          <w:color w:val="000000" w:themeColor="text1"/>
          <w:sz w:val="28"/>
          <w:szCs w:val="28"/>
          <w14:textFill>
            <w14:solidFill>
              <w14:schemeClr w14:val="tx1"/>
            </w14:solidFill>
          </w14:textFill>
        </w:rPr>
        <w:t>的依据。</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（5）已提交响应文件的供应商，在提交最后报价之前，可以根据</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 xml:space="preserve"> 情况书面申请退出</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小组认为供应商的报价明显低于其他通过符合性和响应性审查供应商的报价，有可能影响工程、货物、服务质量或者不能诚信履约的， 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处理</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color w:val="000000" w:themeColor="text1"/>
          <w:sz w:val="28"/>
          <w:szCs w:val="28"/>
          <w14:textFill>
            <w14:solidFill>
              <w14:schemeClr w14:val="tx1"/>
            </w14:solidFill>
          </w14:textFill>
        </w:rPr>
        <w:t>、推荐成交候选供应商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最后报价后，如有本章前款规定的小微企业价格扣除情况，用扣除后的价格参与评审，形成评审报价，按照评审报价由低到高的排序，推荐3名成交候选供应商。最终评审报价相同的，谈判小组优先推荐节能清单(非强制类)、环保清单内的产品，再按照综合技术指标优劣顺序推荐</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14:textFill>
            <w14:solidFill>
              <w14:schemeClr w14:val="tx1"/>
            </w14:solidFill>
          </w14:textFill>
        </w:rPr>
        <w:t>、编写评审报告</w:t>
      </w:r>
    </w:p>
    <w:p>
      <w:pPr>
        <w:spacing w:line="500" w:lineRule="exact"/>
        <w:ind w:firstLine="566"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谈判小组应当根据评审记录和评审结果编写评审报告，其主要内容包 括：</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）邀请供应商参加采购活动的具体方式和相关情况，以及参加采购 活动的供应商名单；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（2）评审日期和地点，谈判小组成员名单；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（3）评审情况记录和说明，包括对供应商的资格审查情况、供应商响 应文件评审情况、谈判情况、报价情况等；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（4）提出的成交候选人的名单及理由。</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评审报告应当由谈判小组全体人员签字认可。谈判小组成员对评审报 告有异议的，谈判小组按照少数服从多数的原则推荐成交候选人，采购程 序继续进行。对评审报告有异议的谈判小组成员，应当在报告上签署不同 意见并说明理由，由谈判小组书面记录相关情况。谈判小组成员拒绝在报告上签字又不书面说明其不同意见和理由的，视为同意评审报告。</w:t>
      </w:r>
    </w:p>
    <w:p>
      <w:pPr>
        <w:spacing w:line="500" w:lineRule="exact"/>
        <w:ind w:firstLine="566" w:firstLineChars="200"/>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（六）有下列情况之一的，视为供应商串通投标，其投标无效：</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1、不同供应商的响应文件由同一单位或者个人编制；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2、不同供应商的响应文件由同一台电脑编制；</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3、不同供应商委托同一单位或者个人办理投标事宜；</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4、不同供应商的响应文件载明的项目管理成员或者联系人员为同一人；</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5、不同供应商的响应文件异常一致或者</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报价呈规律性差异；</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6、政府采购法律法规及</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文件规定的其他情形。</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49" w:name="_Toc28384"/>
      <w:bookmarkStart w:id="150" w:name="_Toc4670"/>
      <w:bookmarkStart w:id="151" w:name="_Toc28287"/>
      <w:bookmarkStart w:id="152" w:name="_Toc25855"/>
      <w:bookmarkStart w:id="153" w:name="_Toc3023"/>
      <w:bookmarkStart w:id="154" w:name="_Toc17612"/>
      <w:bookmarkStart w:id="155" w:name="_Toc22712"/>
      <w:bookmarkStart w:id="156" w:name="_Toc495014611"/>
      <w:bookmarkStart w:id="157" w:name="_Toc495012821"/>
      <w:bookmarkStart w:id="158" w:name="_Toc619_WPSOffice_Level1"/>
      <w:bookmarkStart w:id="159" w:name="_Toc445306493"/>
      <w:bookmarkStart w:id="160" w:name="_Toc424636365"/>
      <w:bookmarkStart w:id="161" w:name="_Toc495014954"/>
      <w:bookmarkStart w:id="162" w:name="_Toc495014920"/>
      <w:bookmarkStart w:id="163" w:name="_Toc28286_WPSOffice_Level1"/>
      <w:bookmarkStart w:id="164" w:name="_Toc495014585"/>
      <w:bookmarkStart w:id="165" w:name="_Toc495012771"/>
      <w:bookmarkStart w:id="166" w:name="_Toc49501464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、成交</w:t>
      </w:r>
      <w:bookmarkEnd w:id="149"/>
      <w:bookmarkEnd w:id="150"/>
      <w:bookmarkEnd w:id="151"/>
      <w:bookmarkEnd w:id="152"/>
      <w:bookmarkEnd w:id="153"/>
      <w:bookmarkEnd w:id="154"/>
      <w:bookmarkEnd w:id="155"/>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在评审结束后2个工作日内将评审报告送采购人确认。</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在评审报告确定的成交候选人名单中按顺序确定成交供应商。采购人在收到评审报告5个工作日内未按评审报告推荐的成交候选人顺序确定成交供应商，又不能说明合法理由的，视同按评审报告推荐的顺序确定排名第一的成交候选人为成交供应商。</w:t>
      </w:r>
    </w:p>
    <w:p>
      <w:pPr>
        <w:wordWrap w:val="0"/>
        <w:spacing w:line="500" w:lineRule="exact"/>
        <w:ind w:firstLine="566"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集中采购机构</w:t>
      </w:r>
      <w:r>
        <w:rPr>
          <w:rFonts w:hint="eastAsia" w:ascii="仿宋_GB2312" w:hAnsi="仿宋_GB2312" w:eastAsia="仿宋_GB2312" w:cs="仿宋_GB2312"/>
          <w:color w:val="000000" w:themeColor="text1"/>
          <w:sz w:val="28"/>
          <w:szCs w:val="28"/>
          <w14:textFill>
            <w14:solidFill>
              <w14:schemeClr w14:val="tx1"/>
            </w14:solidFill>
          </w14:textFill>
        </w:rPr>
        <w:t>将在成交供应商确定之日起2个工作日内，在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以下网址发布结果公告：</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【陕西省政府采购网（www.ccgp-shaanxi.gov.cn/）】中的〖首页·〉市级公告·〉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结果</w:t>
      </w:r>
      <w:r>
        <w:rPr>
          <w:rFonts w:hint="eastAsia" w:ascii="仿宋_GB2312" w:hAnsi="仿宋_GB2312" w:eastAsia="仿宋_GB2312" w:cs="仿宋_GB2312"/>
          <w:color w:val="000000" w:themeColor="text1"/>
          <w:sz w:val="28"/>
          <w:szCs w:val="28"/>
          <w14:textFill>
            <w14:solidFill>
              <w14:schemeClr w14:val="tx1"/>
            </w14:solidFill>
          </w14:textFill>
        </w:rPr>
        <w:t>公告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/终止公告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【全国公共资源交易平台（汉中市）（sxggzyjy.hanzhong.gov.cn）】中的〖首页·〉交易大厅·〉政府采购·〉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中标（成交）结果/终止公告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【汉中市政府采购中心（hzcg.hanzhong.gov.cn/）】中的〖首页·〉</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采购结果</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谈判成交/废标公告</w:t>
      </w:r>
      <w:r>
        <w:rPr>
          <w:rFonts w:hint="eastAsia" w:ascii="仿宋_GB2312" w:hAnsi="仿宋_GB2312" w:eastAsia="仿宋_GB2312" w:cs="仿宋_GB2312"/>
          <w:color w:val="000000" w:themeColor="text1"/>
          <w:sz w:val="28"/>
          <w:szCs w:val="28"/>
          <w14:textFill>
            <w14:solidFill>
              <w14:schemeClr w14:val="tx1"/>
            </w14:solidFill>
          </w14:textFill>
        </w:rPr>
        <w:t>〗。</w:t>
      </w:r>
    </w:p>
    <w:p>
      <w:pPr>
        <w:wordWrap w:val="0"/>
        <w:spacing w:line="500" w:lineRule="exact"/>
        <w:ind w:firstLine="566"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采购人</w:t>
      </w:r>
      <w:r>
        <w:rPr>
          <w:rFonts w:hint="eastAsia" w:ascii="仿宋_GB2312" w:hAnsi="仿宋_GB2312" w:eastAsia="仿宋_GB2312" w:cs="仿宋_GB2312"/>
          <w:color w:val="000000" w:themeColor="text1"/>
          <w:sz w:val="28"/>
          <w:szCs w:val="28"/>
          <w14:textFill>
            <w14:solidFill>
              <w14:schemeClr w14:val="tx1"/>
            </w14:solidFill>
          </w14:textFill>
        </w:rPr>
        <w:t>向成交供应商发出</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成交通知书</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bookmarkStart w:id="167" w:name="_Toc14009"/>
      <w:bookmarkStart w:id="168" w:name="_Toc23938"/>
      <w:bookmarkStart w:id="169" w:name="_Toc18233"/>
      <w:bookmarkStart w:id="170" w:name="_Toc3100"/>
      <w:bookmarkStart w:id="171" w:name="_Toc28870"/>
      <w:bookmarkStart w:id="172" w:name="_Toc10386"/>
      <w:bookmarkStart w:id="173" w:name="_Toc20049"/>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 w:val="28"/>
          <w:szCs w:val="28"/>
          <w14:textFill>
            <w14:solidFill>
              <w14:schemeClr w14:val="tx1"/>
            </w14:solidFill>
          </w14:textFill>
        </w:rPr>
        <w:t>、签订</w:t>
      </w:r>
      <w:r>
        <w:rPr>
          <w:rFonts w:hint="eastAsia" w:ascii="仿宋_GB2312" w:hAnsi="仿宋_GB2312" w:eastAsia="仿宋_GB2312" w:cs="仿宋_GB2312"/>
          <w:color w:val="000000" w:themeColor="text1"/>
          <w:kern w:val="0"/>
          <w:sz w:val="28"/>
          <w:szCs w:val="28"/>
          <w14:textFill>
            <w14:solidFill>
              <w14:schemeClr w14:val="tx1"/>
            </w14:solidFill>
          </w14:textFill>
        </w:rPr>
        <w:t>政府采购合同</w:t>
      </w:r>
      <w:bookmarkEnd w:id="167"/>
      <w:bookmarkEnd w:id="168"/>
      <w:bookmarkEnd w:id="169"/>
      <w:bookmarkEnd w:id="170"/>
      <w:bookmarkEnd w:id="171"/>
      <w:bookmarkEnd w:id="172"/>
      <w:bookmarkEnd w:id="173"/>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（一）采购人与成交供应商应当在《成交通知书》发出之后，洽谈合同条款内容，拟定合同文本草案。并在《成交通知书》发出之日起30日内签订书面合同。</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（二）合同在执行过程中，确需修改、变更时，应当按照相应的审核批准程序办理。</w:t>
      </w:r>
    </w:p>
    <w:p>
      <w:pPr>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文件、补充通知、</w:t>
      </w:r>
      <w:r>
        <w:rPr>
          <w:rFonts w:hint="eastAsia" w:ascii="仿宋_GB2312" w:hAnsi="仿宋_GB2312" w:eastAsia="仿宋_GB2312" w:cs="仿宋_GB2312"/>
          <w:color w:val="000000" w:themeColor="text1"/>
          <w:sz w:val="28"/>
          <w:szCs w:val="28"/>
          <w:lang w:eastAsia="zh-CN"/>
          <w14:textFill>
            <w14:solidFill>
              <w14:schemeClr w14:val="tx1"/>
            </w14:solidFill>
          </w14:textFill>
        </w:rPr>
        <w:t>谈判</w:t>
      </w:r>
      <w:r>
        <w:rPr>
          <w:rFonts w:hint="eastAsia" w:ascii="仿宋_GB2312" w:hAnsi="仿宋_GB2312" w:eastAsia="仿宋_GB2312" w:cs="仿宋_GB2312"/>
          <w:color w:val="000000" w:themeColor="text1"/>
          <w:sz w:val="28"/>
          <w:szCs w:val="28"/>
          <w14:textFill>
            <w14:solidFill>
              <w14:schemeClr w14:val="tx1"/>
            </w14:solidFill>
          </w14:textFill>
        </w:rPr>
        <w:t>响应文件、补充协议等为合同的组成部分，具有同等法律效力。成交供应商不得将合同分包、转让他人。</w:t>
      </w:r>
    </w:p>
    <w:p>
      <w:pPr>
        <w:pStyle w:val="4"/>
        <w:spacing w:line="500" w:lineRule="exact"/>
        <w:ind w:firstLine="566" w:firstLineChars="200"/>
        <w:rPr>
          <w:rFonts w:hint="eastAsia" w:ascii="仿宋_GB2312" w:hAnsi="仿宋_GB2312" w:eastAsia="仿宋_GB2312" w:cs="仿宋_GB2312"/>
          <w:color w:val="000000" w:themeColor="text1"/>
          <w:sz w:val="28"/>
          <w:szCs w:val="28"/>
          <w14:textFill>
            <w14:solidFill>
              <w14:schemeClr w14:val="tx1"/>
            </w14:solidFill>
          </w14:textFill>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4" w:name="_Toc23303"/>
      <w:bookmarkStart w:id="175" w:name="_Toc5278"/>
      <w:bookmarkStart w:id="176" w:name="_Toc11780"/>
      <w:bookmarkStart w:id="177" w:name="_Toc11584"/>
      <w:bookmarkStart w:id="178" w:name="_Toc14560"/>
      <w:bookmarkStart w:id="179" w:name="_Toc10336"/>
      <w:bookmarkStart w:id="180" w:name="_Toc4764"/>
      <w:bookmarkStart w:id="181" w:name="_Toc17324"/>
      <w:bookmarkStart w:id="182" w:name="_Toc8426"/>
      <w:r>
        <w:rPr>
          <w:rFonts w:hint="eastAsia" w:ascii="仿宋_GB2312" w:hAnsi="仿宋_GB2312" w:eastAsia="仿宋_GB2312" w:cs="仿宋_GB2312"/>
          <w:color w:val="000000" w:themeColor="text1"/>
          <w:sz w:val="28"/>
          <w:szCs w:val="28"/>
          <w14:textFill>
            <w14:solidFill>
              <w14:schemeClr w14:val="tx1"/>
            </w14:solidFill>
          </w14:textFill>
        </w:rPr>
        <w:t>十</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采购代理服务费：免费</w:t>
      </w:r>
      <w:bookmarkEnd w:id="174"/>
      <w:bookmarkEnd w:id="175"/>
      <w:bookmarkEnd w:id="176"/>
      <w:bookmarkEnd w:id="177"/>
      <w:bookmarkEnd w:id="178"/>
      <w:bookmarkEnd w:id="179"/>
      <w:bookmarkEnd w:id="180"/>
      <w:bookmarkEnd w:id="181"/>
      <w:bookmarkEnd w:id="182"/>
    </w:p>
    <w:p>
      <w:pPr>
        <w:pStyle w:val="3"/>
        <w:rPr>
          <w:rFonts w:hint="eastAsia" w:ascii="黑体" w:hAnsi="黑体" w:eastAsia="黑体" w:cs="黑体"/>
          <w:b w:val="0"/>
          <w:bCs/>
          <w:color w:val="000000" w:themeColor="text1"/>
          <w:sz w:val="32"/>
          <w:szCs w:val="40"/>
          <w14:textFill>
            <w14:solidFill>
              <w14:schemeClr w14:val="tx1"/>
            </w14:solidFill>
          </w14:textFill>
        </w:rPr>
      </w:pPr>
      <w:bookmarkStart w:id="183" w:name="_Toc10476_WPSOffice_Level1"/>
      <w:bookmarkStart w:id="184" w:name="_Toc22915"/>
      <w:bookmarkStart w:id="185" w:name="_Toc31517"/>
      <w:bookmarkStart w:id="186" w:name="_Toc6345"/>
      <w:bookmarkStart w:id="187" w:name="_Toc2772"/>
      <w:r>
        <w:rPr>
          <w:rFonts w:hint="eastAsia" w:ascii="黑体" w:hAnsi="黑体" w:eastAsia="黑体" w:cs="黑体"/>
          <w:b w:val="0"/>
          <w:bCs/>
          <w:color w:val="000000" w:themeColor="text1"/>
          <w:sz w:val="32"/>
          <w:szCs w:val="40"/>
          <w14:textFill>
            <w14:solidFill>
              <w14:schemeClr w14:val="tx1"/>
            </w14:solidFill>
          </w14:textFill>
        </w:rPr>
        <w:t xml:space="preserve">第三章  </w:t>
      </w:r>
      <w:r>
        <w:rPr>
          <w:rFonts w:hint="eastAsia" w:ascii="黑体" w:hAnsi="黑体" w:eastAsia="黑体" w:cs="黑体"/>
          <w:b w:val="0"/>
          <w:bCs/>
          <w:color w:val="000000" w:themeColor="text1"/>
          <w:sz w:val="32"/>
          <w:szCs w:val="40"/>
          <w:lang w:eastAsia="zh-CN"/>
          <w14:textFill>
            <w14:solidFill>
              <w14:schemeClr w14:val="tx1"/>
            </w14:solidFill>
          </w14:textFill>
        </w:rPr>
        <w:t>谈判</w:t>
      </w:r>
      <w:r>
        <w:rPr>
          <w:rFonts w:hint="eastAsia" w:ascii="黑体" w:hAnsi="黑体" w:eastAsia="黑体" w:cs="黑体"/>
          <w:b w:val="0"/>
          <w:bCs/>
          <w:color w:val="000000" w:themeColor="text1"/>
          <w:sz w:val="32"/>
          <w:szCs w:val="40"/>
          <w14:textFill>
            <w14:solidFill>
              <w14:schemeClr w14:val="tx1"/>
            </w14:solidFill>
          </w14:textFill>
        </w:rPr>
        <w:t>内容及采</w:t>
      </w:r>
      <w:bookmarkEnd w:id="183"/>
      <w:r>
        <w:rPr>
          <w:rFonts w:hint="eastAsia" w:ascii="黑体" w:hAnsi="黑体" w:eastAsia="黑体" w:cs="黑体"/>
          <w:b w:val="0"/>
          <w:bCs/>
          <w:color w:val="000000" w:themeColor="text1"/>
          <w:sz w:val="32"/>
          <w:szCs w:val="40"/>
          <w14:textFill>
            <w14:solidFill>
              <w14:schemeClr w14:val="tx1"/>
            </w14:solidFill>
          </w14:textFill>
        </w:rPr>
        <w:t>购要求</w:t>
      </w:r>
      <w:bookmarkEnd w:id="156"/>
      <w:bookmarkEnd w:id="157"/>
      <w:bookmarkEnd w:id="158"/>
      <w:bookmarkEnd w:id="159"/>
      <w:bookmarkEnd w:id="160"/>
      <w:bookmarkEnd w:id="161"/>
      <w:bookmarkEnd w:id="162"/>
      <w:bookmarkEnd w:id="163"/>
      <w:bookmarkEnd w:id="164"/>
      <w:bookmarkEnd w:id="165"/>
      <w:bookmarkEnd w:id="166"/>
      <w:bookmarkEnd w:id="184"/>
      <w:bookmarkEnd w:id="185"/>
      <w:bookmarkEnd w:id="186"/>
      <w:bookmarkEnd w:id="187"/>
    </w:p>
    <w:tbl>
      <w:tblPr>
        <w:tblStyle w:val="21"/>
        <w:tblW w:w="9017"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114"/>
        <w:gridCol w:w="6240"/>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114" w:type="dxa"/>
            <w:tcBorders>
              <w:lef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货物名称/服务名称</w:t>
            </w:r>
          </w:p>
        </w:tc>
        <w:tc>
          <w:tcPr>
            <w:tcW w:w="6240"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技术指标/服务内容</w:t>
            </w:r>
          </w:p>
        </w:tc>
        <w:tc>
          <w:tcPr>
            <w:tcW w:w="857" w:type="dxa"/>
            <w:tcBorders>
              <w:lef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云终端机</w:t>
            </w:r>
          </w:p>
        </w:tc>
        <w:tc>
          <w:tcPr>
            <w:tcW w:w="6240" w:type="dxa"/>
            <w:tcBorders>
              <w:right w:val="single" w:color="auto" w:sz="4" w:space="0"/>
            </w:tcBorders>
            <w:vAlign w:val="center"/>
          </w:tcPr>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rPr>
              <w:t>CPU：采用Intel Core i5-12500T及以上处理器</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rPr>
              <w:t xml:space="preserve">芯片组：Intel </w:t>
            </w:r>
            <w:r>
              <w:rPr>
                <w:rFonts w:hint="eastAsia" w:ascii="仿宋_GB2312" w:hAnsi="仿宋_GB2312" w:eastAsia="仿宋_GB2312" w:cs="仿宋_GB2312"/>
                <w:sz w:val="28"/>
                <w:szCs w:val="28"/>
                <w:lang w:val="en-US" w:eastAsia="zh-CN"/>
              </w:rPr>
              <w:t>Q6</w:t>
            </w:r>
            <w:r>
              <w:rPr>
                <w:rFonts w:hint="eastAsia" w:ascii="仿宋_GB2312" w:hAnsi="仿宋_GB2312" w:eastAsia="仿宋_GB2312" w:cs="仿宋_GB2312"/>
                <w:sz w:val="28"/>
                <w:szCs w:val="28"/>
              </w:rPr>
              <w:t>70以上芯片组</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rPr>
              <w:t>内存：16G DDR4 3200MHz内存，提供2个内存槽位</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rPr>
              <w:t>显卡：集成显卡</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rPr>
              <w:t>声卡：集成声卡</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sz w:val="28"/>
                <w:szCs w:val="28"/>
              </w:rPr>
              <w:t>硬盘：≥512 SSD固态硬盘；</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网卡：集成10/100/1000M以太网卡；</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sz w:val="28"/>
                <w:szCs w:val="28"/>
              </w:rPr>
              <w:t>接口：≥</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个USB</w:t>
            </w:r>
            <w:r>
              <w:rPr>
                <w:rFonts w:hint="eastAsia" w:ascii="仿宋_GB2312" w:hAnsi="仿宋_GB2312" w:eastAsia="仿宋_GB2312" w:cs="仿宋_GB2312"/>
                <w:sz w:val="28"/>
                <w:szCs w:val="28"/>
                <w:lang w:val="en-US" w:eastAsia="zh-CN"/>
              </w:rPr>
              <w:t>接口，其中至少4个</w:t>
            </w:r>
            <w:r>
              <w:rPr>
                <w:rFonts w:hint="eastAsia" w:ascii="仿宋_GB2312" w:hAnsi="仿宋_GB2312" w:eastAsia="仿宋_GB2312" w:cs="仿宋_GB2312"/>
                <w:sz w:val="28"/>
                <w:szCs w:val="28"/>
              </w:rPr>
              <w:t xml:space="preserve">USB 3.2 G2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DP+HDMI视频接口</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sz w:val="28"/>
                <w:szCs w:val="28"/>
              </w:rPr>
              <w:t xml:space="preserve">电源：≤135W 89%plus节能电源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10.</w:t>
            </w:r>
            <w:r>
              <w:rPr>
                <w:rFonts w:hint="eastAsia" w:ascii="仿宋_GB2312" w:hAnsi="仿宋_GB2312" w:eastAsia="仿宋_GB2312" w:cs="仿宋_GB2312"/>
                <w:sz w:val="28"/>
                <w:szCs w:val="28"/>
              </w:rPr>
              <w:t>音箱：出厂带内置音箱。</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11.</w:t>
            </w:r>
            <w:r>
              <w:rPr>
                <w:rFonts w:hint="eastAsia" w:ascii="仿宋_GB2312" w:hAnsi="仿宋_GB2312" w:eastAsia="仿宋_GB2312" w:cs="仿宋_GB2312"/>
                <w:sz w:val="28"/>
                <w:szCs w:val="28"/>
              </w:rPr>
              <w:t>安全特性：USB屏蔽技术，仅识别USB键盘、鼠标，无法识别USB读取设备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12.</w:t>
            </w:r>
            <w:r>
              <w:rPr>
                <w:rFonts w:hint="eastAsia" w:ascii="仿宋_GB2312" w:hAnsi="仿宋_GB2312" w:eastAsia="仿宋_GB2312" w:cs="仿宋_GB2312"/>
                <w:sz w:val="28"/>
                <w:szCs w:val="28"/>
              </w:rPr>
              <w:t>机箱：≦1.2L超小机箱。</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13.</w:t>
            </w:r>
            <w:r>
              <w:rPr>
                <w:rFonts w:hint="eastAsia" w:ascii="仿宋_GB2312" w:hAnsi="仿宋_GB2312" w:eastAsia="仿宋_GB2312" w:cs="仿宋_GB2312"/>
                <w:sz w:val="28"/>
                <w:szCs w:val="28"/>
              </w:rPr>
              <w:t>服务要求：当日下午4点前报修，下一自然日24点前修复，若没有完成修复，则免费赠送延迟日数对应的月度延保服务；在三年维保时间内，承诺将提供1次免费的尝试性故障硬盘（单盘）数据拯救服务，若未恢复则不计次数；</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14.</w:t>
            </w:r>
            <w:r>
              <w:rPr>
                <w:rFonts w:hint="eastAsia" w:ascii="仿宋_GB2312" w:hAnsi="仿宋_GB2312" w:eastAsia="仿宋_GB2312" w:cs="仿宋_GB2312"/>
                <w:sz w:val="28"/>
                <w:szCs w:val="28"/>
              </w:rPr>
              <w:t>节能认证：</w:t>
            </w:r>
            <w:r>
              <w:rPr>
                <w:rFonts w:hint="eastAsia" w:ascii="仿宋_GB2312" w:hAnsi="仿宋_GB2312" w:eastAsia="仿宋_GB2312" w:cs="仿宋_GB2312"/>
                <w:sz w:val="28"/>
                <w:szCs w:val="28"/>
                <w:lang w:val="en-US" w:eastAsia="zh-CN"/>
              </w:rPr>
              <w:t>此项</w:t>
            </w:r>
            <w:r>
              <w:rPr>
                <w:rFonts w:hint="eastAsia" w:ascii="仿宋_GB2312" w:hAnsi="仿宋_GB2312" w:eastAsia="仿宋_GB2312" w:cs="仿宋_GB2312"/>
                <w:sz w:val="28"/>
                <w:szCs w:val="28"/>
              </w:rPr>
              <w:t>属于《节能产品政府采购品目清单》范围内政府强制采购节能产品，应提供国家确定的认证机构出具的、处于有效期之内的节能产品认证证书，否则，按无效响应处理。</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15.</w:t>
            </w:r>
            <w:r>
              <w:rPr>
                <w:rFonts w:hint="eastAsia" w:ascii="仿宋_GB2312" w:hAnsi="仿宋_GB2312" w:eastAsia="仿宋_GB2312" w:cs="仿宋_GB2312"/>
                <w:b w:val="0"/>
                <w:sz w:val="28"/>
                <w:szCs w:val="28"/>
              </w:rPr>
              <w:t>正版国产操作系统产品支持无人值守安装系统，可自动完成默认系统配置、迁移原桌面文件、自动激活系统。</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122台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2</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显示器、键鼠套装</w:t>
            </w:r>
          </w:p>
        </w:tc>
        <w:tc>
          <w:tcPr>
            <w:tcW w:w="6240" w:type="dxa"/>
            <w:tcBorders>
              <w:right w:val="single" w:color="auto" w:sz="4" w:space="0"/>
            </w:tcBorders>
            <w:vAlign w:val="center"/>
          </w:tcPr>
          <w:p>
            <w:pPr>
              <w:pageBreakBefore w:val="0"/>
              <w:widowControl/>
              <w:numPr>
                <w:ilvl w:val="0"/>
                <w:numId w:val="3"/>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显示器：尺寸≥23.8 英寸；窄边框；面板：VA；分辨率≥1920*1080；亮度≥250 流明；接口 VGA+HDMI；静态对比度≥4000:1；保修：三年全国联保。</w:t>
            </w:r>
          </w:p>
          <w:p>
            <w:pPr>
              <w:pageBreakBefore w:val="0"/>
              <w:widowControl/>
              <w:numPr>
                <w:ilvl w:val="0"/>
                <w:numId w:val="3"/>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键鼠套装：防水键盘、抗菌鼠标</w:t>
            </w:r>
          </w:p>
          <w:p>
            <w:pPr>
              <w:pageBreakBefore w:val="0"/>
              <w:widowControl/>
              <w:numPr>
                <w:ilvl w:val="0"/>
                <w:numId w:val="3"/>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Cs/>
                <w:color w:val="000000"/>
                <w:kern w:val="0"/>
                <w:sz w:val="28"/>
                <w:szCs w:val="28"/>
              </w:rPr>
              <w:t>显示器、键鼠套装与云终端机同品牌。</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云桌面系统</w:t>
            </w:r>
          </w:p>
        </w:tc>
        <w:tc>
          <w:tcPr>
            <w:tcW w:w="6240" w:type="dxa"/>
            <w:tcBorders>
              <w:right w:val="single" w:color="auto" w:sz="4" w:space="0"/>
            </w:tcBorders>
            <w:vAlign w:val="center"/>
          </w:tcPr>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rPr>
              <w:t xml:space="preserve">系统采用MySQL或者oracle大型数据库，一台服务器支持≥500台终端同时流畅运行 AutoCAD、3DMax、视频制作、图像处理等大型软件；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rPr>
              <w:t>终端本地硬盘无需安装操作系统，通过网络启动虚拟桌面方式运行操作系统及应用；</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rPr>
              <w:t xml:space="preserve">服务端和管理端均支持跨windows、linux平台部署；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rPr>
              <w:t xml:space="preserve">系统同时支持VDI、VOI和IDV三种不同模式的虚拟云桌面；三种虚拟桌面的管理操作必须在同一个管理界面内；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rPr>
              <w:t>双启动必须是完全自动执行，同时本地硬盘操作系统和网络读取的操作系统是全自动实时同步的。</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sz w:val="28"/>
                <w:szCs w:val="28"/>
              </w:rPr>
              <w:t>支持自动还原和更新，客户机只需要重启便能够恢复到初始的可靠状态；支持对客户机进行统一远程开机、重启等操作；</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可对本地硬盘中不少于10个分区进行不保护、还原和不还原三种模式设定；</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sz w:val="28"/>
                <w:szCs w:val="28"/>
              </w:rPr>
              <w:t>支持将多台服务器组建成资源池，同一用户的多个虚拟桌面可分配至不同服务器，提高业务负载能力；</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sz w:val="28"/>
                <w:szCs w:val="28"/>
              </w:rPr>
              <w:t xml:space="preserve">采用操作系统镜像和驱动分离技术，通过单一操作系统镜像文件可同时启动不同硬件及至少3种不同显卡的客户端PC，无需通过多个镜像来解决多硬件兼容问题；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10.</w:t>
            </w:r>
            <w:r>
              <w:rPr>
                <w:rFonts w:hint="eastAsia" w:ascii="仿宋_GB2312" w:hAnsi="仿宋_GB2312" w:eastAsia="仿宋_GB2312" w:cs="仿宋_GB2312"/>
                <w:sz w:val="28"/>
                <w:szCs w:val="28"/>
              </w:rPr>
              <w:t xml:space="preserve">支持对移动存储设备、软驱、并口、串口、调制解调器、打印机、扫描器、磁带、声卡、智能卡等接入设备控制；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11.</w:t>
            </w:r>
            <w:r>
              <w:rPr>
                <w:rFonts w:hint="eastAsia" w:ascii="仿宋_GB2312" w:hAnsi="仿宋_GB2312" w:eastAsia="仿宋_GB2312" w:cs="仿宋_GB2312"/>
                <w:sz w:val="28"/>
                <w:szCs w:val="28"/>
              </w:rPr>
              <w:t>仅需两台服务器即可实现冗余和负载均衡。1台设备中断，该设备所连接的客户机无需重启，可以正常工作，以保证工作环境的连续性；</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12.</w:t>
            </w:r>
            <w:r>
              <w:rPr>
                <w:rFonts w:hint="eastAsia" w:ascii="仿宋_GB2312" w:hAnsi="仿宋_GB2312" w:eastAsia="仿宋_GB2312" w:cs="仿宋_GB2312"/>
                <w:sz w:val="28"/>
                <w:szCs w:val="28"/>
              </w:rPr>
              <w:t xml:space="preserve">采用WEB管理界面，支持Chrome浏览器管理；可以为新建管理用户设置任意功能组合的管理权限，可用于组合的功能模块不少于15种；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13.</w:t>
            </w:r>
            <w:r>
              <w:rPr>
                <w:rFonts w:hint="eastAsia" w:ascii="仿宋_GB2312" w:hAnsi="仿宋_GB2312" w:eastAsia="仿宋_GB2312" w:cs="仿宋_GB2312"/>
                <w:sz w:val="28"/>
                <w:szCs w:val="28"/>
              </w:rPr>
              <w:t>系统必须提供图形化状态监控界面，管理员能实时查看当前系统状态、网络流量、内存和磁盘读写速度、镜像下载进度、系统运行状态；</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14.</w:t>
            </w:r>
            <w:r>
              <w:rPr>
                <w:rFonts w:hint="eastAsia" w:ascii="仿宋_GB2312" w:hAnsi="仿宋_GB2312" w:eastAsia="仿宋_GB2312" w:cs="仿宋_GB2312"/>
                <w:sz w:val="28"/>
                <w:szCs w:val="28"/>
              </w:rPr>
              <w:t>系统的管理策略可按照时间段进行设置，系统具备进程白名单的功能；</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15.</w:t>
            </w:r>
            <w:r>
              <w:rPr>
                <w:rFonts w:hint="eastAsia" w:ascii="仿宋_GB2312" w:hAnsi="仿宋_GB2312" w:eastAsia="仿宋_GB2312" w:cs="仿宋_GB2312"/>
                <w:sz w:val="28"/>
                <w:szCs w:val="28"/>
              </w:rPr>
              <w:t xml:space="preserve">系统应当具有灰度更新功能，管理员对虚拟系统镜像的变更可先在指定范围内更新，确认无误后再更新到所有客户终端机，避免出现误操作；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16.</w:t>
            </w:r>
            <w:r>
              <w:rPr>
                <w:rFonts w:hint="eastAsia" w:ascii="仿宋_GB2312" w:hAnsi="仿宋_GB2312" w:eastAsia="仿宋_GB2312" w:cs="仿宋_GB2312"/>
                <w:sz w:val="28"/>
                <w:szCs w:val="28"/>
              </w:rPr>
              <w:t>平台提供更新限速策略，根据实际情况动态限制终端操作系统和软件的更新速度；</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17.</w:t>
            </w:r>
            <w:r>
              <w:rPr>
                <w:rFonts w:hint="eastAsia" w:ascii="仿宋_GB2312" w:hAnsi="仿宋_GB2312" w:eastAsia="仿宋_GB2312" w:cs="仿宋_GB2312"/>
                <w:sz w:val="28"/>
                <w:szCs w:val="28"/>
              </w:rPr>
              <w:t>具备终端无分区无系统情况下的自动部署功能，能够根据终端容量的不同实现不同的分区策略；</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18.</w:t>
            </w:r>
            <w:r>
              <w:rPr>
                <w:rFonts w:hint="eastAsia" w:ascii="仿宋_GB2312" w:hAnsi="仿宋_GB2312" w:eastAsia="仿宋_GB2312" w:cs="仿宋_GB2312"/>
                <w:sz w:val="28"/>
                <w:szCs w:val="28"/>
              </w:rPr>
              <w:t xml:space="preserve">支持多超管功能，允许同时开启多个超级管理权限并对多个操作系统镜像进行更新升级或者软件安装；支持虚拟盘特定目录穿透功能，可在服务端指定虚拟盘穿透目录，配合更新服务可实现穿透更新；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19.</w:t>
            </w:r>
            <w:r>
              <w:rPr>
                <w:rFonts w:hint="eastAsia" w:ascii="仿宋_GB2312" w:hAnsi="仿宋_GB2312" w:eastAsia="仿宋_GB2312" w:cs="仿宋_GB2312"/>
                <w:sz w:val="28"/>
                <w:szCs w:val="28"/>
              </w:rPr>
              <w:t>支持将终端按部门进行群组划分，可直接对整个部门终端执行功能设置和切换策略；支持将多种功能策略组合成策略组，实现一键切换不同应用场景；</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20.</w:t>
            </w:r>
            <w:r>
              <w:rPr>
                <w:rFonts w:hint="eastAsia" w:ascii="仿宋_GB2312" w:hAnsi="仿宋_GB2312" w:eastAsia="仿宋_GB2312" w:cs="仿宋_GB2312"/>
                <w:sz w:val="28"/>
                <w:szCs w:val="28"/>
              </w:rPr>
              <w:t xml:space="preserve">支持使用PC、笔记本、云终端、手机、平板等作为虚拟桌面终端，支持Android、IOS等手机、平板访问虚拟桌面；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21.</w:t>
            </w:r>
            <w:r>
              <w:rPr>
                <w:rFonts w:hint="eastAsia" w:ascii="仿宋_GB2312" w:hAnsi="仿宋_GB2312" w:eastAsia="仿宋_GB2312" w:cs="仿宋_GB2312"/>
                <w:sz w:val="28"/>
                <w:szCs w:val="28"/>
              </w:rPr>
              <w:t>支持虚拟桌面模板功能，可使用快速克隆部署方式，部署单个虚拟桌面时间不超过10秒；</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22.</w:t>
            </w:r>
            <w:r>
              <w:rPr>
                <w:rFonts w:hint="eastAsia" w:ascii="仿宋_GB2312" w:hAnsi="仿宋_GB2312" w:eastAsia="仿宋_GB2312" w:cs="仿宋_GB2312"/>
                <w:sz w:val="28"/>
                <w:szCs w:val="28"/>
              </w:rPr>
              <w:t>支持本地快照功能，快照制作次数不受限制；</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23.</w:t>
            </w:r>
            <w:r>
              <w:rPr>
                <w:rFonts w:hint="eastAsia" w:ascii="仿宋_GB2312" w:hAnsi="仿宋_GB2312" w:eastAsia="仿宋_GB2312" w:cs="仿宋_GB2312"/>
                <w:sz w:val="28"/>
                <w:szCs w:val="28"/>
              </w:rPr>
              <w:t xml:space="preserve">系统能够从驱动层防止ARP攻击；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24.</w:t>
            </w:r>
            <w:r>
              <w:rPr>
                <w:rFonts w:hint="eastAsia" w:ascii="仿宋_GB2312" w:hAnsi="仿宋_GB2312" w:eastAsia="仿宋_GB2312" w:cs="仿宋_GB2312"/>
                <w:sz w:val="28"/>
                <w:szCs w:val="28"/>
              </w:rPr>
              <w:t>系统可以支持对用户上网行为的审计功能，能够记录终端计算机上网的URL痕迹；支持终端计算机按时间段进行自动截屏；</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25.</w:t>
            </w:r>
            <w:r>
              <w:rPr>
                <w:rFonts w:hint="eastAsia" w:ascii="仿宋_GB2312" w:hAnsi="仿宋_GB2312" w:eastAsia="仿宋_GB2312" w:cs="仿宋_GB2312"/>
                <w:sz w:val="28"/>
                <w:szCs w:val="28"/>
              </w:rPr>
              <w:t>有效记录客户端电脑硬件信息，防止硬件资产丢失；</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26.</w:t>
            </w:r>
            <w:r>
              <w:rPr>
                <w:rFonts w:hint="eastAsia" w:ascii="仿宋_GB2312" w:hAnsi="仿宋_GB2312" w:eastAsia="仿宋_GB2312" w:cs="仿宋_GB2312"/>
                <w:sz w:val="28"/>
                <w:szCs w:val="28"/>
              </w:rPr>
              <w:t xml:space="preserve">系统支持流量控制功能，该功能必须是基于驱动层而不是应用层来实现客户机的流量控制，能够按照内网/外网/上传/下载/流量大小等多种条件进行规则判断；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27.</w:t>
            </w:r>
            <w:r>
              <w:rPr>
                <w:rFonts w:hint="eastAsia" w:ascii="仿宋_GB2312" w:hAnsi="仿宋_GB2312" w:eastAsia="仿宋_GB2312" w:cs="仿宋_GB2312"/>
                <w:sz w:val="28"/>
                <w:szCs w:val="28"/>
              </w:rPr>
              <w:t>支持对终端本地的硬盘保护；可对本地硬盘各分区进行还原保护；</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28.</w:t>
            </w:r>
            <w:r>
              <w:rPr>
                <w:rFonts w:hint="eastAsia" w:ascii="仿宋_GB2312" w:hAnsi="仿宋_GB2312" w:eastAsia="仿宋_GB2312" w:cs="仿宋_GB2312"/>
                <w:sz w:val="28"/>
                <w:szCs w:val="28"/>
              </w:rPr>
              <w:t>支持对VDI虚拟机和物理机之间的数据传输进行保护，至少有不保护、只读保护、只写保护、完全禁止4种模式，可对VDI虚拟机和物理机数据流入、流出进行安全管控；</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29.</w:t>
            </w:r>
            <w:r>
              <w:rPr>
                <w:rFonts w:hint="eastAsia" w:ascii="仿宋_GB2312" w:hAnsi="仿宋_GB2312" w:eastAsia="仿宋_GB2312" w:cs="仿宋_GB2312"/>
                <w:sz w:val="28"/>
                <w:szCs w:val="28"/>
              </w:rPr>
              <w:t>支持网卡属性禁止修改，支持服务端更改IP地址；</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30.</w:t>
            </w:r>
            <w:r>
              <w:rPr>
                <w:rFonts w:hint="eastAsia" w:ascii="仿宋_GB2312" w:hAnsi="仿宋_GB2312" w:eastAsia="仿宋_GB2312" w:cs="仿宋_GB2312"/>
                <w:sz w:val="28"/>
                <w:szCs w:val="28"/>
              </w:rPr>
              <w:t>支持基于群组以及镜像组对所属的终端进行统一的，规律性的执行远程唤醒、关机、重启、禁用、启用、切换镜像组、重启不还原的操作。系统根据任务的执行时间以及对应的群组（镜像组）来进行相应的操作，无需人工维护操作；</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31.</w:t>
            </w:r>
            <w:r>
              <w:rPr>
                <w:rFonts w:hint="eastAsia" w:ascii="仿宋_GB2312" w:hAnsi="仿宋_GB2312" w:eastAsia="仿宋_GB2312" w:cs="仿宋_GB2312"/>
                <w:sz w:val="28"/>
                <w:szCs w:val="28"/>
              </w:rPr>
              <w:t>产品非OEM；</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32.</w:t>
            </w:r>
            <w:r>
              <w:rPr>
                <w:rFonts w:hint="eastAsia" w:ascii="仿宋_GB2312" w:hAnsi="仿宋_GB2312" w:eastAsia="仿宋_GB2312" w:cs="仿宋_GB2312"/>
                <w:sz w:val="28"/>
                <w:szCs w:val="28"/>
              </w:rPr>
              <w:t xml:space="preserve">支持离线超管功能，可以直接在客户机终端上开启镜像模版并进行修改，并支持在广域网线路上将修改的镜像模版文件自动上传到服务器上；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33.</w:t>
            </w:r>
            <w:r>
              <w:rPr>
                <w:rFonts w:hint="eastAsia" w:ascii="仿宋_GB2312" w:hAnsi="仿宋_GB2312" w:eastAsia="仿宋_GB2312" w:cs="仿宋_GB2312"/>
                <w:sz w:val="28"/>
                <w:szCs w:val="28"/>
              </w:rPr>
              <w:t xml:space="preserve">支持个性化设置迁移，系统重启后自动清除系统进程和服务中的病毒木马，保留用户自定义的用户名和密码、桌面壁纸等个性化配置，必须保持重启前状态，不会还原；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34.</w:t>
            </w:r>
            <w:r>
              <w:rPr>
                <w:rFonts w:hint="eastAsia" w:ascii="仿宋_GB2312" w:hAnsi="仿宋_GB2312" w:eastAsia="仿宋_GB2312" w:cs="仿宋_GB2312"/>
                <w:sz w:val="28"/>
                <w:szCs w:val="28"/>
              </w:rPr>
              <w:t xml:space="preserve">客户端应当具有个人云盘功能，用户存储的数据在服务器端以加密单文件形式保存。用户在任何一台虚拟终端上都可以基于独立的用户密码系统打开磁盘空间；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35.</w:t>
            </w:r>
            <w:r>
              <w:rPr>
                <w:rFonts w:hint="eastAsia" w:ascii="仿宋_GB2312" w:hAnsi="仿宋_GB2312" w:eastAsia="仿宋_GB2312" w:cs="仿宋_GB2312"/>
                <w:sz w:val="28"/>
                <w:szCs w:val="28"/>
              </w:rPr>
              <w:t xml:space="preserve">系统必须支持网络和硬盘双启动方式：当终端电脑出现硬盘故障或者无硬盘时，终端自动通过网络启动；当网络中断时，终端可正常运行无需重启。  </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jc w:val="left"/>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36.</w:t>
            </w:r>
            <w:r>
              <w:rPr>
                <w:rFonts w:hint="eastAsia" w:ascii="仿宋_GB2312" w:hAnsi="仿宋_GB2312" w:eastAsia="仿宋_GB2312" w:cs="仿宋_GB2312"/>
                <w:sz w:val="28"/>
                <w:szCs w:val="28"/>
              </w:rPr>
              <w:t>新建云桌面终端需要与学校计算机实训室所有终端进行统一管理</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9"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机房管理系统</w:t>
            </w:r>
          </w:p>
        </w:tc>
        <w:tc>
          <w:tcPr>
            <w:tcW w:w="6240" w:type="dxa"/>
            <w:tcBorders>
              <w:right w:val="single" w:color="auto" w:sz="4" w:space="0"/>
            </w:tcBorders>
            <w:vAlign w:val="center"/>
          </w:tcPr>
          <w:p>
            <w:pPr>
              <w:pStyle w:val="50"/>
              <w:pageBreakBefore w:val="0"/>
              <w:kinsoku/>
              <w:wordWrap/>
              <w:overflowPunct/>
              <w:topLinePunct w:val="0"/>
              <w:autoSpaceDE/>
              <w:autoSpaceDN/>
              <w:bidi w:val="0"/>
              <w:snapToGrid/>
              <w:spacing w:line="400" w:lineRule="exact"/>
              <w:ind w:firstLine="0"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一、整体要求</w:t>
            </w:r>
          </w:p>
          <w:p>
            <w:pPr>
              <w:pStyle w:val="50"/>
              <w:pageBreakBefore w:val="0"/>
              <w:numPr>
                <w:ilvl w:val="0"/>
                <w:numId w:val="4"/>
              </w:numPr>
              <w:kinsoku/>
              <w:wordWrap/>
              <w:overflowPunct/>
              <w:topLinePunct w:val="0"/>
              <w:autoSpaceDE/>
              <w:autoSpaceDN/>
              <w:bidi w:val="0"/>
              <w:snapToGrid/>
              <w:spacing w:line="400" w:lineRule="exact"/>
              <w:ind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提供可整体集中控制、集中管理、快速高效、安全可靠的机房管理系统。安装部署快捷，升级简易方便，全中文人性化界面设计，配有详细的在线帮助，支持主窗口功能按钮、浮动工具条、右键菜单、快捷键多项操作方式。</w:t>
            </w:r>
          </w:p>
          <w:p>
            <w:pPr>
              <w:pStyle w:val="50"/>
              <w:pageBreakBefore w:val="0"/>
              <w:numPr>
                <w:ilvl w:val="0"/>
                <w:numId w:val="4"/>
              </w:numPr>
              <w:kinsoku/>
              <w:wordWrap/>
              <w:overflowPunct/>
              <w:topLinePunct w:val="0"/>
              <w:autoSpaceDE/>
              <w:autoSpaceDN/>
              <w:bidi w:val="0"/>
              <w:snapToGrid/>
              <w:spacing w:line="400" w:lineRule="exact"/>
              <w:ind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采用核心的动态局部截屏及实时压缩技术，可根据网络条件调节网络补偿强度，根据广播内容调节广播及录制效率。</w:t>
            </w:r>
          </w:p>
          <w:p>
            <w:pPr>
              <w:pStyle w:val="50"/>
              <w:pageBreakBefore w:val="0"/>
              <w:numPr>
                <w:ilvl w:val="0"/>
                <w:numId w:val="4"/>
              </w:numPr>
              <w:kinsoku/>
              <w:wordWrap/>
              <w:overflowPunct/>
              <w:topLinePunct w:val="0"/>
              <w:autoSpaceDE/>
              <w:autoSpaceDN/>
              <w:bidi w:val="0"/>
              <w:snapToGrid/>
              <w:spacing w:line="400" w:lineRule="exact"/>
              <w:ind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在断网、管理端宕机的情况下可正常教学，支持四个以上的教学环境使用。</w:t>
            </w:r>
          </w:p>
          <w:p>
            <w:pPr>
              <w:pStyle w:val="50"/>
              <w:pageBreakBefore w:val="0"/>
              <w:numPr>
                <w:ilvl w:val="0"/>
                <w:numId w:val="4"/>
              </w:numPr>
              <w:kinsoku/>
              <w:wordWrap/>
              <w:overflowPunct/>
              <w:topLinePunct w:val="0"/>
              <w:autoSpaceDE/>
              <w:autoSpaceDN/>
              <w:bidi w:val="0"/>
              <w:snapToGrid/>
              <w:spacing w:line="400" w:lineRule="exact"/>
              <w:ind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支持背景更新、方案排程、带宽预设、增量更新。</w:t>
            </w:r>
          </w:p>
          <w:p>
            <w:pPr>
              <w:pStyle w:val="50"/>
              <w:pageBreakBefore w:val="0"/>
              <w:numPr>
                <w:ilvl w:val="0"/>
                <w:numId w:val="4"/>
              </w:numPr>
              <w:kinsoku/>
              <w:wordWrap/>
              <w:overflowPunct/>
              <w:topLinePunct w:val="0"/>
              <w:autoSpaceDE/>
              <w:autoSpaceDN/>
              <w:bidi w:val="0"/>
              <w:snapToGrid/>
              <w:spacing w:line="400" w:lineRule="exact"/>
              <w:ind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具有防杀进程、断线保护、卸载密码保护等辅助功能。</w:t>
            </w:r>
          </w:p>
          <w:p>
            <w:pPr>
              <w:pStyle w:val="50"/>
              <w:pageBreakBefore w:val="0"/>
              <w:numPr>
                <w:ilvl w:val="0"/>
                <w:numId w:val="4"/>
              </w:numPr>
              <w:kinsoku/>
              <w:wordWrap/>
              <w:overflowPunct/>
              <w:topLinePunct w:val="0"/>
              <w:autoSpaceDE/>
              <w:autoSpaceDN/>
              <w:bidi w:val="0"/>
              <w:snapToGrid/>
              <w:spacing w:line="400" w:lineRule="exact"/>
              <w:ind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文件分发和提交支持拖拽添加，教师或学生一次分发或提交多个文件夹或多个文件目录下的文件。</w:t>
            </w:r>
          </w:p>
          <w:p>
            <w:pPr>
              <w:pStyle w:val="50"/>
              <w:pageBreakBefore w:val="0"/>
              <w:kinsoku/>
              <w:wordWrap/>
              <w:overflowPunct/>
              <w:topLinePunct w:val="0"/>
              <w:autoSpaceDE/>
              <w:autoSpaceDN/>
              <w:bidi w:val="0"/>
              <w:snapToGrid/>
              <w:spacing w:line="400" w:lineRule="exact"/>
              <w:ind w:firstLine="0" w:firstLine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二、课堂教学</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w:t>
            </w:r>
            <w:r>
              <w:rPr>
                <w:rFonts w:hint="eastAsia" w:ascii="仿宋_GB2312" w:hAnsi="仿宋_GB2312" w:eastAsia="仿宋_GB2312" w:cs="仿宋_GB2312"/>
                <w:bCs/>
                <w:sz w:val="28"/>
                <w:szCs w:val="28"/>
              </w:rPr>
              <w:t>提供学生名单管理工具，为软件和考试模块提供实名验证。提供点名功能，支持保留学生多次登录记录、考勤统计、签到信息的导出与对比。</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w:t>
            </w:r>
            <w:r>
              <w:rPr>
                <w:rFonts w:hint="eastAsia" w:ascii="仿宋_GB2312" w:hAnsi="仿宋_GB2312" w:eastAsia="仿宋_GB2312" w:cs="仿宋_GB2312"/>
                <w:bCs/>
                <w:sz w:val="28"/>
                <w:szCs w:val="28"/>
              </w:rPr>
              <w:t xml:space="preserve">设定学生访问网站的黑名单或白名单，对学生可以访问的Internet站点进行管理。支持多浏览器限制。 </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3.</w:t>
            </w:r>
            <w:r>
              <w:rPr>
                <w:rFonts w:hint="eastAsia" w:ascii="仿宋_GB2312" w:hAnsi="仿宋_GB2312" w:eastAsia="仿宋_GB2312" w:cs="仿宋_GB2312"/>
                <w:bCs/>
                <w:sz w:val="28"/>
                <w:szCs w:val="28"/>
              </w:rPr>
              <w:t xml:space="preserve">通过各种策略的应用，可防止学生在教学过程中打游戏，或使用聊天工具。 </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4.</w:t>
            </w:r>
            <w:r>
              <w:rPr>
                <w:rFonts w:hint="eastAsia" w:ascii="仿宋_GB2312" w:hAnsi="仿宋_GB2312" w:eastAsia="仿宋_GB2312" w:cs="仿宋_GB2312"/>
                <w:bCs/>
                <w:sz w:val="28"/>
                <w:szCs w:val="28"/>
              </w:rPr>
              <w:t>可以进行远程开机、关机、重启等操作，远程关闭所有学生正在执行的应用程序功能。</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5.</w:t>
            </w:r>
            <w:r>
              <w:rPr>
                <w:rFonts w:hint="eastAsia" w:ascii="仿宋_GB2312" w:hAnsi="仿宋_GB2312" w:eastAsia="仿宋_GB2312" w:cs="仿宋_GB2312"/>
                <w:bCs/>
                <w:sz w:val="28"/>
                <w:szCs w:val="28"/>
              </w:rPr>
              <w:t>教师可对单一、部分或全体学生进行屏幕演示，全屏、窗口方式均可。</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6.</w:t>
            </w:r>
            <w:r>
              <w:rPr>
                <w:rFonts w:hint="eastAsia" w:ascii="仿宋_GB2312" w:hAnsi="仿宋_GB2312" w:eastAsia="仿宋_GB2312" w:cs="仿宋_GB2312"/>
                <w:bCs/>
                <w:sz w:val="28"/>
                <w:szCs w:val="28"/>
              </w:rPr>
              <w:t>屏幕广播时支持多种画面质量的调节，根据网络的不同选择最好的效果进行教学。</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7.</w:t>
            </w:r>
            <w:r>
              <w:rPr>
                <w:rFonts w:hint="eastAsia" w:ascii="仿宋_GB2312" w:hAnsi="仿宋_GB2312" w:eastAsia="仿宋_GB2312" w:cs="仿宋_GB2312"/>
                <w:bCs/>
                <w:sz w:val="28"/>
                <w:szCs w:val="28"/>
              </w:rPr>
              <w:t>具有屏幕笔辅助工具，可突出显示项目、添加注释、添加批注等。</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8.</w:t>
            </w:r>
            <w:r>
              <w:rPr>
                <w:rFonts w:hint="eastAsia" w:ascii="仿宋_GB2312" w:hAnsi="仿宋_GB2312" w:eastAsia="仿宋_GB2312" w:cs="仿宋_GB2312"/>
                <w:bCs/>
                <w:sz w:val="28"/>
                <w:szCs w:val="28"/>
              </w:rPr>
              <w:t>支持所有常见的媒体音视频格式，支持720p、1080p的高清视频。</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9.</w:t>
            </w:r>
            <w:r>
              <w:rPr>
                <w:rFonts w:hint="eastAsia" w:ascii="仿宋_GB2312" w:hAnsi="仿宋_GB2312" w:eastAsia="仿宋_GB2312" w:cs="仿宋_GB2312"/>
                <w:bCs/>
                <w:sz w:val="28"/>
                <w:szCs w:val="28"/>
              </w:rPr>
              <w:t>可通过USB摄像头将教师的画面实时广播到学生机。</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10.</w:t>
            </w:r>
            <w:r>
              <w:rPr>
                <w:rFonts w:hint="eastAsia" w:ascii="仿宋_GB2312" w:hAnsi="仿宋_GB2312" w:eastAsia="仿宋_GB2312" w:cs="仿宋_GB2312"/>
                <w:bCs/>
                <w:sz w:val="28"/>
                <w:szCs w:val="28"/>
              </w:rPr>
              <w:t>可将教师机麦克风或其他输入设备的声音广播给学生。</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11.</w:t>
            </w:r>
            <w:r>
              <w:rPr>
                <w:rFonts w:hint="eastAsia" w:ascii="仿宋_GB2312" w:hAnsi="仿宋_GB2312" w:eastAsia="仿宋_GB2312" w:cs="仿宋_GB2312"/>
                <w:bCs/>
                <w:sz w:val="28"/>
                <w:szCs w:val="28"/>
              </w:rPr>
              <w:t>教师可以选择任意一名已登录学生与其进行双向语音交谈。</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12.</w:t>
            </w:r>
            <w:r>
              <w:rPr>
                <w:rFonts w:hint="eastAsia" w:ascii="仿宋_GB2312" w:hAnsi="仿宋_GB2312" w:eastAsia="仿宋_GB2312" w:cs="仿宋_GB2312"/>
                <w:bCs/>
                <w:sz w:val="28"/>
                <w:szCs w:val="28"/>
              </w:rPr>
              <w:t>教师可选定一台学生机作为示范。</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13.</w:t>
            </w:r>
            <w:r>
              <w:rPr>
                <w:rFonts w:hint="eastAsia" w:ascii="仿宋_GB2312" w:hAnsi="仿宋_GB2312" w:eastAsia="仿宋_GB2312" w:cs="仿宋_GB2312"/>
                <w:bCs/>
                <w:sz w:val="28"/>
                <w:szCs w:val="28"/>
              </w:rPr>
              <w:t>教师可以对单一、部分、全体学生执行黑屏肃静来禁止其进行任何操作，教师可自定义黑屏的内容与图片。</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14.</w:t>
            </w:r>
            <w:r>
              <w:rPr>
                <w:rFonts w:hint="eastAsia" w:ascii="仿宋_GB2312" w:hAnsi="仿宋_GB2312" w:eastAsia="仿宋_GB2312" w:cs="仿宋_GB2312"/>
                <w:bCs/>
                <w:sz w:val="28"/>
                <w:szCs w:val="28"/>
              </w:rPr>
              <w:t>能够导入、导出，调用不同网络教室中的班级模型。</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15.</w:t>
            </w:r>
            <w:r>
              <w:rPr>
                <w:rFonts w:hint="eastAsia" w:ascii="仿宋_GB2312" w:hAnsi="仿宋_GB2312" w:eastAsia="仿宋_GB2312" w:cs="仿宋_GB2312"/>
                <w:bCs/>
                <w:sz w:val="28"/>
                <w:szCs w:val="28"/>
              </w:rPr>
              <w:t>教师机可以将本地的操作和讲解过程录制为录像文件。</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16.</w:t>
            </w:r>
            <w:r>
              <w:rPr>
                <w:rFonts w:hint="eastAsia" w:ascii="仿宋_GB2312" w:hAnsi="仿宋_GB2312" w:eastAsia="仿宋_GB2312" w:cs="仿宋_GB2312"/>
                <w:bCs/>
                <w:sz w:val="28"/>
                <w:szCs w:val="28"/>
              </w:rPr>
              <w:t>学生端接收教师端广播的时候可以自动录制教师机广播教学的过程。</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17.</w:t>
            </w:r>
            <w:r>
              <w:rPr>
                <w:rFonts w:hint="eastAsia" w:ascii="仿宋_GB2312" w:hAnsi="仿宋_GB2312" w:eastAsia="仿宋_GB2312" w:cs="仿宋_GB2312"/>
                <w:bCs/>
                <w:sz w:val="28"/>
                <w:szCs w:val="28"/>
              </w:rPr>
              <w:t>允许教师将教师机不同盘符中的目录或文件一起发送至学生机的某目录下。目录不存在自动新建此目录；盘符不存在或路径非法不允许分发；文件已存在选择自动覆盖或保留原始文件。</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18.</w:t>
            </w:r>
            <w:r>
              <w:rPr>
                <w:rFonts w:hint="eastAsia" w:ascii="仿宋_GB2312" w:hAnsi="仿宋_GB2312" w:eastAsia="仿宋_GB2312" w:cs="仿宋_GB2312"/>
                <w:bCs/>
                <w:sz w:val="28"/>
                <w:szCs w:val="28"/>
              </w:rPr>
              <w:t>学生把做好的作业直接提交到教师机。教师可以选择接收和拒绝学生提交的文件。并且教师可以限制学生提交文件的数目和大小。</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19.</w:t>
            </w:r>
            <w:r>
              <w:rPr>
                <w:rFonts w:hint="eastAsia" w:ascii="仿宋_GB2312" w:hAnsi="仿宋_GB2312" w:eastAsia="仿宋_GB2312" w:cs="仿宋_GB2312"/>
                <w:bCs/>
                <w:sz w:val="28"/>
                <w:szCs w:val="28"/>
              </w:rPr>
              <w:t>教师启动快速的单题考试或随堂调查，限定考试时间，学生答题后立即给出结果，结果显示学生答案柱状图分析和答题时间，可作为抢答依据。</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20.</w:t>
            </w:r>
            <w:r>
              <w:rPr>
                <w:rFonts w:hint="eastAsia" w:ascii="仿宋_GB2312" w:hAnsi="仿宋_GB2312" w:eastAsia="仿宋_GB2312" w:cs="仿宋_GB2312"/>
                <w:bCs/>
                <w:sz w:val="28"/>
                <w:szCs w:val="28"/>
              </w:rPr>
              <w:t>教师机可以监视单一、部分、全体学生机的屏幕，对学生画面拍快照，保存学生画面的截图。可手动或自动循环监视。</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21.</w:t>
            </w:r>
            <w:r>
              <w:rPr>
                <w:rFonts w:hint="eastAsia" w:ascii="仿宋_GB2312" w:hAnsi="仿宋_GB2312" w:eastAsia="仿宋_GB2312" w:cs="仿宋_GB2312"/>
                <w:bCs/>
                <w:sz w:val="28"/>
                <w:szCs w:val="28"/>
              </w:rPr>
              <w:t>显示和自动保存系统运行过程中的关键事件，包括学生登录登出，资源不足，提交文件等。</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22.</w:t>
            </w:r>
            <w:r>
              <w:rPr>
                <w:rFonts w:hint="eastAsia" w:ascii="仿宋_GB2312" w:hAnsi="仿宋_GB2312" w:eastAsia="仿宋_GB2312" w:cs="仿宋_GB2312"/>
                <w:bCs/>
                <w:sz w:val="28"/>
                <w:szCs w:val="28"/>
              </w:rPr>
              <w:t>班级模型中可以显示学生机桌面的缩图。缩图显示大小也可自由设定。</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23.</w:t>
            </w:r>
            <w:r>
              <w:rPr>
                <w:rFonts w:hint="eastAsia" w:ascii="仿宋_GB2312" w:hAnsi="仿宋_GB2312" w:eastAsia="仿宋_GB2312" w:cs="仿宋_GB2312"/>
                <w:bCs/>
                <w:sz w:val="28"/>
                <w:szCs w:val="28"/>
              </w:rPr>
              <w:t>独有的断线保护自动锁屏技术，通过网卡的是否激活来锁定屏幕，避免学生拔掉网线违反纪律。</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24.</w:t>
            </w:r>
            <w:r>
              <w:rPr>
                <w:rFonts w:hint="eastAsia" w:ascii="仿宋_GB2312" w:hAnsi="仿宋_GB2312" w:eastAsia="仿宋_GB2312" w:cs="仿宋_GB2312"/>
                <w:bCs/>
                <w:sz w:val="28"/>
                <w:szCs w:val="28"/>
              </w:rPr>
              <w:t>学生端程序运行后，防止学生通过任务管理器结束学生端程序进程来逃脱教师控制。</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25.</w:t>
            </w:r>
            <w:r>
              <w:rPr>
                <w:rFonts w:hint="eastAsia" w:ascii="仿宋_GB2312" w:hAnsi="仿宋_GB2312" w:eastAsia="仿宋_GB2312" w:cs="仿宋_GB2312"/>
                <w:bCs/>
                <w:sz w:val="28"/>
                <w:szCs w:val="28"/>
              </w:rPr>
              <w:t>学生端遇到问题可请求帮助，教师端可远程遥控帮助学生解决问题。</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26.</w:t>
            </w:r>
            <w:r>
              <w:rPr>
                <w:rFonts w:hint="eastAsia" w:ascii="仿宋_GB2312" w:hAnsi="仿宋_GB2312" w:eastAsia="仿宋_GB2312" w:cs="仿宋_GB2312"/>
                <w:bCs/>
                <w:sz w:val="28"/>
                <w:szCs w:val="28"/>
              </w:rPr>
              <w:t>教师与学生能够使用远程消息进行交流，并可以允许和阻止学生发送文字消息。</w:t>
            </w:r>
          </w:p>
          <w:p>
            <w:pPr>
              <w:pStyle w:val="50"/>
              <w:pageBreakBefore w:val="0"/>
              <w:numPr>
                <w:ilvl w:val="0"/>
                <w:numId w:val="0"/>
              </w:numPr>
              <w:kinsoku/>
              <w:wordWrap/>
              <w:overflowPunct/>
              <w:topLinePunct w:val="0"/>
              <w:autoSpaceDE/>
              <w:autoSpaceDN/>
              <w:bidi w:val="0"/>
              <w:snapToGrid/>
              <w:spacing w:line="400" w:lineRule="exact"/>
              <w:ind w:left="425" w:leftChars="0" w:hanging="425" w:firstLineChars="0"/>
              <w:rPr>
                <w:rFonts w:hint="eastAsia" w:ascii="仿宋_GB2312" w:hAnsi="仿宋_GB2312" w:eastAsia="仿宋_GB2312" w:cs="仿宋_GB2312"/>
                <w:bCs/>
                <w:sz w:val="28"/>
                <w:szCs w:val="28"/>
              </w:rPr>
            </w:pPr>
            <w:r>
              <w:rPr>
                <w:rFonts w:hint="default" w:ascii="仿宋_GB2312" w:hAnsi="仿宋_GB2312" w:eastAsia="仿宋_GB2312" w:cs="仿宋_GB2312"/>
                <w:bCs/>
                <w:kern w:val="2"/>
                <w:sz w:val="28"/>
                <w:szCs w:val="28"/>
                <w:lang w:val="en-US" w:eastAsia="zh-CN" w:bidi="ar-SA"/>
              </w:rPr>
              <w:t>27.</w:t>
            </w:r>
            <w:r>
              <w:rPr>
                <w:rFonts w:hint="eastAsia" w:ascii="仿宋_GB2312" w:hAnsi="仿宋_GB2312" w:eastAsia="仿宋_GB2312" w:cs="仿宋_GB2312"/>
                <w:bCs/>
                <w:sz w:val="28"/>
                <w:szCs w:val="28"/>
              </w:rPr>
              <w:t>远程设置学生桌面主题、桌面背景、屏幕保护方案、学生的频道号和音量、学生的卸载密码，是否启用进程保护，断线锁屏，热键退出等。</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122套</w:t>
            </w:r>
          </w:p>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中控</w:t>
            </w:r>
          </w:p>
        </w:tc>
        <w:tc>
          <w:tcPr>
            <w:tcW w:w="6240" w:type="dxa"/>
            <w:tcBorders>
              <w:right w:val="single" w:color="auto" w:sz="4" w:space="0"/>
            </w:tcBorders>
            <w:vAlign w:val="center"/>
          </w:tcPr>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控制面板采用PVC材料，防水防尘防静电，机身采用钢制材料。</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采用一体式设计、面板有独立电脑开关按键和频道选择按键。</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面板具备1路VGA接口、1路音频接口、1路USB接口、1路电源接口、1路RJ45口。</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内置3*2RGB切换分配器, 带400MHz长线驱动器，支持台式电脑、手提电脑、数字展台。</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内置2*1音频矩阵， AUDIO频响20Hz～20kHz+1/-3Db具有音量记忆功能。</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内置1*1视频矩阵，VIDEO带宽 100 MHz。</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1路可编程RS-232控制接口、1路红外发射接口。</w:t>
            </w:r>
          </w:p>
          <w:p>
            <w:pPr>
              <w:pageBreakBefore w:val="0"/>
              <w:widowControl/>
              <w:numPr>
                <w:ilvl w:val="0"/>
                <w:numId w:val="5"/>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带4位ID设置开关，3位ID用于设置中控内嵌各种投影机232代码，1位ID用于设置系统联动功能。</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功放</w:t>
            </w:r>
          </w:p>
        </w:tc>
        <w:tc>
          <w:tcPr>
            <w:tcW w:w="6240" w:type="dxa"/>
            <w:tcBorders>
              <w:right w:val="single" w:color="auto" w:sz="4" w:space="0"/>
            </w:tcBorders>
            <w:vAlign w:val="center"/>
          </w:tcPr>
          <w:p>
            <w:pPr>
              <w:pageBreakBefore w:val="0"/>
              <w:widowControl/>
              <w:numPr>
                <w:ilvl w:val="0"/>
                <w:numId w:val="6"/>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功率：≥180W*4；</w:t>
            </w:r>
          </w:p>
          <w:p>
            <w:pPr>
              <w:pageBreakBefore w:val="0"/>
              <w:widowControl/>
              <w:numPr>
                <w:ilvl w:val="0"/>
                <w:numId w:val="6"/>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支持四声道工作模式；</w:t>
            </w:r>
          </w:p>
          <w:p>
            <w:pPr>
              <w:pageBreakBefore w:val="0"/>
              <w:widowControl/>
              <w:numPr>
                <w:ilvl w:val="0"/>
                <w:numId w:val="6"/>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带USB和SD接口，支持多种可移动存储设备；</w:t>
            </w:r>
          </w:p>
          <w:p>
            <w:pPr>
              <w:pageBreakBefore w:val="0"/>
              <w:widowControl/>
              <w:numPr>
                <w:ilvl w:val="0"/>
                <w:numId w:val="6"/>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带FM收音功能，带蓝牙接收功能；</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扬声器</w:t>
            </w:r>
          </w:p>
        </w:tc>
        <w:tc>
          <w:tcPr>
            <w:tcW w:w="6240" w:type="dxa"/>
            <w:tcBorders>
              <w:right w:val="single" w:color="auto" w:sz="4" w:space="0"/>
            </w:tcBorders>
            <w:vAlign w:val="center"/>
          </w:tcPr>
          <w:p>
            <w:pPr>
              <w:pageBreakBefore w:val="0"/>
              <w:widowControl/>
              <w:numPr>
                <w:ilvl w:val="0"/>
                <w:numId w:val="7"/>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输入电压100V</w:t>
            </w:r>
          </w:p>
          <w:p>
            <w:pPr>
              <w:pageBreakBefore w:val="0"/>
              <w:widowControl/>
              <w:numPr>
                <w:ilvl w:val="0"/>
                <w:numId w:val="7"/>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额定功率≥60W</w:t>
            </w:r>
          </w:p>
          <w:p>
            <w:pPr>
              <w:pageBreakBefore w:val="0"/>
              <w:widowControl/>
              <w:numPr>
                <w:ilvl w:val="0"/>
                <w:numId w:val="7"/>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频率范围100HZ-20KHZ</w:t>
            </w:r>
          </w:p>
          <w:p>
            <w:pPr>
              <w:pageBreakBefore w:val="0"/>
              <w:widowControl/>
              <w:numPr>
                <w:ilvl w:val="0"/>
                <w:numId w:val="7"/>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灵敏度90±3dB</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话筒</w:t>
            </w:r>
          </w:p>
        </w:tc>
        <w:tc>
          <w:tcPr>
            <w:tcW w:w="6240" w:type="dxa"/>
            <w:tcBorders>
              <w:right w:val="single" w:color="auto" w:sz="4" w:space="0"/>
            </w:tcBorders>
            <w:vAlign w:val="center"/>
          </w:tcPr>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射频范围:600MHz-790MHz；</w:t>
            </w:r>
          </w:p>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发射功率：≥10mw；</w:t>
            </w:r>
          </w:p>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频率稳定度：±0.005%以内；</w:t>
            </w:r>
          </w:p>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动态范围：96dB；</w:t>
            </w:r>
          </w:p>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音频响应：≥45KHz；</w:t>
            </w:r>
          </w:p>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杂散抑制：﹣60dB；</w:t>
            </w:r>
          </w:p>
          <w:p>
            <w:pPr>
              <w:pageBreakBefore w:val="0"/>
              <w:widowControl/>
              <w:numPr>
                <w:ilvl w:val="0"/>
                <w:numId w:val="8"/>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接收距离：20-50米</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投影仪</w:t>
            </w:r>
          </w:p>
        </w:tc>
        <w:tc>
          <w:tcPr>
            <w:tcW w:w="6240" w:type="dxa"/>
            <w:tcBorders>
              <w:right w:val="single" w:color="auto" w:sz="4" w:space="0"/>
            </w:tcBorders>
            <w:vAlign w:val="center"/>
          </w:tcPr>
          <w:p>
            <w:pPr>
              <w:pageBreakBefore w:val="0"/>
              <w:widowControl/>
              <w:numPr>
                <w:ilvl w:val="0"/>
                <w:numId w:val="9"/>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光源：激光；</w:t>
            </w:r>
          </w:p>
          <w:p>
            <w:pPr>
              <w:pageBreakBefore w:val="0"/>
              <w:widowControl/>
              <w:numPr>
                <w:ilvl w:val="0"/>
                <w:numId w:val="9"/>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真实分辨率≥1920x1080（1080P）</w:t>
            </w:r>
          </w:p>
          <w:p>
            <w:pPr>
              <w:pageBreakBefore w:val="0"/>
              <w:widowControl/>
              <w:numPr>
                <w:ilvl w:val="0"/>
                <w:numId w:val="9"/>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可显示色彩：1073.4百万色（10bit）</w:t>
            </w:r>
          </w:p>
          <w:p>
            <w:pPr>
              <w:pageBreakBefore w:val="0"/>
              <w:widowControl/>
              <w:numPr>
                <w:ilvl w:val="0"/>
                <w:numId w:val="9"/>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亮度≥4500流明；吊装支架等</w:t>
            </w:r>
          </w:p>
          <w:p>
            <w:pPr>
              <w:pageBreakBefore w:val="0"/>
              <w:widowControl/>
              <w:numPr>
                <w:ilvl w:val="0"/>
                <w:numId w:val="9"/>
              </w:numPr>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整机（包括光源、配件）保修三年</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投影幕布</w:t>
            </w:r>
          </w:p>
        </w:tc>
        <w:tc>
          <w:tcPr>
            <w:tcW w:w="6240" w:type="dxa"/>
            <w:tcBorders>
              <w:right w:val="single" w:color="auto" w:sz="4" w:space="0"/>
            </w:tcBorders>
            <w:vAlign w:val="center"/>
          </w:tcPr>
          <w:p>
            <w:pPr>
              <w:pageBreakBefore w:val="0"/>
              <w:widowControl/>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含玻珠150英寸遥控投影幕布</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教师电脑椅</w:t>
            </w:r>
          </w:p>
        </w:tc>
        <w:tc>
          <w:tcPr>
            <w:tcW w:w="6240" w:type="dxa"/>
            <w:tcBorders>
              <w:right w:val="single" w:color="auto" w:sz="4" w:space="0"/>
            </w:tcBorders>
            <w:vAlign w:val="center"/>
          </w:tcPr>
          <w:p>
            <w:pPr>
              <w:pageBreakBefore w:val="0"/>
              <w:widowControl/>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皮质转椅</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电脑桌</w:t>
            </w:r>
          </w:p>
        </w:tc>
        <w:tc>
          <w:tcPr>
            <w:tcW w:w="6240" w:type="dxa"/>
            <w:tcBorders>
              <w:right w:val="single" w:color="auto" w:sz="4" w:space="0"/>
            </w:tcBorders>
            <w:vAlign w:val="center"/>
          </w:tcPr>
          <w:p>
            <w:pPr>
              <w:pageBreakBefore w:val="0"/>
              <w:widowControl/>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1400mm*700mm*730mm实木颗粒板，pvc封边，双人桌</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62张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学生电脑凳</w:t>
            </w:r>
          </w:p>
        </w:tc>
        <w:tc>
          <w:tcPr>
            <w:tcW w:w="6240" w:type="dxa"/>
            <w:tcBorders>
              <w:right w:val="single" w:color="auto" w:sz="4" w:space="0"/>
            </w:tcBorders>
            <w:vAlign w:val="center"/>
          </w:tcPr>
          <w:p>
            <w:pPr>
              <w:pageBreakBefore w:val="0"/>
              <w:widowControl/>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实木方凳</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120把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交换机</w:t>
            </w:r>
          </w:p>
        </w:tc>
        <w:tc>
          <w:tcPr>
            <w:tcW w:w="6240" w:type="dxa"/>
            <w:tcBorders>
              <w:right w:val="single" w:color="auto" w:sz="4" w:space="0"/>
            </w:tcBorders>
            <w:vAlign w:val="center"/>
          </w:tcPr>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rPr>
              <w:t>48个10/100/1000BASE-T 以太网端口，4个万兆SFP+；</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rPr>
              <w:t>交换容量≥432Gbps/4.32Tbps，</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rPr>
              <w:t>包转发率≥144/166Mpps,用户分级管理和口令保护</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4.</w:t>
            </w:r>
            <w:r>
              <w:rPr>
                <w:rFonts w:hint="eastAsia" w:ascii="仿宋_GB2312" w:hAnsi="仿宋_GB2312" w:eastAsia="仿宋_GB2312" w:cs="仿宋_GB2312"/>
                <w:sz w:val="28"/>
                <w:szCs w:val="28"/>
              </w:rPr>
              <w:t>支持防止 DOS、ARP 攻击功能、ICMP防攻击</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rPr>
              <w:t>支持IP、MAC、端口、VLAN 的组合绑定</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6.</w:t>
            </w:r>
            <w:r>
              <w:rPr>
                <w:rFonts w:hint="eastAsia" w:ascii="仿宋_GB2312" w:hAnsi="仿宋_GB2312" w:eastAsia="仿宋_GB2312" w:cs="仿宋_GB2312"/>
                <w:sz w:val="28"/>
                <w:szCs w:val="28"/>
              </w:rPr>
              <w:t>支持端口隔离、端口安全、Sticky MAC</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支持MFF</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8.</w:t>
            </w:r>
            <w:r>
              <w:rPr>
                <w:rFonts w:hint="eastAsia" w:ascii="仿宋_GB2312" w:hAnsi="仿宋_GB2312" w:eastAsia="仿宋_GB2312" w:cs="仿宋_GB2312"/>
                <w:sz w:val="28"/>
                <w:szCs w:val="28"/>
              </w:rPr>
              <w:t>支持黑洞MAC地址</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9.</w:t>
            </w:r>
            <w:r>
              <w:rPr>
                <w:rFonts w:hint="eastAsia" w:ascii="仿宋_GB2312" w:hAnsi="仿宋_GB2312" w:eastAsia="仿宋_GB2312" w:cs="仿宋_GB2312"/>
                <w:sz w:val="28"/>
                <w:szCs w:val="28"/>
              </w:rPr>
              <w:t>支持MAC 地址学习数目限制</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10.</w:t>
            </w:r>
            <w:r>
              <w:rPr>
                <w:rFonts w:hint="eastAsia" w:ascii="仿宋_GB2312" w:hAnsi="仿宋_GB2312" w:eastAsia="仿宋_GB2312" w:cs="仿宋_GB2312"/>
                <w:sz w:val="28"/>
                <w:szCs w:val="28"/>
              </w:rPr>
              <w:t>支持IEEE 802.1X认证，支持单端口最大用户数限制</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11.</w:t>
            </w:r>
            <w:r>
              <w:rPr>
                <w:rFonts w:hint="eastAsia" w:ascii="仿宋_GB2312" w:hAnsi="仿宋_GB2312" w:eastAsia="仿宋_GB2312" w:cs="仿宋_GB2312"/>
                <w:sz w:val="28"/>
                <w:szCs w:val="28"/>
              </w:rPr>
              <w:t>支持AAA 认证，支持 Radius、HWTACACS、NAC等多种方式</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12.</w:t>
            </w:r>
            <w:r>
              <w:rPr>
                <w:rFonts w:hint="eastAsia" w:ascii="仿宋_GB2312" w:hAnsi="仿宋_GB2312" w:eastAsia="仿宋_GB2312" w:cs="仿宋_GB2312"/>
                <w:sz w:val="28"/>
                <w:szCs w:val="28"/>
              </w:rPr>
              <w:t>支持SSH V2.0</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13.</w:t>
            </w:r>
            <w:r>
              <w:rPr>
                <w:rFonts w:hint="eastAsia" w:ascii="仿宋_GB2312" w:hAnsi="仿宋_GB2312" w:eastAsia="仿宋_GB2312" w:cs="仿宋_GB2312"/>
                <w:sz w:val="28"/>
                <w:szCs w:val="28"/>
              </w:rPr>
              <w:t>支持HTTPS</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14.</w:t>
            </w:r>
            <w:r>
              <w:rPr>
                <w:rFonts w:hint="eastAsia" w:ascii="仿宋_GB2312" w:hAnsi="仿宋_GB2312" w:eastAsia="仿宋_GB2312" w:cs="仿宋_GB2312"/>
                <w:sz w:val="28"/>
                <w:szCs w:val="28"/>
              </w:rPr>
              <w:t>支持CPU保护功能</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15.</w:t>
            </w:r>
            <w:r>
              <w:rPr>
                <w:rFonts w:hint="eastAsia" w:ascii="仿宋_GB2312" w:hAnsi="仿宋_GB2312" w:eastAsia="仿宋_GB2312" w:cs="仿宋_GB2312"/>
                <w:sz w:val="28"/>
                <w:szCs w:val="28"/>
              </w:rPr>
              <w:t>支持黑名单和白名单</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16.</w:t>
            </w:r>
            <w:r>
              <w:rPr>
                <w:rFonts w:hint="eastAsia" w:ascii="仿宋_GB2312" w:hAnsi="仿宋_GB2312" w:eastAsia="仿宋_GB2312" w:cs="仿宋_GB2312"/>
                <w:sz w:val="28"/>
                <w:szCs w:val="28"/>
              </w:rPr>
              <w:t>支持DHCP Relay、DHCP Server、DHCP Snooping</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17.</w:t>
            </w:r>
            <w:r>
              <w:rPr>
                <w:rFonts w:hint="eastAsia" w:ascii="仿宋_GB2312" w:hAnsi="仿宋_GB2312" w:eastAsia="仿宋_GB2312" w:cs="仿宋_GB2312"/>
                <w:sz w:val="28"/>
                <w:szCs w:val="28"/>
              </w:rPr>
              <w:t>支持DHCPv6 Relay、DHCPv6 Server、DHCPv6 Snooping</w:t>
            </w:r>
          </w:p>
          <w:p>
            <w:pPr>
              <w:pageBreakBefore w:val="0"/>
              <w:widowControl/>
              <w:numPr>
                <w:ilvl w:val="0"/>
                <w:numId w:val="0"/>
              </w:numPr>
              <w:kinsoku/>
              <w:wordWrap/>
              <w:overflowPunct/>
              <w:topLinePunct w:val="0"/>
              <w:autoSpaceDE/>
              <w:autoSpaceDN/>
              <w:bidi w:val="0"/>
              <w:snapToGrid/>
              <w:spacing w:line="400" w:lineRule="exact"/>
              <w:ind w:left="425" w:leftChars="0" w:hanging="425" w:firstLineChars="0"/>
              <w:textAlignment w:val="center"/>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18.</w:t>
            </w:r>
            <w:r>
              <w:rPr>
                <w:rFonts w:hint="eastAsia" w:ascii="仿宋_GB2312" w:hAnsi="仿宋_GB2312" w:eastAsia="仿宋_GB2312" w:cs="仿宋_GB2312"/>
                <w:sz w:val="28"/>
                <w:szCs w:val="28"/>
              </w:rPr>
              <w:t>支持用户认证点和策略执行点分离</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光模块</w:t>
            </w:r>
          </w:p>
        </w:tc>
        <w:tc>
          <w:tcPr>
            <w:tcW w:w="6240" w:type="dxa"/>
            <w:tcBorders>
              <w:right w:val="single" w:color="auto" w:sz="4" w:space="0"/>
            </w:tcBorders>
            <w:vAlign w:val="center"/>
          </w:tcPr>
          <w:p>
            <w:pPr>
              <w:pageBreakBefore w:val="0"/>
              <w:widowControl/>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万兆SFP+单模光模块，最大传输距离 10km，</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trPr>
        <w:tc>
          <w:tcPr>
            <w:tcW w:w="806" w:type="dxa"/>
            <w:tcBorders>
              <w:right w:val="single" w:color="auto" w:sz="4" w:space="0"/>
            </w:tcBorders>
            <w:vAlign w:val="center"/>
          </w:tcPr>
          <w:p>
            <w:pPr>
              <w:pageBreakBefore w:val="0"/>
              <w:kinsoku/>
              <w:wordWrap/>
              <w:overflowPunct/>
              <w:topLinePunct w:val="0"/>
              <w:autoSpaceDE/>
              <w:autoSpaceDN/>
              <w:bidi w:val="0"/>
              <w:snapToGri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114"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辅材</w:t>
            </w:r>
          </w:p>
        </w:tc>
        <w:tc>
          <w:tcPr>
            <w:tcW w:w="6240" w:type="dxa"/>
            <w:tcBorders>
              <w:right w:val="single" w:color="auto" w:sz="4" w:space="0"/>
            </w:tcBorders>
            <w:vAlign w:val="center"/>
          </w:tcPr>
          <w:p>
            <w:pPr>
              <w:pageBreakBefore w:val="0"/>
              <w:widowControl/>
              <w:kinsoku/>
              <w:wordWrap/>
              <w:overflowPunct/>
              <w:topLinePunct w:val="0"/>
              <w:autoSpaceDE/>
              <w:autoSpaceDN/>
              <w:bidi w:val="0"/>
              <w:snapToGrid/>
              <w:spacing w:line="400" w:lineRule="exact"/>
              <w:jc w:val="left"/>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线管线槽、电源线、水晶头、尾纤、插板、钢槽隐蔽性下走下、安装调试等</w:t>
            </w:r>
          </w:p>
        </w:tc>
        <w:tc>
          <w:tcPr>
            <w:tcW w:w="857" w:type="dxa"/>
            <w:tcBorders>
              <w:left w:val="single" w:color="auto" w:sz="4" w:space="0"/>
            </w:tcBorders>
            <w:vAlign w:val="center"/>
          </w:tcPr>
          <w:p>
            <w:pPr>
              <w:pageBreakBefore w:val="0"/>
              <w:widowControl/>
              <w:kinsoku/>
              <w:wordWrap/>
              <w:overflowPunct/>
              <w:topLinePunct w:val="0"/>
              <w:autoSpaceDE/>
              <w:autoSpaceDN/>
              <w:bidi w:val="0"/>
              <w:snapToGrid/>
              <w:spacing w:line="400" w:lineRule="exact"/>
              <w:jc w:val="center"/>
              <w:textAlignment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1批</w:t>
            </w:r>
          </w:p>
        </w:tc>
      </w:tr>
    </w:tbl>
    <w:p>
      <w:pPr>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000000" w:themeColor="text1"/>
          <w:sz w:val="28"/>
          <w:szCs w:val="28"/>
          <w:lang w:val="en-US"/>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备注：</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1、以上均为</w:t>
      </w:r>
      <w:r>
        <w:rPr>
          <w:rFonts w:hint="eastAsia" w:ascii="仿宋_GB2312" w:hAnsi="仿宋_GB2312" w:eastAsia="仿宋_GB2312" w:cs="仿宋_GB2312"/>
          <w:b/>
          <w:bCs/>
          <w:color w:val="000000" w:themeColor="text1"/>
          <w:sz w:val="28"/>
          <w:szCs w:val="28"/>
          <w14:textFill>
            <w14:solidFill>
              <w14:schemeClr w14:val="tx1"/>
            </w14:solidFill>
          </w14:textFill>
        </w:rPr>
        <w:t>“★”内容项</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为实质性要求，</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14:textFill>
            <w14:solidFill>
              <w14:schemeClr w14:val="tx1"/>
            </w14:solidFill>
          </w14:textFill>
        </w:rPr>
        <w:t>人未逐条响应、有缺漏或负偏离将视为无效</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响应；2、核心产品为云终端机。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b/>
          <w:bCs/>
          <w:color w:val="000000" w:themeColor="text1"/>
          <w:sz w:val="32"/>
          <w:szCs w:val="32"/>
          <w14:textFill>
            <w14:solidFill>
              <w14:schemeClr w14:val="tx1"/>
            </w14:solidFill>
          </w14:textFill>
        </w:rPr>
      </w:pPr>
    </w:p>
    <w:p>
      <w:pPr>
        <w:pStyle w:val="3"/>
        <w:jc w:val="center"/>
        <w:rPr>
          <w:rFonts w:ascii="宋体" w:hAnsi="宋体" w:eastAsia="宋体" w:cs="宋体"/>
          <w:color w:val="000000" w:themeColor="text1"/>
          <w:sz w:val="21"/>
          <w:szCs w:val="21"/>
          <w14:textFill>
            <w14:solidFill>
              <w14:schemeClr w14:val="tx1"/>
            </w14:solidFill>
          </w14:textFill>
        </w:rPr>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04"/>
        </w:sectPr>
      </w:pPr>
      <w:r>
        <w:rPr>
          <w:rFonts w:ascii="宋体" w:hAnsi="宋体" w:eastAsia="宋体" w:cs="宋体"/>
          <w:color w:val="000000" w:themeColor="text1"/>
          <w:sz w:val="21"/>
          <w:szCs w:val="21"/>
          <w14:textFill>
            <w14:solidFill>
              <w14:schemeClr w14:val="tx1"/>
            </w14:solidFill>
          </w14:textFill>
        </w:rPr>
        <w:br w:type="page"/>
      </w:r>
      <w:bookmarkStart w:id="188" w:name="_Toc10371"/>
      <w:bookmarkStart w:id="189" w:name="_Toc35871571"/>
      <w:bookmarkStart w:id="190" w:name="_Toc12628"/>
      <w:bookmarkStart w:id="191" w:name="_Toc19317"/>
      <w:bookmarkStart w:id="192" w:name="_Toc18466_WPSOffice_Level1"/>
      <w:bookmarkStart w:id="193" w:name="_Toc14089"/>
      <w:bookmarkStart w:id="194" w:name="_Toc495014922"/>
      <w:bookmarkStart w:id="195" w:name="_Toc495014613"/>
      <w:bookmarkStart w:id="196" w:name="_Toc784_WPSOffice_Level1"/>
      <w:bookmarkStart w:id="197" w:name="_Toc445306495"/>
      <w:bookmarkStart w:id="198" w:name="_Toc495012823"/>
      <w:bookmarkStart w:id="199" w:name="_Toc495014651"/>
      <w:bookmarkStart w:id="200" w:name="_Toc18484_WPSOffice_Level1"/>
      <w:bookmarkStart w:id="201" w:name="_Toc495014956"/>
      <w:bookmarkStart w:id="202" w:name="_Toc495012773"/>
      <w:bookmarkStart w:id="203" w:name="_Toc495014587"/>
    </w:p>
    <w:p>
      <w:pPr>
        <w:pStyle w:val="3"/>
        <w:jc w:val="center"/>
        <w:rPr>
          <w:rFonts w:hint="eastAsia" w:ascii="华文仿宋" w:hAnsi="华文仿宋" w:cs="华文仿宋"/>
          <w:color w:val="000000" w:themeColor="text1"/>
          <w14:textFill>
            <w14:solidFill>
              <w14:schemeClr w14:val="tx1"/>
            </w14:solidFill>
          </w14:textFill>
        </w:rPr>
      </w:pPr>
      <w:r>
        <w:rPr>
          <w:rFonts w:ascii="黑体" w:hAnsi="黑体" w:eastAsia="黑体"/>
          <w:b w:val="0"/>
          <w:color w:val="000000" w:themeColor="text1"/>
          <w:sz w:val="32"/>
          <w:szCs w:val="32"/>
          <w14:textFill>
            <w14:solidFill>
              <w14:schemeClr w14:val="tx1"/>
            </w14:solidFill>
          </w14:textFill>
        </w:rPr>
        <w:t>第</w:t>
      </w:r>
      <w:r>
        <w:rPr>
          <w:rFonts w:hint="eastAsia" w:ascii="黑体" w:hAnsi="黑体" w:eastAsia="黑体"/>
          <w:b w:val="0"/>
          <w:color w:val="000000" w:themeColor="text1"/>
          <w:sz w:val="32"/>
          <w:szCs w:val="32"/>
          <w14:textFill>
            <w14:solidFill>
              <w14:schemeClr w14:val="tx1"/>
            </w14:solidFill>
          </w14:textFill>
        </w:rPr>
        <w:t>四</w:t>
      </w:r>
      <w:r>
        <w:rPr>
          <w:rFonts w:ascii="黑体" w:hAnsi="黑体" w:eastAsia="黑体"/>
          <w:b w:val="0"/>
          <w:color w:val="000000" w:themeColor="text1"/>
          <w:sz w:val="32"/>
          <w:szCs w:val="32"/>
          <w14:textFill>
            <w14:solidFill>
              <w14:schemeClr w14:val="tx1"/>
            </w14:solidFill>
          </w14:textFill>
        </w:rPr>
        <w:t xml:space="preserve">章 </w:t>
      </w:r>
      <w:r>
        <w:rPr>
          <w:rFonts w:hint="eastAsia" w:ascii="黑体" w:hAnsi="黑体" w:eastAsia="黑体"/>
          <w:b w:val="0"/>
          <w:color w:val="000000" w:themeColor="text1"/>
          <w:sz w:val="32"/>
          <w:szCs w:val="32"/>
          <w14:textFill>
            <w14:solidFill>
              <w14:schemeClr w14:val="tx1"/>
            </w14:solidFill>
          </w14:textFill>
        </w:rPr>
        <w:t>合同</w:t>
      </w:r>
      <w:r>
        <w:rPr>
          <w:rFonts w:hint="eastAsia" w:ascii="黑体" w:hAnsi="黑体" w:eastAsia="黑体"/>
          <w:b w:val="0"/>
          <w:color w:val="000000" w:themeColor="text1"/>
          <w:sz w:val="32"/>
          <w:szCs w:val="32"/>
          <w:lang w:val="en-US" w:eastAsia="zh-CN"/>
          <w14:textFill>
            <w14:solidFill>
              <w14:schemeClr w14:val="tx1"/>
            </w14:solidFill>
          </w14:textFill>
        </w:rPr>
        <w:t>草案</w:t>
      </w:r>
      <w:r>
        <w:rPr>
          <w:rFonts w:hint="eastAsia" w:ascii="黑体" w:hAnsi="黑体" w:eastAsia="黑体"/>
          <w:b w:val="0"/>
          <w:color w:val="000000" w:themeColor="text1"/>
          <w:sz w:val="32"/>
          <w:szCs w:val="32"/>
          <w14:textFill>
            <w14:solidFill>
              <w14:schemeClr w14:val="tx1"/>
            </w14:solidFill>
          </w14:textFill>
        </w:rPr>
        <w:t>条款</w:t>
      </w:r>
      <w:bookmarkEnd w:id="188"/>
      <w:bookmarkEnd w:id="189"/>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仿宋_GB2312" w:hAnsi="仿宋_GB2312" w:eastAsia="仿宋_GB2312" w:cs="仿宋_GB2312"/>
          <w:color w:val="000000" w:themeColor="text1"/>
          <w:sz w:val="28"/>
          <w:szCs w:val="28"/>
          <w:highlight w:val="yellow"/>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（一）交货地</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点：汉中职业技术学院</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 xml:space="preserve">（二）交货期：签订合同后20天内。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仿宋_GB2312" w:hAnsi="仿宋_GB2312" w:eastAsia="仿宋_GB2312" w:cs="仿宋_GB2312"/>
          <w:color w:val="000000" w:themeColor="text1"/>
          <w:sz w:val="28"/>
          <w:szCs w:val="28"/>
          <w:highlight w:val="yellow"/>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结算方式：项目验收合格后15天内支付合同金额。</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四、包装运输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1、运输由成交供应商负责，运杂费已包含在合同总价内。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2、运输方式由成交供应商自行选择，但必须保证按期交付。不得断货，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因断货造成的损失由成交供货商负责赔偿。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3、产品及其备附件的包装必须是制造商原厂包装，其包装均应有良好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的防湿、防锈、防潮、防雨、防腐及防碰撞的措施。包装内应附有详细的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装箱清单、出厂合格证明及其他相关资料。凡由于包装不良造成的损失和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由此产生的费用均由成交供应商承担。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4、成交供应商负责将货物材料货到现场过程中的全部运输，包括装卸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车、货物现场的搬运、安装、调试。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5、各种货物必须提供装箱清单，按装箱清单验收货物。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6、货物在现场的保管由成交供应商负责，直至项目安装、验收完毕。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7、货物至采购人指定的使用现场的包装、保险及发运等环节和费用均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由成交供应商负责。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8、施工期间，成交供应商必须保护采购人的场地及各类设施，并做好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场地的卫生保洁工作。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9、本项目投标总报价包括项目所需软件、硬件、配件、包装、运杂、安装调试、基础施工、管理费、人工、材料、机械及利润、税金、各项规 费等从项目成交起到项目验收合格并正式交付使用以及质保期内所发生的 一切费用。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五、质量保障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1.保证所供产品的设计、制造、产品性能、材料的选择和材料的检验及产品的测试等，均应按国家的现行标准和相应的技术规范执行，这些标</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准和技术规范应为合同签订日为止最新公布发行的标准和技术规范。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2.保证所供产品进货渠道正规，无假货、水货或翻新货，并能按期交付。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3.保证所供产品在装卸、运输和仓储过程中有足够的包装保护，防止产品受潮、锈蚀、遭受冲撞及其他不可预见的损坏。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4.供应商所供产品因侵权而产生的一切后果由供应商负责，采购人保</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留索赔权力。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六、验收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1.现场验收：产品及其备附件到达指定地点后，采购人根据合同要求，</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在双方相关负责人双方同时在场的情况下，进行外观验收，确认产地、规 格、型号和数量。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2.最终验收：产品安装调试和运行后，经采购人确认后，组织供应商进行系统验收，必要时采购人将委托具有相关资质的第三方检测机构/技术专家对产品进行系统验收。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产品经采购人根据合同要求，进行验收，确认规格、质量和数量。验收依据：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3、验收依据及交付标准和方法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（1）谈判文件、响应文件、澄清表（函）；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（2）本合同及附件文本；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（3）合同签订时国家及行业现行的标准和技术规范。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（4）供应商应向采购人提交项目实施过程中的所有资料，以便采购人日后管理和维护。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八、争议解决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
          <w14:textFill>
            <w14:solidFill>
              <w14:schemeClr w14:val="tx1"/>
            </w14:solidFill>
          </w14:textFill>
        </w:rPr>
        <w:t xml:space="preserve">九、合同生效及其他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3、未尽事宜由双方在签订合同时具体明确。</w:t>
      </w:r>
    </w:p>
    <w:p>
      <w:pPr>
        <w:spacing w:line="240" w:lineRule="auto"/>
        <w:jc w:val="left"/>
        <w:rPr>
          <w:rFonts w:ascii="黑体" w:hAnsi="黑体" w:eastAsia="黑体"/>
          <w:b/>
          <w:bCs/>
          <w:color w:val="000000" w:themeColor="text1"/>
          <w:kern w:val="44"/>
          <w:sz w:val="32"/>
          <w:szCs w:val="32"/>
          <w14:textFill>
            <w14:solidFill>
              <w14:schemeClr w14:val="tx1"/>
            </w14:solidFill>
          </w14:textFill>
        </w:rPr>
      </w:pPr>
      <w:r>
        <w:rPr>
          <w:rFonts w:ascii="黑体" w:hAnsi="黑体" w:eastAsia="黑体"/>
          <w:bCs/>
          <w:color w:val="000000" w:themeColor="text1"/>
          <w:sz w:val="32"/>
          <w:szCs w:val="32"/>
          <w14:textFill>
            <w14:solidFill>
              <w14:schemeClr w14:val="tx1"/>
            </w14:solidFill>
          </w14:textFill>
        </w:rPr>
        <w:br w:type="page"/>
      </w:r>
    </w:p>
    <w:p>
      <w:pPr>
        <w:pStyle w:val="3"/>
        <w:rPr>
          <w:rFonts w:ascii="黑体" w:hAnsi="黑体" w:eastAsia="黑体" w:cs="黑体"/>
          <w:b w:val="0"/>
          <w:bCs/>
          <w:color w:val="000000" w:themeColor="text1"/>
          <w:sz w:val="32"/>
          <w:szCs w:val="32"/>
          <w14:textFill>
            <w14:solidFill>
              <w14:schemeClr w14:val="tx1"/>
            </w14:solidFill>
          </w14:textFill>
        </w:rPr>
      </w:pPr>
      <w:bookmarkStart w:id="204" w:name="_Toc5571"/>
      <w:r>
        <w:rPr>
          <w:rFonts w:hint="eastAsia" w:ascii="黑体" w:hAnsi="黑体" w:eastAsia="黑体" w:cs="黑体"/>
          <w:b w:val="0"/>
          <w:bCs/>
          <w:color w:val="000000" w:themeColor="text1"/>
          <w:sz w:val="32"/>
          <w:szCs w:val="32"/>
          <w14:textFill>
            <w14:solidFill>
              <w14:schemeClr w14:val="tx1"/>
            </w14:solidFill>
          </w14:textFill>
        </w:rPr>
        <w:t>第五章  响应文件构成及格式</w:t>
      </w:r>
      <w:bookmarkEnd w:id="190"/>
      <w:bookmarkEnd w:id="191"/>
      <w:bookmarkEnd w:id="192"/>
      <w:bookmarkEnd w:id="193"/>
      <w:bookmarkEnd w:id="204"/>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tbl>
      <w:tblPr>
        <w:tblStyle w:val="21"/>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注释： </w:t>
            </w:r>
          </w:p>
          <w:p>
            <w:pPr>
              <w:spacing w:before="120" w:line="420" w:lineRule="exact"/>
              <w:ind w:firstLine="486"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2、第三部分</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响应</w:t>
            </w:r>
            <w:r>
              <w:rPr>
                <w:rFonts w:hint="eastAsia" w:ascii="仿宋_GB2312" w:hAnsi="仿宋_GB2312" w:eastAsia="仿宋_GB2312" w:cs="仿宋_GB2312"/>
                <w:color w:val="000000" w:themeColor="text1"/>
                <w:sz w:val="24"/>
                <w:szCs w:val="24"/>
                <w14:textFill>
                  <w14:solidFill>
                    <w14:schemeClr w14:val="tx1"/>
                  </w14:solidFill>
                </w14:textFill>
              </w:rPr>
              <w:t>方案格式仅供参考，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w:t>
            </w:r>
            <w:r>
              <w:rPr>
                <w:rFonts w:hint="eastAsia" w:ascii="仿宋_GB2312" w:hAnsi="仿宋_GB2312" w:eastAsia="仿宋_GB2312" w:cs="仿宋_GB2312"/>
                <w:color w:val="000000" w:themeColor="text1"/>
                <w:sz w:val="24"/>
                <w:szCs w:val="24"/>
                <w14:textFill>
                  <w14:solidFill>
                    <w14:schemeClr w14:val="tx1"/>
                  </w14:solidFill>
                </w14:textFill>
              </w:rPr>
              <w:t>应根据项目特点，结合本次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要求，对有关表格进行补充或修改，但不得对实质性文件的相关条款作出变动。</w:t>
            </w:r>
          </w:p>
        </w:tc>
      </w:tr>
    </w:tbl>
    <w:p>
      <w:pPr>
        <w:pStyle w:val="41"/>
        <w:rPr>
          <w:color w:val="000000" w:themeColor="text1"/>
          <w:sz w:val="20"/>
          <w14:textFill>
            <w14:solidFill>
              <w14:schemeClr w14:val="tx1"/>
            </w14:solidFill>
          </w14:textFill>
        </w:rPr>
      </w:pPr>
    </w:p>
    <w:p>
      <w:pPr>
        <w:pStyle w:val="38"/>
        <w:spacing w:line="240" w:lineRule="auto"/>
        <w:ind w:firstLine="253" w:firstLineChars="70"/>
        <w:jc w:val="center"/>
        <w:rPr>
          <w:rFonts w:ascii="宋体" w:hAnsi="宋体" w:eastAsia="宋体"/>
          <w:color w:val="000000" w:themeColor="text1"/>
          <w:sz w:val="36"/>
          <w:szCs w:val="36"/>
          <w14:textFill>
            <w14:solidFill>
              <w14:schemeClr w14:val="tx1"/>
            </w14:solidFill>
          </w14:textFill>
        </w:rPr>
      </w:pPr>
    </w:p>
    <w:p>
      <w:pPr>
        <w:pStyle w:val="38"/>
        <w:spacing w:line="240" w:lineRule="auto"/>
        <w:ind w:firstLine="253" w:firstLineChars="70"/>
        <w:jc w:val="center"/>
        <w:rPr>
          <w:color w:val="000000" w:themeColor="text1"/>
          <w:sz w:val="36"/>
          <w:szCs w:val="36"/>
          <w14:textFill>
            <w14:solidFill>
              <w14:schemeClr w14:val="tx1"/>
            </w14:solidFill>
          </w14:textFill>
        </w:rPr>
      </w:pPr>
      <w:r>
        <w:rPr>
          <w:rFonts w:ascii="宋体" w:hAnsi="宋体" w:eastAsia="宋体"/>
          <w:color w:val="000000" w:themeColor="text1"/>
          <w:sz w:val="36"/>
          <w:szCs w:val="36"/>
          <w14:textFill>
            <w14:solidFill>
              <w14:schemeClr w14:val="tx1"/>
            </w14:solidFill>
          </w14:textFill>
        </w:rPr>
        <w:br w:type="page"/>
      </w:r>
    </w:p>
    <w:p>
      <w:pPr>
        <w:spacing w:line="240" w:lineRule="auto"/>
        <w:jc w:val="left"/>
        <w:outlineLvl w:val="0"/>
        <w:rPr>
          <w:rFonts w:hint="eastAsia" w:ascii="华文中宋" w:hAnsi="华文中宋" w:eastAsia="华文中宋" w:cs="华文中宋"/>
          <w:color w:val="000000" w:themeColor="text1"/>
          <w:sz w:val="60"/>
          <w:szCs w:val="60"/>
          <w14:textFill>
            <w14:solidFill>
              <w14:schemeClr w14:val="tx1"/>
            </w14:solidFill>
          </w14:textFill>
        </w:rPr>
      </w:pPr>
      <w:bookmarkStart w:id="205" w:name="_Toc24786"/>
      <w:bookmarkStart w:id="206" w:name="_Toc26293"/>
      <w:bookmarkStart w:id="207" w:name="_Toc23235"/>
      <w:bookmarkStart w:id="208" w:name="_Toc257"/>
      <w:bookmarkStart w:id="209" w:name="_Toc6132"/>
      <w:bookmarkStart w:id="210" w:name="_Toc10248"/>
      <w:bookmarkStart w:id="211" w:name="_Toc26349"/>
    </w:p>
    <w:p>
      <w:pPr>
        <w:spacing w:line="240" w:lineRule="auto"/>
        <w:jc w:val="center"/>
        <w:outlineLvl w:val="0"/>
        <w:rPr>
          <w:color w:val="000000" w:themeColor="text1"/>
          <w:sz w:val="52"/>
          <w:szCs w:val="52"/>
          <w14:textFill>
            <w14:solidFill>
              <w14:schemeClr w14:val="tx1"/>
            </w14:solidFill>
          </w14:textFill>
        </w:rPr>
      </w:pPr>
      <w:bookmarkStart w:id="212" w:name="_Toc14411"/>
      <w:r>
        <w:rPr>
          <w:rFonts w:hint="eastAsia" w:ascii="华文中宋" w:hAnsi="华文中宋" w:eastAsia="华文中宋" w:cs="华文中宋"/>
          <w:color w:val="000000" w:themeColor="text1"/>
          <w:sz w:val="52"/>
          <w:szCs w:val="52"/>
          <w:lang w:val="en-US" w:eastAsia="zh-CN"/>
          <w14:textFill>
            <w14:solidFill>
              <w14:schemeClr w14:val="tx1"/>
            </w14:solidFill>
          </w14:textFill>
        </w:rPr>
        <w:t>汉中市</w:t>
      </w:r>
      <w:r>
        <w:rPr>
          <w:rFonts w:hint="eastAsia" w:ascii="华文中宋" w:hAnsi="华文中宋" w:eastAsia="华文中宋" w:cs="华文中宋"/>
          <w:color w:val="000000" w:themeColor="text1"/>
          <w:sz w:val="52"/>
          <w:szCs w:val="52"/>
          <w14:textFill>
            <w14:solidFill>
              <w14:schemeClr w14:val="tx1"/>
            </w14:solidFill>
          </w14:textFill>
        </w:rPr>
        <w:t>政府采购</w:t>
      </w:r>
      <w:r>
        <w:rPr>
          <w:rFonts w:hint="eastAsia" w:ascii="华文中宋" w:hAnsi="华文中宋" w:eastAsia="华文中宋" w:cs="华文中宋"/>
          <w:color w:val="000000" w:themeColor="text1"/>
          <w:sz w:val="52"/>
          <w:szCs w:val="52"/>
          <w:lang w:val="en-US" w:eastAsia="zh-CN"/>
          <w14:textFill>
            <w14:solidFill>
              <w14:schemeClr w14:val="tx1"/>
            </w14:solidFill>
          </w14:textFill>
        </w:rPr>
        <w:t>竞争性谈判</w:t>
      </w:r>
      <w:r>
        <w:rPr>
          <w:rFonts w:hint="eastAsia" w:ascii="华文中宋" w:hAnsi="华文中宋" w:eastAsia="华文中宋" w:cs="华文中宋"/>
          <w:color w:val="000000" w:themeColor="text1"/>
          <w:sz w:val="52"/>
          <w:szCs w:val="52"/>
          <w14:textFill>
            <w14:solidFill>
              <w14:schemeClr w14:val="tx1"/>
            </w14:solidFill>
          </w14:textFill>
        </w:rPr>
        <w:t>项目</w:t>
      </w:r>
      <w:bookmarkEnd w:id="205"/>
      <w:bookmarkEnd w:id="206"/>
      <w:bookmarkEnd w:id="207"/>
      <w:bookmarkEnd w:id="208"/>
      <w:bookmarkEnd w:id="209"/>
      <w:bookmarkEnd w:id="210"/>
      <w:bookmarkEnd w:id="211"/>
      <w:bookmarkEnd w:id="212"/>
    </w:p>
    <w:p>
      <w:pPr>
        <w:pStyle w:val="38"/>
        <w:spacing w:line="240" w:lineRule="auto"/>
        <w:ind w:left="0" w:leftChars="0" w:firstLine="0" w:firstLineChars="0"/>
        <w:jc w:val="both"/>
        <w:rPr>
          <w:rFonts w:ascii="华文仿宋" w:hAnsi="华文仿宋" w:cs="华文仿宋"/>
          <w:color w:val="000000" w:themeColor="text1"/>
          <w:sz w:val="36"/>
          <w:szCs w:val="36"/>
          <w14:textFill>
            <w14:solidFill>
              <w14:schemeClr w14:val="tx1"/>
            </w14:solidFill>
          </w14:textFill>
        </w:rPr>
      </w:pPr>
    </w:p>
    <w:p>
      <w:pPr>
        <w:spacing w:line="240" w:lineRule="auto"/>
        <w:jc w:val="center"/>
        <w:outlineLvl w:val="0"/>
        <w:rPr>
          <w:rFonts w:hint="eastAsia" w:ascii="华文中宋" w:hAnsi="华文中宋" w:eastAsia="华文中宋" w:cs="华文中宋"/>
          <w:color w:val="000000" w:themeColor="text1"/>
          <w:sz w:val="100"/>
          <w:szCs w:val="100"/>
          <w:lang w:val="en-US" w:eastAsia="zh-CN"/>
          <w14:textFill>
            <w14:solidFill>
              <w14:schemeClr w14:val="tx1"/>
            </w14:solidFill>
          </w14:textFill>
        </w:rPr>
      </w:pPr>
      <w:bookmarkStart w:id="213" w:name="_Toc20481"/>
      <w:bookmarkStart w:id="214" w:name="_Toc76"/>
      <w:bookmarkStart w:id="215" w:name="_Toc17700"/>
      <w:bookmarkStart w:id="216" w:name="_Toc19569"/>
      <w:bookmarkStart w:id="217" w:name="_Toc8257"/>
      <w:bookmarkStart w:id="218" w:name="_Toc26378"/>
      <w:bookmarkStart w:id="219" w:name="_Toc6733"/>
      <w:bookmarkStart w:id="220" w:name="_Toc13950"/>
      <w:r>
        <w:rPr>
          <w:rFonts w:hint="eastAsia" w:ascii="华文中宋" w:hAnsi="华文中宋" w:eastAsia="华文中宋" w:cs="华文中宋"/>
          <w:color w:val="000000" w:themeColor="text1"/>
          <w:sz w:val="100"/>
          <w:szCs w:val="100"/>
          <w:lang w:val="en-US" w:eastAsia="zh-CN"/>
          <w14:textFill>
            <w14:solidFill>
              <w14:schemeClr w14:val="tx1"/>
            </w14:solidFill>
          </w14:textFill>
        </w:rPr>
        <w:t>响应文件</w:t>
      </w:r>
      <w:bookmarkEnd w:id="213"/>
      <w:bookmarkEnd w:id="214"/>
      <w:bookmarkEnd w:id="215"/>
      <w:bookmarkEnd w:id="216"/>
      <w:bookmarkEnd w:id="217"/>
      <w:bookmarkEnd w:id="218"/>
      <w:bookmarkEnd w:id="219"/>
      <w:bookmarkEnd w:id="220"/>
    </w:p>
    <w:p>
      <w:pPr>
        <w:pStyle w:val="38"/>
        <w:spacing w:line="240" w:lineRule="auto"/>
        <w:ind w:firstLine="0" w:firstLineChars="0"/>
        <w:jc w:val="center"/>
        <w:rPr>
          <w:rFonts w:ascii="华文仿宋" w:hAnsi="华文仿宋" w:cs="华文仿宋"/>
          <w:color w:val="000000" w:themeColor="text1"/>
          <w:sz w:val="36"/>
          <w:szCs w:val="36"/>
          <w14:textFill>
            <w14:solidFill>
              <w14:schemeClr w14:val="tx1"/>
            </w14:solidFill>
          </w14:textFill>
        </w:rPr>
      </w:pPr>
    </w:p>
    <w:p>
      <w:pPr>
        <w:pStyle w:val="38"/>
        <w:spacing w:line="240" w:lineRule="auto"/>
        <w:ind w:firstLine="0" w:firstLineChars="0"/>
        <w:jc w:val="both"/>
        <w:rPr>
          <w:rFonts w:ascii="华文仿宋" w:hAnsi="华文仿宋" w:cs="华文仿宋"/>
          <w:color w:val="000000" w:themeColor="text1"/>
          <w:sz w:val="36"/>
          <w:szCs w:val="36"/>
          <w14:textFill>
            <w14:solidFill>
              <w14:schemeClr w14:val="tx1"/>
            </w14:solidFill>
          </w14:textFill>
        </w:rPr>
      </w:pPr>
    </w:p>
    <w:p>
      <w:pPr>
        <w:pStyle w:val="38"/>
        <w:spacing w:line="240" w:lineRule="auto"/>
        <w:ind w:firstLine="0" w:firstLineChars="0"/>
        <w:jc w:val="both"/>
        <w:rPr>
          <w:rFonts w:ascii="华文仿宋" w:hAnsi="华文仿宋" w:cs="华文仿宋"/>
          <w:color w:val="000000" w:themeColor="text1"/>
          <w:sz w:val="36"/>
          <w:szCs w:val="36"/>
          <w14:textFill>
            <w14:solidFill>
              <w14:schemeClr w14:val="tx1"/>
            </w14:solidFill>
          </w14:textFill>
        </w:rPr>
      </w:pPr>
    </w:p>
    <w:p>
      <w:pPr>
        <w:pStyle w:val="38"/>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8"/>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8"/>
        <w:spacing w:line="240" w:lineRule="auto"/>
        <w:ind w:firstLine="0" w:firstLineChars="0"/>
        <w:jc w:val="center"/>
        <w:rPr>
          <w:rFonts w:ascii="华文仿宋" w:hAnsi="华文仿宋" w:cs="华文仿宋"/>
          <w:color w:val="000000" w:themeColor="text1"/>
          <w:sz w:val="36"/>
          <w14:textFill>
            <w14:solidFill>
              <w14:schemeClr w14:val="tx1"/>
            </w14:solidFill>
          </w14:textFill>
        </w:rPr>
      </w:pPr>
    </w:p>
    <w:p>
      <w:pPr>
        <w:pStyle w:val="38"/>
        <w:spacing w:line="240" w:lineRule="auto"/>
        <w:ind w:firstLine="1452" w:firstLineChars="400"/>
        <w:outlineLvl w:val="0"/>
        <w:rPr>
          <w:rFonts w:hint="eastAsia" w:ascii="仿宋_GB2312" w:hAnsi="仿宋_GB2312" w:eastAsia="仿宋_GB2312" w:cs="仿宋_GB2312"/>
          <w:b/>
          <w:color w:val="000000" w:themeColor="text1"/>
          <w:sz w:val="36"/>
          <w:szCs w:val="36"/>
          <w:u w:val="single"/>
          <w14:textFill>
            <w14:solidFill>
              <w14:schemeClr w14:val="tx1"/>
            </w14:solidFill>
          </w14:textFill>
        </w:rPr>
      </w:pPr>
      <w:bookmarkStart w:id="221" w:name="_Toc15354"/>
      <w:bookmarkStart w:id="222" w:name="_Toc15913"/>
      <w:bookmarkStart w:id="223" w:name="_Toc12627"/>
      <w:bookmarkStart w:id="224" w:name="_Toc24457"/>
      <w:bookmarkStart w:id="225" w:name="_Toc23171"/>
      <w:bookmarkStart w:id="226" w:name="_Toc22280"/>
      <w:bookmarkStart w:id="227" w:name="_Toc2030"/>
      <w:bookmarkStart w:id="228" w:name="_Toc24486"/>
      <w:r>
        <w:rPr>
          <w:rFonts w:hint="eastAsia" w:ascii="仿宋_GB2312" w:hAnsi="仿宋_GB2312" w:eastAsia="仿宋_GB2312" w:cs="仿宋_GB2312"/>
          <w:bCs/>
          <w:color w:val="000000" w:themeColor="text1"/>
          <w:sz w:val="36"/>
          <w:szCs w:val="36"/>
          <w14:textFill>
            <w14:solidFill>
              <w14:schemeClr w14:val="tx1"/>
            </w14:solidFill>
          </w14:textFill>
        </w:rPr>
        <w:t>项目名称：</w:t>
      </w:r>
      <w:bookmarkEnd w:id="221"/>
      <w:bookmarkEnd w:id="222"/>
      <w:bookmarkEnd w:id="223"/>
      <w:bookmarkEnd w:id="224"/>
      <w:bookmarkEnd w:id="225"/>
      <w:bookmarkEnd w:id="226"/>
      <w:bookmarkEnd w:id="227"/>
      <w:bookmarkEnd w:id="228"/>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p>
    <w:p>
      <w:pPr>
        <w:pStyle w:val="38"/>
        <w:spacing w:line="240" w:lineRule="auto"/>
        <w:ind w:firstLine="1452" w:firstLineChars="400"/>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bookmarkStart w:id="229" w:name="_Toc16607"/>
      <w:bookmarkStart w:id="230" w:name="_Toc1120"/>
      <w:bookmarkStart w:id="231" w:name="_Toc15987"/>
      <w:bookmarkStart w:id="232" w:name="_Toc29966"/>
      <w:bookmarkStart w:id="233" w:name="_Toc22519"/>
      <w:bookmarkStart w:id="234" w:name="_Toc11267"/>
      <w:bookmarkStart w:id="235" w:name="_Toc21054"/>
      <w:bookmarkStart w:id="236" w:name="_Toc5428"/>
      <w:r>
        <w:rPr>
          <w:rFonts w:hint="eastAsia" w:ascii="仿宋_GB2312" w:hAnsi="仿宋_GB2312" w:eastAsia="仿宋_GB2312" w:cs="仿宋_GB2312"/>
          <w:bCs/>
          <w:color w:val="000000" w:themeColor="text1"/>
          <w:sz w:val="36"/>
          <w:szCs w:val="36"/>
          <w14:textFill>
            <w14:solidFill>
              <w14:schemeClr w14:val="tx1"/>
            </w14:solidFill>
          </w14:textFill>
        </w:rPr>
        <w:t>项目</w:t>
      </w:r>
      <w:r>
        <w:rPr>
          <w:rFonts w:hint="eastAsia" w:ascii="仿宋_GB2312" w:hAnsi="仿宋_GB2312" w:eastAsia="仿宋_GB2312" w:cs="仿宋_GB2312"/>
          <w:bCs/>
          <w:color w:val="000000" w:themeColor="text1"/>
          <w:sz w:val="36"/>
          <w:szCs w:val="36"/>
          <w:lang w:val="en-US" w:eastAsia="zh-CN"/>
          <w14:textFill>
            <w14:solidFill>
              <w14:schemeClr w14:val="tx1"/>
            </w14:solidFill>
          </w14:textFill>
        </w:rPr>
        <w:t>编号</w:t>
      </w:r>
      <w:r>
        <w:rPr>
          <w:rFonts w:hint="eastAsia" w:ascii="仿宋_GB2312" w:hAnsi="仿宋_GB2312" w:eastAsia="仿宋_GB2312" w:cs="仿宋_GB2312"/>
          <w:bCs/>
          <w:color w:val="000000" w:themeColor="text1"/>
          <w:sz w:val="36"/>
          <w:szCs w:val="36"/>
          <w14:textFill>
            <w14:solidFill>
              <w14:schemeClr w14:val="tx1"/>
            </w14:solidFill>
          </w14:textFill>
        </w:rPr>
        <w:t>：</w:t>
      </w:r>
      <w:bookmarkEnd w:id="229"/>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p>
    <w:p>
      <w:pPr>
        <w:pStyle w:val="38"/>
        <w:spacing w:line="240" w:lineRule="auto"/>
        <w:ind w:firstLine="1452" w:firstLineChars="400"/>
        <w:outlineLvl w:val="0"/>
        <w:rPr>
          <w:rFonts w:hint="eastAsia" w:ascii="仿宋_GB2312" w:hAnsi="仿宋_GB2312" w:eastAsia="仿宋_GB2312" w:cs="仿宋_GB2312"/>
          <w:color w:val="000000" w:themeColor="text1"/>
          <w:sz w:val="36"/>
          <w14:textFill>
            <w14:solidFill>
              <w14:schemeClr w14:val="tx1"/>
            </w14:solidFill>
          </w14:textFill>
        </w:rPr>
      </w:pPr>
      <w:bookmarkStart w:id="237" w:name="_Toc18959"/>
      <w:r>
        <w:rPr>
          <w:rFonts w:hint="eastAsia" w:ascii="仿宋_GB2312" w:hAnsi="仿宋_GB2312" w:eastAsia="仿宋_GB2312" w:cs="仿宋_GB2312"/>
          <w:color w:val="000000" w:themeColor="text1"/>
          <w:sz w:val="36"/>
          <w14:textFill>
            <w14:solidFill>
              <w14:schemeClr w14:val="tx1"/>
            </w14:solidFill>
          </w14:textFill>
        </w:rPr>
        <w:t>供 应 商：</w:t>
      </w:r>
      <w:r>
        <w:rPr>
          <w:rFonts w:hint="eastAsia" w:ascii="仿宋_GB2312" w:hAnsi="仿宋_GB2312" w:eastAsia="仿宋_GB2312" w:cs="仿宋_GB2312"/>
          <w:color w:val="000000" w:themeColor="text1"/>
          <w:sz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14:textFill>
            <w14:solidFill>
              <w14:schemeClr w14:val="tx1"/>
            </w14:solidFill>
          </w14:textFill>
        </w:rPr>
        <w:t>（公章）</w:t>
      </w:r>
      <w:bookmarkEnd w:id="230"/>
      <w:bookmarkEnd w:id="231"/>
      <w:bookmarkEnd w:id="232"/>
      <w:bookmarkEnd w:id="233"/>
      <w:bookmarkEnd w:id="234"/>
      <w:bookmarkEnd w:id="235"/>
      <w:bookmarkEnd w:id="236"/>
      <w:bookmarkEnd w:id="237"/>
    </w:p>
    <w:p>
      <w:pPr>
        <w:pStyle w:val="38"/>
        <w:spacing w:line="240" w:lineRule="auto"/>
        <w:ind w:firstLine="1452" w:firstLineChars="400"/>
        <w:jc w:val="left"/>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bookmarkStart w:id="238" w:name="_Toc7734"/>
      <w:bookmarkStart w:id="239" w:name="_Toc21702"/>
      <w:bookmarkStart w:id="240" w:name="_Toc9715"/>
      <w:bookmarkStart w:id="241" w:name="_Toc15429"/>
      <w:bookmarkStart w:id="242" w:name="_Toc5243"/>
      <w:bookmarkStart w:id="243" w:name="_Toc26250"/>
      <w:bookmarkStart w:id="244" w:name="_Toc880"/>
      <w:bookmarkStart w:id="245" w:name="_Toc24294"/>
      <w:r>
        <w:rPr>
          <w:rFonts w:hint="eastAsia" w:ascii="仿宋_GB2312" w:hAnsi="仿宋_GB2312" w:eastAsia="仿宋_GB2312" w:cs="仿宋_GB2312"/>
          <w:color w:val="000000" w:themeColor="text1"/>
          <w:sz w:val="36"/>
          <w14:textFill>
            <w14:solidFill>
              <w14:schemeClr w14:val="tx1"/>
            </w14:solidFill>
          </w14:textFill>
        </w:rPr>
        <w:t>时　  间：</w:t>
      </w:r>
      <w:bookmarkEnd w:id="238"/>
      <w:bookmarkEnd w:id="239"/>
      <w:bookmarkEnd w:id="240"/>
      <w:r>
        <w:rPr>
          <w:rFonts w:hint="eastAsia" w:ascii="仿宋_GB2312" w:hAnsi="仿宋_GB2312" w:eastAsia="仿宋_GB2312" w:cs="仿宋_GB2312"/>
          <w:color w:val="000000" w:themeColor="text1"/>
          <w:sz w:val="36"/>
          <w:u w:val="single"/>
          <w14:textFill>
            <w14:solidFill>
              <w14:schemeClr w14:val="tx1"/>
            </w14:solidFill>
          </w14:textFill>
        </w:rPr>
        <w:t xml:space="preserve"> </w:t>
      </w:r>
      <w:r>
        <w:rPr>
          <w:rFonts w:hint="eastAsia" w:ascii="仿宋_GB2312" w:hAnsi="仿宋_GB2312" w:eastAsia="仿宋_GB2312" w:cs="仿宋_GB2312"/>
          <w:color w:val="000000" w:themeColor="text1"/>
          <w:sz w:val="36"/>
          <w:szCs w:val="36"/>
          <w:u w:val="single"/>
          <w14:textFill>
            <w14:solidFill>
              <w14:schemeClr w14:val="tx1"/>
            </w14:solidFill>
          </w14:textFill>
        </w:rPr>
        <w:t xml:space="preserve">            </w:t>
      </w:r>
      <w:bookmarkEnd w:id="241"/>
      <w:bookmarkEnd w:id="242"/>
      <w:bookmarkEnd w:id="243"/>
      <w:bookmarkEnd w:id="244"/>
      <w:bookmarkEnd w:id="245"/>
    </w:p>
    <w:p>
      <w:pPr>
        <w:pStyle w:val="38"/>
        <w:spacing w:line="240" w:lineRule="auto"/>
        <w:ind w:firstLine="1452" w:firstLineChars="400"/>
        <w:jc w:val="left"/>
        <w:outlineLvl w:val="0"/>
        <w:rPr>
          <w:rFonts w:hint="eastAsia" w:ascii="仿宋_GB2312" w:hAnsi="仿宋_GB2312" w:eastAsia="仿宋_GB2312" w:cs="仿宋_GB2312"/>
          <w:color w:val="000000" w:themeColor="text1"/>
          <w:sz w:val="36"/>
          <w:szCs w:val="36"/>
          <w:u w:val="single"/>
          <w14:textFill>
            <w14:solidFill>
              <w14:schemeClr w14:val="tx1"/>
            </w14:solidFill>
          </w14:textFill>
        </w:rPr>
      </w:pPr>
    </w:p>
    <w:p>
      <w:pPr>
        <w:pStyle w:val="38"/>
        <w:spacing w:line="240" w:lineRule="auto"/>
        <w:ind w:firstLine="1452" w:firstLineChars="400"/>
        <w:jc w:val="left"/>
        <w:outlineLvl w:val="0"/>
        <w:rPr>
          <w:rFonts w:hint="eastAsia" w:ascii="仿宋" w:hAnsi="仿宋" w:eastAsia="仿宋" w:cs="仿宋"/>
          <w:color w:val="000000" w:themeColor="text1"/>
          <w:sz w:val="36"/>
          <w:szCs w:val="36"/>
          <w:u w:val="single"/>
          <w14:textFill>
            <w14:solidFill>
              <w14:schemeClr w14:val="tx1"/>
            </w14:solidFill>
          </w14:textFill>
        </w:rPr>
      </w:pPr>
    </w:p>
    <w:bookmarkEnd w:id="194"/>
    <w:bookmarkEnd w:id="195"/>
    <w:bookmarkEnd w:id="196"/>
    <w:bookmarkEnd w:id="197"/>
    <w:bookmarkEnd w:id="198"/>
    <w:bookmarkEnd w:id="199"/>
    <w:bookmarkEnd w:id="200"/>
    <w:bookmarkEnd w:id="201"/>
    <w:bookmarkEnd w:id="202"/>
    <w:bookmarkEnd w:id="203"/>
    <w:p>
      <w:pPr>
        <w:rPr>
          <w:rFonts w:ascii="华文仿宋" w:hAnsi="华文仿宋" w:cs="华文仿宋"/>
          <w:color w:val="000000" w:themeColor="text1"/>
          <w:sz w:val="36"/>
          <w14:textFill>
            <w14:solidFill>
              <w14:schemeClr w14:val="tx1"/>
            </w14:solidFill>
          </w14:textFill>
        </w:rPr>
      </w:pPr>
      <w:bookmarkStart w:id="246" w:name="_Toc22476_WPSOffice_Level1"/>
      <w:bookmarkStart w:id="247" w:name="_Toc2071_WPSOffice_Level1"/>
      <w:bookmarkStart w:id="248" w:name="_Toc31082_WPSOffice_Level1"/>
      <w:bookmarkStart w:id="249" w:name="_Toc21571_WPSOffice_Level1"/>
      <w:r>
        <w:rPr>
          <w:rFonts w:ascii="华文仿宋" w:hAnsi="华文仿宋" w:cs="华文仿宋"/>
          <w:color w:val="000000" w:themeColor="text1"/>
          <w:sz w:val="36"/>
          <w14:textFill>
            <w14:solidFill>
              <w14:schemeClr w14:val="tx1"/>
            </w14:solidFill>
          </w14:textFill>
        </w:rPr>
        <w:br w:type="page"/>
      </w:r>
    </w:p>
    <w:p>
      <w:pPr>
        <w:pStyle w:val="42"/>
        <w:rPr>
          <w:rFonts w:hint="eastAsia" w:ascii="黑体" w:hAnsi="黑体" w:eastAsia="黑体" w:cs="黑体"/>
          <w:b w:val="0"/>
          <w:bCs w:val="0"/>
          <w:color w:val="000000" w:themeColor="text1"/>
          <w:sz w:val="36"/>
          <w:szCs w:val="36"/>
          <w14:textFill>
            <w14:solidFill>
              <w14:schemeClr w14:val="tx1"/>
            </w14:solidFill>
          </w14:textFill>
        </w:rPr>
      </w:pPr>
      <w:bookmarkStart w:id="250" w:name="_Toc27037"/>
      <w:bookmarkStart w:id="251" w:name="_Toc24906"/>
      <w:bookmarkStart w:id="252" w:name="_Toc23450"/>
      <w:bookmarkStart w:id="253" w:name="_Toc11156"/>
      <w:bookmarkStart w:id="254" w:name="_Toc10193"/>
      <w:r>
        <w:rPr>
          <w:rFonts w:hint="eastAsia" w:ascii="黑体" w:hAnsi="黑体" w:eastAsia="黑体" w:cs="黑体"/>
          <w:b w:val="0"/>
          <w:bCs w:val="0"/>
          <w:color w:val="000000" w:themeColor="text1"/>
          <w:sz w:val="44"/>
          <w:szCs w:val="44"/>
          <w14:textFill>
            <w14:solidFill>
              <w14:schemeClr w14:val="tx1"/>
            </w14:solidFill>
          </w14:textFill>
        </w:rPr>
        <w:t>目  录</w:t>
      </w:r>
      <w:bookmarkEnd w:id="246"/>
      <w:bookmarkEnd w:id="247"/>
      <w:bookmarkEnd w:id="248"/>
      <w:bookmarkEnd w:id="249"/>
      <w:bookmarkEnd w:id="250"/>
      <w:bookmarkEnd w:id="251"/>
      <w:bookmarkEnd w:id="252"/>
      <w:bookmarkEnd w:id="253"/>
      <w:bookmarkEnd w:id="254"/>
    </w:p>
    <w:p>
      <w:pPr>
        <w:tabs>
          <w:tab w:val="right" w:leader="hyphen" w:pos="8504"/>
        </w:tabs>
        <w:spacing w:line="500" w:lineRule="exact"/>
        <w:ind w:left="1981" w:leftChars="200" w:right="849" w:rightChars="300" w:hanging="1415" w:hangingChars="500"/>
        <w:rPr>
          <w:rFonts w:ascii="黑体" w:hAnsi="黑体" w:eastAsia="黑体" w:cs="黑体"/>
          <w:color w:val="000000" w:themeColor="text1"/>
          <w14:textFill>
            <w14:solidFill>
              <w14:schemeClr w14:val="tx1"/>
            </w14:solidFill>
          </w14:textFill>
        </w:rPr>
      </w:pPr>
      <w:bookmarkStart w:id="255" w:name="_Toc19993_WPSOffice_Level1"/>
      <w:bookmarkStart w:id="256" w:name="_Toc25537_WPSOffice_Level1"/>
      <w:bookmarkStart w:id="257" w:name="_Toc26192_WPSOffice_Level1"/>
      <w:bookmarkStart w:id="258" w:name="_Toc8294_WPSOffice_Level1"/>
      <w:r>
        <w:rPr>
          <w:rFonts w:hint="eastAsia" w:ascii="黑体" w:hAnsi="黑体" w:eastAsia="黑体" w:cs="黑体"/>
          <w:color w:val="000000" w:themeColor="text1"/>
          <w14:textFill>
            <w14:solidFill>
              <w14:schemeClr w14:val="tx1"/>
            </w14:solidFill>
          </w14:textFill>
        </w:rPr>
        <w:t>第一部分  资格证明文件</w:t>
      </w:r>
      <w:r>
        <w:rPr>
          <w:rFonts w:hint="eastAsia" w:ascii="黑体" w:hAnsi="黑体" w:eastAsia="黑体" w:cs="黑体"/>
          <w:color w:val="000000" w:themeColor="text1"/>
          <w14:textFill>
            <w14:solidFill>
              <w14:schemeClr w14:val="tx1"/>
            </w14:solidFill>
          </w14:textFill>
        </w:rPr>
        <w:tab/>
      </w:r>
      <w:r>
        <w:rPr>
          <w:rFonts w:hint="eastAsia" w:ascii="黑体" w:hAnsi="黑体" w:eastAsia="黑体" w:cs="黑体"/>
          <w:color w:val="000000" w:themeColor="text1"/>
          <w14:textFill>
            <w14:solidFill>
              <w14:schemeClr w14:val="tx1"/>
            </w14:solidFill>
          </w14:textFill>
        </w:rPr>
        <w:t>X</w:t>
      </w:r>
      <w:bookmarkEnd w:id="255"/>
      <w:bookmarkEnd w:id="256"/>
      <w:bookmarkEnd w:id="257"/>
      <w:bookmarkEnd w:id="258"/>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color w:val="000000" w:themeColor="text1"/>
          <w14:textFill>
            <w14:solidFill>
              <w14:schemeClr w14:val="tx1"/>
            </w14:solidFill>
          </w14:textFill>
        </w:rPr>
        <w:t>　　　</w:t>
      </w:r>
      <w:bookmarkStart w:id="259" w:name="_Toc31082_WPSOffice_Level2"/>
      <w:bookmarkStart w:id="260" w:name="_Toc25969_WPSOffice_Level2"/>
      <w:bookmarkStart w:id="261" w:name="_Toc19993_WPSOffice_Level2"/>
      <w:bookmarkStart w:id="262" w:name="_Toc14464_WPSOffice_Level2"/>
      <w:r>
        <w:rPr>
          <w:rFonts w:hint="eastAsia" w:ascii="仿宋_GB2312" w:hAnsi="仿宋_GB2312" w:eastAsia="仿宋_GB2312" w:cs="仿宋_GB2312"/>
          <w:color w:val="000000" w:themeColor="text1"/>
          <w14:textFill>
            <w14:solidFill>
              <w14:schemeClr w14:val="tx1"/>
            </w14:solidFill>
          </w14:textFill>
        </w:rPr>
        <w:t>一、营业执照等主体资格证明文件</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59"/>
      <w:bookmarkEnd w:id="260"/>
      <w:bookmarkEnd w:id="261"/>
      <w:bookmarkEnd w:id="262"/>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63" w:name="_Toc27026_WPSOffice_Level2"/>
      <w:bookmarkStart w:id="264" w:name="_Toc25537_WPSOffice_Level2"/>
      <w:bookmarkStart w:id="265" w:name="_Toc5830_WPSOffice_Level2"/>
      <w:bookmarkStart w:id="266" w:name="_Toc10078_WPSOffice_Level2"/>
      <w:r>
        <w:rPr>
          <w:rFonts w:hint="eastAsia" w:ascii="仿宋_GB2312" w:hAnsi="仿宋_GB2312" w:eastAsia="仿宋_GB2312" w:cs="仿宋_GB2312"/>
          <w:color w:val="000000" w:themeColor="text1"/>
          <w14:textFill>
            <w14:solidFill>
              <w14:schemeClr w14:val="tx1"/>
            </w14:solidFill>
          </w14:textFill>
        </w:rPr>
        <w:t>二、财务状况报告</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63"/>
      <w:bookmarkEnd w:id="264"/>
      <w:bookmarkEnd w:id="265"/>
      <w:bookmarkEnd w:id="266"/>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67" w:name="_Toc6392_WPSOffice_Level2"/>
      <w:bookmarkStart w:id="268" w:name="_Toc30252_WPSOffice_Level2"/>
      <w:bookmarkStart w:id="269" w:name="_Toc17853_WPSOffice_Level2"/>
      <w:bookmarkStart w:id="270" w:name="_Toc22808_WPSOffice_Level2"/>
      <w:r>
        <w:rPr>
          <w:rFonts w:hint="eastAsia" w:ascii="仿宋_GB2312" w:hAnsi="仿宋_GB2312" w:eastAsia="仿宋_GB2312" w:cs="仿宋_GB2312"/>
          <w:color w:val="000000" w:themeColor="text1"/>
          <w14:textFill>
            <w14:solidFill>
              <w14:schemeClr w14:val="tx1"/>
            </w14:solidFill>
          </w14:textFill>
        </w:rPr>
        <w:t>三、社保缴纳证明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67"/>
      <w:bookmarkEnd w:id="268"/>
      <w:bookmarkEnd w:id="269"/>
      <w:bookmarkEnd w:id="270"/>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71" w:name="_Toc27464_WPSOffice_Level2"/>
      <w:bookmarkStart w:id="272" w:name="_Toc6376_WPSOffice_Level2"/>
      <w:bookmarkStart w:id="273" w:name="_Toc25958_WPSOffice_Level2"/>
      <w:bookmarkStart w:id="274" w:name="_Toc26939_WPSOffice_Level2"/>
      <w:r>
        <w:rPr>
          <w:rFonts w:hint="eastAsia" w:ascii="仿宋_GB2312" w:hAnsi="仿宋_GB2312" w:eastAsia="仿宋_GB2312" w:cs="仿宋_GB2312"/>
          <w:color w:val="000000" w:themeColor="text1"/>
          <w14:textFill>
            <w14:solidFill>
              <w14:schemeClr w14:val="tx1"/>
            </w14:solidFill>
          </w14:textFill>
        </w:rPr>
        <w:t>四、税收缴纳证明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71"/>
      <w:bookmarkEnd w:id="272"/>
      <w:bookmarkEnd w:id="273"/>
      <w:bookmarkEnd w:id="274"/>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75" w:name="_Toc17511_WPSOffice_Level2"/>
      <w:bookmarkStart w:id="276" w:name="_Toc25801_WPSOffice_Level2"/>
      <w:bookmarkStart w:id="277" w:name="_Toc10792_WPSOffice_Level2"/>
      <w:bookmarkStart w:id="278" w:name="_Toc3534_WPSOffice_Level2"/>
      <w:r>
        <w:rPr>
          <w:rFonts w:hint="eastAsia" w:ascii="仿宋_GB2312" w:hAnsi="仿宋_GB2312" w:eastAsia="仿宋_GB2312" w:cs="仿宋_GB2312"/>
          <w:color w:val="000000" w:themeColor="text1"/>
          <w14:textFill>
            <w14:solidFill>
              <w14:schemeClr w14:val="tx1"/>
            </w14:solidFill>
          </w14:textFill>
        </w:rPr>
        <w:t>五、书面声明</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75"/>
      <w:bookmarkEnd w:id="276"/>
      <w:bookmarkEnd w:id="277"/>
      <w:bookmarkEnd w:id="278"/>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79" w:name="_Toc17236_WPSOffice_Level2"/>
      <w:bookmarkStart w:id="280" w:name="_Toc21196_WPSOffice_Level2"/>
      <w:bookmarkStart w:id="281" w:name="_Toc5115_WPSOffice_Level2"/>
      <w:bookmarkStart w:id="282" w:name="_Toc12145_WPSOffice_Level2"/>
      <w:r>
        <w:rPr>
          <w:rFonts w:hint="eastAsia" w:ascii="仿宋_GB2312" w:hAnsi="仿宋_GB2312" w:eastAsia="仿宋_GB2312" w:cs="仿宋_GB2312"/>
          <w:color w:val="000000" w:themeColor="text1"/>
          <w14:textFill>
            <w14:solidFill>
              <w14:schemeClr w14:val="tx1"/>
            </w14:solidFill>
          </w14:textFill>
        </w:rPr>
        <w:t>六、法定代表人授权委托书</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79"/>
      <w:bookmarkEnd w:id="280"/>
      <w:bookmarkEnd w:id="281"/>
      <w:bookmarkEnd w:id="282"/>
    </w:p>
    <w:p>
      <w:pPr>
        <w:tabs>
          <w:tab w:val="right" w:leader="hyphen" w:pos="8504"/>
        </w:tabs>
        <w:spacing w:line="500" w:lineRule="exact"/>
        <w:ind w:left="1981" w:leftChars="200" w:right="849" w:rightChars="300" w:hanging="1415" w:hangingChars="500"/>
        <w:rPr>
          <w:rFonts w:ascii="黑体" w:hAnsi="黑体" w:eastAsia="黑体" w:cs="黑体"/>
          <w:color w:val="000000" w:themeColor="text1"/>
          <w14:textFill>
            <w14:solidFill>
              <w14:schemeClr w14:val="tx1"/>
            </w14:solidFill>
          </w14:textFill>
        </w:rPr>
      </w:pPr>
      <w:bookmarkStart w:id="283" w:name="_Toc30252_WPSOffice_Level1"/>
      <w:bookmarkStart w:id="284" w:name="_Toc27026_WPSOffice_Level1"/>
      <w:bookmarkStart w:id="285" w:name="_Toc28184_WPSOffice_Level1"/>
      <w:bookmarkStart w:id="286" w:name="_Toc22849_WPSOffice_Level1"/>
      <w:r>
        <w:rPr>
          <w:rFonts w:hint="eastAsia" w:ascii="黑体" w:hAnsi="黑体" w:eastAsia="黑体" w:cs="黑体"/>
          <w:color w:val="000000" w:themeColor="text1"/>
          <w14:textFill>
            <w14:solidFill>
              <w14:schemeClr w14:val="tx1"/>
            </w14:solidFill>
          </w14:textFill>
        </w:rPr>
        <w:t>第二部分  符合性证明文件</w:t>
      </w:r>
      <w:r>
        <w:rPr>
          <w:color w:val="000000" w:themeColor="text1"/>
          <w14:textFill>
            <w14:solidFill>
              <w14:schemeClr w14:val="tx1"/>
            </w14:solidFill>
          </w14:textFill>
        </w:rPr>
        <w:tab/>
      </w:r>
      <w:r>
        <w:rPr>
          <w:color w:val="000000" w:themeColor="text1"/>
          <w14:textFill>
            <w14:solidFill>
              <w14:schemeClr w14:val="tx1"/>
            </w14:solidFill>
          </w14:textFill>
        </w:rPr>
        <w:t>X</w:t>
      </w:r>
      <w:bookmarkEnd w:id="283"/>
      <w:bookmarkEnd w:id="284"/>
      <w:bookmarkEnd w:id="285"/>
      <w:bookmarkEnd w:id="286"/>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87" w:name="_Toc7348_WPSOffice_Level2"/>
      <w:bookmarkStart w:id="288" w:name="_Toc183_WPSOffice_Level2"/>
      <w:bookmarkStart w:id="289" w:name="_Toc5795_WPSOffice_Level2"/>
      <w:bookmarkStart w:id="290" w:name="_Toc28631_WPSOffice_Level2"/>
      <w:r>
        <w:rPr>
          <w:rFonts w:hint="eastAsia" w:ascii="仿宋_GB2312" w:hAnsi="仿宋_GB2312" w:eastAsia="仿宋_GB2312" w:cs="仿宋_GB2312"/>
          <w:color w:val="000000" w:themeColor="text1"/>
          <w14:textFill>
            <w14:solidFill>
              <w14:schemeClr w14:val="tx1"/>
            </w14:solidFill>
          </w14:textFill>
        </w:rPr>
        <w:t>一、响应函格式</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87"/>
      <w:bookmarkEnd w:id="288"/>
      <w:bookmarkEnd w:id="289"/>
      <w:bookmarkEnd w:id="290"/>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bookmarkStart w:id="291" w:name="_Toc27223_WPSOffice_Level2"/>
      <w:bookmarkStart w:id="292" w:name="_Toc1168_WPSOffice_Level2"/>
      <w:bookmarkStart w:id="293" w:name="_Toc8116_WPSOffice_Level2"/>
      <w:bookmarkStart w:id="294" w:name="_Toc9021_WPSOffice_Level2"/>
      <w:r>
        <w:rPr>
          <w:rFonts w:hint="eastAsia" w:ascii="仿宋_GB2312" w:hAnsi="仿宋_GB2312" w:eastAsia="仿宋_GB2312" w:cs="仿宋_GB2312"/>
          <w:color w:val="000000" w:themeColor="text1"/>
          <w14:textFill>
            <w14:solidFill>
              <w14:schemeClr w14:val="tx1"/>
            </w14:solidFill>
          </w14:textFill>
        </w:rPr>
        <w:t>二、第一次</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报价表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91"/>
      <w:bookmarkEnd w:id="292"/>
      <w:bookmarkEnd w:id="293"/>
      <w:bookmarkEnd w:id="294"/>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分项报价表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p>
    <w:p>
      <w:pPr>
        <w:tabs>
          <w:tab w:val="right" w:leader="hyphen" w:pos="8504"/>
        </w:tabs>
        <w:spacing w:line="500" w:lineRule="exact"/>
        <w:ind w:left="1981" w:leftChars="500" w:right="849" w:rightChars="300" w:hanging="566" w:hangingChars="200"/>
        <w:rPr>
          <w:rFonts w:hint="eastAsia" w:ascii="仿宋_GB2312" w:hAnsi="仿宋_GB2312" w:eastAsia="仿宋_GB2312" w:cs="仿宋_GB2312"/>
          <w:color w:val="000000" w:themeColor="text1"/>
          <w14:textFill>
            <w14:solidFill>
              <w14:schemeClr w14:val="tx1"/>
            </w14:solidFill>
          </w14:textFill>
        </w:rPr>
      </w:pPr>
      <w:bookmarkStart w:id="295" w:name="_Toc11630_WPSOffice_Level2"/>
      <w:bookmarkStart w:id="296" w:name="_Toc27170_WPSOffice_Level2"/>
      <w:bookmarkStart w:id="297" w:name="_Toc29414_WPSOffice_Level2"/>
      <w:bookmarkStart w:id="298" w:name="_Toc3525_WPSOffice_Level2"/>
      <w:r>
        <w:rPr>
          <w:rFonts w:hint="eastAsia" w:ascii="仿宋_GB2312" w:hAnsi="仿宋_GB2312" w:eastAsia="仿宋_GB2312" w:cs="仿宋_GB2312"/>
          <w:color w:val="000000" w:themeColor="text1"/>
          <w14:textFill>
            <w14:solidFill>
              <w14:schemeClr w14:val="tx1"/>
            </w14:solidFill>
          </w14:textFill>
        </w:rPr>
        <w:t>三、供应商参加政府采购活动承诺书</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95"/>
      <w:bookmarkEnd w:id="296"/>
      <w:bookmarkEnd w:id="297"/>
      <w:bookmarkEnd w:id="298"/>
    </w:p>
    <w:p>
      <w:pPr>
        <w:tabs>
          <w:tab w:val="right" w:leader="hyphen" w:pos="8504"/>
        </w:tabs>
        <w:spacing w:line="500" w:lineRule="exact"/>
        <w:ind w:right="849" w:rightChars="300" w:firstLine="1415" w:firstLineChars="500"/>
        <w:rPr>
          <w:rFonts w:hint="eastAsia" w:ascii="仿宋_GB2312" w:hAnsi="仿宋_GB2312" w:eastAsia="仿宋_GB2312" w:cs="仿宋_GB2312"/>
          <w:color w:val="000000" w:themeColor="text1"/>
          <w14:textFill>
            <w14:solidFill>
              <w14:schemeClr w14:val="tx1"/>
            </w14:solidFill>
          </w14:textFill>
        </w:rPr>
      </w:pPr>
      <w:bookmarkStart w:id="299" w:name="_Toc31457_WPSOffice_Level2"/>
      <w:bookmarkStart w:id="300" w:name="_Toc1782_WPSOffice_Level2"/>
      <w:bookmarkStart w:id="301" w:name="_Toc18811_WPSOffice_Level2"/>
      <w:bookmarkStart w:id="302" w:name="_Toc20504_WPSOffice_Level2"/>
      <w:r>
        <w:rPr>
          <w:rFonts w:hint="eastAsia" w:ascii="仿宋_GB2312" w:hAnsi="仿宋_GB2312" w:eastAsia="仿宋_GB2312" w:cs="仿宋_GB2312"/>
          <w:color w:val="000000" w:themeColor="text1"/>
          <w:lang w:val="en-US" w:eastAsia="zh-CN"/>
          <w14:textFill>
            <w14:solidFill>
              <w14:schemeClr w14:val="tx1"/>
            </w14:solidFill>
          </w14:textFill>
        </w:rPr>
        <w:t>四</w:t>
      </w:r>
      <w:r>
        <w:rPr>
          <w:rFonts w:hint="eastAsia" w:ascii="仿宋_GB2312" w:hAnsi="仿宋_GB2312" w:eastAsia="仿宋_GB2312" w:cs="仿宋_GB2312"/>
          <w:color w:val="000000" w:themeColor="text1"/>
          <w14:textFill>
            <w14:solidFill>
              <w14:schemeClr w14:val="tx1"/>
            </w14:solidFill>
          </w14:textFill>
        </w:rPr>
        <w:t>、技术服务偏差表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299"/>
      <w:bookmarkEnd w:id="300"/>
      <w:bookmarkEnd w:id="301"/>
      <w:bookmarkEnd w:id="302"/>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bookmarkStart w:id="303" w:name="_Toc17428_WPSOffice_Level2"/>
      <w:bookmarkStart w:id="304" w:name="_Toc28279_WPSOffice_Level2"/>
      <w:bookmarkStart w:id="305" w:name="_Toc13258_WPSOffice_Level2"/>
      <w:bookmarkStart w:id="306" w:name="_Toc19486_WPSOffice_Level2"/>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14:textFill>
            <w14:solidFill>
              <w14:schemeClr w14:val="tx1"/>
            </w14:solidFill>
          </w14:textFill>
        </w:rPr>
        <w:t>、合同</w:t>
      </w:r>
      <w:r>
        <w:rPr>
          <w:rFonts w:hint="eastAsia" w:ascii="仿宋_GB2312" w:hAnsi="仿宋_GB2312" w:eastAsia="仿宋_GB2312" w:cs="仿宋_GB2312"/>
          <w:color w:val="000000" w:themeColor="text1"/>
          <w:lang w:val="en-US" w:eastAsia="zh-CN"/>
          <w14:textFill>
            <w14:solidFill>
              <w14:schemeClr w14:val="tx1"/>
            </w14:solidFill>
          </w14:textFill>
        </w:rPr>
        <w:t>草案</w:t>
      </w:r>
      <w:r>
        <w:rPr>
          <w:rFonts w:hint="eastAsia" w:ascii="仿宋_GB2312" w:hAnsi="仿宋_GB2312" w:eastAsia="仿宋_GB2312" w:cs="仿宋_GB2312"/>
          <w:color w:val="000000" w:themeColor="text1"/>
          <w14:textFill>
            <w14:solidFill>
              <w14:schemeClr w14:val="tx1"/>
            </w14:solidFill>
          </w14:textFill>
        </w:rPr>
        <w:t>条款响应</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03"/>
      <w:bookmarkEnd w:id="304"/>
      <w:bookmarkEnd w:id="305"/>
      <w:bookmarkEnd w:id="306"/>
    </w:p>
    <w:p>
      <w:pPr>
        <w:tabs>
          <w:tab w:val="right" w:leader="hyphen" w:pos="8504"/>
        </w:tabs>
        <w:spacing w:line="500" w:lineRule="exact"/>
        <w:ind w:right="849" w:rightChars="3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    </w:t>
      </w:r>
      <w:bookmarkStart w:id="307" w:name="_Toc27464_WPSOffice_Level1"/>
      <w:bookmarkStart w:id="308" w:name="_Toc21905_WPSOffice_Level1"/>
      <w:bookmarkStart w:id="309" w:name="_Toc22808_WPSOffice_Level1"/>
      <w:bookmarkStart w:id="310" w:name="_Toc23092_WPSOffice_Level1"/>
      <w:r>
        <w:rPr>
          <w:rFonts w:hint="eastAsia" w:ascii="黑体" w:hAnsi="黑体" w:eastAsia="黑体" w:cs="黑体"/>
          <w:color w:val="000000" w:themeColor="text1"/>
          <w14:textFill>
            <w14:solidFill>
              <w14:schemeClr w14:val="tx1"/>
            </w14:solidFill>
          </w14:textFill>
        </w:rPr>
        <w:t>第三部分  响应方案</w:t>
      </w:r>
      <w:bookmarkEnd w:id="307"/>
      <w:bookmarkEnd w:id="308"/>
      <w:bookmarkEnd w:id="309"/>
      <w:bookmarkEnd w:id="310"/>
    </w:p>
    <w:p>
      <w:pPr>
        <w:tabs>
          <w:tab w:val="right" w:leader="hyphen" w:pos="8504"/>
        </w:tabs>
        <w:spacing w:line="500" w:lineRule="exact"/>
        <w:ind w:left="1981" w:leftChars="200" w:right="849" w:rightChars="300" w:hanging="1415" w:hangingChars="500"/>
        <w:rPr>
          <w:rFonts w:hint="eastAsia" w:ascii="仿宋_GB2312" w:hAnsi="仿宋_GB2312" w:eastAsia="仿宋_GB2312"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  </w:t>
      </w:r>
      <w:bookmarkStart w:id="311" w:name="_Toc7951_WPSOffice_Level2"/>
      <w:bookmarkStart w:id="312" w:name="_Toc8316_WPSOffice_Level2"/>
      <w:bookmarkStart w:id="313" w:name="_Toc980_WPSOffice_Level2"/>
      <w:bookmarkStart w:id="314" w:name="_Toc7544_WPSOffice_Level2"/>
      <w:r>
        <w:rPr>
          <w:rFonts w:hint="eastAsia" w:ascii="仿宋_GB2312" w:hAnsi="仿宋_GB2312" w:eastAsia="仿宋_GB2312" w:cs="仿宋_GB2312"/>
          <w:color w:val="000000" w:themeColor="text1"/>
          <w14:textFill>
            <w14:solidFill>
              <w14:schemeClr w14:val="tx1"/>
            </w14:solidFill>
          </w14:textFill>
        </w:rPr>
        <w:t>一、供应商</w:t>
      </w:r>
      <w:bookmarkEnd w:id="311"/>
      <w:r>
        <w:rPr>
          <w:rFonts w:hint="eastAsia" w:ascii="仿宋_GB2312" w:hAnsi="仿宋_GB2312" w:eastAsia="仿宋_GB2312" w:cs="仿宋_GB2312"/>
          <w:color w:val="000000" w:themeColor="text1"/>
          <w:lang w:val="en-US" w:eastAsia="zh-CN"/>
          <w14:textFill>
            <w14:solidFill>
              <w14:schemeClr w14:val="tx1"/>
            </w14:solidFill>
          </w14:textFill>
        </w:rPr>
        <w:t>基本情况及其性质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12"/>
      <w:bookmarkEnd w:id="313"/>
      <w:bookmarkEnd w:id="314"/>
    </w:p>
    <w:p>
      <w:pPr>
        <w:tabs>
          <w:tab w:val="right" w:leader="hyphen" w:pos="8504"/>
        </w:tabs>
        <w:spacing w:line="500" w:lineRule="exact"/>
        <w:ind w:left="849" w:leftChars="300" w:right="849" w:rightChars="300" w:firstLine="566" w:firstLineChars="200"/>
        <w:rPr>
          <w:rFonts w:hint="eastAsia" w:ascii="仿宋_GB2312" w:hAnsi="仿宋_GB2312" w:eastAsia="仿宋_GB2312" w:cs="仿宋_GB2312"/>
          <w:color w:val="000000" w:themeColor="text1"/>
          <w14:textFill>
            <w14:solidFill>
              <w14:schemeClr w14:val="tx1"/>
            </w14:solidFill>
          </w14:textFill>
        </w:rPr>
      </w:pPr>
      <w:bookmarkStart w:id="315" w:name="_Toc10127_WPSOffice_Level2"/>
      <w:bookmarkStart w:id="316" w:name="_Toc2999_WPSOffice_Level2"/>
      <w:bookmarkStart w:id="317" w:name="_Toc2987_WPSOffice_Level2"/>
      <w:bookmarkStart w:id="318" w:name="_Toc15474_WPSOffice_Level2"/>
      <w:r>
        <w:rPr>
          <w:rFonts w:hint="eastAsia" w:ascii="仿宋_GB2312" w:hAnsi="仿宋_GB2312" w:eastAsia="仿宋_GB2312" w:cs="仿宋_GB2312"/>
          <w:color w:val="000000" w:themeColor="text1"/>
          <w14:textFill>
            <w14:solidFill>
              <w14:schemeClr w14:val="tx1"/>
            </w14:solidFill>
          </w14:textFill>
        </w:rPr>
        <w:t>二、技术服务方案</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15"/>
      <w:bookmarkEnd w:id="316"/>
      <w:bookmarkEnd w:id="317"/>
      <w:bookmarkEnd w:id="318"/>
    </w:p>
    <w:p>
      <w:pPr>
        <w:numPr>
          <w:ilvl w:val="0"/>
          <w:numId w:val="10"/>
        </w:numPr>
        <w:tabs>
          <w:tab w:val="right" w:leader="hyphen" w:pos="8504"/>
        </w:tabs>
        <w:spacing w:line="500" w:lineRule="exact"/>
        <w:ind w:left="1981" w:leftChars="500" w:right="849" w:rightChars="300" w:hanging="566" w:hangingChars="200"/>
        <w:rPr>
          <w:rFonts w:hint="eastAsia" w:ascii="仿宋_GB2312" w:hAnsi="仿宋_GB2312" w:eastAsia="仿宋_GB2312" w:cs="仿宋_GB2312"/>
          <w:color w:val="000000" w:themeColor="text1"/>
          <w14:textFill>
            <w14:solidFill>
              <w14:schemeClr w14:val="tx1"/>
            </w14:solidFill>
          </w14:textFill>
        </w:rPr>
      </w:pPr>
      <w:bookmarkStart w:id="319" w:name="_Toc15492_WPSOffice_Level2"/>
      <w:bookmarkStart w:id="320" w:name="_Toc28542_WPSOffice_Level2"/>
      <w:bookmarkStart w:id="321" w:name="_Toc22913_WPSOffice_Level2"/>
      <w:bookmarkStart w:id="322" w:name="_Toc13401_WPSOffice_Level2"/>
      <w:r>
        <w:rPr>
          <w:rFonts w:hint="eastAsia" w:ascii="仿宋_GB2312" w:hAnsi="仿宋_GB2312" w:eastAsia="仿宋_GB2312" w:cs="仿宋_GB2312"/>
          <w:color w:val="000000" w:themeColor="text1"/>
          <w14:textFill>
            <w14:solidFill>
              <w14:schemeClr w14:val="tx1"/>
            </w14:solidFill>
          </w14:textFill>
        </w:rPr>
        <w:t>参考样表</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X</w:t>
      </w:r>
      <w:bookmarkEnd w:id="319"/>
      <w:bookmarkEnd w:id="320"/>
      <w:bookmarkEnd w:id="321"/>
      <w:bookmarkEnd w:id="322"/>
    </w:p>
    <w:p>
      <w:pPr>
        <w:spacing w:line="500" w:lineRule="exact"/>
        <w:jc w:val="center"/>
        <w:rPr>
          <w:rFonts w:hint="eastAsia" w:ascii="仿宋_GB2312" w:hAnsi="仿宋_GB2312" w:eastAsia="仿宋_GB2312" w:cs="仿宋_GB2312"/>
          <w:b/>
          <w:color w:val="000000" w:themeColor="text1"/>
          <w14:textFill>
            <w14:solidFill>
              <w14:schemeClr w14:val="tx1"/>
            </w14:solidFill>
          </w14:textFill>
        </w:rPr>
      </w:pPr>
    </w:p>
    <w:p>
      <w:pPr>
        <w:spacing w:line="500" w:lineRule="exact"/>
        <w:jc w:val="center"/>
        <w:rPr>
          <w:rFonts w:ascii="黑体" w:hAnsi="黑体" w:eastAsia="黑体"/>
          <w:b/>
          <w:color w:val="000000" w:themeColor="text1"/>
          <w14:textFill>
            <w14:solidFill>
              <w14:schemeClr w14:val="tx1"/>
            </w14:solidFill>
          </w14:textFill>
        </w:rPr>
      </w:pPr>
    </w:p>
    <w:p>
      <w:pPr>
        <w:spacing w:line="500" w:lineRule="exact"/>
        <w:jc w:val="center"/>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br w:type="page"/>
      </w:r>
      <w:bookmarkStart w:id="323" w:name="_Toc3534_WPSOffice_Level1"/>
      <w:bookmarkStart w:id="324" w:name="_Toc23478"/>
      <w:bookmarkStart w:id="325" w:name="_Toc16498"/>
      <w:bookmarkStart w:id="326" w:name="_Toc6199"/>
      <w:bookmarkStart w:id="327" w:name="_Toc14670_WPSOffice_Level1"/>
      <w:bookmarkStart w:id="328" w:name="_Toc8079"/>
      <w:bookmarkStart w:id="329" w:name="_Toc5115_WPSOffice_Level1"/>
      <w:r>
        <w:rPr>
          <w:rStyle w:val="43"/>
          <w:rFonts w:hint="eastAsia" w:ascii="黑体" w:hAnsi="黑体" w:eastAsia="黑体" w:cs="黑体"/>
          <w:b w:val="0"/>
          <w:bCs/>
          <w:color w:val="000000" w:themeColor="text1"/>
          <w:sz w:val="32"/>
          <w:szCs w:val="40"/>
          <w14:textFill>
            <w14:solidFill>
              <w14:schemeClr w14:val="tx1"/>
            </w14:solidFill>
          </w14:textFill>
        </w:rPr>
        <w:t>第一部分  资格证明文件</w:t>
      </w:r>
      <w:bookmarkEnd w:id="323"/>
      <w:bookmarkEnd w:id="324"/>
      <w:bookmarkEnd w:id="325"/>
      <w:bookmarkEnd w:id="326"/>
      <w:bookmarkEnd w:id="327"/>
      <w:bookmarkEnd w:id="328"/>
      <w:bookmarkEnd w:id="329"/>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供应商应按照</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文件第</w:t>
      </w:r>
      <w:r>
        <w:rPr>
          <w:rFonts w:hint="eastAsia" w:ascii="仿宋_GB2312" w:hAnsi="仿宋_GB2312" w:eastAsia="仿宋_GB2312" w:cs="仿宋_GB2312"/>
          <w:color w:val="000000" w:themeColor="text1"/>
          <w:lang w:val="en-US" w:eastAsia="zh-CN"/>
          <w14:textFill>
            <w14:solidFill>
              <w14:schemeClr w14:val="tx1"/>
            </w14:solidFill>
          </w14:textFill>
        </w:rPr>
        <w:t>二</w:t>
      </w:r>
      <w:r>
        <w:rPr>
          <w:rFonts w:hint="eastAsia" w:ascii="仿宋_GB2312" w:hAnsi="仿宋_GB2312" w:eastAsia="仿宋_GB2312" w:cs="仿宋_GB2312"/>
          <w:color w:val="000000" w:themeColor="text1"/>
          <w14:textFill>
            <w14:solidFill>
              <w14:schemeClr w14:val="tx1"/>
            </w14:solidFill>
          </w14:textFill>
        </w:rPr>
        <w:t>章</w:t>
      </w:r>
      <w:r>
        <w:rPr>
          <w:rFonts w:hint="eastAsia" w:ascii="仿宋_GB2312" w:hAnsi="仿宋_GB2312" w:eastAsia="仿宋_GB2312" w:cs="仿宋_GB2312"/>
          <w:color w:val="000000" w:themeColor="text1"/>
          <w:lang w:val="en-US" w:eastAsia="zh-CN"/>
          <w14:textFill>
            <w14:solidFill>
              <w14:schemeClr w14:val="tx1"/>
            </w14:solidFill>
          </w14:textFill>
        </w:rPr>
        <w:t>《资格审查表》</w:t>
      </w:r>
      <w:r>
        <w:rPr>
          <w:rFonts w:hint="eastAsia" w:ascii="仿宋_GB2312" w:hAnsi="仿宋_GB2312" w:eastAsia="仿宋_GB2312" w:cs="仿宋_GB2312"/>
          <w:color w:val="000000" w:themeColor="text1"/>
          <w14:textFill>
            <w14:solidFill>
              <w14:schemeClr w14:val="tx1"/>
            </w14:solidFill>
          </w14:textFill>
        </w:rPr>
        <w:t>所列</w:t>
      </w:r>
      <w:r>
        <w:rPr>
          <w:rFonts w:hint="eastAsia" w:ascii="仿宋_GB2312" w:hAnsi="仿宋_GB2312" w:eastAsia="仿宋_GB2312" w:cs="仿宋_GB2312"/>
          <w:color w:val="000000" w:themeColor="text1"/>
          <w:lang w:val="en-US" w:eastAsia="zh-CN"/>
          <w14:textFill>
            <w14:solidFill>
              <w14:schemeClr w14:val="tx1"/>
            </w14:solidFill>
          </w14:textFill>
        </w:rPr>
        <w:t>审查项</w:t>
      </w:r>
      <w:r>
        <w:rPr>
          <w:rFonts w:hint="eastAsia" w:ascii="仿宋_GB2312" w:hAnsi="仿宋_GB2312" w:eastAsia="仿宋_GB2312" w:cs="仿宋_GB2312"/>
          <w:color w:val="000000" w:themeColor="text1"/>
          <w14:textFill>
            <w14:solidFill>
              <w14:schemeClr w14:val="tx1"/>
            </w14:solidFill>
          </w14:textFill>
        </w:rPr>
        <w:t>逐一提供全部资格证明文件。缺少其中任何一项，其响应文件将被视为无效文件。</w:t>
      </w:r>
    </w:p>
    <w:p>
      <w:pPr>
        <w:spacing w:line="500" w:lineRule="exact"/>
        <w:ind w:firstLine="562"/>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其中，《近三年内在经营活动中无重大违法记录声明》、《法定代表人授权委托书》须按下文给定格式填写，否则按无效处理。特别说明，法定代表人亲自参加</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的，可不提供法定代表人授权委托书，但须提供其本人身份证（正反面）复印件。</w:t>
      </w:r>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30" w:name="_Toc19075_WPSOffice_Level2"/>
      <w:bookmarkStart w:id="331" w:name="_Toc9954_WPSOffice_Level2"/>
      <w:bookmarkStart w:id="332" w:name="_Toc26041_WPSOffice_Level2"/>
      <w:bookmarkStart w:id="333" w:name="_Toc6967_WPSOffice_Level2"/>
      <w:r>
        <w:rPr>
          <w:rFonts w:hint="eastAsia" w:ascii="仿宋_GB2312" w:hAnsi="仿宋_GB2312" w:eastAsia="仿宋_GB2312" w:cs="仿宋_GB2312"/>
          <w:b/>
          <w:color w:val="000000" w:themeColor="text1"/>
          <w14:textFill>
            <w14:solidFill>
              <w14:schemeClr w14:val="tx1"/>
            </w14:solidFill>
          </w14:textFill>
        </w:rPr>
        <w:t>一、营业执照等主体资格证明文件</w:t>
      </w:r>
      <w:bookmarkEnd w:id="330"/>
      <w:bookmarkEnd w:id="331"/>
      <w:bookmarkEnd w:id="332"/>
      <w:bookmarkEnd w:id="333"/>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34" w:name="_Toc24324_WPSOffice_Level2"/>
      <w:bookmarkStart w:id="335" w:name="_Toc6228_WPSOffice_Level2"/>
      <w:bookmarkStart w:id="336" w:name="_Toc8228_WPSOffice_Level2"/>
      <w:bookmarkStart w:id="337" w:name="_Toc18116_WPSOffice_Level2"/>
      <w:r>
        <w:rPr>
          <w:rFonts w:hint="eastAsia" w:ascii="仿宋_GB2312" w:hAnsi="仿宋_GB2312" w:eastAsia="仿宋_GB2312" w:cs="仿宋_GB2312"/>
          <w:b/>
          <w:color w:val="000000" w:themeColor="text1"/>
          <w14:textFill>
            <w14:solidFill>
              <w14:schemeClr w14:val="tx1"/>
            </w14:solidFill>
          </w14:textFill>
        </w:rPr>
        <w:t>二、财务状况报告</w:t>
      </w:r>
      <w:bookmarkEnd w:id="334"/>
      <w:bookmarkEnd w:id="335"/>
      <w:bookmarkEnd w:id="336"/>
      <w:bookmarkEnd w:id="337"/>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38" w:name="_Toc9514_WPSOffice_Level2"/>
      <w:bookmarkStart w:id="339" w:name="_Toc8724_WPSOffice_Level2"/>
      <w:bookmarkStart w:id="340" w:name="_Toc29597_WPSOffice_Level2"/>
      <w:bookmarkStart w:id="341" w:name="_Toc25438_WPSOffice_Level2"/>
      <w:r>
        <w:rPr>
          <w:rFonts w:hint="eastAsia" w:ascii="仿宋_GB2312" w:hAnsi="仿宋_GB2312" w:eastAsia="仿宋_GB2312" w:cs="仿宋_GB2312"/>
          <w:b/>
          <w:color w:val="000000" w:themeColor="text1"/>
          <w14:textFill>
            <w14:solidFill>
              <w14:schemeClr w14:val="tx1"/>
            </w14:solidFill>
          </w14:textFill>
        </w:rPr>
        <w:t>三、社保缴纳证明</w:t>
      </w:r>
      <w:bookmarkEnd w:id="338"/>
      <w:bookmarkEnd w:id="339"/>
      <w:bookmarkEnd w:id="340"/>
      <w:bookmarkEnd w:id="341"/>
    </w:p>
    <w:p>
      <w:pPr>
        <w:spacing w:line="500" w:lineRule="exact"/>
        <w:ind w:firstLine="562"/>
        <w:rPr>
          <w:rFonts w:hint="eastAsia" w:ascii="仿宋_GB2312" w:hAnsi="仿宋_GB2312" w:eastAsia="仿宋_GB2312" w:cs="仿宋_GB2312"/>
          <w:b/>
          <w:color w:val="000000" w:themeColor="text1"/>
          <w14:textFill>
            <w14:solidFill>
              <w14:schemeClr w14:val="tx1"/>
            </w14:solidFill>
          </w14:textFill>
        </w:rPr>
      </w:pPr>
      <w:bookmarkStart w:id="342" w:name="_Toc18154_WPSOffice_Level2"/>
      <w:bookmarkStart w:id="343" w:name="_Toc26260_WPSOffice_Level2"/>
      <w:bookmarkStart w:id="344" w:name="_Toc960_WPSOffice_Level2"/>
      <w:bookmarkStart w:id="345" w:name="_Toc22563_WPSOffice_Level2"/>
      <w:r>
        <w:rPr>
          <w:rFonts w:hint="eastAsia" w:ascii="仿宋_GB2312" w:hAnsi="仿宋_GB2312" w:eastAsia="仿宋_GB2312" w:cs="仿宋_GB2312"/>
          <w:b/>
          <w:color w:val="000000" w:themeColor="text1"/>
          <w14:textFill>
            <w14:solidFill>
              <w14:schemeClr w14:val="tx1"/>
            </w14:solidFill>
          </w14:textFill>
        </w:rPr>
        <w:t>四、税收缴纳证明</w:t>
      </w:r>
      <w:bookmarkEnd w:id="342"/>
      <w:bookmarkEnd w:id="343"/>
      <w:bookmarkEnd w:id="344"/>
      <w:bookmarkEnd w:id="345"/>
    </w:p>
    <w:p>
      <w:pPr>
        <w:spacing w:line="500" w:lineRule="exact"/>
        <w:ind w:firstLine="566" w:firstLineChars="200"/>
        <w:rPr>
          <w:rFonts w:hint="eastAsia" w:ascii="仿宋_GB2312" w:hAnsi="仿宋_GB2312" w:eastAsia="仿宋_GB2312" w:cs="仿宋_GB2312"/>
          <w:b/>
          <w:color w:val="000000" w:themeColor="text1"/>
          <w14:textFill>
            <w14:solidFill>
              <w14:schemeClr w14:val="tx1"/>
            </w14:solidFill>
          </w14:textFill>
        </w:rPr>
      </w:pPr>
      <w:bookmarkStart w:id="346" w:name="_Toc30636_WPSOffice_Level2"/>
      <w:bookmarkStart w:id="347" w:name="_Toc10483_WPSOffice_Level2"/>
      <w:bookmarkStart w:id="348" w:name="_Toc1079_WPSOffice_Level2"/>
      <w:bookmarkStart w:id="349" w:name="_Toc32533_WPSOffice_Level2"/>
    </w:p>
    <w:p>
      <w:pPr>
        <w:spacing w:line="500" w:lineRule="exact"/>
        <w:ind w:firstLine="566" w:firstLineChars="200"/>
        <w:rPr>
          <w:rFonts w:hint="eastAsia" w:ascii="仿宋_GB2312" w:hAnsi="仿宋_GB2312" w:eastAsia="仿宋_GB2312" w:cs="仿宋_GB2312"/>
          <w:b/>
          <w:color w:val="000000" w:themeColor="text1"/>
          <w14:textFill>
            <w14:solidFill>
              <w14:schemeClr w14:val="tx1"/>
            </w14:solidFill>
          </w14:textFill>
        </w:rPr>
      </w:pPr>
    </w:p>
    <w:p>
      <w:pPr>
        <w:spacing w:line="500" w:lineRule="exact"/>
        <w:ind w:firstLine="566" w:firstLineChars="200"/>
        <w:rPr>
          <w:rFonts w:hint="eastAsia" w:ascii="仿宋" w:hAnsi="仿宋" w:eastAsia="仿宋"/>
          <w:b/>
          <w:color w:val="000000" w:themeColor="text1"/>
          <w14:textFill>
            <w14:solidFill>
              <w14:schemeClr w14:val="tx1"/>
            </w14:solidFill>
          </w14:textFill>
        </w:rPr>
      </w:pPr>
    </w:p>
    <w:p>
      <w:pPr>
        <w:spacing w:line="500" w:lineRule="exact"/>
        <w:ind w:firstLine="566" w:firstLineChars="200"/>
        <w:rPr>
          <w:rFonts w:hint="eastAsia" w:ascii="仿宋" w:hAnsi="仿宋" w:eastAsia="仿宋"/>
          <w:b/>
          <w:color w:val="000000" w:themeColor="text1"/>
          <w14:textFill>
            <w14:solidFill>
              <w14:schemeClr w14:val="tx1"/>
            </w14:solidFill>
          </w14:textFill>
        </w:rPr>
      </w:pPr>
    </w:p>
    <w:p>
      <w:pPr>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br w:type="page"/>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五、书面声明</w:t>
      </w:r>
      <w:bookmarkEnd w:id="346"/>
      <w:bookmarkEnd w:id="347"/>
      <w:bookmarkEnd w:id="348"/>
      <w:bookmarkEnd w:id="349"/>
    </w:p>
    <w:p>
      <w:pPr>
        <w:pStyle w:val="44"/>
        <w:jc w:val="both"/>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pStyle w:val="44"/>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近三年内在经营活动中无重大违法记录声明</w:t>
      </w:r>
    </w:p>
    <w:p>
      <w:pPr>
        <w:spacing w:line="50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我方作为</w:t>
      </w:r>
      <w:r>
        <w:rPr>
          <w:rFonts w:hint="eastAsia" w:ascii="仿宋_GB2312" w:hAnsi="仿宋_GB2312" w:eastAsia="仿宋_GB2312" w:cs="仿宋_GB2312"/>
          <w:color w:val="000000" w:themeColor="text1"/>
          <w:u w:val="single"/>
          <w14:textFill>
            <w14:solidFill>
              <w14:schemeClr w14:val="tx1"/>
            </w14:solidFill>
          </w14:textFill>
        </w:rPr>
        <w:t>项目名称</w:t>
      </w:r>
      <w:r>
        <w:rPr>
          <w:rFonts w:hint="eastAsia" w:ascii="仿宋_GB2312" w:hAnsi="仿宋_GB2312" w:eastAsia="仿宋_GB2312" w:cs="仿宋_GB2312"/>
          <w:color w:val="000000" w:themeColor="text1"/>
          <w14:textFill>
            <w14:solidFill>
              <w14:schemeClr w14:val="tx1"/>
            </w14:solidFill>
          </w14:textFill>
        </w:rPr>
        <w:t>（项目编号：____）第___标段的供应商，在此郑重声明：</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在参加本次政府采购活动前3年内的经营活动中____（填“没有”或“有”）重大违法记录。</w:t>
      </w:r>
    </w:p>
    <w:p>
      <w:pPr>
        <w:pStyle w:val="20"/>
        <w:ind w:left="0" w:leftChars="0" w:firstLine="0" w:firstLineChars="0"/>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如有不实，我方将无条件地退出本项目的采购活动，并遵照《</w:t>
      </w:r>
      <w:r>
        <w:rPr>
          <w:rFonts w:hint="eastAsia" w:ascii="仿宋_GB2312" w:hAnsi="仿宋_GB2312" w:eastAsia="仿宋_GB2312" w:cs="仿宋_GB2312"/>
          <w:color w:val="000000" w:themeColor="text1"/>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14:textFill>
            <w14:solidFill>
              <w14:schemeClr w14:val="tx1"/>
            </w14:solidFill>
          </w14:textFill>
        </w:rPr>
        <w:t>政府采购法》有关“提供虚假材料的规定”接受处罚。</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特此声明。</w:t>
      </w:r>
    </w:p>
    <w:p>
      <w:pPr>
        <w:spacing w:line="500" w:lineRule="exact"/>
        <w:ind w:firstLine="4245" w:firstLineChars="1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4245" w:firstLineChars="15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spacing w:line="500" w:lineRule="exact"/>
        <w:ind w:firstLine="566" w:firstLineChars="200"/>
        <w:rPr>
          <w:rFonts w:ascii="仿宋" w:hAnsi="仿宋" w:eastAsia="仿宋" w:cs="仿宋"/>
          <w:color w:val="000000" w:themeColor="text1"/>
          <w14:textFill>
            <w14:solidFill>
              <w14:schemeClr w14:val="tx1"/>
            </w14:solidFill>
          </w14:textFill>
        </w:rPr>
      </w:pPr>
    </w:p>
    <w:p>
      <w:pPr>
        <w:spacing w:line="500" w:lineRule="exact"/>
        <w:ind w:firstLine="426"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重大违法记录</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是指供应商因违法经营受到刑事处罚或者责令停产停业、吊销许可证或者执照、较大数额罚款等行政处罚</w:t>
      </w:r>
      <w:r>
        <w:rPr>
          <w:rFonts w:hint="eastAsia" w:ascii="宋体" w:hAnsi="宋体" w:eastAsia="宋体" w:cs="宋体"/>
          <w:color w:val="000000" w:themeColor="text1"/>
          <w:sz w:val="21"/>
          <w:szCs w:val="21"/>
          <w:lang w:eastAsia="zh-CN"/>
          <w14:textFill>
            <w14:solidFill>
              <w14:schemeClr w14:val="tx1"/>
            </w14:solidFill>
          </w14:textFill>
        </w:rPr>
        <w:t>。</w:t>
      </w:r>
    </w:p>
    <w:p>
      <w:pPr>
        <w:spacing w:line="500" w:lineRule="exact"/>
        <w:ind w:firstLine="426" w:firstLineChars="2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2、供应商在参加政府采购活动前3年内因违法经营被禁止在一定期限内参加政府采购活动，期限届满的，可以参加政府采购活动。</w:t>
      </w:r>
    </w:p>
    <w:p>
      <w:pPr>
        <w:spacing w:line="500" w:lineRule="exact"/>
        <w:ind w:firstLine="426"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项目不分标段的，第___标段空白处填写“/”。</w:t>
      </w:r>
    </w:p>
    <w:p>
      <w:pPr>
        <w:spacing w:line="240" w:lineRule="auto"/>
        <w:jc w:val="left"/>
        <w:rPr>
          <w:b/>
          <w:bCs/>
          <w:color w:val="000000" w:themeColor="text1"/>
          <w:sz w:val="30"/>
          <w:szCs w:val="30"/>
          <w14:textFill>
            <w14:solidFill>
              <w14:schemeClr w14:val="tx1"/>
            </w14:solidFill>
          </w14:textFill>
        </w:rPr>
      </w:pPr>
    </w:p>
    <w:p>
      <w:pPr>
        <w:pStyle w:val="20"/>
        <w:ind w:firstLine="304"/>
        <w:rPr>
          <w:b/>
          <w:bCs/>
          <w:color w:val="000000" w:themeColor="text1"/>
          <w:sz w:val="30"/>
          <w:szCs w:val="30"/>
          <w14:textFill>
            <w14:solidFill>
              <w14:schemeClr w14:val="tx1"/>
            </w14:solidFill>
          </w14:textFill>
        </w:rPr>
      </w:pPr>
    </w:p>
    <w:p>
      <w:pPr>
        <w:pStyle w:val="20"/>
        <w:ind w:firstLine="304"/>
        <w:rPr>
          <w:b/>
          <w:bCs/>
          <w:color w:val="000000" w:themeColor="text1"/>
          <w:sz w:val="30"/>
          <w:szCs w:val="30"/>
          <w14:textFill>
            <w14:solidFill>
              <w14:schemeClr w14:val="tx1"/>
            </w14:solidFill>
          </w14:textFill>
        </w:rPr>
      </w:pPr>
    </w:p>
    <w:p>
      <w:pPr>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br w:type="page"/>
      </w:r>
    </w:p>
    <w:p>
      <w:pPr>
        <w:pStyle w:val="44"/>
        <w:jc w:val="both"/>
        <w:rPr>
          <w:rFonts w:hint="eastAsia" w:ascii="仿宋_GB2312" w:hAnsi="仿宋_GB2312" w:eastAsia="仿宋_GB2312" w:cs="仿宋_GB2312"/>
          <w:color w:val="000000" w:themeColor="text1"/>
          <w:sz w:val="30"/>
          <w:szCs w:val="30"/>
          <w14:textFill>
            <w14:solidFill>
              <w14:schemeClr w14:val="tx1"/>
            </w14:solidFill>
          </w14:textFill>
        </w:rPr>
      </w:pPr>
      <w:bookmarkStart w:id="350" w:name="_Toc13298_WPSOffice_Level2"/>
      <w:bookmarkStart w:id="351" w:name="_Toc14516_WPSOffice_Level2"/>
      <w:bookmarkStart w:id="352" w:name="_Toc23486_WPSOffice_Level2"/>
      <w:bookmarkStart w:id="353" w:name="_Toc24625_WPSOffice_Level2"/>
      <w:r>
        <w:rPr>
          <w:rFonts w:hint="eastAsia" w:ascii="仿宋_GB2312" w:hAnsi="仿宋_GB2312" w:eastAsia="仿宋_GB2312" w:cs="仿宋_GB2312"/>
          <w:color w:val="000000" w:themeColor="text1"/>
          <w:sz w:val="30"/>
          <w:szCs w:val="30"/>
          <w14:textFill>
            <w14:solidFill>
              <w14:schemeClr w14:val="tx1"/>
            </w14:solidFill>
          </w14:textFill>
        </w:rPr>
        <w:t>六、法定代表人授权委托书</w:t>
      </w:r>
      <w:bookmarkEnd w:id="350"/>
      <w:bookmarkEnd w:id="351"/>
      <w:bookmarkEnd w:id="352"/>
      <w:bookmarkEnd w:id="353"/>
      <w:bookmarkStart w:id="354" w:name="_Toc19993_WPSOffice_Level3"/>
    </w:p>
    <w:p>
      <w:pPr>
        <w:pStyle w:val="44"/>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法定代表人授权委托书</w:t>
      </w:r>
      <w:bookmarkEnd w:id="354"/>
    </w:p>
    <w:p>
      <w:pPr>
        <w:snapToGrid w:val="0"/>
        <w:spacing w:line="500" w:lineRule="exac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p>
    <w:p>
      <w:pPr>
        <w:spacing w:line="500" w:lineRule="exact"/>
        <w:ind w:right="11"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现委派</w:t>
      </w:r>
      <w:r>
        <w:rPr>
          <w:rFonts w:hint="eastAsia" w:ascii="仿宋_GB2312" w:hAnsi="仿宋_GB2312" w:eastAsia="仿宋_GB2312" w:cs="仿宋_GB2312"/>
          <w:color w:val="000000" w:themeColor="text1"/>
          <w:u w:val="single"/>
          <w14:textFill>
            <w14:solidFill>
              <w14:schemeClr w14:val="tx1"/>
            </w14:solidFill>
          </w14:textFill>
        </w:rPr>
        <w:t>（授权代表姓名）</w:t>
      </w:r>
      <w:r>
        <w:rPr>
          <w:rFonts w:hint="eastAsia" w:ascii="仿宋_GB2312" w:hAnsi="仿宋_GB2312" w:eastAsia="仿宋_GB2312" w:cs="仿宋_GB2312"/>
          <w:color w:val="000000" w:themeColor="text1"/>
          <w:u w:val="none"/>
          <w:lang w:eastAsia="zh-CN"/>
          <w14:textFill>
            <w14:solidFill>
              <w14:schemeClr w14:val="tx1"/>
            </w14:solidFill>
          </w14:textFill>
        </w:rPr>
        <w:t>（</w:t>
      </w:r>
      <w:r>
        <w:rPr>
          <w:rFonts w:hint="eastAsia" w:ascii="仿宋_GB2312" w:hAnsi="仿宋_GB2312" w:eastAsia="仿宋_GB2312" w:cs="仿宋_GB2312"/>
          <w:color w:val="000000" w:themeColor="text1"/>
          <w:u w:val="none"/>
          <w:lang w:val="en-US" w:eastAsia="zh-CN"/>
          <w14:textFill>
            <w14:solidFill>
              <w14:schemeClr w14:val="tx1"/>
            </w14:solidFill>
          </w14:textFill>
        </w:rPr>
        <w:t>身份证号：</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none"/>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为本公司的授权代表，参加贵方组织的</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项目名称 </w:t>
      </w:r>
      <w:r>
        <w:rPr>
          <w:rFonts w:hint="eastAsia" w:ascii="仿宋_GB2312" w:hAnsi="仿宋_GB2312" w:eastAsia="仿宋_GB2312" w:cs="仿宋_GB2312"/>
          <w:color w:val="000000" w:themeColor="text1"/>
          <w14:textFill>
            <w14:solidFill>
              <w14:schemeClr w14:val="tx1"/>
            </w14:solidFill>
          </w14:textFill>
        </w:rPr>
        <w:t>（项目编号：</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）第___标段政府采购活动，就该项目的</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及合同的执行和完成，以本公司的名义处理一切与之有关的事宜。本授权自开标之日起生效，有效期与投标文件有效期一致。</w:t>
      </w:r>
    </w:p>
    <w:p>
      <w:pPr>
        <w:tabs>
          <w:tab w:val="left" w:pos="5245"/>
          <w:tab w:val="left" w:pos="6946"/>
        </w:tabs>
        <w:snapToGrid w:val="0"/>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授权代表姓名：_______________</w:t>
      </w:r>
      <w:r>
        <w:rPr>
          <w:rFonts w:hint="eastAsia" w:ascii="仿宋_GB2312" w:hAnsi="仿宋_GB2312" w:eastAsia="仿宋_GB2312" w:cs="仿宋_GB2312"/>
          <w:color w:val="000000" w:themeColor="text1"/>
          <w14:textFill>
            <w14:solidFill>
              <w14:schemeClr w14:val="tx1"/>
            </w14:solidFill>
          </w14:textFill>
        </w:rPr>
        <w:tab/>
      </w:r>
      <w:r>
        <w:rPr>
          <w:rFonts w:hint="eastAsia" w:ascii="仿宋_GB2312" w:hAnsi="仿宋_GB2312" w:eastAsia="仿宋_GB2312" w:cs="仿宋_GB2312"/>
          <w:color w:val="000000" w:themeColor="text1"/>
          <w14:textFill>
            <w14:solidFill>
              <w14:schemeClr w14:val="tx1"/>
            </w14:solidFill>
          </w14:textFill>
        </w:rPr>
        <w:t>性别：_____</w:t>
      </w:r>
      <w:r>
        <w:rPr>
          <w:rFonts w:hint="eastAsia" w:ascii="仿宋_GB2312" w:hAnsi="仿宋_GB2312" w:eastAsia="仿宋_GB2312" w:cs="仿宋_GB2312"/>
          <w:color w:val="000000" w:themeColor="text1"/>
          <w14:textFill>
            <w14:solidFill>
              <w14:schemeClr w14:val="tx1"/>
            </w14:solidFill>
          </w14:textFill>
        </w:rPr>
        <w:tab/>
      </w:r>
    </w:p>
    <w:p>
      <w:pPr>
        <w:tabs>
          <w:tab w:val="left" w:pos="5245"/>
        </w:tabs>
        <w:snapToGrid w:val="0"/>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职务：________________           电话：_________</w:t>
      </w:r>
    </w:p>
    <w:p>
      <w:pPr>
        <w:tabs>
          <w:tab w:val="left" w:pos="3828"/>
          <w:tab w:val="left" w:pos="6237"/>
        </w:tabs>
        <w:snapToGrid w:val="0"/>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通讯地址：__________________     邮政编码：__________</w:t>
      </w:r>
    </w:p>
    <w:tbl>
      <w:tblPr>
        <w:tblStyle w:val="21"/>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ind w:firstLine="8" w:firstLineChars="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法定代表人身份证复印件</w:t>
            </w:r>
          </w:p>
          <w:p>
            <w:pPr>
              <w:ind w:firstLine="8" w:firstLineChars="3"/>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（有国徽面）</w:t>
            </w:r>
          </w:p>
        </w:tc>
        <w:tc>
          <w:tcPr>
            <w:tcW w:w="4098" w:type="dxa"/>
            <w:vAlign w:val="center"/>
          </w:tcPr>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授权代表身份证复印件</w:t>
            </w: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（有国徽面）</w:t>
            </w:r>
          </w:p>
        </w:tc>
      </w:tr>
    </w:tbl>
    <w:p>
      <w:pPr>
        <w:tabs>
          <w:tab w:val="right" w:pos="8931"/>
        </w:tabs>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供应商：名称（加盖公章）        法定代表人：（签字或盖章）</w:t>
      </w:r>
    </w:p>
    <w:p>
      <w:pPr>
        <w:spacing w:line="440" w:lineRule="exact"/>
        <w:ind w:firstLine="5943" w:firstLineChars="2100"/>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keepNext w:val="0"/>
        <w:keepLines w:val="0"/>
        <w:pageBreakBefore w:val="0"/>
        <w:widowControl/>
        <w:kinsoku/>
        <w:wordWrap/>
        <w:overflowPunct/>
        <w:topLinePunct w:val="0"/>
        <w:autoSpaceDE/>
        <w:autoSpaceDN/>
        <w:bidi w:val="0"/>
        <w:adjustRightInd/>
        <w:snapToGrid/>
        <w:spacing w:line="440" w:lineRule="exact"/>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440" w:lineRule="exact"/>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2、法定代表人亲自参加</w:t>
      </w:r>
      <w:r>
        <w:rPr>
          <w:rFonts w:hint="eastAsia" w:ascii="宋体" w:hAnsi="宋体" w:eastAsia="宋体" w:cs="宋体"/>
          <w:color w:val="000000" w:themeColor="text1"/>
          <w:sz w:val="21"/>
          <w:szCs w:val="21"/>
          <w:lang w:val="en-US" w:eastAsia="zh-CN"/>
          <w14:textFill>
            <w14:solidFill>
              <w14:schemeClr w14:val="tx1"/>
            </w14:solidFill>
          </w14:textFill>
        </w:rPr>
        <w:t>谈判</w:t>
      </w:r>
      <w:r>
        <w:rPr>
          <w:rFonts w:hint="eastAsia" w:ascii="宋体" w:hAnsi="宋体" w:eastAsia="宋体" w:cs="宋体"/>
          <w:color w:val="000000" w:themeColor="text1"/>
          <w:sz w:val="21"/>
          <w:szCs w:val="21"/>
          <w14:textFill>
            <w14:solidFill>
              <w14:schemeClr w14:val="tx1"/>
            </w14:solidFill>
          </w14:textFill>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ind w:left="0" w:leftChars="0" w:firstLine="426"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3、法定代表人签字或盖章可采用纸质签字或盖章后，上传至电子响应文件，也可使用法定代表人CA锁在电子响应文件制作软件中签章。</w:t>
      </w:r>
      <w:r>
        <w:rPr>
          <w:rFonts w:hint="eastAsia" w:ascii="宋体" w:hAnsi="宋体" w:eastAsia="宋体"/>
          <w:color w:val="000000" w:themeColor="text1"/>
          <w:sz w:val="21"/>
          <w:szCs w:val="21"/>
          <w:lang w:val="en-US" w:eastAsia="zh-CN"/>
          <w14:textFill>
            <w14:solidFill>
              <w14:schemeClr w14:val="tx1"/>
            </w14:solidFill>
          </w14:textFill>
        </w:rPr>
        <w:t xml:space="preserve">   </w:t>
      </w:r>
    </w:p>
    <w:p>
      <w:pP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br w:type="page"/>
      </w:r>
    </w:p>
    <w:p>
      <w:pPr>
        <w:pStyle w:val="42"/>
        <w:rPr>
          <w:rFonts w:ascii="黑体" w:hAnsi="黑体" w:eastAsia="黑体"/>
          <w:b w:val="0"/>
          <w:color w:val="000000" w:themeColor="text1"/>
          <w14:textFill>
            <w14:solidFill>
              <w14:schemeClr w14:val="tx1"/>
            </w14:solidFill>
          </w14:textFill>
        </w:rPr>
      </w:pPr>
      <w:bookmarkStart w:id="355" w:name="_Toc1034"/>
      <w:bookmarkStart w:id="356" w:name="_Toc2083"/>
      <w:bookmarkStart w:id="357" w:name="_Toc28770"/>
      <w:bookmarkStart w:id="358" w:name="_Toc18829"/>
      <w:bookmarkStart w:id="359" w:name="_Toc9751"/>
      <w:bookmarkStart w:id="360" w:name="_Toc29866"/>
      <w:bookmarkStart w:id="361" w:name="_Toc29102_WPSOffice_Level2"/>
      <w:bookmarkStart w:id="362" w:name="_Toc29990_WPSOffice_Level2"/>
      <w:bookmarkStart w:id="363" w:name="_Toc9519_WPSOffice_Level2"/>
      <w:bookmarkStart w:id="364" w:name="_Toc17773_WPSOffice_Level2"/>
      <w:bookmarkStart w:id="365" w:name="_Toc20137"/>
      <w:r>
        <w:rPr>
          <w:rFonts w:hint="eastAsia" w:ascii="黑体" w:hAnsi="黑体" w:eastAsia="黑体"/>
          <w:b w:val="0"/>
          <w:color w:val="000000" w:themeColor="text1"/>
          <w14:textFill>
            <w14:solidFill>
              <w14:schemeClr w14:val="tx1"/>
            </w14:solidFill>
          </w14:textFill>
        </w:rPr>
        <w:t>第二部分  符合性证明文件</w:t>
      </w:r>
      <w:bookmarkEnd w:id="355"/>
      <w:bookmarkEnd w:id="356"/>
      <w:bookmarkEnd w:id="357"/>
      <w:bookmarkEnd w:id="358"/>
      <w:bookmarkEnd w:id="359"/>
      <w:bookmarkEnd w:id="360"/>
    </w:p>
    <w:p>
      <w:pPr>
        <w:pStyle w:val="42"/>
        <w:jc w:val="both"/>
        <w:rPr>
          <w:rFonts w:hint="eastAsia" w:ascii="仿宋_GB2312" w:hAnsi="仿宋_GB2312" w:eastAsia="仿宋_GB2312" w:cs="仿宋_GB2312"/>
          <w:bCs w:val="0"/>
          <w:color w:val="000000" w:themeColor="text1"/>
          <w14:textFill>
            <w14:solidFill>
              <w14:schemeClr w14:val="tx1"/>
            </w14:solidFill>
          </w14:textFill>
        </w:rPr>
      </w:pPr>
      <w:bookmarkStart w:id="366" w:name="_Toc14262"/>
      <w:bookmarkStart w:id="367" w:name="_Toc26585"/>
      <w:bookmarkStart w:id="368" w:name="_Toc19788"/>
      <w:bookmarkStart w:id="369" w:name="_Toc22486"/>
      <w:bookmarkStart w:id="370" w:name="_Toc7047"/>
      <w:bookmarkStart w:id="371" w:name="_Toc28961"/>
      <w:bookmarkStart w:id="372" w:name="_Toc3857"/>
      <w:bookmarkStart w:id="373" w:name="_Toc2230"/>
      <w:bookmarkStart w:id="374" w:name="_Toc26623"/>
      <w:r>
        <w:rPr>
          <w:rFonts w:hint="eastAsia" w:ascii="仿宋_GB2312" w:hAnsi="仿宋_GB2312" w:eastAsia="仿宋_GB2312" w:cs="仿宋_GB2312"/>
          <w:bCs w:val="0"/>
          <w:color w:val="000000" w:themeColor="text1"/>
          <w14:textFill>
            <w14:solidFill>
              <w14:schemeClr w14:val="tx1"/>
            </w14:solidFill>
          </w14:textFill>
        </w:rPr>
        <w:t>一、响应函格式</w:t>
      </w:r>
      <w:bookmarkEnd w:id="366"/>
      <w:bookmarkEnd w:id="367"/>
      <w:bookmarkEnd w:id="368"/>
      <w:bookmarkEnd w:id="369"/>
      <w:bookmarkEnd w:id="370"/>
      <w:bookmarkEnd w:id="371"/>
      <w:bookmarkEnd w:id="372"/>
      <w:bookmarkEnd w:id="373"/>
      <w:bookmarkEnd w:id="374"/>
    </w:p>
    <w:p>
      <w:pPr>
        <w:pStyle w:val="38"/>
        <w:ind w:firstLine="647"/>
        <w:jc w:val="center"/>
        <w:rPr>
          <w:rFonts w:hint="eastAsia" w:ascii="仿宋_GB2312" w:hAnsi="仿宋_GB2312" w:eastAsia="仿宋_GB2312" w:cs="仿宋_GB2312"/>
          <w:color w:val="000000" w:themeColor="text1"/>
          <w:sz w:val="32"/>
          <w:szCs w:val="32"/>
          <w14:textFill>
            <w14:solidFill>
              <w14:schemeClr w14:val="tx1"/>
            </w14:solidFill>
          </w14:textFill>
        </w:rPr>
      </w:pPr>
      <w:bookmarkStart w:id="375" w:name="_Toc23334"/>
      <w:bookmarkStart w:id="376" w:name="_Toc10617"/>
      <w:bookmarkStart w:id="377" w:name="_Toc22777"/>
      <w:r>
        <w:rPr>
          <w:rFonts w:hint="eastAsia" w:ascii="仿宋_GB2312" w:hAnsi="仿宋_GB2312" w:eastAsia="仿宋_GB2312" w:cs="仿宋_GB2312"/>
          <w:color w:val="000000" w:themeColor="text1"/>
          <w:sz w:val="32"/>
          <w:szCs w:val="32"/>
          <w14:textFill>
            <w14:solidFill>
              <w14:schemeClr w14:val="tx1"/>
            </w14:solidFill>
          </w14:textFill>
        </w:rPr>
        <w:t>响应函</w:t>
      </w:r>
      <w:bookmarkEnd w:id="375"/>
      <w:bookmarkEnd w:id="376"/>
      <w:bookmarkEnd w:id="377"/>
    </w:p>
    <w:p>
      <w:pPr>
        <w:pStyle w:val="38"/>
        <w:spacing w:line="500" w:lineRule="exact"/>
        <w:ind w:firstLine="0" w:firstLineChars="0"/>
        <w:rPr>
          <w:rFonts w:hint="eastAsia"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汉中市</w:t>
      </w:r>
      <w:r>
        <w:rPr>
          <w:rFonts w:hint="eastAsia" w:ascii="仿宋_GB2312" w:hAnsi="仿宋_GB2312" w:eastAsia="仿宋_GB2312" w:cs="仿宋_GB2312"/>
          <w:color w:val="000000" w:themeColor="text1"/>
          <w14:textFill>
            <w14:solidFill>
              <w14:schemeClr w14:val="tx1"/>
            </w14:solidFill>
          </w14:textFill>
        </w:rPr>
        <w:t>政府采购中心</w:t>
      </w:r>
      <w:r>
        <w:rPr>
          <w:rFonts w:hint="eastAsia" w:ascii="仿宋_GB2312" w:hAnsi="仿宋_GB2312" w:eastAsia="仿宋_GB2312" w:cs="仿宋_GB2312"/>
          <w:color w:val="000000" w:themeColor="text1"/>
          <w:lang w:val="zh-CN"/>
          <w14:textFill>
            <w14:solidFill>
              <w14:schemeClr w14:val="tx1"/>
            </w14:solidFill>
          </w14:textFill>
        </w:rPr>
        <w:t>：</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我方收到贵中心发布的</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项目名称</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（项目编号：</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）第</w:t>
      </w:r>
      <w:r>
        <w:rPr>
          <w:rFonts w:hint="eastAsia" w:ascii="仿宋_GB2312" w:hAnsi="仿宋_GB2312" w:eastAsia="仿宋_GB2312" w:cs="仿宋_GB2312"/>
          <w:color w:val="000000" w:themeColor="text1"/>
          <w:u w:val="single"/>
          <w14:textFill>
            <w14:solidFill>
              <w14:schemeClr w14:val="tx1"/>
            </w14:solidFill>
          </w14:textFill>
        </w:rPr>
        <w:t>___</w:t>
      </w:r>
      <w:r>
        <w:rPr>
          <w:rFonts w:hint="eastAsia" w:ascii="仿宋_GB2312" w:hAnsi="仿宋_GB2312" w:eastAsia="仿宋_GB2312" w:cs="仿宋_GB2312"/>
          <w:color w:val="000000" w:themeColor="text1"/>
          <w14:textFill>
            <w14:solidFill>
              <w14:schemeClr w14:val="tx1"/>
            </w14:solidFill>
          </w14:textFill>
        </w:rPr>
        <w:t>标段</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文件，经详细研究，我方决定参加该项目第</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标段</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活动。为此，我方郑重声明以下诸点，并负法律责任。</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一、我方已详细阅读了</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文件，完全理解并同意</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文件的所有事项及内容。</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二、我方已悉知并关注了贵方在政府采购信息发布媒体（详见</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文件第二章第三条中的“</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文件的修改、澄清”）上发布的关于本项目的有关变更公告（包括但不限于对</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文件做出的修改或澄清、答疑纪要，以及项目暂停、重启、延期、终止等）。</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三、我方同意向贵方提供与本</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有关的任何证明材料，保证所提交的证明材料真实、合法、有效。</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四、我方</w:t>
      </w:r>
      <w:r>
        <w:rPr>
          <w:rFonts w:hint="eastAsia" w:ascii="仿宋_GB2312" w:hAnsi="仿宋_GB2312" w:eastAsia="仿宋_GB2312" w:cs="仿宋_GB2312"/>
          <w:color w:val="000000" w:themeColor="text1"/>
          <w14:textFill>
            <w14:solidFill>
              <w14:schemeClr w14:val="tx1"/>
            </w14:solidFill>
          </w14:textFill>
        </w:rPr>
        <w:t>尊重</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小组的评审结果。</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如若成交，</w:t>
      </w:r>
      <w:r>
        <w:rPr>
          <w:rFonts w:hint="eastAsia" w:ascii="仿宋_GB2312" w:hAnsi="仿宋_GB2312" w:eastAsia="仿宋_GB2312" w:cs="仿宋_GB2312"/>
          <w:color w:val="000000" w:themeColor="text1"/>
          <w14:textFill>
            <w14:solidFill>
              <w14:schemeClr w14:val="tx1"/>
            </w14:solidFill>
          </w14:textFill>
        </w:rPr>
        <w:t>我方愿意按照</w:t>
      </w:r>
      <w:r>
        <w:rPr>
          <w:rFonts w:hint="eastAsia" w:ascii="仿宋_GB2312" w:hAnsi="仿宋_GB2312" w:eastAsia="仿宋_GB2312" w:cs="仿宋_GB2312"/>
          <w:color w:val="000000" w:themeColor="text1"/>
          <w:lang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文件中的一切要求，完成本项目合同责任和义务。</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六</w:t>
      </w:r>
      <w:r>
        <w:rPr>
          <w:rFonts w:hint="eastAsia" w:ascii="仿宋_GB2312" w:hAnsi="仿宋_GB2312" w:eastAsia="仿宋_GB2312" w:cs="仿宋_GB2312"/>
          <w:color w:val="000000" w:themeColor="text1"/>
          <w14:textFill>
            <w14:solidFill>
              <w14:schemeClr w14:val="tx1"/>
            </w14:solidFill>
          </w14:textFill>
        </w:rPr>
        <w:t>、我方提交</w:t>
      </w:r>
      <w:r>
        <w:rPr>
          <w:rFonts w:hint="eastAsia" w:ascii="仿宋_GB2312" w:hAnsi="仿宋_GB2312" w:eastAsia="仿宋_GB2312" w:cs="仿宋_GB2312"/>
          <w:b/>
          <w:color w:val="000000" w:themeColor="text1"/>
          <w14:textFill>
            <w14:solidFill>
              <w14:schemeClr w14:val="tx1"/>
            </w14:solidFill>
          </w14:textFill>
        </w:rPr>
        <w:t>电子响应文件一份</w:t>
      </w:r>
      <w:r>
        <w:rPr>
          <w:rFonts w:hint="eastAsia" w:ascii="仿宋_GB2312" w:hAnsi="仿宋_GB2312" w:eastAsia="仿宋_GB2312" w:cs="仿宋_GB2312"/>
          <w:b/>
          <w:bCs/>
          <w:color w:val="000000" w:themeColor="text1"/>
          <w14:textFill>
            <w14:solidFill>
              <w14:schemeClr w14:val="tx1"/>
            </w14:solidFill>
          </w14:textFill>
        </w:rPr>
        <w:t>。</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七</w:t>
      </w:r>
      <w:r>
        <w:rPr>
          <w:rFonts w:hint="eastAsia" w:ascii="仿宋_GB2312" w:hAnsi="仿宋_GB2312" w:eastAsia="仿宋_GB2312" w:cs="仿宋_GB2312"/>
          <w:color w:val="000000" w:themeColor="text1"/>
          <w14:textFill>
            <w14:solidFill>
              <w14:schemeClr w14:val="tx1"/>
            </w14:solidFill>
          </w14:textFill>
        </w:rPr>
        <w:t>、供应商在提交响应文件截止时间后撤回响应文件的，我们愿接受政府采购的有关处罚决定。</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八</w:t>
      </w:r>
      <w:r>
        <w:rPr>
          <w:rFonts w:hint="eastAsia" w:ascii="仿宋_GB2312" w:hAnsi="仿宋_GB2312" w:eastAsia="仿宋_GB2312" w:cs="仿宋_GB2312"/>
          <w:color w:val="000000" w:themeColor="text1"/>
          <w14:textFill>
            <w14:solidFill>
              <w14:schemeClr w14:val="tx1"/>
            </w14:solidFill>
          </w14:textFill>
        </w:rPr>
        <w:t>、我方的响应文件在开标之日起</w:t>
      </w:r>
      <w:r>
        <w:rPr>
          <w:rFonts w:hint="eastAsia" w:ascii="仿宋_GB2312" w:hAnsi="仿宋_GB2312" w:eastAsia="仿宋_GB2312" w:cs="仿宋_GB2312"/>
          <w:b/>
          <w:bCs/>
          <w:color w:val="000000" w:themeColor="text1"/>
          <w:u w:val="single"/>
          <w14:textFill>
            <w14:solidFill>
              <w14:schemeClr w14:val="tx1"/>
            </w14:solidFill>
          </w14:textFill>
        </w:rPr>
        <w:t xml:space="preserve"> 90 </w:t>
      </w:r>
      <w:r>
        <w:rPr>
          <w:rFonts w:hint="eastAsia" w:ascii="仿宋_GB2312" w:hAnsi="仿宋_GB2312" w:eastAsia="仿宋_GB2312" w:cs="仿宋_GB2312"/>
          <w:color w:val="000000" w:themeColor="text1"/>
          <w14:textFill>
            <w14:solidFill>
              <w14:schemeClr w14:val="tx1"/>
            </w14:solidFill>
          </w14:textFill>
        </w:rPr>
        <w:t>个日历日内有效，如成交，延长至合同执行完毕时止。</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九</w:t>
      </w:r>
      <w:r>
        <w:rPr>
          <w:rFonts w:hint="eastAsia" w:ascii="仿宋_GB2312" w:hAnsi="仿宋_GB2312" w:eastAsia="仿宋_GB2312" w:cs="仿宋_GB2312"/>
          <w:color w:val="000000" w:themeColor="text1"/>
          <w14:textFill>
            <w14:solidFill>
              <w14:schemeClr w14:val="tx1"/>
            </w14:solidFill>
          </w14:textFill>
        </w:rPr>
        <w:t>、所有关于此次</w:t>
      </w:r>
      <w:r>
        <w:rPr>
          <w:rFonts w:hint="eastAsia" w:ascii="仿宋_GB2312" w:hAnsi="仿宋_GB2312" w:eastAsia="仿宋_GB2312" w:cs="仿宋_GB2312"/>
          <w:color w:val="000000" w:themeColor="text1"/>
          <w:lang w:val="en-US" w:eastAsia="zh-CN"/>
          <w14:textFill>
            <w14:solidFill>
              <w14:schemeClr w14:val="tx1"/>
            </w14:solidFill>
          </w14:textFill>
        </w:rPr>
        <w:t>谈判</w:t>
      </w:r>
      <w:r>
        <w:rPr>
          <w:rFonts w:hint="eastAsia" w:ascii="仿宋_GB2312" w:hAnsi="仿宋_GB2312" w:eastAsia="仿宋_GB2312" w:cs="仿宋_GB2312"/>
          <w:color w:val="000000" w:themeColor="text1"/>
          <w14:textFill>
            <w14:solidFill>
              <w14:schemeClr w14:val="tx1"/>
            </w14:solidFill>
          </w14:textFill>
        </w:rPr>
        <w:t>活动的函电，请按下列地址联系：</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供应商：名称（加盖公章）</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地址：</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电话：</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传真：</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邮编：</w:t>
      </w:r>
    </w:p>
    <w:p>
      <w:pPr>
        <w:pStyle w:val="38"/>
        <w:spacing w:line="500" w:lineRule="exact"/>
        <w:ind w:firstLine="567"/>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电子邮箱：         </w:t>
      </w:r>
    </w:p>
    <w:p>
      <w:pPr>
        <w:pStyle w:val="38"/>
        <w:spacing w:line="500" w:lineRule="exact"/>
        <w:ind w:firstLine="567"/>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pStyle w:val="38"/>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8"/>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8"/>
        <w:ind w:firstLine="0" w:firstLineChars="0"/>
        <w:rPr>
          <w:rFonts w:hint="eastAsia" w:ascii="仿宋_GB2312" w:hAnsi="仿宋_GB2312" w:eastAsia="仿宋_GB2312" w:cs="仿宋_GB2312"/>
          <w:color w:val="000000" w:themeColor="text1"/>
          <w:sz w:val="36"/>
          <w14:textFill>
            <w14:solidFill>
              <w14:schemeClr w14:val="tx1"/>
            </w14:solidFill>
          </w14:textFill>
        </w:rPr>
      </w:pPr>
    </w:p>
    <w:p>
      <w:pPr>
        <w:pStyle w:val="38"/>
        <w:ind w:firstLine="0" w:firstLineChars="0"/>
        <w:rPr>
          <w:color w:val="000000" w:themeColor="text1"/>
          <w:sz w:val="36"/>
          <w14:textFill>
            <w14:solidFill>
              <w14:schemeClr w14:val="tx1"/>
            </w14:solidFill>
          </w14:textFill>
        </w:rPr>
      </w:pPr>
    </w:p>
    <w:p>
      <w:pPr>
        <w:pStyle w:val="38"/>
        <w:ind w:firstLine="0" w:firstLineChars="0"/>
        <w:rPr>
          <w:color w:val="000000" w:themeColor="text1"/>
          <w:sz w:val="36"/>
          <w14:textFill>
            <w14:solidFill>
              <w14:schemeClr w14:val="tx1"/>
            </w14:solidFill>
          </w14:textFill>
        </w:rPr>
      </w:pPr>
    </w:p>
    <w:p>
      <w:pPr>
        <w:pStyle w:val="38"/>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备注：1、项目不分标段的，第___标段空白处填写“/”。</w:t>
      </w:r>
    </w:p>
    <w:p>
      <w:pPr>
        <w:pStyle w:val="38"/>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2、除可填报项目外，对本响应函的任何实质性内容修改将被视为非实质性响应，在评审时将其视为无效响应。</w:t>
      </w:r>
    </w:p>
    <w:p>
      <w:pPr>
        <w:pStyle w:val="38"/>
        <w:ind w:firstLine="639" w:firstLineChars="300"/>
        <w:rPr>
          <w:rFonts w:hint="eastAsia" w:ascii="宋体" w:hAnsi="宋体" w:eastAsia="宋体" w:cs="宋体"/>
          <w:b/>
          <w:bCs/>
          <w:color w:val="000000" w:themeColor="text1"/>
          <w:sz w:val="21"/>
          <w:szCs w:val="21"/>
          <w14:textFill>
            <w14:solidFill>
              <w14:schemeClr w14:val="tx1"/>
            </w14:solidFill>
          </w14:textFill>
        </w:rPr>
      </w:pPr>
    </w:p>
    <w:p>
      <w:pPr>
        <w:pStyle w:val="38"/>
        <w:ind w:firstLine="639" w:firstLineChars="300"/>
        <w:rPr>
          <w:rFonts w:hint="eastAsia" w:ascii="宋体" w:hAnsi="宋体" w:eastAsia="宋体" w:cs="宋体"/>
          <w:b/>
          <w:bCs/>
          <w:color w:val="000000" w:themeColor="text1"/>
          <w:sz w:val="21"/>
          <w:szCs w:val="21"/>
          <w14:textFill>
            <w14:solidFill>
              <w14:schemeClr w14:val="tx1"/>
            </w14:solidFill>
          </w14:textFill>
        </w:rPr>
      </w:pPr>
    </w:p>
    <w:p>
      <w:pPr>
        <w:pStyle w:val="38"/>
        <w:ind w:firstLine="639" w:firstLineChars="300"/>
        <w:rPr>
          <w:rFonts w:hint="eastAsia" w:ascii="宋体" w:hAnsi="宋体" w:eastAsia="宋体" w:cs="宋体"/>
          <w:b/>
          <w:bCs/>
          <w:color w:val="000000" w:themeColor="text1"/>
          <w:sz w:val="21"/>
          <w:szCs w:val="21"/>
          <w14:textFill>
            <w14:solidFill>
              <w14:schemeClr w14:val="tx1"/>
            </w14:solidFill>
          </w14:textFill>
        </w:rPr>
      </w:pPr>
    </w:p>
    <w:p>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br w:type="page"/>
      </w:r>
    </w:p>
    <w:bookmarkEnd w:id="361"/>
    <w:bookmarkEnd w:id="362"/>
    <w:bookmarkEnd w:id="363"/>
    <w:bookmarkEnd w:id="364"/>
    <w:bookmarkEnd w:id="365"/>
    <w:p>
      <w:pPr>
        <w:pStyle w:val="42"/>
        <w:jc w:val="both"/>
        <w:rPr>
          <w:rFonts w:hint="eastAsia" w:ascii="仿宋_GB2312" w:hAnsi="仿宋_GB2312" w:eastAsia="仿宋_GB2312" w:cs="仿宋_GB2312"/>
          <w:color w:val="000000" w:themeColor="text1"/>
          <w:sz w:val="24"/>
          <w:szCs w:val="24"/>
          <w14:textFill>
            <w14:solidFill>
              <w14:schemeClr w14:val="tx1"/>
            </w14:solidFill>
          </w14:textFill>
        </w:rPr>
      </w:pPr>
      <w:bookmarkStart w:id="378" w:name="_Toc23955"/>
      <w:bookmarkStart w:id="379" w:name="_Toc8175"/>
      <w:bookmarkStart w:id="380" w:name="_Toc23660"/>
      <w:bookmarkStart w:id="381" w:name="_Toc30525"/>
      <w:bookmarkStart w:id="382" w:name="_Toc15883"/>
      <w:bookmarkStart w:id="383" w:name="_Toc24876"/>
      <w:bookmarkStart w:id="384" w:name="_Toc6154"/>
      <w:bookmarkStart w:id="385" w:name="_Toc13216"/>
      <w:bookmarkStart w:id="386" w:name="_Toc6921"/>
      <w:bookmarkStart w:id="387" w:name="_Toc17656_WPSOffice_Level2"/>
      <w:r>
        <w:rPr>
          <w:rFonts w:hint="eastAsia" w:ascii="仿宋_GB2312" w:hAnsi="仿宋_GB2312" w:eastAsia="仿宋_GB2312" w:cs="仿宋_GB2312"/>
          <w:bCs w:val="0"/>
          <w:color w:val="000000" w:themeColor="text1"/>
          <w14:textFill>
            <w14:solidFill>
              <w14:schemeClr w14:val="tx1"/>
            </w14:solidFill>
          </w14:textFill>
        </w:rPr>
        <w:t>二、第一次</w:t>
      </w:r>
      <w:r>
        <w:rPr>
          <w:rFonts w:hint="eastAsia" w:ascii="仿宋_GB2312" w:hAnsi="仿宋_GB2312" w:eastAsia="仿宋_GB2312" w:cs="仿宋_GB2312"/>
          <w:bCs w:val="0"/>
          <w:color w:val="000000" w:themeColor="text1"/>
          <w:lang w:eastAsia="zh-CN"/>
          <w14:textFill>
            <w14:solidFill>
              <w14:schemeClr w14:val="tx1"/>
            </w14:solidFill>
          </w14:textFill>
        </w:rPr>
        <w:t>谈判</w:t>
      </w:r>
      <w:r>
        <w:rPr>
          <w:rFonts w:hint="eastAsia" w:ascii="仿宋_GB2312" w:hAnsi="仿宋_GB2312" w:eastAsia="仿宋_GB2312" w:cs="仿宋_GB2312"/>
          <w:bCs w:val="0"/>
          <w:color w:val="000000" w:themeColor="text1"/>
          <w14:textFill>
            <w14:solidFill>
              <w14:schemeClr w14:val="tx1"/>
            </w14:solidFill>
          </w14:textFill>
        </w:rPr>
        <w:t>报价表</w:t>
      </w:r>
      <w:bookmarkEnd w:id="378"/>
      <w:bookmarkEnd w:id="379"/>
      <w:bookmarkEnd w:id="380"/>
      <w:bookmarkEnd w:id="381"/>
      <w:bookmarkEnd w:id="382"/>
      <w:bookmarkEnd w:id="383"/>
      <w:bookmarkEnd w:id="384"/>
      <w:bookmarkEnd w:id="385"/>
      <w:bookmarkEnd w:id="386"/>
    </w:p>
    <w:p>
      <w:pPr>
        <w:spacing w:line="500" w:lineRule="exact"/>
        <w:rPr>
          <w:rFonts w:hint="eastAsia"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项目名称：</w:t>
      </w:r>
    </w:p>
    <w:p>
      <w:pPr>
        <w:pStyle w:val="18"/>
        <w:wordWrap w:val="0"/>
        <w:spacing w:beforeAutospacing="0" w:afterAutospacing="0" w:line="500" w:lineRule="exact"/>
        <w:rPr>
          <w:rFonts w:hint="eastAsia" w:ascii="仿宋_GB2312" w:hAnsi="仿宋_GB2312" w:eastAsia="仿宋_GB2312" w:cs="仿宋_GB2312"/>
          <w:color w:val="000000" w:themeColor="text1"/>
          <w:sz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hd w:val="clear" w:color="auto" w:fill="FFFFFF"/>
          <w14:textFill>
            <w14:solidFill>
              <w14:schemeClr w14:val="tx1"/>
            </w14:solidFill>
          </w14:textFill>
        </w:rPr>
        <w:t>项目编号：</w:t>
      </w:r>
    </w:p>
    <w:p>
      <w:pPr>
        <w:pStyle w:val="14"/>
        <w:rPr>
          <w:rFonts w:hint="eastAsia" w:ascii="仿宋_GB2312" w:hAnsi="仿宋_GB2312" w:eastAsia="仿宋_GB2312" w:cs="仿宋_GB2312"/>
          <w:color w:val="000000" w:themeColor="text1"/>
          <w:sz w:val="28"/>
          <w:shd w:val="clear" w:color="auto" w:fill="FFFFFF"/>
          <w14:textFill>
            <w14:solidFill>
              <w14:schemeClr w14:val="tx1"/>
            </w14:solidFill>
          </w14:textFill>
        </w:rPr>
      </w:pPr>
    </w:p>
    <w:p>
      <w:pPr>
        <w:pStyle w:val="14"/>
        <w:rPr>
          <w:rFonts w:hint="eastAsia" w:ascii="仿宋_GB2312" w:hAnsi="仿宋_GB2312" w:eastAsia="仿宋_GB2312" w:cs="仿宋_GB2312"/>
          <w:color w:val="000000" w:themeColor="text1"/>
          <w:sz w:val="28"/>
          <w:shd w:val="clear" w:color="auto" w:fill="FFFFFF"/>
          <w14:textFill>
            <w14:solidFill>
              <w14:schemeClr w14:val="tx1"/>
            </w14:solidFill>
          </w14:textFill>
        </w:rPr>
      </w:pPr>
    </w:p>
    <w:tbl>
      <w:tblPr>
        <w:tblStyle w:val="21"/>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000000" w:themeColor="text1"/>
                <w:szCs w:val="24"/>
                <w14:textFill>
                  <w14:solidFill>
                    <w14:schemeClr w14:val="tx1"/>
                  </w14:solidFill>
                </w14:textFill>
              </w:rPr>
            </w:pPr>
          </w:p>
        </w:tc>
        <w:tc>
          <w:tcPr>
            <w:tcW w:w="5752" w:type="dxa"/>
            <w:vAlign w:val="center"/>
          </w:tcPr>
          <w:p>
            <w:pPr>
              <w:spacing w:line="440" w:lineRule="exact"/>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7"/>
              <w:spacing w:line="360" w:lineRule="auto"/>
              <w:ind w:firstLine="0"/>
              <w:jc w:val="center"/>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lang w:eastAsia="zh-CN"/>
                <w14:textFill>
                  <w14:solidFill>
                    <w14:schemeClr w14:val="tx1"/>
                  </w14:solidFill>
                </w14:textFill>
              </w:rPr>
              <w:t>谈判</w:t>
            </w:r>
            <w:r>
              <w:rPr>
                <w:rFonts w:hint="eastAsia" w:ascii="仿宋_GB2312" w:hAnsi="仿宋_GB2312" w:eastAsia="仿宋_GB2312" w:cs="仿宋_GB2312"/>
                <w:color w:val="000000" w:themeColor="text1"/>
                <w:szCs w:val="24"/>
                <w14:textFill>
                  <w14:solidFill>
                    <w14:schemeClr w14:val="tx1"/>
                  </w14:solidFill>
                </w14:textFill>
              </w:rPr>
              <w:t>报价</w:t>
            </w:r>
          </w:p>
        </w:tc>
        <w:tc>
          <w:tcPr>
            <w:tcW w:w="5752" w:type="dxa"/>
            <w:vAlign w:val="center"/>
          </w:tcPr>
          <w:p>
            <w:pPr>
              <w:autoSpaceDE w:val="0"/>
              <w:autoSpaceDN w:val="0"/>
              <w:spacing w:line="360" w:lineRule="auto"/>
              <w:rPr>
                <w:rFonts w:hint="eastAsia" w:ascii="仿宋_GB2312" w:hAnsi="仿宋_GB2312" w:eastAsia="仿宋_GB2312" w:cs="仿宋_GB2312"/>
                <w:color w:val="000000" w:themeColor="text1"/>
                <w:kern w:val="0"/>
                <w:szCs w:val="24"/>
                <w:lang w:val="zh-CN"/>
                <w14:textFill>
                  <w14:solidFill>
                    <w14:schemeClr w14:val="tx1"/>
                  </w14:solidFill>
                </w14:textFill>
              </w:rPr>
            </w:pPr>
            <w:r>
              <w:rPr>
                <w:rFonts w:hint="eastAsia" w:ascii="仿宋_GB2312" w:hAnsi="仿宋_GB2312" w:eastAsia="仿宋_GB2312" w:cs="仿宋_GB2312"/>
                <w:color w:val="000000" w:themeColor="text1"/>
                <w:kern w:val="0"/>
                <w:szCs w:val="24"/>
                <w:lang w:val="zh-CN"/>
                <w14:textFill>
                  <w14:solidFill>
                    <w14:schemeClr w14:val="tx1"/>
                  </w14:solidFill>
                </w14:textFill>
              </w:rPr>
              <w:t>小写：</w:t>
            </w:r>
          </w:p>
          <w:p>
            <w:pPr>
              <w:pStyle w:val="14"/>
              <w:rPr>
                <w:rFonts w:hint="eastAsia" w:ascii="仿宋_GB2312" w:hAnsi="仿宋_GB2312" w:eastAsia="仿宋_GB2312" w:cs="仿宋_GB2312"/>
                <w:color w:val="000000" w:themeColor="text1"/>
                <w:lang w:val="zh-CN"/>
                <w14:textFill>
                  <w14:solidFill>
                    <w14:schemeClr w14:val="tx1"/>
                  </w14:solidFill>
                </w14:textFill>
              </w:rPr>
            </w:pPr>
          </w:p>
          <w:p>
            <w:pPr>
              <w:autoSpaceDE w:val="0"/>
              <w:autoSpaceDN w:val="0"/>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大写</w:t>
            </w:r>
            <w:r>
              <w:rPr>
                <w:rFonts w:hint="eastAsia" w:ascii="仿宋_GB2312" w:hAnsi="仿宋_GB2312" w:eastAsia="仿宋_GB2312" w:cs="仿宋_GB2312"/>
                <w:color w:val="000000" w:themeColor="text1"/>
                <w:sz w:val="24"/>
                <w:szCs w:val="24"/>
                <w14:textFill>
                  <w14:solidFill>
                    <w14:schemeClr w14:val="tx1"/>
                  </w14:solidFill>
                </w14:textFill>
              </w:rPr>
              <w:t>：</w:t>
            </w:r>
          </w:p>
          <w:p>
            <w:pPr>
              <w:autoSpaceDE w:val="0"/>
              <w:autoSpaceDN w:val="0"/>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单位：元（保留到元）</w:t>
            </w:r>
          </w:p>
        </w:tc>
      </w:tr>
    </w:tbl>
    <w:p>
      <w:pPr>
        <w:autoSpaceDE w:val="0"/>
        <w:autoSpaceDN w:val="0"/>
        <w:spacing w:line="240" w:lineRule="auto"/>
        <w:ind w:firstLine="480"/>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备注</w:t>
      </w:r>
      <w:r>
        <w:rPr>
          <w:rFonts w:hint="eastAsia" w:ascii="宋体" w:hAnsi="宋体" w:eastAsia="宋体" w:cs="宋体"/>
          <w:b/>
          <w:bCs/>
          <w:color w:val="000000" w:themeColor="text1"/>
          <w:kern w:val="0"/>
          <w:sz w:val="21"/>
          <w:szCs w:val="21"/>
          <w:lang w:val="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lang w:val="zh-CN"/>
          <w14:textFill>
            <w14:solidFill>
              <w14:schemeClr w14:val="tx1"/>
            </w14:solidFill>
          </w14:textFill>
        </w:rPr>
        <w:t>“谈判报价”为谈判总价。谈判</w:t>
      </w:r>
      <w:r>
        <w:rPr>
          <w:rFonts w:ascii="宋体" w:hAnsi="宋体" w:eastAsia="宋体" w:cs="宋体"/>
          <w:color w:val="000000" w:themeColor="text1"/>
          <w:kern w:val="0"/>
          <w:sz w:val="21"/>
          <w:szCs w:val="21"/>
          <w:lang w:val="zh-CN"/>
          <w14:textFill>
            <w14:solidFill>
              <w14:schemeClr w14:val="tx1"/>
            </w14:solidFill>
          </w14:textFill>
        </w:rPr>
        <w:t>报价必须包括</w:t>
      </w:r>
      <w:r>
        <w:rPr>
          <w:rFonts w:hint="eastAsia" w:ascii="宋体" w:hAnsi="宋体" w:eastAsia="宋体" w:cs="宋体"/>
          <w:color w:val="000000" w:themeColor="text1"/>
          <w:kern w:val="0"/>
          <w:sz w:val="21"/>
          <w:szCs w:val="21"/>
          <w:lang w:val="zh-CN"/>
          <w14:textFill>
            <w14:solidFill>
              <w14:schemeClr w14:val="tx1"/>
            </w14:solidFill>
          </w14:textFill>
        </w:rPr>
        <w:t>本项目所需</w:t>
      </w:r>
      <w:r>
        <w:rPr>
          <w:rFonts w:ascii="宋体" w:hAnsi="宋体" w:eastAsia="宋体" w:cs="宋体"/>
          <w:color w:val="000000" w:themeColor="text1"/>
          <w:kern w:val="0"/>
          <w:sz w:val="21"/>
          <w:szCs w:val="21"/>
          <w:lang w:val="zh-CN"/>
          <w14:textFill>
            <w14:solidFill>
              <w14:schemeClr w14:val="tx1"/>
            </w14:solidFill>
          </w14:textFill>
        </w:rPr>
        <w:t>全部费用</w:t>
      </w:r>
      <w:r>
        <w:rPr>
          <w:rFonts w:hint="eastAsia" w:ascii="宋体" w:hAnsi="宋体" w:eastAsia="宋体" w:cs="宋体"/>
          <w:color w:val="000000" w:themeColor="text1"/>
          <w:kern w:val="0"/>
          <w:sz w:val="21"/>
          <w:szCs w:val="21"/>
          <w:lang w:val="zh-CN"/>
          <w14:textFill>
            <w14:solidFill>
              <w14:schemeClr w14:val="tx1"/>
            </w14:solidFill>
          </w14:textFill>
        </w:rPr>
        <w:t>。</w:t>
      </w:r>
    </w:p>
    <w:p>
      <w:pPr>
        <w:autoSpaceDE w:val="0"/>
        <w:autoSpaceDN w:val="0"/>
        <w:spacing w:line="240" w:lineRule="auto"/>
        <w:ind w:firstLine="480"/>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000000" w:themeColor="text1"/>
          <w:sz w:val="21"/>
          <w:szCs w:val="21"/>
          <w14:textFill>
            <w14:solidFill>
              <w14:schemeClr w14:val="tx1"/>
            </w14:solidFill>
          </w14:textFill>
        </w:rPr>
      </w:pPr>
    </w:p>
    <w:p>
      <w:pPr>
        <w:spacing w:line="440" w:lineRule="exact"/>
        <w:ind w:right="560"/>
        <w:jc w:val="right"/>
        <w:rPr>
          <w:rFonts w:hint="eastAsia" w:ascii="仿宋_GB2312" w:hAnsi="仿宋_GB2312" w:eastAsia="仿宋_GB2312" w:cs="仿宋_GB2312"/>
          <w:color w:val="000000" w:themeColor="text1"/>
          <w:sz w:val="24"/>
          <w:szCs w:val="24"/>
          <w14:textFill>
            <w14:solidFill>
              <w14:schemeClr w14:val="tx1"/>
            </w14:solidFill>
          </w14:textFill>
        </w:rPr>
      </w:pP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日期：　　年　月　日     </w:t>
      </w:r>
    </w:p>
    <w:p>
      <w:pPr>
        <w:spacing w:line="500" w:lineRule="exact"/>
        <w:ind w:firstLine="566" w:firstLineChars="200"/>
        <w:rPr>
          <w:rFonts w:ascii="华文仿宋" w:hAnsi="华文仿宋" w:cs="华文仿宋"/>
          <w:b/>
          <w:color w:val="000000" w:themeColor="text1"/>
          <w14:textFill>
            <w14:solidFill>
              <w14:schemeClr w14:val="tx1"/>
            </w14:solidFill>
          </w14:textFill>
        </w:rPr>
      </w:pPr>
    </w:p>
    <w:bookmarkEnd w:id="387"/>
    <w:p>
      <w:pPr>
        <w:rPr>
          <w:rFonts w:ascii="宋体" w:hAnsi="宋体"/>
          <w:b/>
          <w:bCs/>
          <w:color w:val="000000" w:themeColor="text1"/>
          <w:sz w:val="32"/>
          <w:szCs w:val="32"/>
          <w14:textFill>
            <w14:solidFill>
              <w14:schemeClr w14:val="tx1"/>
            </w14:solidFill>
          </w14:textFill>
        </w:rPr>
      </w:pPr>
      <w:r>
        <w:rPr>
          <w:rFonts w:ascii="华文仿宋" w:hAnsi="华文仿宋" w:cs="华文仿宋"/>
          <w:b w:val="0"/>
          <w:color w:val="000000" w:themeColor="text1"/>
          <w:sz w:val="28"/>
          <w:szCs w:val="28"/>
          <w14:textFill>
            <w14:solidFill>
              <w14:schemeClr w14:val="tx1"/>
            </w14:solidFill>
          </w14:textFill>
        </w:rPr>
        <w:br w:type="page"/>
      </w:r>
    </w:p>
    <w:p>
      <w:pPr>
        <w:spacing w:line="240" w:lineRule="auto"/>
        <w:jc w:val="center"/>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分项报价表（样表）</w:t>
      </w:r>
      <w:r>
        <w:rPr>
          <w:rFonts w:hint="eastAsia" w:ascii="仿宋_GB2312" w:hAnsi="仿宋_GB2312" w:eastAsia="仿宋_GB2312" w:cs="仿宋_GB2312"/>
          <w:b/>
          <w:color w:val="000000" w:themeColor="text1"/>
          <w14:textFill>
            <w14:solidFill>
              <w14:schemeClr w14:val="tx1"/>
            </w14:solidFill>
          </w14:textFill>
        </w:rPr>
        <w:tab/>
      </w:r>
    </w:p>
    <w:tbl>
      <w:tblPr>
        <w:tblStyle w:val="2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772"/>
        <w:gridCol w:w="113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2"/>
              <w:widowControl w:val="0"/>
              <w:rPr>
                <w:rFonts w:hint="eastAsia" w:ascii="仿宋_GB2312" w:hAnsi="仿宋_GB2312" w:eastAsia="仿宋_GB2312" w:cs="仿宋_GB2312"/>
                <w:bCs w:val="0"/>
                <w:color w:val="000000" w:themeColor="text1"/>
                <w:sz w:val="24"/>
                <w:szCs w:val="24"/>
                <w14:textFill>
                  <w14:solidFill>
                    <w14:schemeClr w14:val="tx1"/>
                  </w14:solidFill>
                </w14:textFill>
              </w:rPr>
            </w:pPr>
            <w:bookmarkStart w:id="388" w:name="_Toc11855"/>
            <w:bookmarkStart w:id="389" w:name="_Toc32361"/>
            <w:bookmarkStart w:id="390" w:name="_Toc22090"/>
            <w:bookmarkStart w:id="391" w:name="_Toc1934"/>
            <w:bookmarkStart w:id="392" w:name="_Toc11534"/>
            <w:bookmarkStart w:id="393" w:name="_Toc16723"/>
            <w:bookmarkStart w:id="394" w:name="_Toc26257"/>
            <w:bookmarkStart w:id="395" w:name="_Toc28408"/>
            <w:bookmarkStart w:id="396" w:name="_Toc18433"/>
            <w:r>
              <w:rPr>
                <w:rFonts w:hint="eastAsia" w:ascii="仿宋_GB2312" w:hAnsi="仿宋_GB2312" w:eastAsia="仿宋_GB2312" w:cs="仿宋_GB2312"/>
                <w:bCs w:val="0"/>
                <w:color w:val="000000" w:themeColor="text1"/>
                <w:sz w:val="24"/>
                <w:szCs w:val="24"/>
                <w14:textFill>
                  <w14:solidFill>
                    <w14:schemeClr w14:val="tx1"/>
                  </w14:solidFill>
                </w14:textFill>
              </w:rPr>
              <w:t>序号</w:t>
            </w:r>
            <w:bookmarkEnd w:id="388"/>
            <w:bookmarkEnd w:id="389"/>
            <w:bookmarkEnd w:id="390"/>
            <w:bookmarkEnd w:id="391"/>
            <w:bookmarkEnd w:id="392"/>
            <w:bookmarkEnd w:id="393"/>
            <w:bookmarkEnd w:id="394"/>
            <w:bookmarkEnd w:id="395"/>
            <w:bookmarkEnd w:id="396"/>
          </w:p>
        </w:tc>
        <w:tc>
          <w:tcPr>
            <w:tcW w:w="1379" w:type="dxa"/>
            <w:vAlign w:val="center"/>
          </w:tcPr>
          <w:p>
            <w:pPr>
              <w:pStyle w:val="42"/>
              <w:widowControl w:val="0"/>
              <w:rPr>
                <w:rFonts w:hint="eastAsia" w:ascii="仿宋_GB2312" w:hAnsi="仿宋_GB2312" w:eastAsia="仿宋_GB2312" w:cs="仿宋_GB2312"/>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产品名称</w:t>
            </w:r>
          </w:p>
        </w:tc>
        <w:tc>
          <w:tcPr>
            <w:tcW w:w="966" w:type="dxa"/>
            <w:vAlign w:val="center"/>
          </w:tcPr>
          <w:p>
            <w:pPr>
              <w:pStyle w:val="42"/>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品牌</w:t>
            </w:r>
          </w:p>
        </w:tc>
        <w:tc>
          <w:tcPr>
            <w:tcW w:w="1555" w:type="dxa"/>
            <w:vAlign w:val="center"/>
          </w:tcPr>
          <w:p>
            <w:pPr>
              <w:pStyle w:val="42"/>
              <w:widowControl w:val="0"/>
              <w:spacing w:line="300" w:lineRule="exact"/>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规格型号</w:t>
            </w:r>
          </w:p>
        </w:tc>
        <w:tc>
          <w:tcPr>
            <w:tcW w:w="1240" w:type="dxa"/>
            <w:vAlign w:val="center"/>
          </w:tcPr>
          <w:p>
            <w:pPr>
              <w:pStyle w:val="42"/>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制造商</w:t>
            </w:r>
          </w:p>
        </w:tc>
        <w:tc>
          <w:tcPr>
            <w:tcW w:w="772" w:type="dxa"/>
            <w:vAlign w:val="center"/>
          </w:tcPr>
          <w:p>
            <w:pPr>
              <w:pStyle w:val="42"/>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数量</w:t>
            </w:r>
          </w:p>
        </w:tc>
        <w:tc>
          <w:tcPr>
            <w:tcW w:w="1135" w:type="dxa"/>
            <w:vAlign w:val="center"/>
          </w:tcPr>
          <w:p>
            <w:pPr>
              <w:pStyle w:val="42"/>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单价</w:t>
            </w:r>
          </w:p>
        </w:tc>
        <w:tc>
          <w:tcPr>
            <w:tcW w:w="1352" w:type="dxa"/>
            <w:vAlign w:val="center"/>
          </w:tcPr>
          <w:p>
            <w:pPr>
              <w:pStyle w:val="42"/>
              <w:widowControl w:val="0"/>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Cs w:val="0"/>
                <w:color w:val="000000" w:themeColor="text1"/>
                <w:sz w:val="24"/>
                <w:szCs w:val="24"/>
                <w:lang w:val="en-US" w:eastAsia="zh-CN"/>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bookmarkStart w:id="397" w:name="_Toc31519"/>
          </w:p>
        </w:tc>
        <w:tc>
          <w:tcPr>
            <w:tcW w:w="1379"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79"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966"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55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240"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77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135"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c>
          <w:tcPr>
            <w:tcW w:w="1352" w:type="dxa"/>
          </w:tcPr>
          <w:p>
            <w:pPr>
              <w:pStyle w:val="42"/>
              <w:widowControl w:val="0"/>
              <w:jc w:val="left"/>
              <w:rPr>
                <w:rFonts w:hint="eastAsia" w:ascii="仿宋_GB2312" w:hAnsi="仿宋_GB2312" w:eastAsia="仿宋_GB2312" w:cs="仿宋_GB2312"/>
                <w:bCs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2"/>
              <w:widowControl w:val="0"/>
              <w:rPr>
                <w:rFonts w:hint="eastAsia"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合计</w:t>
            </w:r>
            <w:bookmarkEnd w:id="397"/>
          </w:p>
        </w:tc>
        <w:tc>
          <w:tcPr>
            <w:tcW w:w="7020" w:type="dxa"/>
            <w:gridSpan w:val="6"/>
          </w:tcPr>
          <w:p>
            <w:pPr>
              <w:widowControl w:val="0"/>
              <w:autoSpaceDE w:val="0"/>
              <w:autoSpaceDN w:val="0"/>
              <w:spacing w:line="240" w:lineRule="auto"/>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小写：</w:t>
            </w:r>
          </w:p>
          <w:p>
            <w:pPr>
              <w:pStyle w:val="42"/>
              <w:widowControl w:val="0"/>
              <w:jc w:val="left"/>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 xml:space="preserve">                                 </w:t>
            </w:r>
            <w:bookmarkStart w:id="398" w:name="_Toc31429"/>
            <w:bookmarkStart w:id="399" w:name="_Toc8004"/>
            <w:bookmarkStart w:id="400" w:name="_Toc22162"/>
            <w:bookmarkStart w:id="401" w:name="_Toc10552"/>
            <w:bookmarkStart w:id="402" w:name="_Toc7253"/>
            <w:bookmarkStart w:id="403" w:name="_Toc17991"/>
            <w:bookmarkStart w:id="404" w:name="_Toc28010"/>
            <w:r>
              <w:rPr>
                <w:rFonts w:hint="eastAsia" w:ascii="仿宋_GB2312" w:hAnsi="仿宋_GB2312" w:eastAsia="仿宋_GB2312" w:cs="仿宋_GB2312"/>
                <w:b w:val="0"/>
                <w:bCs w:val="0"/>
                <w:color w:val="000000" w:themeColor="text1"/>
                <w:sz w:val="24"/>
                <w:szCs w:val="24"/>
                <w14:textFill>
                  <w14:solidFill>
                    <w14:schemeClr w14:val="tx1"/>
                  </w14:solidFill>
                </w14:textFill>
              </w:rPr>
              <w:t>单位：元（保留到元）</w:t>
            </w:r>
            <w:bookmarkEnd w:id="398"/>
            <w:bookmarkEnd w:id="399"/>
            <w:bookmarkEnd w:id="400"/>
            <w:bookmarkEnd w:id="401"/>
            <w:bookmarkEnd w:id="402"/>
            <w:bookmarkEnd w:id="403"/>
            <w:bookmarkEnd w:id="404"/>
          </w:p>
        </w:tc>
      </w:tr>
    </w:tbl>
    <w:p>
      <w:pPr>
        <w:tabs>
          <w:tab w:val="right" w:pos="9072"/>
        </w:tabs>
        <w:spacing w:line="500" w:lineRule="exact"/>
        <w:ind w:firstLine="566" w:firstLineChars="200"/>
        <w:jc w:val="right"/>
        <w:rPr>
          <w:rFonts w:ascii="仿宋" w:hAnsi="仿宋" w:eastAsia="仿宋"/>
          <w:b/>
          <w:color w:val="000000" w:themeColor="text1"/>
          <w14:textFill>
            <w14:solidFill>
              <w14:schemeClr w14:val="tx1"/>
            </w14:solidFill>
          </w14:textFill>
        </w:rPr>
      </w:pPr>
    </w:p>
    <w:p>
      <w:pPr>
        <w:tabs>
          <w:tab w:val="right" w:pos="9072"/>
        </w:tabs>
        <w:spacing w:line="240" w:lineRule="auto"/>
        <w:ind w:firstLine="213" w:firstLineChars="100"/>
        <w:rPr>
          <w:rFonts w:ascii="宋体" w:hAnsi="宋体" w:eastAsia="宋体" w:cs="华文仿宋"/>
          <w:color w:val="000000" w:themeColor="text1"/>
          <w:sz w:val="21"/>
          <w:szCs w:val="21"/>
          <w14:textFill>
            <w14:solidFill>
              <w14:schemeClr w14:val="tx1"/>
            </w14:solidFill>
          </w14:textFill>
        </w:rPr>
      </w:pPr>
      <w:r>
        <w:rPr>
          <w:rFonts w:hint="eastAsia" w:ascii="宋体" w:hAnsi="宋体" w:eastAsia="宋体" w:cs="华文仿宋"/>
          <w:color w:val="000000" w:themeColor="text1"/>
          <w:sz w:val="21"/>
          <w:szCs w:val="21"/>
          <w14:textFill>
            <w14:solidFill>
              <w14:schemeClr w14:val="tx1"/>
            </w14:solidFill>
          </w14:textFill>
        </w:rPr>
        <w:t>备注</w:t>
      </w:r>
      <w:r>
        <w:rPr>
          <w:rFonts w:ascii="宋体" w:hAnsi="宋体" w:eastAsia="宋体" w:cs="华文仿宋"/>
          <w:color w:val="000000" w:themeColor="text1"/>
          <w:sz w:val="21"/>
          <w:szCs w:val="21"/>
          <w14:textFill>
            <w14:solidFill>
              <w14:schemeClr w14:val="tx1"/>
            </w14:solidFill>
          </w14:textFill>
        </w:rPr>
        <w:t>：</w:t>
      </w:r>
      <w:r>
        <w:rPr>
          <w:rFonts w:hint="eastAsia" w:ascii="宋体" w:hAnsi="宋体" w:eastAsia="宋体" w:cs="华文仿宋"/>
          <w:color w:val="000000" w:themeColor="text1"/>
          <w:sz w:val="21"/>
          <w:szCs w:val="21"/>
          <w14:textFill>
            <w14:solidFill>
              <w14:schemeClr w14:val="tx1"/>
            </w14:solidFill>
          </w14:textFill>
        </w:rPr>
        <w:t>1、本表“</w:t>
      </w:r>
      <w:r>
        <w:rPr>
          <w:rFonts w:hint="eastAsia" w:ascii="宋体" w:hAnsi="宋体" w:eastAsia="宋体" w:cs="华文仿宋"/>
          <w:color w:val="000000" w:themeColor="text1"/>
          <w:sz w:val="21"/>
          <w:szCs w:val="21"/>
          <w:lang w:val="en-US" w:eastAsia="zh-CN"/>
          <w14:textFill>
            <w14:solidFill>
              <w14:schemeClr w14:val="tx1"/>
            </w14:solidFill>
          </w14:textFill>
        </w:rPr>
        <w:t>合计</w:t>
      </w:r>
      <w:r>
        <w:rPr>
          <w:rFonts w:hint="eastAsia" w:ascii="宋体" w:hAnsi="宋体" w:eastAsia="宋体" w:cs="华文仿宋"/>
          <w:color w:val="000000" w:themeColor="text1"/>
          <w:sz w:val="21"/>
          <w:szCs w:val="21"/>
          <w14:textFill>
            <w14:solidFill>
              <w14:schemeClr w14:val="tx1"/>
            </w14:solidFill>
          </w14:textFill>
        </w:rPr>
        <w:t>”金额应与“第一次</w:t>
      </w:r>
      <w:r>
        <w:rPr>
          <w:rFonts w:hint="eastAsia" w:ascii="宋体" w:hAnsi="宋体" w:eastAsia="宋体" w:cs="华文仿宋"/>
          <w:color w:val="000000" w:themeColor="text1"/>
          <w:sz w:val="21"/>
          <w:szCs w:val="21"/>
          <w:lang w:eastAsia="zh-CN"/>
          <w14:textFill>
            <w14:solidFill>
              <w14:schemeClr w14:val="tx1"/>
            </w14:solidFill>
          </w14:textFill>
        </w:rPr>
        <w:t>谈判</w:t>
      </w:r>
      <w:r>
        <w:rPr>
          <w:rFonts w:hint="eastAsia" w:ascii="宋体" w:hAnsi="宋体" w:eastAsia="宋体" w:cs="华文仿宋"/>
          <w:color w:val="000000" w:themeColor="text1"/>
          <w:sz w:val="21"/>
          <w:szCs w:val="21"/>
          <w14:textFill>
            <w14:solidFill>
              <w14:schemeClr w14:val="tx1"/>
            </w14:solidFill>
          </w14:textFill>
        </w:rPr>
        <w:t>报价表”中的“</w:t>
      </w:r>
      <w:r>
        <w:rPr>
          <w:rFonts w:hint="eastAsia" w:ascii="宋体" w:hAnsi="宋体" w:eastAsia="宋体" w:cs="华文仿宋"/>
          <w:color w:val="000000" w:themeColor="text1"/>
          <w:sz w:val="21"/>
          <w:szCs w:val="21"/>
          <w:lang w:eastAsia="zh-CN"/>
          <w14:textFill>
            <w14:solidFill>
              <w14:schemeClr w14:val="tx1"/>
            </w14:solidFill>
          </w14:textFill>
        </w:rPr>
        <w:t>谈判</w:t>
      </w:r>
      <w:r>
        <w:rPr>
          <w:rFonts w:hint="eastAsia" w:ascii="宋体" w:hAnsi="宋体" w:eastAsia="宋体" w:cs="华文仿宋"/>
          <w:color w:val="000000" w:themeColor="text1"/>
          <w:sz w:val="21"/>
          <w:szCs w:val="21"/>
          <w14:textFill>
            <w14:solidFill>
              <w14:schemeClr w14:val="tx1"/>
            </w14:solidFill>
          </w14:textFill>
        </w:rPr>
        <w:t>报价”一致；</w:t>
      </w:r>
    </w:p>
    <w:p>
      <w:pPr>
        <w:tabs>
          <w:tab w:val="right" w:pos="9072"/>
        </w:tabs>
        <w:spacing w:line="240" w:lineRule="auto"/>
        <w:ind w:firstLine="852" w:firstLineChars="400"/>
        <w:rPr>
          <w:rFonts w:ascii="宋体" w:hAnsi="宋体" w:eastAsia="宋体" w:cs="华文仿宋"/>
          <w:color w:val="000000" w:themeColor="text1"/>
          <w:sz w:val="21"/>
          <w:szCs w:val="21"/>
          <w14:textFill>
            <w14:solidFill>
              <w14:schemeClr w14:val="tx1"/>
            </w14:solidFill>
          </w14:textFill>
        </w:rPr>
      </w:pPr>
      <w:r>
        <w:rPr>
          <w:rFonts w:hint="eastAsia" w:ascii="宋体" w:hAnsi="宋体" w:eastAsia="宋体" w:cs="华文仿宋"/>
          <w:color w:val="000000" w:themeColor="text1"/>
          <w:sz w:val="21"/>
          <w:szCs w:val="21"/>
          <w14:textFill>
            <w14:solidFill>
              <w14:schemeClr w14:val="tx1"/>
            </w14:solidFill>
          </w14:textFill>
        </w:rPr>
        <w:t>2、本表为</w:t>
      </w:r>
      <w:r>
        <w:rPr>
          <w:rFonts w:ascii="宋体" w:hAnsi="宋体" w:eastAsia="宋体" w:cs="华文仿宋"/>
          <w:color w:val="000000" w:themeColor="text1"/>
          <w:sz w:val="21"/>
          <w:szCs w:val="21"/>
          <w14:textFill>
            <w14:solidFill>
              <w14:schemeClr w14:val="tx1"/>
            </w14:solidFill>
          </w14:textFill>
        </w:rPr>
        <w:t>样表，仅供参考，</w:t>
      </w:r>
      <w:r>
        <w:rPr>
          <w:rFonts w:hint="eastAsia" w:ascii="宋体" w:hAnsi="宋体" w:eastAsia="宋体" w:cs="华文仿宋"/>
          <w:color w:val="000000" w:themeColor="text1"/>
          <w:sz w:val="21"/>
          <w:szCs w:val="21"/>
          <w14:textFill>
            <w14:solidFill>
              <w14:schemeClr w14:val="tx1"/>
            </w14:solidFill>
          </w14:textFill>
        </w:rPr>
        <w:t>供应商根据</w:t>
      </w:r>
      <w:r>
        <w:rPr>
          <w:rFonts w:ascii="宋体" w:hAnsi="宋体" w:eastAsia="宋体" w:cs="华文仿宋"/>
          <w:color w:val="000000" w:themeColor="text1"/>
          <w:sz w:val="21"/>
          <w:szCs w:val="21"/>
          <w14:textFill>
            <w14:solidFill>
              <w14:schemeClr w14:val="tx1"/>
            </w14:solidFill>
          </w14:textFill>
        </w:rPr>
        <w:t>项目实际</w:t>
      </w:r>
      <w:r>
        <w:rPr>
          <w:rFonts w:hint="eastAsia" w:ascii="宋体" w:hAnsi="宋体" w:eastAsia="宋体" w:cs="华文仿宋"/>
          <w:color w:val="000000" w:themeColor="text1"/>
          <w:sz w:val="21"/>
          <w:szCs w:val="21"/>
          <w14:textFill>
            <w14:solidFill>
              <w14:schemeClr w14:val="tx1"/>
            </w14:solidFill>
          </w14:textFill>
        </w:rPr>
        <w:t>需求</w:t>
      </w:r>
      <w:r>
        <w:rPr>
          <w:rFonts w:ascii="宋体" w:hAnsi="宋体" w:eastAsia="宋体" w:cs="华文仿宋"/>
          <w:color w:val="000000" w:themeColor="text1"/>
          <w:sz w:val="21"/>
          <w:szCs w:val="21"/>
          <w14:textFill>
            <w14:solidFill>
              <w14:schemeClr w14:val="tx1"/>
            </w14:solidFill>
          </w14:textFill>
        </w:rPr>
        <w:t>进行填写</w:t>
      </w:r>
      <w:r>
        <w:rPr>
          <w:rFonts w:hint="eastAsia" w:ascii="宋体" w:hAnsi="宋体" w:eastAsia="宋体" w:cs="华文仿宋"/>
          <w:color w:val="000000" w:themeColor="text1"/>
          <w:sz w:val="21"/>
          <w:szCs w:val="21"/>
          <w14:textFill>
            <w14:solidFill>
              <w14:schemeClr w14:val="tx1"/>
            </w14:solidFill>
          </w14:textFill>
        </w:rPr>
        <w:t>。</w:t>
      </w:r>
    </w:p>
    <w:p>
      <w:pPr>
        <w:tabs>
          <w:tab w:val="right" w:pos="9072"/>
        </w:tabs>
        <w:spacing w:line="500" w:lineRule="exact"/>
        <w:ind w:firstLine="486" w:firstLineChars="200"/>
        <w:rPr>
          <w:rFonts w:ascii="华文仿宋" w:hAnsi="华文仿宋" w:cs="华文仿宋"/>
          <w:color w:val="000000" w:themeColor="text1"/>
          <w:sz w:val="24"/>
          <w:szCs w:val="24"/>
          <w14:textFill>
            <w14:solidFill>
              <w14:schemeClr w14:val="tx1"/>
            </w14:solidFill>
          </w14:textFill>
        </w:rPr>
      </w:pPr>
    </w:p>
    <w:p>
      <w:pPr>
        <w:tabs>
          <w:tab w:val="right" w:pos="9072"/>
        </w:tabs>
        <w:spacing w:line="500" w:lineRule="exact"/>
        <w:ind w:firstLine="486" w:firstLineChars="200"/>
        <w:rPr>
          <w:rFonts w:ascii="华文仿宋" w:hAnsi="华文仿宋" w:cs="华文仿宋"/>
          <w:color w:val="000000" w:themeColor="text1"/>
          <w:sz w:val="24"/>
          <w:szCs w:val="24"/>
          <w14:textFill>
            <w14:solidFill>
              <w14:schemeClr w14:val="tx1"/>
            </w14:solidFill>
          </w14:textFill>
        </w:rPr>
      </w:pPr>
    </w:p>
    <w:p>
      <w:pPr>
        <w:tabs>
          <w:tab w:val="right" w:pos="9072"/>
        </w:tabs>
        <w:spacing w:line="500" w:lineRule="exact"/>
        <w:ind w:firstLine="566" w:firstLineChars="200"/>
        <w:rPr>
          <w:rFonts w:ascii="华文仿宋" w:hAnsi="华文仿宋" w:cs="华文仿宋"/>
          <w:b/>
          <w:color w:val="000000" w:themeColor="text1"/>
          <w14:textFill>
            <w14:solidFill>
              <w14:schemeClr w14:val="tx1"/>
            </w14:solidFill>
          </w14:textFill>
        </w:rPr>
      </w:pPr>
    </w:p>
    <w:p>
      <w:pPr>
        <w:spacing w:line="500" w:lineRule="exact"/>
        <w:ind w:firstLine="4811" w:firstLineChars="17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w:t>
      </w:r>
      <w:r>
        <w:rPr>
          <w:rFonts w:hint="eastAsia" w:ascii="仿宋" w:hAnsi="仿宋" w:eastAsia="仿宋" w:cs="仿宋"/>
          <w:color w:val="000000" w:themeColor="text1"/>
          <w:u w:val="single"/>
          <w14:textFill>
            <w14:solidFill>
              <w14:schemeClr w14:val="tx1"/>
            </w14:solidFill>
          </w14:textFill>
        </w:rPr>
        <w:t>名称</w:t>
      </w:r>
      <w:r>
        <w:rPr>
          <w:rFonts w:hint="eastAsia" w:ascii="仿宋" w:hAnsi="仿宋" w:eastAsia="仿宋" w:cs="仿宋"/>
          <w:color w:val="000000" w:themeColor="text1"/>
          <w14:textFill>
            <w14:solidFill>
              <w14:schemeClr w14:val="tx1"/>
            </w14:solidFill>
          </w14:textFill>
        </w:rPr>
        <w:t>（加盖公章）</w:t>
      </w:r>
    </w:p>
    <w:p>
      <w:pPr>
        <w:tabs>
          <w:tab w:val="right" w:pos="9070"/>
        </w:tabs>
        <w:spacing w:line="500" w:lineRule="exact"/>
        <w:ind w:firstLine="4811" w:firstLineChars="1700"/>
        <w:rPr>
          <w:rFonts w:ascii="华文仿宋" w:hAnsi="华文仿宋" w:cs="华文仿宋"/>
          <w:bCs/>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　　年　月　日</w:t>
      </w:r>
      <w:r>
        <w:rPr>
          <w:rFonts w:hint="eastAsia" w:ascii="华文仿宋" w:hAnsi="华文仿宋" w:cs="华文仿宋"/>
          <w:bCs/>
          <w:color w:val="000000" w:themeColor="text1"/>
          <w14:textFill>
            <w14:solidFill>
              <w14:schemeClr w14:val="tx1"/>
            </w14:solidFill>
          </w14:textFill>
        </w:rPr>
        <w:tab/>
      </w:r>
      <w:r>
        <w:rPr>
          <w:rFonts w:hint="eastAsia" w:ascii="华文仿宋" w:hAnsi="华文仿宋" w:cs="华文仿宋"/>
          <w:bCs/>
          <w:color w:val="000000" w:themeColor="text1"/>
          <w14:textFill>
            <w14:solidFill>
              <w14:schemeClr w14:val="tx1"/>
            </w14:solidFill>
          </w14:textFill>
        </w:rPr>
        <w:t xml:space="preserve">  </w:t>
      </w:r>
    </w:p>
    <w:p>
      <w:pPr>
        <w:tabs>
          <w:tab w:val="right" w:pos="9070"/>
        </w:tabs>
        <w:spacing w:line="500" w:lineRule="exact"/>
        <w:rPr>
          <w:rFonts w:ascii="华文仿宋" w:hAnsi="华文仿宋" w:cs="华文仿宋"/>
          <w:bCs/>
          <w:color w:val="000000" w:themeColor="text1"/>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pPr>
        <w:pStyle w:val="42"/>
        <w:jc w:val="both"/>
        <w:rPr>
          <w:rFonts w:hint="eastAsia" w:ascii="仿宋_GB2312" w:hAnsi="仿宋_GB2312" w:eastAsia="仿宋_GB2312" w:cs="仿宋_GB2312"/>
          <w:bCs w:val="0"/>
          <w:color w:val="000000" w:themeColor="text1"/>
          <w14:textFill>
            <w14:solidFill>
              <w14:schemeClr w14:val="tx1"/>
            </w14:solidFill>
          </w14:textFill>
        </w:rPr>
      </w:pPr>
      <w:bookmarkStart w:id="405" w:name="_Toc13309_WPSOffice_Level2"/>
      <w:bookmarkStart w:id="406" w:name="_Toc2393"/>
      <w:bookmarkStart w:id="407" w:name="_Toc20416"/>
      <w:bookmarkStart w:id="408" w:name="_Toc26536_WPSOffice_Level2"/>
      <w:bookmarkStart w:id="409" w:name="_Toc26668"/>
      <w:bookmarkStart w:id="410" w:name="_Toc13794"/>
      <w:bookmarkStart w:id="411" w:name="_Toc18036_WPSOffice_Level2"/>
      <w:bookmarkStart w:id="412" w:name="_Toc9727_WPSOffice_Level2"/>
      <w:bookmarkStart w:id="413" w:name="_Toc1823_WPSOffice_Level2"/>
      <w:r>
        <w:rPr>
          <w:rFonts w:hint="eastAsia" w:ascii="仿宋_GB2312" w:hAnsi="仿宋_GB2312" w:eastAsia="仿宋_GB2312" w:cs="仿宋_GB2312"/>
          <w:bCs w:val="0"/>
          <w:color w:val="000000" w:themeColor="text1"/>
          <w:szCs w:val="28"/>
          <w14:textFill>
            <w14:solidFill>
              <w14:schemeClr w14:val="tx1"/>
            </w14:solidFill>
          </w14:textFill>
        </w:rPr>
        <w:t>三、</w:t>
      </w:r>
      <w:bookmarkEnd w:id="405"/>
      <w:bookmarkEnd w:id="406"/>
      <w:bookmarkStart w:id="414" w:name="_Toc4322"/>
      <w:bookmarkStart w:id="415" w:name="_Toc31081"/>
      <w:r>
        <w:rPr>
          <w:rFonts w:hint="eastAsia" w:ascii="仿宋_GB2312" w:hAnsi="仿宋_GB2312" w:eastAsia="仿宋_GB2312" w:cs="仿宋_GB2312"/>
          <w:bCs w:val="0"/>
          <w:color w:val="000000" w:themeColor="text1"/>
          <w14:textFill>
            <w14:solidFill>
              <w14:schemeClr w14:val="tx1"/>
            </w14:solidFill>
          </w14:textFill>
        </w:rPr>
        <w:t>供应商参加政府采购活动承诺书</w:t>
      </w:r>
      <w:bookmarkEnd w:id="407"/>
      <w:bookmarkEnd w:id="414"/>
      <w:bookmarkEnd w:id="415"/>
    </w:p>
    <w:bookmarkEnd w:id="408"/>
    <w:bookmarkEnd w:id="409"/>
    <w:bookmarkEnd w:id="410"/>
    <w:bookmarkEnd w:id="411"/>
    <w:bookmarkEnd w:id="412"/>
    <w:bookmarkEnd w:id="413"/>
    <w:p>
      <w:pPr>
        <w:spacing w:before="190" w:beforeLines="50" w:line="500" w:lineRule="exact"/>
        <w:ind w:firstLine="566" w:firstLineChars="200"/>
        <w:jc w:val="center"/>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拒绝政府采购领域商业贿赂承诺书</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为响应党中央、国务院关于治理政府采购领域商业贿赂行为的号召，我公司在此庄严承诺：</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1、在参与政府采购活动中遵纪守法、诚信经营、公平竞标。</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2、不向政府采购人、采购代理机构和政府采购评审专家进行任何形式的商业贿赂以谋取交易机会。</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3、不向政府采购代理机构和采购人提供虚假资质文件或采用虚假应标方式参与政府采购市场竞争并谋取中标、成交。</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4、不采取“围标、陪标”等商业欺诈手段获得政府采购定单。</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5、不采取不正当手段诋毁、排挤其他供应商。</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6、不在提供商品和服务时“偷梁换柱、以次充好”损害采购人的合法权益。</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7、不与采购人、采购代理机构政府采购评审专家或其它供应商恶意串通，进行质疑和投诉，维护政府采购市场秩序。</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8、尊重和接受政府采购监督管理部门的监督和政府采购代理机构招标采购要求，承担因违约行为给采购人造成的损失。</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9、不发生其他有悖于政府采购公开、公平、公正和诚信原则的行为。</w:t>
      </w:r>
    </w:p>
    <w:p>
      <w:pPr>
        <w:spacing w:line="500" w:lineRule="exact"/>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377" w:firstLineChars="19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日期：　 年　月　日</w:t>
      </w:r>
    </w:p>
    <w:p>
      <w:pPr>
        <w:spacing w:line="500" w:lineRule="exac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bookmarkStart w:id="416" w:name="_Toc27976_WPSOffice_Level2"/>
      <w:bookmarkStart w:id="417" w:name="_Toc16564_WPSOffice_Level2"/>
      <w:bookmarkStart w:id="418" w:name="_Toc10928_WPSOffice_Level2"/>
      <w:bookmarkStart w:id="419" w:name="_Toc16442_WPSOffice_Level2"/>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、技术服务偏差表</w:t>
      </w:r>
      <w:bookmarkEnd w:id="416"/>
      <w:bookmarkEnd w:id="417"/>
      <w:bookmarkEnd w:id="418"/>
      <w:bookmarkEnd w:id="419"/>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92"/>
        <w:gridCol w:w="2480"/>
        <w:gridCol w:w="1254"/>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40"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1692"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b/>
                <w:color w:val="000000" w:themeColor="text1"/>
                <w:sz w:val="24"/>
                <w:szCs w:val="24"/>
                <w14:textFill>
                  <w14:solidFill>
                    <w14:schemeClr w14:val="tx1"/>
                  </w14:solidFill>
                </w14:textFill>
              </w:rPr>
              <w:t>文件要求</w:t>
            </w:r>
          </w:p>
        </w:tc>
        <w:tc>
          <w:tcPr>
            <w:tcW w:w="2480"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响应文件响应条款</w:t>
            </w:r>
          </w:p>
        </w:tc>
        <w:tc>
          <w:tcPr>
            <w:tcW w:w="1254"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偏离程度</w:t>
            </w:r>
          </w:p>
        </w:tc>
        <w:tc>
          <w:tcPr>
            <w:tcW w:w="2051" w:type="dxa"/>
            <w:shd w:val="clear" w:color="auto" w:fill="D8D8D8"/>
            <w:vAlign w:val="center"/>
          </w:tcPr>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偏离简述</w:t>
            </w:r>
          </w:p>
          <w:p>
            <w:pPr>
              <w:spacing w:line="320" w:lineRule="exact"/>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692"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480"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1254"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c>
          <w:tcPr>
            <w:tcW w:w="2051" w:type="dxa"/>
            <w:vAlign w:val="center"/>
          </w:tcPr>
          <w:p>
            <w:pPr>
              <w:spacing w:line="440" w:lineRule="exact"/>
              <w:rPr>
                <w:rFonts w:hint="eastAsia" w:ascii="仿宋_GB2312" w:hAnsi="仿宋_GB2312" w:eastAsia="仿宋_GB2312" w:cs="仿宋_GB2312"/>
                <w:color w:val="000000" w:themeColor="text1"/>
                <w:sz w:val="24"/>
                <w:szCs w:val="24"/>
                <w14:textFill>
                  <w14:solidFill>
                    <w14:schemeClr w14:val="tx1"/>
                  </w14:solidFill>
                </w14:textFill>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420" w:name="_Toc9021_WPSOffice_Level1"/>
      <w:bookmarkStart w:id="421" w:name="_Toc31624_WPSOffice_Level1"/>
      <w:bookmarkStart w:id="422" w:name="_Toc5795_WPSOffice_Level1"/>
      <w:r>
        <w:rPr>
          <w:rFonts w:hint="eastAsia" w:ascii="仿宋_GB2312" w:hAnsi="仿宋_GB2312" w:eastAsia="仿宋_GB2312" w:cs="仿宋_GB2312"/>
          <w:color w:val="000000" w:themeColor="text1"/>
          <w:sz w:val="24"/>
          <w:szCs w:val="24"/>
          <w14:textFill>
            <w14:solidFill>
              <w14:schemeClr w14:val="tx1"/>
            </w14:solidFill>
          </w14:textFill>
        </w:rPr>
        <w:t>备注：填写此表时以第三章“</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内容及采购要求”各条款为基本响应要求，满足</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文件要求的，“偏离程度”注明“0”，无需填写“偏离简述”项。超出、不满足</w:t>
      </w:r>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文件要求的，列出“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”偏差，并在“偏离简述”项做出详细说明；如果加“★”内容的“响应条款”</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w:t>
      </w:r>
      <w:r>
        <w:rPr>
          <w:rFonts w:hint="eastAsia" w:ascii="仿宋_GB2312" w:hAnsi="仿宋_GB2312" w:eastAsia="仿宋_GB2312" w:cs="仿宋_GB2312"/>
          <w:color w:val="000000" w:themeColor="text1"/>
          <w:sz w:val="24"/>
          <w:szCs w:val="24"/>
          <w14:textFill>
            <w14:solidFill>
              <w14:schemeClr w14:val="tx1"/>
            </w14:solidFill>
          </w14:textFill>
        </w:rPr>
        <w:t>“偏离程度”项未填写，将视为该项指标未响应，投标无效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spacing w:line="240" w:lineRule="auto"/>
        <w:ind w:firstLine="426" w:firstLineChars="200"/>
        <w:rPr>
          <w:rFonts w:hint="eastAsia" w:ascii="仿宋_GB2312" w:hAnsi="仿宋_GB2312" w:eastAsia="仿宋_GB2312" w:cs="仿宋_GB2312"/>
          <w:color w:val="000000" w:themeColor="text1"/>
          <w:sz w:val="21"/>
          <w:szCs w:val="21"/>
          <w14:textFill>
            <w14:solidFill>
              <w14:schemeClr w14:val="tx1"/>
            </w14:solidFill>
          </w14:textFill>
        </w:rPr>
      </w:pPr>
    </w:p>
    <w:p>
      <w:pPr>
        <w:spacing w:line="500" w:lineRule="exact"/>
        <w:ind w:firstLine="566" w:firstLineChars="200"/>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tabs>
          <w:tab w:val="right" w:pos="9070"/>
        </w:tabs>
        <w:spacing w:line="500" w:lineRule="exact"/>
        <w:ind w:firstLine="5094" w:firstLineChars="1800"/>
        <w:rPr>
          <w:rFonts w:ascii="仿宋" w:hAnsi="仿宋" w:eastAsia="仿宋"/>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r>
        <w:rPr>
          <w:rFonts w:hint="eastAsia" w:ascii="仿宋_GB2312" w:hAnsi="仿宋_GB2312" w:eastAsia="仿宋_GB2312" w:cs="仿宋_GB2312"/>
          <w:bCs/>
          <w:color w:val="000000" w:themeColor="text1"/>
          <w14:textFill>
            <w14:solidFill>
              <w14:schemeClr w14:val="tx1"/>
            </w14:solidFill>
          </w14:textFill>
        </w:rPr>
        <w:tab/>
      </w:r>
    </w:p>
    <w:p>
      <w:pPr>
        <w:tabs>
          <w:tab w:val="right" w:pos="9070"/>
        </w:tabs>
        <w:spacing w:line="500" w:lineRule="exact"/>
        <w:ind w:firstLine="566" w:firstLineChars="200"/>
        <w:rPr>
          <w:rFonts w:ascii="仿宋" w:hAnsi="仿宋" w:eastAsia="仿宋"/>
          <w:bCs/>
          <w:color w:val="000000" w:themeColor="text1"/>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spacing w:line="240" w:lineRule="auto"/>
        <w:jc w:val="left"/>
        <w:rPr>
          <w:rFonts w:ascii="仿宋" w:hAnsi="仿宋" w:eastAsia="仿宋" w:cs="仿宋"/>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br w:type="page"/>
      </w:r>
    </w:p>
    <w:p>
      <w:pPr>
        <w:spacing w:line="240" w:lineRule="auto"/>
        <w:jc w:val="left"/>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color w:val="000000" w:themeColor="text1"/>
          <w:sz w:val="32"/>
          <w:szCs w:val="32"/>
          <w14:textFill>
            <w14:solidFill>
              <w14:schemeClr w14:val="tx1"/>
            </w14:solidFill>
          </w14:textFill>
        </w:rPr>
        <w:t>、合同</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草案</w:t>
      </w:r>
      <w:r>
        <w:rPr>
          <w:rFonts w:hint="eastAsia" w:ascii="仿宋_GB2312" w:hAnsi="仿宋_GB2312" w:eastAsia="仿宋_GB2312" w:cs="仿宋_GB2312"/>
          <w:b/>
          <w:color w:val="000000" w:themeColor="text1"/>
          <w:sz w:val="32"/>
          <w:szCs w:val="32"/>
          <w14:textFill>
            <w14:solidFill>
              <w14:schemeClr w14:val="tx1"/>
            </w14:solidFill>
          </w14:textFill>
        </w:rPr>
        <w:t>条款响应</w:t>
      </w:r>
    </w:p>
    <w:p>
      <w:pPr>
        <w:spacing w:line="500" w:lineRule="exact"/>
        <w:ind w:firstLine="566"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完全理解并接受</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文件中“合同</w:t>
      </w:r>
      <w:r>
        <w:rPr>
          <w:rFonts w:hint="eastAsia" w:ascii="仿宋_GB2312" w:hAnsi="仿宋_GB2312" w:eastAsia="仿宋_GB2312" w:cs="仿宋_GB2312"/>
          <w:bCs/>
          <w:color w:val="000000" w:themeColor="text1"/>
          <w:lang w:val="en-US" w:eastAsia="zh-CN"/>
          <w14:textFill>
            <w14:solidFill>
              <w14:schemeClr w14:val="tx1"/>
            </w14:solidFill>
          </w14:textFill>
        </w:rPr>
        <w:t>草案</w:t>
      </w:r>
      <w:r>
        <w:rPr>
          <w:rFonts w:hint="eastAsia" w:ascii="仿宋_GB2312" w:hAnsi="仿宋_GB2312" w:eastAsia="仿宋_GB2312" w:cs="仿宋_GB2312"/>
          <w:bCs/>
          <w:color w:val="000000" w:themeColor="text1"/>
          <w14:textFill>
            <w14:solidFill>
              <w14:schemeClr w14:val="tx1"/>
            </w14:solidFill>
          </w14:textFill>
        </w:rPr>
        <w:t>条款”要求。</w:t>
      </w: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pStyle w:val="20"/>
        <w:ind w:firstLine="183"/>
        <w:rPr>
          <w:rFonts w:hint="eastAsia" w:ascii="仿宋_GB2312" w:hAnsi="仿宋_GB2312" w:eastAsia="仿宋_GB2312" w:cs="仿宋_GB2312"/>
          <w:color w:val="000000" w:themeColor="text1"/>
          <w14:textFill>
            <w14:solidFill>
              <w14:schemeClr w14:val="tx1"/>
            </w14:solidFill>
          </w14:textFill>
        </w:rPr>
      </w:pPr>
    </w:p>
    <w:p>
      <w:pPr>
        <w:spacing w:line="500" w:lineRule="exact"/>
        <w:ind w:firstLine="5094" w:firstLineChars="18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w:t>
      </w:r>
      <w:r>
        <w:rPr>
          <w:rFonts w:hint="eastAsia" w:ascii="仿宋_GB2312" w:hAnsi="仿宋_GB2312" w:eastAsia="仿宋_GB2312" w:cs="仿宋_GB2312"/>
          <w:color w:val="000000" w:themeColor="text1"/>
          <w:u w:val="single"/>
          <w14:textFill>
            <w14:solidFill>
              <w14:schemeClr w14:val="tx1"/>
            </w14:solidFill>
          </w14:textFill>
        </w:rPr>
        <w:t>名称</w:t>
      </w:r>
      <w:r>
        <w:rPr>
          <w:rFonts w:hint="eastAsia" w:ascii="仿宋_GB2312" w:hAnsi="仿宋_GB2312" w:eastAsia="仿宋_GB2312" w:cs="仿宋_GB2312"/>
          <w:color w:val="000000" w:themeColor="text1"/>
          <w14:textFill>
            <w14:solidFill>
              <w14:schemeClr w14:val="tx1"/>
            </w14:solidFill>
          </w14:textFill>
        </w:rPr>
        <w:t>（加盖公章）</w:t>
      </w:r>
    </w:p>
    <w:p>
      <w:pPr>
        <w:tabs>
          <w:tab w:val="right" w:pos="9070"/>
        </w:tabs>
        <w:spacing w:line="500" w:lineRule="exact"/>
        <w:ind w:firstLine="5094" w:firstLineChars="1800"/>
        <w:rPr>
          <w:rFonts w:ascii="仿宋" w:hAnsi="仿宋" w:eastAsia="仿宋"/>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r>
        <w:rPr>
          <w:rFonts w:hint="eastAsia" w:ascii="仿宋_GB2312" w:hAnsi="仿宋_GB2312" w:eastAsia="仿宋_GB2312" w:cs="仿宋_GB2312"/>
          <w:bCs/>
          <w:color w:val="000000" w:themeColor="text1"/>
          <w14:textFill>
            <w14:solidFill>
              <w14:schemeClr w14:val="tx1"/>
            </w14:solidFill>
          </w14:textFill>
        </w:rPr>
        <w:tab/>
      </w: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pStyle w:val="20"/>
        <w:ind w:firstLine="183"/>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2"/>
        <w:spacing w:line="500" w:lineRule="exact"/>
        <w:rPr>
          <w:rFonts w:ascii="黑体" w:hAnsi="黑体" w:eastAsia="黑体"/>
          <w:b w:val="0"/>
          <w:color w:val="000000" w:themeColor="text1"/>
          <w14:textFill>
            <w14:solidFill>
              <w14:schemeClr w14:val="tx1"/>
            </w14:solidFill>
          </w14:textFill>
        </w:rPr>
      </w:pPr>
      <w:bookmarkStart w:id="423" w:name="_Toc17248"/>
      <w:bookmarkStart w:id="424" w:name="_Toc28832"/>
      <w:bookmarkStart w:id="425" w:name="_Toc30940"/>
      <w:bookmarkStart w:id="426" w:name="_Toc19912"/>
      <w:r>
        <w:rPr>
          <w:rStyle w:val="43"/>
          <w:rFonts w:hint="eastAsia" w:ascii="黑体" w:hAnsi="黑体" w:eastAsia="黑体"/>
          <w:b w:val="0"/>
          <w:bCs w:val="0"/>
          <w:color w:val="000000" w:themeColor="text1"/>
          <w:sz w:val="32"/>
          <w:szCs w:val="40"/>
          <w14:textFill>
            <w14:solidFill>
              <w14:schemeClr w14:val="tx1"/>
            </w14:solidFill>
          </w14:textFill>
        </w:rPr>
        <w:t>第三部分  响应方案</w:t>
      </w:r>
      <w:bookmarkEnd w:id="420"/>
      <w:bookmarkEnd w:id="421"/>
      <w:bookmarkEnd w:id="422"/>
      <w:bookmarkEnd w:id="423"/>
      <w:bookmarkEnd w:id="424"/>
      <w:bookmarkEnd w:id="425"/>
      <w:bookmarkEnd w:id="426"/>
    </w:p>
    <w:p>
      <w:pPr>
        <w:pStyle w:val="42"/>
        <w:spacing w:before="190" w:beforeLines="50" w:after="190" w:afterLines="50" w:line="500" w:lineRule="exact"/>
        <w:jc w:val="both"/>
        <w:rPr>
          <w:rFonts w:hint="eastAsia" w:ascii="仿宋_GB2312" w:hAnsi="仿宋_GB2312" w:eastAsia="仿宋_GB2312" w:cs="仿宋_GB2312"/>
          <w:bCs w:val="0"/>
          <w:color w:val="000000" w:themeColor="text1"/>
          <w:lang w:val="en-US" w:eastAsia="zh-CN"/>
          <w14:textFill>
            <w14:solidFill>
              <w14:schemeClr w14:val="tx1"/>
            </w14:solidFill>
          </w14:textFill>
        </w:rPr>
      </w:pPr>
      <w:bookmarkStart w:id="427" w:name="_Toc29975_WPSOffice_Level2"/>
      <w:bookmarkStart w:id="428" w:name="_Toc17062_WPSOffice_Level2"/>
      <w:bookmarkStart w:id="429" w:name="_Toc9079"/>
      <w:bookmarkStart w:id="430" w:name="_Toc11555"/>
      <w:bookmarkStart w:id="431" w:name="_Toc27817"/>
      <w:bookmarkStart w:id="432" w:name="_Toc15660_WPSOffice_Level2"/>
      <w:bookmarkStart w:id="433" w:name="_Toc1481"/>
      <w:bookmarkStart w:id="434" w:name="_Toc9337_WPSOffice_Level2"/>
      <w:bookmarkStart w:id="435" w:name="_Toc11401"/>
      <w:r>
        <w:rPr>
          <w:rFonts w:hint="eastAsia" w:ascii="仿宋_GB2312" w:hAnsi="仿宋_GB2312" w:eastAsia="仿宋_GB2312" w:cs="仿宋_GB2312"/>
          <w:bCs w:val="0"/>
          <w:color w:val="000000" w:themeColor="text1"/>
          <w14:textFill>
            <w14:solidFill>
              <w14:schemeClr w14:val="tx1"/>
            </w14:solidFill>
          </w14:textFill>
        </w:rPr>
        <w:t>一、供应商</w:t>
      </w:r>
      <w:bookmarkEnd w:id="427"/>
      <w:bookmarkEnd w:id="428"/>
      <w:bookmarkEnd w:id="429"/>
      <w:bookmarkEnd w:id="430"/>
      <w:bookmarkEnd w:id="431"/>
      <w:bookmarkEnd w:id="432"/>
      <w:bookmarkEnd w:id="433"/>
      <w:bookmarkEnd w:id="434"/>
      <w:bookmarkEnd w:id="435"/>
      <w:r>
        <w:rPr>
          <w:rFonts w:hint="eastAsia" w:ascii="仿宋_GB2312" w:hAnsi="仿宋_GB2312" w:eastAsia="仿宋_GB2312" w:cs="仿宋_GB2312"/>
          <w:bCs w:val="0"/>
          <w:color w:val="000000" w:themeColor="text1"/>
          <w:lang w:val="en-US" w:eastAsia="zh-CN"/>
          <w14:textFill>
            <w14:solidFill>
              <w14:schemeClr w14:val="tx1"/>
            </w14:solidFill>
          </w14:textFill>
        </w:rPr>
        <w:t>基本情况及其性质</w:t>
      </w:r>
    </w:p>
    <w:p>
      <w:pPr>
        <w:spacing w:line="500" w:lineRule="exact"/>
        <w:ind w:firstLine="566" w:firstLineChars="200"/>
        <w:rPr>
          <w:rFonts w:hint="eastAsia" w:ascii="仿宋_GB2312" w:hAnsi="仿宋_GB2312" w:eastAsia="仿宋_GB2312" w:cs="仿宋_GB2312"/>
          <w:b/>
          <w:color w:val="000000" w:themeColor="text1"/>
          <w14:textFill>
            <w14:solidFill>
              <w14:schemeClr w14:val="tx1"/>
            </w14:solidFill>
          </w14:textFill>
        </w:rPr>
      </w:pPr>
      <w:bookmarkStart w:id="436" w:name="_Toc27223_WPSOffice_Level3"/>
      <w:r>
        <w:rPr>
          <w:rFonts w:hint="eastAsia" w:ascii="仿宋_GB2312" w:hAnsi="仿宋_GB2312" w:eastAsia="仿宋_GB2312" w:cs="仿宋_GB2312"/>
          <w:b/>
          <w:color w:val="000000" w:themeColor="text1"/>
          <w14:textFill>
            <w14:solidFill>
              <w14:schemeClr w14:val="tx1"/>
            </w14:solidFill>
          </w14:textFill>
        </w:rPr>
        <w:t>（一）供应商基本信息</w:t>
      </w:r>
      <w:bookmarkEnd w:id="436"/>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上年度</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基本存款账户</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基本存款</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专业技术</w:t>
            </w:r>
          </w:p>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3、供应商应如实填写上述信息。</w:t>
            </w:r>
            <w:bookmarkStart w:id="437" w:name="■AcceptUnion_CH5_A■"/>
            <w:r>
              <w:rPr>
                <w:rFonts w:hint="eastAsia" w:ascii="仿宋_GB2312" w:hAnsi="仿宋_GB2312" w:eastAsia="仿宋_GB2312" w:cs="仿宋_GB2312"/>
                <w:color w:val="000000" w:themeColor="text1"/>
                <w:sz w:val="24"/>
                <w:szCs w:val="24"/>
                <w:lang w:eastAsia="zh-CN"/>
                <w14:textFill>
                  <w14:solidFill>
                    <w14:schemeClr w14:val="tx1"/>
                  </w14:solidFill>
                </w14:textFill>
              </w:rPr>
              <w:t>谈判</w:t>
            </w:r>
            <w:r>
              <w:rPr>
                <w:rFonts w:hint="eastAsia" w:ascii="仿宋_GB2312" w:hAnsi="仿宋_GB2312" w:eastAsia="仿宋_GB2312" w:cs="仿宋_GB2312"/>
                <w:color w:val="000000" w:themeColor="text1"/>
                <w:sz w:val="24"/>
                <w:szCs w:val="24"/>
                <w14:textFill>
                  <w14:solidFill>
                    <w14:schemeClr w14:val="tx1"/>
                  </w14:solidFill>
                </w14:textFill>
              </w:rPr>
              <w:t>文件允许联合体投标的，联合体各方均应提供。</w:t>
            </w:r>
            <w:bookmarkEnd w:id="437"/>
          </w:p>
        </w:tc>
      </w:tr>
    </w:tbl>
    <w:p>
      <w:pPr>
        <w:spacing w:line="500" w:lineRule="exact"/>
        <w:ind w:firstLine="566" w:firstLineChars="200"/>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eastAsia="zh-CN"/>
          <w14:textFill>
            <w14:solidFill>
              <w14:schemeClr w14:val="tx1"/>
            </w14:solidFill>
          </w14:textFill>
        </w:rPr>
        <w:t>（</w:t>
      </w:r>
      <w:r>
        <w:rPr>
          <w:rFonts w:hint="eastAsia" w:ascii="仿宋_GB2312" w:hAnsi="仿宋_GB2312" w:eastAsia="仿宋_GB2312" w:cs="仿宋_GB2312"/>
          <w:b/>
          <w:bCs/>
          <w:color w:val="000000" w:themeColor="text1"/>
          <w:lang w:val="en-US" w:eastAsia="zh-CN"/>
          <w14:textFill>
            <w14:solidFill>
              <w14:schemeClr w14:val="tx1"/>
            </w14:solidFill>
          </w14:textFill>
        </w:rPr>
        <w:t>二</w:t>
      </w:r>
      <w:r>
        <w:rPr>
          <w:rFonts w:hint="eastAsia" w:ascii="仿宋_GB2312" w:hAnsi="仿宋_GB2312" w:eastAsia="仿宋_GB2312" w:cs="仿宋_GB2312"/>
          <w:b/>
          <w:bCs/>
          <w:color w:val="000000" w:themeColor="text1"/>
          <w:lang w:eastAsia="zh-CN"/>
          <w14:textFill>
            <w14:solidFill>
              <w14:schemeClr w14:val="tx1"/>
            </w14:solidFill>
          </w14:textFill>
        </w:rPr>
        <w:t>）</w:t>
      </w:r>
      <w:r>
        <w:rPr>
          <w:rFonts w:hint="eastAsia" w:ascii="仿宋_GB2312" w:hAnsi="仿宋_GB2312" w:eastAsia="仿宋_GB2312" w:cs="仿宋_GB2312"/>
          <w:b/>
          <w:bCs/>
          <w:color w:val="000000" w:themeColor="text1"/>
          <w:lang w:val="en-US" w:eastAsia="zh-CN"/>
          <w14:textFill>
            <w14:solidFill>
              <w14:schemeClr w14:val="tx1"/>
            </w14:solidFill>
          </w14:textFill>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包括但不限于总公司分公司分布及经营状况、股权变更、管理制度、人员配备、用户评价、正在实施的项目，评优获奖等情况，以及供应商认为有利于成交的其他情况说明。</w:t>
      </w:r>
    </w:p>
    <w:p>
      <w:pPr>
        <w:spacing w:line="500" w:lineRule="exact"/>
        <w:ind w:firstLine="566" w:firstLineChars="200"/>
        <w:rPr>
          <w:rFonts w:hint="eastAsia" w:ascii="仿宋_GB2312" w:hAnsi="仿宋_GB2312" w:eastAsia="仿宋_GB2312" w:cs="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lang w:val="en-US" w:eastAsia="zh-CN"/>
          <w14:textFill>
            <w14:solidFill>
              <w14:schemeClr w14:val="tx1"/>
            </w14:solidFill>
          </w14:textFill>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本公司（联合体）郑重声明，根据《政府采购促进中小企业发展管理办法》（财库﹝2020﹞46 号）的规定，本公司（联合体）参加</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（单位名称）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（项目名称）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（标的名称） </w:t>
      </w:r>
      <w:r>
        <w:rPr>
          <w:rFonts w:hint="eastAsia" w:ascii="仿宋_GB2312" w:hAnsi="仿宋_GB2312" w:eastAsia="仿宋_GB2312" w:cs="仿宋_GB2312"/>
          <w:color w:val="000000" w:themeColor="text1"/>
          <w:sz w:val="28"/>
          <w:szCs w:val="28"/>
          <w:lang w:eastAsia="zh-CN"/>
          <w14:textFill>
            <w14:solidFill>
              <w14:schemeClr w14:val="tx1"/>
            </w14:solidFill>
          </w14:textFill>
        </w:rPr>
        <w:t>，属于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（采购文件中明确的所属行业）行业</w:t>
      </w:r>
      <w:r>
        <w:rPr>
          <w:rFonts w:hint="eastAsia" w:ascii="仿宋_GB2312" w:hAnsi="仿宋_GB2312" w:eastAsia="仿宋_GB2312" w:cs="仿宋_GB2312"/>
          <w:color w:val="000000" w:themeColor="text1"/>
          <w:sz w:val="28"/>
          <w:szCs w:val="28"/>
          <w:lang w:eastAsia="zh-CN"/>
          <w14:textFill>
            <w14:solidFill>
              <w14:schemeClr w14:val="tx1"/>
            </w14:solidFill>
          </w14:textFill>
        </w:rPr>
        <w:t>；制造商为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（企业名称）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，从业人员</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人，营业收入为</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i/>
          <w:iCs/>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万元，资产总额为万元，属于</w:t>
      </w:r>
      <w:r>
        <w:rPr>
          <w:rFonts w:hint="eastAsia" w:ascii="仿宋_GB2312" w:hAnsi="仿宋_GB2312" w:eastAsia="仿宋_GB2312" w:cs="仿宋_GB2312"/>
          <w:i/>
          <w:iCs/>
          <w:color w:val="000000" w:themeColor="text1"/>
          <w:sz w:val="28"/>
          <w:szCs w:val="28"/>
          <w:u w:val="single"/>
          <w:lang w:eastAsia="zh-CN"/>
          <w14:textFill>
            <w14:solidFill>
              <w14:schemeClr w14:val="tx1"/>
            </w14:solidFill>
          </w14:textFill>
        </w:rPr>
        <w:t>（中型企业、小型企业、微型企业）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企业名称（盖章）：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 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pStyle w:val="20"/>
        <w:keepNext w:val="0"/>
        <w:keepLines w:val="0"/>
        <w:pageBreakBefore w:val="0"/>
        <w:kinsoku/>
        <w:wordWrap w:val="0"/>
        <w:overflowPunct/>
        <w:topLinePunct w:val="0"/>
        <w:autoSpaceDE/>
        <w:autoSpaceDN/>
        <w:bidi w:val="0"/>
        <w:adjustRightInd/>
        <w:snapToGrid/>
        <w:spacing w:line="500" w:lineRule="exact"/>
        <w:ind w:firstLine="566" w:firstLineChars="200"/>
        <w:jc w:val="right"/>
        <w:textAlignment w:val="auto"/>
        <w:rPr>
          <w:rFonts w:hint="eastAsia" w:ascii="华文仿宋" w:hAnsi="华文仿宋" w:eastAsia="华文仿宋" w:cs="华文仿宋"/>
          <w:color w:val="000000" w:themeColor="text1"/>
          <w:sz w:val="28"/>
          <w:szCs w:val="28"/>
          <w:lang w:val="en-US"/>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备注：1、</w:t>
      </w:r>
      <w:r>
        <w:rPr>
          <w:rFonts w:hint="eastAsia" w:ascii="宋体" w:hAnsi="宋体" w:eastAsia="宋体" w:cs="宋体"/>
          <w:color w:val="000000" w:themeColor="text1"/>
          <w:sz w:val="21"/>
          <w:szCs w:val="21"/>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工</w:t>
      </w:r>
      <w:r>
        <w:rPr>
          <w:rFonts w:hint="eastAsia" w:ascii="宋体" w:hAnsi="宋体" w:eastAsia="宋体" w:cs="宋体"/>
          <w:b/>
          <w:bCs/>
          <w:color w:val="000000" w:themeColor="text1"/>
          <w:sz w:val="21"/>
          <w:szCs w:val="21"/>
          <w:highlight w:val="none"/>
          <w14:textFill>
            <w14:solidFill>
              <w14:schemeClr w14:val="tx1"/>
            </w14:solidFill>
          </w14:textFill>
        </w:rPr>
        <w:t>业</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各供应商可根据企业从业人员、营业收入、资产总额等指标，按照谈判文件约定的采购标的对应的中小企业划分标准所属行业和《中小企业划型标准规定》（工信部联企业〔2011〕300号）进行自测。可登录工业和信息化部的中小企业规模类型自测小程 序（http://202.106.120.146/baosong/appweb/orgScale.html）进行测算。 </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4、各供应商如非中小企业，则无需填写。 </w:t>
      </w:r>
    </w:p>
    <w:p>
      <w:pPr>
        <w:rPr>
          <w:rFonts w:hint="eastAsia"/>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br w:type="page"/>
      </w:r>
    </w:p>
    <w:p>
      <w:pPr>
        <w:spacing w:line="500" w:lineRule="exact"/>
        <w:ind w:firstLine="0" w:firstLineChars="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二、技术服务方案</w:t>
      </w:r>
    </w:p>
    <w:p>
      <w:pPr>
        <w:spacing w:line="500" w:lineRule="exact"/>
        <w:ind w:firstLine="566"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bCs/>
          <w:color w:val="000000" w:themeColor="text1"/>
          <w14:textFill>
            <w14:solidFill>
              <w14:schemeClr w14:val="tx1"/>
            </w14:solidFill>
          </w14:textFill>
        </w:rPr>
        <w:t>参照</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文件第二章《组织评审》各条款的要求，结合第三章《</w:t>
      </w:r>
      <w:r>
        <w:rPr>
          <w:rFonts w:hint="eastAsia" w:ascii="仿宋_GB2312" w:hAnsi="仿宋_GB2312" w:eastAsia="仿宋_GB2312" w:cs="仿宋_GB2312"/>
          <w:bCs/>
          <w:color w:val="000000" w:themeColor="text1"/>
          <w:lang w:eastAsia="zh-CN"/>
          <w14:textFill>
            <w14:solidFill>
              <w14:schemeClr w14:val="tx1"/>
            </w14:solidFill>
          </w14:textFill>
        </w:rPr>
        <w:t>谈判</w:t>
      </w:r>
      <w:r>
        <w:rPr>
          <w:rFonts w:hint="eastAsia" w:ascii="仿宋_GB2312" w:hAnsi="仿宋_GB2312" w:eastAsia="仿宋_GB2312" w:cs="仿宋_GB2312"/>
          <w:bCs/>
          <w:color w:val="000000" w:themeColor="text1"/>
          <w14:textFill>
            <w14:solidFill>
              <w14:schemeClr w14:val="tx1"/>
            </w14:solidFill>
          </w14:textFill>
        </w:rPr>
        <w:t>内容及采购要求》编制技术服务方案。</w:t>
      </w:r>
    </w:p>
    <w:p>
      <w:pPr>
        <w:tabs>
          <w:tab w:val="right" w:pos="9070"/>
        </w:tabs>
        <w:spacing w:line="500" w:lineRule="exact"/>
        <w:rPr>
          <w:rFonts w:hint="eastAsia" w:ascii="仿宋_GB2312" w:hAnsi="仿宋_GB2312" w:eastAsia="仿宋_GB2312" w:cs="仿宋_GB2312"/>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pStyle w:val="20"/>
        <w:ind w:firstLine="325"/>
        <w:rPr>
          <w:rFonts w:ascii="仿宋" w:hAnsi="仿宋" w:eastAsia="仿宋"/>
          <w:b/>
          <w:color w:val="000000" w:themeColor="text1"/>
          <w:sz w:val="32"/>
          <w:szCs w:val="32"/>
          <w14:textFill>
            <w14:solidFill>
              <w14:schemeClr w14:val="tx1"/>
            </w14:solidFill>
          </w14:textFill>
        </w:rPr>
      </w:pPr>
    </w:p>
    <w:p>
      <w:pPr>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br w:type="page"/>
      </w:r>
    </w:p>
    <w:p>
      <w:pPr>
        <w:tabs>
          <w:tab w:val="right" w:pos="9070"/>
        </w:tabs>
        <w:spacing w:line="50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三、参考样表</w:t>
      </w:r>
    </w:p>
    <w:p>
      <w:pPr>
        <w:keepNext w:val="0"/>
        <w:keepLines w:val="0"/>
        <w:pageBreakBefore w:val="0"/>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（一）履约进度计划表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04"/>
        <w:gridCol w:w="282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序号</w:t>
            </w: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拟定时间安排</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计划完成的工作内容</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kern w:val="2"/>
                <w:sz w:val="28"/>
                <w:szCs w:val="28"/>
                <w:shd w:val="clear" w:color="auto" w:fill="auto"/>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8"/>
                <w:szCs w:val="28"/>
                <w:shd w:val="clear" w:color="auto" w:fill="auto"/>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11"/>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拟定  年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签定合同并生效</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11"/>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11"/>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noWrap w:val="0"/>
            <w:vAlign w:val="center"/>
          </w:tcPr>
          <w:p>
            <w:pPr>
              <w:keepNext w:val="0"/>
              <w:keepLines w:val="0"/>
              <w:pageBreakBefore w:val="0"/>
              <w:widowControl w:val="0"/>
              <w:numPr>
                <w:ilvl w:val="0"/>
                <w:numId w:val="11"/>
              </w:numPr>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90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月  日—  月   日</w:t>
            </w:r>
          </w:p>
        </w:tc>
        <w:tc>
          <w:tcPr>
            <w:tcW w:w="2820"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质保期</w:t>
            </w:r>
          </w:p>
        </w:tc>
        <w:tc>
          <w:tcPr>
            <w:tcW w:w="2554" w:type="dxa"/>
            <w:noWrap w:val="0"/>
            <w:vAlign w:val="center"/>
          </w:tcPr>
          <w:p>
            <w:pPr>
              <w:keepNext w:val="0"/>
              <w:keepLines w:val="0"/>
              <w:pageBreakBefore w:val="0"/>
              <w:widowControl w:val="0"/>
              <w:tabs>
                <w:tab w:val="left" w:pos="540"/>
              </w:tabs>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bl>
    <w:p>
      <w:pPr>
        <w:keepNext w:val="0"/>
        <w:keepLines w:val="0"/>
        <w:pageBreakBefore w:val="0"/>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业绩合同样表</w:t>
      </w:r>
    </w:p>
    <w:tbl>
      <w:tblPr>
        <w:tblStyle w:val="2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58"/>
        <w:gridCol w:w="1479"/>
        <w:gridCol w:w="226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序号</w:t>
            </w:r>
          </w:p>
        </w:tc>
        <w:tc>
          <w:tcPr>
            <w:tcW w:w="1958"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采购单位名称</w:t>
            </w:r>
          </w:p>
        </w:tc>
        <w:tc>
          <w:tcPr>
            <w:tcW w:w="1479"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合同名称</w:t>
            </w:r>
          </w:p>
        </w:tc>
        <w:tc>
          <w:tcPr>
            <w:tcW w:w="2265"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合同起止时间</w:t>
            </w:r>
          </w:p>
        </w:tc>
        <w:tc>
          <w:tcPr>
            <w:tcW w:w="227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1958"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7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6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276"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数量合计（个）</w:t>
            </w:r>
            <w:r>
              <w:rPr>
                <w:rFonts w:hint="eastAsia" w:ascii="仿宋_GB2312" w:hAnsi="仿宋_GB2312" w:eastAsia="仿宋_GB2312" w:cs="仿宋_GB2312"/>
                <w:color w:val="000000" w:themeColor="text1"/>
                <w:sz w:val="28"/>
                <w:szCs w:val="28"/>
                <w14:textFill>
                  <w14:solidFill>
                    <w14:schemeClr w14:val="tx1"/>
                  </w14:solidFill>
                </w14:textFill>
              </w:rPr>
              <w:t>：</w:t>
            </w:r>
          </w:p>
        </w:tc>
      </w:tr>
    </w:tbl>
    <w:p>
      <w:pPr>
        <w:keepNext w:val="0"/>
        <w:keepLines w:val="0"/>
        <w:pageBreakBefore w:val="0"/>
        <w:tabs>
          <w:tab w:val="right" w:pos="9070"/>
        </w:tabs>
        <w:kinsoku/>
        <w:wordWrap/>
        <w:overflowPunct/>
        <w:topLinePunct w:val="0"/>
        <w:autoSpaceDE/>
        <w:autoSpaceDN/>
        <w:bidi w:val="0"/>
        <w:snapToGrid w:val="0"/>
        <w:spacing w:line="400" w:lineRule="exact"/>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后附20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年1月1日以来同类项目合同复印件加盖响应人公章（以合同签订日期为准）</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2、视情况，此表一并随《成交结果》公示。</w:t>
      </w:r>
    </w:p>
    <w:p>
      <w:pPr>
        <w:keepNext w:val="0"/>
        <w:keepLines w:val="0"/>
        <w:pageBreakBefore w:val="0"/>
        <w:tabs>
          <w:tab w:val="right" w:pos="9070"/>
        </w:tabs>
        <w:kinsoku/>
        <w:wordWrap/>
        <w:overflowPunct/>
        <w:topLinePunct w:val="0"/>
        <w:autoSpaceDE/>
        <w:autoSpaceDN/>
        <w:bidi w:val="0"/>
        <w:snapToGrid w:val="0"/>
        <w:spacing w:line="400" w:lineRule="exact"/>
        <w:ind w:left="566" w:left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8"/>
          <w:szCs w:val="28"/>
          <w14:textFill>
            <w14:solidFill>
              <w14:schemeClr w14:val="tx1"/>
            </w14:solidFill>
          </w14:textFill>
        </w:rPr>
        <w:t>）项目团队样表</w:t>
      </w:r>
    </w:p>
    <w:p>
      <w:pPr>
        <w:keepNext w:val="0"/>
        <w:keepLines w:val="0"/>
        <w:pageBreakBefore w:val="0"/>
        <w:tabs>
          <w:tab w:val="right" w:pos="9070"/>
        </w:tabs>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1、项目团队情况概述</w:t>
      </w:r>
    </w:p>
    <w:p>
      <w:pPr>
        <w:keepNext w:val="0"/>
        <w:keepLines w:val="0"/>
        <w:pageBreakBefore w:val="0"/>
        <w:tabs>
          <w:tab w:val="right" w:pos="9070"/>
        </w:tabs>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概述内容包括但不限于为本项目提供服务的团队整体情况、团队负责人、联系人基本情况、背景、能力介绍等，具体内容自行编制。</w:t>
      </w:r>
    </w:p>
    <w:p>
      <w:pPr>
        <w:keepNext w:val="0"/>
        <w:keepLines w:val="0"/>
        <w:pageBreakBefore w:val="0"/>
        <w:tabs>
          <w:tab w:val="right" w:pos="9070"/>
        </w:tabs>
        <w:kinsoku/>
        <w:wordWrap/>
        <w:overflowPunct/>
        <w:topLinePunct w:val="0"/>
        <w:autoSpaceDE/>
        <w:autoSpaceDN/>
        <w:bidi w:val="0"/>
        <w:spacing w:line="400" w:lineRule="exact"/>
        <w:ind w:firstLine="566"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2、项目团队人员清单</w:t>
      </w:r>
    </w:p>
    <w:tbl>
      <w:tblPr>
        <w:tblStyle w:val="2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128"/>
        <w:gridCol w:w="1839"/>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85" w:type="dxa"/>
            <w:gridSpan w:val="8"/>
            <w:tcBorders>
              <w:tl2br w:val="nil"/>
              <w:tr2bl w:val="nil"/>
            </w:tcBorders>
            <w:vAlign w:val="center"/>
          </w:tcPr>
          <w:p>
            <w:pPr>
              <w:keepNext w:val="0"/>
              <w:keepLines w:val="0"/>
              <w:pageBreakBefore w:val="0"/>
              <w:tabs>
                <w:tab w:val="right" w:pos="9070"/>
              </w:tabs>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1、项目负责人/技术负责人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w:t>
            </w: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在本行业从业工作年限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8"/>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w:t>
            </w: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在本行业从业工作年限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52"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8"/>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年龄</w:t>
            </w: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学历</w:t>
            </w: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从事类似项目工作年限</w:t>
            </w: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主要工作</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业绩和经历</w:t>
            </w: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w:t>
            </w:r>
            <w:r>
              <w:rPr>
                <w:rFonts w:hint="eastAsia" w:ascii="仿宋_GB2312" w:hAnsi="仿宋_GB2312" w:eastAsia="仿宋_GB2312" w:cs="仿宋_GB2312"/>
                <w:color w:val="000000" w:themeColor="text1"/>
                <w:sz w:val="28"/>
                <w:szCs w:val="28"/>
                <w14:textFill>
                  <w14:solidFill>
                    <w14:schemeClr w14:val="tx1"/>
                  </w14:solidFill>
                </w14:textFill>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284" w:type="dxa"/>
            <w:gridSpan w:val="2"/>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28"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839"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40"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91" w:type="dxa"/>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c>
          <w:tcPr>
            <w:tcW w:w="8051" w:type="dxa"/>
            <w:gridSpan w:val="7"/>
            <w:tcBorders>
              <w:tl2br w:val="nil"/>
              <w:tr2bl w:val="nil"/>
            </w:tcBorders>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表格空间不足时请自行扩展。</w:t>
            </w:r>
          </w:p>
        </w:tc>
      </w:tr>
    </w:tbl>
    <w:p>
      <w:pPr>
        <w:pStyle w:val="9"/>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54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54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54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29A41"/>
    <w:multiLevelType w:val="multilevel"/>
    <w:tmpl w:val="84C29A41"/>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861FD48D"/>
    <w:multiLevelType w:val="multilevel"/>
    <w:tmpl w:val="861FD48D"/>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5F7C947"/>
    <w:multiLevelType w:val="multilevel"/>
    <w:tmpl w:val="C5F7C947"/>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7BA63B9"/>
    <w:multiLevelType w:val="singleLevel"/>
    <w:tmpl w:val="D7BA63B9"/>
    <w:lvl w:ilvl="0" w:tentative="0">
      <w:start w:val="1"/>
      <w:numFmt w:val="chineseCounting"/>
      <w:suff w:val="space"/>
      <w:lvlText w:val="第%1章"/>
      <w:lvlJc w:val="left"/>
      <w:rPr>
        <w:rFonts w:hint="eastAsia"/>
      </w:rPr>
    </w:lvl>
  </w:abstractNum>
  <w:abstractNum w:abstractNumId="4">
    <w:nsid w:val="F1EAB093"/>
    <w:multiLevelType w:val="multilevel"/>
    <w:tmpl w:val="F1EAB093"/>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00000006"/>
    <w:multiLevelType w:val="singleLevel"/>
    <w:tmpl w:val="00000006"/>
    <w:lvl w:ilvl="0" w:tentative="0">
      <w:start w:val="3"/>
      <w:numFmt w:val="chineseCounting"/>
      <w:suff w:val="nothing"/>
      <w:lvlText w:val="%1、"/>
      <w:lvlJc w:val="left"/>
    </w:lvl>
  </w:abstractNum>
  <w:abstractNum w:abstractNumId="6">
    <w:nsid w:val="0053208E"/>
    <w:multiLevelType w:val="singleLevel"/>
    <w:tmpl w:val="0053208E"/>
    <w:lvl w:ilvl="0" w:tentative="0">
      <w:start w:val="1"/>
      <w:numFmt w:val="chineseCounting"/>
      <w:suff w:val="nothing"/>
      <w:lvlText w:val="（%1）"/>
      <w:lvlJc w:val="left"/>
      <w:rPr>
        <w:rFonts w:hint="eastAsia"/>
      </w:rPr>
    </w:lvl>
  </w:abstractNum>
  <w:abstractNum w:abstractNumId="7">
    <w:nsid w:val="1C34B357"/>
    <w:multiLevelType w:val="multilevel"/>
    <w:tmpl w:val="1C34B357"/>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2FE36549"/>
    <w:multiLevelType w:val="multilevel"/>
    <w:tmpl w:val="2FE36549"/>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CB6A36B"/>
    <w:multiLevelType w:val="multilevel"/>
    <w:tmpl w:val="7CB6A36B"/>
    <w:lvl w:ilvl="0" w:tentative="0">
      <w:start w:val="1"/>
      <w:numFmt w:val="decimal"/>
      <w:lvlText w:val="%1."/>
      <w:lvlJc w:val="left"/>
      <w:pPr>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6"/>
  </w:num>
  <w:num w:numId="3">
    <w:abstractNumId w:val="10"/>
  </w:num>
  <w:num w:numId="4">
    <w:abstractNumId w:val="7"/>
  </w:num>
  <w:num w:numId="5">
    <w:abstractNumId w:val="0"/>
  </w:num>
  <w:num w:numId="6">
    <w:abstractNumId w:val="2"/>
  </w:num>
  <w:num w:numId="7">
    <w:abstractNumId w:val="1"/>
  </w:num>
  <w:num w:numId="8">
    <w:abstractNumId w:val="4"/>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42"/>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00172A27"/>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C82D28"/>
    <w:rsid w:val="01CD6A8A"/>
    <w:rsid w:val="01CE3474"/>
    <w:rsid w:val="01D515BB"/>
    <w:rsid w:val="01F679DE"/>
    <w:rsid w:val="01FA3AC8"/>
    <w:rsid w:val="0204742C"/>
    <w:rsid w:val="02343D5B"/>
    <w:rsid w:val="023B08E9"/>
    <w:rsid w:val="023E3EED"/>
    <w:rsid w:val="02557B87"/>
    <w:rsid w:val="025A0286"/>
    <w:rsid w:val="02671768"/>
    <w:rsid w:val="02891DCB"/>
    <w:rsid w:val="02BD0EE2"/>
    <w:rsid w:val="02C11391"/>
    <w:rsid w:val="02C4205E"/>
    <w:rsid w:val="02E307E4"/>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F1CB8"/>
    <w:rsid w:val="0426080F"/>
    <w:rsid w:val="044762AA"/>
    <w:rsid w:val="045F127B"/>
    <w:rsid w:val="0467205E"/>
    <w:rsid w:val="047F7D42"/>
    <w:rsid w:val="0489653F"/>
    <w:rsid w:val="048A6B28"/>
    <w:rsid w:val="04981D44"/>
    <w:rsid w:val="049F3DB3"/>
    <w:rsid w:val="04A04E7B"/>
    <w:rsid w:val="04A56CCB"/>
    <w:rsid w:val="04B01582"/>
    <w:rsid w:val="04C17D44"/>
    <w:rsid w:val="04C57B89"/>
    <w:rsid w:val="05016CE4"/>
    <w:rsid w:val="05210E5D"/>
    <w:rsid w:val="05214B13"/>
    <w:rsid w:val="055F2FF6"/>
    <w:rsid w:val="05686454"/>
    <w:rsid w:val="057139B6"/>
    <w:rsid w:val="057F5907"/>
    <w:rsid w:val="05A35D71"/>
    <w:rsid w:val="05B065AB"/>
    <w:rsid w:val="05D17456"/>
    <w:rsid w:val="062335AF"/>
    <w:rsid w:val="06243474"/>
    <w:rsid w:val="06264001"/>
    <w:rsid w:val="06410743"/>
    <w:rsid w:val="064B18B7"/>
    <w:rsid w:val="064E03A2"/>
    <w:rsid w:val="0680440D"/>
    <w:rsid w:val="068157BD"/>
    <w:rsid w:val="06C17517"/>
    <w:rsid w:val="07195343"/>
    <w:rsid w:val="07254389"/>
    <w:rsid w:val="07280963"/>
    <w:rsid w:val="073843F7"/>
    <w:rsid w:val="073E266E"/>
    <w:rsid w:val="074E0A56"/>
    <w:rsid w:val="076C6CA2"/>
    <w:rsid w:val="076D5CE6"/>
    <w:rsid w:val="078508C6"/>
    <w:rsid w:val="07AA637F"/>
    <w:rsid w:val="07C92D47"/>
    <w:rsid w:val="07CA4DE5"/>
    <w:rsid w:val="07D860C3"/>
    <w:rsid w:val="07DB28A2"/>
    <w:rsid w:val="07E020CE"/>
    <w:rsid w:val="07EA4D10"/>
    <w:rsid w:val="08097B10"/>
    <w:rsid w:val="080F1B46"/>
    <w:rsid w:val="0813234A"/>
    <w:rsid w:val="08211FD1"/>
    <w:rsid w:val="08243795"/>
    <w:rsid w:val="083537ED"/>
    <w:rsid w:val="083C734E"/>
    <w:rsid w:val="08417A7B"/>
    <w:rsid w:val="085F77E6"/>
    <w:rsid w:val="08694136"/>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8900BC"/>
    <w:rsid w:val="09921B5C"/>
    <w:rsid w:val="09A44801"/>
    <w:rsid w:val="09E319B7"/>
    <w:rsid w:val="0A16231D"/>
    <w:rsid w:val="0A394E5E"/>
    <w:rsid w:val="0A4214E6"/>
    <w:rsid w:val="0A622F41"/>
    <w:rsid w:val="0A7A446C"/>
    <w:rsid w:val="0A7D5CED"/>
    <w:rsid w:val="0A7F7130"/>
    <w:rsid w:val="0A870BFA"/>
    <w:rsid w:val="0A9B2547"/>
    <w:rsid w:val="0AF11BC9"/>
    <w:rsid w:val="0AFB176D"/>
    <w:rsid w:val="0B0B31B3"/>
    <w:rsid w:val="0B144A64"/>
    <w:rsid w:val="0B1C7012"/>
    <w:rsid w:val="0B240833"/>
    <w:rsid w:val="0B354EB2"/>
    <w:rsid w:val="0B373F04"/>
    <w:rsid w:val="0B3F0F07"/>
    <w:rsid w:val="0B4C17B5"/>
    <w:rsid w:val="0B5155F7"/>
    <w:rsid w:val="0B6901C4"/>
    <w:rsid w:val="0B692F04"/>
    <w:rsid w:val="0B6A096C"/>
    <w:rsid w:val="0B721EFB"/>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C20327"/>
    <w:rsid w:val="0CC24884"/>
    <w:rsid w:val="0CE86762"/>
    <w:rsid w:val="0CEC4544"/>
    <w:rsid w:val="0D085996"/>
    <w:rsid w:val="0D256266"/>
    <w:rsid w:val="0D6D6BDD"/>
    <w:rsid w:val="0D6E60A1"/>
    <w:rsid w:val="0D9171AE"/>
    <w:rsid w:val="0DA9338A"/>
    <w:rsid w:val="0DE037BA"/>
    <w:rsid w:val="0DE85E53"/>
    <w:rsid w:val="0E132C75"/>
    <w:rsid w:val="0E2E2A82"/>
    <w:rsid w:val="0E5F01E5"/>
    <w:rsid w:val="0E8363B6"/>
    <w:rsid w:val="0EB253C1"/>
    <w:rsid w:val="0EB957D3"/>
    <w:rsid w:val="0ECE1CDE"/>
    <w:rsid w:val="0ECF35E0"/>
    <w:rsid w:val="0EE4486D"/>
    <w:rsid w:val="0EED3D24"/>
    <w:rsid w:val="0F1B578D"/>
    <w:rsid w:val="0F1D03EF"/>
    <w:rsid w:val="0F257B4C"/>
    <w:rsid w:val="0F3533CF"/>
    <w:rsid w:val="0F684453"/>
    <w:rsid w:val="0F7165DD"/>
    <w:rsid w:val="0F8B2DA9"/>
    <w:rsid w:val="0FB15E33"/>
    <w:rsid w:val="0FE75496"/>
    <w:rsid w:val="0FF86D48"/>
    <w:rsid w:val="100C563E"/>
    <w:rsid w:val="10292C44"/>
    <w:rsid w:val="10841837"/>
    <w:rsid w:val="10883FD1"/>
    <w:rsid w:val="10A32F80"/>
    <w:rsid w:val="10BC00C6"/>
    <w:rsid w:val="10E13394"/>
    <w:rsid w:val="10FD2B76"/>
    <w:rsid w:val="110C102F"/>
    <w:rsid w:val="11181B40"/>
    <w:rsid w:val="11252F1A"/>
    <w:rsid w:val="114A462A"/>
    <w:rsid w:val="1169081A"/>
    <w:rsid w:val="118249C0"/>
    <w:rsid w:val="11B03DAF"/>
    <w:rsid w:val="11DE655A"/>
    <w:rsid w:val="11F32DBF"/>
    <w:rsid w:val="12303C06"/>
    <w:rsid w:val="123E6579"/>
    <w:rsid w:val="12421048"/>
    <w:rsid w:val="124E27C4"/>
    <w:rsid w:val="125C0391"/>
    <w:rsid w:val="126F2075"/>
    <w:rsid w:val="128D6FC9"/>
    <w:rsid w:val="12950F85"/>
    <w:rsid w:val="12960862"/>
    <w:rsid w:val="12A04BDA"/>
    <w:rsid w:val="12A86650"/>
    <w:rsid w:val="12E51257"/>
    <w:rsid w:val="12F57C06"/>
    <w:rsid w:val="12F96745"/>
    <w:rsid w:val="12FD6D66"/>
    <w:rsid w:val="12FF18AF"/>
    <w:rsid w:val="131953F9"/>
    <w:rsid w:val="134C233A"/>
    <w:rsid w:val="136F7A26"/>
    <w:rsid w:val="137B051A"/>
    <w:rsid w:val="138222F2"/>
    <w:rsid w:val="13837718"/>
    <w:rsid w:val="138C0895"/>
    <w:rsid w:val="138D048A"/>
    <w:rsid w:val="13900013"/>
    <w:rsid w:val="13931510"/>
    <w:rsid w:val="13A11597"/>
    <w:rsid w:val="13AE09B3"/>
    <w:rsid w:val="13C31130"/>
    <w:rsid w:val="13C85D12"/>
    <w:rsid w:val="13C937D6"/>
    <w:rsid w:val="13E737B7"/>
    <w:rsid w:val="13EE393F"/>
    <w:rsid w:val="1402440B"/>
    <w:rsid w:val="1408673E"/>
    <w:rsid w:val="140E39DD"/>
    <w:rsid w:val="141C207A"/>
    <w:rsid w:val="142D54E1"/>
    <w:rsid w:val="14336CEA"/>
    <w:rsid w:val="14341855"/>
    <w:rsid w:val="14477D16"/>
    <w:rsid w:val="14633F0B"/>
    <w:rsid w:val="14743D20"/>
    <w:rsid w:val="14774D9D"/>
    <w:rsid w:val="148D32B1"/>
    <w:rsid w:val="14A539EC"/>
    <w:rsid w:val="14DA45EC"/>
    <w:rsid w:val="14F33389"/>
    <w:rsid w:val="14FB602E"/>
    <w:rsid w:val="150E3E9E"/>
    <w:rsid w:val="151F1ED6"/>
    <w:rsid w:val="153D08FD"/>
    <w:rsid w:val="1564126D"/>
    <w:rsid w:val="15645D6E"/>
    <w:rsid w:val="156C1521"/>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8701A0"/>
    <w:rsid w:val="178D3B42"/>
    <w:rsid w:val="17CD1BB2"/>
    <w:rsid w:val="17EB105E"/>
    <w:rsid w:val="17F54509"/>
    <w:rsid w:val="180D61E0"/>
    <w:rsid w:val="181417AB"/>
    <w:rsid w:val="181D6C67"/>
    <w:rsid w:val="182820E1"/>
    <w:rsid w:val="18354553"/>
    <w:rsid w:val="18460FF6"/>
    <w:rsid w:val="184B4224"/>
    <w:rsid w:val="184F21B3"/>
    <w:rsid w:val="186802BC"/>
    <w:rsid w:val="18864D3A"/>
    <w:rsid w:val="189A4C02"/>
    <w:rsid w:val="18A626E9"/>
    <w:rsid w:val="18A74FE1"/>
    <w:rsid w:val="18A90755"/>
    <w:rsid w:val="18B77BA2"/>
    <w:rsid w:val="18BA17D8"/>
    <w:rsid w:val="18C835DC"/>
    <w:rsid w:val="18D41CCF"/>
    <w:rsid w:val="18E1122A"/>
    <w:rsid w:val="19192C89"/>
    <w:rsid w:val="19364865"/>
    <w:rsid w:val="195E4D01"/>
    <w:rsid w:val="199363BE"/>
    <w:rsid w:val="19961403"/>
    <w:rsid w:val="19A07745"/>
    <w:rsid w:val="19B25FC3"/>
    <w:rsid w:val="19BF282D"/>
    <w:rsid w:val="19C0263E"/>
    <w:rsid w:val="19CD08FA"/>
    <w:rsid w:val="19D22C3D"/>
    <w:rsid w:val="1A0D68EB"/>
    <w:rsid w:val="1A4F5CB2"/>
    <w:rsid w:val="1A50307B"/>
    <w:rsid w:val="1A9D590B"/>
    <w:rsid w:val="1AA441E5"/>
    <w:rsid w:val="1AB335A6"/>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E04391"/>
    <w:rsid w:val="1BF8652E"/>
    <w:rsid w:val="1C2E65C9"/>
    <w:rsid w:val="1C2F3C10"/>
    <w:rsid w:val="1C2F716F"/>
    <w:rsid w:val="1C3E54EB"/>
    <w:rsid w:val="1C3F3D72"/>
    <w:rsid w:val="1C552039"/>
    <w:rsid w:val="1C563B22"/>
    <w:rsid w:val="1C796C6B"/>
    <w:rsid w:val="1C8A3C5A"/>
    <w:rsid w:val="1C8F7303"/>
    <w:rsid w:val="1C901B90"/>
    <w:rsid w:val="1C967A89"/>
    <w:rsid w:val="1CAE291B"/>
    <w:rsid w:val="1CC21924"/>
    <w:rsid w:val="1CD15C79"/>
    <w:rsid w:val="1D1B4F27"/>
    <w:rsid w:val="1D20081E"/>
    <w:rsid w:val="1D335514"/>
    <w:rsid w:val="1D356CC0"/>
    <w:rsid w:val="1D501181"/>
    <w:rsid w:val="1D5C063C"/>
    <w:rsid w:val="1D8343E7"/>
    <w:rsid w:val="1D8D1C09"/>
    <w:rsid w:val="1D992236"/>
    <w:rsid w:val="1DA51267"/>
    <w:rsid w:val="1DC27599"/>
    <w:rsid w:val="1DD2092D"/>
    <w:rsid w:val="1DE42258"/>
    <w:rsid w:val="1DF82208"/>
    <w:rsid w:val="1E150EE3"/>
    <w:rsid w:val="1E390005"/>
    <w:rsid w:val="1E3C4FCE"/>
    <w:rsid w:val="1E5A2132"/>
    <w:rsid w:val="1E776749"/>
    <w:rsid w:val="1E820D2A"/>
    <w:rsid w:val="1E8E20FF"/>
    <w:rsid w:val="1E8F1ECA"/>
    <w:rsid w:val="1E9546A5"/>
    <w:rsid w:val="1E9B1F5F"/>
    <w:rsid w:val="1EA37146"/>
    <w:rsid w:val="1EAB1ADB"/>
    <w:rsid w:val="1EAC4085"/>
    <w:rsid w:val="1EBF5830"/>
    <w:rsid w:val="1EC645BF"/>
    <w:rsid w:val="1EC67C8F"/>
    <w:rsid w:val="1ED8574D"/>
    <w:rsid w:val="1EDC1A7B"/>
    <w:rsid w:val="1EDD0A29"/>
    <w:rsid w:val="1EDD7FA9"/>
    <w:rsid w:val="1EFC4527"/>
    <w:rsid w:val="1F0268BD"/>
    <w:rsid w:val="1F0F280A"/>
    <w:rsid w:val="1F2422DF"/>
    <w:rsid w:val="1F2B2168"/>
    <w:rsid w:val="1F306773"/>
    <w:rsid w:val="1F346CA0"/>
    <w:rsid w:val="1F4C66FE"/>
    <w:rsid w:val="1F77014D"/>
    <w:rsid w:val="1F827198"/>
    <w:rsid w:val="1F876088"/>
    <w:rsid w:val="1F925678"/>
    <w:rsid w:val="1F9F20EA"/>
    <w:rsid w:val="1FAB6CE1"/>
    <w:rsid w:val="1FDB5C4A"/>
    <w:rsid w:val="200705EA"/>
    <w:rsid w:val="203945B9"/>
    <w:rsid w:val="2042167B"/>
    <w:rsid w:val="204D2CD4"/>
    <w:rsid w:val="20500A32"/>
    <w:rsid w:val="205D4EF1"/>
    <w:rsid w:val="20677454"/>
    <w:rsid w:val="20787973"/>
    <w:rsid w:val="20885D40"/>
    <w:rsid w:val="20A37050"/>
    <w:rsid w:val="20A91698"/>
    <w:rsid w:val="20B53E4A"/>
    <w:rsid w:val="20BA6848"/>
    <w:rsid w:val="20C430EF"/>
    <w:rsid w:val="20E07AF1"/>
    <w:rsid w:val="20F37841"/>
    <w:rsid w:val="210F4172"/>
    <w:rsid w:val="215E7F7D"/>
    <w:rsid w:val="216A5B17"/>
    <w:rsid w:val="21881D08"/>
    <w:rsid w:val="218C5F60"/>
    <w:rsid w:val="218D3E5D"/>
    <w:rsid w:val="218E2416"/>
    <w:rsid w:val="21910AEA"/>
    <w:rsid w:val="21A41C3A"/>
    <w:rsid w:val="21AA2BB6"/>
    <w:rsid w:val="21CE6EEF"/>
    <w:rsid w:val="21D073B0"/>
    <w:rsid w:val="21D72497"/>
    <w:rsid w:val="21EB6A1B"/>
    <w:rsid w:val="21ED538F"/>
    <w:rsid w:val="21F0447F"/>
    <w:rsid w:val="21F77868"/>
    <w:rsid w:val="21FB63BA"/>
    <w:rsid w:val="2217504C"/>
    <w:rsid w:val="22491C26"/>
    <w:rsid w:val="224E07D8"/>
    <w:rsid w:val="22554647"/>
    <w:rsid w:val="22575CE6"/>
    <w:rsid w:val="2264646B"/>
    <w:rsid w:val="226C52A0"/>
    <w:rsid w:val="226E2973"/>
    <w:rsid w:val="226F59C8"/>
    <w:rsid w:val="22887BC3"/>
    <w:rsid w:val="22FA3D86"/>
    <w:rsid w:val="23175F7D"/>
    <w:rsid w:val="231A1B0E"/>
    <w:rsid w:val="231B09DE"/>
    <w:rsid w:val="23244A98"/>
    <w:rsid w:val="23373684"/>
    <w:rsid w:val="23567880"/>
    <w:rsid w:val="237D15F6"/>
    <w:rsid w:val="23876DB6"/>
    <w:rsid w:val="238C2D74"/>
    <w:rsid w:val="239048BE"/>
    <w:rsid w:val="23A93BDB"/>
    <w:rsid w:val="23A96390"/>
    <w:rsid w:val="23B35841"/>
    <w:rsid w:val="23C41338"/>
    <w:rsid w:val="23EF46D5"/>
    <w:rsid w:val="23F724F4"/>
    <w:rsid w:val="24042BDB"/>
    <w:rsid w:val="24234AF6"/>
    <w:rsid w:val="244C739C"/>
    <w:rsid w:val="245B144E"/>
    <w:rsid w:val="245D3144"/>
    <w:rsid w:val="246B7E66"/>
    <w:rsid w:val="246F4AAC"/>
    <w:rsid w:val="247E599E"/>
    <w:rsid w:val="248E26A9"/>
    <w:rsid w:val="24B46637"/>
    <w:rsid w:val="24E16FE1"/>
    <w:rsid w:val="24EB6423"/>
    <w:rsid w:val="250A773C"/>
    <w:rsid w:val="25136D8E"/>
    <w:rsid w:val="25384B48"/>
    <w:rsid w:val="25471D43"/>
    <w:rsid w:val="254D418D"/>
    <w:rsid w:val="255179ED"/>
    <w:rsid w:val="256B6EB4"/>
    <w:rsid w:val="2571095A"/>
    <w:rsid w:val="258549DE"/>
    <w:rsid w:val="258D6C25"/>
    <w:rsid w:val="26016813"/>
    <w:rsid w:val="2606196B"/>
    <w:rsid w:val="26072636"/>
    <w:rsid w:val="26143C85"/>
    <w:rsid w:val="26156A2E"/>
    <w:rsid w:val="261D1E42"/>
    <w:rsid w:val="262364AE"/>
    <w:rsid w:val="262A2DBD"/>
    <w:rsid w:val="26414B12"/>
    <w:rsid w:val="2664395E"/>
    <w:rsid w:val="26906045"/>
    <w:rsid w:val="269E5D92"/>
    <w:rsid w:val="26A37629"/>
    <w:rsid w:val="26AA2373"/>
    <w:rsid w:val="26C02358"/>
    <w:rsid w:val="26C77C48"/>
    <w:rsid w:val="26D272A7"/>
    <w:rsid w:val="26D93911"/>
    <w:rsid w:val="26E63298"/>
    <w:rsid w:val="271543D2"/>
    <w:rsid w:val="272E7C25"/>
    <w:rsid w:val="27475541"/>
    <w:rsid w:val="275E46A6"/>
    <w:rsid w:val="27723BE0"/>
    <w:rsid w:val="27835FC2"/>
    <w:rsid w:val="27886618"/>
    <w:rsid w:val="279845D2"/>
    <w:rsid w:val="27B256E3"/>
    <w:rsid w:val="27D305C7"/>
    <w:rsid w:val="27D91A5B"/>
    <w:rsid w:val="27DB1F8C"/>
    <w:rsid w:val="27E31A18"/>
    <w:rsid w:val="27E964AC"/>
    <w:rsid w:val="27EE6269"/>
    <w:rsid w:val="27F947FC"/>
    <w:rsid w:val="280E6F7D"/>
    <w:rsid w:val="28213C50"/>
    <w:rsid w:val="283F53A6"/>
    <w:rsid w:val="28424EE2"/>
    <w:rsid w:val="28453086"/>
    <w:rsid w:val="285E08D0"/>
    <w:rsid w:val="28637E3D"/>
    <w:rsid w:val="28651224"/>
    <w:rsid w:val="287B7B56"/>
    <w:rsid w:val="288D49B8"/>
    <w:rsid w:val="288D78CB"/>
    <w:rsid w:val="28CB1F56"/>
    <w:rsid w:val="28D30D37"/>
    <w:rsid w:val="28DF504B"/>
    <w:rsid w:val="28F224E1"/>
    <w:rsid w:val="28FC7ED2"/>
    <w:rsid w:val="290410FD"/>
    <w:rsid w:val="291A586C"/>
    <w:rsid w:val="292045F7"/>
    <w:rsid w:val="292B0B20"/>
    <w:rsid w:val="29514F8D"/>
    <w:rsid w:val="29613908"/>
    <w:rsid w:val="298C582A"/>
    <w:rsid w:val="299568ED"/>
    <w:rsid w:val="299E4141"/>
    <w:rsid w:val="29CD2E3F"/>
    <w:rsid w:val="29D02637"/>
    <w:rsid w:val="29D432EC"/>
    <w:rsid w:val="29D67228"/>
    <w:rsid w:val="2A144AFA"/>
    <w:rsid w:val="2A212221"/>
    <w:rsid w:val="2A230158"/>
    <w:rsid w:val="2A3B2025"/>
    <w:rsid w:val="2A5F55C3"/>
    <w:rsid w:val="2A8339A2"/>
    <w:rsid w:val="2A945773"/>
    <w:rsid w:val="2ADD059B"/>
    <w:rsid w:val="2ADE61BC"/>
    <w:rsid w:val="2AE632C3"/>
    <w:rsid w:val="2B007F78"/>
    <w:rsid w:val="2B290297"/>
    <w:rsid w:val="2B4A4876"/>
    <w:rsid w:val="2B8C5811"/>
    <w:rsid w:val="2B9A382D"/>
    <w:rsid w:val="2BA0394B"/>
    <w:rsid w:val="2BB2311B"/>
    <w:rsid w:val="2BD93648"/>
    <w:rsid w:val="2BEC377F"/>
    <w:rsid w:val="2C26758B"/>
    <w:rsid w:val="2C286B86"/>
    <w:rsid w:val="2C292C06"/>
    <w:rsid w:val="2C357305"/>
    <w:rsid w:val="2C383938"/>
    <w:rsid w:val="2C473F94"/>
    <w:rsid w:val="2C4958B7"/>
    <w:rsid w:val="2C5E4EB5"/>
    <w:rsid w:val="2C8F30C6"/>
    <w:rsid w:val="2C916EC8"/>
    <w:rsid w:val="2CA65861"/>
    <w:rsid w:val="2D0E75A7"/>
    <w:rsid w:val="2D197F39"/>
    <w:rsid w:val="2D272F05"/>
    <w:rsid w:val="2D3145A1"/>
    <w:rsid w:val="2D477E26"/>
    <w:rsid w:val="2D4E0FF6"/>
    <w:rsid w:val="2D551367"/>
    <w:rsid w:val="2D9939FD"/>
    <w:rsid w:val="2DA06D16"/>
    <w:rsid w:val="2DB53831"/>
    <w:rsid w:val="2DCE3C7D"/>
    <w:rsid w:val="2DCF0D38"/>
    <w:rsid w:val="2DDB0505"/>
    <w:rsid w:val="2DF77CC5"/>
    <w:rsid w:val="2DFF70AD"/>
    <w:rsid w:val="2E197228"/>
    <w:rsid w:val="2E490CF6"/>
    <w:rsid w:val="2E616693"/>
    <w:rsid w:val="2E640E80"/>
    <w:rsid w:val="2E685A4D"/>
    <w:rsid w:val="2E85670C"/>
    <w:rsid w:val="2E93683E"/>
    <w:rsid w:val="2ECE0FF5"/>
    <w:rsid w:val="2EDB35F4"/>
    <w:rsid w:val="2EE80E9D"/>
    <w:rsid w:val="2F340AB1"/>
    <w:rsid w:val="2F3E05FD"/>
    <w:rsid w:val="2F5A04F1"/>
    <w:rsid w:val="2F702A20"/>
    <w:rsid w:val="2F7601D5"/>
    <w:rsid w:val="2F9C3813"/>
    <w:rsid w:val="2FB214E2"/>
    <w:rsid w:val="2FC13835"/>
    <w:rsid w:val="2FC17679"/>
    <w:rsid w:val="2FD82A6D"/>
    <w:rsid w:val="2FE82DA7"/>
    <w:rsid w:val="2FE8558C"/>
    <w:rsid w:val="2FF724D0"/>
    <w:rsid w:val="3012072F"/>
    <w:rsid w:val="301A150C"/>
    <w:rsid w:val="302D1BB3"/>
    <w:rsid w:val="30342F1D"/>
    <w:rsid w:val="30395C43"/>
    <w:rsid w:val="303C489B"/>
    <w:rsid w:val="303F40CB"/>
    <w:rsid w:val="305344F9"/>
    <w:rsid w:val="305658CA"/>
    <w:rsid w:val="306C1DBC"/>
    <w:rsid w:val="307A4AC9"/>
    <w:rsid w:val="308929C6"/>
    <w:rsid w:val="30893359"/>
    <w:rsid w:val="308E0291"/>
    <w:rsid w:val="30942A46"/>
    <w:rsid w:val="309E477A"/>
    <w:rsid w:val="30A42698"/>
    <w:rsid w:val="30DB652B"/>
    <w:rsid w:val="30E639BE"/>
    <w:rsid w:val="30F02844"/>
    <w:rsid w:val="30F30335"/>
    <w:rsid w:val="31051699"/>
    <w:rsid w:val="310D5CA5"/>
    <w:rsid w:val="311321B5"/>
    <w:rsid w:val="311A5A74"/>
    <w:rsid w:val="311F02AF"/>
    <w:rsid w:val="313A7E15"/>
    <w:rsid w:val="3151177C"/>
    <w:rsid w:val="317A3376"/>
    <w:rsid w:val="31890866"/>
    <w:rsid w:val="318A77C5"/>
    <w:rsid w:val="31B4416D"/>
    <w:rsid w:val="31E150A9"/>
    <w:rsid w:val="31F5271A"/>
    <w:rsid w:val="320061DC"/>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7A6C9E"/>
    <w:rsid w:val="3386499B"/>
    <w:rsid w:val="33B12A74"/>
    <w:rsid w:val="33B755E0"/>
    <w:rsid w:val="33EA22B9"/>
    <w:rsid w:val="33EE561B"/>
    <w:rsid w:val="33F2005B"/>
    <w:rsid w:val="33F66E03"/>
    <w:rsid w:val="340915D9"/>
    <w:rsid w:val="341660D6"/>
    <w:rsid w:val="343321E4"/>
    <w:rsid w:val="3449718C"/>
    <w:rsid w:val="345A7CDA"/>
    <w:rsid w:val="3477169F"/>
    <w:rsid w:val="347845C3"/>
    <w:rsid w:val="348E726D"/>
    <w:rsid w:val="349C3A45"/>
    <w:rsid w:val="34A72740"/>
    <w:rsid w:val="34A83CBD"/>
    <w:rsid w:val="34C90259"/>
    <w:rsid w:val="34F23FA0"/>
    <w:rsid w:val="34F5398E"/>
    <w:rsid w:val="35232779"/>
    <w:rsid w:val="35533564"/>
    <w:rsid w:val="356053EC"/>
    <w:rsid w:val="357F3C0D"/>
    <w:rsid w:val="359C482A"/>
    <w:rsid w:val="35A2648D"/>
    <w:rsid w:val="35DB5433"/>
    <w:rsid w:val="35EE3F20"/>
    <w:rsid w:val="36120EED"/>
    <w:rsid w:val="363A1A40"/>
    <w:rsid w:val="365057CB"/>
    <w:rsid w:val="366F05D1"/>
    <w:rsid w:val="36707E4B"/>
    <w:rsid w:val="36C06D6C"/>
    <w:rsid w:val="36C0742F"/>
    <w:rsid w:val="36C848DD"/>
    <w:rsid w:val="36CB72FE"/>
    <w:rsid w:val="370B22B6"/>
    <w:rsid w:val="3720617D"/>
    <w:rsid w:val="375A115E"/>
    <w:rsid w:val="37786996"/>
    <w:rsid w:val="37AB7604"/>
    <w:rsid w:val="38152477"/>
    <w:rsid w:val="381A3FBC"/>
    <w:rsid w:val="383115F5"/>
    <w:rsid w:val="386A4D8B"/>
    <w:rsid w:val="387060FE"/>
    <w:rsid w:val="38780152"/>
    <w:rsid w:val="387D2978"/>
    <w:rsid w:val="388242C0"/>
    <w:rsid w:val="388D490B"/>
    <w:rsid w:val="38AA19BF"/>
    <w:rsid w:val="38C53CA2"/>
    <w:rsid w:val="38CA274D"/>
    <w:rsid w:val="391A3434"/>
    <w:rsid w:val="396759FD"/>
    <w:rsid w:val="397958BD"/>
    <w:rsid w:val="397D3884"/>
    <w:rsid w:val="398F55AF"/>
    <w:rsid w:val="39916AF0"/>
    <w:rsid w:val="39BB72A2"/>
    <w:rsid w:val="39C61315"/>
    <w:rsid w:val="39DB1464"/>
    <w:rsid w:val="39EC4848"/>
    <w:rsid w:val="39FB1FB5"/>
    <w:rsid w:val="3A1D23B3"/>
    <w:rsid w:val="3A3620BE"/>
    <w:rsid w:val="3A3932E5"/>
    <w:rsid w:val="3A3F327A"/>
    <w:rsid w:val="3A402C8E"/>
    <w:rsid w:val="3A57294E"/>
    <w:rsid w:val="3A725720"/>
    <w:rsid w:val="3A8A623C"/>
    <w:rsid w:val="3A8D36C6"/>
    <w:rsid w:val="3ABC50BD"/>
    <w:rsid w:val="3AE47E5B"/>
    <w:rsid w:val="3AFB0727"/>
    <w:rsid w:val="3B0E7AE4"/>
    <w:rsid w:val="3B34709E"/>
    <w:rsid w:val="3B374E54"/>
    <w:rsid w:val="3B662A70"/>
    <w:rsid w:val="3B7216AD"/>
    <w:rsid w:val="3B7A2E9E"/>
    <w:rsid w:val="3B871F58"/>
    <w:rsid w:val="3B8B5E54"/>
    <w:rsid w:val="3B924D83"/>
    <w:rsid w:val="3BA044D9"/>
    <w:rsid w:val="3C043541"/>
    <w:rsid w:val="3C456A27"/>
    <w:rsid w:val="3C7B42E0"/>
    <w:rsid w:val="3C894E88"/>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102F58"/>
    <w:rsid w:val="3E1C24A8"/>
    <w:rsid w:val="3E29618D"/>
    <w:rsid w:val="3E3C7AEA"/>
    <w:rsid w:val="3E3D4BD0"/>
    <w:rsid w:val="3E683EEA"/>
    <w:rsid w:val="3E824C64"/>
    <w:rsid w:val="3E987AEE"/>
    <w:rsid w:val="3E9A2284"/>
    <w:rsid w:val="3EAC34A7"/>
    <w:rsid w:val="3EB1328C"/>
    <w:rsid w:val="3EB472BD"/>
    <w:rsid w:val="3F15252A"/>
    <w:rsid w:val="3F1B5750"/>
    <w:rsid w:val="3F3177A8"/>
    <w:rsid w:val="3F496CBE"/>
    <w:rsid w:val="3F587306"/>
    <w:rsid w:val="3F632CDC"/>
    <w:rsid w:val="3F7306EF"/>
    <w:rsid w:val="3FAE024D"/>
    <w:rsid w:val="40213BB3"/>
    <w:rsid w:val="40275EA5"/>
    <w:rsid w:val="40701A4C"/>
    <w:rsid w:val="40741F5B"/>
    <w:rsid w:val="40774232"/>
    <w:rsid w:val="40860801"/>
    <w:rsid w:val="40865A6A"/>
    <w:rsid w:val="408E7435"/>
    <w:rsid w:val="40AE3E97"/>
    <w:rsid w:val="40FA1B12"/>
    <w:rsid w:val="4122513C"/>
    <w:rsid w:val="41355EF0"/>
    <w:rsid w:val="41392674"/>
    <w:rsid w:val="415D1E0C"/>
    <w:rsid w:val="41794F45"/>
    <w:rsid w:val="417F0FDE"/>
    <w:rsid w:val="4189189E"/>
    <w:rsid w:val="41C51A2C"/>
    <w:rsid w:val="41E24A0A"/>
    <w:rsid w:val="41E54201"/>
    <w:rsid w:val="41EA0EFE"/>
    <w:rsid w:val="42517364"/>
    <w:rsid w:val="4262363F"/>
    <w:rsid w:val="426F50C2"/>
    <w:rsid w:val="42A82704"/>
    <w:rsid w:val="42CE76C5"/>
    <w:rsid w:val="4305085A"/>
    <w:rsid w:val="431742E7"/>
    <w:rsid w:val="43312BDE"/>
    <w:rsid w:val="433862B6"/>
    <w:rsid w:val="43457D5C"/>
    <w:rsid w:val="43743B53"/>
    <w:rsid w:val="43763D41"/>
    <w:rsid w:val="43843137"/>
    <w:rsid w:val="4391176E"/>
    <w:rsid w:val="43B545F0"/>
    <w:rsid w:val="43CF397F"/>
    <w:rsid w:val="43F539A2"/>
    <w:rsid w:val="442A447D"/>
    <w:rsid w:val="44391ED2"/>
    <w:rsid w:val="444903F3"/>
    <w:rsid w:val="449A4C45"/>
    <w:rsid w:val="44A85A06"/>
    <w:rsid w:val="44C252E7"/>
    <w:rsid w:val="44E43D61"/>
    <w:rsid w:val="44E72DD0"/>
    <w:rsid w:val="44EE10CA"/>
    <w:rsid w:val="452250F1"/>
    <w:rsid w:val="4525639F"/>
    <w:rsid w:val="452623E2"/>
    <w:rsid w:val="45284541"/>
    <w:rsid w:val="45316B5D"/>
    <w:rsid w:val="45396E2A"/>
    <w:rsid w:val="456875F0"/>
    <w:rsid w:val="456F5A54"/>
    <w:rsid w:val="45A96C77"/>
    <w:rsid w:val="45AC7614"/>
    <w:rsid w:val="45B33761"/>
    <w:rsid w:val="45C53DA9"/>
    <w:rsid w:val="45CC6425"/>
    <w:rsid w:val="46B67097"/>
    <w:rsid w:val="46BA5F18"/>
    <w:rsid w:val="46BC3AE3"/>
    <w:rsid w:val="46BF57EA"/>
    <w:rsid w:val="46E22B80"/>
    <w:rsid w:val="471C6162"/>
    <w:rsid w:val="471D1AE4"/>
    <w:rsid w:val="471E63A8"/>
    <w:rsid w:val="474B7E8D"/>
    <w:rsid w:val="474F4C0B"/>
    <w:rsid w:val="475F38B6"/>
    <w:rsid w:val="47685614"/>
    <w:rsid w:val="476D294A"/>
    <w:rsid w:val="47907984"/>
    <w:rsid w:val="47C00874"/>
    <w:rsid w:val="47E41648"/>
    <w:rsid w:val="47E71D6B"/>
    <w:rsid w:val="47EC4B78"/>
    <w:rsid w:val="47F02948"/>
    <w:rsid w:val="480D47B9"/>
    <w:rsid w:val="48277842"/>
    <w:rsid w:val="483D20C4"/>
    <w:rsid w:val="48776E5E"/>
    <w:rsid w:val="48795C23"/>
    <w:rsid w:val="488C2FD7"/>
    <w:rsid w:val="48974A79"/>
    <w:rsid w:val="489F5422"/>
    <w:rsid w:val="48D14BB0"/>
    <w:rsid w:val="48D70F6B"/>
    <w:rsid w:val="48E50E7E"/>
    <w:rsid w:val="490E63AC"/>
    <w:rsid w:val="490F1DBB"/>
    <w:rsid w:val="49260A0E"/>
    <w:rsid w:val="492A7C7B"/>
    <w:rsid w:val="49750ACF"/>
    <w:rsid w:val="498768B0"/>
    <w:rsid w:val="498F1EC9"/>
    <w:rsid w:val="498F281F"/>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5F5FC3"/>
    <w:rsid w:val="4B6549DC"/>
    <w:rsid w:val="4B6E06DF"/>
    <w:rsid w:val="4B937C35"/>
    <w:rsid w:val="4B9F2EFD"/>
    <w:rsid w:val="4BAF63DD"/>
    <w:rsid w:val="4BB57285"/>
    <w:rsid w:val="4BBD1489"/>
    <w:rsid w:val="4BDB0C2D"/>
    <w:rsid w:val="4BF20952"/>
    <w:rsid w:val="4C001724"/>
    <w:rsid w:val="4C0478A6"/>
    <w:rsid w:val="4C6A0DCA"/>
    <w:rsid w:val="4C6B04B5"/>
    <w:rsid w:val="4C7F272A"/>
    <w:rsid w:val="4CA46E0E"/>
    <w:rsid w:val="4CB01933"/>
    <w:rsid w:val="4CB45732"/>
    <w:rsid w:val="4CBD3D2C"/>
    <w:rsid w:val="4CC24367"/>
    <w:rsid w:val="4CD160C0"/>
    <w:rsid w:val="4D022C05"/>
    <w:rsid w:val="4D1F5342"/>
    <w:rsid w:val="4D2C7AF3"/>
    <w:rsid w:val="4D343260"/>
    <w:rsid w:val="4D452701"/>
    <w:rsid w:val="4D484218"/>
    <w:rsid w:val="4D5F4C58"/>
    <w:rsid w:val="4D7267BE"/>
    <w:rsid w:val="4D8F0B44"/>
    <w:rsid w:val="4D901816"/>
    <w:rsid w:val="4DAA2AAB"/>
    <w:rsid w:val="4DBA0BF6"/>
    <w:rsid w:val="4DD067B1"/>
    <w:rsid w:val="4DDC7FA5"/>
    <w:rsid w:val="4E0B7263"/>
    <w:rsid w:val="4E143766"/>
    <w:rsid w:val="4E4906EE"/>
    <w:rsid w:val="4E5C0BF1"/>
    <w:rsid w:val="4E692982"/>
    <w:rsid w:val="4E786F7F"/>
    <w:rsid w:val="4E806017"/>
    <w:rsid w:val="4E81128D"/>
    <w:rsid w:val="4EAA2B9B"/>
    <w:rsid w:val="4EAC63A7"/>
    <w:rsid w:val="4EB40847"/>
    <w:rsid w:val="4EB44450"/>
    <w:rsid w:val="4EBE06E2"/>
    <w:rsid w:val="4F04640B"/>
    <w:rsid w:val="4F0E3BBD"/>
    <w:rsid w:val="4F144EEE"/>
    <w:rsid w:val="4F4C2A01"/>
    <w:rsid w:val="4F6B7BB9"/>
    <w:rsid w:val="4F7714C1"/>
    <w:rsid w:val="4F981B6D"/>
    <w:rsid w:val="4FA6654E"/>
    <w:rsid w:val="4FCC7BD9"/>
    <w:rsid w:val="4FD51E77"/>
    <w:rsid w:val="4FEF0962"/>
    <w:rsid w:val="4FF51ACA"/>
    <w:rsid w:val="4FF659D3"/>
    <w:rsid w:val="4FFB6AF8"/>
    <w:rsid w:val="503A7C33"/>
    <w:rsid w:val="503B7503"/>
    <w:rsid w:val="50626FEC"/>
    <w:rsid w:val="50802698"/>
    <w:rsid w:val="50B62460"/>
    <w:rsid w:val="50DF4E67"/>
    <w:rsid w:val="50E15827"/>
    <w:rsid w:val="51002F0E"/>
    <w:rsid w:val="51071B0C"/>
    <w:rsid w:val="51E809A2"/>
    <w:rsid w:val="51EF6CDE"/>
    <w:rsid w:val="51F219E4"/>
    <w:rsid w:val="52151A1A"/>
    <w:rsid w:val="522C13B9"/>
    <w:rsid w:val="5234116C"/>
    <w:rsid w:val="52391B1D"/>
    <w:rsid w:val="5254213E"/>
    <w:rsid w:val="526650E8"/>
    <w:rsid w:val="5274323B"/>
    <w:rsid w:val="527812C6"/>
    <w:rsid w:val="52804735"/>
    <w:rsid w:val="52AE3750"/>
    <w:rsid w:val="52B5436D"/>
    <w:rsid w:val="52BE1CC3"/>
    <w:rsid w:val="52D1109C"/>
    <w:rsid w:val="52DB195C"/>
    <w:rsid w:val="52E25026"/>
    <w:rsid w:val="52F03D33"/>
    <w:rsid w:val="53053AB0"/>
    <w:rsid w:val="531655AF"/>
    <w:rsid w:val="536E66F9"/>
    <w:rsid w:val="53733BF6"/>
    <w:rsid w:val="53962B3E"/>
    <w:rsid w:val="539F4BC3"/>
    <w:rsid w:val="53C7637D"/>
    <w:rsid w:val="53C9708E"/>
    <w:rsid w:val="53CD6E9C"/>
    <w:rsid w:val="53E51640"/>
    <w:rsid w:val="5410069F"/>
    <w:rsid w:val="5428422D"/>
    <w:rsid w:val="542850CE"/>
    <w:rsid w:val="54484B90"/>
    <w:rsid w:val="545430A1"/>
    <w:rsid w:val="5471114B"/>
    <w:rsid w:val="54B14A15"/>
    <w:rsid w:val="54B14ED7"/>
    <w:rsid w:val="54BE73BB"/>
    <w:rsid w:val="54C0392D"/>
    <w:rsid w:val="54EC1A3E"/>
    <w:rsid w:val="550876C8"/>
    <w:rsid w:val="552473CE"/>
    <w:rsid w:val="553918DB"/>
    <w:rsid w:val="554F3566"/>
    <w:rsid w:val="55694C7A"/>
    <w:rsid w:val="557A1F24"/>
    <w:rsid w:val="557B277B"/>
    <w:rsid w:val="559026A9"/>
    <w:rsid w:val="55A939CC"/>
    <w:rsid w:val="55AA7895"/>
    <w:rsid w:val="55DF443D"/>
    <w:rsid w:val="55E62380"/>
    <w:rsid w:val="55FB34EE"/>
    <w:rsid w:val="5628417F"/>
    <w:rsid w:val="562B489D"/>
    <w:rsid w:val="564357FC"/>
    <w:rsid w:val="5650554F"/>
    <w:rsid w:val="565C7725"/>
    <w:rsid w:val="56721800"/>
    <w:rsid w:val="568820D4"/>
    <w:rsid w:val="568D45BE"/>
    <w:rsid w:val="569D5052"/>
    <w:rsid w:val="56EB5C17"/>
    <w:rsid w:val="56F67432"/>
    <w:rsid w:val="56FC10C4"/>
    <w:rsid w:val="570C2AAA"/>
    <w:rsid w:val="57196811"/>
    <w:rsid w:val="57230876"/>
    <w:rsid w:val="5725461D"/>
    <w:rsid w:val="57440F69"/>
    <w:rsid w:val="5754503F"/>
    <w:rsid w:val="576378C6"/>
    <w:rsid w:val="578C51EE"/>
    <w:rsid w:val="57AC7CFA"/>
    <w:rsid w:val="57E27D6D"/>
    <w:rsid w:val="581D05D2"/>
    <w:rsid w:val="581E7B89"/>
    <w:rsid w:val="58203E2B"/>
    <w:rsid w:val="58363A1E"/>
    <w:rsid w:val="583B5B55"/>
    <w:rsid w:val="583E7652"/>
    <w:rsid w:val="586C0F12"/>
    <w:rsid w:val="586E0CF8"/>
    <w:rsid w:val="58787E52"/>
    <w:rsid w:val="587F7675"/>
    <w:rsid w:val="58990DC7"/>
    <w:rsid w:val="58B0376F"/>
    <w:rsid w:val="58BB47B4"/>
    <w:rsid w:val="58D24194"/>
    <w:rsid w:val="59075246"/>
    <w:rsid w:val="590810D4"/>
    <w:rsid w:val="592B1BE2"/>
    <w:rsid w:val="592D2065"/>
    <w:rsid w:val="593E07E2"/>
    <w:rsid w:val="59517920"/>
    <w:rsid w:val="59617A34"/>
    <w:rsid w:val="596C32A7"/>
    <w:rsid w:val="59721B65"/>
    <w:rsid w:val="59743505"/>
    <w:rsid w:val="599574FB"/>
    <w:rsid w:val="59A25F54"/>
    <w:rsid w:val="59A87F44"/>
    <w:rsid w:val="59C451A3"/>
    <w:rsid w:val="59C46400"/>
    <w:rsid w:val="59CE01AC"/>
    <w:rsid w:val="59F67729"/>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946DD"/>
    <w:rsid w:val="5ADF16B5"/>
    <w:rsid w:val="5AE01313"/>
    <w:rsid w:val="5B034F7D"/>
    <w:rsid w:val="5B077572"/>
    <w:rsid w:val="5B1C48F7"/>
    <w:rsid w:val="5B2811C6"/>
    <w:rsid w:val="5B3D2335"/>
    <w:rsid w:val="5B596518"/>
    <w:rsid w:val="5B5D793D"/>
    <w:rsid w:val="5B825172"/>
    <w:rsid w:val="5B8E4BB2"/>
    <w:rsid w:val="5B95101E"/>
    <w:rsid w:val="5BAA3237"/>
    <w:rsid w:val="5BBA2229"/>
    <w:rsid w:val="5BC46FC8"/>
    <w:rsid w:val="5BC91312"/>
    <w:rsid w:val="5BDD6EA5"/>
    <w:rsid w:val="5BDE3B67"/>
    <w:rsid w:val="5C1F62D6"/>
    <w:rsid w:val="5C510CA7"/>
    <w:rsid w:val="5C6C4B26"/>
    <w:rsid w:val="5C6E4D42"/>
    <w:rsid w:val="5C70627F"/>
    <w:rsid w:val="5C78121F"/>
    <w:rsid w:val="5C7E3B46"/>
    <w:rsid w:val="5C8E6AD3"/>
    <w:rsid w:val="5C962A0F"/>
    <w:rsid w:val="5C9C63C8"/>
    <w:rsid w:val="5CA04BF9"/>
    <w:rsid w:val="5CBA15A3"/>
    <w:rsid w:val="5CD82D18"/>
    <w:rsid w:val="5CDC0BDD"/>
    <w:rsid w:val="5CE96DCA"/>
    <w:rsid w:val="5CFB0D0E"/>
    <w:rsid w:val="5D077EF5"/>
    <w:rsid w:val="5D0D570F"/>
    <w:rsid w:val="5D5061F6"/>
    <w:rsid w:val="5D590772"/>
    <w:rsid w:val="5D670BC7"/>
    <w:rsid w:val="5D6F385A"/>
    <w:rsid w:val="5D8E4CA8"/>
    <w:rsid w:val="5DA30921"/>
    <w:rsid w:val="5DB86D54"/>
    <w:rsid w:val="5DBE6255"/>
    <w:rsid w:val="5DCA043A"/>
    <w:rsid w:val="5DDC5EE5"/>
    <w:rsid w:val="5DE06080"/>
    <w:rsid w:val="5DE91DF2"/>
    <w:rsid w:val="5E026B09"/>
    <w:rsid w:val="5E103836"/>
    <w:rsid w:val="5E1C4572"/>
    <w:rsid w:val="5E246A8B"/>
    <w:rsid w:val="5E4B5198"/>
    <w:rsid w:val="5E642265"/>
    <w:rsid w:val="5E8F45BA"/>
    <w:rsid w:val="5EA70CDE"/>
    <w:rsid w:val="5EBE0A06"/>
    <w:rsid w:val="5ECB1CD4"/>
    <w:rsid w:val="5ED50ED8"/>
    <w:rsid w:val="5ED9159B"/>
    <w:rsid w:val="5EF779D7"/>
    <w:rsid w:val="5EFA1803"/>
    <w:rsid w:val="5EFC2014"/>
    <w:rsid w:val="5F0465E4"/>
    <w:rsid w:val="5F1B0A3E"/>
    <w:rsid w:val="5F270BBE"/>
    <w:rsid w:val="5F3B2D6C"/>
    <w:rsid w:val="5F4D0535"/>
    <w:rsid w:val="5F4D6200"/>
    <w:rsid w:val="5F57453E"/>
    <w:rsid w:val="5F5B53F6"/>
    <w:rsid w:val="5F60685A"/>
    <w:rsid w:val="5FA570E4"/>
    <w:rsid w:val="5FC353A5"/>
    <w:rsid w:val="5FDC62ED"/>
    <w:rsid w:val="5FE819D3"/>
    <w:rsid w:val="5FED7100"/>
    <w:rsid w:val="5FF44887"/>
    <w:rsid w:val="5FF91C93"/>
    <w:rsid w:val="604550F9"/>
    <w:rsid w:val="6049085F"/>
    <w:rsid w:val="60554CDC"/>
    <w:rsid w:val="60580311"/>
    <w:rsid w:val="60751E3A"/>
    <w:rsid w:val="60963944"/>
    <w:rsid w:val="60994E7B"/>
    <w:rsid w:val="60DC5B8D"/>
    <w:rsid w:val="60E77EFC"/>
    <w:rsid w:val="60ED27E4"/>
    <w:rsid w:val="611C61A9"/>
    <w:rsid w:val="6143479C"/>
    <w:rsid w:val="619A1950"/>
    <w:rsid w:val="619D4186"/>
    <w:rsid w:val="619F73C4"/>
    <w:rsid w:val="61AE7D97"/>
    <w:rsid w:val="61EE6716"/>
    <w:rsid w:val="61F80AC1"/>
    <w:rsid w:val="62316AA4"/>
    <w:rsid w:val="624A237C"/>
    <w:rsid w:val="62686EAA"/>
    <w:rsid w:val="627D508D"/>
    <w:rsid w:val="62A226C2"/>
    <w:rsid w:val="62C8546B"/>
    <w:rsid w:val="62D813F4"/>
    <w:rsid w:val="62DC4BD7"/>
    <w:rsid w:val="630615B2"/>
    <w:rsid w:val="632073D1"/>
    <w:rsid w:val="6329520B"/>
    <w:rsid w:val="635C5213"/>
    <w:rsid w:val="636D7EBA"/>
    <w:rsid w:val="639064E8"/>
    <w:rsid w:val="63C164A3"/>
    <w:rsid w:val="63CE15FA"/>
    <w:rsid w:val="63DB6EED"/>
    <w:rsid w:val="63EF2296"/>
    <w:rsid w:val="64044E99"/>
    <w:rsid w:val="64051455"/>
    <w:rsid w:val="643F15A9"/>
    <w:rsid w:val="644D1BED"/>
    <w:rsid w:val="64743A57"/>
    <w:rsid w:val="64A81117"/>
    <w:rsid w:val="64B308E0"/>
    <w:rsid w:val="64C32CDA"/>
    <w:rsid w:val="64E85323"/>
    <w:rsid w:val="64E86B5E"/>
    <w:rsid w:val="64EC5266"/>
    <w:rsid w:val="64F751D0"/>
    <w:rsid w:val="65336F33"/>
    <w:rsid w:val="655834E5"/>
    <w:rsid w:val="656717CE"/>
    <w:rsid w:val="65774DE2"/>
    <w:rsid w:val="658F6A2D"/>
    <w:rsid w:val="65A9123D"/>
    <w:rsid w:val="65AF7C90"/>
    <w:rsid w:val="65B124D6"/>
    <w:rsid w:val="65FB194F"/>
    <w:rsid w:val="65FB1F67"/>
    <w:rsid w:val="661208FC"/>
    <w:rsid w:val="661C3008"/>
    <w:rsid w:val="6626043C"/>
    <w:rsid w:val="662D301C"/>
    <w:rsid w:val="664A36D1"/>
    <w:rsid w:val="665A7A13"/>
    <w:rsid w:val="6664740F"/>
    <w:rsid w:val="6665384F"/>
    <w:rsid w:val="66943F9D"/>
    <w:rsid w:val="6695367E"/>
    <w:rsid w:val="66986EFA"/>
    <w:rsid w:val="66B91561"/>
    <w:rsid w:val="66F43DD4"/>
    <w:rsid w:val="66FC4493"/>
    <w:rsid w:val="670C7116"/>
    <w:rsid w:val="673452B8"/>
    <w:rsid w:val="674B7A80"/>
    <w:rsid w:val="674E2FB6"/>
    <w:rsid w:val="675C0C10"/>
    <w:rsid w:val="67B75509"/>
    <w:rsid w:val="67C004EE"/>
    <w:rsid w:val="67CB3049"/>
    <w:rsid w:val="67D8055A"/>
    <w:rsid w:val="67DF5789"/>
    <w:rsid w:val="67E5058E"/>
    <w:rsid w:val="67E553B0"/>
    <w:rsid w:val="67E77246"/>
    <w:rsid w:val="67EF2889"/>
    <w:rsid w:val="67FA4E8C"/>
    <w:rsid w:val="681E1C8A"/>
    <w:rsid w:val="681E74FC"/>
    <w:rsid w:val="6846531F"/>
    <w:rsid w:val="685A18FB"/>
    <w:rsid w:val="687C28DB"/>
    <w:rsid w:val="68907DEF"/>
    <w:rsid w:val="68976136"/>
    <w:rsid w:val="68A0278A"/>
    <w:rsid w:val="68C812E7"/>
    <w:rsid w:val="68CE0B86"/>
    <w:rsid w:val="69082643"/>
    <w:rsid w:val="69256E15"/>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730EA4"/>
    <w:rsid w:val="6AB574DF"/>
    <w:rsid w:val="6AC05FA9"/>
    <w:rsid w:val="6ACC62E0"/>
    <w:rsid w:val="6ACE4105"/>
    <w:rsid w:val="6AD03793"/>
    <w:rsid w:val="6AE608D0"/>
    <w:rsid w:val="6B327AFB"/>
    <w:rsid w:val="6B336006"/>
    <w:rsid w:val="6B467F07"/>
    <w:rsid w:val="6B4904A7"/>
    <w:rsid w:val="6B5E78FE"/>
    <w:rsid w:val="6B622E3D"/>
    <w:rsid w:val="6B880AF2"/>
    <w:rsid w:val="6B94255A"/>
    <w:rsid w:val="6BA554C4"/>
    <w:rsid w:val="6BB06E24"/>
    <w:rsid w:val="6BB211A1"/>
    <w:rsid w:val="6BF71AE5"/>
    <w:rsid w:val="6BFA67A6"/>
    <w:rsid w:val="6C0C2360"/>
    <w:rsid w:val="6C1D733F"/>
    <w:rsid w:val="6C296A44"/>
    <w:rsid w:val="6C2B4C49"/>
    <w:rsid w:val="6C2C23C0"/>
    <w:rsid w:val="6C395525"/>
    <w:rsid w:val="6C54338D"/>
    <w:rsid w:val="6C5F747B"/>
    <w:rsid w:val="6C6643BF"/>
    <w:rsid w:val="6C667726"/>
    <w:rsid w:val="6C745B95"/>
    <w:rsid w:val="6C813704"/>
    <w:rsid w:val="6CCD618B"/>
    <w:rsid w:val="6CD41A5B"/>
    <w:rsid w:val="6CD45481"/>
    <w:rsid w:val="6D0059E8"/>
    <w:rsid w:val="6D0D058A"/>
    <w:rsid w:val="6D155705"/>
    <w:rsid w:val="6D2102DD"/>
    <w:rsid w:val="6D4F5F3E"/>
    <w:rsid w:val="6D654AF0"/>
    <w:rsid w:val="6D672DF1"/>
    <w:rsid w:val="6D702BDA"/>
    <w:rsid w:val="6D7607C6"/>
    <w:rsid w:val="6D7C6B93"/>
    <w:rsid w:val="6D91680B"/>
    <w:rsid w:val="6DB97ACE"/>
    <w:rsid w:val="6DBE61E8"/>
    <w:rsid w:val="6DF45B50"/>
    <w:rsid w:val="6E0237C7"/>
    <w:rsid w:val="6E3C46FC"/>
    <w:rsid w:val="6E487B8A"/>
    <w:rsid w:val="6E62419F"/>
    <w:rsid w:val="6E9D322D"/>
    <w:rsid w:val="6EBB757B"/>
    <w:rsid w:val="6EC519AE"/>
    <w:rsid w:val="6ECA1928"/>
    <w:rsid w:val="6ECC1A86"/>
    <w:rsid w:val="6ED17380"/>
    <w:rsid w:val="6EEE6897"/>
    <w:rsid w:val="6F086931"/>
    <w:rsid w:val="6F175ED7"/>
    <w:rsid w:val="6F1A63C1"/>
    <w:rsid w:val="6F4106F3"/>
    <w:rsid w:val="6F724588"/>
    <w:rsid w:val="6F734606"/>
    <w:rsid w:val="6F812514"/>
    <w:rsid w:val="6F8D5CB6"/>
    <w:rsid w:val="6FA9005F"/>
    <w:rsid w:val="6FC7059A"/>
    <w:rsid w:val="6FC71C5E"/>
    <w:rsid w:val="6FCC43BD"/>
    <w:rsid w:val="6FE657EB"/>
    <w:rsid w:val="6FED00FF"/>
    <w:rsid w:val="6FF84890"/>
    <w:rsid w:val="703226EB"/>
    <w:rsid w:val="704E6956"/>
    <w:rsid w:val="70B71B18"/>
    <w:rsid w:val="70D3169F"/>
    <w:rsid w:val="70DC4E9C"/>
    <w:rsid w:val="711F45B9"/>
    <w:rsid w:val="712802B3"/>
    <w:rsid w:val="713B1222"/>
    <w:rsid w:val="713E7A0B"/>
    <w:rsid w:val="714E63D6"/>
    <w:rsid w:val="71756349"/>
    <w:rsid w:val="71905F74"/>
    <w:rsid w:val="71E33AEE"/>
    <w:rsid w:val="71F71DF5"/>
    <w:rsid w:val="71FC66A6"/>
    <w:rsid w:val="71FD217F"/>
    <w:rsid w:val="720601C5"/>
    <w:rsid w:val="72206BCE"/>
    <w:rsid w:val="722B123D"/>
    <w:rsid w:val="724541FF"/>
    <w:rsid w:val="72842B7E"/>
    <w:rsid w:val="729C6937"/>
    <w:rsid w:val="72AC0994"/>
    <w:rsid w:val="72C20476"/>
    <w:rsid w:val="72D32E9D"/>
    <w:rsid w:val="72D95E85"/>
    <w:rsid w:val="72E7502A"/>
    <w:rsid w:val="73044502"/>
    <w:rsid w:val="730832B1"/>
    <w:rsid w:val="7345735F"/>
    <w:rsid w:val="734E1B56"/>
    <w:rsid w:val="736528CC"/>
    <w:rsid w:val="736D4CD8"/>
    <w:rsid w:val="73A9592E"/>
    <w:rsid w:val="73A960E7"/>
    <w:rsid w:val="73DB7AF6"/>
    <w:rsid w:val="73DE0A03"/>
    <w:rsid w:val="73E96B3C"/>
    <w:rsid w:val="74094D4B"/>
    <w:rsid w:val="740A43A4"/>
    <w:rsid w:val="742A636D"/>
    <w:rsid w:val="74314148"/>
    <w:rsid w:val="744C7E0E"/>
    <w:rsid w:val="745775DE"/>
    <w:rsid w:val="745D758A"/>
    <w:rsid w:val="74695686"/>
    <w:rsid w:val="746C3BCF"/>
    <w:rsid w:val="74726218"/>
    <w:rsid w:val="74813987"/>
    <w:rsid w:val="74AF7B7D"/>
    <w:rsid w:val="74B15097"/>
    <w:rsid w:val="74B174B7"/>
    <w:rsid w:val="74B662A6"/>
    <w:rsid w:val="74C14C55"/>
    <w:rsid w:val="74C730E6"/>
    <w:rsid w:val="74D40C14"/>
    <w:rsid w:val="74F4000B"/>
    <w:rsid w:val="74F53565"/>
    <w:rsid w:val="750C0702"/>
    <w:rsid w:val="7513266F"/>
    <w:rsid w:val="75354D85"/>
    <w:rsid w:val="755E271D"/>
    <w:rsid w:val="756646E4"/>
    <w:rsid w:val="75674CA9"/>
    <w:rsid w:val="758B541D"/>
    <w:rsid w:val="75A152BF"/>
    <w:rsid w:val="75B5699E"/>
    <w:rsid w:val="75EF0431"/>
    <w:rsid w:val="760473CE"/>
    <w:rsid w:val="761D6F02"/>
    <w:rsid w:val="7628317F"/>
    <w:rsid w:val="763846D6"/>
    <w:rsid w:val="765C2A9A"/>
    <w:rsid w:val="76616E2A"/>
    <w:rsid w:val="769470CC"/>
    <w:rsid w:val="76B90DB8"/>
    <w:rsid w:val="770F4A0E"/>
    <w:rsid w:val="771B662C"/>
    <w:rsid w:val="771C23B1"/>
    <w:rsid w:val="772E2BF6"/>
    <w:rsid w:val="774804CC"/>
    <w:rsid w:val="77547927"/>
    <w:rsid w:val="77722EAD"/>
    <w:rsid w:val="777C270F"/>
    <w:rsid w:val="77CF75E3"/>
    <w:rsid w:val="77DD3B92"/>
    <w:rsid w:val="77F12A59"/>
    <w:rsid w:val="780B46B4"/>
    <w:rsid w:val="782021D6"/>
    <w:rsid w:val="782C17E6"/>
    <w:rsid w:val="7831720A"/>
    <w:rsid w:val="784A371B"/>
    <w:rsid w:val="784D0268"/>
    <w:rsid w:val="78720F0B"/>
    <w:rsid w:val="787B6CEB"/>
    <w:rsid w:val="7889250C"/>
    <w:rsid w:val="7895540D"/>
    <w:rsid w:val="789629A1"/>
    <w:rsid w:val="78B47E62"/>
    <w:rsid w:val="78BD3A19"/>
    <w:rsid w:val="78CA743F"/>
    <w:rsid w:val="78FC723E"/>
    <w:rsid w:val="7903576C"/>
    <w:rsid w:val="791059C4"/>
    <w:rsid w:val="79471A66"/>
    <w:rsid w:val="79715F03"/>
    <w:rsid w:val="79832C90"/>
    <w:rsid w:val="79BA09EE"/>
    <w:rsid w:val="79CD40FA"/>
    <w:rsid w:val="7A1376CB"/>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631BC2"/>
    <w:rsid w:val="7BBC0F77"/>
    <w:rsid w:val="7BBF003E"/>
    <w:rsid w:val="7BC86099"/>
    <w:rsid w:val="7BCF61EF"/>
    <w:rsid w:val="7BDE4FC2"/>
    <w:rsid w:val="7C251BB9"/>
    <w:rsid w:val="7C270A47"/>
    <w:rsid w:val="7C526BA2"/>
    <w:rsid w:val="7C9E49BB"/>
    <w:rsid w:val="7CBE33F7"/>
    <w:rsid w:val="7CDE5CED"/>
    <w:rsid w:val="7CE77E19"/>
    <w:rsid w:val="7CFC31CC"/>
    <w:rsid w:val="7D094AC2"/>
    <w:rsid w:val="7D101A03"/>
    <w:rsid w:val="7D277784"/>
    <w:rsid w:val="7D281411"/>
    <w:rsid w:val="7D2D0E92"/>
    <w:rsid w:val="7D2F1335"/>
    <w:rsid w:val="7D5E7AAB"/>
    <w:rsid w:val="7D613541"/>
    <w:rsid w:val="7D623196"/>
    <w:rsid w:val="7D6A383D"/>
    <w:rsid w:val="7D787EF8"/>
    <w:rsid w:val="7DB3008D"/>
    <w:rsid w:val="7DB32A7F"/>
    <w:rsid w:val="7DC3439E"/>
    <w:rsid w:val="7DE435B1"/>
    <w:rsid w:val="7DF123E8"/>
    <w:rsid w:val="7E0064D6"/>
    <w:rsid w:val="7E032F24"/>
    <w:rsid w:val="7E113552"/>
    <w:rsid w:val="7E3D470A"/>
    <w:rsid w:val="7E3E2ED1"/>
    <w:rsid w:val="7E481050"/>
    <w:rsid w:val="7E4F112B"/>
    <w:rsid w:val="7E5132C5"/>
    <w:rsid w:val="7E725143"/>
    <w:rsid w:val="7E7722A2"/>
    <w:rsid w:val="7E895B51"/>
    <w:rsid w:val="7E8D040A"/>
    <w:rsid w:val="7EB75211"/>
    <w:rsid w:val="7ED17784"/>
    <w:rsid w:val="7EDA761A"/>
    <w:rsid w:val="7EFC4E2F"/>
    <w:rsid w:val="7F057C12"/>
    <w:rsid w:val="7F20708C"/>
    <w:rsid w:val="7F2B6298"/>
    <w:rsid w:val="7F413AA5"/>
    <w:rsid w:val="7F4E67C5"/>
    <w:rsid w:val="7F5E3540"/>
    <w:rsid w:val="7F6C5324"/>
    <w:rsid w:val="7F7B4EFD"/>
    <w:rsid w:val="7F8A2AB7"/>
    <w:rsid w:val="7F8C2BED"/>
    <w:rsid w:val="7F8F0454"/>
    <w:rsid w:val="7F9A3DE6"/>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qFormat="1" w:uiPriority="99"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3"/>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qFormat/>
    <w:uiPriority w:val="9"/>
    <w:pPr>
      <w:keepNext/>
      <w:keepLines/>
      <w:spacing w:line="240" w:lineRule="auto"/>
      <w:outlineLvl w:val="1"/>
    </w:pPr>
    <w:rPr>
      <w:rFonts w:ascii="Calibri" w:hAnsi="Calibri" w:cs="黑体"/>
      <w:b/>
      <w:bCs/>
      <w:sz w:val="32"/>
      <w:szCs w:val="32"/>
    </w:rPr>
  </w:style>
  <w:style w:type="paragraph" w:styleId="5">
    <w:name w:val="heading 3"/>
    <w:basedOn w:val="1"/>
    <w:next w:val="1"/>
    <w:qFormat/>
    <w:uiPriority w:val="9"/>
    <w:pPr>
      <w:keepNext/>
      <w:keepLines/>
      <w:spacing w:line="400" w:lineRule="atLeast"/>
      <w:jc w:val="center"/>
      <w:outlineLvl w:val="2"/>
    </w:pPr>
    <w:rPr>
      <w:b/>
      <w:bCs/>
      <w:sz w:val="32"/>
      <w:szCs w:val="32"/>
      <w:u w:val="double"/>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unhideWhenUsed/>
    <w:qFormat/>
    <w:uiPriority w:val="99"/>
    <w:pPr>
      <w:ind w:left="420" w:leftChars="200"/>
    </w:pPr>
  </w:style>
  <w:style w:type="paragraph" w:styleId="7">
    <w:name w:val="Normal Indent"/>
    <w:basedOn w:val="1"/>
    <w:qFormat/>
    <w:uiPriority w:val="99"/>
    <w:pPr>
      <w:ind w:firstLine="420"/>
    </w:pPr>
  </w:style>
  <w:style w:type="paragraph" w:styleId="8">
    <w:name w:val="annotation text"/>
    <w:basedOn w:val="1"/>
    <w:link w:val="47"/>
    <w:qFormat/>
    <w:uiPriority w:val="0"/>
    <w:pPr>
      <w:jc w:val="left"/>
    </w:pPr>
  </w:style>
  <w:style w:type="paragraph" w:styleId="9">
    <w:name w:val="Body Text"/>
    <w:basedOn w:val="1"/>
    <w:next w:val="1"/>
    <w:qFormat/>
    <w:uiPriority w:val="99"/>
    <w:pPr>
      <w:spacing w:after="120"/>
    </w:pPr>
  </w:style>
  <w:style w:type="paragraph" w:styleId="10">
    <w:name w:val="Body Text Indent"/>
    <w:basedOn w:val="1"/>
    <w:qFormat/>
    <w:uiPriority w:val="0"/>
    <w:pPr>
      <w:spacing w:after="120"/>
      <w:ind w:left="420" w:leftChars="200"/>
    </w:pPr>
  </w:style>
  <w:style w:type="paragraph" w:styleId="11">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49"/>
    <w:qFormat/>
    <w:uiPriority w:val="0"/>
    <w:pPr>
      <w:spacing w:line="240" w:lineRule="auto"/>
    </w:pPr>
    <w:rPr>
      <w:sz w:val="18"/>
      <w:szCs w:val="18"/>
    </w:rPr>
  </w:style>
  <w:style w:type="paragraph" w:styleId="14">
    <w:name w:val="footer"/>
    <w:basedOn w:val="1"/>
    <w:qFormat/>
    <w:uiPriority w:val="99"/>
    <w:pPr>
      <w:widowControl w:val="0"/>
      <w:tabs>
        <w:tab w:val="center" w:pos="4153"/>
        <w:tab w:val="right" w:pos="8306"/>
      </w:tabs>
      <w:snapToGrid w:val="0"/>
      <w:spacing w:line="240" w:lineRule="auto"/>
      <w:jc w:val="left"/>
    </w:pPr>
    <w:rPr>
      <w:sz w:val="18"/>
    </w:rPr>
  </w:style>
  <w:style w:type="paragraph" w:styleId="15">
    <w:name w:val="header"/>
    <w:basedOn w:val="1"/>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99"/>
    <w:pPr>
      <w:spacing w:beforeAutospacing="1" w:afterAutospacing="1"/>
      <w:jc w:val="left"/>
    </w:pPr>
    <w:rPr>
      <w:rFonts w:cs="Times New Roman"/>
      <w:kern w:val="0"/>
      <w:sz w:val="24"/>
    </w:rPr>
  </w:style>
  <w:style w:type="paragraph" w:styleId="19">
    <w:name w:val="annotation subject"/>
    <w:basedOn w:val="8"/>
    <w:next w:val="8"/>
    <w:link w:val="48"/>
    <w:qFormat/>
    <w:uiPriority w:val="0"/>
    <w:rPr>
      <w:b/>
      <w:bCs/>
    </w:rPr>
  </w:style>
  <w:style w:type="paragraph" w:styleId="20">
    <w:name w:val="Body Text First Indent"/>
    <w:basedOn w:val="9"/>
    <w:unhideWhenUsed/>
    <w:qFormat/>
    <w:uiPriority w:val="0"/>
    <w:pPr>
      <w:spacing w:line="240" w:lineRule="auto"/>
      <w:ind w:firstLine="420" w:firstLineChars="100"/>
    </w:pPr>
    <w:rPr>
      <w:rFonts w:ascii="Times New Roman" w:hAnsi="Times New Roman"/>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semiHidden/>
    <w:unhideWhenUsed/>
    <w:qFormat/>
    <w:uiPriority w:val="0"/>
    <w:rPr>
      <w:color w:val="800080"/>
      <w:u w:val="none"/>
    </w:rPr>
  </w:style>
  <w:style w:type="character" w:styleId="26">
    <w:name w:val="Emphasis"/>
    <w:basedOn w:val="23"/>
    <w:qFormat/>
    <w:uiPriority w:val="0"/>
    <w:rPr>
      <w:b/>
    </w:rPr>
  </w:style>
  <w:style w:type="character" w:styleId="27">
    <w:name w:val="HTML Definition"/>
    <w:basedOn w:val="23"/>
    <w:semiHidden/>
    <w:unhideWhenUsed/>
    <w:qFormat/>
    <w:uiPriority w:val="0"/>
  </w:style>
  <w:style w:type="character" w:styleId="28">
    <w:name w:val="HTML Typewriter"/>
    <w:basedOn w:val="23"/>
    <w:semiHidden/>
    <w:unhideWhenUsed/>
    <w:qFormat/>
    <w:uiPriority w:val="0"/>
    <w:rPr>
      <w:rFonts w:ascii="monospace" w:hAnsi="monospace" w:eastAsia="monospace" w:cs="monospace"/>
      <w:sz w:val="20"/>
    </w:rPr>
  </w:style>
  <w:style w:type="character" w:styleId="29">
    <w:name w:val="HTML Acronym"/>
    <w:basedOn w:val="23"/>
    <w:semiHidden/>
    <w:unhideWhenUsed/>
    <w:qFormat/>
    <w:uiPriority w:val="0"/>
  </w:style>
  <w:style w:type="character" w:styleId="30">
    <w:name w:val="HTML Variable"/>
    <w:basedOn w:val="23"/>
    <w:semiHidden/>
    <w:unhideWhenUsed/>
    <w:qFormat/>
    <w:uiPriority w:val="0"/>
  </w:style>
  <w:style w:type="character" w:styleId="31">
    <w:name w:val="Hyperlink"/>
    <w:qFormat/>
    <w:uiPriority w:val="99"/>
    <w:rPr>
      <w:color w:val="000000"/>
      <w:sz w:val="18"/>
      <w:szCs w:val="18"/>
      <w:u w:val="none"/>
    </w:rPr>
  </w:style>
  <w:style w:type="character" w:styleId="32">
    <w:name w:val="HTML Code"/>
    <w:basedOn w:val="23"/>
    <w:semiHidden/>
    <w:unhideWhenUsed/>
    <w:qFormat/>
    <w:uiPriority w:val="0"/>
    <w:rPr>
      <w:rFonts w:hint="default" w:ascii="monospace" w:hAnsi="monospace" w:eastAsia="monospace" w:cs="monospace"/>
      <w:sz w:val="20"/>
    </w:rPr>
  </w:style>
  <w:style w:type="character" w:styleId="33">
    <w:name w:val="annotation reference"/>
    <w:basedOn w:val="23"/>
    <w:qFormat/>
    <w:uiPriority w:val="0"/>
    <w:rPr>
      <w:sz w:val="21"/>
      <w:szCs w:val="21"/>
    </w:rPr>
  </w:style>
  <w:style w:type="character" w:styleId="34">
    <w:name w:val="HTML Cite"/>
    <w:basedOn w:val="23"/>
    <w:semiHidden/>
    <w:unhideWhenUsed/>
    <w:qFormat/>
    <w:uiPriority w:val="0"/>
  </w:style>
  <w:style w:type="character" w:styleId="35">
    <w:name w:val="HTML Keyboard"/>
    <w:basedOn w:val="23"/>
    <w:semiHidden/>
    <w:unhideWhenUsed/>
    <w:qFormat/>
    <w:uiPriority w:val="0"/>
    <w:rPr>
      <w:rFonts w:hint="default" w:ascii="monospace" w:hAnsi="monospace" w:eastAsia="monospace" w:cs="monospace"/>
      <w:sz w:val="18"/>
      <w:szCs w:val="18"/>
      <w:bdr w:val="single" w:color="D2D2D2" w:sz="2" w:space="0"/>
    </w:rPr>
  </w:style>
  <w:style w:type="character" w:styleId="36">
    <w:name w:val="HTML Sample"/>
    <w:basedOn w:val="23"/>
    <w:semiHidden/>
    <w:unhideWhenUsed/>
    <w:qFormat/>
    <w:uiPriority w:val="0"/>
    <w:rPr>
      <w:rFonts w:hint="default" w:ascii="monospace" w:hAnsi="monospace" w:eastAsia="monospace" w:cs="monospace"/>
    </w:rPr>
  </w:style>
  <w:style w:type="paragraph" w:customStyle="1" w:styleId="37">
    <w:name w:val="正文缩进1"/>
    <w:basedOn w:val="1"/>
    <w:qFormat/>
    <w:uiPriority w:val="0"/>
    <w:pPr>
      <w:ind w:firstLine="420" w:firstLineChars="200"/>
    </w:pPr>
  </w:style>
  <w:style w:type="paragraph" w:customStyle="1" w:styleId="38">
    <w:name w:val="正文（缩进 2 字符）"/>
    <w:basedOn w:val="1"/>
    <w:qFormat/>
    <w:uiPriority w:val="0"/>
    <w:pPr>
      <w:ind w:firstLine="200" w:firstLineChars="200"/>
    </w:pPr>
  </w:style>
  <w:style w:type="paragraph" w:customStyle="1" w:styleId="39">
    <w:name w:val="正文（缩进 4 字符）"/>
    <w:basedOn w:val="1"/>
    <w:qFormat/>
    <w:uiPriority w:val="0"/>
    <w:pPr>
      <w:ind w:firstLine="1134" w:firstLineChars="400"/>
    </w:pPr>
  </w:style>
  <w:style w:type="paragraph" w:customStyle="1" w:styleId="40">
    <w:name w:val="列出段落1"/>
    <w:basedOn w:val="1"/>
    <w:qFormat/>
    <w:uiPriority w:val="99"/>
    <w:pPr>
      <w:ind w:firstLine="420" w:firstLineChars="200"/>
    </w:pPr>
  </w:style>
  <w:style w:type="paragraph" w:customStyle="1" w:styleId="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标题 2（投标文件）"/>
    <w:basedOn w:val="4"/>
    <w:qFormat/>
    <w:uiPriority w:val="0"/>
    <w:pPr>
      <w:jc w:val="center"/>
    </w:pPr>
  </w:style>
  <w:style w:type="character" w:customStyle="1" w:styleId="43">
    <w:name w:val="标题 1 字符"/>
    <w:link w:val="3"/>
    <w:qFormat/>
    <w:uiPriority w:val="9"/>
    <w:rPr>
      <w:rFonts w:eastAsia="仿宋"/>
      <w:b/>
      <w:color w:val="000000"/>
      <w:kern w:val="44"/>
      <w:sz w:val="36"/>
      <w:szCs w:val="44"/>
    </w:rPr>
  </w:style>
  <w:style w:type="paragraph" w:customStyle="1" w:styleId="44">
    <w:name w:val="标题 3（投标文件）"/>
    <w:basedOn w:val="5"/>
    <w:qFormat/>
    <w:uiPriority w:val="0"/>
    <w:pPr>
      <w:jc w:val="left"/>
    </w:pPr>
    <w:rPr>
      <w:u w:val="none"/>
    </w:rPr>
  </w:style>
  <w:style w:type="character" w:customStyle="1" w:styleId="45">
    <w:name w:val="font21"/>
    <w:basedOn w:val="23"/>
    <w:qFormat/>
    <w:uiPriority w:val="0"/>
    <w:rPr>
      <w:rFonts w:hint="default" w:ascii="Tahoma" w:hAnsi="Tahoma" w:eastAsia="Tahoma" w:cs="Tahoma"/>
      <w:color w:val="000000"/>
      <w:sz w:val="22"/>
      <w:szCs w:val="22"/>
      <w:u w:val="none"/>
    </w:rPr>
  </w:style>
  <w:style w:type="character" w:customStyle="1" w:styleId="46">
    <w:name w:val="font01"/>
    <w:basedOn w:val="23"/>
    <w:qFormat/>
    <w:uiPriority w:val="0"/>
    <w:rPr>
      <w:rFonts w:hint="eastAsia" w:ascii="宋体" w:hAnsi="宋体" w:eastAsia="宋体" w:cs="宋体"/>
      <w:color w:val="000000"/>
      <w:sz w:val="22"/>
      <w:szCs w:val="22"/>
      <w:u w:val="none"/>
    </w:rPr>
  </w:style>
  <w:style w:type="character" w:customStyle="1" w:styleId="47">
    <w:name w:val="批注文字 字符"/>
    <w:basedOn w:val="23"/>
    <w:link w:val="8"/>
    <w:qFormat/>
    <w:uiPriority w:val="0"/>
    <w:rPr>
      <w:rFonts w:ascii="Calibri Light" w:hAnsi="Calibri Light" w:eastAsia="华文仿宋" w:cs="Calibri Light"/>
      <w:kern w:val="2"/>
      <w:sz w:val="28"/>
      <w:szCs w:val="28"/>
    </w:rPr>
  </w:style>
  <w:style w:type="character" w:customStyle="1" w:styleId="48">
    <w:name w:val="批注主题 字符"/>
    <w:basedOn w:val="47"/>
    <w:link w:val="19"/>
    <w:qFormat/>
    <w:uiPriority w:val="0"/>
    <w:rPr>
      <w:rFonts w:ascii="Calibri Light" w:hAnsi="Calibri Light" w:eastAsia="华文仿宋" w:cs="Calibri Light"/>
      <w:b/>
      <w:bCs/>
      <w:kern w:val="2"/>
      <w:sz w:val="28"/>
      <w:szCs w:val="28"/>
    </w:rPr>
  </w:style>
  <w:style w:type="character" w:customStyle="1" w:styleId="49">
    <w:name w:val="批注框文本 字符"/>
    <w:basedOn w:val="23"/>
    <w:link w:val="13"/>
    <w:qFormat/>
    <w:uiPriority w:val="0"/>
    <w:rPr>
      <w:rFonts w:ascii="Calibri Light" w:hAnsi="Calibri Light" w:eastAsia="华文仿宋" w:cs="Calibri Light"/>
      <w:kern w:val="2"/>
      <w:sz w:val="18"/>
      <w:szCs w:val="18"/>
    </w:rPr>
  </w:style>
  <w:style w:type="paragraph" w:customStyle="1" w:styleId="50">
    <w:name w:val="文档正文"/>
    <w:basedOn w:val="1"/>
    <w:qFormat/>
    <w:uiPriority w:val="99"/>
    <w:pPr>
      <w:adjustRightInd w:val="0"/>
      <w:spacing w:line="480" w:lineRule="atLeast"/>
      <w:ind w:firstLine="567" w:firstLineChars="200"/>
      <w:textAlignment w:val="baseline"/>
    </w:pPr>
    <w:rPr>
      <w:rFonts w:ascii="长城仿宋"/>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24335</Words>
  <Characters>25936</Characters>
  <Lines>245</Lines>
  <Paragraphs>68</Paragraphs>
  <TotalTime>28</TotalTime>
  <ScaleCrop>false</ScaleCrop>
  <LinksUpToDate>false</LinksUpToDate>
  <CharactersWithSpaces>26691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lenovo</cp:lastModifiedBy>
  <cp:lastPrinted>2023-07-05T03:12:00Z</cp:lastPrinted>
  <dcterms:modified xsi:type="dcterms:W3CDTF">2023-07-10T07:42:47Z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C1863EAD3B154342B8010F7CF7AB9BA7</vt:lpwstr>
  </property>
</Properties>
</file>