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bookmarkStart w:id="442" w:name="_GoBack"/>
      <w:bookmarkEnd w:id="442"/>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9"/>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非专门面向中小企业采购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汉中职业技术学院学生公寓安防及广播系统提升改造采购项目</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汉采HW【2023】23号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2"/>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7</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10</w:t>
      </w:r>
      <w:r>
        <w:rPr>
          <w:rFonts w:hint="eastAsia" w:ascii="仿宋_GB2312" w:hAnsi="仿宋_GB2312" w:eastAsia="仿宋_GB2312" w:cs="仿宋_GB2312"/>
          <w:b w:val="0"/>
          <w:bCs w:val="0"/>
          <w:color w:val="auto"/>
          <w:sz w:val="44"/>
          <w:szCs w:val="44"/>
        </w:rPr>
        <w:t>日</w:t>
      </w:r>
      <w:bookmarkStart w:id="0" w:name="_Toc10222_WPSOffice_Level1"/>
      <w:bookmarkStart w:id="1" w:name="_Toc30102_WPSOffice_Level1"/>
      <w:bookmarkStart w:id="2" w:name="_Toc30340_WPSOffice_Level1"/>
    </w:p>
    <w:p>
      <w:pPr>
        <w:pStyle w:val="2"/>
        <w:rPr>
          <w:rFonts w:hint="eastAsia"/>
          <w:color w:val="auto"/>
        </w:rPr>
      </w:pPr>
    </w:p>
    <w:p>
      <w:pPr>
        <w:pStyle w:val="16"/>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4"/>
        <w:rPr>
          <w:color w:val="auto"/>
          <w:highlight w:val="yellow"/>
        </w:rPr>
      </w:pP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41</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44</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47</w:t>
      </w:r>
      <w:r>
        <w:rPr>
          <w:rFonts w:hint="eastAsia" w:ascii="仿宋_GB2312" w:hAnsi="仿宋_GB2312" w:eastAsia="仿宋_GB2312" w:cs="仿宋_GB2312"/>
          <w:color w:val="auto"/>
          <w:sz w:val="32"/>
          <w:szCs w:val="32"/>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54</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4"/>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4"/>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5655"/>
      <w:bookmarkStart w:id="4" w:name="_Toc21489"/>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汉中职业技术学院学生公寓安防及广播系统提升改造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7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27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28359089"/>
      <w:bookmarkStart w:id="8" w:name="_Toc35393798"/>
      <w:bookmarkStart w:id="9" w:name="_Toc28840"/>
      <w:bookmarkStart w:id="10" w:name="_Toc28359012"/>
      <w:bookmarkStart w:id="11" w:name="_Toc35393629"/>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HW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汉中职业技术学院学生公寓安防及广播系统提升改造采购项目</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383000元</w:t>
      </w:r>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POE半球摄像机259台等（详见第三章）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签订合同后20天内。</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35393799"/>
      <w:bookmarkStart w:id="13" w:name="_Toc28359090"/>
      <w:bookmarkStart w:id="14" w:name="_Toc3608"/>
      <w:bookmarkStart w:id="15" w:name="_Toc35393630"/>
      <w:bookmarkStart w:id="16" w:name="_Toc28359013"/>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29259"/>
      <w:bookmarkStart w:id="20" w:name="_Toc35393631"/>
      <w:bookmarkStart w:id="21" w:name="_Toc35393800"/>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7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11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7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17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28359015"/>
      <w:bookmarkStart w:id="23" w:name="_Toc859"/>
      <w:bookmarkStart w:id="24" w:name="_Toc35393801"/>
      <w:bookmarkStart w:id="25" w:name="_Toc35393632"/>
      <w:bookmarkStart w:id="26" w:name="_Toc28359092"/>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7</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27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5393633"/>
      <w:bookmarkStart w:id="28" w:name="_Toc35393802"/>
      <w:bookmarkStart w:id="29" w:name="_Toc32165"/>
      <w:bookmarkStart w:id="30" w:name="_Toc28359016"/>
      <w:bookmarkStart w:id="31" w:name="_Toc28359093"/>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7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27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803"/>
      <w:bookmarkStart w:id="33" w:name="_Toc28359017"/>
      <w:bookmarkStart w:id="34" w:name="_Toc28359094"/>
      <w:bookmarkStart w:id="35" w:name="_Toc4869"/>
      <w:bookmarkStart w:id="36" w:name="_Toc35393634"/>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35393635"/>
      <w:bookmarkStart w:id="38" w:name="_Toc24605"/>
      <w:bookmarkStart w:id="39" w:name="_Toc35393804"/>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35393636"/>
      <w:bookmarkStart w:id="41" w:name="_Toc28359095"/>
      <w:bookmarkStart w:id="42" w:name="_Toc28359018"/>
      <w:bookmarkStart w:id="43" w:name="_Toc17247"/>
      <w:bookmarkStart w:id="44" w:name="_Toc35393805"/>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9063"/>
      <w:bookmarkStart w:id="46" w:name="_Toc35393637"/>
      <w:bookmarkStart w:id="47" w:name="_Toc28359096"/>
      <w:bookmarkStart w:id="48" w:name="_Toc35393806"/>
      <w:bookmarkStart w:id="49" w:name="_Toc28359019"/>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bookmarkStart w:id="50" w:name="_Toc35393807"/>
      <w:bookmarkStart w:id="51" w:name="_Toc28359020"/>
      <w:bookmarkStart w:id="52" w:name="_Toc28359097"/>
      <w:bookmarkStart w:id="53" w:name="_Toc35393638"/>
      <w:r>
        <w:rPr>
          <w:rFonts w:hint="eastAsia" w:ascii="仿宋_GB2312" w:hAnsi="仿宋_GB2312" w:eastAsia="仿宋_GB2312" w:cs="仿宋_GB2312"/>
          <w:color w:val="auto"/>
          <w:sz w:val="28"/>
          <w:szCs w:val="28"/>
          <w:u w:val="none"/>
        </w:rPr>
        <w:t>名</w:t>
      </w:r>
      <w:r>
        <w:rPr>
          <w:rFonts w:hint="eastAsia" w:ascii="仿宋_GB2312" w:hAnsi="仿宋_GB2312" w:eastAsia="仿宋_GB2312" w:cs="仿宋_GB2312"/>
          <w:color w:val="auto"/>
          <w:sz w:val="28"/>
          <w:szCs w:val="28"/>
          <w:u w:val="none"/>
          <w:lang w:val="en-US" w:eastAsia="zh-CN"/>
        </w:rPr>
        <w:t xml:space="preserve">    称：</w:t>
      </w:r>
      <w:r>
        <w:rPr>
          <w:rFonts w:hint="eastAsia" w:ascii="仿宋_GB2312" w:hAnsi="仿宋_GB2312" w:eastAsia="仿宋_GB2312" w:cs="仿宋_GB2312"/>
          <w:color w:val="auto"/>
          <w:sz w:val="28"/>
          <w:szCs w:val="28"/>
          <w:u w:val="single"/>
          <w:lang w:val="en-US" w:eastAsia="zh-CN"/>
        </w:rPr>
        <w:t>　汉中职业技术学院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地    址：</w:t>
      </w:r>
      <w:r>
        <w:rPr>
          <w:rFonts w:hint="eastAsia" w:ascii="仿宋_GB2312" w:hAnsi="仿宋_GB2312" w:eastAsia="仿宋_GB2312" w:cs="仿宋_GB2312"/>
          <w:color w:val="auto"/>
          <w:sz w:val="28"/>
          <w:szCs w:val="28"/>
          <w:u w:val="single"/>
          <w:lang w:val="en-US" w:eastAsia="zh-CN"/>
        </w:rPr>
        <w:t>　汉中市汉台区宗营镇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13369236966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35393639"/>
      <w:bookmarkStart w:id="56" w:name="_Toc6426"/>
      <w:bookmarkStart w:id="57" w:name="_Toc28359021"/>
      <w:bookmarkStart w:id="58" w:name="_Toc35393808"/>
      <w:bookmarkStart w:id="59" w:name="_Toc28359098"/>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11"/>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4"/>
        <w:rPr>
          <w:rFonts w:ascii="黑体" w:hAnsi="黑体" w:eastAsia="黑体"/>
          <w:color w:val="auto"/>
          <w:sz w:val="32"/>
          <w:szCs w:val="32"/>
        </w:rPr>
      </w:pPr>
      <w:r>
        <w:rPr>
          <w:color w:val="auto"/>
          <w:sz w:val="28"/>
          <w:szCs w:val="28"/>
        </w:rPr>
        <w:br w:type="page"/>
      </w:r>
      <w:bookmarkStart w:id="60" w:name="_Toc22804_WPSOffice_Level1"/>
      <w:bookmarkStart w:id="61" w:name="_Toc9601"/>
      <w:bookmarkStart w:id="62" w:name="_Toc495014648"/>
      <w:bookmarkStart w:id="63" w:name="_Toc10140"/>
      <w:bookmarkStart w:id="64" w:name="_Toc495014610"/>
      <w:bookmarkStart w:id="65" w:name="_Toc495014584"/>
      <w:bookmarkStart w:id="66" w:name="_Toc445306492"/>
      <w:bookmarkStart w:id="67" w:name="_Toc19337_WPSOffice_Level1"/>
      <w:bookmarkStart w:id="68" w:name="_Toc495012820"/>
      <w:bookmarkStart w:id="69" w:name="_Toc495014919"/>
      <w:bookmarkStart w:id="70" w:name="_Toc4326"/>
      <w:bookmarkStart w:id="71" w:name="_Toc495012770"/>
      <w:bookmarkStart w:id="72" w:name="_Toc495014953"/>
      <w:bookmarkStart w:id="73" w:name="_Toc15046_WPSOffice_Level1"/>
      <w:bookmarkStart w:id="74" w:name="_Toc7814"/>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3858_WPSOffice_Level2"/>
      <w:bookmarkStart w:id="76" w:name="_Toc12337"/>
      <w:bookmarkStart w:id="77" w:name="_Toc24451_WPSOffice_Level2"/>
      <w:bookmarkStart w:id="78" w:name="_Toc16238"/>
      <w:bookmarkStart w:id="79" w:name="_Toc3062"/>
      <w:bookmarkStart w:id="80" w:name="_Toc23184"/>
      <w:bookmarkStart w:id="81" w:name="_Toc18466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汉中职业技术学院</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5"/>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20906_WPSOffice_Level2"/>
      <w:bookmarkStart w:id="87" w:name="_Toc24646"/>
      <w:bookmarkStart w:id="88" w:name="_Toc27278_WPSOffice_Level2"/>
      <w:bookmarkStart w:id="89" w:name="_Toc11745_WPSOffice_Level2"/>
      <w:bookmarkStart w:id="90" w:name="_Toc9291"/>
      <w:bookmarkStart w:id="91" w:name="_Toc4606"/>
      <w:bookmarkStart w:id="92" w:name="_Toc13654"/>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6982_WPSOffice_Level3"/>
      <w:bookmarkStart w:id="94" w:name="_Toc21291"/>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本项目价格扣除比例为：</w:t>
      </w:r>
      <w:r>
        <w:rPr>
          <w:rFonts w:hint="eastAsia" w:ascii="仿宋_GB2312" w:hAnsi="仿宋_GB2312" w:eastAsia="仿宋_GB2312" w:cs="仿宋_GB2312"/>
          <w:b/>
          <w:bCs/>
          <w:color w:val="auto"/>
          <w:sz w:val="28"/>
          <w:szCs w:val="28"/>
          <w:u w:val="single"/>
        </w:rPr>
        <w:t xml:space="preserve">  10%  </w:t>
      </w:r>
      <w:r>
        <w:rPr>
          <w:rFonts w:hint="eastAsia" w:ascii="仿宋_GB2312" w:hAnsi="仿宋_GB2312" w:eastAsia="仿宋_GB2312" w:cs="仿宋_GB2312"/>
          <w:b/>
          <w:bCs/>
          <w:color w:val="auto"/>
          <w:sz w:val="28"/>
          <w:szCs w:val="28"/>
        </w:rPr>
        <w:t>；本项目采购标的对应的中小企业划分标准所属行业为：工业。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授予中小企业政府采购合同预付款比例不得低于合同价款的40%。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p>
      <w:pPr>
        <w:spacing w:line="500" w:lineRule="exact"/>
        <w:ind w:firstLine="566" w:firstLineChars="200"/>
        <w:contextualSpacing/>
        <w:rPr>
          <w:rFonts w:hint="eastAsia" w:ascii="仿宋" w:hAnsi="仿宋" w:eastAsia="仿宋"/>
          <w:b/>
          <w:bCs/>
        </w:rPr>
      </w:pPr>
      <w:r>
        <w:rPr>
          <w:rFonts w:hint="eastAsia" w:ascii="华文仿宋" w:hAnsi="华文仿宋" w:cs="华文仿宋"/>
          <w:b/>
          <w:lang w:val="en-US" w:eastAsia="zh-CN"/>
        </w:rPr>
        <w:t>（五）关于同一品牌产品的处理</w:t>
      </w:r>
      <w:r>
        <w:rPr>
          <w:rFonts w:hint="eastAsia" w:ascii="仿宋" w:hAnsi="仿宋" w:eastAsia="仿宋"/>
          <w:b/>
          <w:bCs/>
          <w:lang w:val="en-US" w:eastAsia="zh-CN"/>
        </w:rPr>
        <w:t xml:space="preserve"> </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1、提供相同品牌产品且通过资格审查、符合性审查的不同响应人参加同一合同项下磋商的，按一家响应人计算，评审后得分最高的同品牌响应人获得成交人推荐资格；评审得分相同的，由磋商小组按照报价最低的方式确定一个响应人获得成交人推荐资格，其他同品牌响应人不作为成交候选人。</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2、非单一产品采购项目，采购人将根据采购项目技术构成、产品价格比重等合理确定核心产品，并在磋商文件中载明。多家响应人提供的核心产品品牌相同的，按前款规定处理。</w:t>
      </w:r>
    </w:p>
    <w:p>
      <w:pPr>
        <w:spacing w:line="500" w:lineRule="exact"/>
        <w:ind w:firstLine="566" w:firstLineChars="200"/>
        <w:contextualSpacing/>
        <w:rPr>
          <w:rFonts w:hint="eastAsia" w:ascii="华文仿宋" w:hAnsi="华文仿宋" w:cs="华文仿宋"/>
          <w:b w:val="0"/>
          <w:bCs/>
          <w:lang w:val="en-US" w:eastAsia="zh-CN"/>
        </w:rPr>
      </w:pPr>
      <w:r>
        <w:rPr>
          <w:rFonts w:hint="eastAsia" w:ascii="华文仿宋" w:hAnsi="华文仿宋" w:cs="华文仿宋"/>
          <w:b w:val="0"/>
          <w:bCs/>
          <w:lang w:val="en-US" w:eastAsia="zh-CN"/>
        </w:rPr>
        <w:t>3、核心产品为两个及以上时，多家供应商提供的核心产品中任意一个采用相同品牌的，按一家供应商计算。</w:t>
      </w:r>
    </w:p>
    <w:bookmarkEnd w:id="98"/>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3130"/>
      <w:bookmarkStart w:id="100" w:name="_Toc30436"/>
      <w:bookmarkStart w:id="101" w:name="_Toc10768_WPSOffice_Level2"/>
      <w:bookmarkStart w:id="102" w:name="_Toc8798_WPSOffice_Level2"/>
      <w:bookmarkStart w:id="103" w:name="_Toc17868_WPSOffice_Level2"/>
      <w:bookmarkStart w:id="104" w:name="_Toc2960"/>
      <w:bookmarkStart w:id="105" w:name="_Toc9976"/>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2"/>
          <w:rFonts w:hint="eastAsia" w:ascii="仿宋_GB2312" w:hAnsi="仿宋_GB2312" w:eastAsia="仿宋_GB2312" w:cs="仿宋_GB2312"/>
          <w:color w:val="auto"/>
          <w:sz w:val="28"/>
          <w:szCs w:val="28"/>
        </w:rPr>
        <w:t>陕西省政府采购网</w:t>
      </w:r>
      <w:r>
        <w:rPr>
          <w:rStyle w:val="32"/>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3559"/>
      <w:bookmarkStart w:id="111" w:name="_Toc30415"/>
      <w:bookmarkStart w:id="112" w:name="_Toc30095"/>
      <w:bookmarkStart w:id="113" w:name="_Toc22501_WPSOffice_Level2"/>
      <w:bookmarkStart w:id="114" w:name="_Toc20873_WPSOffice_Level2"/>
      <w:bookmarkStart w:id="115" w:name="_Toc19768_WPSOffice_Level2"/>
      <w:bookmarkStart w:id="116" w:name="_Toc13064"/>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14959_WPSOffice_Level2"/>
      <w:bookmarkStart w:id="118" w:name="_Toc12154"/>
      <w:bookmarkStart w:id="119" w:name="_Toc14979"/>
      <w:bookmarkStart w:id="120" w:name="_Toc11009"/>
      <w:bookmarkStart w:id="121" w:name="_Toc20041_WPSOffice_Level2"/>
      <w:bookmarkStart w:id="122" w:name="_Toc29669_WPSOffice_Level2"/>
      <w:bookmarkStart w:id="123" w:name="_Toc666"/>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30535_WPSOffice_Level2"/>
      <w:bookmarkStart w:id="125" w:name="_Toc18733_WPSOffice_Level2"/>
      <w:bookmarkStart w:id="126" w:name="_Toc7898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1164"/>
      <w:bookmarkStart w:id="129" w:name="_Toc18427_WPSOffice_Level3"/>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15608"/>
      <w:bookmarkStart w:id="131" w:name="_Toc24468"/>
      <w:bookmarkStart w:id="132" w:name="_Toc6095"/>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8003"/>
      <w:bookmarkStart w:id="134" w:name="_Toc28054"/>
      <w:bookmarkStart w:id="135" w:name="_Toc6837"/>
      <w:bookmarkStart w:id="136" w:name="_Toc7022"/>
      <w:bookmarkStart w:id="137" w:name="_Toc595"/>
      <w:bookmarkStart w:id="138" w:name="_Toc10744"/>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2"/>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2"/>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31720"/>
      <w:bookmarkStart w:id="141" w:name="_Toc8460"/>
      <w:bookmarkStart w:id="142" w:name="_Toc8349"/>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8"/>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8"/>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8"/>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2"/>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pStyle w:val="38"/>
        <w:ind w:left="0" w:leftChars="0" w:firstLine="0" w:firstLineChars="0"/>
        <w:rPr>
          <w:rFonts w:ascii="Calibri" w:hAnsi="Calibri"/>
          <w:b/>
          <w:bCs/>
          <w:color w:val="auto"/>
          <w:sz w:val="28"/>
          <w:szCs w:val="28"/>
        </w:rPr>
      </w:pPr>
    </w:p>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2"/>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4"/>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20"/>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27797"/>
      <w:bookmarkStart w:id="150" w:name="_Toc9626"/>
      <w:bookmarkStart w:id="151" w:name="_Toc27187"/>
      <w:bookmarkStart w:id="152" w:name="_Toc2392"/>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2"/>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0"/>
        <w:gridCol w:w="826"/>
        <w:gridCol w:w="787"/>
        <w:gridCol w:w="48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631" w:type="dxa"/>
            <w:gridSpan w:val="2"/>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项别</w:t>
            </w:r>
          </w:p>
        </w:tc>
        <w:tc>
          <w:tcPr>
            <w:tcW w:w="1613" w:type="dxa"/>
            <w:gridSpan w:val="2"/>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w:t>
            </w:r>
          </w:p>
        </w:tc>
        <w:tc>
          <w:tcPr>
            <w:tcW w:w="4840" w:type="dxa"/>
            <w:vMerge w:val="restart"/>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评审要素</w:t>
            </w:r>
          </w:p>
        </w:tc>
        <w:tc>
          <w:tcPr>
            <w:tcW w:w="1323" w:type="dxa"/>
            <w:vMerge w:val="restart"/>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1"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840" w:type="dxa"/>
            <w:vAlign w:val="center"/>
          </w:tcPr>
          <w:p>
            <w:pPr>
              <w:keepNext w:val="0"/>
              <w:keepLines w:val="0"/>
              <w:pageBreakBefore w:val="0"/>
              <w:widowControl/>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总分值100</w:t>
            </w: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分项最高分值</w:t>
            </w:r>
          </w:p>
        </w:tc>
        <w:tc>
          <w:tcPr>
            <w:tcW w:w="4840"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p>
        </w:tc>
        <w:tc>
          <w:tcPr>
            <w:tcW w:w="1323"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791" w:type="dxa"/>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840"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826" w:type="dxa"/>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4840" w:type="dxa"/>
          </w:tcPr>
          <w:p>
            <w:pPr>
              <w:keepNext w:val="0"/>
              <w:keepLines w:val="0"/>
              <w:pageBreakBefore w:val="0"/>
              <w:widowControl/>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有效供应商最低报价为基准价得</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分，其他各供应商的报价得分按下列公式计算：</w:t>
            </w:r>
          </w:p>
          <w:p>
            <w:pPr>
              <w:keepNext w:val="0"/>
              <w:keepLines w:val="0"/>
              <w:pageBreakBefore w:val="0"/>
              <w:widowControl/>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（基准价/磋商报价）×</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0</w:t>
            </w:r>
            <w:r>
              <w:rPr>
                <w:rFonts w:hint="eastAsia" w:ascii="仿宋_GB2312" w:hAnsi="仿宋_GB2312" w:eastAsia="仿宋_GB2312" w:cs="仿宋_GB2312"/>
                <w:b/>
                <w:bCs/>
                <w:sz w:val="28"/>
                <w:szCs w:val="28"/>
                <w:lang w:eastAsia="zh-CN"/>
              </w:rPr>
              <w:t>。</w:t>
            </w:r>
          </w:p>
        </w:tc>
        <w:tc>
          <w:tcPr>
            <w:tcW w:w="1323" w:type="dxa"/>
          </w:tcPr>
          <w:p>
            <w:pPr>
              <w:keepNext w:val="0"/>
              <w:keepLines w:val="0"/>
              <w:pageBreakBefore w:val="0"/>
              <w:widowControl/>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791" w:type="dxa"/>
            <w:vMerge w:val="restart"/>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技术</w:t>
            </w:r>
          </w:p>
        </w:tc>
        <w:tc>
          <w:tcPr>
            <w:tcW w:w="840" w:type="dxa"/>
            <w:vMerge w:val="restart"/>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技术参数响应</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p>
        </w:tc>
        <w:tc>
          <w:tcPr>
            <w:tcW w:w="4840"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根据响应人所报产品技术参数进行综合打分：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完全符合第三章要求，得基础分30分；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技术参数优于第三章要求的，每条加1分，最多加5分。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技术参数出现负偏离的，每条扣1分，扣完为止。</w:t>
            </w:r>
          </w:p>
        </w:tc>
        <w:tc>
          <w:tcPr>
            <w:tcW w:w="1323" w:type="dxa"/>
            <w:vMerge w:val="restart"/>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技术分不得赋满分。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91"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组织机构</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48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提供拟派实施本项目人员名单，明确组织分工与职责，</w:t>
            </w:r>
            <w:r>
              <w:rPr>
                <w:rFonts w:hint="eastAsia" w:ascii="仿宋_GB2312" w:hAnsi="仿宋_GB2312" w:eastAsia="仿宋_GB2312" w:cs="仿宋_GB2312"/>
                <w:sz w:val="28"/>
                <w:szCs w:val="28"/>
              </w:rPr>
              <w:t>对人员构成及管理情况</w:t>
            </w:r>
            <w:r>
              <w:rPr>
                <w:rFonts w:hint="eastAsia" w:ascii="仿宋_GB2312" w:hAnsi="仿宋_GB2312" w:eastAsia="仿宋_GB2312" w:cs="仿宋_GB2312"/>
                <w:sz w:val="28"/>
                <w:szCs w:val="28"/>
                <w:lang w:val="en-US" w:eastAsia="zh-CN"/>
              </w:rPr>
              <w:t>进行综合打分</w:t>
            </w:r>
            <w:r>
              <w:rPr>
                <w:rFonts w:hint="eastAsia" w:ascii="仿宋_GB2312" w:hAnsi="仿宋_GB2312" w:eastAsia="仿宋_GB2312" w:cs="仿宋_GB2312"/>
                <w:sz w:val="28"/>
                <w:szCs w:val="28"/>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1、项目负责人及相关的技术人员组成情况；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0-2分</w:t>
            </w:r>
            <w:r>
              <w:rPr>
                <w:rFonts w:hint="eastAsia" w:ascii="仿宋_GB2312" w:hAnsi="仿宋_GB2312" w:eastAsia="仿宋_GB2312" w:cs="仿宋_GB2312"/>
                <w:sz w:val="28"/>
                <w:szCs w:val="28"/>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2、人员职责划分、管理方案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tc>
        <w:tc>
          <w:tcPr>
            <w:tcW w:w="1323"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91"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进度计划</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48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针对本项目，制定进度计划，</w:t>
            </w:r>
            <w:r>
              <w:rPr>
                <w:rFonts w:hint="eastAsia" w:ascii="仿宋_GB2312" w:hAnsi="仿宋_GB2312" w:eastAsia="仿宋_GB2312" w:cs="仿宋_GB2312"/>
                <w:sz w:val="28"/>
                <w:szCs w:val="28"/>
              </w:rPr>
              <w:t>合理划分各个工作阶段，制定关键节点计划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对其进度计划进行综合打分：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进度控制科学，时间节点清晰合理，</w:t>
            </w:r>
            <w:r>
              <w:rPr>
                <w:rFonts w:hint="eastAsia" w:ascii="仿宋_GB2312" w:hAnsi="仿宋_GB2312" w:eastAsia="仿宋_GB2312" w:cs="仿宋_GB2312"/>
                <w:sz w:val="28"/>
                <w:szCs w:val="28"/>
                <w:lang w:val="en-US" w:eastAsia="zh-CN"/>
              </w:rPr>
              <w:t>得3-4分；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进度控制</w:t>
            </w:r>
            <w:r>
              <w:rPr>
                <w:rFonts w:hint="eastAsia" w:ascii="仿宋_GB2312" w:hAnsi="仿宋_GB2312" w:eastAsia="仿宋_GB2312" w:cs="仿宋_GB2312"/>
                <w:sz w:val="28"/>
                <w:szCs w:val="28"/>
                <w:lang w:val="en-US" w:eastAsia="zh-CN"/>
              </w:rPr>
              <w:t>不够</w:t>
            </w:r>
            <w:r>
              <w:rPr>
                <w:rFonts w:hint="eastAsia" w:ascii="仿宋_GB2312" w:hAnsi="仿宋_GB2312" w:eastAsia="仿宋_GB2312" w:cs="仿宋_GB2312"/>
                <w:sz w:val="28"/>
                <w:szCs w:val="28"/>
              </w:rPr>
              <w:t>科学，时间节点</w:t>
            </w:r>
            <w:r>
              <w:rPr>
                <w:rFonts w:hint="eastAsia" w:ascii="仿宋_GB2312" w:hAnsi="仿宋_GB2312" w:eastAsia="仿宋_GB2312" w:cs="仿宋_GB2312"/>
                <w:sz w:val="28"/>
                <w:szCs w:val="28"/>
                <w:lang w:val="en-US" w:eastAsia="zh-CN"/>
              </w:rPr>
              <w:t>不</w:t>
            </w:r>
            <w:r>
              <w:rPr>
                <w:rFonts w:hint="eastAsia" w:ascii="仿宋_GB2312" w:hAnsi="仿宋_GB2312" w:eastAsia="仿宋_GB2312" w:cs="仿宋_GB2312"/>
                <w:sz w:val="28"/>
                <w:szCs w:val="28"/>
              </w:rPr>
              <w:t>清晰，</w:t>
            </w:r>
            <w:r>
              <w:rPr>
                <w:rFonts w:hint="eastAsia" w:ascii="仿宋_GB2312" w:hAnsi="仿宋_GB2312" w:eastAsia="仿宋_GB2312" w:cs="仿宋_GB2312"/>
                <w:sz w:val="28"/>
                <w:szCs w:val="28"/>
                <w:lang w:val="en-US" w:eastAsia="zh-CN"/>
              </w:rPr>
              <w:t>得1-2分。</w:t>
            </w:r>
          </w:p>
        </w:tc>
        <w:tc>
          <w:tcPr>
            <w:tcW w:w="1323"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91"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质量保障措施</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484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所报产品应性能稳定，符合国际、国内相关标准，对响应人产品质量保证措施进行综合打分：</w:t>
            </w:r>
          </w:p>
          <w:p>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措施全面、具体，能够有效保证产品质量，得4-5分；</w:t>
            </w:r>
          </w:p>
          <w:p>
            <w:pPr>
              <w:pStyle w:val="2"/>
              <w:keepNext w:val="0"/>
              <w:keepLines w:val="0"/>
              <w:pageBreakBefore w:val="0"/>
              <w:widowControl/>
              <w:numPr>
                <w:ilvl w:val="0"/>
                <w:numId w:val="3"/>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措施粗略，产品质量难以保证，得2-3分。</w:t>
            </w:r>
          </w:p>
        </w:tc>
        <w:tc>
          <w:tcPr>
            <w:tcW w:w="1323"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91"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40" w:type="dxa"/>
            <w:vMerge w:val="continue"/>
            <w:vAlign w:val="center"/>
          </w:tcPr>
          <w:p>
            <w:pPr>
              <w:keepNext w:val="0"/>
              <w:keepLines w:val="0"/>
              <w:pageBreakBefore w:val="0"/>
              <w:widowControl/>
              <w:kinsoku/>
              <w:wordWrap/>
              <w:overflowPunct/>
              <w:topLinePunct w:val="0"/>
              <w:bidi w:val="0"/>
              <w:spacing w:line="400" w:lineRule="exact"/>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实施方案</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48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提供本项目实施方案，包含供货、安装、调试等内容，对其方案进行综合打分：</w:t>
            </w:r>
          </w:p>
          <w:p>
            <w:pPr>
              <w:keepNext w:val="0"/>
              <w:keepLines w:val="0"/>
              <w:pageBreakBefore w:val="0"/>
              <w:widowControl/>
              <w:numPr>
                <w:ilvl w:val="0"/>
                <w:numId w:val="0"/>
              </w:numPr>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1、方案</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lang w:val="en-US" w:eastAsia="zh-CN"/>
              </w:rPr>
              <w:t>详细</w:t>
            </w:r>
            <w:r>
              <w:rPr>
                <w:rFonts w:hint="eastAsia" w:ascii="仿宋_GB2312" w:hAnsi="仿宋_GB2312" w:eastAsia="仿宋_GB2312" w:cs="仿宋_GB2312"/>
                <w:sz w:val="28"/>
                <w:szCs w:val="28"/>
              </w:rPr>
              <w:t>，描述清晰，针对性</w:t>
            </w:r>
            <w:r>
              <w:rPr>
                <w:rFonts w:hint="eastAsia" w:ascii="仿宋_GB2312" w:hAnsi="仿宋_GB2312" w:eastAsia="仿宋_GB2312" w:cs="仿宋_GB2312"/>
                <w:sz w:val="28"/>
                <w:szCs w:val="28"/>
                <w:lang w:val="en-US" w:eastAsia="zh-CN"/>
              </w:rPr>
              <w:t>强，完全</w:t>
            </w:r>
            <w:r>
              <w:rPr>
                <w:rFonts w:hint="eastAsia" w:ascii="仿宋_GB2312" w:hAnsi="仿宋_GB2312" w:eastAsia="仿宋_GB2312" w:cs="仿宋_GB2312"/>
                <w:sz w:val="28"/>
                <w:szCs w:val="28"/>
              </w:rPr>
              <w:t>满足项目需求，得</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分；</w:t>
            </w:r>
          </w:p>
          <w:p>
            <w:pPr>
              <w:keepNext w:val="0"/>
              <w:keepLines w:val="0"/>
              <w:pageBreakBefore w:val="0"/>
              <w:widowControl/>
              <w:numPr>
                <w:ilvl w:val="0"/>
                <w:numId w:val="0"/>
              </w:numPr>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方案</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lang w:val="en-US" w:eastAsia="zh-CN"/>
              </w:rPr>
              <w:t>较详细</w:t>
            </w:r>
            <w:r>
              <w:rPr>
                <w:rFonts w:hint="eastAsia" w:ascii="仿宋_GB2312" w:hAnsi="仿宋_GB2312" w:eastAsia="仿宋_GB2312" w:cs="仿宋_GB2312"/>
                <w:sz w:val="28"/>
                <w:szCs w:val="28"/>
              </w:rPr>
              <w:t>，描述</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清晰，针对性</w:t>
            </w:r>
            <w:r>
              <w:rPr>
                <w:rFonts w:hint="eastAsia" w:ascii="仿宋_GB2312" w:hAnsi="仿宋_GB2312" w:eastAsia="仿宋_GB2312" w:cs="仿宋_GB2312"/>
                <w:sz w:val="28"/>
                <w:szCs w:val="28"/>
                <w:lang w:val="en-US" w:eastAsia="zh-CN"/>
              </w:rPr>
              <w:t>较强，基本</w:t>
            </w:r>
            <w:r>
              <w:rPr>
                <w:rFonts w:hint="eastAsia" w:ascii="仿宋_GB2312" w:hAnsi="仿宋_GB2312" w:eastAsia="仿宋_GB2312" w:cs="仿宋_GB2312"/>
                <w:sz w:val="28"/>
                <w:szCs w:val="28"/>
              </w:rPr>
              <w:t>满足项目需求，得</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分；</w:t>
            </w:r>
          </w:p>
          <w:p>
            <w:pPr>
              <w:keepNext w:val="0"/>
              <w:keepLines w:val="0"/>
              <w:pageBreakBefore w:val="0"/>
              <w:widowControl/>
              <w:numPr>
                <w:ilvl w:val="0"/>
                <w:numId w:val="0"/>
              </w:numPr>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方案</w:t>
            </w:r>
            <w:r>
              <w:rPr>
                <w:rFonts w:hint="eastAsia" w:ascii="仿宋_GB2312" w:hAnsi="仿宋_GB2312" w:eastAsia="仿宋_GB2312" w:cs="仿宋_GB2312"/>
                <w:sz w:val="28"/>
                <w:szCs w:val="28"/>
              </w:rPr>
              <w:t>内容有缺项，描述简单，可行性一般，基本满足项目需要，得</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1323" w:type="dxa"/>
            <w:vMerge w:val="continue"/>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791" w:type="dxa"/>
            <w:vMerge w:val="restart"/>
            <w:vAlign w:val="center"/>
          </w:tcPr>
          <w:p>
            <w:pPr>
              <w:pStyle w:val="18"/>
              <w:keepNext w:val="0"/>
              <w:keepLines w:val="0"/>
              <w:pageBreakBefore w:val="0"/>
              <w:widowControl/>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val="en-US" w:eastAsia="zh-CN"/>
              </w:rPr>
              <w:t>商务</w:t>
            </w:r>
          </w:p>
        </w:tc>
        <w:tc>
          <w:tcPr>
            <w:tcW w:w="840" w:type="dxa"/>
            <w:vMerge w:val="restart"/>
            <w:vAlign w:val="center"/>
          </w:tcPr>
          <w:p>
            <w:pPr>
              <w:keepNext w:val="0"/>
              <w:keepLines w:val="0"/>
              <w:pageBreakBefore w:val="0"/>
              <w:widowControl/>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26"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业绩</w:t>
            </w:r>
          </w:p>
        </w:tc>
        <w:tc>
          <w:tcPr>
            <w:tcW w:w="787"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4</w:t>
            </w:r>
          </w:p>
        </w:tc>
        <w:tc>
          <w:tcPr>
            <w:tcW w:w="4840" w:type="dxa"/>
            <w:vAlign w:val="center"/>
          </w:tcPr>
          <w:p>
            <w:pPr>
              <w:keepNext w:val="0"/>
              <w:keepLines w:val="0"/>
              <w:pageBreakBefore w:val="0"/>
              <w:widowControl/>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年1月1日以来</w:t>
            </w:r>
            <w:r>
              <w:rPr>
                <w:rFonts w:hint="eastAsia" w:ascii="仿宋_GB2312" w:hAnsi="仿宋_GB2312" w:eastAsia="仿宋_GB2312" w:cs="仿宋_GB2312"/>
                <w:sz w:val="28"/>
                <w:szCs w:val="28"/>
                <w:lang w:val="en-US" w:eastAsia="zh-CN"/>
              </w:rPr>
              <w:t>同类</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复印件加盖响应人公章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以合同签订日期为准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，每份1分，</w:t>
            </w:r>
            <w:r>
              <w:rPr>
                <w:rFonts w:hint="eastAsia" w:ascii="仿宋_GB2312" w:hAnsi="仿宋_GB2312" w:eastAsia="仿宋_GB2312" w:cs="仿宋_GB2312"/>
                <w:sz w:val="28"/>
                <w:szCs w:val="28"/>
                <w:lang w:val="en-US" w:eastAsia="zh-CN"/>
              </w:rPr>
              <w:t>最多得4</w:t>
            </w:r>
            <w:r>
              <w:rPr>
                <w:rFonts w:hint="eastAsia" w:ascii="仿宋_GB2312" w:hAnsi="仿宋_GB2312" w:eastAsia="仿宋_GB2312" w:cs="仿宋_GB2312"/>
                <w:sz w:val="28"/>
                <w:szCs w:val="28"/>
              </w:rPr>
              <w:t>分。</w:t>
            </w:r>
          </w:p>
        </w:tc>
        <w:tc>
          <w:tcPr>
            <w:tcW w:w="1323"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2" w:hRule="atLeast"/>
          <w:jc w:val="center"/>
        </w:trPr>
        <w:tc>
          <w:tcPr>
            <w:tcW w:w="791" w:type="dxa"/>
            <w:vMerge w:val="continue"/>
            <w:vAlign w:val="center"/>
          </w:tcPr>
          <w:p>
            <w:pPr>
              <w:pStyle w:val="18"/>
              <w:keepNext w:val="0"/>
              <w:keepLines w:val="0"/>
              <w:pageBreakBefore w:val="0"/>
              <w:widowControl/>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kern w:val="2"/>
                <w:sz w:val="28"/>
                <w:szCs w:val="28"/>
              </w:rPr>
            </w:pPr>
          </w:p>
        </w:tc>
        <w:tc>
          <w:tcPr>
            <w:tcW w:w="840" w:type="dxa"/>
            <w:vMerge w:val="continue"/>
            <w:vAlign w:val="center"/>
          </w:tcPr>
          <w:p>
            <w:pPr>
              <w:keepNext w:val="0"/>
              <w:keepLines w:val="0"/>
              <w:pageBreakBefore w:val="0"/>
              <w:widowControl/>
              <w:kinsoku/>
              <w:wordWrap/>
              <w:overflowPunct/>
              <w:topLinePunct w:val="0"/>
              <w:bidi w:val="0"/>
              <w:snapToGrid w:val="0"/>
              <w:spacing w:line="400" w:lineRule="exact"/>
              <w:jc w:val="center"/>
              <w:textAlignment w:val="auto"/>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售后服务方案</w:t>
            </w:r>
          </w:p>
        </w:tc>
        <w:tc>
          <w:tcPr>
            <w:tcW w:w="787" w:type="dxa"/>
            <w:vAlign w:val="center"/>
          </w:tcPr>
          <w:p>
            <w:pPr>
              <w:keepNext w:val="0"/>
              <w:keepLines w:val="0"/>
              <w:pageBreakBefore w:val="0"/>
              <w:widowControl/>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4840" w:type="dxa"/>
            <w:vAlign w:val="center"/>
          </w:tcPr>
          <w:p>
            <w:pPr>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本项目及采购人实际需求提供具体可行的售后服务方案，包括服务措施、故障维修响应及应对措施、质量保证范围、服务网点、拟投入售后服务人员配置情况、日常维护、应急预案等，对其售后服务方案进行比较打分：</w:t>
            </w:r>
          </w:p>
          <w:p>
            <w:pPr>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1、售后服务方案内容具体、完整、详细、全面，可行性强，得9-10分；</w:t>
            </w:r>
          </w:p>
          <w:p>
            <w:pPr>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2、售后服务方案内容较完整、描述较详细、可行性一般，得7-8分；</w:t>
            </w:r>
          </w:p>
          <w:p>
            <w:pPr>
              <w:keepNext w:val="0"/>
              <w:keepLines w:val="0"/>
              <w:pageBreakBefore w:val="0"/>
              <w:widowControl/>
              <w:numPr>
                <w:ilvl w:val="0"/>
                <w:numId w:val="0"/>
              </w:numPr>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kern w:val="2"/>
                <w:sz w:val="28"/>
                <w:szCs w:val="28"/>
                <w:lang w:val="en-US" w:eastAsia="zh-CN" w:bidi="ar-SA"/>
              </w:rPr>
              <w:t>3、售后服务方案有缺项、内容笼统、可行性较差，得5-6分。</w:t>
            </w:r>
          </w:p>
        </w:tc>
        <w:tc>
          <w:tcPr>
            <w:tcW w:w="1323"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91" w:type="dxa"/>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tc>
        <w:tc>
          <w:tcPr>
            <w:tcW w:w="8616" w:type="dxa"/>
            <w:gridSpan w:val="5"/>
            <w:vAlign w:val="center"/>
          </w:tcPr>
          <w:p>
            <w:pPr>
              <w:keepNext w:val="0"/>
              <w:keepLines w:val="0"/>
              <w:pageBreakBefore w:val="0"/>
              <w:widowControl/>
              <w:kinsoku/>
              <w:wordWrap/>
              <w:overflowPunct/>
              <w:topLinePunct w:val="0"/>
              <w:bidi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1、磋商小组成员必须按照本评审要素据实打分，各类数字计算均按“四舍五入”保留小数点后两位</w:t>
            </w:r>
            <w:r>
              <w:rPr>
                <w:rFonts w:hint="eastAsia" w:ascii="仿宋_GB2312" w:hAnsi="仿宋_GB2312" w:eastAsia="仿宋_GB2312" w:cs="仿宋_GB2312"/>
                <w:sz w:val="28"/>
                <w:szCs w:val="28"/>
                <w:lang w:eastAsia="zh-CN"/>
              </w:rPr>
              <w:t>。</w:t>
            </w:r>
          </w:p>
        </w:tc>
      </w:tr>
    </w:tbl>
    <w:p>
      <w:pPr>
        <w:pStyle w:val="20"/>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17612"/>
      <w:bookmarkStart w:id="154" w:name="_Toc28384"/>
      <w:bookmarkStart w:id="155" w:name="_Toc28287"/>
      <w:bookmarkStart w:id="156" w:name="_Toc3023"/>
      <w:bookmarkStart w:id="157" w:name="_Toc22712"/>
      <w:bookmarkStart w:id="158" w:name="_Toc25855"/>
      <w:bookmarkStart w:id="159" w:name="_Toc4670"/>
      <w:bookmarkStart w:id="160" w:name="_Toc495012821"/>
      <w:bookmarkStart w:id="161" w:name="_Toc495014954"/>
      <w:bookmarkStart w:id="162" w:name="_Toc495012771"/>
      <w:bookmarkStart w:id="163" w:name="_Toc424636365"/>
      <w:bookmarkStart w:id="164" w:name="_Toc619_WPSOffice_Level1"/>
      <w:bookmarkStart w:id="165" w:name="_Toc445306493"/>
      <w:bookmarkStart w:id="166" w:name="_Toc495014920"/>
      <w:bookmarkStart w:id="167" w:name="_Toc495014649"/>
      <w:bookmarkStart w:id="168" w:name="_Toc28286_WPSOffice_Level1"/>
      <w:bookmarkStart w:id="169" w:name="_Toc495014585"/>
      <w:bookmarkStart w:id="170" w:name="_Toc495014611"/>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18233"/>
      <w:bookmarkStart w:id="172" w:name="_Toc20049"/>
      <w:bookmarkStart w:id="173" w:name="_Toc3100"/>
      <w:bookmarkStart w:id="174" w:name="_Toc28870"/>
      <w:bookmarkStart w:id="175" w:name="_Toc14009"/>
      <w:bookmarkStart w:id="176" w:name="_Toc23938"/>
      <w:bookmarkStart w:id="177" w:name="_Toc10386"/>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5"/>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23303"/>
      <w:bookmarkStart w:id="179" w:name="_Toc5278"/>
      <w:bookmarkStart w:id="180" w:name="_Toc17324"/>
      <w:bookmarkStart w:id="181" w:name="_Toc11584"/>
      <w:bookmarkStart w:id="182" w:name="_Toc11780"/>
      <w:bookmarkStart w:id="183" w:name="_Toc8426"/>
      <w:bookmarkStart w:id="184" w:name="_Toc14560"/>
      <w:bookmarkStart w:id="185" w:name="_Toc4764"/>
      <w:bookmarkStart w:id="186" w:name="_Toc10336"/>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4"/>
        <w:rPr>
          <w:color w:val="auto"/>
        </w:rPr>
      </w:pPr>
      <w:bookmarkStart w:id="187" w:name="_Toc10476_WPSOffice_Level1"/>
      <w:bookmarkStart w:id="188" w:name="_Toc6345"/>
      <w:bookmarkStart w:id="189" w:name="_Toc22915"/>
      <w:bookmarkStart w:id="190" w:name="_Toc2772"/>
      <w:bookmarkStart w:id="191" w:name="_Toc31517"/>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tbl>
      <w:tblPr>
        <w:tblStyle w:val="22"/>
        <w:tblW w:w="9022"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880"/>
        <w:gridCol w:w="5738"/>
        <w:gridCol w:w="80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022"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1—7号学生公寓安防设施参数要求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参数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POE半球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摄像机</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1、≥200W万像素，在1920x1080下分辨力可达到1000TVL。</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2、信噪比不小于55dB。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3、支持红外补光，有效补光距离达到≥30m。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4、需支持IP66防尘防水。</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5、支持DC12V或poe供电。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6、内置1个麦克风，1个RJ45网络接口。</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7、靶面尺寸为1/2.7英寸。</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非POE枪式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摄像机</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1、在1920x1080下分辨力可达到900TVL。</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2、信噪比不小于55dB。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3、支持红外补光，有效补光距离达到≥50m。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4、需支持IP66防尘防水。</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5、支持DC12V供电。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6、内置1个麦克风，1个RJ45网络接口。</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7、靶面尺寸为1/2.7英寸。</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POE24口</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千兆交换机</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1、配置：可用千兆PoE电接口数量≥24，千兆光口数量≥2</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2、交换容量≥52 Gpbs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3、转发性能≥38.69 Mpps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4、支持自适应802.3af/at供电标准，整机最大输出功率≥225 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5、支持6KV防浪涌（PoE口）</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6、支持IEEE 802.3、IEEE 802.3u、IEEE 802.3x、IEEE 802.3ab、IEEE 802.3z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7、为保证整体系统稳定性，投标产品必须与摄像机、录像机为同一品牌</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64路录像机</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1、具有2个HDMI接口、2个VGA接口、2个RJ45网络接口、2个USB2.0接口、1个USB3.0接口、1个RS232接口、1个RS485接口、1个eSata接口；具有1路音频输入接口、2路音频输出接口，16路报警输入接口、9路报警输出接口，1个DC 12V输出接口；可内置8个SATA接口硬盘。</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2、可接入1T、2T、3T、4T、6T、8T、10T、12TB、14TB、16TB容量的SATA接口硬盘。</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3、可接入64路分辨率为1920×1080的视频图像；支持最大接入带宽320Mbps，最大存储带宽256Mbps，最大转发带宽160Mbps，最大回放带宽160Mbps。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4、可同时显示输出12路H.265编码、30fps、1920×1080格式的视频图像，或同时输出3路 H.265编码、25fps、4096×2160或者3840×2160格式的视频图像，或同时解码2路 H.265编码、20fps、4000×3000格式的视频图像。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5、可同时正放或倒放4路H.265/H.264编码、2560×1440格式的视频图像，或者3路H.264编码、4096×2160格式的视频图像。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6、具有存储安全保障功能，当存储压力过高或硬盘出现性能不足时，可优先录像业务存储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7、支持网络状态检测，支持网络延时、丢包测试，支持网络抓包备份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8、支持本地和远程进行IPv6配置，IPv6支持设置多种模式：路由公告、自动获取、手动配置。</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128路录像机</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具有≥2个HDMI接口、≥2个VGA接口、≥2个RJ45千兆网络接具有≥1路音频输入接口、≥2路音频输出接口，≥16路报警输入接口、≥9路报警输出接口（其中第9路支持受控直流12V输出）；具有≥1路直流12V输出接口；具有冗余电源接口；可内置≥16个SATA接口硬盘。</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2、产品由冗余电源芯片进行负载均衡控制，当一个电源出现故障时，另一个电源可以接管其工作，在更换故障电源后，恢复到两个电源协同负载均衡工作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3、可接入1T、2T、3T、4T、6T、8T、10T、12TB、14TB、16TB、18TB容量的SATA接口硬盘。</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4、可接入128路分辨率为1920×1080的视频图像，支持最大接入带宽384Mbps，最大存储带宽384Mbps，最大转发带宽256Mbps，最大回放带宽256Mbps。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5、HDMI接口最大支持8K输出，当一路输出8K时，另一路最高支持1080P输出；两个HDMI接口可同时支持双4K异源输出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6、CVBS接口支持10档亮度调节；支持PAL和NTSC制式切换；CVBS最大支持16分屏。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7、支持将设备日志上传到日志服务器，可配置日志服务器IP地址和端口。</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8T硬盘</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接口类型：SATA3.0；尺寸：3.5寸；转速：5400；平均读写功率（W）：5.0；缓存：256MB；标称容量：8TB； AllFrame 全帧率4k技术，减少视频传输丢帧、改善整体视频存储效果</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网线</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超五类</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支持千兆以太网信号传输。</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无氧铜芯，直流电阻小，信号衰减小。</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PVC护套，耐磨、抗拉强度高。</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阻燃线缆。</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均匀双绞结构，有效降低干扰，确保信号传输质量。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符合RoHS 2.0 和Reach认证。</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产品性能稳定。</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箱</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室外安通线缆</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电源线0.3平方毫米，网线0.45毫米；支持千兆以太网信号传输。</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网线单独护套，抗干扰能力强。</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聚乙烯（PE）外护套，耐磨、抗拉、防水、防晒。</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网线和电源线一次布线，施工省时省力。</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箱</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管材、管件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及辅材</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线槽线管及相关辅材</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施工要求</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依照校方要求及安防协会安装标准执行、验收需整体接入本校安全监控平台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bl>
    <w:p>
      <w:pPr>
        <w:rPr>
          <w:rFonts w:hint="eastAsia"/>
          <w:lang w:val="en-US" w:eastAsia="zh-CN"/>
        </w:rPr>
      </w:pPr>
    </w:p>
    <w:p>
      <w:pPr>
        <w:pStyle w:val="2"/>
        <w:rPr>
          <w:rFonts w:hint="eastAsia"/>
          <w:lang w:val="en-US" w:eastAsia="zh-CN"/>
        </w:rPr>
      </w:pPr>
    </w:p>
    <w:tbl>
      <w:tblPr>
        <w:tblStyle w:val="22"/>
        <w:tblW w:w="9022"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892"/>
        <w:gridCol w:w="788"/>
        <w:gridCol w:w="792"/>
        <w:gridCol w:w="4965"/>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22"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1-7号学生公寓广播系统参数要求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参数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IP网络广播</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主控服务器软件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1.支持1080P分辨率高音质可视通话。</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2.全双向视频免提通话，呼叫接通后，立即以免提方式进行全双工，并且带回声消除的通话。</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3.远程巡查（巡课、巡检）用户可通过管理主机、移动APP远程启动终端音、视频，对现场情况进行巡查；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4.监听、插话高级别主机可对通话中的低级别主机、终端进行监听，可对终端进行插话。</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5.多方视频通话主机与终端之间的语音会议、主机与主机之间的可视会议。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6.当终端呼叫主机时，主机不能正常响应，可根据条件设置呼叫转移：占线转移、掉线转移、无响应转移、按时段转移等。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7.可定时自动进行语音播放、信息提醒、知识宣导； 消防广播，管理主机可用MP3文件作消防报警语音，消防报警时，自动强切到最大音量；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8.系统可通过远程控制开门、开灯、LED屏幕，也可实现其他带有IO接口设备或RS-485接口设备远程控制。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9.可远程移动控制现场的广播、对讲与喊话，进行处置,可与平台其他主机进行实时互动与信息上报。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10.当有报警信息发生时，按照事前设置，报警信息可联动各级中心不同管理主机，会自动弹出报警信息画面；各级中心第一时间接收警情。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11.系统可对所有终端设置关联视频，当终端有请求、报警信号时，可关联相关视频进行音视频同步。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12.主机可任意选定终端分机进行监听、监视或对所有终端分机进行循环监听、监视，每路停留时长可设置。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13.当发生紧急呼叫时，可配置三色门灯进行状态提醒，不同状态不同颜色，利于用户及时了解情况，快速定位呼叫目标。</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广播部分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IP网络有源</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壁挂式扬声器（POE供电）</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84</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1.支持关联各大监控品牌摄像机功能，当喊话/对讲时可通过IP网络可视化控制台显示绑定摄像机视频画面，真正做到可视广播。</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2.内置1路网络硬件音频解码模块，支持TCP/IP、UDP、IGMP（组播协议），实现网络化传输16位CD音质的音频信号。</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3.内置10W/8Ω的单通道数字功率放大器，发热量小，效率更高；音质非常细腻，功率强劲；具有网络音量设置。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4.兼容路由器、交换机、网桥网关、Modem、Internet、2G、3G、4G、5G、组播、单播等任意网络结构。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5.采样率：≤8K～48KHz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6.频率响应：80Hz～16KHz（+1/-3dB）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7.谐波失真：≤1%</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8.信噪比：＞65dB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9.保护电路：过载、短路保护电路</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IP网络可视化控制台 10.1"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1.可以对网络中的各种终端进行单向喊话，双向可视对讲、监听和视频会议。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2.采用10.1寸高清IPS屏幕，分辨率1280*800，全虚拟按键，外形美观大方；</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3.内置3W扬声器，可实现远程双向可视对讲、监听、监视、全区分区广播、定时播放背景音乐；</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4.内置 8G内存，可下载存储对讲记录；支持外接SD卡最大支持256G内存拓展；</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5.内置200万摄像头，在会议和通话的过程中能展现出精美的画质，视频采用H.264编码；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6.兼容标准SIP协议，可单独接入VOIP电话系统(支持主流IP-PBX)；</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7.支持音视频多方精简会议通话，最高支持40个参与者,会议支持主席模式与自由模式两种会议模式；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8.支持留影留言，可录制留言信息和留影视频，方便交接班信息交互；</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9.1个HDMI、1个USB、1路本地音频输入1路本地音频输出；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10.远程回放下载所有对讲终端通话录音录像；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11.支持环境监听监视、支持查看终端状态；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12.支持有线和WiFi网络接入，支持跨网段和跨路由。</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室外防水音柱</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优质户外防水音柱音色极佳。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采用铝镁合金制作的外壳，可抵挡日晒、风吹、雨淋。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适用于室内外各种环境之中，如：公共场所、超级市场、学校、车站等。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额定功率：≧60W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输入：70V/100V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阻抗：2KΩ/1KΩ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灵敏度：98dB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频率响应：50Hz-18KHz。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喇叭单元：≧4.5"×2 ≧ 3"×1</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防护等级：IPX6防水</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功放</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额定功率：≧160W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输出方式：70V，100V，4-16Ω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输入灵敏度/阻抗：MIC1，2，3：5mV/600Ω，不平衡TS端子输入。AUX1，2，3：350mV/10KΩ，不平衡RCA端子输入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输出灵敏度/阻抗：1000mV/470Ω，不平衡TS端子输出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过载源电动势：MIC1，2，3：&gt;12dB，不平衡TRS端子输入。AUX1，2，3：&gt;20dB，不平衡RCA端子输入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音调(低音)：±10dB@100Hz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音调(高音)：±10dB@10KHz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频率响应：50-16KHz(+1dB，-3dB)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信噪比：MIC1，2，3：66dB。AUX1，2，3：80dB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总谐波失真：1KHz时0.5%，1/3输出功率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默音功能：MIC3优先其他通道</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通道串音衰减：≤50dB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散热：由前往后强制风冷，散热器温度55度时启动内置风扇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保护：过热，过载&amp;短路</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无线话筒</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真分集接收机,双通道独立选讯系统.信号更稳定</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双通道独立AFS频率自动搜索功能,能迅速扫描所在工作环境中干忧最少的频率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内置叠机6编组,可以快速实现同一场所同时叠机6套使用. 也可以作为手持与领夹切换功能使用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双通道多段位射频与音频工作状态 LED显示.精准的电子音量控制技术,话筒接收距离多档可调,并具有隐藏式锁键功能,防止误操作</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网线</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箱</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支持千兆以太网信号传输。</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无氧铜芯，直流电阻小，信号衰减小。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PVC/PE护套，耐磨、抗拉强度高，保障安全。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均匀双绞结构，产品性能稳定，有效降低干扰，确保信号传输质量。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管材、管件及辅材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bl>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8"/>
          <w:szCs w:val="28"/>
          <w:lang w:val="en-US" w:eastAsia="zh-CN"/>
        </w:rPr>
      </w:pPr>
      <w:r>
        <w:rPr>
          <w:rFonts w:hint="eastAsia" w:ascii="仿宋_GB2312" w:hAnsi="仿宋_GB2312" w:eastAsia="仿宋_GB2312" w:cs="仿宋_GB2312"/>
          <w:b/>
          <w:bCs/>
          <w:color w:val="auto"/>
          <w:sz w:val="28"/>
          <w:szCs w:val="28"/>
          <w:lang w:eastAsia="zh-CN"/>
        </w:rPr>
        <w:t>备注：1、以上</w:t>
      </w:r>
      <w:r>
        <w:rPr>
          <w:rFonts w:hint="eastAsia" w:ascii="仿宋_GB2312" w:hAnsi="仿宋_GB2312" w:eastAsia="仿宋_GB2312" w:cs="仿宋_GB2312"/>
          <w:b/>
          <w:bCs/>
          <w:color w:val="auto"/>
          <w:sz w:val="28"/>
          <w:szCs w:val="28"/>
          <w:lang w:val="en-US" w:eastAsia="zh-CN"/>
        </w:rPr>
        <w:t>技术参数接受负偏离</w:t>
      </w:r>
      <w:r>
        <w:rPr>
          <w:rFonts w:hint="eastAsia" w:ascii="仿宋_GB2312" w:hAnsi="仿宋_GB2312" w:eastAsia="仿宋_GB2312" w:cs="仿宋_GB2312"/>
          <w:b/>
          <w:bCs/>
          <w:color w:val="auto"/>
          <w:sz w:val="28"/>
          <w:szCs w:val="28"/>
          <w:lang w:eastAsia="zh-CN"/>
        </w:rPr>
        <w:t>；2、核心产品为</w:t>
      </w:r>
      <w:r>
        <w:rPr>
          <w:rFonts w:hint="eastAsia" w:ascii="仿宋_GB2312" w:hAnsi="仿宋_GB2312" w:eastAsia="仿宋_GB2312" w:cs="仿宋_GB2312"/>
          <w:b/>
          <w:bCs/>
          <w:color w:val="auto"/>
          <w:sz w:val="28"/>
          <w:szCs w:val="28"/>
          <w:highlight w:val="none"/>
          <w:lang w:val="en-US" w:eastAsia="zh-CN"/>
        </w:rPr>
        <w:t>POE半球摄像机</w:t>
      </w:r>
      <w:r>
        <w:rPr>
          <w:rFonts w:hint="eastAsia" w:ascii="仿宋_GB2312" w:hAnsi="仿宋_GB2312" w:eastAsia="仿宋_GB2312" w:cs="仿宋_GB2312"/>
          <w:b/>
          <w:bCs/>
          <w:color w:val="auto"/>
          <w:sz w:val="28"/>
          <w:szCs w:val="28"/>
          <w:lang w:eastAsia="zh-CN"/>
        </w:rPr>
        <w:t>。</w:t>
      </w:r>
    </w:p>
    <w:p>
      <w:pPr>
        <w:pStyle w:val="4"/>
        <w:jc w:val="center"/>
        <w:rPr>
          <w:rFonts w:hint="eastAsia" w:ascii="华文仿宋" w:hAnsi="华文仿宋" w:cs="华文仿宋"/>
          <w:color w:val="auto"/>
        </w:rPr>
      </w:pPr>
      <w:r>
        <w:rPr>
          <w:rFonts w:ascii="宋体" w:hAnsi="宋体" w:eastAsia="宋体" w:cs="宋体"/>
          <w:color w:val="auto"/>
          <w:sz w:val="21"/>
          <w:szCs w:val="21"/>
        </w:rPr>
        <w:br w:type="page"/>
      </w:r>
      <w:bookmarkStart w:id="192" w:name="_Toc35871571"/>
      <w:bookmarkStart w:id="193" w:name="_Toc10371"/>
      <w:bookmarkStart w:id="194" w:name="_Toc12628"/>
      <w:bookmarkStart w:id="195" w:name="_Toc14089"/>
      <w:bookmarkStart w:id="196" w:name="_Toc19317"/>
      <w:bookmarkStart w:id="197" w:name="_Toc18466_WPSOffice_Level1"/>
      <w:bookmarkStart w:id="198" w:name="_Toc495014613"/>
      <w:bookmarkStart w:id="199" w:name="_Toc495014587"/>
      <w:bookmarkStart w:id="200" w:name="_Toc784_WPSOffice_Level1"/>
      <w:bookmarkStart w:id="201" w:name="_Toc495012773"/>
      <w:bookmarkStart w:id="202" w:name="_Toc495012823"/>
      <w:bookmarkStart w:id="203" w:name="_Toc18484_WPSOffice_Level1"/>
      <w:bookmarkStart w:id="204" w:name="_Toc445306495"/>
      <w:bookmarkStart w:id="205" w:name="_Toc495014651"/>
      <w:bookmarkStart w:id="206" w:name="_Toc495014956"/>
      <w:bookmarkStart w:id="207" w:name="_Toc495014922"/>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lang w:val="en-US" w:eastAsia="zh-CN" w:bidi="ar"/>
        </w:rPr>
        <w:t>（一）交货地点</w:t>
      </w:r>
      <w:r>
        <w:rPr>
          <w:rFonts w:hint="eastAsia" w:ascii="仿宋_GB2312" w:hAnsi="仿宋_GB2312" w:eastAsia="仿宋_GB2312" w:cs="仿宋_GB2312"/>
          <w:color w:val="000000"/>
          <w:kern w:val="0"/>
          <w:sz w:val="28"/>
          <w:szCs w:val="28"/>
          <w:highlight w:val="none"/>
          <w:lang w:val="en-US" w:eastAsia="zh-CN" w:bidi="ar"/>
        </w:rPr>
        <w:t xml:space="preserve">：汉中职业技术学院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000000"/>
          <w:kern w:val="0"/>
          <w:sz w:val="28"/>
          <w:szCs w:val="28"/>
          <w:highlight w:val="none"/>
          <w:lang w:val="en-US" w:eastAsia="zh-CN" w:bidi="ar"/>
        </w:rPr>
        <w:t>（二）合同履行期限：签订合同后20天内。</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（三）质保期：3年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（三）</w:t>
      </w:r>
      <w:r>
        <w:rPr>
          <w:rFonts w:hint="eastAsia" w:ascii="仿宋_GB2312" w:hAnsi="仿宋_GB2312" w:eastAsia="仿宋_GB2312" w:cs="仿宋_GB2312"/>
          <w:color w:val="000000"/>
          <w:kern w:val="0"/>
          <w:sz w:val="28"/>
          <w:szCs w:val="28"/>
          <w:highlight w:val="none"/>
          <w:lang w:val="en-US" w:eastAsia="zh-CN" w:bidi="ar"/>
        </w:rPr>
        <w:t>结算方式：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项目验收合格后15天内支付合同金额。</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四、包装运输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1、运输由成交供应商负责，运杂费已包含在合同总价内。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2、运输方式由成交供应商自行选择，但必须保证按期交付。不得断货，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因断货造成的损失由成交供货商负责赔偿。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3、产品及其备附件的包装必须是制造商原厂包装，其包装均应有良好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的防湿、防锈、防潮、防雨、防腐及防碰撞的措施。包装内应附有详细的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装箱清单、出厂合格证明及其他相关资料。凡由于包装不良造成的损失和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由此产生的费用均由成交供应商承担。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4、成交供应商负责将货物材料货到现场过程中的全部运输，包括装卸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车、货物现场的搬运、安装、调试。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5、各种货物必须提供装箱清单，按装箱清单验收货物。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6、货物在现场的保管由成交供应商负责，直至项目安装、验收完毕。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7、货物至采购人指定的使用现场的包装、保险及发运等环节和费用均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由成交供应商负责。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8、施工期间，成交供应商必须保护采购人的场地及各类设施，并做好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场地的卫生保洁工作。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9、本项目投标总报价包括项目所需软件、硬件、配件、包装、运杂、安装调试、基础施工、管理费、人工、材料、机械及利润、税金、各项规 费等从项目成交起到项目验收合格并正式交付使用以及质保期内所发生的 一切费用。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五、质量保障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1.保证所供产品的设计、制造、产品性能、材料的选择和材料的检验及产品的测试等，均应按国家的现行标准和相应的技术规范执行，这些标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准和技术规范应为合同签订日为止最新公布发行的标准和技术规范。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2.保证所供产品进货渠道正规，无假货、水货或翻新货，并能按期交付。</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3.保证所供产品在装卸、运输和仓储过程中有足够的包装保护，防止产品受潮、锈蚀、遭受冲撞及其他不可预见的损坏。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4.供应商所供产品因侵权而产生的一切后果由供应商负责，采购人保</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留索赔权力。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六、验收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1.现场验收：产品及其备附件到达指定地点后，采购人根据合同要求，</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在双方相关负责人双方同时在场的情况下，进行外观验收，确认产地、规 格、型号和数量。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2.最终验收：产品安装调试和运行后，经采购人确认后，组织供应商进行系统验收，必要时采购人将委托具有相关资质的第三方检测机构/技术专家对产品进行系统验收。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产品经采购人根据合同要求，进行验收，确认规格、质量和数量。验收依据：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3、验收依据及交付标准和方法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（1）磋商文件、响应文件、澄清表（函）；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（2）本合同及附件文本；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（3）合同签订时国家及行业现行的标准和技术规范。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（4）供应商应向采购人提交项目实施过程中的所有资料，以便采购人日后管理和维护。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七、违约责任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八、争议解决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8"/>
          <w:szCs w:val="28"/>
          <w:lang w:val="en-US" w:eastAsia="zh-CN" w:bidi="ar"/>
        </w:rPr>
        <w:t xml:space="preserve">九、合同生效及其他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8"/>
          <w:szCs w:val="28"/>
          <w:lang w:val="en-US" w:eastAsia="zh-CN" w:bidi="ar"/>
        </w:rPr>
        <w:t>3、未尽事宜由双方在签订合同时具体明确。</w:t>
      </w:r>
    </w:p>
    <w:p>
      <w:pPr>
        <w:spacing w:line="240" w:lineRule="auto"/>
        <w:jc w:val="left"/>
        <w:rPr>
          <w:rFonts w:hint="eastAsia" w:ascii="仿宋_GB2312" w:hAnsi="仿宋_GB2312" w:eastAsia="仿宋_GB2312" w:cs="仿宋_GB2312"/>
          <w:b/>
          <w:bCs/>
          <w:color w:val="auto"/>
          <w:kern w:val="44"/>
          <w:sz w:val="32"/>
          <w:szCs w:val="32"/>
        </w:rPr>
      </w:pPr>
      <w:r>
        <w:rPr>
          <w:rFonts w:hint="eastAsia" w:ascii="仿宋_GB2312" w:hAnsi="仿宋_GB2312" w:eastAsia="仿宋_GB2312" w:cs="仿宋_GB2312"/>
          <w:bCs/>
          <w:color w:val="auto"/>
          <w:sz w:val="32"/>
          <w:szCs w:val="32"/>
        </w:rPr>
        <w:br w:type="page"/>
      </w:r>
    </w:p>
    <w:p>
      <w:pPr>
        <w:pStyle w:val="4"/>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3"/>
        <w:rPr>
          <w:color w:val="auto"/>
        </w:rPr>
      </w:pPr>
    </w:p>
    <w:p>
      <w:pPr>
        <w:pStyle w:val="43"/>
        <w:rPr>
          <w:color w:val="auto"/>
        </w:rPr>
      </w:pPr>
    </w:p>
    <w:p>
      <w:pPr>
        <w:pStyle w:val="43"/>
        <w:rPr>
          <w:color w:val="auto"/>
        </w:rPr>
      </w:pPr>
    </w:p>
    <w:p>
      <w:pPr>
        <w:pStyle w:val="43"/>
        <w:rPr>
          <w:color w:val="auto"/>
        </w:rPr>
      </w:pPr>
      <w:r>
        <w:rPr>
          <w:rFonts w:hint="eastAsia"/>
          <w:color w:val="auto"/>
        </w:rPr>
        <w:t xml:space="preserve">  </w:t>
      </w:r>
    </w:p>
    <w:tbl>
      <w:tblPr>
        <w:tblStyle w:val="22"/>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3"/>
        <w:rPr>
          <w:color w:val="auto"/>
          <w:sz w:val="20"/>
        </w:rPr>
      </w:pPr>
    </w:p>
    <w:p>
      <w:pPr>
        <w:pStyle w:val="40"/>
        <w:spacing w:line="240" w:lineRule="auto"/>
        <w:ind w:firstLine="253" w:firstLineChars="70"/>
        <w:jc w:val="center"/>
        <w:rPr>
          <w:rFonts w:ascii="宋体" w:hAnsi="宋体" w:eastAsia="宋体"/>
          <w:color w:val="auto"/>
          <w:sz w:val="36"/>
          <w:szCs w:val="36"/>
        </w:rPr>
      </w:pPr>
    </w:p>
    <w:p>
      <w:pPr>
        <w:pStyle w:val="40"/>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3235"/>
      <w:bookmarkStart w:id="210" w:name="_Toc10248"/>
      <w:bookmarkStart w:id="211" w:name="_Toc26293"/>
      <w:bookmarkStart w:id="212" w:name="_Toc257"/>
      <w:bookmarkStart w:id="213" w:name="_Toc24786"/>
      <w:bookmarkStart w:id="214" w:name="_Toc26349"/>
      <w:bookmarkStart w:id="215" w:name="_Toc6132"/>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40"/>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17700"/>
      <w:bookmarkStart w:id="218" w:name="_Toc8257"/>
      <w:bookmarkStart w:id="219" w:name="_Toc76"/>
      <w:bookmarkStart w:id="220" w:name="_Toc19569"/>
      <w:bookmarkStart w:id="221" w:name="_Toc6733"/>
      <w:bookmarkStart w:id="222" w:name="_Toc26378"/>
      <w:bookmarkStart w:id="223" w:name="_Toc20481"/>
      <w:bookmarkStart w:id="224" w:name="_Toc13950"/>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40"/>
        <w:spacing w:line="240" w:lineRule="auto"/>
        <w:ind w:firstLine="0" w:firstLineChars="0"/>
        <w:jc w:val="center"/>
        <w:rPr>
          <w:rFonts w:ascii="华文仿宋" w:hAnsi="华文仿宋" w:cs="华文仿宋"/>
          <w:color w:val="auto"/>
          <w:sz w:val="36"/>
          <w:szCs w:val="36"/>
        </w:rPr>
      </w:pPr>
    </w:p>
    <w:p>
      <w:pPr>
        <w:pStyle w:val="40"/>
        <w:spacing w:line="240" w:lineRule="auto"/>
        <w:ind w:firstLine="0" w:firstLineChars="0"/>
        <w:jc w:val="both"/>
        <w:rPr>
          <w:rFonts w:ascii="华文仿宋" w:hAnsi="华文仿宋" w:cs="华文仿宋"/>
          <w:color w:val="auto"/>
          <w:sz w:val="36"/>
          <w:szCs w:val="36"/>
        </w:rPr>
      </w:pPr>
    </w:p>
    <w:p>
      <w:pPr>
        <w:pStyle w:val="40"/>
        <w:spacing w:line="240" w:lineRule="auto"/>
        <w:ind w:firstLine="0" w:firstLineChars="0"/>
        <w:jc w:val="both"/>
        <w:rPr>
          <w:rFonts w:ascii="华文仿宋" w:hAnsi="华文仿宋" w:cs="华文仿宋"/>
          <w:color w:val="auto"/>
          <w:sz w:val="36"/>
          <w:szCs w:val="36"/>
        </w:rPr>
      </w:pPr>
    </w:p>
    <w:p>
      <w:pPr>
        <w:pStyle w:val="40"/>
        <w:spacing w:line="240" w:lineRule="auto"/>
        <w:ind w:firstLine="0" w:firstLineChars="0"/>
        <w:jc w:val="center"/>
        <w:rPr>
          <w:rFonts w:ascii="华文仿宋" w:hAnsi="华文仿宋" w:cs="华文仿宋"/>
          <w:color w:val="auto"/>
          <w:sz w:val="36"/>
        </w:rPr>
      </w:pPr>
    </w:p>
    <w:p>
      <w:pPr>
        <w:pStyle w:val="40"/>
        <w:spacing w:line="240" w:lineRule="auto"/>
        <w:ind w:firstLine="0" w:firstLineChars="0"/>
        <w:jc w:val="center"/>
        <w:rPr>
          <w:rFonts w:ascii="华文仿宋" w:hAnsi="华文仿宋" w:cs="华文仿宋"/>
          <w:color w:val="auto"/>
          <w:sz w:val="36"/>
        </w:rPr>
      </w:pPr>
    </w:p>
    <w:p>
      <w:pPr>
        <w:pStyle w:val="40"/>
        <w:spacing w:line="240" w:lineRule="auto"/>
        <w:ind w:firstLine="0" w:firstLineChars="0"/>
        <w:jc w:val="center"/>
        <w:rPr>
          <w:rFonts w:hint="eastAsia" w:ascii="仿宋_GB2312" w:hAnsi="仿宋_GB2312" w:eastAsia="仿宋_GB2312" w:cs="仿宋_GB2312"/>
          <w:color w:val="auto"/>
          <w:sz w:val="36"/>
        </w:rPr>
      </w:pPr>
    </w:p>
    <w:p>
      <w:pPr>
        <w:pStyle w:val="40"/>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030"/>
      <w:bookmarkStart w:id="226" w:name="_Toc24486"/>
      <w:bookmarkStart w:id="227" w:name="_Toc15913"/>
      <w:bookmarkStart w:id="228" w:name="_Toc15354"/>
      <w:bookmarkStart w:id="229" w:name="_Toc12627"/>
      <w:bookmarkStart w:id="230" w:name="_Toc23171"/>
      <w:bookmarkStart w:id="231" w:name="_Toc24457"/>
      <w:bookmarkStart w:id="232" w:name="_Toc22280"/>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40"/>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11267"/>
      <w:bookmarkStart w:id="235" w:name="_Toc21054"/>
      <w:bookmarkStart w:id="236" w:name="_Toc5428"/>
      <w:bookmarkStart w:id="237" w:name="_Toc29966"/>
      <w:bookmarkStart w:id="238" w:name="_Toc22519"/>
      <w:bookmarkStart w:id="239" w:name="_Toc1120"/>
      <w:bookmarkStart w:id="240" w:name="_Toc15987"/>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40"/>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40"/>
        <w:spacing w:line="240" w:lineRule="auto"/>
        <w:ind w:firstLine="1452" w:firstLineChars="400"/>
        <w:jc w:val="left"/>
        <w:outlineLvl w:val="0"/>
        <w:rPr>
          <w:rFonts w:hint="eastAsia" w:ascii="仿宋" w:hAnsi="仿宋" w:eastAsia="仿宋" w:cs="仿宋"/>
          <w:color w:val="auto"/>
          <w:sz w:val="36"/>
          <w:szCs w:val="36"/>
          <w:u w:val="single"/>
        </w:rPr>
      </w:pPr>
      <w:bookmarkStart w:id="242" w:name="_Toc7734"/>
      <w:bookmarkStart w:id="243" w:name="_Toc21702"/>
      <w:bookmarkStart w:id="244" w:name="_Toc9715"/>
      <w:bookmarkStart w:id="245" w:name="_Toc26250"/>
      <w:bookmarkStart w:id="246" w:name="_Toc15429"/>
      <w:bookmarkStart w:id="247" w:name="_Toc880"/>
      <w:bookmarkStart w:id="248" w:name="_Toc5243"/>
      <w:bookmarkStart w:id="249" w:name="_Toc24294"/>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40"/>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22476_WPSOffice_Level1"/>
      <w:bookmarkStart w:id="251" w:name="_Toc31082_WPSOffice_Level1"/>
      <w:bookmarkStart w:id="252" w:name="_Toc2071_WPSOffice_Level1"/>
      <w:bookmarkStart w:id="253" w:name="_Toc21571_WPSOffice_Level1"/>
      <w:r>
        <w:rPr>
          <w:rFonts w:ascii="华文仿宋" w:hAnsi="华文仿宋" w:cs="华文仿宋"/>
          <w:color w:val="auto"/>
          <w:sz w:val="36"/>
        </w:rPr>
        <w:br w:type="page"/>
      </w:r>
    </w:p>
    <w:p>
      <w:pPr>
        <w:pStyle w:val="44"/>
        <w:rPr>
          <w:rFonts w:hint="eastAsia" w:ascii="黑体" w:hAnsi="黑体" w:eastAsia="黑体" w:cs="黑体"/>
          <w:b w:val="0"/>
          <w:bCs w:val="0"/>
          <w:color w:val="auto"/>
          <w:sz w:val="36"/>
          <w:szCs w:val="36"/>
        </w:rPr>
      </w:pPr>
      <w:bookmarkStart w:id="254" w:name="_Toc24906"/>
      <w:bookmarkStart w:id="255" w:name="_Toc11156"/>
      <w:bookmarkStart w:id="256" w:name="_Toc27037"/>
      <w:bookmarkStart w:id="257" w:name="_Toc10193"/>
      <w:bookmarkStart w:id="258" w:name="_Toc23450"/>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26192_WPSOffice_Level1"/>
      <w:bookmarkStart w:id="260" w:name="_Toc25537_WPSOffice_Level1"/>
      <w:bookmarkStart w:id="261" w:name="_Toc19993_WPSOffice_Level1"/>
      <w:bookmarkStart w:id="262" w:name="_Toc8294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19993_WPSOffice_Level2"/>
      <w:bookmarkStart w:id="264" w:name="_Toc25969_WPSOffice_Level2"/>
      <w:bookmarkStart w:id="265" w:name="_Toc14464_WPSOffice_Level2"/>
      <w:bookmarkStart w:id="266" w:name="_Toc31082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10078_WPSOffice_Level2"/>
      <w:bookmarkStart w:id="268" w:name="_Toc27026_WPSOffice_Level2"/>
      <w:bookmarkStart w:id="269" w:name="_Toc25537_WPSOffice_Level2"/>
      <w:bookmarkStart w:id="270" w:name="_Toc5830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6392_WPSOffice_Level2"/>
      <w:bookmarkStart w:id="272" w:name="_Toc22808_WPSOffice_Level2"/>
      <w:bookmarkStart w:id="273" w:name="_Toc17853_WPSOffice_Level2"/>
      <w:bookmarkStart w:id="274" w:name="_Toc30252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5958_WPSOffice_Level2"/>
      <w:bookmarkStart w:id="276" w:name="_Toc26939_WPSOffice_Level2"/>
      <w:bookmarkStart w:id="277" w:name="_Toc27464_WPSOffice_Level2"/>
      <w:bookmarkStart w:id="278" w:name="_Toc6376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17511_WPSOffice_Level2"/>
      <w:bookmarkStart w:id="280" w:name="_Toc3534_WPSOffice_Level2"/>
      <w:bookmarkStart w:id="281" w:name="_Toc10792_WPSOffice_Level2"/>
      <w:bookmarkStart w:id="282" w:name="_Toc25801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21196_WPSOffice_Level2"/>
      <w:bookmarkStart w:id="284" w:name="_Toc5115_WPSOffice_Level2"/>
      <w:bookmarkStart w:id="285" w:name="_Toc12145_WPSOffice_Level2"/>
      <w:bookmarkStart w:id="286" w:name="_Toc17236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2849_WPSOffice_Level1"/>
      <w:bookmarkStart w:id="288" w:name="_Toc28184_WPSOffice_Level1"/>
      <w:bookmarkStart w:id="289" w:name="_Toc27026_WPSOffice_Level1"/>
      <w:bookmarkStart w:id="290" w:name="_Toc30252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7348_WPSOffice_Level2"/>
      <w:bookmarkStart w:id="292" w:name="_Toc183_WPSOffice_Level2"/>
      <w:bookmarkStart w:id="293" w:name="_Toc28631_WPSOffice_Level2"/>
      <w:bookmarkStart w:id="294" w:name="_Toc5795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27223_WPSOffice_Level2"/>
      <w:bookmarkStart w:id="296" w:name="_Toc1168_WPSOffice_Level2"/>
      <w:bookmarkStart w:id="297" w:name="_Toc9021_WPSOffice_Level2"/>
      <w:bookmarkStart w:id="298" w:name="_Toc8116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27170_WPSOffice_Level2"/>
      <w:bookmarkStart w:id="300" w:name="_Toc3525_WPSOffice_Level2"/>
      <w:bookmarkStart w:id="301" w:name="_Toc29414_WPSOffice_Level2"/>
      <w:bookmarkStart w:id="302" w:name="_Toc11630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18811_WPSOffice_Level2"/>
      <w:bookmarkStart w:id="304" w:name="_Toc20504_WPSOffice_Level2"/>
      <w:bookmarkStart w:id="305" w:name="_Toc31457_WPSOffice_Level2"/>
      <w:bookmarkStart w:id="306" w:name="_Toc1782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19486_WPSOffice_Level2"/>
      <w:bookmarkStart w:id="308" w:name="_Toc28279_WPSOffice_Level2"/>
      <w:bookmarkStart w:id="309" w:name="_Toc17428_WPSOffice_Level2"/>
      <w:bookmarkStart w:id="310" w:name="_Toc13258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1905_WPSOffice_Level1"/>
      <w:bookmarkStart w:id="312" w:name="_Toc27464_WPSOffice_Level1"/>
      <w:bookmarkStart w:id="313" w:name="_Toc22808_WPSOffice_Level1"/>
      <w:bookmarkStart w:id="314" w:name="_Toc23092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8316_WPSOffice_Level2"/>
      <w:bookmarkStart w:id="317" w:name="_Toc980_WPSOffice_Level2"/>
      <w:bookmarkStart w:id="318" w:name="_Toc7544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15474_WPSOffice_Level2"/>
      <w:bookmarkStart w:id="320" w:name="_Toc10127_WPSOffice_Level2"/>
      <w:bookmarkStart w:id="321" w:name="_Toc2987_WPSOffice_Level2"/>
      <w:bookmarkStart w:id="322" w:name="_Toc2999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22913_WPSOffice_Level2"/>
      <w:bookmarkStart w:id="324" w:name="_Toc15492_WPSOffice_Level2"/>
      <w:bookmarkStart w:id="325" w:name="_Toc28542_WPSOffice_Level2"/>
      <w:bookmarkStart w:id="326" w:name="_Toc13401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3534_WPSOffice_Level1"/>
      <w:bookmarkStart w:id="328" w:name="_Toc23478"/>
      <w:bookmarkStart w:id="329" w:name="_Toc14670_WPSOffice_Level1"/>
      <w:bookmarkStart w:id="330" w:name="_Toc16498"/>
      <w:bookmarkStart w:id="331" w:name="_Toc8079"/>
      <w:bookmarkStart w:id="332" w:name="_Toc5115_WPSOffice_Level1"/>
      <w:bookmarkStart w:id="333" w:name="_Toc6199"/>
      <w:r>
        <w:rPr>
          <w:rStyle w:val="45"/>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9954_WPSOffice_Level2"/>
      <w:bookmarkStart w:id="335" w:name="_Toc19075_WPSOffice_Level2"/>
      <w:bookmarkStart w:id="336" w:name="_Toc26041_WPSOffice_Level2"/>
      <w:bookmarkStart w:id="337" w:name="_Toc6967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18116_WPSOffice_Level2"/>
      <w:bookmarkStart w:id="339" w:name="_Toc8228_WPSOffice_Level2"/>
      <w:bookmarkStart w:id="340" w:name="_Toc6228_WPSOffice_Level2"/>
      <w:bookmarkStart w:id="341" w:name="_Toc24324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29597_WPSOffice_Level2"/>
      <w:bookmarkStart w:id="343" w:name="_Toc25438_WPSOffice_Level2"/>
      <w:bookmarkStart w:id="344" w:name="_Toc8724_WPSOffice_Level2"/>
      <w:bookmarkStart w:id="345" w:name="_Toc9514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18154_WPSOffice_Level2"/>
      <w:bookmarkStart w:id="347" w:name="_Toc26260_WPSOffice_Level2"/>
      <w:bookmarkStart w:id="348" w:name="_Toc22563_WPSOffice_Level2"/>
      <w:bookmarkStart w:id="349" w:name="_Toc960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66" w:firstLineChars="200"/>
        <w:rPr>
          <w:rFonts w:hint="eastAsia" w:ascii="仿宋" w:hAnsi="仿宋" w:eastAsia="仿宋"/>
          <w:b/>
          <w:color w:val="auto"/>
          <w:sz w:val="28"/>
          <w:szCs w:val="28"/>
        </w:rPr>
      </w:pPr>
      <w:bookmarkStart w:id="350" w:name="_Toc10483_WPSOffice_Level2"/>
      <w:bookmarkStart w:id="351" w:name="_Toc32533_WPSOffice_Level2"/>
      <w:bookmarkStart w:id="352" w:name="_Toc30636_WPSOffice_Level2"/>
      <w:bookmarkStart w:id="353" w:name="_Toc1079_WPSOffice_Level2"/>
    </w:p>
    <w:p>
      <w:pPr>
        <w:spacing w:line="500" w:lineRule="exact"/>
        <w:ind w:firstLine="566" w:firstLineChars="200"/>
        <w:rPr>
          <w:rFonts w:hint="eastAsia" w:ascii="仿宋" w:hAnsi="仿宋" w:eastAsia="仿宋"/>
          <w:b/>
          <w:color w:val="auto"/>
          <w:sz w:val="28"/>
          <w:szCs w:val="28"/>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6"/>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6"/>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20"/>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w:t>
      </w:r>
      <w:r>
        <w:rPr>
          <w:rFonts w:hint="eastAsia" w:ascii="仿宋_GB2312" w:hAnsi="仿宋_GB2312" w:eastAsia="仿宋_GB2312" w:cs="仿宋_GB2312"/>
          <w:color w:val="auto"/>
          <w:sz w:val="28"/>
          <w:szCs w:val="28"/>
          <w:lang w:val="en-US" w:eastAsia="zh-CN"/>
        </w:rPr>
        <w:t>中华人民共和国</w:t>
      </w:r>
      <w:r>
        <w:rPr>
          <w:rFonts w:hint="eastAsia" w:ascii="仿宋_GB2312" w:hAnsi="仿宋_GB2312" w:eastAsia="仿宋_GB2312" w:cs="仿宋_GB2312"/>
          <w:color w:val="auto"/>
          <w:sz w:val="28"/>
          <w:szCs w:val="28"/>
        </w:rPr>
        <w:t>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20"/>
        <w:ind w:firstLine="304"/>
        <w:rPr>
          <w:b/>
          <w:bCs/>
          <w:color w:val="auto"/>
          <w:sz w:val="30"/>
          <w:szCs w:val="30"/>
        </w:rPr>
      </w:pPr>
    </w:p>
    <w:p>
      <w:pPr>
        <w:pStyle w:val="20"/>
        <w:ind w:firstLine="304"/>
        <w:rPr>
          <w:b/>
          <w:bCs/>
          <w:color w:val="auto"/>
          <w:sz w:val="30"/>
          <w:szCs w:val="30"/>
        </w:rPr>
      </w:pPr>
    </w:p>
    <w:p>
      <w:pPr>
        <w:rPr>
          <w:b/>
          <w:bCs/>
          <w:color w:val="auto"/>
          <w:sz w:val="30"/>
          <w:szCs w:val="30"/>
        </w:rPr>
      </w:pPr>
      <w:r>
        <w:rPr>
          <w:b/>
          <w:bCs/>
          <w:color w:val="auto"/>
          <w:sz w:val="30"/>
          <w:szCs w:val="30"/>
        </w:rPr>
        <w:br w:type="page"/>
      </w:r>
    </w:p>
    <w:p>
      <w:pPr>
        <w:pStyle w:val="46"/>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24625_WPSOffice_Level2"/>
      <w:bookmarkStart w:id="355" w:name="_Toc23486_WPSOffice_Level2"/>
      <w:bookmarkStart w:id="356" w:name="_Toc13298_WPSOffice_Level2"/>
      <w:bookmarkStart w:id="357" w:name="_Toc1451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6"/>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2"/>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20"/>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pStyle w:val="44"/>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59" w:name="_Toc29866"/>
      <w:bookmarkStart w:id="360" w:name="_Toc28770"/>
      <w:bookmarkStart w:id="361" w:name="_Toc1034"/>
      <w:bookmarkStart w:id="362" w:name="_Toc9751"/>
      <w:bookmarkStart w:id="363" w:name="_Toc2083"/>
      <w:bookmarkStart w:id="364" w:name="_Toc18829"/>
      <w:bookmarkStart w:id="365" w:name="_Toc9519_WPSOffice_Level2"/>
      <w:bookmarkStart w:id="366" w:name="_Toc17773_WPSOffice_Level2"/>
      <w:bookmarkStart w:id="367" w:name="_Toc29102_WPSOffice_Level2"/>
      <w:bookmarkStart w:id="368" w:name="_Toc29990_WPSOffice_Level2"/>
      <w:bookmarkStart w:id="369" w:name="_Toc20137"/>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4"/>
    </w:p>
    <w:p>
      <w:pPr>
        <w:pStyle w:val="44"/>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22486"/>
      <w:bookmarkStart w:id="371" w:name="_Toc14262"/>
      <w:bookmarkStart w:id="372" w:name="_Toc3857"/>
      <w:bookmarkStart w:id="373" w:name="_Toc7047"/>
      <w:bookmarkStart w:id="374" w:name="_Toc2230"/>
      <w:bookmarkStart w:id="375" w:name="_Toc26585"/>
      <w:bookmarkStart w:id="376" w:name="_Toc28961"/>
      <w:bookmarkStart w:id="377" w:name="_Toc26623"/>
      <w:bookmarkStart w:id="378" w:name="_Toc19788"/>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40"/>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2777"/>
      <w:bookmarkStart w:id="380" w:name="_Toc10617"/>
      <w:bookmarkStart w:id="381" w:name="_Toc23334"/>
      <w:r>
        <w:rPr>
          <w:rFonts w:hint="eastAsia" w:ascii="仿宋_GB2312" w:hAnsi="仿宋_GB2312" w:eastAsia="仿宋_GB2312" w:cs="仿宋_GB2312"/>
          <w:b/>
          <w:bCs/>
          <w:color w:val="auto"/>
          <w:sz w:val="28"/>
          <w:szCs w:val="28"/>
        </w:rPr>
        <w:t>响应函</w:t>
      </w:r>
      <w:bookmarkEnd w:id="379"/>
      <w:bookmarkEnd w:id="380"/>
      <w:bookmarkEnd w:id="381"/>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40"/>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40"/>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40"/>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40"/>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40"/>
        <w:ind w:firstLine="639" w:firstLineChars="300"/>
        <w:rPr>
          <w:rFonts w:hint="eastAsia" w:ascii="宋体" w:hAnsi="宋体" w:eastAsia="宋体" w:cs="宋体"/>
          <w:b/>
          <w:bCs/>
          <w:color w:val="auto"/>
          <w:sz w:val="21"/>
          <w:szCs w:val="21"/>
        </w:rPr>
      </w:pPr>
    </w:p>
    <w:p>
      <w:pPr>
        <w:pStyle w:val="40"/>
        <w:ind w:firstLine="639" w:firstLineChars="300"/>
        <w:rPr>
          <w:rFonts w:hint="eastAsia" w:ascii="宋体" w:hAnsi="宋体" w:eastAsia="宋体" w:cs="宋体"/>
          <w:b/>
          <w:bCs/>
          <w:color w:val="auto"/>
          <w:sz w:val="21"/>
          <w:szCs w:val="21"/>
        </w:rPr>
      </w:pPr>
    </w:p>
    <w:p>
      <w:pPr>
        <w:pStyle w:val="40"/>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5"/>
    <w:bookmarkEnd w:id="366"/>
    <w:bookmarkEnd w:id="367"/>
    <w:bookmarkEnd w:id="368"/>
    <w:bookmarkEnd w:id="369"/>
    <w:p>
      <w:pPr>
        <w:pStyle w:val="44"/>
        <w:jc w:val="both"/>
        <w:rPr>
          <w:rFonts w:ascii="仿宋" w:hAnsi="仿宋" w:eastAsia="仿宋"/>
          <w:color w:val="auto"/>
          <w:sz w:val="28"/>
          <w:szCs w:val="28"/>
        </w:rPr>
      </w:pPr>
      <w:bookmarkStart w:id="382" w:name="_Toc6921"/>
      <w:bookmarkStart w:id="383" w:name="_Toc24876"/>
      <w:bookmarkStart w:id="384" w:name="_Toc23955"/>
      <w:bookmarkStart w:id="385" w:name="_Toc30525"/>
      <w:bookmarkStart w:id="386" w:name="_Toc23660"/>
      <w:bookmarkStart w:id="387" w:name="_Toc15883"/>
      <w:bookmarkStart w:id="388" w:name="_Toc13216"/>
      <w:bookmarkStart w:id="389" w:name="_Toc6154"/>
      <w:bookmarkStart w:id="390" w:name="_Toc8175"/>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8"/>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4"/>
        <w:rPr>
          <w:rFonts w:hint="eastAsia" w:ascii="仿宋_GB2312" w:hAnsi="仿宋_GB2312" w:eastAsia="仿宋_GB2312" w:cs="仿宋_GB2312"/>
          <w:color w:val="auto"/>
          <w:sz w:val="28"/>
          <w:szCs w:val="28"/>
          <w:shd w:val="clear" w:color="auto" w:fill="FFFFFF"/>
        </w:rPr>
      </w:pPr>
    </w:p>
    <w:tbl>
      <w:tblPr>
        <w:tblStyle w:val="22"/>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8"/>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8"/>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4"/>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3"/>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966"/>
        <w:gridCol w:w="1555"/>
        <w:gridCol w:w="1240"/>
        <w:gridCol w:w="870"/>
        <w:gridCol w:w="103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30" w:type="dxa"/>
            <w:vAlign w:val="center"/>
          </w:tcPr>
          <w:p>
            <w:pPr>
              <w:pStyle w:val="44"/>
              <w:widowControl w:val="0"/>
              <w:rPr>
                <w:rFonts w:hint="eastAsia" w:ascii="仿宋_GB2312" w:hAnsi="仿宋_GB2312" w:eastAsia="仿宋_GB2312" w:cs="仿宋_GB2312"/>
                <w:bCs w:val="0"/>
                <w:sz w:val="28"/>
                <w:szCs w:val="28"/>
              </w:rPr>
            </w:pPr>
            <w:bookmarkStart w:id="392" w:name="_Toc16723"/>
            <w:bookmarkStart w:id="393" w:name="_Toc28408"/>
            <w:bookmarkStart w:id="394" w:name="_Toc1934"/>
            <w:bookmarkStart w:id="395" w:name="_Toc11534"/>
            <w:bookmarkStart w:id="396" w:name="_Toc22090"/>
            <w:bookmarkStart w:id="397" w:name="_Toc26257"/>
            <w:bookmarkStart w:id="398" w:name="_Toc11855"/>
            <w:bookmarkStart w:id="399" w:name="_Toc32361"/>
            <w:bookmarkStart w:id="400" w:name="_Toc18433"/>
            <w:r>
              <w:rPr>
                <w:rFonts w:hint="eastAsia" w:ascii="仿宋_GB2312" w:hAnsi="仿宋_GB2312" w:eastAsia="仿宋_GB2312" w:cs="仿宋_GB2312"/>
                <w:bCs w:val="0"/>
                <w:sz w:val="28"/>
                <w:szCs w:val="28"/>
              </w:rPr>
              <w:t>序号</w:t>
            </w:r>
            <w:bookmarkEnd w:id="392"/>
            <w:bookmarkEnd w:id="393"/>
            <w:bookmarkEnd w:id="394"/>
            <w:bookmarkEnd w:id="395"/>
            <w:bookmarkEnd w:id="396"/>
            <w:bookmarkEnd w:id="397"/>
            <w:bookmarkEnd w:id="398"/>
            <w:bookmarkEnd w:id="399"/>
            <w:bookmarkEnd w:id="400"/>
          </w:p>
        </w:tc>
        <w:tc>
          <w:tcPr>
            <w:tcW w:w="1379" w:type="dxa"/>
            <w:vAlign w:val="center"/>
          </w:tcPr>
          <w:p>
            <w:pPr>
              <w:pStyle w:val="44"/>
              <w:widowControl w:val="0"/>
              <w:rPr>
                <w:rFonts w:hint="eastAsia" w:ascii="仿宋_GB2312" w:hAnsi="仿宋_GB2312" w:eastAsia="仿宋_GB2312" w:cs="仿宋_GB2312"/>
                <w:bCs w:val="0"/>
                <w:sz w:val="28"/>
                <w:szCs w:val="28"/>
                <w:lang w:eastAsia="zh-CN"/>
              </w:rPr>
            </w:pPr>
            <w:r>
              <w:rPr>
                <w:rFonts w:hint="eastAsia" w:ascii="仿宋_GB2312" w:hAnsi="仿宋_GB2312" w:eastAsia="仿宋_GB2312" w:cs="仿宋_GB2312"/>
                <w:bCs w:val="0"/>
                <w:sz w:val="28"/>
                <w:szCs w:val="28"/>
                <w:lang w:val="en-US" w:eastAsia="zh-CN"/>
              </w:rPr>
              <w:t>产品名称</w:t>
            </w:r>
          </w:p>
        </w:tc>
        <w:tc>
          <w:tcPr>
            <w:tcW w:w="966" w:type="dxa"/>
            <w:vAlign w:val="center"/>
          </w:tcPr>
          <w:p>
            <w:pPr>
              <w:pStyle w:val="44"/>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品牌</w:t>
            </w:r>
          </w:p>
        </w:tc>
        <w:tc>
          <w:tcPr>
            <w:tcW w:w="1555" w:type="dxa"/>
            <w:vAlign w:val="center"/>
          </w:tcPr>
          <w:p>
            <w:pPr>
              <w:pStyle w:val="44"/>
              <w:widowControl w:val="0"/>
              <w:spacing w:line="300" w:lineRule="exact"/>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规格型号</w:t>
            </w:r>
          </w:p>
        </w:tc>
        <w:tc>
          <w:tcPr>
            <w:tcW w:w="1240" w:type="dxa"/>
            <w:vAlign w:val="center"/>
          </w:tcPr>
          <w:p>
            <w:pPr>
              <w:pStyle w:val="44"/>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制造商</w:t>
            </w:r>
          </w:p>
        </w:tc>
        <w:tc>
          <w:tcPr>
            <w:tcW w:w="870" w:type="dxa"/>
            <w:vAlign w:val="center"/>
          </w:tcPr>
          <w:p>
            <w:pPr>
              <w:pStyle w:val="44"/>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数量</w:t>
            </w:r>
          </w:p>
        </w:tc>
        <w:tc>
          <w:tcPr>
            <w:tcW w:w="1037" w:type="dxa"/>
            <w:vAlign w:val="center"/>
          </w:tcPr>
          <w:p>
            <w:pPr>
              <w:pStyle w:val="44"/>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单价</w:t>
            </w:r>
          </w:p>
        </w:tc>
        <w:tc>
          <w:tcPr>
            <w:tcW w:w="1352" w:type="dxa"/>
            <w:vAlign w:val="center"/>
          </w:tcPr>
          <w:p>
            <w:pPr>
              <w:pStyle w:val="44"/>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4"/>
              <w:widowControl w:val="0"/>
              <w:jc w:val="left"/>
              <w:rPr>
                <w:rFonts w:hint="eastAsia" w:ascii="仿宋_GB2312" w:hAnsi="仿宋_GB2312" w:eastAsia="仿宋_GB2312" w:cs="仿宋_GB2312"/>
                <w:bCs w:val="0"/>
                <w:sz w:val="28"/>
                <w:szCs w:val="28"/>
              </w:rPr>
            </w:pPr>
          </w:p>
        </w:tc>
        <w:tc>
          <w:tcPr>
            <w:tcW w:w="1379" w:type="dxa"/>
          </w:tcPr>
          <w:p>
            <w:pPr>
              <w:pStyle w:val="44"/>
              <w:widowControl w:val="0"/>
              <w:jc w:val="left"/>
              <w:rPr>
                <w:rFonts w:hint="eastAsia" w:ascii="仿宋_GB2312" w:hAnsi="仿宋_GB2312" w:eastAsia="仿宋_GB2312" w:cs="仿宋_GB2312"/>
                <w:bCs w:val="0"/>
                <w:sz w:val="28"/>
                <w:szCs w:val="28"/>
              </w:rPr>
            </w:pPr>
          </w:p>
        </w:tc>
        <w:tc>
          <w:tcPr>
            <w:tcW w:w="966" w:type="dxa"/>
          </w:tcPr>
          <w:p>
            <w:pPr>
              <w:pStyle w:val="44"/>
              <w:widowControl w:val="0"/>
              <w:jc w:val="left"/>
              <w:rPr>
                <w:rFonts w:hint="eastAsia" w:ascii="仿宋_GB2312" w:hAnsi="仿宋_GB2312" w:eastAsia="仿宋_GB2312" w:cs="仿宋_GB2312"/>
                <w:bCs w:val="0"/>
                <w:sz w:val="28"/>
                <w:szCs w:val="28"/>
              </w:rPr>
            </w:pPr>
          </w:p>
        </w:tc>
        <w:tc>
          <w:tcPr>
            <w:tcW w:w="1555" w:type="dxa"/>
          </w:tcPr>
          <w:p>
            <w:pPr>
              <w:pStyle w:val="44"/>
              <w:widowControl w:val="0"/>
              <w:jc w:val="left"/>
              <w:rPr>
                <w:rFonts w:hint="eastAsia" w:ascii="仿宋_GB2312" w:hAnsi="仿宋_GB2312" w:eastAsia="仿宋_GB2312" w:cs="仿宋_GB2312"/>
                <w:bCs w:val="0"/>
                <w:sz w:val="28"/>
                <w:szCs w:val="28"/>
              </w:rPr>
            </w:pPr>
          </w:p>
        </w:tc>
        <w:tc>
          <w:tcPr>
            <w:tcW w:w="1240" w:type="dxa"/>
          </w:tcPr>
          <w:p>
            <w:pPr>
              <w:pStyle w:val="44"/>
              <w:widowControl w:val="0"/>
              <w:jc w:val="left"/>
              <w:rPr>
                <w:rFonts w:hint="eastAsia" w:ascii="仿宋_GB2312" w:hAnsi="仿宋_GB2312" w:eastAsia="仿宋_GB2312" w:cs="仿宋_GB2312"/>
                <w:bCs w:val="0"/>
                <w:sz w:val="28"/>
                <w:szCs w:val="28"/>
              </w:rPr>
            </w:pPr>
          </w:p>
        </w:tc>
        <w:tc>
          <w:tcPr>
            <w:tcW w:w="870" w:type="dxa"/>
          </w:tcPr>
          <w:p>
            <w:pPr>
              <w:pStyle w:val="44"/>
              <w:widowControl w:val="0"/>
              <w:jc w:val="left"/>
              <w:rPr>
                <w:rFonts w:hint="eastAsia" w:ascii="仿宋_GB2312" w:hAnsi="仿宋_GB2312" w:eastAsia="仿宋_GB2312" w:cs="仿宋_GB2312"/>
                <w:bCs w:val="0"/>
                <w:sz w:val="28"/>
                <w:szCs w:val="28"/>
              </w:rPr>
            </w:pPr>
          </w:p>
        </w:tc>
        <w:tc>
          <w:tcPr>
            <w:tcW w:w="1037" w:type="dxa"/>
          </w:tcPr>
          <w:p>
            <w:pPr>
              <w:pStyle w:val="44"/>
              <w:widowControl w:val="0"/>
              <w:jc w:val="left"/>
              <w:rPr>
                <w:rFonts w:hint="eastAsia" w:ascii="仿宋_GB2312" w:hAnsi="仿宋_GB2312" w:eastAsia="仿宋_GB2312" w:cs="仿宋_GB2312"/>
                <w:bCs w:val="0"/>
                <w:sz w:val="28"/>
                <w:szCs w:val="28"/>
              </w:rPr>
            </w:pPr>
          </w:p>
        </w:tc>
        <w:tc>
          <w:tcPr>
            <w:tcW w:w="1352" w:type="dxa"/>
          </w:tcPr>
          <w:p>
            <w:pPr>
              <w:pStyle w:val="44"/>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4"/>
              <w:widowControl w:val="0"/>
              <w:jc w:val="left"/>
              <w:rPr>
                <w:rFonts w:hint="eastAsia" w:ascii="仿宋_GB2312" w:hAnsi="仿宋_GB2312" w:eastAsia="仿宋_GB2312" w:cs="仿宋_GB2312"/>
                <w:bCs w:val="0"/>
                <w:sz w:val="28"/>
                <w:szCs w:val="28"/>
              </w:rPr>
            </w:pPr>
            <w:bookmarkStart w:id="401" w:name="_Toc31519"/>
          </w:p>
        </w:tc>
        <w:tc>
          <w:tcPr>
            <w:tcW w:w="1379" w:type="dxa"/>
          </w:tcPr>
          <w:p>
            <w:pPr>
              <w:pStyle w:val="44"/>
              <w:widowControl w:val="0"/>
              <w:jc w:val="left"/>
              <w:rPr>
                <w:rFonts w:hint="eastAsia" w:ascii="仿宋_GB2312" w:hAnsi="仿宋_GB2312" w:eastAsia="仿宋_GB2312" w:cs="仿宋_GB2312"/>
                <w:bCs w:val="0"/>
                <w:sz w:val="28"/>
                <w:szCs w:val="28"/>
              </w:rPr>
            </w:pPr>
          </w:p>
        </w:tc>
        <w:tc>
          <w:tcPr>
            <w:tcW w:w="966" w:type="dxa"/>
          </w:tcPr>
          <w:p>
            <w:pPr>
              <w:pStyle w:val="44"/>
              <w:widowControl w:val="0"/>
              <w:jc w:val="left"/>
              <w:rPr>
                <w:rFonts w:hint="eastAsia" w:ascii="仿宋_GB2312" w:hAnsi="仿宋_GB2312" w:eastAsia="仿宋_GB2312" w:cs="仿宋_GB2312"/>
                <w:bCs w:val="0"/>
                <w:sz w:val="28"/>
                <w:szCs w:val="28"/>
              </w:rPr>
            </w:pPr>
          </w:p>
        </w:tc>
        <w:tc>
          <w:tcPr>
            <w:tcW w:w="1555" w:type="dxa"/>
          </w:tcPr>
          <w:p>
            <w:pPr>
              <w:pStyle w:val="44"/>
              <w:widowControl w:val="0"/>
              <w:jc w:val="left"/>
              <w:rPr>
                <w:rFonts w:hint="eastAsia" w:ascii="仿宋_GB2312" w:hAnsi="仿宋_GB2312" w:eastAsia="仿宋_GB2312" w:cs="仿宋_GB2312"/>
                <w:bCs w:val="0"/>
                <w:sz w:val="28"/>
                <w:szCs w:val="28"/>
              </w:rPr>
            </w:pPr>
          </w:p>
        </w:tc>
        <w:tc>
          <w:tcPr>
            <w:tcW w:w="1240" w:type="dxa"/>
          </w:tcPr>
          <w:p>
            <w:pPr>
              <w:pStyle w:val="44"/>
              <w:widowControl w:val="0"/>
              <w:jc w:val="left"/>
              <w:rPr>
                <w:rFonts w:hint="eastAsia" w:ascii="仿宋_GB2312" w:hAnsi="仿宋_GB2312" w:eastAsia="仿宋_GB2312" w:cs="仿宋_GB2312"/>
                <w:bCs w:val="0"/>
                <w:sz w:val="28"/>
                <w:szCs w:val="28"/>
              </w:rPr>
            </w:pPr>
          </w:p>
        </w:tc>
        <w:tc>
          <w:tcPr>
            <w:tcW w:w="870" w:type="dxa"/>
          </w:tcPr>
          <w:p>
            <w:pPr>
              <w:pStyle w:val="44"/>
              <w:widowControl w:val="0"/>
              <w:jc w:val="left"/>
              <w:rPr>
                <w:rFonts w:hint="eastAsia" w:ascii="仿宋_GB2312" w:hAnsi="仿宋_GB2312" w:eastAsia="仿宋_GB2312" w:cs="仿宋_GB2312"/>
                <w:bCs w:val="0"/>
                <w:sz w:val="28"/>
                <w:szCs w:val="28"/>
              </w:rPr>
            </w:pPr>
          </w:p>
        </w:tc>
        <w:tc>
          <w:tcPr>
            <w:tcW w:w="1037" w:type="dxa"/>
          </w:tcPr>
          <w:p>
            <w:pPr>
              <w:pStyle w:val="44"/>
              <w:widowControl w:val="0"/>
              <w:jc w:val="left"/>
              <w:rPr>
                <w:rFonts w:hint="eastAsia" w:ascii="仿宋_GB2312" w:hAnsi="仿宋_GB2312" w:eastAsia="仿宋_GB2312" w:cs="仿宋_GB2312"/>
                <w:bCs w:val="0"/>
                <w:sz w:val="28"/>
                <w:szCs w:val="28"/>
              </w:rPr>
            </w:pPr>
          </w:p>
        </w:tc>
        <w:tc>
          <w:tcPr>
            <w:tcW w:w="1352" w:type="dxa"/>
          </w:tcPr>
          <w:p>
            <w:pPr>
              <w:pStyle w:val="44"/>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4"/>
              <w:widowControl w:val="0"/>
              <w:jc w:val="left"/>
              <w:rPr>
                <w:rFonts w:hint="eastAsia" w:ascii="仿宋_GB2312" w:hAnsi="仿宋_GB2312" w:eastAsia="仿宋_GB2312" w:cs="仿宋_GB2312"/>
                <w:bCs w:val="0"/>
                <w:sz w:val="28"/>
                <w:szCs w:val="28"/>
              </w:rPr>
            </w:pPr>
          </w:p>
        </w:tc>
        <w:tc>
          <w:tcPr>
            <w:tcW w:w="1379" w:type="dxa"/>
          </w:tcPr>
          <w:p>
            <w:pPr>
              <w:pStyle w:val="44"/>
              <w:widowControl w:val="0"/>
              <w:jc w:val="left"/>
              <w:rPr>
                <w:rFonts w:hint="eastAsia" w:ascii="仿宋_GB2312" w:hAnsi="仿宋_GB2312" w:eastAsia="仿宋_GB2312" w:cs="仿宋_GB2312"/>
                <w:bCs w:val="0"/>
                <w:sz w:val="28"/>
                <w:szCs w:val="28"/>
              </w:rPr>
            </w:pPr>
          </w:p>
        </w:tc>
        <w:tc>
          <w:tcPr>
            <w:tcW w:w="966" w:type="dxa"/>
          </w:tcPr>
          <w:p>
            <w:pPr>
              <w:pStyle w:val="44"/>
              <w:widowControl w:val="0"/>
              <w:jc w:val="left"/>
              <w:rPr>
                <w:rFonts w:hint="eastAsia" w:ascii="仿宋_GB2312" w:hAnsi="仿宋_GB2312" w:eastAsia="仿宋_GB2312" w:cs="仿宋_GB2312"/>
                <w:bCs w:val="0"/>
                <w:sz w:val="28"/>
                <w:szCs w:val="28"/>
              </w:rPr>
            </w:pPr>
          </w:p>
        </w:tc>
        <w:tc>
          <w:tcPr>
            <w:tcW w:w="1555" w:type="dxa"/>
          </w:tcPr>
          <w:p>
            <w:pPr>
              <w:pStyle w:val="44"/>
              <w:widowControl w:val="0"/>
              <w:jc w:val="left"/>
              <w:rPr>
                <w:rFonts w:hint="eastAsia" w:ascii="仿宋_GB2312" w:hAnsi="仿宋_GB2312" w:eastAsia="仿宋_GB2312" w:cs="仿宋_GB2312"/>
                <w:bCs w:val="0"/>
                <w:sz w:val="28"/>
                <w:szCs w:val="28"/>
              </w:rPr>
            </w:pPr>
          </w:p>
        </w:tc>
        <w:tc>
          <w:tcPr>
            <w:tcW w:w="1240" w:type="dxa"/>
          </w:tcPr>
          <w:p>
            <w:pPr>
              <w:pStyle w:val="44"/>
              <w:widowControl w:val="0"/>
              <w:jc w:val="left"/>
              <w:rPr>
                <w:rFonts w:hint="eastAsia" w:ascii="仿宋_GB2312" w:hAnsi="仿宋_GB2312" w:eastAsia="仿宋_GB2312" w:cs="仿宋_GB2312"/>
                <w:bCs w:val="0"/>
                <w:sz w:val="28"/>
                <w:szCs w:val="28"/>
              </w:rPr>
            </w:pPr>
          </w:p>
        </w:tc>
        <w:tc>
          <w:tcPr>
            <w:tcW w:w="870" w:type="dxa"/>
          </w:tcPr>
          <w:p>
            <w:pPr>
              <w:pStyle w:val="44"/>
              <w:widowControl w:val="0"/>
              <w:jc w:val="left"/>
              <w:rPr>
                <w:rFonts w:hint="eastAsia" w:ascii="仿宋_GB2312" w:hAnsi="仿宋_GB2312" w:eastAsia="仿宋_GB2312" w:cs="仿宋_GB2312"/>
                <w:bCs w:val="0"/>
                <w:sz w:val="28"/>
                <w:szCs w:val="28"/>
              </w:rPr>
            </w:pPr>
          </w:p>
        </w:tc>
        <w:tc>
          <w:tcPr>
            <w:tcW w:w="1037" w:type="dxa"/>
          </w:tcPr>
          <w:p>
            <w:pPr>
              <w:pStyle w:val="44"/>
              <w:widowControl w:val="0"/>
              <w:jc w:val="left"/>
              <w:rPr>
                <w:rFonts w:hint="eastAsia" w:ascii="仿宋_GB2312" w:hAnsi="仿宋_GB2312" w:eastAsia="仿宋_GB2312" w:cs="仿宋_GB2312"/>
                <w:bCs w:val="0"/>
                <w:sz w:val="28"/>
                <w:szCs w:val="28"/>
              </w:rPr>
            </w:pPr>
          </w:p>
        </w:tc>
        <w:tc>
          <w:tcPr>
            <w:tcW w:w="1352" w:type="dxa"/>
          </w:tcPr>
          <w:p>
            <w:pPr>
              <w:pStyle w:val="44"/>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4"/>
              <w:widowControl w:val="0"/>
              <w:jc w:val="left"/>
              <w:rPr>
                <w:rFonts w:hint="eastAsia" w:ascii="仿宋_GB2312" w:hAnsi="仿宋_GB2312" w:eastAsia="仿宋_GB2312" w:cs="仿宋_GB2312"/>
                <w:bCs w:val="0"/>
                <w:sz w:val="28"/>
                <w:szCs w:val="28"/>
              </w:rPr>
            </w:pPr>
          </w:p>
        </w:tc>
        <w:tc>
          <w:tcPr>
            <w:tcW w:w="1379" w:type="dxa"/>
          </w:tcPr>
          <w:p>
            <w:pPr>
              <w:pStyle w:val="44"/>
              <w:widowControl w:val="0"/>
              <w:jc w:val="left"/>
              <w:rPr>
                <w:rFonts w:hint="eastAsia" w:ascii="仿宋_GB2312" w:hAnsi="仿宋_GB2312" w:eastAsia="仿宋_GB2312" w:cs="仿宋_GB2312"/>
                <w:bCs w:val="0"/>
                <w:sz w:val="28"/>
                <w:szCs w:val="28"/>
              </w:rPr>
            </w:pPr>
          </w:p>
        </w:tc>
        <w:tc>
          <w:tcPr>
            <w:tcW w:w="966" w:type="dxa"/>
          </w:tcPr>
          <w:p>
            <w:pPr>
              <w:pStyle w:val="44"/>
              <w:widowControl w:val="0"/>
              <w:jc w:val="left"/>
              <w:rPr>
                <w:rFonts w:hint="eastAsia" w:ascii="仿宋_GB2312" w:hAnsi="仿宋_GB2312" w:eastAsia="仿宋_GB2312" w:cs="仿宋_GB2312"/>
                <w:bCs w:val="0"/>
                <w:sz w:val="28"/>
                <w:szCs w:val="28"/>
              </w:rPr>
            </w:pPr>
          </w:p>
        </w:tc>
        <w:tc>
          <w:tcPr>
            <w:tcW w:w="1555" w:type="dxa"/>
          </w:tcPr>
          <w:p>
            <w:pPr>
              <w:pStyle w:val="44"/>
              <w:widowControl w:val="0"/>
              <w:jc w:val="left"/>
              <w:rPr>
                <w:rFonts w:hint="eastAsia" w:ascii="仿宋_GB2312" w:hAnsi="仿宋_GB2312" w:eastAsia="仿宋_GB2312" w:cs="仿宋_GB2312"/>
                <w:bCs w:val="0"/>
                <w:sz w:val="28"/>
                <w:szCs w:val="28"/>
              </w:rPr>
            </w:pPr>
          </w:p>
        </w:tc>
        <w:tc>
          <w:tcPr>
            <w:tcW w:w="1240" w:type="dxa"/>
          </w:tcPr>
          <w:p>
            <w:pPr>
              <w:pStyle w:val="44"/>
              <w:widowControl w:val="0"/>
              <w:jc w:val="left"/>
              <w:rPr>
                <w:rFonts w:hint="eastAsia" w:ascii="仿宋_GB2312" w:hAnsi="仿宋_GB2312" w:eastAsia="仿宋_GB2312" w:cs="仿宋_GB2312"/>
                <w:bCs w:val="0"/>
                <w:sz w:val="28"/>
                <w:szCs w:val="28"/>
              </w:rPr>
            </w:pPr>
          </w:p>
        </w:tc>
        <w:tc>
          <w:tcPr>
            <w:tcW w:w="870" w:type="dxa"/>
          </w:tcPr>
          <w:p>
            <w:pPr>
              <w:pStyle w:val="44"/>
              <w:widowControl w:val="0"/>
              <w:jc w:val="left"/>
              <w:rPr>
                <w:rFonts w:hint="eastAsia" w:ascii="仿宋_GB2312" w:hAnsi="仿宋_GB2312" w:eastAsia="仿宋_GB2312" w:cs="仿宋_GB2312"/>
                <w:bCs w:val="0"/>
                <w:sz w:val="28"/>
                <w:szCs w:val="28"/>
              </w:rPr>
            </w:pPr>
          </w:p>
        </w:tc>
        <w:tc>
          <w:tcPr>
            <w:tcW w:w="1037" w:type="dxa"/>
          </w:tcPr>
          <w:p>
            <w:pPr>
              <w:pStyle w:val="44"/>
              <w:widowControl w:val="0"/>
              <w:jc w:val="left"/>
              <w:rPr>
                <w:rFonts w:hint="eastAsia" w:ascii="仿宋_GB2312" w:hAnsi="仿宋_GB2312" w:eastAsia="仿宋_GB2312" w:cs="仿宋_GB2312"/>
                <w:bCs w:val="0"/>
                <w:sz w:val="28"/>
                <w:szCs w:val="28"/>
              </w:rPr>
            </w:pPr>
          </w:p>
        </w:tc>
        <w:tc>
          <w:tcPr>
            <w:tcW w:w="1352" w:type="dxa"/>
          </w:tcPr>
          <w:p>
            <w:pPr>
              <w:pStyle w:val="44"/>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4"/>
              <w:widowControl w:val="0"/>
              <w:jc w:val="left"/>
              <w:rPr>
                <w:rFonts w:hint="eastAsia" w:ascii="仿宋_GB2312" w:hAnsi="仿宋_GB2312" w:eastAsia="仿宋_GB2312" w:cs="仿宋_GB2312"/>
                <w:bCs w:val="0"/>
                <w:sz w:val="28"/>
                <w:szCs w:val="28"/>
              </w:rPr>
            </w:pPr>
          </w:p>
        </w:tc>
        <w:tc>
          <w:tcPr>
            <w:tcW w:w="1379" w:type="dxa"/>
          </w:tcPr>
          <w:p>
            <w:pPr>
              <w:pStyle w:val="44"/>
              <w:widowControl w:val="0"/>
              <w:jc w:val="left"/>
              <w:rPr>
                <w:rFonts w:hint="eastAsia" w:ascii="仿宋_GB2312" w:hAnsi="仿宋_GB2312" w:eastAsia="仿宋_GB2312" w:cs="仿宋_GB2312"/>
                <w:bCs w:val="0"/>
                <w:sz w:val="28"/>
                <w:szCs w:val="28"/>
              </w:rPr>
            </w:pPr>
          </w:p>
        </w:tc>
        <w:tc>
          <w:tcPr>
            <w:tcW w:w="966" w:type="dxa"/>
          </w:tcPr>
          <w:p>
            <w:pPr>
              <w:pStyle w:val="44"/>
              <w:widowControl w:val="0"/>
              <w:jc w:val="left"/>
              <w:rPr>
                <w:rFonts w:hint="eastAsia" w:ascii="仿宋_GB2312" w:hAnsi="仿宋_GB2312" w:eastAsia="仿宋_GB2312" w:cs="仿宋_GB2312"/>
                <w:bCs w:val="0"/>
                <w:sz w:val="28"/>
                <w:szCs w:val="28"/>
              </w:rPr>
            </w:pPr>
          </w:p>
        </w:tc>
        <w:tc>
          <w:tcPr>
            <w:tcW w:w="1555" w:type="dxa"/>
          </w:tcPr>
          <w:p>
            <w:pPr>
              <w:pStyle w:val="44"/>
              <w:widowControl w:val="0"/>
              <w:jc w:val="left"/>
              <w:rPr>
                <w:rFonts w:hint="eastAsia" w:ascii="仿宋_GB2312" w:hAnsi="仿宋_GB2312" w:eastAsia="仿宋_GB2312" w:cs="仿宋_GB2312"/>
                <w:bCs w:val="0"/>
                <w:sz w:val="28"/>
                <w:szCs w:val="28"/>
              </w:rPr>
            </w:pPr>
          </w:p>
        </w:tc>
        <w:tc>
          <w:tcPr>
            <w:tcW w:w="1240" w:type="dxa"/>
          </w:tcPr>
          <w:p>
            <w:pPr>
              <w:pStyle w:val="44"/>
              <w:widowControl w:val="0"/>
              <w:jc w:val="left"/>
              <w:rPr>
                <w:rFonts w:hint="eastAsia" w:ascii="仿宋_GB2312" w:hAnsi="仿宋_GB2312" w:eastAsia="仿宋_GB2312" w:cs="仿宋_GB2312"/>
                <w:bCs w:val="0"/>
                <w:sz w:val="28"/>
                <w:szCs w:val="28"/>
              </w:rPr>
            </w:pPr>
          </w:p>
        </w:tc>
        <w:tc>
          <w:tcPr>
            <w:tcW w:w="870" w:type="dxa"/>
          </w:tcPr>
          <w:p>
            <w:pPr>
              <w:pStyle w:val="44"/>
              <w:widowControl w:val="0"/>
              <w:jc w:val="left"/>
              <w:rPr>
                <w:rFonts w:hint="eastAsia" w:ascii="仿宋_GB2312" w:hAnsi="仿宋_GB2312" w:eastAsia="仿宋_GB2312" w:cs="仿宋_GB2312"/>
                <w:bCs w:val="0"/>
                <w:sz w:val="28"/>
                <w:szCs w:val="28"/>
              </w:rPr>
            </w:pPr>
          </w:p>
        </w:tc>
        <w:tc>
          <w:tcPr>
            <w:tcW w:w="1037" w:type="dxa"/>
          </w:tcPr>
          <w:p>
            <w:pPr>
              <w:pStyle w:val="44"/>
              <w:widowControl w:val="0"/>
              <w:jc w:val="left"/>
              <w:rPr>
                <w:rFonts w:hint="eastAsia" w:ascii="仿宋_GB2312" w:hAnsi="仿宋_GB2312" w:eastAsia="仿宋_GB2312" w:cs="仿宋_GB2312"/>
                <w:bCs w:val="0"/>
                <w:sz w:val="28"/>
                <w:szCs w:val="28"/>
              </w:rPr>
            </w:pPr>
          </w:p>
        </w:tc>
        <w:tc>
          <w:tcPr>
            <w:tcW w:w="1352" w:type="dxa"/>
          </w:tcPr>
          <w:p>
            <w:pPr>
              <w:pStyle w:val="44"/>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gridSpan w:val="2"/>
            <w:vAlign w:val="center"/>
          </w:tcPr>
          <w:p>
            <w:pPr>
              <w:pStyle w:val="44"/>
              <w:widowControl w:val="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sz w:val="28"/>
                <w:szCs w:val="28"/>
                <w:lang w:val="en-US" w:eastAsia="zh-CN"/>
              </w:rPr>
              <w:t>合计</w:t>
            </w:r>
            <w:bookmarkEnd w:id="401"/>
          </w:p>
        </w:tc>
        <w:tc>
          <w:tcPr>
            <w:tcW w:w="7020" w:type="dxa"/>
            <w:gridSpan w:val="6"/>
          </w:tcPr>
          <w:p>
            <w:pPr>
              <w:widowControl w:val="0"/>
              <w:autoSpaceDE w:val="0"/>
              <w:autoSpaceDN w:val="0"/>
              <w:spacing w:line="24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小写：</w:t>
            </w:r>
          </w:p>
          <w:p>
            <w:pPr>
              <w:pStyle w:val="44"/>
              <w:widowControl w:val="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bookmarkStart w:id="402" w:name="_Toc17991"/>
            <w:bookmarkStart w:id="403" w:name="_Toc22162"/>
            <w:bookmarkStart w:id="404" w:name="_Toc10552"/>
            <w:bookmarkStart w:id="405" w:name="_Toc8004"/>
            <w:bookmarkStart w:id="406" w:name="_Toc31429"/>
            <w:bookmarkStart w:id="407" w:name="_Toc7253"/>
            <w:bookmarkStart w:id="408" w:name="_Toc28010"/>
            <w:r>
              <w:rPr>
                <w:rFonts w:hint="eastAsia" w:ascii="仿宋_GB2312" w:hAnsi="仿宋_GB2312" w:eastAsia="仿宋_GB2312" w:cs="仿宋_GB2312"/>
                <w:b w:val="0"/>
                <w:bCs w:val="0"/>
                <w:sz w:val="28"/>
                <w:szCs w:val="28"/>
              </w:rPr>
              <w:t>单位：元（保留到元）</w:t>
            </w:r>
            <w:bookmarkEnd w:id="402"/>
            <w:bookmarkEnd w:id="403"/>
            <w:bookmarkEnd w:id="404"/>
            <w:bookmarkEnd w:id="405"/>
            <w:bookmarkEnd w:id="406"/>
            <w:bookmarkEnd w:id="407"/>
            <w:bookmarkEnd w:id="408"/>
          </w:p>
        </w:tc>
      </w:tr>
    </w:tbl>
    <w:p>
      <w:pPr>
        <w:tabs>
          <w:tab w:val="right" w:pos="9072"/>
        </w:tabs>
        <w:spacing w:line="240" w:lineRule="auto"/>
        <w:ind w:firstLine="213" w:firstLineChars="100"/>
        <w:rPr>
          <w:rFonts w:hint="eastAsia" w:ascii="宋体" w:hAnsi="宋体" w:eastAsia="宋体" w:cs="华文仿宋"/>
          <w:color w:val="auto"/>
          <w:sz w:val="21"/>
          <w:szCs w:val="21"/>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566" w:firstLineChars="200"/>
        <w:rPr>
          <w:rFonts w:ascii="华文仿宋" w:hAnsi="华文仿宋" w:cs="华文仿宋"/>
          <w:color w:val="auto"/>
          <w:sz w:val="28"/>
          <w:szCs w:val="28"/>
        </w:rPr>
      </w:pPr>
    </w:p>
    <w:p>
      <w:pPr>
        <w:tabs>
          <w:tab w:val="right" w:pos="9072"/>
        </w:tabs>
        <w:spacing w:line="500" w:lineRule="exact"/>
        <w:ind w:firstLine="566" w:firstLineChars="200"/>
        <w:rPr>
          <w:rFonts w:ascii="华文仿宋" w:hAnsi="华文仿宋" w:cs="华文仿宋"/>
          <w:b/>
          <w:color w:val="auto"/>
          <w:sz w:val="28"/>
          <w:szCs w:val="28"/>
        </w:rPr>
      </w:pPr>
    </w:p>
    <w:p>
      <w:pPr>
        <w:spacing w:line="500" w:lineRule="exact"/>
        <w:ind w:firstLine="4811"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81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4"/>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2393"/>
      <w:bookmarkStart w:id="410" w:name="_Toc13309_WPSOffice_Level2"/>
      <w:bookmarkStart w:id="411" w:name="_Toc20416"/>
      <w:bookmarkStart w:id="412" w:name="_Toc18036_WPSOffice_Level2"/>
      <w:bookmarkStart w:id="413" w:name="_Toc26536_WPSOffice_Level2"/>
      <w:bookmarkStart w:id="414" w:name="_Toc9727_WPSOffice_Level2"/>
      <w:bookmarkStart w:id="415" w:name="_Toc26668"/>
      <w:bookmarkStart w:id="416" w:name="_Toc1823_WPSOffice_Level2"/>
      <w:bookmarkStart w:id="417" w:name="_Toc13794"/>
      <w:r>
        <w:rPr>
          <w:rFonts w:hint="eastAsia" w:ascii="仿宋_GB2312" w:hAnsi="仿宋_GB2312" w:eastAsia="仿宋_GB2312" w:cs="仿宋_GB2312"/>
          <w:bCs w:val="0"/>
          <w:color w:val="auto"/>
          <w:sz w:val="32"/>
          <w:szCs w:val="32"/>
        </w:rPr>
        <w:t>三、</w:t>
      </w:r>
      <w:bookmarkEnd w:id="409"/>
      <w:bookmarkEnd w:id="410"/>
      <w:bookmarkStart w:id="418" w:name="_Toc4322"/>
      <w:bookmarkStart w:id="419" w:name="_Toc31081"/>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20"/>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10928_WPSOffice_Level2"/>
      <w:bookmarkStart w:id="421" w:name="_Toc16442_WPSOffice_Level2"/>
      <w:bookmarkStart w:id="422" w:name="_Toc16564_WPSOffice_Level2"/>
      <w:bookmarkStart w:id="423" w:name="_Toc27976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2"/>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9021_WPSOffice_Level1"/>
      <w:bookmarkStart w:id="425" w:name="_Toc5795_WPSOffice_Level1"/>
      <w:bookmarkStart w:id="426" w:name="_Toc31624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20"/>
        <w:ind w:firstLine="183"/>
        <w:rPr>
          <w:rFonts w:hint="eastAsia" w:ascii="仿宋_GB2312" w:hAnsi="仿宋_GB2312" w:eastAsia="仿宋_GB2312" w:cs="仿宋_GB2312"/>
          <w:color w:val="auto"/>
          <w:sz w:val="28"/>
          <w:szCs w:val="28"/>
        </w:rPr>
      </w:pPr>
    </w:p>
    <w:p>
      <w:pPr>
        <w:pStyle w:val="20"/>
        <w:ind w:firstLine="183"/>
        <w:rPr>
          <w:rFonts w:hint="eastAsia" w:ascii="仿宋_GB2312" w:hAnsi="仿宋_GB2312" w:eastAsia="仿宋_GB2312" w:cs="仿宋_GB2312"/>
          <w:color w:val="auto"/>
          <w:sz w:val="28"/>
          <w:szCs w:val="28"/>
        </w:rPr>
      </w:pPr>
    </w:p>
    <w:p>
      <w:pPr>
        <w:pStyle w:val="20"/>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pStyle w:val="20"/>
        <w:ind w:firstLine="183"/>
        <w:rPr>
          <w:color w:val="auto"/>
        </w:rPr>
      </w:pPr>
    </w:p>
    <w:p>
      <w:pPr>
        <w:rPr>
          <w:color w:val="auto"/>
        </w:rPr>
      </w:pPr>
      <w:r>
        <w:rPr>
          <w:color w:val="auto"/>
        </w:rPr>
        <w:br w:type="page"/>
      </w:r>
    </w:p>
    <w:p>
      <w:pPr>
        <w:pStyle w:val="44"/>
        <w:spacing w:line="500" w:lineRule="exact"/>
        <w:rPr>
          <w:rFonts w:ascii="黑体" w:hAnsi="黑体" w:eastAsia="黑体"/>
          <w:b w:val="0"/>
          <w:color w:val="auto"/>
        </w:rPr>
      </w:pPr>
      <w:bookmarkStart w:id="427" w:name="_Toc28832"/>
      <w:bookmarkStart w:id="428" w:name="_Toc17248"/>
      <w:bookmarkStart w:id="429" w:name="_Toc30940"/>
      <w:bookmarkStart w:id="430" w:name="_Toc19912"/>
      <w:r>
        <w:rPr>
          <w:rStyle w:val="45"/>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4"/>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11555"/>
      <w:bookmarkStart w:id="432" w:name="_Toc17062_WPSOffice_Level2"/>
      <w:bookmarkStart w:id="433" w:name="_Toc27817"/>
      <w:bookmarkStart w:id="434" w:name="_Toc11401"/>
      <w:bookmarkStart w:id="435" w:name="_Toc29975_WPSOffice_Level2"/>
      <w:bookmarkStart w:id="436" w:name="_Toc15660_WPSOffice_Level2"/>
      <w:bookmarkStart w:id="437" w:name="_Toc1481"/>
      <w:bookmarkStart w:id="438" w:name="_Toc9337_WPSOffice_Level2"/>
      <w:bookmarkStart w:id="439" w:name="_Toc9079"/>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66"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pStyle w:val="20"/>
        <w:keepNext w:val="0"/>
        <w:keepLines w:val="0"/>
        <w:pageBreakBefore w:val="0"/>
        <w:widowControl/>
        <w:kinsoku/>
        <w:wordWrap/>
        <w:overflowPunct/>
        <w:topLinePunct w:val="0"/>
        <w:autoSpaceDE/>
        <w:autoSpaceDN/>
        <w:bidi w:val="0"/>
        <w:adjustRightInd/>
        <w:snapToGrid/>
        <w:ind w:firstLine="606" w:firstLineChars="200"/>
        <w:textAlignment w:val="auto"/>
        <w:outlineLvl w:val="2"/>
        <w:rPr>
          <w:rFonts w:hint="default" w:ascii="Calibri Light" w:hAnsi="Calibri Light" w:eastAsia="华文仿宋"/>
          <w:b/>
          <w:bCs/>
          <w:sz w:val="30"/>
          <w:szCs w:val="30"/>
          <w:highlight w:val="none"/>
          <w:lang w:val="en-US" w:eastAsia="zh-CN"/>
        </w:rPr>
      </w:pPr>
      <w:r>
        <w:rPr>
          <w:rFonts w:hint="eastAsia" w:ascii="Calibri Light" w:hAnsi="Calibri Light"/>
          <w:b/>
          <w:bCs/>
          <w:sz w:val="30"/>
          <w:szCs w:val="30"/>
          <w:highlight w:val="none"/>
          <w:lang w:val="en-US" w:eastAsia="zh-CN"/>
        </w:rPr>
        <w:t>（三）供应商性质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本公司（联合体）郑重声明，根据《政府采购促进中小企业发展管理办法》（财库﹝2020﹞46 号）的规定，本公司（联合体）参加</w:t>
      </w:r>
      <w:r>
        <w:rPr>
          <w:rFonts w:hint="eastAsia" w:ascii="华文仿宋" w:hAnsi="华文仿宋" w:eastAsia="华文仿宋" w:cs="华文仿宋"/>
          <w:i/>
          <w:iCs/>
          <w:sz w:val="28"/>
          <w:szCs w:val="28"/>
          <w:u w:val="single"/>
          <w:lang w:eastAsia="zh-CN"/>
        </w:rPr>
        <w:t>（单位名称）</w:t>
      </w:r>
      <w:r>
        <w:rPr>
          <w:rFonts w:hint="eastAsia" w:ascii="华文仿宋" w:hAnsi="华文仿宋" w:eastAsia="华文仿宋" w:cs="华文仿宋"/>
          <w:sz w:val="28"/>
          <w:szCs w:val="28"/>
          <w:lang w:eastAsia="zh-CN"/>
        </w:rPr>
        <w:t>的</w:t>
      </w:r>
      <w:r>
        <w:rPr>
          <w:rFonts w:hint="eastAsia" w:ascii="华文仿宋" w:hAnsi="华文仿宋" w:eastAsia="华文仿宋" w:cs="华文仿宋"/>
          <w:i/>
          <w:iCs/>
          <w:sz w:val="28"/>
          <w:szCs w:val="28"/>
          <w:u w:val="single"/>
          <w:lang w:eastAsia="zh-CN"/>
        </w:rPr>
        <w:t>（项目名称）</w:t>
      </w:r>
      <w:r>
        <w:rPr>
          <w:rFonts w:hint="eastAsia" w:ascii="华文仿宋" w:hAnsi="华文仿宋" w:eastAsia="华文仿宋" w:cs="华文仿宋"/>
          <w:sz w:val="28"/>
          <w:szCs w:val="28"/>
          <w:lang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企业名称（盖章）：</w:t>
      </w:r>
      <w:r>
        <w:rPr>
          <w:rFonts w:hint="eastAsia" w:ascii="华文仿宋" w:hAnsi="华文仿宋" w:eastAsia="华文仿宋" w:cs="华文仿宋"/>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日 期：</w:t>
      </w:r>
      <w:r>
        <w:rPr>
          <w:rFonts w:hint="eastAsia" w:ascii="华文仿宋" w:hAnsi="华文仿宋" w:eastAsia="华文仿宋" w:cs="华文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备注：1、</w:t>
      </w:r>
      <w:r>
        <w:rPr>
          <w:rFonts w:hint="eastAsia" w:ascii="宋体" w:hAnsi="宋体" w:eastAsia="宋体" w:cs="宋体"/>
          <w:sz w:val="21"/>
          <w:szCs w:val="21"/>
        </w:rPr>
        <w:t>本项目采购标的对应的中小企业划分标准所属行业为：</w:t>
      </w:r>
      <w:r>
        <w:rPr>
          <w:rFonts w:hint="eastAsia" w:ascii="宋体" w:hAnsi="宋体" w:eastAsia="宋体" w:cs="宋体"/>
          <w:b/>
          <w:bCs/>
          <w:sz w:val="21"/>
          <w:szCs w:val="21"/>
          <w:highlight w:val="none"/>
          <w:lang w:val="en-US" w:eastAsia="zh-CN"/>
        </w:rPr>
        <w:t>工</w:t>
      </w:r>
      <w:r>
        <w:rPr>
          <w:rFonts w:hint="eastAsia" w:ascii="宋体" w:hAnsi="宋体" w:eastAsia="宋体" w:cs="宋体"/>
          <w:b/>
          <w:bCs/>
          <w:sz w:val="21"/>
          <w:szCs w:val="21"/>
          <w:highlight w:val="none"/>
        </w:rPr>
        <w:t>业</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 序（http://202.106.120.146/baosong/appweb/orgScale.html）进行测算。</w:t>
      </w:r>
    </w:p>
    <w:p>
      <w:pPr>
        <w:pStyle w:val="2"/>
        <w:keepNext w:val="0"/>
        <w:keepLines w:val="0"/>
        <w:pageBreakBefore w:val="0"/>
        <w:widowControl/>
        <w:kinsoku/>
        <w:wordWrap/>
        <w:overflowPunct/>
        <w:topLinePunct w:val="0"/>
        <w:autoSpaceDE/>
        <w:autoSpaceDN/>
        <w:bidi w:val="0"/>
        <w:adjustRightInd/>
        <w:snapToGrid/>
        <w:ind w:firstLine="426" w:firstLineChars="200"/>
        <w:textAlignment w:val="auto"/>
        <w:rPr>
          <w:rFonts w:hint="default"/>
          <w:lang w:val="en-US"/>
        </w:rPr>
      </w:pPr>
      <w:r>
        <w:rPr>
          <w:rFonts w:hint="eastAsia" w:ascii="宋体" w:hAnsi="宋体" w:eastAsia="宋体" w:cs="宋体"/>
          <w:sz w:val="21"/>
          <w:szCs w:val="21"/>
          <w:lang w:val="en-US" w:eastAsia="zh-CN"/>
        </w:rPr>
        <w:t>4、各供应商如非中小企业，则无需填写。</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所报产品详细介绍（品牌、型号、</w:t>
      </w:r>
      <w:r>
        <w:rPr>
          <w:rFonts w:hint="eastAsia" w:ascii="仿宋_GB2312" w:hAnsi="仿宋_GB2312" w:eastAsia="仿宋_GB2312" w:cs="仿宋_GB2312"/>
          <w:color w:val="auto"/>
          <w:highlight w:val="none"/>
        </w:rPr>
        <w:t>技术参数</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bCs/>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（二）组织机构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（三）进度计划</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（四）质量保障措施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（五）实施方案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（六）业绩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（七）售后服务方案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color w:val="auto"/>
        </w:rPr>
      </w:pPr>
      <w:r>
        <w:rPr>
          <w:rFonts w:hint="eastAsia" w:ascii="仿宋_GB2312" w:hAnsi="仿宋_GB2312" w:eastAsia="仿宋_GB2312" w:cs="仿宋_GB2312"/>
          <w:bCs/>
          <w:color w:val="auto"/>
          <w:sz w:val="28"/>
          <w:szCs w:val="28"/>
          <w:highlight w:val="none"/>
          <w:lang w:val="en-US" w:eastAsia="zh-CN"/>
        </w:rPr>
        <w:t>（八）其他有必要说明的内容</w:t>
      </w: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2"/>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2"/>
        <w:rPr>
          <w:color w:val="auto"/>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58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58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5C96B"/>
    <w:multiLevelType w:val="singleLevel"/>
    <w:tmpl w:val="AD35C96B"/>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wYTliYzRhYmI5YjgwYWI5N2JkYzNiMjBlOTk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A36FE"/>
    <w:rsid w:val="02BD0EE2"/>
    <w:rsid w:val="02C11391"/>
    <w:rsid w:val="02C4205E"/>
    <w:rsid w:val="02D15085"/>
    <w:rsid w:val="02E307E4"/>
    <w:rsid w:val="02FC284D"/>
    <w:rsid w:val="032A6C20"/>
    <w:rsid w:val="03427B4F"/>
    <w:rsid w:val="03460878"/>
    <w:rsid w:val="034B3DA3"/>
    <w:rsid w:val="03526AB2"/>
    <w:rsid w:val="03531D00"/>
    <w:rsid w:val="036C3D74"/>
    <w:rsid w:val="036E21FF"/>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2110C"/>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20048"/>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847D8"/>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7A2A93"/>
    <w:rsid w:val="0F8A6E5B"/>
    <w:rsid w:val="0F8B2DA9"/>
    <w:rsid w:val="0FB15E33"/>
    <w:rsid w:val="0FDA797C"/>
    <w:rsid w:val="0FE75496"/>
    <w:rsid w:val="0FF86D48"/>
    <w:rsid w:val="100C563E"/>
    <w:rsid w:val="10292C44"/>
    <w:rsid w:val="10841837"/>
    <w:rsid w:val="10883FD1"/>
    <w:rsid w:val="109700B4"/>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67CFA"/>
    <w:rsid w:val="123E6579"/>
    <w:rsid w:val="12421048"/>
    <w:rsid w:val="124E27C4"/>
    <w:rsid w:val="125C0391"/>
    <w:rsid w:val="126F2075"/>
    <w:rsid w:val="128D6FC9"/>
    <w:rsid w:val="12950F85"/>
    <w:rsid w:val="12960862"/>
    <w:rsid w:val="12A04BDA"/>
    <w:rsid w:val="12A86650"/>
    <w:rsid w:val="12BB71B7"/>
    <w:rsid w:val="12E51257"/>
    <w:rsid w:val="12F57C06"/>
    <w:rsid w:val="12FD6D66"/>
    <w:rsid w:val="12FF18AF"/>
    <w:rsid w:val="131953F9"/>
    <w:rsid w:val="13310D86"/>
    <w:rsid w:val="134C233A"/>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5ED4290"/>
    <w:rsid w:val="162271CE"/>
    <w:rsid w:val="163D2276"/>
    <w:rsid w:val="1646616E"/>
    <w:rsid w:val="164B7078"/>
    <w:rsid w:val="16545E33"/>
    <w:rsid w:val="16961986"/>
    <w:rsid w:val="16984A31"/>
    <w:rsid w:val="16A724A2"/>
    <w:rsid w:val="16DF64BF"/>
    <w:rsid w:val="16E25B8A"/>
    <w:rsid w:val="16FF6F24"/>
    <w:rsid w:val="170555E3"/>
    <w:rsid w:val="172547B0"/>
    <w:rsid w:val="17562AFA"/>
    <w:rsid w:val="177E3A41"/>
    <w:rsid w:val="178701A0"/>
    <w:rsid w:val="178C19E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A0D68EB"/>
    <w:rsid w:val="1A2B68D6"/>
    <w:rsid w:val="1A50307B"/>
    <w:rsid w:val="1A810701"/>
    <w:rsid w:val="1A9D590B"/>
    <w:rsid w:val="1AA441E5"/>
    <w:rsid w:val="1AC85D1B"/>
    <w:rsid w:val="1ACC5E1B"/>
    <w:rsid w:val="1AD304B8"/>
    <w:rsid w:val="1AD532A6"/>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6568E"/>
    <w:rsid w:val="1BF8652E"/>
    <w:rsid w:val="1C2E65C9"/>
    <w:rsid w:val="1C2F716F"/>
    <w:rsid w:val="1C3E54EB"/>
    <w:rsid w:val="1C3F3D72"/>
    <w:rsid w:val="1C552039"/>
    <w:rsid w:val="1C750435"/>
    <w:rsid w:val="1C796C6B"/>
    <w:rsid w:val="1C8A3C5A"/>
    <w:rsid w:val="1C8F7303"/>
    <w:rsid w:val="1C901B90"/>
    <w:rsid w:val="1C967A89"/>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91DF1"/>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241E2C"/>
    <w:rsid w:val="215E7F7D"/>
    <w:rsid w:val="216A5B17"/>
    <w:rsid w:val="216C7FF5"/>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DC390D"/>
    <w:rsid w:val="23EF46D5"/>
    <w:rsid w:val="23F724F4"/>
    <w:rsid w:val="24042BDB"/>
    <w:rsid w:val="24234AF6"/>
    <w:rsid w:val="24404FB3"/>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5F305D3"/>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A10DD"/>
    <w:rsid w:val="2A3B2025"/>
    <w:rsid w:val="2A5F55C3"/>
    <w:rsid w:val="2A652F92"/>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A52CAA"/>
    <w:rsid w:val="2DB53831"/>
    <w:rsid w:val="2DCE3C7D"/>
    <w:rsid w:val="2DCF0D38"/>
    <w:rsid w:val="2DDB0505"/>
    <w:rsid w:val="2DF77CC5"/>
    <w:rsid w:val="2DFF70AD"/>
    <w:rsid w:val="2E0E60B9"/>
    <w:rsid w:val="2E197228"/>
    <w:rsid w:val="2E206382"/>
    <w:rsid w:val="2E490CF6"/>
    <w:rsid w:val="2E616693"/>
    <w:rsid w:val="2E640E80"/>
    <w:rsid w:val="2E685A4D"/>
    <w:rsid w:val="2E6D421C"/>
    <w:rsid w:val="2E815D94"/>
    <w:rsid w:val="2E85670C"/>
    <w:rsid w:val="2E93683E"/>
    <w:rsid w:val="2EAE51C5"/>
    <w:rsid w:val="2ECE0FF5"/>
    <w:rsid w:val="2EDB35F4"/>
    <w:rsid w:val="2EE80E9D"/>
    <w:rsid w:val="2F340AB1"/>
    <w:rsid w:val="2F36202B"/>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01025"/>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2B7C81"/>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786996"/>
    <w:rsid w:val="37AB7604"/>
    <w:rsid w:val="37BC7A96"/>
    <w:rsid w:val="38152477"/>
    <w:rsid w:val="381A3FBC"/>
    <w:rsid w:val="383115F5"/>
    <w:rsid w:val="386A4D8B"/>
    <w:rsid w:val="387060FE"/>
    <w:rsid w:val="38780152"/>
    <w:rsid w:val="387D2978"/>
    <w:rsid w:val="388242C0"/>
    <w:rsid w:val="388D490B"/>
    <w:rsid w:val="38A35CBB"/>
    <w:rsid w:val="38AA19BF"/>
    <w:rsid w:val="38B3195E"/>
    <w:rsid w:val="38C53CA2"/>
    <w:rsid w:val="38CA274D"/>
    <w:rsid w:val="38DB3D3B"/>
    <w:rsid w:val="391A3434"/>
    <w:rsid w:val="396759FD"/>
    <w:rsid w:val="397958BD"/>
    <w:rsid w:val="397D3884"/>
    <w:rsid w:val="39801E55"/>
    <w:rsid w:val="398F400C"/>
    <w:rsid w:val="398F55AF"/>
    <w:rsid w:val="39916AF0"/>
    <w:rsid w:val="399B079A"/>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C487E"/>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C9000D"/>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AE5025"/>
    <w:rsid w:val="3EB472BD"/>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A0186A"/>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0556C"/>
    <w:rsid w:val="4391176E"/>
    <w:rsid w:val="43B545F0"/>
    <w:rsid w:val="43CF397F"/>
    <w:rsid w:val="43D01C4E"/>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E4AE2"/>
    <w:rsid w:val="47A428C2"/>
    <w:rsid w:val="47B75973"/>
    <w:rsid w:val="47C00874"/>
    <w:rsid w:val="47D236CB"/>
    <w:rsid w:val="47E41648"/>
    <w:rsid w:val="47E71D6B"/>
    <w:rsid w:val="47E801AB"/>
    <w:rsid w:val="47EC4B78"/>
    <w:rsid w:val="47F02948"/>
    <w:rsid w:val="47FB39B9"/>
    <w:rsid w:val="480D47B9"/>
    <w:rsid w:val="48233849"/>
    <w:rsid w:val="48277842"/>
    <w:rsid w:val="483D20C4"/>
    <w:rsid w:val="48776E5E"/>
    <w:rsid w:val="48795C23"/>
    <w:rsid w:val="488C2FD7"/>
    <w:rsid w:val="48974A79"/>
    <w:rsid w:val="489F5422"/>
    <w:rsid w:val="48D14BB0"/>
    <w:rsid w:val="48D70F6B"/>
    <w:rsid w:val="48E50E7E"/>
    <w:rsid w:val="49037F64"/>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95890"/>
    <w:rsid w:val="4EBE06E2"/>
    <w:rsid w:val="4ED211D4"/>
    <w:rsid w:val="4EF018DD"/>
    <w:rsid w:val="4F04640B"/>
    <w:rsid w:val="4F0E3BBD"/>
    <w:rsid w:val="4F144EEE"/>
    <w:rsid w:val="4F4C2A01"/>
    <w:rsid w:val="4F6B7BB9"/>
    <w:rsid w:val="4F8D0EEC"/>
    <w:rsid w:val="4F981B6D"/>
    <w:rsid w:val="4FA6654E"/>
    <w:rsid w:val="4FB22630"/>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0E7D45"/>
    <w:rsid w:val="531655AF"/>
    <w:rsid w:val="536E66F9"/>
    <w:rsid w:val="53733BF6"/>
    <w:rsid w:val="53873D44"/>
    <w:rsid w:val="53962B3E"/>
    <w:rsid w:val="539F4BC3"/>
    <w:rsid w:val="53C7637D"/>
    <w:rsid w:val="53C9708E"/>
    <w:rsid w:val="53CD6E9C"/>
    <w:rsid w:val="53E3217E"/>
    <w:rsid w:val="53E51640"/>
    <w:rsid w:val="5410069F"/>
    <w:rsid w:val="54102526"/>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EF0CD5"/>
    <w:rsid w:val="55FB34EE"/>
    <w:rsid w:val="5628417F"/>
    <w:rsid w:val="562B489D"/>
    <w:rsid w:val="56310FE7"/>
    <w:rsid w:val="564357FC"/>
    <w:rsid w:val="5650554F"/>
    <w:rsid w:val="565C7725"/>
    <w:rsid w:val="56655560"/>
    <w:rsid w:val="56721800"/>
    <w:rsid w:val="568820D4"/>
    <w:rsid w:val="568D45BE"/>
    <w:rsid w:val="569301E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9C6BEB"/>
    <w:rsid w:val="58AA2D4B"/>
    <w:rsid w:val="58B0376F"/>
    <w:rsid w:val="58D24194"/>
    <w:rsid w:val="58E72DE9"/>
    <w:rsid w:val="58EB36CF"/>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242AFB"/>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429EA"/>
    <w:rsid w:val="5C78121F"/>
    <w:rsid w:val="5C7E3B46"/>
    <w:rsid w:val="5C8E6AD3"/>
    <w:rsid w:val="5C962A0F"/>
    <w:rsid w:val="5C9C63C8"/>
    <w:rsid w:val="5CA04BF9"/>
    <w:rsid w:val="5CBA15A3"/>
    <w:rsid w:val="5CD21D74"/>
    <w:rsid w:val="5CD82D18"/>
    <w:rsid w:val="5CDC0BDD"/>
    <w:rsid w:val="5CE96DCA"/>
    <w:rsid w:val="5CFB0D0E"/>
    <w:rsid w:val="5D077EF5"/>
    <w:rsid w:val="5D0D570F"/>
    <w:rsid w:val="5D5061F6"/>
    <w:rsid w:val="5D590772"/>
    <w:rsid w:val="5D670BC7"/>
    <w:rsid w:val="5D6F385A"/>
    <w:rsid w:val="5D8E4CA8"/>
    <w:rsid w:val="5D920685"/>
    <w:rsid w:val="5DB86D54"/>
    <w:rsid w:val="5DBE6255"/>
    <w:rsid w:val="5DCA043A"/>
    <w:rsid w:val="5DDC5EE5"/>
    <w:rsid w:val="5DE06080"/>
    <w:rsid w:val="5DF63EC1"/>
    <w:rsid w:val="5E026B09"/>
    <w:rsid w:val="5E103836"/>
    <w:rsid w:val="5E1216FE"/>
    <w:rsid w:val="5E1C1E8A"/>
    <w:rsid w:val="5E1C4572"/>
    <w:rsid w:val="5E246A8B"/>
    <w:rsid w:val="5E303CE5"/>
    <w:rsid w:val="5E4B5198"/>
    <w:rsid w:val="5E642265"/>
    <w:rsid w:val="5EA70CDE"/>
    <w:rsid w:val="5EBE0A06"/>
    <w:rsid w:val="5ECB1CD4"/>
    <w:rsid w:val="5ED50ED8"/>
    <w:rsid w:val="5EDA258A"/>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9F78CE"/>
    <w:rsid w:val="62A226C2"/>
    <w:rsid w:val="62C8546B"/>
    <w:rsid w:val="62D34D7D"/>
    <w:rsid w:val="62D813F4"/>
    <w:rsid w:val="62DC4BD7"/>
    <w:rsid w:val="630615B2"/>
    <w:rsid w:val="632073D1"/>
    <w:rsid w:val="6329520B"/>
    <w:rsid w:val="63362285"/>
    <w:rsid w:val="633C307F"/>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8E0268"/>
    <w:rsid w:val="68907DEF"/>
    <w:rsid w:val="68976136"/>
    <w:rsid w:val="68A0278A"/>
    <w:rsid w:val="68C812E7"/>
    <w:rsid w:val="68CE0B86"/>
    <w:rsid w:val="68F540D3"/>
    <w:rsid w:val="69082643"/>
    <w:rsid w:val="69256E15"/>
    <w:rsid w:val="692764EA"/>
    <w:rsid w:val="69303EF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5F7D37"/>
    <w:rsid w:val="6A717CE3"/>
    <w:rsid w:val="6A730EA4"/>
    <w:rsid w:val="6A9260A0"/>
    <w:rsid w:val="6AAB68AC"/>
    <w:rsid w:val="6AB574DF"/>
    <w:rsid w:val="6ACC62E0"/>
    <w:rsid w:val="6ACE4105"/>
    <w:rsid w:val="6AD03793"/>
    <w:rsid w:val="6AD07FDE"/>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CF1BC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5A5148"/>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41107"/>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1733"/>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CF75E3"/>
    <w:rsid w:val="77DD3B92"/>
    <w:rsid w:val="77F12A59"/>
    <w:rsid w:val="78063C29"/>
    <w:rsid w:val="780B46B4"/>
    <w:rsid w:val="781A500E"/>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0B2A62"/>
    <w:rsid w:val="791059C4"/>
    <w:rsid w:val="79471A66"/>
    <w:rsid w:val="79472418"/>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EE7382"/>
    <w:rsid w:val="7AF2300E"/>
    <w:rsid w:val="7B0C07ED"/>
    <w:rsid w:val="7B192506"/>
    <w:rsid w:val="7B2B7492"/>
    <w:rsid w:val="7B3B29FD"/>
    <w:rsid w:val="7B440233"/>
    <w:rsid w:val="7B48761F"/>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AE4B4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4">
    <w:name w:val="heading 1"/>
    <w:basedOn w:val="1"/>
    <w:next w:val="1"/>
    <w:link w:val="45"/>
    <w:qFormat/>
    <w:uiPriority w:val="9"/>
    <w:pPr>
      <w:keepNext/>
      <w:keepLines/>
      <w:spacing w:line="240" w:lineRule="auto"/>
      <w:jc w:val="center"/>
      <w:outlineLvl w:val="0"/>
    </w:pPr>
    <w:rPr>
      <w:rFonts w:eastAsia="仿宋"/>
      <w:b/>
      <w:color w:val="000000"/>
      <w:kern w:val="44"/>
      <w:sz w:val="36"/>
      <w:szCs w:val="44"/>
    </w:rPr>
  </w:style>
  <w:style w:type="paragraph" w:styleId="5">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6">
    <w:name w:val="heading 3"/>
    <w:basedOn w:val="1"/>
    <w:next w:val="1"/>
    <w:qFormat/>
    <w:uiPriority w:val="9"/>
    <w:pPr>
      <w:keepNext/>
      <w:keepLines/>
      <w:spacing w:line="400" w:lineRule="atLeast"/>
      <w:jc w:val="center"/>
      <w:outlineLvl w:val="2"/>
    </w:pPr>
    <w:rPr>
      <w:b/>
      <w:bCs/>
      <w:sz w:val="32"/>
      <w:szCs w:val="32"/>
      <w:u w:val="double"/>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unhideWhenUsed/>
    <w:qFormat/>
    <w:uiPriority w:val="99"/>
    <w:pPr>
      <w:spacing w:line="480" w:lineRule="auto"/>
    </w:pPr>
  </w:style>
  <w:style w:type="paragraph" w:styleId="8">
    <w:name w:val="Normal Indent"/>
    <w:basedOn w:val="1"/>
    <w:qFormat/>
    <w:uiPriority w:val="99"/>
    <w:pPr>
      <w:ind w:firstLine="420"/>
    </w:pPr>
  </w:style>
  <w:style w:type="paragraph" w:styleId="9">
    <w:name w:val="annotation text"/>
    <w:basedOn w:val="1"/>
    <w:link w:val="49"/>
    <w:qFormat/>
    <w:uiPriority w:val="0"/>
    <w:pPr>
      <w:jc w:val="left"/>
    </w:pPr>
  </w:style>
  <w:style w:type="paragraph" w:styleId="10">
    <w:name w:val="Body Text Indent"/>
    <w:basedOn w:val="1"/>
    <w:qFormat/>
    <w:uiPriority w:val="0"/>
    <w:pPr>
      <w:spacing w:after="120"/>
      <w:ind w:left="420" w:leftChars="200"/>
    </w:pPr>
  </w:style>
  <w:style w:type="paragraph" w:styleId="11">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2">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3">
    <w:name w:val="Balloon Text"/>
    <w:basedOn w:val="1"/>
    <w:link w:val="51"/>
    <w:qFormat/>
    <w:uiPriority w:val="0"/>
    <w:pPr>
      <w:spacing w:line="240" w:lineRule="auto"/>
    </w:pPr>
    <w:rPr>
      <w:sz w:val="18"/>
      <w:szCs w:val="18"/>
    </w:rPr>
  </w:style>
  <w:style w:type="paragraph" w:styleId="14">
    <w:name w:val="footer"/>
    <w:basedOn w:val="1"/>
    <w:qFormat/>
    <w:uiPriority w:val="99"/>
    <w:pPr>
      <w:widowControl w:val="0"/>
      <w:tabs>
        <w:tab w:val="center" w:pos="4153"/>
        <w:tab w:val="right" w:pos="8306"/>
      </w:tabs>
      <w:snapToGrid w:val="0"/>
      <w:spacing w:line="240" w:lineRule="auto"/>
      <w:jc w:val="left"/>
    </w:pPr>
    <w:rPr>
      <w:sz w:val="18"/>
    </w:rPr>
  </w:style>
  <w:style w:type="paragraph" w:styleId="15">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6">
    <w:name w:val="toc 1"/>
    <w:basedOn w:val="1"/>
    <w:next w:val="1"/>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99"/>
    <w:pPr>
      <w:spacing w:beforeAutospacing="1" w:afterAutospacing="1"/>
      <w:jc w:val="left"/>
    </w:pPr>
    <w:rPr>
      <w:rFonts w:cs="Times New Roman"/>
      <w:kern w:val="0"/>
      <w:sz w:val="24"/>
    </w:rPr>
  </w:style>
  <w:style w:type="paragraph" w:styleId="19">
    <w:name w:val="annotation subject"/>
    <w:basedOn w:val="9"/>
    <w:next w:val="9"/>
    <w:link w:val="50"/>
    <w:qFormat/>
    <w:uiPriority w:val="0"/>
    <w:rPr>
      <w:b/>
      <w:bCs/>
    </w:rPr>
  </w:style>
  <w:style w:type="paragraph" w:styleId="20">
    <w:name w:val="Body Text First Indent"/>
    <w:basedOn w:val="2"/>
    <w:unhideWhenUsed/>
    <w:qFormat/>
    <w:uiPriority w:val="0"/>
    <w:pPr>
      <w:spacing w:line="240" w:lineRule="auto"/>
      <w:ind w:firstLine="420" w:firstLineChars="100"/>
    </w:pPr>
    <w:rPr>
      <w:rFonts w:ascii="Times New Roman" w:hAnsi="Times New Roman"/>
      <w:sz w:val="18"/>
      <w:szCs w:val="18"/>
    </w:rPr>
  </w:style>
  <w:style w:type="paragraph" w:styleId="21">
    <w:name w:val="Body Text First Indent 2"/>
    <w:basedOn w:val="10"/>
    <w:qFormat/>
    <w:uiPriority w:val="0"/>
    <w:pPr>
      <w:ind w:firstLine="420" w:firstLineChars="20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semiHidden/>
    <w:unhideWhenUsed/>
    <w:qFormat/>
    <w:uiPriority w:val="0"/>
    <w:rPr>
      <w:color w:val="800080"/>
      <w:u w:val="none"/>
    </w:rPr>
  </w:style>
  <w:style w:type="character" w:styleId="27">
    <w:name w:val="Emphasis"/>
    <w:basedOn w:val="24"/>
    <w:qFormat/>
    <w:uiPriority w:val="0"/>
    <w:rPr>
      <w:b/>
    </w:rPr>
  </w:style>
  <w:style w:type="character" w:styleId="28">
    <w:name w:val="HTML Definition"/>
    <w:basedOn w:val="24"/>
    <w:semiHidden/>
    <w:unhideWhenUsed/>
    <w:qFormat/>
    <w:uiPriority w:val="0"/>
  </w:style>
  <w:style w:type="character" w:styleId="29">
    <w:name w:val="HTML Typewriter"/>
    <w:basedOn w:val="24"/>
    <w:semiHidden/>
    <w:unhideWhenUsed/>
    <w:qFormat/>
    <w:uiPriority w:val="0"/>
    <w:rPr>
      <w:rFonts w:ascii="monospace" w:hAnsi="monospace" w:eastAsia="monospace" w:cs="monospace"/>
      <w:sz w:val="20"/>
    </w:rPr>
  </w:style>
  <w:style w:type="character" w:styleId="30">
    <w:name w:val="HTML Acronym"/>
    <w:basedOn w:val="24"/>
    <w:semiHidden/>
    <w:unhideWhenUsed/>
    <w:qFormat/>
    <w:uiPriority w:val="0"/>
  </w:style>
  <w:style w:type="character" w:styleId="31">
    <w:name w:val="HTML Variable"/>
    <w:basedOn w:val="24"/>
    <w:semiHidden/>
    <w:unhideWhenUsed/>
    <w:qFormat/>
    <w:uiPriority w:val="0"/>
  </w:style>
  <w:style w:type="character" w:styleId="32">
    <w:name w:val="Hyperlink"/>
    <w:qFormat/>
    <w:uiPriority w:val="99"/>
    <w:rPr>
      <w:color w:val="000000"/>
      <w:sz w:val="18"/>
      <w:szCs w:val="18"/>
      <w:u w:val="none"/>
    </w:rPr>
  </w:style>
  <w:style w:type="character" w:styleId="33">
    <w:name w:val="HTML Code"/>
    <w:basedOn w:val="24"/>
    <w:semiHidden/>
    <w:unhideWhenUsed/>
    <w:qFormat/>
    <w:uiPriority w:val="0"/>
    <w:rPr>
      <w:rFonts w:hint="default" w:ascii="monospace" w:hAnsi="monospace" w:eastAsia="monospace" w:cs="monospace"/>
      <w:sz w:val="20"/>
    </w:rPr>
  </w:style>
  <w:style w:type="character" w:styleId="34">
    <w:name w:val="annotation reference"/>
    <w:basedOn w:val="24"/>
    <w:qFormat/>
    <w:uiPriority w:val="0"/>
    <w:rPr>
      <w:sz w:val="21"/>
      <w:szCs w:val="21"/>
    </w:rPr>
  </w:style>
  <w:style w:type="character" w:styleId="35">
    <w:name w:val="HTML Cite"/>
    <w:basedOn w:val="24"/>
    <w:semiHidden/>
    <w:unhideWhenUsed/>
    <w:qFormat/>
    <w:uiPriority w:val="0"/>
  </w:style>
  <w:style w:type="character" w:styleId="36">
    <w:name w:val="HTML Keyboard"/>
    <w:basedOn w:val="24"/>
    <w:semiHidden/>
    <w:unhideWhenUsed/>
    <w:qFormat/>
    <w:uiPriority w:val="0"/>
    <w:rPr>
      <w:rFonts w:hint="default" w:ascii="monospace" w:hAnsi="monospace" w:eastAsia="monospace" w:cs="monospace"/>
      <w:sz w:val="18"/>
      <w:szCs w:val="18"/>
      <w:bdr w:val="single" w:color="D2D2D2" w:sz="2" w:space="0"/>
    </w:rPr>
  </w:style>
  <w:style w:type="character" w:styleId="37">
    <w:name w:val="HTML Sample"/>
    <w:basedOn w:val="24"/>
    <w:semiHidden/>
    <w:unhideWhenUsed/>
    <w:qFormat/>
    <w:uiPriority w:val="0"/>
    <w:rPr>
      <w:rFonts w:hint="default" w:ascii="monospace" w:hAnsi="monospace" w:eastAsia="monospace" w:cs="monospace"/>
    </w:rPr>
  </w:style>
  <w:style w:type="paragraph" w:customStyle="1" w:styleId="38">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39">
    <w:name w:val="正文缩进1"/>
    <w:basedOn w:val="1"/>
    <w:qFormat/>
    <w:uiPriority w:val="0"/>
    <w:pPr>
      <w:ind w:firstLine="420" w:firstLineChars="200"/>
    </w:pPr>
  </w:style>
  <w:style w:type="paragraph" w:customStyle="1" w:styleId="40">
    <w:name w:val="正文（缩进 2 字符）"/>
    <w:basedOn w:val="1"/>
    <w:qFormat/>
    <w:uiPriority w:val="0"/>
    <w:pPr>
      <w:ind w:firstLine="200" w:firstLineChars="200"/>
    </w:pPr>
  </w:style>
  <w:style w:type="paragraph" w:customStyle="1" w:styleId="41">
    <w:name w:val="正文（缩进 4 字符）"/>
    <w:basedOn w:val="1"/>
    <w:qFormat/>
    <w:uiPriority w:val="0"/>
    <w:pPr>
      <w:ind w:firstLine="1134" w:firstLineChars="400"/>
    </w:pPr>
  </w:style>
  <w:style w:type="paragraph" w:customStyle="1" w:styleId="42">
    <w:name w:val="列出段落1"/>
    <w:basedOn w:val="1"/>
    <w:qFormat/>
    <w:uiPriority w:val="99"/>
    <w:pPr>
      <w:ind w:firstLine="420" w:firstLineChars="200"/>
    </w:p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标题 2（投标文件）"/>
    <w:basedOn w:val="5"/>
    <w:qFormat/>
    <w:uiPriority w:val="0"/>
    <w:pPr>
      <w:jc w:val="center"/>
    </w:pPr>
  </w:style>
  <w:style w:type="character" w:customStyle="1" w:styleId="45">
    <w:name w:val="标题 1 字符"/>
    <w:link w:val="4"/>
    <w:qFormat/>
    <w:uiPriority w:val="9"/>
    <w:rPr>
      <w:rFonts w:eastAsia="仿宋"/>
      <w:b/>
      <w:color w:val="000000"/>
      <w:kern w:val="44"/>
      <w:sz w:val="36"/>
      <w:szCs w:val="44"/>
    </w:rPr>
  </w:style>
  <w:style w:type="paragraph" w:customStyle="1" w:styleId="46">
    <w:name w:val="标题 3（投标文件）"/>
    <w:basedOn w:val="6"/>
    <w:qFormat/>
    <w:uiPriority w:val="0"/>
    <w:pPr>
      <w:jc w:val="left"/>
    </w:pPr>
    <w:rPr>
      <w:u w:val="none"/>
    </w:rPr>
  </w:style>
  <w:style w:type="character" w:customStyle="1" w:styleId="47">
    <w:name w:val="font21"/>
    <w:basedOn w:val="24"/>
    <w:qFormat/>
    <w:uiPriority w:val="0"/>
    <w:rPr>
      <w:rFonts w:hint="default" w:ascii="Tahoma" w:hAnsi="Tahoma" w:eastAsia="Tahoma" w:cs="Tahoma"/>
      <w:color w:val="000000"/>
      <w:sz w:val="22"/>
      <w:szCs w:val="22"/>
      <w:u w:val="none"/>
    </w:rPr>
  </w:style>
  <w:style w:type="character" w:customStyle="1" w:styleId="48">
    <w:name w:val="font01"/>
    <w:basedOn w:val="24"/>
    <w:qFormat/>
    <w:uiPriority w:val="0"/>
    <w:rPr>
      <w:rFonts w:hint="eastAsia" w:ascii="宋体" w:hAnsi="宋体" w:eastAsia="宋体" w:cs="宋体"/>
      <w:color w:val="000000"/>
      <w:sz w:val="22"/>
      <w:szCs w:val="22"/>
      <w:u w:val="none"/>
    </w:rPr>
  </w:style>
  <w:style w:type="character" w:customStyle="1" w:styleId="49">
    <w:name w:val="批注文字 字符"/>
    <w:basedOn w:val="24"/>
    <w:link w:val="9"/>
    <w:qFormat/>
    <w:uiPriority w:val="0"/>
    <w:rPr>
      <w:rFonts w:ascii="Calibri Light" w:hAnsi="Calibri Light" w:eastAsia="华文仿宋" w:cs="Calibri Light"/>
      <w:kern w:val="2"/>
      <w:sz w:val="28"/>
      <w:szCs w:val="28"/>
    </w:rPr>
  </w:style>
  <w:style w:type="character" w:customStyle="1" w:styleId="50">
    <w:name w:val="批注主题 字符"/>
    <w:basedOn w:val="49"/>
    <w:link w:val="19"/>
    <w:qFormat/>
    <w:uiPriority w:val="0"/>
    <w:rPr>
      <w:rFonts w:ascii="Calibri Light" w:hAnsi="Calibri Light" w:eastAsia="华文仿宋" w:cs="Calibri Light"/>
      <w:b/>
      <w:bCs/>
      <w:kern w:val="2"/>
      <w:sz w:val="28"/>
      <w:szCs w:val="28"/>
    </w:rPr>
  </w:style>
  <w:style w:type="character" w:customStyle="1" w:styleId="51">
    <w:name w:val="批注框文本 字符"/>
    <w:basedOn w:val="24"/>
    <w:link w:val="13"/>
    <w:qFormat/>
    <w:uiPriority w:val="0"/>
    <w:rPr>
      <w:rFonts w:ascii="Calibri Light" w:hAnsi="Calibri Light" w:eastAsia="华文仿宋" w:cs="Calibri Light"/>
      <w:kern w:val="2"/>
      <w:sz w:val="18"/>
      <w:szCs w:val="18"/>
    </w:rPr>
  </w:style>
  <w:style w:type="paragraph" w:styleId="52">
    <w:name w:val="List Paragraph"/>
    <w:basedOn w:val="1"/>
    <w:qFormat/>
    <w:uiPriority w:val="34"/>
    <w:pPr>
      <w:ind w:firstLine="420" w:firstLineChars="200"/>
    </w:pPr>
  </w:style>
  <w:style w:type="table" w:customStyle="1" w:styleId="53">
    <w:name w:val="Table Normal"/>
    <w:unhideWhenUsed/>
    <w:qFormat/>
    <w:uiPriority w:val="0"/>
    <w:tblPr>
      <w:tblCellMar>
        <w:top w:w="0" w:type="dxa"/>
        <w:left w:w="0" w:type="dxa"/>
        <w:bottom w:w="0" w:type="dxa"/>
        <w:right w:w="0" w:type="dxa"/>
      </w:tblCellMar>
    </w:tblPr>
  </w:style>
  <w:style w:type="character" w:customStyle="1" w:styleId="54">
    <w:name w:val="font11"/>
    <w:basedOn w:val="24"/>
    <w:qFormat/>
    <w:uiPriority w:val="0"/>
    <w:rPr>
      <w:rFonts w:hint="eastAsia" w:ascii="宋体" w:hAnsi="宋体" w:eastAsia="宋体" w:cs="宋体"/>
      <w:color w:val="000000"/>
      <w:sz w:val="24"/>
      <w:szCs w:val="24"/>
      <w:u w:val="none"/>
    </w:rPr>
  </w:style>
  <w:style w:type="character" w:customStyle="1" w:styleId="55">
    <w:name w:val="font31"/>
    <w:basedOn w:val="24"/>
    <w:qFormat/>
    <w:uiPriority w:val="0"/>
    <w:rPr>
      <w:rFonts w:ascii="Arial Unicode MS" w:hAnsi="Arial Unicode MS" w:eastAsia="Arial Unicode MS" w:cs="Arial Unicode MS"/>
      <w:color w:val="000000"/>
      <w:sz w:val="24"/>
      <w:szCs w:val="24"/>
      <w:u w:val="none"/>
    </w:rPr>
  </w:style>
  <w:style w:type="character" w:customStyle="1" w:styleId="56">
    <w:name w:val="font61"/>
    <w:basedOn w:val="2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24700</Words>
  <Characters>26457</Characters>
  <Lines>245</Lines>
  <Paragraphs>68</Paragraphs>
  <TotalTime>13</TotalTime>
  <ScaleCrop>false</ScaleCrop>
  <LinksUpToDate>false</LinksUpToDate>
  <CharactersWithSpaces>27093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2023-04-24T03:40:00Z</cp:lastPrinted>
  <dcterms:modified xsi:type="dcterms:W3CDTF">2023-07-28T06:05:09Z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15CE70D5559D4E8AB052FFD150296550_13</vt:lpwstr>
  </property>
</Properties>
</file>